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D41A0">
      <w:pPr>
        <w:jc w:val="center"/>
        <w:rPr>
          <w:rFonts w:hint="eastAsia" w:ascii="宋体" w:hAnsi="宋体"/>
          <w:color w:val="FF0000"/>
          <w:szCs w:val="21"/>
        </w:rPr>
      </w:pPr>
      <w:bookmarkStart w:id="0" w:name="_Hlk71456902"/>
      <w:r>
        <w:rPr>
          <w:rFonts w:hint="eastAsia" w:ascii="宋体" w:hAnsi="宋体" w:eastAsia="黑体"/>
          <w:b/>
          <w:bCs/>
          <w:color w:val="FF0000"/>
          <w:kern w:val="44"/>
          <w:sz w:val="28"/>
          <w:szCs w:val="44"/>
        </w:rPr>
        <w:t>特别警示条款</w:t>
      </w:r>
    </w:p>
    <w:p w14:paraId="2F4B5C36">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hint="eastAsia" w:ascii="宋体" w:hAnsi="宋体" w:cs="宋体"/>
          <w:b/>
          <w:bCs/>
          <w:color w:val="FF0000"/>
          <w:szCs w:val="21"/>
          <w:highlight w:val="yellow"/>
        </w:rPr>
      </w:pPr>
      <w:r>
        <w:rPr>
          <w:rFonts w:hint="eastAsia" w:ascii="宋体" w:hAnsi="宋体" w:cs="宋体"/>
          <w:b/>
          <w:bCs/>
          <w:color w:val="FF0000"/>
          <w:szCs w:val="21"/>
          <w:highlight w:val="yellow"/>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50E9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11" w:type="dxa"/>
            <w:tcBorders>
              <w:tl2br w:val="nil"/>
              <w:tr2bl w:val="nil"/>
            </w:tcBorders>
            <w:vAlign w:val="center"/>
          </w:tcPr>
          <w:p w14:paraId="791D4939">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序号</w:t>
            </w:r>
          </w:p>
        </w:tc>
        <w:tc>
          <w:tcPr>
            <w:tcW w:w="7711" w:type="dxa"/>
            <w:tcBorders>
              <w:tl2br w:val="nil"/>
              <w:tr2bl w:val="nil"/>
            </w:tcBorders>
            <w:vAlign w:val="center"/>
          </w:tcPr>
          <w:p w14:paraId="738F0617">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b/>
                <w:bCs/>
                <w:color w:val="FF0000"/>
                <w:szCs w:val="21"/>
              </w:rPr>
              <w:t>供应商参与投标禁止情形</w:t>
            </w:r>
          </w:p>
        </w:tc>
      </w:tr>
      <w:tr w14:paraId="5B1F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2DB5E037">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1</w:t>
            </w:r>
          </w:p>
        </w:tc>
        <w:tc>
          <w:tcPr>
            <w:tcW w:w="7711" w:type="dxa"/>
            <w:tcBorders>
              <w:tl2br w:val="nil"/>
              <w:tr2bl w:val="nil"/>
            </w:tcBorders>
            <w:vAlign w:val="center"/>
          </w:tcPr>
          <w:p w14:paraId="35676876">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与其他投标供应商的法定代表人、主要经营负责人、投标授权代表人、项目负责人、主要技术人员为</w:t>
            </w:r>
            <w:r>
              <w:rPr>
                <w:rFonts w:hint="eastAsia" w:ascii="宋体" w:hAnsi="宋体" w:cs="宋体"/>
                <w:b/>
                <w:bCs/>
                <w:color w:val="FF0000"/>
                <w:szCs w:val="21"/>
              </w:rPr>
              <w:t>同一人、属同一单位或者在同一单位缴纳社会保险</w:t>
            </w:r>
            <w:r>
              <w:rPr>
                <w:rFonts w:hint="eastAsia" w:ascii="宋体" w:hAnsi="宋体" w:cs="宋体"/>
                <w:color w:val="FF0000"/>
                <w:szCs w:val="21"/>
              </w:rPr>
              <w:t>。</w:t>
            </w:r>
          </w:p>
        </w:tc>
      </w:tr>
      <w:tr w14:paraId="1F76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58D2DF2B">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2</w:t>
            </w:r>
          </w:p>
        </w:tc>
        <w:tc>
          <w:tcPr>
            <w:tcW w:w="7711" w:type="dxa"/>
            <w:tcBorders>
              <w:tl2br w:val="nil"/>
              <w:tr2bl w:val="nil"/>
            </w:tcBorders>
            <w:vAlign w:val="center"/>
          </w:tcPr>
          <w:p w14:paraId="2CC86923">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参与本项目政府采购活动时，与其他投标供应商存在单位负责人为</w:t>
            </w:r>
            <w:r>
              <w:rPr>
                <w:rFonts w:hint="eastAsia" w:ascii="宋体" w:hAnsi="宋体" w:cs="宋体"/>
                <w:b/>
                <w:bCs/>
                <w:color w:val="FF0000"/>
                <w:szCs w:val="21"/>
              </w:rPr>
              <w:t>同一人或直接控股、管理关系</w:t>
            </w:r>
            <w:r>
              <w:rPr>
                <w:rFonts w:hint="eastAsia" w:ascii="宋体" w:hAnsi="宋体" w:cs="宋体"/>
                <w:color w:val="FF0000"/>
                <w:szCs w:val="21"/>
              </w:rPr>
              <w:t>。</w:t>
            </w:r>
          </w:p>
        </w:tc>
      </w:tr>
      <w:tr w14:paraId="18D9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12FC869A">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3</w:t>
            </w:r>
          </w:p>
        </w:tc>
        <w:tc>
          <w:tcPr>
            <w:tcW w:w="7711" w:type="dxa"/>
            <w:tcBorders>
              <w:tl2br w:val="nil"/>
              <w:tr2bl w:val="nil"/>
            </w:tcBorders>
            <w:vAlign w:val="center"/>
          </w:tcPr>
          <w:p w14:paraId="7CC47C16">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与其他投标供应商的投标文件或部分投标文件</w:t>
            </w:r>
            <w:r>
              <w:rPr>
                <w:rFonts w:hint="eastAsia" w:ascii="宋体" w:hAnsi="宋体" w:cs="宋体"/>
                <w:b/>
                <w:bCs/>
                <w:color w:val="FF0000"/>
                <w:szCs w:val="21"/>
              </w:rPr>
              <w:t>相互混装或存在非正常一致</w:t>
            </w:r>
            <w:r>
              <w:rPr>
                <w:rFonts w:hint="eastAsia" w:ascii="宋体" w:hAnsi="宋体" w:cs="宋体"/>
                <w:color w:val="FF0000"/>
                <w:szCs w:val="21"/>
              </w:rPr>
              <w:t>。</w:t>
            </w:r>
          </w:p>
        </w:tc>
      </w:tr>
      <w:tr w14:paraId="47A7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11" w:type="dxa"/>
            <w:tcBorders>
              <w:tl2br w:val="nil"/>
              <w:tr2bl w:val="nil"/>
            </w:tcBorders>
            <w:vAlign w:val="center"/>
          </w:tcPr>
          <w:p w14:paraId="64D44B03">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4</w:t>
            </w:r>
          </w:p>
        </w:tc>
        <w:tc>
          <w:tcPr>
            <w:tcW w:w="7711" w:type="dxa"/>
            <w:tcBorders>
              <w:tl2br w:val="nil"/>
              <w:tr2bl w:val="nil"/>
            </w:tcBorders>
            <w:vAlign w:val="center"/>
          </w:tcPr>
          <w:p w14:paraId="3F4EA8A0">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与其他投标供应商的投标文件由</w:t>
            </w:r>
            <w:r>
              <w:rPr>
                <w:rFonts w:hint="eastAsia" w:ascii="宋体" w:hAnsi="宋体" w:cs="宋体"/>
                <w:b/>
                <w:bCs/>
                <w:color w:val="FF0000"/>
                <w:szCs w:val="21"/>
              </w:rPr>
              <w:t>同一单位或者同一人编制</w:t>
            </w:r>
            <w:r>
              <w:rPr>
                <w:rFonts w:hint="eastAsia" w:ascii="宋体" w:hAnsi="宋体" w:cs="宋体"/>
                <w:color w:val="FF0000"/>
                <w:szCs w:val="21"/>
              </w:rPr>
              <w:t>，或者使用</w:t>
            </w:r>
            <w:r>
              <w:rPr>
                <w:rFonts w:hint="eastAsia" w:ascii="宋体" w:hAnsi="宋体" w:cs="宋体"/>
                <w:b/>
                <w:bCs/>
                <w:color w:val="FF0000"/>
                <w:szCs w:val="21"/>
              </w:rPr>
              <w:t>同一设备编制</w:t>
            </w:r>
            <w:r>
              <w:rPr>
                <w:rFonts w:hint="eastAsia" w:ascii="宋体" w:hAnsi="宋体" w:cs="宋体"/>
                <w:color w:val="FF0000"/>
                <w:szCs w:val="21"/>
              </w:rPr>
              <w:t>（“文件制作机器码”“文件创建标识码”一致）。</w:t>
            </w:r>
          </w:p>
        </w:tc>
      </w:tr>
      <w:tr w14:paraId="1923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0FB98CDE">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5</w:t>
            </w:r>
          </w:p>
        </w:tc>
        <w:tc>
          <w:tcPr>
            <w:tcW w:w="7711" w:type="dxa"/>
            <w:tcBorders>
              <w:tl2br w:val="nil"/>
              <w:tr2bl w:val="nil"/>
            </w:tcBorders>
            <w:vAlign w:val="center"/>
          </w:tcPr>
          <w:p w14:paraId="5C5DE4E8">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提供</w:t>
            </w:r>
            <w:r>
              <w:rPr>
                <w:rFonts w:hint="eastAsia" w:ascii="宋体" w:hAnsi="宋体" w:cs="宋体"/>
                <w:b/>
                <w:bCs/>
                <w:color w:val="FF0000"/>
                <w:szCs w:val="21"/>
              </w:rPr>
              <w:t>未经出具机构核实</w:t>
            </w:r>
            <w:r>
              <w:rPr>
                <w:rFonts w:hint="eastAsia" w:ascii="宋体" w:hAnsi="宋体" w:cs="宋体"/>
                <w:color w:val="FF0000"/>
                <w:szCs w:val="21"/>
              </w:rPr>
              <w:t>的虚假的检验检测报告、业绩材料、社保缴纳证明、学历学位证书、职称认证证书等材料。</w:t>
            </w:r>
          </w:p>
        </w:tc>
      </w:tr>
      <w:tr w14:paraId="2A03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02986183">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6</w:t>
            </w:r>
          </w:p>
        </w:tc>
        <w:tc>
          <w:tcPr>
            <w:tcW w:w="7711" w:type="dxa"/>
            <w:tcBorders>
              <w:tl2br w:val="nil"/>
              <w:tr2bl w:val="nil"/>
            </w:tcBorders>
            <w:vAlign w:val="center"/>
          </w:tcPr>
          <w:p w14:paraId="2AE18DA5">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擅自将投标密钥或电子营业执照出借他人使用或未妥善保管。</w:t>
            </w:r>
          </w:p>
        </w:tc>
      </w:tr>
    </w:tbl>
    <w:p w14:paraId="6F3B78AC">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p>
    <w:p w14:paraId="57915A44">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7E40BF3C">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14:paraId="14F56D84">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14:paraId="2677193A">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14:paraId="420F895B">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14:paraId="6915463E">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14:paraId="70349EB9">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14:paraId="2DBA161F">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14:paraId="56EF60ED">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14:paraId="386650BF">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14:paraId="48347166">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二、《深圳经济特区政府采购条例实施细则》第七十五条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1EEF30DF">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三、《深圳经济特区政府采购条例实施细则》第七十七条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5932942E">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046B9942">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四、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2EE325B6">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5B2A7B73">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bCs/>
          <w:color w:val="FF0000"/>
          <w:sz w:val="20"/>
          <w:szCs w:val="20"/>
        </w:rPr>
        <w:t>，请各供应商独立编制、上传投标文件，妥善保管和使用电子秘钥。</w:t>
      </w:r>
    </w:p>
    <w:p w14:paraId="07CEDDCC">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五、请投标供应商阅读《政府采购违法行为风险知悉确认书》（内容详见“投标文件附件（信息不公开部分）”中节点“投标人认为需要加以说明的其他内容（格式自定）”），并经各投标供应商负责人签字并加盖单位公章后，扫描上传至投标文件一并提交。</w:t>
      </w:r>
    </w:p>
    <w:p w14:paraId="261F879E">
      <w:pPr>
        <w:pStyle w:val="493"/>
      </w:pPr>
    </w:p>
    <w:p w14:paraId="22A28E32">
      <w:pPr>
        <w:pStyle w:val="38"/>
        <w:widowControl/>
        <w:pBdr>
          <w:top w:val="none" w:color="auto" w:sz="0" w:space="1"/>
          <w:left w:val="none" w:color="auto" w:sz="0" w:space="4"/>
          <w:bottom w:val="none" w:color="auto" w:sz="0" w:space="1"/>
          <w:right w:val="none" w:color="auto" w:sz="0" w:space="4"/>
        </w:pBdr>
        <w:jc w:val="both"/>
        <w:outlineLvl w:val="1"/>
        <w:rPr>
          <w:b/>
          <w:color w:val="FF0000"/>
          <w:kern w:val="2"/>
          <w:sz w:val="21"/>
        </w:rPr>
      </w:pPr>
      <w:r>
        <w:rPr>
          <w:rFonts w:hint="eastAsia"/>
          <w:b/>
          <w:color w:val="FF0000"/>
          <w:kern w:val="2"/>
          <w:sz w:val="21"/>
        </w:rPr>
        <w:t>注：“特别警示条款”和《政府采购违法行为风险知悉确认书》用于对供应商违法行为的提醒，不作为供应商资格性审查及符合性审查条件。</w:t>
      </w:r>
    </w:p>
    <w:p w14:paraId="5135C6D1">
      <w:pPr>
        <w:rPr>
          <w:rFonts w:hint="eastAsia" w:ascii="黑体" w:hAnsi="宋体" w:eastAsia="黑体" w:cs="黑体"/>
          <w:sz w:val="40"/>
          <w:szCs w:val="40"/>
        </w:rPr>
      </w:pPr>
      <w:r>
        <w:rPr>
          <w:rFonts w:hint="eastAsia" w:ascii="黑体" w:hAnsi="宋体" w:eastAsia="黑体" w:cs="黑体"/>
          <w:sz w:val="40"/>
          <w:szCs w:val="40"/>
        </w:rPr>
        <w:br w:type="page"/>
      </w:r>
    </w:p>
    <w:p w14:paraId="171911AD">
      <w:pPr>
        <w:pStyle w:val="38"/>
        <w:widowControl/>
        <w:jc w:val="center"/>
        <w:outlineLvl w:val="1"/>
        <w:rPr>
          <w:rFonts w:hint="eastAsia" w:ascii="黑体" w:hAnsi="宋体" w:eastAsia="黑体" w:cs="黑体"/>
          <w:sz w:val="40"/>
          <w:szCs w:val="40"/>
        </w:rPr>
      </w:pPr>
    </w:p>
    <w:p w14:paraId="37C7D3D8">
      <w:pPr>
        <w:pStyle w:val="38"/>
        <w:widowControl/>
        <w:jc w:val="center"/>
        <w:outlineLvl w:val="1"/>
        <w:rPr>
          <w:rFonts w:hint="eastAsia" w:ascii="黑体" w:hAnsi="宋体" w:eastAsia="黑体" w:cs="黑体"/>
          <w:sz w:val="40"/>
          <w:szCs w:val="40"/>
        </w:rPr>
      </w:pPr>
      <w:r>
        <w:rPr>
          <w:rFonts w:hint="eastAsia" w:ascii="黑体" w:hAnsi="宋体" w:eastAsia="黑体" w:cs="黑体"/>
          <w:sz w:val="40"/>
          <w:szCs w:val="40"/>
        </w:rPr>
        <w:t>招标文件信息</w:t>
      </w:r>
    </w:p>
    <w:tbl>
      <w:tblPr>
        <w:tblStyle w:val="43"/>
        <w:tblW w:w="7943" w:type="dxa"/>
        <w:jc w:val="center"/>
        <w:tblCellSpacing w:w="0" w:type="dxa"/>
        <w:tblLayout w:type="fixed"/>
        <w:tblCellMar>
          <w:top w:w="45" w:type="dxa"/>
          <w:left w:w="45" w:type="dxa"/>
          <w:bottom w:w="45" w:type="dxa"/>
          <w:right w:w="45" w:type="dxa"/>
        </w:tblCellMar>
      </w:tblPr>
      <w:tblGrid>
        <w:gridCol w:w="2723"/>
        <w:gridCol w:w="5220"/>
      </w:tblGrid>
      <w:tr w14:paraId="43D557D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816CF94">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项目编号：</w:t>
            </w:r>
          </w:p>
        </w:tc>
        <w:tc>
          <w:tcPr>
            <w:tcW w:w="5220" w:type="dxa"/>
            <w:shd w:val="clear" w:color="auto" w:fill="auto"/>
            <w:vAlign w:val="center"/>
          </w:tcPr>
          <w:p w14:paraId="6E260687">
            <w:pPr>
              <w:keepNext w:val="0"/>
              <w:keepLines w:val="0"/>
              <w:widowControl/>
              <w:suppressLineNumbers w:val="0"/>
              <w:spacing w:before="0" w:beforeAutospacing="0" w:after="0" w:afterAutospacing="0"/>
              <w:ind w:left="0" w:right="0"/>
              <w:jc w:val="left"/>
              <w:rPr>
                <w:rFonts w:hint="default"/>
                <w:sz w:val="30"/>
                <w:szCs w:val="30"/>
              </w:rPr>
            </w:pPr>
          </w:p>
        </w:tc>
      </w:tr>
      <w:tr w14:paraId="079C3CA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A9885A3">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项目名称：</w:t>
            </w:r>
          </w:p>
        </w:tc>
        <w:tc>
          <w:tcPr>
            <w:tcW w:w="5220" w:type="dxa"/>
            <w:shd w:val="clear" w:color="auto" w:fill="auto"/>
            <w:vAlign w:val="center"/>
          </w:tcPr>
          <w:p w14:paraId="784B9B93">
            <w:pPr>
              <w:keepNext w:val="0"/>
              <w:keepLines w:val="0"/>
              <w:widowControl/>
              <w:suppressLineNumbers w:val="0"/>
              <w:spacing w:before="0" w:beforeAutospacing="0" w:after="0" w:afterAutospacing="0"/>
              <w:ind w:left="0" w:right="0"/>
              <w:jc w:val="left"/>
              <w:rPr>
                <w:rFonts w:hint="eastAsia" w:eastAsiaTheme="minorEastAsia"/>
                <w:sz w:val="30"/>
                <w:szCs w:val="30"/>
                <w:lang w:eastAsia="zh-CN"/>
              </w:rPr>
            </w:pPr>
            <w:r>
              <w:rPr>
                <w:rFonts w:hint="eastAsia" w:ascii="宋体" w:hAnsi="宋体" w:cs="宋体" w:eastAsiaTheme="minorEastAsia"/>
                <w:kern w:val="0"/>
                <w:sz w:val="30"/>
                <w:szCs w:val="30"/>
                <w:lang w:eastAsia="zh-CN" w:bidi="ar"/>
              </w:rPr>
              <w:t>深圳市第三人民医院供应室清洗消毒设备采购</w:t>
            </w:r>
          </w:p>
        </w:tc>
      </w:tr>
      <w:tr w14:paraId="3EC7085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FD0B6CE">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hint="default" w:ascii="宋体" w:hAnsi="宋体" w:cs="宋体"/>
                <w:kern w:val="0"/>
                <w:sz w:val="30"/>
                <w:szCs w:val="30"/>
                <w:lang w:bidi="ar"/>
              </w:rPr>
              <w:t>号：</w:t>
            </w:r>
          </w:p>
        </w:tc>
        <w:tc>
          <w:tcPr>
            <w:tcW w:w="5220" w:type="dxa"/>
            <w:shd w:val="clear" w:color="auto" w:fill="auto"/>
            <w:vAlign w:val="center"/>
          </w:tcPr>
          <w:p w14:paraId="5501BD46">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A</w:t>
            </w:r>
          </w:p>
        </w:tc>
      </w:tr>
      <w:tr w14:paraId="6156FAE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4989AC5">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项目类型：</w:t>
            </w:r>
          </w:p>
        </w:tc>
        <w:tc>
          <w:tcPr>
            <w:tcW w:w="5220" w:type="dxa"/>
            <w:shd w:val="clear" w:color="auto" w:fill="auto"/>
            <w:vAlign w:val="center"/>
          </w:tcPr>
          <w:p w14:paraId="1D76603E">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货物类</w:t>
            </w:r>
          </w:p>
        </w:tc>
      </w:tr>
      <w:tr w14:paraId="0D607FD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0E505C0">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采购方式：</w:t>
            </w:r>
          </w:p>
        </w:tc>
        <w:tc>
          <w:tcPr>
            <w:tcW w:w="5220" w:type="dxa"/>
            <w:shd w:val="clear" w:color="auto" w:fill="auto"/>
            <w:vAlign w:val="center"/>
          </w:tcPr>
          <w:p w14:paraId="4D1A84AB">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公开招标</w:t>
            </w:r>
          </w:p>
        </w:tc>
      </w:tr>
      <w:tr w14:paraId="2CF871D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A164921">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货币类型：</w:t>
            </w:r>
          </w:p>
        </w:tc>
        <w:tc>
          <w:tcPr>
            <w:tcW w:w="5220" w:type="dxa"/>
            <w:shd w:val="clear" w:color="auto" w:fill="auto"/>
            <w:vAlign w:val="center"/>
          </w:tcPr>
          <w:p w14:paraId="54005CE4">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人民币</w:t>
            </w:r>
          </w:p>
        </w:tc>
      </w:tr>
      <w:tr w14:paraId="64C30A2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2351FB9">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评标方法：</w:t>
            </w:r>
          </w:p>
        </w:tc>
        <w:tc>
          <w:tcPr>
            <w:tcW w:w="5220" w:type="dxa"/>
            <w:shd w:val="clear" w:color="auto" w:fill="auto"/>
            <w:vAlign w:val="center"/>
          </w:tcPr>
          <w:p w14:paraId="5B0EE063">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综合评分法</w:t>
            </w:r>
          </w:p>
        </w:tc>
      </w:tr>
      <w:bookmarkEnd w:id="0"/>
    </w:tbl>
    <w:p w14:paraId="296A8D35">
      <w:pPr>
        <w:pStyle w:val="38"/>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7B805D0">
      <w:pPr>
        <w:pStyle w:val="38"/>
        <w:widowControl/>
        <w:jc w:val="center"/>
        <w:outlineLvl w:val="1"/>
        <w:rPr>
          <w:rFonts w:hint="eastAsia" w:ascii="黑体" w:hAnsi="宋体" w:eastAsia="黑体" w:cs="黑体"/>
          <w:sz w:val="40"/>
          <w:szCs w:val="40"/>
        </w:rPr>
      </w:pPr>
      <w:r>
        <w:rPr>
          <w:rFonts w:hint="eastAsia" w:ascii="黑体" w:hAnsi="宋体" w:eastAsia="黑体" w:cs="黑体"/>
          <w:sz w:val="40"/>
          <w:szCs w:val="40"/>
        </w:rPr>
        <w:t>资格性审查表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3B9E24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9C3FB6A">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E90FF48">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361509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3CEF11AB">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85B246">
            <w:pPr>
              <w:keepNext w:val="0"/>
              <w:keepLines w:val="0"/>
              <w:widowControl/>
              <w:suppressLineNumbers w:val="0"/>
              <w:spacing w:before="0" w:beforeAutospacing="0" w:after="0" w:afterAutospacing="0"/>
              <w:ind w:left="0" w:right="0"/>
              <w:jc w:val="left"/>
              <w:textAlignment w:val="top"/>
              <w:rPr>
                <w:rFonts w:hint="default"/>
                <w:szCs w:val="21"/>
              </w:rPr>
            </w:pPr>
            <w:r>
              <w:rPr>
                <w:rFonts w:hint="default" w:ascii="宋体" w:hAnsi="宋体" w:cs="宋体"/>
                <w:kern w:val="0"/>
                <w:szCs w:val="21"/>
                <w:lang w:bidi="ar"/>
              </w:rPr>
              <w:t>投标人不</w:t>
            </w:r>
            <w:r>
              <w:rPr>
                <w:rFonts w:hint="eastAsia" w:ascii="宋体" w:hAnsi="宋体" w:cs="宋体"/>
                <w:kern w:val="0"/>
                <w:szCs w:val="21"/>
                <w:lang w:bidi="ar"/>
              </w:rPr>
              <w:t>符合</w:t>
            </w:r>
            <w:r>
              <w:rPr>
                <w:rFonts w:hint="default"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hint="default" w:ascii="宋体" w:hAnsi="宋体" w:cs="宋体"/>
                <w:kern w:val="0"/>
                <w:szCs w:val="21"/>
                <w:lang w:bidi="ar"/>
              </w:rPr>
              <w:t>）</w:t>
            </w:r>
          </w:p>
        </w:tc>
      </w:tr>
    </w:tbl>
    <w:p w14:paraId="601AB783">
      <w:pPr>
        <w:pStyle w:val="38"/>
        <w:widowControl/>
        <w:spacing w:before="280" w:beforeAutospacing="0"/>
        <w:jc w:val="center"/>
        <w:outlineLvl w:val="1"/>
        <w:rPr>
          <w:rFonts w:hint="eastAsia" w:ascii="黑体" w:hAnsi="宋体" w:eastAsia="黑体" w:cs="黑体"/>
          <w:sz w:val="40"/>
          <w:szCs w:val="40"/>
        </w:rPr>
      </w:pPr>
      <w:r>
        <w:rPr>
          <w:rFonts w:hint="eastAsia" w:ascii="黑体" w:hAnsi="宋体" w:eastAsia="黑体" w:cs="黑体"/>
          <w:sz w:val="40"/>
          <w:szCs w:val="40"/>
        </w:rPr>
        <w:t>符合性审查表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5739A5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BFEFD05">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03DA042">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3E0A68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994D55">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938AB24">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不得将一个包的内容拆开投标；</w:t>
            </w:r>
          </w:p>
        </w:tc>
      </w:tr>
      <w:tr w14:paraId="564894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4BA054">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0527468">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对同一项目投标时，不得提供两套以上的投标方案（招标文件另有规定的除外）；</w:t>
            </w:r>
          </w:p>
        </w:tc>
      </w:tr>
      <w:tr w14:paraId="1456F9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87CA1B">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96149BF">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14:paraId="1DEB25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A8F125">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7381785">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62BE31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0C8310">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0CEBC8">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2AB9FC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8C062A">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7D53E0A">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未按招标文件所提供的样式填写《投标函》；未按招标文件所提供的《政府采购投标及履约承诺函》进行承诺；未按招标文件对投标文件组成的要求提供投标文件；</w:t>
            </w:r>
          </w:p>
        </w:tc>
      </w:tr>
      <w:tr w14:paraId="2AFFCE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09053A">
            <w:pPr>
              <w:keepNext w:val="0"/>
              <w:keepLines w:val="0"/>
              <w:widowControl/>
              <w:suppressLineNumbers w:val="0"/>
              <w:spacing w:before="0" w:beforeAutospacing="0" w:after="0" w:afterAutospacing="0"/>
              <w:ind w:left="0" w:right="0"/>
              <w:jc w:val="center"/>
              <w:textAlignment w:val="top"/>
              <w:rPr>
                <w:rFonts w:hint="default"/>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11A5A1C">
            <w:pPr>
              <w:keepNext w:val="0"/>
              <w:keepLines w:val="0"/>
              <w:widowControl/>
              <w:suppressLineNumbers w:val="0"/>
              <w:spacing w:before="0" w:beforeAutospacing="0" w:after="0" w:afterAutospacing="0"/>
              <w:ind w:left="0" w:right="0"/>
              <w:jc w:val="left"/>
              <w:textAlignment w:val="top"/>
              <w:rPr>
                <w:rFonts w:hint="default"/>
              </w:rPr>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14:paraId="0C5FE6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9ECE71">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1628A4A">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投标文件存在列放位置错误，导致属于信息公开情形的没有被公开；</w:t>
            </w:r>
          </w:p>
        </w:tc>
      </w:tr>
      <w:tr w14:paraId="0F7E68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09E1F5">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42E4E4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投标文件电子文档不得带病毒；</w:t>
            </w:r>
          </w:p>
        </w:tc>
      </w:tr>
      <w:tr w14:paraId="0A38D0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769ECF">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4B7620A">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投标文件用不属于本公司的电子密钥或电子营业执照进行加密的；</w:t>
            </w:r>
          </w:p>
        </w:tc>
      </w:tr>
      <w:tr w14:paraId="58B8E6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9FF727">
            <w:pPr>
              <w:keepNext w:val="0"/>
              <w:keepLines w:val="0"/>
              <w:widowControl/>
              <w:suppressLineNumbers w:val="0"/>
              <w:spacing w:before="0" w:beforeAutospacing="0" w:after="0" w:afterAutospacing="0"/>
              <w:ind w:left="0" w:right="0"/>
              <w:jc w:val="center"/>
              <w:textAlignment w:val="top"/>
              <w:rPr>
                <w:rFonts w:hint="default"/>
              </w:rPr>
            </w:pPr>
            <w:r>
              <w:rPr>
                <w:rFonts w:hint="eastAsia"/>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3D9770C">
            <w:pPr>
              <w:keepNext w:val="0"/>
              <w:keepLines w:val="0"/>
              <w:widowControl/>
              <w:suppressLineNumbers w:val="0"/>
              <w:spacing w:before="0" w:beforeAutospacing="0" w:after="0" w:afterAutospacing="0"/>
              <w:ind w:left="0" w:right="0"/>
              <w:jc w:val="left"/>
              <w:textAlignment w:val="top"/>
              <w:rPr>
                <w:rFonts w:hint="default"/>
                <w:color w:val="FF0000"/>
              </w:rPr>
            </w:pPr>
            <w:r>
              <w:rPr>
                <w:rFonts w:hint="eastAsia"/>
                <w:color w:val="FF0000"/>
              </w:rPr>
              <w:t>不同投标供应商投标文件“文件制作机器码”一致；</w:t>
            </w:r>
          </w:p>
        </w:tc>
      </w:tr>
      <w:tr w14:paraId="5922D6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5F0ACB">
            <w:pPr>
              <w:keepNext w:val="0"/>
              <w:keepLines w:val="0"/>
              <w:widowControl/>
              <w:suppressLineNumbers w:val="0"/>
              <w:spacing w:before="0" w:beforeAutospacing="0" w:after="0" w:afterAutospacing="0"/>
              <w:ind w:left="0" w:right="0"/>
              <w:jc w:val="center"/>
              <w:textAlignment w:val="top"/>
              <w:rPr>
                <w:rFonts w:hint="default"/>
              </w:rPr>
            </w:pPr>
            <w:r>
              <w:rPr>
                <w:rFonts w:hint="eastAsia"/>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2DE7D0">
            <w:pPr>
              <w:keepNext w:val="0"/>
              <w:keepLines w:val="0"/>
              <w:widowControl/>
              <w:suppressLineNumbers w:val="0"/>
              <w:spacing w:before="0" w:beforeAutospacing="0" w:after="0" w:afterAutospacing="0"/>
              <w:ind w:left="0" w:right="0"/>
              <w:jc w:val="left"/>
              <w:textAlignment w:val="top"/>
              <w:rPr>
                <w:rFonts w:hint="default"/>
                <w:color w:val="FF0000"/>
              </w:rPr>
            </w:pPr>
            <w:r>
              <w:rPr>
                <w:rFonts w:hint="eastAsia"/>
                <w:color w:val="FF0000"/>
              </w:rPr>
              <w:t>不同投标供应商投标文件“文件创建标识码”一致；</w:t>
            </w:r>
          </w:p>
        </w:tc>
      </w:tr>
      <w:tr w14:paraId="72560C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965D52">
            <w:pPr>
              <w:keepNext w:val="0"/>
              <w:keepLines w:val="0"/>
              <w:widowControl/>
              <w:suppressLineNumbers w:val="0"/>
              <w:spacing w:before="0" w:beforeAutospacing="0" w:after="0" w:afterAutospacing="0"/>
              <w:ind w:left="0" w:right="0"/>
              <w:jc w:val="center"/>
              <w:textAlignment w:val="top"/>
              <w:rPr>
                <w:rFonts w:hint="default"/>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86ED9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法律、法规、规章、规范性文件规定的其他情形。</w:t>
            </w:r>
          </w:p>
        </w:tc>
      </w:tr>
    </w:tbl>
    <w:p w14:paraId="6A2994DC">
      <w:pPr>
        <w:pStyle w:val="38"/>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5840B588">
      <w:pPr>
        <w:pStyle w:val="38"/>
        <w:widowControl/>
        <w:jc w:val="center"/>
        <w:outlineLvl w:val="1"/>
        <w:rPr>
          <w:rFonts w:hint="eastAsia" w:ascii="黑体" w:hAnsi="宋体" w:eastAsia="黑体" w:cs="黑体"/>
          <w:sz w:val="40"/>
          <w:szCs w:val="40"/>
        </w:rPr>
      </w:pPr>
      <w:r>
        <w:rPr>
          <w:rFonts w:hint="eastAsia" w:ascii="黑体" w:hAnsi="宋体" w:eastAsia="黑体" w:cs="黑体"/>
          <w:sz w:val="40"/>
          <w:szCs w:val="40"/>
        </w:rPr>
        <w:t>评标信息</w:t>
      </w:r>
    </w:p>
    <w:tbl>
      <w:tblPr>
        <w:tblStyle w:val="43"/>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9141"/>
      </w:tblGrid>
      <w:tr w14:paraId="7F377B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078" w:type="dxa"/>
            <w:shd w:val="clear" w:color="auto" w:fill="auto"/>
            <w:vAlign w:val="center"/>
          </w:tcPr>
          <w:p w14:paraId="4580F4AD">
            <w:pPr>
              <w:keepNext w:val="0"/>
              <w:keepLines w:val="0"/>
              <w:suppressLineNumbers w:val="0"/>
              <w:spacing w:before="0" w:beforeAutospacing="0" w:after="0" w:afterAutospacing="0"/>
              <w:ind w:left="0" w:right="0"/>
              <w:jc w:val="left"/>
              <w:rPr>
                <w:rFonts w:hint="default" w:ascii="宋体"/>
                <w:b/>
                <w:bCs/>
                <w:sz w:val="24"/>
              </w:rPr>
            </w:pPr>
            <w:r>
              <w:rPr>
                <w:rFonts w:hint="default"/>
                <w:b/>
                <w:bCs/>
              </w:rPr>
              <w:t>评标方法：综合评分法</w:t>
            </w:r>
          </w:p>
        </w:tc>
      </w:tr>
      <w:tr w14:paraId="1B1F1B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078" w:type="dxa"/>
            <w:shd w:val="clear" w:color="auto" w:fill="auto"/>
            <w:vAlign w:val="center"/>
          </w:tcPr>
          <w:p w14:paraId="0E8E5663">
            <w:pPr>
              <w:keepNext w:val="0"/>
              <w:keepLines w:val="0"/>
              <w:suppressLineNumbers w:val="0"/>
              <w:spacing w:before="0" w:beforeAutospacing="0" w:after="0" w:afterAutospacing="0"/>
              <w:ind w:left="0" w:right="0" w:firstLine="420"/>
              <w:rPr>
                <w:rFonts w:hint="default"/>
              </w:rPr>
            </w:pPr>
            <w:r>
              <w:rPr>
                <w:rFonts w:hint="eastAsia"/>
              </w:rPr>
              <w:t>综合评分法，是指投标文件满足招标文件全部实质性要求，且按照评审因素的量化指标评审得分排名前列的投标人为中标候选人的评标方法。</w:t>
            </w:r>
          </w:p>
          <w:p w14:paraId="0594BC5B">
            <w:pPr>
              <w:keepNext w:val="0"/>
              <w:keepLines w:val="0"/>
              <w:suppressLineNumbers w:val="0"/>
              <w:spacing w:before="0" w:beforeAutospacing="0" w:after="0" w:afterAutospacing="0"/>
              <w:ind w:left="0" w:right="0" w:firstLine="420"/>
              <w:rPr>
                <w:rFonts w:hint="default"/>
                <w:szCs w:val="21"/>
              </w:rPr>
            </w:pPr>
          </w:p>
          <w:p w14:paraId="360A9EDD">
            <w:pPr>
              <w:keepNext w:val="0"/>
              <w:keepLines w:val="0"/>
              <w:suppressLineNumbers w:val="0"/>
              <w:spacing w:before="0" w:beforeAutospacing="0" w:after="0" w:afterAutospacing="0"/>
              <w:ind w:left="0" w:right="0" w:firstLine="420"/>
              <w:rPr>
                <w:rFonts w:hint="default"/>
                <w:szCs w:val="21"/>
              </w:rPr>
            </w:pPr>
            <w:r>
              <w:rPr>
                <w:rFonts w:hint="default"/>
                <w:szCs w:val="21"/>
              </w:rPr>
              <w:t>价格分计算方法：</w:t>
            </w:r>
          </w:p>
          <w:p w14:paraId="507D59C7">
            <w:pPr>
              <w:pStyle w:val="38"/>
              <w:keepNext w:val="0"/>
              <w:keepLines w:val="0"/>
              <w:widowControl/>
              <w:suppressLineNumbers w:val="0"/>
              <w:spacing w:before="0" w:beforeAutospacing="0" w:after="0" w:afterAutospacing="0"/>
              <w:ind w:left="420" w:right="0"/>
              <w:rPr>
                <w:rFonts w:hint="default"/>
                <w:kern w:val="2"/>
                <w:sz w:val="21"/>
                <w:szCs w:val="21"/>
              </w:rPr>
            </w:pPr>
            <w:r>
              <w:rPr>
                <w:rFonts w:hint="default"/>
                <w:kern w:val="2"/>
                <w:sz w:val="21"/>
                <w:szCs w:val="21"/>
              </w:rPr>
              <w:t xml:space="preserve">采用低价优先法计算，即满足招标文件要求且投标价格最低的投标报价为评标基准价，其价格分为满分。其他投标人的价格分统一按照下列公式计算： </w:t>
            </w:r>
            <w:r>
              <w:rPr>
                <w:rFonts w:hint="default"/>
                <w:kern w:val="2"/>
                <w:sz w:val="21"/>
                <w:szCs w:val="21"/>
              </w:rPr>
              <w:br w:type="textWrapping"/>
            </w:r>
            <w:r>
              <w:rPr>
                <w:rFonts w:hint="default"/>
                <w:kern w:val="2"/>
                <w:sz w:val="21"/>
                <w:szCs w:val="21"/>
              </w:rPr>
              <w:t xml:space="preserve">投标报价得分=(评标基准价／投标报价)×100 </w:t>
            </w:r>
            <w:r>
              <w:rPr>
                <w:rFonts w:hint="default"/>
                <w:kern w:val="2"/>
                <w:sz w:val="21"/>
                <w:szCs w:val="21"/>
              </w:rPr>
              <w:br w:type="textWrapping"/>
            </w:r>
            <w:r>
              <w:rPr>
                <w:rFonts w:hint="default"/>
                <w:kern w:val="2"/>
                <w:sz w:val="21"/>
                <w:szCs w:val="21"/>
              </w:rPr>
              <w:t xml:space="preserve">评标总得分＝F1×A1＋F2×A2＋……＋Fn×An </w:t>
            </w:r>
            <w:r>
              <w:rPr>
                <w:rFonts w:hint="default"/>
                <w:kern w:val="2"/>
                <w:sz w:val="21"/>
                <w:szCs w:val="21"/>
              </w:rPr>
              <w:br w:type="textWrapping"/>
            </w:r>
            <w:r>
              <w:rPr>
                <w:rFonts w:hint="default"/>
                <w:kern w:val="2"/>
                <w:sz w:val="21"/>
                <w:szCs w:val="21"/>
              </w:rPr>
              <w:t xml:space="preserve">F1、F2……Fn分别为各项评审因素的得分； </w:t>
            </w:r>
            <w:r>
              <w:rPr>
                <w:rFonts w:hint="default"/>
                <w:kern w:val="2"/>
                <w:sz w:val="21"/>
                <w:szCs w:val="21"/>
              </w:rPr>
              <w:br w:type="textWrapping"/>
            </w:r>
            <w:r>
              <w:rPr>
                <w:rFonts w:hint="default"/>
                <w:kern w:val="2"/>
                <w:sz w:val="21"/>
                <w:szCs w:val="21"/>
              </w:rPr>
              <w:t xml:space="preserve">A1、A2、……An 分别为各项评审因素所占的权重(A1＋A2＋……＋An＝1)。 </w:t>
            </w:r>
            <w:r>
              <w:rPr>
                <w:rFonts w:hint="default"/>
                <w:kern w:val="2"/>
                <w:sz w:val="21"/>
                <w:szCs w:val="21"/>
              </w:rPr>
              <w:br w:type="textWrapping"/>
            </w:r>
            <w:r>
              <w:rPr>
                <w:rFonts w:hint="default"/>
                <w:kern w:val="2"/>
                <w:sz w:val="21"/>
                <w:szCs w:val="21"/>
              </w:rPr>
              <w:t>评标过程中，不得去掉报价中的最高报价和最低报价。</w:t>
            </w:r>
          </w:p>
          <w:p w14:paraId="73EA0ACB">
            <w:pPr>
              <w:pStyle w:val="38"/>
              <w:keepNext w:val="0"/>
              <w:keepLines w:val="0"/>
              <w:widowControl/>
              <w:suppressLineNumbers w:val="0"/>
              <w:spacing w:before="0" w:beforeAutospacing="0" w:after="0" w:afterAutospacing="0"/>
              <w:ind w:left="420" w:right="0"/>
              <w:rPr>
                <w:rFonts w:hint="default"/>
                <w:kern w:val="2"/>
                <w:sz w:val="21"/>
                <w:szCs w:val="21"/>
              </w:rPr>
            </w:pPr>
            <w:r>
              <w:rPr>
                <w:rFonts w:hint="eastAsia"/>
                <w:kern w:val="2"/>
                <w:sz w:val="21"/>
                <w:szCs w:val="21"/>
              </w:rPr>
              <w:t>因落实政府采购政策进行价格调整的，以调整后的价格计算评标基准价和投标报价。</w:t>
            </w:r>
          </w:p>
          <w:p w14:paraId="74AD1656">
            <w:pPr>
              <w:pStyle w:val="38"/>
              <w:keepNext w:val="0"/>
              <w:keepLines w:val="0"/>
              <w:widowControl/>
              <w:suppressLineNumbers w:val="0"/>
              <w:spacing w:before="0" w:beforeAutospacing="0" w:after="0" w:afterAutospacing="0"/>
              <w:ind w:left="420" w:right="0"/>
              <w:rPr>
                <w:rFonts w:hint="default"/>
              </w:rPr>
            </w:pPr>
          </w:p>
          <w:p w14:paraId="2F3EE68A">
            <w:pPr>
              <w:pStyle w:val="38"/>
              <w:keepNext w:val="0"/>
              <w:keepLines w:val="0"/>
              <w:widowControl/>
              <w:suppressLineNumbers w:val="0"/>
              <w:spacing w:before="0" w:beforeAutospacing="0" w:after="0" w:afterAutospacing="0"/>
              <w:ind w:left="420" w:right="0"/>
              <w:rPr>
                <w:rFonts w:hint="default"/>
              </w:rPr>
            </w:pPr>
            <w:r>
              <w:rPr>
                <w:rFonts w:hint="eastAsia"/>
                <w:b/>
                <w:bCs/>
              </w:rPr>
              <w:t>注：投标人的“投标技术响应”“技术要求偏离表中偏离情况”等必须与客观实际保持一致，响应不实且情节严重的，经查实，将依法记入供应商诚信档案或受到行政处罚。</w:t>
            </w:r>
          </w:p>
        </w:tc>
      </w:tr>
    </w:tbl>
    <w:p w14:paraId="1369B9D2">
      <w:pPr>
        <w:rPr>
          <w:vanish/>
          <w:sz w:val="24"/>
          <w:highlight w:val="yellow"/>
        </w:rPr>
      </w:pPr>
    </w:p>
    <w:p w14:paraId="5A0A6A81">
      <w:pPr>
        <w:pStyle w:val="36"/>
      </w:pPr>
    </w:p>
    <w:tbl>
      <w:tblPr>
        <w:tblStyle w:val="43"/>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05"/>
        <w:gridCol w:w="1762"/>
        <w:gridCol w:w="851"/>
        <w:gridCol w:w="4552"/>
        <w:gridCol w:w="6"/>
      </w:tblGrid>
      <w:tr w14:paraId="07E9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5CA4C010">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3118" w:type="dxa"/>
            <w:gridSpan w:val="3"/>
            <w:vAlign w:val="center"/>
          </w:tcPr>
          <w:p w14:paraId="3769008D">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评分项</w:t>
            </w:r>
          </w:p>
        </w:tc>
        <w:tc>
          <w:tcPr>
            <w:tcW w:w="4558" w:type="dxa"/>
            <w:gridSpan w:val="2"/>
            <w:vAlign w:val="center"/>
          </w:tcPr>
          <w:p w14:paraId="5246F9C9">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权重</w:t>
            </w:r>
          </w:p>
        </w:tc>
      </w:tr>
      <w:tr w14:paraId="0F87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252D744C">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3118" w:type="dxa"/>
            <w:gridSpan w:val="3"/>
            <w:vAlign w:val="center"/>
          </w:tcPr>
          <w:p w14:paraId="5BD34F77">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价格</w:t>
            </w:r>
          </w:p>
        </w:tc>
        <w:tc>
          <w:tcPr>
            <w:tcW w:w="4558" w:type="dxa"/>
            <w:gridSpan w:val="2"/>
            <w:vAlign w:val="center"/>
          </w:tcPr>
          <w:p w14:paraId="549C697D">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30</w:t>
            </w:r>
          </w:p>
        </w:tc>
      </w:tr>
      <w:tr w14:paraId="43EF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63ADCA2E">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3118" w:type="dxa"/>
            <w:gridSpan w:val="3"/>
            <w:vAlign w:val="center"/>
          </w:tcPr>
          <w:p w14:paraId="1D323A07">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技术部分</w:t>
            </w:r>
          </w:p>
        </w:tc>
        <w:tc>
          <w:tcPr>
            <w:tcW w:w="4558" w:type="dxa"/>
            <w:gridSpan w:val="2"/>
            <w:vAlign w:val="center"/>
          </w:tcPr>
          <w:p w14:paraId="2AE8E6ED">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55</w:t>
            </w:r>
          </w:p>
        </w:tc>
      </w:tr>
      <w:tr w14:paraId="31FB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restart"/>
            <w:vAlign w:val="center"/>
          </w:tcPr>
          <w:p w14:paraId="63278B4B">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p>
        </w:tc>
        <w:tc>
          <w:tcPr>
            <w:tcW w:w="505" w:type="dxa"/>
            <w:vAlign w:val="center"/>
          </w:tcPr>
          <w:p w14:paraId="7F17A644">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62" w:type="dxa"/>
            <w:vAlign w:val="center"/>
          </w:tcPr>
          <w:p w14:paraId="49527FBB">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51" w:type="dxa"/>
            <w:vAlign w:val="center"/>
          </w:tcPr>
          <w:p w14:paraId="7CFAFAAD">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权重（%）</w:t>
            </w:r>
          </w:p>
        </w:tc>
        <w:tc>
          <w:tcPr>
            <w:tcW w:w="4558" w:type="dxa"/>
            <w:gridSpan w:val="2"/>
            <w:vAlign w:val="center"/>
          </w:tcPr>
          <w:p w14:paraId="436FC592">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720D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0E44E350">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03D13448">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62" w:type="dxa"/>
            <w:vAlign w:val="center"/>
          </w:tcPr>
          <w:p w14:paraId="0BCF54D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技术规格偏离情况</w:t>
            </w:r>
          </w:p>
        </w:tc>
        <w:tc>
          <w:tcPr>
            <w:tcW w:w="851" w:type="dxa"/>
            <w:vAlign w:val="center"/>
          </w:tcPr>
          <w:p w14:paraId="2BF5CBA4">
            <w:pPr>
              <w:keepNext w:val="0"/>
              <w:keepLines w:val="0"/>
              <w:suppressLineNumbers w:val="0"/>
              <w:spacing w:before="0" w:beforeAutospacing="0" w:after="0" w:afterAutospacing="0"/>
              <w:ind w:left="-78" w:leftChars="-37" w:right="-73" w:rightChars="-35"/>
              <w:jc w:val="center"/>
              <w:rPr>
                <w:rFonts w:hint="default"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55</w:t>
            </w:r>
          </w:p>
        </w:tc>
        <w:tc>
          <w:tcPr>
            <w:tcW w:w="4558" w:type="dxa"/>
            <w:gridSpan w:val="2"/>
            <w:vAlign w:val="center"/>
          </w:tcPr>
          <w:p w14:paraId="5054ADB2">
            <w:pPr>
              <w:pStyle w:val="498"/>
              <w:keepNext w:val="0"/>
              <w:keepLines w:val="0"/>
              <w:suppressLineNumbers w:val="0"/>
              <w:spacing w:beforeAutospacing="0" w:afterAutospacing="0"/>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kern w:val="0"/>
                <w:sz w:val="21"/>
                <w:szCs w:val="21"/>
                <w:highlight w:val="none"/>
                <w:lang w:eastAsia="zh-CN"/>
              </w:rPr>
              <w:t>评分内容</w:t>
            </w:r>
            <w:r>
              <w:rPr>
                <w:rFonts w:hint="eastAsia" w:ascii="宋体" w:hAnsi="宋体" w:eastAsia="宋体" w:cs="宋体"/>
                <w:kern w:val="0"/>
                <w:sz w:val="21"/>
                <w:szCs w:val="21"/>
                <w:highlight w:val="none"/>
              </w:rPr>
              <w:t>：投标人应如实填写《技术要求偏离表》，评审委员会根据技术需求参数响应情况进行打分，各项技术参数指标及要求全部满足的得100分，所有标注“▲”的重要参数每项负偏离一扣</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分，一般参数每负偏离一条扣</w:t>
            </w:r>
            <w:r>
              <w:rPr>
                <w:rFonts w:hint="eastAsia" w:ascii="宋体" w:hAnsi="宋体" w:eastAsia="宋体" w:cs="宋体"/>
                <w:kern w:val="0"/>
                <w:sz w:val="21"/>
                <w:szCs w:val="21"/>
                <w:highlight w:val="none"/>
                <w:lang w:val="en-US" w:eastAsia="zh-CN"/>
              </w:rPr>
              <w:t>0.4</w:t>
            </w:r>
            <w:r>
              <w:rPr>
                <w:rFonts w:hint="eastAsia" w:ascii="宋体" w:hAnsi="宋体" w:eastAsia="宋体" w:cs="宋体"/>
                <w:kern w:val="0"/>
                <w:sz w:val="21"/>
                <w:szCs w:val="21"/>
                <w:highlight w:val="none"/>
              </w:rPr>
              <w:t>分，扣完为止。</w:t>
            </w:r>
            <w:r>
              <w:rPr>
                <w:rFonts w:hint="eastAsia" w:ascii="宋体" w:hAnsi="宋体" w:eastAsia="宋体" w:cs="宋体"/>
                <w:sz w:val="21"/>
                <w:szCs w:val="21"/>
                <w:highlight w:val="none"/>
              </w:rPr>
              <w:t>如技术要求中载明提供证明材料的，需提供对应的证明材料</w:t>
            </w:r>
            <w:r>
              <w:rPr>
                <w:rFonts w:hint="eastAsia" w:ascii="宋体" w:hAnsi="宋体" w:eastAsia="宋体" w:cs="宋体"/>
                <w:sz w:val="21"/>
                <w:szCs w:val="21"/>
                <w:highlight w:val="none"/>
                <w:lang w:eastAsia="zh-CN"/>
              </w:rPr>
              <w:t>，</w:t>
            </w:r>
            <w:r>
              <w:rPr>
                <w:rFonts w:hint="eastAsia" w:hAnsi="宋体" w:cs="宋体"/>
                <w:sz w:val="21"/>
                <w:szCs w:val="21"/>
                <w:highlight w:val="none"/>
                <w:lang w:val="en-US" w:eastAsia="zh-CN"/>
              </w:rPr>
              <w:t>未提供有效证明材料的视为负偏离。证明材料是否有效由评审委员会根据招标文件要求判定。</w:t>
            </w:r>
          </w:p>
        </w:tc>
      </w:tr>
      <w:tr w14:paraId="709E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7CBB55DB">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3118" w:type="dxa"/>
            <w:gridSpan w:val="3"/>
            <w:vAlign w:val="center"/>
          </w:tcPr>
          <w:p w14:paraId="39D99EFB">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商务需求</w:t>
            </w:r>
          </w:p>
        </w:tc>
        <w:tc>
          <w:tcPr>
            <w:tcW w:w="4558" w:type="dxa"/>
            <w:gridSpan w:val="2"/>
            <w:vAlign w:val="center"/>
          </w:tcPr>
          <w:p w14:paraId="6CB4D6BA">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12</w:t>
            </w:r>
          </w:p>
        </w:tc>
      </w:tr>
      <w:tr w14:paraId="0443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restart"/>
            <w:vAlign w:val="center"/>
          </w:tcPr>
          <w:p w14:paraId="0D62C5EC">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214FAB81">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762" w:type="dxa"/>
            <w:vAlign w:val="center"/>
          </w:tcPr>
          <w:p w14:paraId="08733342">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评分因素</w:t>
            </w:r>
          </w:p>
        </w:tc>
        <w:tc>
          <w:tcPr>
            <w:tcW w:w="851" w:type="dxa"/>
            <w:vAlign w:val="center"/>
          </w:tcPr>
          <w:p w14:paraId="468211B7">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权重（%）</w:t>
            </w:r>
          </w:p>
        </w:tc>
        <w:tc>
          <w:tcPr>
            <w:tcW w:w="4558" w:type="dxa"/>
            <w:gridSpan w:val="2"/>
            <w:vAlign w:val="center"/>
          </w:tcPr>
          <w:p w14:paraId="06EE6FCD">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评分准则</w:t>
            </w:r>
          </w:p>
        </w:tc>
      </w:tr>
      <w:tr w14:paraId="0435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37713165">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0C80D2AD">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762" w:type="dxa"/>
            <w:vAlign w:val="center"/>
          </w:tcPr>
          <w:p w14:paraId="451EE84D">
            <w:pPr>
              <w:keepNext w:val="0"/>
              <w:keepLines w:val="0"/>
              <w:suppressLineNumbers w:val="0"/>
              <w:wordWrap w:val="0"/>
              <w:spacing w:before="0" w:beforeAutospacing="0" w:after="0" w:afterAutospacing="0"/>
              <w:ind w:left="0" w:right="0"/>
              <w:jc w:val="center"/>
              <w:textAlignment w:val="top"/>
              <w:rPr>
                <w:rFonts w:hint="eastAsia" w:ascii="宋体" w:hAnsi="宋体" w:eastAsia="宋体" w:cs="宋体"/>
                <w:color w:val="auto"/>
                <w:sz w:val="21"/>
                <w:szCs w:val="21"/>
              </w:rPr>
            </w:pPr>
            <w:r>
              <w:rPr>
                <w:rFonts w:hint="eastAsia" w:ascii="宋体" w:hAnsi="宋体" w:eastAsia="宋体" w:cs="宋体"/>
                <w:color w:val="auto"/>
                <w:sz w:val="21"/>
                <w:szCs w:val="21"/>
              </w:rPr>
              <w:t>商务条款偏离情况</w:t>
            </w:r>
          </w:p>
        </w:tc>
        <w:tc>
          <w:tcPr>
            <w:tcW w:w="851" w:type="dxa"/>
            <w:vAlign w:val="center"/>
          </w:tcPr>
          <w:p w14:paraId="4DC2A751">
            <w:pPr>
              <w:keepNext w:val="0"/>
              <w:keepLines w:val="0"/>
              <w:suppressLineNumbers w:val="0"/>
              <w:spacing w:before="0" w:beforeAutospacing="0" w:after="0" w:afterAutospacing="0"/>
              <w:ind w:left="-78" w:leftChars="-37" w:right="-73" w:rightChars="-35"/>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4558" w:type="dxa"/>
            <w:gridSpan w:val="2"/>
            <w:vAlign w:val="center"/>
          </w:tcPr>
          <w:p w14:paraId="63CB5FF6">
            <w:pPr>
              <w:keepNext w:val="0"/>
              <w:keepLines w:val="0"/>
              <w:suppressLineNumbers w:val="0"/>
              <w:autoSpaceDE w:val="0"/>
              <w:autoSpaceDN w:val="0"/>
              <w:adjustRightInd w:val="0"/>
              <w:snapToGrid/>
              <w:spacing w:before="0" w:beforeAutospacing="0" w:after="0" w:afterAutospacing="0" w:line="360" w:lineRule="exact"/>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投标人应如实填写《商务</w:t>
            </w:r>
            <w:r>
              <w:rPr>
                <w:rFonts w:hint="eastAsia" w:ascii="宋体" w:hAnsi="宋体" w:eastAsia="宋体" w:cs="宋体"/>
                <w:color w:val="auto"/>
                <w:sz w:val="21"/>
                <w:szCs w:val="21"/>
                <w:lang w:val="en-US" w:eastAsia="zh-CN"/>
              </w:rPr>
              <w:t>要求</w:t>
            </w:r>
            <w:r>
              <w:rPr>
                <w:rFonts w:hint="eastAsia" w:ascii="宋体" w:hAnsi="宋体" w:eastAsia="宋体" w:cs="宋体"/>
                <w:color w:val="auto"/>
                <w:sz w:val="21"/>
                <w:szCs w:val="21"/>
              </w:rPr>
              <w:t>偏离表》，评审委员会根据响应情况进行打分: 全部满足得</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分，每负偏离一项扣</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分</w:t>
            </w:r>
            <w:r>
              <w:rPr>
                <w:rFonts w:hint="eastAsia" w:ascii="宋体" w:hAnsi="宋体" w:cs="宋体"/>
                <w:color w:val="auto"/>
                <w:sz w:val="21"/>
                <w:szCs w:val="21"/>
                <w:lang w:eastAsia="zh-CN"/>
              </w:rPr>
              <w:t>，</w:t>
            </w:r>
            <w:r>
              <w:rPr>
                <w:rFonts w:hint="eastAsia"/>
                <w:lang w:val="en-US" w:eastAsia="zh-CN"/>
              </w:rPr>
              <w:t>扣完为止。</w:t>
            </w:r>
          </w:p>
        </w:tc>
      </w:tr>
      <w:tr w14:paraId="61F0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Align w:val="center"/>
          </w:tcPr>
          <w:p w14:paraId="309A76F2">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3118" w:type="dxa"/>
            <w:gridSpan w:val="3"/>
            <w:vAlign w:val="center"/>
          </w:tcPr>
          <w:p w14:paraId="30D1DEFB">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诚信情况</w:t>
            </w:r>
          </w:p>
        </w:tc>
        <w:tc>
          <w:tcPr>
            <w:tcW w:w="4552" w:type="dxa"/>
            <w:vAlign w:val="center"/>
          </w:tcPr>
          <w:p w14:paraId="7E641E71">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 w:val="21"/>
                <w:szCs w:val="21"/>
                <w:lang w:eastAsia="zh-CN"/>
              </w:rPr>
            </w:pPr>
            <w:r>
              <w:rPr>
                <w:rFonts w:hint="eastAsia" w:ascii="宋体" w:hAnsi="宋体" w:cs="宋体"/>
                <w:color w:val="auto"/>
                <w:kern w:val="0"/>
                <w:sz w:val="21"/>
                <w:szCs w:val="21"/>
                <w:lang w:val="en-US" w:eastAsia="zh-CN"/>
              </w:rPr>
              <w:t>1</w:t>
            </w:r>
          </w:p>
        </w:tc>
      </w:tr>
      <w:tr w14:paraId="5EF1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restart"/>
            <w:vAlign w:val="center"/>
          </w:tcPr>
          <w:p w14:paraId="7090A094">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p>
        </w:tc>
        <w:tc>
          <w:tcPr>
            <w:tcW w:w="505" w:type="dxa"/>
            <w:vAlign w:val="center"/>
          </w:tcPr>
          <w:p w14:paraId="776D5070">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762" w:type="dxa"/>
            <w:vAlign w:val="center"/>
          </w:tcPr>
          <w:p w14:paraId="37B3D080">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评分因素</w:t>
            </w:r>
          </w:p>
        </w:tc>
        <w:tc>
          <w:tcPr>
            <w:tcW w:w="851" w:type="dxa"/>
            <w:vAlign w:val="center"/>
          </w:tcPr>
          <w:p w14:paraId="08528310">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权重（%）</w:t>
            </w:r>
          </w:p>
        </w:tc>
        <w:tc>
          <w:tcPr>
            <w:tcW w:w="4552" w:type="dxa"/>
            <w:vAlign w:val="center"/>
          </w:tcPr>
          <w:p w14:paraId="607AB80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评分准则</w:t>
            </w:r>
          </w:p>
        </w:tc>
      </w:tr>
      <w:tr w14:paraId="0E86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continue"/>
            <w:vAlign w:val="center"/>
          </w:tcPr>
          <w:p w14:paraId="01DA33B8">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2AFEC1EF">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762" w:type="dxa"/>
            <w:vAlign w:val="center"/>
          </w:tcPr>
          <w:p w14:paraId="0A62A820">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诚信</w:t>
            </w:r>
          </w:p>
        </w:tc>
        <w:tc>
          <w:tcPr>
            <w:tcW w:w="851" w:type="dxa"/>
            <w:vAlign w:val="center"/>
          </w:tcPr>
          <w:p w14:paraId="05D883E2">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lang w:eastAsia="zh-CN"/>
              </w:rPr>
            </w:pPr>
            <w:r>
              <w:rPr>
                <w:rFonts w:hint="eastAsia" w:ascii="宋体" w:hAnsi="宋体" w:cs="宋体"/>
                <w:color w:val="auto"/>
                <w:kern w:val="0"/>
                <w:sz w:val="21"/>
                <w:szCs w:val="21"/>
                <w:lang w:val="en-US" w:eastAsia="zh-CN"/>
              </w:rPr>
              <w:t>1</w:t>
            </w:r>
          </w:p>
        </w:tc>
        <w:tc>
          <w:tcPr>
            <w:tcW w:w="4552" w:type="dxa"/>
          </w:tcPr>
          <w:p w14:paraId="5E4827AD">
            <w:pPr>
              <w:keepNext w:val="0"/>
              <w:keepLines w:val="0"/>
              <w:suppressLineNumbers w:val="0"/>
              <w:spacing w:before="0" w:beforeAutospacing="0" w:after="0" w:afterAutospacing="0"/>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（一）评分内容：</w:t>
            </w:r>
          </w:p>
          <w:p w14:paraId="112708FE">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供应商存在《深圳市财政局政府采购供应商信用信息管理办法》（深财规〔2023〕3号）列明的一般行政处罚信息、一般违法失信记录信息的，本项不得分，不存在上述情形的本项得100分。供应商无需提供任何证明材料，评标过程中由工作人员向评审委员会提供有关供应商诚信查询结果。</w:t>
            </w:r>
          </w:p>
          <w:p w14:paraId="2190B664">
            <w:pPr>
              <w:keepNext w:val="0"/>
              <w:keepLines w:val="0"/>
              <w:suppressLineNumbers w:val="0"/>
              <w:spacing w:before="0" w:beforeAutospacing="0" w:after="0" w:afterAutospacing="0"/>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（二）评分依据：</w:t>
            </w:r>
          </w:p>
          <w:p w14:paraId="47B1E40F">
            <w:pPr>
              <w:keepNext w:val="0"/>
              <w:keepLines w:val="0"/>
              <w:suppressLineNumbers w:val="0"/>
              <w:adjustRightInd w:val="0"/>
              <w:snapToGrid w:val="0"/>
              <w:spacing w:before="0" w:beforeAutospacing="0" w:after="0" w:afterAutospacing="0" w:line="360" w:lineRule="auto"/>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tr w14:paraId="50D9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Align w:val="center"/>
          </w:tcPr>
          <w:p w14:paraId="34567160">
            <w:pPr>
              <w:keepNext/>
              <w:keepLines/>
              <w:suppressLineNumbers w:val="0"/>
              <w:spacing w:before="340" w:beforeAutospacing="0" w:after="330" w:afterAutospacing="0" w:line="240" w:lineRule="exact"/>
              <w:ind w:left="0" w:leftChars="0" w:right="0" w:rightChars="0"/>
              <w:jc w:val="center"/>
              <w:outlineLvl w:val="0"/>
              <w:rPr>
                <w:rFonts w:hint="eastAsia" w:ascii="宋体" w:hAnsi="宋体" w:eastAsia="宋体" w:cs="宋体"/>
                <w:sz w:val="21"/>
                <w:szCs w:val="21"/>
              </w:rPr>
            </w:pPr>
            <w:r>
              <w:rPr>
                <w:rFonts w:hint="eastAsia" w:ascii="宋体" w:hAnsi="宋体" w:cs="宋体"/>
                <w:sz w:val="21"/>
                <w:szCs w:val="21"/>
                <w:lang w:val="en-US" w:eastAsia="zh-CN"/>
              </w:rPr>
              <w:t>5</w:t>
            </w:r>
          </w:p>
        </w:tc>
        <w:tc>
          <w:tcPr>
            <w:tcW w:w="3118" w:type="dxa"/>
            <w:gridSpan w:val="3"/>
            <w:vAlign w:val="center"/>
          </w:tcPr>
          <w:p w14:paraId="2C1A33D0">
            <w:pPr>
              <w:keepNext w:val="0"/>
              <w:keepLines w:val="0"/>
              <w:suppressLineNumbers w:val="0"/>
              <w:spacing w:before="0" w:beforeAutospacing="0" w:after="0" w:afterAutospacing="0" w:line="240" w:lineRule="exact"/>
              <w:ind w:left="0" w:leftChars="0" w:right="0" w:right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综合实力</w:t>
            </w:r>
          </w:p>
        </w:tc>
        <w:tc>
          <w:tcPr>
            <w:tcW w:w="4552" w:type="dxa"/>
            <w:vAlign w:val="center"/>
          </w:tcPr>
          <w:p w14:paraId="3F2E3C24">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2</w:t>
            </w:r>
          </w:p>
        </w:tc>
      </w:tr>
      <w:tr w14:paraId="2DC3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restart"/>
            <w:vAlign w:val="center"/>
          </w:tcPr>
          <w:p w14:paraId="03A90408">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2E9AA0E4">
            <w:pPr>
              <w:keepNext w:val="0"/>
              <w:keepLines w:val="0"/>
              <w:suppressLineNumbers w:val="0"/>
              <w:spacing w:before="0" w:beforeAutospacing="0" w:after="0" w:afterAutospacing="0" w:line="240" w:lineRule="exact"/>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762" w:type="dxa"/>
            <w:vAlign w:val="center"/>
          </w:tcPr>
          <w:p w14:paraId="08D63C69">
            <w:pPr>
              <w:keepNext w:val="0"/>
              <w:keepLines w:val="0"/>
              <w:suppressLineNumbers w:val="0"/>
              <w:spacing w:before="0" w:beforeAutospacing="0" w:after="0" w:afterAutospacing="0" w:line="240" w:lineRule="exact"/>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评分因素</w:t>
            </w:r>
          </w:p>
        </w:tc>
        <w:tc>
          <w:tcPr>
            <w:tcW w:w="851" w:type="dxa"/>
            <w:vAlign w:val="center"/>
          </w:tcPr>
          <w:p w14:paraId="01A66B60">
            <w:pPr>
              <w:keepNext w:val="0"/>
              <w:keepLines w:val="0"/>
              <w:suppressLineNumbers w:val="0"/>
              <w:spacing w:before="0" w:beforeAutospacing="0" w:after="0" w:afterAutospacing="0" w:line="240" w:lineRule="exact"/>
              <w:ind w:left="0" w:leftChars="0" w:right="0" w:rightChars="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sz w:val="21"/>
                <w:szCs w:val="21"/>
              </w:rPr>
              <w:t>权重（%）</w:t>
            </w:r>
          </w:p>
        </w:tc>
        <w:tc>
          <w:tcPr>
            <w:tcW w:w="4552" w:type="dxa"/>
            <w:vAlign w:val="center"/>
          </w:tcPr>
          <w:p w14:paraId="71941EAB">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评分准则</w:t>
            </w:r>
          </w:p>
        </w:tc>
      </w:tr>
      <w:tr w14:paraId="0BC3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continue"/>
            <w:vAlign w:val="center"/>
          </w:tcPr>
          <w:p w14:paraId="2C90B2DD">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5855F126">
            <w:pPr>
              <w:keepNext w:val="0"/>
              <w:keepLines w:val="0"/>
              <w:suppressLineNumbers w:val="0"/>
              <w:spacing w:before="0" w:beforeAutospacing="0" w:after="0" w:afterAutospacing="0" w:line="240" w:lineRule="exact"/>
              <w:ind w:left="0" w:leftChars="0" w:right="0" w:right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1</w:t>
            </w:r>
          </w:p>
        </w:tc>
        <w:tc>
          <w:tcPr>
            <w:tcW w:w="1762" w:type="dxa"/>
            <w:vAlign w:val="center"/>
          </w:tcPr>
          <w:p w14:paraId="7B112396">
            <w:pPr>
              <w:keepNext w:val="0"/>
              <w:keepLines w:val="0"/>
              <w:suppressLineNumbers w:val="0"/>
              <w:wordWrap w:val="0"/>
              <w:spacing w:before="0" w:beforeAutospacing="0" w:after="0" w:afterAutospacing="0"/>
              <w:ind w:left="0" w:leftChars="0" w:right="0" w:rightChars="0"/>
              <w:jc w:val="center"/>
              <w:textAlignment w:val="top"/>
              <w:rPr>
                <w:rFonts w:hint="eastAsia" w:ascii="宋体" w:hAnsi="宋体" w:eastAsia="宋体" w:cs="宋体"/>
                <w:color w:val="auto"/>
                <w:sz w:val="21"/>
                <w:szCs w:val="21"/>
              </w:rPr>
            </w:pPr>
            <w:r>
              <w:rPr>
                <w:rFonts w:hint="eastAsia" w:ascii="宋体" w:hAnsi="宋体" w:eastAsia="宋体" w:cs="宋体"/>
                <w:color w:val="auto"/>
                <w:sz w:val="21"/>
                <w:szCs w:val="21"/>
              </w:rPr>
              <w:t>同类业绩</w:t>
            </w:r>
          </w:p>
        </w:tc>
        <w:tc>
          <w:tcPr>
            <w:tcW w:w="851" w:type="dxa"/>
            <w:vAlign w:val="center"/>
          </w:tcPr>
          <w:p w14:paraId="365984BB">
            <w:pPr>
              <w:keepNext w:val="0"/>
              <w:keepLines w:val="0"/>
              <w:suppressLineNumbers w:val="0"/>
              <w:spacing w:before="0" w:beforeAutospacing="0" w:after="0" w:afterAutospacing="0"/>
              <w:ind w:left="-78" w:leftChars="-37" w:right="-73" w:rightChars="-35"/>
              <w:jc w:val="center"/>
              <w:rPr>
                <w:rFonts w:hint="eastAsia" w:ascii="宋体" w:hAnsi="宋体" w:eastAsia="宋体" w:cs="宋体"/>
                <w:color w:val="auto"/>
                <w:kern w:val="0"/>
                <w:sz w:val="21"/>
                <w:szCs w:val="21"/>
                <w:lang w:val="en-US" w:eastAsia="zh-CN"/>
              </w:rPr>
            </w:pPr>
            <w:r>
              <w:rPr>
                <w:rFonts w:hint="eastAsia" w:ascii="宋体" w:hAnsi="宋体" w:cs="宋体"/>
                <w:color w:val="auto"/>
                <w:sz w:val="21"/>
                <w:szCs w:val="21"/>
                <w:lang w:val="en-US" w:eastAsia="zh-CN"/>
              </w:rPr>
              <w:t>2</w:t>
            </w:r>
          </w:p>
        </w:tc>
        <w:tc>
          <w:tcPr>
            <w:tcW w:w="4552" w:type="dxa"/>
            <w:vAlign w:val="top"/>
          </w:tcPr>
          <w:p w14:paraId="7903B2E3">
            <w:pPr>
              <w:keepNext w:val="0"/>
              <w:keepLines w:val="0"/>
              <w:suppressLineNumbers w:val="0"/>
              <w:wordWrap w:val="0"/>
              <w:spacing w:before="0" w:beforeAutospacing="0" w:after="0" w:afterAutospacing="0"/>
              <w:ind w:left="0" w:right="0"/>
              <w:textAlignment w:val="top"/>
              <w:rPr>
                <w:rFonts w:hint="eastAsia" w:ascii="宋体" w:hAnsi="宋体" w:eastAsia="宋体" w:cs="宋体"/>
                <w:color w:val="auto"/>
                <w:sz w:val="21"/>
                <w:szCs w:val="21"/>
              </w:rPr>
            </w:pPr>
            <w:r>
              <w:rPr>
                <w:rFonts w:hint="eastAsia" w:ascii="宋体" w:hAnsi="宋体" w:eastAsia="宋体" w:cs="宋体"/>
                <w:color w:val="auto"/>
                <w:sz w:val="21"/>
                <w:szCs w:val="21"/>
              </w:rPr>
              <w:t>一、评分内容：</w:t>
            </w:r>
          </w:p>
          <w:p w14:paraId="7C143C1A">
            <w:pPr>
              <w:keepNext w:val="0"/>
              <w:keepLines w:val="0"/>
              <w:suppressLineNumbers w:val="0"/>
              <w:wordWrap w:val="0"/>
              <w:spacing w:before="0" w:beforeAutospacing="0" w:after="0" w:afterAutospacing="0"/>
              <w:ind w:left="0" w:right="0"/>
              <w:textAlignment w:val="top"/>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投标人</w:t>
            </w:r>
            <w:r>
              <w:rPr>
                <w:rFonts w:hint="eastAsia" w:ascii="宋体" w:hAnsi="宋体" w:eastAsia="宋体" w:cs="宋体"/>
                <w:color w:val="auto"/>
                <w:sz w:val="21"/>
                <w:szCs w:val="21"/>
                <w:lang w:eastAsia="zh-CN"/>
              </w:rPr>
              <w:t>或</w:t>
            </w:r>
            <w:r>
              <w:rPr>
                <w:rFonts w:hint="eastAsia" w:ascii="宋体" w:hAnsi="宋体" w:eastAsia="宋体" w:cs="宋体"/>
                <w:color w:val="auto"/>
                <w:sz w:val="21"/>
                <w:szCs w:val="21"/>
                <w:lang w:val="en-US" w:eastAsia="zh-CN"/>
              </w:rPr>
              <w:t>任意所投产品的</w:t>
            </w:r>
            <w:r>
              <w:rPr>
                <w:rFonts w:hint="eastAsia" w:ascii="宋体" w:hAnsi="宋体" w:eastAsia="宋体" w:cs="宋体"/>
                <w:color w:val="auto"/>
                <w:sz w:val="21"/>
                <w:szCs w:val="21"/>
                <w:lang w:eastAsia="zh-CN"/>
              </w:rPr>
              <w:t>制造商</w:t>
            </w:r>
            <w:r>
              <w:rPr>
                <w:rFonts w:hint="eastAsia"/>
                <w:lang w:val="en-US" w:eastAsia="zh-CN"/>
              </w:rPr>
              <w:t>（与分项报价表中的制造商名称一致</w:t>
            </w:r>
            <w:r>
              <w:rPr>
                <w:rFonts w:hint="eastAsia" w:ascii="宋体" w:hAnsi="宋体" w:cs="宋体"/>
                <w:color w:val="auto"/>
                <w:sz w:val="21"/>
                <w:szCs w:val="21"/>
                <w:lang w:eastAsia="zh-CN"/>
              </w:rPr>
              <w:t>）</w:t>
            </w:r>
            <w:r>
              <w:rPr>
                <w:rFonts w:hint="eastAsia" w:ascii="宋体" w:hAnsi="宋体" w:eastAsia="宋体" w:cs="宋体"/>
                <w:color w:val="auto"/>
                <w:sz w:val="21"/>
                <w:szCs w:val="21"/>
              </w:rPr>
              <w:t>2022年1月1日至投标截止时间前具备</w:t>
            </w:r>
            <w:r>
              <w:rPr>
                <w:rFonts w:hint="eastAsia" w:ascii="宋体" w:hAnsi="宋体" w:cs="宋体"/>
                <w:color w:val="auto"/>
                <w:sz w:val="21"/>
                <w:szCs w:val="21"/>
                <w:lang w:val="en-US" w:eastAsia="zh-CN"/>
              </w:rPr>
              <w:t>任意产品</w:t>
            </w:r>
            <w:r>
              <w:rPr>
                <w:rFonts w:hint="eastAsia" w:ascii="宋体" w:hAnsi="宋体" w:eastAsia="宋体" w:cs="宋体"/>
                <w:color w:val="auto"/>
                <w:sz w:val="21"/>
                <w:szCs w:val="21"/>
              </w:rPr>
              <w:t>同</w:t>
            </w:r>
            <w:r>
              <w:rPr>
                <w:rFonts w:hint="eastAsia" w:ascii="宋体" w:hAnsi="宋体" w:eastAsia="宋体" w:cs="宋体"/>
                <w:color w:val="auto"/>
                <w:sz w:val="21"/>
                <w:szCs w:val="21"/>
                <w:lang w:val="en-US" w:eastAsia="zh-CN"/>
              </w:rPr>
              <w:t>品牌</w:t>
            </w:r>
            <w:r>
              <w:rPr>
                <w:rFonts w:hint="eastAsia" w:ascii="宋体" w:hAnsi="宋体" w:eastAsia="宋体" w:cs="宋体"/>
                <w:color w:val="auto"/>
                <w:sz w:val="21"/>
                <w:szCs w:val="21"/>
                <w:lang w:eastAsia="zh-CN"/>
              </w:rPr>
              <w:t>同型号</w:t>
            </w:r>
            <w:r>
              <w:rPr>
                <w:rFonts w:hint="eastAsia" w:ascii="宋体" w:hAnsi="宋体" w:eastAsia="宋体" w:cs="宋体"/>
                <w:color w:val="auto"/>
                <w:sz w:val="21"/>
                <w:szCs w:val="21"/>
              </w:rPr>
              <w:t>的</w:t>
            </w:r>
            <w:r>
              <w:rPr>
                <w:rFonts w:hint="eastAsia" w:ascii="宋体" w:hAnsi="宋体" w:eastAsia="宋体" w:cs="宋体"/>
                <w:color w:val="auto"/>
                <w:sz w:val="21"/>
                <w:szCs w:val="21"/>
                <w:lang w:eastAsia="zh-CN"/>
              </w:rPr>
              <w:t>业绩</w:t>
            </w:r>
            <w:r>
              <w:rPr>
                <w:rFonts w:hint="eastAsia" w:ascii="宋体" w:hAnsi="宋体" w:eastAsia="宋体" w:cs="宋体"/>
                <w:color w:val="auto"/>
                <w:sz w:val="21"/>
                <w:szCs w:val="21"/>
              </w:rPr>
              <w:t>（以合同签订时间为准），每提供1项得</w:t>
            </w:r>
            <w:r>
              <w:rPr>
                <w:rFonts w:hint="eastAsia" w:ascii="宋体" w:hAnsi="宋体" w:eastAsia="宋体" w:cs="宋体"/>
                <w:color w:val="auto"/>
                <w:sz w:val="21"/>
                <w:szCs w:val="21"/>
                <w:lang w:val="en-US" w:eastAsia="zh-CN"/>
              </w:rPr>
              <w:t>34</w:t>
            </w:r>
            <w:r>
              <w:rPr>
                <w:rFonts w:hint="eastAsia" w:ascii="宋体" w:hAnsi="宋体" w:eastAsia="宋体" w:cs="宋体"/>
                <w:color w:val="auto"/>
                <w:sz w:val="21"/>
                <w:szCs w:val="21"/>
              </w:rPr>
              <w:t>分，本项最高得</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分，不提供不得分</w:t>
            </w:r>
            <w:r>
              <w:rPr>
                <w:rFonts w:hint="eastAsia" w:ascii="宋体" w:hAnsi="宋体" w:eastAsia="宋体" w:cs="宋体"/>
                <w:color w:val="auto"/>
                <w:sz w:val="21"/>
                <w:szCs w:val="21"/>
                <w:lang w:eastAsia="zh-CN"/>
              </w:rPr>
              <w:t>。</w:t>
            </w:r>
          </w:p>
          <w:p w14:paraId="5CDBA0E0">
            <w:pPr>
              <w:keepNext w:val="0"/>
              <w:keepLines w:val="0"/>
              <w:suppressLineNumbers w:val="0"/>
              <w:wordWrap w:val="0"/>
              <w:spacing w:before="0" w:beforeAutospacing="0" w:after="0" w:afterAutospacing="0"/>
              <w:ind w:left="0" w:right="0"/>
              <w:textAlignment w:val="top"/>
              <w:rPr>
                <w:rFonts w:hint="eastAsia" w:ascii="宋体" w:hAnsi="宋体" w:eastAsia="宋体" w:cs="宋体"/>
                <w:color w:val="auto"/>
                <w:sz w:val="21"/>
                <w:szCs w:val="21"/>
              </w:rPr>
            </w:pPr>
            <w:r>
              <w:rPr>
                <w:rFonts w:hint="eastAsia" w:ascii="宋体" w:hAnsi="宋体" w:eastAsia="宋体" w:cs="宋体"/>
                <w:color w:val="auto"/>
                <w:sz w:val="21"/>
                <w:szCs w:val="21"/>
              </w:rPr>
              <w:t>二、评分依据：</w:t>
            </w:r>
          </w:p>
          <w:p w14:paraId="11A17906">
            <w:pPr>
              <w:keepNext w:val="0"/>
              <w:keepLines w:val="0"/>
              <w:suppressLineNumbers w:val="0"/>
              <w:wordWrap w:val="0"/>
              <w:spacing w:before="0" w:beforeAutospacing="0" w:after="0" w:afterAutospacing="0"/>
              <w:ind w:left="0" w:right="0"/>
              <w:textAlignment w:val="top"/>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1.提供合同关键信息页证明文件（含签订合同双方的单位名称、合同项目名称与含签订合同双方的落款盖章、签订日期的关键页）作为得分依据</w:t>
            </w:r>
            <w:r>
              <w:rPr>
                <w:rFonts w:hint="eastAsia" w:ascii="宋体" w:hAnsi="宋体" w:cs="宋体"/>
                <w:color w:val="auto"/>
                <w:sz w:val="21"/>
                <w:szCs w:val="21"/>
                <w:lang w:eastAsia="zh-CN"/>
              </w:rPr>
              <w:t>。</w:t>
            </w:r>
          </w:p>
          <w:p w14:paraId="710B798C">
            <w:pPr>
              <w:keepNext w:val="0"/>
              <w:keepLines w:val="0"/>
              <w:suppressLineNumbers w:val="0"/>
              <w:spacing w:before="0" w:beforeAutospacing="0" w:after="0" w:afterAutospacing="0"/>
              <w:ind w:left="0" w:right="0"/>
              <w:rPr>
                <w:rFonts w:hint="default"/>
              </w:rPr>
            </w:pPr>
          </w:p>
          <w:p w14:paraId="1D7AEFD1">
            <w:pPr>
              <w:keepNext w:val="0"/>
              <w:keepLines w:val="0"/>
              <w:suppressLineNumbers w:val="0"/>
              <w:wordWrap w:val="0"/>
              <w:spacing w:before="0" w:beforeAutospacing="0" w:after="0" w:afterAutospacing="0"/>
              <w:ind w:left="0" w:leftChars="0" w:right="0" w:rightChars="0"/>
              <w:textAlignment w:val="top"/>
              <w:rPr>
                <w:rFonts w:hint="eastAsia" w:ascii="宋体" w:hAnsi="宋体" w:eastAsia="宋体" w:cs="宋体"/>
                <w:color w:val="auto"/>
                <w:sz w:val="21"/>
                <w:szCs w:val="21"/>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sz w:val="21"/>
                <w:szCs w:val="21"/>
                <w:highlight w:val="none"/>
              </w:rPr>
              <w:t>以上资料均要求提供扫描件。评分中出现无证明资料或专家无法凭所提供资料判断是否得分的情况，一律作不得分处理</w:t>
            </w:r>
            <w:r>
              <w:rPr>
                <w:rFonts w:hint="eastAsia" w:ascii="宋体" w:hAnsi="宋体" w:eastAsia="宋体" w:cs="宋体"/>
                <w:sz w:val="21"/>
                <w:szCs w:val="21"/>
                <w:highlight w:val="none"/>
                <w:lang w:eastAsia="zh-CN"/>
              </w:rPr>
              <w:t>。</w:t>
            </w:r>
          </w:p>
        </w:tc>
      </w:tr>
    </w:tbl>
    <w:p w14:paraId="2BC476EE">
      <w:pPr>
        <w:sectPr>
          <w:pgSz w:w="11907" w:h="16840"/>
          <w:pgMar w:top="1440" w:right="1418" w:bottom="1440" w:left="1418" w:header="851" w:footer="992" w:gutter="0"/>
          <w:cols w:space="425" w:num="1"/>
          <w:titlePg/>
          <w:docGrid w:linePitch="462" w:charSpace="0"/>
        </w:sectPr>
      </w:pPr>
    </w:p>
    <w:p w14:paraId="41C23CD8">
      <w:pPr>
        <w:jc w:val="center"/>
        <w:rPr>
          <w:b/>
          <w:sz w:val="84"/>
          <w:szCs w:val="84"/>
        </w:rPr>
      </w:pPr>
    </w:p>
    <w:p w14:paraId="53A51278">
      <w:pPr>
        <w:jc w:val="center"/>
        <w:rPr>
          <w:b/>
          <w:sz w:val="84"/>
          <w:szCs w:val="84"/>
        </w:rPr>
      </w:pPr>
    </w:p>
    <w:p w14:paraId="7EC263ED">
      <w:pPr>
        <w:jc w:val="center"/>
        <w:rPr>
          <w:b/>
          <w:sz w:val="84"/>
          <w:szCs w:val="84"/>
        </w:rPr>
      </w:pPr>
    </w:p>
    <w:p w14:paraId="02806F3E">
      <w:pPr>
        <w:jc w:val="center"/>
        <w:rPr>
          <w:b/>
          <w:sz w:val="120"/>
          <w:szCs w:val="120"/>
        </w:rPr>
      </w:pPr>
      <w:r>
        <w:rPr>
          <w:rFonts w:hint="eastAsia"/>
          <w:b/>
          <w:sz w:val="120"/>
          <w:szCs w:val="120"/>
        </w:rPr>
        <w:t>政府采购</w:t>
      </w:r>
    </w:p>
    <w:p w14:paraId="14383F9E">
      <w:pPr>
        <w:jc w:val="center"/>
        <w:rPr>
          <w:b/>
          <w:sz w:val="120"/>
          <w:szCs w:val="120"/>
        </w:rPr>
      </w:pPr>
      <w:r>
        <w:rPr>
          <w:rFonts w:hint="eastAsia"/>
          <w:b/>
          <w:sz w:val="120"/>
          <w:szCs w:val="120"/>
        </w:rPr>
        <w:t>招标文件</w:t>
      </w:r>
    </w:p>
    <w:p w14:paraId="4CED5CAD">
      <w:pPr>
        <w:jc w:val="center"/>
        <w:rPr>
          <w:b/>
          <w:sz w:val="52"/>
          <w:szCs w:val="52"/>
        </w:rPr>
      </w:pPr>
      <w:r>
        <w:rPr>
          <w:rFonts w:hint="eastAsia"/>
          <w:b/>
          <w:sz w:val="52"/>
          <w:szCs w:val="52"/>
        </w:rPr>
        <w:t>（货物类）</w:t>
      </w:r>
    </w:p>
    <w:p w14:paraId="4909463E"/>
    <w:p w14:paraId="03D899DC"/>
    <w:p w14:paraId="27933E87"/>
    <w:p w14:paraId="56D27DF5"/>
    <w:p w14:paraId="643713B1"/>
    <w:p w14:paraId="2FFB5886"/>
    <w:p w14:paraId="587FE3BF"/>
    <w:p w14:paraId="3D50F2C6"/>
    <w:p w14:paraId="657E6E58"/>
    <w:p w14:paraId="3E5C0CB2"/>
    <w:p w14:paraId="6C5FE3A0"/>
    <w:p w14:paraId="35AC5E99"/>
    <w:p w14:paraId="30B5D598"/>
    <w:p w14:paraId="4AD00308"/>
    <w:p w14:paraId="29112971"/>
    <w:p w14:paraId="126F9E3C"/>
    <w:p w14:paraId="5F161087"/>
    <w:p w14:paraId="6C84F5BD"/>
    <w:p w14:paraId="43D446AD"/>
    <w:p w14:paraId="41A82DCB">
      <w:pPr>
        <w:jc w:val="center"/>
        <w:rPr>
          <w:b/>
          <w:sz w:val="44"/>
          <w:szCs w:val="44"/>
        </w:rPr>
      </w:pPr>
      <w:bookmarkStart w:id="2" w:name="_Hlk71465316"/>
      <w:r>
        <w:rPr>
          <w:rFonts w:hint="eastAsia"/>
          <w:b/>
          <w:sz w:val="44"/>
          <w:szCs w:val="44"/>
        </w:rPr>
        <w:t>深圳公共资源交易中心</w:t>
      </w:r>
    </w:p>
    <w:p w14:paraId="6BF1A181">
      <w:pPr>
        <w:jc w:val="center"/>
        <w:rPr>
          <w:b/>
          <w:sz w:val="44"/>
          <w:szCs w:val="44"/>
        </w:rPr>
      </w:pPr>
      <w:r>
        <w:rPr>
          <w:rFonts w:hint="eastAsia"/>
          <w:b/>
          <w:sz w:val="44"/>
          <w:szCs w:val="44"/>
        </w:rPr>
        <w:t>（</w:t>
      </w:r>
      <w:r>
        <w:rPr>
          <w:b/>
          <w:sz w:val="44"/>
          <w:szCs w:val="44"/>
        </w:rPr>
        <w:t>20</w:t>
      </w:r>
      <w:r>
        <w:rPr>
          <w:rFonts w:hint="eastAsia"/>
          <w:b/>
          <w:sz w:val="44"/>
          <w:szCs w:val="44"/>
        </w:rPr>
        <w:t>25）</w:t>
      </w:r>
    </w:p>
    <w:bookmarkEnd w:id="2"/>
    <w:p w14:paraId="2FCDCD1F">
      <w:pPr>
        <w:widowControl/>
        <w:jc w:val="center"/>
      </w:pPr>
    </w:p>
    <w:p w14:paraId="0542F076">
      <w:pPr>
        <w:widowControl/>
        <w:jc w:val="center"/>
      </w:pPr>
      <w:r>
        <w:br w:type="page"/>
      </w:r>
    </w:p>
    <w:p w14:paraId="740F9C4E">
      <w:pPr>
        <w:spacing w:before="240" w:beforeLines="100" w:after="240" w:afterLines="100"/>
        <w:jc w:val="center"/>
        <w:rPr>
          <w:rFonts w:hint="eastAsia" w:ascii="黑体" w:hAnsi="黑体" w:eastAsia="黑体" w:cs="黑体"/>
          <w:b/>
          <w:bCs/>
          <w:sz w:val="28"/>
          <w:szCs w:val="36"/>
        </w:rPr>
      </w:pPr>
      <w:bookmarkStart w:id="3" w:name="_Hlk72218009"/>
      <w:r>
        <w:rPr>
          <w:rFonts w:hint="eastAsia" w:ascii="黑体" w:hAnsi="黑体" w:eastAsia="黑体" w:cs="黑体"/>
          <w:b/>
          <w:bCs/>
          <w:sz w:val="28"/>
          <w:szCs w:val="36"/>
        </w:rPr>
        <w:t>目   录</w:t>
      </w:r>
    </w:p>
    <w:p w14:paraId="15EC5A71">
      <w:pPr>
        <w:outlineLvl w:val="0"/>
        <w:rPr>
          <w:b/>
          <w:sz w:val="24"/>
        </w:rPr>
      </w:pPr>
      <w:r>
        <w:rPr>
          <w:rFonts w:hint="eastAsia"/>
          <w:b/>
          <w:sz w:val="24"/>
        </w:rPr>
        <w:t>第一册    专用条款</w:t>
      </w:r>
    </w:p>
    <w:p w14:paraId="27566F81">
      <w:pPr>
        <w:ind w:firstLine="960" w:firstLineChars="400"/>
        <w:rPr>
          <w:sz w:val="24"/>
        </w:rPr>
      </w:pPr>
      <w:r>
        <w:rPr>
          <w:rFonts w:hint="eastAsia"/>
          <w:sz w:val="24"/>
        </w:rPr>
        <w:t>关键信息</w:t>
      </w:r>
    </w:p>
    <w:p w14:paraId="3A006228">
      <w:pPr>
        <w:ind w:left="630" w:leftChars="300" w:firstLine="630" w:firstLineChars="300"/>
        <w:rPr>
          <w:rFonts w:hint="eastAsia" w:ascii="宋体" w:hAnsi="宋体"/>
          <w:szCs w:val="21"/>
        </w:rPr>
      </w:pPr>
      <w:r>
        <w:rPr>
          <w:rFonts w:hint="eastAsia" w:ascii="宋体" w:hAnsi="宋体"/>
          <w:szCs w:val="21"/>
        </w:rPr>
        <w:t>第一章  招标公告</w:t>
      </w:r>
    </w:p>
    <w:p w14:paraId="3BC27E82">
      <w:pPr>
        <w:ind w:left="630" w:leftChars="300" w:firstLine="630" w:firstLineChars="300"/>
        <w:rPr>
          <w:rFonts w:hint="eastAsia" w:ascii="宋体" w:hAnsi="宋体"/>
          <w:szCs w:val="21"/>
        </w:rPr>
      </w:pPr>
      <w:r>
        <w:rPr>
          <w:rFonts w:hint="eastAsia" w:ascii="宋体" w:hAnsi="宋体"/>
          <w:szCs w:val="21"/>
        </w:rPr>
        <w:t xml:space="preserve">第二章  </w:t>
      </w:r>
      <w:bookmarkStart w:id="4" w:name="_Hlk71994379"/>
      <w:r>
        <w:rPr>
          <w:rFonts w:hint="eastAsia" w:ascii="宋体" w:hAnsi="宋体"/>
          <w:szCs w:val="21"/>
        </w:rPr>
        <w:t>对通用条款的补充内容及其他关键信息</w:t>
      </w:r>
      <w:bookmarkEnd w:id="4"/>
    </w:p>
    <w:p w14:paraId="2F7C233C">
      <w:pPr>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48607EC0">
      <w:pPr>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38EB704E">
      <w:pPr>
        <w:ind w:left="630" w:leftChars="300" w:firstLine="630" w:firstLineChars="300"/>
        <w:rPr>
          <w:rFonts w:hint="eastAsia" w:ascii="宋体" w:hAnsi="宋体"/>
          <w:szCs w:val="21"/>
        </w:rPr>
      </w:pPr>
      <w:r>
        <w:rPr>
          <w:rFonts w:hint="eastAsia" w:ascii="宋体" w:hAnsi="宋体"/>
          <w:szCs w:val="21"/>
        </w:rPr>
        <w:t>第五章  合同条款及格式</w:t>
      </w:r>
    </w:p>
    <w:p w14:paraId="3B403109">
      <w:pPr>
        <w:rPr>
          <w:b/>
          <w:sz w:val="24"/>
        </w:rPr>
      </w:pPr>
    </w:p>
    <w:p w14:paraId="28A5F1CD">
      <w:pPr>
        <w:outlineLvl w:val="0"/>
        <w:rPr>
          <w:b/>
          <w:sz w:val="24"/>
        </w:rPr>
      </w:pPr>
      <w:r>
        <w:rPr>
          <w:rFonts w:hint="eastAsia"/>
          <w:b/>
          <w:sz w:val="24"/>
        </w:rPr>
        <w:t>第二册    通用条款</w:t>
      </w:r>
    </w:p>
    <w:p w14:paraId="0139FC8D">
      <w:pPr>
        <w:ind w:left="630" w:leftChars="300" w:firstLine="411" w:firstLineChars="196"/>
        <w:rPr>
          <w:rFonts w:hint="eastAsia" w:ascii="宋体" w:hAnsi="宋体"/>
          <w:szCs w:val="21"/>
        </w:rPr>
      </w:pPr>
      <w:r>
        <w:rPr>
          <w:rFonts w:hint="eastAsia" w:ascii="宋体" w:hAnsi="宋体"/>
          <w:szCs w:val="21"/>
        </w:rPr>
        <w:t>第一章  总则</w:t>
      </w:r>
    </w:p>
    <w:p w14:paraId="289A4DBE">
      <w:pPr>
        <w:ind w:left="630" w:leftChars="300" w:firstLine="411" w:firstLineChars="196"/>
        <w:rPr>
          <w:rFonts w:hint="eastAsia" w:ascii="宋体" w:hAnsi="宋体"/>
          <w:szCs w:val="21"/>
        </w:rPr>
      </w:pPr>
      <w:r>
        <w:rPr>
          <w:rFonts w:hint="eastAsia" w:ascii="宋体" w:hAnsi="宋体"/>
          <w:szCs w:val="21"/>
        </w:rPr>
        <w:t>第二章  招标文件</w:t>
      </w:r>
    </w:p>
    <w:p w14:paraId="42A5456C">
      <w:pPr>
        <w:ind w:left="630" w:leftChars="300" w:firstLine="411" w:firstLineChars="196"/>
        <w:rPr>
          <w:rFonts w:hint="eastAsia" w:ascii="宋体" w:hAnsi="宋体"/>
          <w:szCs w:val="21"/>
        </w:rPr>
      </w:pPr>
      <w:r>
        <w:rPr>
          <w:rFonts w:hint="eastAsia" w:ascii="宋体" w:hAnsi="宋体"/>
          <w:szCs w:val="21"/>
        </w:rPr>
        <w:t>第三章  投标文件的编制</w:t>
      </w:r>
    </w:p>
    <w:p w14:paraId="59650594">
      <w:pPr>
        <w:ind w:left="630" w:leftChars="300" w:firstLine="411" w:firstLineChars="196"/>
        <w:rPr>
          <w:rFonts w:hint="eastAsia" w:ascii="宋体" w:hAnsi="宋体"/>
          <w:szCs w:val="21"/>
        </w:rPr>
      </w:pPr>
      <w:r>
        <w:rPr>
          <w:rFonts w:hint="eastAsia" w:ascii="宋体" w:hAnsi="宋体"/>
          <w:szCs w:val="21"/>
        </w:rPr>
        <w:t>第四章  投标文件的递交</w:t>
      </w:r>
    </w:p>
    <w:p w14:paraId="1393EFE9">
      <w:pPr>
        <w:ind w:left="630" w:leftChars="300" w:firstLine="411" w:firstLineChars="196"/>
        <w:rPr>
          <w:rFonts w:hint="eastAsia" w:ascii="宋体" w:hAnsi="宋体"/>
          <w:szCs w:val="21"/>
        </w:rPr>
      </w:pPr>
      <w:r>
        <w:rPr>
          <w:rFonts w:hint="eastAsia" w:ascii="宋体" w:hAnsi="宋体"/>
          <w:szCs w:val="21"/>
        </w:rPr>
        <w:t>第五章  开标</w:t>
      </w:r>
    </w:p>
    <w:p w14:paraId="2D677BC3">
      <w:pPr>
        <w:ind w:left="630" w:leftChars="300" w:firstLine="411" w:firstLineChars="196"/>
        <w:rPr>
          <w:rFonts w:hint="eastAsia" w:ascii="宋体" w:hAnsi="宋体"/>
          <w:szCs w:val="21"/>
        </w:rPr>
      </w:pPr>
      <w:r>
        <w:rPr>
          <w:rFonts w:hint="eastAsia" w:ascii="宋体" w:hAnsi="宋体"/>
          <w:szCs w:val="21"/>
        </w:rPr>
        <w:t>第六章  评审要求</w:t>
      </w:r>
    </w:p>
    <w:p w14:paraId="7603B191">
      <w:pPr>
        <w:ind w:left="630" w:leftChars="300" w:firstLine="411" w:firstLineChars="196"/>
        <w:rPr>
          <w:rFonts w:hint="eastAsia" w:ascii="宋体" w:hAnsi="宋体"/>
          <w:szCs w:val="21"/>
        </w:rPr>
      </w:pPr>
      <w:r>
        <w:rPr>
          <w:rFonts w:hint="eastAsia" w:ascii="宋体" w:hAnsi="宋体"/>
          <w:szCs w:val="21"/>
        </w:rPr>
        <w:t>第七章  评审程序及评审方法</w:t>
      </w:r>
    </w:p>
    <w:p w14:paraId="06BFFDB1">
      <w:pPr>
        <w:ind w:left="630" w:leftChars="300" w:firstLine="411" w:firstLineChars="196"/>
        <w:rPr>
          <w:rFonts w:hint="eastAsia" w:ascii="宋体" w:hAnsi="宋体"/>
          <w:szCs w:val="21"/>
        </w:rPr>
      </w:pPr>
      <w:r>
        <w:rPr>
          <w:rFonts w:hint="eastAsia" w:ascii="宋体" w:hAnsi="宋体"/>
          <w:szCs w:val="21"/>
        </w:rPr>
        <w:t>第八章  定标及公示</w:t>
      </w:r>
    </w:p>
    <w:p w14:paraId="0E742614">
      <w:pPr>
        <w:ind w:left="630" w:leftChars="300" w:firstLine="411" w:firstLineChars="196"/>
        <w:rPr>
          <w:rFonts w:hint="eastAsia" w:ascii="宋体" w:hAnsi="宋体"/>
          <w:szCs w:val="21"/>
        </w:rPr>
      </w:pPr>
      <w:r>
        <w:rPr>
          <w:rFonts w:hint="eastAsia" w:ascii="宋体" w:hAnsi="宋体"/>
          <w:szCs w:val="21"/>
        </w:rPr>
        <w:t>第九章  公开招标失败的后续处理</w:t>
      </w:r>
    </w:p>
    <w:p w14:paraId="18E57847">
      <w:pPr>
        <w:ind w:left="630" w:leftChars="300" w:firstLine="411" w:firstLineChars="196"/>
        <w:rPr>
          <w:rFonts w:hint="eastAsia" w:ascii="宋体" w:hAnsi="宋体"/>
          <w:szCs w:val="21"/>
        </w:rPr>
      </w:pPr>
      <w:r>
        <w:rPr>
          <w:rFonts w:hint="eastAsia" w:ascii="宋体" w:hAnsi="宋体"/>
          <w:szCs w:val="21"/>
        </w:rPr>
        <w:t>第十章  合同的授予与备案</w:t>
      </w:r>
    </w:p>
    <w:p w14:paraId="3643F94F">
      <w:pPr>
        <w:ind w:firstLine="1050" w:firstLineChars="500"/>
      </w:pPr>
      <w:r>
        <w:rPr>
          <w:rFonts w:hint="eastAsia"/>
        </w:rPr>
        <w:t>第十一章  质疑处理</w:t>
      </w:r>
    </w:p>
    <w:p w14:paraId="68C02A68">
      <w:pPr>
        <w:pStyle w:val="36"/>
      </w:pPr>
    </w:p>
    <w:p w14:paraId="2F27C866">
      <w:pPr>
        <w:pStyle w:val="18"/>
        <w:sectPr>
          <w:pgSz w:w="11907" w:h="16840"/>
          <w:pgMar w:top="1440" w:right="1797" w:bottom="1440" w:left="1797" w:header="851" w:footer="992" w:gutter="0"/>
          <w:cols w:space="425" w:num="1"/>
          <w:titlePg/>
          <w:docGrid w:linePitch="462" w:charSpace="0"/>
        </w:sectPr>
      </w:pPr>
    </w:p>
    <w:bookmarkEnd w:id="3"/>
    <w:p w14:paraId="243FCB1F">
      <w:pPr>
        <w:pStyle w:val="2"/>
        <w:rPr>
          <w:rFonts w:hint="eastAsia"/>
          <w:color w:val="FF0000"/>
          <w:sz w:val="24"/>
        </w:rPr>
      </w:pPr>
      <w:bookmarkStart w:id="5" w:name="bt项目管理班子配备情况"/>
      <w:bookmarkEnd w:id="5"/>
      <w:bookmarkStart w:id="6" w:name="bt合同格式"/>
      <w:bookmarkEnd w:id="6"/>
      <w:bookmarkStart w:id="7" w:name="bt本工程承诺书"/>
      <w:bookmarkEnd w:id="7"/>
      <w:bookmarkStart w:id="8" w:name="bt投标函"/>
      <w:bookmarkEnd w:id="8"/>
      <w:bookmarkStart w:id="9" w:name="bt投标报价汇总表"/>
      <w:bookmarkEnd w:id="9"/>
      <w:bookmarkStart w:id="10" w:name="bt合同条款"/>
      <w:bookmarkEnd w:id="10"/>
      <w:bookmarkStart w:id="11" w:name="bt其他资料由投标人自定"/>
      <w:bookmarkEnd w:id="11"/>
      <w:bookmarkStart w:id="12" w:name="bt投标人情况介绍"/>
      <w:bookmarkEnd w:id="12"/>
      <w:bookmarkStart w:id="13" w:name="bt说明"/>
      <w:bookmarkEnd w:id="13"/>
      <w:bookmarkStart w:id="14" w:name="合同格式"/>
      <w:bookmarkEnd w:id="14"/>
      <w:bookmarkStart w:id="15" w:name="bt开标一览表"/>
      <w:bookmarkEnd w:id="15"/>
      <w:bookmarkStart w:id="16" w:name="bt合同条款及格式"/>
      <w:bookmarkEnd w:id="16"/>
      <w:bookmarkStart w:id="17" w:name="bt投标人须知"/>
      <w:bookmarkEnd w:id="17"/>
      <w:bookmarkStart w:id="18" w:name="bt其他资料2"/>
      <w:bookmarkEnd w:id="18"/>
      <w:bookmarkStart w:id="19" w:name="bt商务标投标文件格式"/>
      <w:bookmarkEnd w:id="19"/>
      <w:bookmarkStart w:id="20" w:name="bt投标文件签署授权委托书"/>
      <w:bookmarkEnd w:id="20"/>
      <w:bookmarkStart w:id="21" w:name="bt技术标投标文件格式"/>
      <w:bookmarkEnd w:id="21"/>
      <w:r>
        <w:rPr>
          <w:rFonts w:hint="eastAsia"/>
        </w:rPr>
        <w:t>第一册  专用条款</w:t>
      </w:r>
    </w:p>
    <w:p w14:paraId="3E60247A">
      <w:pPr>
        <w:pStyle w:val="4"/>
        <w:rPr>
          <w:sz w:val="28"/>
          <w:szCs w:val="28"/>
        </w:rPr>
      </w:pPr>
      <w:r>
        <w:rPr>
          <w:rFonts w:hint="eastAsia"/>
          <w:sz w:val="28"/>
          <w:szCs w:val="28"/>
        </w:rPr>
        <w:t>第一章  招标公告</w:t>
      </w:r>
    </w:p>
    <w:p w14:paraId="0964295A">
      <w:pPr>
        <w:spacing w:line="360" w:lineRule="auto"/>
        <w:rPr>
          <w:rFonts w:hint="eastAsia" w:ascii="宋体" w:hAnsi="宋体" w:cs="宋体"/>
          <w:b/>
          <w:bCs/>
          <w:kern w:val="0"/>
          <w:szCs w:val="21"/>
        </w:rPr>
      </w:pPr>
      <w:r>
        <w:rPr>
          <w:rFonts w:hint="eastAsia" w:ascii="宋体" w:hAnsi="宋体" w:cs="宋体"/>
          <w:b/>
          <w:bCs/>
          <w:kern w:val="0"/>
          <w:szCs w:val="21"/>
        </w:rPr>
        <w:t>申请人的资格要求：</w:t>
      </w:r>
    </w:p>
    <w:p w14:paraId="62930AAE">
      <w:pPr>
        <w:ind w:firstLine="630" w:firstLineChars="30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bookmarkStart w:id="22" w:name="_Hlk72162904"/>
      <w:r>
        <w:rPr>
          <w:rFonts w:hint="eastAsia" w:ascii="宋体" w:hAnsi="宋体" w:cs="宋体"/>
          <w:kern w:val="0"/>
          <w:szCs w:val="21"/>
        </w:rPr>
        <w:t>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bookmarkEnd w:id="22"/>
    </w:p>
    <w:p w14:paraId="3E0D9CC3">
      <w:pPr>
        <w:ind w:firstLine="630" w:firstLineChars="300"/>
        <w:rPr>
          <w:rFonts w:hint="eastAsia" w:ascii="宋体" w:hAnsi="宋体" w:cs="宋体"/>
          <w:kern w:val="0"/>
          <w:szCs w:val="21"/>
        </w:rPr>
      </w:pPr>
      <w:r>
        <w:rPr>
          <w:rFonts w:hint="eastAsia" w:ascii="宋体" w:hAnsi="宋体" w:cs="宋体"/>
          <w:color w:val="FF0000"/>
          <w:kern w:val="0"/>
          <w:szCs w:val="21"/>
        </w:rPr>
        <w:t>2.本项目不接受联合体投标，不接受投标人选用进口产品参与投标，详见招标文件“第三章 用户需求书”；</w:t>
      </w:r>
    </w:p>
    <w:p w14:paraId="2B43BFBB">
      <w:pPr>
        <w:ind w:firstLine="630" w:firstLineChars="3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参与本项目政府采购活动时不存在被有关部门禁止参与政府采购活动且在有效期内的情况（由供应商在《政府采购投标及履约承诺函》中作出声明）；</w:t>
      </w:r>
    </w:p>
    <w:p w14:paraId="611F2912">
      <w:pPr>
        <w:ind w:firstLine="630" w:firstLineChars="3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具备《中华人民共和国政府采购法》第二十二条第一款的条件（由供应商在《政府采购投标及履约承诺函》中作出声明）；</w:t>
      </w:r>
    </w:p>
    <w:p w14:paraId="037783F7">
      <w:pPr>
        <w:ind w:firstLine="630" w:firstLineChars="30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未被列入失信被执行人、重大税收违法案件当事人名单、政府采购严重违法失信行为记录名单（由供应商在《政府采购投标及履约承诺函》中作出声明）；</w:t>
      </w:r>
    </w:p>
    <w:p w14:paraId="1B0E47D7">
      <w:pPr>
        <w:ind w:firstLine="630" w:firstLineChars="300"/>
        <w:rPr>
          <w:rFonts w:hint="eastAsia"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6.不存在《深圳市财政局政府采购供应商信用信息管理办法》（深财规〔2023〕3号）列明的严重违法失信行为（由供应商在《政府采购投标及履约承诺函》中作出声明）；</w:t>
      </w:r>
    </w:p>
    <w:p w14:paraId="0DE6C3EC">
      <w:pPr>
        <w:ind w:firstLine="630" w:firstLineChars="300"/>
        <w:rPr>
          <w:rFonts w:hint="eastAsia" w:ascii="宋体" w:hAnsi="宋体" w:cs="宋体"/>
          <w:kern w:val="0"/>
          <w:szCs w:val="21"/>
        </w:rPr>
      </w:pPr>
      <w:r>
        <w:rPr>
          <w:rFonts w:hint="eastAsia" w:ascii="宋体" w:hAnsi="宋体" w:cs="宋体"/>
          <w:kern w:val="0"/>
          <w:szCs w:val="21"/>
        </w:rPr>
        <w:t>7.为采购项目提供整体设计、规范编制或者项目管理、监理、检测等服务的供应商，不得再参加该采购项目的其他采购活动（由供应商在《政府采购投标及履约承诺函》中作出声明）；</w:t>
      </w:r>
    </w:p>
    <w:p w14:paraId="68F6ECC7">
      <w:pPr>
        <w:ind w:firstLine="630" w:firstLineChars="300"/>
        <w:rPr>
          <w:rFonts w:hint="eastAsia" w:ascii="宋体" w:hAnsi="宋体" w:cs="宋体"/>
          <w:color w:val="FF0000"/>
          <w:kern w:val="0"/>
          <w:szCs w:val="21"/>
        </w:rPr>
      </w:pPr>
      <w:r>
        <w:rPr>
          <w:rFonts w:hint="eastAsia" w:ascii="宋体" w:hAnsi="宋体" w:cs="宋体"/>
          <w:color w:val="FF0000"/>
          <w:kern w:val="0"/>
          <w:szCs w:val="21"/>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63E68966">
      <w:pPr>
        <w:ind w:firstLine="630" w:firstLineChars="300"/>
        <w:rPr>
          <w:rFonts w:hint="eastAsia" w:ascii="宋体" w:hAnsi="宋体" w:eastAsia="宋体" w:cs="宋体"/>
          <w:kern w:val="0"/>
          <w:szCs w:val="21"/>
          <w:lang w:eastAsia="zh-CN"/>
        </w:rPr>
      </w:pPr>
      <w:r>
        <w:rPr>
          <w:rFonts w:hint="eastAsia" w:ascii="宋体" w:hAnsi="宋体" w:cs="宋体"/>
          <w:kern w:val="0"/>
          <w:szCs w:val="21"/>
        </w:rPr>
        <w:t>9.本项目为非专门面向中小企业采购项目</w:t>
      </w:r>
      <w:r>
        <w:rPr>
          <w:rFonts w:hint="eastAsia" w:ascii="宋体" w:hAnsi="宋体" w:cs="宋体"/>
          <w:kern w:val="0"/>
          <w:szCs w:val="21"/>
          <w:lang w:eastAsia="zh-CN"/>
        </w:rPr>
        <w:t>；</w:t>
      </w:r>
    </w:p>
    <w:p w14:paraId="1E31F89B">
      <w:pPr>
        <w:wordWrap w:val="0"/>
        <w:ind w:firstLine="632" w:firstLineChars="300"/>
        <w:rPr>
          <w:rFonts w:hint="default" w:ascii="宋体" w:hAnsi="宋体" w:eastAsia="宋体" w:cs="宋体"/>
          <w:b/>
          <w:bCs/>
          <w:color w:val="FF0000"/>
          <w:kern w:val="0"/>
          <w:szCs w:val="21"/>
          <w:lang w:val="en-US" w:eastAsia="zh-CN"/>
        </w:rPr>
      </w:pPr>
      <w:r>
        <w:rPr>
          <w:rFonts w:hint="eastAsia" w:ascii="宋体" w:hAnsi="宋体" w:cs="宋体"/>
          <w:b/>
          <w:bCs/>
          <w:color w:val="FF0000"/>
          <w:kern w:val="0"/>
          <w:szCs w:val="21"/>
          <w:lang w:val="en-US" w:eastAsia="zh-CN"/>
        </w:rPr>
        <w:t>10.</w:t>
      </w:r>
      <w:r>
        <w:rPr>
          <w:rFonts w:hint="eastAsia"/>
          <w:b/>
          <w:bCs/>
          <w:color w:val="FF0000"/>
        </w:rPr>
        <w:t>投标人若为生产企业：所投产品为第二、三类医疗器械的，提供监督管理部门签发的涵盖所投报医疗器械的《医疗器械生产许可证》(有效期内)扫描件；投标人若为经营企业：所投产品为第二类医疗器械的，提供监督管理部门签发的涵盖所投报医疗器械的《医疗器械经营备案凭证》(有效期内)扫描件；所投产品为第三类医疗器械的，提供监督管理部门签发的涵盖所投报医疗器械的《医疗器械经营许可证》(有效期内)扫描件。</w:t>
      </w:r>
    </w:p>
    <w:p w14:paraId="29ACD672">
      <w:pPr>
        <w:wordWrap w:val="0"/>
        <w:ind w:firstLine="420" w:firstLineChars="200"/>
        <w:rPr>
          <w:rFonts w:hint="eastAsia" w:ascii="宋体" w:hAnsi="宋体" w:cs="宋体"/>
          <w:kern w:val="0"/>
          <w:szCs w:val="21"/>
        </w:rPr>
      </w:pPr>
    </w:p>
    <w:p w14:paraId="7E1B1105">
      <w:pPr>
        <w:wordWrap w:val="0"/>
        <w:ind w:firstLine="420" w:firstLineChars="200"/>
        <w:rPr>
          <w:rFonts w:hint="eastAsia" w:ascii="宋体" w:hAnsi="宋体" w:cs="宋体"/>
          <w:kern w:val="0"/>
          <w:szCs w:val="21"/>
        </w:rPr>
      </w:pPr>
      <w:r>
        <w:rPr>
          <w:rFonts w:hint="eastAsia" w:ascii="宋体" w:hAnsi="宋体" w:cs="宋体"/>
          <w:kern w:val="0"/>
          <w:szCs w:val="21"/>
        </w:rPr>
        <w:t>注：（1）“信用中国”（www.creditchina.gov.cn，查询“信用服务”栏的“重大税收违法失信主体”“失信被执行人”</w:t>
      </w:r>
      <w:r>
        <w:rPr>
          <w:rFonts w:hint="eastAsia" w:ascii="宋体" w:hAnsi="宋体" w:cs="宋体"/>
          <w:kern w:val="0"/>
          <w:szCs w:val="21"/>
          <w:highlight w:val="yellow"/>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6F68EE4A">
      <w:pPr>
        <w:ind w:firstLine="420" w:firstLineChars="200"/>
        <w:rPr>
          <w:rFonts w:hint="eastAsia" w:ascii="宋体" w:hAnsi="宋体"/>
        </w:rPr>
      </w:pPr>
      <w:r>
        <w:rPr>
          <w:rFonts w:hint="eastAsia" w:ascii="宋体" w:hAnsi="宋体"/>
        </w:rPr>
        <w:t>（2）供应商投标（上传投标文件）必须先行办理注册手续，具体请按照本公告“六、其他补充事宜</w:t>
      </w:r>
      <w:r>
        <w:rPr>
          <w:rFonts w:ascii="宋体" w:hAnsi="宋体"/>
        </w:rPr>
        <w:t>”</w:t>
      </w:r>
      <w:r>
        <w:rPr>
          <w:rFonts w:hint="eastAsia" w:ascii="宋体" w:hAnsi="宋体"/>
        </w:rPr>
        <w:t>相关内容指引办理。</w:t>
      </w:r>
    </w:p>
    <w:p w14:paraId="278A884B">
      <w:pPr>
        <w:ind w:firstLine="420" w:firstLineChars="200"/>
        <w:rPr>
          <w:rFonts w:hint="eastAsia" w:ascii="宋体" w:hAnsi="宋体"/>
        </w:rPr>
      </w:pPr>
    </w:p>
    <w:p w14:paraId="089B5F05">
      <w:pPr>
        <w:ind w:firstLine="442" w:firstLineChars="200"/>
        <w:rPr>
          <w:b/>
        </w:rPr>
      </w:pPr>
      <w:r>
        <w:rPr>
          <w:rFonts w:hint="eastAsia"/>
          <w:b/>
          <w:sz w:val="22"/>
          <w:szCs w:val="18"/>
        </w:rPr>
        <w:t>完整公告内容详见：深圳公共资源交易网（</w:t>
      </w:r>
      <w:r>
        <w:rPr>
          <w:b/>
          <w:sz w:val="22"/>
          <w:szCs w:val="18"/>
        </w:rPr>
        <w:t>https://www.szggzy.com</w:t>
      </w:r>
      <w:r>
        <w:rPr>
          <w:rFonts w:hint="eastAsia"/>
          <w:b/>
          <w:sz w:val="22"/>
          <w:szCs w:val="18"/>
        </w:rPr>
        <w:t>）</w:t>
      </w:r>
    </w:p>
    <w:p w14:paraId="4B98F804">
      <w:pPr>
        <w:ind w:firstLine="422" w:firstLineChars="200"/>
        <w:rPr>
          <w:b/>
        </w:rPr>
      </w:pPr>
    </w:p>
    <w:p w14:paraId="466F89F2">
      <w:pPr>
        <w:rPr>
          <w:sz w:val="24"/>
        </w:rPr>
        <w:sectPr>
          <w:pgSz w:w="11907" w:h="16840"/>
          <w:pgMar w:top="1440" w:right="1797" w:bottom="1440" w:left="1797" w:header="851" w:footer="992" w:gutter="0"/>
          <w:cols w:space="425" w:num="1"/>
          <w:titlePg/>
          <w:docGrid w:linePitch="462" w:charSpace="0"/>
        </w:sectPr>
      </w:pPr>
    </w:p>
    <w:p w14:paraId="400BD03F">
      <w:pPr>
        <w:pStyle w:val="4"/>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2040D7BB">
      <w:pPr>
        <w:pStyle w:val="4"/>
        <w:spacing w:before="120" w:beforeLines="50" w:after="120" w:afterLines="50"/>
        <w:rPr>
          <w:szCs w:val="24"/>
        </w:rPr>
      </w:pPr>
      <w:bookmarkStart w:id="24" w:name="_Toc73517639"/>
      <w:bookmarkStart w:id="25" w:name="_Toc73518117"/>
      <w:bookmarkStart w:id="26" w:name="_Toc73521635"/>
      <w:bookmarkStart w:id="27" w:name="_Toc73521547"/>
      <w:bookmarkStart w:id="28" w:name="_Toc100052364"/>
      <w:bookmarkStart w:id="29" w:name="_Toc101074876"/>
      <w:bookmarkStart w:id="30" w:name="_Toc60560625"/>
      <w:bookmarkStart w:id="31" w:name="_Toc60631620"/>
      <w:r>
        <w:rPr>
          <w:rFonts w:hint="eastAsia"/>
          <w:szCs w:val="24"/>
        </w:rPr>
        <w:t>一、对通用条款的补充内容</w:t>
      </w:r>
    </w:p>
    <w:bookmarkEnd w:id="24"/>
    <w:bookmarkEnd w:id="25"/>
    <w:bookmarkEnd w:id="26"/>
    <w:bookmarkEnd w:id="27"/>
    <w:bookmarkEnd w:id="28"/>
    <w:bookmarkEnd w:id="29"/>
    <w:bookmarkEnd w:id="30"/>
    <w:bookmarkEnd w:id="31"/>
    <w:tbl>
      <w:tblPr>
        <w:tblStyle w:val="43"/>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2868EF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41" w:hRule="atLeast"/>
          <w:jc w:val="center"/>
        </w:trPr>
        <w:tc>
          <w:tcPr>
            <w:tcW w:w="978" w:type="dxa"/>
            <w:vAlign w:val="center"/>
          </w:tcPr>
          <w:p w14:paraId="72A0E86A">
            <w:pPr>
              <w:keepNext w:val="0"/>
              <w:keepLines w:val="0"/>
              <w:suppressLineNumbers w:val="0"/>
              <w:spacing w:before="0" w:beforeAutospacing="0" w:after="0" w:afterAutospacing="0"/>
              <w:ind w:left="0" w:right="0"/>
              <w:jc w:val="center"/>
              <w:rPr>
                <w:rFonts w:hint="eastAsia" w:ascii="宋体" w:hAnsi="宋体"/>
                <w:b/>
                <w:bCs/>
              </w:rPr>
            </w:pPr>
            <w:bookmarkStart w:id="32" w:name="_Hlk72218097"/>
            <w:r>
              <w:rPr>
                <w:rFonts w:hint="eastAsia" w:ascii="宋体" w:hAnsi="宋体"/>
                <w:b/>
                <w:bCs/>
              </w:rPr>
              <w:t>通用条款序号</w:t>
            </w:r>
          </w:p>
        </w:tc>
        <w:tc>
          <w:tcPr>
            <w:tcW w:w="2409" w:type="dxa"/>
            <w:vAlign w:val="center"/>
          </w:tcPr>
          <w:p w14:paraId="22010F4A">
            <w:pPr>
              <w:keepNext w:val="0"/>
              <w:keepLines w:val="0"/>
              <w:suppressLineNumbers w:val="0"/>
              <w:spacing w:before="0" w:beforeAutospacing="0" w:after="0" w:afterAutospacing="0"/>
              <w:ind w:left="0" w:right="0"/>
              <w:jc w:val="center"/>
              <w:rPr>
                <w:rFonts w:hint="eastAsia" w:ascii="宋体" w:hAnsi="宋体"/>
                <w:b/>
                <w:bCs/>
              </w:rPr>
            </w:pPr>
            <w:r>
              <w:rPr>
                <w:rFonts w:hint="eastAsia" w:ascii="宋体" w:hAnsi="宋体"/>
                <w:b/>
                <w:bCs/>
              </w:rPr>
              <w:t>涉及事项</w:t>
            </w:r>
          </w:p>
        </w:tc>
        <w:tc>
          <w:tcPr>
            <w:tcW w:w="4980" w:type="dxa"/>
            <w:vAlign w:val="center"/>
          </w:tcPr>
          <w:p w14:paraId="1DB44933">
            <w:pPr>
              <w:keepNext w:val="0"/>
              <w:keepLines w:val="0"/>
              <w:suppressLineNumbers w:val="0"/>
              <w:spacing w:before="0" w:beforeAutospacing="0" w:after="0" w:afterAutospacing="0"/>
              <w:ind w:left="0" w:right="0"/>
              <w:jc w:val="center"/>
              <w:rPr>
                <w:rFonts w:hint="eastAsia" w:ascii="宋体" w:hAnsi="宋体"/>
                <w:b/>
                <w:bCs/>
              </w:rPr>
            </w:pPr>
            <w:r>
              <w:rPr>
                <w:rFonts w:hint="eastAsia" w:ascii="宋体" w:hAnsi="宋体"/>
                <w:b/>
                <w:bCs/>
              </w:rPr>
              <w:t xml:space="preserve">具 </w:t>
            </w:r>
            <w:r>
              <w:rPr>
                <w:rFonts w:hint="default" w:ascii="宋体" w:hAnsi="宋体"/>
                <w:b/>
                <w:bCs/>
              </w:rPr>
              <w:t xml:space="preserve"> </w:t>
            </w:r>
            <w:r>
              <w:rPr>
                <w:rFonts w:hint="eastAsia" w:ascii="宋体" w:hAnsi="宋体"/>
                <w:b/>
                <w:bCs/>
              </w:rPr>
              <w:t xml:space="preserve">体 </w:t>
            </w:r>
            <w:r>
              <w:rPr>
                <w:rFonts w:hint="default" w:ascii="宋体" w:hAnsi="宋体"/>
                <w:b/>
                <w:bCs/>
              </w:rPr>
              <w:t xml:space="preserve"> </w:t>
            </w:r>
            <w:r>
              <w:rPr>
                <w:rFonts w:hint="eastAsia" w:ascii="宋体" w:hAnsi="宋体"/>
                <w:b/>
                <w:bCs/>
              </w:rPr>
              <w:t xml:space="preserve">补 </w:t>
            </w:r>
            <w:r>
              <w:rPr>
                <w:rFonts w:hint="default" w:ascii="宋体" w:hAnsi="宋体"/>
                <w:b/>
                <w:bCs/>
              </w:rPr>
              <w:t xml:space="preserve"> </w:t>
            </w:r>
            <w:r>
              <w:rPr>
                <w:rFonts w:hint="eastAsia" w:ascii="宋体" w:hAnsi="宋体"/>
                <w:b/>
                <w:bCs/>
              </w:rPr>
              <w:t xml:space="preserve">充 </w:t>
            </w:r>
            <w:r>
              <w:rPr>
                <w:rFonts w:hint="default" w:ascii="宋体" w:hAnsi="宋体"/>
                <w:b/>
                <w:bCs/>
              </w:rPr>
              <w:t xml:space="preserve"> </w:t>
            </w:r>
            <w:r>
              <w:rPr>
                <w:rFonts w:hint="eastAsia" w:ascii="宋体" w:hAnsi="宋体"/>
                <w:b/>
                <w:bCs/>
              </w:rPr>
              <w:t xml:space="preserve">内 </w:t>
            </w:r>
            <w:r>
              <w:rPr>
                <w:rFonts w:hint="default" w:ascii="宋体" w:hAnsi="宋体"/>
                <w:b/>
                <w:bCs/>
              </w:rPr>
              <w:t xml:space="preserve"> </w:t>
            </w:r>
            <w:r>
              <w:rPr>
                <w:rFonts w:hint="eastAsia" w:ascii="宋体" w:hAnsi="宋体"/>
                <w:b/>
                <w:bCs/>
              </w:rPr>
              <w:t>容</w:t>
            </w:r>
          </w:p>
        </w:tc>
      </w:tr>
      <w:tr w14:paraId="79ED9E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CBF00D5">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3</w:t>
            </w:r>
            <w:r>
              <w:rPr>
                <w:rFonts w:hint="default" w:ascii="宋体" w:hAnsi="宋体"/>
              </w:rPr>
              <w:t>.1</w:t>
            </w:r>
          </w:p>
        </w:tc>
        <w:tc>
          <w:tcPr>
            <w:tcW w:w="2409" w:type="dxa"/>
            <w:vAlign w:val="center"/>
          </w:tcPr>
          <w:p w14:paraId="268FCE70">
            <w:pPr>
              <w:keepNext w:val="0"/>
              <w:keepLines w:val="0"/>
              <w:suppressLineNumbers w:val="0"/>
              <w:spacing w:before="0" w:beforeAutospacing="0" w:after="0" w:afterAutospacing="0"/>
              <w:ind w:left="0" w:right="0"/>
              <w:jc w:val="center"/>
              <w:rPr>
                <w:rFonts w:hint="default"/>
              </w:rPr>
            </w:pPr>
            <w:r>
              <w:rPr>
                <w:rFonts w:hint="eastAsia"/>
              </w:rPr>
              <w:t>采购人</w:t>
            </w:r>
          </w:p>
        </w:tc>
        <w:tc>
          <w:tcPr>
            <w:tcW w:w="4980" w:type="dxa"/>
            <w:vAlign w:val="center"/>
          </w:tcPr>
          <w:p w14:paraId="75EF571B">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深圳市第三人民医院</w:t>
            </w:r>
          </w:p>
        </w:tc>
      </w:tr>
      <w:tr w14:paraId="096C08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BE25EA3">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3</w:t>
            </w:r>
            <w:r>
              <w:rPr>
                <w:rFonts w:hint="default" w:ascii="宋体" w:hAnsi="宋体"/>
              </w:rPr>
              <w:t>.2</w:t>
            </w:r>
          </w:p>
        </w:tc>
        <w:tc>
          <w:tcPr>
            <w:tcW w:w="2409" w:type="dxa"/>
            <w:vAlign w:val="center"/>
          </w:tcPr>
          <w:p w14:paraId="265553E1">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政府集中采购机构</w:t>
            </w:r>
          </w:p>
        </w:tc>
        <w:tc>
          <w:tcPr>
            <w:tcW w:w="4980" w:type="dxa"/>
            <w:vAlign w:val="center"/>
          </w:tcPr>
          <w:p w14:paraId="327FAF36">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深圳公共资源交易中心</w:t>
            </w:r>
          </w:p>
          <w:p w14:paraId="6771879A">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（深圳交易集团有限公司政府采购业务分公司）</w:t>
            </w:r>
          </w:p>
        </w:tc>
      </w:tr>
      <w:tr w14:paraId="1C067B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0984D26">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9</w:t>
            </w:r>
          </w:p>
        </w:tc>
        <w:tc>
          <w:tcPr>
            <w:tcW w:w="2409" w:type="dxa"/>
            <w:vAlign w:val="center"/>
          </w:tcPr>
          <w:p w14:paraId="3DD46267">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踏勘现场</w:t>
            </w:r>
          </w:p>
        </w:tc>
        <w:tc>
          <w:tcPr>
            <w:tcW w:w="4980" w:type="dxa"/>
            <w:vAlign w:val="center"/>
          </w:tcPr>
          <w:p w14:paraId="17CFDAB8">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不组织</w:t>
            </w:r>
          </w:p>
        </w:tc>
      </w:tr>
      <w:tr w14:paraId="0F0805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FB88E29">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1</w:t>
            </w:r>
            <w:r>
              <w:rPr>
                <w:rFonts w:hint="default" w:ascii="宋体" w:hAnsi="宋体"/>
              </w:rPr>
              <w:t>0</w:t>
            </w:r>
          </w:p>
        </w:tc>
        <w:tc>
          <w:tcPr>
            <w:tcW w:w="2409" w:type="dxa"/>
            <w:vAlign w:val="center"/>
          </w:tcPr>
          <w:p w14:paraId="263284C7">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标前会议</w:t>
            </w:r>
          </w:p>
        </w:tc>
        <w:tc>
          <w:tcPr>
            <w:tcW w:w="4980" w:type="dxa"/>
            <w:vAlign w:val="center"/>
          </w:tcPr>
          <w:p w14:paraId="7B1C7D83">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不组织</w:t>
            </w:r>
          </w:p>
        </w:tc>
      </w:tr>
      <w:tr w14:paraId="2D046D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1D24815">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1</w:t>
            </w:r>
            <w:r>
              <w:rPr>
                <w:rFonts w:hint="default" w:ascii="宋体" w:hAnsi="宋体"/>
              </w:rPr>
              <w:t>2</w:t>
            </w:r>
            <w:r>
              <w:rPr>
                <w:rFonts w:hint="eastAsia" w:ascii="宋体" w:hAnsi="宋体"/>
              </w:rPr>
              <w:t>/1</w:t>
            </w:r>
            <w:r>
              <w:rPr>
                <w:rFonts w:hint="default" w:ascii="宋体" w:hAnsi="宋体"/>
              </w:rPr>
              <w:t>3</w:t>
            </w:r>
          </w:p>
        </w:tc>
        <w:tc>
          <w:tcPr>
            <w:tcW w:w="2409" w:type="dxa"/>
            <w:vAlign w:val="center"/>
          </w:tcPr>
          <w:p w14:paraId="3B242E96">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招标文件的澄清和修改</w:t>
            </w:r>
          </w:p>
        </w:tc>
        <w:tc>
          <w:tcPr>
            <w:tcW w:w="4980" w:type="dxa"/>
            <w:vAlign w:val="center"/>
          </w:tcPr>
          <w:p w14:paraId="761C0BFA">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投标截止日三日前，投标人有义务在招标期间在政府集中采购机构网站浏览与本项目有关的澄清和修改信息</w:t>
            </w:r>
          </w:p>
        </w:tc>
      </w:tr>
      <w:tr w14:paraId="2077B1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DF18436">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w:t>
            </w:r>
            <w:r>
              <w:rPr>
                <w:rFonts w:hint="default" w:ascii="宋体" w:hAnsi="宋体"/>
              </w:rPr>
              <w:t>0</w:t>
            </w:r>
          </w:p>
        </w:tc>
        <w:tc>
          <w:tcPr>
            <w:tcW w:w="2409" w:type="dxa"/>
            <w:vAlign w:val="center"/>
          </w:tcPr>
          <w:p w14:paraId="5569BBB8">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投标有效期</w:t>
            </w:r>
          </w:p>
        </w:tc>
        <w:tc>
          <w:tcPr>
            <w:tcW w:w="4980" w:type="dxa"/>
            <w:vAlign w:val="center"/>
          </w:tcPr>
          <w:p w14:paraId="54537336">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120个日历日</w:t>
            </w:r>
          </w:p>
        </w:tc>
      </w:tr>
      <w:tr w14:paraId="333C6A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AE69DF2">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w:t>
            </w:r>
            <w:r>
              <w:rPr>
                <w:rFonts w:hint="default" w:ascii="宋体" w:hAnsi="宋体"/>
              </w:rPr>
              <w:t>2</w:t>
            </w:r>
          </w:p>
        </w:tc>
        <w:tc>
          <w:tcPr>
            <w:tcW w:w="2409" w:type="dxa"/>
            <w:vAlign w:val="center"/>
          </w:tcPr>
          <w:p w14:paraId="6C461DAF">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投标人的替代方案</w:t>
            </w:r>
          </w:p>
        </w:tc>
        <w:tc>
          <w:tcPr>
            <w:tcW w:w="4980" w:type="dxa"/>
            <w:vAlign w:val="center"/>
          </w:tcPr>
          <w:p w14:paraId="58EDBB6F">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不接受</w:t>
            </w:r>
          </w:p>
        </w:tc>
      </w:tr>
      <w:tr w14:paraId="0640A5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FD6BCB5">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w:t>
            </w:r>
            <w:r>
              <w:rPr>
                <w:rFonts w:hint="default" w:ascii="宋体" w:hAnsi="宋体"/>
              </w:rPr>
              <w:t>5</w:t>
            </w:r>
          </w:p>
        </w:tc>
        <w:tc>
          <w:tcPr>
            <w:tcW w:w="2409" w:type="dxa"/>
            <w:vAlign w:val="center"/>
          </w:tcPr>
          <w:p w14:paraId="5C123781">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投标文件的大小</w:t>
            </w:r>
          </w:p>
        </w:tc>
        <w:tc>
          <w:tcPr>
            <w:tcW w:w="4980" w:type="dxa"/>
            <w:vAlign w:val="center"/>
          </w:tcPr>
          <w:p w14:paraId="41E84234">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投标文件大小不得超过100MB</w:t>
            </w:r>
          </w:p>
        </w:tc>
      </w:tr>
      <w:tr w14:paraId="66E516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9247172">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w:t>
            </w:r>
            <w:r>
              <w:rPr>
                <w:rFonts w:hint="default" w:ascii="宋体" w:hAnsi="宋体"/>
              </w:rPr>
              <w:t>6</w:t>
            </w:r>
          </w:p>
        </w:tc>
        <w:tc>
          <w:tcPr>
            <w:tcW w:w="2409" w:type="dxa"/>
            <w:vAlign w:val="center"/>
          </w:tcPr>
          <w:p w14:paraId="06211E6D">
            <w:pPr>
              <w:keepNext w:val="0"/>
              <w:keepLines w:val="0"/>
              <w:suppressLineNumbers w:val="0"/>
              <w:spacing w:before="0" w:beforeAutospacing="0" w:after="0" w:afterAutospacing="0"/>
              <w:ind w:left="0" w:right="0"/>
              <w:jc w:val="center"/>
              <w:rPr>
                <w:rFonts w:hint="eastAsia" w:ascii="宋体" w:hAnsi="宋体"/>
              </w:rPr>
            </w:pPr>
            <w:bookmarkStart w:id="33" w:name="_Hlk71664860"/>
            <w:r>
              <w:rPr>
                <w:rFonts w:hint="eastAsia" w:ascii="宋体" w:hAnsi="宋体"/>
              </w:rPr>
              <w:t>样品、现场演示、方案讲解</w:t>
            </w:r>
            <w:bookmarkEnd w:id="33"/>
          </w:p>
        </w:tc>
        <w:tc>
          <w:tcPr>
            <w:tcW w:w="4980" w:type="dxa"/>
            <w:vAlign w:val="center"/>
          </w:tcPr>
          <w:p w14:paraId="3F98E063">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如有样品、演示、方案讲解，具体安排见第三章 用户需求书相关要求</w:t>
            </w:r>
          </w:p>
        </w:tc>
      </w:tr>
      <w:tr w14:paraId="41009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DAD3738">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3</w:t>
            </w:r>
            <w:r>
              <w:rPr>
                <w:rFonts w:hint="default" w:ascii="宋体" w:hAnsi="宋体"/>
              </w:rPr>
              <w:t>7</w:t>
            </w:r>
          </w:p>
        </w:tc>
        <w:tc>
          <w:tcPr>
            <w:tcW w:w="2409" w:type="dxa"/>
            <w:vAlign w:val="center"/>
          </w:tcPr>
          <w:p w14:paraId="792C573A">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评审方法</w:t>
            </w:r>
          </w:p>
        </w:tc>
        <w:tc>
          <w:tcPr>
            <w:tcW w:w="4980" w:type="dxa"/>
            <w:vAlign w:val="center"/>
          </w:tcPr>
          <w:p w14:paraId="351B3DE3">
            <w:pPr>
              <w:keepNext w:val="0"/>
              <w:keepLines w:val="0"/>
              <w:suppressLineNumbers w:val="0"/>
              <w:spacing w:before="0" w:beforeAutospacing="0" w:after="0" w:afterAutospacing="0"/>
              <w:ind w:left="0" w:right="0"/>
              <w:jc w:val="left"/>
              <w:rPr>
                <w:rFonts w:hint="eastAsia" w:ascii="宋体" w:hAnsi="宋体"/>
              </w:rPr>
            </w:pPr>
            <w:r>
              <w:rPr>
                <w:rFonts w:hint="eastAsia" w:ascii="宋体" w:hAnsi="宋体"/>
              </w:rPr>
              <w:t>□ 最低评标价法</w:t>
            </w:r>
          </w:p>
          <w:p w14:paraId="71220401">
            <w:pPr>
              <w:keepNext w:val="0"/>
              <w:keepLines w:val="0"/>
              <w:suppressLineNumbers w:val="0"/>
              <w:spacing w:before="0" w:beforeAutospacing="0" w:after="0" w:afterAutospacing="0"/>
              <w:ind w:left="0" w:right="0"/>
              <w:jc w:val="left"/>
              <w:rPr>
                <w:rFonts w:hint="eastAsia" w:ascii="宋体" w:hAnsi="宋体"/>
              </w:rPr>
            </w:pPr>
            <w:r>
              <w:rPr>
                <w:rFonts w:hint="eastAsia" w:ascii="宋体" w:hAnsi="宋体"/>
              </w:rPr>
              <w:t>☑ 综合评分法</w:t>
            </w:r>
          </w:p>
        </w:tc>
      </w:tr>
      <w:tr w14:paraId="374BC6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35" w:hRule="atLeast"/>
          <w:jc w:val="center"/>
        </w:trPr>
        <w:tc>
          <w:tcPr>
            <w:tcW w:w="978" w:type="dxa"/>
            <w:vAlign w:val="center"/>
          </w:tcPr>
          <w:p w14:paraId="4E08AC13">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3</w:t>
            </w:r>
            <w:r>
              <w:rPr>
                <w:rFonts w:hint="default" w:ascii="宋体" w:hAnsi="宋体"/>
              </w:rPr>
              <w:t>8</w:t>
            </w:r>
          </w:p>
        </w:tc>
        <w:tc>
          <w:tcPr>
            <w:tcW w:w="2409" w:type="dxa"/>
            <w:vAlign w:val="center"/>
          </w:tcPr>
          <w:p w14:paraId="3DBE46F2">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定标方法</w:t>
            </w:r>
          </w:p>
        </w:tc>
        <w:tc>
          <w:tcPr>
            <w:tcW w:w="4980" w:type="dxa"/>
            <w:vAlign w:val="center"/>
          </w:tcPr>
          <w:p w14:paraId="47B476EC">
            <w:pPr>
              <w:keepNext w:val="0"/>
              <w:keepLines w:val="0"/>
              <w:suppressLineNumbers w:val="0"/>
              <w:spacing w:before="0" w:beforeAutospacing="0" w:after="0" w:afterAutospacing="0"/>
              <w:ind w:left="0" w:right="0"/>
              <w:jc w:val="left"/>
              <w:rPr>
                <w:rFonts w:hint="eastAsia" w:ascii="宋体" w:hAnsi="宋体"/>
              </w:rPr>
            </w:pPr>
            <w:r>
              <w:rPr>
                <w:rFonts w:hint="eastAsia" w:ascii="宋体" w:hAnsi="宋体"/>
              </w:rPr>
              <w:t>☑ 非评定分离</w:t>
            </w:r>
          </w:p>
          <w:p w14:paraId="714320BC">
            <w:pPr>
              <w:keepNext w:val="0"/>
              <w:keepLines w:val="0"/>
              <w:suppressLineNumbers w:val="0"/>
              <w:spacing w:before="0" w:beforeAutospacing="0" w:after="0" w:afterAutospacing="0"/>
              <w:ind w:left="0" w:right="0"/>
              <w:jc w:val="left"/>
              <w:rPr>
                <w:rFonts w:hint="eastAsia" w:ascii="宋体" w:hAnsi="宋体"/>
              </w:rPr>
            </w:pPr>
            <w:r>
              <w:rPr>
                <w:rFonts w:hint="eastAsia" w:ascii="宋体" w:hAnsi="宋体"/>
              </w:rPr>
              <w:t>□ 评定分离</w:t>
            </w:r>
          </w:p>
        </w:tc>
      </w:tr>
      <w:tr w14:paraId="200FE3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116A613">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4</w:t>
            </w:r>
            <w:r>
              <w:rPr>
                <w:rFonts w:hint="default" w:ascii="宋体" w:hAnsi="宋体"/>
              </w:rPr>
              <w:t>6</w:t>
            </w:r>
          </w:p>
        </w:tc>
        <w:tc>
          <w:tcPr>
            <w:tcW w:w="2409" w:type="dxa"/>
            <w:vAlign w:val="center"/>
          </w:tcPr>
          <w:p w14:paraId="0CEE0D8F">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履约担保</w:t>
            </w:r>
          </w:p>
        </w:tc>
        <w:tc>
          <w:tcPr>
            <w:tcW w:w="4980" w:type="dxa"/>
            <w:vAlign w:val="center"/>
          </w:tcPr>
          <w:p w14:paraId="0D65323B">
            <w:pPr>
              <w:keepNext w:val="0"/>
              <w:keepLines w:val="0"/>
              <w:suppressLineNumbers w:val="0"/>
              <w:spacing w:before="0" w:beforeAutospacing="0" w:after="0" w:afterAutospacing="0"/>
              <w:ind w:left="0" w:right="0"/>
              <w:jc w:val="left"/>
              <w:rPr>
                <w:rFonts w:hint="eastAsia" w:ascii="宋体" w:hAnsi="宋体" w:eastAsia="宋体"/>
                <w:lang w:eastAsia="zh-CN"/>
              </w:rPr>
            </w:pPr>
            <w:r>
              <w:rPr>
                <w:rFonts w:hint="eastAsia" w:ascii="宋体" w:hAnsi="宋体" w:eastAsia="宋体" w:cs="Times New Roman"/>
                <w:highlight w:val="none"/>
              </w:rPr>
              <w:t>需要，</w:t>
            </w:r>
            <w:r>
              <w:rPr>
                <w:rFonts w:hint="eastAsia" w:ascii="Times New Roman" w:hAnsi="Times New Roman" w:eastAsia="宋体" w:cs="Times New Roman"/>
                <w:highlight w:val="none"/>
              </w:rPr>
              <w:t>合同金额的</w:t>
            </w:r>
            <w:r>
              <w:rPr>
                <w:rFonts w:hint="eastAsia" w:ascii="Times New Roman" w:hAnsi="Times New Roman" w:eastAsia="宋体" w:cs="Times New Roman"/>
                <w:highlight w:val="none"/>
                <w:lang w:val="en-US" w:eastAsia="zh-CN"/>
              </w:rPr>
              <w:t>5</w:t>
            </w:r>
            <w:r>
              <w:rPr>
                <w:rFonts w:hint="eastAsia" w:ascii="Times New Roman" w:hAnsi="Times New Roman" w:eastAsia="宋体" w:cs="Times New Roman"/>
                <w:highlight w:val="none"/>
              </w:rPr>
              <w:t>%，投标供应商自主选择以支票、汇票、本票、保函等非现金形式缴纳或提交。中标人供货完成调试、验收、培训且提供了厂家（或厂家授权）的售后服务承诺书后向甲方申请退回该履约保证金，甲方收到申请审核同意后，无息返还</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乙方的履约保证金因乙方原因而未能达到本项目验收标准或验收不通过的，履约保证金不予退还</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违约责任：采购人逾期退还履约保证金的，除应当退还履约保证金本金外，还应当每日按合同总价的1‰向中标人偿付违约金，但因投标人自身原因导致无法及时退还的除外</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中标人违反合同及其附件约定的任何义务，采购人有权在履约保证金中直接扣除投标人应向采购人支付的违约金或损失赔偿额，如有不足的，中标人应对超过的部分予以赔偿</w:t>
            </w:r>
            <w:r>
              <w:rPr>
                <w:rFonts w:hint="eastAsia" w:ascii="Times New Roman" w:hAnsi="Times New Roman" w:eastAsia="宋体" w:cs="Times New Roman"/>
                <w:highlight w:val="none"/>
                <w:lang w:eastAsia="zh-CN"/>
              </w:rPr>
              <w:t>。</w:t>
            </w:r>
          </w:p>
        </w:tc>
      </w:tr>
    </w:tbl>
    <w:p w14:paraId="1C8815C5">
      <w:pPr>
        <w:rPr>
          <w:b/>
        </w:rPr>
      </w:pPr>
      <w:r>
        <w:rPr>
          <w:rFonts w:hint="eastAsia"/>
          <w:szCs w:val="21"/>
        </w:rPr>
        <w:t>备注：本表是通用条款相关条款的补充和明确，如与通用条款内容相冲突的，以本表为准。</w:t>
      </w:r>
    </w:p>
    <w:bookmarkEnd w:id="32"/>
    <w:p w14:paraId="2BB7D852">
      <w:pPr>
        <w:pStyle w:val="4"/>
        <w:spacing w:before="120" w:beforeLines="50" w:after="120" w:afterLines="50"/>
        <w:rPr>
          <w:szCs w:val="24"/>
        </w:rPr>
      </w:pPr>
      <w:bookmarkStart w:id="34" w:name="_Hlk72218117"/>
      <w:r>
        <w:rPr>
          <w:rFonts w:hint="eastAsia"/>
          <w:szCs w:val="24"/>
        </w:rPr>
        <w:t>二、其他关键信息</w:t>
      </w:r>
    </w:p>
    <w:p w14:paraId="46F28CA4">
      <w:pPr>
        <w:ind w:firstLine="422" w:firstLineChars="200"/>
        <w:rPr>
          <w:b/>
          <w:bCs/>
        </w:rPr>
      </w:pPr>
      <w:bookmarkStart w:id="35" w:name="_Hlk72579427"/>
      <w:r>
        <w:rPr>
          <w:rFonts w:hint="eastAsia"/>
          <w:b/>
          <w:bCs/>
        </w:rPr>
        <w:t>（一）与“对通用条款的补充内容”章节相关的事项</w:t>
      </w:r>
    </w:p>
    <w:p w14:paraId="620A5B06">
      <w:pPr>
        <w:spacing w:line="276" w:lineRule="auto"/>
        <w:jc w:val="left"/>
        <w:rPr>
          <w:rFonts w:hint="eastAsia"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4252E127">
      <w:pPr>
        <w:jc w:val="center"/>
      </w:pPr>
      <w:r>
        <w:rPr>
          <w:rFonts w:hint="eastAsia"/>
          <w:b/>
        </w:rPr>
        <w:t>非评定分离项目</w:t>
      </w:r>
    </w:p>
    <w:tbl>
      <w:tblPr>
        <w:tblStyle w:val="44"/>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701"/>
      </w:tblGrid>
      <w:tr w14:paraId="4EC9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tcPr>
          <w:p w14:paraId="00946532">
            <w:pPr>
              <w:keepNext w:val="0"/>
              <w:keepLines w:val="0"/>
              <w:suppressLineNumbers w:val="0"/>
              <w:spacing w:before="0" w:beforeAutospacing="0" w:after="0" w:afterAutospacing="0"/>
              <w:ind w:left="0" w:right="0"/>
              <w:jc w:val="center"/>
              <w:rPr>
                <w:rFonts w:hint="default"/>
              </w:rPr>
            </w:pPr>
            <w:r>
              <w:rPr>
                <w:rFonts w:hint="eastAsia"/>
              </w:rPr>
              <w:t>评标方法</w:t>
            </w:r>
          </w:p>
        </w:tc>
        <w:tc>
          <w:tcPr>
            <w:tcW w:w="5701" w:type="dxa"/>
          </w:tcPr>
          <w:p w14:paraId="57FAE257">
            <w:pPr>
              <w:keepNext w:val="0"/>
              <w:keepLines w:val="0"/>
              <w:suppressLineNumbers w:val="0"/>
              <w:spacing w:before="0" w:beforeAutospacing="0" w:after="0" w:afterAutospacing="0"/>
              <w:ind w:left="0" w:right="0"/>
              <w:jc w:val="center"/>
              <w:rPr>
                <w:rFonts w:hint="default"/>
              </w:rPr>
            </w:pPr>
            <w:r>
              <w:rPr>
                <w:rFonts w:hint="eastAsia"/>
              </w:rPr>
              <w:t>综合评分法</w:t>
            </w:r>
          </w:p>
        </w:tc>
      </w:tr>
      <w:tr w14:paraId="3969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665F78B">
            <w:pPr>
              <w:keepNext w:val="0"/>
              <w:keepLines w:val="0"/>
              <w:suppressLineNumbers w:val="0"/>
              <w:spacing w:before="0" w:beforeAutospacing="0" w:after="0" w:afterAutospacing="0"/>
              <w:ind w:left="0" w:right="0"/>
              <w:jc w:val="center"/>
              <w:rPr>
                <w:rFonts w:hint="default"/>
                <w:highlight w:val="yellow"/>
              </w:rPr>
            </w:pPr>
            <w:r>
              <w:rPr>
                <w:rFonts w:hint="eastAsia"/>
                <w:highlight w:val="yellow"/>
              </w:rPr>
              <w:t>候选中标供应商家数</w:t>
            </w:r>
          </w:p>
        </w:tc>
        <w:tc>
          <w:tcPr>
            <w:tcW w:w="5701" w:type="dxa"/>
          </w:tcPr>
          <w:p w14:paraId="00D65436">
            <w:pPr>
              <w:keepNext w:val="0"/>
              <w:keepLines w:val="0"/>
              <w:suppressLineNumbers w:val="0"/>
              <w:spacing w:before="0" w:beforeAutospacing="0" w:after="0" w:afterAutospacing="0"/>
              <w:ind w:left="0" w:right="0"/>
              <w:jc w:val="center"/>
              <w:rPr>
                <w:rFonts w:hint="default"/>
                <w:highlight w:val="yellow"/>
              </w:rPr>
            </w:pPr>
            <w:r>
              <w:rPr>
                <w:rFonts w:hint="eastAsia"/>
                <w:highlight w:val="yellow"/>
              </w:rPr>
              <w:t>3</w:t>
            </w:r>
          </w:p>
        </w:tc>
      </w:tr>
      <w:tr w14:paraId="2E0C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158B1A3C">
            <w:pPr>
              <w:keepNext w:val="0"/>
              <w:keepLines w:val="0"/>
              <w:suppressLineNumbers w:val="0"/>
              <w:spacing w:before="0" w:beforeAutospacing="0" w:after="0" w:afterAutospacing="0"/>
              <w:ind w:left="0" w:right="0"/>
              <w:jc w:val="center"/>
              <w:rPr>
                <w:rFonts w:hint="default"/>
              </w:rPr>
            </w:pPr>
            <w:r>
              <w:rPr>
                <w:rFonts w:hint="eastAsia"/>
              </w:rPr>
              <w:t>中标供应商家数</w:t>
            </w:r>
          </w:p>
        </w:tc>
        <w:tc>
          <w:tcPr>
            <w:tcW w:w="5701" w:type="dxa"/>
          </w:tcPr>
          <w:p w14:paraId="147A2C91">
            <w:pPr>
              <w:keepNext w:val="0"/>
              <w:keepLines w:val="0"/>
              <w:suppressLineNumbers w:val="0"/>
              <w:spacing w:before="0" w:beforeAutospacing="0" w:after="0" w:afterAutospacing="0"/>
              <w:ind w:left="0" w:right="0"/>
              <w:jc w:val="center"/>
              <w:rPr>
                <w:rFonts w:hint="default"/>
              </w:rPr>
            </w:pPr>
            <w:r>
              <w:rPr>
                <w:rFonts w:hint="eastAsia"/>
              </w:rPr>
              <w:t>1</w:t>
            </w:r>
          </w:p>
        </w:tc>
      </w:tr>
    </w:tbl>
    <w:p w14:paraId="2F1A3747">
      <w:pPr>
        <w:ind w:firstLine="422" w:firstLineChars="200"/>
        <w:rPr>
          <w:b/>
        </w:rPr>
      </w:pPr>
    </w:p>
    <w:p w14:paraId="1BC7751D">
      <w:pPr>
        <w:ind w:firstLine="422" w:firstLineChars="200"/>
        <w:rPr>
          <w:b/>
        </w:rPr>
      </w:pPr>
      <w:r>
        <w:rPr>
          <w:rFonts w:hint="eastAsia"/>
          <w:b/>
        </w:rPr>
        <w:t>（二）其他事项</w:t>
      </w:r>
      <w:bookmarkEnd w:id="35"/>
    </w:p>
    <w:p w14:paraId="4DE4969A">
      <w:pPr>
        <w:ind w:firstLine="422" w:firstLineChars="200"/>
        <w:rPr>
          <w:b/>
          <w:bCs/>
        </w:rPr>
      </w:pPr>
      <w:r>
        <w:rPr>
          <w:b/>
          <w:bCs/>
        </w:rPr>
        <w:t>1</w:t>
      </w:r>
      <w:r>
        <w:rPr>
          <w:rFonts w:hint="eastAsia"/>
          <w:b/>
          <w:bCs/>
        </w:rPr>
        <w:t>、关于享受优惠政策的主体、价格扣除比例及采购标的所属行业的说明</w:t>
      </w:r>
    </w:p>
    <w:p w14:paraId="55726D35">
      <w:pPr>
        <w:ind w:firstLine="420" w:firstLineChars="200"/>
      </w:pPr>
      <w:r>
        <w:rPr>
          <w:rFonts w:hint="eastAsia"/>
        </w:rPr>
        <w:t>（1）专门面向中小企业采购的项目，不再执行价格扣除比例。</w:t>
      </w:r>
    </w:p>
    <w:p w14:paraId="21D46D3D">
      <w:pPr>
        <w:ind w:firstLine="420" w:firstLineChars="200"/>
      </w:pPr>
      <w:r>
        <w:rPr>
          <w:rFonts w:hint="eastAsia"/>
        </w:rPr>
        <w:t>（2）非专门面向中小企业采购的项目，应执行价格扣除比例：投标人提供的货物（以招标文件用户需求书“货物清单明细”的“货物名称”一栏为准）全部均由优惠主体制造，则对其投标总价给予</w:t>
      </w:r>
      <w:r>
        <w:rPr>
          <w:b/>
          <w:bCs/>
          <w:color w:val="FF0000"/>
          <w:sz w:val="24"/>
          <w:szCs w:val="32"/>
          <w:u w:val="single"/>
        </w:rPr>
        <w:t xml:space="preserve"> </w:t>
      </w:r>
      <w:r>
        <w:rPr>
          <w:rFonts w:hint="eastAsia"/>
          <w:b/>
          <w:bCs/>
          <w:color w:val="FF0000"/>
          <w:sz w:val="24"/>
          <w:szCs w:val="32"/>
          <w:u w:val="single"/>
          <w:lang w:val="en-US" w:eastAsia="zh-CN"/>
        </w:rPr>
        <w:t>10</w:t>
      </w:r>
      <w:r>
        <w:rPr>
          <w:b/>
          <w:bCs/>
          <w:color w:val="FF0000"/>
          <w:sz w:val="24"/>
          <w:szCs w:val="32"/>
          <w:u w:val="single"/>
        </w:rPr>
        <w:t xml:space="preserve"> </w:t>
      </w:r>
      <w:r>
        <w:rPr>
          <w:rFonts w:hint="eastAsia"/>
          <w:b/>
          <w:bCs/>
          <w:color w:val="FF0000"/>
          <w:sz w:val="24"/>
          <w:szCs w:val="32"/>
          <w:u w:val="single"/>
        </w:rPr>
        <w:t xml:space="preserve"> </w:t>
      </w:r>
      <w:r>
        <w:rPr>
          <w:b/>
          <w:bCs/>
          <w:color w:val="FF0000"/>
          <w:sz w:val="24"/>
          <w:szCs w:val="32"/>
        </w:rPr>
        <w:t>%</w:t>
      </w:r>
      <w:r>
        <w:rPr>
          <w:rFonts w:hint="eastAsia"/>
          <w:color w:val="000000" w:themeColor="text1"/>
          <w14:textFill>
            <w14:solidFill>
              <w14:schemeClr w14:val="tx1"/>
            </w14:solidFill>
          </w14:textFill>
        </w:rPr>
        <w:t>（10%~20%）</w:t>
      </w:r>
      <w:r>
        <w:rPr>
          <w:rFonts w:hint="eastAsia"/>
        </w:rPr>
        <w:t>的扣除，用扣除后的价格参与评审。满足多项优惠政策的供应商，不重复享受多项价格扣除政策。</w:t>
      </w:r>
    </w:p>
    <w:p w14:paraId="6D6F6E9C">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66F35260">
      <w:pPr>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bookmarkStart w:id="36" w:name="_Hlk71970739"/>
      <w:r>
        <w:rPr>
          <w:rFonts w:hint="eastAsia" w:asciiTheme="minorEastAsia" w:hAnsiTheme="minorEastAsia" w:eastAsiaTheme="minorEastAsia" w:cstheme="minorEastAsia"/>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Cs w:val="21"/>
        </w:rPr>
        <w:t>《中小企业声明函》中相关企业（货物制造商）所属行业应当与采购标的所属行业相一致，</w:t>
      </w:r>
      <w:r>
        <w:rPr>
          <w:rFonts w:hint="eastAsia"/>
          <w:b/>
          <w:bCs/>
          <w:color w:val="FF0000"/>
        </w:rPr>
        <w:t>标的所属行业以招标文件第一册第三章用户需求书“货物清单明细”的“标的所属行业”一栏为准</w:t>
      </w:r>
      <w:r>
        <w:rPr>
          <w:rFonts w:hint="eastAsia" w:asciiTheme="minorEastAsia" w:hAnsiTheme="minorEastAsia" w:eastAsiaTheme="minorEastAsia" w:cstheme="minorEastAsia"/>
          <w:b/>
          <w:bCs/>
          <w:color w:val="FF0000"/>
          <w:szCs w:val="21"/>
        </w:rPr>
        <w:t>。</w:t>
      </w:r>
      <w:bookmarkEnd w:id="36"/>
    </w:p>
    <w:p w14:paraId="1FAC28E2">
      <w:pPr>
        <w:ind w:firstLine="420" w:firstLineChars="200"/>
      </w:pPr>
      <w:r>
        <w:rPr>
          <w:rFonts w:hint="eastAsia" w:asciiTheme="minorEastAsia" w:hAnsiTheme="minorEastAsia" w:eastAsia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四章“投标文件组成要求及格式”中“四、投标人情况及资格证明文件”章节提供的格式）。</w:t>
      </w:r>
    </w:p>
    <w:p w14:paraId="2AA9312E">
      <w:pPr>
        <w:ind w:firstLine="420" w:firstLineChars="200"/>
        <w:rPr>
          <w:rFonts w:hint="eastAsia" w:ascii="仿宋" w:hAnsi="仿宋" w:eastAsia="仿宋"/>
          <w:sz w:val="28"/>
          <w:szCs w:val="28"/>
        </w:rPr>
      </w:pPr>
      <w:r>
        <w:rPr>
          <w:rFonts w:hint="eastAsia"/>
        </w:rPr>
        <w:t>（5）享受价格扣除获得政府采购合同的，小微企业不得将合同分包给大中型企业。</w:t>
      </w:r>
    </w:p>
    <w:bookmarkEnd w:id="34"/>
    <w:p w14:paraId="3AD89AF6">
      <w:pPr>
        <w:pStyle w:val="4"/>
        <w:ind w:firstLine="482" w:firstLineChars="200"/>
        <w:jc w:val="both"/>
        <w:rPr>
          <w:rFonts w:hint="eastAsia"/>
          <w:sz w:val="28"/>
          <w:szCs w:val="28"/>
        </w:rPr>
      </w:pPr>
      <w:r>
        <w:rPr>
          <w:rFonts w:hint="eastAsia"/>
          <w:b/>
          <w:bCs/>
          <w:lang w:val="en-US" w:eastAsia="zh-CN"/>
        </w:rPr>
        <w:t>2、本项目不向中标（成交）供应商收取代理服务费。</w:t>
      </w:r>
    </w:p>
    <w:p w14:paraId="7849AC2B">
      <w:pPr>
        <w:rPr>
          <w:rFonts w:hint="eastAsia"/>
          <w:sz w:val="28"/>
          <w:szCs w:val="28"/>
        </w:rPr>
      </w:pPr>
      <w:r>
        <w:rPr>
          <w:rFonts w:hint="eastAsia"/>
          <w:sz w:val="28"/>
          <w:szCs w:val="28"/>
        </w:rPr>
        <w:br w:type="page"/>
      </w:r>
    </w:p>
    <w:p w14:paraId="405B7274">
      <w:pPr>
        <w:pStyle w:val="4"/>
        <w:rPr>
          <w:sz w:val="28"/>
          <w:szCs w:val="28"/>
        </w:rPr>
      </w:pPr>
      <w:r>
        <w:rPr>
          <w:rFonts w:hint="eastAsia"/>
          <w:sz w:val="28"/>
          <w:szCs w:val="28"/>
        </w:rPr>
        <w:t>第三章 用户需求书</w:t>
      </w:r>
    </w:p>
    <w:p w14:paraId="0F4293F6">
      <w:pPr>
        <w:pStyle w:val="4"/>
        <w:spacing w:before="120" w:beforeLines="50" w:after="120" w:afterLines="50"/>
        <w:rPr>
          <w:szCs w:val="24"/>
        </w:rPr>
      </w:pPr>
      <w:r>
        <w:rPr>
          <w:rFonts w:hint="eastAsia"/>
          <w:szCs w:val="24"/>
        </w:rPr>
        <w:t>一、项目基本信息</w:t>
      </w:r>
    </w:p>
    <w:p w14:paraId="08330F00">
      <w:pPr>
        <w:rPr>
          <w:rFonts w:hint="eastAsia" w:ascii="宋体" w:hAnsi="宋体"/>
          <w:b/>
          <w:color w:val="FF0000"/>
          <w:szCs w:val="21"/>
        </w:rPr>
      </w:pPr>
    </w:p>
    <w:tbl>
      <w:tblPr>
        <w:tblStyle w:val="43"/>
        <w:tblW w:w="48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673"/>
        <w:gridCol w:w="2471"/>
        <w:gridCol w:w="1862"/>
        <w:gridCol w:w="1888"/>
      </w:tblGrid>
      <w:tr w14:paraId="5570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29D3232E">
            <w:pPr>
              <w:keepNext w:val="0"/>
              <w:keepLines w:val="0"/>
              <w:suppressLineNumbers w:val="0"/>
              <w:spacing w:before="0" w:beforeAutospacing="0" w:after="0" w:afterAutospacing="0"/>
              <w:ind w:left="0" w:right="0"/>
              <w:jc w:val="center"/>
              <w:rPr>
                <w:rFonts w:hint="default"/>
                <w:b/>
                <w:szCs w:val="21"/>
              </w:rPr>
            </w:pPr>
            <w:r>
              <w:rPr>
                <w:rFonts w:hint="eastAsia"/>
                <w:b/>
                <w:szCs w:val="21"/>
              </w:rPr>
              <w:t>序号</w:t>
            </w:r>
          </w:p>
        </w:tc>
        <w:tc>
          <w:tcPr>
            <w:tcW w:w="1005" w:type="pct"/>
            <w:vAlign w:val="center"/>
          </w:tcPr>
          <w:p w14:paraId="23F96DAF">
            <w:pPr>
              <w:keepNext w:val="0"/>
              <w:keepLines w:val="0"/>
              <w:suppressLineNumbers w:val="0"/>
              <w:spacing w:before="0" w:beforeAutospacing="0" w:after="0" w:afterAutospacing="0"/>
              <w:ind w:left="0" w:right="0"/>
              <w:jc w:val="center"/>
              <w:rPr>
                <w:rFonts w:hint="default"/>
                <w:b/>
                <w:szCs w:val="21"/>
              </w:rPr>
            </w:pPr>
            <w:r>
              <w:rPr>
                <w:rFonts w:hint="eastAsia"/>
                <w:b/>
                <w:szCs w:val="21"/>
              </w:rPr>
              <w:t>采购计划编号</w:t>
            </w:r>
          </w:p>
        </w:tc>
        <w:tc>
          <w:tcPr>
            <w:tcW w:w="1484" w:type="pct"/>
            <w:vAlign w:val="center"/>
          </w:tcPr>
          <w:p w14:paraId="32F1A17A">
            <w:pPr>
              <w:keepNext w:val="0"/>
              <w:keepLines w:val="0"/>
              <w:suppressLineNumbers w:val="0"/>
              <w:spacing w:before="0" w:beforeAutospacing="0" w:after="0" w:afterAutospacing="0"/>
              <w:ind w:left="0" w:right="0"/>
              <w:jc w:val="center"/>
              <w:rPr>
                <w:rFonts w:hint="default"/>
                <w:b/>
                <w:szCs w:val="21"/>
              </w:rPr>
            </w:pPr>
            <w:r>
              <w:rPr>
                <w:rFonts w:hint="eastAsia"/>
                <w:b/>
                <w:szCs w:val="21"/>
              </w:rPr>
              <w:t>采购项目名称</w:t>
            </w:r>
          </w:p>
        </w:tc>
        <w:tc>
          <w:tcPr>
            <w:tcW w:w="1118" w:type="pct"/>
            <w:vAlign w:val="center"/>
          </w:tcPr>
          <w:p w14:paraId="7ACC830F">
            <w:pPr>
              <w:keepNext w:val="0"/>
              <w:keepLines w:val="0"/>
              <w:suppressLineNumbers w:val="0"/>
              <w:spacing w:before="0" w:beforeAutospacing="0" w:after="0" w:afterAutospacing="0"/>
              <w:ind w:left="0" w:right="0"/>
              <w:jc w:val="center"/>
              <w:rPr>
                <w:rFonts w:hint="default"/>
                <w:b/>
                <w:szCs w:val="21"/>
              </w:rPr>
            </w:pPr>
            <w:r>
              <w:rPr>
                <w:rFonts w:hint="eastAsia"/>
                <w:b/>
                <w:szCs w:val="21"/>
              </w:rPr>
              <w:t>预算金额（元）</w:t>
            </w:r>
          </w:p>
        </w:tc>
        <w:tc>
          <w:tcPr>
            <w:tcW w:w="1134" w:type="pct"/>
            <w:vAlign w:val="center"/>
          </w:tcPr>
          <w:p w14:paraId="12CCCA11">
            <w:pPr>
              <w:keepNext w:val="0"/>
              <w:keepLines w:val="0"/>
              <w:suppressLineNumbers w:val="0"/>
              <w:spacing w:before="0" w:beforeAutospacing="0" w:after="0" w:afterAutospacing="0"/>
              <w:ind w:left="0" w:right="0"/>
              <w:jc w:val="center"/>
              <w:rPr>
                <w:rFonts w:hint="default"/>
                <w:b/>
                <w:szCs w:val="21"/>
              </w:rPr>
            </w:pPr>
            <w:r>
              <w:rPr>
                <w:rFonts w:hint="eastAsia"/>
                <w:b/>
                <w:szCs w:val="21"/>
              </w:rPr>
              <w:t>最高限价（元）</w:t>
            </w:r>
          </w:p>
        </w:tc>
      </w:tr>
      <w:tr w14:paraId="6646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5E88C33C">
            <w:pPr>
              <w:keepNext w:val="0"/>
              <w:keepLines w:val="0"/>
              <w:suppressLineNumbers w:val="0"/>
              <w:spacing w:before="0" w:beforeAutospacing="0" w:after="0" w:afterAutospacing="0"/>
              <w:ind w:left="0" w:right="0"/>
              <w:jc w:val="center"/>
              <w:rPr>
                <w:rFonts w:hint="default"/>
                <w:bCs/>
                <w:szCs w:val="21"/>
              </w:rPr>
            </w:pPr>
            <w:r>
              <w:rPr>
                <w:rFonts w:hint="eastAsia"/>
                <w:bCs/>
                <w:szCs w:val="21"/>
              </w:rPr>
              <w:t>1</w:t>
            </w:r>
          </w:p>
        </w:tc>
        <w:tc>
          <w:tcPr>
            <w:tcW w:w="1005" w:type="pct"/>
            <w:vAlign w:val="center"/>
          </w:tcPr>
          <w:p w14:paraId="3FB6ACB0">
            <w:pPr>
              <w:keepNext w:val="0"/>
              <w:keepLines w:val="0"/>
              <w:suppressLineNumbers w:val="0"/>
              <w:spacing w:before="0" w:beforeAutospacing="0" w:after="0" w:afterAutospacing="0"/>
              <w:ind w:left="0" w:right="0"/>
              <w:jc w:val="center"/>
              <w:rPr>
                <w:rFonts w:hint="default"/>
                <w:bCs/>
                <w:szCs w:val="21"/>
              </w:rPr>
            </w:pPr>
          </w:p>
        </w:tc>
        <w:tc>
          <w:tcPr>
            <w:tcW w:w="1484" w:type="pct"/>
            <w:vAlign w:val="center"/>
          </w:tcPr>
          <w:p w14:paraId="5E0BB83F">
            <w:pPr>
              <w:keepNext w:val="0"/>
              <w:keepLines w:val="0"/>
              <w:suppressLineNumbers w:val="0"/>
              <w:spacing w:before="0" w:beforeAutospacing="0" w:after="0" w:afterAutospacing="0"/>
              <w:ind w:left="0" w:right="0"/>
              <w:jc w:val="center"/>
              <w:rPr>
                <w:rFonts w:hint="eastAsia" w:eastAsia="宋体"/>
                <w:bCs/>
                <w:szCs w:val="21"/>
                <w:lang w:eastAsia="zh-CN"/>
              </w:rPr>
            </w:pPr>
            <w:r>
              <w:rPr>
                <w:rFonts w:hint="eastAsia"/>
                <w:bCs/>
                <w:szCs w:val="21"/>
                <w:lang w:eastAsia="zh-CN"/>
              </w:rPr>
              <w:t>深圳市第三人民医院供应室清洗消毒设备采购</w:t>
            </w:r>
          </w:p>
        </w:tc>
        <w:tc>
          <w:tcPr>
            <w:tcW w:w="1118" w:type="pct"/>
            <w:vAlign w:val="center"/>
          </w:tcPr>
          <w:p w14:paraId="02A840B3">
            <w:pPr>
              <w:keepNext w:val="0"/>
              <w:keepLines w:val="0"/>
              <w:suppressLineNumbers w:val="0"/>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9070000.00</w:t>
            </w:r>
          </w:p>
        </w:tc>
        <w:tc>
          <w:tcPr>
            <w:tcW w:w="1134" w:type="pct"/>
            <w:vAlign w:val="center"/>
          </w:tcPr>
          <w:p w14:paraId="0BC6D784">
            <w:pPr>
              <w:keepNext w:val="0"/>
              <w:keepLines w:val="0"/>
              <w:suppressLineNumbers w:val="0"/>
              <w:spacing w:before="0" w:beforeAutospacing="0" w:after="0" w:afterAutospacing="0"/>
              <w:ind w:left="0" w:right="0"/>
              <w:jc w:val="center"/>
              <w:rPr>
                <w:rFonts w:hint="default"/>
                <w:bCs/>
                <w:szCs w:val="21"/>
              </w:rPr>
            </w:pPr>
            <w:r>
              <w:rPr>
                <w:rFonts w:hint="eastAsia"/>
                <w:bCs/>
                <w:szCs w:val="21"/>
                <w:lang w:val="en-US" w:eastAsia="zh-CN"/>
              </w:rPr>
              <w:t>9070000.00</w:t>
            </w:r>
          </w:p>
        </w:tc>
      </w:tr>
    </w:tbl>
    <w:p w14:paraId="3D22A155">
      <w:pPr>
        <w:rPr>
          <w:rFonts w:hint="eastAsia" w:ascii="宋体" w:hAnsi="宋体"/>
          <w:b/>
          <w:szCs w:val="21"/>
        </w:rPr>
      </w:pPr>
    </w:p>
    <w:p w14:paraId="74941E6E">
      <w:pPr>
        <w:pStyle w:val="4"/>
        <w:spacing w:before="120" w:beforeLines="50" w:after="120" w:afterLines="50"/>
        <w:rPr>
          <w:szCs w:val="24"/>
        </w:rPr>
      </w:pPr>
      <w:bookmarkStart w:id="37" w:name="_Hlk72258617"/>
      <w:r>
        <w:rPr>
          <w:rFonts w:hint="eastAsia"/>
          <w:szCs w:val="24"/>
        </w:rPr>
        <w:t>二、货物清单明细</w:t>
      </w:r>
    </w:p>
    <w:tbl>
      <w:tblPr>
        <w:tblStyle w:val="43"/>
        <w:tblW w:w="55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810"/>
        <w:gridCol w:w="2158"/>
        <w:gridCol w:w="673"/>
        <w:gridCol w:w="552"/>
        <w:gridCol w:w="720"/>
        <w:gridCol w:w="1068"/>
        <w:gridCol w:w="912"/>
        <w:gridCol w:w="980"/>
      </w:tblGrid>
      <w:tr w14:paraId="4272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center"/>
          </w:tcPr>
          <w:p w14:paraId="71605905">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954" w:type="pct"/>
            <w:vAlign w:val="center"/>
          </w:tcPr>
          <w:p w14:paraId="184406C9">
            <w:pPr>
              <w:keepNext w:val="0"/>
              <w:keepLines w:val="0"/>
              <w:suppressLineNumbers w:val="0"/>
              <w:spacing w:before="0" w:beforeAutospacing="0" w:after="0" w:afterAutospacing="0"/>
              <w:ind w:left="0" w:right="0"/>
              <w:jc w:val="center"/>
              <w:rPr>
                <w:rFonts w:hint="default"/>
                <w:bCs/>
                <w:szCs w:val="21"/>
              </w:rPr>
            </w:pPr>
            <w:r>
              <w:rPr>
                <w:rFonts w:hint="eastAsia"/>
                <w:szCs w:val="21"/>
              </w:rPr>
              <w:t>采购计划编号</w:t>
            </w:r>
          </w:p>
        </w:tc>
        <w:tc>
          <w:tcPr>
            <w:tcW w:w="1138" w:type="pct"/>
            <w:vAlign w:val="center"/>
          </w:tcPr>
          <w:p w14:paraId="04C50B24">
            <w:pPr>
              <w:keepNext w:val="0"/>
              <w:keepLines w:val="0"/>
              <w:suppressLineNumbers w:val="0"/>
              <w:spacing w:before="0" w:beforeAutospacing="0" w:after="0" w:afterAutospacing="0"/>
              <w:ind w:left="0" w:right="0"/>
              <w:jc w:val="center"/>
              <w:rPr>
                <w:rFonts w:hint="default"/>
                <w:bCs/>
                <w:szCs w:val="21"/>
              </w:rPr>
            </w:pPr>
            <w:r>
              <w:rPr>
                <w:rFonts w:hint="eastAsia"/>
                <w:bCs/>
                <w:szCs w:val="21"/>
              </w:rPr>
              <w:t>货物名称（标的名称）</w:t>
            </w:r>
          </w:p>
        </w:tc>
        <w:tc>
          <w:tcPr>
            <w:tcW w:w="354" w:type="pct"/>
            <w:vAlign w:val="center"/>
          </w:tcPr>
          <w:p w14:paraId="16490772">
            <w:pPr>
              <w:keepNext w:val="0"/>
              <w:keepLines w:val="0"/>
              <w:suppressLineNumbers w:val="0"/>
              <w:spacing w:before="0" w:beforeAutospacing="0" w:after="0" w:afterAutospacing="0"/>
              <w:ind w:left="0" w:right="0"/>
              <w:jc w:val="center"/>
              <w:rPr>
                <w:rFonts w:hint="default"/>
                <w:bCs/>
                <w:szCs w:val="21"/>
              </w:rPr>
            </w:pPr>
            <w:r>
              <w:rPr>
                <w:rFonts w:hint="eastAsia"/>
                <w:bCs/>
                <w:szCs w:val="21"/>
              </w:rPr>
              <w:t>数量</w:t>
            </w:r>
          </w:p>
        </w:tc>
        <w:tc>
          <w:tcPr>
            <w:tcW w:w="291" w:type="pct"/>
            <w:vAlign w:val="center"/>
          </w:tcPr>
          <w:p w14:paraId="18768C83">
            <w:pPr>
              <w:keepNext w:val="0"/>
              <w:keepLines w:val="0"/>
              <w:suppressLineNumbers w:val="0"/>
              <w:spacing w:before="0" w:beforeAutospacing="0" w:after="0" w:afterAutospacing="0"/>
              <w:ind w:left="0" w:right="0"/>
              <w:jc w:val="center"/>
              <w:rPr>
                <w:rFonts w:hint="eastAsia" w:eastAsia="宋体"/>
                <w:b/>
                <w:bCs/>
                <w:color w:val="FF0000"/>
                <w:szCs w:val="21"/>
                <w:lang w:val="en-US" w:eastAsia="zh-CN"/>
              </w:rPr>
            </w:pPr>
            <w:r>
              <w:rPr>
                <w:rFonts w:hint="eastAsia"/>
                <w:b/>
                <w:bCs/>
                <w:color w:val="FF0000"/>
                <w:szCs w:val="21"/>
                <w:lang w:val="en-US" w:eastAsia="zh-CN"/>
              </w:rPr>
              <w:t>单位</w:t>
            </w:r>
          </w:p>
        </w:tc>
        <w:tc>
          <w:tcPr>
            <w:tcW w:w="379" w:type="pct"/>
            <w:vAlign w:val="center"/>
          </w:tcPr>
          <w:p w14:paraId="0AAF7011">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备注</w:t>
            </w:r>
          </w:p>
        </w:tc>
        <w:tc>
          <w:tcPr>
            <w:tcW w:w="563" w:type="pct"/>
            <w:vAlign w:val="center"/>
          </w:tcPr>
          <w:p w14:paraId="076AF2E1">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预算金额</w:t>
            </w:r>
          </w:p>
          <w:p w14:paraId="2CF445C8">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（元）</w:t>
            </w:r>
          </w:p>
        </w:tc>
        <w:tc>
          <w:tcPr>
            <w:tcW w:w="481" w:type="pct"/>
            <w:vAlign w:val="center"/>
          </w:tcPr>
          <w:p w14:paraId="3225CB4B">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是否专门面向中小企业</w:t>
            </w:r>
          </w:p>
        </w:tc>
        <w:tc>
          <w:tcPr>
            <w:tcW w:w="516" w:type="pct"/>
            <w:vAlign w:val="center"/>
          </w:tcPr>
          <w:p w14:paraId="6EF4DA94">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标的所属行业</w:t>
            </w:r>
          </w:p>
        </w:tc>
      </w:tr>
      <w:tr w14:paraId="7AA1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3709B3B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1</w:t>
            </w:r>
          </w:p>
        </w:tc>
        <w:tc>
          <w:tcPr>
            <w:tcW w:w="954" w:type="pct"/>
            <w:vMerge w:val="restart"/>
            <w:vAlign w:val="center"/>
          </w:tcPr>
          <w:p w14:paraId="0A4125F1">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1138" w:type="pct"/>
            <w:vAlign w:val="center"/>
          </w:tcPr>
          <w:p w14:paraId="00593E96">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单腔清洗消毒器</w:t>
            </w:r>
          </w:p>
        </w:tc>
        <w:tc>
          <w:tcPr>
            <w:tcW w:w="354" w:type="pct"/>
            <w:vAlign w:val="center"/>
          </w:tcPr>
          <w:p w14:paraId="7AC29E2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w:t>
            </w:r>
          </w:p>
        </w:tc>
        <w:tc>
          <w:tcPr>
            <w:tcW w:w="291" w:type="pct"/>
            <w:vAlign w:val="center"/>
          </w:tcPr>
          <w:p w14:paraId="0340BDDB">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173A8867">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563" w:type="pct"/>
            <w:vAlign w:val="center"/>
          </w:tcPr>
          <w:p w14:paraId="3B8FA2D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3120000</w:t>
            </w:r>
          </w:p>
        </w:tc>
        <w:tc>
          <w:tcPr>
            <w:tcW w:w="481" w:type="pct"/>
            <w:vAlign w:val="center"/>
          </w:tcPr>
          <w:p w14:paraId="10681B7B">
            <w:pPr>
              <w:keepNext w:val="0"/>
              <w:keepLines w:val="0"/>
              <w:suppressLineNumbers w:val="0"/>
              <w:spacing w:before="0" w:beforeAutospacing="0" w:after="0" w:afterAutospacing="0"/>
              <w:ind w:left="0" w:right="0"/>
              <w:jc w:val="center"/>
              <w:rPr>
                <w:rFonts w:hint="eastAsia" w:ascii="宋体" w:hAnsi="宋体" w:eastAsia="宋体" w:cs="宋体"/>
                <w:bCs/>
                <w:color w:val="FF0000"/>
                <w:szCs w:val="21"/>
                <w:lang w:eastAsia="zh-CN"/>
              </w:rPr>
            </w:pPr>
            <w:r>
              <w:rPr>
                <w:rFonts w:hint="eastAsia"/>
                <w:bCs/>
                <w:color w:val="FF0000"/>
                <w:szCs w:val="21"/>
                <w:lang w:val="en-US" w:eastAsia="zh-CN"/>
              </w:rPr>
              <w:t>否</w:t>
            </w:r>
          </w:p>
        </w:tc>
        <w:tc>
          <w:tcPr>
            <w:tcW w:w="516" w:type="pct"/>
            <w:vAlign w:val="center"/>
          </w:tcPr>
          <w:p w14:paraId="04F308B1">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53E4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36E22E1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2</w:t>
            </w:r>
          </w:p>
        </w:tc>
        <w:tc>
          <w:tcPr>
            <w:tcW w:w="954" w:type="pct"/>
            <w:vMerge w:val="continue"/>
            <w:vAlign w:val="center"/>
          </w:tcPr>
          <w:p w14:paraId="58BD9232">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1138" w:type="pct"/>
            <w:vAlign w:val="center"/>
          </w:tcPr>
          <w:p w14:paraId="702149C4">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双门负压清洗消毒器</w:t>
            </w:r>
          </w:p>
        </w:tc>
        <w:tc>
          <w:tcPr>
            <w:tcW w:w="354" w:type="pct"/>
            <w:vAlign w:val="center"/>
          </w:tcPr>
          <w:p w14:paraId="0A746EA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p>
        </w:tc>
        <w:tc>
          <w:tcPr>
            <w:tcW w:w="291" w:type="pct"/>
            <w:vAlign w:val="center"/>
          </w:tcPr>
          <w:p w14:paraId="602F865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6303D0F4">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563" w:type="pct"/>
            <w:vAlign w:val="center"/>
          </w:tcPr>
          <w:p w14:paraId="3A2F5F6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800000</w:t>
            </w:r>
          </w:p>
        </w:tc>
        <w:tc>
          <w:tcPr>
            <w:tcW w:w="481" w:type="pct"/>
            <w:vAlign w:val="center"/>
          </w:tcPr>
          <w:p w14:paraId="27118B56">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0F3CC3B9">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72E3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1F2EC00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3</w:t>
            </w:r>
          </w:p>
        </w:tc>
        <w:tc>
          <w:tcPr>
            <w:tcW w:w="954" w:type="pct"/>
            <w:vMerge w:val="continue"/>
            <w:vAlign w:val="center"/>
          </w:tcPr>
          <w:p w14:paraId="3AA1DFFD">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1138" w:type="pct"/>
            <w:vAlign w:val="center"/>
          </w:tcPr>
          <w:p w14:paraId="2C8CE11C">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脉动真空清洗消毒器</w:t>
            </w:r>
          </w:p>
        </w:tc>
        <w:tc>
          <w:tcPr>
            <w:tcW w:w="354" w:type="pct"/>
            <w:vAlign w:val="center"/>
          </w:tcPr>
          <w:p w14:paraId="651C2D41">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p>
        </w:tc>
        <w:tc>
          <w:tcPr>
            <w:tcW w:w="291" w:type="pct"/>
            <w:vAlign w:val="center"/>
          </w:tcPr>
          <w:p w14:paraId="19885952">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73B2787C">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563" w:type="pct"/>
            <w:vAlign w:val="center"/>
          </w:tcPr>
          <w:p w14:paraId="2B4927F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600000</w:t>
            </w:r>
          </w:p>
        </w:tc>
        <w:tc>
          <w:tcPr>
            <w:tcW w:w="481" w:type="pct"/>
            <w:vAlign w:val="center"/>
          </w:tcPr>
          <w:p w14:paraId="6920E3D5">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297DAA8C">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05D7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5CB992A7">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4</w:t>
            </w:r>
          </w:p>
        </w:tc>
        <w:tc>
          <w:tcPr>
            <w:tcW w:w="954" w:type="pct"/>
            <w:vMerge w:val="continue"/>
            <w:vAlign w:val="center"/>
          </w:tcPr>
          <w:p w14:paraId="566B1879">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1138" w:type="pct"/>
            <w:vAlign w:val="center"/>
          </w:tcPr>
          <w:p w14:paraId="53727127">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集中供液系统</w:t>
            </w:r>
          </w:p>
        </w:tc>
        <w:tc>
          <w:tcPr>
            <w:tcW w:w="354" w:type="pct"/>
            <w:vAlign w:val="center"/>
          </w:tcPr>
          <w:p w14:paraId="2C15EA53">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p>
        </w:tc>
        <w:tc>
          <w:tcPr>
            <w:tcW w:w="291" w:type="pct"/>
            <w:vAlign w:val="center"/>
          </w:tcPr>
          <w:p w14:paraId="11A2D0F5">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2BDC1162">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563" w:type="pct"/>
            <w:vAlign w:val="center"/>
          </w:tcPr>
          <w:p w14:paraId="2A3854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280000</w:t>
            </w:r>
          </w:p>
        </w:tc>
        <w:tc>
          <w:tcPr>
            <w:tcW w:w="481" w:type="pct"/>
            <w:vAlign w:val="center"/>
          </w:tcPr>
          <w:p w14:paraId="62383BF6">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29B0D65E">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2E2A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67AFBB00">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5</w:t>
            </w:r>
          </w:p>
        </w:tc>
        <w:tc>
          <w:tcPr>
            <w:tcW w:w="954" w:type="pct"/>
            <w:vMerge w:val="continue"/>
            <w:vAlign w:val="center"/>
          </w:tcPr>
          <w:p w14:paraId="0C3B8542">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1138" w:type="pct"/>
            <w:vAlign w:val="center"/>
          </w:tcPr>
          <w:p w14:paraId="7541024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多功能清洗消毒中心</w:t>
            </w:r>
          </w:p>
        </w:tc>
        <w:tc>
          <w:tcPr>
            <w:tcW w:w="354" w:type="pct"/>
            <w:vAlign w:val="center"/>
          </w:tcPr>
          <w:p w14:paraId="5AF23D5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3</w:t>
            </w:r>
          </w:p>
        </w:tc>
        <w:tc>
          <w:tcPr>
            <w:tcW w:w="291" w:type="pct"/>
            <w:vAlign w:val="center"/>
          </w:tcPr>
          <w:p w14:paraId="0E76B44E">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726E668B">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563" w:type="pct"/>
            <w:vAlign w:val="center"/>
          </w:tcPr>
          <w:p w14:paraId="344211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1350000</w:t>
            </w:r>
          </w:p>
        </w:tc>
        <w:tc>
          <w:tcPr>
            <w:tcW w:w="481" w:type="pct"/>
            <w:vAlign w:val="center"/>
          </w:tcPr>
          <w:p w14:paraId="1C8B93DC">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1A3F612B">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1E6F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64794E06">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6</w:t>
            </w:r>
          </w:p>
        </w:tc>
        <w:tc>
          <w:tcPr>
            <w:tcW w:w="954" w:type="pct"/>
            <w:vMerge w:val="continue"/>
            <w:vAlign w:val="center"/>
          </w:tcPr>
          <w:p w14:paraId="1E69F395">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1138" w:type="pct"/>
            <w:vAlign w:val="center"/>
          </w:tcPr>
          <w:p w14:paraId="12B5A0A3">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多功能清洗槽</w:t>
            </w:r>
          </w:p>
        </w:tc>
        <w:tc>
          <w:tcPr>
            <w:tcW w:w="354" w:type="pct"/>
            <w:vAlign w:val="center"/>
          </w:tcPr>
          <w:p w14:paraId="7D69A33E">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3</w:t>
            </w:r>
          </w:p>
        </w:tc>
        <w:tc>
          <w:tcPr>
            <w:tcW w:w="291" w:type="pct"/>
            <w:vAlign w:val="center"/>
          </w:tcPr>
          <w:p w14:paraId="23BCEA2C">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034F9147">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563" w:type="pct"/>
            <w:vAlign w:val="center"/>
          </w:tcPr>
          <w:p w14:paraId="6B5B4B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720000</w:t>
            </w:r>
          </w:p>
        </w:tc>
        <w:tc>
          <w:tcPr>
            <w:tcW w:w="481" w:type="pct"/>
            <w:vAlign w:val="center"/>
          </w:tcPr>
          <w:p w14:paraId="414836B2">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2445E1F0">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74C7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4C80A16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7</w:t>
            </w:r>
          </w:p>
        </w:tc>
        <w:tc>
          <w:tcPr>
            <w:tcW w:w="954" w:type="pct"/>
            <w:vMerge w:val="continue"/>
            <w:vAlign w:val="center"/>
          </w:tcPr>
          <w:p w14:paraId="77EB7DDE">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1138" w:type="pct"/>
            <w:vAlign w:val="center"/>
          </w:tcPr>
          <w:p w14:paraId="7468D800">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全自动软式內镜清洗消毒器（双缸）</w:t>
            </w:r>
          </w:p>
        </w:tc>
        <w:tc>
          <w:tcPr>
            <w:tcW w:w="354" w:type="pct"/>
            <w:vAlign w:val="center"/>
          </w:tcPr>
          <w:p w14:paraId="3E575102">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p>
        </w:tc>
        <w:tc>
          <w:tcPr>
            <w:tcW w:w="291" w:type="pct"/>
            <w:vAlign w:val="center"/>
          </w:tcPr>
          <w:p w14:paraId="4D63E6F7">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2284C890">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563" w:type="pct"/>
            <w:vAlign w:val="center"/>
          </w:tcPr>
          <w:p w14:paraId="3BCECC4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250000</w:t>
            </w:r>
          </w:p>
        </w:tc>
        <w:tc>
          <w:tcPr>
            <w:tcW w:w="481" w:type="pct"/>
            <w:vAlign w:val="center"/>
          </w:tcPr>
          <w:p w14:paraId="61782028">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127C8CD7">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75E9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3CF69A6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8</w:t>
            </w:r>
          </w:p>
        </w:tc>
        <w:tc>
          <w:tcPr>
            <w:tcW w:w="954" w:type="pct"/>
            <w:vMerge w:val="continue"/>
            <w:vAlign w:val="center"/>
          </w:tcPr>
          <w:p w14:paraId="100F1106">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1138" w:type="pct"/>
            <w:vAlign w:val="center"/>
          </w:tcPr>
          <w:p w14:paraId="50BFA441">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全自动软式內镜清洗消毒器（立式）</w:t>
            </w:r>
          </w:p>
        </w:tc>
        <w:tc>
          <w:tcPr>
            <w:tcW w:w="354" w:type="pct"/>
            <w:vAlign w:val="center"/>
          </w:tcPr>
          <w:p w14:paraId="24E3D877">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p>
        </w:tc>
        <w:tc>
          <w:tcPr>
            <w:tcW w:w="291" w:type="pct"/>
            <w:vAlign w:val="center"/>
          </w:tcPr>
          <w:p w14:paraId="1C38937D">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627301D9">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563" w:type="pct"/>
            <w:vAlign w:val="center"/>
          </w:tcPr>
          <w:p w14:paraId="4FAB139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350000</w:t>
            </w:r>
          </w:p>
        </w:tc>
        <w:tc>
          <w:tcPr>
            <w:tcW w:w="481" w:type="pct"/>
            <w:vAlign w:val="center"/>
          </w:tcPr>
          <w:p w14:paraId="7E9B9B2A">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5F257277">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7581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4FF2FFF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9</w:t>
            </w:r>
          </w:p>
        </w:tc>
        <w:tc>
          <w:tcPr>
            <w:tcW w:w="954" w:type="pct"/>
            <w:vMerge w:val="continue"/>
            <w:vAlign w:val="center"/>
          </w:tcPr>
          <w:p w14:paraId="0B9B45FB">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1138" w:type="pct"/>
            <w:vAlign w:val="center"/>
          </w:tcPr>
          <w:p w14:paraId="5A6EBC2D">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软镜清洗工作站</w:t>
            </w:r>
          </w:p>
        </w:tc>
        <w:tc>
          <w:tcPr>
            <w:tcW w:w="354" w:type="pct"/>
            <w:vAlign w:val="center"/>
          </w:tcPr>
          <w:p w14:paraId="16BB18E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2</w:t>
            </w:r>
          </w:p>
        </w:tc>
        <w:tc>
          <w:tcPr>
            <w:tcW w:w="291" w:type="pct"/>
            <w:vAlign w:val="center"/>
          </w:tcPr>
          <w:p w14:paraId="7561A4B6">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12C5EF8C">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563" w:type="pct"/>
            <w:vAlign w:val="center"/>
          </w:tcPr>
          <w:p w14:paraId="59D935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600000</w:t>
            </w:r>
          </w:p>
        </w:tc>
        <w:tc>
          <w:tcPr>
            <w:tcW w:w="481" w:type="pct"/>
            <w:vAlign w:val="center"/>
          </w:tcPr>
          <w:p w14:paraId="69A9583F">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2AC3DF3B">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4A03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6EC6E9D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10</w:t>
            </w:r>
          </w:p>
        </w:tc>
        <w:tc>
          <w:tcPr>
            <w:tcW w:w="954" w:type="pct"/>
            <w:vMerge w:val="continue"/>
            <w:vAlign w:val="center"/>
          </w:tcPr>
          <w:p w14:paraId="3CF043CE">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1138" w:type="pct"/>
            <w:vAlign w:val="center"/>
          </w:tcPr>
          <w:p w14:paraId="003BC983">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医用干燥柜</w:t>
            </w:r>
          </w:p>
        </w:tc>
        <w:tc>
          <w:tcPr>
            <w:tcW w:w="354" w:type="pct"/>
            <w:vAlign w:val="center"/>
          </w:tcPr>
          <w:p w14:paraId="5C68D50A">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3</w:t>
            </w:r>
          </w:p>
        </w:tc>
        <w:tc>
          <w:tcPr>
            <w:tcW w:w="291" w:type="pct"/>
            <w:vAlign w:val="center"/>
          </w:tcPr>
          <w:p w14:paraId="7646001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338DF8A7">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563" w:type="pct"/>
            <w:vAlign w:val="center"/>
          </w:tcPr>
          <w:p w14:paraId="75E416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600000</w:t>
            </w:r>
          </w:p>
        </w:tc>
        <w:tc>
          <w:tcPr>
            <w:tcW w:w="481" w:type="pct"/>
            <w:vAlign w:val="center"/>
          </w:tcPr>
          <w:p w14:paraId="540544EF">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5EE38C8C">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59B6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639B1F16">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11</w:t>
            </w:r>
          </w:p>
        </w:tc>
        <w:tc>
          <w:tcPr>
            <w:tcW w:w="954" w:type="pct"/>
            <w:vMerge w:val="continue"/>
            <w:vAlign w:val="center"/>
          </w:tcPr>
          <w:p w14:paraId="7902635E">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1138" w:type="pct"/>
            <w:vAlign w:val="center"/>
          </w:tcPr>
          <w:p w14:paraId="42D3523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真空干燥柜</w:t>
            </w:r>
          </w:p>
        </w:tc>
        <w:tc>
          <w:tcPr>
            <w:tcW w:w="354" w:type="pct"/>
            <w:vAlign w:val="center"/>
          </w:tcPr>
          <w:p w14:paraId="5128EC3A">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2</w:t>
            </w:r>
          </w:p>
        </w:tc>
        <w:tc>
          <w:tcPr>
            <w:tcW w:w="291" w:type="pct"/>
            <w:vAlign w:val="center"/>
          </w:tcPr>
          <w:p w14:paraId="4EF6C13E">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4A64B9CE">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563" w:type="pct"/>
            <w:vAlign w:val="center"/>
          </w:tcPr>
          <w:p w14:paraId="178467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400000</w:t>
            </w:r>
          </w:p>
        </w:tc>
        <w:tc>
          <w:tcPr>
            <w:tcW w:w="481" w:type="pct"/>
            <w:vAlign w:val="center"/>
          </w:tcPr>
          <w:p w14:paraId="5645FABC">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41C71A94">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bl>
    <w:p w14:paraId="11940CBD">
      <w:pPr>
        <w:ind w:firstLine="422" w:firstLineChars="200"/>
        <w:rPr>
          <w:rFonts w:hint="eastAsia" w:ascii="宋体" w:hAnsi="宋体"/>
          <w:b/>
          <w:szCs w:val="21"/>
        </w:rPr>
      </w:pPr>
      <w:r>
        <w:rPr>
          <w:rFonts w:hint="eastAsia" w:ascii="宋体" w:hAnsi="宋体" w:cs="宋体"/>
          <w:b/>
          <w:szCs w:val="21"/>
        </w:rPr>
        <w:t>备注：1.备注栏注明“拒绝进口”的产品不接受投标人选用进口产</w:t>
      </w:r>
      <w:r>
        <w:rPr>
          <w:rFonts w:hint="eastAsia" w:ascii="宋体" w:hAnsi="宋体"/>
          <w:b/>
          <w:szCs w:val="21"/>
        </w:rPr>
        <w:t xml:space="preserve">品参与投标；注明“接受进口”的产品允许投标人选用进口产品参与投标，但不排斥国内产品。 </w:t>
      </w:r>
    </w:p>
    <w:p w14:paraId="77B95924">
      <w:pPr>
        <w:ind w:firstLine="422" w:firstLineChars="200"/>
        <w:rPr>
          <w:rFonts w:hint="eastAsia" w:ascii="宋体" w:hAnsi="宋体"/>
          <w:b/>
          <w:szCs w:val="21"/>
        </w:rPr>
      </w:pPr>
      <w:r>
        <w:rPr>
          <w:rFonts w:hint="eastAsia" w:ascii="宋体" w:hAnsi="宋体"/>
          <w:b/>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bookmarkEnd w:id="37"/>
    <w:p w14:paraId="7A5BADD2">
      <w:pPr>
        <w:ind w:firstLine="422" w:firstLineChars="200"/>
        <w:rPr>
          <w:rFonts w:ascii="宋体" w:hAnsi="宋体"/>
          <w:b/>
          <w:color w:val="FF0000"/>
          <w:szCs w:val="21"/>
        </w:rPr>
      </w:pPr>
      <w:bookmarkStart w:id="38" w:name="_Toc128884461"/>
      <w:r>
        <w:rPr>
          <w:rFonts w:hint="eastAsia" w:ascii="宋体" w:hAnsi="宋体"/>
          <w:b/>
          <w:color w:val="FF0000"/>
          <w:szCs w:val="21"/>
        </w:rPr>
        <w:t>3、本项目核心产品为：</w:t>
      </w:r>
      <w:r>
        <w:rPr>
          <w:rFonts w:hint="eastAsia" w:ascii="宋体" w:hAnsi="宋体"/>
          <w:b/>
          <w:color w:val="FF0000"/>
          <w:szCs w:val="21"/>
          <w:u w:val="single"/>
        </w:rPr>
        <w:t xml:space="preserve"> </w:t>
      </w:r>
      <w:r>
        <w:rPr>
          <w:rFonts w:hint="eastAsia"/>
          <w:bCs/>
          <w:color w:val="FF0000"/>
          <w:szCs w:val="21"/>
          <w:highlight w:val="none"/>
          <w:u w:val="single"/>
        </w:rPr>
        <w:t xml:space="preserve">  单腔清洗消毒器（序号</w:t>
      </w:r>
      <w:r>
        <w:rPr>
          <w:rFonts w:hint="eastAsia"/>
          <w:bCs/>
          <w:color w:val="FF0000"/>
          <w:szCs w:val="21"/>
          <w:highlight w:val="none"/>
          <w:u w:val="single"/>
          <w:lang w:val="en-US" w:eastAsia="zh-CN"/>
        </w:rPr>
        <w:t>1</w:t>
      </w:r>
      <w:r>
        <w:rPr>
          <w:rFonts w:hint="eastAsia"/>
          <w:bCs/>
          <w:color w:val="FF0000"/>
          <w:szCs w:val="21"/>
          <w:highlight w:val="none"/>
          <w:u w:val="single"/>
        </w:rPr>
        <w:t>）</w:t>
      </w:r>
      <w:r>
        <w:rPr>
          <w:rFonts w:hint="eastAsia" w:ascii="宋体" w:hAnsi="宋体"/>
          <w:b/>
          <w:color w:val="FF0000"/>
          <w:szCs w:val="21"/>
          <w:highlight w:val="none"/>
        </w:rPr>
        <w:t>。</w:t>
      </w:r>
    </w:p>
    <w:p w14:paraId="69F1CE9F">
      <w:pPr>
        <w:pStyle w:val="4"/>
        <w:spacing w:before="120" w:beforeLines="50" w:after="120" w:afterLines="50"/>
        <w:rPr>
          <w:sz w:val="28"/>
          <w:szCs w:val="28"/>
        </w:rPr>
      </w:pPr>
      <w:r>
        <w:rPr>
          <w:rFonts w:hint="eastAsia"/>
          <w:sz w:val="28"/>
          <w:szCs w:val="28"/>
        </w:rPr>
        <w:t>三、实质性条款</w:t>
      </w:r>
    </w:p>
    <w:tbl>
      <w:tblPr>
        <w:tblStyle w:val="43"/>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0580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7C90A5B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ascii="宋体" w:hAnsi="宋体"/>
                <w:kern w:val="0"/>
                <w:szCs w:val="21"/>
              </w:rPr>
              <w:t>序号</w:t>
            </w:r>
          </w:p>
        </w:tc>
        <w:tc>
          <w:tcPr>
            <w:tcW w:w="7282" w:type="dxa"/>
            <w:vAlign w:val="center"/>
          </w:tcPr>
          <w:p w14:paraId="543161C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ascii="宋体" w:hAnsi="宋体"/>
                <w:kern w:val="0"/>
                <w:szCs w:val="21"/>
              </w:rPr>
              <w:t>实质性条款具体内容</w:t>
            </w:r>
          </w:p>
        </w:tc>
      </w:tr>
      <w:tr w14:paraId="0D84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 w:type="dxa"/>
            <w:vAlign w:val="center"/>
          </w:tcPr>
          <w:p w14:paraId="386389B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ascii="宋体" w:hAnsi="宋体"/>
                <w:kern w:val="0"/>
                <w:szCs w:val="21"/>
              </w:rPr>
              <w:t>1</w:t>
            </w:r>
          </w:p>
        </w:tc>
        <w:tc>
          <w:tcPr>
            <w:tcW w:w="7282" w:type="dxa"/>
            <w:vAlign w:val="center"/>
          </w:tcPr>
          <w:p w14:paraId="5DA7E835">
            <w:pPr>
              <w:keepNext w:val="0"/>
              <w:keepLines w:val="0"/>
              <w:suppressLineNumbers w:val="0"/>
              <w:adjustRightInd w:val="0"/>
              <w:snapToGrid w:val="0"/>
              <w:spacing w:before="0" w:beforeAutospacing="0" w:after="0" w:afterAutospacing="0" w:line="360" w:lineRule="auto"/>
              <w:ind w:left="0" w:right="0"/>
              <w:jc w:val="center"/>
              <w:rPr>
                <w:rFonts w:hint="eastAsia" w:hAnsi="宋体"/>
                <w:kern w:val="0"/>
                <w:szCs w:val="21"/>
                <w:highlight w:val="yellow"/>
              </w:rPr>
            </w:pPr>
            <w:r>
              <w:rPr>
                <w:rFonts w:hint="eastAsia" w:ascii="宋体" w:hAnsi="宋体"/>
                <w:kern w:val="0"/>
                <w:szCs w:val="21"/>
              </w:rPr>
              <w:t>具体以采购文件第三章 用户需求书中带“★”的需求项为准。</w:t>
            </w:r>
          </w:p>
        </w:tc>
      </w:tr>
    </w:tbl>
    <w:p w14:paraId="20615FEF">
      <w:pPr>
        <w:rPr>
          <w:b/>
        </w:rPr>
      </w:pPr>
      <w:r>
        <w:rPr>
          <w:rFonts w:hint="eastAsia"/>
          <w:b/>
        </w:rPr>
        <w:t>注：上表所列内容为不可负偏离条款</w:t>
      </w:r>
      <w:bookmarkEnd w:id="38"/>
      <w:r>
        <w:rPr>
          <w:rFonts w:hint="eastAsia"/>
          <w:b/>
        </w:rPr>
        <w:t>，负偏离将视为未实质性满足招标文件要求作投标无效处理。</w:t>
      </w:r>
    </w:p>
    <w:p w14:paraId="52AA19F5">
      <w:pPr>
        <w:pStyle w:val="18"/>
      </w:pPr>
    </w:p>
    <w:p w14:paraId="62B2A671">
      <w:pPr>
        <w:pStyle w:val="4"/>
        <w:spacing w:before="120" w:beforeLines="50" w:after="120" w:afterLines="50"/>
        <w:rPr>
          <w:sz w:val="28"/>
          <w:szCs w:val="28"/>
        </w:rPr>
      </w:pPr>
      <w:r>
        <w:rPr>
          <w:rFonts w:hint="eastAsia"/>
          <w:sz w:val="28"/>
          <w:szCs w:val="28"/>
        </w:rPr>
        <w:t>四、技术要求</w:t>
      </w:r>
    </w:p>
    <w:p w14:paraId="7AA8201A">
      <w:pPr>
        <w:ind w:firstLine="422" w:firstLineChars="200"/>
        <w:rPr>
          <w:b/>
        </w:rPr>
      </w:pPr>
      <w:r>
        <w:rPr>
          <w:rFonts w:hint="eastAsia"/>
          <w:b/>
          <w:szCs w:val="21"/>
        </w:rPr>
        <w:t>说明：</w:t>
      </w:r>
      <w:r>
        <w:rPr>
          <w:b/>
          <w:szCs w:val="21"/>
        </w:rPr>
        <w:t xml:space="preserve"> </w:t>
      </w:r>
      <w:r>
        <w:rPr>
          <w:b/>
        </w:rPr>
        <w:t>1</w:t>
      </w:r>
      <w:r>
        <w:rPr>
          <w:rFonts w:hint="eastAsia"/>
          <w:b/>
        </w:rPr>
        <w:t>.评分时，如对一项招标技术要求（以划分框为准）中的内容存在两处（或以上）负偏离的，在评分时只作一项负偏离扣分。</w:t>
      </w:r>
    </w:p>
    <w:p w14:paraId="1EE48A98">
      <w:pPr>
        <w:ind w:firstLine="422" w:firstLineChars="200"/>
        <w:rPr>
          <w:b/>
          <w:szCs w:val="21"/>
        </w:rPr>
      </w:pPr>
      <w:r>
        <w:rPr>
          <w:b/>
          <w:szCs w:val="21"/>
        </w:rPr>
        <w:t>2</w:t>
      </w:r>
      <w:r>
        <w:rPr>
          <w:rFonts w:hint="eastAsia"/>
          <w:b/>
          <w:szCs w:val="21"/>
        </w:rPr>
        <w:t>.带★号条款为不可负偏离条款，不作为评分准则中的评分内容，如未响应或出现负偏离的，将作投标无效处理；带“</w:t>
      </w:r>
      <w:r>
        <w:t>▲</w:t>
      </w:r>
      <w:r>
        <w:rPr>
          <w:rFonts w:hint="eastAsia"/>
          <w:b/>
          <w:szCs w:val="21"/>
        </w:rPr>
        <w:t>”指标项为重要参数条款，负偏离时依相关评分准则内容作重点扣分处理。</w:t>
      </w:r>
    </w:p>
    <w:p w14:paraId="40A5BA84">
      <w:pPr>
        <w:ind w:firstLine="422" w:firstLineChars="200"/>
        <w:rPr>
          <w:b/>
          <w:szCs w:val="21"/>
        </w:rPr>
      </w:pPr>
      <w:r>
        <w:rPr>
          <w:b/>
          <w:szCs w:val="21"/>
        </w:rPr>
        <w:t>3</w:t>
      </w:r>
      <w:bookmarkStart w:id="39" w:name="_Hlk72585069"/>
      <w:r>
        <w:rPr>
          <w:rFonts w:hint="eastAsia"/>
          <w:b/>
          <w:szCs w:val="21"/>
        </w:rPr>
        <w:t>.招标技术要求中，用</w:t>
      </w:r>
      <w:r>
        <w:rPr>
          <w:rFonts w:hint="eastAsia"/>
          <w:b/>
          <w:color w:val="FF0000"/>
          <w:szCs w:val="21"/>
        </w:rPr>
        <w:t>红色加粗字体标注</w:t>
      </w:r>
      <w:r>
        <w:rPr>
          <w:rFonts w:hint="eastAsia"/>
          <w:b/>
          <w:szCs w:val="21"/>
        </w:rPr>
        <w:t>的指标项均要求提供证明资料；其余指标项未要求提供证明资料，无需提供相关证明资料。</w:t>
      </w:r>
    </w:p>
    <w:p w14:paraId="30F136DE">
      <w:pPr>
        <w:ind w:firstLine="422" w:firstLineChars="200"/>
        <w:rPr>
          <w:b/>
        </w:rPr>
      </w:pPr>
      <w:r>
        <w:rPr>
          <w:rFonts w:hint="eastAsia"/>
          <w:b/>
        </w:rPr>
        <w:t>4.涉及区间的参数，除特别注明以外，</w:t>
      </w:r>
      <w:bookmarkStart w:id="40" w:name="_Hlk75447406"/>
      <w:r>
        <w:rPr>
          <w:rFonts w:hint="eastAsia"/>
          <w:b/>
        </w:rPr>
        <w:t>产品参数区间与招标要求不一致的均视为负偏离。</w:t>
      </w:r>
      <w:bookmarkEnd w:id="40"/>
      <w:r>
        <w:rPr>
          <w:rFonts w:hint="eastAsia"/>
          <w:b/>
        </w:rPr>
        <w:t>例：区间要求为0-20ML,只要响应的不是“0-20ML”，如投标文件响应为 0-15ML 、0-21ML 、1-12ML 、 9-20ML 、6-21ML 、9ML等情形均视为负偏离。</w:t>
      </w:r>
    </w:p>
    <w:bookmarkEnd w:id="39"/>
    <w:tbl>
      <w:tblPr>
        <w:tblStyle w:val="43"/>
        <w:tblW w:w="8708"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26"/>
        <w:gridCol w:w="7382"/>
      </w:tblGrid>
      <w:tr w14:paraId="00EE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326" w:type="dxa"/>
            <w:tcBorders>
              <w:top w:val="single" w:color="auto" w:sz="4" w:space="0"/>
              <w:left w:val="single" w:color="auto" w:sz="4" w:space="0"/>
              <w:bottom w:val="single" w:color="auto" w:sz="4" w:space="0"/>
              <w:right w:val="single" w:color="auto" w:sz="4" w:space="0"/>
            </w:tcBorders>
            <w:shd w:val="clear" w:color="auto" w:fill="auto"/>
            <w:vAlign w:val="center"/>
          </w:tcPr>
          <w:p w14:paraId="0FC9F109">
            <w:pPr>
              <w:keepNext w:val="0"/>
              <w:keepLines w:val="0"/>
              <w:suppressLineNumbers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z w:val="21"/>
                <w:szCs w:val="21"/>
              </w:rPr>
              <w:br w:type="page"/>
            </w:r>
            <w:r>
              <w:rPr>
                <w:rFonts w:hint="eastAsia" w:ascii="宋体" w:hAnsi="宋体" w:eastAsia="宋体" w:cs="宋体"/>
                <w:kern w:val="0"/>
                <w:sz w:val="21"/>
                <w:szCs w:val="21"/>
                <w:lang w:val="en-US" w:eastAsia="zh-CN" w:bidi="ar"/>
              </w:rPr>
              <w:t>货物名称</w:t>
            </w:r>
          </w:p>
        </w:tc>
        <w:tc>
          <w:tcPr>
            <w:tcW w:w="7382" w:type="dxa"/>
            <w:tcBorders>
              <w:top w:val="single" w:color="auto" w:sz="4" w:space="0"/>
              <w:left w:val="nil"/>
              <w:bottom w:val="single" w:color="auto" w:sz="4" w:space="0"/>
              <w:right w:val="single" w:color="auto" w:sz="4" w:space="0"/>
            </w:tcBorders>
            <w:shd w:val="clear" w:color="auto" w:fill="auto"/>
            <w:vAlign w:val="center"/>
          </w:tcPr>
          <w:p w14:paraId="367A8B2B">
            <w:pPr>
              <w:keepNext w:val="0"/>
              <w:keepLines w:val="0"/>
              <w:widowControl/>
              <w:suppressLineNumbers w:val="0"/>
              <w:spacing w:before="0" w:beforeAutospacing="1" w:after="0" w:afterAutospacing="1"/>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招标技术要求</w:t>
            </w:r>
          </w:p>
        </w:tc>
      </w:tr>
      <w:tr w14:paraId="7247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restart"/>
            <w:tcBorders>
              <w:top w:val="nil"/>
              <w:left w:val="single" w:color="auto" w:sz="4" w:space="0"/>
              <w:bottom w:val="single" w:color="auto" w:sz="4" w:space="0"/>
              <w:right w:val="single" w:color="auto" w:sz="4" w:space="0"/>
            </w:tcBorders>
            <w:shd w:val="clear" w:color="auto" w:fill="auto"/>
            <w:vAlign w:val="center"/>
          </w:tcPr>
          <w:p w14:paraId="5CF5A14E">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1、单腔清洗消毒器</w:t>
            </w:r>
          </w:p>
        </w:tc>
        <w:tc>
          <w:tcPr>
            <w:tcW w:w="7382" w:type="dxa"/>
            <w:tcBorders>
              <w:top w:val="single" w:color="auto" w:sz="4" w:space="0"/>
              <w:left w:val="nil"/>
              <w:bottom w:val="single" w:color="auto" w:sz="4" w:space="0"/>
              <w:right w:val="single" w:color="auto" w:sz="4" w:space="0"/>
            </w:tcBorders>
            <w:shd w:val="clear" w:color="auto" w:fill="auto"/>
            <w:vAlign w:val="top"/>
          </w:tcPr>
          <w:p w14:paraId="184E7B35">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设备用途以及功能：用于清洗、消毒和干燥各类可重复使用的手术器械、器皿、托盘、碗类、麻醉器械等物品，舱体容积≥500L</w:t>
            </w:r>
          </w:p>
        </w:tc>
      </w:tr>
      <w:tr w14:paraId="0D65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46530E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DC124D4">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▲4台清洗机的总安装宽度≤4300mm,设备检修间位于设备上方及下方，左右两侧无需预留检修空间（提供产品彩页和设备安装摆放图纸</w:t>
            </w:r>
            <w:r>
              <w:rPr>
                <w:rFonts w:hint="eastAsia" w:ascii="宋体" w:hAnsi="宋体" w:cs="宋体"/>
                <w:b/>
                <w:bCs/>
                <w:color w:val="FF0000"/>
                <w:kern w:val="2"/>
                <w:sz w:val="21"/>
                <w:szCs w:val="21"/>
                <w:lang w:val="en-US" w:eastAsia="zh-CN" w:bidi="ar"/>
              </w:rPr>
              <w:t>扫描件，</w:t>
            </w:r>
            <w:r>
              <w:rPr>
                <w:rFonts w:hint="eastAsia" w:ascii="宋体" w:hAnsi="宋体" w:eastAsia="宋体" w:cs="宋体"/>
                <w:b/>
                <w:bCs/>
                <w:color w:val="FF0000"/>
                <w:kern w:val="2"/>
                <w:sz w:val="21"/>
                <w:szCs w:val="21"/>
                <w:lang w:val="en-US" w:eastAsia="zh-CN" w:bidi="ar"/>
              </w:rPr>
              <w:t>证明材料能</w:t>
            </w:r>
            <w:r>
              <w:rPr>
                <w:rFonts w:hint="eastAsia" w:ascii="宋体" w:hAnsi="宋体" w:cs="宋体"/>
                <w:b/>
                <w:bCs/>
                <w:color w:val="FF0000"/>
                <w:kern w:val="2"/>
                <w:sz w:val="21"/>
                <w:szCs w:val="21"/>
                <w:highlight w:val="yellow"/>
                <w:lang w:val="en-US" w:eastAsia="zh-CN" w:bidi="ar"/>
              </w:rPr>
              <w:t>均</w:t>
            </w:r>
            <w:r>
              <w:rPr>
                <w:rFonts w:hint="eastAsia" w:ascii="宋体" w:hAnsi="宋体" w:eastAsia="宋体" w:cs="宋体"/>
                <w:b/>
                <w:bCs/>
                <w:color w:val="FF0000"/>
                <w:kern w:val="2"/>
                <w:sz w:val="21"/>
                <w:szCs w:val="21"/>
                <w:lang w:val="en-US" w:eastAsia="zh-CN" w:bidi="ar"/>
              </w:rPr>
              <w:t>体现满足</w:t>
            </w:r>
            <w:r>
              <w:rPr>
                <w:rFonts w:hint="eastAsia" w:ascii="宋体" w:hAnsi="宋体" w:cs="宋体"/>
                <w:b/>
                <w:bCs/>
                <w:color w:val="FF0000"/>
                <w:kern w:val="2"/>
                <w:sz w:val="21"/>
                <w:szCs w:val="21"/>
                <w:lang w:val="en-US" w:eastAsia="zh-CN" w:bidi="ar"/>
              </w:rPr>
              <w:t>前述</w:t>
            </w:r>
            <w:r>
              <w:rPr>
                <w:rFonts w:hint="eastAsia" w:ascii="宋体" w:hAnsi="宋体" w:eastAsia="宋体" w:cs="宋体"/>
                <w:b/>
                <w:bCs/>
                <w:color w:val="FF0000"/>
                <w:kern w:val="2"/>
                <w:sz w:val="21"/>
                <w:szCs w:val="21"/>
                <w:lang w:val="en-US" w:eastAsia="zh-CN" w:bidi="ar"/>
              </w:rPr>
              <w:t>技术要求）</w:t>
            </w:r>
          </w:p>
        </w:tc>
      </w:tr>
      <w:tr w14:paraId="7660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25500C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66798FF">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管路及干燥设计：预热水箱，双水箱设计；双风机供风，内外循环双级加热系统循环泵（不锈钢泵体，流量≥1000L/分钟）</w:t>
            </w:r>
          </w:p>
        </w:tc>
      </w:tr>
      <w:tr w14:paraId="360D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00B0EF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7905E3D">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为保证喷淋臂出水压力：清洗架注水口位于清洗腔体中心的底部，对接口采用弹簧预紧和水压压紧双向密封方式</w:t>
            </w:r>
          </w:p>
        </w:tc>
      </w:tr>
      <w:tr w14:paraId="3429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68557F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92CFE04">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色彩报警工作提示：设备在运行、报警、待机状态下，舱体内设具备至少三种色彩观察灯提示</w:t>
            </w:r>
          </w:p>
        </w:tc>
      </w:tr>
      <w:tr w14:paraId="3230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C4289F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F9F4840">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手术器械全循环程序单锅次运行时间≤35分钟，程序至少包含预洗、清洗、漂洗一、漂洗二、消毒、干燥等全循环流程，可自动打印过程曲线记录、过程报表记录、并记录A0值；完全开放端口，数据与医院使用追溯管理系统对接</w:t>
            </w:r>
          </w:p>
        </w:tc>
      </w:tr>
      <w:tr w14:paraId="6C8F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B07B08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A17B681">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人机交互界面：≥8英寸彩色触摸屏，前后双屏，能动态的显示设备各个功能部件的运行状态及设备运行的各个状态参数；具有报警信息显示功能</w:t>
            </w:r>
          </w:p>
        </w:tc>
      </w:tr>
      <w:tr w14:paraId="4C0F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8C1BB5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6C7F20C">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程序名称：≥10套预置程序，≥20套自定义程序，操作界面至少应包含以下经过验证的预设程序：手术器械程序，传染物品程序，手术机器人器械程序，化学消毒程序，管腔器械程序，自清洁程序等</w:t>
            </w:r>
          </w:p>
        </w:tc>
      </w:tr>
      <w:tr w14:paraId="395A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BD0D9B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1DCE9C1">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化学助剂流量监测：可以通过输入化学助剂使用比例，进行智能计算，并通过流量计精准控制进监测给量</w:t>
            </w:r>
          </w:p>
        </w:tc>
      </w:tr>
      <w:tr w14:paraId="011D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1FE12F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E599977">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加热方式：具有蒸汽加热和电加热两种模式；</w:t>
            </w:r>
          </w:p>
        </w:tc>
      </w:tr>
      <w:tr w14:paraId="3BB3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1D181D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40432DA">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▲消毒方式：同时具备湿热消毒和化学消毒，湿热消毒A0值：≥3000，温度：≥93℃（提供产品技术白皮书或产品彩页或厂家参数确认函扫描件，证明材料能体现满足</w:t>
            </w:r>
            <w:r>
              <w:rPr>
                <w:rFonts w:hint="eastAsia" w:ascii="宋体" w:hAnsi="宋体" w:cs="宋体"/>
                <w:b/>
                <w:bCs/>
                <w:color w:val="FF0000"/>
                <w:kern w:val="2"/>
                <w:sz w:val="21"/>
                <w:szCs w:val="21"/>
                <w:lang w:val="en-US" w:eastAsia="zh-CN" w:bidi="ar"/>
              </w:rPr>
              <w:t>前述</w:t>
            </w:r>
            <w:r>
              <w:rPr>
                <w:rFonts w:hint="eastAsia" w:ascii="宋体" w:hAnsi="宋体" w:eastAsia="宋体" w:cs="宋体"/>
                <w:b/>
                <w:bCs/>
                <w:color w:val="FF0000"/>
                <w:kern w:val="2"/>
                <w:sz w:val="21"/>
                <w:szCs w:val="21"/>
                <w:lang w:val="en-US" w:eastAsia="zh-CN" w:bidi="ar"/>
              </w:rPr>
              <w:t>技术要求）</w:t>
            </w:r>
          </w:p>
        </w:tc>
      </w:tr>
      <w:tr w14:paraId="36B0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440924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B5CFB44">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清洗用水电导率≤15μm，设备设有智能化水质监测系统，自动检测进入腔体的清洗用水的电导率，并在设备运行屏幕上显示电导率数值，自动根据电导率大小对清洗流程进行清洗质量控制</w:t>
            </w:r>
          </w:p>
        </w:tc>
      </w:tr>
      <w:tr w14:paraId="5A75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987A15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FB9F3DA">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b/>
                <w:bCs/>
                <w:color w:val="FF0000"/>
                <w:kern w:val="2"/>
                <w:sz w:val="21"/>
                <w:szCs w:val="21"/>
              </w:rPr>
            </w:pPr>
            <w:r>
              <w:rPr>
                <w:rFonts w:hint="eastAsia" w:ascii="宋体" w:hAnsi="宋体" w:eastAsia="宋体" w:cs="宋体"/>
                <w:b/>
                <w:bCs/>
                <w:color w:val="FF0000"/>
                <w:kern w:val="2"/>
                <w:sz w:val="21"/>
                <w:szCs w:val="21"/>
                <w:lang w:val="en-US" w:eastAsia="zh-CN" w:bidi="ar"/>
              </w:rPr>
              <w:t>▲器械清洗消毒兼容性认证：全自动清洗消毒器应具备手术机器人器械清洗程序及工艺（提供手术机器人厂家出具的器械清洗兼容性检测报告）</w:t>
            </w:r>
          </w:p>
        </w:tc>
      </w:tr>
      <w:tr w14:paraId="0554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C4D51B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3598827">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b/>
                <w:bCs/>
                <w:color w:val="FF0000"/>
                <w:kern w:val="2"/>
                <w:sz w:val="21"/>
                <w:szCs w:val="21"/>
              </w:rPr>
            </w:pPr>
            <w:r>
              <w:rPr>
                <w:rFonts w:hint="eastAsia" w:ascii="宋体" w:hAnsi="宋体" w:eastAsia="宋体" w:cs="宋体"/>
                <w:b/>
                <w:bCs/>
                <w:color w:val="FF0000"/>
                <w:kern w:val="2"/>
                <w:sz w:val="21"/>
                <w:szCs w:val="21"/>
                <w:lang w:val="en-US" w:eastAsia="zh-CN" w:bidi="ar"/>
              </w:rPr>
              <w:t>▲消毒温度及消毒效果：热力消毒达到高水平消毒等级，产品经过第三方检测机构对主要杀菌因子强度和微生物杀灭效果进行鉴定（运行包含手术器械程序、管腔器械程序、器皿器械程序、麻醉器皿程序、塑料制品程序、化学消毒程序），对金黄色葡萄球菌、大肠杆菌和白色念珠菌杀灭对数值均&gt;3.00，枯草杆菌黑色变种芽抱杀灭对数值均&gt;3.00（提供由第三方检验检测机构出具并加盖（或带有）CMA标志的检验检测报告扫描件，检测标准为《消毒技术规范》）</w:t>
            </w:r>
          </w:p>
        </w:tc>
      </w:tr>
      <w:tr w14:paraId="06A9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5C3889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83C4F20">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采用全自动喷淋清洗，包含酶洗、碱洗、上油等程序，≥3个全自动加酶泵，程序可调节;并具有热力消毒、化学消毒、热风干燥等功能。</w:t>
            </w:r>
          </w:p>
        </w:tc>
      </w:tr>
      <w:tr w14:paraId="1A27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182302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E77E2DD">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color w:val="FF0000"/>
                <w:kern w:val="2"/>
                <w:sz w:val="21"/>
                <w:szCs w:val="21"/>
              </w:rPr>
            </w:pPr>
            <w:r>
              <w:rPr>
                <w:rFonts w:hint="eastAsia" w:ascii="宋体" w:hAnsi="宋体" w:eastAsia="宋体" w:cs="宋体"/>
                <w:b/>
                <w:bCs/>
                <w:color w:val="FF0000"/>
                <w:kern w:val="2"/>
                <w:sz w:val="21"/>
                <w:szCs w:val="21"/>
                <w:lang w:val="en-US" w:eastAsia="zh-CN" w:bidi="ar"/>
              </w:rPr>
              <w:t>▲设备智慧化要求：具备AGV机器人自动对接装卸载接口，可实现清洗物流机器人和全自动清洗消毒器主机互联互通，自动读取并运行程序，并实现自动卸载，清洗架自动回传，设备运行的清洗数据和参数通过设备监控软件和医院追溯系统对接，可实现自动化、智慧化、信息化运行（提供清洗物流机器人和全自动清洗消毒器对接的实物照片和技术白皮书，证明材料</w:t>
            </w:r>
            <w:r>
              <w:rPr>
                <w:rFonts w:hint="eastAsia" w:ascii="宋体" w:hAnsi="宋体" w:cs="宋体"/>
                <w:b/>
                <w:bCs/>
                <w:color w:val="FF0000"/>
                <w:kern w:val="2"/>
                <w:sz w:val="21"/>
                <w:szCs w:val="21"/>
                <w:highlight w:val="yellow"/>
                <w:lang w:val="en-US" w:eastAsia="zh-CN" w:bidi="ar"/>
              </w:rPr>
              <w:t>均</w:t>
            </w:r>
            <w:r>
              <w:rPr>
                <w:rFonts w:hint="eastAsia" w:ascii="宋体" w:hAnsi="宋体" w:eastAsia="宋体" w:cs="宋体"/>
                <w:b/>
                <w:bCs/>
                <w:color w:val="FF0000"/>
                <w:kern w:val="2"/>
                <w:sz w:val="21"/>
                <w:szCs w:val="21"/>
                <w:lang w:val="en-US" w:eastAsia="zh-CN" w:bidi="ar"/>
              </w:rPr>
              <w:t>能体现满足以上技术要求）</w:t>
            </w:r>
          </w:p>
        </w:tc>
      </w:tr>
      <w:tr w14:paraId="4A74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E4E5AE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83F2CFE">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卸载清洗物流机器人：</w:t>
            </w:r>
          </w:p>
          <w:p w14:paraId="26AC0513">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18.1导航方式：使用双激光SLAM导航方式，可实时创建地图并修正机器人位置，采用实时算法来保证设备轨迹运行的精确度，导航精度可达到±10mm，机器人对接位可选配二维码模式。</w:t>
            </w:r>
          </w:p>
        </w:tc>
      </w:tr>
      <w:tr w14:paraId="79F5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11DDC3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3E6F996">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18.2车体结构：主体为304不锈钢材质，设备宽长度980±10mm，宽度880±10mm，高度880±10mm ，承载能力≥150kg。</w:t>
            </w:r>
          </w:p>
        </w:tc>
      </w:tr>
      <w:tr w14:paraId="49A7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EDD041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BF8A495">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18.3机器人控制器：可直接与用户驱动设备交互，内置惯导模块，可对机器人姿态实时感应，能够对抗打滑，外部推搡等情况；可预留接口，提供外置接口和通讯总线，具备多传感器安全防护满足多种通信协议，具备ModBus、TCP/IP协议供外部调用。</w:t>
            </w:r>
          </w:p>
        </w:tc>
      </w:tr>
      <w:tr w14:paraId="069C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E63691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5C972CF">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18.4配套可视化软件系统：可一站式实现对机器人的标定、建图、导航、配置、监控等可视化操作，具备智能地图编辑，路径规划、可视化地图编辑功能。</w:t>
            </w:r>
          </w:p>
        </w:tc>
      </w:tr>
      <w:tr w14:paraId="00F1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3A7413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022C3F2">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18.5电池：采用可重复充电磷酸铁锂电池，使用寿命≥1500次循环（其容量≥80%），机器人满载可持续运行≥8小时。</w:t>
            </w:r>
          </w:p>
        </w:tc>
      </w:tr>
      <w:tr w14:paraId="25EC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B220BD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B1E6968">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18.6驱动方式：运用两轮差速驱动电机驱动，可原地360°差速转向。</w:t>
            </w:r>
          </w:p>
        </w:tc>
      </w:tr>
      <w:tr w14:paraId="1741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A892E3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5A2A7A5">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18.7机器人外壳采用不低于V0级阻燃材料。</w:t>
            </w:r>
          </w:p>
        </w:tc>
      </w:tr>
      <w:tr w14:paraId="1BD9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53138D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7ECD9EC">
            <w:pPr>
              <w:keepNext w:val="0"/>
              <w:keepLines w:val="0"/>
              <w:widowControl w:val="0"/>
              <w:numPr>
                <w:ilvl w:val="0"/>
                <w:numId w:val="7"/>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★配置要求：</w:t>
            </w:r>
          </w:p>
          <w:p w14:paraId="276DE226">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高效清洗消毒器4台</w:t>
            </w:r>
          </w:p>
          <w:p w14:paraId="60214CC9">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卸载清洗物流机器人2台</w:t>
            </w:r>
          </w:p>
          <w:p w14:paraId="3E70C2C7">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弯盘清洗架4个、器械清洗架2个、手术机器人清洗架1个、外搬运车8辆，打印纸50卷</w:t>
            </w:r>
          </w:p>
          <w:p w14:paraId="70BACDDD">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传递窗7台，配置要求：双门互锁，根据现场进行定制</w:t>
            </w:r>
          </w:p>
          <w:p w14:paraId="3FFF58D3">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空气压缩机1台，配置要求：工作噪音≤30分贝，无油，除尘，产气量≥600L/min</w:t>
            </w:r>
          </w:p>
          <w:p w14:paraId="60413792">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精密垫50个，配置要求：300±10mm×600±10mm</w:t>
            </w:r>
          </w:p>
          <w:p w14:paraId="0A27664F">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除锈箱(恒温)2台，配置要求：可调节时间及温度</w:t>
            </w:r>
          </w:p>
          <w:p w14:paraId="491BB279">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小车清洗水枪2台：用于污车的手工清洗，污车清洗沥水区地面要做不锈钢沥水排水装置</w:t>
            </w:r>
          </w:p>
          <w:p w14:paraId="3A0636AE">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调压试气枪3台，配置要求：温度及压力可调节</w:t>
            </w:r>
          </w:p>
          <w:p w14:paraId="24B7B173">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移动式气枪3台，配置要求：温度及压力可调节</w:t>
            </w:r>
          </w:p>
          <w:p w14:paraId="6958F8E3">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高倍放大镜(显微镜款)1个</w:t>
            </w:r>
          </w:p>
          <w:p w14:paraId="6FD9F4BC">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管腔检查仪1台：对软式内镜及管腔器械的清洗质量进行检测</w:t>
            </w:r>
          </w:p>
          <w:p w14:paraId="24E51B21">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8-10倍放大镜：8台</w:t>
            </w:r>
          </w:p>
          <w:p w14:paraId="2072D571">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U形器械撑开架100个</w:t>
            </w:r>
          </w:p>
          <w:p w14:paraId="27781418">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不锈钢标识牌200个，根据需求定制</w:t>
            </w:r>
          </w:p>
          <w:p w14:paraId="280DFF45">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 xml:space="preserve">不锈钢清洗篮筐100个，配置要求：不锈钢材质，480×250×70mm±10mm  </w:t>
            </w:r>
          </w:p>
          <w:p w14:paraId="6E6DBA13">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颜色标记牌100个，配置要求：pp材质，耐高温，不同颜色</w:t>
            </w:r>
          </w:p>
          <w:p w14:paraId="2845D05D">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按照去污区300㎡配置空气消毒机3台：采用等离子体＋静电吸附消毒灭菌，内含复合式过滤器，额定循环风量≥1000m³/h。</w:t>
            </w:r>
          </w:p>
          <w:p w14:paraId="14C88323">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按照去污区300㎡配置大型除湿机3台：循环风量≥500m³/h,除湿量≥60（L/D）可移动</w:t>
            </w:r>
          </w:p>
          <w:p w14:paraId="244DEF3E">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highlight w:val="none"/>
                <w:lang w:val="en-US" w:eastAsia="zh-CN" w:bidi="ar"/>
              </w:rPr>
              <w:t>绝缘检测仪1台 ：为医院消毒供应中</w:t>
            </w:r>
            <w:r>
              <w:rPr>
                <w:rFonts w:hint="eastAsia" w:ascii="宋体" w:hAnsi="宋体" w:eastAsia="宋体" w:cs="宋体"/>
                <w:kern w:val="2"/>
                <w:sz w:val="21"/>
                <w:szCs w:val="21"/>
                <w:lang w:val="en-US" w:eastAsia="zh-CN" w:bidi="ar"/>
              </w:rPr>
              <w:t>心、手术室和内镜室等科室现场对有源医疗器械进行绝缘或通断检测;触摸屏操作控制;具有声、光、影三种方式同时报警提示;输出电压0～5000 V可调；</w:t>
            </w:r>
          </w:p>
          <w:p w14:paraId="2CED8FF4">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单头洗眼器2台</w:t>
            </w:r>
          </w:p>
          <w:p w14:paraId="06DF02F3">
            <w:pPr>
              <w:keepNext w:val="0"/>
              <w:keepLines w:val="0"/>
              <w:widowControl w:val="0"/>
              <w:numPr>
                <w:ilvl w:val="0"/>
                <w:numId w:val="8"/>
              </w:numPr>
              <w:suppressLineNumbers w:val="0"/>
              <w:autoSpaceDE w:val="0"/>
              <w:autoSpaceDN/>
              <w:spacing w:before="0" w:beforeAutospacing="0" w:after="0" w:afterAutospacing="0"/>
              <w:ind w:left="425" w:leftChars="0" w:right="0" w:hanging="425"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牙科注油机3台 ：功率≤25W,配有≥4个注油接头，可实现同时给4把手机自动注油                                                </w:t>
            </w:r>
          </w:p>
        </w:tc>
      </w:tr>
      <w:tr w14:paraId="5B1C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restart"/>
            <w:tcBorders>
              <w:top w:val="nil"/>
              <w:left w:val="single" w:color="auto" w:sz="4" w:space="0"/>
              <w:bottom w:val="single" w:color="auto" w:sz="4" w:space="0"/>
              <w:right w:val="single" w:color="auto" w:sz="4" w:space="0"/>
            </w:tcBorders>
            <w:shd w:val="clear" w:color="auto" w:fill="auto"/>
            <w:vAlign w:val="center"/>
          </w:tcPr>
          <w:p w14:paraId="542183B5">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2、双门负压清洗消毒器</w:t>
            </w:r>
          </w:p>
        </w:tc>
        <w:tc>
          <w:tcPr>
            <w:tcW w:w="7382" w:type="dxa"/>
            <w:tcBorders>
              <w:top w:val="single" w:color="auto" w:sz="4" w:space="0"/>
              <w:left w:val="nil"/>
              <w:bottom w:val="single" w:color="auto" w:sz="4" w:space="0"/>
              <w:right w:val="single" w:color="auto" w:sz="4" w:space="0"/>
            </w:tcBorders>
            <w:shd w:val="clear" w:color="auto" w:fill="auto"/>
            <w:vAlign w:val="top"/>
          </w:tcPr>
          <w:p w14:paraId="119C82E1">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容积≥200L，双门，升降门，镶嵌式安装实现洁污分离</w:t>
            </w:r>
          </w:p>
        </w:tc>
      </w:tr>
      <w:tr w14:paraId="7B07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2B4015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2042950">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装载量及装载方式：≥12个腔镜器械托盘（长580±5mm×宽250±5mm×高60±5mm）， 最多可放≥15个器械械托盘（长480±5mm×宽250±5mm×高50±5mm）；清洗物品拆解后可直接放于清洗篮筐内装载，清洗篮筐可叠放舱体内清洗，清洗管腔器械不需要对接管道</w:t>
            </w:r>
          </w:p>
        </w:tc>
      </w:tr>
      <w:tr w14:paraId="0F4C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2EA40B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5A242F1">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材质要求：舱体采用316Ti或者更优不锈钢材质</w:t>
            </w:r>
          </w:p>
        </w:tc>
      </w:tr>
      <w:tr w14:paraId="4630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B47ABD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E727D8C">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color w:val="FF0000"/>
                <w:kern w:val="2"/>
                <w:sz w:val="21"/>
                <w:szCs w:val="21"/>
                <w:lang w:val="en-US" w:eastAsia="zh-CN" w:bidi="ar"/>
              </w:rPr>
              <w:t>▲主体采用环形加强筋结构或者夹套结构，提高加热效果，保证承压能力</w:t>
            </w:r>
            <w:r>
              <w:rPr>
                <w:rFonts w:hint="eastAsia" w:ascii="宋体" w:hAnsi="宋体" w:eastAsia="宋体" w:cs="宋体"/>
                <w:b/>
                <w:bCs/>
                <w:color w:val="FF0000"/>
                <w:kern w:val="2"/>
                <w:sz w:val="21"/>
                <w:szCs w:val="21"/>
                <w:lang w:val="en-US" w:eastAsia="zh-CN" w:bidi="ar"/>
              </w:rPr>
              <w:t>（提供产品技术白皮书或者产品彩页或者厂家参数确认函扫描件，证明材料能体现满足前述技术要求</w:t>
            </w:r>
            <w:r>
              <w:rPr>
                <w:rFonts w:hint="eastAsia" w:ascii="宋体" w:hAnsi="宋体" w:eastAsia="宋体" w:cs="宋体"/>
                <w:color w:val="FF0000"/>
                <w:kern w:val="2"/>
                <w:sz w:val="21"/>
                <w:szCs w:val="21"/>
                <w:lang w:val="en-US" w:eastAsia="zh-CN" w:bidi="ar"/>
              </w:rPr>
              <w:t>）</w:t>
            </w:r>
          </w:p>
        </w:tc>
      </w:tr>
      <w:tr w14:paraId="6A4B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DA75EE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C8EFD8E">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玻璃视窗：门中央应设置一个大玻璃方形视窗，玻璃视窗面积应≥800cm²</w:t>
            </w:r>
          </w:p>
        </w:tc>
      </w:tr>
      <w:tr w14:paraId="0CAF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D3A556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F5A2A56">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工作原理：脉动真空清洗、真空超声清洗、煮沸消毒、真空干燥、热风干燥</w:t>
            </w:r>
          </w:p>
        </w:tc>
      </w:tr>
      <w:tr w14:paraId="67C2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51EBD2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18674BA">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清洗效果：按照《消毒技术规范》标准的要求对设备的清洗效果进行检测，检测结果合格。（提供2022年1月1日起至本项目投标截止日止由第三方检测机构出具带有CMA标志的符合上述检测依据和检测参数要求的检测报告扫描件）。</w:t>
            </w:r>
          </w:p>
        </w:tc>
      </w:tr>
      <w:tr w14:paraId="4B25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C8F382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12ACE47">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超声波功率可调：根据不同液位自动调整超声功率</w:t>
            </w:r>
          </w:p>
        </w:tc>
      </w:tr>
      <w:tr w14:paraId="0686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D5D921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69767F4">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加热方式：蒸汽加热</w:t>
            </w:r>
          </w:p>
        </w:tc>
      </w:tr>
      <w:tr w14:paraId="30F2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3737C0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E440642">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多段水位：设备具有二段或三段水位选择功能，选择不同水位时，设备自动依据进水量计算清洗剂和润滑剂的使用量</w:t>
            </w:r>
          </w:p>
        </w:tc>
      </w:tr>
      <w:tr w14:paraId="0BD5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953964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2E1BCDF">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程序数量：≥10 套预置程序，≥20 套自定义程序，用户可根据需要进行程序编辑</w:t>
            </w:r>
          </w:p>
        </w:tc>
      </w:tr>
      <w:tr w14:paraId="2131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F88A79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1042490">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▲器械清洗消毒兼容性认证：双门负压清洗消毒器应具备</w:t>
            </w:r>
            <w:r>
              <w:rPr>
                <w:rFonts w:hint="eastAsia" w:ascii="宋体" w:hAnsi="宋体" w:cs="宋体"/>
                <w:b/>
                <w:bCs/>
                <w:color w:val="FF0000"/>
                <w:kern w:val="2"/>
                <w:sz w:val="21"/>
                <w:szCs w:val="21"/>
                <w:lang w:val="en-US" w:eastAsia="zh-CN" w:bidi="ar"/>
              </w:rPr>
              <w:t>腔镜</w:t>
            </w:r>
            <w:r>
              <w:rPr>
                <w:rFonts w:hint="eastAsia" w:ascii="宋体" w:hAnsi="宋体" w:eastAsia="宋体" w:cs="宋体"/>
                <w:b/>
                <w:bCs/>
                <w:color w:val="FF0000"/>
                <w:kern w:val="2"/>
                <w:sz w:val="21"/>
                <w:szCs w:val="21"/>
                <w:lang w:val="en-US" w:eastAsia="zh-CN" w:bidi="ar"/>
              </w:rPr>
              <w:t>手术机器人器械清洗程序及工艺（提供</w:t>
            </w:r>
            <w:r>
              <w:rPr>
                <w:rFonts w:hint="eastAsia" w:ascii="宋体" w:hAnsi="宋体" w:cs="宋体"/>
                <w:b/>
                <w:bCs/>
                <w:color w:val="FF0000"/>
                <w:kern w:val="2"/>
                <w:sz w:val="21"/>
                <w:szCs w:val="21"/>
                <w:lang w:val="en-US" w:eastAsia="zh-CN" w:bidi="ar"/>
              </w:rPr>
              <w:t>腔镜</w:t>
            </w:r>
            <w:r>
              <w:rPr>
                <w:rFonts w:hint="eastAsia" w:ascii="宋体" w:hAnsi="宋体" w:eastAsia="宋体" w:cs="宋体"/>
                <w:b/>
                <w:bCs/>
                <w:color w:val="FF0000"/>
                <w:kern w:val="2"/>
                <w:sz w:val="21"/>
                <w:szCs w:val="21"/>
                <w:lang w:val="en-US" w:eastAsia="zh-CN" w:bidi="ar"/>
              </w:rPr>
              <w:t>手术机器人厂家出具的器械清洗兼容性检测报告）</w:t>
            </w:r>
          </w:p>
        </w:tc>
      </w:tr>
      <w:tr w14:paraId="7979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F961D7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778ADE8">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记录方式：可自动打印过程曲线、并记录 A0 值，在去污区获取打印记录；</w:t>
            </w:r>
          </w:p>
        </w:tc>
      </w:tr>
      <w:tr w14:paraId="0688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3B0641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874E7DB">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控制系统：采用工业模块化PLC 控制器，开放信息端口与医院追溯系统关联</w:t>
            </w:r>
          </w:p>
        </w:tc>
      </w:tr>
      <w:tr w14:paraId="4AF4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37F7AB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CE0AE06">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显示屏：≥8 英寸彩色触摸屏</w:t>
            </w:r>
          </w:p>
        </w:tc>
      </w:tr>
      <w:tr w14:paraId="3A67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85D27A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197B355">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密封方式：压缩气主动密封</w:t>
            </w:r>
          </w:p>
        </w:tc>
      </w:tr>
      <w:tr w14:paraId="1D57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4BB79F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CDA6F9F">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换热装置：采用板式换热器</w:t>
            </w:r>
          </w:p>
        </w:tc>
      </w:tr>
      <w:tr w14:paraId="479F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57820E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33F3CA2">
            <w:pPr>
              <w:keepNext w:val="0"/>
              <w:keepLines w:val="0"/>
              <w:widowControl w:val="0"/>
              <w:numPr>
                <w:ilvl w:val="0"/>
                <w:numId w:val="9"/>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压缩气压力检测装置：若气源＜0.5MPA，自动报警</w:t>
            </w:r>
          </w:p>
        </w:tc>
      </w:tr>
      <w:tr w14:paraId="33ED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714D5E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E75CA9C">
            <w:pPr>
              <w:keepNext w:val="0"/>
              <w:keepLines w:val="0"/>
              <w:widowControl w:val="0"/>
              <w:numPr>
                <w:ilvl w:val="0"/>
                <w:numId w:val="9"/>
              </w:numPr>
              <w:suppressLineNumbers w:val="0"/>
              <w:spacing w:before="0" w:beforeAutospacing="0" w:after="0" w:afterAutospacing="0"/>
              <w:ind w:left="0" w:leftChars="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★配置要求：</w:t>
            </w:r>
          </w:p>
          <w:p w14:paraId="5210AC15">
            <w:pPr>
              <w:keepNext w:val="0"/>
              <w:keepLines w:val="0"/>
              <w:widowControl w:val="0"/>
              <w:suppressLineNumbers w:val="0"/>
              <w:spacing w:before="0" w:beforeAutospacing="0" w:after="0" w:afterAutospacing="0"/>
              <w:ind w:left="0" w:leftChars="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脉动真空清洗消毒器1台、</w:t>
            </w:r>
          </w:p>
          <w:p w14:paraId="05521430">
            <w:pPr>
              <w:keepNext w:val="0"/>
              <w:keepLines w:val="0"/>
              <w:widowControl w:val="0"/>
              <w:suppressLineNumbers w:val="0"/>
              <w:spacing w:before="0" w:beforeAutospacing="0" w:after="0" w:afterAutospacing="0"/>
              <w:ind w:left="0" w:leftChars="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外搬运车2辆、</w:t>
            </w:r>
          </w:p>
          <w:p w14:paraId="3F439CA5">
            <w:pPr>
              <w:keepNext w:val="0"/>
              <w:keepLines w:val="0"/>
              <w:widowControl w:val="0"/>
              <w:suppressLineNumbers w:val="0"/>
              <w:spacing w:before="0" w:beforeAutospacing="0" w:after="0" w:afterAutospacing="0"/>
              <w:ind w:left="0" w:leftChars="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标准器械清洗架1个、</w:t>
            </w:r>
          </w:p>
          <w:p w14:paraId="2E03F6D5">
            <w:pPr>
              <w:keepNext w:val="0"/>
              <w:keepLines w:val="0"/>
              <w:widowControl w:val="0"/>
              <w:suppressLineNumbers w:val="0"/>
              <w:spacing w:before="0" w:beforeAutospacing="0" w:after="0" w:afterAutospacing="0"/>
              <w:ind w:left="0" w:leftChars="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牙科手机清洗架1个，</w:t>
            </w:r>
          </w:p>
          <w:p w14:paraId="7655F8EB">
            <w:pPr>
              <w:keepNext w:val="0"/>
              <w:keepLines w:val="0"/>
              <w:widowControl w:val="0"/>
              <w:suppressLineNumbers w:val="0"/>
              <w:spacing w:before="0" w:beforeAutospacing="0" w:after="0" w:afterAutospacing="0"/>
              <w:ind w:left="0" w:leftChars="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打印纸50卷、</w:t>
            </w:r>
          </w:p>
          <w:p w14:paraId="7D6EDE09">
            <w:pPr>
              <w:keepNext w:val="0"/>
              <w:keepLines w:val="0"/>
              <w:widowControl w:val="0"/>
              <w:suppressLineNumbers w:val="0"/>
              <w:spacing w:before="0" w:beforeAutospacing="0" w:after="0" w:afterAutospacing="0"/>
              <w:ind w:left="0" w:leftChars="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洁净蒸汽发生器1台：功率≥120KW,水容积≤40L,包含蒸发器与清洗机的蒸汽管道安装施工</w:t>
            </w:r>
          </w:p>
        </w:tc>
      </w:tr>
      <w:tr w14:paraId="6AF1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restart"/>
            <w:tcBorders>
              <w:top w:val="nil"/>
              <w:left w:val="single" w:color="auto" w:sz="4" w:space="0"/>
              <w:bottom w:val="single" w:color="auto" w:sz="4" w:space="0"/>
              <w:right w:val="single" w:color="auto" w:sz="4" w:space="0"/>
            </w:tcBorders>
            <w:shd w:val="clear" w:color="auto" w:fill="auto"/>
            <w:vAlign w:val="center"/>
          </w:tcPr>
          <w:p w14:paraId="18590563">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3、脉动真空清洗消毒器</w:t>
            </w:r>
          </w:p>
        </w:tc>
        <w:tc>
          <w:tcPr>
            <w:tcW w:w="7382" w:type="dxa"/>
            <w:tcBorders>
              <w:top w:val="single" w:color="auto" w:sz="4" w:space="0"/>
              <w:left w:val="nil"/>
              <w:bottom w:val="single" w:color="auto" w:sz="4" w:space="0"/>
              <w:right w:val="single" w:color="auto" w:sz="4" w:space="0"/>
            </w:tcBorders>
            <w:shd w:val="clear" w:color="auto" w:fill="auto"/>
            <w:vAlign w:val="top"/>
          </w:tcPr>
          <w:p w14:paraId="6406F587">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容积≥150L，双门，升降门，镶嵌式安装实现洁污分离</w:t>
            </w:r>
          </w:p>
        </w:tc>
      </w:tr>
      <w:tr w14:paraId="036C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C98479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374F8CF">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装载量及装载方式：≥8个腔镜器械托盘（≥580±5×250±5×60±5mm）， 最多可放≥10个器械托盘（长480±5mm×宽250±5mm×高50±5mm）；清洗物品拆解后可直接放于清洗篮筐内装载，清洗管腔器械不需要对接，舱体内不需要摇摆机构，减少操作量及器械损伤</w:t>
            </w:r>
          </w:p>
        </w:tc>
      </w:tr>
      <w:tr w14:paraId="4473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376195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75493AB">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color w:val="FF0000"/>
                <w:kern w:val="2"/>
                <w:sz w:val="21"/>
                <w:szCs w:val="21"/>
                <w:lang w:val="en-US" w:eastAsia="zh-CN" w:bidi="ar"/>
              </w:rPr>
              <w:t xml:space="preserve">▲材质要求：舱体采用316Ti不锈钢及以上材质 </w:t>
            </w:r>
            <w:r>
              <w:rPr>
                <w:rFonts w:hint="eastAsia" w:ascii="宋体" w:hAnsi="宋体" w:eastAsia="宋体" w:cs="宋体"/>
                <w:b/>
                <w:bCs/>
                <w:color w:val="FF0000"/>
                <w:kern w:val="2"/>
                <w:sz w:val="21"/>
                <w:szCs w:val="21"/>
                <w:lang w:val="en-US" w:eastAsia="zh-CN" w:bidi="ar"/>
              </w:rPr>
              <w:t>（提供产品技术白皮书或者产品彩页或者厂家参数确认函扫描件，证明材料能体现满足前述技术要求</w:t>
            </w:r>
            <w:r>
              <w:rPr>
                <w:rFonts w:hint="eastAsia" w:ascii="宋体" w:hAnsi="宋体" w:eastAsia="宋体" w:cs="宋体"/>
                <w:color w:val="FF0000"/>
                <w:kern w:val="2"/>
                <w:sz w:val="21"/>
                <w:szCs w:val="21"/>
                <w:lang w:val="en-US" w:eastAsia="zh-CN" w:bidi="ar"/>
              </w:rPr>
              <w:t>）</w:t>
            </w:r>
          </w:p>
        </w:tc>
      </w:tr>
      <w:tr w14:paraId="27A5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B9CC4A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16D26F6">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玻璃视窗：门中央设置一个玻璃视窗，玻璃视窗面积≥200cm²</w:t>
            </w:r>
          </w:p>
        </w:tc>
      </w:tr>
      <w:tr w14:paraId="08FC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DA080F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E290478">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工作原理：脉动真空清洗、真空超声清洗、煮沸消毒、真空干燥、热风干燥</w:t>
            </w:r>
          </w:p>
        </w:tc>
      </w:tr>
      <w:tr w14:paraId="41A2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B49AB8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20028F4">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清洗效果：按照《消毒技术规范》标准的要求对设备的清洗效果进行检测，检测结果合格。（提供2022年1月1日起至本项目投标截止日止由第三方检测机构出具带有CMA标志的符合上述检测依据和检测参数要求的检测报告扫描件）。</w:t>
            </w:r>
          </w:p>
        </w:tc>
      </w:tr>
      <w:tr w14:paraId="29C8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3DDFD3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DFAF843">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超声波功率可调：根据不同液位自动调整超声功率</w:t>
            </w:r>
          </w:p>
        </w:tc>
      </w:tr>
      <w:tr w14:paraId="7485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1B07C2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1A54B46">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加热方式：蒸汽加热</w:t>
            </w:r>
          </w:p>
        </w:tc>
      </w:tr>
      <w:tr w14:paraId="3C83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533B58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4BEAE68">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多段水位：设备具有二段或三段水位选择功能，选择不同水位时，设备自动依据进水量计算清洗剂和润滑剂的使用量</w:t>
            </w:r>
          </w:p>
        </w:tc>
      </w:tr>
      <w:tr w14:paraId="7207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108F58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D9991AB">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程序数量：≥10 套预置程序，≥20 套自定义程序，用户可根据需要进行程序编辑</w:t>
            </w:r>
          </w:p>
        </w:tc>
      </w:tr>
      <w:tr w14:paraId="0901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A4456D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3B7C260">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器械清洗消毒兼容性认证：脉动真空清洗消毒器应具备</w:t>
            </w:r>
            <w:r>
              <w:rPr>
                <w:rFonts w:hint="eastAsia" w:ascii="宋体" w:hAnsi="宋体" w:cs="宋体"/>
                <w:b/>
                <w:bCs/>
                <w:color w:val="FF0000"/>
                <w:kern w:val="2"/>
                <w:sz w:val="21"/>
                <w:szCs w:val="21"/>
                <w:lang w:val="en-US" w:eastAsia="zh-CN" w:bidi="ar"/>
              </w:rPr>
              <w:t>腔镜</w:t>
            </w:r>
            <w:r>
              <w:rPr>
                <w:rFonts w:hint="eastAsia" w:ascii="宋体" w:hAnsi="宋体" w:eastAsia="宋体" w:cs="宋体"/>
                <w:b/>
                <w:bCs/>
                <w:color w:val="FF0000"/>
                <w:kern w:val="2"/>
                <w:sz w:val="21"/>
                <w:szCs w:val="21"/>
                <w:lang w:val="en-US" w:eastAsia="zh-CN" w:bidi="ar"/>
              </w:rPr>
              <w:t>手术机器人器械清洗程序及工艺（提供</w:t>
            </w:r>
            <w:r>
              <w:rPr>
                <w:rFonts w:hint="eastAsia" w:ascii="宋体" w:hAnsi="宋体" w:cs="宋体"/>
                <w:b/>
                <w:bCs/>
                <w:color w:val="FF0000"/>
                <w:kern w:val="2"/>
                <w:sz w:val="21"/>
                <w:szCs w:val="21"/>
                <w:lang w:val="en-US" w:eastAsia="zh-CN" w:bidi="ar"/>
              </w:rPr>
              <w:t>腔镜</w:t>
            </w:r>
            <w:r>
              <w:rPr>
                <w:rFonts w:hint="eastAsia" w:ascii="宋体" w:hAnsi="宋体" w:eastAsia="宋体" w:cs="宋体"/>
                <w:b/>
                <w:bCs/>
                <w:color w:val="FF0000"/>
                <w:kern w:val="2"/>
                <w:sz w:val="21"/>
                <w:szCs w:val="21"/>
                <w:lang w:val="en-US" w:eastAsia="zh-CN" w:bidi="ar"/>
              </w:rPr>
              <w:t>手术机器人厂家出具的器械清洗兼容性检测报告）</w:t>
            </w:r>
          </w:p>
        </w:tc>
      </w:tr>
      <w:tr w14:paraId="0163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BFA6D4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3F0F699">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记录方式：可自动打印过程曲线、并记录 A0 值，在去污区设备装载端获取打印记录；完全开放信息端口与医院追溯系统关联。</w:t>
            </w:r>
          </w:p>
        </w:tc>
      </w:tr>
      <w:tr w14:paraId="5C84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D8FD21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1442465">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控制系统：≥8 英寸彩色触摸屏，工业模块化 PLC 控制器；</w:t>
            </w:r>
          </w:p>
        </w:tc>
      </w:tr>
      <w:tr w14:paraId="3EB4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2138BA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F20332F">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密封方式：采用压缩气主动密封</w:t>
            </w:r>
          </w:p>
        </w:tc>
      </w:tr>
      <w:tr w14:paraId="751D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E2519D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848A218">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换热装置：采用板式换热器</w:t>
            </w:r>
          </w:p>
        </w:tc>
      </w:tr>
      <w:tr w14:paraId="569E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8872FA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540BF51">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压缩气压力检测装置：若气源＜0.5MPA，自动报警</w:t>
            </w:r>
          </w:p>
        </w:tc>
      </w:tr>
      <w:tr w14:paraId="2517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70467B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F1183A8">
            <w:pPr>
              <w:keepNext w:val="0"/>
              <w:keepLines w:val="0"/>
              <w:widowControl w:val="0"/>
              <w:numPr>
                <w:ilvl w:val="0"/>
                <w:numId w:val="10"/>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★配置清单：主机1台、清洗篮筐8个</w:t>
            </w:r>
          </w:p>
        </w:tc>
      </w:tr>
      <w:tr w14:paraId="493C7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restart"/>
            <w:tcBorders>
              <w:top w:val="nil"/>
              <w:left w:val="single" w:color="auto" w:sz="4" w:space="0"/>
              <w:bottom w:val="single" w:color="auto" w:sz="4" w:space="0"/>
              <w:right w:val="single" w:color="auto" w:sz="4" w:space="0"/>
            </w:tcBorders>
            <w:shd w:val="clear" w:color="auto" w:fill="auto"/>
            <w:vAlign w:val="center"/>
          </w:tcPr>
          <w:p w14:paraId="4AED8A66">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4、集中供液系统</w:t>
            </w:r>
          </w:p>
        </w:tc>
        <w:tc>
          <w:tcPr>
            <w:tcW w:w="7382" w:type="dxa"/>
            <w:tcBorders>
              <w:top w:val="single" w:color="auto" w:sz="4" w:space="0"/>
              <w:left w:val="nil"/>
              <w:bottom w:val="single" w:color="auto" w:sz="4" w:space="0"/>
              <w:right w:val="single" w:color="auto" w:sz="4" w:space="0"/>
            </w:tcBorders>
            <w:shd w:val="clear" w:color="auto" w:fill="auto"/>
            <w:vAlign w:val="top"/>
          </w:tcPr>
          <w:p w14:paraId="76A8D666">
            <w:pPr>
              <w:keepNext w:val="0"/>
              <w:keepLines w:val="0"/>
              <w:widowControl w:val="0"/>
              <w:numPr>
                <w:ilvl w:val="0"/>
                <w:numId w:val="11"/>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通过微电脑控制，对清洗酶、碱性清洗液、润滑剂等化学助剂实现集中供应及管理，并可与追溯系统或者监控系统互联方便查询，可显示总量及余量，清洗液不足或管道堵塞能提前预警</w:t>
            </w:r>
          </w:p>
        </w:tc>
      </w:tr>
      <w:tr w14:paraId="6D23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8E51F7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0A9310C">
            <w:pPr>
              <w:keepNext w:val="0"/>
              <w:keepLines w:val="0"/>
              <w:widowControl w:val="0"/>
              <w:numPr>
                <w:ilvl w:val="0"/>
                <w:numId w:val="11"/>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接口数量：最多可同时供应≥20台清洗用液设备</w:t>
            </w:r>
          </w:p>
        </w:tc>
      </w:tr>
      <w:tr w14:paraId="2300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0775E4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EC5D427">
            <w:pPr>
              <w:keepNext w:val="0"/>
              <w:keepLines w:val="0"/>
              <w:widowControl w:val="0"/>
              <w:numPr>
                <w:ilvl w:val="0"/>
                <w:numId w:val="11"/>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控制系统：采用≥7英寸触摸屏操作；</w:t>
            </w:r>
          </w:p>
        </w:tc>
      </w:tr>
      <w:tr w14:paraId="261B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3D05D3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C0DB384">
            <w:pPr>
              <w:keepNext w:val="0"/>
              <w:keepLines w:val="0"/>
              <w:widowControl w:val="0"/>
              <w:numPr>
                <w:ilvl w:val="0"/>
                <w:numId w:val="11"/>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材质：框架、外罩、箱体采用304不锈钢或以上材质</w:t>
            </w:r>
          </w:p>
        </w:tc>
      </w:tr>
      <w:tr w14:paraId="0A08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0CA905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D057F6A">
            <w:pPr>
              <w:keepNext w:val="0"/>
              <w:keepLines w:val="0"/>
              <w:widowControl w:val="0"/>
              <w:numPr>
                <w:ilvl w:val="0"/>
                <w:numId w:val="11"/>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输送距离：化学助剂最远输送距离≥200m</w:t>
            </w:r>
          </w:p>
        </w:tc>
      </w:tr>
      <w:tr w14:paraId="1304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4E9004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2F898D5">
            <w:pPr>
              <w:keepNext w:val="0"/>
              <w:keepLines w:val="0"/>
              <w:widowControl w:val="0"/>
              <w:numPr>
                <w:ilvl w:val="0"/>
                <w:numId w:val="11"/>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输液泵精度：±2%</w:t>
            </w:r>
          </w:p>
        </w:tc>
      </w:tr>
      <w:tr w14:paraId="13F4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ED8C12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DC36974">
            <w:pPr>
              <w:keepNext w:val="0"/>
              <w:keepLines w:val="0"/>
              <w:widowControl w:val="0"/>
              <w:suppressLineNumbers w:val="0"/>
              <w:spacing w:before="0" w:beforeAutospacing="0" w:after="0" w:afterAutospacing="0"/>
              <w:ind w:left="0" w:leftChars="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7、★配置要求：集中供液系统主机1台、蠕动泵3台、储液箱3个、聚四氟乙烯输送管道1套</w:t>
            </w:r>
          </w:p>
        </w:tc>
      </w:tr>
      <w:tr w14:paraId="0EFA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restart"/>
            <w:tcBorders>
              <w:top w:val="nil"/>
              <w:left w:val="single" w:color="auto" w:sz="4" w:space="0"/>
              <w:bottom w:val="single" w:color="auto" w:sz="4" w:space="0"/>
              <w:right w:val="single" w:color="auto" w:sz="4" w:space="0"/>
            </w:tcBorders>
            <w:shd w:val="clear" w:color="auto" w:fill="auto"/>
            <w:vAlign w:val="center"/>
          </w:tcPr>
          <w:p w14:paraId="0AE3BB7F">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5、多功能清洗消毒中心</w:t>
            </w:r>
          </w:p>
        </w:tc>
        <w:tc>
          <w:tcPr>
            <w:tcW w:w="7382" w:type="dxa"/>
            <w:tcBorders>
              <w:top w:val="single" w:color="auto" w:sz="4" w:space="0"/>
              <w:left w:val="nil"/>
              <w:bottom w:val="single" w:color="auto" w:sz="4" w:space="0"/>
              <w:right w:val="single" w:color="auto" w:sz="4" w:space="0"/>
            </w:tcBorders>
            <w:shd w:val="clear" w:color="auto" w:fill="auto"/>
            <w:vAlign w:val="top"/>
          </w:tcPr>
          <w:p w14:paraId="262BF156">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备用途及结构：用于各类手术器械、管腔器械等器械的清洗、消毒。设备至少包含酶洗槽、超声槽（升降式超声波清洗机）、预清洗槽（蒸汽清洗装置）、纯水漂洗槽（加水枪）、煮沸槽（升降式煮沸消毒机）、干燥台（配气枪）组成，配有防护罩、排风装置及蒸汽清洗装置</w:t>
            </w:r>
          </w:p>
        </w:tc>
      </w:tr>
      <w:tr w14:paraId="318D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399D33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4AED795">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主体材质要求：台面及背板采用不锈钢或以上材质，槽体采用304不锈钢或以上材质，厚度≥1.5mm</w:t>
            </w:r>
          </w:p>
        </w:tc>
      </w:tr>
      <w:tr w14:paraId="00D8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7A536D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5666D58">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台面形状要求：沥水台面四周采用滚筋结构中间低四周高，清洗时的水不会流落地面，台面高度≥850mm</w:t>
            </w:r>
          </w:p>
        </w:tc>
      </w:tr>
      <w:tr w14:paraId="76C5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C27B92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F79E8F8">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槽盖材质要求：采用不锈钢整体成型，配置密封条，确保清洗时的密封</w:t>
            </w:r>
          </w:p>
        </w:tc>
      </w:tr>
      <w:tr w14:paraId="102E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74103C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027D9E8">
            <w:pPr>
              <w:keepNext w:val="0"/>
              <w:keepLines w:val="0"/>
              <w:widowControl w:val="0"/>
              <w:numPr>
                <w:ilvl w:val="0"/>
                <w:numId w:val="12"/>
              </w:numPr>
              <w:suppressLineNumbers w:val="0"/>
              <w:autoSpaceDE w:val="0"/>
              <w:autoSpaceDN/>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清洗槽规格尺寸要求：</w:t>
            </w:r>
          </w:p>
          <w:p w14:paraId="374DCCED">
            <w:pPr>
              <w:keepNext w:val="0"/>
              <w:keepLines w:val="0"/>
              <w:widowControl w:val="0"/>
              <w:numPr>
                <w:ilvl w:val="1"/>
                <w:numId w:val="12"/>
              </w:numPr>
              <w:suppressLineNumbers w:val="0"/>
              <w:autoSpaceDE w:val="0"/>
              <w:autoSpaceDN/>
              <w:spacing w:before="0" w:beforeAutospacing="0" w:after="0" w:afterAutospacing="0"/>
              <w:ind w:left="174" w:leftChars="0" w:right="0" w:rightChars="0" w:hanging="174" w:hangingChars="83"/>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标准槽：长550±10mm×宽550±10mm×高280±10mm，加大槽长800±10mm×宽550±10mm×高330±10mm，</w:t>
            </w:r>
          </w:p>
          <w:p w14:paraId="4DE47111">
            <w:pPr>
              <w:keepNext w:val="0"/>
              <w:keepLines w:val="0"/>
              <w:widowControl w:val="0"/>
              <w:numPr>
                <w:ilvl w:val="1"/>
                <w:numId w:val="12"/>
              </w:numPr>
              <w:suppressLineNumbers w:val="0"/>
              <w:autoSpaceDE w:val="0"/>
              <w:autoSpaceDN/>
              <w:spacing w:before="0" w:beforeAutospacing="0" w:after="0" w:afterAutospacing="0"/>
              <w:ind w:left="174" w:leftChars="0" w:right="0" w:rightChars="0" w:hanging="174" w:hangingChars="83"/>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内侧有水位刻度线，刻度线采用激光雕刻制成，包含范围10L-60L</w:t>
            </w:r>
          </w:p>
          <w:p w14:paraId="3712874B">
            <w:pPr>
              <w:keepNext w:val="0"/>
              <w:keepLines w:val="0"/>
              <w:widowControl w:val="0"/>
              <w:numPr>
                <w:ilvl w:val="1"/>
                <w:numId w:val="12"/>
              </w:numPr>
              <w:suppressLineNumbers w:val="0"/>
              <w:autoSpaceDE w:val="0"/>
              <w:autoSpaceDN/>
              <w:spacing w:before="0" w:beforeAutospacing="0" w:after="0" w:afterAutospacing="0"/>
              <w:ind w:left="174" w:leftChars="0" w:right="0" w:rightChars="0" w:hanging="174" w:hangingChars="83"/>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根据需求制定，手术机器人器械清洗槽配置鲁米尔接口，冲洗槽设置自来水，酶洗槽设置自来水和热水，漂洗槽和终末漂洗槽设置纯水</w:t>
            </w:r>
          </w:p>
          <w:p w14:paraId="74A0520C">
            <w:pPr>
              <w:keepNext w:val="0"/>
              <w:keepLines w:val="0"/>
              <w:widowControl w:val="0"/>
              <w:numPr>
                <w:ilvl w:val="1"/>
                <w:numId w:val="12"/>
              </w:numPr>
              <w:suppressLineNumbers w:val="0"/>
              <w:autoSpaceDE w:val="0"/>
              <w:autoSpaceDN/>
              <w:spacing w:before="0" w:beforeAutospacing="0" w:after="0" w:afterAutospacing="0"/>
              <w:ind w:left="174" w:leftChars="0" w:right="0" w:rightChars="0" w:hanging="174" w:hangingChars="83"/>
              <w:jc w:val="left"/>
              <w:rPr>
                <w:rFonts w:hint="eastAsia" w:ascii="宋体" w:hAnsi="宋体" w:eastAsia="宋体" w:cs="宋体"/>
                <w:kern w:val="2"/>
                <w:sz w:val="21"/>
                <w:szCs w:val="21"/>
              </w:rPr>
            </w:pPr>
            <w:r>
              <w:rPr>
                <w:rFonts w:hint="eastAsia" w:ascii="宋体" w:hAnsi="宋体" w:cs="宋体"/>
                <w:kern w:val="2"/>
                <w:sz w:val="21"/>
                <w:szCs w:val="21"/>
                <w:lang w:val="en-US" w:eastAsia="zh-CN"/>
              </w:rPr>
              <w:t>每个槽需配置水枪，加大槽水枪压力可调节范围包含</w:t>
            </w:r>
            <w:r>
              <w:rPr>
                <w:rFonts w:hint="eastAsia" w:ascii="宋体" w:hAnsi="宋体" w:cs="宋体"/>
                <w:kern w:val="2"/>
                <w:sz w:val="21"/>
                <w:szCs w:val="21"/>
                <w:lang w:val="en-US" w:eastAsia="zh-CN" w:bidi="ar"/>
              </w:rPr>
              <w:t>0.2-0.5</w:t>
            </w:r>
            <w:r>
              <w:rPr>
                <w:rFonts w:hint="eastAsia" w:ascii="宋体" w:hAnsi="宋体" w:eastAsia="宋体" w:cs="宋体"/>
                <w:kern w:val="2"/>
                <w:sz w:val="21"/>
                <w:szCs w:val="21"/>
                <w:lang w:val="en-US" w:eastAsia="zh-CN" w:bidi="ar"/>
              </w:rPr>
              <w:t>MPa</w:t>
            </w:r>
          </w:p>
        </w:tc>
      </w:tr>
      <w:tr w14:paraId="1876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B65A37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55E72C8">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升降式煮沸消毒机嵌入设备安装，要求：</w:t>
            </w:r>
          </w:p>
          <w:p w14:paraId="4C222685">
            <w:pPr>
              <w:keepNext w:val="0"/>
              <w:keepLines w:val="0"/>
              <w:widowControl w:val="0"/>
              <w:numPr>
                <w:ilvl w:val="1"/>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订制整机外尺寸：880±10mm×785±10mm×975±10mm；内槽尺寸：650±10mm×430±10mm×380±10mm；升降工作窗尺寸600±10mm×400±10mm×360±10mm；</w:t>
            </w:r>
          </w:p>
          <w:p w14:paraId="71B396D5">
            <w:pPr>
              <w:keepNext w:val="0"/>
              <w:keepLines w:val="0"/>
              <w:widowControl w:val="0"/>
              <w:numPr>
                <w:ilvl w:val="1"/>
                <w:numId w:val="12"/>
              </w:numPr>
              <w:suppressLineNumbers w:val="0"/>
              <w:autoSpaceDE w:val="0"/>
              <w:autoSpaceDN/>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自动升降型，可脚踏控制或手动控制升降工作窗，还具备消毒完成时工作窗自动升起功能</w:t>
            </w:r>
          </w:p>
        </w:tc>
      </w:tr>
      <w:tr w14:paraId="56EA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BEE3C7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E324815">
            <w:pPr>
              <w:keepNext w:val="0"/>
              <w:keepLines w:val="0"/>
              <w:widowControl w:val="0"/>
              <w:numPr>
                <w:ilvl w:val="0"/>
                <w:numId w:val="12"/>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升降式超声波清洗机嵌入设备安装，要求：</w:t>
            </w:r>
          </w:p>
          <w:p w14:paraId="6CC7EDC2">
            <w:pPr>
              <w:keepNext w:val="0"/>
              <w:keepLines w:val="0"/>
              <w:widowControl w:val="0"/>
              <w:numPr>
                <w:ilvl w:val="1"/>
                <w:numId w:val="12"/>
              </w:numPr>
              <w:suppressLineNumbers w:val="0"/>
              <w:autoSpaceDE w:val="0"/>
              <w:autoSpaceDN/>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订制整机外尺寸：880±10mm×790±10mm×940±10mm；超声机内槽尺寸：650±10mm×430±10mm×350±10mm；升降工作窗尺寸600±10mm×400±10mm×320±10mm</w:t>
            </w:r>
          </w:p>
        </w:tc>
      </w:tr>
      <w:tr w14:paraId="5D84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7D1201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638F48B">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柜体形状要求：采用分段式柜体，柜体底部设有可移动脚轮方便设备转运，并配有升降地脚，确保设备就位后设备的固定</w:t>
            </w:r>
          </w:p>
        </w:tc>
      </w:tr>
      <w:tr w14:paraId="25A5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45F296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7F84134">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支架材质要求：选用304不锈钢材质或以上材质，厚度≥1.5mm；</w:t>
            </w:r>
          </w:p>
        </w:tc>
      </w:tr>
      <w:tr w14:paraId="0AEC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11A283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B3E6DB9">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柜门材质及结构要求：采用不锈钢或以上材质，复合门结构，保证门的强度；门为对开式结构，门铰链采用阻尼铰链</w:t>
            </w:r>
          </w:p>
        </w:tc>
      </w:tr>
      <w:tr w14:paraId="255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44EF2F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81F15EE">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柜体底板材质要求：柜体底板采用不锈钢或以上材质，厚度≥1.2mm</w:t>
            </w:r>
          </w:p>
        </w:tc>
      </w:tr>
      <w:tr w14:paraId="03F2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2057C2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7F8EB4E">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控制系统要求：采用与设备一体式的设计；控制面板外置；一键式操作</w:t>
            </w:r>
          </w:p>
        </w:tc>
      </w:tr>
      <w:tr w14:paraId="76BF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46475B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1334717">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蒸汽清洗机要求：外罩及罐体采用SUS304不锈钢及以上材质；罐体容积≥5L；具备干烧报警功能、全自动注水系统、进水超时报警功能</w:t>
            </w:r>
          </w:p>
        </w:tc>
      </w:tr>
      <w:tr w14:paraId="7AC6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399B78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3B3D68B">
            <w:pPr>
              <w:keepNext w:val="0"/>
              <w:keepLines w:val="0"/>
              <w:widowControl w:val="0"/>
              <w:numPr>
                <w:ilvl w:val="0"/>
                <w:numId w:val="12"/>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★配置要求：清洗槽12个，蒸汽清洗机1台、升降式超声波清洗机1台（包含1条进水管、1条排水管），升降式煮沸消毒机2台（包含2条进水管、2条排水管、2个水龙头）</w:t>
            </w:r>
          </w:p>
        </w:tc>
      </w:tr>
      <w:tr w14:paraId="096A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restart"/>
            <w:tcBorders>
              <w:top w:val="nil"/>
              <w:left w:val="single" w:color="auto" w:sz="4" w:space="0"/>
              <w:bottom w:val="single" w:color="auto" w:sz="4" w:space="0"/>
              <w:right w:val="single" w:color="auto" w:sz="4" w:space="0"/>
            </w:tcBorders>
            <w:shd w:val="clear" w:color="auto" w:fill="auto"/>
            <w:vAlign w:val="center"/>
          </w:tcPr>
          <w:p w14:paraId="6C4DF159">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6、多功能清洗槽</w:t>
            </w:r>
          </w:p>
        </w:tc>
        <w:tc>
          <w:tcPr>
            <w:tcW w:w="7382" w:type="dxa"/>
            <w:tcBorders>
              <w:top w:val="single" w:color="auto" w:sz="4" w:space="0"/>
              <w:left w:val="nil"/>
              <w:bottom w:val="single" w:color="auto" w:sz="4" w:space="0"/>
              <w:right w:val="single" w:color="auto" w:sz="4" w:space="0"/>
            </w:tcBorders>
            <w:shd w:val="clear" w:color="auto" w:fill="auto"/>
            <w:vAlign w:val="top"/>
          </w:tcPr>
          <w:p w14:paraId="46C627D0">
            <w:pPr>
              <w:keepNext w:val="0"/>
              <w:keepLines w:val="0"/>
              <w:widowControl w:val="0"/>
              <w:numPr>
                <w:ilvl w:val="0"/>
                <w:numId w:val="13"/>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备用途及结构：用于各类手术器械、管腔器械等器械的清洗、消毒设备至少包含酶洗槽、超声槽（升降式超声波清洗机）、预清洗槽（蒸汽清洗装置）、纯水漂洗槽（加水枪）、煮沸槽（升降式煮沸消毒机）、干燥台（配气枪）组成，配有防护罩、排风装置及蒸汽清洗装置</w:t>
            </w:r>
          </w:p>
        </w:tc>
      </w:tr>
      <w:tr w14:paraId="0FFF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3520AD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E05D63E">
            <w:pPr>
              <w:keepNext w:val="0"/>
              <w:keepLines w:val="0"/>
              <w:widowControl w:val="0"/>
              <w:numPr>
                <w:ilvl w:val="0"/>
                <w:numId w:val="13"/>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台面形状要求：沥水台面四周采用滚筋结构中间低四周高，确保清洗时的水不会流落地面，台面高度≥850mm</w:t>
            </w:r>
          </w:p>
        </w:tc>
      </w:tr>
      <w:tr w14:paraId="244B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0E8768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626382B">
            <w:pPr>
              <w:keepNext w:val="0"/>
              <w:keepLines w:val="0"/>
              <w:widowControl w:val="0"/>
              <w:numPr>
                <w:ilvl w:val="0"/>
                <w:numId w:val="13"/>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槽盖材质要求：采用不锈钢整体成型，配置密封条，确保清洗时的密封</w:t>
            </w:r>
          </w:p>
        </w:tc>
      </w:tr>
      <w:tr w14:paraId="3AAC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AE03A4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A82579A">
            <w:pPr>
              <w:keepNext w:val="0"/>
              <w:keepLines w:val="0"/>
              <w:widowControl w:val="0"/>
              <w:numPr>
                <w:ilvl w:val="0"/>
                <w:numId w:val="13"/>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清洗槽规格尺寸要求：</w:t>
            </w:r>
          </w:p>
          <w:p w14:paraId="0AAC5110">
            <w:pPr>
              <w:keepNext w:val="0"/>
              <w:keepLines w:val="0"/>
              <w:widowControl w:val="0"/>
              <w:numPr>
                <w:ilvl w:val="1"/>
                <w:numId w:val="13"/>
              </w:numPr>
              <w:suppressLineNumbers w:val="0"/>
              <w:autoSpaceDE w:val="0"/>
              <w:autoSpaceDN/>
              <w:spacing w:before="0" w:beforeAutospacing="0" w:after="0" w:afterAutospacing="0"/>
              <w:ind w:left="54" w:leftChars="0" w:right="0" w:hanging="54" w:hangingChars="26"/>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标准槽：长550±10mm×宽550±10mm×高280±10mm，加大槽长800±10mm×宽550±10mm×高330±10mm，根据需求制定，</w:t>
            </w:r>
          </w:p>
          <w:p w14:paraId="2CB45608">
            <w:pPr>
              <w:keepNext w:val="0"/>
              <w:keepLines w:val="0"/>
              <w:widowControl w:val="0"/>
              <w:numPr>
                <w:ilvl w:val="1"/>
                <w:numId w:val="13"/>
              </w:numPr>
              <w:suppressLineNumbers w:val="0"/>
              <w:autoSpaceDE w:val="0"/>
              <w:autoSpaceDN/>
              <w:spacing w:before="0" w:beforeAutospacing="0" w:after="0" w:afterAutospacing="0"/>
              <w:ind w:left="54" w:leftChars="0" w:right="0" w:hanging="54" w:hangingChars="26"/>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内侧有水位刻度线，刻度线采用激光雕刻制成，需包含范围10L-60L</w:t>
            </w:r>
          </w:p>
          <w:p w14:paraId="78649300">
            <w:pPr>
              <w:keepNext w:val="0"/>
              <w:keepLines w:val="0"/>
              <w:widowControl w:val="0"/>
              <w:numPr>
                <w:ilvl w:val="1"/>
                <w:numId w:val="13"/>
              </w:numPr>
              <w:suppressLineNumbers w:val="0"/>
              <w:autoSpaceDE w:val="0"/>
              <w:autoSpaceDN/>
              <w:spacing w:before="0" w:beforeAutospacing="0" w:after="0" w:afterAutospacing="0"/>
              <w:ind w:left="54" w:leftChars="0" w:right="0" w:hanging="54" w:hangingChars="26"/>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手术机器人器械清洗槽配置鲁尔接口，冲洗槽设置自来水，酶洗槽设置自来水和热水，漂洗槽和终末漂洗槽设置纯水</w:t>
            </w:r>
          </w:p>
          <w:p w14:paraId="3490546E">
            <w:pPr>
              <w:keepNext w:val="0"/>
              <w:keepLines w:val="0"/>
              <w:widowControl w:val="0"/>
              <w:numPr>
                <w:ilvl w:val="1"/>
                <w:numId w:val="13"/>
              </w:numPr>
              <w:suppressLineNumbers w:val="0"/>
              <w:autoSpaceDE w:val="0"/>
              <w:autoSpaceDN/>
              <w:spacing w:before="0" w:beforeAutospacing="0" w:after="0" w:afterAutospacing="0"/>
              <w:ind w:left="54" w:leftChars="0" w:right="0" w:hanging="54" w:hangingChars="26"/>
              <w:jc w:val="left"/>
              <w:rPr>
                <w:rFonts w:hint="eastAsia" w:ascii="宋体" w:hAnsi="宋体" w:eastAsia="宋体" w:cs="宋体"/>
                <w:kern w:val="2"/>
                <w:sz w:val="21"/>
                <w:szCs w:val="21"/>
              </w:rPr>
            </w:pPr>
            <w:r>
              <w:rPr>
                <w:rFonts w:hint="eastAsia" w:ascii="宋体" w:hAnsi="宋体" w:cs="宋体"/>
                <w:kern w:val="2"/>
                <w:sz w:val="21"/>
                <w:szCs w:val="21"/>
                <w:lang w:val="en-US" w:eastAsia="zh-CN"/>
              </w:rPr>
              <w:t>每个槽需配置水枪，加大槽水枪压力可调节范围包含</w:t>
            </w:r>
            <w:r>
              <w:rPr>
                <w:rFonts w:hint="eastAsia" w:ascii="宋体" w:hAnsi="宋体" w:cs="宋体"/>
                <w:kern w:val="2"/>
                <w:sz w:val="21"/>
                <w:szCs w:val="21"/>
                <w:lang w:val="en-US" w:eastAsia="zh-CN" w:bidi="ar"/>
              </w:rPr>
              <w:t>0.2-0.5</w:t>
            </w:r>
            <w:r>
              <w:rPr>
                <w:rFonts w:hint="eastAsia" w:ascii="宋体" w:hAnsi="宋体" w:eastAsia="宋体" w:cs="宋体"/>
                <w:kern w:val="2"/>
                <w:sz w:val="21"/>
                <w:szCs w:val="21"/>
                <w:lang w:val="en-US" w:eastAsia="zh-CN" w:bidi="ar"/>
              </w:rPr>
              <w:t>MPa</w:t>
            </w:r>
          </w:p>
        </w:tc>
      </w:tr>
      <w:tr w14:paraId="7C71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78397F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66C52A8">
            <w:pPr>
              <w:keepNext w:val="0"/>
              <w:keepLines w:val="0"/>
              <w:widowControl w:val="0"/>
              <w:numPr>
                <w:ilvl w:val="0"/>
                <w:numId w:val="13"/>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蒸汽清洗机要求：外罩及罐体采用SUS304不锈钢及以上材质；罐体容积≥5L；具备干烧报警功能、全自动注水系统、进水超时报警功能</w:t>
            </w:r>
          </w:p>
        </w:tc>
      </w:tr>
      <w:tr w14:paraId="1C1E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9C3058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E793D73">
            <w:pPr>
              <w:keepNext w:val="0"/>
              <w:keepLines w:val="0"/>
              <w:widowControl w:val="0"/>
              <w:suppressLineNumbers w:val="0"/>
              <w:spacing w:before="0" w:beforeAutospacing="0" w:after="0" w:afterAutospacing="0"/>
              <w:ind w:left="0" w:leftChars="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6、升降式超声波清洗机嵌入设备安装，要求：</w:t>
            </w:r>
          </w:p>
          <w:p w14:paraId="790200B9">
            <w:pPr>
              <w:keepNext w:val="0"/>
              <w:keepLines w:val="0"/>
              <w:widowControl w:val="0"/>
              <w:suppressLineNumbers w:val="0"/>
              <w:autoSpaceDE w:val="0"/>
              <w:autoSpaceDN/>
              <w:spacing w:before="0" w:beforeAutospacing="0" w:after="0" w:afterAutospacing="0"/>
              <w:ind w:left="0" w:leftChars="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订制整机外尺寸：880±10mm×790±10mm×940±10mm；超声机内槽尺寸：650±10mm×430±10mm×350±10mm；升降工作窗尺寸600±10mm×400±10mm×320±10mm；</w:t>
            </w:r>
          </w:p>
          <w:p w14:paraId="2D955DEC">
            <w:pPr>
              <w:keepNext w:val="0"/>
              <w:keepLines w:val="0"/>
              <w:widowControl w:val="0"/>
              <w:suppressLineNumbers w:val="0"/>
              <w:autoSpaceDE w:val="0"/>
              <w:autoSpaceDN/>
              <w:spacing w:before="0" w:beforeAutospacing="0" w:after="0" w:afterAutospacing="0"/>
              <w:ind w:left="0" w:leftChars="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6.1超声清洗方式：双频（40/80KHZ），三种清洗模式，模式：40KHZ，模式二：80KHZ，模式三：40/80KHZ；根据普通和精密器械选择所需超声清洗频率清洗，减少对手术器械的损害</w:t>
            </w:r>
          </w:p>
        </w:tc>
      </w:tr>
      <w:tr w14:paraId="4E65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4EF805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35A3764">
            <w:pPr>
              <w:keepNext w:val="0"/>
              <w:keepLines w:val="0"/>
              <w:widowControl w:val="0"/>
              <w:suppressLineNumbers w:val="0"/>
              <w:autoSpaceDE w:val="0"/>
              <w:autoSpaceDN/>
              <w:spacing w:before="0" w:beforeAutospacing="0" w:after="0" w:afterAutospacing="0"/>
              <w:ind w:left="0" w:leftChars="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7.柜体形状要求：采用分段式柜体，柜体底部设有可移动脚轮方便设备转运，并配有升降地脚，确保设备就位后设备的固定</w:t>
            </w:r>
          </w:p>
        </w:tc>
      </w:tr>
      <w:tr w14:paraId="06B5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B297BD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DD24A43">
            <w:pPr>
              <w:keepNext w:val="0"/>
              <w:keepLines w:val="0"/>
              <w:widowControl w:val="0"/>
              <w:suppressLineNumbers w:val="0"/>
              <w:autoSpaceDE w:val="0"/>
              <w:autoSpaceDN/>
              <w:spacing w:before="0" w:beforeAutospacing="0" w:after="0" w:afterAutospacing="0"/>
              <w:ind w:left="0" w:leftChars="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8.柜门材质及结构要求：采用不锈钢或以上材质，复合门结构，门为对开式结构，门铰链采用阻尼铰链</w:t>
            </w:r>
          </w:p>
        </w:tc>
      </w:tr>
      <w:tr w14:paraId="5167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D17A6C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CC46322">
            <w:pPr>
              <w:keepNext w:val="0"/>
              <w:keepLines w:val="0"/>
              <w:widowControl w:val="0"/>
              <w:suppressLineNumbers w:val="0"/>
              <w:autoSpaceDE w:val="0"/>
              <w:autoSpaceDN/>
              <w:spacing w:before="0" w:beforeAutospacing="0" w:after="0" w:afterAutospacing="0"/>
              <w:ind w:left="0" w:leftChars="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9.★配置要求：清洗槽10个，蒸汽清洗机2台、升降式超声波清洗机2台（包含2条进水管2条排水管）、超声波检测能量瓶60支、多功能臂9个</w:t>
            </w:r>
          </w:p>
        </w:tc>
      </w:tr>
      <w:tr w14:paraId="5442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restart"/>
            <w:tcBorders>
              <w:top w:val="nil"/>
              <w:left w:val="single" w:color="auto" w:sz="4" w:space="0"/>
              <w:bottom w:val="single" w:color="auto" w:sz="4" w:space="0"/>
              <w:right w:val="single" w:color="auto" w:sz="4" w:space="0"/>
            </w:tcBorders>
            <w:shd w:val="clear" w:color="auto" w:fill="auto"/>
            <w:vAlign w:val="center"/>
          </w:tcPr>
          <w:p w14:paraId="370D23FC">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7、全自动软式內镜清洗消毒器（双缸）</w:t>
            </w:r>
          </w:p>
        </w:tc>
        <w:tc>
          <w:tcPr>
            <w:tcW w:w="7382" w:type="dxa"/>
            <w:tcBorders>
              <w:top w:val="single" w:color="auto" w:sz="4" w:space="0"/>
              <w:left w:val="nil"/>
              <w:bottom w:val="single" w:color="auto" w:sz="4" w:space="0"/>
              <w:right w:val="single" w:color="auto" w:sz="4" w:space="0"/>
            </w:tcBorders>
            <w:shd w:val="clear" w:color="auto" w:fill="auto"/>
            <w:vAlign w:val="top"/>
          </w:tcPr>
          <w:p w14:paraId="162A4D4A">
            <w:pPr>
              <w:keepNext w:val="0"/>
              <w:keepLines w:val="0"/>
              <w:widowControl w:val="0"/>
              <w:numPr>
                <w:ilvl w:val="0"/>
                <w:numId w:val="14"/>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排水装置:采用泵强制排水的方式，避免重力排水</w:t>
            </w:r>
          </w:p>
        </w:tc>
      </w:tr>
      <w:tr w14:paraId="1003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77FF56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5A9A4FA">
            <w:pPr>
              <w:keepNext w:val="0"/>
              <w:keepLines w:val="0"/>
              <w:widowControl w:val="0"/>
              <w:numPr>
                <w:ilvl w:val="0"/>
                <w:numId w:val="14"/>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自身消毒功能：具备彻底的自身消毒功能，可将包含≦0.2μm除菌水过滤器在内的所有进水管路、消毒循环管路等进行彻底的自身消毒；设备自身消毒功能可灭杀管路中的所有大肠杆菌、铜绿假单胞菌，最终漂洗水的微生物计数≦1CFU/100mL</w:t>
            </w:r>
          </w:p>
        </w:tc>
      </w:tr>
      <w:tr w14:paraId="2AC1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DAC302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CF639A8">
            <w:pPr>
              <w:keepNext w:val="0"/>
              <w:keepLines w:val="0"/>
              <w:widowControl w:val="0"/>
              <w:numPr>
                <w:ilvl w:val="0"/>
                <w:numId w:val="14"/>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彻底消毒：可实现内镜内外表面、洗消槽及密封门清洗和消毒；对枯草杆菌黑色变种芽孢的杀灭对数值≥3,对铜绿假单胞菌的杀灭对数值≥5</w:t>
            </w:r>
          </w:p>
        </w:tc>
      </w:tr>
      <w:tr w14:paraId="23BC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EC5240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04F4A21">
            <w:pPr>
              <w:keepNext w:val="0"/>
              <w:keepLines w:val="0"/>
              <w:widowControl w:val="0"/>
              <w:numPr>
                <w:ilvl w:val="0"/>
                <w:numId w:val="14"/>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终末漂洗用水：消毒后漂洗用水的细菌总数＜10CFU/100mL，100mL水中不含铜绿假单胞菌和（非典型）分枝杆菌，内毒素含量应≤0.3EU/mL</w:t>
            </w:r>
          </w:p>
        </w:tc>
      </w:tr>
      <w:tr w14:paraId="309B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0FD495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27DAC38">
            <w:pPr>
              <w:keepNext w:val="0"/>
              <w:keepLines w:val="0"/>
              <w:widowControl w:val="0"/>
              <w:numPr>
                <w:ilvl w:val="0"/>
                <w:numId w:val="14"/>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双级旋转喷淋清洗：设有底部和顶部两级旋转喷淋装置，按照《消毒技术规范》要求，对清洗后进行多步漂洗，检测化学残留（丙二醇）的残留量≤10mg/L；（提供2022年1月1日起至本项目投标截止日止由第三方检测机构出具带有CMA标志的符合上述检测依据和检测参数要求的检测报告扫描件。）</w:t>
            </w:r>
          </w:p>
        </w:tc>
      </w:tr>
      <w:tr w14:paraId="3989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72E4EC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0E8B3F4">
            <w:pPr>
              <w:keepNext w:val="0"/>
              <w:keepLines w:val="0"/>
              <w:widowControl w:val="0"/>
              <w:numPr>
                <w:ilvl w:val="0"/>
                <w:numId w:val="14"/>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多步终末漂洗：消毒后进行多步末漂洗，过氧乙酸消毒液的残留量≤3ppm</w:t>
            </w:r>
          </w:p>
        </w:tc>
      </w:tr>
      <w:tr w14:paraId="224B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E65A2D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1351AE2">
            <w:pPr>
              <w:keepNext w:val="0"/>
              <w:keepLines w:val="0"/>
              <w:widowControl w:val="0"/>
              <w:numPr>
                <w:ilvl w:val="0"/>
                <w:numId w:val="14"/>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控制系统：采用PLC控制，采用≥5.0英寸彩色触摸屏显示；设备状态颜色识别：通过灯带颜色控制，显示设备不同状态，具备消毒剂自动取样功能</w:t>
            </w:r>
          </w:p>
        </w:tc>
      </w:tr>
      <w:tr w14:paraId="758B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D03929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07DE82D">
            <w:pPr>
              <w:keepNext w:val="0"/>
              <w:keepLines w:val="0"/>
              <w:widowControl w:val="0"/>
              <w:numPr>
                <w:ilvl w:val="0"/>
                <w:numId w:val="14"/>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两种自身消毒模式，消毒液种类可选。</w:t>
            </w:r>
          </w:p>
        </w:tc>
      </w:tr>
      <w:tr w14:paraId="66CF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D09768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A1D6FF5">
            <w:pPr>
              <w:keepNext w:val="0"/>
              <w:keepLines w:val="0"/>
              <w:widowControl w:val="0"/>
              <w:numPr>
                <w:ilvl w:val="0"/>
                <w:numId w:val="14"/>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配套：管腔/软镜清洗效果检测仪：头端部及插入管外径≤2.0mm，工作长度≥1.5m，且有管道长度标识，摄像头像素≥30万</w:t>
            </w:r>
          </w:p>
        </w:tc>
      </w:tr>
      <w:tr w14:paraId="4F4B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E9C542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EC72422">
            <w:pPr>
              <w:keepNext w:val="0"/>
              <w:keepLines w:val="0"/>
              <w:widowControl w:val="0"/>
              <w:numPr>
                <w:ilvl w:val="0"/>
                <w:numId w:val="14"/>
              </w:numPr>
              <w:suppressLineNumbers w:val="0"/>
              <w:autoSpaceDE w:val="0"/>
              <w:autoSpaceDN/>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★配置要求：全自动软式內镜清洗消毒器（双缸）1台、管腔/软镜清洗效果检测仪1台</w:t>
            </w:r>
          </w:p>
        </w:tc>
      </w:tr>
      <w:tr w14:paraId="2F28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restart"/>
            <w:tcBorders>
              <w:top w:val="nil"/>
              <w:left w:val="single" w:color="auto" w:sz="4" w:space="0"/>
              <w:bottom w:val="single" w:color="auto" w:sz="4" w:space="0"/>
              <w:right w:val="single" w:color="auto" w:sz="4" w:space="0"/>
            </w:tcBorders>
            <w:shd w:val="clear" w:color="auto" w:fill="auto"/>
            <w:vAlign w:val="center"/>
          </w:tcPr>
          <w:p w14:paraId="3382EE0F">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8、全自动软式內镜清洗消毒器（立式）</w:t>
            </w:r>
          </w:p>
        </w:tc>
        <w:tc>
          <w:tcPr>
            <w:tcW w:w="7382" w:type="dxa"/>
            <w:tcBorders>
              <w:top w:val="single" w:color="auto" w:sz="4" w:space="0"/>
              <w:left w:val="nil"/>
              <w:bottom w:val="single" w:color="auto" w:sz="4" w:space="0"/>
              <w:right w:val="single" w:color="auto" w:sz="4" w:space="0"/>
            </w:tcBorders>
            <w:shd w:val="clear" w:color="auto" w:fill="auto"/>
            <w:vAlign w:val="top"/>
          </w:tcPr>
          <w:p w14:paraId="1031E7BC">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产品规格要求：设备隔断安装采用上下独立双腔体结构，单个腔体容积≥50L；每个舱体宽度≥500mm，深度≥500mm，高度≥250mm（提供产品技术白皮书或者产品彩页或者厂家参数确认函扫描件，证明材料能体现满足前述技术要求）</w:t>
            </w:r>
          </w:p>
        </w:tc>
      </w:tr>
      <w:tr w14:paraId="2C98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EBDDA4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FA17C62">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材质：采用≥1.5mm厚的316不锈钢镜面板</w:t>
            </w:r>
          </w:p>
        </w:tc>
      </w:tr>
      <w:tr w14:paraId="6637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263668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8A31602">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清洗托盘：采用塑料抑菌材质模具成型</w:t>
            </w:r>
          </w:p>
        </w:tc>
      </w:tr>
      <w:tr w14:paraId="1989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4CF585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EDD7948">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开门方式：两个舱体分别向上下自动开门</w:t>
            </w:r>
          </w:p>
        </w:tc>
      </w:tr>
      <w:tr w14:paraId="2AA7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D69FA7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064163D">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通道类型：双门通道型、双门可实现互锁</w:t>
            </w:r>
          </w:p>
        </w:tc>
      </w:tr>
      <w:tr w14:paraId="093A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E47D0B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33A4A37">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门玻璃：双层中空镀膜防爆钢化玻璃门，隔音隔热</w:t>
            </w:r>
          </w:p>
        </w:tc>
      </w:tr>
      <w:tr w14:paraId="6970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6DB49E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713CD42">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压紧方式：门采用电缸主动压紧方式</w:t>
            </w:r>
          </w:p>
        </w:tc>
      </w:tr>
      <w:tr w14:paraId="10EE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C9C45E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6F65BD6">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干燥系统：噪音≤65dB，大风量风机；外接压缩气，内管腔压缩气干燥</w:t>
            </w:r>
          </w:p>
        </w:tc>
      </w:tr>
      <w:tr w14:paraId="3F2B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E59187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92DB61D">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计量泵：≥4个 ，至少包含加清洗液泵 1个；加消毒液泵 1个；加酒精泵 1个；取样泵 1个</w:t>
            </w:r>
          </w:p>
        </w:tc>
      </w:tr>
      <w:tr w14:paraId="5889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ABC7E4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B0D1813">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循环泵：不锈钢泵体，流量≥150L/分钟</w:t>
            </w:r>
          </w:p>
        </w:tc>
      </w:tr>
      <w:tr w14:paraId="0DB4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9CDBF4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22B28DA">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硅胶管路材质证明：采用食品级软管</w:t>
            </w:r>
          </w:p>
        </w:tc>
      </w:tr>
      <w:tr w14:paraId="447F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2FB078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3AD271A">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控制方式：PLC控制清洗消毒全过程，预设内镜和器械两种负载程序可选，负载程序共预设≥10个内置程序、并有≥10个程序由用户自定义；具有故障自动检测、报警及故障记录</w:t>
            </w:r>
          </w:p>
        </w:tc>
      </w:tr>
      <w:tr w14:paraId="31E8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E2A3B5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AC65F6A">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界面显示：采用≥7英寸彩色触摸屏，显示屏显示运行过程的程序名称、洗消日期、运行阶段名称和阶段计时</w:t>
            </w:r>
          </w:p>
        </w:tc>
      </w:tr>
      <w:tr w14:paraId="4915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087B35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DA4EF10">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记录方式：可自动打印过程数据、并记录A0值</w:t>
            </w:r>
          </w:p>
        </w:tc>
      </w:tr>
      <w:tr w14:paraId="4720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117FF1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C01BAF6">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运行时间：≤20分钟(标准程序)，≤55分钟(标准器械程序)</w:t>
            </w:r>
          </w:p>
        </w:tc>
      </w:tr>
      <w:tr w14:paraId="178B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7C7674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462A051">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最大装载量：一次可装载≥2条软式内镜</w:t>
            </w:r>
          </w:p>
        </w:tc>
      </w:tr>
      <w:tr w14:paraId="2039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BCC321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2A4B563">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外形尺寸：设备宽度≦800mm，深度≦800mm</w:t>
            </w:r>
          </w:p>
        </w:tc>
      </w:tr>
      <w:tr w14:paraId="095E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9691E4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E9768FE">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节能：水耗量≦6L/步；消毒液≦85ml</w:t>
            </w:r>
          </w:p>
        </w:tc>
      </w:tr>
      <w:tr w14:paraId="3580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D706F9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B41587F">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内管腔监测：内镜所有清洗通道具备水压力监测，确保足够的水压进入到每条内镜通道，防止水压不足而清洗不彻底</w:t>
            </w:r>
          </w:p>
        </w:tc>
      </w:tr>
      <w:tr w14:paraId="583C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F3C1A8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3881AA3">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w:t>
            </w:r>
            <w:r>
              <w:rPr>
                <w:rFonts w:hint="eastAsia" w:ascii="宋体" w:hAnsi="宋体" w:eastAsia="宋体" w:cs="宋体"/>
                <w:b/>
                <w:bCs/>
                <w:i w:val="0"/>
                <w:iCs w:val="0"/>
                <w:color w:val="FF0000"/>
                <w:kern w:val="0"/>
                <w:sz w:val="21"/>
                <w:szCs w:val="21"/>
                <w:lang w:val="en-US" w:eastAsia="zh-CN" w:bidi="ar"/>
              </w:rPr>
              <w:t>具备自身热力消毒方式：热力消毒带温度参数，消毒温度可达93℃及以上，运行时间≤30min，A0值≥3000</w:t>
            </w:r>
            <w:r>
              <w:rPr>
                <w:rFonts w:hint="eastAsia" w:ascii="宋体" w:hAnsi="宋体" w:eastAsia="宋体" w:cs="宋体"/>
                <w:b/>
                <w:bCs/>
                <w:color w:val="FF0000"/>
                <w:kern w:val="2"/>
                <w:sz w:val="21"/>
                <w:szCs w:val="21"/>
                <w:lang w:val="en-US" w:eastAsia="zh-CN" w:bidi="ar"/>
              </w:rPr>
              <w:t>（提供产品技术白皮书或者产品彩页或者厂家参数确认函扫描件，证明材料能体现满足前述技术要求）</w:t>
            </w:r>
          </w:p>
        </w:tc>
      </w:tr>
      <w:tr w14:paraId="0B78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DCA675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9328564">
            <w:pPr>
              <w:keepNext w:val="0"/>
              <w:keepLines w:val="0"/>
              <w:widowControl w:val="0"/>
              <w:suppressLineNumbers w:val="0"/>
              <w:spacing w:before="0" w:beforeAutospacing="0" w:after="0" w:afterAutospacing="0"/>
              <w:ind w:left="0" w:leftChars="0" w:right="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22、★配置要求：全自动软式內镜清洗消毒器（立式）1台、ABS内镜托盘3个、内镜接头3套</w:t>
            </w:r>
          </w:p>
        </w:tc>
      </w:tr>
      <w:tr w14:paraId="5210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restart"/>
            <w:tcBorders>
              <w:top w:val="nil"/>
              <w:left w:val="single" w:color="auto" w:sz="4" w:space="0"/>
              <w:bottom w:val="single" w:color="auto" w:sz="4" w:space="0"/>
              <w:right w:val="single" w:color="auto" w:sz="4" w:space="0"/>
            </w:tcBorders>
            <w:shd w:val="clear" w:color="auto" w:fill="auto"/>
            <w:vAlign w:val="center"/>
          </w:tcPr>
          <w:p w14:paraId="62B6CFD0">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9、软镜清洗工作站</w:t>
            </w:r>
          </w:p>
        </w:tc>
        <w:tc>
          <w:tcPr>
            <w:tcW w:w="7382" w:type="dxa"/>
            <w:tcBorders>
              <w:top w:val="single" w:color="auto" w:sz="4" w:space="0"/>
              <w:left w:val="nil"/>
              <w:bottom w:val="single" w:color="auto" w:sz="4" w:space="0"/>
              <w:right w:val="single" w:color="auto" w:sz="4" w:space="0"/>
            </w:tcBorders>
            <w:shd w:val="clear" w:color="auto" w:fill="auto"/>
            <w:vAlign w:val="top"/>
          </w:tcPr>
          <w:p w14:paraId="51D78BF6">
            <w:pPr>
              <w:keepNext w:val="0"/>
              <w:keepLines w:val="0"/>
              <w:widowControl w:val="0"/>
              <w:numPr>
                <w:ilvl w:val="0"/>
                <w:numId w:val="16"/>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采用不锈钢材质，台面及背板采用SUS304不锈钢材质，槽体采用SUS316L不锈钢材质</w:t>
            </w:r>
          </w:p>
        </w:tc>
      </w:tr>
      <w:tr w14:paraId="5366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D51423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157189E">
            <w:pPr>
              <w:keepNext w:val="0"/>
              <w:keepLines w:val="0"/>
              <w:widowControl w:val="0"/>
              <w:numPr>
                <w:ilvl w:val="0"/>
                <w:numId w:val="16"/>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清洗槽内尺寸：长度≥520mm,宽度≥420mm,深度≥200mm，内侧有水位刻度线，刻度线采用激光雕刻制成，需包含范围10L-40L，最小刻度间隔2L，台面有防止溢水滚边设计</w:t>
            </w:r>
          </w:p>
        </w:tc>
      </w:tr>
      <w:tr w14:paraId="2A3B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74BC78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B0E8ABF">
            <w:pPr>
              <w:keepNext w:val="0"/>
              <w:keepLines w:val="0"/>
              <w:widowControl w:val="0"/>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4.干燥台形状要求：干燥台下部为双层柜体+三层抽屉设计，且台面有滚边设计，有效防止内镜及附件滑落</w:t>
            </w:r>
          </w:p>
        </w:tc>
      </w:tr>
      <w:tr w14:paraId="5987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764F06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14995F8">
            <w:pPr>
              <w:keepNext w:val="0"/>
              <w:keepLines w:val="0"/>
              <w:widowControl w:val="0"/>
              <w:numPr>
                <w:ilvl w:val="0"/>
                <w:numId w:val="16"/>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功能背板形状材质要求：背板顶部设置有储物柜，储物柜安装上翻门，可放置手套、纱布及其他物品，合理利用顶部空间背板规格高度：离地高度≤1.8m</w:t>
            </w:r>
          </w:p>
        </w:tc>
      </w:tr>
      <w:tr w14:paraId="0D51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7989C6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0A1805F">
            <w:pPr>
              <w:keepNext w:val="0"/>
              <w:keepLines w:val="0"/>
              <w:widowControl w:val="0"/>
              <w:numPr>
                <w:ilvl w:val="0"/>
                <w:numId w:val="16"/>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灌流系统：全自动循环灌注主机要求，采用隐藏式后置设计，一键式操作；注液注气系统采用分离式设计，脉冲注液功能，在注液完成后自动实现注气的切换，系统采用循环注液；电压≦12V，需包含压力0.2～0.3MPa，循环水量≥7L/min，注气压力小于0.16MPa</w:t>
            </w:r>
            <w:r>
              <w:rPr>
                <w:rFonts w:hint="eastAsia" w:ascii="宋体" w:hAnsi="宋体" w:cs="宋体"/>
                <w:kern w:val="2"/>
                <w:sz w:val="21"/>
                <w:szCs w:val="21"/>
                <w:lang w:val="en-US" w:eastAsia="zh-CN" w:bidi="ar"/>
              </w:rPr>
              <w:t>，初洗槽和漂洗槽分别设置注液及注水功能，注水后能自动注气，每个水槽均水枪，水枪压力调节需包含0.2-0.5</w:t>
            </w:r>
            <w:r>
              <w:rPr>
                <w:rFonts w:hint="eastAsia" w:ascii="宋体" w:hAnsi="宋体" w:eastAsia="宋体" w:cs="宋体"/>
                <w:kern w:val="2"/>
                <w:sz w:val="21"/>
                <w:szCs w:val="21"/>
                <w:lang w:val="en-US" w:eastAsia="zh-CN" w:bidi="ar"/>
              </w:rPr>
              <w:t>MPa</w:t>
            </w:r>
          </w:p>
        </w:tc>
      </w:tr>
      <w:tr w14:paraId="2CE5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1F8842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9528950">
            <w:pPr>
              <w:keepNext w:val="0"/>
              <w:keepLines w:val="0"/>
              <w:widowControl w:val="0"/>
              <w:numPr>
                <w:ilvl w:val="0"/>
                <w:numId w:val="16"/>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所有给水管采用优质PP-R冷、热水管材和管件，排水管采用PVC-U排水管材和管件</w:t>
            </w:r>
          </w:p>
        </w:tc>
      </w:tr>
      <w:tr w14:paraId="0559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921317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FCA634E">
            <w:pPr>
              <w:keepNext w:val="0"/>
              <w:keepLines w:val="0"/>
              <w:widowControl w:val="0"/>
              <w:numPr>
                <w:ilvl w:val="0"/>
                <w:numId w:val="16"/>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终末漂洗用水水质符合WS507-2016 《软式内镜清洗消毒技术规范》及医药行业标准YY/T 0992-2023《内镜清洗工作站》要求，终末漂洗槽水龙头、水枪、灌流器出水水质细菌总数≤10CFU/100mL的要求细菌内毒素不大于0.25EU/mL的要求</w:t>
            </w:r>
          </w:p>
        </w:tc>
      </w:tr>
      <w:tr w14:paraId="2620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F8ACBA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72DBE59">
            <w:pPr>
              <w:keepNext w:val="0"/>
              <w:keepLines w:val="0"/>
              <w:widowControl w:val="0"/>
              <w:numPr>
                <w:ilvl w:val="0"/>
                <w:numId w:val="16"/>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配套ATP荧光检测仪：可存储≥20000条检测记录，可通过蓝牙连接手机，通过微信小程序查看培养记录</w:t>
            </w:r>
          </w:p>
        </w:tc>
      </w:tr>
      <w:tr w14:paraId="0159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34AE47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3855F19">
            <w:pPr>
              <w:keepNext w:val="0"/>
              <w:keepLines w:val="0"/>
              <w:widowControl w:val="0"/>
              <w:numPr>
                <w:ilvl w:val="0"/>
                <w:numId w:val="16"/>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每个水槽及干燥台边缘内置RFD芯片，能与医院使用追溯系统对接，可在系统上实时呈现每一个循环处理节点，清洗槽配置自来水，漂洗槽配置纯水，消毒槽配置纯水，末洗槽配置纯水</w:t>
            </w:r>
          </w:p>
        </w:tc>
      </w:tr>
      <w:tr w14:paraId="04C5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4"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840136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2736A9D">
            <w:pPr>
              <w:keepNext w:val="0"/>
              <w:keepLines w:val="0"/>
              <w:widowControl w:val="0"/>
              <w:numPr>
                <w:ilvl w:val="0"/>
                <w:numId w:val="16"/>
              </w:numPr>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ATP测试仪:</w:t>
            </w:r>
          </w:p>
          <w:p w14:paraId="590C7B8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9.1检测范围等于或广于：0-1000000RLU</w:t>
            </w:r>
          </w:p>
        </w:tc>
      </w:tr>
      <w:tr w14:paraId="6A4A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1D52E0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06F646B2">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9.2检测精度：≤15mol ATP</w:t>
            </w:r>
          </w:p>
        </w:tc>
      </w:tr>
      <w:tr w14:paraId="3824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0F39E6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6742D319">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9.3检测时间：≦10S</w:t>
            </w:r>
          </w:p>
        </w:tc>
      </w:tr>
      <w:tr w14:paraId="5617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0C6B34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5CBDE08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9.4具备可充电锂电池</w:t>
            </w:r>
          </w:p>
        </w:tc>
      </w:tr>
      <w:tr w14:paraId="5E51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C5387C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6BA023DF">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9.5数据存储：可存储≥20000条检测记录，且数据可导出</w:t>
            </w:r>
          </w:p>
        </w:tc>
      </w:tr>
      <w:tr w14:paraId="67CD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2DCFAA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263A935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9.6数据接口：至少包括USB、蓝牙传输</w:t>
            </w:r>
          </w:p>
        </w:tc>
      </w:tr>
      <w:tr w14:paraId="5BE3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6A0E24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1AA74C74">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9.7检测记录可导出并打印</w:t>
            </w:r>
          </w:p>
        </w:tc>
      </w:tr>
      <w:tr w14:paraId="12AB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4B41EE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27430D96">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9.8手持便携式机身，机身长：170-190mm、宽70-80mm、高25-50mm；具备触摸屏操作，屏幕尺寸≥3.5英寸</w:t>
            </w:r>
          </w:p>
        </w:tc>
      </w:tr>
      <w:tr w14:paraId="097A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A52DC5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29F3DCE3">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9.9▲具备微信小程序功能：通过蓝牙连接手机后，可微信小程序查看培养记录,并通过微信导出数据。</w:t>
            </w:r>
          </w:p>
        </w:tc>
      </w:tr>
      <w:tr w14:paraId="73D0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15396E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FB4E7F9">
            <w:pPr>
              <w:keepNext w:val="0"/>
              <w:keepLines w:val="0"/>
              <w:widowControl w:val="0"/>
              <w:numPr>
                <w:ilvl w:val="0"/>
                <w:numId w:val="16"/>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★配置要求：主体2台、背板1套、清洗槽8个、干燥台2个、水龙头8个、高压水枪4套、高压气枪4套、灌流系统2套、中央气体处理器2个、ATP测试仪1台</w:t>
            </w:r>
          </w:p>
        </w:tc>
      </w:tr>
      <w:tr w14:paraId="1A9F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restart"/>
            <w:tcBorders>
              <w:top w:val="nil"/>
              <w:left w:val="single" w:color="auto" w:sz="4" w:space="0"/>
              <w:bottom w:val="single" w:color="auto" w:sz="4" w:space="0"/>
              <w:right w:val="single" w:color="auto" w:sz="4" w:space="0"/>
            </w:tcBorders>
            <w:shd w:val="clear" w:color="auto" w:fill="auto"/>
            <w:vAlign w:val="center"/>
          </w:tcPr>
          <w:p w14:paraId="6F65AE55">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10、医用干燥柜</w:t>
            </w:r>
          </w:p>
        </w:tc>
        <w:tc>
          <w:tcPr>
            <w:tcW w:w="7382" w:type="dxa"/>
            <w:tcBorders>
              <w:top w:val="single" w:color="auto" w:sz="4" w:space="0"/>
              <w:left w:val="nil"/>
              <w:bottom w:val="single" w:color="auto" w:sz="4" w:space="0"/>
              <w:right w:val="single" w:color="auto" w:sz="4" w:space="0"/>
            </w:tcBorders>
            <w:shd w:val="clear" w:color="auto" w:fill="auto"/>
            <w:vAlign w:val="top"/>
          </w:tcPr>
          <w:p w14:paraId="583233D9">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柜体内腔材质为SUS 304不锈钢板</w:t>
            </w:r>
          </w:p>
        </w:tc>
      </w:tr>
      <w:tr w14:paraId="23A6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B5DEEF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B4CA4C4">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循环风速高，风速≥12M/S，工作舱温差≤2.5℃</w:t>
            </w:r>
          </w:p>
        </w:tc>
      </w:tr>
      <w:tr w14:paraId="3C36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7F02E3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EC39FB8">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常温至90℃升温时间≤5分钟升温过程可实时显示</w:t>
            </w:r>
          </w:p>
        </w:tc>
      </w:tr>
      <w:tr w14:paraId="7017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D5CD31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B847FB3">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设定显示工作舱温度波动≤1℃</w:t>
            </w:r>
          </w:p>
        </w:tc>
      </w:tr>
      <w:tr w14:paraId="4063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249A59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662A653E">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设备须具备有良好的保温性能，≥90℃恒温≥24小时，温度稳定度≤2℃</w:t>
            </w:r>
          </w:p>
        </w:tc>
      </w:tr>
      <w:tr w14:paraId="3E73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1472C6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3D92E466">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设备干燥温度可在10℃至90℃连续可调</w:t>
            </w:r>
          </w:p>
        </w:tc>
      </w:tr>
      <w:tr w14:paraId="4F96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CD922F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3A884F4E">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设备干燥时间0-999min连续可调</w:t>
            </w:r>
          </w:p>
        </w:tc>
      </w:tr>
      <w:tr w14:paraId="190A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F7693A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3B8834A1">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具有空气过滤器，可对进入柜内的空气进行有效过滤，防止二次污染</w:t>
            </w:r>
          </w:p>
        </w:tc>
      </w:tr>
      <w:tr w14:paraId="4A3E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AF462A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17D7D457">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设备须具有温度传感异常、自动过升防止、温度上偏差报警等自我诊断功能</w:t>
            </w:r>
          </w:p>
        </w:tc>
      </w:tr>
      <w:tr w14:paraId="2B8B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E7EC25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7755A319">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设备操作面板≥3英寸，可显示升温过程和剩余时间具备结束提醒功能</w:t>
            </w:r>
          </w:p>
        </w:tc>
      </w:tr>
      <w:tr w14:paraId="6F27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483C2E8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583E51BA">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双门，设备工作室有效容积≥480升，腔内搁架≥6层</w:t>
            </w:r>
          </w:p>
        </w:tc>
      </w:tr>
      <w:tr w14:paraId="0C92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706090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3CB97CCC">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设备外形尺寸：宽度≤710mm，深度≤780mm，高度≤1955mm</w:t>
            </w:r>
          </w:p>
        </w:tc>
      </w:tr>
      <w:tr w14:paraId="5866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AC0EE9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5CB44DE2">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设备中标商全面负责新旧设备的拆、装。</w:t>
            </w:r>
          </w:p>
        </w:tc>
      </w:tr>
      <w:tr w14:paraId="71DC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2362CB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center"/>
          </w:tcPr>
          <w:p w14:paraId="7B5B58F9">
            <w:pPr>
              <w:keepNext w:val="0"/>
              <w:keepLines w:val="0"/>
              <w:widowControl w:val="0"/>
              <w:numPr>
                <w:ilvl w:val="0"/>
                <w:numId w:val="17"/>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★配置要求：双扉门柜机3台、层架18个、挂钩9对、不锈钢接水盘3件</w:t>
            </w:r>
          </w:p>
        </w:tc>
      </w:tr>
      <w:tr w14:paraId="36DF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restart"/>
            <w:tcBorders>
              <w:top w:val="nil"/>
              <w:left w:val="single" w:color="auto" w:sz="4" w:space="0"/>
              <w:bottom w:val="single" w:color="auto" w:sz="4" w:space="0"/>
              <w:right w:val="single" w:color="auto" w:sz="4" w:space="0"/>
            </w:tcBorders>
            <w:shd w:val="clear" w:color="auto" w:fill="auto"/>
            <w:vAlign w:val="center"/>
          </w:tcPr>
          <w:p w14:paraId="26AD40F6">
            <w:pPr>
              <w:keepNext w:val="0"/>
              <w:keepLines w:val="0"/>
              <w:widowControl w:val="0"/>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11、真空干燥柜</w:t>
            </w:r>
          </w:p>
        </w:tc>
        <w:tc>
          <w:tcPr>
            <w:tcW w:w="7382" w:type="dxa"/>
            <w:tcBorders>
              <w:top w:val="single" w:color="auto" w:sz="4" w:space="0"/>
              <w:left w:val="nil"/>
              <w:bottom w:val="single" w:color="auto" w:sz="4" w:space="0"/>
              <w:right w:val="single" w:color="auto" w:sz="4" w:space="0"/>
            </w:tcBorders>
            <w:shd w:val="clear" w:color="auto" w:fill="auto"/>
            <w:vAlign w:val="top"/>
          </w:tcPr>
          <w:p w14:paraId="0F424E6C">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功能要求：能够干燥常规手术器械、精密器械、腔镜管腔器械、呼吸麻醉管道、骨科器械、牙科手机、耐高温和不耐高温器械、内部有细长管腔的、各种导管等器械与器具</w:t>
            </w:r>
          </w:p>
        </w:tc>
      </w:tr>
      <w:tr w14:paraId="2C9E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620976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E28172F">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干燥方式：应具有真空干燥；且具备快速汽化系统从而达到快速干燥的目的</w:t>
            </w:r>
          </w:p>
        </w:tc>
      </w:tr>
      <w:tr w14:paraId="1BA6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4B7068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60A35AC">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干燥温度：50-80℃可任意调节</w:t>
            </w:r>
          </w:p>
        </w:tc>
      </w:tr>
      <w:tr w14:paraId="2326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2D037C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95BC08E">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升温时间：空载时从25℃升温至80℃所用时间≤10min</w:t>
            </w:r>
          </w:p>
        </w:tc>
      </w:tr>
      <w:tr w14:paraId="369B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CDED48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330E97F7">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干燥时间：最快干燥时间≤8min</w:t>
            </w:r>
          </w:p>
        </w:tc>
      </w:tr>
      <w:tr w14:paraId="5BB2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C6BF01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C20830E">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舱体内的层架6~11层可调，保证不同高度器械的干燥（提供产品技术白皮书或者产品彩页或者厂家参数确认函扫描件，证明材料能体现满足前述技术要求）</w:t>
            </w:r>
          </w:p>
        </w:tc>
      </w:tr>
      <w:tr w14:paraId="65B4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52A1A8C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D1B93AC">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内腔容积：容积≥480L，非双舱或多舱拼凑容积（提供产品技术白皮书或者产品彩页或者厂家参数确认函扫描件，证明材料能体现满足前述技术要求）</w:t>
            </w:r>
          </w:p>
        </w:tc>
      </w:tr>
      <w:tr w14:paraId="37E8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0B26AC0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77FAC53">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多种干燥程序：具备多种干燥程序可选，并可根据需干燥器械的特点自定义干燥程序</w:t>
            </w:r>
          </w:p>
        </w:tc>
      </w:tr>
      <w:tr w14:paraId="349C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F330F2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991E806">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最低气压值可控，确保蒸发温度≥0度，能防止堵塞和冻胀现象</w:t>
            </w:r>
          </w:p>
        </w:tc>
      </w:tr>
      <w:tr w14:paraId="1F84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B2D1EF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7BC8F38A">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自动设置抽放气程序，让细的管腔内水份在压力控制下变成水蒸汽，并能及时抽出饱和蒸汽于箱体外</w:t>
            </w:r>
          </w:p>
        </w:tc>
      </w:tr>
      <w:tr w14:paraId="3A05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108FD3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E74A738">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真空泵采用无油干式真空泵，防止器械二次污染（提供产品技术白皮书或者产品彩页或者厂家参数确认函扫描件，证明材料能体现满足前述技术要求）</w:t>
            </w:r>
          </w:p>
        </w:tc>
      </w:tr>
      <w:tr w14:paraId="729A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8B7E96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76293C3">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抽气速率缓慢：抽气速率不能过快，一个循环中从大气压抽至最低气压值的时间≥6分钟</w:t>
            </w:r>
          </w:p>
        </w:tc>
      </w:tr>
      <w:tr w14:paraId="2F4B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31D0D3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2E33D869">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控制单元：彩色触摸屏≥7英寸，PLC控制，中文界面，操作方式为触控</w:t>
            </w:r>
          </w:p>
        </w:tc>
      </w:tr>
      <w:tr w14:paraId="10A4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30B7539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7462B07">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柜门要求：对开门，方便洁污分区设备洁区面也具备设备开关操作键，且干燥完成后，洁区有报警或指示灯提示</w:t>
            </w:r>
          </w:p>
        </w:tc>
      </w:tr>
      <w:tr w14:paraId="6963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7A7831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53D103E0">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工作区温度偏差：≤±1.0℃</w:t>
            </w:r>
          </w:p>
        </w:tc>
      </w:tr>
      <w:tr w14:paraId="6E8C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2AD39B3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A115089">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安全保护装置：应有安全漏电保护装置，并具备双重温度过升防止功能</w:t>
            </w:r>
          </w:p>
        </w:tc>
      </w:tr>
      <w:tr w14:paraId="2D9F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821623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0E074D31">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具有高效过滤器，确保气体洁净，避免外界空气的二次污染</w:t>
            </w:r>
          </w:p>
        </w:tc>
      </w:tr>
      <w:tr w14:paraId="7F15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C3EC2B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1F4A061A">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控制系统传感器数量不少于4个：压力传感器、温度传感器、恒温传感器、高精度水汽检测传感器等</w:t>
            </w:r>
          </w:p>
        </w:tc>
      </w:tr>
      <w:tr w14:paraId="3152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7C2447A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5628D8D">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腔体材质：内胆SUS304钢材，外壳冷轧钢喷塑</w:t>
            </w:r>
          </w:p>
        </w:tc>
      </w:tr>
      <w:tr w14:paraId="40A2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68F4D9E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46ED7BB1">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功率：≤6KW</w:t>
            </w:r>
          </w:p>
        </w:tc>
      </w:tr>
      <w:tr w14:paraId="504C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326" w:type="dxa"/>
            <w:vMerge w:val="continue"/>
            <w:tcBorders>
              <w:top w:val="nil"/>
              <w:left w:val="single" w:color="auto" w:sz="4" w:space="0"/>
              <w:bottom w:val="single" w:color="auto" w:sz="4" w:space="0"/>
              <w:right w:val="single" w:color="auto" w:sz="4" w:space="0"/>
            </w:tcBorders>
            <w:shd w:val="clear" w:color="auto" w:fill="auto"/>
            <w:vAlign w:val="center"/>
          </w:tcPr>
          <w:p w14:paraId="1373D82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7382" w:type="dxa"/>
            <w:tcBorders>
              <w:top w:val="single" w:color="auto" w:sz="4" w:space="0"/>
              <w:left w:val="nil"/>
              <w:bottom w:val="single" w:color="auto" w:sz="4" w:space="0"/>
              <w:right w:val="single" w:color="auto" w:sz="4" w:space="0"/>
            </w:tcBorders>
            <w:shd w:val="clear" w:color="auto" w:fill="auto"/>
            <w:vAlign w:val="top"/>
          </w:tcPr>
          <w:p w14:paraId="63C36D4A">
            <w:pPr>
              <w:keepNext w:val="0"/>
              <w:keepLines w:val="0"/>
              <w:widowControl w:val="0"/>
              <w:numPr>
                <w:ilvl w:val="0"/>
                <w:numId w:val="18"/>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★配置要求：真空干燥柜2台</w:t>
            </w:r>
          </w:p>
        </w:tc>
      </w:tr>
    </w:tbl>
    <w:p w14:paraId="1CD420D3">
      <w:pPr>
        <w:rPr>
          <w:sz w:val="28"/>
          <w:szCs w:val="28"/>
        </w:rPr>
      </w:pPr>
    </w:p>
    <w:p w14:paraId="10FBEE3C">
      <w:pPr>
        <w:pStyle w:val="4"/>
        <w:spacing w:before="120" w:beforeLines="50" w:after="120" w:afterLines="50"/>
        <w:rPr>
          <w:sz w:val="28"/>
          <w:szCs w:val="28"/>
        </w:rPr>
      </w:pPr>
      <w:r>
        <w:rPr>
          <w:rFonts w:hint="eastAsia"/>
          <w:sz w:val="28"/>
          <w:szCs w:val="28"/>
        </w:rPr>
        <w:t>五、商务要求</w:t>
      </w:r>
    </w:p>
    <w:p w14:paraId="2BEF3463">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12B98379">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43"/>
        <w:tblW w:w="51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564"/>
        <w:gridCol w:w="6051"/>
      </w:tblGrid>
      <w:tr w14:paraId="77EA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vAlign w:val="center"/>
          </w:tcPr>
          <w:p w14:paraId="37DFF500">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rPr>
              <w:t>序号</w:t>
            </w:r>
          </w:p>
        </w:tc>
        <w:tc>
          <w:tcPr>
            <w:tcW w:w="887" w:type="pct"/>
            <w:vAlign w:val="center"/>
          </w:tcPr>
          <w:p w14:paraId="6BA0D743">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rPr>
              <w:t>目录</w:t>
            </w:r>
          </w:p>
        </w:tc>
        <w:tc>
          <w:tcPr>
            <w:tcW w:w="3431" w:type="pct"/>
            <w:vAlign w:val="center"/>
          </w:tcPr>
          <w:p w14:paraId="57048EF8">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rPr>
              <w:t>招标商务需求</w:t>
            </w:r>
          </w:p>
        </w:tc>
      </w:tr>
      <w:tr w14:paraId="19D2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14:paraId="3ABE5239">
            <w:pPr>
              <w:keepNext w:val="0"/>
              <w:keepLines w:val="0"/>
              <w:suppressLineNumbers w:val="0"/>
              <w:spacing w:before="0" w:beforeAutospacing="0" w:after="0" w:afterAutospacing="0"/>
              <w:ind w:left="0" w:right="0"/>
              <w:rPr>
                <w:rFonts w:hint="eastAsia" w:ascii="宋体" w:hAnsi="宋体" w:eastAsia="宋体" w:cs="宋体"/>
                <w:b/>
                <w:color w:val="auto"/>
                <w:szCs w:val="21"/>
              </w:rPr>
            </w:pPr>
            <w:r>
              <w:rPr>
                <w:rFonts w:hint="eastAsia" w:ascii="宋体" w:hAnsi="宋体" w:eastAsia="宋体" w:cs="宋体"/>
                <w:b/>
                <w:color w:val="auto"/>
                <w:szCs w:val="21"/>
              </w:rPr>
              <w:t>（一）免费保修期内售后服务要求</w:t>
            </w:r>
          </w:p>
        </w:tc>
      </w:tr>
      <w:tr w14:paraId="3270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1" w:type="pct"/>
            <w:vAlign w:val="center"/>
          </w:tcPr>
          <w:p w14:paraId="1CA0859A">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rPr>
              <w:t>1</w:t>
            </w:r>
          </w:p>
        </w:tc>
        <w:tc>
          <w:tcPr>
            <w:tcW w:w="887" w:type="pct"/>
          </w:tcPr>
          <w:p w14:paraId="75737260">
            <w:pPr>
              <w:keepNext w:val="0"/>
              <w:keepLines w:val="0"/>
              <w:suppressLineNumbers w:val="0"/>
              <w:spacing w:before="0" w:beforeAutospacing="0" w:after="0" w:afterAutospacing="0"/>
              <w:ind w:left="0" w:right="0"/>
              <w:rPr>
                <w:rFonts w:hint="eastAsia" w:ascii="宋体" w:hAnsi="宋体" w:eastAsia="宋体" w:cs="宋体"/>
                <w:color w:val="auto"/>
                <w:szCs w:val="21"/>
              </w:rPr>
            </w:pPr>
            <w:r>
              <w:rPr>
                <w:rFonts w:hint="eastAsia" w:ascii="宋体" w:hAnsi="宋体" w:eastAsia="宋体" w:cs="宋体"/>
                <w:color w:val="auto"/>
                <w:szCs w:val="21"/>
              </w:rPr>
              <w:t>维修响应及故障解决时间</w:t>
            </w:r>
          </w:p>
        </w:tc>
        <w:tc>
          <w:tcPr>
            <w:tcW w:w="3431" w:type="pct"/>
          </w:tcPr>
          <w:p w14:paraId="6AAC4ED6">
            <w:pPr>
              <w:keepNext w:val="0"/>
              <w:keepLines w:val="0"/>
              <w:suppressLineNumbers w:val="0"/>
              <w:spacing w:before="0" w:beforeAutospacing="0" w:after="0" w:afterAutospacing="0"/>
              <w:ind w:left="0" w:right="0"/>
              <w:rPr>
                <w:rFonts w:hint="eastAsia" w:ascii="宋体" w:hAnsi="宋体" w:eastAsia="宋体" w:cs="宋体"/>
                <w:b/>
                <w:color w:val="auto"/>
                <w:szCs w:val="21"/>
                <w:lang w:eastAsia="zh-CN"/>
              </w:rPr>
            </w:pPr>
            <w:r>
              <w:rPr>
                <w:rFonts w:hint="eastAsia" w:ascii="宋体" w:hAnsi="宋体" w:eastAsia="宋体" w:cs="宋体"/>
                <w:color w:val="auto"/>
                <w:szCs w:val="21"/>
                <w:highlight w:val="none"/>
              </w:rPr>
              <w:t>由设备制造商</w:t>
            </w:r>
            <w:r>
              <w:rPr>
                <w:rFonts w:hint="eastAsia" w:ascii="宋体" w:hAnsi="宋体" w:eastAsia="宋体" w:cs="宋体"/>
                <w:color w:val="auto"/>
                <w:szCs w:val="21"/>
                <w:highlight w:val="none"/>
                <w:lang w:eastAsia="zh-CN"/>
              </w:rPr>
              <w:t>或制造商授权认可的代理商</w:t>
            </w:r>
            <w:r>
              <w:rPr>
                <w:rFonts w:hint="eastAsia" w:ascii="宋体" w:hAnsi="宋体" w:eastAsia="宋体" w:cs="宋体"/>
                <w:color w:val="auto"/>
                <w:szCs w:val="21"/>
                <w:highlight w:val="none"/>
              </w:rPr>
              <w:t>提供售后服务</w:t>
            </w:r>
            <w:r>
              <w:rPr>
                <w:rFonts w:hint="eastAsia" w:ascii="宋体" w:hAnsi="宋体" w:eastAsia="宋体" w:cs="宋体"/>
                <w:color w:val="auto"/>
                <w:szCs w:val="21"/>
                <w:highlight w:val="none"/>
                <w:lang w:eastAsia="zh-CN"/>
              </w:rPr>
              <w:t>，</w:t>
            </w:r>
            <w:r>
              <w:rPr>
                <w:rFonts w:hint="eastAsia" w:ascii="宋体" w:hAnsi="宋体" w:eastAsia="宋体" w:cs="宋体"/>
                <w:bCs/>
                <w:color w:val="auto"/>
                <w:szCs w:val="21"/>
              </w:rPr>
              <w:t>在保修期内，一旦发生质量问题，投标人保证在接到通知</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rPr>
              <w:t xml:space="preserve"> 小时内响应， 24 小时维修到位（不可抗力情况除外）消耗品和零配件供应及时</w:t>
            </w:r>
            <w:r>
              <w:rPr>
                <w:rFonts w:hint="eastAsia" w:ascii="宋体" w:hAnsi="宋体" w:eastAsia="宋体" w:cs="宋体"/>
                <w:color w:val="auto"/>
                <w:sz w:val="21"/>
                <w:szCs w:val="21"/>
                <w:lang w:eastAsia="zh-CN"/>
              </w:rPr>
              <w:t>。</w:t>
            </w:r>
          </w:p>
        </w:tc>
      </w:tr>
      <w:tr w14:paraId="0B07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1" w:type="pct"/>
            <w:vAlign w:val="center"/>
          </w:tcPr>
          <w:p w14:paraId="2197C074">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887" w:type="pct"/>
          </w:tcPr>
          <w:p w14:paraId="2E1A4BAB">
            <w:pPr>
              <w:keepNext w:val="0"/>
              <w:keepLines w:val="0"/>
              <w:suppressLineNumbers w:val="0"/>
              <w:spacing w:before="0" w:beforeAutospacing="0" w:after="0" w:afterAutospacing="0"/>
              <w:ind w:left="0" w:right="0"/>
              <w:rPr>
                <w:rFonts w:hint="eastAsia" w:ascii="宋体" w:hAnsi="宋体" w:eastAsia="宋体" w:cs="宋体"/>
                <w:color w:val="auto"/>
                <w:szCs w:val="21"/>
              </w:rPr>
            </w:pPr>
            <w:r>
              <w:rPr>
                <w:rFonts w:hint="eastAsia" w:ascii="宋体" w:hAnsi="宋体" w:eastAsia="宋体" w:cs="宋体"/>
                <w:color w:val="auto"/>
                <w:szCs w:val="21"/>
              </w:rPr>
              <w:t>关于保修期</w:t>
            </w:r>
          </w:p>
        </w:tc>
        <w:tc>
          <w:tcPr>
            <w:tcW w:w="3431" w:type="pct"/>
          </w:tcPr>
          <w:p w14:paraId="6DD009B8">
            <w:pPr>
              <w:keepNext w:val="0"/>
              <w:keepLines w:val="0"/>
              <w:suppressLineNumbers w:val="0"/>
              <w:spacing w:before="0" w:beforeAutospacing="0" w:after="0" w:afterAutospacing="0"/>
              <w:ind w:left="0" w:right="0"/>
              <w:rPr>
                <w:rFonts w:hint="eastAsia" w:ascii="宋体" w:hAnsi="宋体" w:eastAsia="宋体" w:cs="宋体"/>
                <w:b/>
                <w:color w:val="auto"/>
                <w:szCs w:val="21"/>
                <w:lang w:eastAsia="zh-CN"/>
              </w:rPr>
            </w:pPr>
            <w:r>
              <w:rPr>
                <w:rFonts w:hint="eastAsia" w:ascii="宋体" w:hAnsi="宋体" w:eastAsia="宋体" w:cs="宋体"/>
                <w:b/>
                <w:color w:val="auto"/>
                <w:szCs w:val="21"/>
              </w:rPr>
              <w:t>★</w:t>
            </w:r>
            <w:r>
              <w:rPr>
                <w:rFonts w:hint="eastAsia" w:ascii="宋体" w:hAnsi="宋体" w:eastAsia="宋体" w:cs="宋体"/>
                <w:bCs/>
                <w:color w:val="auto"/>
                <w:szCs w:val="21"/>
              </w:rPr>
              <w:t>货物免费保修期</w:t>
            </w:r>
            <w:r>
              <w:rPr>
                <w:rFonts w:hint="eastAsia" w:ascii="宋体" w:hAnsi="宋体" w:eastAsia="宋体" w:cs="宋体"/>
                <w:bCs/>
                <w:color w:val="auto"/>
                <w:szCs w:val="21"/>
                <w:highlight w:val="yellow"/>
                <w:u w:val="single"/>
              </w:rPr>
              <w:t xml:space="preserve"> </w:t>
            </w:r>
            <w:r>
              <w:rPr>
                <w:rFonts w:hint="eastAsia" w:ascii="宋体" w:hAnsi="宋体" w:eastAsia="宋体" w:cs="宋体"/>
                <w:bCs/>
                <w:color w:val="auto"/>
                <w:szCs w:val="21"/>
                <w:highlight w:val="yellow"/>
                <w:u w:val="single"/>
                <w:lang w:val="en-US" w:eastAsia="zh-CN"/>
              </w:rPr>
              <w:t>6</w:t>
            </w:r>
            <w:r>
              <w:rPr>
                <w:rFonts w:hint="eastAsia" w:ascii="宋体" w:hAnsi="宋体" w:eastAsia="宋体" w:cs="宋体"/>
                <w:bCs/>
                <w:color w:val="auto"/>
                <w:szCs w:val="21"/>
                <w:highlight w:val="yellow"/>
                <w:u w:val="single"/>
              </w:rPr>
              <w:t xml:space="preserve">  </w:t>
            </w:r>
            <w:r>
              <w:rPr>
                <w:rFonts w:hint="eastAsia" w:ascii="宋体" w:hAnsi="宋体" w:eastAsia="宋体" w:cs="宋体"/>
                <w:bCs/>
                <w:color w:val="auto"/>
                <w:szCs w:val="21"/>
              </w:rPr>
              <w:t>年，时间自最终验收合格并交付使用之日起计算</w:t>
            </w:r>
            <w:r>
              <w:rPr>
                <w:rFonts w:hint="eastAsia" w:ascii="宋体" w:hAnsi="宋体" w:eastAsia="宋体" w:cs="宋体"/>
                <w:bCs/>
                <w:color w:val="auto"/>
                <w:szCs w:val="21"/>
                <w:lang w:eastAsia="zh-CN"/>
              </w:rPr>
              <w:t>。</w:t>
            </w:r>
          </w:p>
        </w:tc>
      </w:tr>
      <w:tr w14:paraId="36B7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1" w:type="pct"/>
            <w:vAlign w:val="center"/>
          </w:tcPr>
          <w:p w14:paraId="71685382">
            <w:pPr>
              <w:keepNext w:val="0"/>
              <w:keepLines w:val="0"/>
              <w:suppressLineNumbers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3</w:t>
            </w:r>
          </w:p>
        </w:tc>
        <w:tc>
          <w:tcPr>
            <w:tcW w:w="887" w:type="pct"/>
          </w:tcPr>
          <w:p w14:paraId="109B0C05">
            <w:pPr>
              <w:keepNext w:val="0"/>
              <w:keepLines w:val="0"/>
              <w:suppressLineNumbers w:val="0"/>
              <w:spacing w:before="0" w:beforeAutospacing="0" w:after="0" w:afterAutospacing="0"/>
              <w:ind w:left="0" w:right="0"/>
              <w:rPr>
                <w:rFonts w:hint="eastAsia" w:ascii="宋体" w:hAnsi="宋体" w:eastAsia="宋体" w:cs="宋体"/>
                <w:color w:val="auto"/>
                <w:szCs w:val="21"/>
                <w:lang w:eastAsia="zh-CN"/>
              </w:rPr>
            </w:pPr>
            <w:r>
              <w:rPr>
                <w:rFonts w:hint="eastAsia" w:ascii="宋体" w:hAnsi="宋体" w:eastAsia="宋体" w:cs="宋体"/>
                <w:color w:val="auto"/>
                <w:szCs w:val="21"/>
              </w:rPr>
              <w:t>关于保修期</w:t>
            </w:r>
            <w:r>
              <w:rPr>
                <w:rFonts w:hint="eastAsia" w:ascii="宋体" w:hAnsi="宋体" w:eastAsia="宋体" w:cs="宋体"/>
                <w:color w:val="auto"/>
                <w:szCs w:val="21"/>
                <w:lang w:eastAsia="zh-CN"/>
              </w:rPr>
              <w:t>内服务</w:t>
            </w:r>
          </w:p>
        </w:tc>
        <w:tc>
          <w:tcPr>
            <w:tcW w:w="3431" w:type="pct"/>
          </w:tcPr>
          <w:p w14:paraId="41D069FD">
            <w:pPr>
              <w:keepNext w:val="0"/>
              <w:keepLines w:val="0"/>
              <w:suppressLineNumbers w:val="0"/>
              <w:spacing w:before="0" w:beforeAutospacing="0" w:after="0" w:afterAutospacing="0"/>
              <w:ind w:left="0" w:right="0"/>
              <w:rPr>
                <w:rFonts w:hint="eastAsia" w:ascii="宋体" w:hAnsi="宋体" w:eastAsia="宋体" w:cs="宋体"/>
                <w:color w:val="auto"/>
                <w:sz w:val="21"/>
                <w:szCs w:val="21"/>
                <w:lang w:eastAsia="zh-CN"/>
              </w:rPr>
            </w:pPr>
            <w:r>
              <w:rPr>
                <w:rFonts w:hint="eastAsia" w:ascii="宋体" w:hAnsi="宋体" w:eastAsia="宋体" w:cs="宋体"/>
                <w:b/>
                <w:color w:val="auto"/>
                <w:szCs w:val="21"/>
              </w:rPr>
              <w:t>★</w:t>
            </w:r>
            <w:r>
              <w:rPr>
                <w:rFonts w:hint="eastAsia" w:ascii="宋体" w:hAnsi="宋体" w:eastAsia="宋体" w:cs="宋体"/>
                <w:color w:val="auto"/>
                <w:sz w:val="21"/>
                <w:szCs w:val="21"/>
              </w:rPr>
              <w:t xml:space="preserve">保修期内,年度定期预防性维护保养次数应不少于 </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 xml:space="preserve"> 次保修期内免费更换零配件、免工时费</w:t>
            </w:r>
            <w:r>
              <w:rPr>
                <w:rFonts w:hint="eastAsia" w:ascii="宋体" w:hAnsi="宋体" w:eastAsia="宋体" w:cs="宋体"/>
                <w:color w:val="auto"/>
                <w:sz w:val="21"/>
                <w:szCs w:val="21"/>
                <w:lang w:eastAsia="zh-CN"/>
              </w:rPr>
              <w:t>。</w:t>
            </w:r>
          </w:p>
          <w:p w14:paraId="2A4AFAA2">
            <w:pPr>
              <w:pStyle w:val="49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3.1保修期内免费更</w:t>
            </w:r>
            <w:r>
              <w:rPr>
                <w:rFonts w:hint="eastAsia" w:ascii="宋体" w:hAnsi="宋体" w:eastAsia="宋体" w:cs="宋体"/>
                <w:color w:val="auto"/>
                <w:sz w:val="21"/>
                <w:szCs w:val="21"/>
                <w:lang w:eastAsia="zh-CN"/>
              </w:rPr>
              <w:t>换清洗消毒</w:t>
            </w:r>
            <w:r>
              <w:rPr>
                <w:rFonts w:hint="eastAsia" w:ascii="宋体" w:hAnsi="宋体" w:eastAsia="宋体" w:cs="宋体"/>
                <w:color w:val="auto"/>
                <w:sz w:val="21"/>
                <w:szCs w:val="21"/>
              </w:rPr>
              <w:t>设备需要的耗材，</w:t>
            </w:r>
            <w:r>
              <w:rPr>
                <w:rFonts w:hint="eastAsia" w:ascii="宋体" w:hAnsi="宋体" w:eastAsia="宋体" w:cs="宋体"/>
                <w:color w:val="auto"/>
                <w:sz w:val="21"/>
                <w:szCs w:val="21"/>
                <w:lang w:eastAsia="zh-CN"/>
              </w:rPr>
              <w:t>如：</w:t>
            </w:r>
            <w:r>
              <w:rPr>
                <w:rFonts w:hint="eastAsia" w:ascii="宋体" w:hAnsi="宋体" w:eastAsia="宋体" w:cs="宋体"/>
                <w:color w:val="auto"/>
                <w:sz w:val="21"/>
                <w:szCs w:val="21"/>
                <w:lang w:val="en-US" w:eastAsia="zh-CN"/>
              </w:rPr>
              <w:t>软式内镜清洗槽滤芯、回空阀，空压机末端过滤器等</w:t>
            </w:r>
          </w:p>
          <w:p w14:paraId="4BBEC681">
            <w:pPr>
              <w:pStyle w:val="49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每年对</w:t>
            </w:r>
            <w:r>
              <w:rPr>
                <w:rFonts w:hint="eastAsia" w:ascii="宋体" w:hAnsi="宋体" w:eastAsia="宋体" w:cs="宋体"/>
                <w:color w:val="auto"/>
                <w:sz w:val="21"/>
                <w:szCs w:val="21"/>
                <w:lang w:eastAsia="zh-CN"/>
              </w:rPr>
              <w:t>清洗、消毒设备</w:t>
            </w:r>
            <w:r>
              <w:rPr>
                <w:rFonts w:hint="eastAsia" w:ascii="宋体" w:hAnsi="宋体" w:eastAsia="宋体" w:cs="宋体"/>
                <w:color w:val="auto"/>
                <w:sz w:val="21"/>
                <w:szCs w:val="21"/>
              </w:rPr>
              <w:t>进行</w:t>
            </w:r>
            <w:r>
              <w:rPr>
                <w:rFonts w:hint="eastAsia" w:ascii="宋体" w:hAnsi="宋体" w:eastAsia="宋体" w:cs="宋体"/>
                <w:color w:val="auto"/>
                <w:sz w:val="21"/>
                <w:szCs w:val="21"/>
                <w:lang w:eastAsia="zh-CN"/>
              </w:rPr>
              <w:t>清洗效果</w:t>
            </w:r>
            <w:r>
              <w:rPr>
                <w:rFonts w:hint="eastAsia" w:ascii="宋体" w:hAnsi="宋体" w:eastAsia="宋体" w:cs="宋体"/>
                <w:color w:val="auto"/>
                <w:sz w:val="21"/>
                <w:szCs w:val="21"/>
              </w:rPr>
              <w:t>验证，提供记录</w:t>
            </w:r>
          </w:p>
          <w:p w14:paraId="607D51A7">
            <w:pPr>
              <w:keepNext w:val="0"/>
              <w:keepLines w:val="0"/>
              <w:suppressLineNumbers w:val="0"/>
              <w:spacing w:before="0" w:beforeAutospacing="0" w:after="0" w:afterAutospacing="0"/>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每年对</w:t>
            </w:r>
            <w:r>
              <w:rPr>
                <w:rFonts w:hint="eastAsia" w:ascii="宋体" w:hAnsi="宋体" w:eastAsia="宋体" w:cs="宋体"/>
                <w:color w:val="auto"/>
                <w:sz w:val="21"/>
                <w:szCs w:val="21"/>
                <w:lang w:eastAsia="zh-CN"/>
              </w:rPr>
              <w:t>清洗消毒</w:t>
            </w:r>
            <w:r>
              <w:rPr>
                <w:rFonts w:hint="eastAsia" w:ascii="宋体" w:hAnsi="宋体" w:eastAsia="宋体" w:cs="宋体"/>
                <w:color w:val="auto"/>
                <w:sz w:val="21"/>
                <w:szCs w:val="21"/>
              </w:rPr>
              <w:t>设备类进行</w:t>
            </w:r>
            <w:r>
              <w:rPr>
                <w:rFonts w:hint="eastAsia" w:ascii="宋体" w:hAnsi="宋体" w:eastAsia="宋体" w:cs="宋体"/>
                <w:color w:val="auto"/>
                <w:sz w:val="21"/>
                <w:szCs w:val="21"/>
                <w:lang w:val="en-US" w:eastAsia="zh-CN"/>
              </w:rPr>
              <w:t>校</w:t>
            </w:r>
            <w:r>
              <w:rPr>
                <w:rFonts w:hint="eastAsia" w:ascii="宋体" w:hAnsi="宋体" w:eastAsia="宋体" w:cs="宋体"/>
                <w:color w:val="auto"/>
                <w:sz w:val="21"/>
                <w:szCs w:val="21"/>
              </w:rPr>
              <w:t>验，并提供</w:t>
            </w:r>
            <w:r>
              <w:rPr>
                <w:rFonts w:hint="eastAsia" w:ascii="宋体" w:hAnsi="宋体" w:eastAsia="宋体" w:cs="宋体"/>
                <w:color w:val="auto"/>
                <w:sz w:val="21"/>
                <w:szCs w:val="21"/>
                <w:lang w:eastAsia="zh-CN"/>
              </w:rPr>
              <w:t>清洗、消毒</w:t>
            </w:r>
            <w:r>
              <w:rPr>
                <w:rFonts w:hint="eastAsia" w:ascii="宋体" w:hAnsi="宋体" w:eastAsia="宋体" w:cs="宋体"/>
                <w:color w:val="auto"/>
                <w:sz w:val="21"/>
                <w:szCs w:val="21"/>
              </w:rPr>
              <w:t>效验报告</w:t>
            </w:r>
          </w:p>
        </w:tc>
      </w:tr>
      <w:tr w14:paraId="349C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1" w:type="pct"/>
            <w:vAlign w:val="center"/>
          </w:tcPr>
          <w:p w14:paraId="0CF20B02">
            <w:pPr>
              <w:keepNext w:val="0"/>
              <w:keepLines w:val="0"/>
              <w:suppressLineNumbers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887" w:type="pct"/>
          </w:tcPr>
          <w:p w14:paraId="63C0D4F4">
            <w:pPr>
              <w:keepNext w:val="0"/>
              <w:keepLines w:val="0"/>
              <w:suppressLineNumbers w:val="0"/>
              <w:spacing w:before="0" w:beforeAutospacing="0" w:after="0" w:afterAutospacing="0"/>
              <w:ind w:left="0" w:right="0"/>
              <w:rPr>
                <w:rFonts w:hint="eastAsia" w:ascii="宋体" w:hAnsi="宋体" w:eastAsia="宋体" w:cs="宋体"/>
                <w:color w:val="auto"/>
                <w:szCs w:val="21"/>
                <w:lang w:eastAsia="zh-CN"/>
              </w:rPr>
            </w:pPr>
            <w:r>
              <w:rPr>
                <w:rFonts w:hint="eastAsia" w:ascii="宋体" w:hAnsi="宋体" w:eastAsia="宋体" w:cs="宋体"/>
                <w:color w:val="auto"/>
                <w:szCs w:val="21"/>
                <w:lang w:eastAsia="zh-CN"/>
              </w:rPr>
              <w:t>关于维修配件及软件升级</w:t>
            </w:r>
          </w:p>
        </w:tc>
        <w:tc>
          <w:tcPr>
            <w:tcW w:w="3431" w:type="pct"/>
          </w:tcPr>
          <w:p w14:paraId="104BB37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 xml:space="preserve">投标人负责货物的终身维修，保证 </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 xml:space="preserve"> 年以上供应维修配件， </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 xml:space="preserve"> 年内免费提供软件升级服务开放所有设备接口，与医院使用</w:t>
            </w:r>
          </w:p>
          <w:p w14:paraId="3F2BC6AE">
            <w:pPr>
              <w:keepNext w:val="0"/>
              <w:keepLines w:val="0"/>
              <w:suppressLineNumbers w:val="0"/>
              <w:spacing w:before="0" w:beforeAutospacing="0" w:after="0" w:afterAutospacing="0"/>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追溯系统进行对接，参数可实时显示</w:t>
            </w:r>
          </w:p>
        </w:tc>
      </w:tr>
      <w:tr w14:paraId="691E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1" w:type="pct"/>
            <w:vAlign w:val="center"/>
          </w:tcPr>
          <w:p w14:paraId="661B46C8">
            <w:pPr>
              <w:keepNext w:val="0"/>
              <w:keepLines w:val="0"/>
              <w:suppressLineNumbers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5</w:t>
            </w:r>
          </w:p>
        </w:tc>
        <w:tc>
          <w:tcPr>
            <w:tcW w:w="887" w:type="pct"/>
          </w:tcPr>
          <w:p w14:paraId="2C93B63E">
            <w:pPr>
              <w:keepNext w:val="0"/>
              <w:keepLines w:val="0"/>
              <w:suppressLineNumbers w:val="0"/>
              <w:spacing w:before="0" w:beforeAutospacing="0" w:after="0" w:afterAutospacing="0"/>
              <w:ind w:left="0" w:right="0"/>
              <w:rPr>
                <w:rFonts w:hint="eastAsia" w:ascii="宋体" w:hAnsi="宋体" w:eastAsia="宋体" w:cs="宋体"/>
                <w:color w:val="auto"/>
                <w:szCs w:val="21"/>
                <w:lang w:eastAsia="zh-CN"/>
              </w:rPr>
            </w:pPr>
            <w:r>
              <w:rPr>
                <w:rFonts w:hint="eastAsia" w:ascii="宋体" w:hAnsi="宋体" w:eastAsia="宋体" w:cs="宋体"/>
                <w:color w:val="auto"/>
                <w:szCs w:val="21"/>
                <w:lang w:eastAsia="zh-CN"/>
              </w:rPr>
              <w:t>关于设备设计使用年限</w:t>
            </w:r>
          </w:p>
        </w:tc>
        <w:tc>
          <w:tcPr>
            <w:tcW w:w="3431" w:type="pct"/>
          </w:tcPr>
          <w:p w14:paraId="7FF596B4">
            <w:pPr>
              <w:keepNext w:val="0"/>
              <w:keepLines w:val="0"/>
              <w:suppressLineNumbers w:val="0"/>
              <w:spacing w:before="0" w:beforeAutospacing="0" w:after="0" w:afterAutospacing="0"/>
              <w:ind w:left="0" w:right="0"/>
              <w:rPr>
                <w:rFonts w:hint="eastAsia" w:ascii="宋体" w:hAnsi="宋体" w:eastAsia="宋体" w:cs="宋体"/>
                <w:b/>
                <w:bCs w:val="0"/>
                <w:color w:val="FF0000"/>
                <w:sz w:val="21"/>
                <w:szCs w:val="21"/>
                <w:lang w:eastAsia="zh-CN"/>
              </w:rPr>
            </w:pPr>
            <w:r>
              <w:rPr>
                <w:rFonts w:hint="eastAsia" w:cs="宋体" w:asciiTheme="minorEastAsia" w:hAnsiTheme="minorEastAsia" w:eastAsiaTheme="minorEastAsia"/>
                <w:b/>
                <w:bCs/>
                <w:color w:val="FF0000"/>
                <w:szCs w:val="21"/>
                <w:highlight w:val="none"/>
              </w:rPr>
              <w:t>★</w:t>
            </w:r>
            <w:r>
              <w:rPr>
                <w:rFonts w:hint="eastAsia" w:ascii="宋体" w:hAnsi="宋体" w:eastAsia="宋体" w:cs="宋体"/>
                <w:b/>
                <w:bCs w:val="0"/>
                <w:color w:val="FF0000"/>
                <w:szCs w:val="21"/>
              </w:rPr>
              <w:t>投标人提供的</w:t>
            </w:r>
            <w:r>
              <w:rPr>
                <w:rFonts w:hint="eastAsia" w:ascii="宋体" w:hAnsi="宋体" w:eastAsia="宋体" w:cs="宋体"/>
                <w:b/>
                <w:bCs w:val="0"/>
                <w:color w:val="FF0000"/>
                <w:szCs w:val="21"/>
                <w:lang w:eastAsia="zh-CN"/>
              </w:rPr>
              <w:t>医疗器械</w:t>
            </w:r>
            <w:r>
              <w:rPr>
                <w:rFonts w:hint="eastAsia" w:ascii="宋体" w:hAnsi="宋体" w:cs="宋体"/>
                <w:b/>
                <w:bCs w:val="0"/>
                <w:color w:val="FF0000"/>
                <w:szCs w:val="21"/>
                <w:lang w:eastAsia="zh-CN"/>
              </w:rPr>
              <w:t>（</w:t>
            </w:r>
            <w:r>
              <w:rPr>
                <w:rFonts w:hint="eastAsia" w:ascii="宋体" w:hAnsi="宋体"/>
                <w:b/>
                <w:color w:val="FF0000"/>
              </w:rPr>
              <w:t>单腔清洗消毒器、双门负压清洗消毒器，脉动真空清洗消毒器</w:t>
            </w:r>
            <w:r>
              <w:rPr>
                <w:rFonts w:hint="eastAsia" w:ascii="宋体" w:hAnsi="宋体"/>
                <w:b/>
                <w:color w:val="FF0000"/>
                <w:lang w:eastAsia="zh-CN"/>
              </w:rPr>
              <w:t>，</w:t>
            </w:r>
            <w:r>
              <w:rPr>
                <w:rFonts w:hint="eastAsia" w:ascii="宋体" w:hAnsi="宋体"/>
                <w:b/>
                <w:color w:val="FF0000"/>
              </w:rPr>
              <w:t>多功能清洗消毒中心，全自动软式內镜清洗消毒器（双缸），全自动软式內镜清洗消毒器（立式），软镜清洗工作站）</w:t>
            </w:r>
            <w:r>
              <w:rPr>
                <w:rFonts w:hint="eastAsia" w:ascii="宋体" w:hAnsi="宋体" w:eastAsia="宋体" w:cs="宋体"/>
                <w:b/>
                <w:bCs w:val="0"/>
                <w:color w:val="FF0000"/>
                <w:szCs w:val="21"/>
                <w:lang w:eastAsia="zh-CN"/>
              </w:rPr>
              <w:t>，其</w:t>
            </w:r>
            <w:r>
              <w:rPr>
                <w:rFonts w:hint="eastAsia" w:ascii="宋体" w:hAnsi="宋体" w:eastAsia="宋体" w:cs="宋体"/>
                <w:b/>
                <w:bCs w:val="0"/>
                <w:color w:val="FF0000"/>
                <w:szCs w:val="21"/>
              </w:rPr>
              <w:t>设计使用年限≥</w:t>
            </w:r>
            <w:r>
              <w:rPr>
                <w:rFonts w:hint="eastAsia" w:ascii="宋体" w:hAnsi="宋体" w:cs="宋体"/>
                <w:b/>
                <w:bCs w:val="0"/>
                <w:color w:val="FF0000"/>
                <w:szCs w:val="21"/>
                <w:lang w:val="en-US" w:eastAsia="zh-CN"/>
              </w:rPr>
              <w:t>6</w:t>
            </w:r>
            <w:r>
              <w:rPr>
                <w:rFonts w:hint="eastAsia" w:ascii="宋体" w:hAnsi="宋体" w:eastAsia="宋体" w:cs="宋体"/>
                <w:b/>
                <w:bCs w:val="0"/>
                <w:color w:val="FF0000"/>
                <w:szCs w:val="21"/>
              </w:rPr>
              <w:t>年【</w:t>
            </w:r>
            <w:r>
              <w:rPr>
                <w:rFonts w:hint="eastAsia" w:asciiTheme="minorEastAsia" w:hAnsiTheme="minorEastAsia" w:eastAsiaTheme="minorEastAsia"/>
                <w:b/>
                <w:color w:val="FF0000"/>
                <w:szCs w:val="21"/>
              </w:rPr>
              <w:t>设计年限需提供设备说明书或</w:t>
            </w:r>
            <w:r>
              <w:rPr>
                <w:rFonts w:hint="eastAsia" w:asciiTheme="minorEastAsia" w:hAnsiTheme="minorEastAsia" w:eastAsiaTheme="minorEastAsia"/>
                <w:b/>
                <w:color w:val="FF0000"/>
                <w:szCs w:val="21"/>
                <w:lang w:val="en-US" w:eastAsia="zh-CN"/>
              </w:rPr>
              <w:t>设备铭牌照片</w:t>
            </w:r>
            <w:r>
              <w:rPr>
                <w:rFonts w:hint="eastAsia" w:ascii="宋体" w:hAnsi="宋体" w:eastAsia="宋体" w:cs="宋体"/>
                <w:b/>
                <w:bCs w:val="0"/>
                <w:color w:val="FF0000"/>
                <w:szCs w:val="21"/>
              </w:rPr>
              <w:t>】</w:t>
            </w:r>
          </w:p>
        </w:tc>
      </w:tr>
      <w:tr w14:paraId="6E0C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1" w:type="pct"/>
            <w:vAlign w:val="center"/>
          </w:tcPr>
          <w:p w14:paraId="13DADAC1">
            <w:pPr>
              <w:keepNext w:val="0"/>
              <w:keepLines w:val="0"/>
              <w:suppressLineNumbers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6</w:t>
            </w:r>
          </w:p>
        </w:tc>
        <w:tc>
          <w:tcPr>
            <w:tcW w:w="887" w:type="pct"/>
          </w:tcPr>
          <w:p w14:paraId="3DC301E5">
            <w:pPr>
              <w:keepNext w:val="0"/>
              <w:keepLines w:val="0"/>
              <w:suppressLineNumbers w:val="0"/>
              <w:spacing w:before="0" w:beforeAutospacing="0" w:after="0" w:afterAutospacing="0"/>
              <w:ind w:left="0" w:right="0"/>
              <w:rPr>
                <w:rFonts w:hint="eastAsia" w:ascii="宋体" w:hAnsi="宋体" w:eastAsia="宋体" w:cs="宋体"/>
                <w:color w:val="auto"/>
                <w:szCs w:val="21"/>
                <w:lang w:eastAsia="zh-CN"/>
              </w:rPr>
            </w:pPr>
            <w:r>
              <w:rPr>
                <w:rFonts w:hint="eastAsia" w:ascii="宋体" w:hAnsi="宋体" w:eastAsia="宋体" w:cs="宋体"/>
                <w:color w:val="auto"/>
                <w:szCs w:val="21"/>
                <w:lang w:eastAsia="zh-CN"/>
              </w:rPr>
              <w:t>关于设备生产日期</w:t>
            </w:r>
          </w:p>
        </w:tc>
        <w:tc>
          <w:tcPr>
            <w:tcW w:w="3431" w:type="pct"/>
          </w:tcPr>
          <w:p w14:paraId="32CA5223">
            <w:pPr>
              <w:keepNext w:val="0"/>
              <w:keepLines w:val="0"/>
              <w:suppressLineNumbers w:val="0"/>
              <w:spacing w:before="0" w:beforeAutospacing="0" w:after="0" w:afterAutospacing="0"/>
              <w:ind w:left="0" w:right="0"/>
              <w:rPr>
                <w:rFonts w:hint="eastAsia" w:ascii="宋体" w:hAnsi="宋体" w:eastAsia="宋体" w:cs="宋体"/>
                <w:b/>
                <w:bCs w:val="0"/>
                <w:color w:val="FF0000"/>
                <w:szCs w:val="21"/>
              </w:rPr>
            </w:pPr>
            <w:r>
              <w:rPr>
                <w:rFonts w:hint="eastAsia" w:ascii="宋体" w:hAnsi="宋体" w:eastAsia="宋体" w:cs="宋体"/>
                <w:b/>
                <w:bCs w:val="0"/>
                <w:color w:val="FF0000"/>
                <w:szCs w:val="21"/>
              </w:rPr>
              <w:t>★投标人提供的仪器设备的生产日期必须在</w:t>
            </w:r>
            <w:r>
              <w:rPr>
                <w:rFonts w:hint="eastAsia" w:ascii="宋体" w:hAnsi="宋体" w:eastAsia="宋体" w:cs="宋体"/>
                <w:b/>
                <w:bCs w:val="0"/>
                <w:color w:val="FF0000"/>
                <w:szCs w:val="21"/>
                <w:lang w:val="en-US" w:eastAsia="zh-CN"/>
              </w:rPr>
              <w:t>1</w:t>
            </w:r>
            <w:r>
              <w:rPr>
                <w:rFonts w:hint="eastAsia" w:ascii="宋体" w:hAnsi="宋体" w:eastAsia="宋体" w:cs="宋体"/>
                <w:b/>
                <w:bCs w:val="0"/>
                <w:color w:val="FF0000"/>
                <w:szCs w:val="21"/>
              </w:rPr>
              <w:t>年内生产</w:t>
            </w:r>
            <w:r>
              <w:rPr>
                <w:rFonts w:hint="eastAsia" w:ascii="宋体" w:hAnsi="宋体" w:eastAsia="宋体" w:cs="宋体"/>
                <w:b/>
                <w:bCs w:val="0"/>
                <w:color w:val="FF0000"/>
                <w:szCs w:val="21"/>
                <w:lang w:eastAsia="zh-CN"/>
              </w:rPr>
              <w:t>，</w:t>
            </w:r>
            <w:r>
              <w:rPr>
                <w:rFonts w:hint="eastAsia" w:ascii="宋体" w:hAnsi="宋体" w:eastAsia="宋体" w:cs="宋体"/>
                <w:b/>
                <w:bCs w:val="0"/>
                <w:color w:val="FF0000"/>
                <w:szCs w:val="21"/>
              </w:rPr>
              <w:t>时间自</w:t>
            </w:r>
            <w:r>
              <w:rPr>
                <w:rFonts w:hint="eastAsia" w:ascii="宋体" w:hAnsi="宋体" w:eastAsia="宋体" w:cs="宋体"/>
                <w:b/>
                <w:bCs w:val="0"/>
                <w:color w:val="FF0000"/>
                <w:szCs w:val="21"/>
                <w:lang w:eastAsia="zh-CN"/>
              </w:rPr>
              <w:t>设备到货日期起算</w:t>
            </w:r>
            <w:r>
              <w:rPr>
                <w:rFonts w:hint="eastAsia" w:ascii="宋体" w:hAnsi="宋体" w:eastAsia="宋体" w:cs="宋体"/>
                <w:b/>
                <w:bCs w:val="0"/>
                <w:color w:val="FF0000"/>
                <w:szCs w:val="21"/>
              </w:rPr>
              <w:t>【生产日期需提供承诺书（格式自拟）】</w:t>
            </w:r>
          </w:p>
        </w:tc>
      </w:tr>
      <w:tr w14:paraId="340F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681" w:type="pct"/>
            <w:vAlign w:val="center"/>
          </w:tcPr>
          <w:p w14:paraId="70734C13">
            <w:pPr>
              <w:keepNext w:val="0"/>
              <w:keepLines w:val="0"/>
              <w:suppressLineNumbers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7</w:t>
            </w:r>
          </w:p>
        </w:tc>
        <w:tc>
          <w:tcPr>
            <w:tcW w:w="887" w:type="pct"/>
          </w:tcPr>
          <w:p w14:paraId="63A0F009">
            <w:pPr>
              <w:keepNext w:val="0"/>
              <w:keepLines w:val="0"/>
              <w:suppressLineNumbers w:val="0"/>
              <w:spacing w:before="0" w:beforeAutospacing="0" w:after="0" w:afterAutospacing="0"/>
              <w:ind w:left="0" w:right="0"/>
              <w:rPr>
                <w:rFonts w:hint="eastAsia" w:ascii="宋体" w:hAnsi="宋体" w:eastAsia="宋体" w:cs="宋体"/>
                <w:color w:val="auto"/>
                <w:szCs w:val="21"/>
                <w:lang w:eastAsia="zh-CN"/>
              </w:rPr>
            </w:pPr>
            <w:r>
              <w:rPr>
                <w:rFonts w:hint="eastAsia" w:ascii="宋体" w:hAnsi="宋体" w:eastAsia="宋体" w:cs="宋体"/>
                <w:color w:val="auto"/>
                <w:szCs w:val="21"/>
                <w:lang w:eastAsia="zh-CN"/>
              </w:rPr>
              <w:t>关于配套试剂及耗材</w:t>
            </w:r>
          </w:p>
        </w:tc>
        <w:tc>
          <w:tcPr>
            <w:tcW w:w="3431" w:type="pct"/>
          </w:tcPr>
          <w:p w14:paraId="64AE6168">
            <w:pPr>
              <w:keepNext w:val="0"/>
              <w:keepLines w:val="0"/>
              <w:suppressLineNumbers w:val="0"/>
              <w:spacing w:before="0" w:beforeAutospacing="0" w:after="0" w:afterAutospacing="0"/>
              <w:ind w:left="0" w:right="0"/>
              <w:rPr>
                <w:rFonts w:hint="eastAsia" w:ascii="宋体" w:hAnsi="宋体" w:eastAsia="宋体" w:cs="宋体"/>
                <w:b/>
                <w:bCs w:val="0"/>
                <w:color w:val="FF0000"/>
                <w:szCs w:val="21"/>
                <w:lang w:eastAsia="zh-CN"/>
              </w:rPr>
            </w:pPr>
            <w:r>
              <w:rPr>
                <w:rFonts w:hint="eastAsia" w:ascii="宋体" w:hAnsi="宋体" w:eastAsia="宋体" w:cs="宋体"/>
                <w:b/>
                <w:bCs w:val="0"/>
                <w:color w:val="FF0000"/>
                <w:sz w:val="21"/>
                <w:szCs w:val="21"/>
                <w:highlight w:val="none"/>
              </w:rPr>
              <w:t>★承诺</w:t>
            </w:r>
            <w:r>
              <w:rPr>
                <w:rFonts w:hint="eastAsia" w:ascii="宋体" w:hAnsi="宋体" w:eastAsia="宋体" w:cs="宋体"/>
                <w:b/>
                <w:bCs w:val="0"/>
                <w:color w:val="FF0000"/>
                <w:sz w:val="21"/>
                <w:szCs w:val="21"/>
                <w:highlight w:val="none"/>
                <w:lang w:eastAsia="zh-CN"/>
              </w:rPr>
              <w:t>可</w:t>
            </w:r>
            <w:r>
              <w:rPr>
                <w:rFonts w:hint="eastAsia" w:ascii="宋体" w:hAnsi="宋体" w:eastAsia="宋体" w:cs="宋体"/>
                <w:b/>
                <w:bCs w:val="0"/>
                <w:color w:val="FF0000"/>
                <w:sz w:val="21"/>
                <w:szCs w:val="21"/>
                <w:highlight w:val="none"/>
              </w:rPr>
              <w:t>在深圳医用耗材阳光交易和监管平台上采购仪器配套封闭试剂及耗材，</w:t>
            </w:r>
            <w:r>
              <w:rPr>
                <w:rFonts w:hint="eastAsia" w:ascii="宋体" w:hAnsi="宋体" w:eastAsia="宋体" w:cs="宋体"/>
                <w:b/>
                <w:bCs w:val="0"/>
                <w:color w:val="FF0000"/>
                <w:sz w:val="21"/>
                <w:szCs w:val="21"/>
              </w:rPr>
              <w:t>阳光采购平台上注册为限价目录产品</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highlight w:val="none"/>
              </w:rPr>
              <w:t>并承诺提供深圳市内最低供货价</w:t>
            </w:r>
            <w:r>
              <w:rPr>
                <w:rFonts w:hint="eastAsia" w:ascii="宋体" w:hAnsi="宋体" w:eastAsia="宋体" w:cs="宋体"/>
                <w:b/>
                <w:bCs w:val="0"/>
                <w:color w:val="FF0000"/>
                <w:szCs w:val="21"/>
              </w:rPr>
              <w:t>【</w:t>
            </w:r>
            <w:r>
              <w:rPr>
                <w:rFonts w:hint="eastAsia" w:ascii="宋体" w:hAnsi="宋体" w:eastAsia="宋体" w:cs="宋体"/>
                <w:b/>
                <w:bCs w:val="0"/>
                <w:color w:val="FF0000"/>
                <w:sz w:val="21"/>
                <w:szCs w:val="21"/>
                <w:highlight w:val="none"/>
              </w:rPr>
              <w:t>提供承诺函，</w:t>
            </w:r>
            <w:r>
              <w:rPr>
                <w:rFonts w:hint="eastAsia" w:ascii="宋体" w:hAnsi="宋体" w:eastAsia="宋体" w:cs="宋体"/>
                <w:b/>
                <w:bCs w:val="0"/>
                <w:color w:val="FF0000"/>
                <w:szCs w:val="21"/>
              </w:rPr>
              <w:t>（格式自拟）】</w:t>
            </w:r>
          </w:p>
        </w:tc>
      </w:tr>
      <w:tr w14:paraId="47DB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1" w:type="pct"/>
            <w:vAlign w:val="center"/>
          </w:tcPr>
          <w:p w14:paraId="2E4138A6">
            <w:pPr>
              <w:keepNext w:val="0"/>
              <w:keepLines w:val="0"/>
              <w:suppressLineNumbers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8</w:t>
            </w:r>
          </w:p>
        </w:tc>
        <w:tc>
          <w:tcPr>
            <w:tcW w:w="887" w:type="pct"/>
          </w:tcPr>
          <w:p w14:paraId="6826BA6D">
            <w:pPr>
              <w:keepNext w:val="0"/>
              <w:keepLines w:val="0"/>
              <w:suppressLineNumbers w:val="0"/>
              <w:spacing w:before="0" w:beforeAutospacing="0" w:after="0" w:afterAutospacing="0"/>
              <w:ind w:left="0" w:right="0"/>
              <w:rPr>
                <w:rFonts w:hint="eastAsia" w:ascii="宋体" w:hAnsi="宋体" w:eastAsia="宋体" w:cs="宋体"/>
                <w:color w:val="auto"/>
                <w:szCs w:val="21"/>
                <w:lang w:eastAsia="zh-CN"/>
              </w:rPr>
            </w:pPr>
            <w:r>
              <w:rPr>
                <w:rFonts w:hint="eastAsia" w:ascii="宋体" w:hAnsi="宋体" w:eastAsia="宋体" w:cs="宋体"/>
                <w:color w:val="auto"/>
                <w:szCs w:val="21"/>
                <w:lang w:eastAsia="zh-CN"/>
              </w:rPr>
              <w:t>关于</w:t>
            </w:r>
            <w:r>
              <w:rPr>
                <w:rFonts w:hint="eastAsia" w:ascii="宋体" w:hAnsi="宋体" w:eastAsia="宋体" w:cs="宋体"/>
                <w:bCs/>
                <w:color w:val="auto"/>
                <w:szCs w:val="21"/>
                <w:highlight w:val="none"/>
              </w:rPr>
              <w:t>零配件、消耗品和延续保修</w:t>
            </w:r>
          </w:p>
        </w:tc>
        <w:tc>
          <w:tcPr>
            <w:tcW w:w="3431" w:type="pct"/>
          </w:tcPr>
          <w:p w14:paraId="1ED50508">
            <w:pPr>
              <w:keepNext w:val="0"/>
              <w:keepLines w:val="0"/>
              <w:suppressLineNumbers w:val="0"/>
              <w:spacing w:before="0" w:beforeAutospacing="0" w:after="0" w:afterAutospacing="0"/>
              <w:ind w:left="0" w:right="0"/>
              <w:rPr>
                <w:rFonts w:hint="eastAsia" w:ascii="宋体" w:hAnsi="宋体" w:eastAsia="宋体" w:cs="宋体"/>
                <w:b/>
                <w:bCs/>
                <w:color w:val="auto"/>
                <w:highlight w:val="none"/>
                <w:lang w:eastAsia="zh-CN"/>
              </w:rPr>
            </w:pPr>
            <w:r>
              <w:rPr>
                <w:rFonts w:hint="eastAsia" w:ascii="宋体" w:hAnsi="宋体" w:eastAsia="宋体" w:cs="宋体"/>
                <w:b/>
                <w:bCs w:val="0"/>
                <w:color w:val="FF0000"/>
                <w:szCs w:val="21"/>
                <w:highlight w:val="none"/>
              </w:rPr>
              <w:t>投标人应</w:t>
            </w:r>
            <w:r>
              <w:rPr>
                <w:rFonts w:hint="eastAsia" w:ascii="宋体" w:hAnsi="宋体" w:eastAsia="宋体" w:cs="宋体"/>
                <w:b/>
                <w:bCs w:val="0"/>
                <w:color w:val="FF0000"/>
                <w:szCs w:val="21"/>
                <w:highlight w:val="none"/>
                <w:lang w:eastAsia="zh-CN"/>
              </w:rPr>
              <w:t>提供</w:t>
            </w:r>
            <w:r>
              <w:rPr>
                <w:rFonts w:hint="eastAsia" w:ascii="宋体" w:hAnsi="宋体" w:eastAsia="宋体" w:cs="宋体"/>
                <w:b/>
                <w:bCs w:val="0"/>
                <w:color w:val="FF0000"/>
                <w:szCs w:val="21"/>
                <w:highlight w:val="none"/>
              </w:rPr>
              <w:t>维修零配件、消耗品和延续保修</w:t>
            </w:r>
            <w:r>
              <w:rPr>
                <w:rFonts w:hint="eastAsia" w:ascii="宋体" w:hAnsi="宋体" w:eastAsia="宋体" w:cs="宋体"/>
                <w:b/>
                <w:bCs w:val="0"/>
                <w:color w:val="FF0000"/>
                <w:szCs w:val="21"/>
                <w:highlight w:val="none"/>
                <w:lang w:eastAsia="zh-CN"/>
              </w:rPr>
              <w:t>的报价单</w:t>
            </w:r>
            <w:r>
              <w:rPr>
                <w:rFonts w:hint="eastAsia" w:ascii="宋体" w:hAnsi="宋体" w:eastAsia="宋体" w:cs="宋体"/>
                <w:b/>
                <w:bCs w:val="0"/>
                <w:color w:val="FF0000"/>
                <w:szCs w:val="21"/>
                <w:highlight w:val="none"/>
              </w:rPr>
              <w:t>价格最高的前</w:t>
            </w:r>
            <w:r>
              <w:rPr>
                <w:rFonts w:hint="eastAsia" w:ascii="宋体" w:hAnsi="宋体" w:eastAsia="宋体" w:cs="宋体"/>
                <w:b/>
                <w:bCs w:val="0"/>
                <w:color w:val="FF0000"/>
                <w:szCs w:val="21"/>
                <w:highlight w:val="none"/>
                <w:u w:val="single"/>
              </w:rPr>
              <w:t xml:space="preserve"> 5</w:t>
            </w:r>
            <w:r>
              <w:rPr>
                <w:rFonts w:hint="eastAsia" w:ascii="宋体" w:hAnsi="宋体" w:eastAsia="宋体" w:cs="宋体"/>
                <w:b/>
                <w:bCs w:val="0"/>
                <w:color w:val="FF0000"/>
                <w:szCs w:val="21"/>
                <w:highlight w:val="none"/>
              </w:rPr>
              <w:t>项零配件、消耗品和延续保修的报价明细必须填写于《零配件、消耗品和延续保修报价明细清单》中</w:t>
            </w:r>
            <w:r>
              <w:rPr>
                <w:rFonts w:hint="eastAsia" w:ascii="宋体" w:hAnsi="宋体" w:eastAsia="宋体" w:cs="宋体"/>
                <w:b/>
                <w:bCs w:val="0"/>
                <w:color w:val="FF0000"/>
                <w:szCs w:val="21"/>
                <w:highlight w:val="none"/>
                <w:lang w:eastAsia="zh-CN"/>
              </w:rPr>
              <w:t>（清单格式自拟）</w:t>
            </w:r>
          </w:p>
        </w:tc>
      </w:tr>
      <w:tr w14:paraId="68E6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1" w:type="pct"/>
            <w:vAlign w:val="center"/>
          </w:tcPr>
          <w:p w14:paraId="16B8F92D">
            <w:pPr>
              <w:keepNext w:val="0"/>
              <w:keepLines w:val="0"/>
              <w:suppressLineNumbers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9</w:t>
            </w:r>
          </w:p>
        </w:tc>
        <w:tc>
          <w:tcPr>
            <w:tcW w:w="887" w:type="pct"/>
          </w:tcPr>
          <w:p w14:paraId="73DFC4FC">
            <w:pPr>
              <w:keepNext w:val="0"/>
              <w:keepLines w:val="0"/>
              <w:suppressLineNumbers w:val="0"/>
              <w:spacing w:before="0" w:beforeAutospacing="0" w:after="0" w:afterAutospacing="0"/>
              <w:ind w:left="0" w:right="0"/>
              <w:rPr>
                <w:rFonts w:hint="eastAsia" w:ascii="宋体" w:hAnsi="宋体" w:eastAsia="宋体" w:cs="宋体"/>
                <w:color w:val="auto"/>
                <w:szCs w:val="21"/>
                <w:lang w:eastAsia="zh-CN"/>
              </w:rPr>
            </w:pPr>
            <w:r>
              <w:rPr>
                <w:rFonts w:hint="eastAsia" w:ascii="宋体" w:hAnsi="宋体" w:eastAsia="宋体" w:cs="宋体"/>
                <w:color w:val="auto"/>
                <w:szCs w:val="21"/>
                <w:lang w:eastAsia="zh-CN"/>
              </w:rPr>
              <w:t>关于设备开机率</w:t>
            </w:r>
          </w:p>
        </w:tc>
        <w:tc>
          <w:tcPr>
            <w:tcW w:w="3431" w:type="pct"/>
          </w:tcPr>
          <w:p w14:paraId="5C38D2CE">
            <w:pPr>
              <w:keepNext w:val="0"/>
              <w:keepLines w:val="0"/>
              <w:suppressLineNumbers w:val="0"/>
              <w:spacing w:before="0" w:beforeAutospacing="0" w:after="0" w:afterAutospacing="0" w:line="360" w:lineRule="auto"/>
              <w:ind w:left="0" w:right="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在保修期内, 投标人应确保年开机率在95%</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含</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以上, 若不能达到此开机率，将作以下处理：</w:t>
            </w:r>
          </w:p>
          <w:p w14:paraId="4D49A8D3">
            <w:pPr>
              <w:keepNext w:val="0"/>
              <w:keepLines w:val="0"/>
              <w:suppressLineNumbers w:val="0"/>
              <w:spacing w:before="0" w:beforeAutospacing="0" w:after="0" w:afterAutospacing="0" w:line="360" w:lineRule="auto"/>
              <w:ind w:left="420" w:leftChars="200" w:right="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A</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rPr>
              <w:t>年开机率在90（含）-95%（不含）之间按一赔</w:t>
            </w:r>
            <w:r>
              <w:rPr>
                <w:rFonts w:hint="eastAsia" w:ascii="宋体" w:hAnsi="宋体" w:eastAsia="宋体" w:cs="宋体"/>
                <w:bCs/>
                <w:color w:val="auto"/>
                <w:szCs w:val="21"/>
                <w:highlight w:val="none"/>
                <w:u w:val="single"/>
              </w:rPr>
              <w:t xml:space="preserve"> 二 </w:t>
            </w:r>
            <w:r>
              <w:rPr>
                <w:rFonts w:hint="eastAsia" w:ascii="宋体" w:hAnsi="宋体" w:eastAsia="宋体" w:cs="宋体"/>
                <w:bCs/>
                <w:color w:val="auto"/>
                <w:szCs w:val="21"/>
                <w:highlight w:val="none"/>
              </w:rPr>
              <w:t>延长保修期.</w:t>
            </w:r>
          </w:p>
          <w:p w14:paraId="4F6B21F0">
            <w:pPr>
              <w:keepNext w:val="0"/>
              <w:keepLines w:val="0"/>
              <w:suppressLineNumbers w:val="0"/>
              <w:spacing w:before="0" w:beforeAutospacing="0" w:after="0" w:afterAutospacing="0" w:line="360" w:lineRule="auto"/>
              <w:ind w:left="420" w:leftChars="200" w:right="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B</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rPr>
              <w:t>年开机率在85（含）-90%（不含）之间按一赔</w:t>
            </w:r>
            <w:r>
              <w:rPr>
                <w:rFonts w:hint="eastAsia" w:ascii="宋体" w:hAnsi="宋体" w:eastAsia="宋体" w:cs="宋体"/>
                <w:bCs/>
                <w:color w:val="auto"/>
                <w:szCs w:val="21"/>
                <w:highlight w:val="none"/>
                <w:u w:val="single"/>
              </w:rPr>
              <w:t xml:space="preserve"> 五 </w:t>
            </w:r>
            <w:r>
              <w:rPr>
                <w:rFonts w:hint="eastAsia" w:ascii="宋体" w:hAnsi="宋体" w:eastAsia="宋体" w:cs="宋体"/>
                <w:bCs/>
                <w:color w:val="auto"/>
                <w:szCs w:val="21"/>
                <w:highlight w:val="none"/>
              </w:rPr>
              <w:t>延长保修期</w:t>
            </w:r>
          </w:p>
          <w:p w14:paraId="2522CA5C">
            <w:pPr>
              <w:keepNext w:val="0"/>
              <w:keepLines w:val="0"/>
              <w:suppressLineNumbers w:val="0"/>
              <w:spacing w:before="0" w:beforeAutospacing="0" w:after="0" w:afterAutospacing="0" w:line="360" w:lineRule="auto"/>
              <w:ind w:left="735" w:leftChars="200" w:right="0" w:hanging="315" w:hangingChars="15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C</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rPr>
              <w:t>年开机率</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85%（</w:t>
            </w:r>
            <w:r>
              <w:rPr>
                <w:rFonts w:hint="eastAsia" w:ascii="宋体" w:hAnsi="宋体" w:eastAsia="宋体" w:cs="宋体"/>
                <w:bCs/>
                <w:color w:val="auto"/>
                <w:szCs w:val="21"/>
                <w:highlight w:val="none"/>
                <w:lang w:val="en-US" w:eastAsia="zh-CN"/>
              </w:rPr>
              <w:t>不</w:t>
            </w:r>
            <w:r>
              <w:rPr>
                <w:rFonts w:hint="eastAsia" w:ascii="宋体" w:hAnsi="宋体" w:eastAsia="宋体" w:cs="宋体"/>
                <w:bCs/>
                <w:color w:val="auto"/>
                <w:szCs w:val="21"/>
                <w:highlight w:val="none"/>
              </w:rPr>
              <w:t>含），投标人须无条件更换新机，并重新计算保修期，以及赔偿用户的直接经济损失和间接经济损失</w:t>
            </w:r>
          </w:p>
          <w:p w14:paraId="31F17BEA">
            <w:pPr>
              <w:keepNext w:val="0"/>
              <w:keepLines w:val="0"/>
              <w:suppressLineNumbers w:val="0"/>
              <w:spacing w:before="0" w:beforeAutospacing="0" w:after="0" w:afterAutospacing="0"/>
              <w:ind w:left="0" w:right="0"/>
              <w:rPr>
                <w:rFonts w:hint="eastAsia" w:ascii="宋体" w:hAnsi="宋体" w:eastAsia="宋体" w:cs="宋体"/>
                <w:color w:val="auto"/>
                <w:szCs w:val="21"/>
              </w:rPr>
            </w:pPr>
            <w:r>
              <w:rPr>
                <w:rFonts w:hint="eastAsia" w:ascii="宋体" w:hAnsi="宋体" w:eastAsia="宋体" w:cs="宋体"/>
                <w:b/>
                <w:bCs/>
                <w:color w:val="auto"/>
                <w:sz w:val="21"/>
                <w:szCs w:val="21"/>
                <w:highlight w:val="none"/>
              </w:rPr>
              <w:t>注：</w:t>
            </w:r>
            <w:r>
              <w:rPr>
                <w:rFonts w:hint="eastAsia" w:ascii="宋体" w:hAnsi="宋体" w:eastAsia="宋体" w:cs="宋体"/>
                <w:bCs/>
                <w:color w:val="auto"/>
                <w:sz w:val="21"/>
                <w:szCs w:val="21"/>
                <w:highlight w:val="none"/>
              </w:rPr>
              <w:t>年开机率</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（实际开机天数/</w:t>
            </w:r>
            <w:r>
              <w:rPr>
                <w:rFonts w:hint="eastAsia" w:ascii="宋体" w:hAnsi="宋体" w:eastAsia="宋体" w:cs="宋体"/>
                <w:color w:val="auto"/>
                <w:highlight w:val="none"/>
                <w:lang w:val="en-US" w:eastAsia="zh-CN"/>
              </w:rPr>
              <w:t>365天</w:t>
            </w:r>
            <w:r>
              <w:rPr>
                <w:rFonts w:hint="eastAsia" w:ascii="宋体" w:hAnsi="宋体" w:eastAsia="宋体" w:cs="宋体"/>
                <w:bCs/>
                <w:color w:val="auto"/>
                <w:sz w:val="21"/>
                <w:szCs w:val="21"/>
                <w:highlight w:val="none"/>
              </w:rPr>
              <w:t>*100%）</w:t>
            </w:r>
          </w:p>
        </w:tc>
      </w:tr>
      <w:tr w14:paraId="5BDC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81" w:type="pct"/>
            <w:vAlign w:val="center"/>
          </w:tcPr>
          <w:p w14:paraId="4F8B87BC">
            <w:pPr>
              <w:keepNext w:val="0"/>
              <w:keepLines w:val="0"/>
              <w:suppressLineNumbers w:val="0"/>
              <w:spacing w:before="0" w:beforeAutospacing="0" w:after="0" w:afterAutospacing="0"/>
              <w:ind w:left="0" w:right="0"/>
              <w:jc w:val="center"/>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10</w:t>
            </w:r>
          </w:p>
        </w:tc>
        <w:tc>
          <w:tcPr>
            <w:tcW w:w="887" w:type="pct"/>
            <w:vAlign w:val="center"/>
          </w:tcPr>
          <w:p w14:paraId="202AF155">
            <w:pPr>
              <w:keepNext w:val="0"/>
              <w:keepLines w:val="0"/>
              <w:suppressLineNumbers w:val="0"/>
              <w:spacing w:before="0" w:beforeAutospacing="0" w:after="0" w:afterAutospacing="0"/>
              <w:ind w:left="0" w:right="0"/>
              <w:rPr>
                <w:rFonts w:hint="eastAsia" w:ascii="宋体" w:hAnsi="宋体" w:eastAsia="宋体" w:cs="宋体"/>
                <w:b/>
                <w:color w:val="auto"/>
                <w:szCs w:val="21"/>
              </w:rPr>
            </w:pPr>
            <w:r>
              <w:rPr>
                <w:rFonts w:hint="eastAsia" w:ascii="宋体" w:hAnsi="宋体" w:eastAsia="宋体" w:cs="宋体"/>
                <w:color w:val="auto"/>
                <w:szCs w:val="21"/>
              </w:rPr>
              <w:t>其他</w:t>
            </w:r>
          </w:p>
        </w:tc>
        <w:tc>
          <w:tcPr>
            <w:tcW w:w="3431" w:type="pct"/>
            <w:vAlign w:val="center"/>
          </w:tcPr>
          <w:p w14:paraId="727D293B">
            <w:pPr>
              <w:keepNext w:val="0"/>
              <w:keepLines w:val="0"/>
              <w:suppressLineNumbers w:val="0"/>
              <w:spacing w:before="0" w:beforeAutospacing="0" w:after="0" w:afterAutospacing="0"/>
              <w:ind w:left="0" w:right="0"/>
              <w:rPr>
                <w:rFonts w:hint="eastAsia" w:ascii="宋体" w:hAnsi="宋体" w:eastAsia="宋体" w:cs="宋体"/>
                <w:b/>
                <w:color w:val="auto"/>
                <w:szCs w:val="21"/>
                <w:lang w:eastAsia="zh-CN"/>
              </w:rPr>
            </w:pPr>
            <w:r>
              <w:rPr>
                <w:rFonts w:hint="eastAsia" w:ascii="宋体" w:hAnsi="宋体" w:eastAsia="宋体" w:cs="宋体"/>
                <w:bCs/>
                <w:color w:val="auto"/>
                <w:szCs w:val="21"/>
              </w:rPr>
              <w:t>投标人应按其投标文件中的承诺，进行其他售后服务工作</w:t>
            </w:r>
          </w:p>
        </w:tc>
      </w:tr>
      <w:tr w14:paraId="11C4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14:paraId="46986892">
            <w:pPr>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（二）免费保修期外售后服务要求</w:t>
            </w:r>
          </w:p>
        </w:tc>
      </w:tr>
      <w:tr w14:paraId="1F41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1" w:type="pct"/>
            <w:vAlign w:val="center"/>
          </w:tcPr>
          <w:p w14:paraId="79506816">
            <w:pPr>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p>
        </w:tc>
        <w:tc>
          <w:tcPr>
            <w:tcW w:w="887" w:type="pct"/>
          </w:tcPr>
          <w:p w14:paraId="63C61FEB">
            <w:pPr>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val="0"/>
                <w:bCs/>
                <w:color w:val="auto"/>
                <w:szCs w:val="21"/>
                <w:highlight w:val="none"/>
              </w:rPr>
              <w:t>免费保修期外售后服务要求</w:t>
            </w:r>
          </w:p>
        </w:tc>
        <w:tc>
          <w:tcPr>
            <w:tcW w:w="3431" w:type="pct"/>
          </w:tcPr>
          <w:p w14:paraId="2F1B0DD5">
            <w:pPr>
              <w:keepNext w:val="0"/>
              <w:keepLines w:val="0"/>
              <w:suppressLineNumbers w:val="0"/>
              <w:spacing w:before="0" w:beforeAutospacing="0" w:after="0" w:afterAutospacing="0"/>
              <w:ind w:left="0" w:right="0"/>
              <w:rPr>
                <w:rFonts w:hint="eastAsia" w:ascii="宋体" w:hAnsi="宋体" w:eastAsia="宋体" w:cs="宋体"/>
                <w:b/>
                <w:color w:val="auto"/>
                <w:szCs w:val="21"/>
                <w:highlight w:val="none"/>
                <w:lang w:eastAsia="zh-CN"/>
              </w:rPr>
            </w:pPr>
            <w:r>
              <w:rPr>
                <w:rFonts w:hint="eastAsia" w:ascii="宋体" w:hAnsi="宋体" w:eastAsia="宋体" w:cs="宋体"/>
                <w:color w:val="auto"/>
                <w:szCs w:val="21"/>
                <w:highlight w:val="none"/>
              </w:rPr>
              <w:t>由设备制造商</w:t>
            </w:r>
            <w:r>
              <w:rPr>
                <w:rFonts w:hint="eastAsia" w:ascii="宋体" w:hAnsi="宋体" w:eastAsia="宋体" w:cs="宋体"/>
                <w:color w:val="auto"/>
                <w:szCs w:val="21"/>
                <w:highlight w:val="none"/>
                <w:lang w:eastAsia="zh-CN"/>
              </w:rPr>
              <w:t>或制造商授权认可的代理商</w:t>
            </w:r>
            <w:r>
              <w:rPr>
                <w:rFonts w:hint="eastAsia" w:ascii="宋体" w:hAnsi="宋体" w:eastAsia="宋体" w:cs="宋体"/>
                <w:color w:val="auto"/>
                <w:szCs w:val="21"/>
                <w:highlight w:val="none"/>
              </w:rPr>
              <w:t>提供售后服务</w:t>
            </w:r>
          </w:p>
        </w:tc>
      </w:tr>
      <w:tr w14:paraId="5CB7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tcPr>
          <w:p w14:paraId="754D6D67">
            <w:pPr>
              <w:keepNext w:val="0"/>
              <w:keepLines w:val="0"/>
              <w:suppressLineNumbers w:val="0"/>
              <w:spacing w:before="0" w:beforeAutospacing="0" w:after="0" w:afterAutospacing="0"/>
              <w:ind w:left="0" w:right="0"/>
              <w:rPr>
                <w:rFonts w:hint="eastAsia" w:ascii="宋体" w:hAnsi="宋体" w:eastAsia="宋体" w:cs="宋体"/>
                <w:b/>
                <w:color w:val="auto"/>
                <w:szCs w:val="21"/>
              </w:rPr>
            </w:pPr>
            <w:r>
              <w:rPr>
                <w:rFonts w:hint="eastAsia" w:ascii="宋体" w:hAnsi="宋体" w:eastAsia="宋体" w:cs="宋体"/>
                <w:b/>
                <w:color w:val="auto"/>
                <w:szCs w:val="21"/>
              </w:rPr>
              <w:t>（三）其他商务要求</w:t>
            </w:r>
          </w:p>
        </w:tc>
      </w:tr>
      <w:tr w14:paraId="0DD7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1" w:type="pct"/>
            <w:vMerge w:val="restart"/>
            <w:vAlign w:val="center"/>
          </w:tcPr>
          <w:p w14:paraId="59F61987">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rPr>
              <w:t>1</w:t>
            </w:r>
          </w:p>
        </w:tc>
        <w:tc>
          <w:tcPr>
            <w:tcW w:w="887" w:type="pct"/>
            <w:vMerge w:val="restart"/>
            <w:vAlign w:val="center"/>
          </w:tcPr>
          <w:p w14:paraId="6EE9A403">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关于交货</w:t>
            </w:r>
          </w:p>
        </w:tc>
        <w:tc>
          <w:tcPr>
            <w:tcW w:w="3431" w:type="pct"/>
          </w:tcPr>
          <w:p w14:paraId="7405FB5A">
            <w:pPr>
              <w:keepNext w:val="0"/>
              <w:keepLines w:val="0"/>
              <w:suppressLineNumbers w:val="0"/>
              <w:spacing w:before="0" w:beforeAutospacing="0" w:after="0" w:afterAutospacing="0"/>
              <w:ind w:left="0" w:right="0"/>
              <w:rPr>
                <w:rFonts w:hint="eastAsia" w:ascii="宋体" w:hAnsi="宋体" w:eastAsia="宋体" w:cs="宋体"/>
                <w:bCs/>
                <w:color w:val="auto"/>
                <w:szCs w:val="21"/>
                <w:lang w:eastAsia="zh-CN"/>
              </w:rPr>
            </w:pPr>
            <w:r>
              <w:rPr>
                <w:rFonts w:hint="eastAsia" w:ascii="宋体" w:hAnsi="宋体" w:eastAsia="宋体" w:cs="宋体"/>
                <w:b/>
                <w:color w:val="auto"/>
                <w:szCs w:val="21"/>
              </w:rPr>
              <w:t>★</w:t>
            </w:r>
            <w:r>
              <w:rPr>
                <w:rFonts w:hint="eastAsia" w:ascii="宋体" w:hAnsi="宋体" w:eastAsia="宋体" w:cs="宋体"/>
                <w:bCs/>
                <w:color w:val="auto"/>
                <w:szCs w:val="21"/>
              </w:rPr>
              <w:t>1.1</w:t>
            </w:r>
            <w:r>
              <w:rPr>
                <w:rFonts w:hint="eastAsia" w:ascii="宋体" w:hAnsi="宋体" w:eastAsia="宋体" w:cs="宋体"/>
                <w:color w:val="auto"/>
              </w:rPr>
              <w:t xml:space="preserve">签订合同后  </w:t>
            </w:r>
            <w:r>
              <w:rPr>
                <w:rFonts w:hint="eastAsia" w:ascii="宋体" w:hAnsi="宋体" w:eastAsia="宋体" w:cs="宋体"/>
                <w:color w:val="auto"/>
                <w:u w:val="single"/>
              </w:rPr>
              <w:t xml:space="preserve"> </w:t>
            </w:r>
            <w:r>
              <w:rPr>
                <w:rFonts w:hint="eastAsia" w:ascii="宋体" w:hAnsi="宋体" w:eastAsia="宋体" w:cs="宋体"/>
                <w:color w:val="auto"/>
                <w:highlight w:val="yellow"/>
                <w:u w:val="single"/>
                <w:lang w:val="en-US" w:eastAsia="zh-CN"/>
              </w:rPr>
              <w:t>30</w:t>
            </w:r>
            <w:r>
              <w:rPr>
                <w:rFonts w:hint="eastAsia" w:ascii="宋体" w:hAnsi="宋体" w:eastAsia="宋体" w:cs="宋体"/>
                <w:color w:val="auto"/>
                <w:u w:val="single"/>
              </w:rPr>
              <w:t xml:space="preserve"> </w:t>
            </w:r>
            <w:r>
              <w:rPr>
                <w:rFonts w:hint="eastAsia" w:ascii="宋体" w:hAnsi="宋体" w:eastAsia="宋体" w:cs="宋体"/>
                <w:color w:val="auto"/>
              </w:rPr>
              <w:t xml:space="preserve"> 天（日历日）内交货</w:t>
            </w:r>
          </w:p>
        </w:tc>
      </w:tr>
      <w:tr w14:paraId="0AFB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1" w:type="pct"/>
            <w:vMerge w:val="continue"/>
            <w:vAlign w:val="center"/>
          </w:tcPr>
          <w:p w14:paraId="65B0C3FB">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4B3E87A3">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431" w:type="pct"/>
          </w:tcPr>
          <w:p w14:paraId="1F32FDD1">
            <w:pPr>
              <w:keepNext w:val="0"/>
              <w:keepLines w:val="0"/>
              <w:suppressLineNumbers w:val="0"/>
              <w:spacing w:before="0" w:beforeAutospacing="0" w:after="0" w:afterAutospacing="0"/>
              <w:ind w:left="0" w:right="0"/>
              <w:rPr>
                <w:rFonts w:hint="eastAsia" w:ascii="宋体" w:hAnsi="宋体" w:eastAsia="宋体" w:cs="宋体"/>
                <w:bCs/>
                <w:color w:val="auto"/>
                <w:szCs w:val="21"/>
                <w:lang w:eastAsia="zh-CN"/>
              </w:rPr>
            </w:pPr>
            <w:r>
              <w:rPr>
                <w:rFonts w:hint="eastAsia" w:ascii="宋体" w:hAnsi="宋体" w:eastAsia="宋体" w:cs="宋体"/>
                <w:b/>
                <w:color w:val="auto"/>
                <w:szCs w:val="21"/>
              </w:rPr>
              <w:t>★</w:t>
            </w:r>
            <w:bookmarkStart w:id="141" w:name="_GoBack"/>
            <w:bookmarkEnd w:id="141"/>
            <w:r>
              <w:rPr>
                <w:rFonts w:hint="eastAsia" w:ascii="宋体" w:hAnsi="宋体" w:eastAsia="宋体" w:cs="宋体"/>
                <w:bCs/>
                <w:color w:val="auto"/>
                <w:szCs w:val="21"/>
                <w:lang w:val="en-US" w:eastAsia="zh-CN"/>
              </w:rPr>
              <w:t>1.2</w:t>
            </w:r>
            <w:r>
              <w:rPr>
                <w:rFonts w:hint="eastAsia" w:ascii="宋体" w:hAnsi="宋体" w:eastAsia="宋体" w:cs="宋体"/>
                <w:bCs/>
                <w:color w:val="auto"/>
                <w:szCs w:val="21"/>
              </w:rPr>
              <w:t>交货地点：</w:t>
            </w:r>
            <w:r>
              <w:rPr>
                <w:rFonts w:hint="eastAsia" w:ascii="宋体" w:hAnsi="宋体" w:eastAsia="宋体" w:cs="宋体"/>
                <w:color w:val="auto"/>
                <w:szCs w:val="21"/>
              </w:rPr>
              <w:t>中标人</w:t>
            </w:r>
            <w:r>
              <w:rPr>
                <w:rFonts w:hint="eastAsia" w:ascii="宋体" w:hAnsi="宋体" w:eastAsia="宋体" w:cs="宋体"/>
                <w:bCs/>
                <w:color w:val="auto"/>
                <w:szCs w:val="21"/>
                <w:highlight w:val="none"/>
              </w:rPr>
              <w:t>负责将</w:t>
            </w:r>
            <w:r>
              <w:rPr>
                <w:rFonts w:hint="eastAsia" w:ascii="宋体" w:hAnsi="宋体" w:eastAsia="宋体" w:cs="宋体"/>
                <w:color w:val="auto"/>
                <w:szCs w:val="21"/>
                <w:highlight w:val="none"/>
              </w:rPr>
              <w:t>货物</w:t>
            </w:r>
            <w:r>
              <w:rPr>
                <w:rFonts w:hint="eastAsia" w:ascii="宋体" w:hAnsi="宋体" w:eastAsia="宋体" w:cs="宋体"/>
                <w:bCs/>
                <w:color w:val="auto"/>
                <w:szCs w:val="21"/>
                <w:highlight w:val="none"/>
              </w:rPr>
              <w:t>安全无损运抵采购人指定地点,并承担设备的包装、运输、保险、装卸、安装调试、培训及计量检测、增值税等费用</w:t>
            </w:r>
            <w:r>
              <w:rPr>
                <w:rFonts w:hint="eastAsia" w:ascii="宋体" w:hAnsi="宋体" w:eastAsia="宋体" w:cs="宋体"/>
                <w:color w:val="auto"/>
                <w:szCs w:val="21"/>
                <w:highlight w:val="none"/>
                <w:lang w:eastAsia="zh-CN"/>
              </w:rPr>
              <w:t>；清洗设备交货前需进行降音降燥处理</w:t>
            </w:r>
          </w:p>
        </w:tc>
      </w:tr>
      <w:tr w14:paraId="43CD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81" w:type="pct"/>
            <w:vMerge w:val="continue"/>
            <w:vAlign w:val="center"/>
          </w:tcPr>
          <w:p w14:paraId="4158ADF7">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11C20754">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431" w:type="pct"/>
          </w:tcPr>
          <w:p w14:paraId="1A9A7212">
            <w:pPr>
              <w:keepNext w:val="0"/>
              <w:keepLines w:val="0"/>
              <w:suppressLineNumbers w:val="0"/>
              <w:spacing w:before="0" w:beforeAutospacing="0" w:after="0" w:afterAutospacing="0"/>
              <w:ind w:left="0" w:right="0"/>
              <w:rPr>
                <w:rFonts w:hint="eastAsia" w:ascii="宋体" w:hAnsi="宋体" w:eastAsia="宋体" w:cs="宋体"/>
                <w:bCs/>
                <w:color w:val="auto"/>
                <w:szCs w:val="21"/>
                <w:lang w:eastAsia="zh-CN"/>
              </w:rPr>
            </w:pPr>
            <w:r>
              <w:rPr>
                <w:rFonts w:hint="eastAsia" w:ascii="宋体" w:hAnsi="宋体" w:eastAsia="宋体" w:cs="宋体"/>
                <w:bCs/>
                <w:color w:val="auto"/>
                <w:szCs w:val="21"/>
              </w:rPr>
              <w:t>1.</w:t>
            </w:r>
            <w:r>
              <w:rPr>
                <w:rFonts w:hint="eastAsia" w:ascii="宋体" w:hAnsi="宋体" w:eastAsia="宋体" w:cs="宋体"/>
                <w:bCs/>
                <w:color w:val="auto"/>
                <w:szCs w:val="21"/>
                <w:lang w:val="en-US" w:eastAsia="zh-CN"/>
              </w:rPr>
              <w:t>3</w:t>
            </w:r>
            <w:r>
              <w:rPr>
                <w:rFonts w:hint="eastAsia" w:ascii="宋体" w:hAnsi="宋体" w:eastAsia="宋体" w:cs="宋体"/>
                <w:color w:val="auto"/>
                <w:szCs w:val="21"/>
              </w:rPr>
              <w:t>中标人</w:t>
            </w:r>
            <w:r>
              <w:rPr>
                <w:rFonts w:hint="eastAsia" w:ascii="宋体" w:hAnsi="宋体" w:eastAsia="宋体" w:cs="宋体"/>
                <w:bCs/>
                <w:color w:val="auto"/>
                <w:szCs w:val="21"/>
                <w:highlight w:val="none"/>
              </w:rPr>
              <w:t>应提供货物的技术文件，包括但不限于设备配置清单、产品说明书、图纸、操作手册等，所有外文资料须提供中文译本文件应随货物一并交付至采购人指定地点</w:t>
            </w:r>
          </w:p>
        </w:tc>
      </w:tr>
      <w:tr w14:paraId="5012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81" w:type="pct"/>
            <w:vMerge w:val="continue"/>
            <w:vAlign w:val="center"/>
          </w:tcPr>
          <w:p w14:paraId="57461BD3">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1955A99F">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431" w:type="pct"/>
          </w:tcPr>
          <w:p w14:paraId="52D19343">
            <w:pPr>
              <w:keepNext w:val="0"/>
              <w:keepLines w:val="0"/>
              <w:suppressLineNumbers w:val="0"/>
              <w:spacing w:before="0" w:beforeAutospacing="0" w:after="0" w:afterAutospacing="0"/>
              <w:ind w:left="0" w:right="0"/>
              <w:rPr>
                <w:rFonts w:hint="eastAsia" w:ascii="宋体" w:hAnsi="宋体" w:eastAsia="宋体" w:cs="宋体"/>
                <w:bCs/>
                <w:color w:val="auto"/>
                <w:szCs w:val="21"/>
                <w:lang w:eastAsia="zh-CN"/>
              </w:rPr>
            </w:pPr>
            <w:r>
              <w:rPr>
                <w:rFonts w:hint="eastAsia" w:ascii="宋体" w:hAnsi="宋体" w:eastAsia="宋体" w:cs="宋体"/>
                <w:bCs/>
                <w:color w:val="auto"/>
                <w:szCs w:val="21"/>
                <w:lang w:val="en-US" w:eastAsia="zh-CN"/>
              </w:rPr>
              <w:t>1.4</w:t>
            </w:r>
            <w:r>
              <w:rPr>
                <w:rFonts w:hint="eastAsia" w:ascii="宋体" w:hAnsi="宋体" w:eastAsia="宋体" w:cs="宋体"/>
                <w:color w:val="auto"/>
                <w:szCs w:val="21"/>
              </w:rPr>
              <w:t>中标人</w:t>
            </w:r>
            <w:r>
              <w:rPr>
                <w:rFonts w:hint="eastAsia" w:ascii="宋体" w:hAnsi="宋体" w:eastAsia="宋体" w:cs="宋体"/>
                <w:bCs/>
                <w:color w:val="auto"/>
                <w:szCs w:val="21"/>
              </w:rPr>
              <w:t>提供的货物必须为全新、经检验合格的产品</w:t>
            </w:r>
            <w:r>
              <w:rPr>
                <w:rFonts w:hint="eastAsia" w:ascii="宋体" w:hAnsi="宋体" w:eastAsia="宋体" w:cs="宋体"/>
                <w:bCs/>
                <w:color w:val="auto"/>
                <w:szCs w:val="21"/>
                <w:highlight w:val="none"/>
              </w:rPr>
              <w:t>产品如需要计量检定的应</w:t>
            </w:r>
            <w:r>
              <w:rPr>
                <w:rFonts w:hint="eastAsia" w:ascii="宋体" w:hAnsi="宋体" w:eastAsia="宋体" w:cs="宋体"/>
                <w:color w:val="auto"/>
                <w:szCs w:val="21"/>
                <w:highlight w:val="none"/>
              </w:rPr>
              <w:t>提供</w:t>
            </w:r>
            <w:r>
              <w:rPr>
                <w:rFonts w:hint="eastAsia" w:ascii="宋体" w:hAnsi="宋体" w:eastAsia="宋体" w:cs="宋体"/>
                <w:bCs/>
                <w:color w:val="auto"/>
                <w:szCs w:val="21"/>
                <w:highlight w:val="none"/>
              </w:rPr>
              <w:t>相关计量检定部门出具的合法检定报告</w:t>
            </w:r>
            <w:r>
              <w:rPr>
                <w:rFonts w:hint="eastAsia" w:ascii="宋体" w:hAnsi="宋体" w:cs="宋体"/>
                <w:bCs/>
                <w:color w:val="auto"/>
                <w:szCs w:val="21"/>
                <w:highlight w:val="none"/>
                <w:lang w:eastAsia="zh-CN"/>
              </w:rPr>
              <w:t>。</w:t>
            </w:r>
          </w:p>
        </w:tc>
      </w:tr>
      <w:tr w14:paraId="01AE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81" w:type="pct"/>
            <w:vMerge w:val="continue"/>
            <w:vAlign w:val="center"/>
          </w:tcPr>
          <w:p w14:paraId="669BCB62">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4D60CCE3">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431" w:type="pct"/>
          </w:tcPr>
          <w:p w14:paraId="593AABCF">
            <w:pPr>
              <w:keepNext w:val="0"/>
              <w:keepLines w:val="0"/>
              <w:suppressLineNumbers w:val="0"/>
              <w:spacing w:before="0" w:beforeAutospacing="0" w:after="0" w:afterAutospacing="0"/>
              <w:ind w:left="0" w:right="0"/>
              <w:rPr>
                <w:rFonts w:hint="eastAsia" w:ascii="宋体" w:hAnsi="宋体" w:eastAsia="宋体" w:cs="宋体"/>
                <w:color w:val="auto"/>
                <w:lang w:eastAsia="zh-CN"/>
              </w:rPr>
            </w:pPr>
            <w:r>
              <w:rPr>
                <w:rFonts w:hint="eastAsia" w:ascii="宋体" w:hAnsi="宋体" w:eastAsia="宋体" w:cs="宋体"/>
                <w:bCs/>
                <w:color w:val="auto"/>
                <w:szCs w:val="21"/>
                <w:highlight w:val="none"/>
                <w:lang w:val="en-US" w:eastAsia="zh-CN"/>
              </w:rPr>
              <w:t>1.5</w:t>
            </w:r>
            <w:r>
              <w:rPr>
                <w:rFonts w:hint="eastAsia" w:ascii="宋体" w:hAnsi="宋体" w:eastAsia="宋体" w:cs="宋体"/>
                <w:bCs/>
                <w:color w:val="auto"/>
                <w:szCs w:val="21"/>
                <w:highlight w:val="none"/>
              </w:rPr>
              <w:t>采购人有权检验或测试货物，以确认货物是否符合合同规格的要求如果发现所交货物与投标文件中所承诺的不符或存在质量、技术缺陷等,采购人可以拒绝接收该货物</w:t>
            </w:r>
          </w:p>
        </w:tc>
      </w:tr>
      <w:tr w14:paraId="43C7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681" w:type="pct"/>
            <w:vMerge w:val="continue"/>
            <w:vAlign w:val="center"/>
          </w:tcPr>
          <w:p w14:paraId="789C30B6">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245D37EF">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431" w:type="pct"/>
          </w:tcPr>
          <w:p w14:paraId="6994BDBA">
            <w:pPr>
              <w:keepNext w:val="0"/>
              <w:keepLines w:val="0"/>
              <w:suppressLineNumbers w:val="0"/>
              <w:spacing w:before="0" w:beforeAutospacing="0" w:after="0" w:afterAutospacing="0"/>
              <w:ind w:left="0" w:right="0"/>
              <w:rPr>
                <w:rFonts w:hint="eastAsia" w:ascii="宋体" w:hAnsi="宋体" w:eastAsia="宋体" w:cs="宋体"/>
                <w:color w:val="auto"/>
                <w:lang w:val="en-US" w:eastAsia="zh-CN"/>
              </w:rPr>
            </w:pP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rPr>
              <w:t>中标人</w:t>
            </w:r>
            <w:r>
              <w:rPr>
                <w:rFonts w:hint="eastAsia" w:ascii="宋体" w:hAnsi="宋体" w:eastAsia="宋体" w:cs="宋体"/>
                <w:color w:val="auto"/>
                <w:szCs w:val="21"/>
                <w:highlight w:val="none"/>
              </w:rPr>
              <w:t>负责货物的现场安装和调试,提供货物安装、调试和维修所需的专用工具和辅助材料</w:t>
            </w:r>
            <w:r>
              <w:rPr>
                <w:rFonts w:hint="eastAsia" w:ascii="宋体" w:hAnsi="宋体" w:eastAsia="宋体" w:cs="宋体"/>
                <w:color w:val="auto"/>
                <w:szCs w:val="21"/>
              </w:rPr>
              <w:t>中标人</w:t>
            </w:r>
            <w:r>
              <w:rPr>
                <w:rFonts w:hint="eastAsia" w:ascii="宋体" w:hAnsi="宋体" w:eastAsia="宋体" w:cs="宋体"/>
                <w:color w:val="auto"/>
                <w:szCs w:val="21"/>
                <w:highlight w:val="none"/>
              </w:rPr>
              <w:t>应在货物运至指定地点后</w:t>
            </w:r>
            <w:r>
              <w:rPr>
                <w:rFonts w:hint="eastAsia" w:ascii="宋体" w:hAnsi="宋体" w:eastAsia="宋体" w:cs="宋体"/>
                <w:color w:val="auto"/>
                <w:szCs w:val="21"/>
                <w:highlight w:val="yellow"/>
                <w:u w:val="single"/>
                <w:lang w:val="en-US" w:eastAsia="zh-CN"/>
              </w:rPr>
              <w:t xml:space="preserve"> 5 </w:t>
            </w:r>
            <w:r>
              <w:rPr>
                <w:rFonts w:hint="eastAsia" w:ascii="宋体" w:hAnsi="宋体" w:eastAsia="宋体" w:cs="宋体"/>
                <w:color w:val="auto"/>
                <w:szCs w:val="21"/>
                <w:highlight w:val="none"/>
                <w:lang w:val="en-US" w:eastAsia="zh-CN"/>
              </w:rPr>
              <w:t>天</w:t>
            </w:r>
            <w:r>
              <w:rPr>
                <w:rFonts w:hint="eastAsia" w:ascii="宋体" w:hAnsi="宋体" w:eastAsia="宋体" w:cs="宋体"/>
                <w:color w:val="auto"/>
                <w:szCs w:val="21"/>
                <w:highlight w:val="none"/>
              </w:rPr>
              <w:t>内开始安装调试,并在</w:t>
            </w:r>
            <w:r>
              <w:rPr>
                <w:rFonts w:hint="eastAsia" w:ascii="宋体" w:hAnsi="宋体" w:eastAsia="宋体" w:cs="宋体"/>
                <w:bCs/>
                <w:color w:val="auto"/>
                <w:szCs w:val="21"/>
                <w:highlight w:val="yellow"/>
                <w:u w:val="single"/>
              </w:rPr>
              <w:t xml:space="preserve"> 5 </w:t>
            </w:r>
            <w:r>
              <w:rPr>
                <w:rFonts w:hint="eastAsia" w:ascii="宋体" w:hAnsi="宋体" w:eastAsia="宋体" w:cs="宋体"/>
                <w:color w:val="auto"/>
                <w:szCs w:val="21"/>
                <w:highlight w:val="none"/>
              </w:rPr>
              <w:t>天内安装调试完毕</w:t>
            </w:r>
          </w:p>
        </w:tc>
      </w:tr>
      <w:tr w14:paraId="595E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1" w:type="pct"/>
            <w:vMerge w:val="restart"/>
            <w:vAlign w:val="center"/>
          </w:tcPr>
          <w:p w14:paraId="630E3146">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rPr>
              <w:t>★2</w:t>
            </w:r>
          </w:p>
        </w:tc>
        <w:tc>
          <w:tcPr>
            <w:tcW w:w="887" w:type="pct"/>
            <w:vMerge w:val="restart"/>
            <w:vAlign w:val="center"/>
          </w:tcPr>
          <w:p w14:paraId="26DF1171">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关于验收</w:t>
            </w:r>
          </w:p>
        </w:tc>
        <w:tc>
          <w:tcPr>
            <w:tcW w:w="3431" w:type="pct"/>
          </w:tcPr>
          <w:p w14:paraId="16FA747E">
            <w:pPr>
              <w:keepNext w:val="0"/>
              <w:keepLines w:val="0"/>
              <w:suppressLineNumbers w:val="0"/>
              <w:spacing w:before="0" w:beforeAutospacing="0" w:after="0" w:afterAutospacing="0" w:line="340" w:lineRule="exact"/>
              <w:ind w:left="0" w:right="0"/>
              <w:rPr>
                <w:rFonts w:hint="eastAsia" w:ascii="宋体" w:hAnsi="宋体" w:eastAsia="宋体" w:cs="宋体"/>
                <w:bCs/>
                <w:color w:val="auto"/>
                <w:szCs w:val="21"/>
                <w:lang w:eastAsia="zh-CN"/>
              </w:rPr>
            </w:pPr>
            <w:r>
              <w:rPr>
                <w:rFonts w:hint="eastAsia" w:ascii="宋体" w:hAnsi="宋体" w:eastAsia="宋体" w:cs="宋体"/>
                <w:bCs/>
                <w:color w:val="auto"/>
                <w:szCs w:val="21"/>
              </w:rPr>
              <w:t>2.1</w:t>
            </w:r>
            <w:r>
              <w:rPr>
                <w:rFonts w:hint="eastAsia" w:ascii="宋体" w:hAnsi="宋体" w:eastAsia="宋体" w:cs="宋体"/>
                <w:color w:val="auto"/>
                <w:szCs w:val="21"/>
              </w:rPr>
              <w:t>中标人</w:t>
            </w:r>
            <w:r>
              <w:rPr>
                <w:rFonts w:hint="eastAsia" w:ascii="宋体" w:hAnsi="宋体" w:eastAsia="宋体" w:cs="宋体"/>
                <w:bCs/>
                <w:color w:val="auto"/>
                <w:szCs w:val="21"/>
              </w:rPr>
              <w:t>货物经过双方检验认可后，签署验收报告，产品保修期自验收合格之日起算，由投标人提供产品保修文件</w:t>
            </w:r>
          </w:p>
        </w:tc>
      </w:tr>
      <w:tr w14:paraId="4BA7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1" w:type="pct"/>
            <w:vMerge w:val="continue"/>
            <w:vAlign w:val="center"/>
          </w:tcPr>
          <w:p w14:paraId="68940532">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188D334D">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3431" w:type="pct"/>
          </w:tcPr>
          <w:p w14:paraId="32F9E953">
            <w:pPr>
              <w:keepNext w:val="0"/>
              <w:keepLines w:val="0"/>
              <w:suppressLineNumbers w:val="0"/>
              <w:spacing w:before="0" w:beforeAutospacing="0" w:after="0" w:afterAutospacing="0" w:line="340" w:lineRule="exact"/>
              <w:ind w:left="0" w:right="0"/>
              <w:rPr>
                <w:rFonts w:hint="eastAsia" w:ascii="宋体" w:hAnsi="宋体" w:eastAsia="宋体" w:cs="宋体"/>
                <w:bCs/>
                <w:color w:val="auto"/>
                <w:szCs w:val="21"/>
              </w:rPr>
            </w:pPr>
            <w:r>
              <w:rPr>
                <w:rFonts w:hint="eastAsia" w:ascii="宋体" w:hAnsi="宋体" w:eastAsia="宋体" w:cs="宋体"/>
                <w:bCs/>
                <w:color w:val="auto"/>
                <w:szCs w:val="21"/>
              </w:rPr>
              <w:t>2.2当满足以下条件时，采购人才向中标人签发货物验收报告：</w:t>
            </w:r>
          </w:p>
          <w:p w14:paraId="3A61F06A">
            <w:pPr>
              <w:keepNext w:val="0"/>
              <w:keepLines w:val="0"/>
              <w:suppressLineNumbers w:val="0"/>
              <w:tabs>
                <w:tab w:val="left" w:pos="1260"/>
              </w:tabs>
              <w:spacing w:before="0" w:beforeAutospacing="0" w:after="0" w:afterAutospacing="0" w:line="340" w:lineRule="exact"/>
              <w:ind w:left="0" w:right="0"/>
              <w:rPr>
                <w:rFonts w:hint="eastAsia" w:ascii="宋体" w:hAnsi="宋体" w:eastAsia="宋体" w:cs="宋体"/>
                <w:bCs/>
                <w:color w:val="auto"/>
                <w:szCs w:val="21"/>
                <w:lang w:eastAsia="zh-CN"/>
              </w:rPr>
            </w:pPr>
            <w:r>
              <w:rPr>
                <w:rFonts w:hint="eastAsia" w:ascii="宋体" w:hAnsi="宋体" w:eastAsia="宋体" w:cs="宋体"/>
                <w:bCs/>
                <w:color w:val="auto"/>
                <w:szCs w:val="21"/>
              </w:rPr>
              <w:t>a、中标人已按照合同规定提供了全部产品及完整的技术资料</w:t>
            </w:r>
          </w:p>
          <w:p w14:paraId="7C7690CB">
            <w:pPr>
              <w:keepNext w:val="0"/>
              <w:keepLines w:val="0"/>
              <w:suppressLineNumbers w:val="0"/>
              <w:tabs>
                <w:tab w:val="left" w:pos="1260"/>
              </w:tabs>
              <w:spacing w:before="0" w:beforeAutospacing="0" w:after="0" w:afterAutospacing="0" w:line="340" w:lineRule="exact"/>
              <w:ind w:left="0" w:right="0"/>
              <w:rPr>
                <w:rFonts w:hint="eastAsia" w:ascii="宋体" w:hAnsi="宋体" w:eastAsia="宋体" w:cs="宋体"/>
                <w:bCs/>
                <w:color w:val="auto"/>
                <w:szCs w:val="21"/>
              </w:rPr>
            </w:pPr>
            <w:r>
              <w:rPr>
                <w:rFonts w:hint="eastAsia" w:ascii="宋体" w:hAnsi="宋体" w:eastAsia="宋体" w:cs="宋体"/>
                <w:bCs/>
                <w:color w:val="auto"/>
                <w:szCs w:val="21"/>
              </w:rPr>
              <w:t>b、货物符合招标文件技术规格书的要求，性能满足要求</w:t>
            </w:r>
          </w:p>
          <w:p w14:paraId="01231F51">
            <w:pPr>
              <w:keepNext w:val="0"/>
              <w:keepLines w:val="0"/>
              <w:suppressLineNumbers w:val="0"/>
              <w:tabs>
                <w:tab w:val="left" w:pos="1260"/>
              </w:tabs>
              <w:spacing w:before="0" w:beforeAutospacing="0" w:after="0" w:afterAutospacing="0" w:line="340" w:lineRule="exact"/>
              <w:ind w:left="0" w:right="0"/>
              <w:rPr>
                <w:rFonts w:hint="eastAsia" w:ascii="宋体" w:hAnsi="宋体" w:eastAsia="宋体" w:cs="宋体"/>
                <w:bCs/>
                <w:color w:val="auto"/>
                <w:szCs w:val="21"/>
                <w:lang w:eastAsia="zh-CN"/>
              </w:rPr>
            </w:pPr>
            <w:r>
              <w:rPr>
                <w:rFonts w:hint="eastAsia" w:asciiTheme="minorEastAsia" w:hAnsiTheme="minorEastAsia" w:eastAsiaTheme="minorEastAsia"/>
                <w:bCs/>
                <w:color w:val="auto"/>
                <w:szCs w:val="21"/>
                <w:highlight w:val="none"/>
                <w:lang w:val="en-US" w:eastAsia="zh-CN"/>
              </w:rPr>
              <w:t>c、</w:t>
            </w:r>
            <w:r>
              <w:rPr>
                <w:rFonts w:hint="eastAsia" w:asciiTheme="minorEastAsia" w:hAnsiTheme="minorEastAsia" w:eastAsiaTheme="minorEastAsia"/>
                <w:bCs/>
                <w:color w:val="auto"/>
                <w:szCs w:val="21"/>
                <w:highlight w:val="none"/>
                <w:lang w:eastAsia="zh-CN"/>
              </w:rPr>
              <w:t>货物如果是特种设备，中标人负责办理特种设备使用登记证，并提供</w:t>
            </w:r>
            <w:r>
              <w:rPr>
                <w:rFonts w:hint="eastAsia" w:asciiTheme="minorEastAsia" w:hAnsiTheme="minorEastAsia" w:eastAsiaTheme="minorEastAsia"/>
                <w:bCs/>
                <w:color w:val="auto"/>
                <w:szCs w:val="21"/>
                <w:highlight w:val="none"/>
                <w:lang w:val="en-US" w:eastAsia="zh-CN"/>
              </w:rPr>
              <w:t>两</w:t>
            </w:r>
            <w:r>
              <w:rPr>
                <w:rFonts w:hint="eastAsia" w:asciiTheme="minorEastAsia" w:hAnsiTheme="minorEastAsia" w:eastAsiaTheme="minorEastAsia"/>
                <w:bCs/>
                <w:color w:val="auto"/>
                <w:szCs w:val="21"/>
                <w:highlight w:val="none"/>
                <w:lang w:eastAsia="zh-CN"/>
              </w:rPr>
              <w:t>套特种设备附件(压力表、安全阀)给</w:t>
            </w:r>
            <w:r>
              <w:rPr>
                <w:rFonts w:hint="eastAsia" w:asciiTheme="minorEastAsia" w:hAnsiTheme="minorEastAsia" w:eastAsiaTheme="minorEastAsia"/>
                <w:bCs/>
                <w:color w:val="auto"/>
                <w:szCs w:val="21"/>
                <w:highlight w:val="none"/>
                <w:lang w:val="en-US" w:eastAsia="zh-CN"/>
              </w:rPr>
              <w:t>采购人</w:t>
            </w:r>
            <w:r>
              <w:rPr>
                <w:rFonts w:hint="eastAsia" w:asciiTheme="minorEastAsia" w:hAnsiTheme="minorEastAsia" w:eastAsiaTheme="minorEastAsia"/>
                <w:bCs/>
                <w:color w:val="auto"/>
                <w:szCs w:val="21"/>
                <w:highlight w:val="none"/>
                <w:lang w:eastAsia="zh-CN"/>
              </w:rPr>
              <w:t>备用。</w:t>
            </w:r>
          </w:p>
        </w:tc>
      </w:tr>
      <w:tr w14:paraId="2BD0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1" w:type="pct"/>
            <w:vMerge w:val="continue"/>
            <w:vAlign w:val="center"/>
          </w:tcPr>
          <w:p w14:paraId="2534433A">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40B0D187">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3431" w:type="pct"/>
          </w:tcPr>
          <w:p w14:paraId="526E35BA">
            <w:pPr>
              <w:keepNext w:val="0"/>
              <w:keepLines w:val="0"/>
              <w:suppressLineNumbers w:val="0"/>
              <w:spacing w:before="0" w:beforeAutospacing="0" w:after="0" w:afterAutospacing="0"/>
              <w:ind w:left="0" w:right="0"/>
              <w:rPr>
                <w:rFonts w:hint="eastAsia" w:ascii="宋体" w:hAnsi="宋体" w:eastAsia="宋体" w:cs="宋体"/>
                <w:b/>
                <w:color w:val="auto"/>
                <w:szCs w:val="21"/>
                <w:lang w:eastAsia="zh-CN"/>
              </w:rPr>
            </w:pPr>
            <w:r>
              <w:rPr>
                <w:rFonts w:hint="eastAsia" w:ascii="宋体" w:hAnsi="宋体" w:eastAsia="宋体" w:cs="宋体"/>
                <w:bCs/>
                <w:color w:val="auto"/>
                <w:szCs w:val="21"/>
              </w:rPr>
              <w:t>2.3</w:t>
            </w:r>
            <w:r>
              <w:rPr>
                <w:rFonts w:hint="eastAsia" w:ascii="宋体" w:hAnsi="宋体" w:eastAsia="宋体" w:cs="宋体"/>
                <w:color w:val="auto"/>
                <w:szCs w:val="21"/>
                <w:highlight w:val="none"/>
              </w:rPr>
              <w:t>由中标人代表和采购人组成验收小组对产品进行验收，必要时采购人有权邀请第三方机构及本单位以外专家参与验收，相关验收意见作为验收参考资料。验收标准按照国家规定标准执行。经检验设备正常运作后签署验收报告,产品保修期自验收合格之日起算。</w:t>
            </w:r>
          </w:p>
        </w:tc>
      </w:tr>
      <w:tr w14:paraId="4A30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1" w:type="pct"/>
            <w:vMerge w:val="restart"/>
            <w:vAlign w:val="center"/>
          </w:tcPr>
          <w:p w14:paraId="2F82FA61">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b/>
                <w:color w:val="auto"/>
                <w:szCs w:val="21"/>
              </w:rPr>
              <w:t>★3</w:t>
            </w:r>
          </w:p>
        </w:tc>
        <w:tc>
          <w:tcPr>
            <w:tcW w:w="887" w:type="pct"/>
            <w:vMerge w:val="restart"/>
            <w:vAlign w:val="center"/>
          </w:tcPr>
          <w:p w14:paraId="582A4DFC">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color w:val="auto"/>
                <w:szCs w:val="21"/>
              </w:rPr>
              <w:t>关于违约</w:t>
            </w:r>
          </w:p>
        </w:tc>
        <w:tc>
          <w:tcPr>
            <w:tcW w:w="3431" w:type="pct"/>
          </w:tcPr>
          <w:p w14:paraId="08B99FC0">
            <w:pPr>
              <w:keepNext w:val="0"/>
              <w:keepLines w:val="0"/>
              <w:suppressLineNumbers w:val="0"/>
              <w:spacing w:before="0" w:beforeAutospacing="0" w:after="0" w:afterAutospacing="0"/>
              <w:ind w:left="0" w:right="0"/>
              <w:rPr>
                <w:rFonts w:hint="eastAsia" w:ascii="宋体" w:hAnsi="宋体" w:eastAsia="宋体" w:cs="宋体"/>
                <w:b/>
                <w:color w:val="auto"/>
                <w:szCs w:val="21"/>
                <w:lang w:eastAsia="zh-CN"/>
              </w:rPr>
            </w:pPr>
            <w:r>
              <w:rPr>
                <w:rFonts w:hint="eastAsia" w:ascii="宋体" w:hAnsi="宋体" w:eastAsia="宋体" w:cs="宋体"/>
                <w:b w:val="0"/>
                <w:bCs/>
                <w:color w:val="auto"/>
                <w:szCs w:val="21"/>
              </w:rPr>
              <w:t>3.1中标</w:t>
            </w:r>
            <w:r>
              <w:rPr>
                <w:rFonts w:hint="eastAsia" w:ascii="宋体" w:hAnsi="宋体" w:eastAsia="宋体" w:cs="宋体"/>
                <w:color w:val="auto"/>
                <w:szCs w:val="21"/>
              </w:rPr>
              <w:t>人</w:t>
            </w:r>
            <w:r>
              <w:rPr>
                <w:rFonts w:hint="eastAsia" w:ascii="宋体" w:hAnsi="宋体" w:eastAsia="宋体" w:cs="宋体"/>
                <w:bCs/>
                <w:color w:val="auto"/>
                <w:szCs w:val="21"/>
                <w:highlight w:val="none"/>
              </w:rPr>
              <w:t>未按照投标文件中承诺的时间交货或提供服务，</w:t>
            </w:r>
            <w:r>
              <w:rPr>
                <w:rFonts w:hint="eastAsia" w:ascii="宋体" w:hAnsi="宋体" w:eastAsia="宋体" w:cs="宋体"/>
                <w:bCs/>
                <w:color w:val="auto"/>
                <w:szCs w:val="21"/>
                <w:highlight w:val="none"/>
                <w:lang w:eastAsia="zh-CN"/>
              </w:rPr>
              <w:t>中标人</w:t>
            </w:r>
            <w:r>
              <w:rPr>
                <w:rFonts w:hint="eastAsia" w:ascii="宋体" w:hAnsi="宋体" w:eastAsia="宋体" w:cs="宋体"/>
                <w:color w:val="auto"/>
                <w:szCs w:val="21"/>
                <w:highlight w:val="none"/>
              </w:rPr>
              <w:t>应承担</w:t>
            </w:r>
            <w:r>
              <w:rPr>
                <w:rFonts w:hint="eastAsia" w:ascii="宋体" w:hAnsi="宋体" w:eastAsia="宋体" w:cs="宋体"/>
                <w:bCs/>
                <w:color w:val="auto"/>
                <w:szCs w:val="21"/>
                <w:highlight w:val="none"/>
              </w:rPr>
              <w:t>延期交货和延期服务的违约责任，并赔偿采购人因此造成的实际经济损失实际经济损失超出履约保证金额，采购人有权终止合同</w:t>
            </w:r>
            <w:r>
              <w:rPr>
                <w:rFonts w:hint="eastAsia" w:ascii="宋体" w:hAnsi="宋体" w:eastAsia="宋体" w:cs="宋体"/>
                <w:bCs/>
                <w:color w:val="auto"/>
                <w:szCs w:val="21"/>
                <w:highlight w:val="none"/>
                <w:lang w:eastAsia="zh-CN"/>
              </w:rPr>
              <w:t>。</w:t>
            </w:r>
          </w:p>
        </w:tc>
      </w:tr>
      <w:tr w14:paraId="285E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1" w:type="pct"/>
            <w:vMerge w:val="continue"/>
            <w:vAlign w:val="center"/>
          </w:tcPr>
          <w:p w14:paraId="2DEC781F">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2A570ECF">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431" w:type="pct"/>
          </w:tcPr>
          <w:p w14:paraId="4F743334">
            <w:pPr>
              <w:keepNext w:val="0"/>
              <w:keepLines w:val="0"/>
              <w:suppressLineNumbers w:val="0"/>
              <w:spacing w:before="0" w:beforeAutospacing="0" w:after="0" w:afterAutospacing="0"/>
              <w:ind w:left="0" w:right="0"/>
              <w:rPr>
                <w:rFonts w:hint="eastAsia" w:ascii="宋体" w:hAnsi="宋体" w:eastAsia="宋体" w:cs="宋体"/>
                <w:b/>
                <w:color w:val="auto"/>
                <w:szCs w:val="21"/>
                <w:lang w:eastAsia="zh-CN"/>
              </w:rPr>
            </w:pPr>
            <w:r>
              <w:rPr>
                <w:rFonts w:hint="eastAsia" w:ascii="宋体" w:hAnsi="宋体" w:eastAsia="宋体" w:cs="宋体"/>
                <w:bCs/>
                <w:color w:val="auto"/>
                <w:szCs w:val="21"/>
                <w:highlight w:val="none"/>
                <w:lang w:val="en-US" w:eastAsia="zh-CN"/>
              </w:rPr>
              <w:t>3.2</w:t>
            </w:r>
            <w:r>
              <w:rPr>
                <w:rFonts w:hint="eastAsia" w:ascii="宋体" w:hAnsi="宋体" w:eastAsia="宋体" w:cs="宋体"/>
                <w:color w:val="auto"/>
                <w:szCs w:val="21"/>
              </w:rPr>
              <w:t>中标人</w:t>
            </w:r>
            <w:r>
              <w:rPr>
                <w:rFonts w:hint="eastAsia" w:ascii="宋体" w:hAnsi="宋体" w:eastAsia="宋体" w:cs="宋体"/>
                <w:bCs/>
                <w:color w:val="auto"/>
                <w:szCs w:val="21"/>
                <w:highlight w:val="none"/>
              </w:rPr>
              <w:t>所交设备的品种、型号、规格、质量、功能、技术参数等方面不能实质性满足招标文件</w:t>
            </w:r>
            <w:r>
              <w:rPr>
                <w:rFonts w:hint="eastAsia" w:ascii="宋体" w:hAnsi="宋体" w:eastAsia="宋体" w:cs="宋体"/>
                <w:bCs/>
                <w:color w:val="auto"/>
                <w:szCs w:val="21"/>
                <w:highlight w:val="none"/>
                <w:lang w:eastAsia="zh-CN"/>
              </w:rPr>
              <w:t>要求</w:t>
            </w:r>
            <w:r>
              <w:rPr>
                <w:rFonts w:hint="eastAsia" w:ascii="宋体" w:hAnsi="宋体" w:eastAsia="宋体" w:cs="宋体"/>
                <w:bCs/>
                <w:color w:val="auto"/>
                <w:szCs w:val="21"/>
                <w:highlight w:val="none"/>
              </w:rPr>
              <w:t>的，采购人有权拒绝收货，</w:t>
            </w:r>
            <w:r>
              <w:rPr>
                <w:rFonts w:hint="eastAsia" w:ascii="宋体" w:hAnsi="宋体" w:eastAsia="宋体" w:cs="宋体"/>
                <w:color w:val="auto"/>
                <w:szCs w:val="21"/>
              </w:rPr>
              <w:t>中标人</w:t>
            </w:r>
            <w:r>
              <w:rPr>
                <w:rFonts w:hint="eastAsia" w:ascii="宋体" w:hAnsi="宋体" w:eastAsia="宋体" w:cs="宋体"/>
                <w:bCs/>
                <w:color w:val="auto"/>
                <w:szCs w:val="21"/>
                <w:highlight w:val="none"/>
              </w:rPr>
              <w:t>向采购人偿付项目采购金额千分之</w:t>
            </w:r>
            <w:r>
              <w:rPr>
                <w:rFonts w:hint="eastAsia" w:ascii="宋体" w:hAnsi="宋体" w:eastAsia="宋体" w:cs="宋体"/>
                <w:bCs/>
                <w:color w:val="auto"/>
                <w:szCs w:val="21"/>
                <w:highlight w:val="none"/>
                <w:u w:val="single"/>
              </w:rPr>
              <w:t xml:space="preserve"> 10 </w:t>
            </w:r>
            <w:r>
              <w:rPr>
                <w:rFonts w:hint="eastAsia" w:ascii="宋体" w:hAnsi="宋体" w:eastAsia="宋体" w:cs="宋体"/>
                <w:bCs/>
                <w:color w:val="auto"/>
                <w:szCs w:val="21"/>
                <w:highlight w:val="none"/>
              </w:rPr>
              <w:t>的违约金；造成严重后果的，根据《深圳经济特区政府采购条例》第五十七条第（二）款规定，由主管部门对投标人进行处罚</w:t>
            </w:r>
          </w:p>
        </w:tc>
      </w:tr>
      <w:tr w14:paraId="5137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1" w:type="pct"/>
            <w:vMerge w:val="continue"/>
            <w:vAlign w:val="center"/>
          </w:tcPr>
          <w:p w14:paraId="454E6026">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4BBF76B5">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431" w:type="pct"/>
          </w:tcPr>
          <w:p w14:paraId="26393962">
            <w:pPr>
              <w:keepNext w:val="0"/>
              <w:keepLines w:val="0"/>
              <w:suppressLineNumbers w:val="0"/>
              <w:spacing w:before="0" w:beforeAutospacing="0" w:after="0" w:afterAutospacing="0"/>
              <w:ind w:left="0" w:right="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3.3</w:t>
            </w:r>
            <w:r>
              <w:rPr>
                <w:rFonts w:hint="eastAsia" w:ascii="宋体" w:hAnsi="宋体" w:eastAsia="宋体" w:cs="宋体"/>
                <w:color w:val="auto"/>
                <w:szCs w:val="21"/>
                <w:highlight w:val="none"/>
              </w:rPr>
              <w:t>中标人</w:t>
            </w:r>
            <w:r>
              <w:rPr>
                <w:rFonts w:hint="eastAsia" w:ascii="宋体" w:hAnsi="宋体" w:eastAsia="宋体" w:cs="宋体"/>
                <w:bCs/>
                <w:color w:val="auto"/>
                <w:szCs w:val="21"/>
                <w:highlight w:val="none"/>
              </w:rPr>
              <w:t>不能交付设备的，投标人向采购人偿付项目采购金额百分之</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u w:val="single"/>
                <w:lang w:val="en-US" w:eastAsia="zh-CN"/>
              </w:rPr>
              <w:t>5</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的违约金；造成严重后果的，根据《深圳经济特区政府采购条例》第五十七条第（二）款规定，由主管部门对投标人进行处罚</w:t>
            </w:r>
          </w:p>
        </w:tc>
      </w:tr>
      <w:tr w14:paraId="329E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1" w:type="pct"/>
            <w:vMerge w:val="continue"/>
            <w:vAlign w:val="center"/>
          </w:tcPr>
          <w:p w14:paraId="381330F9">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1A3D737B">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431" w:type="pct"/>
          </w:tcPr>
          <w:p w14:paraId="42DD0FD9">
            <w:pPr>
              <w:keepNext w:val="0"/>
              <w:keepLines w:val="0"/>
              <w:suppressLineNumbers w:val="0"/>
              <w:spacing w:before="0" w:beforeAutospacing="0" w:after="0" w:afterAutospacing="0"/>
              <w:ind w:left="0" w:right="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3.4</w:t>
            </w:r>
            <w:r>
              <w:rPr>
                <w:rFonts w:hint="eastAsia" w:ascii="宋体" w:hAnsi="宋体" w:eastAsia="宋体" w:cs="宋体"/>
                <w:color w:val="auto"/>
                <w:szCs w:val="21"/>
                <w:highlight w:val="none"/>
              </w:rPr>
              <w:t>中标人</w:t>
            </w:r>
            <w:r>
              <w:rPr>
                <w:rFonts w:hint="eastAsia" w:ascii="宋体" w:hAnsi="宋体" w:eastAsia="宋体" w:cs="宋体"/>
                <w:bCs/>
                <w:color w:val="auto"/>
                <w:szCs w:val="21"/>
                <w:highlight w:val="none"/>
              </w:rPr>
              <w:t>逾期未交设备的，</w:t>
            </w:r>
            <w:r>
              <w:rPr>
                <w:rFonts w:hint="eastAsia" w:ascii="宋体" w:hAnsi="宋体" w:eastAsia="宋体" w:cs="宋体"/>
                <w:color w:val="auto"/>
                <w:szCs w:val="21"/>
                <w:highlight w:val="none"/>
              </w:rPr>
              <w:t>中标人</w:t>
            </w:r>
            <w:r>
              <w:rPr>
                <w:rFonts w:hint="eastAsia" w:ascii="宋体" w:hAnsi="宋体" w:eastAsia="宋体" w:cs="宋体"/>
                <w:bCs/>
                <w:color w:val="auto"/>
                <w:szCs w:val="21"/>
                <w:highlight w:val="none"/>
              </w:rPr>
              <w:t>向采购人每日偿付设备款千分之</w:t>
            </w:r>
            <w:r>
              <w:rPr>
                <w:rFonts w:hint="eastAsia" w:ascii="宋体" w:hAnsi="宋体" w:eastAsia="宋体" w:cs="宋体"/>
                <w:bCs/>
                <w:color w:val="auto"/>
                <w:szCs w:val="21"/>
                <w:highlight w:val="none"/>
                <w:u w:val="single"/>
              </w:rPr>
              <w:t xml:space="preserve"> 1</w:t>
            </w:r>
            <w:r>
              <w:rPr>
                <w:rFonts w:hint="eastAsia" w:ascii="宋体" w:hAnsi="宋体" w:eastAsia="宋体" w:cs="宋体"/>
                <w:bCs/>
                <w:color w:val="auto"/>
                <w:szCs w:val="21"/>
                <w:highlight w:val="none"/>
              </w:rPr>
              <w:t>的违约金中标人超过交货期限</w:t>
            </w:r>
            <w:r>
              <w:rPr>
                <w:rFonts w:hint="eastAsia" w:ascii="宋体" w:hAnsi="宋体" w:eastAsia="宋体" w:cs="宋体"/>
                <w:bCs/>
                <w:color w:val="auto"/>
                <w:szCs w:val="21"/>
                <w:highlight w:val="none"/>
                <w:u w:val="single"/>
              </w:rPr>
              <w:t xml:space="preserve"> 10 </w:t>
            </w:r>
            <w:r>
              <w:rPr>
                <w:rFonts w:hint="eastAsia" w:ascii="宋体" w:hAnsi="宋体" w:eastAsia="宋体" w:cs="宋体"/>
                <w:bCs/>
                <w:color w:val="auto"/>
                <w:szCs w:val="21"/>
                <w:highlight w:val="none"/>
              </w:rPr>
              <w:t>日仍未交货，采购人有权解除合同</w:t>
            </w:r>
          </w:p>
        </w:tc>
      </w:tr>
      <w:tr w14:paraId="627D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681" w:type="pct"/>
            <w:vMerge w:val="continue"/>
            <w:vAlign w:val="center"/>
          </w:tcPr>
          <w:p w14:paraId="10115D94">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438E65F5">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431" w:type="pct"/>
          </w:tcPr>
          <w:p w14:paraId="6696064D">
            <w:pPr>
              <w:keepNext w:val="0"/>
              <w:keepLines w:val="0"/>
              <w:suppressLineNumbers w:val="0"/>
              <w:spacing w:before="0" w:beforeAutospacing="0" w:after="0" w:afterAutospacing="0"/>
              <w:ind w:left="0" w:right="0"/>
              <w:rPr>
                <w:rFonts w:hint="eastAsia" w:ascii="宋体" w:hAnsi="宋体" w:eastAsia="宋体" w:cs="宋体"/>
                <w:bCs/>
                <w:color w:val="auto"/>
                <w:szCs w:val="21"/>
                <w:highlight w:val="none"/>
                <w:lang w:eastAsia="zh-CN"/>
              </w:rPr>
            </w:pPr>
            <w:r>
              <w:rPr>
                <w:rFonts w:hint="eastAsia" w:ascii="宋体" w:hAnsi="宋体" w:eastAsia="宋体" w:cs="宋体"/>
                <w:b w:val="0"/>
                <w:bCs/>
                <w:color w:val="auto"/>
                <w:szCs w:val="21"/>
                <w:highlight w:val="none"/>
                <w:lang w:val="en-US" w:eastAsia="zh-CN"/>
              </w:rPr>
              <w:t>3.5</w:t>
            </w:r>
            <w:r>
              <w:rPr>
                <w:rFonts w:hint="eastAsia" w:ascii="宋体" w:hAnsi="宋体" w:eastAsia="宋体" w:cs="宋体"/>
                <w:b w:val="0"/>
                <w:bCs/>
                <w:color w:val="auto"/>
                <w:szCs w:val="21"/>
              </w:rPr>
              <w:t>中标人逾期交货的，将被没收履约保证金并按主管部门相关规定处理</w:t>
            </w:r>
            <w:r>
              <w:rPr>
                <w:rFonts w:hint="eastAsia" w:ascii="宋体" w:hAnsi="宋体" w:eastAsia="宋体" w:cs="宋体"/>
                <w:b w:val="0"/>
                <w:bCs/>
                <w:color w:val="auto"/>
                <w:szCs w:val="21"/>
                <w:lang w:eastAsia="zh-CN"/>
              </w:rPr>
              <w:t>，</w:t>
            </w:r>
            <w:r>
              <w:rPr>
                <w:rFonts w:hint="eastAsia" w:ascii="宋体" w:hAnsi="宋体" w:eastAsia="宋体" w:cs="宋体"/>
                <w:b w:val="0"/>
                <w:bCs/>
                <w:color w:val="auto"/>
                <w:szCs w:val="21"/>
                <w:highlight w:val="none"/>
              </w:rPr>
              <w:t>违约金先从由投标人履约保证金中扣除，若有不足部分则由</w:t>
            </w:r>
            <w:r>
              <w:rPr>
                <w:rFonts w:hint="eastAsia" w:ascii="宋体" w:hAnsi="宋体" w:eastAsia="宋体" w:cs="宋体"/>
                <w:b w:val="0"/>
                <w:bCs/>
                <w:color w:val="auto"/>
                <w:szCs w:val="21"/>
              </w:rPr>
              <w:t>中标人</w:t>
            </w:r>
            <w:r>
              <w:rPr>
                <w:rFonts w:hint="eastAsia" w:ascii="宋体" w:hAnsi="宋体" w:eastAsia="宋体" w:cs="宋体"/>
                <w:b w:val="0"/>
                <w:bCs/>
                <w:color w:val="auto"/>
                <w:szCs w:val="21"/>
                <w:highlight w:val="none"/>
              </w:rPr>
              <w:t>补齐</w:t>
            </w:r>
          </w:p>
        </w:tc>
      </w:tr>
      <w:tr w14:paraId="1E70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681" w:type="pct"/>
            <w:vMerge w:val="continue"/>
            <w:vAlign w:val="center"/>
          </w:tcPr>
          <w:p w14:paraId="40395872">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p>
        </w:tc>
        <w:tc>
          <w:tcPr>
            <w:tcW w:w="887" w:type="pct"/>
            <w:vMerge w:val="continue"/>
            <w:vAlign w:val="center"/>
          </w:tcPr>
          <w:p w14:paraId="214F116C">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431" w:type="pct"/>
          </w:tcPr>
          <w:p w14:paraId="25374D27">
            <w:pPr>
              <w:keepNext w:val="0"/>
              <w:keepLines w:val="0"/>
              <w:suppressLineNumbers w:val="0"/>
              <w:spacing w:before="0" w:beforeAutospacing="0" w:after="0" w:afterAutospacing="0"/>
              <w:ind w:left="0" w:right="0"/>
              <w:rPr>
                <w:rFonts w:hint="eastAsia" w:ascii="宋体" w:hAnsi="宋体" w:eastAsia="宋体" w:cs="宋体"/>
                <w:b/>
                <w:color w:val="auto"/>
                <w:szCs w:val="21"/>
                <w:lang w:eastAsia="zh-CN"/>
              </w:rPr>
            </w:pPr>
            <w:r>
              <w:rPr>
                <w:rFonts w:hint="eastAsia" w:ascii="宋体" w:hAnsi="宋体" w:eastAsia="宋体" w:cs="宋体"/>
                <w:b w:val="0"/>
                <w:bCs/>
                <w:color w:val="auto"/>
                <w:szCs w:val="21"/>
                <w:highlight w:val="none"/>
              </w:rPr>
              <w:t>3.</w:t>
            </w:r>
            <w:r>
              <w:rPr>
                <w:rFonts w:hint="eastAsia" w:ascii="宋体" w:hAnsi="宋体" w:eastAsia="宋体" w:cs="宋体"/>
                <w:b w:val="0"/>
                <w:bCs/>
                <w:color w:val="auto"/>
                <w:szCs w:val="21"/>
                <w:highlight w:val="none"/>
                <w:lang w:val="en-US" w:eastAsia="zh-CN"/>
              </w:rPr>
              <w:t>6</w:t>
            </w:r>
            <w:r>
              <w:rPr>
                <w:rFonts w:hint="eastAsia" w:ascii="宋体" w:hAnsi="宋体" w:eastAsia="宋体" w:cs="宋体"/>
                <w:b w:val="0"/>
                <w:bCs/>
                <w:color w:val="auto"/>
                <w:szCs w:val="21"/>
                <w:highlight w:val="none"/>
              </w:rPr>
              <w:t>中标人所交付产品、工程或服务不符合其投标承诺的，或在投标阶段为了中标而盲目虚假承诺、低价恶性竞争，在履约阶段则通过偷工减料、以次充好而获取利润的，将被没收履约保证金，并被履约评价工作实施机构评为履约等级“差”并按主管部门相关规定处理</w:t>
            </w:r>
          </w:p>
        </w:tc>
      </w:tr>
      <w:tr w14:paraId="31F7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1" w:type="pct"/>
            <w:vAlign w:val="center"/>
          </w:tcPr>
          <w:p w14:paraId="41F8765A">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★4</w:t>
            </w:r>
          </w:p>
        </w:tc>
        <w:tc>
          <w:tcPr>
            <w:tcW w:w="887" w:type="pct"/>
            <w:vAlign w:val="center"/>
          </w:tcPr>
          <w:p w14:paraId="2EE29FAA">
            <w:pPr>
              <w:keepNext w:val="0"/>
              <w:keepLines w:val="0"/>
              <w:suppressLineNumbers w:val="0"/>
              <w:spacing w:before="0" w:beforeAutospacing="0" w:after="0" w:afterAutospacing="0"/>
              <w:ind w:left="0" w:right="0"/>
              <w:jc w:val="center"/>
              <w:rPr>
                <w:rFonts w:hint="eastAsia" w:ascii="宋体" w:hAnsi="宋体" w:eastAsia="宋体" w:cs="宋体"/>
                <w:b/>
                <w:szCs w:val="21"/>
              </w:rPr>
            </w:pPr>
            <w:r>
              <w:rPr>
                <w:rFonts w:hint="eastAsia" w:ascii="宋体" w:hAnsi="宋体" w:eastAsia="宋体" w:cs="宋体"/>
                <w:b/>
                <w:szCs w:val="21"/>
              </w:rPr>
              <w:t>关于付款</w:t>
            </w:r>
          </w:p>
        </w:tc>
        <w:tc>
          <w:tcPr>
            <w:tcW w:w="3431" w:type="pct"/>
          </w:tcPr>
          <w:p w14:paraId="4465C4A2">
            <w:pPr>
              <w:keepNext w:val="0"/>
              <w:keepLines w:val="0"/>
              <w:suppressLineNumbers w:val="0"/>
              <w:spacing w:before="0" w:beforeAutospacing="0" w:after="0" w:afterAutospacing="0"/>
              <w:ind w:left="0" w:right="0"/>
              <w:rPr>
                <w:rFonts w:hint="eastAsia" w:ascii="宋体" w:hAnsi="宋体" w:eastAsia="宋体" w:cs="宋体"/>
                <w:b w:val="0"/>
                <w:bCs/>
                <w:color w:val="auto"/>
                <w:szCs w:val="21"/>
                <w:lang w:eastAsia="zh-CN"/>
              </w:rPr>
            </w:pPr>
            <w:r>
              <w:rPr>
                <w:rFonts w:hint="eastAsia" w:ascii="宋体" w:hAnsi="宋体" w:eastAsia="宋体" w:cs="宋体"/>
                <w:b w:val="0"/>
                <w:bCs/>
                <w:color w:val="auto"/>
                <w:szCs w:val="21"/>
                <w:lang w:val="en-US" w:eastAsia="zh-CN"/>
              </w:rPr>
              <w:t>4.1</w:t>
            </w:r>
            <w:r>
              <w:rPr>
                <w:rFonts w:hint="eastAsia" w:asciiTheme="minorEastAsia" w:hAnsiTheme="minorEastAsia" w:eastAsiaTheme="minorEastAsia"/>
                <w:b w:val="0"/>
                <w:bCs/>
                <w:color w:val="auto"/>
                <w:szCs w:val="21"/>
                <w:highlight w:val="none"/>
                <w:lang w:val="en-US" w:eastAsia="zh-CN"/>
              </w:rPr>
              <w:t>签订合同后，采购人收到中标人50%合同总金额发票后，向中标人支付50%预付款，全部合同货物到达交货地点，并安装调试且验收合格后，提交验收资料，采购人在收到验收资料和剩余50%发票后向中标人支付合同总价的50%；</w:t>
            </w:r>
          </w:p>
          <w:p w14:paraId="5B373BA7">
            <w:pPr>
              <w:keepNext w:val="0"/>
              <w:keepLines w:val="0"/>
              <w:suppressLineNumbers w:val="0"/>
              <w:spacing w:before="0" w:beforeAutospacing="0" w:after="0" w:afterAutospacing="0"/>
              <w:ind w:left="0" w:right="0"/>
              <w:rPr>
                <w:rFonts w:hint="eastAsia" w:ascii="宋体" w:hAnsi="宋体" w:eastAsia="宋体" w:cs="宋体"/>
                <w:b w:val="0"/>
                <w:bCs/>
                <w:color w:val="auto"/>
                <w:szCs w:val="21"/>
              </w:rPr>
            </w:pPr>
            <w:r>
              <w:rPr>
                <w:rFonts w:hint="eastAsia" w:ascii="宋体" w:hAnsi="宋体" w:eastAsia="宋体" w:cs="宋体"/>
                <w:b w:val="0"/>
                <w:bCs/>
                <w:color w:val="auto"/>
                <w:szCs w:val="21"/>
                <w:lang w:val="en-US" w:eastAsia="zh-CN"/>
              </w:rPr>
              <w:t>4.2</w:t>
            </w:r>
            <w:r>
              <w:rPr>
                <w:rFonts w:hint="eastAsia" w:ascii="宋体" w:hAnsi="宋体" w:eastAsia="宋体" w:cs="宋体"/>
                <w:b w:val="0"/>
                <w:bCs/>
                <w:color w:val="auto"/>
                <w:szCs w:val="21"/>
              </w:rPr>
              <w:t>每次</w:t>
            </w:r>
            <w:r>
              <w:rPr>
                <w:rFonts w:hint="eastAsia" w:ascii="宋体" w:hAnsi="宋体" w:eastAsia="宋体" w:cs="宋体"/>
                <w:b w:val="0"/>
                <w:bCs/>
                <w:color w:val="auto"/>
                <w:szCs w:val="21"/>
                <w:lang w:eastAsia="zh-TW"/>
              </w:rPr>
              <w:t>按合同支付款项前，</w:t>
            </w:r>
            <w:r>
              <w:rPr>
                <w:rFonts w:hint="eastAsia" w:ascii="宋体" w:hAnsi="宋体" w:eastAsia="宋体" w:cs="宋体"/>
                <w:b w:val="0"/>
                <w:bCs/>
                <w:color w:val="auto"/>
                <w:szCs w:val="21"/>
              </w:rPr>
              <w:t>中标人应</w:t>
            </w:r>
            <w:r>
              <w:rPr>
                <w:rFonts w:hint="eastAsia" w:ascii="宋体" w:hAnsi="宋体" w:eastAsia="宋体" w:cs="宋体"/>
                <w:b w:val="0"/>
                <w:bCs/>
                <w:color w:val="auto"/>
                <w:szCs w:val="21"/>
                <w:lang w:eastAsia="zh-TW"/>
              </w:rPr>
              <w:t>向采购人提供与支付金额相符的有效发票，且收款方、出具发票方、合同乙方均必须与</w:t>
            </w:r>
            <w:r>
              <w:rPr>
                <w:rFonts w:hint="eastAsia" w:ascii="宋体" w:hAnsi="宋体" w:eastAsia="宋体" w:cs="宋体"/>
                <w:b w:val="0"/>
                <w:bCs/>
                <w:color w:val="auto"/>
                <w:szCs w:val="21"/>
              </w:rPr>
              <w:t>中标人</w:t>
            </w:r>
            <w:r>
              <w:rPr>
                <w:rFonts w:hint="eastAsia" w:ascii="宋体" w:hAnsi="宋体" w:eastAsia="宋体" w:cs="宋体"/>
                <w:b w:val="0"/>
                <w:bCs/>
                <w:color w:val="auto"/>
                <w:szCs w:val="21"/>
                <w:lang w:eastAsia="zh-TW"/>
              </w:rPr>
              <w:t>名称一致；</w:t>
            </w:r>
          </w:p>
          <w:p w14:paraId="4F2C5176">
            <w:pPr>
              <w:keepNext w:val="0"/>
              <w:keepLines w:val="0"/>
              <w:suppressLineNumbers w:val="0"/>
              <w:spacing w:before="0" w:beforeAutospacing="0" w:after="0" w:afterAutospacing="0"/>
              <w:ind w:left="0" w:right="0"/>
              <w:rPr>
                <w:rFonts w:hint="eastAsia" w:ascii="宋体" w:hAnsi="宋体" w:eastAsia="宋体" w:cs="宋体"/>
                <w:b w:val="0"/>
                <w:bCs/>
                <w:color w:val="auto"/>
                <w:szCs w:val="21"/>
                <w:lang w:eastAsia="zh-CN"/>
              </w:rPr>
            </w:pPr>
            <w:r>
              <w:rPr>
                <w:rFonts w:hint="eastAsia" w:ascii="宋体" w:hAnsi="宋体" w:eastAsia="宋体" w:cs="宋体"/>
                <w:b w:val="0"/>
                <w:bCs/>
                <w:color w:val="auto"/>
                <w:szCs w:val="21"/>
                <w:lang w:val="en-US" w:eastAsia="zh-CN"/>
              </w:rPr>
              <w:t>4.3</w:t>
            </w:r>
            <w:r>
              <w:rPr>
                <w:rFonts w:hint="eastAsia" w:ascii="宋体" w:hAnsi="宋体" w:eastAsia="宋体" w:cs="宋体"/>
                <w:b w:val="0"/>
                <w:bCs/>
                <w:color w:val="auto"/>
                <w:szCs w:val="21"/>
              </w:rPr>
              <w:t>违约责任：</w:t>
            </w:r>
            <w:r>
              <w:rPr>
                <w:rFonts w:hint="eastAsia" w:ascii="宋体" w:hAnsi="宋体" w:eastAsia="宋体" w:cs="宋体"/>
                <w:b w:val="0"/>
                <w:bCs/>
                <w:color w:val="auto"/>
                <w:szCs w:val="21"/>
                <w:lang w:eastAsia="zh-TW"/>
              </w:rPr>
              <w:t>采购人逾期</w:t>
            </w:r>
            <w:r>
              <w:rPr>
                <w:rFonts w:hint="eastAsia" w:ascii="宋体" w:hAnsi="宋体" w:eastAsia="宋体" w:cs="宋体"/>
                <w:b w:val="0"/>
                <w:bCs/>
                <w:color w:val="auto"/>
                <w:szCs w:val="21"/>
              </w:rPr>
              <w:t>支付合同款项</w:t>
            </w:r>
            <w:r>
              <w:rPr>
                <w:rFonts w:hint="eastAsia" w:ascii="宋体" w:hAnsi="宋体" w:eastAsia="宋体" w:cs="宋体"/>
                <w:b w:val="0"/>
                <w:bCs/>
                <w:color w:val="auto"/>
                <w:szCs w:val="21"/>
                <w:lang w:eastAsia="zh-TW"/>
              </w:rPr>
              <w:t>的，除应当</w:t>
            </w:r>
            <w:r>
              <w:rPr>
                <w:rFonts w:hint="eastAsia" w:ascii="宋体" w:hAnsi="宋体" w:eastAsia="宋体" w:cs="宋体"/>
                <w:b w:val="0"/>
                <w:bCs/>
                <w:color w:val="auto"/>
                <w:szCs w:val="21"/>
              </w:rPr>
              <w:t>支付合同款项</w:t>
            </w:r>
            <w:r>
              <w:rPr>
                <w:rFonts w:hint="eastAsia" w:ascii="宋体" w:hAnsi="宋体" w:eastAsia="宋体" w:cs="宋体"/>
                <w:b w:val="0"/>
                <w:bCs/>
                <w:color w:val="auto"/>
                <w:szCs w:val="21"/>
                <w:lang w:eastAsia="zh-TW"/>
              </w:rPr>
              <w:t>外，还应当每日按合同总价的</w:t>
            </w:r>
            <w:r>
              <w:rPr>
                <w:rFonts w:hint="eastAsia" w:ascii="宋体" w:hAnsi="宋体" w:eastAsia="宋体" w:cs="宋体"/>
                <w:b w:val="0"/>
                <w:bCs/>
                <w:color w:val="auto"/>
                <w:szCs w:val="21"/>
                <w:lang w:val="en-US" w:eastAsia="zh-CN"/>
              </w:rPr>
              <w:t>1</w:t>
            </w:r>
            <w:r>
              <w:rPr>
                <w:rFonts w:hint="eastAsia" w:ascii="宋体" w:hAnsi="宋体" w:eastAsia="宋体" w:cs="宋体"/>
                <w:b w:val="0"/>
                <w:bCs/>
                <w:color w:val="auto"/>
                <w:szCs w:val="21"/>
                <w:lang w:eastAsia="zh-TW"/>
              </w:rPr>
              <w:t>‰向</w:t>
            </w:r>
            <w:r>
              <w:rPr>
                <w:rFonts w:hint="eastAsia" w:ascii="宋体" w:hAnsi="宋体" w:eastAsia="宋体" w:cs="宋体"/>
                <w:b w:val="0"/>
                <w:bCs/>
                <w:color w:val="auto"/>
                <w:szCs w:val="21"/>
              </w:rPr>
              <w:t>中标人</w:t>
            </w:r>
            <w:r>
              <w:rPr>
                <w:rFonts w:hint="eastAsia" w:ascii="宋体" w:hAnsi="宋体" w:eastAsia="宋体" w:cs="宋体"/>
                <w:b w:val="0"/>
                <w:bCs/>
                <w:color w:val="auto"/>
                <w:szCs w:val="21"/>
                <w:lang w:eastAsia="zh-TW"/>
              </w:rPr>
              <w:t>偿付违约金，但因</w:t>
            </w:r>
            <w:r>
              <w:rPr>
                <w:rFonts w:hint="eastAsia" w:ascii="宋体" w:hAnsi="宋体" w:eastAsia="宋体" w:cs="宋体"/>
                <w:b w:val="0"/>
                <w:bCs/>
                <w:color w:val="auto"/>
                <w:szCs w:val="21"/>
              </w:rPr>
              <w:t>中标人</w:t>
            </w:r>
            <w:r>
              <w:rPr>
                <w:rFonts w:hint="eastAsia" w:ascii="宋体" w:hAnsi="宋体" w:eastAsia="宋体" w:cs="宋体"/>
                <w:b w:val="0"/>
                <w:bCs/>
                <w:color w:val="auto"/>
                <w:szCs w:val="21"/>
                <w:lang w:eastAsia="zh-TW"/>
              </w:rPr>
              <w:t>自身原因导致无法及时</w:t>
            </w:r>
            <w:r>
              <w:rPr>
                <w:rFonts w:hint="eastAsia" w:ascii="宋体" w:hAnsi="宋体" w:eastAsia="宋体" w:cs="宋体"/>
                <w:b w:val="0"/>
                <w:bCs/>
                <w:color w:val="auto"/>
                <w:szCs w:val="21"/>
              </w:rPr>
              <w:t>支付</w:t>
            </w:r>
            <w:r>
              <w:rPr>
                <w:rFonts w:hint="eastAsia" w:ascii="宋体" w:hAnsi="宋体" w:eastAsia="宋体" w:cs="宋体"/>
                <w:b w:val="0"/>
                <w:bCs/>
                <w:color w:val="auto"/>
                <w:szCs w:val="21"/>
                <w:lang w:eastAsia="zh-TW"/>
              </w:rPr>
              <w:t>的除外</w:t>
            </w:r>
            <w:r>
              <w:rPr>
                <w:rFonts w:hint="eastAsia" w:ascii="宋体" w:hAnsi="宋体" w:eastAsia="宋体" w:cs="宋体"/>
                <w:b w:val="0"/>
                <w:bCs/>
                <w:color w:val="auto"/>
                <w:szCs w:val="21"/>
                <w:lang w:eastAsia="zh-CN"/>
              </w:rPr>
              <w:t>。</w:t>
            </w:r>
          </w:p>
          <w:p w14:paraId="68CC6C19">
            <w:pPr>
              <w:keepNext w:val="0"/>
              <w:keepLines w:val="0"/>
              <w:suppressLineNumbers w:val="0"/>
              <w:spacing w:before="0" w:beforeAutospacing="0" w:after="0" w:afterAutospacing="0"/>
              <w:ind w:left="0" w:right="0"/>
              <w:rPr>
                <w:rFonts w:hint="eastAsia" w:ascii="宋体" w:hAnsi="宋体" w:eastAsia="宋体" w:cs="宋体"/>
                <w:b w:val="0"/>
                <w:bCs/>
                <w:color w:val="auto"/>
                <w:szCs w:val="21"/>
                <w:lang w:eastAsia="zh-CN"/>
              </w:rPr>
            </w:pPr>
            <w:r>
              <w:rPr>
                <w:rFonts w:hint="eastAsia" w:ascii="宋体" w:hAnsi="宋体" w:eastAsia="宋体" w:cs="宋体"/>
                <w:b w:val="0"/>
                <w:bCs/>
                <w:color w:val="auto"/>
                <w:szCs w:val="21"/>
                <w:lang w:eastAsia="zh-CN"/>
              </w:rPr>
              <w:t>4.4涉及政府投资项目待资金下达后进行支付。</w:t>
            </w:r>
          </w:p>
        </w:tc>
      </w:tr>
      <w:tr w14:paraId="5FBE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1" w:type="pct"/>
            <w:vAlign w:val="center"/>
          </w:tcPr>
          <w:p w14:paraId="478E3ACE">
            <w:pPr>
              <w:keepNext w:val="0"/>
              <w:keepLines w:val="0"/>
              <w:suppressLineNumbers w:val="0"/>
              <w:spacing w:before="0" w:beforeAutospacing="0" w:after="0" w:afterAutospacing="0"/>
              <w:ind w:left="0" w:right="0"/>
              <w:jc w:val="center"/>
              <w:rPr>
                <w:rFonts w:hint="eastAsia" w:ascii="宋体" w:hAnsi="宋体" w:eastAsia="宋体" w:cs="宋体"/>
                <w:b/>
                <w:szCs w:val="21"/>
                <w:lang w:val="en-US" w:eastAsia="zh-CN"/>
              </w:rPr>
            </w:pPr>
            <w:r>
              <w:rPr>
                <w:rFonts w:hint="eastAsia" w:ascii="宋体" w:hAnsi="宋体" w:eastAsia="宋体" w:cs="宋体"/>
                <w:b/>
                <w:bCs/>
                <w:color w:val="auto"/>
                <w:sz w:val="21"/>
                <w:szCs w:val="21"/>
              </w:rPr>
              <w:t>★</w:t>
            </w:r>
            <w:r>
              <w:rPr>
                <w:rFonts w:hint="eastAsia" w:ascii="宋体" w:hAnsi="宋体" w:cs="宋体"/>
                <w:b/>
                <w:bCs/>
                <w:color w:val="auto"/>
                <w:sz w:val="21"/>
                <w:szCs w:val="21"/>
                <w:lang w:val="en-US" w:eastAsia="zh-CN"/>
              </w:rPr>
              <w:t>5</w:t>
            </w:r>
          </w:p>
        </w:tc>
        <w:tc>
          <w:tcPr>
            <w:tcW w:w="887" w:type="pct"/>
            <w:vAlign w:val="center"/>
          </w:tcPr>
          <w:p w14:paraId="12836892">
            <w:pPr>
              <w:keepNext w:val="0"/>
              <w:keepLines w:val="0"/>
              <w:numPr>
                <w:ilvl w:val="0"/>
                <w:numId w:val="0"/>
              </w:numPr>
              <w:suppressLineNumbers w:val="0"/>
              <w:tabs>
                <w:tab w:val="left" w:pos="540"/>
              </w:tabs>
              <w:adjustRightInd w:val="0"/>
              <w:snapToGrid w:val="0"/>
              <w:spacing w:before="0" w:beforeAutospacing="0" w:after="0" w:afterAutospacing="0" w:line="360" w:lineRule="auto"/>
              <w:ind w:left="0" w:leftChars="0" w:right="0"/>
              <w:jc w:val="center"/>
              <w:rPr>
                <w:rFonts w:hint="eastAsia" w:ascii="宋体" w:hAnsi="宋体" w:eastAsia="宋体" w:cs="宋体"/>
                <w:b/>
                <w:szCs w:val="21"/>
              </w:rPr>
            </w:pPr>
            <w:r>
              <w:rPr>
                <w:rFonts w:hint="eastAsia" w:ascii="宋体" w:hAnsi="宋体" w:eastAsia="宋体" w:cs="宋体"/>
                <w:b/>
                <w:bCs/>
                <w:color w:val="auto"/>
                <w:sz w:val="21"/>
                <w:szCs w:val="21"/>
              </w:rPr>
              <w:t>知识产权合规承诺</w:t>
            </w:r>
          </w:p>
        </w:tc>
        <w:tc>
          <w:tcPr>
            <w:tcW w:w="3431" w:type="pct"/>
          </w:tcPr>
          <w:p w14:paraId="459BB917">
            <w:pPr>
              <w:keepNext w:val="0"/>
              <w:keepLines w:val="0"/>
              <w:suppressLineNumbers w:val="0"/>
              <w:spacing w:before="0" w:beforeAutospacing="0" w:after="0" w:afterAutospacing="0"/>
              <w:ind w:left="0" w:right="0"/>
              <w:rPr>
                <w:rFonts w:hint="eastAsia" w:ascii="宋体" w:hAnsi="宋体" w:eastAsia="宋体" w:cs="宋体"/>
                <w:color w:val="auto"/>
                <w:kern w:val="0"/>
                <w:sz w:val="21"/>
                <w:szCs w:val="21"/>
                <w:lang w:val="en-US"/>
              </w:rPr>
            </w:pPr>
            <w:r>
              <w:rPr>
                <w:rFonts w:hint="eastAsia" w:ascii="宋体" w:hAnsi="宋体" w:eastAsia="宋体" w:cs="宋体"/>
                <w:color w:val="auto"/>
                <w:kern w:val="0"/>
                <w:sz w:val="21"/>
                <w:szCs w:val="21"/>
                <w:lang w:val="en-US" w:eastAsia="zh-CN" w:bidi="ar"/>
              </w:rPr>
              <w:t>6.1</w:t>
            </w:r>
            <w:r>
              <w:rPr>
                <w:rFonts w:hint="eastAsia" w:ascii="宋体" w:hAnsi="宋体" w:eastAsia="宋体" w:cs="宋体"/>
                <w:bCs/>
                <w:color w:val="000000"/>
                <w:szCs w:val="21"/>
                <w:highlight w:val="none"/>
              </w:rPr>
              <w:t>投标人</w:t>
            </w:r>
            <w:r>
              <w:rPr>
                <w:rFonts w:hint="eastAsia" w:ascii="宋体" w:hAnsi="宋体" w:eastAsia="宋体" w:cs="宋体"/>
                <w:color w:val="auto"/>
                <w:kern w:val="0"/>
                <w:sz w:val="21"/>
                <w:szCs w:val="21"/>
                <w:lang w:val="en-US" w:eastAsia="zh-CN" w:bidi="ar"/>
              </w:rPr>
              <w:t>在履行合同的过程中不得侵犯他人知识产权，不得提供虚假知识产权申请材料或者违背知识产权合规性承诺，否则依法追究其违约等责任，并将其失信违法信息依法纳入公共信用信息系统</w:t>
            </w:r>
          </w:p>
          <w:p w14:paraId="44B67E8A">
            <w:pPr>
              <w:keepNext w:val="0"/>
              <w:keepLines w:val="0"/>
              <w:suppressLineNumbers w:val="0"/>
              <w:spacing w:before="0" w:beforeAutospacing="0" w:after="0" w:afterAutospacing="0"/>
              <w:ind w:left="0" w:right="0"/>
              <w:rPr>
                <w:rFonts w:hint="eastAsia" w:ascii="宋体" w:hAnsi="宋体" w:eastAsia="宋体" w:cs="宋体"/>
                <w:color w:val="auto"/>
                <w:kern w:val="0"/>
                <w:sz w:val="21"/>
                <w:szCs w:val="21"/>
                <w:lang w:val="en-US"/>
              </w:rPr>
            </w:pPr>
            <w:r>
              <w:rPr>
                <w:rFonts w:hint="eastAsia" w:ascii="宋体" w:hAnsi="宋体" w:eastAsia="宋体" w:cs="宋体"/>
                <w:color w:val="auto"/>
                <w:kern w:val="0"/>
                <w:sz w:val="21"/>
                <w:szCs w:val="21"/>
                <w:lang w:val="en-US" w:eastAsia="zh-CN" w:bidi="ar"/>
              </w:rPr>
              <w:t>6.2</w:t>
            </w:r>
            <w:r>
              <w:rPr>
                <w:rFonts w:hint="eastAsia" w:ascii="宋体" w:hAnsi="宋体" w:eastAsia="宋体" w:cs="宋体"/>
                <w:bCs/>
                <w:color w:val="000000"/>
                <w:szCs w:val="21"/>
                <w:highlight w:val="none"/>
              </w:rPr>
              <w:t>投标人</w:t>
            </w:r>
            <w:r>
              <w:rPr>
                <w:rFonts w:hint="eastAsia" w:ascii="宋体" w:hAnsi="宋体" w:eastAsia="宋体" w:cs="宋体"/>
                <w:color w:val="auto"/>
                <w:kern w:val="0"/>
                <w:sz w:val="21"/>
                <w:szCs w:val="21"/>
                <w:lang w:val="en-US" w:eastAsia="zh-CN" w:bidi="ar"/>
              </w:rPr>
              <w:t>应保证采购人在使用该货物或其任何一部分时免受第三方提出侵犯其专利、商标、版权等知识产权或商品名称及其他权利的起诉及索赔若采购人因此被第三方起诉或以其它方式追究责任，</w:t>
            </w:r>
            <w:r>
              <w:rPr>
                <w:rFonts w:hint="eastAsia" w:ascii="宋体" w:hAnsi="宋体" w:eastAsia="宋体" w:cs="宋体"/>
                <w:bCs/>
                <w:color w:val="000000"/>
                <w:szCs w:val="21"/>
                <w:highlight w:val="none"/>
              </w:rPr>
              <w:t>投标人</w:t>
            </w:r>
            <w:r>
              <w:rPr>
                <w:rFonts w:hint="eastAsia" w:ascii="宋体" w:hAnsi="宋体" w:eastAsia="宋体" w:cs="宋体"/>
                <w:color w:val="auto"/>
                <w:kern w:val="0"/>
                <w:sz w:val="21"/>
                <w:szCs w:val="21"/>
                <w:lang w:val="en-US" w:eastAsia="zh-CN" w:bidi="ar"/>
              </w:rPr>
              <w:t>应赔偿因采购人被第三方索赔所引起的一切损失，包括但不限于采购人所支付的侵权损害赔偿费、律师费、诉讼费、仲裁费、办案差旅费等因应诉、沟通协调所发的一切费用</w:t>
            </w:r>
          </w:p>
          <w:p w14:paraId="01EE9AA5">
            <w:pPr>
              <w:keepNext w:val="0"/>
              <w:keepLines w:val="0"/>
              <w:numPr>
                <w:ilvl w:val="0"/>
                <w:numId w:val="0"/>
              </w:numPr>
              <w:suppressLineNumbers w:val="0"/>
              <w:tabs>
                <w:tab w:val="left" w:pos="540"/>
              </w:tabs>
              <w:adjustRightInd w:val="0"/>
              <w:snapToGrid w:val="0"/>
              <w:spacing w:before="0" w:beforeAutospacing="0" w:after="0" w:afterAutospacing="0" w:line="360" w:lineRule="auto"/>
              <w:ind w:left="0" w:leftChars="0" w:right="0"/>
              <w:rPr>
                <w:rFonts w:hint="eastAsia" w:ascii="宋体" w:hAnsi="宋体" w:eastAsia="宋体" w:cs="宋体"/>
                <w:b/>
                <w:szCs w:val="21"/>
              </w:rPr>
            </w:pPr>
            <w:r>
              <w:rPr>
                <w:rFonts w:hint="eastAsia" w:ascii="宋体" w:hAnsi="宋体" w:eastAsia="宋体" w:cs="宋体"/>
                <w:bCs/>
                <w:color w:val="auto"/>
                <w:kern w:val="0"/>
                <w:sz w:val="21"/>
                <w:szCs w:val="21"/>
                <w:lang w:val="en-US" w:eastAsia="zh-CN" w:bidi="ar"/>
              </w:rPr>
              <w:t>6.3</w:t>
            </w:r>
            <w:r>
              <w:rPr>
                <w:rFonts w:hint="eastAsia" w:ascii="宋体" w:hAnsi="宋体" w:eastAsia="宋体" w:cs="宋体"/>
                <w:bCs/>
                <w:color w:val="000000"/>
                <w:szCs w:val="21"/>
                <w:highlight w:val="none"/>
              </w:rPr>
              <w:t>投标人</w:t>
            </w:r>
            <w:r>
              <w:rPr>
                <w:rFonts w:hint="eastAsia" w:ascii="宋体" w:hAnsi="宋体" w:eastAsia="宋体" w:cs="宋体"/>
                <w:bCs/>
                <w:color w:val="auto"/>
                <w:kern w:val="0"/>
                <w:sz w:val="21"/>
                <w:szCs w:val="21"/>
                <w:lang w:val="en-US" w:eastAsia="zh-CN" w:bidi="ar"/>
              </w:rPr>
              <w:t>实施本项目所形成成果的知识产权归采购人所有，未经采购人许可，</w:t>
            </w:r>
            <w:r>
              <w:rPr>
                <w:rFonts w:hint="eastAsia" w:ascii="宋体" w:hAnsi="宋体" w:eastAsia="宋体" w:cs="宋体"/>
                <w:bCs/>
                <w:color w:val="000000"/>
                <w:szCs w:val="21"/>
                <w:highlight w:val="none"/>
              </w:rPr>
              <w:t>投标人</w:t>
            </w:r>
            <w:r>
              <w:rPr>
                <w:rFonts w:hint="eastAsia" w:ascii="宋体" w:hAnsi="宋体" w:eastAsia="宋体" w:cs="宋体"/>
                <w:bCs/>
                <w:color w:val="auto"/>
                <w:kern w:val="0"/>
                <w:sz w:val="21"/>
                <w:szCs w:val="21"/>
                <w:lang w:val="en-US" w:eastAsia="zh-CN" w:bidi="ar"/>
              </w:rPr>
              <w:t>不得随意使用</w:t>
            </w:r>
          </w:p>
        </w:tc>
      </w:tr>
      <w:tr w14:paraId="07B8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1" w:type="pct"/>
            <w:vAlign w:val="center"/>
          </w:tcPr>
          <w:p w14:paraId="66A4DC6D">
            <w:pPr>
              <w:keepNext w:val="0"/>
              <w:keepLines w:val="0"/>
              <w:suppressLineNumbers w:val="0"/>
              <w:spacing w:before="0" w:beforeAutospacing="0" w:after="0" w:afterAutospacing="0"/>
              <w:ind w:left="0" w:right="0"/>
              <w:jc w:val="center"/>
              <w:rPr>
                <w:rFonts w:hint="eastAsia" w:ascii="宋体" w:hAnsi="宋体" w:eastAsia="宋体" w:cs="宋体"/>
                <w:b/>
                <w:kern w:val="2"/>
                <w:sz w:val="21"/>
                <w:szCs w:val="21"/>
                <w:lang w:val="en-US" w:eastAsia="zh-CN" w:bidi="ar-SA"/>
              </w:rPr>
            </w:pPr>
            <w:r>
              <w:rPr>
                <w:rFonts w:hint="eastAsia" w:ascii="宋体" w:hAnsi="宋体" w:cs="宋体"/>
                <w:b/>
                <w:szCs w:val="21"/>
                <w:lang w:val="en-US" w:eastAsia="zh-CN"/>
              </w:rPr>
              <w:t>6</w:t>
            </w:r>
          </w:p>
        </w:tc>
        <w:tc>
          <w:tcPr>
            <w:tcW w:w="887" w:type="pct"/>
            <w:vAlign w:val="center"/>
          </w:tcPr>
          <w:p w14:paraId="6CD5C9F9">
            <w:pPr>
              <w:keepNext w:val="0"/>
              <w:keepLines w:val="0"/>
              <w:suppressLineNumbers w:val="0"/>
              <w:spacing w:before="0" w:beforeAutospacing="0" w:after="0" w:afterAutospacing="0"/>
              <w:ind w:left="0" w:right="0"/>
              <w:jc w:val="center"/>
              <w:rPr>
                <w:rFonts w:hint="default" w:ascii="宋体" w:hAnsi="宋体" w:eastAsia="宋体" w:cs="宋体"/>
                <w:b/>
                <w:kern w:val="2"/>
                <w:sz w:val="21"/>
                <w:szCs w:val="21"/>
                <w:lang w:val="en-US" w:eastAsia="zh-CN" w:bidi="ar-SA"/>
              </w:rPr>
            </w:pPr>
            <w:r>
              <w:rPr>
                <w:rFonts w:hint="eastAsia" w:ascii="宋体" w:hAnsi="宋体" w:eastAsia="宋体" w:cs="宋体"/>
                <w:b/>
                <w:szCs w:val="21"/>
              </w:rPr>
              <w:t>认证资料</w:t>
            </w:r>
          </w:p>
        </w:tc>
        <w:tc>
          <w:tcPr>
            <w:tcW w:w="3431" w:type="pct"/>
            <w:vAlign w:val="center"/>
          </w:tcPr>
          <w:p w14:paraId="2CEEF25D">
            <w:pPr>
              <w:keepNext w:val="0"/>
              <w:keepLines w:val="0"/>
              <w:suppressLineNumbers w:val="0"/>
              <w:spacing w:before="0" w:beforeAutospacing="0" w:after="0" w:afterAutospacing="0" w:line="360" w:lineRule="auto"/>
              <w:ind w:left="0" w:right="0"/>
              <w:rPr>
                <w:rFonts w:hint="eastAsia" w:ascii="宋体" w:hAnsi="宋体" w:eastAsia="宋体" w:cs="宋体"/>
                <w:bCs/>
                <w:color w:val="000000"/>
                <w:kern w:val="2"/>
                <w:sz w:val="21"/>
                <w:szCs w:val="21"/>
                <w:highlight w:val="none"/>
                <w:lang w:val="en-US" w:eastAsia="zh-CN" w:bidi="ar-SA"/>
              </w:rPr>
            </w:pPr>
            <w:r>
              <w:rPr>
                <w:rFonts w:hint="eastAsia" w:ascii="宋体" w:hAnsi="宋体" w:eastAsia="宋体" w:cs="宋体"/>
                <w:b/>
                <w:bCs w:val="0"/>
                <w:color w:val="FF0000"/>
                <w:szCs w:val="21"/>
              </w:rPr>
              <w:t>★</w:t>
            </w:r>
            <w:r>
              <w:rPr>
                <w:rFonts w:hint="eastAsia" w:ascii="宋体" w:hAnsi="宋体" w:eastAsia="宋体" w:cs="宋体"/>
                <w:b/>
                <w:bCs w:val="0"/>
                <w:color w:val="FF0000"/>
                <w:szCs w:val="21"/>
                <w:highlight w:val="none"/>
              </w:rPr>
              <w:t>8.1</w:t>
            </w:r>
            <w:r>
              <w:rPr>
                <w:rFonts w:hint="eastAsia" w:ascii="宋体" w:hAnsi="宋体"/>
                <w:b/>
                <w:color w:val="FF0000"/>
              </w:rPr>
              <w:t>投标人所投产品具备相关主管部门要求的认证资料：所投产品</w:t>
            </w:r>
            <w:r>
              <w:rPr>
                <w:rFonts w:hint="eastAsia" w:ascii="宋体" w:hAnsi="宋体"/>
                <w:b/>
                <w:color w:val="FF0000"/>
                <w:lang w:eastAsia="zh-CN"/>
              </w:rPr>
              <w:t>：</w:t>
            </w:r>
            <w:r>
              <w:rPr>
                <w:rFonts w:hint="eastAsia" w:ascii="宋体" w:hAnsi="宋体"/>
                <w:b/>
                <w:color w:val="FF0000"/>
              </w:rPr>
              <w:t>（单腔清洗消毒器、双门负压清洗消毒器，脉动真空清洗消毒器，多功能清洗消毒中心，全自动软式內镜清洗消毒器（双缸），全自动软式內镜清洗消毒器（立式），软镜清洗工作站）为第二类医疗器械，</w:t>
            </w:r>
            <w:r>
              <w:rPr>
                <w:rFonts w:hint="eastAsia" w:ascii="宋体" w:hAnsi="宋体"/>
                <w:b/>
                <w:color w:val="FF0000"/>
                <w:lang w:val="en-US" w:eastAsia="zh-CN"/>
              </w:rPr>
              <w:t>需要</w:t>
            </w:r>
            <w:r>
              <w:rPr>
                <w:rFonts w:hint="eastAsia" w:ascii="宋体" w:hAnsi="宋体"/>
                <w:b/>
                <w:color w:val="FF0000"/>
              </w:rPr>
              <w:t>提供监督管理部门签发的涵盖所投产品的《医疗器械注册证》</w:t>
            </w:r>
            <w:r>
              <w:rPr>
                <w:rFonts w:hint="eastAsia"/>
                <w:b/>
                <w:color w:val="FF0000"/>
              </w:rPr>
              <w:t>(</w:t>
            </w:r>
            <w:r>
              <w:rPr>
                <w:rFonts w:hint="eastAsia" w:ascii="宋体" w:hAnsi="宋体"/>
                <w:b/>
                <w:color w:val="FF0000"/>
              </w:rPr>
              <w:t>有效期内</w:t>
            </w:r>
            <w:r>
              <w:rPr>
                <w:rFonts w:hint="eastAsia"/>
                <w:b/>
                <w:color w:val="FF0000"/>
              </w:rPr>
              <w:t>)</w:t>
            </w:r>
            <w:r>
              <w:rPr>
                <w:rFonts w:hint="eastAsia" w:ascii="宋体" w:hAnsi="宋体"/>
                <w:b/>
                <w:color w:val="FF0000"/>
              </w:rPr>
              <w:t>扫描件。</w:t>
            </w:r>
          </w:p>
        </w:tc>
      </w:tr>
    </w:tbl>
    <w:p w14:paraId="25F6C231">
      <w:pPr>
        <w:pStyle w:val="7"/>
        <w:spacing w:before="60" w:beforeLines="25" w:after="60" w:afterLines="25"/>
        <w:ind w:firstLine="0"/>
        <w:jc w:val="center"/>
        <w:rPr>
          <w:rFonts w:hint="eastAsia"/>
          <w:sz w:val="28"/>
          <w:szCs w:val="28"/>
        </w:rPr>
      </w:pPr>
    </w:p>
    <w:p w14:paraId="0DAF8D14">
      <w:pPr>
        <w:pStyle w:val="7"/>
        <w:spacing w:before="60" w:beforeLines="25" w:after="60" w:afterLines="25"/>
        <w:ind w:firstLine="0"/>
        <w:jc w:val="center"/>
        <w:rPr>
          <w:sz w:val="28"/>
          <w:szCs w:val="28"/>
        </w:rPr>
      </w:pPr>
      <w:r>
        <w:rPr>
          <w:rFonts w:hint="eastAsia"/>
          <w:sz w:val="28"/>
          <w:szCs w:val="28"/>
        </w:rPr>
        <w:t>六、其他重要条款</w:t>
      </w:r>
    </w:p>
    <w:p w14:paraId="22C3DDCF">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4F2101C0">
      <w:pPr>
        <w:pStyle w:val="7"/>
        <w:spacing w:before="60" w:beforeLines="25" w:after="60" w:afterLines="25"/>
        <w:ind w:firstLine="392" w:firstLineChars="187"/>
        <w:rPr>
          <w:rFonts w:hint="eastAsia"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404CFB64">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64550098">
      <w:pPr>
        <w:ind w:firstLine="420" w:firstLineChars="200"/>
        <w:rPr>
          <w:bCs/>
          <w:szCs w:val="21"/>
        </w:rPr>
      </w:pPr>
      <w:r>
        <w:rPr>
          <w:rFonts w:hint="eastAsia"/>
          <w:bCs/>
          <w:szCs w:val="21"/>
        </w:rPr>
        <w:t>4、除政府采购合同继续履行将损害国家利益和社会公共利益外，双方当事人不得擅自变更、中止或者终止合同。</w:t>
      </w:r>
    </w:p>
    <w:p w14:paraId="2C04BC2F">
      <w:pPr>
        <w:ind w:firstLine="420" w:firstLineChars="200"/>
        <w:rPr>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14:paraId="4CB41F4E">
      <w:r>
        <w:rPr>
          <w:rFonts w:hint="eastAsia"/>
        </w:rPr>
        <w:br w:type="page"/>
      </w:r>
    </w:p>
    <w:p w14:paraId="3521D112">
      <w:pPr>
        <w:pStyle w:val="4"/>
        <w:rPr>
          <w:kern w:val="2"/>
        </w:rPr>
      </w:pPr>
      <w:r>
        <w:rPr>
          <w:rFonts w:hint="eastAsia"/>
          <w:kern w:val="2"/>
        </w:rPr>
        <w:t>第四章</w:t>
      </w:r>
      <w:r>
        <w:rPr>
          <w:kern w:val="2"/>
        </w:rPr>
        <w:t xml:space="preserve"> </w:t>
      </w:r>
      <w:r>
        <w:rPr>
          <w:rFonts w:hint="eastAsia"/>
          <w:kern w:val="2"/>
        </w:rPr>
        <w:t xml:space="preserve"> 投标文件组成要求及格式</w:t>
      </w:r>
    </w:p>
    <w:p w14:paraId="6D5E824B">
      <w:pPr>
        <w:rPr>
          <w:rStyle w:val="67"/>
          <w:sz w:val="24"/>
        </w:rPr>
      </w:pPr>
      <w:r>
        <w:rPr>
          <w:rStyle w:val="67"/>
          <w:rFonts w:hint="eastAsia"/>
          <w:sz w:val="24"/>
        </w:rPr>
        <w:t>特别提醒：</w:t>
      </w:r>
    </w:p>
    <w:p w14:paraId="5DB960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2BB8B019">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67488A7E">
      <w:pPr>
        <w:widowControl/>
        <w:jc w:val="left"/>
        <w:rPr>
          <w:rFonts w:hint="eastAsia" w:ascii="宋体" w:hAnsi="宋体" w:cs="宋体"/>
          <w:kern w:val="0"/>
          <w:sz w:val="24"/>
        </w:rPr>
      </w:pPr>
      <w:r>
        <w:drawing>
          <wp:inline distT="0" distB="0" distL="114300" distR="114300">
            <wp:extent cx="5162550" cy="4011295"/>
            <wp:effectExtent l="0" t="0" r="3810" b="1206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9"/>
                    <a:stretch>
                      <a:fillRect/>
                    </a:stretch>
                  </pic:blipFill>
                  <pic:spPr>
                    <a:xfrm>
                      <a:off x="0" y="0"/>
                      <a:ext cx="5162550" cy="4011295"/>
                    </a:xfrm>
                    <a:prstGeom prst="rect">
                      <a:avLst/>
                    </a:prstGeom>
                  </pic:spPr>
                </pic:pic>
              </a:graphicData>
            </a:graphic>
          </wp:inline>
        </w:drawing>
      </w:r>
    </w:p>
    <w:p w14:paraId="64F5F4B0">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b/>
          <w:bCs/>
          <w:color w:val="FF0000"/>
          <w:sz w:val="24"/>
        </w:rPr>
        <w:t>如投标人将必须放于投标文件正文（信息公开部分）的内容放入投标文件附件（非信息公开部分），将作投标无效处理。</w:t>
      </w:r>
    </w:p>
    <w:bookmarkEnd w:id="41"/>
    <w:p w14:paraId="4AB8F9E0">
      <w:pPr>
        <w:rPr>
          <w:rFonts w:ascii="仿宋_GB2312" w:eastAsia="仿宋_GB2312"/>
          <w:sz w:val="24"/>
        </w:rPr>
      </w:pPr>
      <w:r>
        <w:rPr>
          <w:rFonts w:ascii="仿宋_GB2312" w:eastAsia="仿宋_GB2312"/>
          <w:sz w:val="24"/>
        </w:rPr>
        <w:br w:type="page"/>
      </w:r>
    </w:p>
    <w:p w14:paraId="3556DC78">
      <w:pPr>
        <w:outlineLvl w:val="0"/>
        <w:rPr>
          <w:rStyle w:val="67"/>
          <w:sz w:val="28"/>
          <w:szCs w:val="28"/>
        </w:rPr>
      </w:pPr>
      <w:r>
        <w:rPr>
          <w:rStyle w:val="67"/>
          <w:rFonts w:hint="eastAsia"/>
          <w:sz w:val="28"/>
          <w:szCs w:val="28"/>
        </w:rPr>
        <w:t>投标文件组成：</w:t>
      </w:r>
    </w:p>
    <w:p w14:paraId="6054B61E">
      <w:pPr>
        <w:ind w:firstLine="1200" w:firstLineChars="500"/>
        <w:outlineLvl w:val="0"/>
        <w:rPr>
          <w:rFonts w:hint="eastAsia" w:ascii="宋体" w:hAnsi="宋体"/>
          <w:sz w:val="24"/>
        </w:rPr>
      </w:pPr>
      <w:bookmarkStart w:id="42" w:name="_Hlk72257253"/>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2CDB8487">
      <w:pPr>
        <w:ind w:left="718" w:leftChars="342" w:firstLine="1417" w:firstLineChars="675"/>
        <w:rPr>
          <w:szCs w:val="21"/>
        </w:rPr>
      </w:pPr>
      <w:r>
        <w:rPr>
          <w:rFonts w:hint="eastAsia"/>
          <w:szCs w:val="21"/>
        </w:rPr>
        <w:t>（1）</w:t>
      </w:r>
      <w:bookmarkStart w:id="43" w:name="_Hlk72070784"/>
      <w:r>
        <w:rPr>
          <w:rFonts w:hint="eastAsia"/>
          <w:szCs w:val="21"/>
        </w:rPr>
        <w:t>投标函</w:t>
      </w:r>
      <w:bookmarkEnd w:id="43"/>
    </w:p>
    <w:p w14:paraId="7C77EA88">
      <w:pPr>
        <w:ind w:left="718" w:leftChars="342" w:firstLine="1417" w:firstLineChars="675"/>
        <w:rPr>
          <w:szCs w:val="21"/>
        </w:rPr>
      </w:pPr>
      <w:r>
        <w:rPr>
          <w:rFonts w:hint="eastAsia"/>
          <w:szCs w:val="21"/>
        </w:rPr>
        <w:t>（2）</w:t>
      </w:r>
      <w:bookmarkStart w:id="44" w:name="_Hlk72062521"/>
      <w:r>
        <w:rPr>
          <w:rFonts w:hint="eastAsia"/>
          <w:szCs w:val="21"/>
        </w:rPr>
        <w:t>政府采购投标及履约承诺函</w:t>
      </w:r>
      <w:bookmarkEnd w:id="44"/>
    </w:p>
    <w:p w14:paraId="1F6D6C27">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43DADAAD">
      <w:pPr>
        <w:ind w:left="718" w:leftChars="342" w:firstLine="1417" w:firstLineChars="675"/>
        <w:rPr>
          <w:szCs w:val="21"/>
        </w:rPr>
      </w:pPr>
      <w:bookmarkStart w:id="45" w:name="_Hlk72257201"/>
      <w:r>
        <w:rPr>
          <w:rFonts w:hint="eastAsia"/>
          <w:szCs w:val="21"/>
        </w:rPr>
        <w:t>（</w:t>
      </w:r>
      <w:r>
        <w:rPr>
          <w:szCs w:val="21"/>
        </w:rPr>
        <w:t>4</w:t>
      </w:r>
      <w:r>
        <w:rPr>
          <w:rFonts w:hint="eastAsia"/>
          <w:szCs w:val="21"/>
        </w:rPr>
        <w:t>）项目详细报价</w:t>
      </w:r>
    </w:p>
    <w:bookmarkEnd w:id="45"/>
    <w:p w14:paraId="3E03F5C4">
      <w:pPr>
        <w:pStyle w:val="18"/>
      </w:pPr>
    </w:p>
    <w:p w14:paraId="38F82EA7">
      <w:pPr>
        <w:ind w:firstLine="1200" w:firstLineChars="500"/>
        <w:outlineLvl w:val="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24229D54">
      <w:pPr>
        <w:ind w:firstLine="2100" w:firstLineChars="1000"/>
        <w:rPr>
          <w:szCs w:val="21"/>
        </w:rPr>
      </w:pPr>
      <w:r>
        <w:rPr>
          <w:rFonts w:hint="eastAsia"/>
          <w:szCs w:val="21"/>
        </w:rPr>
        <w:t>（1）供应商基本情况表</w:t>
      </w:r>
    </w:p>
    <w:p w14:paraId="5EFA5F21">
      <w:pPr>
        <w:ind w:firstLine="2100" w:firstLineChars="1000"/>
        <w:rPr>
          <w:szCs w:val="21"/>
        </w:rPr>
      </w:pPr>
      <w:r>
        <w:rPr>
          <w:rFonts w:hint="eastAsia"/>
          <w:szCs w:val="21"/>
        </w:rPr>
        <w:t>（2）法定代表人（负责人）证明书</w:t>
      </w:r>
    </w:p>
    <w:p w14:paraId="462056FF">
      <w:pPr>
        <w:ind w:left="718" w:leftChars="342" w:firstLine="1417" w:firstLineChars="675"/>
        <w:rPr>
          <w:szCs w:val="21"/>
        </w:rPr>
      </w:pPr>
      <w:r>
        <w:rPr>
          <w:rFonts w:hint="eastAsia"/>
          <w:szCs w:val="21"/>
        </w:rPr>
        <w:t>（3）投标文件签署授权委托书</w:t>
      </w:r>
    </w:p>
    <w:p w14:paraId="61B63E97">
      <w:pPr>
        <w:ind w:left="718" w:leftChars="342" w:firstLine="1417" w:firstLineChars="675"/>
        <w:rPr>
          <w:szCs w:val="21"/>
        </w:rPr>
      </w:pPr>
      <w:r>
        <w:rPr>
          <w:rFonts w:hint="eastAsia"/>
          <w:szCs w:val="21"/>
        </w:rPr>
        <w:t>（4）实质性条款响应情况表</w:t>
      </w:r>
    </w:p>
    <w:p w14:paraId="278C0B69">
      <w:pPr>
        <w:ind w:left="718" w:leftChars="342" w:firstLine="1417" w:firstLineChars="675"/>
        <w:rPr>
          <w:szCs w:val="21"/>
        </w:rPr>
      </w:pPr>
      <w:r>
        <w:rPr>
          <w:rFonts w:hint="eastAsia"/>
          <w:szCs w:val="21"/>
        </w:rPr>
        <w:t>（5）技术要求偏离表</w:t>
      </w:r>
    </w:p>
    <w:p w14:paraId="429E8BD8">
      <w:pPr>
        <w:ind w:left="718" w:leftChars="342" w:firstLine="1417" w:firstLineChars="675"/>
        <w:rPr>
          <w:szCs w:val="21"/>
        </w:rPr>
      </w:pPr>
      <w:r>
        <w:rPr>
          <w:rFonts w:hint="eastAsia"/>
          <w:szCs w:val="21"/>
        </w:rPr>
        <w:t>（6）商务要求偏离表</w:t>
      </w:r>
    </w:p>
    <w:p w14:paraId="5767A8FF">
      <w:pPr>
        <w:ind w:left="718" w:leftChars="342" w:firstLine="1417" w:firstLineChars="675"/>
        <w:rPr>
          <w:szCs w:val="21"/>
        </w:rPr>
      </w:pPr>
      <w:r>
        <w:rPr>
          <w:rFonts w:hint="eastAsia"/>
          <w:szCs w:val="21"/>
        </w:rPr>
        <w:t>（7）投标人认为需要加以说明的其他内容（格式自定）</w:t>
      </w:r>
    </w:p>
    <w:bookmarkEnd w:id="42"/>
    <w:p w14:paraId="3ECB1C13">
      <w:pPr>
        <w:ind w:left="718" w:leftChars="342" w:firstLine="1417" w:firstLineChars="675"/>
        <w:rPr>
          <w:szCs w:val="21"/>
        </w:rPr>
      </w:pPr>
    </w:p>
    <w:p w14:paraId="1100CBCA">
      <w:pPr>
        <w:ind w:firstLine="426" w:firstLineChars="202"/>
        <w:rPr>
          <w:rFonts w:hint="eastAsia" w:ascii="宋体" w:hAnsi="宋体"/>
          <w:b/>
          <w:szCs w:val="21"/>
        </w:rPr>
      </w:pPr>
      <w:bookmarkStart w:id="46" w:name="_Hlk72257771"/>
      <w:r>
        <w:rPr>
          <w:rFonts w:hint="eastAsia" w:ascii="宋体" w:hAnsi="宋体"/>
          <w:b/>
          <w:szCs w:val="21"/>
        </w:rPr>
        <w:t>备注：</w:t>
      </w:r>
    </w:p>
    <w:p w14:paraId="6696B16A">
      <w:pPr>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3E210FB7">
      <w:pPr>
        <w:ind w:firstLine="422" w:firstLineChars="200"/>
        <w:rPr>
          <w:rFonts w:hint="eastAsia" w:ascii="宋体" w:hAnsi="宋体"/>
          <w:color w:val="FF0000"/>
          <w:sz w:val="24"/>
        </w:rPr>
      </w:pPr>
      <w:bookmarkStart w:id="47" w:name="_Hlk72263559"/>
      <w:r>
        <w:rPr>
          <w:rFonts w:hint="eastAsia" w:ascii="宋体" w:hAnsi="宋体"/>
          <w:b/>
          <w:szCs w:val="21"/>
        </w:rPr>
        <w:t>2.关于填写“开标一览表”的说明：“开标一览表”中除“投标总价”外，其他信息不作评审依据。</w:t>
      </w:r>
      <w:bookmarkEnd w:id="46"/>
      <w:bookmarkEnd w:id="47"/>
    </w:p>
    <w:p w14:paraId="1564C204">
      <w:pPr>
        <w:rPr>
          <w:rFonts w:hint="eastAsia" w:ascii="宋体" w:hAnsi="宋体"/>
          <w:color w:val="FF0000"/>
          <w:sz w:val="24"/>
        </w:rPr>
      </w:pPr>
    </w:p>
    <w:p w14:paraId="5573C175">
      <w:pPr>
        <w:rPr>
          <w:rFonts w:hint="eastAsia" w:ascii="宋体" w:hAnsi="宋体"/>
          <w:color w:val="FF0000"/>
          <w:sz w:val="24"/>
        </w:rPr>
        <w:sectPr>
          <w:pgSz w:w="11907" w:h="16840"/>
          <w:pgMar w:top="1440" w:right="1797" w:bottom="1440" w:left="1797" w:header="851" w:footer="992" w:gutter="0"/>
          <w:cols w:space="425" w:num="1"/>
          <w:titlePg/>
          <w:docGrid w:linePitch="462" w:charSpace="0"/>
        </w:sectPr>
      </w:pPr>
    </w:p>
    <w:p w14:paraId="54D19393">
      <w:pPr>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14:paraId="071741BA">
      <w:pPr>
        <w:pStyle w:val="3"/>
        <w:jc w:val="center"/>
        <w:rPr>
          <w:rFonts w:hint="eastAsia" w:ascii="黑体" w:eastAsia="黑体"/>
          <w:sz w:val="24"/>
        </w:rPr>
      </w:pPr>
      <w:r>
        <w:rPr>
          <w:rFonts w:hint="eastAsia" w:ascii="黑体" w:eastAsia="黑体"/>
          <w:sz w:val="24"/>
        </w:rPr>
        <w:t>一、投标函</w:t>
      </w:r>
    </w:p>
    <w:p w14:paraId="22412F73">
      <w:pPr>
        <w:spacing w:line="360" w:lineRule="auto"/>
        <w:rPr>
          <w:rFonts w:hint="eastAsia" w:ascii="宋体" w:hAnsi="宋体"/>
          <w:szCs w:val="21"/>
        </w:rPr>
      </w:pPr>
      <w:bookmarkStart w:id="48"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39C60F11">
      <w:pPr>
        <w:ind w:firstLine="420" w:firstLineChars="200"/>
        <w:rPr>
          <w:rFonts w:hint="eastAsia" w:ascii="宋体" w:hAnsi="宋体"/>
          <w:szCs w:val="21"/>
        </w:rPr>
      </w:pPr>
      <w:bookmarkStart w:id="49" w:name="_Hlk73818812"/>
      <w:r>
        <w:rPr>
          <w:rFonts w:hint="eastAsia"/>
          <w:szCs w:val="21"/>
        </w:rPr>
        <w:t>1、根据已收到贵单位的项目编号为</w:t>
      </w:r>
      <w:r>
        <w:rPr>
          <w:rFonts w:hint="eastAsia"/>
          <w:szCs w:val="21"/>
          <w:u w:val="thick"/>
        </w:rPr>
        <w:t xml:space="preserve">                 </w:t>
      </w:r>
      <w:r>
        <w:rPr>
          <w:rFonts w:hint="eastAsia"/>
          <w:szCs w:val="21"/>
        </w:rPr>
        <w:t>的</w:t>
      </w:r>
      <w:r>
        <w:rPr>
          <w:rFonts w:hint="eastAsia"/>
          <w:szCs w:val="21"/>
          <w:u w:val="thick"/>
        </w:rPr>
        <w:t xml:space="preserve">       （项目名称）          </w:t>
      </w:r>
      <w:r>
        <w:rPr>
          <w:rFonts w:hint="eastAsia"/>
          <w:szCs w:val="21"/>
        </w:rPr>
        <w:t>项目的招标文件，遵照《深圳经济特区政府采购条例》和《深圳网上政府采购管理暂行办法》等有关规定，我单位经研究上述招标文件的专用条款及通用条款后，</w:t>
      </w:r>
      <w:bookmarkStart w:id="50" w:name="_Hlk72263588"/>
      <w:r>
        <w:rPr>
          <w:rFonts w:hint="eastAsia"/>
          <w:szCs w:val="21"/>
        </w:rPr>
        <w:t>愿意按照招标文件要求承包上述项目并修补其任何缺陷。</w:t>
      </w:r>
      <w:bookmarkEnd w:id="50"/>
    </w:p>
    <w:p w14:paraId="7E3CD32B">
      <w:pPr>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51" w:name="_Hlk73819847"/>
      <w:r>
        <w:rPr>
          <w:rFonts w:hint="eastAsia" w:ascii="宋体" w:hAnsi="宋体"/>
          <w:szCs w:val="21"/>
        </w:rPr>
        <w:t>投标价格见</w:t>
      </w:r>
      <w:r>
        <w:rPr>
          <w:rFonts w:hint="eastAsia"/>
          <w:szCs w:val="21"/>
        </w:rPr>
        <w:t>投标书编制软件中《开标一览表》中填写的投标总价。</w:t>
      </w:r>
      <w:bookmarkEnd w:id="51"/>
    </w:p>
    <w:p w14:paraId="7E7E0A35">
      <w:pPr>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14:paraId="445AA18B">
      <w:pPr>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63F428EF">
      <w:pPr>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14:paraId="28D3580E">
      <w:pPr>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49"/>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4EE5D4E5">
      <w:pPr>
        <w:ind w:left="420" w:leftChars="200" w:firstLine="210" w:firstLineChars="100"/>
        <w:rPr>
          <w:szCs w:val="21"/>
        </w:rPr>
      </w:pPr>
      <w:r>
        <w:rPr>
          <w:rFonts w:hint="eastAsia"/>
          <w:szCs w:val="21"/>
        </w:rPr>
        <w:t>投标人：</w:t>
      </w:r>
      <w:r>
        <w:rPr>
          <w:rFonts w:hint="eastAsia"/>
          <w:szCs w:val="21"/>
          <w:u w:val="thick"/>
        </w:rPr>
        <w:t xml:space="preserve">                   </w:t>
      </w:r>
      <w:r>
        <w:rPr>
          <w:rFonts w:hint="eastAsia"/>
          <w:szCs w:val="21"/>
        </w:rPr>
        <w:t xml:space="preserve">  ；  </w:t>
      </w:r>
    </w:p>
    <w:p w14:paraId="62253DCA">
      <w:pPr>
        <w:ind w:left="420" w:leftChars="200" w:firstLine="210" w:firstLineChars="100"/>
        <w:rPr>
          <w:szCs w:val="21"/>
        </w:rPr>
      </w:pPr>
      <w:r>
        <w:rPr>
          <w:rFonts w:hint="eastAsia"/>
          <w:szCs w:val="21"/>
        </w:rPr>
        <w:t>单位地址：</w:t>
      </w:r>
      <w:r>
        <w:rPr>
          <w:rFonts w:hint="eastAsia"/>
          <w:szCs w:val="21"/>
          <w:u w:val="thick"/>
        </w:rPr>
        <w:t xml:space="preserve">                                            </w:t>
      </w:r>
      <w:r>
        <w:rPr>
          <w:rFonts w:hint="eastAsia"/>
          <w:szCs w:val="21"/>
        </w:rPr>
        <w:t>；</w:t>
      </w:r>
    </w:p>
    <w:p w14:paraId="49C05E1A">
      <w:pPr>
        <w:ind w:left="420" w:leftChars="200" w:firstLine="210" w:firstLineChars="1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73E6DE9D">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p>
    <w:p w14:paraId="7AF71EB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7561A7FE">
      <w:pPr>
        <w:rPr>
          <w:rFonts w:hint="eastAsia" w:ascii="黑体" w:hAnsi="宋体" w:eastAsia="黑体"/>
        </w:rPr>
      </w:pPr>
    </w:p>
    <w:p w14:paraId="3E76BBED">
      <w:pPr>
        <w:rPr>
          <w:rFonts w:hint="eastAsia" w:ascii="黑体" w:hAnsi="宋体" w:eastAsia="黑体"/>
        </w:rPr>
      </w:pPr>
    </w:p>
    <w:bookmarkEnd w:id="48"/>
    <w:p w14:paraId="6C14484A">
      <w:pPr>
        <w:pStyle w:val="3"/>
        <w:jc w:val="center"/>
        <w:rPr>
          <w:rFonts w:hint="eastAsia" w:ascii="黑体" w:eastAsia="黑体"/>
          <w:sz w:val="24"/>
        </w:rPr>
      </w:pPr>
      <w:r>
        <w:rPr>
          <w:rFonts w:hint="eastAsia" w:ascii="黑体" w:eastAsia="黑体"/>
          <w:sz w:val="24"/>
        </w:rPr>
        <w:t>二、政府采购投标及履约承诺函</w:t>
      </w:r>
    </w:p>
    <w:p w14:paraId="61262CE0">
      <w:pPr>
        <w:rPr>
          <w:rFonts w:hint="eastAsia" w:ascii="宋体" w:hAnsi="宋体"/>
          <w:color w:val="FF0000"/>
          <w:szCs w:val="21"/>
        </w:rPr>
      </w:pPr>
      <w:bookmarkStart w:id="52"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10948018">
      <w:pPr>
        <w:ind w:right="-815" w:firstLine="420" w:firstLineChars="200"/>
        <w:rPr>
          <w:rFonts w:hint="eastAsia" w:ascii="宋体" w:hAnsi="宋体"/>
          <w:szCs w:val="21"/>
        </w:rPr>
      </w:pPr>
      <w:r>
        <w:rPr>
          <w:rFonts w:hint="eastAsia" w:ascii="宋体" w:hAnsi="宋体"/>
          <w:szCs w:val="21"/>
        </w:rPr>
        <w:t>我单位承诺：</w:t>
      </w:r>
    </w:p>
    <w:p w14:paraId="2C02CFB8">
      <w:pPr>
        <w:ind w:firstLine="420" w:firstLineChars="200"/>
        <w:rPr>
          <w:rFonts w:hint="eastAsia" w:ascii="宋体" w:hAnsi="宋体"/>
          <w:b/>
          <w:szCs w:val="21"/>
        </w:rPr>
      </w:pPr>
      <w:r>
        <w:rPr>
          <w:rFonts w:hint="eastAsia" w:ascii="宋体" w:hAnsi="宋体"/>
          <w:bCs/>
          <w:szCs w:val="21"/>
        </w:rPr>
        <w:t>1.我单位参与本项目所投标（响应）的货物、工程或服务，不存在侵犯知识产权的情况。</w:t>
      </w:r>
    </w:p>
    <w:p w14:paraId="02E785C3">
      <w:pPr>
        <w:ind w:firstLine="420" w:firstLineChars="200"/>
      </w:pPr>
      <w:r>
        <w:rPr>
          <w:rFonts w:hint="eastAsia" w:ascii="宋体" w:hAnsi="宋体"/>
          <w:szCs w:val="21"/>
        </w:rPr>
        <w:t>2.我单位参与本项目</w:t>
      </w:r>
      <w:r>
        <w:rPr>
          <w:rFonts w:hint="eastAsia"/>
        </w:rPr>
        <w:t>政府采购活动时不存在被有关部门禁止参与政府采购活动且在有效期内的情况。</w:t>
      </w:r>
    </w:p>
    <w:p w14:paraId="07033AFF">
      <w:pPr>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14:paraId="21FB021C">
      <w:pPr>
        <w:ind w:firstLine="420" w:firstLineChars="200"/>
      </w:pPr>
      <w:r>
        <w:rPr>
          <w:rFonts w:hint="eastAsia" w:ascii="宋体" w:hAnsi="宋体"/>
          <w:szCs w:val="21"/>
        </w:rPr>
        <w:t>4.我单位</w:t>
      </w:r>
      <w:r>
        <w:rPr>
          <w:rFonts w:hint="eastAsia"/>
        </w:rPr>
        <w:t>未被列入失信被执行人、重大税收违法案件当事人名单、政府采购严重违法失信行为记录名单。</w:t>
      </w:r>
    </w:p>
    <w:p w14:paraId="358CC2DB">
      <w:pPr>
        <w:ind w:firstLine="420" w:firstLineChars="200"/>
        <w:rPr>
          <w:color w:val="FF0000"/>
        </w:rPr>
      </w:pPr>
      <w:r>
        <w:rPr>
          <w:rFonts w:hint="eastAsia"/>
          <w:color w:val="FF0000"/>
        </w:rPr>
        <w:t>5.我单位不存在《深圳市财政局政府采购供应商信用信息管理办法》（深财规〔2023〕3号）列明的严重违法失信行为。</w:t>
      </w:r>
    </w:p>
    <w:p w14:paraId="741C1C37">
      <w:pPr>
        <w:ind w:firstLine="420" w:firstLineChars="200"/>
        <w:rPr>
          <w:rFonts w:hint="eastAsia" w:ascii="宋体" w:hAnsi="宋体"/>
          <w:szCs w:val="21"/>
        </w:rPr>
      </w:pPr>
      <w:r>
        <w:rPr>
          <w:rFonts w:hint="eastAsia" w:ascii="宋体" w:hAnsi="宋体"/>
          <w:szCs w:val="21"/>
        </w:rPr>
        <w:t>6.</w:t>
      </w:r>
      <w:bookmarkStart w:id="53" w:name="_Hlk72587269"/>
      <w:bookmarkStart w:id="54"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3"/>
      <w:r>
        <w:rPr>
          <w:rFonts w:hint="eastAsia" w:ascii="宋体" w:hAnsi="宋体"/>
          <w:szCs w:val="21"/>
        </w:rPr>
        <w:t>。</w:t>
      </w:r>
    </w:p>
    <w:bookmarkEnd w:id="54"/>
    <w:p w14:paraId="75736B9A">
      <w:pPr>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7F3FC70">
      <w:pPr>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6283A85">
      <w:pPr>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059AE06">
      <w:pPr>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14:paraId="2B75EE61">
      <w:pPr>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6646BCAD">
      <w:pPr>
        <w:ind w:firstLine="420" w:firstLineChars="200"/>
        <w:rPr>
          <w:rFonts w:hint="eastAsia" w:ascii="宋体" w:hAnsi="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42C136F4">
      <w:pPr>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14:paraId="0965FD05">
      <w:pPr>
        <w:ind w:firstLine="420" w:firstLineChars="200"/>
        <w:rPr>
          <w:rFonts w:hint="eastAsia" w:ascii="宋体" w:hAnsi="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color w:val="FF0000"/>
        </w:rPr>
        <w:t>若存在“不同供应商的董事、股东或其他高级管理人员为同一人的”情形的，我单位保证不存在串通投标、恶意串通或者视为串通投标的情形。</w:t>
      </w:r>
    </w:p>
    <w:p w14:paraId="28A85C25">
      <w:pPr>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14:paraId="5DE3BB2D">
      <w:pPr>
        <w:ind w:firstLine="420" w:firstLineChars="200"/>
        <w:rPr>
          <w:rFonts w:hint="eastAsia" w:ascii="宋体" w:hAnsi="宋体"/>
          <w:bCs/>
        </w:rPr>
      </w:pPr>
      <w:r>
        <w:rPr>
          <w:rFonts w:ascii="宋体" w:hAnsi="宋体"/>
          <w:bCs/>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04908EFC">
      <w:pPr>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14:paraId="38CA00A9">
      <w:pPr>
        <w:spacing w:before="60" w:beforeLines="25" w:after="60" w:afterLines="25"/>
        <w:ind w:firstLine="5460" w:firstLineChars="2600"/>
        <w:rPr>
          <w:rFonts w:hint="eastAsia" w:ascii="宋体" w:hAnsi="宋体"/>
          <w:szCs w:val="21"/>
        </w:rPr>
      </w:pPr>
      <w:r>
        <w:rPr>
          <w:rFonts w:hint="eastAsia" w:ascii="宋体" w:hAnsi="宋体"/>
          <w:szCs w:val="21"/>
        </w:rPr>
        <w:t xml:space="preserve">                                    </w:t>
      </w:r>
    </w:p>
    <w:bookmarkEnd w:id="52"/>
    <w:p w14:paraId="38882631">
      <w:pPr>
        <w:spacing w:before="60" w:beforeLines="25" w:after="60" w:afterLines="25"/>
        <w:jc w:val="right"/>
        <w:rPr>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14:paraId="5A2DF4A0">
      <w:pPr>
        <w:ind w:firstLine="645"/>
        <w:jc w:val="left"/>
        <w:rPr>
          <w:rFonts w:hint="eastAsia"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14:paraId="300E7B43">
      <w:pPr>
        <w:ind w:firstLine="482" w:firstLineChars="200"/>
        <w:jc w:val="center"/>
        <w:rPr>
          <w:rFonts w:hint="eastAsia" w:hAnsi="宋体"/>
          <w:b/>
          <w:bCs/>
          <w:sz w:val="24"/>
        </w:rPr>
      </w:pPr>
    </w:p>
    <w:p w14:paraId="369B8AB6">
      <w:pPr>
        <w:pStyle w:val="3"/>
        <w:jc w:val="center"/>
        <w:rPr>
          <w:rFonts w:hint="eastAsia" w:ascii="黑体" w:eastAsia="黑体"/>
          <w:sz w:val="24"/>
          <w:szCs w:val="24"/>
        </w:rPr>
      </w:pPr>
      <w:r>
        <w:rPr>
          <w:rFonts w:hint="eastAsia" w:ascii="黑体" w:eastAsia="黑体"/>
          <w:sz w:val="24"/>
          <w:szCs w:val="24"/>
        </w:rPr>
        <w:t>三、投标人情况及资格证明文件</w:t>
      </w:r>
    </w:p>
    <w:p w14:paraId="08254C00">
      <w:pPr>
        <w:ind w:firstLine="2640" w:firstLineChars="1100"/>
        <w:outlineLvl w:val="3"/>
        <w:rPr>
          <w:rFonts w:hint="eastAsia" w:ascii="黑体" w:hAnsi="宋体" w:eastAsia="黑体"/>
          <w:bCs/>
          <w:kern w:val="0"/>
          <w:sz w:val="24"/>
          <w:szCs w:val="32"/>
        </w:rPr>
      </w:pPr>
      <w:bookmarkStart w:id="55" w:name="_Hlk72257590"/>
      <w:bookmarkStart w:id="56" w:name="_Hlk72257908"/>
      <w:r>
        <w:rPr>
          <w:rFonts w:hint="eastAsia" w:ascii="黑体" w:hAnsi="宋体" w:eastAsia="黑体"/>
          <w:bCs/>
          <w:kern w:val="0"/>
          <w:sz w:val="24"/>
          <w:szCs w:val="32"/>
        </w:rPr>
        <w:t>（一）投标人资格证明文件</w:t>
      </w:r>
    </w:p>
    <w:p w14:paraId="19E15459">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其中要求提供《政府采购投标及履约承诺函》《供应商基本情况表》且已在规定章节中提供的，此处不重复提供。）</w:t>
      </w:r>
    </w:p>
    <w:p w14:paraId="746DA495">
      <w:pPr>
        <w:rPr>
          <w:b/>
          <w:bCs/>
          <w:sz w:val="24"/>
        </w:rPr>
      </w:pPr>
    </w:p>
    <w:p w14:paraId="2D4FE88F">
      <w:pPr>
        <w:ind w:firstLine="480" w:firstLineChars="200"/>
        <w:outlineLvl w:val="3"/>
        <w:rPr>
          <w:rFonts w:hint="eastAsia"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bookmarkEnd w:id="55"/>
    <w:p w14:paraId="6D99764F">
      <w:pPr>
        <w:jc w:val="left"/>
        <w:outlineLvl w:val="3"/>
        <w:rPr>
          <w:rFonts w:hint="eastAsia" w:ascii="黑体" w:hAnsi="宋体" w:eastAsia="黑体"/>
          <w:bCs/>
          <w:kern w:val="0"/>
          <w:sz w:val="24"/>
          <w:szCs w:val="32"/>
        </w:rPr>
      </w:pPr>
    </w:p>
    <w:p w14:paraId="335CB607">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填写指引：</w:t>
      </w:r>
    </w:p>
    <w:p w14:paraId="06BFF1CE">
      <w:pPr>
        <w:ind w:firstLine="420" w:firstLineChars="200"/>
        <w:outlineLvl w:val="3"/>
        <w:rPr>
          <w:rFonts w:hint="eastAsia"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0CAC155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2、该部分内容填写需要参考的相关文件：</w:t>
      </w:r>
    </w:p>
    <w:p w14:paraId="40BBC2EF">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7E322F3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14:paraId="664AAD3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(3)《统计上大中小微型企业划分办法(2017)》（国统字〔2017〕213号）；</w:t>
      </w:r>
    </w:p>
    <w:p w14:paraId="59E32B02">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7AF5CF6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321AC68">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7DDFE878">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4、声明函具体填写要求：</w:t>
      </w:r>
    </w:p>
    <w:p w14:paraId="11E649DE">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4AAC904E">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5928E530">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10ED4F03">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7AFCE121">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联合体中中小企业承担采购标的涉及的货物制造商本身的所属行业保持一致；</w:t>
      </w:r>
    </w:p>
    <w:p w14:paraId="5255B449">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3CF233C1">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六、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14:paraId="32B847C9">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62A6A73C">
      <w:pPr>
        <w:pStyle w:val="493"/>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E6A91FF">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14:paraId="496FBE60">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14:paraId="5EE74170">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14:paraId="68C65A59">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1C85016B">
      <w:pPr>
        <w:pStyle w:val="493"/>
        <w:ind w:firstLine="420" w:firstLineChars="200"/>
        <w:rPr>
          <w:rFonts w:eastAsia="黑体"/>
        </w:rPr>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35942DBA">
      <w:pPr>
        <w:ind w:firstLine="420" w:firstLineChars="200"/>
      </w:pPr>
    </w:p>
    <w:p w14:paraId="10AB19D5">
      <w:pPr>
        <w:ind w:firstLine="420" w:firstLineChars="200"/>
      </w:pPr>
    </w:p>
    <w:p w14:paraId="0F0AAB04">
      <w:pPr>
        <w:numPr>
          <w:ilvl w:val="0"/>
          <w:numId w:val="19"/>
        </w:numPr>
        <w:jc w:val="center"/>
        <w:outlineLvl w:val="3"/>
        <w:rPr>
          <w:b/>
          <w:sz w:val="24"/>
        </w:rPr>
      </w:pPr>
      <w:r>
        <w:rPr>
          <w:b/>
          <w:sz w:val="24"/>
        </w:rPr>
        <w:t>中小企业声明函（货物）</w:t>
      </w:r>
    </w:p>
    <w:p w14:paraId="274F797E">
      <w:pPr>
        <w:pStyle w:val="18"/>
      </w:pPr>
    </w:p>
    <w:p w14:paraId="2EF4A3BA">
      <w:pPr>
        <w:pStyle w:val="3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rPr>
        <w:t xml:space="preserve">    （单位名称）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rPr>
        <w:t xml:space="preserve">    （项目名称）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7A39DEF3">
      <w:pPr>
        <w:pStyle w:val="3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
          <w:bCs/>
          <w:i/>
          <w:iCs/>
          <w:sz w:val="21"/>
          <w:szCs w:val="21"/>
          <w:u w:val="single"/>
        </w:rPr>
        <w:t xml:space="preserve">    （标的名称）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rPr>
        <w:t xml:space="preserve">    （采购文件中明确的所属行业）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rPr>
        <w:t xml:space="preserve">    （中型企业、小型企业、微型企业）    </w:t>
      </w:r>
      <w:r>
        <w:rPr>
          <w:rFonts w:hint="eastAsia" w:asciiTheme="minorEastAsia" w:hAnsiTheme="minorEastAsia" w:eastAsiaTheme="minorEastAsia" w:cstheme="minorEastAsia"/>
          <w:sz w:val="21"/>
          <w:szCs w:val="21"/>
        </w:rPr>
        <w:t>；</w:t>
      </w:r>
    </w:p>
    <w:p w14:paraId="192AFBF4">
      <w:pPr>
        <w:pStyle w:val="3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b/>
          <w:bCs/>
          <w:i/>
          <w:iCs/>
          <w:sz w:val="21"/>
          <w:szCs w:val="21"/>
          <w:u w:val="single"/>
        </w:rPr>
        <w:t xml:space="preserve">    （标的名称）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rPr>
        <w:t xml:space="preserve">    （采购文件中明确的所属行业）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rPr>
        <w:t xml:space="preserve">    （中型企业、小型企业、微型企业）    </w:t>
      </w:r>
      <w:r>
        <w:rPr>
          <w:rFonts w:hint="eastAsia" w:asciiTheme="minorEastAsia" w:hAnsiTheme="minorEastAsia" w:eastAsiaTheme="minorEastAsia" w:cstheme="minorEastAsia"/>
          <w:sz w:val="21"/>
          <w:szCs w:val="21"/>
        </w:rPr>
        <w:t>；</w:t>
      </w:r>
    </w:p>
    <w:p w14:paraId="211073DE">
      <w:pPr>
        <w:pStyle w:val="3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p w14:paraId="0F39D648">
      <w:pPr>
        <w:pStyle w:val="36"/>
        <w:ind w:firstLine="420" w:firstLineChars="200"/>
        <w:rPr>
          <w:rFonts w:hint="eastAsia" w:asciiTheme="minorEastAsia" w:hAnsiTheme="minorEastAsia" w:eastAsiaTheme="minorEastAsia" w:cstheme="minorEastAsia"/>
          <w:sz w:val="21"/>
          <w:szCs w:val="21"/>
        </w:rPr>
      </w:pPr>
    </w:p>
    <w:p w14:paraId="38DE3856">
      <w:pPr>
        <w:spacing w:line="360" w:lineRule="auto"/>
        <w:ind w:firstLine="420" w:firstLineChars="200"/>
        <w:outlineLvl w:val="3"/>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以上企业，不属于大企业的分支机构，不存在控股股东为大企业的情形，也不存在与大企业的负责人为同一人的情形。</w:t>
      </w:r>
    </w:p>
    <w:p w14:paraId="40240D37">
      <w:pPr>
        <w:spacing w:line="360" w:lineRule="auto"/>
        <w:ind w:firstLine="420" w:firstLineChars="200"/>
        <w:rPr>
          <w:rFonts w:hint="eastAsia" w:asciiTheme="minorEastAsia" w:hAnsiTheme="minorEastAsia" w:eastAsiaTheme="minorEastAsia" w:cstheme="minorEastAsia"/>
          <w:szCs w:val="21"/>
        </w:rPr>
      </w:pPr>
      <w:bookmarkStart w:id="57" w:name="_Hlk73562203"/>
      <w:r>
        <w:rPr>
          <w:rFonts w:hint="eastAsia" w:asciiTheme="minorEastAsia" w:hAnsiTheme="minorEastAsia" w:eastAsiaTheme="minorEastAsia" w:cstheme="minorEastAsia"/>
          <w:szCs w:val="21"/>
        </w:rPr>
        <w:t>本投标人对上述声明内容的真实性负责。如有虚假，将依法承担相应责任。</w:t>
      </w:r>
    </w:p>
    <w:p w14:paraId="421BC5E1">
      <w:pPr>
        <w:spacing w:line="360" w:lineRule="auto"/>
        <w:ind w:firstLine="420" w:firstLineChars="200"/>
        <w:rPr>
          <w:sz w:val="24"/>
        </w:rPr>
      </w:pPr>
      <w:r>
        <w:rPr>
          <w:rFonts w:hint="eastAsia" w:asciiTheme="minorEastAsia" w:hAnsiTheme="minorEastAsia" w:eastAsia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7"/>
    </w:p>
    <w:p w14:paraId="3E832CD8">
      <w:pPr>
        <w:ind w:firstLine="420" w:firstLineChars="200"/>
        <w:outlineLvl w:val="3"/>
        <w:rPr>
          <w:rFonts w:hint="eastAsia" w:ascii="宋体" w:hAnsi="宋体"/>
          <w:bCs/>
          <w:color w:val="FF0000"/>
          <w:kern w:val="0"/>
          <w:szCs w:val="21"/>
        </w:rPr>
      </w:pPr>
    </w:p>
    <w:p w14:paraId="495C27B8"/>
    <w:p w14:paraId="6F6CA218">
      <w:pPr>
        <w:ind w:firstLine="420" w:firstLineChars="200"/>
      </w:pPr>
    </w:p>
    <w:p w14:paraId="35937445">
      <w:pPr>
        <w:jc w:val="center"/>
        <w:outlineLvl w:val="3"/>
        <w:rPr>
          <w:b/>
          <w:sz w:val="24"/>
        </w:rPr>
      </w:pPr>
      <w:r>
        <w:rPr>
          <w:rFonts w:hint="eastAsia"/>
          <w:b/>
          <w:sz w:val="24"/>
        </w:rPr>
        <w:t>2、残疾人福利性单位声明函（货物类）</w:t>
      </w:r>
    </w:p>
    <w:p w14:paraId="74E05726">
      <w:pPr>
        <w:rPr>
          <w:b/>
          <w:bCs/>
        </w:rPr>
      </w:pPr>
    </w:p>
    <w:p w14:paraId="5D7C5612">
      <w:pPr>
        <w:spacing w:line="360" w:lineRule="auto"/>
        <w:ind w:firstLine="420" w:firstLineChars="200"/>
        <w:rPr>
          <w:rFonts w:hint="eastAsia" w:asciiTheme="minorEastAsia" w:hAnsiTheme="minorEastAsia" w:eastAsiaTheme="minorEastAsia" w:cstheme="minorEastAsia"/>
          <w:szCs w:val="21"/>
        </w:rPr>
      </w:pPr>
      <w:bookmarkStart w:id="58" w:name="_Hlk73562331"/>
      <w:bookmarkStart w:id="59" w:name="_Hlk73562245"/>
      <w:r>
        <w:rPr>
          <w:rFonts w:hint="eastAsia" w:asciiTheme="minorEastAsia" w:hAnsiTheme="minorEastAsia" w:eastAsiaTheme="minorEastAsia" w:cstheme="minorEastAsia"/>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Cs w:val="21"/>
          <w:u w:val="single"/>
        </w:rPr>
        <w:t xml:space="preserve">    （单位名称）    </w:t>
      </w:r>
      <w:r>
        <w:rPr>
          <w:rFonts w:hint="eastAsia" w:asciiTheme="minorEastAsia" w:hAnsiTheme="minorEastAsia" w:eastAsiaTheme="minorEastAsia" w:cstheme="minorEastAsia"/>
          <w:szCs w:val="21"/>
        </w:rPr>
        <w:t>单位的</w:t>
      </w:r>
      <w:r>
        <w:rPr>
          <w:rFonts w:hint="eastAsia" w:asciiTheme="minorEastAsia" w:hAnsiTheme="minorEastAsia" w:eastAsiaTheme="minorEastAsia" w:cstheme="minorEastAsia"/>
          <w:b/>
          <w:bCs/>
          <w:i/>
          <w:iCs/>
          <w:szCs w:val="21"/>
          <w:u w:val="single"/>
        </w:rPr>
        <w:t xml:space="preserve">    （项目名称）    </w:t>
      </w:r>
      <w:r>
        <w:rPr>
          <w:rFonts w:hint="eastAsia" w:asciiTheme="minorEastAsia" w:hAnsiTheme="minorEastAsia" w:eastAsiaTheme="minorEastAsia" w:cstheme="minorEastAsia"/>
          <w:szCs w:val="21"/>
        </w:rPr>
        <w:t>项目采购活动提供本单位制造的货物（由本单位承担工程/提供服务），或者提供其他残疾人福利性单位制造的货物（不包括使用非残疾人福利性单位注册商标的货物）。</w:t>
      </w:r>
    </w:p>
    <w:p w14:paraId="05FEE7C1">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本单位对上述声明的真实性负责。如有虚假，将依法承担相应责任。</w:t>
      </w:r>
    </w:p>
    <w:p w14:paraId="1F0D8A37">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58"/>
    </w:p>
    <w:bookmarkEnd w:id="59"/>
    <w:p w14:paraId="657C352C">
      <w:pPr>
        <w:ind w:firstLine="420" w:firstLineChars="200"/>
        <w:rPr>
          <w:rFonts w:hint="eastAsia" w:ascii="宋体" w:hAnsi="宋体"/>
          <w:szCs w:val="21"/>
        </w:rPr>
      </w:pPr>
    </w:p>
    <w:p w14:paraId="6910C6FA">
      <w:pPr>
        <w:ind w:firstLine="420" w:firstLineChars="200"/>
        <w:rPr>
          <w:rFonts w:hint="eastAsia" w:ascii="宋体" w:hAnsi="宋体"/>
          <w:szCs w:val="21"/>
        </w:rPr>
      </w:pPr>
    </w:p>
    <w:p w14:paraId="43AE5789">
      <w:pPr>
        <w:jc w:val="center"/>
        <w:outlineLvl w:val="3"/>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2610022">
      <w:pPr>
        <w:spacing w:line="360" w:lineRule="auto"/>
        <w:ind w:firstLine="420" w:firstLineChars="200"/>
        <w:rPr>
          <w:rFonts w:hint="eastAsia" w:ascii="宋体" w:hAnsi="宋体"/>
          <w:szCs w:val="21"/>
        </w:rPr>
      </w:pPr>
      <w:r>
        <w:rPr>
          <w:rFonts w:hint="eastAsia" w:ascii="宋体" w:hAnsi="宋体"/>
          <w:szCs w:val="21"/>
        </w:rPr>
        <w:t>本投标人郑重声明，根据《财政部司法部关于政府采购支持监狱企业发展有关问题的通知》（财库〔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14:paraId="2E4ED844">
      <w:pPr>
        <w:spacing w:line="360" w:lineRule="auto"/>
        <w:ind w:firstLine="420" w:firstLineChars="200"/>
        <w:rPr>
          <w:rFonts w:hint="eastAsia"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14:paraId="21CB8039">
      <w:pPr>
        <w:spacing w:line="360" w:lineRule="auto"/>
        <w:ind w:firstLine="420" w:firstLineChars="200"/>
        <w:rPr>
          <w:rFonts w:hint="eastAsia"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14:paraId="1702C42E">
      <w:pPr>
        <w:spacing w:line="360" w:lineRule="auto"/>
        <w:ind w:firstLine="420" w:firstLineChars="200"/>
        <w:outlineLvl w:val="3"/>
        <w:rPr>
          <w:rFonts w:hint="eastAsia" w:ascii="宋体" w:hAnsi="宋体"/>
          <w:szCs w:val="21"/>
        </w:rPr>
      </w:pPr>
      <w:r>
        <w:rPr>
          <w:rFonts w:ascii="宋体" w:hAnsi="宋体"/>
          <w:szCs w:val="21"/>
        </w:rPr>
        <w:t xml:space="preserve">…… </w:t>
      </w:r>
    </w:p>
    <w:p w14:paraId="602CD866">
      <w:pPr>
        <w:spacing w:line="360" w:lineRule="auto"/>
        <w:ind w:firstLine="420" w:firstLineChars="200"/>
        <w:rPr>
          <w:rFonts w:hint="eastAsia"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14:paraId="3376AA08">
      <w:pPr>
        <w:spacing w:line="360" w:lineRule="auto"/>
        <w:ind w:firstLine="420" w:firstLineChars="200"/>
        <w:rPr>
          <w:b/>
          <w:bCs/>
          <w:color w:val="FF0000"/>
          <w:szCs w:val="21"/>
        </w:rPr>
      </w:pPr>
      <w:r>
        <w:rPr>
          <w:rFonts w:hint="eastAsia" w:ascii="宋体" w:hAnsi="宋体"/>
          <w:szCs w:val="21"/>
        </w:rPr>
        <w:t>附：省级以上监狱管理局、戒毒管理局（含新疆生产建设兵团）出具的监狱企业证明文件。</w:t>
      </w:r>
      <w:bookmarkEnd w:id="56"/>
    </w:p>
    <w:p w14:paraId="6A65BABD">
      <w:pPr>
        <w:pStyle w:val="3"/>
        <w:jc w:val="center"/>
        <w:rPr>
          <w:rFonts w:hint="eastAsia" w:ascii="黑体" w:eastAsia="黑体"/>
          <w:sz w:val="24"/>
          <w:szCs w:val="24"/>
        </w:rPr>
      </w:pPr>
      <w:bookmarkStart w:id="60" w:name="_Hlk72259976"/>
      <w:r>
        <w:rPr>
          <w:rFonts w:hint="eastAsia" w:ascii="黑体" w:eastAsia="黑体"/>
          <w:sz w:val="24"/>
          <w:szCs w:val="24"/>
        </w:rPr>
        <w:t>四、项目详细报价</w:t>
      </w:r>
    </w:p>
    <w:p w14:paraId="5BB9C996">
      <w:pPr>
        <w:tabs>
          <w:tab w:val="left" w:pos="720"/>
        </w:tabs>
        <w:ind w:firstLine="3132" w:firstLineChars="1300"/>
        <w:rPr>
          <w:b/>
          <w:sz w:val="24"/>
        </w:rPr>
      </w:pPr>
      <w:r>
        <w:rPr>
          <w:rFonts w:hint="eastAsia"/>
          <w:b/>
          <w:sz w:val="24"/>
        </w:rPr>
        <w:t>（一）分项报价表</w:t>
      </w:r>
    </w:p>
    <w:tbl>
      <w:tblPr>
        <w:tblStyle w:val="43"/>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52"/>
        <w:gridCol w:w="1440"/>
        <w:gridCol w:w="948"/>
        <w:gridCol w:w="792"/>
        <w:gridCol w:w="696"/>
        <w:gridCol w:w="552"/>
        <w:gridCol w:w="636"/>
        <w:gridCol w:w="571"/>
        <w:gridCol w:w="563"/>
        <w:gridCol w:w="1219"/>
      </w:tblGrid>
      <w:tr w14:paraId="1343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14:paraId="01777309">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852" w:type="dxa"/>
            <w:vAlign w:val="center"/>
          </w:tcPr>
          <w:p w14:paraId="5E84D731">
            <w:pPr>
              <w:keepNext w:val="0"/>
              <w:keepLines w:val="0"/>
              <w:suppressLineNumbers w:val="0"/>
              <w:spacing w:before="0" w:beforeAutospacing="0" w:after="0" w:afterAutospacing="0"/>
              <w:ind w:left="0" w:right="0"/>
              <w:jc w:val="center"/>
              <w:rPr>
                <w:rFonts w:hint="default"/>
                <w:bCs/>
                <w:szCs w:val="21"/>
              </w:rPr>
            </w:pPr>
            <w:r>
              <w:rPr>
                <w:rFonts w:hint="eastAsia"/>
                <w:szCs w:val="21"/>
              </w:rPr>
              <w:t>采购计划编号</w:t>
            </w:r>
          </w:p>
        </w:tc>
        <w:tc>
          <w:tcPr>
            <w:tcW w:w="1440" w:type="dxa"/>
            <w:vAlign w:val="center"/>
          </w:tcPr>
          <w:p w14:paraId="2940521D">
            <w:pPr>
              <w:keepNext w:val="0"/>
              <w:keepLines w:val="0"/>
              <w:suppressLineNumbers w:val="0"/>
              <w:spacing w:before="0" w:beforeAutospacing="0" w:after="0" w:afterAutospacing="0"/>
              <w:ind w:left="0" w:right="0"/>
              <w:jc w:val="center"/>
              <w:rPr>
                <w:rFonts w:hint="default"/>
                <w:bCs/>
                <w:szCs w:val="21"/>
              </w:rPr>
            </w:pPr>
            <w:r>
              <w:rPr>
                <w:rFonts w:hint="eastAsia"/>
                <w:bCs/>
                <w:szCs w:val="21"/>
              </w:rPr>
              <w:t>货物名称</w:t>
            </w:r>
          </w:p>
        </w:tc>
        <w:tc>
          <w:tcPr>
            <w:tcW w:w="948" w:type="dxa"/>
            <w:vAlign w:val="center"/>
          </w:tcPr>
          <w:p w14:paraId="239AE346">
            <w:pPr>
              <w:keepNext w:val="0"/>
              <w:keepLines w:val="0"/>
              <w:suppressLineNumbers w:val="0"/>
              <w:spacing w:before="0" w:beforeAutospacing="0" w:after="0" w:afterAutospacing="0"/>
              <w:ind w:left="0" w:right="0"/>
              <w:jc w:val="center"/>
              <w:rPr>
                <w:rFonts w:hint="default"/>
                <w:bCs/>
                <w:szCs w:val="21"/>
              </w:rPr>
            </w:pPr>
            <w:r>
              <w:rPr>
                <w:rFonts w:hint="eastAsia"/>
                <w:szCs w:val="21"/>
              </w:rPr>
              <w:t>品牌</w:t>
            </w:r>
          </w:p>
        </w:tc>
        <w:tc>
          <w:tcPr>
            <w:tcW w:w="792" w:type="dxa"/>
            <w:vAlign w:val="center"/>
          </w:tcPr>
          <w:p w14:paraId="080DCBE0">
            <w:pPr>
              <w:keepNext w:val="0"/>
              <w:keepLines w:val="0"/>
              <w:suppressLineNumbers w:val="0"/>
              <w:spacing w:before="0" w:beforeAutospacing="0" w:after="0" w:afterAutospacing="0"/>
              <w:ind w:left="0" w:right="0"/>
              <w:jc w:val="center"/>
              <w:rPr>
                <w:rFonts w:hint="default"/>
                <w:bCs/>
                <w:szCs w:val="21"/>
              </w:rPr>
            </w:pPr>
            <w:r>
              <w:rPr>
                <w:rFonts w:hint="eastAsia"/>
                <w:szCs w:val="21"/>
              </w:rPr>
              <w:t>规格/型号</w:t>
            </w:r>
          </w:p>
        </w:tc>
        <w:tc>
          <w:tcPr>
            <w:tcW w:w="696" w:type="dxa"/>
            <w:vAlign w:val="center"/>
          </w:tcPr>
          <w:p w14:paraId="145302E1">
            <w:pPr>
              <w:keepNext w:val="0"/>
              <w:keepLines w:val="0"/>
              <w:suppressLineNumbers w:val="0"/>
              <w:spacing w:before="0" w:beforeAutospacing="0" w:after="0" w:afterAutospacing="0"/>
              <w:ind w:left="0" w:right="0"/>
              <w:jc w:val="center"/>
              <w:rPr>
                <w:rFonts w:hint="default"/>
                <w:bCs/>
                <w:szCs w:val="21"/>
              </w:rPr>
            </w:pPr>
            <w:r>
              <w:rPr>
                <w:rFonts w:hint="eastAsia"/>
                <w:b/>
                <w:color w:val="FF0000"/>
                <w:szCs w:val="21"/>
              </w:rPr>
              <w:t>原产地</w:t>
            </w:r>
          </w:p>
        </w:tc>
        <w:tc>
          <w:tcPr>
            <w:tcW w:w="552" w:type="dxa"/>
            <w:vAlign w:val="center"/>
          </w:tcPr>
          <w:p w14:paraId="4FA2358C">
            <w:pPr>
              <w:keepNext w:val="0"/>
              <w:keepLines w:val="0"/>
              <w:suppressLineNumbers w:val="0"/>
              <w:spacing w:before="0" w:beforeAutospacing="0" w:after="0" w:afterAutospacing="0"/>
              <w:ind w:left="0" w:right="0"/>
              <w:jc w:val="center"/>
              <w:rPr>
                <w:rFonts w:hint="default"/>
                <w:bCs/>
                <w:szCs w:val="21"/>
              </w:rPr>
            </w:pPr>
            <w:r>
              <w:rPr>
                <w:rFonts w:hint="eastAsia"/>
                <w:szCs w:val="21"/>
              </w:rPr>
              <w:t>制造商名称</w:t>
            </w:r>
          </w:p>
        </w:tc>
        <w:tc>
          <w:tcPr>
            <w:tcW w:w="636" w:type="dxa"/>
            <w:vAlign w:val="center"/>
          </w:tcPr>
          <w:p w14:paraId="1CED2476">
            <w:pPr>
              <w:keepNext w:val="0"/>
              <w:keepLines w:val="0"/>
              <w:suppressLineNumbers w:val="0"/>
              <w:spacing w:before="0" w:beforeAutospacing="0" w:after="0" w:afterAutospacing="0"/>
              <w:ind w:left="0" w:right="0"/>
              <w:jc w:val="center"/>
              <w:rPr>
                <w:rFonts w:hint="default"/>
                <w:bCs/>
                <w:szCs w:val="21"/>
              </w:rPr>
            </w:pPr>
            <w:r>
              <w:rPr>
                <w:rFonts w:hint="eastAsia"/>
                <w:bCs/>
                <w:szCs w:val="21"/>
              </w:rPr>
              <w:t>数量、单位</w:t>
            </w:r>
          </w:p>
        </w:tc>
        <w:tc>
          <w:tcPr>
            <w:tcW w:w="571" w:type="dxa"/>
            <w:vAlign w:val="center"/>
          </w:tcPr>
          <w:p w14:paraId="509C8C39">
            <w:pPr>
              <w:keepNext w:val="0"/>
              <w:keepLines w:val="0"/>
              <w:suppressLineNumbers w:val="0"/>
              <w:spacing w:before="0" w:beforeAutospacing="0" w:after="0" w:afterAutospacing="0"/>
              <w:ind w:left="0" w:right="0"/>
              <w:jc w:val="center"/>
              <w:rPr>
                <w:rFonts w:hint="default"/>
                <w:bCs/>
                <w:szCs w:val="21"/>
              </w:rPr>
            </w:pPr>
            <w:r>
              <w:rPr>
                <w:rFonts w:hint="eastAsia"/>
                <w:szCs w:val="21"/>
              </w:rPr>
              <w:t>单价(元)</w:t>
            </w:r>
          </w:p>
        </w:tc>
        <w:tc>
          <w:tcPr>
            <w:tcW w:w="563" w:type="dxa"/>
            <w:vAlign w:val="center"/>
          </w:tcPr>
          <w:p w14:paraId="20BC39E1">
            <w:pPr>
              <w:keepNext w:val="0"/>
              <w:keepLines w:val="0"/>
              <w:suppressLineNumbers w:val="0"/>
              <w:spacing w:before="0" w:beforeAutospacing="0" w:after="0" w:afterAutospacing="0"/>
              <w:ind w:left="0" w:right="0"/>
              <w:jc w:val="center"/>
              <w:rPr>
                <w:rFonts w:hint="default"/>
                <w:bCs/>
                <w:szCs w:val="21"/>
              </w:rPr>
            </w:pPr>
            <w:r>
              <w:rPr>
                <w:rFonts w:hint="eastAsia"/>
                <w:szCs w:val="21"/>
              </w:rPr>
              <w:t>合价(元)</w:t>
            </w:r>
          </w:p>
        </w:tc>
        <w:tc>
          <w:tcPr>
            <w:tcW w:w="1219" w:type="dxa"/>
            <w:vAlign w:val="center"/>
          </w:tcPr>
          <w:p w14:paraId="7005380A">
            <w:pPr>
              <w:keepNext w:val="0"/>
              <w:keepLines w:val="0"/>
              <w:suppressLineNumbers w:val="0"/>
              <w:spacing w:before="0" w:beforeAutospacing="0" w:after="0" w:afterAutospacing="0"/>
              <w:ind w:left="0" w:right="0"/>
              <w:jc w:val="center"/>
              <w:rPr>
                <w:rFonts w:hint="default"/>
                <w:szCs w:val="21"/>
              </w:rPr>
            </w:pPr>
            <w:r>
              <w:rPr>
                <w:rFonts w:hint="eastAsia"/>
                <w:szCs w:val="21"/>
              </w:rPr>
              <w:t>预算金额（元）</w:t>
            </w:r>
          </w:p>
        </w:tc>
      </w:tr>
      <w:tr w14:paraId="7C57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14:paraId="2A23FC4A">
            <w:pPr>
              <w:keepNext w:val="0"/>
              <w:keepLines w:val="0"/>
              <w:suppressLineNumbers w:val="0"/>
              <w:spacing w:before="0" w:beforeAutospacing="0" w:after="0" w:afterAutospacing="0"/>
              <w:ind w:left="0" w:right="0"/>
              <w:jc w:val="center"/>
              <w:rPr>
                <w:rFonts w:hint="eastAsia" w:ascii="宋体" w:hAnsi="宋体" w:cs="宋体"/>
                <w:bCs/>
                <w:szCs w:val="21"/>
              </w:rPr>
            </w:pPr>
            <w:r>
              <w:rPr>
                <w:rFonts w:hint="eastAsia" w:ascii="宋体" w:hAnsi="宋体" w:cs="宋体"/>
                <w:bCs/>
                <w:szCs w:val="21"/>
              </w:rPr>
              <w:t>1</w:t>
            </w:r>
          </w:p>
        </w:tc>
        <w:tc>
          <w:tcPr>
            <w:tcW w:w="852" w:type="dxa"/>
            <w:vAlign w:val="center"/>
          </w:tcPr>
          <w:p w14:paraId="41927528">
            <w:pPr>
              <w:keepNext w:val="0"/>
              <w:keepLines w:val="0"/>
              <w:suppressLineNumbers w:val="0"/>
              <w:spacing w:before="0" w:beforeAutospacing="0" w:after="0" w:afterAutospacing="0"/>
              <w:ind w:left="0" w:right="0"/>
              <w:jc w:val="center"/>
              <w:rPr>
                <w:rFonts w:hint="default"/>
                <w:bCs/>
                <w:szCs w:val="21"/>
              </w:rPr>
            </w:pPr>
          </w:p>
        </w:tc>
        <w:tc>
          <w:tcPr>
            <w:tcW w:w="1440" w:type="dxa"/>
            <w:vAlign w:val="center"/>
          </w:tcPr>
          <w:p w14:paraId="2AA543F1">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948" w:type="dxa"/>
            <w:vAlign w:val="center"/>
          </w:tcPr>
          <w:p w14:paraId="212C482C">
            <w:pPr>
              <w:keepNext w:val="0"/>
              <w:keepLines w:val="0"/>
              <w:widowControl/>
              <w:suppressLineNumbers w:val="0"/>
              <w:spacing w:before="0" w:beforeAutospacing="0" w:after="0" w:afterAutospacing="0"/>
              <w:ind w:left="0" w:right="0"/>
              <w:jc w:val="center"/>
              <w:textAlignment w:val="center"/>
              <w:rPr>
                <w:rFonts w:hint="default"/>
                <w:bCs/>
                <w:szCs w:val="21"/>
              </w:rPr>
            </w:pPr>
          </w:p>
        </w:tc>
        <w:tc>
          <w:tcPr>
            <w:tcW w:w="792" w:type="dxa"/>
            <w:vAlign w:val="center"/>
          </w:tcPr>
          <w:p w14:paraId="3AD98EBC">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696" w:type="dxa"/>
            <w:vAlign w:val="center"/>
          </w:tcPr>
          <w:p w14:paraId="47459877">
            <w:pPr>
              <w:keepNext w:val="0"/>
              <w:keepLines w:val="0"/>
              <w:suppressLineNumbers w:val="0"/>
              <w:spacing w:before="0" w:beforeAutospacing="0" w:after="0" w:afterAutospacing="0"/>
              <w:ind w:left="0" w:right="0"/>
              <w:jc w:val="center"/>
              <w:rPr>
                <w:rFonts w:hint="default"/>
                <w:bCs/>
                <w:szCs w:val="21"/>
              </w:rPr>
            </w:pPr>
          </w:p>
        </w:tc>
        <w:tc>
          <w:tcPr>
            <w:tcW w:w="552" w:type="dxa"/>
            <w:vAlign w:val="center"/>
          </w:tcPr>
          <w:p w14:paraId="53F6E2B9">
            <w:pPr>
              <w:keepNext w:val="0"/>
              <w:keepLines w:val="0"/>
              <w:suppressLineNumbers w:val="0"/>
              <w:spacing w:before="0" w:beforeAutospacing="0" w:after="0" w:afterAutospacing="0"/>
              <w:ind w:left="0" w:right="0"/>
              <w:jc w:val="center"/>
              <w:rPr>
                <w:rFonts w:hint="default"/>
                <w:bCs/>
                <w:szCs w:val="21"/>
              </w:rPr>
            </w:pPr>
          </w:p>
        </w:tc>
        <w:tc>
          <w:tcPr>
            <w:tcW w:w="636" w:type="dxa"/>
            <w:vAlign w:val="center"/>
          </w:tcPr>
          <w:p w14:paraId="4164B6B6">
            <w:pPr>
              <w:keepNext w:val="0"/>
              <w:keepLines w:val="0"/>
              <w:widowControl/>
              <w:suppressLineNumbers w:val="0"/>
              <w:spacing w:before="0" w:beforeAutospacing="0" w:after="0" w:afterAutospacing="0"/>
              <w:ind w:left="0" w:right="0"/>
              <w:jc w:val="center"/>
              <w:textAlignment w:val="center"/>
              <w:rPr>
                <w:rFonts w:hint="default"/>
                <w:bCs/>
                <w:szCs w:val="21"/>
              </w:rPr>
            </w:pPr>
          </w:p>
        </w:tc>
        <w:tc>
          <w:tcPr>
            <w:tcW w:w="571" w:type="dxa"/>
            <w:vAlign w:val="center"/>
          </w:tcPr>
          <w:p w14:paraId="4FC24659">
            <w:pPr>
              <w:keepNext w:val="0"/>
              <w:keepLines w:val="0"/>
              <w:suppressLineNumbers w:val="0"/>
              <w:spacing w:before="0" w:beforeAutospacing="0" w:after="0" w:afterAutospacing="0"/>
              <w:ind w:left="0" w:right="0"/>
              <w:jc w:val="center"/>
              <w:rPr>
                <w:rFonts w:hint="default"/>
                <w:bCs/>
                <w:szCs w:val="21"/>
              </w:rPr>
            </w:pPr>
          </w:p>
        </w:tc>
        <w:tc>
          <w:tcPr>
            <w:tcW w:w="563" w:type="dxa"/>
            <w:vAlign w:val="center"/>
          </w:tcPr>
          <w:p w14:paraId="6B11A330">
            <w:pPr>
              <w:keepNext w:val="0"/>
              <w:keepLines w:val="0"/>
              <w:suppressLineNumbers w:val="0"/>
              <w:spacing w:before="0" w:beforeAutospacing="0" w:after="0" w:afterAutospacing="0"/>
              <w:ind w:left="0" w:right="0"/>
              <w:jc w:val="center"/>
              <w:rPr>
                <w:rFonts w:hint="default"/>
                <w:bCs/>
                <w:szCs w:val="21"/>
              </w:rPr>
            </w:pPr>
          </w:p>
        </w:tc>
        <w:tc>
          <w:tcPr>
            <w:tcW w:w="1219" w:type="dxa"/>
            <w:vAlign w:val="center"/>
          </w:tcPr>
          <w:p w14:paraId="23B1F02C">
            <w:pPr>
              <w:keepNext w:val="0"/>
              <w:keepLines w:val="0"/>
              <w:suppressLineNumbers w:val="0"/>
              <w:spacing w:before="0" w:beforeAutospacing="0" w:after="0" w:afterAutospacing="0"/>
              <w:ind w:left="0" w:right="0"/>
              <w:jc w:val="center"/>
              <w:rPr>
                <w:rFonts w:hint="default"/>
                <w:b/>
                <w:bCs/>
                <w:szCs w:val="21"/>
              </w:rPr>
            </w:pPr>
          </w:p>
        </w:tc>
      </w:tr>
    </w:tbl>
    <w:p w14:paraId="4638EC3C">
      <w:pPr>
        <w:ind w:firstLine="482" w:firstLineChars="200"/>
        <w:rPr>
          <w:rFonts w:hint="eastAsia" w:ascii="宋体" w:hAnsi="宋体"/>
          <w:b/>
          <w:sz w:val="24"/>
        </w:rPr>
      </w:pPr>
      <w:r>
        <w:rPr>
          <w:rFonts w:hint="eastAsia" w:ascii="宋体" w:hAnsi="宋体"/>
          <w:b/>
          <w:sz w:val="24"/>
        </w:rPr>
        <w:t>注：1.本表可按同样格式扩展。</w:t>
      </w:r>
    </w:p>
    <w:p w14:paraId="10CB86C0">
      <w:pPr>
        <w:ind w:firstLine="472" w:firstLineChars="196"/>
        <w:rPr>
          <w:rFonts w:hint="eastAsia"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14:paraId="6AFD3C21">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1"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1"/>
    </w:p>
    <w:p w14:paraId="0FF8A9AA">
      <w:pPr>
        <w:ind w:firstLine="472" w:firstLineChars="196"/>
        <w:rPr>
          <w:rFonts w:hint="eastAsia"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519192FB">
      <w:pPr>
        <w:ind w:firstLine="472" w:firstLineChars="196"/>
        <w:rPr>
          <w:rFonts w:hint="eastAsia"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14:paraId="58C0982D">
      <w:pPr>
        <w:ind w:firstLine="482" w:firstLineChars="200"/>
        <w:rPr>
          <w:rFonts w:hint="eastAsia"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6F9ACCE3">
      <w:pPr>
        <w:ind w:firstLine="482" w:firstLineChars="200"/>
        <w:rPr>
          <w:rFonts w:hint="eastAsia"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20B318CD">
      <w:pPr>
        <w:ind w:firstLine="482" w:firstLineChars="200"/>
        <w:rPr>
          <w:rFonts w:hint="eastAsia"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11CB3F86">
      <w:pPr>
        <w:ind w:firstLine="482" w:firstLineChars="200"/>
        <w:rPr>
          <w:rFonts w:hint="eastAsia" w:ascii="宋体" w:hAnsi="宋体"/>
          <w:b/>
          <w:color w:val="FF0000"/>
          <w:sz w:val="24"/>
        </w:rPr>
      </w:pPr>
    </w:p>
    <w:p w14:paraId="3D50C35C">
      <w:pPr>
        <w:ind w:firstLine="482" w:firstLineChars="200"/>
        <w:rPr>
          <w:rFonts w:hint="eastAsia" w:ascii="宋体" w:hAnsi="宋体"/>
          <w:b/>
          <w:color w:val="FF0000"/>
          <w:sz w:val="24"/>
        </w:rPr>
      </w:pPr>
    </w:p>
    <w:p w14:paraId="5E63656E">
      <w:pPr>
        <w:tabs>
          <w:tab w:val="left" w:pos="720"/>
        </w:tabs>
        <w:jc w:val="center"/>
        <w:rPr>
          <w:b/>
          <w:sz w:val="24"/>
        </w:rPr>
      </w:pPr>
      <w:r>
        <w:rPr>
          <w:rFonts w:hint="eastAsia"/>
          <w:b/>
          <w:sz w:val="24"/>
        </w:rPr>
        <w:t>（二）核心产品品牌</w:t>
      </w:r>
    </w:p>
    <w:p w14:paraId="263711F7">
      <w:pPr>
        <w:ind w:firstLine="482" w:firstLineChars="200"/>
        <w:rPr>
          <w:rFonts w:hint="eastAsia" w:ascii="宋体" w:hAnsi="宋体"/>
          <w:b/>
          <w:color w:val="FF0000"/>
          <w:sz w:val="24"/>
        </w:rPr>
      </w:pPr>
    </w:p>
    <w:p w14:paraId="29B904E0">
      <w:pPr>
        <w:ind w:firstLine="482" w:firstLineChars="200"/>
        <w:rPr>
          <w:rFonts w:hint="eastAsia"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39FCDE8A">
      <w:pPr>
        <w:ind w:firstLine="480" w:firstLineChars="200"/>
        <w:rPr>
          <w:rFonts w:hint="eastAsia" w:ascii="宋体" w:hAnsi="宋体"/>
          <w:sz w:val="24"/>
        </w:rPr>
      </w:pPr>
      <w:r>
        <w:rPr>
          <w:rFonts w:hint="eastAsia" w:ascii="宋体" w:hAnsi="宋体"/>
          <w:sz w:val="24"/>
        </w:rPr>
        <w:t>备注：单一产品采购项目，核心产品即为该单一产品。</w:t>
      </w:r>
    </w:p>
    <w:p w14:paraId="34F233D1">
      <w:pPr>
        <w:rPr>
          <w:b/>
          <w:sz w:val="24"/>
        </w:rPr>
      </w:pPr>
    </w:p>
    <w:p w14:paraId="4ABAB10B">
      <w:pPr>
        <w:tabs>
          <w:tab w:val="left" w:pos="720"/>
        </w:tabs>
        <w:ind w:firstLine="1928" w:firstLineChars="800"/>
        <w:rPr>
          <w:b/>
          <w:sz w:val="24"/>
        </w:rPr>
      </w:pPr>
      <w:r>
        <w:rPr>
          <w:rFonts w:hint="eastAsia"/>
          <w:b/>
          <w:sz w:val="24"/>
        </w:rPr>
        <w:t>（三）可选配件报价清单（不包括在总报价内）</w:t>
      </w:r>
    </w:p>
    <w:p w14:paraId="7726BDD9">
      <w:pPr>
        <w:ind w:firstLine="422" w:firstLineChars="200"/>
        <w:rPr>
          <w:rFonts w:hint="eastAsia"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244E1948">
      <w:pPr>
        <w:ind w:firstLine="482" w:firstLineChars="200"/>
        <w:rPr>
          <w:rFonts w:hint="eastAsia" w:hAnsi="宋体"/>
          <w:b/>
          <w:bCs/>
          <w:sz w:val="24"/>
        </w:rPr>
      </w:pPr>
    </w:p>
    <w:p w14:paraId="632CA4EA">
      <w:pPr>
        <w:tabs>
          <w:tab w:val="left" w:pos="720"/>
        </w:tabs>
        <w:jc w:val="center"/>
        <w:rPr>
          <w:b/>
          <w:sz w:val="24"/>
        </w:rPr>
      </w:pPr>
      <w:r>
        <w:rPr>
          <w:rFonts w:hint="eastAsia"/>
          <w:b/>
          <w:sz w:val="24"/>
        </w:rPr>
        <w:t>（四）</w:t>
      </w:r>
      <w:bookmarkStart w:id="62" w:name="_Hlk72073235"/>
      <w:r>
        <w:rPr>
          <w:rFonts w:hint="eastAsia"/>
          <w:b/>
          <w:sz w:val="24"/>
        </w:rPr>
        <w:t>投标人认为需要涉及的其他内容报价清单</w:t>
      </w:r>
      <w:bookmarkEnd w:id="62"/>
    </w:p>
    <w:p w14:paraId="42BF82F8">
      <w:pPr>
        <w:rPr>
          <w:highlight w:val="yellow"/>
        </w:rPr>
      </w:pPr>
    </w:p>
    <w:p w14:paraId="48103564">
      <w:pPr>
        <w:ind w:firstLine="723" w:firstLineChars="300"/>
        <w:rPr>
          <w:b/>
          <w:color w:val="FF0000"/>
          <w:sz w:val="24"/>
        </w:rPr>
      </w:pPr>
      <w:r>
        <w:rPr>
          <w:rFonts w:hint="eastAsia"/>
          <w:b/>
          <w:color w:val="FF0000"/>
          <w:sz w:val="24"/>
        </w:rPr>
        <w:t>（信息公开部分的内容到此为止！以下为信息不公开部分。）</w:t>
      </w:r>
    </w:p>
    <w:bookmarkEnd w:id="60"/>
    <w:p w14:paraId="30DD1A3E">
      <w:r>
        <w:br w:type="page"/>
      </w:r>
    </w:p>
    <w:p w14:paraId="2D4478FE">
      <w:pPr>
        <w:outlineLvl w:val="1"/>
        <w:rPr>
          <w:rFonts w:hint="eastAsia" w:ascii="宋体" w:hAnsi="宋体"/>
          <w:b/>
          <w:color w:val="FF0000"/>
          <w:sz w:val="28"/>
          <w:szCs w:val="28"/>
        </w:rPr>
      </w:pPr>
      <w:bookmarkStart w:id="63" w:name="_Hlk72260530"/>
      <w:r>
        <w:rPr>
          <w:rFonts w:hint="eastAsia" w:ascii="宋体" w:hAnsi="宋体"/>
          <w:b/>
          <w:color w:val="FF0000"/>
          <w:sz w:val="28"/>
          <w:szCs w:val="28"/>
        </w:rPr>
        <w:t>投标文件附件（信息不公开部分）</w:t>
      </w:r>
    </w:p>
    <w:p w14:paraId="36E27227">
      <w:pPr>
        <w:snapToGrid w:val="0"/>
        <w:jc w:val="center"/>
        <w:outlineLvl w:val="0"/>
        <w:rPr>
          <w:rFonts w:hint="eastAsia" w:ascii="黑体" w:hAnsi="宋体" w:eastAsia="黑体"/>
          <w:bCs/>
          <w:sz w:val="24"/>
          <w:szCs w:val="32"/>
        </w:rPr>
      </w:pPr>
    </w:p>
    <w:p w14:paraId="28421FC1">
      <w:pPr>
        <w:snapToGrid w:val="0"/>
        <w:jc w:val="center"/>
        <w:outlineLvl w:val="0"/>
        <w:rPr>
          <w:rFonts w:hint="eastAsia" w:ascii="黑体" w:hAnsi="宋体" w:eastAsia="黑体"/>
          <w:bCs/>
          <w:sz w:val="24"/>
          <w:szCs w:val="32"/>
        </w:rPr>
      </w:pPr>
      <w:r>
        <w:rPr>
          <w:rFonts w:hint="eastAsia" w:ascii="黑体" w:hAnsi="宋体" w:eastAsia="黑体"/>
          <w:bCs/>
          <w:sz w:val="24"/>
          <w:szCs w:val="32"/>
        </w:rPr>
        <w:t>一、供应商基本情况表</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5E766C2D">
        <w:trPr>
          <w:jc w:val="center"/>
        </w:trPr>
        <w:tc>
          <w:tcPr>
            <w:tcW w:w="789" w:type="pct"/>
            <w:gridSpan w:val="2"/>
            <w:vAlign w:val="center"/>
          </w:tcPr>
          <w:p w14:paraId="0BC903F0">
            <w:pPr>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szCs w:val="21"/>
              </w:rPr>
              <w:t>投标（响应）供应商</w:t>
            </w:r>
          </w:p>
        </w:tc>
        <w:tc>
          <w:tcPr>
            <w:tcW w:w="1427" w:type="pct"/>
            <w:gridSpan w:val="2"/>
            <w:vAlign w:val="center"/>
          </w:tcPr>
          <w:p w14:paraId="39A8B2FA">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vAlign w:val="center"/>
          </w:tcPr>
          <w:p w14:paraId="17E701C8">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项目名称及编号</w:t>
            </w:r>
          </w:p>
        </w:tc>
        <w:tc>
          <w:tcPr>
            <w:tcW w:w="1669" w:type="pct"/>
            <w:gridSpan w:val="2"/>
            <w:vAlign w:val="center"/>
          </w:tcPr>
          <w:p w14:paraId="143C0AC9">
            <w:pPr>
              <w:keepNext w:val="0"/>
              <w:keepLines w:val="0"/>
              <w:suppressLineNumbers w:val="0"/>
              <w:spacing w:before="0" w:beforeAutospacing="0" w:after="0" w:afterAutospacing="0"/>
              <w:ind w:left="0" w:right="0"/>
              <w:jc w:val="center"/>
              <w:rPr>
                <w:rFonts w:hint="eastAsia" w:ascii="宋体" w:hAnsi="宋体" w:cs="宋体"/>
                <w:szCs w:val="21"/>
              </w:rPr>
            </w:pPr>
          </w:p>
        </w:tc>
      </w:tr>
      <w:tr w14:paraId="0A10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0020EC2B">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b/>
                <w:bCs/>
                <w:szCs w:val="21"/>
              </w:rPr>
              <w:t>投标（响应）供应商相关人员情况</w:t>
            </w:r>
          </w:p>
        </w:tc>
      </w:tr>
      <w:tr w14:paraId="446B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14:paraId="4416F393">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序号</w:t>
            </w:r>
          </w:p>
        </w:tc>
        <w:tc>
          <w:tcPr>
            <w:tcW w:w="1275" w:type="pct"/>
            <w:gridSpan w:val="2"/>
            <w:tcBorders>
              <w:bottom w:val="single" w:color="auto" w:sz="4" w:space="0"/>
            </w:tcBorders>
            <w:vAlign w:val="center"/>
          </w:tcPr>
          <w:p w14:paraId="3F8B2FCD">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职务</w:t>
            </w:r>
          </w:p>
        </w:tc>
        <w:tc>
          <w:tcPr>
            <w:tcW w:w="529" w:type="pct"/>
            <w:tcBorders>
              <w:bottom w:val="single" w:color="auto" w:sz="4" w:space="0"/>
            </w:tcBorders>
            <w:vAlign w:val="center"/>
          </w:tcPr>
          <w:p w14:paraId="59B59B1F">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姓名</w:t>
            </w:r>
          </w:p>
        </w:tc>
        <w:tc>
          <w:tcPr>
            <w:tcW w:w="1113" w:type="pct"/>
            <w:gridSpan w:val="2"/>
            <w:tcBorders>
              <w:bottom w:val="single" w:color="auto" w:sz="4" w:space="0"/>
            </w:tcBorders>
            <w:vAlign w:val="center"/>
          </w:tcPr>
          <w:p w14:paraId="270CD153">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身份证号码</w:t>
            </w:r>
          </w:p>
        </w:tc>
        <w:tc>
          <w:tcPr>
            <w:tcW w:w="838" w:type="pct"/>
            <w:tcBorders>
              <w:bottom w:val="single" w:color="auto" w:sz="4" w:space="0"/>
            </w:tcBorders>
            <w:vAlign w:val="center"/>
          </w:tcPr>
          <w:p w14:paraId="31C7278F">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劳动合同</w:t>
            </w:r>
          </w:p>
          <w:p w14:paraId="40455A96">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关系单位</w:t>
            </w:r>
          </w:p>
        </w:tc>
        <w:tc>
          <w:tcPr>
            <w:tcW w:w="830" w:type="pct"/>
            <w:tcBorders>
              <w:bottom w:val="single" w:color="auto" w:sz="4" w:space="0"/>
            </w:tcBorders>
            <w:vAlign w:val="center"/>
          </w:tcPr>
          <w:p w14:paraId="3FB10AD4">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缴纳社会</w:t>
            </w:r>
          </w:p>
          <w:p w14:paraId="05F934CC">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保险单位</w:t>
            </w:r>
          </w:p>
        </w:tc>
      </w:tr>
      <w:tr w14:paraId="3D3B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5B868F6D">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5439273B">
            <w:pPr>
              <w:keepNext w:val="0"/>
              <w:keepLines w:val="0"/>
              <w:suppressLineNumbers w:val="0"/>
              <w:spacing w:before="0" w:beforeAutospacing="0" w:after="0" w:afterAutospacing="0" w:line="460" w:lineRule="exact"/>
              <w:ind w:left="0" w:right="0"/>
              <w:jc w:val="center"/>
              <w:rPr>
                <w:rFonts w:hint="eastAsia" w:ascii="宋体" w:hAnsi="宋体" w:cs="宋体"/>
                <w:szCs w:val="21"/>
              </w:rPr>
            </w:pPr>
            <w:r>
              <w:rPr>
                <w:rFonts w:hint="eastAsia" w:ascii="宋体" w:hAnsi="宋体" w:cs="宋体"/>
                <w:szCs w:val="21"/>
              </w:rPr>
              <w:t>法定代表人/单位负责人/主要经营负责人</w:t>
            </w:r>
          </w:p>
        </w:tc>
        <w:tc>
          <w:tcPr>
            <w:tcW w:w="529" w:type="pct"/>
            <w:tcBorders>
              <w:top w:val="single" w:color="auto" w:sz="4" w:space="0"/>
              <w:left w:val="single" w:color="auto" w:sz="4" w:space="0"/>
              <w:bottom w:val="single" w:color="auto" w:sz="4" w:space="0"/>
              <w:right w:val="single" w:color="auto" w:sz="4" w:space="0"/>
            </w:tcBorders>
            <w:vAlign w:val="center"/>
          </w:tcPr>
          <w:p w14:paraId="2FA2EC15">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14:paraId="1847BFD1">
            <w:pPr>
              <w:keepNext w:val="0"/>
              <w:keepLines w:val="0"/>
              <w:suppressLineNumbers w:val="0"/>
              <w:spacing w:before="0" w:beforeAutospacing="0" w:after="0" w:afterAutospacing="0"/>
              <w:ind w:left="0" w:right="0"/>
              <w:jc w:val="center"/>
              <w:rPr>
                <w:rFonts w:hint="eastAsia"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14:paraId="139674C5">
            <w:pPr>
              <w:keepNext w:val="0"/>
              <w:keepLines w:val="0"/>
              <w:suppressLineNumbers w:val="0"/>
              <w:spacing w:before="0" w:beforeAutospacing="0" w:after="0" w:afterAutospacing="0"/>
              <w:ind w:left="0" w:right="0"/>
              <w:jc w:val="center"/>
              <w:rPr>
                <w:rFonts w:hint="eastAsia" w:ascii="宋体" w:hAnsi="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14:paraId="0E0A53C1">
            <w:pPr>
              <w:keepNext w:val="0"/>
              <w:keepLines w:val="0"/>
              <w:suppressLineNumbers w:val="0"/>
              <w:spacing w:before="0" w:beforeAutospacing="0" w:after="0" w:afterAutospacing="0"/>
              <w:ind w:left="0" w:right="0"/>
              <w:jc w:val="center"/>
              <w:rPr>
                <w:rFonts w:hint="eastAsia" w:ascii="宋体" w:hAnsi="宋体" w:cs="宋体"/>
                <w:szCs w:val="21"/>
              </w:rPr>
            </w:pPr>
          </w:p>
        </w:tc>
      </w:tr>
      <w:tr w14:paraId="61E7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3AC26F12">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502BCBAC">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项目投标授权代表人</w:t>
            </w:r>
          </w:p>
        </w:tc>
        <w:tc>
          <w:tcPr>
            <w:tcW w:w="529" w:type="pct"/>
            <w:tcBorders>
              <w:top w:val="single" w:color="auto" w:sz="4" w:space="0"/>
              <w:left w:val="single" w:color="auto" w:sz="4" w:space="0"/>
              <w:bottom w:val="single" w:color="auto" w:sz="4" w:space="0"/>
              <w:right w:val="single" w:color="auto" w:sz="4" w:space="0"/>
            </w:tcBorders>
            <w:vAlign w:val="center"/>
          </w:tcPr>
          <w:p w14:paraId="3B315FEC">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14:paraId="7039C3C9">
            <w:pPr>
              <w:keepNext w:val="0"/>
              <w:keepLines w:val="0"/>
              <w:suppressLineNumbers w:val="0"/>
              <w:spacing w:before="0" w:beforeAutospacing="0" w:after="0" w:afterAutospacing="0"/>
              <w:ind w:left="0" w:right="0"/>
              <w:jc w:val="center"/>
              <w:rPr>
                <w:rFonts w:hint="eastAsia"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14:paraId="7318FB2A">
            <w:pPr>
              <w:keepNext w:val="0"/>
              <w:keepLines w:val="0"/>
              <w:suppressLineNumbers w:val="0"/>
              <w:spacing w:before="0" w:beforeAutospacing="0" w:after="0" w:afterAutospacing="0"/>
              <w:ind w:left="0" w:right="0"/>
              <w:jc w:val="center"/>
              <w:rPr>
                <w:rFonts w:hint="eastAsia" w:ascii="宋体" w:hAnsi="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14:paraId="206871EC">
            <w:pPr>
              <w:keepNext w:val="0"/>
              <w:keepLines w:val="0"/>
              <w:suppressLineNumbers w:val="0"/>
              <w:spacing w:before="0" w:beforeAutospacing="0" w:after="0" w:afterAutospacing="0"/>
              <w:ind w:left="0" w:right="0"/>
              <w:jc w:val="center"/>
              <w:rPr>
                <w:rFonts w:hint="eastAsia" w:ascii="宋体" w:hAnsi="宋体" w:cs="宋体"/>
                <w:szCs w:val="21"/>
              </w:rPr>
            </w:pPr>
          </w:p>
        </w:tc>
      </w:tr>
      <w:tr w14:paraId="4C6B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vAlign w:val="center"/>
          </w:tcPr>
          <w:p w14:paraId="7AF789DB">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lang w:bidi="ar"/>
              </w:rPr>
              <w:t>3</w:t>
            </w:r>
          </w:p>
        </w:tc>
        <w:tc>
          <w:tcPr>
            <w:tcW w:w="1275" w:type="pct"/>
            <w:gridSpan w:val="2"/>
            <w:tcBorders>
              <w:top w:val="single" w:color="auto" w:sz="4" w:space="0"/>
            </w:tcBorders>
            <w:vAlign w:val="center"/>
          </w:tcPr>
          <w:p w14:paraId="057082AF">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项目负责人</w:t>
            </w:r>
          </w:p>
        </w:tc>
        <w:tc>
          <w:tcPr>
            <w:tcW w:w="529" w:type="pct"/>
            <w:tcBorders>
              <w:top w:val="single" w:color="auto" w:sz="4" w:space="0"/>
            </w:tcBorders>
            <w:vAlign w:val="center"/>
          </w:tcPr>
          <w:p w14:paraId="48522B3F">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tcBorders>
              <w:top w:val="single" w:color="auto" w:sz="4" w:space="0"/>
            </w:tcBorders>
            <w:vAlign w:val="center"/>
          </w:tcPr>
          <w:p w14:paraId="1351E828">
            <w:pPr>
              <w:keepNext w:val="0"/>
              <w:keepLines w:val="0"/>
              <w:suppressLineNumbers w:val="0"/>
              <w:spacing w:before="0" w:beforeAutospacing="0" w:after="0" w:afterAutospacing="0"/>
              <w:ind w:left="0" w:right="0"/>
              <w:jc w:val="center"/>
              <w:rPr>
                <w:rFonts w:hint="eastAsia" w:ascii="宋体" w:hAnsi="宋体" w:cs="宋体"/>
                <w:szCs w:val="21"/>
              </w:rPr>
            </w:pPr>
          </w:p>
        </w:tc>
        <w:tc>
          <w:tcPr>
            <w:tcW w:w="838" w:type="pct"/>
            <w:tcBorders>
              <w:top w:val="single" w:color="auto" w:sz="4" w:space="0"/>
            </w:tcBorders>
            <w:vAlign w:val="center"/>
          </w:tcPr>
          <w:p w14:paraId="4843F8F5">
            <w:pPr>
              <w:keepNext w:val="0"/>
              <w:keepLines w:val="0"/>
              <w:suppressLineNumbers w:val="0"/>
              <w:spacing w:before="0" w:beforeAutospacing="0" w:after="0" w:afterAutospacing="0"/>
              <w:ind w:left="0" w:right="0"/>
              <w:jc w:val="center"/>
              <w:rPr>
                <w:rFonts w:hint="eastAsia" w:ascii="宋体" w:hAnsi="宋体" w:cs="宋体"/>
                <w:szCs w:val="21"/>
              </w:rPr>
            </w:pPr>
          </w:p>
        </w:tc>
        <w:tc>
          <w:tcPr>
            <w:tcW w:w="830" w:type="pct"/>
            <w:tcBorders>
              <w:top w:val="single" w:color="auto" w:sz="4" w:space="0"/>
            </w:tcBorders>
            <w:vAlign w:val="center"/>
          </w:tcPr>
          <w:p w14:paraId="72B2B235">
            <w:pPr>
              <w:keepNext w:val="0"/>
              <w:keepLines w:val="0"/>
              <w:suppressLineNumbers w:val="0"/>
              <w:spacing w:before="0" w:beforeAutospacing="0" w:after="0" w:afterAutospacing="0"/>
              <w:ind w:left="0" w:right="0"/>
              <w:jc w:val="center"/>
              <w:rPr>
                <w:rFonts w:hint="eastAsia" w:ascii="宋体" w:hAnsi="宋体" w:cs="宋体"/>
                <w:szCs w:val="21"/>
              </w:rPr>
            </w:pPr>
          </w:p>
        </w:tc>
      </w:tr>
      <w:tr w14:paraId="0A66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544C4AE0">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lang w:bidi="ar"/>
              </w:rPr>
              <w:t>4</w:t>
            </w:r>
          </w:p>
        </w:tc>
        <w:tc>
          <w:tcPr>
            <w:tcW w:w="1275" w:type="pct"/>
            <w:gridSpan w:val="2"/>
            <w:vAlign w:val="center"/>
          </w:tcPr>
          <w:p w14:paraId="0DE1510A">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主要技术人员</w:t>
            </w:r>
          </w:p>
        </w:tc>
        <w:tc>
          <w:tcPr>
            <w:tcW w:w="529" w:type="pct"/>
            <w:vAlign w:val="center"/>
          </w:tcPr>
          <w:p w14:paraId="17EEA20F">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vAlign w:val="center"/>
          </w:tcPr>
          <w:p w14:paraId="38CBE07B">
            <w:pPr>
              <w:keepNext w:val="0"/>
              <w:keepLines w:val="0"/>
              <w:suppressLineNumbers w:val="0"/>
              <w:spacing w:before="0" w:beforeAutospacing="0" w:after="0" w:afterAutospacing="0"/>
              <w:ind w:left="0" w:right="0"/>
              <w:jc w:val="center"/>
              <w:rPr>
                <w:rFonts w:hint="eastAsia" w:ascii="宋体" w:hAnsi="宋体" w:cs="宋体"/>
                <w:szCs w:val="21"/>
              </w:rPr>
            </w:pPr>
          </w:p>
        </w:tc>
        <w:tc>
          <w:tcPr>
            <w:tcW w:w="838" w:type="pct"/>
            <w:vAlign w:val="center"/>
          </w:tcPr>
          <w:p w14:paraId="006FB005">
            <w:pPr>
              <w:keepNext w:val="0"/>
              <w:keepLines w:val="0"/>
              <w:suppressLineNumbers w:val="0"/>
              <w:spacing w:before="0" w:beforeAutospacing="0" w:after="0" w:afterAutospacing="0"/>
              <w:ind w:left="0" w:right="0"/>
              <w:jc w:val="center"/>
              <w:rPr>
                <w:rFonts w:hint="eastAsia" w:ascii="宋体" w:hAnsi="宋体" w:cs="宋体"/>
                <w:szCs w:val="21"/>
              </w:rPr>
            </w:pPr>
          </w:p>
        </w:tc>
        <w:tc>
          <w:tcPr>
            <w:tcW w:w="830" w:type="pct"/>
            <w:vAlign w:val="center"/>
          </w:tcPr>
          <w:p w14:paraId="57C0616B">
            <w:pPr>
              <w:keepNext w:val="0"/>
              <w:keepLines w:val="0"/>
              <w:suppressLineNumbers w:val="0"/>
              <w:spacing w:before="0" w:beforeAutospacing="0" w:after="0" w:afterAutospacing="0"/>
              <w:ind w:left="0" w:right="0"/>
              <w:jc w:val="center"/>
              <w:rPr>
                <w:rFonts w:hint="eastAsia" w:ascii="宋体" w:hAnsi="宋体" w:cs="宋体"/>
                <w:szCs w:val="21"/>
              </w:rPr>
            </w:pPr>
          </w:p>
        </w:tc>
      </w:tr>
      <w:tr w14:paraId="3A37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0C4595F6">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lang w:bidi="ar"/>
              </w:rPr>
              <w:t>5</w:t>
            </w:r>
          </w:p>
        </w:tc>
        <w:tc>
          <w:tcPr>
            <w:tcW w:w="1275" w:type="pct"/>
            <w:gridSpan w:val="2"/>
            <w:vAlign w:val="center"/>
          </w:tcPr>
          <w:p w14:paraId="6496BB35">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投标文件编制人员</w:t>
            </w:r>
          </w:p>
        </w:tc>
        <w:tc>
          <w:tcPr>
            <w:tcW w:w="529" w:type="pct"/>
            <w:vAlign w:val="center"/>
          </w:tcPr>
          <w:p w14:paraId="0598CCFB">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vAlign w:val="center"/>
          </w:tcPr>
          <w:p w14:paraId="51FC5BCD">
            <w:pPr>
              <w:keepNext w:val="0"/>
              <w:keepLines w:val="0"/>
              <w:suppressLineNumbers w:val="0"/>
              <w:spacing w:before="0" w:beforeAutospacing="0" w:after="0" w:afterAutospacing="0"/>
              <w:ind w:left="0" w:right="0"/>
              <w:jc w:val="center"/>
              <w:rPr>
                <w:rFonts w:hint="eastAsia" w:ascii="宋体" w:hAnsi="宋体" w:cs="宋体"/>
                <w:szCs w:val="21"/>
              </w:rPr>
            </w:pPr>
          </w:p>
        </w:tc>
        <w:tc>
          <w:tcPr>
            <w:tcW w:w="838" w:type="pct"/>
            <w:vAlign w:val="center"/>
          </w:tcPr>
          <w:p w14:paraId="595A9E2A">
            <w:pPr>
              <w:keepNext w:val="0"/>
              <w:keepLines w:val="0"/>
              <w:suppressLineNumbers w:val="0"/>
              <w:spacing w:before="0" w:beforeAutospacing="0" w:after="0" w:afterAutospacing="0"/>
              <w:ind w:left="0" w:right="0"/>
              <w:jc w:val="center"/>
              <w:rPr>
                <w:rFonts w:hint="eastAsia" w:ascii="宋体" w:hAnsi="宋体" w:cs="宋体"/>
                <w:szCs w:val="21"/>
              </w:rPr>
            </w:pPr>
          </w:p>
        </w:tc>
        <w:tc>
          <w:tcPr>
            <w:tcW w:w="830" w:type="pct"/>
            <w:vAlign w:val="center"/>
          </w:tcPr>
          <w:p w14:paraId="0472912C">
            <w:pPr>
              <w:keepNext w:val="0"/>
              <w:keepLines w:val="0"/>
              <w:suppressLineNumbers w:val="0"/>
              <w:spacing w:before="0" w:beforeAutospacing="0" w:after="0" w:afterAutospacing="0"/>
              <w:ind w:left="0" w:right="0"/>
              <w:jc w:val="center"/>
              <w:rPr>
                <w:rFonts w:hint="eastAsia" w:ascii="宋体" w:hAnsi="宋体" w:cs="宋体"/>
                <w:szCs w:val="21"/>
              </w:rPr>
            </w:pPr>
          </w:p>
        </w:tc>
      </w:tr>
      <w:tr w14:paraId="45D5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0D63B9A6">
            <w:pPr>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b/>
                <w:bCs/>
                <w:szCs w:val="21"/>
              </w:rPr>
              <w:t>说明：同一职务有多人担任（如主要技术人员），应分行填写。</w:t>
            </w:r>
          </w:p>
        </w:tc>
      </w:tr>
      <w:tr w14:paraId="65E6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vAlign w:val="center"/>
          </w:tcPr>
          <w:p w14:paraId="385311FF">
            <w:pPr>
              <w:keepNext w:val="0"/>
              <w:keepLines w:val="0"/>
              <w:suppressLineNumbers w:val="0"/>
              <w:spacing w:before="0" w:beforeAutospacing="0" w:after="0" w:afterAutospacing="0"/>
              <w:ind w:left="0" w:right="0"/>
              <w:jc w:val="center"/>
              <w:rPr>
                <w:rFonts w:hint="eastAsia" w:ascii="宋体" w:hAnsi="宋体" w:cs="宋体"/>
                <w:b/>
                <w:bCs/>
                <w:szCs w:val="21"/>
              </w:rPr>
            </w:pPr>
            <w:r>
              <w:rPr>
                <w:rFonts w:hint="eastAsia" w:ascii="宋体" w:hAnsi="宋体" w:cs="宋体"/>
                <w:b/>
                <w:bCs/>
                <w:szCs w:val="21"/>
              </w:rPr>
              <w:t>投标（响应）供应商关联关系情况</w:t>
            </w:r>
          </w:p>
        </w:tc>
      </w:tr>
      <w:tr w14:paraId="46BE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14:paraId="4D94BA33">
            <w:pPr>
              <w:keepNext w:val="0"/>
              <w:keepLines w:val="0"/>
              <w:suppressLineNumbers w:val="0"/>
              <w:spacing w:before="0" w:beforeAutospacing="0" w:after="0" w:afterAutospacing="0"/>
              <w:ind w:left="0" w:right="0"/>
              <w:jc w:val="center"/>
              <w:rPr>
                <w:rFonts w:hint="eastAsia" w:ascii="宋体" w:hAnsi="宋体" w:cs="宋体"/>
                <w:szCs w:val="21"/>
                <w:lang w:bidi="ar"/>
              </w:rPr>
            </w:pPr>
            <w:r>
              <w:rPr>
                <w:rFonts w:hint="eastAsia" w:ascii="宋体" w:hAnsi="宋体" w:cs="宋体"/>
                <w:szCs w:val="21"/>
                <w:lang w:bidi="ar"/>
              </w:rPr>
              <w:t>序号</w:t>
            </w:r>
          </w:p>
        </w:tc>
        <w:tc>
          <w:tcPr>
            <w:tcW w:w="1275" w:type="pct"/>
            <w:gridSpan w:val="2"/>
            <w:tcBorders>
              <w:bottom w:val="single" w:color="auto" w:sz="4" w:space="0"/>
            </w:tcBorders>
            <w:vAlign w:val="center"/>
          </w:tcPr>
          <w:p w14:paraId="5DB8043A">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关联关系类型</w:t>
            </w:r>
          </w:p>
        </w:tc>
        <w:tc>
          <w:tcPr>
            <w:tcW w:w="971" w:type="pct"/>
            <w:gridSpan w:val="2"/>
            <w:tcBorders>
              <w:bottom w:val="single" w:color="auto" w:sz="4" w:space="0"/>
            </w:tcBorders>
            <w:vAlign w:val="center"/>
          </w:tcPr>
          <w:p w14:paraId="77870CC5">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关联主体名称</w:t>
            </w:r>
          </w:p>
        </w:tc>
        <w:tc>
          <w:tcPr>
            <w:tcW w:w="2340" w:type="pct"/>
            <w:gridSpan w:val="3"/>
            <w:tcBorders>
              <w:bottom w:val="single" w:color="auto" w:sz="4" w:space="0"/>
            </w:tcBorders>
            <w:vAlign w:val="center"/>
          </w:tcPr>
          <w:p w14:paraId="1301CA65">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备注</w:t>
            </w:r>
          </w:p>
        </w:tc>
      </w:tr>
      <w:tr w14:paraId="1CE7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0B2A1389">
            <w:pPr>
              <w:keepNext w:val="0"/>
              <w:keepLines w:val="0"/>
              <w:suppressLineNumbers w:val="0"/>
              <w:spacing w:before="0" w:beforeAutospacing="0" w:after="0" w:afterAutospacing="0"/>
              <w:ind w:left="0" w:right="0"/>
              <w:jc w:val="center"/>
              <w:rPr>
                <w:rFonts w:hint="eastAsia" w:ascii="宋体" w:hAnsi="宋体" w:cs="宋体"/>
                <w:szCs w:val="21"/>
                <w:lang w:bidi="ar"/>
              </w:rPr>
            </w:pPr>
            <w:r>
              <w:rPr>
                <w:rFonts w:hint="eastAsia" w:ascii="宋体" w:hAnsi="宋体" w:cs="宋体"/>
                <w:szCs w:val="21"/>
                <w:lang w:bidi="ar"/>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683C3713">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控股股东</w:t>
            </w:r>
          </w:p>
        </w:tc>
        <w:tc>
          <w:tcPr>
            <w:tcW w:w="971" w:type="pct"/>
            <w:gridSpan w:val="2"/>
            <w:tcBorders>
              <w:top w:val="single" w:color="auto" w:sz="4" w:space="0"/>
              <w:left w:val="single" w:color="auto" w:sz="4" w:space="0"/>
              <w:bottom w:val="single" w:color="auto" w:sz="4" w:space="0"/>
              <w:right w:val="single" w:color="auto" w:sz="4" w:space="0"/>
            </w:tcBorders>
            <w:vAlign w:val="center"/>
          </w:tcPr>
          <w:p w14:paraId="6919B89B">
            <w:pPr>
              <w:keepNext w:val="0"/>
              <w:keepLines w:val="0"/>
              <w:suppressLineNumbers w:val="0"/>
              <w:spacing w:before="0" w:beforeAutospacing="0" w:after="0" w:afterAutospacing="0"/>
              <w:ind w:left="0" w:right="0"/>
              <w:jc w:val="center"/>
              <w:rPr>
                <w:rFonts w:hint="eastAsia" w:ascii="宋体" w:hAnsi="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14:paraId="1ACBF0F2">
            <w:pPr>
              <w:keepNext w:val="0"/>
              <w:keepLines w:val="0"/>
              <w:suppressLineNumbers w:val="0"/>
              <w:snapToGrid w:val="0"/>
              <w:spacing w:before="0" w:beforeAutospacing="0" w:after="0" w:afterAutospacing="0"/>
              <w:ind w:left="0" w:right="0"/>
              <w:rPr>
                <w:rFonts w:hint="eastAsia" w:ascii="宋体" w:hAnsi="宋体" w:cs="宋体"/>
                <w:szCs w:val="21"/>
              </w:rPr>
            </w:pPr>
            <w:r>
              <w:rPr>
                <w:rFonts w:hint="eastAsia" w:ascii="宋体" w:hAnsi="宋体" w:cs="宋体"/>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368C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6D3D7DB6">
            <w:pPr>
              <w:keepNext w:val="0"/>
              <w:keepLines w:val="0"/>
              <w:suppressLineNumbers w:val="0"/>
              <w:spacing w:before="0" w:beforeAutospacing="0" w:after="0" w:afterAutospacing="0"/>
              <w:ind w:left="0" w:right="0"/>
              <w:jc w:val="center"/>
              <w:rPr>
                <w:rFonts w:hint="eastAsia" w:ascii="宋体" w:hAnsi="宋体" w:cs="宋体"/>
                <w:szCs w:val="21"/>
                <w:lang w:bidi="ar"/>
              </w:rPr>
            </w:pPr>
            <w:r>
              <w:rPr>
                <w:rFonts w:hint="eastAsia" w:ascii="宋体" w:hAnsi="宋体" w:cs="宋体"/>
                <w:szCs w:val="21"/>
                <w:lang w:bidi="ar"/>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6B0C9551">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管理关系</w:t>
            </w:r>
          </w:p>
        </w:tc>
        <w:tc>
          <w:tcPr>
            <w:tcW w:w="971" w:type="pct"/>
            <w:gridSpan w:val="2"/>
            <w:tcBorders>
              <w:top w:val="single" w:color="auto" w:sz="4" w:space="0"/>
              <w:left w:val="single" w:color="auto" w:sz="4" w:space="0"/>
              <w:bottom w:val="single" w:color="auto" w:sz="4" w:space="0"/>
              <w:right w:val="single" w:color="auto" w:sz="4" w:space="0"/>
            </w:tcBorders>
            <w:vAlign w:val="center"/>
          </w:tcPr>
          <w:p w14:paraId="5CC93B56">
            <w:pPr>
              <w:keepNext w:val="0"/>
              <w:keepLines w:val="0"/>
              <w:suppressLineNumbers w:val="0"/>
              <w:spacing w:before="0" w:beforeAutospacing="0" w:after="0" w:afterAutospacing="0"/>
              <w:ind w:left="0" w:right="0"/>
              <w:jc w:val="center"/>
              <w:rPr>
                <w:rFonts w:hint="eastAsia" w:ascii="宋体" w:hAnsi="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14:paraId="2EF63646">
            <w:pPr>
              <w:keepNext w:val="0"/>
              <w:keepLines w:val="0"/>
              <w:suppressLineNumbers w:val="0"/>
              <w:snapToGrid w:val="0"/>
              <w:spacing w:before="0" w:beforeAutospacing="0" w:after="0" w:afterAutospacing="0"/>
              <w:ind w:left="0" w:right="0"/>
              <w:rPr>
                <w:rFonts w:hint="eastAsia" w:ascii="宋体" w:hAnsi="宋体" w:cs="宋体"/>
                <w:szCs w:val="21"/>
              </w:rPr>
            </w:pPr>
            <w:r>
              <w:rPr>
                <w:rFonts w:hint="eastAsia" w:ascii="宋体" w:hAnsi="宋体" w:cs="宋体"/>
                <w:szCs w:val="21"/>
              </w:rPr>
              <w:t>指对投标（响应）供应商不具有出资持股关系，但对其存在管理关系的主体。</w:t>
            </w:r>
          </w:p>
        </w:tc>
      </w:tr>
      <w:tr w14:paraId="2546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14:paraId="55BBEB7E">
            <w:pPr>
              <w:keepNext w:val="0"/>
              <w:keepLines w:val="0"/>
              <w:suppressLineNumbers w:val="0"/>
              <w:snapToGrid w:val="0"/>
              <w:spacing w:before="0" w:beforeAutospacing="0" w:after="0" w:afterAutospacing="0"/>
              <w:ind w:left="0" w:right="0"/>
              <w:rPr>
                <w:rFonts w:hint="eastAsia" w:ascii="宋体" w:hAnsi="宋体" w:cs="宋体"/>
                <w:szCs w:val="21"/>
              </w:rPr>
            </w:pPr>
            <w:r>
              <w:rPr>
                <w:rFonts w:hint="eastAsia" w:ascii="宋体" w:hAnsi="宋体" w:cs="宋体"/>
                <w:b/>
                <w:bCs/>
                <w:szCs w:val="21"/>
              </w:rPr>
              <w:t>说明：同一关联关系类型有多个主体的，应分行填写。</w:t>
            </w:r>
          </w:p>
        </w:tc>
      </w:tr>
    </w:tbl>
    <w:p w14:paraId="0D9D2907">
      <w:pPr>
        <w:pStyle w:val="3"/>
        <w:jc w:val="center"/>
        <w:rPr>
          <w:rFonts w:hint="eastAsia" w:ascii="黑体" w:eastAsia="黑体"/>
          <w:sz w:val="24"/>
        </w:rPr>
      </w:pPr>
    </w:p>
    <w:p w14:paraId="613BBBB8">
      <w:pPr>
        <w:pStyle w:val="3"/>
        <w:jc w:val="center"/>
        <w:rPr>
          <w:rFonts w:hint="eastAsia" w:ascii="黑体" w:eastAsia="黑体"/>
          <w:sz w:val="24"/>
        </w:rPr>
      </w:pPr>
      <w:r>
        <w:rPr>
          <w:rFonts w:hint="eastAsia" w:ascii="黑体" w:eastAsia="黑体"/>
          <w:sz w:val="24"/>
        </w:rPr>
        <w:t>二、</w:t>
      </w:r>
      <w:bookmarkStart w:id="64" w:name="_Hlk72092499"/>
      <w:r>
        <w:rPr>
          <w:rFonts w:hint="eastAsia" w:ascii="黑体" w:eastAsia="黑体"/>
          <w:sz w:val="24"/>
        </w:rPr>
        <w:t>法定代表人（负责人）证明书</w:t>
      </w:r>
      <w:bookmarkEnd w:id="64"/>
    </w:p>
    <w:p w14:paraId="4B9D7B4D">
      <w:pPr>
        <w:rPr>
          <w:sz w:val="24"/>
        </w:rPr>
      </w:pPr>
    </w:p>
    <w:p w14:paraId="739023AB">
      <w:pPr>
        <w:spacing w:line="360" w:lineRule="auto"/>
        <w:ind w:firstLine="420" w:firstLineChars="200"/>
        <w:rPr>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7BB54A22">
      <w:pPr>
        <w:spacing w:line="360" w:lineRule="auto"/>
        <w:ind w:firstLine="420" w:firstLineChars="200"/>
        <w:rPr>
          <w:szCs w:val="21"/>
        </w:rPr>
      </w:pPr>
      <w:r>
        <w:rPr>
          <w:rFonts w:hint="eastAsia"/>
          <w:szCs w:val="21"/>
        </w:rPr>
        <w:t>特此证明。</w:t>
      </w:r>
    </w:p>
    <w:p w14:paraId="74E9F3A8">
      <w:pPr>
        <w:spacing w:line="360" w:lineRule="auto"/>
        <w:ind w:firstLine="420" w:firstLineChars="200"/>
        <w:rPr>
          <w:szCs w:val="21"/>
        </w:rPr>
      </w:pPr>
      <w:r>
        <w:rPr>
          <w:rFonts w:hint="eastAsia"/>
          <w:szCs w:val="21"/>
        </w:rPr>
        <w:t>说明：1、法定代表人为投标人（企业事业单位、国家机关、社会团体）的主要行政负责人。</w:t>
      </w:r>
    </w:p>
    <w:p w14:paraId="4E35773B">
      <w:pPr>
        <w:numPr>
          <w:ilvl w:val="0"/>
          <w:numId w:val="20"/>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14:paraId="742BEE5E">
      <w:pPr>
        <w:numPr>
          <w:ilvl w:val="0"/>
          <w:numId w:val="20"/>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14:paraId="5464877B">
      <w:pPr>
        <w:numPr>
          <w:ilvl w:val="0"/>
          <w:numId w:val="20"/>
        </w:numPr>
        <w:spacing w:line="360" w:lineRule="auto"/>
        <w:ind w:firstLine="420" w:firstLineChars="200"/>
        <w:rPr>
          <w:szCs w:val="21"/>
        </w:rPr>
      </w:pPr>
      <w:r>
        <w:rPr>
          <w:rFonts w:hint="eastAsia"/>
          <w:szCs w:val="21"/>
        </w:rPr>
        <w:t>内容必须填写真实、清楚，涂改无效，不得转让、买卖。</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BB0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2FAE52ED">
            <w:pPr>
              <w:keepNext w:val="0"/>
              <w:keepLines w:val="0"/>
              <w:suppressLineNumbers w:val="0"/>
              <w:spacing w:before="0" w:beforeAutospacing="0" w:after="0" w:afterAutospacing="0"/>
              <w:ind w:left="0" w:right="0"/>
              <w:jc w:val="center"/>
              <w:rPr>
                <w:rFonts w:hint="default"/>
              </w:rPr>
            </w:pPr>
            <w:r>
              <w:rPr>
                <w:rFonts w:hint="eastAsia"/>
              </w:rPr>
              <w:t>证件扫描件正面</w:t>
            </w:r>
          </w:p>
          <w:p w14:paraId="4DB00E63">
            <w:pPr>
              <w:pStyle w:val="18"/>
              <w:keepNext w:val="0"/>
              <w:keepLines w:val="0"/>
              <w:suppressLineNumbers w:val="0"/>
              <w:spacing w:before="0" w:beforeAutospacing="0" w:after="0" w:afterAutospacing="0"/>
              <w:ind w:left="0" w:right="0"/>
              <w:jc w:val="center"/>
              <w:rPr>
                <w:rFonts w:hint="default"/>
              </w:rPr>
            </w:pPr>
          </w:p>
          <w:p w14:paraId="7624BFF5">
            <w:pPr>
              <w:pStyle w:val="36"/>
              <w:keepNext w:val="0"/>
              <w:keepLines w:val="0"/>
              <w:suppressLineNumbers w:val="0"/>
              <w:spacing w:before="0" w:beforeAutospacing="0" w:after="0" w:afterAutospacing="0"/>
              <w:ind w:left="0" w:right="0"/>
              <w:jc w:val="center"/>
              <w:rPr>
                <w:rFonts w:hint="default"/>
              </w:rPr>
            </w:pPr>
          </w:p>
        </w:tc>
        <w:tc>
          <w:tcPr>
            <w:tcW w:w="4265" w:type="dxa"/>
          </w:tcPr>
          <w:p w14:paraId="7AE50B98">
            <w:pPr>
              <w:keepNext w:val="0"/>
              <w:keepLines w:val="0"/>
              <w:suppressLineNumbers w:val="0"/>
              <w:spacing w:before="0" w:beforeAutospacing="0" w:after="0" w:afterAutospacing="0"/>
              <w:ind w:left="0" w:right="0"/>
              <w:jc w:val="center"/>
              <w:rPr>
                <w:rFonts w:hint="default"/>
              </w:rPr>
            </w:pPr>
            <w:r>
              <w:rPr>
                <w:rFonts w:hint="eastAsia"/>
              </w:rPr>
              <w:t>证件扫描件反面</w:t>
            </w:r>
          </w:p>
          <w:p w14:paraId="3FFAAE25">
            <w:pPr>
              <w:pStyle w:val="18"/>
              <w:keepNext w:val="0"/>
              <w:keepLines w:val="0"/>
              <w:suppressLineNumbers w:val="0"/>
              <w:spacing w:before="0" w:beforeAutospacing="0" w:after="0" w:afterAutospacing="0"/>
              <w:ind w:left="0" w:right="0"/>
              <w:jc w:val="center"/>
              <w:rPr>
                <w:rFonts w:hint="default"/>
              </w:rPr>
            </w:pPr>
          </w:p>
          <w:p w14:paraId="0EF798E3">
            <w:pPr>
              <w:pStyle w:val="36"/>
              <w:keepNext w:val="0"/>
              <w:keepLines w:val="0"/>
              <w:suppressLineNumbers w:val="0"/>
              <w:spacing w:before="0" w:beforeAutospacing="0" w:after="0" w:afterAutospacing="0"/>
              <w:ind w:left="0" w:right="0"/>
              <w:jc w:val="center"/>
              <w:rPr>
                <w:rFonts w:hint="default"/>
              </w:rPr>
            </w:pPr>
          </w:p>
        </w:tc>
      </w:tr>
    </w:tbl>
    <w:p w14:paraId="5DCC63E7">
      <w:pPr>
        <w:pStyle w:val="493"/>
        <w:rPr>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05217D86">
      <w:pPr>
        <w:rPr>
          <w:sz w:val="24"/>
        </w:rPr>
      </w:pPr>
    </w:p>
    <w:p w14:paraId="70D920AB">
      <w:pPr>
        <w:pStyle w:val="3"/>
        <w:spacing w:before="120" w:after="120"/>
        <w:jc w:val="center"/>
        <w:rPr>
          <w:rFonts w:hint="eastAsia" w:ascii="黑体" w:eastAsia="黑体"/>
          <w:sz w:val="24"/>
        </w:rPr>
      </w:pPr>
      <w:r>
        <w:rPr>
          <w:rFonts w:hint="eastAsia" w:ascii="黑体" w:eastAsia="黑体"/>
          <w:sz w:val="24"/>
        </w:rPr>
        <w:t>三、投标文件签署授权委托书</w:t>
      </w:r>
    </w:p>
    <w:p w14:paraId="54C739A7">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79FBAD7B">
      <w:pPr>
        <w:spacing w:line="360" w:lineRule="auto"/>
        <w:ind w:firstLine="420" w:firstLineChars="200"/>
        <w:rPr>
          <w:szCs w:val="21"/>
        </w:rPr>
      </w:pPr>
      <w:r>
        <w:rPr>
          <w:rFonts w:hint="eastAsia"/>
          <w:szCs w:val="21"/>
        </w:rPr>
        <w:t>代理人无转委托权，特此委托。</w:t>
      </w:r>
    </w:p>
    <w:p w14:paraId="473B4484">
      <w:pPr>
        <w:spacing w:line="360" w:lineRule="auto"/>
        <w:ind w:firstLine="420" w:firstLineChars="200"/>
        <w:rPr>
          <w:szCs w:val="21"/>
        </w:rPr>
      </w:pPr>
    </w:p>
    <w:p w14:paraId="47C0471B">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3674B7C4">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36BAB5B1">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14:paraId="33D918D3">
      <w:pPr>
        <w:spacing w:line="360" w:lineRule="auto"/>
        <w:ind w:firstLine="420" w:firstLineChars="20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2A9A221B">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156C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761B3C46">
            <w:pPr>
              <w:keepNext w:val="0"/>
              <w:keepLines w:val="0"/>
              <w:suppressLineNumbers w:val="0"/>
              <w:spacing w:before="0" w:beforeAutospacing="0" w:after="0" w:afterAutospacing="0"/>
              <w:ind w:left="0" w:right="0"/>
              <w:jc w:val="center"/>
              <w:rPr>
                <w:rFonts w:hint="default"/>
              </w:rPr>
            </w:pPr>
            <w:r>
              <w:rPr>
                <w:rFonts w:hint="eastAsia"/>
              </w:rPr>
              <w:t>证件扫描件正面</w:t>
            </w:r>
          </w:p>
          <w:p w14:paraId="0DE43ACD">
            <w:pPr>
              <w:pStyle w:val="18"/>
              <w:keepNext w:val="0"/>
              <w:keepLines w:val="0"/>
              <w:suppressLineNumbers w:val="0"/>
              <w:spacing w:before="0" w:beforeAutospacing="0" w:after="0" w:afterAutospacing="0"/>
              <w:ind w:left="0" w:right="0"/>
              <w:jc w:val="center"/>
              <w:rPr>
                <w:rFonts w:hint="default"/>
              </w:rPr>
            </w:pPr>
          </w:p>
          <w:p w14:paraId="07B07735">
            <w:pPr>
              <w:pStyle w:val="36"/>
              <w:keepNext w:val="0"/>
              <w:keepLines w:val="0"/>
              <w:suppressLineNumbers w:val="0"/>
              <w:spacing w:before="0" w:beforeAutospacing="0" w:after="0" w:afterAutospacing="0"/>
              <w:ind w:left="0" w:right="0"/>
              <w:jc w:val="center"/>
              <w:rPr>
                <w:rFonts w:hint="default"/>
              </w:rPr>
            </w:pPr>
          </w:p>
        </w:tc>
        <w:tc>
          <w:tcPr>
            <w:tcW w:w="4265" w:type="dxa"/>
          </w:tcPr>
          <w:p w14:paraId="17D9F097">
            <w:pPr>
              <w:keepNext w:val="0"/>
              <w:keepLines w:val="0"/>
              <w:suppressLineNumbers w:val="0"/>
              <w:spacing w:before="0" w:beforeAutospacing="0" w:after="0" w:afterAutospacing="0"/>
              <w:ind w:left="0" w:right="0"/>
              <w:jc w:val="center"/>
              <w:rPr>
                <w:rFonts w:hint="default"/>
              </w:rPr>
            </w:pPr>
            <w:r>
              <w:rPr>
                <w:rFonts w:hint="eastAsia"/>
              </w:rPr>
              <w:t>证件扫描件反面</w:t>
            </w:r>
          </w:p>
          <w:p w14:paraId="1EEF9D82">
            <w:pPr>
              <w:pStyle w:val="18"/>
              <w:keepNext w:val="0"/>
              <w:keepLines w:val="0"/>
              <w:suppressLineNumbers w:val="0"/>
              <w:spacing w:before="0" w:beforeAutospacing="0" w:after="0" w:afterAutospacing="0"/>
              <w:ind w:left="0" w:right="0"/>
              <w:jc w:val="center"/>
              <w:rPr>
                <w:rFonts w:hint="default"/>
              </w:rPr>
            </w:pPr>
          </w:p>
          <w:p w14:paraId="697A5718">
            <w:pPr>
              <w:pStyle w:val="36"/>
              <w:keepNext w:val="0"/>
              <w:keepLines w:val="0"/>
              <w:suppressLineNumbers w:val="0"/>
              <w:spacing w:before="0" w:beforeAutospacing="0" w:after="0" w:afterAutospacing="0"/>
              <w:ind w:left="0" w:right="0"/>
              <w:jc w:val="center"/>
              <w:rPr>
                <w:rFonts w:hint="default"/>
              </w:rPr>
            </w:pPr>
          </w:p>
        </w:tc>
      </w:tr>
    </w:tbl>
    <w:p w14:paraId="72757D63">
      <w:pPr>
        <w:rPr>
          <w:rFonts w:ascii="Calibri" w:hAnsi="Calibri"/>
          <w:szCs w:val="22"/>
        </w:rPr>
      </w:pPr>
      <w:r>
        <w:rPr>
          <w:rFonts w:hint="eastAsia" w:ascii="黑体" w:hAnsi="黑体" w:eastAsia="黑体" w:cs="黑体"/>
          <w:b/>
          <w:bCs/>
          <w:sz w:val="24"/>
        </w:rPr>
        <w:t>温馨提示</w:t>
      </w:r>
      <w:r>
        <w:rPr>
          <w:rFonts w:hint="eastAsia" w:ascii="黑体" w:hAnsi="黑体" w:eastAsia="黑体" w:cs="黑体"/>
          <w:sz w:val="24"/>
        </w:rPr>
        <w:t>：</w:t>
      </w:r>
      <w:r>
        <w:rPr>
          <w:rFonts w:hint="eastAsia"/>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20583714">
      <w:pPr>
        <w:pStyle w:val="3"/>
        <w:jc w:val="center"/>
        <w:rPr>
          <w:rFonts w:hint="eastAsia" w:ascii="黑体" w:eastAsia="黑体"/>
          <w:kern w:val="0"/>
          <w:sz w:val="24"/>
          <w:szCs w:val="24"/>
        </w:rPr>
      </w:pPr>
    </w:p>
    <w:p w14:paraId="7345B455">
      <w:pPr>
        <w:rPr>
          <w:rFonts w:ascii="黑体" w:eastAsia="黑体"/>
          <w:kern w:val="0"/>
          <w:sz w:val="24"/>
        </w:rPr>
      </w:pPr>
      <w:r>
        <w:rPr>
          <w:rFonts w:hint="eastAsia" w:ascii="黑体" w:eastAsia="黑体"/>
          <w:kern w:val="0"/>
          <w:sz w:val="24"/>
        </w:rPr>
        <w:br w:type="page"/>
      </w:r>
    </w:p>
    <w:p w14:paraId="54241850">
      <w:pPr>
        <w:pStyle w:val="3"/>
        <w:jc w:val="center"/>
        <w:rPr>
          <w:rFonts w:hint="eastAsia" w:ascii="黑体" w:eastAsia="黑体"/>
          <w:kern w:val="0"/>
          <w:sz w:val="24"/>
          <w:szCs w:val="24"/>
        </w:rPr>
      </w:pPr>
      <w:r>
        <w:rPr>
          <w:rFonts w:hint="eastAsia" w:ascii="黑体" w:eastAsia="黑体"/>
          <w:kern w:val="0"/>
          <w:sz w:val="24"/>
          <w:szCs w:val="24"/>
        </w:rPr>
        <w:t>四、</w:t>
      </w:r>
      <w:bookmarkStart w:id="65" w:name="_Hlk72092634"/>
      <w:r>
        <w:rPr>
          <w:rFonts w:hint="eastAsia" w:ascii="黑体" w:eastAsia="黑体"/>
          <w:kern w:val="0"/>
          <w:sz w:val="24"/>
          <w:szCs w:val="24"/>
        </w:rPr>
        <w:t>实质性条款响应情况表</w:t>
      </w:r>
      <w:bookmarkEnd w:id="65"/>
    </w:p>
    <w:tbl>
      <w:tblPr>
        <w:tblStyle w:val="43"/>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915"/>
        <w:gridCol w:w="1337"/>
        <w:gridCol w:w="1842"/>
        <w:gridCol w:w="1738"/>
      </w:tblGrid>
      <w:tr w14:paraId="7A75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05" w:type="dxa"/>
            <w:vAlign w:val="center"/>
          </w:tcPr>
          <w:p w14:paraId="07C5A39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bookmarkStart w:id="66" w:name="_Hlk72092651"/>
            <w:r>
              <w:rPr>
                <w:rFonts w:hint="eastAsia" w:ascii="宋体" w:hAnsi="宋体"/>
                <w:kern w:val="0"/>
                <w:szCs w:val="21"/>
              </w:rPr>
              <w:t>序号</w:t>
            </w:r>
          </w:p>
        </w:tc>
        <w:tc>
          <w:tcPr>
            <w:tcW w:w="2915" w:type="dxa"/>
            <w:vAlign w:val="center"/>
          </w:tcPr>
          <w:p w14:paraId="442161E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ascii="宋体" w:hAnsi="宋体"/>
                <w:kern w:val="0"/>
                <w:szCs w:val="21"/>
              </w:rPr>
              <w:t>实质性条款具体内容</w:t>
            </w:r>
          </w:p>
        </w:tc>
        <w:tc>
          <w:tcPr>
            <w:tcW w:w="1337" w:type="dxa"/>
            <w:vAlign w:val="center"/>
          </w:tcPr>
          <w:p w14:paraId="4FB5751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rPr>
              <w:t>投标响应</w:t>
            </w:r>
          </w:p>
        </w:tc>
        <w:tc>
          <w:tcPr>
            <w:tcW w:w="1842" w:type="dxa"/>
            <w:vAlign w:val="center"/>
          </w:tcPr>
          <w:p w14:paraId="7F58F61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rPr>
              <w:t>偏离情况</w:t>
            </w:r>
          </w:p>
        </w:tc>
        <w:tc>
          <w:tcPr>
            <w:tcW w:w="1738" w:type="dxa"/>
            <w:vAlign w:val="center"/>
          </w:tcPr>
          <w:p w14:paraId="12E51C2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rPr>
              <w:t>说明</w:t>
            </w:r>
          </w:p>
        </w:tc>
      </w:tr>
      <w:bookmarkEnd w:id="66"/>
      <w:tr w14:paraId="00DC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769EB74D">
            <w:pPr>
              <w:keepNext w:val="0"/>
              <w:keepLines w:val="0"/>
              <w:suppressLineNumbers w:val="0"/>
              <w:adjustRightInd w:val="0"/>
              <w:snapToGrid w:val="0"/>
              <w:spacing w:before="0" w:beforeAutospacing="0" w:after="0" w:afterAutospacing="0" w:line="360" w:lineRule="auto"/>
              <w:ind w:left="0" w:right="0"/>
              <w:rPr>
                <w:rFonts w:hint="eastAsia" w:ascii="宋体" w:hAnsi="宋体"/>
                <w:kern w:val="0"/>
                <w:szCs w:val="21"/>
              </w:rPr>
            </w:pPr>
            <w:r>
              <w:rPr>
                <w:rFonts w:hint="eastAsia" w:ascii="宋体" w:hAnsi="宋体"/>
                <w:kern w:val="0"/>
                <w:szCs w:val="21"/>
              </w:rPr>
              <w:t>1</w:t>
            </w:r>
          </w:p>
        </w:tc>
        <w:tc>
          <w:tcPr>
            <w:tcW w:w="2915" w:type="dxa"/>
            <w:vAlign w:val="center"/>
          </w:tcPr>
          <w:p w14:paraId="41EB082C">
            <w:pPr>
              <w:keepNext w:val="0"/>
              <w:keepLines w:val="0"/>
              <w:suppressLineNumbers w:val="0"/>
              <w:adjustRightInd w:val="0"/>
              <w:snapToGrid w:val="0"/>
              <w:spacing w:before="0" w:beforeAutospacing="0" w:after="0" w:afterAutospacing="0" w:line="360" w:lineRule="auto"/>
              <w:ind w:left="0" w:right="0"/>
              <w:jc w:val="center"/>
              <w:rPr>
                <w:rFonts w:hint="eastAsia" w:hAnsi="宋体"/>
                <w:kern w:val="0"/>
                <w:szCs w:val="21"/>
              </w:rPr>
            </w:pPr>
            <w:r>
              <w:rPr>
                <w:rFonts w:hint="eastAsia" w:hAnsi="宋体"/>
                <w:kern w:val="0"/>
                <w:szCs w:val="21"/>
              </w:rPr>
              <w:t>具体以采购文件第三章 用户需求书中带“★”的需求项为准。</w:t>
            </w:r>
          </w:p>
        </w:tc>
        <w:tc>
          <w:tcPr>
            <w:tcW w:w="1337" w:type="dxa"/>
          </w:tcPr>
          <w:p w14:paraId="70A55BEB">
            <w:pPr>
              <w:keepNext w:val="0"/>
              <w:keepLines w:val="0"/>
              <w:suppressLineNumbers w:val="0"/>
              <w:adjustRightInd w:val="0"/>
              <w:snapToGrid w:val="0"/>
              <w:spacing w:before="0" w:beforeAutospacing="0" w:after="0" w:afterAutospacing="0" w:line="360" w:lineRule="auto"/>
              <w:ind w:left="0" w:right="0"/>
              <w:rPr>
                <w:rFonts w:hint="eastAsia" w:ascii="宋体" w:hAnsi="宋体"/>
                <w:kern w:val="0"/>
                <w:szCs w:val="21"/>
              </w:rPr>
            </w:pPr>
          </w:p>
        </w:tc>
        <w:tc>
          <w:tcPr>
            <w:tcW w:w="1842" w:type="dxa"/>
          </w:tcPr>
          <w:p w14:paraId="12C441B5">
            <w:pPr>
              <w:keepNext w:val="0"/>
              <w:keepLines w:val="0"/>
              <w:suppressLineNumbers w:val="0"/>
              <w:adjustRightInd w:val="0"/>
              <w:snapToGrid w:val="0"/>
              <w:spacing w:before="0" w:beforeAutospacing="0" w:after="0" w:afterAutospacing="0" w:line="360" w:lineRule="auto"/>
              <w:ind w:left="0" w:right="0"/>
              <w:rPr>
                <w:rFonts w:hint="eastAsia" w:ascii="宋体" w:hAnsi="宋体"/>
                <w:kern w:val="0"/>
                <w:szCs w:val="21"/>
              </w:rPr>
            </w:pPr>
          </w:p>
        </w:tc>
        <w:tc>
          <w:tcPr>
            <w:tcW w:w="1738" w:type="dxa"/>
          </w:tcPr>
          <w:p w14:paraId="0E196FA2">
            <w:pPr>
              <w:keepNext w:val="0"/>
              <w:keepLines w:val="0"/>
              <w:suppressLineNumbers w:val="0"/>
              <w:adjustRightInd w:val="0"/>
              <w:snapToGrid w:val="0"/>
              <w:spacing w:before="0" w:beforeAutospacing="0" w:after="0" w:afterAutospacing="0" w:line="360" w:lineRule="auto"/>
              <w:ind w:left="0" w:right="0"/>
              <w:rPr>
                <w:rFonts w:hint="eastAsia" w:ascii="宋体" w:hAnsi="宋体"/>
                <w:kern w:val="0"/>
                <w:szCs w:val="21"/>
              </w:rPr>
            </w:pPr>
          </w:p>
        </w:tc>
      </w:tr>
    </w:tbl>
    <w:p w14:paraId="207AEB13">
      <w:pPr>
        <w:ind w:firstLine="482" w:firstLineChars="200"/>
        <w:rPr>
          <w:b/>
          <w:sz w:val="24"/>
          <w:szCs w:val="22"/>
        </w:rPr>
      </w:pPr>
      <w:r>
        <w:rPr>
          <w:rFonts w:hint="eastAsia"/>
          <w:b/>
          <w:sz w:val="24"/>
          <w:szCs w:val="22"/>
        </w:rPr>
        <w:t>注：1.上表所列各项均为不可负偏离条款。</w:t>
      </w:r>
    </w:p>
    <w:p w14:paraId="26990322">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5719FC6A">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1AF55486">
      <w:pPr>
        <w:ind w:firstLine="482" w:firstLineChars="200"/>
        <w:rPr>
          <w:b/>
          <w:sz w:val="24"/>
        </w:rPr>
      </w:pPr>
      <w:r>
        <w:rPr>
          <w:b/>
          <w:sz w:val="24"/>
        </w:rPr>
        <w:t>4.</w:t>
      </w:r>
      <w:r>
        <w:rPr>
          <w:rFonts w:hint="eastAsia"/>
          <w:b/>
          <w:sz w:val="24"/>
        </w:rPr>
        <w:t>评审委员会有权对投标响应情况作出判断（作出评审结论）。</w:t>
      </w:r>
    </w:p>
    <w:p w14:paraId="50B86AF3">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3"/>
    </w:p>
    <w:p w14:paraId="4DEBD70D">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6BA5E157"/>
    <w:p w14:paraId="55C2BBB8">
      <w:pPr>
        <w:pStyle w:val="3"/>
        <w:jc w:val="center"/>
        <w:rPr>
          <w:rFonts w:hint="eastAsia" w:ascii="黑体" w:eastAsia="黑体"/>
          <w:sz w:val="24"/>
          <w:szCs w:val="24"/>
        </w:rPr>
      </w:pPr>
      <w:r>
        <w:rPr>
          <w:rFonts w:hint="eastAsia" w:ascii="黑体" w:eastAsia="黑体"/>
          <w:sz w:val="24"/>
          <w:szCs w:val="24"/>
        </w:rPr>
        <w:t>五、技术要求偏离表</w:t>
      </w:r>
    </w:p>
    <w:tbl>
      <w:tblPr>
        <w:tblStyle w:val="43"/>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383"/>
        <w:gridCol w:w="2913"/>
        <w:gridCol w:w="1896"/>
        <w:gridCol w:w="948"/>
        <w:gridCol w:w="948"/>
      </w:tblGrid>
      <w:tr w14:paraId="22C9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shd w:val="clear" w:color="auto" w:fill="auto"/>
            <w:noWrap/>
            <w:vAlign w:val="center"/>
          </w:tcPr>
          <w:p w14:paraId="2AA8581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bookmarkStart w:id="67" w:name="_Hlk72095977"/>
            <w:r>
              <w:rPr>
                <w:rFonts w:hint="eastAsia" w:ascii="宋体" w:hAnsi="宋体" w:cs="宋体"/>
                <w:szCs w:val="21"/>
              </w:rPr>
              <w:t>序号</w:t>
            </w:r>
          </w:p>
        </w:tc>
        <w:tc>
          <w:tcPr>
            <w:tcW w:w="1383" w:type="dxa"/>
            <w:shd w:val="clear" w:color="auto" w:fill="auto"/>
            <w:noWrap/>
            <w:vAlign w:val="center"/>
          </w:tcPr>
          <w:p w14:paraId="17482075">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货物名称</w:t>
            </w:r>
          </w:p>
        </w:tc>
        <w:tc>
          <w:tcPr>
            <w:tcW w:w="2913" w:type="dxa"/>
            <w:shd w:val="clear" w:color="auto" w:fill="auto"/>
            <w:noWrap/>
            <w:vAlign w:val="center"/>
          </w:tcPr>
          <w:p w14:paraId="4511E18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招标技术要求</w:t>
            </w:r>
          </w:p>
        </w:tc>
        <w:tc>
          <w:tcPr>
            <w:tcW w:w="1896" w:type="dxa"/>
            <w:shd w:val="clear" w:color="auto" w:fill="auto"/>
            <w:noWrap/>
            <w:vAlign w:val="center"/>
          </w:tcPr>
          <w:p w14:paraId="5A05B449">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szCs w:val="21"/>
              </w:rPr>
              <w:t>投标技术响应</w:t>
            </w:r>
          </w:p>
        </w:tc>
        <w:tc>
          <w:tcPr>
            <w:tcW w:w="948" w:type="dxa"/>
            <w:shd w:val="clear" w:color="auto" w:fill="auto"/>
            <w:noWrap/>
            <w:vAlign w:val="center"/>
          </w:tcPr>
          <w:p w14:paraId="27E22FDC">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szCs w:val="21"/>
              </w:rPr>
              <w:t>偏离情况</w:t>
            </w:r>
          </w:p>
        </w:tc>
        <w:tc>
          <w:tcPr>
            <w:tcW w:w="948" w:type="dxa"/>
            <w:shd w:val="clear" w:color="auto" w:fill="auto"/>
            <w:noWrap/>
            <w:vAlign w:val="center"/>
          </w:tcPr>
          <w:p w14:paraId="2B52CE82">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szCs w:val="21"/>
              </w:rPr>
              <w:t>说明</w:t>
            </w:r>
          </w:p>
        </w:tc>
      </w:tr>
      <w:tr w14:paraId="5839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restart"/>
            <w:shd w:val="clear" w:color="auto" w:fill="auto"/>
            <w:noWrap/>
            <w:vAlign w:val="center"/>
          </w:tcPr>
          <w:p w14:paraId="199A477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restart"/>
            <w:shd w:val="clear" w:color="auto" w:fill="auto"/>
            <w:noWrap/>
            <w:vAlign w:val="center"/>
          </w:tcPr>
          <w:p w14:paraId="4EB3FF3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3FAF752D">
            <w:pPr>
              <w:keepNext w:val="0"/>
              <w:keepLines w:val="0"/>
              <w:suppressLineNumbers w:val="0"/>
              <w:spacing w:before="0" w:beforeAutospacing="0" w:after="0" w:afterAutospacing="0" w:line="360" w:lineRule="exact"/>
              <w:ind w:left="420" w:leftChars="200" w:right="0" w:firstLine="105" w:firstLineChars="50"/>
              <w:rPr>
                <w:rFonts w:hint="eastAsia" w:ascii="宋体" w:hAnsi="宋体" w:cs="宋体"/>
                <w:szCs w:val="21"/>
              </w:rPr>
            </w:pPr>
          </w:p>
        </w:tc>
        <w:tc>
          <w:tcPr>
            <w:tcW w:w="1896" w:type="dxa"/>
            <w:shd w:val="clear" w:color="auto" w:fill="auto"/>
            <w:noWrap/>
            <w:vAlign w:val="center"/>
          </w:tcPr>
          <w:p w14:paraId="492F1DAF">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c>
          <w:tcPr>
            <w:tcW w:w="948" w:type="dxa"/>
            <w:shd w:val="clear" w:color="auto" w:fill="auto"/>
            <w:noWrap/>
            <w:vAlign w:val="center"/>
          </w:tcPr>
          <w:p w14:paraId="2F92905A">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c>
          <w:tcPr>
            <w:tcW w:w="948" w:type="dxa"/>
            <w:shd w:val="clear" w:color="auto" w:fill="auto"/>
            <w:noWrap/>
            <w:vAlign w:val="center"/>
          </w:tcPr>
          <w:p w14:paraId="24B89501">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r>
      <w:tr w14:paraId="0DB2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noWrap/>
            <w:vAlign w:val="center"/>
          </w:tcPr>
          <w:p w14:paraId="1E9CA907">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noWrap/>
            <w:vAlign w:val="center"/>
          </w:tcPr>
          <w:p w14:paraId="7B0D34D3">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4B08733">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433F95CE">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962D75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FEC778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2788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noWrap/>
            <w:vAlign w:val="center"/>
          </w:tcPr>
          <w:p w14:paraId="0E86CD9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noWrap/>
            <w:vAlign w:val="center"/>
          </w:tcPr>
          <w:p w14:paraId="6488F563">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753ABC44">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9556CB8">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0D38BDF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4DC6E84">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488C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40F7389B">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67435B5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E14DC73">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2159DD34">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0F87DAED">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9E67110">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766E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4EDD555C">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1C2077C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249EC59C">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7A0FC8B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A94D70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B0ABFD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1C6A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150272E3">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19FE360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86B4990">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56F1FACB">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1C2F23A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777725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0E4B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3926522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0E2B5C92">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308B06CF">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0910EC3">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37F02755">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1321AF3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0593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1B2535A">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3134621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1A4B1C7">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644F575">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E89855B">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CCDFDE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091B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7F572872">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4DB7A2F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8F29F0A">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2ECC11E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5D7D1DD">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39AEA4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2550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71759D7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48265337">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01534A5D">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73587C0B">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49B9CE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00DFD08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500F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1071B21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74C8FD78">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5DB0CB22">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26DB430">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5A6714D">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D5564F8">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4434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7DEE5575">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3B516FA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3E342C5C">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72969A1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16A247F0">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AAE851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5DDD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3E2CA6D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5208E1B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251D921E">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7A7B45A9">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662C7082">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51E51ED7">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2E9B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2B05E9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432A62AF">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C18AF83">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A12208F">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4780456">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1B4B30C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7867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15ABEFC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001B583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3413765E">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9B0C5D2">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3DA1F111">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08A9E29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7E48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296DB8F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715D7E6B">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2AC7D2E5">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4EF27721">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6D101F5">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B44ED18">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4A11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3FF3A09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00637EDF">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0406DA3A">
            <w:pPr>
              <w:pStyle w:val="3"/>
              <w:keepNext w:val="0"/>
              <w:keepLines w:val="0"/>
              <w:suppressLineNumbers w:val="0"/>
              <w:adjustRightInd w:val="0"/>
              <w:snapToGrid w:val="0"/>
              <w:spacing w:before="0" w:beforeAutospacing="0" w:after="0" w:afterAutospacing="0"/>
              <w:ind w:left="720" w:right="0" w:hanging="720"/>
              <w:jc w:val="left"/>
              <w:rPr>
                <w:rFonts w:hint="eastAsia" w:cs="宋体"/>
                <w:color w:val="000000"/>
                <w:szCs w:val="21"/>
              </w:rPr>
            </w:pPr>
          </w:p>
        </w:tc>
        <w:tc>
          <w:tcPr>
            <w:tcW w:w="1896" w:type="dxa"/>
            <w:shd w:val="clear" w:color="auto" w:fill="auto"/>
            <w:noWrap/>
            <w:vAlign w:val="center"/>
          </w:tcPr>
          <w:p w14:paraId="15EE92CE">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C829F5E">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3A28CB74">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2DA0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2C805BC2">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534CE1B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77B1054">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572E35DD">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2D546D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B0B5AA1">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4A4C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9E5AE5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4B5DC659">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7A84F8A2">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5A4359F5">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64DEF6A0">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58A8442C">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5272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65E6A63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5C844EB2">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ADDFEE7">
            <w:pPr>
              <w:keepNext w:val="0"/>
              <w:keepLines w:val="0"/>
              <w:suppressLineNumbers w:val="0"/>
              <w:spacing w:before="0" w:beforeAutospacing="0" w:after="0" w:afterAutospacing="0" w:line="360" w:lineRule="exact"/>
              <w:ind w:left="420" w:leftChars="200" w:right="0" w:firstLine="105" w:firstLineChars="50"/>
              <w:rPr>
                <w:rFonts w:hint="eastAsia" w:ascii="宋体" w:hAnsi="宋体" w:cs="宋体"/>
                <w:szCs w:val="21"/>
              </w:rPr>
            </w:pPr>
          </w:p>
        </w:tc>
        <w:tc>
          <w:tcPr>
            <w:tcW w:w="1896" w:type="dxa"/>
            <w:shd w:val="clear" w:color="auto" w:fill="auto"/>
            <w:noWrap/>
            <w:vAlign w:val="center"/>
          </w:tcPr>
          <w:p w14:paraId="5188A3FB">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c>
          <w:tcPr>
            <w:tcW w:w="948" w:type="dxa"/>
            <w:shd w:val="clear" w:color="auto" w:fill="auto"/>
            <w:noWrap/>
            <w:vAlign w:val="center"/>
          </w:tcPr>
          <w:p w14:paraId="0207B9A4">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c>
          <w:tcPr>
            <w:tcW w:w="948" w:type="dxa"/>
            <w:shd w:val="clear" w:color="auto" w:fill="auto"/>
            <w:noWrap/>
            <w:vAlign w:val="center"/>
          </w:tcPr>
          <w:p w14:paraId="7D6979CD">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r>
      <w:tr w14:paraId="5AFF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166EF83A">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3A3589F5">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32FA6162">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4A76BD3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8461EA1">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511E80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586A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247C4D9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4FB8822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7464E648">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5DE33E22">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1D3806E">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9F2F33F">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720F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C6252D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3311B04B">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8A4F614">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7B812605">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49C75F8">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166712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7D0A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602B2C6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7352D6CF">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6127F4DB">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54E95B03">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175559AF">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405E4F03">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4097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4E2912B">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02E7E11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4B2C0E4">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289EB1A4">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6B119DA4">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1DD99E35">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737E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7EE7E99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21F8532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3C07FFF">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5AFB0A6A">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6BCB67DC">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755C5D94">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0A98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65154509">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7C06460E">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7BA747C">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7137403">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056956B">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4AF0D2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684C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1270D2DF">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0D566199">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5EAE0FB">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5EC5D213">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6191B63">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C3C81C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0EC3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57A4BE6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6628ED79">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5313B661">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36487F48">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1647B10B">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575FBC33">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35F5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AE08B2C">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6347DEC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5739DF7E">
            <w:pPr>
              <w:keepNext w:val="0"/>
              <w:keepLines w:val="0"/>
              <w:suppressLineNumbers w:val="0"/>
              <w:adjustRightInd w:val="0"/>
              <w:snapToGrid w:val="0"/>
              <w:spacing w:before="0" w:beforeAutospacing="0" w:after="0" w:afterAutospacing="0" w:line="360" w:lineRule="auto"/>
              <w:ind w:left="0" w:right="0"/>
              <w:jc w:val="left"/>
              <w:rPr>
                <w:rFonts w:hint="eastAsia" w:ascii="宋体" w:hAnsi="宋体" w:cs="宋体"/>
                <w:color w:val="000000"/>
                <w:szCs w:val="21"/>
              </w:rPr>
            </w:pPr>
          </w:p>
        </w:tc>
        <w:tc>
          <w:tcPr>
            <w:tcW w:w="1896" w:type="dxa"/>
            <w:shd w:val="clear" w:color="auto" w:fill="auto"/>
            <w:noWrap/>
            <w:vAlign w:val="center"/>
          </w:tcPr>
          <w:p w14:paraId="623FB9E4">
            <w:pPr>
              <w:keepNext w:val="0"/>
              <w:keepLines w:val="0"/>
              <w:suppressLineNumbers w:val="0"/>
              <w:adjustRightInd w:val="0"/>
              <w:snapToGrid w:val="0"/>
              <w:spacing w:before="0" w:beforeAutospacing="0" w:after="0" w:afterAutospacing="0" w:line="360" w:lineRule="auto"/>
              <w:ind w:left="0" w:right="0"/>
              <w:jc w:val="left"/>
              <w:rPr>
                <w:rFonts w:hint="default" w:eastAsiaTheme="minorEastAsia"/>
                <w:snapToGrid w:val="0"/>
                <w:color w:val="000000"/>
                <w:spacing w:val="-3"/>
                <w:kern w:val="0"/>
                <w:sz w:val="24"/>
              </w:rPr>
            </w:pPr>
          </w:p>
        </w:tc>
        <w:tc>
          <w:tcPr>
            <w:tcW w:w="948" w:type="dxa"/>
            <w:shd w:val="clear" w:color="auto" w:fill="auto"/>
            <w:noWrap/>
            <w:vAlign w:val="center"/>
          </w:tcPr>
          <w:p w14:paraId="41CB46DB">
            <w:pPr>
              <w:keepNext w:val="0"/>
              <w:keepLines w:val="0"/>
              <w:suppressLineNumbers w:val="0"/>
              <w:adjustRightInd w:val="0"/>
              <w:snapToGrid w:val="0"/>
              <w:spacing w:before="0" w:beforeAutospacing="0" w:after="0" w:afterAutospacing="0" w:line="360" w:lineRule="auto"/>
              <w:ind w:left="0" w:right="0"/>
              <w:jc w:val="left"/>
              <w:rPr>
                <w:rFonts w:hint="default" w:eastAsiaTheme="minorEastAsia"/>
                <w:snapToGrid w:val="0"/>
                <w:color w:val="000000"/>
                <w:spacing w:val="-3"/>
                <w:kern w:val="0"/>
                <w:sz w:val="24"/>
              </w:rPr>
            </w:pPr>
          </w:p>
        </w:tc>
        <w:tc>
          <w:tcPr>
            <w:tcW w:w="948" w:type="dxa"/>
            <w:shd w:val="clear" w:color="auto" w:fill="auto"/>
            <w:noWrap/>
            <w:vAlign w:val="center"/>
          </w:tcPr>
          <w:p w14:paraId="2E6A1008">
            <w:pPr>
              <w:keepNext w:val="0"/>
              <w:keepLines w:val="0"/>
              <w:suppressLineNumbers w:val="0"/>
              <w:adjustRightInd w:val="0"/>
              <w:snapToGrid w:val="0"/>
              <w:spacing w:before="0" w:beforeAutospacing="0" w:after="0" w:afterAutospacing="0" w:line="360" w:lineRule="auto"/>
              <w:ind w:left="0" w:right="0"/>
              <w:jc w:val="left"/>
              <w:rPr>
                <w:rFonts w:hint="default" w:eastAsiaTheme="minorEastAsia"/>
                <w:snapToGrid w:val="0"/>
                <w:color w:val="000000"/>
                <w:spacing w:val="-3"/>
                <w:kern w:val="0"/>
                <w:sz w:val="24"/>
              </w:rPr>
            </w:pPr>
          </w:p>
        </w:tc>
      </w:tr>
      <w:tr w14:paraId="2986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349B17A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3CE6413F">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2E90740E">
            <w:pPr>
              <w:pStyle w:val="4"/>
              <w:keepNext w:val="0"/>
              <w:keepLines w:val="0"/>
              <w:suppressLineNumbers w:val="0"/>
              <w:spacing w:before="0" w:beforeAutospacing="0" w:after="0" w:afterAutospacing="0"/>
              <w:ind w:left="0" w:right="0"/>
              <w:jc w:val="left"/>
              <w:rPr>
                <w:rFonts w:hint="eastAsia" w:ascii="宋体" w:hAnsi="宋体" w:cs="宋体"/>
                <w:color w:val="000000"/>
                <w:szCs w:val="21"/>
              </w:rPr>
            </w:pPr>
          </w:p>
        </w:tc>
        <w:tc>
          <w:tcPr>
            <w:tcW w:w="1896" w:type="dxa"/>
            <w:shd w:val="clear" w:color="auto" w:fill="auto"/>
            <w:noWrap/>
            <w:vAlign w:val="center"/>
          </w:tcPr>
          <w:p w14:paraId="76C111FA">
            <w:pPr>
              <w:pStyle w:val="4"/>
              <w:keepNext w:val="0"/>
              <w:keepLines w:val="0"/>
              <w:suppressLineNumbers w:val="0"/>
              <w:spacing w:before="0" w:beforeAutospacing="0" w:after="0" w:afterAutospacing="0"/>
              <w:ind w:left="0" w:right="0"/>
              <w:jc w:val="left"/>
              <w:rPr>
                <w:rFonts w:hint="default"/>
                <w:bCs/>
                <w:sz w:val="21"/>
                <w:szCs w:val="18"/>
              </w:rPr>
            </w:pPr>
          </w:p>
        </w:tc>
        <w:tc>
          <w:tcPr>
            <w:tcW w:w="948" w:type="dxa"/>
            <w:shd w:val="clear" w:color="auto" w:fill="auto"/>
            <w:noWrap/>
            <w:vAlign w:val="center"/>
          </w:tcPr>
          <w:p w14:paraId="67DB9C4E">
            <w:pPr>
              <w:pStyle w:val="4"/>
              <w:keepNext w:val="0"/>
              <w:keepLines w:val="0"/>
              <w:suppressLineNumbers w:val="0"/>
              <w:spacing w:before="0" w:beforeAutospacing="0" w:after="0" w:afterAutospacing="0"/>
              <w:ind w:left="0" w:right="0"/>
              <w:jc w:val="left"/>
              <w:rPr>
                <w:rFonts w:hint="default"/>
                <w:bCs/>
                <w:sz w:val="21"/>
                <w:szCs w:val="18"/>
              </w:rPr>
            </w:pPr>
          </w:p>
        </w:tc>
        <w:tc>
          <w:tcPr>
            <w:tcW w:w="948" w:type="dxa"/>
            <w:shd w:val="clear" w:color="auto" w:fill="auto"/>
            <w:noWrap/>
            <w:vAlign w:val="center"/>
          </w:tcPr>
          <w:p w14:paraId="6F08392B">
            <w:pPr>
              <w:pStyle w:val="4"/>
              <w:keepNext w:val="0"/>
              <w:keepLines w:val="0"/>
              <w:suppressLineNumbers w:val="0"/>
              <w:spacing w:before="0" w:beforeAutospacing="0" w:after="0" w:afterAutospacing="0"/>
              <w:ind w:left="0" w:right="0"/>
              <w:jc w:val="left"/>
              <w:rPr>
                <w:rFonts w:hint="default"/>
                <w:bCs/>
                <w:sz w:val="21"/>
                <w:szCs w:val="18"/>
              </w:rPr>
            </w:pPr>
          </w:p>
        </w:tc>
      </w:tr>
    </w:tbl>
    <w:p w14:paraId="1AD9DAFC">
      <w:pPr>
        <w:rPr>
          <w:szCs w:val="21"/>
        </w:rPr>
      </w:pPr>
      <w:r>
        <w:rPr>
          <w:rFonts w:hint="eastAsia"/>
          <w:szCs w:val="21"/>
        </w:rPr>
        <w:t>证明资料【如有的话，提供的证明资料应统一编号（排序），格式自定】</w:t>
      </w:r>
      <w:bookmarkEnd w:id="67"/>
      <w:r>
        <w:rPr>
          <w:rFonts w:hint="eastAsia"/>
          <w:szCs w:val="21"/>
        </w:rPr>
        <w:t>：</w:t>
      </w:r>
    </w:p>
    <w:p w14:paraId="32B2BA55">
      <w:pPr>
        <w:ind w:firstLine="422" w:firstLineChars="200"/>
        <w:rPr>
          <w:b/>
          <w:szCs w:val="21"/>
        </w:rPr>
      </w:pPr>
    </w:p>
    <w:p w14:paraId="0DA31EFB">
      <w:pPr>
        <w:ind w:firstLine="420" w:firstLineChars="200"/>
        <w:rPr>
          <w:bCs/>
          <w:szCs w:val="21"/>
        </w:rPr>
      </w:pPr>
      <w:r>
        <w:rPr>
          <w:rFonts w:hint="eastAsia"/>
          <w:bCs/>
          <w:szCs w:val="21"/>
        </w:rPr>
        <w:t>《技术要求偏离表》编制指引：</w:t>
      </w:r>
    </w:p>
    <w:p w14:paraId="45E83D54">
      <w:pPr>
        <w:ind w:firstLine="420" w:firstLineChars="200"/>
        <w:rPr>
          <w:bCs/>
          <w:szCs w:val="21"/>
        </w:rPr>
      </w:pPr>
      <w:r>
        <w:rPr>
          <w:rFonts w:hint="eastAsia"/>
          <w:bCs/>
          <w:szCs w:val="21"/>
        </w:rPr>
        <w:t>1、技术要求偏离表的序号、货物名称、招标技术要求等栏目</w:t>
      </w:r>
      <w:bookmarkStart w:id="68" w:name="_Hlk72094407"/>
      <w:r>
        <w:rPr>
          <w:rFonts w:hint="eastAsia"/>
          <w:bCs/>
          <w:szCs w:val="21"/>
        </w:rPr>
        <w:t>对应“用户需求书”中的“技术要求”章节</w:t>
      </w:r>
      <w:bookmarkEnd w:id="68"/>
      <w:r>
        <w:rPr>
          <w:rFonts w:hint="eastAsia"/>
          <w:bCs/>
          <w:szCs w:val="21"/>
        </w:rPr>
        <w:t>相关内容。</w:t>
      </w:r>
    </w:p>
    <w:p w14:paraId="7985978E">
      <w:pPr>
        <w:pStyle w:val="38"/>
        <w:widowControl/>
        <w:spacing w:beforeAutospacing="0" w:afterAutospacing="0"/>
        <w:ind w:firstLine="420" w:firstLineChars="200"/>
        <w:jc w:val="both"/>
        <w:outlineLvl w:val="1"/>
        <w:rPr>
          <w:bCs/>
          <w:color w:val="FF0000"/>
          <w:kern w:val="2"/>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bCs/>
          <w:color w:val="FF0000"/>
          <w:kern w:val="2"/>
          <w:sz w:val="21"/>
          <w:szCs w:val="21"/>
        </w:rPr>
        <w:t>“投标技术响应”必须与所投产品客观实际保持一致，响应不实且情节严重的，经查实，将依法记入供应商诚信档案或受到行政处罚。</w:t>
      </w:r>
    </w:p>
    <w:p w14:paraId="15140CD6">
      <w:pPr>
        <w:ind w:firstLine="420" w:firstLineChars="200"/>
        <w:rPr>
          <w:bCs/>
          <w:color w:val="FF0000"/>
          <w:szCs w:val="21"/>
        </w:rPr>
      </w:pPr>
      <w:r>
        <w:rPr>
          <w:bCs/>
          <w:szCs w:val="21"/>
        </w:rPr>
        <w:t>3</w:t>
      </w:r>
      <w:r>
        <w:rPr>
          <w:rFonts w:hint="eastAsia"/>
          <w:bCs/>
          <w:szCs w:val="21"/>
        </w:rPr>
        <w:t>、</w:t>
      </w:r>
      <w:bookmarkStart w:id="69" w:name="_Hlk72158270"/>
      <w:r>
        <w:rPr>
          <w:rFonts w:hint="eastAsia"/>
          <w:bCs/>
          <w:szCs w:val="21"/>
        </w:rPr>
        <w:t>“偏离情况”</w:t>
      </w:r>
      <w:bookmarkEnd w:id="69"/>
      <w:r>
        <w:rPr>
          <w:rFonts w:hint="eastAsia"/>
          <w:bCs/>
          <w:szCs w:val="21"/>
        </w:rPr>
        <w:t>一栏填写如实填写“正偏离”、“负偏离”或“无偏离”，其中：</w:t>
      </w:r>
      <w:bookmarkStart w:id="70" w:name="_Hlk72093866"/>
      <w:r>
        <w:rPr>
          <w:rFonts w:hint="eastAsia"/>
          <w:bCs/>
          <w:szCs w:val="21"/>
        </w:rPr>
        <w:t>“正偏离”表示“投标响应优于招标技术要求”，“负偏离”表示“投标响应不满足招标技术要求”，“无偏离”表示“投标响应与招标技术要求一致”</w:t>
      </w:r>
      <w:bookmarkEnd w:id="70"/>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如未响应或出现负偏离的，将做投标无效处理。</w:t>
      </w:r>
      <w:r>
        <w:rPr>
          <w:rFonts w:hint="eastAsia"/>
          <w:bCs/>
          <w:color w:val="FF0000"/>
          <w:szCs w:val="21"/>
        </w:rPr>
        <w:t>“偏离情况”必须与所投产品客观实际保持一致，响应不实且情节严重的，经查实，将依法记入供应商诚信档案或受到行政处罚。</w:t>
      </w:r>
    </w:p>
    <w:p w14:paraId="3D3D3719">
      <w:pPr>
        <w:ind w:firstLine="420" w:firstLineChars="200"/>
        <w:rPr>
          <w:bCs/>
          <w:szCs w:val="21"/>
        </w:rPr>
      </w:pPr>
      <w:r>
        <w:rPr>
          <w:bCs/>
          <w:szCs w:val="21"/>
        </w:rPr>
        <w:t>4</w:t>
      </w:r>
      <w:r>
        <w:rPr>
          <w:rFonts w:hint="eastAsia"/>
          <w:bCs/>
          <w:szCs w:val="21"/>
        </w:rPr>
        <w:t>、未要求提供证明资料的招标技术要求，可以不提供证明资料（如实响应即可）。</w:t>
      </w:r>
    </w:p>
    <w:p w14:paraId="70778D40">
      <w:pPr>
        <w:ind w:firstLine="420" w:firstLineChars="200"/>
        <w:rPr>
          <w:bCs/>
          <w:szCs w:val="21"/>
        </w:rPr>
      </w:pPr>
      <w:r>
        <w:rPr>
          <w:rFonts w:hint="eastAsia"/>
          <w:bCs/>
          <w:szCs w:val="21"/>
        </w:rPr>
        <w:t>5、</w:t>
      </w:r>
      <w:bookmarkStart w:id="71" w:name="_Hlk72096106"/>
      <w:r>
        <w:rPr>
          <w:rFonts w:hint="eastAsia"/>
          <w:bCs/>
          <w:szCs w:val="21"/>
        </w:rPr>
        <w:t>证明资料条款响应要求</w:t>
      </w:r>
      <w:bookmarkEnd w:id="71"/>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2"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3" w:name="_Hlk73558164"/>
      <w:r>
        <w:rPr>
          <w:rFonts w:hint="eastAsia"/>
          <w:bCs/>
          <w:szCs w:val="21"/>
        </w:rPr>
        <w:t>且投标人在“偏离情况”一栏响应为“正偏离”或“无偏离”的，经评审委员会认定，将判定为负偏离。</w:t>
      </w:r>
      <w:bookmarkEnd w:id="72"/>
      <w:bookmarkEnd w:id="73"/>
    </w:p>
    <w:p w14:paraId="3572C1EB">
      <w:pPr>
        <w:ind w:firstLine="420" w:firstLineChars="200"/>
        <w:rPr>
          <w:bCs/>
          <w:szCs w:val="21"/>
        </w:rPr>
      </w:pPr>
      <w:r>
        <w:rPr>
          <w:rFonts w:hint="eastAsia"/>
          <w:bCs/>
          <w:szCs w:val="21"/>
        </w:rPr>
        <w:t>6、</w:t>
      </w:r>
      <w:bookmarkStart w:id="74" w:name="_Hlk72096137"/>
      <w:r>
        <w:rPr>
          <w:rFonts w:hint="eastAsia"/>
          <w:bCs/>
          <w:szCs w:val="21"/>
        </w:rPr>
        <w:t>表后“证明资料”部分内容的编制</w:t>
      </w:r>
      <w:bookmarkEnd w:id="74"/>
      <w:r>
        <w:rPr>
          <w:rFonts w:hint="eastAsia"/>
          <w:bCs/>
          <w:szCs w:val="21"/>
        </w:rPr>
        <w:t>：提供的所有证明资料应当统一编号（排序），且证明资料的编号（顺序）、数量和名称（形式）均应与“说明”一栏所填内容保持一致（一一对应），以便评审委员会查看。</w:t>
      </w:r>
      <w:bookmarkStart w:id="75" w:name="_Hlk73558180"/>
      <w:r>
        <w:rPr>
          <w:rFonts w:hint="eastAsia"/>
          <w:bCs/>
          <w:szCs w:val="21"/>
        </w:rPr>
        <w:t>未按照招标文件要求在表后放置证明材料的供应商将承担不利后果，经评审委员会认定，相关技术要求将判定为负偏离。</w:t>
      </w:r>
      <w:bookmarkEnd w:id="75"/>
    </w:p>
    <w:p w14:paraId="0E861CFB">
      <w:pPr>
        <w:ind w:firstLine="420" w:firstLineChars="200"/>
        <w:rPr>
          <w:bCs/>
          <w:szCs w:val="21"/>
        </w:rPr>
      </w:pPr>
      <w:r>
        <w:rPr>
          <w:rFonts w:hint="eastAsia"/>
          <w:bCs/>
          <w:szCs w:val="21"/>
        </w:rPr>
        <w:t>7、</w:t>
      </w:r>
      <w:bookmarkStart w:id="76" w:name="_Hlk72096176"/>
      <w:r>
        <w:rPr>
          <w:rFonts w:hint="eastAsia"/>
          <w:bCs/>
          <w:szCs w:val="21"/>
        </w:rPr>
        <w:t>证明资料的形式及其它具体要求</w:t>
      </w:r>
      <w:bookmarkEnd w:id="76"/>
      <w:r>
        <w:rPr>
          <w:rFonts w:hint="eastAsia"/>
          <w:bCs/>
          <w:szCs w:val="21"/>
        </w:rPr>
        <w:t>：</w:t>
      </w:r>
    </w:p>
    <w:p w14:paraId="4A127D09">
      <w:pPr>
        <w:ind w:firstLine="420" w:firstLineChars="200"/>
        <w:rPr>
          <w:bCs/>
          <w:szCs w:val="21"/>
        </w:rPr>
      </w:pPr>
      <w:r>
        <w:rPr>
          <w:rFonts w:hint="eastAsia"/>
          <w:bCs/>
          <w:szCs w:val="21"/>
        </w:rPr>
        <w:t>（1）除照片、图片（截图）及不需加盖公章的文字说明（技术说明）外，其它证明资料均要求为原件扫描件；</w:t>
      </w:r>
    </w:p>
    <w:p w14:paraId="4253906C">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1AD84405">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75B643E9">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14:paraId="6C584883">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11E2C7FF">
      <w:pPr>
        <w:ind w:firstLine="420" w:firstLineChars="200"/>
        <w:rPr>
          <w:bCs/>
          <w:szCs w:val="21"/>
        </w:rPr>
      </w:pPr>
      <w:r>
        <w:rPr>
          <w:rFonts w:hint="eastAsia"/>
          <w:bCs/>
          <w:szCs w:val="21"/>
        </w:rPr>
        <w:t>其它证明资料的形式要求参照以上要求执行；</w:t>
      </w:r>
    </w:p>
    <w:p w14:paraId="441F4599">
      <w:pPr>
        <w:ind w:firstLine="420" w:firstLineChars="200"/>
        <w:rPr>
          <w:bCs/>
          <w:szCs w:val="21"/>
        </w:rPr>
      </w:pPr>
      <w:r>
        <w:rPr>
          <w:rFonts w:hint="eastAsia"/>
          <w:bCs/>
          <w:szCs w:val="21"/>
        </w:rPr>
        <w:t>8、其它注意事项：</w:t>
      </w:r>
    </w:p>
    <w:p w14:paraId="7EBDCEC0">
      <w:pPr>
        <w:ind w:firstLine="420" w:firstLineChars="200"/>
        <w:rPr>
          <w:bCs/>
          <w:szCs w:val="21"/>
        </w:rPr>
      </w:pPr>
      <w:r>
        <w:rPr>
          <w:rFonts w:hint="eastAsia"/>
          <w:bCs/>
          <w:szCs w:val="21"/>
        </w:rPr>
        <w:t>（1）评审委员会有权对投标人的响应情况作出判断（评审结论）；</w:t>
      </w:r>
    </w:p>
    <w:p w14:paraId="52B1A997">
      <w:pPr>
        <w:ind w:firstLine="420" w:firstLineChars="200"/>
        <w:rPr>
          <w:bCs/>
          <w:szCs w:val="21"/>
        </w:rPr>
      </w:pPr>
      <w:r>
        <w:rPr>
          <w:rFonts w:hint="eastAsia"/>
          <w:bCs/>
          <w:szCs w:val="21"/>
        </w:rPr>
        <w:t>（2）</w:t>
      </w:r>
      <w:bookmarkStart w:id="77"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77"/>
    </w:p>
    <w:p w14:paraId="04C3D9DB">
      <w:pPr>
        <w:ind w:firstLine="482" w:firstLineChars="200"/>
        <w:rPr>
          <w:b/>
          <w:sz w:val="24"/>
        </w:rPr>
      </w:pPr>
    </w:p>
    <w:p w14:paraId="68894B6C">
      <w:pPr>
        <w:rPr>
          <w:sz w:val="24"/>
        </w:rPr>
      </w:pPr>
      <w:r>
        <w:rPr>
          <w:sz w:val="24"/>
        </w:rPr>
        <w:br w:type="page"/>
      </w:r>
    </w:p>
    <w:p w14:paraId="761F5628">
      <w:pPr>
        <w:pStyle w:val="3"/>
        <w:jc w:val="center"/>
        <w:rPr>
          <w:rFonts w:hint="eastAsia"/>
          <w:sz w:val="24"/>
        </w:rPr>
      </w:pPr>
      <w:r>
        <w:rPr>
          <w:rFonts w:hint="eastAsia" w:ascii="黑体" w:eastAsia="黑体"/>
          <w:sz w:val="24"/>
          <w:szCs w:val="20"/>
        </w:rPr>
        <w:t>六、商务要求偏离表</w:t>
      </w:r>
    </w:p>
    <w:tbl>
      <w:tblPr>
        <w:tblStyle w:val="43"/>
        <w:tblW w:w="95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620"/>
        <w:gridCol w:w="2335"/>
        <w:gridCol w:w="2335"/>
        <w:gridCol w:w="989"/>
        <w:gridCol w:w="989"/>
      </w:tblGrid>
      <w:tr w14:paraId="768E7751">
        <w:tblPrEx>
          <w:tblCellMar>
            <w:top w:w="0" w:type="dxa"/>
            <w:left w:w="108" w:type="dxa"/>
            <w:bottom w:w="0" w:type="dxa"/>
            <w:right w:w="108" w:type="dxa"/>
          </w:tblCellMar>
        </w:tblPrEx>
        <w:trPr>
          <w:trHeight w:val="567" w:hRule="atLeast"/>
        </w:trPr>
        <w:tc>
          <w:tcPr>
            <w:tcW w:w="1260" w:type="dxa"/>
            <w:tcBorders>
              <w:top w:val="single" w:color="auto" w:sz="4" w:space="0"/>
              <w:left w:val="single" w:color="auto" w:sz="4" w:space="0"/>
              <w:bottom w:val="single" w:color="auto" w:sz="4" w:space="0"/>
              <w:right w:val="single" w:color="auto" w:sz="4" w:space="0"/>
            </w:tcBorders>
            <w:vAlign w:val="center"/>
          </w:tcPr>
          <w:p w14:paraId="2B393A43">
            <w:pPr>
              <w:keepNext w:val="0"/>
              <w:keepLines w:val="0"/>
              <w:suppressLineNumbers w:val="0"/>
              <w:adjustRightInd w:val="0"/>
              <w:snapToGrid w:val="0"/>
              <w:spacing w:before="0" w:beforeAutospacing="0" w:after="0" w:afterAutospacing="0"/>
              <w:ind w:left="0" w:right="0"/>
              <w:jc w:val="center"/>
              <w:rPr>
                <w:rFonts w:hint="default"/>
                <w:b/>
                <w:szCs w:val="21"/>
              </w:rPr>
            </w:pPr>
            <w:r>
              <w:rPr>
                <w:rFonts w:hint="default"/>
                <w:b/>
                <w:szCs w:val="21"/>
              </w:rPr>
              <w:t>序号</w:t>
            </w:r>
          </w:p>
        </w:tc>
        <w:tc>
          <w:tcPr>
            <w:tcW w:w="1620" w:type="dxa"/>
            <w:tcBorders>
              <w:top w:val="single" w:color="auto" w:sz="4" w:space="0"/>
              <w:left w:val="single" w:color="auto" w:sz="4" w:space="0"/>
              <w:bottom w:val="single" w:color="auto" w:sz="4" w:space="0"/>
              <w:right w:val="single" w:color="auto" w:sz="4" w:space="0"/>
            </w:tcBorders>
            <w:vAlign w:val="center"/>
          </w:tcPr>
          <w:p w14:paraId="4D7CEE63">
            <w:pPr>
              <w:keepNext w:val="0"/>
              <w:keepLines w:val="0"/>
              <w:suppressLineNumbers w:val="0"/>
              <w:adjustRightInd w:val="0"/>
              <w:snapToGrid w:val="0"/>
              <w:spacing w:before="0" w:beforeAutospacing="0" w:after="0" w:afterAutospacing="0"/>
              <w:ind w:left="0" w:right="0"/>
              <w:jc w:val="center"/>
              <w:rPr>
                <w:rFonts w:hint="default"/>
                <w:b/>
                <w:szCs w:val="21"/>
              </w:rPr>
            </w:pPr>
            <w:r>
              <w:rPr>
                <w:rFonts w:hint="default"/>
                <w:b/>
                <w:szCs w:val="21"/>
              </w:rPr>
              <w:t>目录</w:t>
            </w:r>
          </w:p>
        </w:tc>
        <w:tc>
          <w:tcPr>
            <w:tcW w:w="2335" w:type="dxa"/>
            <w:tcBorders>
              <w:top w:val="single" w:color="auto" w:sz="4" w:space="0"/>
              <w:left w:val="single" w:color="auto" w:sz="4" w:space="0"/>
              <w:bottom w:val="single" w:color="auto" w:sz="4" w:space="0"/>
              <w:right w:val="single" w:color="auto" w:sz="4" w:space="0"/>
            </w:tcBorders>
            <w:vAlign w:val="center"/>
          </w:tcPr>
          <w:p w14:paraId="4CD221D5">
            <w:pPr>
              <w:keepNext w:val="0"/>
              <w:keepLines w:val="0"/>
              <w:suppressLineNumbers w:val="0"/>
              <w:adjustRightInd w:val="0"/>
              <w:snapToGrid w:val="0"/>
              <w:spacing w:before="0" w:beforeAutospacing="0" w:after="0" w:afterAutospacing="0"/>
              <w:ind w:left="0" w:right="0"/>
              <w:jc w:val="center"/>
              <w:rPr>
                <w:rFonts w:hint="default"/>
                <w:b/>
                <w:szCs w:val="21"/>
              </w:rPr>
            </w:pPr>
            <w:r>
              <w:rPr>
                <w:rFonts w:hint="default"/>
                <w:b/>
                <w:szCs w:val="21"/>
              </w:rPr>
              <w:t>招标商务</w:t>
            </w:r>
            <w:r>
              <w:rPr>
                <w:rFonts w:hint="eastAsia"/>
                <w:b/>
                <w:szCs w:val="21"/>
              </w:rPr>
              <w:t>要求</w:t>
            </w:r>
          </w:p>
        </w:tc>
        <w:tc>
          <w:tcPr>
            <w:tcW w:w="2335" w:type="dxa"/>
            <w:tcBorders>
              <w:top w:val="single" w:color="auto" w:sz="4" w:space="0"/>
              <w:left w:val="single" w:color="auto" w:sz="4" w:space="0"/>
              <w:bottom w:val="single" w:color="auto" w:sz="4" w:space="0"/>
              <w:right w:val="single" w:color="auto" w:sz="4" w:space="0"/>
            </w:tcBorders>
            <w:vAlign w:val="center"/>
          </w:tcPr>
          <w:p w14:paraId="3468C85D">
            <w:pPr>
              <w:keepNext w:val="0"/>
              <w:keepLines w:val="0"/>
              <w:suppressLineNumbers w:val="0"/>
              <w:adjustRightInd w:val="0"/>
              <w:snapToGrid w:val="0"/>
              <w:spacing w:before="0" w:beforeAutospacing="0" w:after="0" w:afterAutospacing="0"/>
              <w:ind w:left="0" w:right="0"/>
              <w:jc w:val="center"/>
              <w:rPr>
                <w:rFonts w:hint="default"/>
                <w:b/>
                <w:szCs w:val="21"/>
              </w:rPr>
            </w:pPr>
            <w:r>
              <w:rPr>
                <w:rFonts w:hint="eastAsia" w:ascii="宋体" w:hAnsi="宋体" w:cs="宋体"/>
                <w:b/>
                <w:szCs w:val="21"/>
              </w:rPr>
              <w:t>投标商务响应</w:t>
            </w:r>
          </w:p>
        </w:tc>
        <w:tc>
          <w:tcPr>
            <w:tcW w:w="989" w:type="dxa"/>
            <w:tcBorders>
              <w:top w:val="single" w:color="auto" w:sz="4" w:space="0"/>
              <w:left w:val="single" w:color="auto" w:sz="4" w:space="0"/>
              <w:bottom w:val="single" w:color="auto" w:sz="4" w:space="0"/>
              <w:right w:val="single" w:color="auto" w:sz="4" w:space="0"/>
            </w:tcBorders>
            <w:vAlign w:val="center"/>
          </w:tcPr>
          <w:p w14:paraId="32DB6569">
            <w:pPr>
              <w:keepNext w:val="0"/>
              <w:keepLines w:val="0"/>
              <w:suppressLineNumbers w:val="0"/>
              <w:adjustRightInd w:val="0"/>
              <w:snapToGrid w:val="0"/>
              <w:spacing w:before="0" w:beforeAutospacing="0" w:after="0" w:afterAutospacing="0"/>
              <w:ind w:left="0" w:right="0"/>
              <w:jc w:val="center"/>
              <w:rPr>
                <w:rFonts w:hint="default"/>
                <w:b/>
                <w:szCs w:val="21"/>
              </w:rPr>
            </w:pPr>
            <w:r>
              <w:rPr>
                <w:rFonts w:hint="eastAsia" w:ascii="宋体" w:hAnsi="宋体" w:cs="宋体"/>
                <w:b/>
                <w:szCs w:val="21"/>
              </w:rPr>
              <w:t>偏离情况</w:t>
            </w:r>
          </w:p>
        </w:tc>
        <w:tc>
          <w:tcPr>
            <w:tcW w:w="989" w:type="dxa"/>
            <w:tcBorders>
              <w:top w:val="single" w:color="auto" w:sz="4" w:space="0"/>
              <w:left w:val="single" w:color="auto" w:sz="4" w:space="0"/>
              <w:bottom w:val="single" w:color="auto" w:sz="4" w:space="0"/>
              <w:right w:val="single" w:color="auto" w:sz="4" w:space="0"/>
            </w:tcBorders>
            <w:vAlign w:val="center"/>
          </w:tcPr>
          <w:p w14:paraId="25CE4DE1">
            <w:pPr>
              <w:keepNext w:val="0"/>
              <w:keepLines w:val="0"/>
              <w:suppressLineNumbers w:val="0"/>
              <w:adjustRightInd w:val="0"/>
              <w:snapToGrid w:val="0"/>
              <w:spacing w:before="0" w:beforeAutospacing="0" w:after="0" w:afterAutospacing="0"/>
              <w:ind w:left="0" w:right="0"/>
              <w:jc w:val="center"/>
              <w:rPr>
                <w:rFonts w:hint="default"/>
                <w:b/>
                <w:szCs w:val="21"/>
              </w:rPr>
            </w:pPr>
            <w:r>
              <w:rPr>
                <w:rFonts w:hint="eastAsia" w:ascii="宋体" w:hAnsi="宋体" w:cs="宋体"/>
                <w:b/>
                <w:szCs w:val="21"/>
              </w:rPr>
              <w:t>说明</w:t>
            </w:r>
          </w:p>
        </w:tc>
      </w:tr>
      <w:tr w14:paraId="3BCA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28" w:type="dxa"/>
            <w:gridSpan w:val="6"/>
            <w:vAlign w:val="center"/>
          </w:tcPr>
          <w:p w14:paraId="528462AC">
            <w:pPr>
              <w:keepNext w:val="0"/>
              <w:keepLines w:val="0"/>
              <w:suppressLineNumbers w:val="0"/>
              <w:adjustRightInd w:val="0"/>
              <w:snapToGrid w:val="0"/>
              <w:spacing w:before="0" w:beforeAutospacing="0" w:after="0" w:afterAutospacing="0"/>
              <w:ind w:left="0" w:right="0"/>
              <w:rPr>
                <w:rFonts w:hint="default"/>
                <w:b/>
                <w:szCs w:val="21"/>
              </w:rPr>
            </w:pPr>
          </w:p>
        </w:tc>
      </w:tr>
      <w:tr w14:paraId="56C3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5B9BEC40">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07C33197">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66521544">
            <w:pPr>
              <w:keepNext w:val="0"/>
              <w:keepLines w:val="0"/>
              <w:suppressLineNumbers w:val="0"/>
              <w:adjustRightInd w:val="0"/>
              <w:snapToGrid w:val="0"/>
              <w:spacing w:before="0" w:beforeAutospacing="0" w:after="0" w:afterAutospacing="0" w:line="360" w:lineRule="auto"/>
              <w:ind w:left="0" w:right="0"/>
              <w:jc w:val="left"/>
              <w:rPr>
                <w:rFonts w:hint="default"/>
                <w:b/>
                <w:szCs w:val="21"/>
              </w:rPr>
            </w:pPr>
          </w:p>
        </w:tc>
        <w:tc>
          <w:tcPr>
            <w:tcW w:w="2335" w:type="dxa"/>
          </w:tcPr>
          <w:p w14:paraId="7606C05F">
            <w:pPr>
              <w:keepNext w:val="0"/>
              <w:keepLines w:val="0"/>
              <w:suppressLineNumbers w:val="0"/>
              <w:adjustRightInd w:val="0"/>
              <w:snapToGrid w:val="0"/>
              <w:spacing w:before="0" w:beforeAutospacing="0" w:after="0" w:afterAutospacing="0" w:line="360" w:lineRule="auto"/>
              <w:ind w:left="0" w:right="0"/>
              <w:jc w:val="left"/>
              <w:rPr>
                <w:rFonts w:hint="default" w:ascii="仿宋_GB2312" w:eastAsia="仿宋_GB2312"/>
                <w:szCs w:val="21"/>
              </w:rPr>
            </w:pPr>
          </w:p>
        </w:tc>
        <w:tc>
          <w:tcPr>
            <w:tcW w:w="989" w:type="dxa"/>
          </w:tcPr>
          <w:p w14:paraId="7C0EE136">
            <w:pPr>
              <w:keepNext w:val="0"/>
              <w:keepLines w:val="0"/>
              <w:suppressLineNumbers w:val="0"/>
              <w:adjustRightInd w:val="0"/>
              <w:snapToGrid w:val="0"/>
              <w:spacing w:before="0" w:beforeAutospacing="0" w:after="0" w:afterAutospacing="0" w:line="360" w:lineRule="auto"/>
              <w:ind w:left="0" w:right="0"/>
              <w:jc w:val="left"/>
              <w:rPr>
                <w:rFonts w:hint="default" w:ascii="仿宋_GB2312" w:eastAsia="仿宋_GB2312"/>
                <w:szCs w:val="21"/>
              </w:rPr>
            </w:pPr>
          </w:p>
        </w:tc>
        <w:tc>
          <w:tcPr>
            <w:tcW w:w="989" w:type="dxa"/>
          </w:tcPr>
          <w:p w14:paraId="61E2D99D">
            <w:pPr>
              <w:keepNext w:val="0"/>
              <w:keepLines w:val="0"/>
              <w:suppressLineNumbers w:val="0"/>
              <w:adjustRightInd w:val="0"/>
              <w:snapToGrid w:val="0"/>
              <w:spacing w:before="0" w:beforeAutospacing="0" w:after="0" w:afterAutospacing="0" w:line="360" w:lineRule="auto"/>
              <w:ind w:left="0" w:right="0"/>
              <w:jc w:val="left"/>
              <w:rPr>
                <w:rFonts w:hint="default" w:ascii="仿宋_GB2312" w:eastAsia="仿宋_GB2312"/>
                <w:szCs w:val="21"/>
              </w:rPr>
            </w:pPr>
          </w:p>
        </w:tc>
      </w:tr>
      <w:tr w14:paraId="2E8E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1C5808A2">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784FEA91">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2CE6B3F7">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tcPr>
          <w:p w14:paraId="2992C4CD">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7E94BD8B">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2B386BDE">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4B8D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3C15D34F">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2C5861BB">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55AA0937">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tcPr>
          <w:p w14:paraId="77306B5A">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17935CE0">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0B5EB68D">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08C3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1D4BC9BB">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7F86CF44">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2335" w:type="dxa"/>
            <w:vAlign w:val="center"/>
          </w:tcPr>
          <w:p w14:paraId="71CA56B7">
            <w:pPr>
              <w:keepNext w:val="0"/>
              <w:keepLines w:val="0"/>
              <w:suppressLineNumbers w:val="0"/>
              <w:adjustRightInd w:val="0"/>
              <w:snapToGrid w:val="0"/>
              <w:spacing w:before="0" w:beforeAutospacing="0" w:after="0" w:afterAutospacing="0"/>
              <w:ind w:left="0" w:right="0"/>
              <w:jc w:val="left"/>
              <w:rPr>
                <w:rFonts w:hint="default"/>
                <w:b/>
                <w:szCs w:val="21"/>
              </w:rPr>
            </w:pPr>
          </w:p>
        </w:tc>
        <w:tc>
          <w:tcPr>
            <w:tcW w:w="2335" w:type="dxa"/>
            <w:vAlign w:val="center"/>
          </w:tcPr>
          <w:p w14:paraId="7A6DA3C9">
            <w:pPr>
              <w:keepNext w:val="0"/>
              <w:keepLines w:val="0"/>
              <w:suppressLineNumbers w:val="0"/>
              <w:adjustRightInd w:val="0"/>
              <w:snapToGrid w:val="0"/>
              <w:spacing w:before="0" w:beforeAutospacing="0" w:after="0" w:afterAutospacing="0"/>
              <w:ind w:left="0" w:right="0"/>
              <w:jc w:val="left"/>
              <w:rPr>
                <w:rFonts w:hint="default"/>
                <w:bCs/>
                <w:szCs w:val="21"/>
              </w:rPr>
            </w:pPr>
          </w:p>
        </w:tc>
        <w:tc>
          <w:tcPr>
            <w:tcW w:w="989" w:type="dxa"/>
            <w:vAlign w:val="center"/>
          </w:tcPr>
          <w:p w14:paraId="5B315938">
            <w:pPr>
              <w:keepNext w:val="0"/>
              <w:keepLines w:val="0"/>
              <w:suppressLineNumbers w:val="0"/>
              <w:adjustRightInd w:val="0"/>
              <w:snapToGrid w:val="0"/>
              <w:spacing w:before="0" w:beforeAutospacing="0" w:after="0" w:afterAutospacing="0"/>
              <w:ind w:left="0" w:right="0"/>
              <w:jc w:val="left"/>
              <w:rPr>
                <w:rFonts w:hint="default"/>
                <w:bCs/>
                <w:szCs w:val="21"/>
              </w:rPr>
            </w:pPr>
          </w:p>
        </w:tc>
        <w:tc>
          <w:tcPr>
            <w:tcW w:w="989" w:type="dxa"/>
            <w:vAlign w:val="center"/>
          </w:tcPr>
          <w:p w14:paraId="0F389549">
            <w:pPr>
              <w:keepNext w:val="0"/>
              <w:keepLines w:val="0"/>
              <w:suppressLineNumbers w:val="0"/>
              <w:adjustRightInd w:val="0"/>
              <w:snapToGrid w:val="0"/>
              <w:spacing w:before="0" w:beforeAutospacing="0" w:after="0" w:afterAutospacing="0"/>
              <w:ind w:left="0" w:right="0"/>
              <w:jc w:val="left"/>
              <w:rPr>
                <w:rFonts w:hint="default"/>
                <w:bCs/>
                <w:szCs w:val="21"/>
              </w:rPr>
            </w:pPr>
          </w:p>
        </w:tc>
      </w:tr>
      <w:tr w14:paraId="355A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28" w:type="dxa"/>
            <w:gridSpan w:val="6"/>
            <w:vAlign w:val="center"/>
          </w:tcPr>
          <w:p w14:paraId="58AE64B7">
            <w:pPr>
              <w:keepNext w:val="0"/>
              <w:keepLines w:val="0"/>
              <w:suppressLineNumbers w:val="0"/>
              <w:adjustRightInd w:val="0"/>
              <w:snapToGrid w:val="0"/>
              <w:spacing w:before="0" w:beforeAutospacing="0" w:after="0" w:afterAutospacing="0"/>
              <w:ind w:left="0" w:right="0"/>
              <w:rPr>
                <w:rFonts w:hint="default"/>
                <w:b/>
                <w:szCs w:val="21"/>
              </w:rPr>
            </w:pPr>
          </w:p>
        </w:tc>
      </w:tr>
      <w:tr w14:paraId="240C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6FB3EF66">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tcPr>
          <w:p w14:paraId="64F40CE5">
            <w:pPr>
              <w:keepNext w:val="0"/>
              <w:keepLines w:val="0"/>
              <w:suppressLineNumbers w:val="0"/>
              <w:adjustRightInd w:val="0"/>
              <w:snapToGrid w:val="0"/>
              <w:spacing w:before="0" w:beforeAutospacing="0" w:after="0" w:afterAutospacing="0" w:line="360" w:lineRule="auto"/>
              <w:ind w:left="0" w:right="0"/>
              <w:rPr>
                <w:rFonts w:hint="default"/>
                <w:szCs w:val="21"/>
              </w:rPr>
            </w:pPr>
          </w:p>
        </w:tc>
        <w:tc>
          <w:tcPr>
            <w:tcW w:w="2335" w:type="dxa"/>
          </w:tcPr>
          <w:p w14:paraId="019F9C50">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2335" w:type="dxa"/>
          </w:tcPr>
          <w:p w14:paraId="633C6AD9">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1FDBF31B">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540A23CE">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r>
      <w:tr w14:paraId="7CE6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28" w:type="dxa"/>
            <w:gridSpan w:val="6"/>
            <w:vAlign w:val="center"/>
          </w:tcPr>
          <w:p w14:paraId="0E2D5A1D">
            <w:pPr>
              <w:keepNext w:val="0"/>
              <w:keepLines w:val="0"/>
              <w:suppressLineNumbers w:val="0"/>
              <w:adjustRightInd w:val="0"/>
              <w:snapToGrid w:val="0"/>
              <w:spacing w:before="0" w:beforeAutospacing="0" w:after="0" w:afterAutospacing="0"/>
              <w:ind w:left="0" w:right="0"/>
              <w:rPr>
                <w:rFonts w:hint="default"/>
                <w:b/>
                <w:szCs w:val="21"/>
              </w:rPr>
            </w:pPr>
          </w:p>
        </w:tc>
      </w:tr>
      <w:tr w14:paraId="1FD8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restart"/>
            <w:vAlign w:val="center"/>
          </w:tcPr>
          <w:p w14:paraId="3E3646AE">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restart"/>
            <w:vAlign w:val="center"/>
          </w:tcPr>
          <w:p w14:paraId="43425BCD">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2099C5FD">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bCs/>
                <w:szCs w:val="21"/>
              </w:rPr>
            </w:pPr>
          </w:p>
        </w:tc>
        <w:tc>
          <w:tcPr>
            <w:tcW w:w="2335" w:type="dxa"/>
          </w:tcPr>
          <w:p w14:paraId="464D4CE2">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b/>
                <w:color w:val="FF0000"/>
                <w:szCs w:val="21"/>
              </w:rPr>
            </w:pPr>
          </w:p>
        </w:tc>
        <w:tc>
          <w:tcPr>
            <w:tcW w:w="989" w:type="dxa"/>
          </w:tcPr>
          <w:p w14:paraId="1E8B4901">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b/>
                <w:color w:val="FF0000"/>
                <w:szCs w:val="21"/>
              </w:rPr>
            </w:pPr>
          </w:p>
        </w:tc>
        <w:tc>
          <w:tcPr>
            <w:tcW w:w="989" w:type="dxa"/>
          </w:tcPr>
          <w:p w14:paraId="607C691A">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b/>
                <w:color w:val="FF0000"/>
                <w:szCs w:val="21"/>
              </w:rPr>
            </w:pPr>
          </w:p>
        </w:tc>
      </w:tr>
      <w:tr w14:paraId="17BD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continue"/>
            <w:vAlign w:val="center"/>
          </w:tcPr>
          <w:p w14:paraId="629769B4">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continue"/>
            <w:vAlign w:val="center"/>
          </w:tcPr>
          <w:p w14:paraId="65BEF994">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6A797EC6">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tcPr>
          <w:p w14:paraId="5201743B">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1CD4D068">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2B4BD882">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3DAB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continue"/>
            <w:vAlign w:val="center"/>
          </w:tcPr>
          <w:p w14:paraId="6745B8C9">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continue"/>
            <w:vAlign w:val="center"/>
          </w:tcPr>
          <w:p w14:paraId="78CEE7DC">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vAlign w:val="center"/>
          </w:tcPr>
          <w:p w14:paraId="34A1D1E4">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vAlign w:val="center"/>
          </w:tcPr>
          <w:p w14:paraId="3EFDF21E">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vAlign w:val="center"/>
          </w:tcPr>
          <w:p w14:paraId="2F3E3E05">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vAlign w:val="center"/>
          </w:tcPr>
          <w:p w14:paraId="01DE067C">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73A5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continue"/>
            <w:vAlign w:val="center"/>
          </w:tcPr>
          <w:p w14:paraId="74877484">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continue"/>
            <w:vAlign w:val="center"/>
          </w:tcPr>
          <w:p w14:paraId="0B8DECC2">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49EBE95D">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tcPr>
          <w:p w14:paraId="7A646661">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78B89005">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5B7A0886">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77A2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restart"/>
            <w:vAlign w:val="center"/>
          </w:tcPr>
          <w:p w14:paraId="3FBB549B">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restart"/>
            <w:vAlign w:val="center"/>
          </w:tcPr>
          <w:p w14:paraId="10A98977">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530B54D3">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tcPr>
          <w:p w14:paraId="74C1FE23">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513F7C99">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0B9BEB67">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36E5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continue"/>
            <w:vAlign w:val="center"/>
          </w:tcPr>
          <w:p w14:paraId="2FDCA5AF">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continue"/>
          </w:tcPr>
          <w:p w14:paraId="3ECCFDAC">
            <w:pPr>
              <w:keepNext w:val="0"/>
              <w:keepLines w:val="0"/>
              <w:suppressLineNumbers w:val="0"/>
              <w:adjustRightInd w:val="0"/>
              <w:snapToGrid w:val="0"/>
              <w:spacing w:before="0" w:beforeAutospacing="0" w:after="0" w:afterAutospacing="0"/>
              <w:ind w:left="0" w:right="0"/>
              <w:rPr>
                <w:rFonts w:hint="default"/>
                <w:b/>
                <w:szCs w:val="21"/>
              </w:rPr>
            </w:pPr>
          </w:p>
        </w:tc>
        <w:tc>
          <w:tcPr>
            <w:tcW w:w="2335" w:type="dxa"/>
          </w:tcPr>
          <w:p w14:paraId="402FD807">
            <w:pPr>
              <w:keepNext w:val="0"/>
              <w:keepLines w:val="0"/>
              <w:suppressLineNumbers w:val="0"/>
              <w:tabs>
                <w:tab w:val="left" w:pos="1260"/>
              </w:tabs>
              <w:adjustRightInd w:val="0"/>
              <w:snapToGrid w:val="0"/>
              <w:spacing w:before="0" w:beforeAutospacing="0" w:after="0" w:afterAutospacing="0" w:line="360" w:lineRule="auto"/>
              <w:ind w:left="0" w:right="0"/>
              <w:jc w:val="left"/>
              <w:rPr>
                <w:rFonts w:hint="default"/>
                <w:bCs/>
                <w:szCs w:val="21"/>
              </w:rPr>
            </w:pPr>
          </w:p>
        </w:tc>
        <w:tc>
          <w:tcPr>
            <w:tcW w:w="2335" w:type="dxa"/>
          </w:tcPr>
          <w:p w14:paraId="067F5D90">
            <w:pPr>
              <w:keepNext w:val="0"/>
              <w:keepLines w:val="0"/>
              <w:suppressLineNumbers w:val="0"/>
              <w:tabs>
                <w:tab w:val="left" w:pos="1260"/>
              </w:tabs>
              <w:adjustRightInd w:val="0"/>
              <w:snapToGrid w:val="0"/>
              <w:spacing w:before="0" w:beforeAutospacing="0" w:after="0" w:afterAutospacing="0" w:line="360" w:lineRule="auto"/>
              <w:ind w:left="0" w:right="0"/>
              <w:jc w:val="left"/>
              <w:rPr>
                <w:rFonts w:hint="default"/>
                <w:bCs/>
                <w:szCs w:val="21"/>
              </w:rPr>
            </w:pPr>
          </w:p>
        </w:tc>
        <w:tc>
          <w:tcPr>
            <w:tcW w:w="989" w:type="dxa"/>
          </w:tcPr>
          <w:p w14:paraId="5F3508B2">
            <w:pPr>
              <w:keepNext w:val="0"/>
              <w:keepLines w:val="0"/>
              <w:suppressLineNumbers w:val="0"/>
              <w:tabs>
                <w:tab w:val="left" w:pos="1260"/>
              </w:tabs>
              <w:adjustRightInd w:val="0"/>
              <w:snapToGrid w:val="0"/>
              <w:spacing w:before="0" w:beforeAutospacing="0" w:after="0" w:afterAutospacing="0" w:line="360" w:lineRule="auto"/>
              <w:ind w:left="0" w:right="0"/>
              <w:jc w:val="left"/>
              <w:rPr>
                <w:rFonts w:hint="default"/>
                <w:bCs/>
                <w:szCs w:val="21"/>
              </w:rPr>
            </w:pPr>
          </w:p>
        </w:tc>
        <w:tc>
          <w:tcPr>
            <w:tcW w:w="989" w:type="dxa"/>
          </w:tcPr>
          <w:p w14:paraId="109B7506">
            <w:pPr>
              <w:keepNext w:val="0"/>
              <w:keepLines w:val="0"/>
              <w:suppressLineNumbers w:val="0"/>
              <w:tabs>
                <w:tab w:val="left" w:pos="1260"/>
              </w:tabs>
              <w:adjustRightInd w:val="0"/>
              <w:snapToGrid w:val="0"/>
              <w:spacing w:before="0" w:beforeAutospacing="0" w:after="0" w:afterAutospacing="0" w:line="360" w:lineRule="auto"/>
              <w:ind w:left="0" w:right="0"/>
              <w:jc w:val="left"/>
              <w:rPr>
                <w:rFonts w:hint="default"/>
                <w:bCs/>
                <w:szCs w:val="21"/>
              </w:rPr>
            </w:pPr>
          </w:p>
        </w:tc>
      </w:tr>
      <w:tr w14:paraId="5673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11A089A6">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56CD6DC2">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21F89E1E">
            <w:pPr>
              <w:keepNext w:val="0"/>
              <w:keepLines w:val="0"/>
              <w:suppressLineNumbers w:val="0"/>
              <w:adjustRightInd w:val="0"/>
              <w:snapToGrid w:val="0"/>
              <w:spacing w:before="0" w:beforeAutospacing="0" w:after="0" w:afterAutospacing="0" w:line="360" w:lineRule="auto"/>
              <w:ind w:left="0" w:right="0"/>
              <w:jc w:val="left"/>
              <w:rPr>
                <w:rFonts w:hint="default" w:eastAsia="仿宋_GB2312"/>
                <w:color w:val="0000FF"/>
                <w:szCs w:val="21"/>
              </w:rPr>
            </w:pPr>
          </w:p>
        </w:tc>
        <w:tc>
          <w:tcPr>
            <w:tcW w:w="2335" w:type="dxa"/>
          </w:tcPr>
          <w:p w14:paraId="59D6BB4A">
            <w:pPr>
              <w:keepNext w:val="0"/>
              <w:keepLines w:val="0"/>
              <w:suppressLineNumbers w:val="0"/>
              <w:adjustRightInd w:val="0"/>
              <w:snapToGrid w:val="0"/>
              <w:spacing w:before="0" w:beforeAutospacing="0" w:after="0" w:afterAutospacing="0" w:line="360" w:lineRule="auto"/>
              <w:ind w:left="0" w:right="0"/>
              <w:jc w:val="left"/>
              <w:rPr>
                <w:rFonts w:hint="default"/>
                <w:b/>
                <w:color w:val="FF0000"/>
              </w:rPr>
            </w:pPr>
          </w:p>
        </w:tc>
        <w:tc>
          <w:tcPr>
            <w:tcW w:w="989" w:type="dxa"/>
          </w:tcPr>
          <w:p w14:paraId="1DDBF049">
            <w:pPr>
              <w:keepNext w:val="0"/>
              <w:keepLines w:val="0"/>
              <w:suppressLineNumbers w:val="0"/>
              <w:adjustRightInd w:val="0"/>
              <w:snapToGrid w:val="0"/>
              <w:spacing w:before="0" w:beforeAutospacing="0" w:after="0" w:afterAutospacing="0" w:line="360" w:lineRule="auto"/>
              <w:ind w:left="0" w:right="0"/>
              <w:jc w:val="left"/>
              <w:rPr>
                <w:rFonts w:hint="default"/>
                <w:b/>
                <w:color w:val="FF0000"/>
              </w:rPr>
            </w:pPr>
          </w:p>
        </w:tc>
        <w:tc>
          <w:tcPr>
            <w:tcW w:w="989" w:type="dxa"/>
          </w:tcPr>
          <w:p w14:paraId="199DD14D">
            <w:pPr>
              <w:keepNext w:val="0"/>
              <w:keepLines w:val="0"/>
              <w:suppressLineNumbers w:val="0"/>
              <w:adjustRightInd w:val="0"/>
              <w:snapToGrid w:val="0"/>
              <w:spacing w:before="0" w:beforeAutospacing="0" w:after="0" w:afterAutospacing="0" w:line="360" w:lineRule="auto"/>
              <w:ind w:left="0" w:right="0"/>
              <w:jc w:val="left"/>
              <w:rPr>
                <w:rFonts w:hint="default"/>
                <w:b/>
                <w:color w:val="FF0000"/>
              </w:rPr>
            </w:pPr>
          </w:p>
        </w:tc>
      </w:tr>
      <w:tr w14:paraId="7BCE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1C9D5F07">
            <w:pPr>
              <w:keepNext w:val="0"/>
              <w:keepLines w:val="0"/>
              <w:suppressLineNumbers w:val="0"/>
              <w:adjustRightInd w:val="0"/>
              <w:snapToGrid w:val="0"/>
              <w:spacing w:before="0" w:beforeAutospacing="0" w:after="0" w:afterAutospacing="0"/>
              <w:ind w:left="0" w:right="0"/>
              <w:jc w:val="center"/>
              <w:rPr>
                <w:rFonts w:hint="default"/>
                <w:szCs w:val="21"/>
              </w:rPr>
            </w:pPr>
          </w:p>
        </w:tc>
        <w:tc>
          <w:tcPr>
            <w:tcW w:w="1620" w:type="dxa"/>
            <w:vAlign w:val="center"/>
          </w:tcPr>
          <w:p w14:paraId="5C535048">
            <w:pPr>
              <w:keepNext w:val="0"/>
              <w:keepLines w:val="0"/>
              <w:suppressLineNumbers w:val="0"/>
              <w:adjustRightInd w:val="0"/>
              <w:snapToGrid w:val="0"/>
              <w:spacing w:before="0" w:beforeAutospacing="0" w:after="0" w:afterAutospacing="0"/>
              <w:ind w:left="0" w:right="0"/>
              <w:rPr>
                <w:rFonts w:hint="default"/>
                <w:szCs w:val="21"/>
              </w:rPr>
            </w:pPr>
          </w:p>
        </w:tc>
        <w:tc>
          <w:tcPr>
            <w:tcW w:w="2335" w:type="dxa"/>
          </w:tcPr>
          <w:p w14:paraId="24191373">
            <w:pPr>
              <w:keepNext w:val="0"/>
              <w:keepLines w:val="0"/>
              <w:suppressLineNumbers w:val="0"/>
              <w:adjustRightInd w:val="0"/>
              <w:snapToGrid w:val="0"/>
              <w:spacing w:before="0" w:beforeAutospacing="0" w:after="0" w:afterAutospacing="0" w:line="360" w:lineRule="auto"/>
              <w:ind w:left="0" w:right="0"/>
              <w:jc w:val="left"/>
              <w:rPr>
                <w:rFonts w:hint="default"/>
                <w:b/>
                <w:szCs w:val="21"/>
              </w:rPr>
            </w:pPr>
          </w:p>
        </w:tc>
        <w:tc>
          <w:tcPr>
            <w:tcW w:w="2335" w:type="dxa"/>
          </w:tcPr>
          <w:p w14:paraId="710BE696">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709A0818">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60356772">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r>
      <w:tr w14:paraId="7AFF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1260" w:type="dxa"/>
            <w:vAlign w:val="center"/>
          </w:tcPr>
          <w:p w14:paraId="36973F38">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6361054F">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1C1589DC">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2335" w:type="dxa"/>
          </w:tcPr>
          <w:p w14:paraId="01566E74">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6BD80E16">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5AA159CD">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r>
      <w:tr w14:paraId="429E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2446C855">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4A803CEB">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7E2EB053">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2335" w:type="dxa"/>
          </w:tcPr>
          <w:p w14:paraId="602F5A0F">
            <w:pPr>
              <w:keepNext w:val="0"/>
              <w:keepLines w:val="0"/>
              <w:suppressLineNumbers w:val="0"/>
              <w:adjustRightInd w:val="0"/>
              <w:snapToGrid w:val="0"/>
              <w:spacing w:before="0" w:beforeAutospacing="0" w:after="0" w:afterAutospacing="0" w:line="360" w:lineRule="auto"/>
              <w:ind w:left="0" w:right="0"/>
              <w:jc w:val="left"/>
              <w:rPr>
                <w:rFonts w:hint="default"/>
                <w:color w:val="000000"/>
                <w:szCs w:val="21"/>
              </w:rPr>
            </w:pPr>
          </w:p>
        </w:tc>
        <w:tc>
          <w:tcPr>
            <w:tcW w:w="989" w:type="dxa"/>
          </w:tcPr>
          <w:p w14:paraId="139EDFAC">
            <w:pPr>
              <w:keepNext w:val="0"/>
              <w:keepLines w:val="0"/>
              <w:suppressLineNumbers w:val="0"/>
              <w:adjustRightInd w:val="0"/>
              <w:snapToGrid w:val="0"/>
              <w:spacing w:before="0" w:beforeAutospacing="0" w:after="0" w:afterAutospacing="0" w:line="360" w:lineRule="auto"/>
              <w:ind w:left="0" w:right="0"/>
              <w:jc w:val="left"/>
              <w:rPr>
                <w:rFonts w:hint="default"/>
                <w:color w:val="000000"/>
                <w:szCs w:val="21"/>
              </w:rPr>
            </w:pPr>
          </w:p>
        </w:tc>
        <w:tc>
          <w:tcPr>
            <w:tcW w:w="989" w:type="dxa"/>
          </w:tcPr>
          <w:p w14:paraId="50F78461">
            <w:pPr>
              <w:keepNext w:val="0"/>
              <w:keepLines w:val="0"/>
              <w:suppressLineNumbers w:val="0"/>
              <w:adjustRightInd w:val="0"/>
              <w:snapToGrid w:val="0"/>
              <w:spacing w:before="0" w:beforeAutospacing="0" w:after="0" w:afterAutospacing="0" w:line="360" w:lineRule="auto"/>
              <w:ind w:left="0" w:right="0"/>
              <w:jc w:val="left"/>
              <w:rPr>
                <w:rFonts w:hint="default"/>
                <w:color w:val="000000"/>
                <w:szCs w:val="21"/>
              </w:rPr>
            </w:pPr>
          </w:p>
        </w:tc>
      </w:tr>
    </w:tbl>
    <w:p w14:paraId="4E2C3B33">
      <w:pPr>
        <w:ind w:firstLine="420" w:firstLineChars="200"/>
        <w:rPr>
          <w:bCs/>
          <w:szCs w:val="21"/>
        </w:rPr>
      </w:pPr>
      <w:r>
        <w:rPr>
          <w:rFonts w:hint="eastAsia"/>
          <w:bCs/>
          <w:szCs w:val="21"/>
        </w:rPr>
        <w:t>《商务要求偏离表》编制指引：</w:t>
      </w:r>
    </w:p>
    <w:p w14:paraId="11E7E07B">
      <w:pPr>
        <w:ind w:firstLine="420" w:firstLineChars="200"/>
        <w:rPr>
          <w:bCs/>
          <w:szCs w:val="21"/>
        </w:rPr>
      </w:pPr>
      <w:r>
        <w:rPr>
          <w:rFonts w:hint="eastAsia"/>
          <w:bCs/>
          <w:szCs w:val="21"/>
        </w:rPr>
        <w:t>1、商务要求偏离表的序号、商务需求项、招标商务要求等栏目对应“用户需求书”中的“商务要求”章节相关内容。</w:t>
      </w:r>
    </w:p>
    <w:p w14:paraId="079B9711">
      <w:pPr>
        <w:ind w:firstLine="420" w:firstLineChars="200"/>
        <w:rPr>
          <w:bCs/>
          <w:szCs w:val="21"/>
        </w:rPr>
      </w:pPr>
      <w:r>
        <w:rPr>
          <w:bCs/>
          <w:szCs w:val="21"/>
        </w:rPr>
        <w:t>2</w:t>
      </w:r>
      <w:r>
        <w:rPr>
          <w:rFonts w:hint="eastAsia"/>
          <w:bCs/>
          <w:szCs w:val="21"/>
        </w:rPr>
        <w:t>、“投标商务响应”一栏必须一一对照“招标商务要求”，详细填写自身响应情况，而不能不合理照搬照抄招标文件的商务要求，以体现具体响应情况。</w:t>
      </w:r>
    </w:p>
    <w:p w14:paraId="76FF2C7B">
      <w:pPr>
        <w:ind w:firstLine="420" w:firstLineChars="200"/>
        <w:rPr>
          <w:bCs/>
          <w:color w:val="FF0000"/>
          <w:szCs w:val="21"/>
        </w:rPr>
      </w:pPr>
      <w:r>
        <w:rPr>
          <w:bCs/>
          <w:szCs w:val="21"/>
        </w:rPr>
        <w:t>3</w:t>
      </w:r>
      <w:r>
        <w:rPr>
          <w:rFonts w:hint="eastAsia"/>
          <w:bCs/>
          <w:szCs w:val="21"/>
        </w:rPr>
        <w:t>、“偏离情况”一栏填写如实填写“正偏离”、“负偏离”或“无偏离”，其中：“正偏离”表示“投标响应优于招标商务要求”，“负偏离”表示“投标响应不满足招标商务要求”，“无偏离”表示“投标响应与招标商务要求一致”。</w:t>
      </w:r>
    </w:p>
    <w:p w14:paraId="365A6B90">
      <w:pPr>
        <w:rPr>
          <w:bCs/>
          <w:szCs w:val="21"/>
        </w:rPr>
      </w:pPr>
      <w:r>
        <w:rPr>
          <w:rFonts w:hint="eastAsia"/>
          <w:bCs/>
          <w:szCs w:val="21"/>
        </w:rPr>
        <w:t>“投标商务响应”对比“招标商务要求”存在响应不全（包括未响应整项招标商务要求或者未响应一项招标商务要求的部分内容），均视为“负偏离”。</w:t>
      </w:r>
    </w:p>
    <w:p w14:paraId="45DD36F9">
      <w:pPr>
        <w:ind w:firstLine="420" w:firstLineChars="200"/>
        <w:rPr>
          <w:bCs/>
          <w:szCs w:val="21"/>
        </w:rPr>
      </w:pPr>
      <w:r>
        <w:rPr>
          <w:rFonts w:hint="eastAsia"/>
          <w:bCs/>
          <w:szCs w:val="21"/>
        </w:rPr>
        <w:t>4、带★号条款为不可偏离条款，如未响应或出现负偏离的，将作投标无效处理。</w:t>
      </w:r>
    </w:p>
    <w:p w14:paraId="5292C91F">
      <w:pPr>
        <w:rPr>
          <w:sz w:val="24"/>
        </w:rPr>
      </w:pPr>
    </w:p>
    <w:p w14:paraId="643A7BDB">
      <w:pPr>
        <w:rPr>
          <w:rFonts w:hint="eastAsia" w:ascii="黑体" w:hAnsi="宋体" w:eastAsia="黑体"/>
          <w:bCs/>
          <w:kern w:val="0"/>
          <w:sz w:val="24"/>
          <w:szCs w:val="32"/>
        </w:rPr>
      </w:pPr>
      <w:bookmarkStart w:id="78" w:name="_Hlk72260576"/>
    </w:p>
    <w:p w14:paraId="32AE7958">
      <w:pPr>
        <w:rPr>
          <w:rFonts w:hint="eastAsia" w:ascii="黑体" w:hAnsi="宋体" w:eastAsia="黑体"/>
          <w:bCs/>
          <w:kern w:val="0"/>
          <w:sz w:val="24"/>
          <w:szCs w:val="32"/>
        </w:rPr>
      </w:pPr>
      <w:r>
        <w:rPr>
          <w:rFonts w:hint="eastAsia" w:ascii="黑体" w:hAnsi="宋体" w:eastAsia="黑体"/>
          <w:bCs/>
          <w:kern w:val="0"/>
          <w:sz w:val="24"/>
          <w:szCs w:val="32"/>
        </w:rPr>
        <w:br w:type="page"/>
      </w:r>
    </w:p>
    <w:p w14:paraId="6A71F750">
      <w:pPr>
        <w:rPr>
          <w:rFonts w:ascii="黑体" w:eastAsia="黑体"/>
          <w:sz w:val="24"/>
          <w:szCs w:val="20"/>
        </w:rPr>
      </w:pPr>
      <w:r>
        <w:rPr>
          <w:rFonts w:hint="eastAsia" w:ascii="黑体" w:hAnsi="宋体" w:eastAsia="黑体"/>
          <w:bCs/>
          <w:kern w:val="0"/>
          <w:sz w:val="24"/>
          <w:szCs w:val="32"/>
        </w:rPr>
        <w:t>七、</w:t>
      </w:r>
      <w:bookmarkStart w:id="79" w:name="_Hlk72062872"/>
      <w:r>
        <w:rPr>
          <w:rFonts w:hint="eastAsia" w:ascii="黑体" w:eastAsia="黑体"/>
          <w:sz w:val="24"/>
          <w:szCs w:val="20"/>
        </w:rPr>
        <w:t>投标人认为需要加以说明的其他内容</w:t>
      </w:r>
      <w:bookmarkEnd w:id="79"/>
    </w:p>
    <w:bookmarkEnd w:id="78"/>
    <w:p w14:paraId="3129A9CE">
      <w:pPr>
        <w:widowControl/>
        <w:jc w:val="center"/>
        <w:rPr>
          <w:rFonts w:hint="eastAsia" w:ascii="黑体" w:hAnsi="宋体" w:eastAsia="黑体"/>
          <w:kern w:val="0"/>
          <w:sz w:val="24"/>
          <w:szCs w:val="20"/>
        </w:rPr>
      </w:pPr>
    </w:p>
    <w:p w14:paraId="26641356">
      <w:pPr>
        <w:widowControl/>
        <w:jc w:val="center"/>
        <w:rPr>
          <w:rFonts w:hint="eastAsia" w:ascii="黑体" w:hAnsi="宋体" w:eastAsia="黑体"/>
          <w:kern w:val="0"/>
          <w:sz w:val="24"/>
          <w:szCs w:val="20"/>
        </w:rPr>
      </w:pPr>
      <w:r>
        <w:rPr>
          <w:rFonts w:hint="eastAsia" w:ascii="黑体" w:hAnsi="宋体" w:eastAsia="黑体"/>
          <w:kern w:val="0"/>
          <w:sz w:val="24"/>
          <w:szCs w:val="20"/>
        </w:rPr>
        <w:t>（一）政府采购违法行为风险知悉确认书</w:t>
      </w:r>
    </w:p>
    <w:p w14:paraId="6846995D">
      <w:pPr>
        <w:spacing w:after="120" w:afterLines="50" w:line="360" w:lineRule="exact"/>
        <w:ind w:firstLine="422" w:firstLineChars="200"/>
        <w:rPr>
          <w:rFonts w:hint="eastAsia" w:ascii="宋体" w:hAnsi="宋体" w:cs="宋体"/>
          <w:b/>
          <w:bCs/>
          <w:szCs w:val="21"/>
        </w:rPr>
      </w:pPr>
      <w:r>
        <w:rPr>
          <w:rFonts w:hint="eastAsia" w:ascii="宋体" w:hAnsi="宋体" w:cs="宋体"/>
          <w:b/>
          <w:bCs/>
          <w:szCs w:val="21"/>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716D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77767DCB">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序号</w:t>
            </w:r>
          </w:p>
        </w:tc>
        <w:tc>
          <w:tcPr>
            <w:tcW w:w="7811" w:type="dxa"/>
          </w:tcPr>
          <w:p w14:paraId="17C4BC00">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b/>
                <w:bCs/>
                <w:szCs w:val="21"/>
              </w:rPr>
              <w:t>供应商参与投标禁止情形</w:t>
            </w:r>
          </w:p>
        </w:tc>
      </w:tr>
      <w:tr w14:paraId="00FA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7F5228D0">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1</w:t>
            </w:r>
          </w:p>
        </w:tc>
        <w:tc>
          <w:tcPr>
            <w:tcW w:w="7811" w:type="dxa"/>
            <w:vAlign w:val="center"/>
          </w:tcPr>
          <w:p w14:paraId="0DF4BCC2">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14:paraId="52A0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17EDE884">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2</w:t>
            </w:r>
          </w:p>
        </w:tc>
        <w:tc>
          <w:tcPr>
            <w:tcW w:w="7811" w:type="dxa"/>
            <w:vAlign w:val="center"/>
          </w:tcPr>
          <w:p w14:paraId="1CFDE0A8">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参与本项目政府采购活动时，与其他投标供应商存在单位负责人为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14:paraId="2D2D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686BC1BF">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3</w:t>
            </w:r>
          </w:p>
        </w:tc>
        <w:tc>
          <w:tcPr>
            <w:tcW w:w="7811" w:type="dxa"/>
            <w:vAlign w:val="center"/>
          </w:tcPr>
          <w:p w14:paraId="08F4AA16">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与其他投标供应商的投标文件或部分投标文件</w:t>
            </w:r>
            <w:r>
              <w:rPr>
                <w:rFonts w:hint="eastAsia" w:ascii="宋体" w:hAnsi="宋体" w:cs="宋体"/>
                <w:b/>
                <w:bCs/>
                <w:szCs w:val="21"/>
              </w:rPr>
              <w:t>相互混装或存在非正常一致</w:t>
            </w:r>
            <w:r>
              <w:rPr>
                <w:rFonts w:hint="eastAsia" w:ascii="宋体" w:hAnsi="宋体" w:cs="宋体"/>
                <w:szCs w:val="21"/>
              </w:rPr>
              <w:t>。</w:t>
            </w:r>
          </w:p>
        </w:tc>
      </w:tr>
      <w:tr w14:paraId="0933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EF0EF70">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4</w:t>
            </w:r>
          </w:p>
        </w:tc>
        <w:tc>
          <w:tcPr>
            <w:tcW w:w="7811" w:type="dxa"/>
            <w:vAlign w:val="center"/>
          </w:tcPr>
          <w:p w14:paraId="0C1E8078">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与其他投标供应商的投标文件由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14:paraId="2A96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0D64E2E9">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5</w:t>
            </w:r>
          </w:p>
        </w:tc>
        <w:tc>
          <w:tcPr>
            <w:tcW w:w="7811" w:type="dxa"/>
            <w:vAlign w:val="center"/>
          </w:tcPr>
          <w:p w14:paraId="7261BCD7">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r w14:paraId="5E6B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66F20F66">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6</w:t>
            </w:r>
          </w:p>
        </w:tc>
        <w:tc>
          <w:tcPr>
            <w:tcW w:w="7811" w:type="dxa"/>
            <w:vAlign w:val="center"/>
          </w:tcPr>
          <w:p w14:paraId="6F45A8D9">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擅自将投标密钥或电子营业执照出借他人使用或未妥善保管。</w:t>
            </w:r>
          </w:p>
        </w:tc>
      </w:tr>
    </w:tbl>
    <w:p w14:paraId="5D92F516">
      <w:pPr>
        <w:spacing w:before="120" w:beforeLines="50" w:line="380" w:lineRule="exact"/>
        <w:ind w:firstLine="422" w:firstLineChars="200"/>
        <w:rPr>
          <w:rFonts w:hint="eastAsia" w:ascii="宋体" w:hAnsi="宋体" w:cs="宋体"/>
          <w:b/>
          <w:szCs w:val="21"/>
        </w:rPr>
      </w:pPr>
      <w:r>
        <w:rPr>
          <w:rFonts w:hint="eastAsia" w:ascii="宋体" w:hAnsi="宋体" w:cs="宋体"/>
          <w:b/>
          <w:szCs w:val="21"/>
        </w:rPr>
        <w:t>一、我单位已充分知悉“隐瞒真实情况，提供虚假资料”的法定情形，包括但不限于：</w:t>
      </w:r>
    </w:p>
    <w:p w14:paraId="69D1343E">
      <w:pPr>
        <w:spacing w:line="380" w:lineRule="exact"/>
        <w:ind w:firstLine="420" w:firstLineChars="200"/>
        <w:rPr>
          <w:rFonts w:hint="eastAsia" w:ascii="宋体" w:hAnsi="宋体" w:cs="宋体"/>
          <w:szCs w:val="21"/>
        </w:rPr>
      </w:pPr>
      <w:r>
        <w:rPr>
          <w:rFonts w:hint="eastAsia" w:ascii="宋体" w:hAnsi="宋体" w:cs="宋体"/>
          <w:szCs w:val="21"/>
        </w:rPr>
        <w:t>（一）通过转让或者租借等方式从其他单位获取资格或者资质证书投标的。</w:t>
      </w:r>
    </w:p>
    <w:p w14:paraId="19CE13E7">
      <w:pPr>
        <w:spacing w:line="380" w:lineRule="exact"/>
        <w:ind w:firstLine="420" w:firstLineChars="200"/>
        <w:rPr>
          <w:rFonts w:hint="eastAsia" w:ascii="宋体" w:hAnsi="宋体" w:cs="宋体"/>
          <w:szCs w:val="21"/>
        </w:rPr>
      </w:pPr>
      <w:r>
        <w:rPr>
          <w:rFonts w:hint="eastAsia" w:ascii="宋体" w:hAnsi="宋体" w:cs="宋体"/>
          <w:szCs w:val="21"/>
        </w:rPr>
        <w:t>（二）由其他单位或者其他单位负责人在投标供应商编制的投标文件上加盖印章或者签字的。</w:t>
      </w:r>
    </w:p>
    <w:p w14:paraId="11DE558B">
      <w:pPr>
        <w:spacing w:line="380" w:lineRule="exact"/>
        <w:ind w:firstLine="420" w:firstLineChars="200"/>
        <w:rPr>
          <w:rFonts w:hint="eastAsia" w:ascii="宋体" w:hAnsi="宋体" w:cs="宋体"/>
          <w:szCs w:val="21"/>
        </w:rPr>
      </w:pPr>
      <w:r>
        <w:rPr>
          <w:rFonts w:hint="eastAsia" w:ascii="宋体" w:hAnsi="宋体" w:cs="宋体"/>
          <w:szCs w:val="21"/>
        </w:rPr>
        <w:t>（三）项目负责人或者主要技术人员不是本单位人员的。</w:t>
      </w:r>
    </w:p>
    <w:p w14:paraId="19847A0F">
      <w:pPr>
        <w:spacing w:line="380" w:lineRule="exact"/>
        <w:ind w:firstLine="420" w:firstLineChars="200"/>
        <w:rPr>
          <w:rFonts w:hint="eastAsia" w:ascii="宋体" w:hAnsi="宋体" w:cs="宋体"/>
          <w:szCs w:val="21"/>
        </w:rPr>
      </w:pPr>
      <w:r>
        <w:rPr>
          <w:rFonts w:hint="eastAsia" w:ascii="宋体" w:hAnsi="宋体" w:cs="宋体"/>
          <w:szCs w:val="21"/>
        </w:rPr>
        <w:t>（四）投标保证金不是从投标供应商基本账户转出的。</w:t>
      </w:r>
    </w:p>
    <w:p w14:paraId="0A4B4CA5">
      <w:pPr>
        <w:spacing w:line="380" w:lineRule="exact"/>
        <w:ind w:firstLine="420" w:firstLineChars="200"/>
        <w:rPr>
          <w:rFonts w:hint="eastAsia" w:ascii="宋体" w:hAnsi="宋体" w:cs="宋体"/>
          <w:szCs w:val="21"/>
        </w:rPr>
      </w:pPr>
      <w:r>
        <w:rPr>
          <w:rFonts w:hint="eastAsia" w:ascii="宋体" w:hAnsi="宋体" w:cs="宋体"/>
          <w:szCs w:val="21"/>
        </w:rPr>
        <w:t>（五）其他隐瞒真实情况、提供虚假资料的行为。</w:t>
      </w:r>
    </w:p>
    <w:p w14:paraId="05C81C74">
      <w:pPr>
        <w:spacing w:line="380" w:lineRule="exact"/>
        <w:ind w:firstLine="422" w:firstLineChars="200"/>
        <w:rPr>
          <w:rFonts w:hint="eastAsia" w:ascii="宋体" w:hAnsi="宋体" w:cs="宋体"/>
          <w:b/>
          <w:szCs w:val="21"/>
        </w:rPr>
      </w:pPr>
      <w:r>
        <w:rPr>
          <w:rFonts w:hint="eastAsia" w:ascii="宋体" w:hAnsi="宋体" w:cs="宋体"/>
          <w:b/>
          <w:szCs w:val="21"/>
        </w:rPr>
        <w:t>二、我单位已充分知悉“与其他采购参加人串通投标”的法定情形，包括但不限于：</w:t>
      </w:r>
    </w:p>
    <w:p w14:paraId="68F83EB1">
      <w:pPr>
        <w:spacing w:line="380" w:lineRule="exact"/>
        <w:ind w:firstLine="420" w:firstLineChars="200"/>
        <w:rPr>
          <w:rFonts w:hint="eastAsia" w:ascii="宋体" w:hAnsi="宋体" w:cs="宋体"/>
          <w:szCs w:val="21"/>
        </w:rPr>
      </w:pPr>
      <w:r>
        <w:rPr>
          <w:rFonts w:hint="eastAsia" w:ascii="宋体" w:hAnsi="宋体" w:cs="宋体"/>
          <w:szCs w:val="21"/>
        </w:rPr>
        <w:t>（一）投标供应商之间相互约定给予未中标的供应商利益补偿。</w:t>
      </w:r>
    </w:p>
    <w:p w14:paraId="168A011E">
      <w:pPr>
        <w:spacing w:line="380" w:lineRule="exact"/>
        <w:ind w:firstLine="420" w:firstLineChars="200"/>
        <w:rPr>
          <w:rFonts w:hint="eastAsia" w:ascii="宋体" w:hAnsi="宋体" w:cs="宋体"/>
          <w:szCs w:val="21"/>
        </w:rPr>
      </w:pPr>
      <w:r>
        <w:rPr>
          <w:rFonts w:hint="eastAsia" w:ascii="宋体" w:hAnsi="宋体" w:cs="宋体"/>
          <w:szCs w:val="21"/>
        </w:rPr>
        <w:t>（二）不同投标供应商的法定代表人、主要经营负责人、项目投标授权代表人、项目负责人、主要技术人员为同一人、属同一单位或者在同一单位缴纳社会保险。</w:t>
      </w:r>
    </w:p>
    <w:p w14:paraId="47599631">
      <w:pPr>
        <w:spacing w:line="340" w:lineRule="exact"/>
        <w:ind w:firstLine="420" w:firstLineChars="200"/>
        <w:rPr>
          <w:rFonts w:hint="eastAsia" w:ascii="宋体" w:hAnsi="宋体" w:cs="宋体"/>
          <w:szCs w:val="21"/>
        </w:rPr>
      </w:pPr>
      <w:r>
        <w:rPr>
          <w:rFonts w:hint="eastAsia" w:ascii="宋体" w:hAnsi="宋体" w:cs="宋体"/>
          <w:szCs w:val="21"/>
        </w:rPr>
        <w:t>（三）不同投标供应商的投标文件由同一单位或者同一人编制，或者由同一人分阶段参与编制的。</w:t>
      </w:r>
    </w:p>
    <w:p w14:paraId="52E3BBC7">
      <w:pPr>
        <w:spacing w:line="340" w:lineRule="exact"/>
        <w:ind w:firstLine="420" w:firstLineChars="200"/>
        <w:rPr>
          <w:rFonts w:hint="eastAsia" w:ascii="宋体" w:hAnsi="宋体" w:cs="宋体"/>
          <w:szCs w:val="21"/>
        </w:rPr>
      </w:pPr>
      <w:r>
        <w:rPr>
          <w:rFonts w:hint="eastAsia" w:ascii="宋体" w:hAnsi="宋体" w:cs="宋体"/>
          <w:szCs w:val="21"/>
        </w:rPr>
        <w:t>（四）不同投标供应商的投标文件或部分投标文件相互混装。</w:t>
      </w:r>
    </w:p>
    <w:p w14:paraId="05A7A34E">
      <w:pPr>
        <w:spacing w:line="340" w:lineRule="exact"/>
        <w:ind w:firstLine="420" w:firstLineChars="200"/>
        <w:rPr>
          <w:rFonts w:hint="eastAsia" w:ascii="宋体" w:hAnsi="宋体" w:cs="宋体"/>
          <w:szCs w:val="21"/>
        </w:rPr>
      </w:pPr>
      <w:r>
        <w:rPr>
          <w:rFonts w:hint="eastAsia" w:ascii="宋体" w:hAnsi="宋体" w:cs="宋体"/>
          <w:szCs w:val="21"/>
        </w:rPr>
        <w:t>（五）不同投标供应商的投标文件内容存在非正常一致。</w:t>
      </w:r>
    </w:p>
    <w:p w14:paraId="0B308AEE">
      <w:pPr>
        <w:spacing w:line="340" w:lineRule="exact"/>
        <w:ind w:firstLine="420" w:firstLineChars="200"/>
        <w:rPr>
          <w:rFonts w:hint="eastAsia" w:ascii="宋体" w:hAnsi="宋体" w:cs="宋体"/>
          <w:szCs w:val="21"/>
        </w:rPr>
      </w:pPr>
      <w:r>
        <w:rPr>
          <w:rFonts w:hint="eastAsia" w:ascii="宋体" w:hAnsi="宋体" w:cs="宋体"/>
          <w:szCs w:val="21"/>
        </w:rPr>
        <w:t>（六）由同一单位工作人员为两家以上（含两家）供应商进行同一项投标活动的。</w:t>
      </w:r>
    </w:p>
    <w:p w14:paraId="604E8AA6">
      <w:pPr>
        <w:spacing w:line="340" w:lineRule="exact"/>
        <w:ind w:firstLine="420" w:firstLineChars="200"/>
        <w:rPr>
          <w:rFonts w:hint="eastAsia" w:ascii="宋体" w:hAnsi="宋体" w:cs="宋体"/>
          <w:szCs w:val="21"/>
        </w:rPr>
      </w:pPr>
      <w:r>
        <w:rPr>
          <w:rFonts w:hint="eastAsia" w:ascii="宋体" w:hAnsi="宋体" w:cs="宋体"/>
          <w:szCs w:val="21"/>
        </w:rPr>
        <w:t>（七）不同投标人的投标报价呈规律性差异。</w:t>
      </w:r>
    </w:p>
    <w:p w14:paraId="4029F95E">
      <w:pPr>
        <w:spacing w:line="340" w:lineRule="exact"/>
        <w:ind w:firstLine="420" w:firstLineChars="200"/>
        <w:rPr>
          <w:rFonts w:hint="eastAsia" w:ascii="宋体" w:hAnsi="宋体" w:cs="宋体"/>
          <w:szCs w:val="21"/>
        </w:rPr>
      </w:pPr>
      <w:r>
        <w:rPr>
          <w:rFonts w:hint="eastAsia" w:ascii="宋体" w:hAnsi="宋体" w:cs="宋体"/>
          <w:szCs w:val="21"/>
        </w:rPr>
        <w:t>（八）不同投标人的投标保证金从同一单位或者个人的账户转出。</w:t>
      </w:r>
    </w:p>
    <w:p w14:paraId="255056AE">
      <w:pPr>
        <w:spacing w:line="340" w:lineRule="exact"/>
        <w:ind w:firstLine="420" w:firstLineChars="200"/>
        <w:rPr>
          <w:rFonts w:hint="eastAsia" w:ascii="宋体" w:hAnsi="宋体" w:cs="宋体"/>
          <w:szCs w:val="21"/>
        </w:rPr>
      </w:pPr>
      <w:r>
        <w:rPr>
          <w:rFonts w:hint="eastAsia" w:ascii="宋体" w:hAnsi="宋体" w:cs="宋体"/>
          <w:szCs w:val="21"/>
        </w:rPr>
        <w:t>（九）主管部门依照法律、法规认定的其他情形。</w:t>
      </w:r>
    </w:p>
    <w:p w14:paraId="161A0849">
      <w:pPr>
        <w:spacing w:line="340" w:lineRule="exact"/>
        <w:ind w:firstLine="422" w:firstLineChars="200"/>
        <w:rPr>
          <w:rFonts w:hint="eastAsia" w:ascii="宋体" w:hAnsi="宋体" w:cs="宋体"/>
          <w:b/>
          <w:szCs w:val="21"/>
        </w:rPr>
      </w:pPr>
      <w:r>
        <w:rPr>
          <w:rFonts w:hint="eastAsia" w:ascii="宋体" w:hAnsi="宋体" w:cs="宋体"/>
          <w:b/>
          <w:szCs w:val="21"/>
        </w:rPr>
        <w:t>三、我单位已充分知悉下列情形存在法律风险，在投标前已对相关风险事项进行排查。</w:t>
      </w:r>
    </w:p>
    <w:p w14:paraId="7FBC9F66">
      <w:pPr>
        <w:spacing w:line="340" w:lineRule="exact"/>
        <w:ind w:firstLine="420" w:firstLineChars="200"/>
        <w:rPr>
          <w:rFonts w:hint="eastAsia" w:ascii="宋体" w:hAnsi="宋体" w:cs="宋体"/>
          <w:b/>
          <w:szCs w:val="21"/>
        </w:rPr>
      </w:pPr>
      <w:r>
        <w:rPr>
          <w:rFonts w:hint="eastAsia" w:ascii="宋体" w:hAnsi="宋体" w:cs="宋体"/>
          <w:szCs w:val="21"/>
        </w:rPr>
        <w:t>（一）对于从其他主体获取的投标资料，我单位应审慎核查，确保其真实性。</w:t>
      </w:r>
      <w:r>
        <w:rPr>
          <w:rFonts w:hint="eastAsia" w:ascii="宋体" w:hAnsi="宋体" w:cs="宋体"/>
          <w:b/>
          <w:szCs w:val="21"/>
        </w:rPr>
        <w:t>如主管部门查实投标文件中存在虚假资料的，无论相关资料是否由第三方或本公司员工提供，均不影响主管部门对供应商存在“隐瞒真实情况，提供虚假资料”违法行为的认定。</w:t>
      </w:r>
    </w:p>
    <w:p w14:paraId="023C05D1">
      <w:pPr>
        <w:spacing w:line="340" w:lineRule="exact"/>
        <w:ind w:firstLine="420" w:firstLineChars="200"/>
        <w:rPr>
          <w:rFonts w:hint="eastAsia" w:ascii="宋体" w:hAnsi="宋体" w:cs="宋体"/>
          <w:szCs w:val="21"/>
        </w:rPr>
      </w:pPr>
      <w:r>
        <w:rPr>
          <w:rFonts w:hint="eastAsia" w:ascii="宋体" w:hAnsi="宋体" w:cs="宋体"/>
          <w:szCs w:val="21"/>
        </w:rPr>
        <w:t>（二）对于涉及国家机关出具的公文、证件、证明材料等文件，一旦涉嫌虚假，经查实，主管部门将依法从严处理，并移送有关部门追究法律责任；涉嫌犯罪的，移送司法机关处理。</w:t>
      </w:r>
    </w:p>
    <w:p w14:paraId="53B7DCD8">
      <w:pPr>
        <w:spacing w:line="340" w:lineRule="exact"/>
        <w:ind w:firstLine="420" w:firstLineChars="200"/>
        <w:rPr>
          <w:rFonts w:hint="eastAsia" w:ascii="宋体" w:hAnsi="宋体" w:cs="宋体"/>
          <w:szCs w:val="21"/>
        </w:rPr>
      </w:pPr>
      <w:r>
        <w:rPr>
          <w:rFonts w:hint="eastAsia" w:ascii="宋体" w:hAnsi="宋体" w:cs="宋体"/>
          <w:szCs w:val="21"/>
        </w:rPr>
        <w:t>（三）我单位对投标电子密钥或电子营业执照负有妥善保管、及时变更和续期等主体责任；使用电子密钥或电子营业执照在深圳政府采购网站进行的活动，均具有法律效力，须承担相应的法律后果。若</w:t>
      </w:r>
      <w:r>
        <w:rPr>
          <w:rFonts w:hint="eastAsia" w:ascii="宋体" w:hAnsi="宋体" w:cs="宋体"/>
          <w:b/>
          <w:bCs/>
          <w:szCs w:val="21"/>
        </w:rPr>
        <w:t>擅自将投标密钥或电子营业执照出借他人使用所造成的法律后果，由我单位自行承担</w:t>
      </w:r>
      <w:r>
        <w:rPr>
          <w:rFonts w:hint="eastAsia" w:ascii="宋体" w:hAnsi="宋体" w:cs="宋体"/>
          <w:szCs w:val="21"/>
        </w:rPr>
        <w:t>。</w:t>
      </w:r>
    </w:p>
    <w:p w14:paraId="4FA033F8">
      <w:pPr>
        <w:spacing w:line="340" w:lineRule="exact"/>
        <w:ind w:firstLine="422" w:firstLineChars="200"/>
        <w:rPr>
          <w:rFonts w:hint="eastAsia" w:ascii="宋体" w:hAnsi="宋体" w:cs="宋体"/>
          <w:b/>
          <w:szCs w:val="21"/>
        </w:rPr>
      </w:pPr>
      <w:r>
        <w:rPr>
          <w:rFonts w:hint="eastAsia" w:ascii="宋体" w:hAnsi="宋体" w:cs="宋体"/>
          <w:b/>
          <w:szCs w:val="21"/>
        </w:rPr>
        <w:t>四、我单位已充分知悉政府采购违法、违规行为的法律后果。</w:t>
      </w:r>
    </w:p>
    <w:p w14:paraId="4FF69858">
      <w:pPr>
        <w:spacing w:line="340" w:lineRule="exact"/>
        <w:ind w:firstLine="420" w:firstLineChars="200"/>
        <w:rPr>
          <w:rFonts w:hint="eastAsia" w:ascii="宋体" w:hAnsi="宋体" w:cs="宋体"/>
          <w:szCs w:val="21"/>
        </w:rPr>
      </w:pPr>
      <w:r>
        <w:rPr>
          <w:rFonts w:hint="eastAsia" w:ascii="宋体" w:hAnsi="宋体" w:cs="宋体"/>
          <w:szCs w:val="21"/>
        </w:rPr>
        <w:t>经查实，若我单位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423F4D59">
      <w:pPr>
        <w:spacing w:line="340" w:lineRule="exact"/>
        <w:ind w:firstLine="420" w:firstLineChars="200"/>
        <w:rPr>
          <w:rFonts w:hint="eastAsia" w:ascii="宋体" w:hAnsi="宋体" w:cs="宋体"/>
          <w:szCs w:val="21"/>
          <w:highlight w:val="yellow"/>
        </w:rPr>
      </w:pPr>
      <w:r>
        <w:rPr>
          <w:rFonts w:hint="eastAsia" w:ascii="宋体" w:hAnsi="宋体" w:cs="宋体"/>
          <w:szCs w:val="21"/>
          <w:highlight w:val="yellow"/>
        </w:rPr>
        <w:t>以下文字请投标供应商抄写并确认：“我单位已仔细阅读《政府采购违法行为风险知悉确认书》，充分知悉违法行为的法律后果，并承诺将严谨、诚信、依法依规参与政府采购活动”。</w:t>
      </w:r>
    </w:p>
    <w:tbl>
      <w:tblPr>
        <w:tblStyle w:val="483"/>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07E1BE9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1871FF5">
            <w:pPr>
              <w:keepNext w:val="0"/>
              <w:keepLines w:val="0"/>
              <w:suppressLineNumbers w:val="0"/>
              <w:autoSpaceDE w:val="0"/>
              <w:autoSpaceDN w:val="0"/>
              <w:spacing w:before="0" w:beforeAutospacing="0" w:after="0" w:afterAutospacing="0" w:line="340" w:lineRule="exact"/>
              <w:ind w:left="0" w:right="0" w:firstLine="1866"/>
              <w:rPr>
                <w:rFonts w:hint="eastAsia" w:ascii="宋体" w:hAnsi="宋体" w:cs="宋体" w:eastAsiaTheme="minorEastAsia"/>
                <w:spacing w:val="-4"/>
                <w:kern w:val="0"/>
                <w:szCs w:val="21"/>
              </w:rPr>
            </w:pPr>
          </w:p>
        </w:tc>
      </w:tr>
      <w:tr w14:paraId="2F94E08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A587BDE">
            <w:pPr>
              <w:keepNext w:val="0"/>
              <w:keepLines w:val="0"/>
              <w:suppressLineNumbers w:val="0"/>
              <w:autoSpaceDE w:val="0"/>
              <w:autoSpaceDN w:val="0"/>
              <w:spacing w:before="0" w:beforeAutospacing="0" w:after="0" w:afterAutospacing="0" w:line="340" w:lineRule="exact"/>
              <w:ind w:left="0" w:right="0" w:firstLine="1866"/>
              <w:rPr>
                <w:rFonts w:hint="eastAsia" w:ascii="宋体" w:hAnsi="宋体" w:cs="宋体" w:eastAsiaTheme="minorEastAsia"/>
                <w:spacing w:val="-4"/>
                <w:kern w:val="0"/>
                <w:szCs w:val="21"/>
              </w:rPr>
            </w:pPr>
          </w:p>
        </w:tc>
      </w:tr>
      <w:tr w14:paraId="38821D1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D76254E">
            <w:pPr>
              <w:keepNext w:val="0"/>
              <w:keepLines w:val="0"/>
              <w:suppressLineNumbers w:val="0"/>
              <w:autoSpaceDE w:val="0"/>
              <w:autoSpaceDN w:val="0"/>
              <w:spacing w:before="0" w:beforeAutospacing="0" w:after="0" w:afterAutospacing="0" w:line="340" w:lineRule="exact"/>
              <w:ind w:left="0" w:right="0" w:firstLine="1866"/>
              <w:rPr>
                <w:rFonts w:hint="eastAsia" w:ascii="宋体" w:hAnsi="宋体" w:cs="宋体" w:eastAsiaTheme="minorEastAsia"/>
                <w:spacing w:val="-4"/>
                <w:kern w:val="0"/>
                <w:szCs w:val="21"/>
              </w:rPr>
            </w:pPr>
          </w:p>
        </w:tc>
      </w:tr>
      <w:tr w14:paraId="147F5CA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72A3E46F">
            <w:pPr>
              <w:keepNext w:val="0"/>
              <w:keepLines w:val="0"/>
              <w:suppressLineNumbers w:val="0"/>
              <w:autoSpaceDE w:val="0"/>
              <w:autoSpaceDN w:val="0"/>
              <w:spacing w:before="0" w:beforeAutospacing="0" w:after="0" w:afterAutospacing="0" w:line="340" w:lineRule="exact"/>
              <w:ind w:left="0" w:right="0" w:firstLine="1866"/>
              <w:rPr>
                <w:rFonts w:hint="eastAsia" w:ascii="宋体" w:hAnsi="宋体" w:cs="宋体" w:eastAsiaTheme="minorEastAsia"/>
                <w:spacing w:val="-4"/>
                <w:kern w:val="0"/>
                <w:szCs w:val="21"/>
              </w:rPr>
            </w:pPr>
          </w:p>
        </w:tc>
      </w:tr>
    </w:tbl>
    <w:p w14:paraId="7513377B">
      <w:pPr>
        <w:widowControl/>
        <w:wordWrap w:val="0"/>
        <w:autoSpaceDE w:val="0"/>
        <w:autoSpaceDN w:val="0"/>
        <w:spacing w:line="340" w:lineRule="exact"/>
        <w:ind w:right="808" w:firstLine="404" w:firstLineChars="200"/>
        <w:jc w:val="right"/>
        <w:rPr>
          <w:rFonts w:hint="eastAsia" w:ascii="宋体" w:hAnsi="宋体" w:cs="宋体"/>
          <w:spacing w:val="-4"/>
          <w:kern w:val="0"/>
          <w:szCs w:val="21"/>
        </w:rPr>
      </w:pPr>
    </w:p>
    <w:p w14:paraId="7D445354">
      <w:pPr>
        <w:widowControl/>
        <w:wordWrap w:val="0"/>
        <w:autoSpaceDE w:val="0"/>
        <w:autoSpaceDN w:val="0"/>
        <w:spacing w:line="340" w:lineRule="exact"/>
        <w:ind w:right="808" w:firstLine="404" w:firstLineChars="200"/>
        <w:jc w:val="right"/>
        <w:rPr>
          <w:rFonts w:hint="eastAsia" w:ascii="宋体" w:hAnsi="宋体" w:cs="宋体"/>
          <w:spacing w:val="-4"/>
          <w:kern w:val="0"/>
          <w:szCs w:val="21"/>
          <w:u w:val="single"/>
        </w:rPr>
      </w:pPr>
      <w:r>
        <w:rPr>
          <w:rFonts w:hint="eastAsia" w:ascii="宋体" w:hAnsi="宋体" w:cs="宋体"/>
          <w:spacing w:val="-4"/>
          <w:kern w:val="0"/>
          <w:szCs w:val="21"/>
        </w:rPr>
        <w:t>单位负责人签名：</w:t>
      </w:r>
      <w:r>
        <w:rPr>
          <w:rFonts w:hint="eastAsia" w:ascii="宋体" w:hAnsi="宋体" w:cs="宋体"/>
          <w:spacing w:val="-4"/>
          <w:kern w:val="0"/>
          <w:szCs w:val="21"/>
          <w:u w:val="single"/>
        </w:rPr>
        <w:t xml:space="preserve">              </w:t>
      </w:r>
    </w:p>
    <w:p w14:paraId="413DC237">
      <w:pPr>
        <w:widowControl/>
        <w:wordWrap w:val="0"/>
        <w:autoSpaceDE w:val="0"/>
        <w:autoSpaceDN w:val="0"/>
        <w:spacing w:line="340" w:lineRule="exact"/>
        <w:ind w:right="808" w:firstLine="404" w:firstLineChars="200"/>
        <w:jc w:val="center"/>
        <w:rPr>
          <w:rFonts w:hint="eastAsia" w:ascii="宋体" w:hAnsi="宋体" w:cs="宋体"/>
          <w:spacing w:val="-4"/>
          <w:kern w:val="0"/>
          <w:szCs w:val="21"/>
          <w:u w:val="single"/>
        </w:rPr>
      </w:pPr>
      <w:r>
        <w:rPr>
          <w:rFonts w:hint="eastAsia" w:ascii="宋体" w:hAnsi="宋体" w:cs="宋体"/>
          <w:spacing w:val="-4"/>
          <w:kern w:val="0"/>
          <w:szCs w:val="21"/>
        </w:rPr>
        <w:t xml:space="preserve">                                 （加盖公章）</w:t>
      </w:r>
    </w:p>
    <w:p w14:paraId="795085D4">
      <w:pPr>
        <w:widowControl/>
        <w:wordWrap w:val="0"/>
        <w:autoSpaceDE w:val="0"/>
        <w:autoSpaceDN w:val="0"/>
        <w:spacing w:line="340" w:lineRule="exact"/>
        <w:ind w:right="808" w:firstLine="404" w:firstLineChars="200"/>
        <w:jc w:val="right"/>
        <w:rPr>
          <w:rFonts w:hint="eastAsia" w:ascii="宋体" w:hAnsi="宋体" w:cs="宋体"/>
          <w:spacing w:val="-4"/>
          <w:kern w:val="0"/>
          <w:szCs w:val="21"/>
          <w:u w:val="single"/>
        </w:rPr>
      </w:pPr>
      <w:r>
        <w:rPr>
          <w:rFonts w:hint="eastAsia" w:ascii="宋体" w:hAnsi="宋体" w:cs="宋体"/>
          <w:spacing w:val="-4"/>
          <w:kern w:val="0"/>
          <w:szCs w:val="21"/>
        </w:rPr>
        <w:t xml:space="preserve">     日期：</w:t>
      </w:r>
      <w:r>
        <w:rPr>
          <w:rFonts w:hint="eastAsia" w:ascii="宋体" w:hAnsi="宋体" w:cs="宋体"/>
          <w:spacing w:val="-4"/>
          <w:kern w:val="0"/>
          <w:szCs w:val="21"/>
          <w:u w:val="single"/>
        </w:rPr>
        <w:t xml:space="preserve">              </w:t>
      </w:r>
    </w:p>
    <w:p w14:paraId="212B0BA8">
      <w:pPr>
        <w:widowControl/>
        <w:autoSpaceDE w:val="0"/>
        <w:autoSpaceDN w:val="0"/>
        <w:spacing w:line="340" w:lineRule="exact"/>
        <w:ind w:firstLine="406" w:firstLineChars="200"/>
        <w:jc w:val="left"/>
        <w:rPr>
          <w:rFonts w:hint="eastAsia" w:ascii="宋体" w:hAnsi="宋体" w:cs="宋体"/>
          <w:b/>
          <w:bCs/>
          <w:spacing w:val="-4"/>
          <w:kern w:val="0"/>
          <w:szCs w:val="21"/>
        </w:rPr>
      </w:pPr>
    </w:p>
    <w:p w14:paraId="0B6AE667">
      <w:pPr>
        <w:widowControl/>
        <w:autoSpaceDE w:val="0"/>
        <w:autoSpaceDN w:val="0"/>
        <w:spacing w:line="340" w:lineRule="exact"/>
        <w:ind w:firstLine="406" w:firstLineChars="200"/>
        <w:jc w:val="left"/>
        <w:rPr>
          <w:rFonts w:hint="eastAsia" w:ascii="宋体" w:hAnsi="宋体" w:cs="宋体"/>
          <w:b/>
          <w:bCs/>
          <w:spacing w:val="-4"/>
          <w:kern w:val="0"/>
          <w:szCs w:val="21"/>
        </w:rPr>
      </w:pPr>
      <w:r>
        <w:rPr>
          <w:rFonts w:hint="eastAsia" w:ascii="宋体" w:hAnsi="宋体" w:cs="宋体"/>
          <w:b/>
          <w:bCs/>
          <w:spacing w:val="-4"/>
          <w:kern w:val="0"/>
          <w:szCs w:val="21"/>
        </w:rPr>
        <w:t>注：1.《政府采购违法行为风险知悉确认书》需由投标供应商负责人签字并加盖单位公章后，扫描上传至投标文件一并提交。</w:t>
      </w:r>
    </w:p>
    <w:p w14:paraId="1F15C401">
      <w:pPr>
        <w:pStyle w:val="493"/>
        <w:ind w:firstLine="406" w:firstLineChars="200"/>
        <w:rPr>
          <w:lang w:bidi="ar"/>
        </w:rPr>
      </w:pPr>
      <w:r>
        <w:rPr>
          <w:rFonts w:hint="eastAsia" w:ascii="宋体" w:hAnsi="宋体" w:cs="宋体"/>
          <w:b/>
          <w:bCs/>
          <w:spacing w:val="-4"/>
          <w:kern w:val="0"/>
          <w:szCs w:val="21"/>
        </w:rPr>
        <w:t>2.根据《深圳市财政局关于在采购文件及深圳政府采购智慧平台增设供应商投标特别警示条款等事宜的通知》（深财购〔2025〕7号）的要求，《政府采购违法行为风险知悉确认书》用于对供应商违法行为的提醒，不作为供应商资格性审查及符合性审查条件。</w:t>
      </w:r>
    </w:p>
    <w:p w14:paraId="210D11E3">
      <w:pPr>
        <w:widowControl/>
        <w:autoSpaceDE w:val="0"/>
        <w:autoSpaceDN w:val="0"/>
        <w:spacing w:line="400" w:lineRule="exact"/>
        <w:jc w:val="left"/>
        <w:rPr>
          <w:rFonts w:hint="eastAsia" w:ascii="宋体" w:hAnsi="宋体" w:eastAsiaTheme="minorEastAsia"/>
          <w:color w:val="FF0000"/>
          <w:spacing w:val="-4"/>
          <w:kern w:val="0"/>
          <w:szCs w:val="21"/>
        </w:rPr>
      </w:pPr>
    </w:p>
    <w:p w14:paraId="0D73FBCC">
      <w:pPr>
        <w:pStyle w:val="493"/>
        <w:rPr>
          <w:rFonts w:hint="eastAsia" w:ascii="宋体" w:hAnsi="宋体" w:eastAsiaTheme="minorEastAsia"/>
          <w:color w:val="FF0000"/>
          <w:spacing w:val="-4"/>
          <w:kern w:val="0"/>
          <w:szCs w:val="21"/>
        </w:rPr>
      </w:pPr>
    </w:p>
    <w:p w14:paraId="358F7BC7">
      <w:pPr>
        <w:pStyle w:val="493"/>
        <w:rPr>
          <w:rFonts w:hint="eastAsia" w:ascii="宋体" w:hAnsi="宋体" w:eastAsiaTheme="minorEastAsia"/>
          <w:color w:val="FF0000"/>
          <w:spacing w:val="-4"/>
          <w:kern w:val="0"/>
          <w:szCs w:val="21"/>
        </w:rPr>
      </w:pPr>
    </w:p>
    <w:p w14:paraId="5C8C63BF">
      <w:pPr>
        <w:widowControl/>
        <w:autoSpaceDE w:val="0"/>
        <w:autoSpaceDN w:val="0"/>
        <w:spacing w:line="400" w:lineRule="exact"/>
        <w:ind w:right="1414" w:firstLine="480" w:firstLineChars="200"/>
        <w:jc w:val="right"/>
        <w:rPr>
          <w:rFonts w:eastAsiaTheme="minorEastAsia"/>
          <w:kern w:val="0"/>
          <w:sz w:val="24"/>
        </w:rPr>
      </w:pPr>
    </w:p>
    <w:p w14:paraId="10DB8A27">
      <w:pPr>
        <w:widowControl/>
        <w:autoSpaceDE w:val="0"/>
        <w:autoSpaceDN w:val="0"/>
        <w:spacing w:line="400" w:lineRule="exact"/>
        <w:ind w:right="1414" w:firstLine="480" w:firstLineChars="200"/>
        <w:jc w:val="right"/>
        <w:rPr>
          <w:rFonts w:eastAsiaTheme="minorEastAsia"/>
          <w:kern w:val="0"/>
          <w:sz w:val="24"/>
        </w:rPr>
      </w:pPr>
    </w:p>
    <w:p w14:paraId="514FC5FF">
      <w:pPr>
        <w:widowControl/>
        <w:autoSpaceDE w:val="0"/>
        <w:autoSpaceDN w:val="0"/>
        <w:spacing w:line="400" w:lineRule="exact"/>
        <w:ind w:right="1414" w:firstLine="480" w:firstLineChars="200"/>
        <w:jc w:val="right"/>
        <w:rPr>
          <w:rFonts w:eastAsiaTheme="minorEastAsia"/>
          <w:kern w:val="0"/>
          <w:sz w:val="24"/>
        </w:rPr>
      </w:pPr>
    </w:p>
    <w:p w14:paraId="7C6B9A94">
      <w:pPr>
        <w:jc w:val="center"/>
        <w:rPr>
          <w:rFonts w:ascii="黑体" w:eastAsia="黑体"/>
          <w:sz w:val="24"/>
          <w:szCs w:val="20"/>
        </w:rPr>
      </w:pPr>
      <w:r>
        <w:rPr>
          <w:rFonts w:hint="eastAsia" w:ascii="黑体" w:eastAsia="黑体"/>
          <w:sz w:val="24"/>
          <w:szCs w:val="20"/>
        </w:rPr>
        <w:t>（二）订单融资情况</w:t>
      </w:r>
    </w:p>
    <w:p w14:paraId="471622E4">
      <w:pPr>
        <w:ind w:firstLine="422" w:firstLineChars="200"/>
        <w:rPr>
          <w:rFonts w:hint="eastAsia" w:ascii="宋体" w:hAnsi="宋体" w:cs="宋体"/>
          <w:b/>
          <w:bCs/>
        </w:rPr>
      </w:pPr>
      <w:r>
        <w:rPr>
          <w:rFonts w:hint="eastAsia" w:ascii="宋体" w:hAnsi="宋体" w:cs="宋体"/>
          <w:b/>
          <w:bCs/>
        </w:rPr>
        <w:t>1、关于政府采购订单融资政策</w:t>
      </w:r>
    </w:p>
    <w:p w14:paraId="374559DF">
      <w:pPr>
        <w:ind w:firstLine="420" w:firstLineChars="200"/>
        <w:rPr>
          <w:bCs/>
          <w:szCs w:val="21"/>
        </w:rPr>
      </w:pPr>
      <w:r>
        <w:rPr>
          <w:rFonts w:hint="eastAsia"/>
          <w:bCs/>
          <w:szCs w:val="21"/>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A95A011">
      <w:pPr>
        <w:ind w:firstLine="422" w:firstLineChars="200"/>
        <w:jc w:val="left"/>
        <w:rPr>
          <w:rFonts w:hint="eastAsia" w:ascii="宋体" w:hAnsi="宋体" w:cs="宋体"/>
          <w:b/>
          <w:bCs/>
        </w:rPr>
      </w:pPr>
      <w:r>
        <w:rPr>
          <w:rFonts w:hint="eastAsia" w:ascii="宋体" w:hAnsi="宋体" w:cs="宋体"/>
          <w:b/>
          <w:bCs/>
        </w:rPr>
        <w:t>2、供应商账户信息</w:t>
      </w:r>
    </w:p>
    <w:p w14:paraId="592AA722">
      <w:pPr>
        <w:jc w:val="left"/>
        <w:rPr>
          <w:szCs w:val="21"/>
        </w:rPr>
      </w:pPr>
      <w:r>
        <w:rPr>
          <w:rFonts w:hint="eastAsia"/>
          <w:szCs w:val="21"/>
        </w:rPr>
        <w:t>投标人（单位全称）：</w:t>
      </w:r>
      <w:r>
        <w:rPr>
          <w:rFonts w:hint="eastAsia"/>
          <w:szCs w:val="21"/>
          <w:u w:val="thick"/>
        </w:rPr>
        <w:t xml:space="preserve">                                                          </w:t>
      </w:r>
      <w:r>
        <w:rPr>
          <w:rFonts w:hint="eastAsia"/>
          <w:szCs w:val="21"/>
        </w:rPr>
        <w:t xml:space="preserve">；  </w:t>
      </w:r>
    </w:p>
    <w:p w14:paraId="545AA009">
      <w:pPr>
        <w:jc w:val="left"/>
        <w:rPr>
          <w:szCs w:val="21"/>
        </w:rPr>
      </w:pPr>
      <w:r>
        <w:rPr>
          <w:rFonts w:hint="eastAsia"/>
          <w:szCs w:val="21"/>
        </w:rPr>
        <w:t>投标人单位地址：</w:t>
      </w:r>
      <w:r>
        <w:rPr>
          <w:rFonts w:hint="eastAsia"/>
          <w:szCs w:val="21"/>
          <w:u w:val="thick"/>
        </w:rPr>
        <w:t xml:space="preserve">                                          </w:t>
      </w:r>
      <w:r>
        <w:rPr>
          <w:rFonts w:hint="eastAsia"/>
          <w:szCs w:val="21"/>
        </w:rPr>
        <w:t>；</w:t>
      </w:r>
    </w:p>
    <w:p w14:paraId="33BA6D8F">
      <w:pPr>
        <w:jc w:val="left"/>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1209DD32">
      <w:pPr>
        <w:jc w:val="left"/>
        <w:rPr>
          <w:szCs w:val="21"/>
          <w:u w:val="thick"/>
        </w:rPr>
      </w:pPr>
      <w:r>
        <w:rPr>
          <w:rFonts w:hint="eastAsia"/>
          <w:szCs w:val="21"/>
        </w:rPr>
        <w:t>联系电话：</w:t>
      </w:r>
      <w:r>
        <w:rPr>
          <w:rFonts w:hint="eastAsia"/>
          <w:szCs w:val="21"/>
          <w:u w:val="thick"/>
        </w:rPr>
        <w:t xml:space="preserve">                                 </w:t>
      </w:r>
      <w:r>
        <w:rPr>
          <w:rFonts w:hint="eastAsia"/>
          <w:szCs w:val="21"/>
        </w:rPr>
        <w:t>；</w:t>
      </w:r>
      <w:r>
        <w:rPr>
          <w:rFonts w:hint="eastAsia"/>
          <w:szCs w:val="21"/>
          <w:u w:val="thick"/>
        </w:rPr>
        <w:t xml:space="preserve">               </w:t>
      </w:r>
    </w:p>
    <w:p w14:paraId="1F777D44">
      <w:pPr>
        <w:jc w:val="left"/>
        <w:rPr>
          <w:szCs w:val="21"/>
        </w:rPr>
      </w:pPr>
      <w:r>
        <w:rPr>
          <w:rFonts w:hint="eastAsia"/>
          <w:szCs w:val="21"/>
        </w:rPr>
        <w:t>开户银行名称：</w:t>
      </w:r>
      <w:r>
        <w:rPr>
          <w:rFonts w:hint="eastAsia"/>
          <w:szCs w:val="21"/>
          <w:u w:val="thick"/>
        </w:rPr>
        <w:t xml:space="preserve">                                                           </w:t>
      </w:r>
      <w:r>
        <w:rPr>
          <w:rFonts w:hint="eastAsia"/>
          <w:szCs w:val="21"/>
        </w:rPr>
        <w:t>；</w:t>
      </w:r>
    </w:p>
    <w:p w14:paraId="460D52B9">
      <w:pPr>
        <w:jc w:val="left"/>
        <w:rPr>
          <w:szCs w:val="21"/>
          <w:u w:val="thick"/>
        </w:rPr>
      </w:pPr>
      <w:r>
        <w:rPr>
          <w:rFonts w:hint="eastAsia"/>
          <w:szCs w:val="21"/>
        </w:rPr>
        <w:t>开户银行账号：</w:t>
      </w:r>
      <w:r>
        <w:rPr>
          <w:rFonts w:hint="eastAsia"/>
          <w:szCs w:val="21"/>
          <w:u w:val="thick"/>
        </w:rPr>
        <w:t xml:space="preserve">                                                           </w:t>
      </w:r>
      <w:r>
        <w:rPr>
          <w:rFonts w:hint="eastAsia"/>
          <w:szCs w:val="21"/>
        </w:rPr>
        <w:t>；</w:t>
      </w:r>
    </w:p>
    <w:p w14:paraId="082B65D1">
      <w:pPr>
        <w:jc w:val="left"/>
        <w:rPr>
          <w:szCs w:val="21"/>
        </w:rPr>
      </w:pPr>
      <w:r>
        <w:rPr>
          <w:rFonts w:hint="eastAsia"/>
          <w:szCs w:val="21"/>
        </w:rPr>
        <w:t>开户银行地址：</w:t>
      </w:r>
      <w:r>
        <w:rPr>
          <w:rFonts w:hint="eastAsia"/>
          <w:szCs w:val="21"/>
          <w:u w:val="thick"/>
        </w:rPr>
        <w:t xml:space="preserve">                                                            </w:t>
      </w:r>
      <w:r>
        <w:rPr>
          <w:rFonts w:hint="eastAsia"/>
          <w:szCs w:val="21"/>
        </w:rPr>
        <w:t>。</w:t>
      </w:r>
    </w:p>
    <w:p w14:paraId="03EDB7E7">
      <w:pPr>
        <w:ind w:left="420" w:leftChars="200" w:firstLine="210" w:firstLineChars="100"/>
        <w:rPr>
          <w:szCs w:val="21"/>
        </w:rPr>
      </w:pPr>
      <w:r>
        <w:rPr>
          <w:rFonts w:hint="eastAsia"/>
          <w:szCs w:val="21"/>
        </w:rPr>
        <w:t xml:space="preserve"> </w:t>
      </w:r>
      <w:r>
        <w:rPr>
          <w:rFonts w:hint="eastAsia" w:ascii="宋体" w:hAnsi="宋体" w:eastAsiaTheme="minorEastAsia"/>
          <w:b/>
          <w:bCs/>
          <w:color w:val="FF0000"/>
          <w:spacing w:val="-4"/>
          <w:kern w:val="0"/>
          <w:szCs w:val="21"/>
        </w:rPr>
        <w:t>注：本项填写内容作为订单融资开展的参考信息，不作为供应商资格性审查及符合性审查条件。</w:t>
      </w:r>
    </w:p>
    <w:p w14:paraId="51B4DC81">
      <w:pPr>
        <w:widowControl/>
        <w:tabs>
          <w:tab w:val="left" w:pos="8200"/>
        </w:tabs>
        <w:autoSpaceDE w:val="0"/>
        <w:autoSpaceDN w:val="0"/>
        <w:spacing w:line="400" w:lineRule="exact"/>
        <w:ind w:right="1414" w:firstLine="406" w:firstLineChars="200"/>
        <w:rPr>
          <w:rFonts w:hint="eastAsia" w:ascii="宋体" w:hAnsi="宋体" w:eastAsiaTheme="minorEastAsia"/>
          <w:b/>
          <w:bCs/>
          <w:color w:val="FF0000"/>
          <w:spacing w:val="-4"/>
          <w:kern w:val="0"/>
          <w:szCs w:val="21"/>
        </w:rPr>
      </w:pPr>
    </w:p>
    <w:p w14:paraId="227C148F">
      <w:pPr>
        <w:widowControl/>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14:paraId="0D2D87AC">
      <w:pPr>
        <w:jc w:val="center"/>
        <w:rPr>
          <w:rFonts w:hint="eastAsia" w:ascii="黑体" w:hAnsi="宋体" w:eastAsia="黑体"/>
          <w:bCs/>
          <w:kern w:val="0"/>
          <w:sz w:val="24"/>
        </w:rPr>
      </w:pPr>
    </w:p>
    <w:p w14:paraId="26BA7D2B">
      <w:pPr>
        <w:jc w:val="center"/>
        <w:rPr>
          <w:rFonts w:hint="eastAsia"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5B60B07D"/>
    <w:p w14:paraId="275F8B65">
      <w:pPr>
        <w:pStyle w:val="4"/>
      </w:pPr>
      <w:r>
        <w:rPr>
          <w:rFonts w:hint="eastAsia"/>
        </w:rPr>
        <w:t>第五章  合同条款及格式</w:t>
      </w:r>
    </w:p>
    <w:p w14:paraId="17736F52"/>
    <w:p w14:paraId="42825729">
      <w:pPr>
        <w:jc w:val="center"/>
        <w:outlineLvl w:val="0"/>
      </w:pPr>
      <w:bookmarkStart w:id="80" w:name="_Toc3995"/>
      <w:r>
        <w:rPr>
          <w:rFonts w:hint="eastAsia"/>
          <w:b/>
          <w:sz w:val="24"/>
        </w:rPr>
        <w:t>（仅供参考，具体以项目需求及采购结果为准）</w:t>
      </w:r>
    </w:p>
    <w:p w14:paraId="1D56867B">
      <w:pPr>
        <w:jc w:val="center"/>
        <w:rPr>
          <w:rFonts w:hint="eastAsia" w:ascii="宋体" w:hAnsi="宋体" w:cs="宋体"/>
          <w:b/>
          <w:bCs/>
          <w:spacing w:val="-20"/>
          <w:kern w:val="44"/>
          <w:sz w:val="48"/>
          <w:szCs w:val="48"/>
        </w:rPr>
      </w:pPr>
    </w:p>
    <w:p w14:paraId="1B71D435">
      <w:pPr>
        <w:jc w:val="center"/>
        <w:rPr>
          <w:rFonts w:hint="eastAsia" w:ascii="宋体" w:hAnsi="宋体" w:cs="宋体"/>
          <w:b/>
          <w:bCs/>
          <w:spacing w:val="-20"/>
          <w:kern w:val="44"/>
          <w:sz w:val="48"/>
          <w:szCs w:val="48"/>
        </w:rPr>
      </w:pPr>
    </w:p>
    <w:p w14:paraId="78E6BF94">
      <w:pPr>
        <w:pStyle w:val="18"/>
      </w:pPr>
    </w:p>
    <w:p w14:paraId="47509829">
      <w:pPr>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政府采购货物买卖合同</w:t>
      </w:r>
    </w:p>
    <w:p w14:paraId="79EA3F6C">
      <w:pPr>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（试行）</w:t>
      </w:r>
    </w:p>
    <w:p w14:paraId="2A900CF8">
      <w:pPr>
        <w:rPr>
          <w:rFonts w:hint="eastAsia" w:ascii="宋体" w:hAnsi="宋体" w:cs="宋体"/>
          <w:b/>
          <w:bCs/>
          <w:spacing w:val="-20"/>
          <w:kern w:val="44"/>
          <w:sz w:val="40"/>
          <w:szCs w:val="40"/>
        </w:rPr>
      </w:pPr>
    </w:p>
    <w:p w14:paraId="734E4DF2">
      <w:pPr>
        <w:rPr>
          <w:rFonts w:hint="eastAsia" w:ascii="宋体" w:hAnsi="宋体" w:cs="宋体"/>
          <w:b/>
          <w:bCs/>
          <w:spacing w:val="-20"/>
          <w:kern w:val="44"/>
          <w:sz w:val="40"/>
          <w:szCs w:val="40"/>
        </w:rPr>
      </w:pPr>
    </w:p>
    <w:p w14:paraId="1E114489">
      <w:pPr>
        <w:rPr>
          <w:rFonts w:hint="eastAsia" w:ascii="宋体" w:hAnsi="宋体" w:cs="宋体"/>
          <w:b/>
          <w:bCs/>
          <w:spacing w:val="-20"/>
          <w:kern w:val="44"/>
          <w:sz w:val="40"/>
          <w:szCs w:val="40"/>
        </w:rPr>
      </w:pPr>
    </w:p>
    <w:p w14:paraId="177F0CEB">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001F625A">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4F0CB50A">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358A3021">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11652EA5">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71BB1C72"/>
    <w:p w14:paraId="323F3D92">
      <w:pPr>
        <w:rPr>
          <w:rFonts w:eastAsia="黑体"/>
          <w:sz w:val="44"/>
          <w:szCs w:val="44"/>
        </w:rPr>
      </w:pPr>
      <w:r>
        <w:rPr>
          <w:rFonts w:eastAsia="黑体"/>
          <w:sz w:val="44"/>
          <w:szCs w:val="44"/>
        </w:rPr>
        <w:br w:type="page"/>
      </w:r>
    </w:p>
    <w:p w14:paraId="3F29E321">
      <w:pPr>
        <w:rPr>
          <w:rFonts w:eastAsia="黑体"/>
          <w:sz w:val="44"/>
          <w:szCs w:val="44"/>
        </w:rPr>
      </w:pPr>
    </w:p>
    <w:p w14:paraId="44FB41B4">
      <w:pPr>
        <w:rPr>
          <w:rFonts w:eastAsia="黑体"/>
          <w:sz w:val="44"/>
          <w:szCs w:val="44"/>
        </w:rPr>
      </w:pPr>
    </w:p>
    <w:p w14:paraId="761472A0">
      <w:pPr>
        <w:jc w:val="center"/>
        <w:rPr>
          <w:rFonts w:eastAsia="黑体"/>
          <w:sz w:val="44"/>
          <w:szCs w:val="44"/>
        </w:rPr>
      </w:pPr>
      <w:r>
        <w:rPr>
          <w:rFonts w:hint="eastAsia" w:eastAsia="黑体"/>
          <w:sz w:val="44"/>
          <w:szCs w:val="44"/>
        </w:rPr>
        <w:t>使 用 说 明</w:t>
      </w:r>
    </w:p>
    <w:p w14:paraId="097E54F8">
      <w:pPr>
        <w:ind w:firstLine="640" w:firstLineChars="200"/>
        <w:rPr>
          <w:rFonts w:hint="eastAsia" w:ascii="仿宋_GB2312" w:hAnsi="仿宋_GB2312" w:eastAsia="仿宋_GB2312" w:cs="仿宋_GB2312"/>
          <w:sz w:val="32"/>
          <w:szCs w:val="32"/>
        </w:rPr>
      </w:pPr>
    </w:p>
    <w:p w14:paraId="4E8E76D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4A724AFB">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14:paraId="1DB36B7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072E2D0B">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80"/>
    <w:p w14:paraId="1182A1B1">
      <w:pPr>
        <w:keepNext/>
        <w:keepLines/>
        <w:adjustRightInd w:val="0"/>
        <w:snapToGrid w:val="0"/>
        <w:spacing w:line="400" w:lineRule="exact"/>
        <w:jc w:val="center"/>
        <w:outlineLvl w:val="1"/>
        <w:rPr>
          <w:rFonts w:hint="eastAsia" w:ascii="黑体" w:hAnsi="黑体" w:eastAsia="黑体"/>
          <w:b/>
          <w:bCs/>
          <w:sz w:val="28"/>
          <w:szCs w:val="28"/>
        </w:rPr>
      </w:pPr>
      <w:bookmarkStart w:id="81" w:name="_Toc22209"/>
    </w:p>
    <w:p w14:paraId="5B81BA99">
      <w:pPr>
        <w:keepNext/>
        <w:keepLines/>
        <w:adjustRightInd w:val="0"/>
        <w:snapToGrid w:val="0"/>
        <w:spacing w:line="400" w:lineRule="exact"/>
        <w:jc w:val="center"/>
        <w:outlineLvl w:val="1"/>
        <w:rPr>
          <w:rFonts w:hint="eastAsia" w:ascii="黑体" w:hAnsi="华文中宋" w:eastAsia="黑体"/>
          <w:sz w:val="28"/>
          <w:szCs w:val="28"/>
        </w:rPr>
      </w:pPr>
      <w:r>
        <w:rPr>
          <w:rFonts w:hint="eastAsia" w:ascii="黑体" w:hAnsi="黑体" w:eastAsia="黑体"/>
          <w:sz w:val="28"/>
          <w:szCs w:val="28"/>
        </w:rPr>
        <w:t xml:space="preserve">第一节 </w:t>
      </w:r>
      <w:r>
        <w:rPr>
          <w:rFonts w:hint="eastAsia" w:ascii="黑体" w:hAnsi="华文中宋" w:eastAsia="黑体"/>
          <w:sz w:val="28"/>
          <w:szCs w:val="28"/>
        </w:rPr>
        <w:t>政府采购合同协议书</w:t>
      </w:r>
      <w:bookmarkEnd w:id="81"/>
    </w:p>
    <w:p w14:paraId="1AE05B5F">
      <w:pPr>
        <w:keepNext/>
        <w:keepLines/>
        <w:adjustRightInd w:val="0"/>
        <w:snapToGrid w:val="0"/>
        <w:spacing w:line="400" w:lineRule="exact"/>
        <w:jc w:val="center"/>
        <w:outlineLvl w:val="1"/>
        <w:rPr>
          <w:rFonts w:hint="eastAsia" w:ascii="黑体" w:hAnsi="华文中宋" w:eastAsia="黑体"/>
          <w:sz w:val="28"/>
          <w:szCs w:val="28"/>
        </w:rPr>
      </w:pPr>
    </w:p>
    <w:p w14:paraId="2C1E128C">
      <w:pPr>
        <w:adjustRightInd w:val="0"/>
        <w:snapToGrid w:val="0"/>
        <w:spacing w:line="400" w:lineRule="exact"/>
        <w:rPr>
          <w:rFonts w:hint="eastAsia"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w:t>
      </w:r>
      <w:r>
        <w:rPr>
          <w:rFonts w:hint="eastAsia" w:ascii="宋体" w:hAnsi="宋体"/>
          <w:szCs w:val="21"/>
        </w:rPr>
        <w:tab/>
      </w:r>
      <w:r>
        <w:rPr>
          <w:rFonts w:hint="eastAsia" w:ascii="宋体" w:hAnsi="宋体"/>
          <w:szCs w:val="21"/>
        </w:rPr>
        <w:t xml:space="preserve">                                   文件约定的合同甲方）</w:t>
      </w:r>
    </w:p>
    <w:p w14:paraId="18BA3FD5">
      <w:pPr>
        <w:adjustRightInd w:val="0"/>
        <w:snapToGrid w:val="0"/>
        <w:spacing w:line="400" w:lineRule="exact"/>
        <w:rPr>
          <w:rFonts w:hint="eastAsia"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3C2F7FFB">
      <w:pPr>
        <w:adjustRightInd w:val="0"/>
        <w:snapToGrid w:val="0"/>
        <w:spacing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054DA378">
      <w:pPr>
        <w:adjustRightInd w:val="0"/>
        <w:snapToGrid w:val="0"/>
        <w:spacing w:line="400" w:lineRule="exact"/>
        <w:rPr>
          <w:rFonts w:hint="eastAsia"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0E84D98F">
      <w:pPr>
        <w:spacing w:line="400" w:lineRule="exact"/>
      </w:pPr>
    </w:p>
    <w:p w14:paraId="199B07D0">
      <w:pPr>
        <w:adjustRightInd w:val="0"/>
        <w:snapToGrid w:val="0"/>
        <w:spacing w:line="400" w:lineRule="exact"/>
        <w:ind w:firstLine="420" w:firstLineChars="200"/>
        <w:rPr>
          <w:rFonts w:hint="eastAsia" w:ascii="宋体" w:hAnsi="宋体"/>
          <w:szCs w:val="21"/>
        </w:rPr>
      </w:pPr>
      <w:r>
        <w:rPr>
          <w:rFonts w:hint="eastAsia" w:ascii="宋体" w:hAnsi="宋体"/>
          <w:szCs w:val="21"/>
        </w:rPr>
        <w:t xml:space="preserve">依据《中华人民共和国民法典》《中华人民共和国政府采购法》《深圳经济特区政府采购条例》等有关的法律法规，以及本采购项目的招标文件等采购文件、乙方的《投标（响应）文件》及《中标（成交）通知书》，甲乙双方同意签订本合同。具体情况及要求如下：     </w:t>
      </w:r>
    </w:p>
    <w:p w14:paraId="6B876743">
      <w:pPr>
        <w:numPr>
          <w:ilvl w:val="0"/>
          <w:numId w:val="21"/>
        </w:numPr>
        <w:adjustRightInd w:val="0"/>
        <w:snapToGrid w:val="0"/>
        <w:spacing w:line="400" w:lineRule="exact"/>
        <w:ind w:firstLine="422" w:firstLineChars="200"/>
        <w:rPr>
          <w:rFonts w:hint="eastAsia" w:ascii="宋体" w:hAnsi="宋体"/>
          <w:b/>
          <w:szCs w:val="21"/>
        </w:rPr>
      </w:pPr>
      <w:r>
        <w:rPr>
          <w:rFonts w:hint="eastAsia" w:ascii="宋体" w:hAnsi="宋体"/>
          <w:b/>
          <w:szCs w:val="21"/>
        </w:rPr>
        <w:t>项目信息</w:t>
      </w:r>
    </w:p>
    <w:p w14:paraId="44917817">
      <w:pPr>
        <w:numPr>
          <w:ilvl w:val="0"/>
          <w:numId w:val="22"/>
        </w:numPr>
        <w:adjustRightInd w:val="0"/>
        <w:snapToGrid w:val="0"/>
        <w:spacing w:line="400" w:lineRule="exact"/>
        <w:ind w:firstLine="420" w:firstLineChars="200"/>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p>
    <w:p w14:paraId="1BB8E2D9">
      <w:pPr>
        <w:numPr>
          <w:ilvl w:val="255"/>
          <w:numId w:val="0"/>
        </w:numPr>
        <w:tabs>
          <w:tab w:val="left" w:pos="999"/>
        </w:tabs>
        <w:adjustRightInd w:val="0"/>
        <w:snapToGrid w:val="0"/>
        <w:spacing w:line="400" w:lineRule="exact"/>
        <w:rPr>
          <w:rFonts w:hint="eastAsia" w:ascii="宋体" w:hAnsi="宋体"/>
          <w:szCs w:val="21"/>
        </w:rPr>
      </w:pPr>
      <w:r>
        <w:rPr>
          <w:rFonts w:hint="eastAsia" w:ascii="宋体" w:hAnsi="宋体"/>
          <w:szCs w:val="21"/>
        </w:rPr>
        <w:t xml:space="preserve">         采购项目编号：</w:t>
      </w:r>
      <w:r>
        <w:rPr>
          <w:rFonts w:ascii="宋体" w:hAnsi="宋体"/>
          <w:szCs w:val="21"/>
          <w:u w:val="single"/>
        </w:rPr>
        <w:t xml:space="preserve">                                          </w:t>
      </w:r>
    </w:p>
    <w:p w14:paraId="1EE3662B">
      <w:pPr>
        <w:adjustRightInd w:val="0"/>
        <w:snapToGrid w:val="0"/>
        <w:spacing w:line="400" w:lineRule="exact"/>
        <w:ind w:firstLine="420" w:firstLineChars="200"/>
        <w:rPr>
          <w:rFonts w:hint="eastAsia"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14D3301A">
      <w:pPr>
        <w:adjustRightInd w:val="0"/>
        <w:snapToGrid w:val="0"/>
        <w:spacing w:line="400" w:lineRule="exact"/>
        <w:ind w:firstLine="420" w:firstLineChars="200"/>
        <w:rPr>
          <w:rFonts w:hint="eastAsia" w:ascii="宋体" w:hAnsi="宋体"/>
          <w:szCs w:val="21"/>
        </w:rPr>
      </w:pPr>
      <w:r>
        <w:rPr>
          <w:rFonts w:hint="eastAsia" w:ascii="宋体" w:hAnsi="宋体"/>
          <w:szCs w:val="21"/>
        </w:rPr>
        <w:t>（3）项目内容：</w:t>
      </w:r>
    </w:p>
    <w:p w14:paraId="04E91CEE">
      <w:pPr>
        <w:adjustRightInd w:val="0"/>
        <w:snapToGrid w:val="0"/>
        <w:spacing w:line="400" w:lineRule="exact"/>
        <w:ind w:firstLine="420" w:firstLineChars="200"/>
        <w:rPr>
          <w:rFonts w:hint="eastAsia"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p w14:paraId="7E0794DF">
      <w:pPr>
        <w:numPr>
          <w:ilvl w:val="255"/>
          <w:numId w:val="0"/>
        </w:numPr>
        <w:adjustRightInd w:val="0"/>
        <w:snapToGrid w:val="0"/>
        <w:spacing w:line="400" w:lineRule="exact"/>
        <w:ind w:firstLine="420" w:firstLineChars="200"/>
        <w:rPr>
          <w:rFonts w:hint="eastAsia"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14:paraId="03E73AFB">
      <w:pPr>
        <w:adjustRightInd w:val="0"/>
        <w:snapToGrid w:val="0"/>
        <w:spacing w:line="400" w:lineRule="exact"/>
        <w:ind w:firstLine="945" w:firstLineChars="450"/>
        <w:rPr>
          <w:rFonts w:hint="eastAsia" w:ascii="宋体" w:hAnsi="宋体"/>
          <w:szCs w:val="21"/>
          <w:u w:val="single"/>
        </w:rPr>
      </w:pPr>
      <w:r>
        <w:rPr>
          <w:rFonts w:hint="eastAsia" w:ascii="宋体" w:hAnsi="宋体"/>
          <w:szCs w:val="21"/>
        </w:rPr>
        <w:t>采购标的的技术要求、商务要求具体见附件。</w:t>
      </w:r>
    </w:p>
    <w:p w14:paraId="58CE6E59">
      <w:pPr>
        <w:numPr>
          <w:ilvl w:val="255"/>
          <w:numId w:val="0"/>
        </w:numPr>
        <w:adjustRightInd w:val="0"/>
        <w:snapToGrid w:val="0"/>
        <w:spacing w:line="400" w:lineRule="exact"/>
        <w:ind w:firstLine="945" w:firstLineChars="450"/>
        <w:rPr>
          <w:rFonts w:hint="eastAsia"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026C2AE5">
      <w:pPr>
        <w:numPr>
          <w:ilvl w:val="255"/>
          <w:numId w:val="0"/>
        </w:numPr>
        <w:adjustRightInd w:val="0"/>
        <w:snapToGrid w:val="0"/>
        <w:spacing w:line="400" w:lineRule="exact"/>
        <w:ind w:firstLine="420" w:firstLineChars="200"/>
        <w:rPr>
          <w:rFonts w:hint="eastAsia" w:ascii="宋体" w:hAnsi="宋体" w:cs="宋体"/>
          <w:kern w:val="0"/>
          <w:szCs w:val="21"/>
          <w:u w:val="single"/>
        </w:rPr>
      </w:pPr>
      <w:r>
        <w:rPr>
          <w:rFonts w:hint="eastAsia" w:ascii="宋体" w:hAnsi="宋体" w:cs="宋体"/>
          <w:szCs w:val="21"/>
        </w:rPr>
        <w:t xml:space="preserve">     标的名称：</w:t>
      </w:r>
      <w:r>
        <w:rPr>
          <w:rFonts w:hint="eastAsia" w:ascii="宋体" w:hAnsi="宋体" w:cs="宋体"/>
          <w:kern w:val="0"/>
          <w:szCs w:val="21"/>
          <w:u w:val="single"/>
        </w:rPr>
        <w:t xml:space="preserve">      </w:t>
      </w:r>
      <w:r>
        <w:rPr>
          <w:rFonts w:ascii="宋体" w:hAnsi="宋体" w:cs="宋体"/>
          <w:kern w:val="0"/>
          <w:szCs w:val="21"/>
          <w:u w:val="single"/>
          <w:lang w:val="en"/>
        </w:rPr>
        <w:t xml:space="preserve">               </w:t>
      </w:r>
      <w:r>
        <w:rPr>
          <w:rFonts w:hint="eastAsia" w:ascii="宋体" w:hAnsi="宋体" w:cs="宋体"/>
          <w:kern w:val="0"/>
          <w:szCs w:val="21"/>
          <w:u w:val="single"/>
        </w:rPr>
        <w:t xml:space="preserve">    </w:t>
      </w:r>
    </w:p>
    <w:p w14:paraId="0AB64F83">
      <w:pPr>
        <w:numPr>
          <w:ilvl w:val="255"/>
          <w:numId w:val="0"/>
        </w:num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0F15108A">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36282E3A">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p>
    <w:p w14:paraId="3E824930">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14:paraId="273E9DFE">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hint="eastAsia" w:ascii="汉仪书宋二S" w:hAnsi="汉仪书宋二S" w:eastAsia="汉仪书宋二S" w:cs="汉仪书宋二S"/>
          <w:szCs w:val="21"/>
        </w:rPr>
        <w:t>②</w:t>
      </w:r>
      <w:r>
        <w:rPr>
          <w:rFonts w:hint="eastAsia" w:ascii="宋体" w:hAnsi="宋体" w:cs="宋体"/>
          <w:szCs w:val="21"/>
        </w:rPr>
        <w:t>涉及车辆采购，请填写是否属于新能源汽车：</w:t>
      </w:r>
    </w:p>
    <w:p w14:paraId="283FCDCD">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数量：</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r>
        <w:rPr>
          <w:rFonts w:hint="eastAsia" w:ascii="宋体" w:hAnsi="宋体" w:cs="宋体"/>
          <w:szCs w:val="21"/>
        </w:rPr>
        <w:t xml:space="preserve"> </w:t>
      </w:r>
    </w:p>
    <w:p w14:paraId="32C6F19D">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否</w:t>
      </w:r>
    </w:p>
    <w:p w14:paraId="152FDA19">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ascii="宋体" w:hAnsi="宋体" w:cs="宋体"/>
          <w:szCs w:val="21"/>
          <w:lang w:val="en"/>
        </w:rPr>
        <w:t>4</w:t>
      </w:r>
      <w:r>
        <w:rPr>
          <w:rFonts w:hint="eastAsia" w:ascii="宋体" w:hAnsi="宋体" w:cs="宋体"/>
          <w:szCs w:val="21"/>
        </w:rPr>
        <w:t>）政府采购组织形式：</w:t>
      </w:r>
      <w:r>
        <w:rPr>
          <w:rFonts w:hint="eastAsia" w:ascii="宋体" w:hAnsi="宋体" w:cs="宋体"/>
          <w:szCs w:val="21"/>
        </w:rPr>
        <w:sym w:font="Wingdings" w:char="00A8"/>
      </w:r>
      <w:r>
        <w:rPr>
          <w:rFonts w:hint="eastAsia" w:ascii="宋体" w:hAnsi="宋体" w:cs="宋体"/>
          <w:szCs w:val="21"/>
        </w:rPr>
        <w:t xml:space="preserve">集中采购    </w:t>
      </w:r>
      <w:r>
        <w:rPr>
          <w:rFonts w:hint="eastAsia" w:ascii="宋体" w:hAnsi="宋体" w:cs="宋体"/>
          <w:szCs w:val="21"/>
        </w:rPr>
        <w:sym w:font="Wingdings" w:char="00A8"/>
      </w:r>
      <w:r>
        <w:rPr>
          <w:rFonts w:hint="eastAsia" w:ascii="宋体" w:hAnsi="宋体" w:cs="宋体"/>
          <w:szCs w:val="21"/>
        </w:rPr>
        <w:t>自行采购</w:t>
      </w:r>
    </w:p>
    <w:p w14:paraId="67CE9E30">
      <w:pPr>
        <w:numPr>
          <w:ilvl w:val="255"/>
          <w:numId w:val="0"/>
        </w:numPr>
        <w:autoSpaceDE w:val="0"/>
        <w:autoSpaceDN w:val="0"/>
        <w:adjustRightInd w:val="0"/>
        <w:snapToGrid w:val="0"/>
        <w:spacing w:line="400" w:lineRule="exact"/>
        <w:ind w:left="210" w:leftChars="100" w:firstLine="210" w:firstLineChars="100"/>
        <w:rPr>
          <w:rFonts w:hint="eastAsia" w:ascii="宋体" w:hAnsi="宋体" w:cs="宋体"/>
          <w:szCs w:val="21"/>
          <w:u w:val="single"/>
        </w:rPr>
      </w:pPr>
      <w:r>
        <w:rPr>
          <w:rFonts w:hint="eastAsia" w:ascii="宋体" w:hAnsi="宋体" w:cs="宋体"/>
          <w:szCs w:val="21"/>
        </w:rPr>
        <w:t>（</w:t>
      </w:r>
      <w:r>
        <w:rPr>
          <w:rFonts w:ascii="宋体" w:hAnsi="宋体" w:cs="宋体"/>
          <w:szCs w:val="21"/>
          <w:lang w:val="en"/>
        </w:rPr>
        <w:t>5</w:t>
      </w:r>
      <w:r>
        <w:rPr>
          <w:rFonts w:hint="eastAsia" w:ascii="宋体" w:hAnsi="宋体" w:cs="宋体"/>
          <w:szCs w:val="21"/>
        </w:rPr>
        <w:t>）政府采购方式：</w:t>
      </w:r>
      <w:r>
        <w:rPr>
          <w:rFonts w:hint="eastAsia" w:ascii="宋体" w:hAnsi="宋体" w:cs="宋体"/>
          <w:szCs w:val="21"/>
        </w:rPr>
        <w:sym w:font="Wingdings" w:char="00A8"/>
      </w:r>
      <w:r>
        <w:rPr>
          <w:rFonts w:hint="eastAsia" w:ascii="宋体" w:hAnsi="宋体" w:cs="宋体"/>
          <w:szCs w:val="21"/>
        </w:rPr>
        <w:t xml:space="preserve">公开招标  </w:t>
      </w:r>
      <w:r>
        <w:rPr>
          <w:rFonts w:hint="eastAsia" w:ascii="宋体" w:hAnsi="宋体" w:cs="宋体"/>
          <w:szCs w:val="21"/>
        </w:rPr>
        <w:sym w:font="Wingdings" w:char="00A8"/>
      </w:r>
      <w:r>
        <w:rPr>
          <w:rFonts w:hint="eastAsia" w:ascii="宋体" w:hAnsi="宋体" w:cs="宋体"/>
          <w:szCs w:val="21"/>
        </w:rPr>
        <w:t>竞争性谈判</w:t>
      </w:r>
      <w:r>
        <w:rPr>
          <w:rFonts w:hint="eastAsia" w:ascii="宋体" w:hAnsi="宋体" w:eastAsia="华文楷体" w:cs="宋体"/>
          <w:sz w:val="22"/>
          <w:szCs w:val="21"/>
        </w:rPr>
        <w:t xml:space="preserve">  </w:t>
      </w:r>
      <w:r>
        <w:rPr>
          <w:rFonts w:hint="eastAsia" w:ascii="宋体" w:hAnsi="宋体" w:cs="宋体"/>
          <w:szCs w:val="21"/>
        </w:rPr>
        <w:sym w:font="Wingdings" w:char="00A8"/>
      </w:r>
      <w:r>
        <w:rPr>
          <w:rFonts w:hint="eastAsia" w:ascii="宋体" w:hAnsi="宋体" w:cs="宋体"/>
          <w:szCs w:val="21"/>
        </w:rPr>
        <w:t xml:space="preserve">单一来源  </w:t>
      </w:r>
      <w:r>
        <w:rPr>
          <w:rFonts w:hint="eastAsia" w:ascii="宋体" w:hAnsi="宋体" w:cs="宋体"/>
          <w:szCs w:val="21"/>
        </w:rPr>
        <w:sym w:font="Wingdings" w:char="00A8"/>
      </w:r>
      <w:r>
        <w:rPr>
          <w:rFonts w:hint="eastAsia" w:ascii="宋体" w:hAnsi="宋体" w:cs="宋体"/>
          <w:szCs w:val="21"/>
        </w:rPr>
        <w:t xml:space="preserve">竞价  </w:t>
      </w:r>
      <w:r>
        <w:rPr>
          <w:rFonts w:hint="eastAsia" w:ascii="宋体" w:hAnsi="宋体" w:cs="宋体"/>
          <w:szCs w:val="21"/>
        </w:rPr>
        <w:sym w:font="Wingdings" w:char="00A8"/>
      </w:r>
      <w:r>
        <w:rPr>
          <w:rFonts w:hint="eastAsia" w:ascii="宋体" w:hAnsi="宋体" w:cs="宋体"/>
          <w:szCs w:val="21"/>
        </w:rPr>
        <w:t xml:space="preserve">框架协议 </w:t>
      </w:r>
      <w:r>
        <w:rPr>
          <w:rFonts w:hint="eastAsia" w:ascii="宋体" w:hAnsi="宋体" w:cs="宋体"/>
          <w:szCs w:val="21"/>
        </w:rPr>
        <w:sym w:font="Wingdings" w:char="00A8"/>
      </w:r>
      <w:r>
        <w:rPr>
          <w:rFonts w:hint="eastAsia" w:ascii="宋体" w:hAnsi="宋体" w:cs="宋体"/>
          <w:szCs w:val="21"/>
        </w:rPr>
        <w:t>其他：</w:t>
      </w:r>
      <w:r>
        <w:rPr>
          <w:rFonts w:hint="eastAsia" w:ascii="宋体" w:hAnsi="宋体" w:cs="宋体"/>
          <w:szCs w:val="21"/>
          <w:u w:val="single"/>
        </w:rPr>
        <w:t xml:space="preserve">          </w:t>
      </w:r>
    </w:p>
    <w:p w14:paraId="7C977E9C">
      <w:pPr>
        <w:numPr>
          <w:ilvl w:val="255"/>
          <w:numId w:val="0"/>
        </w:numPr>
        <w:autoSpaceDE w:val="0"/>
        <w:autoSpaceDN w:val="0"/>
        <w:adjustRightInd w:val="0"/>
        <w:snapToGrid w:val="0"/>
        <w:spacing w:line="400" w:lineRule="exact"/>
        <w:ind w:firstLine="420"/>
        <w:rPr>
          <w:rFonts w:hint="eastAsia" w:ascii="宋体" w:hAnsi="宋体" w:cs="宋体"/>
          <w:szCs w:val="21"/>
        </w:rPr>
      </w:pPr>
      <w:r>
        <w:rPr>
          <w:rFonts w:hint="eastAsia" w:ascii="宋体" w:hAnsi="宋体" w:cs="宋体"/>
          <w:szCs w:val="21"/>
        </w:rPr>
        <w:t>（注：在框架协议采购的第二阶段，可选择使用该合同文本）</w:t>
      </w:r>
    </w:p>
    <w:p w14:paraId="5AE12B72">
      <w:pPr>
        <w:numPr>
          <w:ilvl w:val="255"/>
          <w:numId w:val="0"/>
        </w:numPr>
        <w:autoSpaceDE w:val="0"/>
        <w:autoSpaceDN w:val="0"/>
        <w:adjustRightInd w:val="0"/>
        <w:snapToGrid w:val="0"/>
        <w:spacing w:line="400" w:lineRule="exact"/>
        <w:ind w:firstLine="220" w:firstLineChars="100"/>
        <w:rPr>
          <w:rFonts w:hint="eastAsia" w:ascii="宋体" w:hAnsi="宋体"/>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szCs w:val="21"/>
        </w:rPr>
        <w:t>中标（成交）采购标的制造商是否为中小企业：</w:t>
      </w: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否</w:t>
      </w:r>
    </w:p>
    <w:p w14:paraId="0B4C8929">
      <w:pPr>
        <w:numPr>
          <w:ilvl w:val="255"/>
          <w:numId w:val="0"/>
        </w:numPr>
        <w:adjustRightInd w:val="0"/>
        <w:snapToGrid w:val="0"/>
        <w:spacing w:line="400" w:lineRule="exact"/>
        <w:rPr>
          <w:rFonts w:hint="eastAsia" w:ascii="宋体" w:hAnsi="宋体"/>
          <w:iCs/>
          <w:szCs w:val="21"/>
        </w:rPr>
      </w:pPr>
      <w:r>
        <w:rPr>
          <w:rFonts w:hint="eastAsia" w:ascii="宋体" w:hAnsi="宋体"/>
          <w:szCs w:val="21"/>
        </w:rPr>
        <w:t xml:space="preserve">         本合同是否为专门面向中小企业的采购合同（中小企业预留合同）：</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1236AE15">
      <w:pPr>
        <w:numPr>
          <w:ilvl w:val="255"/>
          <w:numId w:val="0"/>
        </w:numPr>
        <w:adjustRightInd w:val="0"/>
        <w:snapToGrid w:val="0"/>
        <w:spacing w:line="400" w:lineRule="exact"/>
        <w:rPr>
          <w:rFonts w:hint="eastAsia" w:ascii="宋体" w:hAnsi="宋体"/>
          <w:iCs/>
          <w:szCs w:val="21"/>
        </w:rPr>
      </w:pPr>
      <w:r>
        <w:rPr>
          <w:rFonts w:hint="eastAsia"/>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6C11A58">
      <w:pPr>
        <w:numPr>
          <w:ilvl w:val="255"/>
          <w:numId w:val="0"/>
        </w:numPr>
        <w:adjustRightInd w:val="0"/>
        <w:snapToGrid w:val="0"/>
        <w:spacing w:line="400" w:lineRule="exact"/>
        <w:rPr>
          <w:rFonts w:hint="eastAsia" w:ascii="宋体" w:hAnsi="宋体"/>
          <w:iCs/>
          <w:szCs w:val="21"/>
        </w:rPr>
      </w:pPr>
      <w:r>
        <w:rPr>
          <w:rFonts w:hint="eastAsia"/>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491C7D15">
      <w:pPr>
        <w:snapToGrid w:val="0"/>
        <w:spacing w:line="400" w:lineRule="exact"/>
      </w:pPr>
      <w:r>
        <w:rPr>
          <w:rFonts w:hint="eastAsia"/>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4F763AC">
      <w:pPr>
        <w:adjustRightInd w:val="0"/>
        <w:snapToGrid w:val="0"/>
        <w:spacing w:line="400" w:lineRule="exact"/>
        <w:ind w:firstLine="420" w:firstLineChars="200"/>
        <w:rPr>
          <w:rFonts w:hint="eastAsia"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1B79D8C">
      <w:pPr>
        <w:adjustRightInd w:val="0"/>
        <w:snapToGrid w:val="0"/>
        <w:spacing w:line="400" w:lineRule="exact"/>
        <w:ind w:firstLine="840" w:firstLineChars="400"/>
        <w:rPr>
          <w:rFonts w:hint="eastAsia"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7C23B216">
      <w:pPr>
        <w:adjustRightInd w:val="0"/>
        <w:snapToGrid w:val="0"/>
        <w:spacing w:line="400" w:lineRule="exact"/>
        <w:ind w:firstLine="840" w:firstLineChars="400"/>
        <w:rPr>
          <w:rFonts w:hint="eastAsia" w:ascii="宋体" w:hAnsi="宋体"/>
          <w:szCs w:val="21"/>
        </w:rPr>
      </w:pPr>
      <w:r>
        <w:rPr>
          <w:rFonts w:hint="eastAsia" w:ascii="宋体" w:hAnsi="宋体"/>
          <w:szCs w:val="21"/>
        </w:rPr>
        <w:t xml:space="preserve"> 分包供应商/制造商名称（如供应商和制造商不同，请分别填写）：</w:t>
      </w:r>
    </w:p>
    <w:p w14:paraId="0073F8F9">
      <w:pPr>
        <w:adjustRightInd w:val="0"/>
        <w:snapToGrid w:val="0"/>
        <w:spacing w:line="400" w:lineRule="exact"/>
        <w:ind w:firstLine="840" w:firstLineChars="400"/>
        <w:rPr>
          <w:rFonts w:hint="eastAsia"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7C232020">
      <w:pPr>
        <w:adjustRightInd w:val="0"/>
        <w:snapToGrid w:val="0"/>
        <w:spacing w:line="400" w:lineRule="exact"/>
        <w:ind w:firstLine="840" w:firstLineChars="400"/>
        <w:rPr>
          <w:rFonts w:hint="eastAsia" w:ascii="宋体" w:hAnsi="宋体"/>
          <w:szCs w:val="21"/>
        </w:rPr>
      </w:pPr>
      <w:r>
        <w:rPr>
          <w:rFonts w:hint="eastAsia" w:ascii="宋体" w:hAnsi="宋体"/>
          <w:szCs w:val="21"/>
        </w:rPr>
        <w:t xml:space="preserve"> 分包供应商/制造商类型（如果供应商和制造商不同，只填写制造商类型）：</w:t>
      </w:r>
    </w:p>
    <w:p w14:paraId="6A946A41">
      <w:pPr>
        <w:adjustRightInd w:val="0"/>
        <w:snapToGrid w:val="0"/>
        <w:spacing w:line="400" w:lineRule="exact"/>
        <w:ind w:firstLine="840" w:firstLineChars="400"/>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 xml:space="preserve">小微型企业  </w:t>
      </w:r>
    </w:p>
    <w:p w14:paraId="5ABD23F1">
      <w:pPr>
        <w:adjustRightInd w:val="0"/>
        <w:snapToGrid w:val="0"/>
        <w:spacing w:line="400" w:lineRule="exact"/>
        <w:ind w:firstLine="840" w:firstLineChars="400"/>
        <w:rPr>
          <w:rFonts w:eastAsia="华文楷体"/>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残疾人福利性单位 </w:t>
      </w:r>
      <w:r>
        <w:rPr>
          <w:rFonts w:hint="eastAsia" w:ascii="宋体" w:hAnsi="宋体"/>
          <w:iCs/>
          <w:szCs w:val="21"/>
        </w:rPr>
        <w:sym w:font="Wingdings" w:char="00A8"/>
      </w:r>
      <w:r>
        <w:rPr>
          <w:rFonts w:hint="eastAsia" w:ascii="宋体" w:hAnsi="宋体"/>
          <w:iCs/>
          <w:szCs w:val="21"/>
        </w:rPr>
        <w:t xml:space="preserve">监狱企业 </w:t>
      </w:r>
      <w:r>
        <w:rPr>
          <w:rFonts w:hint="eastAsia" w:ascii="宋体" w:hAnsi="宋体"/>
          <w:iCs/>
          <w:szCs w:val="21"/>
        </w:rPr>
        <w:sym w:font="Wingdings" w:char="00A8"/>
      </w:r>
      <w:r>
        <w:rPr>
          <w:rFonts w:hint="eastAsia" w:ascii="宋体" w:hAnsi="宋体"/>
          <w:iCs/>
          <w:szCs w:val="21"/>
        </w:rPr>
        <w:t>其他</w:t>
      </w:r>
    </w:p>
    <w:p w14:paraId="2518B6B5">
      <w:pPr>
        <w:numPr>
          <w:ilvl w:val="255"/>
          <w:numId w:val="0"/>
        </w:numPr>
        <w:adjustRightInd w:val="0"/>
        <w:snapToGrid w:val="0"/>
        <w:spacing w:line="400" w:lineRule="exact"/>
        <w:rPr>
          <w:rFonts w:hint="eastAsia"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hint="eastAsia" w:ascii="宋体" w:hAnsi="宋体" w:cs="宋体"/>
          <w:iCs/>
          <w:szCs w:val="21"/>
        </w:rPr>
        <w:sym w:font="Wingdings" w:char="00A8"/>
      </w:r>
      <w:r>
        <w:rPr>
          <w:rFonts w:hint="eastAsia" w:ascii="宋体" w:hAnsi="宋体" w:cs="宋体"/>
          <w:iCs/>
          <w:szCs w:val="21"/>
        </w:rPr>
        <w:t xml:space="preserve">是       </w:t>
      </w:r>
      <w:r>
        <w:rPr>
          <w:rFonts w:hint="eastAsia" w:ascii="宋体" w:hAnsi="宋体" w:cs="宋体"/>
          <w:iCs/>
          <w:szCs w:val="21"/>
        </w:rPr>
        <w:sym w:font="Wingdings" w:char="00A8"/>
      </w:r>
      <w:r>
        <w:rPr>
          <w:rFonts w:hint="eastAsia" w:ascii="宋体" w:hAnsi="宋体" w:cs="宋体"/>
          <w:iCs/>
          <w:szCs w:val="21"/>
        </w:rPr>
        <w:t>否</w:t>
      </w:r>
    </w:p>
    <w:p w14:paraId="402615A5">
      <w:pPr>
        <w:tabs>
          <w:tab w:val="left" w:pos="1340"/>
        </w:tabs>
        <w:autoSpaceDE w:val="0"/>
        <w:autoSpaceDN w:val="0"/>
        <w:adjustRightInd w:val="0"/>
        <w:spacing w:line="400" w:lineRule="exact"/>
        <w:ind w:firstLine="420" w:firstLineChars="200"/>
        <w:rPr>
          <w:rFonts w:hint="eastAsia" w:ascii="宋体" w:hAnsi="宋体" w:cs="宋体"/>
          <w:szCs w:val="21"/>
          <w:u w:val="single"/>
        </w:rPr>
      </w:pPr>
      <w:r>
        <w:rPr>
          <w:rFonts w:hint="eastAsia" w:ascii="宋体" w:hAnsi="宋体" w:cs="宋体"/>
          <w:szCs w:val="21"/>
        </w:rPr>
        <w:t xml:space="preserve">     外商投资企业类型：</w:t>
      </w:r>
      <w:r>
        <w:rPr>
          <w:rFonts w:hint="eastAsia" w:ascii="宋体" w:hAnsi="宋体" w:cs="宋体"/>
          <w:iCs/>
          <w:szCs w:val="21"/>
        </w:rPr>
        <w:sym w:font="Wingdings" w:char="00A8"/>
      </w:r>
      <w:r>
        <w:rPr>
          <w:rFonts w:hint="eastAsia" w:ascii="宋体" w:hAnsi="宋体" w:cs="宋体"/>
          <w:szCs w:val="21"/>
        </w:rPr>
        <w:t xml:space="preserve">全部由外国投资者投资  </w:t>
      </w:r>
      <w:r>
        <w:rPr>
          <w:rFonts w:hint="eastAsia" w:ascii="宋体" w:hAnsi="宋体" w:cs="宋体"/>
          <w:iCs/>
          <w:szCs w:val="21"/>
        </w:rPr>
        <w:sym w:font="Wingdings" w:char="00A8"/>
      </w:r>
      <w:r>
        <w:rPr>
          <w:rFonts w:hint="eastAsia" w:ascii="宋体" w:hAnsi="宋体" w:cs="宋体"/>
          <w:iCs/>
          <w:szCs w:val="21"/>
        </w:rPr>
        <w:t>部分由外国投资者投资</w:t>
      </w:r>
    </w:p>
    <w:p w14:paraId="10193742">
      <w:pPr>
        <w:numPr>
          <w:ilvl w:val="255"/>
          <w:numId w:val="0"/>
        </w:num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14:paraId="32698A10">
      <w:pPr>
        <w:numPr>
          <w:ilvl w:val="255"/>
          <w:numId w:val="0"/>
        </w:numPr>
        <w:adjustRightInd w:val="0"/>
        <w:snapToGrid w:val="0"/>
        <w:spacing w:line="400" w:lineRule="exact"/>
        <w:ind w:firstLine="840" w:firstLineChars="400"/>
        <w:rPr>
          <w:rFonts w:hint="eastAsia" w:ascii="宋体" w:hAnsi="宋体" w:cs="宋体"/>
          <w:szCs w:val="21"/>
          <w:u w:val="single"/>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15E24C4D">
      <w:pPr>
        <w:numPr>
          <w:ilvl w:val="255"/>
          <w:numId w:val="0"/>
        </w:numPr>
        <w:adjustRightInd w:val="0"/>
        <w:snapToGrid w:val="0"/>
        <w:spacing w:line="400" w:lineRule="exact"/>
        <w:ind w:firstLine="840" w:firstLineChars="400"/>
        <w:rPr>
          <w:rFonts w:hint="eastAsia"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2595DA33">
      <w:pPr>
        <w:adjustRightInd w:val="0"/>
        <w:snapToGrid w:val="0"/>
        <w:spacing w:line="400" w:lineRule="exact"/>
        <w:ind w:firstLine="840" w:firstLineChars="400"/>
        <w:rPr>
          <w:rFonts w:hint="eastAsia"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00E0A129">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14:paraId="44935213">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62C074E0">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0C508FBE">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09A721C0">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szCs w:val="21"/>
        </w:rPr>
        <w:t xml:space="preserve">          是否涉及环境标志产品：</w:t>
      </w:r>
    </w:p>
    <w:p w14:paraId="6BC67F4A">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390E3118">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707E3F41">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364DA324">
      <w:pPr>
        <w:numPr>
          <w:ilvl w:val="255"/>
          <w:numId w:val="0"/>
        </w:numPr>
        <w:autoSpaceDE w:val="0"/>
        <w:autoSpaceDN w:val="0"/>
        <w:adjustRightInd w:val="0"/>
        <w:snapToGrid w:val="0"/>
        <w:spacing w:line="400" w:lineRule="exact"/>
        <w:rPr>
          <w:rFonts w:hint="eastAsia" w:ascii="宋体" w:hAnsi="宋体"/>
          <w:szCs w:val="21"/>
        </w:rPr>
      </w:pPr>
      <w:r>
        <w:rPr>
          <w:rFonts w:hint="eastAsia" w:ascii="宋体" w:hAnsi="宋体" w:eastAsia="华文楷体" w:cs="华文楷体"/>
          <w:szCs w:val="21"/>
        </w:rPr>
        <w:t xml:space="preserve">          </w:t>
      </w:r>
      <w:r>
        <w:rPr>
          <w:rFonts w:hint="eastAsia" w:ascii="宋体" w:hAnsi="宋体"/>
          <w:szCs w:val="21"/>
        </w:rPr>
        <w:t xml:space="preserve">是否涉及绿色产品： </w:t>
      </w:r>
    </w:p>
    <w:p w14:paraId="5B785FBD">
      <w:pPr>
        <w:autoSpaceDE w:val="0"/>
        <w:autoSpaceDN w:val="0"/>
        <w:adjustRightInd w:val="0"/>
        <w:spacing w:line="400" w:lineRule="exact"/>
        <w:ind w:firstLine="420"/>
        <w:rPr>
          <w:rFonts w:hint="eastAsia" w:ascii="宋体" w:hAnsi="宋体" w:cs="华文楷体"/>
          <w:sz w:val="22"/>
          <w:szCs w:val="21"/>
          <w:u w:val="single"/>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是，绿色产品政府采购相关政策确定的底级品目名称：</w:t>
      </w:r>
      <w:r>
        <w:rPr>
          <w:rFonts w:hint="eastAsia" w:ascii="宋体" w:hAnsi="宋体" w:cs="华文楷体"/>
          <w:sz w:val="22"/>
          <w:szCs w:val="21"/>
          <w:u w:val="single"/>
        </w:rPr>
        <w:t xml:space="preserve">         </w:t>
      </w:r>
    </w:p>
    <w:p w14:paraId="33FDB053">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266231C0">
      <w:pPr>
        <w:autoSpaceDE w:val="0"/>
        <w:autoSpaceDN w:val="0"/>
        <w:adjustRightInd w:val="0"/>
        <w:spacing w:line="400" w:lineRule="exact"/>
        <w:ind w:firstLine="420"/>
        <w:rPr>
          <w:rFonts w:hint="eastAsia" w:ascii="宋体" w:hAnsi="宋体" w:eastAsia="华文楷体" w:cs="华文楷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201B652C">
      <w:pPr>
        <w:numPr>
          <w:ilvl w:val="255"/>
          <w:numId w:val="0"/>
        </w:numPr>
        <w:adjustRightInd w:val="0"/>
        <w:snapToGrid w:val="0"/>
        <w:spacing w:line="400" w:lineRule="exact"/>
        <w:rPr>
          <w:rFonts w:hint="eastAsia"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56051B54">
      <w:pPr>
        <w:numPr>
          <w:ilvl w:val="255"/>
          <w:numId w:val="0"/>
        </w:numPr>
        <w:adjustRightInd w:val="0"/>
        <w:snapToGrid w:val="0"/>
        <w:spacing w:line="400" w:lineRule="exact"/>
        <w:ind w:firstLine="840" w:firstLineChars="400"/>
        <w:rPr>
          <w:rFonts w:hint="eastAsia" w:ascii="宋体" w:hAnsi="宋体"/>
          <w:szCs w:val="21"/>
        </w:rPr>
      </w:pP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 xml:space="preserve">否      </w:t>
      </w:r>
      <w:r>
        <w:rPr>
          <w:rFonts w:hint="eastAsia" w:ascii="宋体" w:hAnsi="宋体"/>
          <w:szCs w:val="21"/>
        </w:rPr>
        <w:sym w:font="Wingdings" w:char="00A8"/>
      </w:r>
      <w:r>
        <w:rPr>
          <w:rFonts w:hint="eastAsia" w:ascii="宋体" w:hAnsi="宋体"/>
          <w:szCs w:val="21"/>
        </w:rPr>
        <w:t>不涉及</w:t>
      </w:r>
    </w:p>
    <w:p w14:paraId="1CF65742">
      <w:pPr>
        <w:numPr>
          <w:ilvl w:val="0"/>
          <w:numId w:val="21"/>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合同金额</w:t>
      </w:r>
    </w:p>
    <w:p w14:paraId="317E4E7A">
      <w:pPr>
        <w:adjustRightInd w:val="0"/>
        <w:snapToGrid w:val="0"/>
        <w:spacing w:line="400" w:lineRule="exact"/>
        <w:ind w:firstLine="420" w:firstLineChars="200"/>
        <w:rPr>
          <w:rFonts w:hint="eastAsia"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55956D72">
      <w:pPr>
        <w:adjustRightInd w:val="0"/>
        <w:snapToGrid w:val="0"/>
        <w:spacing w:line="400" w:lineRule="exact"/>
        <w:rPr>
          <w:rFonts w:hint="eastAsia"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6094810F">
      <w:pPr>
        <w:adjustRightInd w:val="0"/>
        <w:snapToGrid w:val="0"/>
        <w:spacing w:line="400" w:lineRule="exact"/>
        <w:rPr>
          <w:rFonts w:hint="eastAsia"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3C2803B3">
      <w:pPr>
        <w:adjustRightInd w:val="0"/>
        <w:snapToGrid w:val="0"/>
        <w:spacing w:line="400" w:lineRule="exact"/>
        <w:rPr>
          <w:rFonts w:hint="eastAsia"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6622CF67">
      <w:pPr>
        <w:adjustRightInd w:val="0"/>
        <w:snapToGrid w:val="0"/>
        <w:spacing w:line="400" w:lineRule="exact"/>
        <w:rPr>
          <w:rFonts w:hint="eastAsia" w:ascii="宋体" w:hAnsi="宋体"/>
          <w:szCs w:val="21"/>
        </w:rPr>
      </w:pPr>
      <w:r>
        <w:rPr>
          <w:rFonts w:hint="eastAsia" w:ascii="宋体" w:hAnsi="宋体"/>
          <w:szCs w:val="21"/>
        </w:rPr>
        <w:t xml:space="preserve">    （注：固定单价合同应填写单价和最高限价）</w:t>
      </w:r>
    </w:p>
    <w:p w14:paraId="607B9967">
      <w:pPr>
        <w:numPr>
          <w:ilvl w:val="255"/>
          <w:numId w:val="0"/>
        </w:numPr>
        <w:adjustRightInd w:val="0"/>
        <w:snapToGrid w:val="0"/>
        <w:spacing w:line="400" w:lineRule="exact"/>
        <w:rPr>
          <w:rFonts w:hint="eastAsia" w:ascii="宋体" w:hAnsi="宋体"/>
          <w:szCs w:val="21"/>
        </w:rPr>
      </w:pPr>
      <w:r>
        <w:rPr>
          <w:rFonts w:hint="eastAsia" w:ascii="宋体" w:hAnsi="宋体"/>
          <w:szCs w:val="21"/>
        </w:rPr>
        <w:t xml:space="preserve">    （2）合同定价方式（采用组合定价方式的，可以勾选多项）：</w:t>
      </w:r>
    </w:p>
    <w:p w14:paraId="00B8EF58">
      <w:pPr>
        <w:adjustRightInd w:val="0"/>
        <w:snapToGrid w:val="0"/>
        <w:spacing w:line="400" w:lineRule="exact"/>
        <w:ind w:firstLine="420" w:firstLineChars="200"/>
        <w:rPr>
          <w:rFonts w:hint="eastAsia" w:ascii="宋体" w:hAnsi="宋体"/>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 xml:space="preserve">固定单价 </w:t>
      </w:r>
      <w:r>
        <w:rPr>
          <w:rFonts w:hint="eastAsia" w:ascii="宋体" w:hAnsi="宋体"/>
          <w:iCs/>
          <w:szCs w:val="21"/>
        </w:rPr>
        <w:sym w:font="Wingdings" w:char="00A8"/>
      </w:r>
      <w:r>
        <w:rPr>
          <w:rFonts w:hint="eastAsia" w:ascii="宋体" w:hAnsi="宋体"/>
          <w:iCs/>
          <w:szCs w:val="21"/>
        </w:rPr>
        <w:t xml:space="preserve">固定费率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 xml:space="preserve">绩效激励 </w:t>
      </w:r>
      <w:r>
        <w:rPr>
          <w:rFonts w:hint="eastAsia" w:ascii="宋体" w:hAnsi="宋体"/>
          <w:iCs/>
          <w:szCs w:val="21"/>
        </w:rPr>
        <w:sym w:font="Wingdings" w:char="00A8"/>
      </w:r>
      <w:r>
        <w:rPr>
          <w:rFonts w:hint="eastAsia" w:ascii="宋体" w:hAnsi="宋体"/>
          <w:iCs/>
          <w:szCs w:val="21"/>
        </w:rPr>
        <w:t>其他</w:t>
      </w:r>
      <w:r>
        <w:rPr>
          <w:rFonts w:hint="eastAsia" w:ascii="宋体" w:hAnsi="宋体"/>
          <w:szCs w:val="21"/>
          <w:u w:val="single"/>
        </w:rPr>
        <w:t xml:space="preserve">       </w:t>
      </w:r>
    </w:p>
    <w:p w14:paraId="51C2BE29">
      <w:pPr>
        <w:spacing w:line="400" w:lineRule="exact"/>
        <w:ind w:firstLine="420" w:firstLineChars="200"/>
        <w:rPr>
          <w:szCs w:val="21"/>
        </w:rPr>
      </w:pPr>
      <w:r>
        <w:rPr>
          <w:rFonts w:hint="eastAsia" w:ascii="宋体" w:hAnsi="宋体"/>
          <w:szCs w:val="21"/>
        </w:rPr>
        <w:t>（3）付款方式（按项目实际勾选填写）：</w:t>
      </w:r>
    </w:p>
    <w:p w14:paraId="370617C4">
      <w:pPr>
        <w:adjustRightInd w:val="0"/>
        <w:snapToGrid w:val="0"/>
        <w:spacing w:line="400" w:lineRule="exact"/>
        <w:ind w:firstLine="630" w:firstLineChars="300"/>
        <w:rPr>
          <w:rFonts w:hint="eastAsia"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（应明确一次性支付合同款项的条件）                    </w:t>
      </w:r>
    </w:p>
    <w:p w14:paraId="7FCA9C95">
      <w:pPr>
        <w:snapToGrid w:val="0"/>
        <w:spacing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14:paraId="1AE5ECED">
      <w:pPr>
        <w:adjustRightInd w:val="0"/>
        <w:snapToGrid w:val="0"/>
        <w:spacing w:line="400" w:lineRule="exact"/>
        <w:ind w:firstLine="630" w:firstLineChars="300"/>
        <w:rPr>
          <w:rFonts w:hint="eastAsia"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01BF100D">
      <w:pPr>
        <w:adjustRightInd w:val="0"/>
        <w:snapToGrid w:val="0"/>
        <w:spacing w:line="400" w:lineRule="exact"/>
        <w:ind w:firstLine="630" w:firstLineChars="300"/>
        <w:rPr>
          <w:rFonts w:hint="eastAsia"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19D76EEF">
      <w:pPr>
        <w:numPr>
          <w:ilvl w:val="0"/>
          <w:numId w:val="21"/>
        </w:numPr>
        <w:adjustRightInd w:val="0"/>
        <w:snapToGrid w:val="0"/>
        <w:spacing w:line="400" w:lineRule="exact"/>
        <w:ind w:firstLine="422" w:firstLineChars="200"/>
        <w:rPr>
          <w:rFonts w:hint="eastAsia" w:ascii="宋体" w:hAnsi="宋体"/>
          <w:b/>
          <w:szCs w:val="21"/>
          <w:u w:val="single"/>
        </w:rPr>
      </w:pPr>
      <w:r>
        <w:rPr>
          <w:rFonts w:hint="eastAsia" w:ascii="宋体" w:hAnsi="宋体"/>
          <w:b/>
          <w:szCs w:val="21"/>
        </w:rPr>
        <w:t>合同履行</w:t>
      </w:r>
    </w:p>
    <w:p w14:paraId="78C780BE">
      <w:p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8A2F987">
      <w:pPr>
        <w:adjustRightInd w:val="0"/>
        <w:snapToGrid w:val="0"/>
        <w:spacing w:line="400" w:lineRule="exact"/>
        <w:ind w:firstLine="420" w:firstLineChars="200"/>
        <w:rPr>
          <w:rFonts w:hint="eastAsia"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3F4B774D">
      <w:pPr>
        <w:adjustRightInd w:val="0"/>
        <w:snapToGrid w:val="0"/>
        <w:spacing w:line="400" w:lineRule="exact"/>
        <w:ind w:firstLine="420" w:firstLineChars="200"/>
        <w:rPr>
          <w:rFonts w:hint="eastAsia"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hint="eastAsia" w:ascii="宋体" w:hAnsi="宋体" w:cs="宋体"/>
          <w:szCs w:val="21"/>
        </w:rPr>
        <w:sym w:font="Wingdings" w:char="00A8"/>
      </w:r>
      <w:r>
        <w:rPr>
          <w:rFonts w:hint="eastAsia" w:ascii="宋体" w:hAnsi="宋体" w:cs="宋体"/>
          <w:szCs w:val="21"/>
        </w:rPr>
        <w:t xml:space="preserve">是    </w:t>
      </w:r>
      <w:r>
        <w:rPr>
          <w:rFonts w:hint="eastAsia" w:ascii="宋体" w:hAnsi="宋体" w:cs="宋体"/>
          <w:szCs w:val="21"/>
        </w:rPr>
        <w:sym w:font="Wingdings" w:char="00A8"/>
      </w:r>
      <w:r>
        <w:rPr>
          <w:rFonts w:hint="eastAsia" w:ascii="宋体" w:hAnsi="宋体" w:cs="宋体"/>
          <w:szCs w:val="21"/>
        </w:rPr>
        <w:t>否</w:t>
      </w:r>
    </w:p>
    <w:p w14:paraId="4D2C94D9">
      <w:pPr>
        <w:autoSpaceDE w:val="0"/>
        <w:autoSpaceDN w:val="0"/>
        <w:adjustRightInd w:val="0"/>
        <w:spacing w:line="400" w:lineRule="exact"/>
        <w:ind w:firstLine="440" w:firstLineChars="200"/>
        <w:rPr>
          <w:rFonts w:hint="eastAsia" w:ascii="宋体" w:hAnsi="宋体" w:cs="宋体"/>
          <w:szCs w:val="21"/>
        </w:rPr>
      </w:pPr>
      <w:r>
        <w:rPr>
          <w:rFonts w:hint="eastAsia" w:ascii="宋体" w:hAnsi="宋体" w:eastAsia="华文楷体" w:cs="宋体"/>
          <w:bCs/>
          <w:sz w:val="22"/>
          <w:szCs w:val="21"/>
        </w:rPr>
        <w:t xml:space="preserve">  </w:t>
      </w:r>
      <w:r>
        <w:rPr>
          <w:rFonts w:hint="eastAsia" w:ascii="宋体" w:hAnsi="宋体" w:cs="宋体"/>
          <w:szCs w:val="21"/>
        </w:rPr>
        <w:t xml:space="preserve">  收取履约保证金形式：</w:t>
      </w:r>
      <w:r>
        <w:rPr>
          <w:rFonts w:hint="eastAsia" w:ascii="宋体" w:hAnsi="宋体" w:cs="宋体"/>
          <w:bCs/>
          <w:szCs w:val="21"/>
          <w:u w:val="single"/>
        </w:rPr>
        <w:t xml:space="preserve">                            </w:t>
      </w:r>
    </w:p>
    <w:p w14:paraId="4257146F">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 xml:space="preserve">    收取履约保证金金额：</w:t>
      </w:r>
      <w:r>
        <w:rPr>
          <w:rFonts w:hint="eastAsia" w:ascii="宋体" w:hAnsi="宋体" w:cs="宋体"/>
          <w:bCs/>
          <w:szCs w:val="21"/>
          <w:u w:val="single"/>
        </w:rPr>
        <w:t xml:space="preserve">                            </w:t>
      </w:r>
    </w:p>
    <w:p w14:paraId="21B7CABB">
      <w:pPr>
        <w:snapToGrid w:val="0"/>
        <w:spacing w:line="400" w:lineRule="exact"/>
        <w:ind w:firstLine="420" w:firstLineChars="200"/>
        <w:rPr>
          <w:rFonts w:hint="eastAsia"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22E92AB2">
      <w:pPr>
        <w:adjustRightInd w:val="0"/>
        <w:snapToGrid w:val="0"/>
        <w:spacing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6617C26F">
      <w:pPr>
        <w:adjustRightInd w:val="0"/>
        <w:snapToGrid w:val="0"/>
        <w:spacing w:line="400" w:lineRule="exact"/>
        <w:ind w:firstLine="420" w:firstLineChars="200"/>
        <w:rPr>
          <w:rFonts w:hint="eastAsia" w:ascii="宋体" w:hAnsi="宋体" w:cs="宋体"/>
          <w:szCs w:val="21"/>
          <w:u w:val="single"/>
        </w:rPr>
      </w:pPr>
      <w:r>
        <w:rPr>
          <w:rFonts w:hint="eastAsia" w:ascii="宋体" w:hAnsi="宋体" w:cs="宋体"/>
          <w:bCs/>
          <w:szCs w:val="21"/>
        </w:rPr>
        <w:t>（5）风险处置措施和替代方案：</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14:paraId="388AF903">
      <w:pPr>
        <w:numPr>
          <w:ilvl w:val="0"/>
          <w:numId w:val="21"/>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合同验收</w:t>
      </w:r>
    </w:p>
    <w:p w14:paraId="467FB604">
      <w:pPr>
        <w:numPr>
          <w:ilvl w:val="0"/>
          <w:numId w:val="23"/>
        </w:numPr>
        <w:adjustRightInd w:val="0"/>
        <w:snapToGrid w:val="0"/>
        <w:spacing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cs="宋体"/>
          <w:szCs w:val="21"/>
        </w:rPr>
        <w:sym w:font="Wingdings" w:char="00A8"/>
      </w:r>
      <w:r>
        <w:rPr>
          <w:rFonts w:hint="eastAsia" w:ascii="宋体" w:hAnsi="宋体"/>
          <w:bCs/>
          <w:szCs w:val="21"/>
        </w:rPr>
        <w:t xml:space="preserve">自行组织 </w:t>
      </w:r>
      <w:r>
        <w:rPr>
          <w:rFonts w:hint="eastAsia" w:ascii="宋体" w:hAnsi="宋体" w:cs="宋体"/>
          <w:szCs w:val="21"/>
        </w:rPr>
        <w:sym w:font="Wingdings" w:char="00A8"/>
      </w:r>
      <w:r>
        <w:rPr>
          <w:rFonts w:hint="eastAsia" w:ascii="宋体" w:hAnsi="宋体"/>
          <w:bCs/>
          <w:szCs w:val="21"/>
        </w:rPr>
        <w:t>委托第三方组织</w:t>
      </w:r>
    </w:p>
    <w:p w14:paraId="2C768DB2">
      <w:pPr>
        <w:adjustRightInd w:val="0"/>
        <w:snapToGrid w:val="0"/>
        <w:spacing w:line="400" w:lineRule="exact"/>
        <w:rPr>
          <w:rFonts w:hint="eastAsia"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5B26C220">
      <w:pPr>
        <w:adjustRightInd w:val="0"/>
        <w:snapToGrid w:val="0"/>
        <w:spacing w:line="400" w:lineRule="exact"/>
        <w:rPr>
          <w:rFonts w:hint="eastAsia" w:ascii="宋体" w:hAnsi="宋体"/>
          <w:bCs/>
          <w:szCs w:val="21"/>
        </w:rPr>
      </w:pPr>
      <w:r>
        <w:rPr>
          <w:rFonts w:hint="eastAsia" w:ascii="宋体" w:hAnsi="宋体"/>
          <w:bCs/>
          <w:szCs w:val="21"/>
        </w:rPr>
        <w:t xml:space="preserve">        是否邀请本项目的其他供应商参加验收：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78F22501">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是否邀请专家参加验收：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7C82A054">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是否邀请服务对象参加验收：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3A4DB838">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是否邀请第三方检测机构参加验收：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52A10001">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是否进行抽查检测：</w:t>
      </w:r>
      <w:r>
        <w:rPr>
          <w:rFonts w:hint="eastAsia" w:ascii="宋体" w:hAnsi="宋体" w:cs="宋体"/>
          <w:szCs w:val="21"/>
        </w:rPr>
        <w:sym w:font="Wingdings" w:char="00A8"/>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058A0108">
      <w:pPr>
        <w:adjustRightInd w:val="0"/>
        <w:snapToGrid w:val="0"/>
        <w:spacing w:line="400" w:lineRule="exact"/>
        <w:ind w:firstLine="840" w:firstLineChars="400"/>
        <w:rPr>
          <w:rFonts w:hint="eastAsia" w:ascii="宋体" w:hAnsi="宋体"/>
          <w:bCs/>
          <w:szCs w:val="21"/>
          <w:u w:val="single"/>
        </w:rPr>
      </w:pPr>
      <w:r>
        <w:rPr>
          <w:rFonts w:hint="eastAsia" w:ascii="宋体" w:hAnsi="宋体"/>
          <w:bCs/>
          <w:szCs w:val="21"/>
        </w:rPr>
        <w:t>是否存在破坏性检测：</w:t>
      </w:r>
      <w:r>
        <w:rPr>
          <w:rFonts w:hint="eastAsia" w:ascii="宋体" w:hAnsi="宋体" w:cs="宋体"/>
          <w:szCs w:val="21"/>
        </w:rPr>
        <w:sym w:font="Wingdings" w:char="00A8"/>
      </w:r>
      <w:r>
        <w:rPr>
          <w:rFonts w:hint="eastAsia" w:ascii="宋体" w:hAnsi="宋体"/>
          <w:bCs/>
          <w:szCs w:val="21"/>
        </w:rPr>
        <w:t>是，</w:t>
      </w:r>
      <w:r>
        <w:rPr>
          <w:rFonts w:hint="eastAsia" w:ascii="宋体" w:hAnsi="宋体"/>
          <w:bCs/>
          <w:szCs w:val="21"/>
          <w:u w:val="single"/>
        </w:rPr>
        <w:t>（应明确对被破坏的检测产品的处理方式）</w:t>
      </w:r>
    </w:p>
    <w:p w14:paraId="1A563B24">
      <w:pPr>
        <w:adjustRightInd w:val="0"/>
        <w:snapToGrid w:val="0"/>
        <w:spacing w:line="400" w:lineRule="exact"/>
        <w:ind w:firstLine="840" w:firstLineChars="400"/>
        <w:rPr>
          <w:rFonts w:hint="eastAsia"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7927A67F">
      <w:pPr>
        <w:adjustRightInd w:val="0"/>
        <w:snapToGrid w:val="0"/>
        <w:spacing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012B4EDA">
      <w:pPr>
        <w:adjustRightInd w:val="0"/>
        <w:snapToGrid w:val="0"/>
        <w:spacing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757CA648">
      <w:pPr>
        <w:adjustRightInd w:val="0"/>
        <w:snapToGrid w:val="0"/>
        <w:spacing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cs="宋体"/>
          <w:szCs w:val="21"/>
        </w:rPr>
        <w:sym w:font="Wingdings" w:char="00A8"/>
      </w:r>
      <w:r>
        <w:rPr>
          <w:rFonts w:hint="eastAsia" w:ascii="宋体" w:hAnsi="宋体"/>
          <w:bCs/>
          <w:szCs w:val="21"/>
        </w:rPr>
        <w:t xml:space="preserve">一次性验收         </w:t>
      </w:r>
    </w:p>
    <w:p w14:paraId="4A0414FD">
      <w:pPr>
        <w:adjustRightInd w:val="0"/>
        <w:snapToGrid w:val="0"/>
        <w:spacing w:line="400" w:lineRule="exact"/>
        <w:rPr>
          <w:rFonts w:hint="eastAsia"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14:paraId="19A60474">
      <w:pPr>
        <w:adjustRightInd w:val="0"/>
        <w:snapToGrid w:val="0"/>
        <w:spacing w:line="400" w:lineRule="exact"/>
        <w:ind w:firstLine="420" w:firstLineChars="200"/>
        <w:rPr>
          <w:rFonts w:hint="eastAsia"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1105A81E">
      <w:pPr>
        <w:adjustRightInd w:val="0"/>
        <w:snapToGrid w:val="0"/>
        <w:spacing w:line="400" w:lineRule="exact"/>
        <w:ind w:firstLine="420" w:firstLineChars="200"/>
        <w:rPr>
          <w:rFonts w:hint="eastAsia"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210F2F70">
      <w:pPr>
        <w:adjustRightInd w:val="0"/>
        <w:snapToGrid w:val="0"/>
        <w:spacing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5E9B996D">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bCs/>
          <w:szCs w:val="21"/>
        </w:rPr>
        <w:t>（7）是否以采购活动中供应商提供的样品作为参考：</w:t>
      </w:r>
      <w:r>
        <w:rPr>
          <w:rFonts w:hint="eastAsia" w:ascii="宋体" w:hAnsi="宋体" w:cs="宋体"/>
          <w:szCs w:val="21"/>
        </w:rPr>
        <w:sym w:font="Wingdings" w:char="00A8"/>
      </w:r>
      <w:r>
        <w:rPr>
          <w:rFonts w:hint="eastAsia" w:ascii="宋体" w:hAnsi="宋体" w:cs="宋体"/>
          <w:bCs/>
          <w:szCs w:val="21"/>
        </w:rPr>
        <w:t xml:space="preserve">是  </w:t>
      </w:r>
      <w:r>
        <w:rPr>
          <w:rFonts w:hint="eastAsia" w:ascii="宋体" w:hAnsi="宋体" w:cs="宋体"/>
          <w:szCs w:val="21"/>
        </w:rPr>
        <w:sym w:font="Wingdings" w:char="00A8"/>
      </w:r>
      <w:r>
        <w:rPr>
          <w:rFonts w:hint="eastAsia" w:ascii="宋体" w:hAnsi="宋体" w:cs="宋体"/>
          <w:bCs/>
          <w:szCs w:val="21"/>
        </w:rPr>
        <w:t>否</w:t>
      </w:r>
    </w:p>
    <w:p w14:paraId="1259DE37">
      <w:pPr>
        <w:adjustRightInd w:val="0"/>
        <w:snapToGrid w:val="0"/>
        <w:spacing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1CAEA1E0">
      <w:pPr>
        <w:numPr>
          <w:ilvl w:val="0"/>
          <w:numId w:val="21"/>
        </w:numPr>
        <w:adjustRightInd w:val="0"/>
        <w:snapToGrid w:val="0"/>
        <w:spacing w:line="400" w:lineRule="exact"/>
        <w:ind w:firstLine="422" w:firstLineChars="200"/>
        <w:rPr>
          <w:rFonts w:hint="eastAsia" w:ascii="宋体" w:hAnsi="宋体"/>
          <w:b/>
          <w:szCs w:val="21"/>
        </w:rPr>
      </w:pPr>
      <w:r>
        <w:rPr>
          <w:rFonts w:hint="eastAsia" w:ascii="宋体" w:hAnsi="宋体"/>
          <w:b/>
          <w:szCs w:val="21"/>
        </w:rPr>
        <w:t>组成合同的文件</w:t>
      </w:r>
    </w:p>
    <w:p w14:paraId="7284C332">
      <w:pPr>
        <w:adjustRightInd w:val="0"/>
        <w:snapToGrid w:val="0"/>
        <w:spacing w:line="400" w:lineRule="exact"/>
        <w:ind w:firstLine="420" w:firstLineChars="200"/>
        <w:rPr>
          <w:rFonts w:hint="eastAsia" w:ascii="宋体" w:hAnsi="宋体"/>
          <w:szCs w:val="21"/>
        </w:rPr>
      </w:pPr>
      <w:r>
        <w:rPr>
          <w:rFonts w:hint="eastAsia" w:ascii="宋体" w:hAnsi="宋体"/>
          <w:szCs w:val="21"/>
        </w:rPr>
        <w:t>本协议书与下列文件一起构成合同文件，如下述文件之间有任何抵触、矛盾或歧义，应按以下顺序解释：</w:t>
      </w:r>
    </w:p>
    <w:p w14:paraId="6A415789">
      <w:pPr>
        <w:adjustRightInd w:val="0"/>
        <w:snapToGrid w:val="0"/>
        <w:spacing w:line="400" w:lineRule="exact"/>
        <w:ind w:firstLine="420" w:firstLineChars="200"/>
        <w:rPr>
          <w:rFonts w:hint="eastAsia" w:ascii="宋体" w:hAnsi="宋体"/>
          <w:szCs w:val="21"/>
        </w:rPr>
      </w:pPr>
      <w:r>
        <w:rPr>
          <w:rFonts w:hint="eastAsia" w:ascii="宋体" w:hAnsi="宋体"/>
          <w:szCs w:val="21"/>
        </w:rPr>
        <w:t>（1）政府采购合同协议书及其变更、补充协议</w:t>
      </w:r>
    </w:p>
    <w:p w14:paraId="67C82511">
      <w:pPr>
        <w:adjustRightInd w:val="0"/>
        <w:snapToGrid w:val="0"/>
        <w:spacing w:line="400" w:lineRule="exact"/>
        <w:ind w:firstLine="420" w:firstLineChars="200"/>
        <w:rPr>
          <w:rFonts w:hint="eastAsia" w:ascii="宋体" w:hAnsi="宋体"/>
          <w:szCs w:val="21"/>
        </w:rPr>
      </w:pPr>
      <w:r>
        <w:rPr>
          <w:rFonts w:hint="eastAsia" w:ascii="宋体" w:hAnsi="宋体"/>
          <w:szCs w:val="21"/>
        </w:rPr>
        <w:t>（2）政府采购合同专用条款</w:t>
      </w:r>
    </w:p>
    <w:p w14:paraId="0442F883">
      <w:pPr>
        <w:adjustRightInd w:val="0"/>
        <w:snapToGrid w:val="0"/>
        <w:spacing w:line="400" w:lineRule="exact"/>
        <w:ind w:firstLine="420" w:firstLineChars="200"/>
        <w:rPr>
          <w:rFonts w:hint="eastAsia" w:ascii="宋体" w:hAnsi="宋体"/>
          <w:szCs w:val="21"/>
        </w:rPr>
      </w:pPr>
      <w:r>
        <w:rPr>
          <w:rFonts w:hint="eastAsia" w:ascii="宋体" w:hAnsi="宋体"/>
          <w:szCs w:val="21"/>
        </w:rPr>
        <w:t>（3）政府采购合同通用条款</w:t>
      </w:r>
    </w:p>
    <w:p w14:paraId="18446C52">
      <w:pPr>
        <w:adjustRightInd w:val="0"/>
        <w:snapToGrid w:val="0"/>
        <w:spacing w:line="400" w:lineRule="exact"/>
        <w:ind w:firstLine="420" w:firstLineChars="200"/>
        <w:rPr>
          <w:rFonts w:hint="eastAsia" w:ascii="宋体" w:hAnsi="宋体"/>
          <w:szCs w:val="21"/>
        </w:rPr>
      </w:pPr>
      <w:r>
        <w:rPr>
          <w:rFonts w:hint="eastAsia" w:ascii="宋体" w:hAnsi="宋体"/>
          <w:szCs w:val="21"/>
        </w:rPr>
        <w:t>（4）中标（成交）通知书</w:t>
      </w:r>
    </w:p>
    <w:p w14:paraId="13FC3825">
      <w:pPr>
        <w:adjustRightInd w:val="0"/>
        <w:snapToGrid w:val="0"/>
        <w:spacing w:line="400" w:lineRule="exact"/>
        <w:ind w:firstLine="420" w:firstLineChars="200"/>
        <w:rPr>
          <w:rFonts w:hint="eastAsia" w:ascii="宋体" w:hAnsi="宋体"/>
          <w:szCs w:val="21"/>
        </w:rPr>
      </w:pPr>
      <w:r>
        <w:rPr>
          <w:rFonts w:hint="eastAsia" w:ascii="宋体" w:hAnsi="宋体"/>
          <w:szCs w:val="21"/>
        </w:rPr>
        <w:t>（5）投标（响应）文件</w:t>
      </w:r>
    </w:p>
    <w:p w14:paraId="4E029950">
      <w:pPr>
        <w:adjustRightInd w:val="0"/>
        <w:snapToGrid w:val="0"/>
        <w:spacing w:line="400" w:lineRule="exact"/>
        <w:ind w:firstLine="420" w:firstLineChars="200"/>
        <w:rPr>
          <w:rFonts w:hint="eastAsia" w:ascii="宋体" w:hAnsi="宋体"/>
          <w:szCs w:val="21"/>
        </w:rPr>
      </w:pPr>
      <w:r>
        <w:rPr>
          <w:rFonts w:hint="eastAsia" w:ascii="宋体" w:hAnsi="宋体"/>
          <w:szCs w:val="21"/>
        </w:rPr>
        <w:t>（6）采购文件</w:t>
      </w:r>
    </w:p>
    <w:p w14:paraId="54C082E7">
      <w:pPr>
        <w:adjustRightInd w:val="0"/>
        <w:snapToGrid w:val="0"/>
        <w:spacing w:line="400" w:lineRule="exact"/>
        <w:ind w:firstLine="420" w:firstLineChars="200"/>
        <w:rPr>
          <w:rFonts w:hint="eastAsia" w:ascii="宋体" w:hAnsi="宋体"/>
          <w:szCs w:val="21"/>
        </w:rPr>
      </w:pPr>
      <w:r>
        <w:rPr>
          <w:rFonts w:hint="eastAsia" w:ascii="宋体" w:hAnsi="宋体"/>
          <w:szCs w:val="21"/>
        </w:rPr>
        <w:t>（7）有关技术文件，图纸</w:t>
      </w:r>
    </w:p>
    <w:p w14:paraId="786AC6E2">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（8）</w:t>
      </w:r>
      <w:r>
        <w:rPr>
          <w:rFonts w:hint="eastAsia" w:ascii="宋体" w:hAnsi="宋体" w:cs="宋体"/>
          <w:color w:val="000000"/>
          <w:szCs w:val="21"/>
        </w:rPr>
        <w:t>国家法律、行政法规和规章制度规定或合同约定的作为合同组成部分的其他文件</w:t>
      </w:r>
    </w:p>
    <w:p w14:paraId="335CCCAE">
      <w:pPr>
        <w:numPr>
          <w:ilvl w:val="0"/>
          <w:numId w:val="21"/>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合同生效</w:t>
      </w:r>
    </w:p>
    <w:p w14:paraId="0A24FD5D">
      <w:pPr>
        <w:adjustRightInd w:val="0"/>
        <w:snapToGrid w:val="0"/>
        <w:spacing w:line="400" w:lineRule="exact"/>
        <w:ind w:firstLine="420" w:firstLineChars="200"/>
        <w:rPr>
          <w:rFonts w:hint="eastAsia"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48189D92">
      <w:pPr>
        <w:numPr>
          <w:ilvl w:val="0"/>
          <w:numId w:val="21"/>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合同份数</w:t>
      </w:r>
    </w:p>
    <w:p w14:paraId="7361BA22">
      <w:pPr>
        <w:adjustRightInd w:val="0"/>
        <w:snapToGrid w:val="0"/>
        <w:spacing w:line="400" w:lineRule="exact"/>
        <w:ind w:firstLine="420" w:firstLineChars="200"/>
        <w:rPr>
          <w:rFonts w:hint="eastAsia"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072EB13A">
      <w:pPr>
        <w:adjustRightInd w:val="0"/>
        <w:snapToGrid w:val="0"/>
        <w:spacing w:line="400" w:lineRule="exact"/>
        <w:ind w:firstLine="420" w:firstLineChars="200"/>
        <w:rPr>
          <w:rFonts w:hint="eastAsia"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551AFC0">
      <w:pPr>
        <w:adjustRightInd w:val="0"/>
        <w:snapToGrid w:val="0"/>
        <w:spacing w:line="400" w:lineRule="exact"/>
        <w:ind w:firstLine="420" w:firstLineChars="200"/>
        <w:rPr>
          <w:rFonts w:hint="eastAsia" w:ascii="宋体" w:hAnsi="宋体"/>
          <w:szCs w:val="21"/>
        </w:rPr>
      </w:pPr>
      <w:r>
        <w:rPr>
          <w:rFonts w:hint="eastAsia" w:ascii="宋体" w:hAnsi="宋体"/>
          <w:szCs w:val="21"/>
        </w:rPr>
        <w:t>合同订立地点：</w:t>
      </w:r>
      <w:r>
        <w:rPr>
          <w:rFonts w:hint="eastAsia" w:ascii="宋体" w:hAnsi="宋体"/>
          <w:szCs w:val="21"/>
          <w:u w:val="single"/>
        </w:rPr>
        <w:t xml:space="preserve">                           </w:t>
      </w:r>
    </w:p>
    <w:p w14:paraId="49D01CA2">
      <w:pPr>
        <w:adjustRightInd w:val="0"/>
        <w:snapToGrid w:val="0"/>
        <w:spacing w:line="400" w:lineRule="exact"/>
        <w:ind w:firstLine="420" w:firstLineChars="200"/>
      </w:pPr>
      <w:r>
        <w:rPr>
          <w:rFonts w:hint="eastAsia" w:ascii="宋体" w:hAnsi="宋体"/>
          <w:szCs w:val="21"/>
        </w:rPr>
        <w:t>附件：具体标的及其技术要求和商务要求、联合协议、分包意向协议等。</w:t>
      </w:r>
    </w:p>
    <w:p w14:paraId="4FE7626B">
      <w:r>
        <w:rPr>
          <w:rFonts w:hint="eastAsia"/>
        </w:rPr>
        <w:br w:type="page"/>
      </w:r>
    </w:p>
    <w:p w14:paraId="7AB78E77">
      <w:pPr>
        <w:ind w:firstLine="420" w:firstLineChars="200"/>
        <w:rPr>
          <w:szCs w:val="21"/>
        </w:rPr>
      </w:pPr>
    </w:p>
    <w:tbl>
      <w:tblPr>
        <w:tblStyle w:val="43"/>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74DBFB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6EE16523">
            <w:pPr>
              <w:keepNext w:val="0"/>
              <w:keepLines w:val="0"/>
              <w:suppressLineNumbers w:val="0"/>
              <w:adjustRightInd w:val="0"/>
              <w:snapToGrid w:val="0"/>
              <w:spacing w:before="0" w:beforeAutospacing="0" w:after="0" w:afterAutospacing="0" w:line="300" w:lineRule="exact"/>
              <w:ind w:left="0" w:right="0"/>
              <w:jc w:val="center"/>
              <w:rPr>
                <w:rFonts w:hint="default"/>
              </w:rPr>
            </w:pPr>
            <w:r>
              <w:rPr>
                <w:rFonts w:hint="default"/>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095" w:type="dxa"/>
            <w:gridSpan w:val="2"/>
            <w:tcBorders>
              <w:left w:val="single" w:color="auto" w:sz="2" w:space="0"/>
              <w:bottom w:val="single" w:color="auto" w:sz="2" w:space="0"/>
            </w:tcBorders>
            <w:vAlign w:val="center"/>
          </w:tcPr>
          <w:p w14:paraId="57F1DDEF">
            <w:pPr>
              <w:keepNext w:val="0"/>
              <w:keepLines w:val="0"/>
              <w:suppressLineNumbers w:val="0"/>
              <w:adjustRightInd w:val="0"/>
              <w:snapToGrid w:val="0"/>
              <w:spacing w:before="0" w:beforeAutospacing="0" w:after="0" w:afterAutospacing="0" w:line="300" w:lineRule="exact"/>
              <w:ind w:left="0" w:right="0"/>
              <w:jc w:val="center"/>
              <w:rPr>
                <w:rFonts w:hint="default"/>
              </w:rPr>
            </w:pPr>
            <w:r>
              <w:rPr>
                <w:rFonts w:hint="default"/>
                <w:szCs w:val="21"/>
              </w:rPr>
              <w:t>乙方</w:t>
            </w:r>
            <w:r>
              <w:rPr>
                <w:rFonts w:hint="eastAsia"/>
                <w:szCs w:val="21"/>
              </w:rPr>
              <w:t>（供应商）</w:t>
            </w:r>
          </w:p>
        </w:tc>
      </w:tr>
      <w:tr w14:paraId="2A0424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63F057F">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单位名称</w:t>
            </w:r>
            <w:r>
              <w:rPr>
                <w:rFonts w:hint="eastAsia"/>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14:paraId="2AC2BC9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C8E1F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单位名称</w:t>
            </w:r>
            <w:r>
              <w:rPr>
                <w:rFonts w:hint="eastAsia"/>
                <w:szCs w:val="21"/>
              </w:rPr>
              <w:t>（公章或合同章）</w:t>
            </w:r>
          </w:p>
        </w:tc>
        <w:tc>
          <w:tcPr>
            <w:tcW w:w="2116" w:type="dxa"/>
            <w:tcBorders>
              <w:top w:val="single" w:color="auto" w:sz="2" w:space="0"/>
              <w:left w:val="single" w:color="auto" w:sz="2" w:space="0"/>
              <w:bottom w:val="single" w:color="auto" w:sz="2" w:space="0"/>
            </w:tcBorders>
            <w:vAlign w:val="center"/>
          </w:tcPr>
          <w:p w14:paraId="3490972B">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57C03E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BF6B207">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法定代表人</w:t>
            </w:r>
          </w:p>
          <w:p w14:paraId="4218B279">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szCs w:val="21"/>
              </w:rPr>
            </w:pPr>
            <w:r>
              <w:rPr>
                <w:rFonts w:hint="eastAsia"/>
                <w:szCs w:val="21"/>
              </w:rPr>
              <w:t>或其</w:t>
            </w:r>
            <w:r>
              <w:rPr>
                <w:rFonts w:hint="default"/>
                <w:szCs w:val="21"/>
              </w:rPr>
              <w:t>委托代理人</w:t>
            </w:r>
            <w:r>
              <w:rPr>
                <w:rFonts w:hint="eastAsia"/>
                <w:szCs w:val="21"/>
              </w:rPr>
              <w:t>（签章）</w:t>
            </w:r>
          </w:p>
        </w:tc>
        <w:tc>
          <w:tcPr>
            <w:tcW w:w="2412" w:type="dxa"/>
            <w:vMerge w:val="restart"/>
            <w:tcBorders>
              <w:top w:val="single" w:color="auto" w:sz="2" w:space="0"/>
              <w:left w:val="single" w:color="auto" w:sz="2" w:space="0"/>
              <w:right w:val="single" w:color="auto" w:sz="2" w:space="0"/>
            </w:tcBorders>
            <w:vAlign w:val="center"/>
          </w:tcPr>
          <w:p w14:paraId="4883B694">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right w:val="single" w:color="auto" w:sz="2" w:space="0"/>
            </w:tcBorders>
            <w:vAlign w:val="center"/>
          </w:tcPr>
          <w:p w14:paraId="000037D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法定代表人</w:t>
            </w:r>
          </w:p>
          <w:p w14:paraId="2369FD8E">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或其</w:t>
            </w:r>
            <w:r>
              <w:rPr>
                <w:rFonts w:hint="default"/>
                <w:szCs w:val="21"/>
              </w:rPr>
              <w:t>委托代理人</w:t>
            </w:r>
            <w:r>
              <w:rPr>
                <w:rFonts w:hint="eastAsia"/>
                <w:szCs w:val="21"/>
              </w:rPr>
              <w:t>（签章）</w:t>
            </w:r>
          </w:p>
        </w:tc>
        <w:tc>
          <w:tcPr>
            <w:tcW w:w="2116" w:type="dxa"/>
            <w:tcBorders>
              <w:top w:val="single" w:color="auto" w:sz="2" w:space="0"/>
              <w:left w:val="single" w:color="auto" w:sz="2" w:space="0"/>
              <w:bottom w:val="single" w:color="auto" w:sz="2" w:space="0"/>
            </w:tcBorders>
            <w:vAlign w:val="center"/>
          </w:tcPr>
          <w:p w14:paraId="34310602">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r>
      <w:tr w14:paraId="0F6E6A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0531B61D">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vMerge w:val="continue"/>
            <w:tcBorders>
              <w:left w:val="single" w:color="auto" w:sz="2" w:space="0"/>
              <w:bottom w:val="single" w:color="auto" w:sz="2" w:space="0"/>
              <w:right w:val="single" w:color="auto" w:sz="2" w:space="0"/>
            </w:tcBorders>
            <w:vAlign w:val="center"/>
          </w:tcPr>
          <w:p w14:paraId="5F2437A5">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77AF3A">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拥有者性别</w:t>
            </w:r>
          </w:p>
        </w:tc>
        <w:tc>
          <w:tcPr>
            <w:tcW w:w="2116" w:type="dxa"/>
            <w:tcBorders>
              <w:top w:val="single" w:color="auto" w:sz="2" w:space="0"/>
              <w:left w:val="single" w:color="auto" w:sz="2" w:space="0"/>
              <w:bottom w:val="single" w:color="auto" w:sz="2" w:space="0"/>
            </w:tcBorders>
            <w:vAlign w:val="center"/>
          </w:tcPr>
          <w:p w14:paraId="098A0855">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115217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9FAED4F">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14:paraId="4A6E9EC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0CD2EA7">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住  所</w:t>
            </w:r>
          </w:p>
        </w:tc>
        <w:tc>
          <w:tcPr>
            <w:tcW w:w="2116" w:type="dxa"/>
            <w:tcBorders>
              <w:top w:val="single" w:color="auto" w:sz="2" w:space="0"/>
              <w:left w:val="single" w:color="auto" w:sz="2" w:space="0"/>
              <w:bottom w:val="single" w:color="auto" w:sz="2" w:space="0"/>
            </w:tcBorders>
            <w:vAlign w:val="center"/>
          </w:tcPr>
          <w:p w14:paraId="2A837CA9">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278965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5CFEAB">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2BA2A630">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9CE3E88">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 系 人</w:t>
            </w:r>
          </w:p>
        </w:tc>
        <w:tc>
          <w:tcPr>
            <w:tcW w:w="2116" w:type="dxa"/>
            <w:tcBorders>
              <w:top w:val="single" w:color="auto" w:sz="2" w:space="0"/>
              <w:left w:val="single" w:color="auto" w:sz="2" w:space="0"/>
              <w:bottom w:val="single" w:color="auto" w:sz="2" w:space="0"/>
            </w:tcBorders>
            <w:vAlign w:val="center"/>
          </w:tcPr>
          <w:p w14:paraId="184198A3">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7B11238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D0D9999">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6DCA6BEE">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99B7224">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联系电话</w:t>
            </w:r>
          </w:p>
        </w:tc>
        <w:tc>
          <w:tcPr>
            <w:tcW w:w="2116" w:type="dxa"/>
            <w:tcBorders>
              <w:top w:val="single" w:color="auto" w:sz="2" w:space="0"/>
              <w:left w:val="single" w:color="auto" w:sz="2" w:space="0"/>
              <w:bottom w:val="single" w:color="auto" w:sz="2" w:space="0"/>
            </w:tcBorders>
            <w:vAlign w:val="center"/>
          </w:tcPr>
          <w:p w14:paraId="2B76791D">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1F54E4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B8DC624">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68F73EE6">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034E60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通信地址</w:t>
            </w:r>
          </w:p>
        </w:tc>
        <w:tc>
          <w:tcPr>
            <w:tcW w:w="2116" w:type="dxa"/>
            <w:tcBorders>
              <w:top w:val="single" w:color="auto" w:sz="2" w:space="0"/>
              <w:left w:val="single" w:color="auto" w:sz="2" w:space="0"/>
              <w:bottom w:val="single" w:color="auto" w:sz="2" w:space="0"/>
            </w:tcBorders>
            <w:vAlign w:val="center"/>
          </w:tcPr>
          <w:p w14:paraId="38689625">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3194FE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6DF4FFC">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100C420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14CD078">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邮政编码</w:t>
            </w:r>
          </w:p>
        </w:tc>
        <w:tc>
          <w:tcPr>
            <w:tcW w:w="2116" w:type="dxa"/>
            <w:tcBorders>
              <w:top w:val="single" w:color="auto" w:sz="2" w:space="0"/>
              <w:left w:val="single" w:color="auto" w:sz="2" w:space="0"/>
              <w:bottom w:val="single" w:color="auto" w:sz="2" w:space="0"/>
            </w:tcBorders>
            <w:vAlign w:val="center"/>
          </w:tcPr>
          <w:p w14:paraId="3AE65699">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135B81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BF83DAD">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3D62E69F">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6363443">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电子邮箱</w:t>
            </w:r>
          </w:p>
        </w:tc>
        <w:tc>
          <w:tcPr>
            <w:tcW w:w="2116" w:type="dxa"/>
            <w:tcBorders>
              <w:top w:val="single" w:color="auto" w:sz="2" w:space="0"/>
              <w:left w:val="single" w:color="auto" w:sz="2" w:space="0"/>
              <w:bottom w:val="single" w:color="auto" w:sz="2" w:space="0"/>
            </w:tcBorders>
            <w:vAlign w:val="center"/>
          </w:tcPr>
          <w:p w14:paraId="387FA14B">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23C764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88401BD">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3B437B43">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6DC9DBF">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统一社会信用代码</w:t>
            </w:r>
          </w:p>
        </w:tc>
        <w:tc>
          <w:tcPr>
            <w:tcW w:w="2116" w:type="dxa"/>
            <w:tcBorders>
              <w:top w:val="single" w:color="auto" w:sz="2" w:space="0"/>
              <w:left w:val="single" w:color="auto" w:sz="2" w:space="0"/>
              <w:bottom w:val="single" w:color="auto" w:sz="2" w:space="0"/>
            </w:tcBorders>
            <w:vAlign w:val="center"/>
          </w:tcPr>
          <w:p w14:paraId="789C6B25">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75575F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36A383D">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FC5807">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7C9AC2E">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开户名称</w:t>
            </w:r>
          </w:p>
        </w:tc>
        <w:tc>
          <w:tcPr>
            <w:tcW w:w="2116" w:type="dxa"/>
            <w:tcBorders>
              <w:top w:val="single" w:color="auto" w:sz="2" w:space="0"/>
              <w:left w:val="single" w:color="auto" w:sz="2" w:space="0"/>
              <w:bottom w:val="single" w:color="auto" w:sz="2" w:space="0"/>
            </w:tcBorders>
            <w:vAlign w:val="center"/>
          </w:tcPr>
          <w:p w14:paraId="1EDF3DED">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7FB1B7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3E73BA9">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8E8A1A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F8D7229">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开户银行</w:t>
            </w:r>
          </w:p>
        </w:tc>
        <w:tc>
          <w:tcPr>
            <w:tcW w:w="2116" w:type="dxa"/>
            <w:tcBorders>
              <w:top w:val="single" w:color="auto" w:sz="2" w:space="0"/>
              <w:left w:val="single" w:color="auto" w:sz="2" w:space="0"/>
              <w:bottom w:val="single" w:color="auto" w:sz="2" w:space="0"/>
            </w:tcBorders>
            <w:vAlign w:val="center"/>
          </w:tcPr>
          <w:p w14:paraId="10614C1D">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7E7657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FD49240">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8FB79E3">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27FF518">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银行账号</w:t>
            </w:r>
          </w:p>
        </w:tc>
        <w:tc>
          <w:tcPr>
            <w:tcW w:w="2116" w:type="dxa"/>
            <w:tcBorders>
              <w:top w:val="single" w:color="auto" w:sz="2" w:space="0"/>
              <w:left w:val="single" w:color="auto" w:sz="2" w:space="0"/>
              <w:bottom w:val="single" w:color="auto" w:sz="2" w:space="0"/>
            </w:tcBorders>
            <w:vAlign w:val="center"/>
          </w:tcPr>
          <w:p w14:paraId="61EA8ED4">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0D683F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1D096B5B">
            <w:pPr>
              <w:keepNext w:val="0"/>
              <w:keepLines w:val="0"/>
              <w:suppressLineNumbers w:val="0"/>
              <w:adjustRightInd w:val="0"/>
              <w:snapToGrid w:val="0"/>
              <w:spacing w:before="120" w:beforeLines="50" w:beforeAutospacing="0" w:after="0" w:afterAutospacing="0" w:line="360" w:lineRule="auto"/>
              <w:ind w:left="0" w:right="0"/>
              <w:jc w:val="left"/>
              <w:rPr>
                <w:rFonts w:hint="default"/>
                <w:spacing w:val="20"/>
                <w:szCs w:val="21"/>
              </w:rPr>
            </w:pPr>
            <w:r>
              <w:rPr>
                <w:rFonts w:hint="eastAsia" w:ascii="宋体" w:hAnsi="宋体"/>
                <w:szCs w:val="21"/>
              </w:rPr>
              <w:t>注：涉及联合体或其他合同主体的信息应按上表格式加列。</w:t>
            </w:r>
          </w:p>
        </w:tc>
      </w:tr>
    </w:tbl>
    <w:p w14:paraId="735049A0">
      <w:pPr>
        <w:keepNext/>
        <w:keepLines/>
        <w:adjustRightInd w:val="0"/>
        <w:snapToGrid w:val="0"/>
        <w:spacing w:before="120" w:beforeLines="50" w:line="360" w:lineRule="auto"/>
        <w:jc w:val="center"/>
        <w:outlineLvl w:val="1"/>
        <w:rPr>
          <w:rFonts w:hint="eastAsia" w:ascii="黑体" w:hAnsi="黑体" w:eastAsia="黑体"/>
          <w:b/>
          <w:bCs/>
          <w:sz w:val="28"/>
          <w:szCs w:val="28"/>
        </w:rPr>
      </w:pPr>
      <w:r>
        <w:rPr>
          <w:rFonts w:ascii="宋体" w:hAnsi="宋体"/>
          <w:b/>
          <w:bCs/>
          <w:szCs w:val="21"/>
          <w:u w:val="single"/>
        </w:rPr>
        <w:br w:type="page"/>
      </w:r>
      <w:bookmarkStart w:id="82" w:name="_Toc27624"/>
      <w:r>
        <w:rPr>
          <w:rFonts w:hint="eastAsia" w:ascii="黑体" w:hAnsi="黑体" w:eastAsia="黑体"/>
          <w:sz w:val="28"/>
          <w:szCs w:val="28"/>
        </w:rPr>
        <w:t>第二节 政府采购合同通用条款</w:t>
      </w:r>
      <w:bookmarkEnd w:id="82"/>
    </w:p>
    <w:p w14:paraId="6A258039">
      <w:pPr>
        <w:tabs>
          <w:tab w:val="left" w:pos="8820"/>
          <w:tab w:val="left" w:pos="9345"/>
          <w:tab w:val="left" w:pos="9765"/>
        </w:tabs>
        <w:adjustRightInd w:val="0"/>
        <w:snapToGrid w:val="0"/>
        <w:spacing w:line="400" w:lineRule="exact"/>
        <w:jc w:val="left"/>
        <w:rPr>
          <w:rFonts w:hint="eastAsia" w:ascii="宋体" w:hAnsi="宋体"/>
          <w:b/>
          <w:bCs/>
          <w:sz w:val="24"/>
        </w:rPr>
      </w:pPr>
      <w:r>
        <w:rPr>
          <w:rFonts w:hint="eastAsia" w:ascii="宋体" w:hAnsi="宋体"/>
          <w:b/>
          <w:sz w:val="24"/>
        </w:rPr>
        <w:t xml:space="preserve">1. </w:t>
      </w:r>
      <w:r>
        <w:rPr>
          <w:rFonts w:hint="eastAsia" w:ascii="宋体" w:hAnsi="宋体"/>
          <w:b/>
          <w:bCs/>
          <w:sz w:val="24"/>
        </w:rPr>
        <w:t>定义</w:t>
      </w:r>
    </w:p>
    <w:p w14:paraId="3BB509B6">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1.1合同当事人</w:t>
      </w:r>
    </w:p>
    <w:p w14:paraId="2B426063">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2C788491">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268276E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（3）其他合同主体是指除采购人和供应商以外，</w:t>
      </w:r>
      <w:r>
        <w:rPr>
          <w:rFonts w:hint="eastAsia" w:ascii="宋体" w:hAnsi="宋体" w:cs="宋体"/>
          <w:bCs/>
          <w:color w:val="000000"/>
          <w:szCs w:val="21"/>
        </w:rPr>
        <w:t>依法参与合同缔结或履行，享有权利、承担义务的合同当事人</w:t>
      </w:r>
      <w:r>
        <w:rPr>
          <w:rFonts w:hint="eastAsia" w:ascii="宋体" w:hAnsi="宋体"/>
          <w:szCs w:val="21"/>
        </w:rPr>
        <w:t>。</w:t>
      </w:r>
    </w:p>
    <w:p w14:paraId="76188003">
      <w:pPr>
        <w:tabs>
          <w:tab w:val="left" w:pos="570"/>
          <w:tab w:val="left" w:pos="9240"/>
          <w:tab w:val="left" w:pos="9555"/>
        </w:tabs>
        <w:adjustRightInd w:val="0"/>
        <w:snapToGrid w:val="0"/>
        <w:spacing w:line="400" w:lineRule="exact"/>
        <w:ind w:firstLine="420" w:firstLineChars="200"/>
        <w:jc w:val="left"/>
        <w:rPr>
          <w:rFonts w:hint="eastAsia" w:ascii="宋体" w:hAnsi="宋体"/>
          <w:szCs w:val="21"/>
        </w:rPr>
      </w:pPr>
      <w:r>
        <w:rPr>
          <w:rFonts w:hint="eastAsia" w:ascii="宋体" w:hAnsi="宋体"/>
          <w:szCs w:val="21"/>
        </w:rPr>
        <w:t>1.2本合同下列术语应解释为：</w:t>
      </w:r>
    </w:p>
    <w:p w14:paraId="24F3FC36">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（1）“合同”系指</w:t>
      </w:r>
      <w:r>
        <w:rPr>
          <w:rFonts w:hint="eastAsia" w:ascii="宋体" w:hAnsi="宋体" w:cs="宋体"/>
          <w:bCs/>
          <w:color w:val="000000"/>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rPr>
        <w:t>国家法律、行政法规和规章制度规定或合同约定的作为合同组成部分的其他文件</w:t>
      </w:r>
      <w:r>
        <w:rPr>
          <w:rFonts w:hint="eastAsia" w:ascii="宋体" w:hAnsi="宋体"/>
          <w:szCs w:val="21"/>
        </w:rPr>
        <w:t>。</w:t>
      </w:r>
    </w:p>
    <w:p w14:paraId="3F1F66AE">
      <w:pPr>
        <w:tabs>
          <w:tab w:val="left" w:pos="570"/>
          <w:tab w:val="left" w:pos="9240"/>
          <w:tab w:val="left" w:pos="9555"/>
        </w:tabs>
        <w:adjustRightInd w:val="0"/>
        <w:snapToGrid w:val="0"/>
        <w:spacing w:line="400" w:lineRule="exact"/>
        <w:ind w:firstLine="420" w:firstLineChars="200"/>
        <w:jc w:val="left"/>
        <w:rPr>
          <w:rFonts w:hint="eastAsia" w:ascii="宋体" w:hAnsi="宋体"/>
          <w:szCs w:val="21"/>
        </w:rPr>
      </w:pPr>
      <w:r>
        <w:rPr>
          <w:rFonts w:hint="eastAsia" w:ascii="宋体" w:hAnsi="宋体"/>
          <w:szCs w:val="21"/>
        </w:rPr>
        <w:t>（2）“合同价款”系指根据本合同规定乙方在全面履行合同义务后甲方应支付给乙方的价款。</w:t>
      </w:r>
    </w:p>
    <w:p w14:paraId="32B2EA7E">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szCs w:val="21"/>
        </w:rPr>
        <w:t>包括软件）及相关的其备品备件、工具、手册及</w:t>
      </w:r>
      <w:r>
        <w:rPr>
          <w:rFonts w:ascii="宋体" w:hAnsi="宋体"/>
          <w:color w:val="000000"/>
          <w:szCs w:val="21"/>
          <w:lang w:val="en"/>
        </w:rPr>
        <w:t>其他</w:t>
      </w:r>
      <w:r>
        <w:rPr>
          <w:rFonts w:hint="eastAsia" w:ascii="宋体" w:hAnsi="宋体"/>
          <w:color w:val="000000"/>
          <w:szCs w:val="21"/>
        </w:rPr>
        <w:t>技术资料和材料等。</w:t>
      </w:r>
    </w:p>
    <w:p w14:paraId="14DAAFFA">
      <w:pPr>
        <w:adjustRightInd w:val="0"/>
        <w:snapToGrid w:val="0"/>
        <w:spacing w:line="400" w:lineRule="exact"/>
        <w:ind w:firstLine="420" w:firstLineChars="200"/>
        <w:jc w:val="left"/>
        <w:rPr>
          <w:rFonts w:hint="eastAsia" w:ascii="宋体" w:hAnsi="宋体"/>
          <w:color w:val="000000"/>
          <w:szCs w:val="21"/>
          <w:highlight w:val="yellow"/>
        </w:rPr>
      </w:pPr>
      <w:r>
        <w:rPr>
          <w:rFonts w:hint="eastAsia" w:ascii="宋体" w:hAnsi="宋体"/>
          <w:color w:val="000000"/>
          <w:szCs w:val="21"/>
        </w:rPr>
        <w:t>（4）“</w:t>
      </w:r>
      <w:r>
        <w:rPr>
          <w:rFonts w:hint="eastAsia" w:ascii="宋体" w:hAnsi="宋体"/>
          <w:szCs w:val="21"/>
        </w:rPr>
        <w:t>相关</w:t>
      </w:r>
      <w:r>
        <w:rPr>
          <w:rFonts w:hint="eastAsia" w:ascii="宋体" w:hAnsi="宋体"/>
          <w:color w:val="000000"/>
          <w:szCs w:val="21"/>
        </w:rPr>
        <w:t>服务”系指根据合同规定，乙方应提供的与货物有关的技术、管理和</w:t>
      </w:r>
      <w:r>
        <w:rPr>
          <w:rFonts w:ascii="宋体" w:hAnsi="宋体"/>
          <w:color w:val="000000"/>
          <w:szCs w:val="21"/>
          <w:lang w:val="en"/>
        </w:rPr>
        <w:t>其他</w:t>
      </w:r>
      <w:r>
        <w:rPr>
          <w:rFonts w:hint="eastAsia" w:ascii="宋体" w:hAnsi="宋体"/>
          <w:color w:val="000000"/>
          <w:szCs w:val="21"/>
        </w:rPr>
        <w:t>服务，包括但不限于：管理和质量保证、运输、保险、检验、现场准备、安装、集成、调试、培训、维修、废弃处置、技术支持等以及合同中规定乙方应承担的</w:t>
      </w:r>
      <w:r>
        <w:rPr>
          <w:rFonts w:ascii="宋体" w:hAnsi="宋体"/>
          <w:color w:val="000000"/>
          <w:szCs w:val="21"/>
          <w:lang w:val="en"/>
        </w:rPr>
        <w:t>其他</w:t>
      </w:r>
      <w:r>
        <w:rPr>
          <w:rFonts w:hint="eastAsia" w:ascii="宋体" w:hAnsi="宋体"/>
          <w:color w:val="000000"/>
          <w:szCs w:val="21"/>
        </w:rPr>
        <w:t>义务。</w:t>
      </w:r>
    </w:p>
    <w:p w14:paraId="249DD93F">
      <w:pPr>
        <w:adjustRightInd w:val="0"/>
        <w:snapToGrid w:val="0"/>
        <w:spacing w:line="400" w:lineRule="exact"/>
        <w:ind w:firstLine="420" w:firstLineChars="200"/>
        <w:jc w:val="left"/>
        <w:rPr>
          <w:rFonts w:hint="eastAsia" w:ascii="宋体" w:hAnsi="宋体"/>
          <w:color w:val="000000"/>
          <w:szCs w:val="21"/>
          <w:highlight w:val="yellow"/>
        </w:rPr>
      </w:pPr>
      <w:r>
        <w:rPr>
          <w:rFonts w:hint="eastAsia" w:ascii="宋体" w:hAnsi="宋体"/>
          <w:color w:val="000000"/>
          <w:szCs w:val="21"/>
        </w:rPr>
        <w:t>（5）“分包”系指中标（成交）供应商按采购文件、投标（响应）文件的规定，根据分包意向协议，将中标（成交）项目中的部分履约内容，分给具有相应资质条件的供应商履行合同的行为。</w:t>
      </w:r>
    </w:p>
    <w:p w14:paraId="56A40E0B">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（6）</w:t>
      </w:r>
      <w:r>
        <w:rPr>
          <w:rFonts w:hint="eastAsia" w:ascii="宋体" w:hAnsi="宋体"/>
          <w:szCs w:val="21"/>
        </w:rPr>
        <w:t>“联合体”系指由两个以上的自然人、法人或者非法人组织组成，以一个供应商的身份共同参加政府采购的主体</w:t>
      </w:r>
      <w:r>
        <w:rPr>
          <w:rFonts w:hint="eastAsia" w:ascii="宋体" w:hAnsi="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rPr>
        <w:t>政府采购合同专用条款</w:t>
      </w:r>
      <w:r>
        <w:rPr>
          <w:rFonts w:hint="eastAsia" w:ascii="宋体" w:hAnsi="宋体"/>
          <w:color w:val="000000"/>
          <w:szCs w:val="21"/>
        </w:rPr>
        <w:t>】。</w:t>
      </w:r>
    </w:p>
    <w:p w14:paraId="6EBB92C3">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（7）其他术语解释，见【</w:t>
      </w:r>
      <w:r>
        <w:rPr>
          <w:rFonts w:hint="eastAsia" w:ascii="宋体" w:hAnsi="宋体"/>
          <w:b/>
          <w:bCs/>
          <w:color w:val="000000"/>
          <w:szCs w:val="21"/>
        </w:rPr>
        <w:t>政府采购合同专用条款</w:t>
      </w:r>
      <w:r>
        <w:rPr>
          <w:rFonts w:hint="eastAsia" w:ascii="宋体" w:hAnsi="宋体"/>
          <w:color w:val="000000"/>
          <w:szCs w:val="21"/>
        </w:rPr>
        <w:t>】。</w:t>
      </w:r>
    </w:p>
    <w:p w14:paraId="2CFA29B8">
      <w:pPr>
        <w:numPr>
          <w:ilvl w:val="0"/>
          <w:numId w:val="24"/>
        </w:num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color w:val="000000"/>
          <w:sz w:val="24"/>
        </w:rPr>
        <w:t>合同标的及金额</w:t>
      </w:r>
    </w:p>
    <w:p w14:paraId="141F3A75">
      <w:pPr>
        <w:autoSpaceDE w:val="0"/>
        <w:autoSpaceDN w:val="0"/>
        <w:adjustRightInd w:val="0"/>
        <w:snapToGrid w:val="0"/>
        <w:spacing w:line="400" w:lineRule="exact"/>
        <w:ind w:firstLine="420" w:firstLineChars="200"/>
        <w:jc w:val="left"/>
        <w:rPr>
          <w:rFonts w:hint="eastAsia" w:ascii="宋体" w:hAnsi="宋体"/>
          <w:b/>
          <w:bCs/>
          <w:i/>
          <w:iCs/>
          <w:color w:val="000000"/>
          <w:szCs w:val="21"/>
        </w:rPr>
      </w:pPr>
      <w:r>
        <w:rPr>
          <w:rFonts w:hint="eastAsia" w:ascii="宋体" w:hAnsi="宋体"/>
          <w:color w:val="000000"/>
          <w:szCs w:val="21"/>
        </w:rPr>
        <w:t>2.1 合同标的及金额应与中标（成交）结果一致。乙方为履行本合同而发生的所有费用均应包含在合同价款中，甲方不再另行支付</w:t>
      </w:r>
      <w:r>
        <w:rPr>
          <w:rFonts w:ascii="宋体" w:hAnsi="宋体"/>
          <w:color w:val="000000"/>
          <w:szCs w:val="21"/>
          <w:lang w:val="en"/>
        </w:rPr>
        <w:t>其他</w:t>
      </w:r>
      <w:r>
        <w:rPr>
          <w:rFonts w:hint="eastAsia" w:ascii="宋体" w:hAnsi="宋体"/>
          <w:color w:val="000000"/>
          <w:szCs w:val="21"/>
        </w:rPr>
        <w:t>任何费用。</w:t>
      </w:r>
    </w:p>
    <w:p w14:paraId="0D126057">
      <w:pPr>
        <w:adjustRightInd w:val="0"/>
        <w:snapToGrid w:val="0"/>
        <w:spacing w:line="400" w:lineRule="exact"/>
        <w:jc w:val="left"/>
        <w:rPr>
          <w:rFonts w:hint="eastAsia" w:ascii="宋体" w:hAnsi="宋体"/>
          <w:b/>
          <w:color w:val="000000"/>
          <w:sz w:val="24"/>
        </w:rPr>
      </w:pPr>
      <w:r>
        <w:rPr>
          <w:rFonts w:hint="eastAsia" w:ascii="宋体" w:hAnsi="宋体"/>
          <w:b/>
          <w:color w:val="000000"/>
          <w:sz w:val="24"/>
        </w:rPr>
        <w:t>3. 履行合同的时间、地点和方式</w:t>
      </w:r>
    </w:p>
    <w:p w14:paraId="1506A82C">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3.1 </w:t>
      </w:r>
      <w:r>
        <w:rPr>
          <w:rFonts w:hint="eastAsia" w:ascii="宋体" w:hAnsi="宋体" w:cs="宋体"/>
          <w:szCs w:val="21"/>
        </w:rPr>
        <w:t>乙方应当在约定的时间、地点，按照约定方式履行合同。</w:t>
      </w:r>
    </w:p>
    <w:p w14:paraId="3B6E6D29">
      <w:p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4. 甲方的权利和义务</w:t>
      </w:r>
    </w:p>
    <w:p w14:paraId="165E9B2F">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4.1</w:t>
      </w:r>
      <w:r>
        <w:rPr>
          <w:rFonts w:ascii="宋体" w:hAnsi="宋体"/>
          <w:color w:val="000000"/>
          <w:szCs w:val="21"/>
        </w:rPr>
        <w:t xml:space="preserve"> 签署合同后，甲方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r>
        <w:rPr>
          <w:rFonts w:hint="eastAsia" w:ascii="宋体" w:hAnsi="宋体"/>
          <w:color w:val="000000"/>
          <w:szCs w:val="21"/>
        </w:rPr>
        <w:t>甲方有权对乙方的履约行为进行检查，并</w:t>
      </w:r>
      <w:r>
        <w:rPr>
          <w:rFonts w:ascii="宋体" w:hAnsi="宋体"/>
          <w:color w:val="000000"/>
          <w:szCs w:val="21"/>
        </w:rPr>
        <w:t>及时确认乙方提交的事项</w:t>
      </w:r>
      <w:r>
        <w:rPr>
          <w:rFonts w:hint="eastAsia" w:ascii="宋体" w:hAnsi="宋体"/>
          <w:color w:val="000000"/>
          <w:szCs w:val="21"/>
        </w:rPr>
        <w:t>。甲方应当</w:t>
      </w:r>
      <w:r>
        <w:rPr>
          <w:rFonts w:ascii="宋体" w:hAnsi="宋体"/>
          <w:color w:val="000000"/>
          <w:szCs w:val="21"/>
        </w:rPr>
        <w:t>配合乙方完成</w:t>
      </w:r>
      <w:r>
        <w:rPr>
          <w:rFonts w:hint="eastAsia" w:ascii="宋体" w:hAnsi="宋体"/>
          <w:color w:val="000000"/>
          <w:szCs w:val="21"/>
        </w:rPr>
        <w:t>相关项目</w:t>
      </w:r>
      <w:r>
        <w:rPr>
          <w:rFonts w:ascii="宋体" w:hAnsi="宋体"/>
          <w:color w:val="000000"/>
          <w:szCs w:val="21"/>
        </w:rPr>
        <w:t>实施工作。</w:t>
      </w:r>
    </w:p>
    <w:p w14:paraId="46741305">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4.2 </w:t>
      </w:r>
      <w:r>
        <w:rPr>
          <w:rFonts w:ascii="宋体" w:hAnsi="宋体"/>
          <w:color w:val="000000"/>
          <w:szCs w:val="21"/>
        </w:rPr>
        <w:t>甲方有权要求乙方按时提交各阶段有关</w:t>
      </w:r>
      <w:r>
        <w:rPr>
          <w:rFonts w:hint="eastAsia" w:ascii="宋体" w:hAnsi="宋体"/>
          <w:color w:val="000000"/>
          <w:szCs w:val="21"/>
        </w:rPr>
        <w:t>安排计划</w:t>
      </w:r>
      <w:r>
        <w:rPr>
          <w:rFonts w:ascii="宋体" w:hAnsi="宋体"/>
          <w:color w:val="000000"/>
          <w:szCs w:val="21"/>
        </w:rPr>
        <w:t>，并有权</w:t>
      </w:r>
      <w:r>
        <w:rPr>
          <w:rFonts w:hint="eastAsia" w:ascii="宋体" w:hAnsi="宋体"/>
          <w:color w:val="000000"/>
          <w:szCs w:val="21"/>
        </w:rPr>
        <w:t>定期核对乙方提供货物数量、规格、质量等内容。甲方</w:t>
      </w:r>
      <w:r>
        <w:rPr>
          <w:rFonts w:ascii="宋体" w:hAnsi="宋体"/>
          <w:color w:val="000000"/>
          <w:szCs w:val="21"/>
        </w:rPr>
        <w:t>有权督促乙方工作并要求乙方</w:t>
      </w:r>
      <w:r>
        <w:rPr>
          <w:rFonts w:hint="eastAsia" w:ascii="宋体" w:hAnsi="宋体"/>
          <w:color w:val="000000"/>
          <w:szCs w:val="21"/>
        </w:rPr>
        <w:t>更</w:t>
      </w:r>
      <w:r>
        <w:rPr>
          <w:rFonts w:ascii="宋体" w:hAnsi="宋体"/>
          <w:color w:val="000000"/>
          <w:szCs w:val="21"/>
        </w:rPr>
        <w:t>换不符合要求的</w:t>
      </w:r>
      <w:r>
        <w:rPr>
          <w:rFonts w:hint="eastAsia" w:ascii="宋体" w:hAnsi="宋体"/>
          <w:color w:val="000000"/>
          <w:szCs w:val="21"/>
        </w:rPr>
        <w:t>货物</w:t>
      </w:r>
      <w:r>
        <w:rPr>
          <w:rFonts w:ascii="宋体" w:hAnsi="宋体"/>
          <w:color w:val="000000"/>
          <w:szCs w:val="21"/>
        </w:rPr>
        <w:t>。</w:t>
      </w:r>
    </w:p>
    <w:p w14:paraId="6E0A8274">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4.</w:t>
      </w:r>
      <w:r>
        <w:rPr>
          <w:rFonts w:ascii="宋体" w:hAnsi="宋体"/>
          <w:color w:val="000000"/>
          <w:szCs w:val="21"/>
        </w:rPr>
        <w:t>3</w:t>
      </w:r>
      <w:r>
        <w:rPr>
          <w:rFonts w:hint="eastAsia" w:ascii="宋体" w:hAnsi="宋体"/>
          <w:color w:val="000000"/>
          <w:szCs w:val="21"/>
        </w:rPr>
        <w:t xml:space="preserve"> </w:t>
      </w:r>
      <w:r>
        <w:rPr>
          <w:rFonts w:ascii="宋体" w:hAnsi="宋体"/>
          <w:color w:val="000000"/>
          <w:szCs w:val="21"/>
        </w:rPr>
        <w:t>甲方</w:t>
      </w:r>
      <w:r>
        <w:rPr>
          <w:rFonts w:hint="eastAsia" w:ascii="宋体" w:hAnsi="宋体"/>
          <w:color w:val="000000"/>
          <w:szCs w:val="21"/>
        </w:rPr>
        <w:t>有权要求乙方对缺陷部分予以修复，并按合同约定享有货物保修及其他合同约定的权利。</w:t>
      </w:r>
    </w:p>
    <w:p w14:paraId="243B7B9A">
      <w:pPr>
        <w:snapToGrid w:val="0"/>
        <w:spacing w:line="400" w:lineRule="exact"/>
        <w:ind w:firstLine="420" w:firstLineChars="200"/>
        <w:rPr>
          <w:rFonts w:eastAsia="华文楷体"/>
        </w:rPr>
      </w:pPr>
      <w:r>
        <w:rPr>
          <w:rFonts w:ascii="宋体" w:hAnsi="宋体"/>
          <w:color w:val="000000"/>
          <w:szCs w:val="21"/>
        </w:rPr>
        <w:t>4.4 甲方应当按照合同约定及时对交付的货物进行验收</w:t>
      </w:r>
      <w:r>
        <w:rPr>
          <w:rFonts w:hint="eastAsia" w:ascii="宋体" w:hAnsi="宋体"/>
          <w:color w:val="000000"/>
          <w:szCs w:val="21"/>
        </w:rPr>
        <w:t>，</w:t>
      </w:r>
      <w:r>
        <w:rPr>
          <w:rFonts w:hint="eastAsia" w:ascii="宋体" w:hAnsi="宋体" w:cs="宋体"/>
          <w:szCs w:val="21"/>
        </w:rPr>
        <w:t>未</w:t>
      </w:r>
      <w:r>
        <w:rPr>
          <w:rFonts w:hint="eastAsia" w:ascii="宋体" w:hAnsi="宋体"/>
          <w:color w:val="000000"/>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color w:val="000000"/>
          <w:szCs w:val="21"/>
        </w:rPr>
        <w:t>视为验收通过。</w:t>
      </w:r>
    </w:p>
    <w:p w14:paraId="1901864F">
      <w:pPr>
        <w:autoSpaceDE w:val="0"/>
        <w:autoSpaceDN w:val="0"/>
        <w:adjustRightInd w:val="0"/>
        <w:snapToGrid w:val="0"/>
        <w:spacing w:line="400" w:lineRule="exact"/>
        <w:ind w:firstLine="420" w:firstLineChars="200"/>
        <w:jc w:val="left"/>
        <w:rPr>
          <w:rFonts w:hint="eastAsia"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 xml:space="preserve">5 </w:t>
      </w:r>
      <w:r>
        <w:rPr>
          <w:rFonts w:hint="eastAsia" w:ascii="宋体" w:hAnsi="宋体"/>
          <w:color w:val="000000"/>
          <w:szCs w:val="21"/>
        </w:rPr>
        <w:t>甲方应当根据合同约定及时向乙方支付合同价款</w:t>
      </w:r>
      <w:r>
        <w:rPr>
          <w:rFonts w:ascii="宋体" w:hAnsi="宋体"/>
          <w:color w:val="000000"/>
          <w:szCs w:val="21"/>
        </w:rPr>
        <w:t>，不得以内部人员变更、履行内部付款流程等为由，拒绝或迟延支付。</w:t>
      </w:r>
    </w:p>
    <w:p w14:paraId="6A8A437D">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4.6</w:t>
      </w:r>
      <w:r>
        <w:rPr>
          <w:rFonts w:ascii="宋体" w:hAnsi="宋体"/>
          <w:color w:val="000000"/>
          <w:szCs w:val="21"/>
        </w:rPr>
        <w:t xml:space="preserve"> </w:t>
      </w:r>
      <w:r>
        <w:rPr>
          <w:rFonts w:hint="eastAsia" w:ascii="宋体" w:hAnsi="宋体"/>
          <w:color w:val="000000"/>
          <w:szCs w:val="21"/>
        </w:rPr>
        <w:t>国家法律法规规定及</w:t>
      </w:r>
      <w:r>
        <w:rPr>
          <w:rFonts w:hint="eastAsia" w:ascii="宋体" w:hAnsi="宋体" w:cs="宋体"/>
          <w:b/>
          <w:bCs/>
          <w:szCs w:val="21"/>
        </w:rPr>
        <w:t>【政府采购合同专用条款】</w:t>
      </w:r>
      <w:r>
        <w:rPr>
          <w:rFonts w:hint="eastAsia" w:ascii="宋体" w:hAnsi="宋体"/>
          <w:color w:val="000000"/>
          <w:szCs w:val="21"/>
        </w:rPr>
        <w:t>约定应由甲方承担的其他义务和责任。</w:t>
      </w:r>
    </w:p>
    <w:p w14:paraId="554BF47E">
      <w:p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5. 乙方的权利和义务</w:t>
      </w:r>
    </w:p>
    <w:p w14:paraId="5DEF56B2">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5.1 </w:t>
      </w:r>
      <w:r>
        <w:rPr>
          <w:rFonts w:ascii="宋体" w:hAnsi="宋体"/>
          <w:color w:val="000000"/>
          <w:szCs w:val="21"/>
        </w:rPr>
        <w:t>签署合同后，乙方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p>
    <w:p w14:paraId="41DDCB19">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5.</w:t>
      </w:r>
      <w:r>
        <w:rPr>
          <w:rFonts w:ascii="宋体" w:hAnsi="宋体"/>
          <w:color w:val="000000"/>
          <w:szCs w:val="21"/>
        </w:rPr>
        <w:t>2 乙方应按照合同要求</w:t>
      </w:r>
      <w:r>
        <w:rPr>
          <w:rFonts w:hint="eastAsia" w:ascii="宋体" w:hAnsi="宋体"/>
          <w:color w:val="000000"/>
          <w:szCs w:val="21"/>
        </w:rPr>
        <w:t>履约</w:t>
      </w:r>
      <w:r>
        <w:rPr>
          <w:rFonts w:ascii="宋体" w:hAnsi="宋体"/>
          <w:color w:val="000000"/>
          <w:szCs w:val="21"/>
        </w:rPr>
        <w:t>，充分合理安排，确保</w:t>
      </w:r>
      <w:r>
        <w:rPr>
          <w:rFonts w:hint="eastAsia" w:ascii="宋体" w:hAnsi="宋体"/>
          <w:color w:val="000000"/>
          <w:szCs w:val="21"/>
        </w:rPr>
        <w:t>提供的货物及相关服务符合合同有关</w:t>
      </w:r>
      <w:r>
        <w:rPr>
          <w:rFonts w:ascii="宋体" w:hAnsi="宋体"/>
          <w:color w:val="000000"/>
          <w:szCs w:val="21"/>
        </w:rPr>
        <w:t>要求</w:t>
      </w:r>
      <w:r>
        <w:rPr>
          <w:rFonts w:hint="eastAsia" w:ascii="宋体" w:hAnsi="宋体"/>
          <w:color w:val="000000"/>
          <w:szCs w:val="21"/>
        </w:rPr>
        <w:t>。接受项目行业管理部门及政府有关部门的指导，配合甲方的履约检查及验收，并</w:t>
      </w:r>
      <w:r>
        <w:rPr>
          <w:rFonts w:ascii="宋体" w:hAnsi="宋体"/>
          <w:color w:val="000000"/>
          <w:szCs w:val="21"/>
        </w:rPr>
        <w:t>负责项目实施过程中的所有协调工作。</w:t>
      </w:r>
    </w:p>
    <w:p w14:paraId="74C54F27">
      <w:pPr>
        <w:spacing w:line="400" w:lineRule="exact"/>
        <w:ind w:firstLine="369" w:firstLineChars="176"/>
        <w:rPr>
          <w:rFonts w:hint="eastAsia" w:ascii="宋体" w:hAnsi="宋体" w:cs="宋体"/>
          <w:color w:val="000000"/>
          <w:szCs w:val="21"/>
        </w:rPr>
      </w:pPr>
      <w:r>
        <w:rPr>
          <w:rFonts w:hint="eastAsia" w:ascii="宋体" w:hAnsi="宋体"/>
          <w:color w:val="000000"/>
          <w:szCs w:val="21"/>
        </w:rPr>
        <w:t>5.</w:t>
      </w:r>
      <w:r>
        <w:rPr>
          <w:rFonts w:ascii="宋体" w:hAnsi="宋体"/>
          <w:color w:val="000000"/>
          <w:szCs w:val="21"/>
        </w:rPr>
        <w:t>3</w:t>
      </w:r>
      <w:r>
        <w:rPr>
          <w:rFonts w:hint="eastAsia" w:ascii="宋体" w:hAnsi="宋体"/>
          <w:color w:val="000000"/>
          <w:szCs w:val="21"/>
        </w:rPr>
        <w:t>乙方有权</w:t>
      </w:r>
      <w:r>
        <w:rPr>
          <w:rFonts w:hint="eastAsia" w:ascii="宋体" w:hAnsi="宋体" w:cs="宋体"/>
          <w:color w:val="000000"/>
          <w:szCs w:val="21"/>
        </w:rPr>
        <w:t>根据合同约定向甲方收取合同价款。</w:t>
      </w:r>
    </w:p>
    <w:p w14:paraId="507A7989">
      <w:pPr>
        <w:spacing w:line="400" w:lineRule="exact"/>
        <w:ind w:firstLine="369" w:firstLineChars="176"/>
        <w:rPr>
          <w:rFonts w:hint="eastAsia" w:ascii="宋体" w:hAnsi="宋体" w:cs="宋体"/>
          <w:color w:val="000000"/>
          <w:szCs w:val="21"/>
        </w:rPr>
      </w:pPr>
      <w:r>
        <w:rPr>
          <w:rFonts w:hint="eastAsia" w:ascii="宋体" w:hAnsi="宋体"/>
          <w:color w:val="000000"/>
          <w:szCs w:val="21"/>
        </w:rPr>
        <w:t>5.</w:t>
      </w:r>
      <w:r>
        <w:rPr>
          <w:rFonts w:ascii="宋体" w:hAnsi="宋体"/>
          <w:color w:val="000000"/>
          <w:szCs w:val="21"/>
        </w:rPr>
        <w:t>4</w:t>
      </w:r>
      <w:r>
        <w:rPr>
          <w:rFonts w:hint="eastAsia" w:ascii="宋体" w:hAnsi="宋体" w:cs="宋体"/>
          <w:color w:val="000000"/>
          <w:szCs w:val="21"/>
        </w:rPr>
        <w:t>国家法律法规规定</w:t>
      </w:r>
      <w:r>
        <w:rPr>
          <w:rFonts w:hint="eastAsia" w:ascii="宋体" w:hAnsi="宋体"/>
          <w:color w:val="000000"/>
          <w:szCs w:val="21"/>
        </w:rPr>
        <w:t>及</w:t>
      </w:r>
      <w:r>
        <w:rPr>
          <w:rFonts w:hint="eastAsia" w:ascii="宋体" w:hAnsi="宋体" w:cs="宋体"/>
          <w:b/>
          <w:bCs/>
          <w:szCs w:val="21"/>
        </w:rPr>
        <w:t>【政府采购合同专用条款】</w:t>
      </w:r>
      <w:r>
        <w:rPr>
          <w:rFonts w:hint="eastAsia" w:ascii="宋体" w:hAnsi="宋体" w:cs="宋体"/>
          <w:szCs w:val="21"/>
        </w:rPr>
        <w:t>约定应</w:t>
      </w:r>
      <w:r>
        <w:rPr>
          <w:rFonts w:hint="eastAsia" w:ascii="宋体" w:hAnsi="宋体" w:cs="宋体"/>
          <w:color w:val="000000"/>
          <w:szCs w:val="21"/>
        </w:rPr>
        <w:t>由乙方承担的其他义务和责任。</w:t>
      </w:r>
    </w:p>
    <w:p w14:paraId="05956C0B">
      <w:pPr>
        <w:numPr>
          <w:ilvl w:val="0"/>
          <w:numId w:val="25"/>
        </w:num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合同履行</w:t>
      </w:r>
    </w:p>
    <w:p w14:paraId="505E8B5B">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6.1 甲乙双方应当按照</w:t>
      </w:r>
      <w:r>
        <w:rPr>
          <w:rFonts w:hint="eastAsia" w:ascii="宋体" w:hAnsi="宋体" w:cs="宋体"/>
          <w:b/>
          <w:bCs/>
          <w:szCs w:val="21"/>
        </w:rPr>
        <w:t>【政府采购合同专用条款】</w:t>
      </w:r>
      <w:r>
        <w:rPr>
          <w:rFonts w:hint="eastAsia" w:ascii="宋体" w:hAnsi="宋体"/>
          <w:color w:val="000000"/>
          <w:szCs w:val="21"/>
        </w:rPr>
        <w:t>约定顺序履行合同义务；如果没有先后顺序的，应当同时履行。</w:t>
      </w:r>
    </w:p>
    <w:p w14:paraId="56150616">
      <w:pPr>
        <w:autoSpaceDE w:val="0"/>
        <w:autoSpaceDN w:val="0"/>
        <w:adjustRightInd w:val="0"/>
        <w:snapToGrid w:val="0"/>
        <w:spacing w:line="400" w:lineRule="exact"/>
        <w:ind w:firstLine="420" w:firstLineChars="200"/>
        <w:jc w:val="left"/>
      </w:pPr>
      <w:r>
        <w:rPr>
          <w:rFonts w:hint="eastAsia" w:ascii="宋体" w:hAnsi="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7F9766A2">
      <w:pPr>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7. 货物包装、运输、保险和交付要求</w:t>
      </w:r>
    </w:p>
    <w:p w14:paraId="6E496396">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7.1 本合同</w:t>
      </w:r>
      <w:r>
        <w:rPr>
          <w:rFonts w:hint="eastAsia" w:ascii="宋体" w:hAnsi="宋体"/>
          <w:bCs/>
          <w:color w:val="000000"/>
          <w:szCs w:val="21"/>
        </w:rPr>
        <w:t>涉及商品包装、快递包装的，</w:t>
      </w:r>
      <w:r>
        <w:rPr>
          <w:rFonts w:hint="eastAsia" w:ascii="宋体" w:hAnsi="宋体"/>
          <w:color w:val="000000"/>
          <w:szCs w:val="21"/>
        </w:rPr>
        <w:t>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包装应适应远距离运输、防潮、防震、防锈和防野蛮装卸等要求，确保货物安全无损地运抵</w:t>
      </w:r>
      <w:r>
        <w:rPr>
          <w:rFonts w:hint="eastAsia" w:ascii="宋体" w:hAnsi="宋体"/>
          <w:b/>
          <w:color w:val="000000"/>
          <w:szCs w:val="21"/>
        </w:rPr>
        <w:t>【政府采购合同专用条款】</w:t>
      </w:r>
      <w:r>
        <w:rPr>
          <w:rFonts w:hint="eastAsia" w:ascii="宋体" w:hAnsi="宋体"/>
          <w:bCs/>
          <w:color w:val="000000"/>
          <w:szCs w:val="21"/>
        </w:rPr>
        <w:t>约定的</w:t>
      </w:r>
      <w:r>
        <w:rPr>
          <w:rFonts w:hint="eastAsia" w:ascii="宋体" w:hAnsi="宋体"/>
          <w:color w:val="000000"/>
          <w:szCs w:val="21"/>
        </w:rPr>
        <w:t>指定现场。</w:t>
      </w:r>
    </w:p>
    <w:p w14:paraId="107E72BF">
      <w:pPr>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7.2 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乙方负责办理将货物运抵本合同规定的交货地点，并装卸、交付至甲方的一切运输事项，相关费用应包含在合同价款中。</w:t>
      </w:r>
    </w:p>
    <w:p w14:paraId="5E04C999">
      <w:pPr>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7.3 货物保险要求按</w:t>
      </w:r>
      <w:r>
        <w:rPr>
          <w:rFonts w:hint="eastAsia" w:ascii="宋体" w:hAnsi="宋体"/>
          <w:b/>
          <w:color w:val="000000"/>
          <w:szCs w:val="21"/>
        </w:rPr>
        <w:t>【政府采购合同专用条款】</w:t>
      </w:r>
      <w:r>
        <w:rPr>
          <w:rFonts w:hint="eastAsia" w:ascii="宋体" w:hAnsi="宋体"/>
          <w:bCs/>
          <w:color w:val="000000"/>
          <w:szCs w:val="21"/>
        </w:rPr>
        <w:t>规定执行</w:t>
      </w:r>
      <w:r>
        <w:rPr>
          <w:rFonts w:hint="eastAsia" w:ascii="宋体" w:hAnsi="宋体"/>
          <w:color w:val="000000"/>
          <w:szCs w:val="21"/>
        </w:rPr>
        <w:t>。</w:t>
      </w:r>
    </w:p>
    <w:p w14:paraId="78B6E5F8">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BA150CF">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14:paraId="16A5D677">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color w:val="000000"/>
          <w:szCs w:val="21"/>
        </w:rPr>
        <w:t>7.6 如因包装、运输问题导致货物损毁、丢失或者品质下降，甲方有权要求降价、换货、拒收部分或整批货物，由此产生的费用和损失，均由乙方承担。</w:t>
      </w:r>
    </w:p>
    <w:p w14:paraId="73214EB9">
      <w:pPr>
        <w:adjustRightInd w:val="0"/>
        <w:snapToGrid w:val="0"/>
        <w:spacing w:line="400" w:lineRule="exact"/>
        <w:jc w:val="left"/>
        <w:rPr>
          <w:rFonts w:hint="eastAsia" w:ascii="宋体" w:hAnsi="宋体"/>
          <w:b/>
          <w:sz w:val="24"/>
        </w:rPr>
      </w:pPr>
      <w:r>
        <w:rPr>
          <w:rFonts w:hint="eastAsia" w:ascii="宋体" w:hAnsi="宋体"/>
          <w:b/>
          <w:color w:val="000000"/>
          <w:sz w:val="24"/>
        </w:rPr>
        <w:t xml:space="preserve">8. </w:t>
      </w:r>
      <w:r>
        <w:rPr>
          <w:rFonts w:hint="eastAsia" w:ascii="宋体" w:hAnsi="宋体"/>
          <w:b/>
          <w:sz w:val="24"/>
        </w:rPr>
        <w:t>质量标准和保证</w:t>
      </w:r>
    </w:p>
    <w:p w14:paraId="5FD5F196">
      <w:pPr>
        <w:adjustRightInd w:val="0"/>
        <w:snapToGrid w:val="0"/>
        <w:spacing w:line="400" w:lineRule="exact"/>
        <w:ind w:firstLine="420" w:firstLineChars="200"/>
        <w:jc w:val="left"/>
        <w:rPr>
          <w:rFonts w:hint="eastAsia" w:ascii="宋体" w:hAnsi="宋体" w:cs="Courier New"/>
          <w:b/>
          <w:szCs w:val="21"/>
        </w:rPr>
      </w:pPr>
      <w:r>
        <w:rPr>
          <w:rFonts w:hint="eastAsia" w:ascii="宋体" w:hAnsi="宋体" w:cs="Courier New"/>
          <w:szCs w:val="21"/>
        </w:rPr>
        <w:t>8.1 质量标准</w:t>
      </w:r>
    </w:p>
    <w:p w14:paraId="2DA1F45D">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9286AB4">
      <w:pPr>
        <w:adjustRightInd w:val="0"/>
        <w:snapToGrid w:val="0"/>
        <w:spacing w:line="400" w:lineRule="exact"/>
        <w:ind w:firstLine="420" w:firstLineChars="200"/>
        <w:jc w:val="left"/>
        <w:rPr>
          <w:rFonts w:hint="eastAsia" w:ascii="宋体" w:hAnsi="宋体" w:cs="Courier New"/>
          <w:szCs w:val="21"/>
        </w:rPr>
      </w:pPr>
      <w:r>
        <w:rPr>
          <w:rFonts w:hint="eastAsia" w:ascii="宋体" w:hAnsi="宋体" w:cs="Courier New"/>
          <w:szCs w:val="21"/>
        </w:rPr>
        <w:t>（2）采用中华人民共和国法定计量单位。</w:t>
      </w:r>
    </w:p>
    <w:p w14:paraId="5E9249D7">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（3）乙方所提供的货物应符合国家有关安全、环保、卫生的规定。</w:t>
      </w:r>
    </w:p>
    <w:p w14:paraId="2D279DC4">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63DC27D1">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8.2 保证</w:t>
      </w:r>
    </w:p>
    <w:p w14:paraId="0FF05EEF">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1376C0C8">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（2）在质量保证期内所发现的缺陷，甲方应尽快以书面形式通知乙方。</w:t>
      </w:r>
    </w:p>
    <w:p w14:paraId="4DCE76D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04B2338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rPr>
        <w:t>5</w:t>
      </w:r>
      <w:r>
        <w:rPr>
          <w:rFonts w:hint="eastAsia" w:ascii="宋体" w:hAnsi="宋体"/>
          <w:szCs w:val="21"/>
        </w:rPr>
        <w:t>.1条规定以书面形式</w:t>
      </w:r>
      <w:r>
        <w:rPr>
          <w:rFonts w:hint="eastAsia" w:ascii="宋体" w:hAnsi="宋体"/>
          <w:color w:val="000000"/>
          <w:szCs w:val="21"/>
        </w:rPr>
        <w:t>追究</w:t>
      </w:r>
      <w:r>
        <w:rPr>
          <w:rFonts w:hint="eastAsia" w:ascii="宋体" w:hAnsi="宋体"/>
          <w:szCs w:val="21"/>
        </w:rPr>
        <w:t>乙方</w:t>
      </w:r>
      <w:r>
        <w:rPr>
          <w:rFonts w:hint="eastAsia" w:ascii="宋体" w:hAnsi="宋体"/>
          <w:color w:val="000000"/>
          <w:szCs w:val="21"/>
        </w:rPr>
        <w:t>的违约责任</w:t>
      </w:r>
      <w:r>
        <w:rPr>
          <w:rFonts w:hint="eastAsia" w:ascii="宋体" w:hAnsi="宋体"/>
          <w:szCs w:val="21"/>
        </w:rPr>
        <w:t>。</w:t>
      </w:r>
    </w:p>
    <w:p w14:paraId="436FB3EF">
      <w:pPr>
        <w:adjustRightInd w:val="0"/>
        <w:snapToGrid w:val="0"/>
        <w:spacing w:line="400" w:lineRule="exact"/>
        <w:ind w:firstLine="420" w:firstLineChars="20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2F56B543">
      <w:pPr>
        <w:adjustRightInd w:val="0"/>
        <w:snapToGrid w:val="0"/>
        <w:spacing w:line="400" w:lineRule="exact"/>
        <w:jc w:val="left"/>
        <w:rPr>
          <w:rFonts w:hint="eastAsia" w:ascii="宋体" w:hAnsi="宋体"/>
          <w:b/>
          <w:bCs/>
          <w:sz w:val="24"/>
        </w:rPr>
      </w:pPr>
      <w:r>
        <w:rPr>
          <w:rFonts w:hint="eastAsia" w:ascii="宋体" w:hAnsi="宋体"/>
          <w:b/>
          <w:bCs/>
          <w:color w:val="000000"/>
          <w:sz w:val="24"/>
        </w:rPr>
        <w:t>9</w:t>
      </w:r>
      <w:r>
        <w:rPr>
          <w:rFonts w:hint="eastAsia" w:ascii="宋体" w:hAnsi="宋体"/>
          <w:b/>
          <w:bCs/>
          <w:sz w:val="24"/>
        </w:rPr>
        <w:t>.</w:t>
      </w:r>
      <w:r>
        <w:rPr>
          <w:rFonts w:hint="eastAsia" w:ascii="宋体" w:hAnsi="宋体"/>
          <w:b/>
          <w:bCs/>
          <w:color w:val="000000"/>
          <w:sz w:val="24"/>
        </w:rPr>
        <w:t xml:space="preserve"> </w:t>
      </w:r>
      <w:r>
        <w:rPr>
          <w:rFonts w:hint="eastAsia" w:ascii="宋体" w:hAnsi="宋体"/>
          <w:b/>
          <w:bCs/>
          <w:sz w:val="24"/>
        </w:rPr>
        <w:t>权利瑕疵担保</w:t>
      </w:r>
    </w:p>
    <w:p w14:paraId="2C749239">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9.1 乙方保证对其出售的货物享有合法的权利。</w:t>
      </w:r>
    </w:p>
    <w:p w14:paraId="0F1A681B">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9.2 </w:t>
      </w:r>
      <w:r>
        <w:rPr>
          <w:rFonts w:hint="eastAsia" w:ascii="宋体" w:hAnsi="宋体" w:cs="宋体"/>
          <w:szCs w:val="15"/>
        </w:rPr>
        <w:t>乙方保证在交付的货物上不存在抵押权等担保物权。</w:t>
      </w:r>
    </w:p>
    <w:p w14:paraId="03188DA8">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9.3 如甲方使用上述货物构成对第三人侵权的，则由乙方承担全部责任。</w:t>
      </w:r>
    </w:p>
    <w:p w14:paraId="5FFF2232">
      <w:p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10. 知识产权保护</w:t>
      </w:r>
    </w:p>
    <w:p w14:paraId="59CFD2E6">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color w:val="000000"/>
          <w:szCs w:val="21"/>
        </w:rPr>
        <w:t>10.1 乙方对其所销售的货物应当享有知识产权或经权利人合法授权，保证没有侵犯任</w:t>
      </w:r>
      <w:r>
        <w:rPr>
          <w:rFonts w:hint="eastAsia" w:ascii="宋体" w:hAnsi="宋体"/>
          <w:szCs w:val="21"/>
        </w:rPr>
        <w:t>何第三人的知识产权等权利。</w:t>
      </w:r>
      <w:bookmarkStart w:id="83"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83"/>
      <w:r>
        <w:rPr>
          <w:rFonts w:hint="eastAsia" w:ascii="宋体" w:hAnsi="宋体"/>
          <w:szCs w:val="21"/>
        </w:rPr>
        <w:t>。</w:t>
      </w:r>
    </w:p>
    <w:p w14:paraId="14DAA044">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11. 保密义务</w:t>
      </w:r>
    </w:p>
    <w:p w14:paraId="22431AF6">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036E0312">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12. 合同价款支付</w:t>
      </w:r>
    </w:p>
    <w:p w14:paraId="2E7889C1">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12.1 合同价款支付按照国库集中支付制度及财政管理相关规定执行。</w:t>
      </w:r>
    </w:p>
    <w:p w14:paraId="61497E23">
      <w:pPr>
        <w:keepNext/>
        <w:keepLines/>
        <w:spacing w:line="400" w:lineRule="exact"/>
        <w:ind w:firstLine="420" w:firstLineChars="200"/>
        <w:outlineLvl w:val="1"/>
        <w:rPr>
          <w:rFonts w:ascii="Arial" w:hAnsi="Arial"/>
          <w:b/>
          <w:bCs/>
          <w:sz w:val="24"/>
          <w:szCs w:val="32"/>
        </w:rPr>
      </w:pPr>
      <w:r>
        <w:rPr>
          <w:rFonts w:hint="eastAsia" w:ascii="宋体" w:hAnsi="宋体"/>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szCs w:val="21"/>
        </w:rPr>
        <w:t>政府采购合同专用条款</w:t>
      </w:r>
      <w:r>
        <w:rPr>
          <w:rFonts w:hint="eastAsia" w:ascii="宋体" w:hAnsi="宋体"/>
          <w:szCs w:val="21"/>
        </w:rPr>
        <w:t>】中约定。</w:t>
      </w:r>
    </w:p>
    <w:p w14:paraId="5B78FA6D">
      <w:pPr>
        <w:spacing w:line="400" w:lineRule="exact"/>
        <w:rPr>
          <w:rFonts w:hint="eastAsia" w:ascii="宋体" w:hAnsi="宋体"/>
          <w:b/>
          <w:bCs/>
          <w:sz w:val="24"/>
        </w:rPr>
      </w:pPr>
      <w:r>
        <w:rPr>
          <w:rFonts w:hint="eastAsia" w:ascii="宋体" w:hAnsi="宋体"/>
          <w:b/>
          <w:bCs/>
          <w:sz w:val="24"/>
        </w:rPr>
        <w:t>13. 履约保证金</w:t>
      </w:r>
    </w:p>
    <w:p w14:paraId="4B2C0F26">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744DFFB1">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6F570FCD">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7A0617E4">
      <w:pPr>
        <w:autoSpaceDE w:val="0"/>
        <w:autoSpaceDN w:val="0"/>
        <w:adjustRightInd w:val="0"/>
        <w:snapToGrid w:val="0"/>
        <w:spacing w:line="400" w:lineRule="exact"/>
        <w:jc w:val="left"/>
        <w:rPr>
          <w:rFonts w:hint="eastAsia"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56CF7FBC">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14.1 除项目不涉及或采购活动中明确约定无须承担外，乙方还应提供下列服务：</w:t>
      </w:r>
    </w:p>
    <w:p w14:paraId="71643D84">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（1）货物的现场移动、安装、调试、启动监督及技术支持；</w:t>
      </w:r>
    </w:p>
    <w:p w14:paraId="2D98D236">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（2）提供货物组装和维修所需的专用工具和辅助材料；</w:t>
      </w:r>
    </w:p>
    <w:p w14:paraId="5AC532C3">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5A39582D">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64F8A16B">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（5）依照法律、行政法规的规定或者按照</w:t>
      </w:r>
      <w:r>
        <w:rPr>
          <w:rFonts w:hint="eastAsia" w:ascii="宋体" w:hAnsi="宋体" w:cs="宋体"/>
          <w:b/>
          <w:bCs/>
          <w:szCs w:val="21"/>
        </w:rPr>
        <w:t>【政府采购合同专用条款】</w:t>
      </w:r>
      <w:r>
        <w:rPr>
          <w:rFonts w:hint="eastAsia" w:ascii="宋体" w:hAnsi="宋体" w:cs="宋体"/>
          <w:szCs w:val="21"/>
        </w:rPr>
        <w:t>约定，货物在有效使用年限届满后应予回收的，乙方负有自行或者委托第三人对货物予以回收的义务；</w:t>
      </w:r>
    </w:p>
    <w:p w14:paraId="3155755E">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3684556A">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14.2 乙方提供的售后服务的费用已包含在合同价款中，甲方不再另行支付。</w:t>
      </w:r>
    </w:p>
    <w:p w14:paraId="0DCD9B2D">
      <w:pPr>
        <w:adjustRightInd w:val="0"/>
        <w:snapToGrid w:val="0"/>
        <w:spacing w:line="400" w:lineRule="exact"/>
        <w:jc w:val="left"/>
        <w:rPr>
          <w:rFonts w:hint="eastAsia" w:ascii="宋体" w:hAnsi="宋体"/>
          <w:b/>
          <w:bCs/>
          <w:sz w:val="24"/>
        </w:rPr>
      </w:pPr>
      <w:r>
        <w:rPr>
          <w:rFonts w:hint="eastAsia" w:ascii="宋体" w:hAnsi="宋体"/>
          <w:b/>
          <w:bCs/>
          <w:sz w:val="24"/>
        </w:rPr>
        <w:t>15. 违约责任</w:t>
      </w:r>
    </w:p>
    <w:p w14:paraId="23C6D4C2">
      <w:pPr>
        <w:adjustRightInd w:val="0"/>
        <w:snapToGrid w:val="0"/>
        <w:spacing w:line="400" w:lineRule="exact"/>
        <w:ind w:firstLine="420" w:firstLineChars="200"/>
        <w:jc w:val="left"/>
        <w:rPr>
          <w:rFonts w:hint="eastAsia" w:ascii="宋体" w:hAnsi="宋体"/>
          <w:bCs/>
          <w:szCs w:val="21"/>
        </w:rPr>
      </w:pPr>
      <w:r>
        <w:rPr>
          <w:rFonts w:hint="eastAsia" w:ascii="宋体" w:hAnsi="宋体"/>
          <w:bCs/>
          <w:szCs w:val="21"/>
        </w:rPr>
        <w:t>15.1质量瑕疵的违约责任</w:t>
      </w:r>
    </w:p>
    <w:p w14:paraId="1DDCCDED">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3AD4C075">
      <w:pPr>
        <w:autoSpaceDE w:val="0"/>
        <w:autoSpaceDN w:val="0"/>
        <w:adjustRightInd w:val="0"/>
        <w:snapToGrid w:val="0"/>
        <w:spacing w:line="400" w:lineRule="exact"/>
        <w:ind w:firstLine="420" w:firstLineChars="200"/>
        <w:jc w:val="left"/>
        <w:rPr>
          <w:rFonts w:hint="eastAsia" w:ascii="宋体" w:hAnsi="宋体"/>
          <w:bCs/>
          <w:szCs w:val="21"/>
        </w:rPr>
      </w:pPr>
      <w:r>
        <w:rPr>
          <w:rFonts w:hint="eastAsia" w:ascii="宋体" w:hAnsi="宋体"/>
          <w:bCs/>
          <w:szCs w:val="21"/>
        </w:rPr>
        <w:t>15.2 迟延交货的违约责任</w:t>
      </w:r>
    </w:p>
    <w:p w14:paraId="0EE82DA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C2C681C">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4EA2F175">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15.3 迟延支付的违约责任</w:t>
      </w:r>
    </w:p>
    <w:p w14:paraId="5C15F5EF">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5188C942">
      <w:pPr>
        <w:adjustRightInd w:val="0"/>
        <w:snapToGrid w:val="0"/>
        <w:spacing w:line="400" w:lineRule="exact"/>
        <w:ind w:firstLine="420" w:firstLineChars="200"/>
        <w:jc w:val="left"/>
        <w:rPr>
          <w:rFonts w:hint="eastAsia"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079DD75A">
      <w:pPr>
        <w:numPr>
          <w:ilvl w:val="0"/>
          <w:numId w:val="26"/>
        </w:num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合同变更、中止与终止</w:t>
      </w:r>
    </w:p>
    <w:p w14:paraId="4D5B3A29">
      <w:pPr>
        <w:adjustRightInd w:val="0"/>
        <w:snapToGrid w:val="0"/>
        <w:spacing w:line="400" w:lineRule="exact"/>
        <w:jc w:val="left"/>
        <w:rPr>
          <w:rFonts w:hint="eastAsia" w:ascii="宋体" w:hAnsi="宋体"/>
          <w:szCs w:val="21"/>
        </w:rPr>
      </w:pPr>
      <w:r>
        <w:rPr>
          <w:rFonts w:hint="eastAsia" w:ascii="宋体" w:hAnsi="宋体"/>
          <w:szCs w:val="21"/>
        </w:rPr>
        <w:t xml:space="preserve">    16.1合同的变更</w:t>
      </w:r>
    </w:p>
    <w:p w14:paraId="3FD32603">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2266293E">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16.2合同的中止</w:t>
      </w:r>
    </w:p>
    <w:p w14:paraId="4448F56E">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3DFC68DC">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74F88FB">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cs="宋体"/>
          <w:szCs w:val="21"/>
        </w:rPr>
        <w:t>（3）乙方分立、合并或者变更住所的，应当及时以书面形式告知甲方。乙方没有及时告知甲方，致使合同履行发生困难的，甲方可以中止合同履行并要求乙方承担由此给甲方造成的损失。</w:t>
      </w:r>
    </w:p>
    <w:p w14:paraId="6146BC7B">
      <w:pPr>
        <w:snapToGrid w:val="0"/>
        <w:spacing w:line="400" w:lineRule="exact"/>
        <w:ind w:firstLine="420" w:firstLineChars="200"/>
        <w:jc w:val="left"/>
      </w:pPr>
      <w:r>
        <w:rPr>
          <w:rFonts w:hint="eastAsia" w:ascii="宋体" w:hAnsi="宋体"/>
          <w:szCs w:val="21"/>
        </w:rPr>
        <w:t>（4）甲方不得以行政区划调整、政府换届、机构或者职能调整以及相关责任人更替为由中止合同。</w:t>
      </w:r>
    </w:p>
    <w:p w14:paraId="71B99678">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16.3合同的终止</w:t>
      </w:r>
    </w:p>
    <w:p w14:paraId="77CE66FC">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（1）合同因有效期限届满而终止；</w:t>
      </w:r>
    </w:p>
    <w:p w14:paraId="4451D93E">
      <w:pPr>
        <w:snapToGrid w:val="0"/>
        <w:spacing w:line="400" w:lineRule="exact"/>
        <w:ind w:firstLine="420" w:firstLineChars="200"/>
        <w:rPr>
          <w:rFonts w:hint="eastAsia"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1307F791">
      <w:pPr>
        <w:autoSpaceDE w:val="0"/>
        <w:autoSpaceDN w:val="0"/>
        <w:adjustRightInd w:val="0"/>
        <w:spacing w:line="400" w:lineRule="exact"/>
        <w:ind w:firstLine="440" w:firstLineChars="200"/>
        <w:rPr>
          <w:rFonts w:hint="eastAsia"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szCs w:val="21"/>
        </w:rPr>
        <w:t>涉及国家利益、社会公共利益的情形</w:t>
      </w:r>
    </w:p>
    <w:p w14:paraId="33B13990">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cs="宋体"/>
          <w:szCs w:val="21"/>
        </w:rPr>
        <w:t>政府采购合同继续履行将损害国家利益和社会公共利益的，双方当事人应当变更、中止或者终止合同。有过错的一方应当承担赔偿责任，双方都有过错的，各自承担相应的责任。</w:t>
      </w:r>
    </w:p>
    <w:p w14:paraId="30FA1285">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17. 合同分包</w:t>
      </w:r>
    </w:p>
    <w:p w14:paraId="04A53D8E">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52371DC4">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277DD659">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18. 不可抗力</w:t>
      </w:r>
    </w:p>
    <w:p w14:paraId="2194EE9F">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18.1 不可抗力是指合同双方不能预见、不能避免且不能克服的客观情况。</w:t>
      </w:r>
    </w:p>
    <w:p w14:paraId="69931EE1">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4C1484C4">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A3623AD">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19. 解决争议的方法</w:t>
      </w:r>
    </w:p>
    <w:p w14:paraId="1A0380D6">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14:paraId="1372552E">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19.2 选择仲裁的，应在</w:t>
      </w:r>
      <w:r>
        <w:rPr>
          <w:rFonts w:hint="eastAsia" w:ascii="宋体" w:hAnsi="宋体" w:cs="宋体"/>
          <w:b/>
          <w:bCs/>
          <w:szCs w:val="21"/>
        </w:rPr>
        <w:t>【政府采购合同专用条款】</w:t>
      </w:r>
      <w:r>
        <w:rPr>
          <w:rFonts w:hint="eastAsia" w:ascii="宋体" w:hAnsi="宋体" w:cs="宋体"/>
          <w:szCs w:val="21"/>
        </w:rPr>
        <w:t>中明确仲裁机构及仲裁地；通过诉讼方式解决的，可以在</w:t>
      </w:r>
      <w:r>
        <w:rPr>
          <w:rFonts w:hint="eastAsia" w:ascii="宋体" w:hAnsi="宋体" w:cs="宋体"/>
          <w:b/>
          <w:bCs/>
          <w:szCs w:val="21"/>
        </w:rPr>
        <w:t>【政府采购合同专用条款】</w:t>
      </w:r>
      <w:r>
        <w:rPr>
          <w:rFonts w:hint="eastAsia" w:ascii="宋体" w:hAnsi="宋体" w:cs="宋体"/>
          <w:szCs w:val="21"/>
        </w:rPr>
        <w:t>中进一步约定选择与争议有实际联系的地点的人民法院管辖，但管辖法院的约定不得违反级别管辖和专属管辖的规定。</w:t>
      </w:r>
    </w:p>
    <w:p w14:paraId="243A8B79">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19.3 如甲乙双方有争议的事项不影响合同其他部分的履行，在争议解决期间，合同其他部分应当继续履行。</w:t>
      </w:r>
    </w:p>
    <w:p w14:paraId="7505588D">
      <w:pPr>
        <w:autoSpaceDE w:val="0"/>
        <w:autoSpaceDN w:val="0"/>
        <w:adjustRightInd w:val="0"/>
        <w:snapToGrid w:val="0"/>
        <w:spacing w:line="400" w:lineRule="exact"/>
        <w:jc w:val="left"/>
        <w:rPr>
          <w:rFonts w:hint="eastAsia" w:ascii="宋体" w:hAnsi="宋体"/>
          <w:sz w:val="24"/>
        </w:rPr>
      </w:pPr>
      <w:r>
        <w:rPr>
          <w:rFonts w:hint="eastAsia" w:ascii="宋体" w:hAnsi="宋体"/>
          <w:b/>
          <w:sz w:val="24"/>
        </w:rPr>
        <w:t>20. 政府采购政策</w:t>
      </w:r>
    </w:p>
    <w:p w14:paraId="692310E2">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014B8B17">
      <w:pPr>
        <w:autoSpaceDE w:val="0"/>
        <w:autoSpaceDN w:val="0"/>
        <w:adjustRightInd w:val="0"/>
        <w:snapToGrid w:val="0"/>
        <w:spacing w:line="400" w:lineRule="exact"/>
        <w:ind w:firstLine="420" w:firstLineChars="200"/>
        <w:jc w:val="left"/>
        <w:rPr>
          <w:rFonts w:hint="eastAsia"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4A23B4CA">
      <w:pPr>
        <w:spacing w:line="400" w:lineRule="exact"/>
        <w:ind w:firstLine="420" w:firstLineChars="200"/>
        <w:rPr>
          <w:rFonts w:ascii="Calibri" w:hAnsi="Calibri"/>
          <w:szCs w:val="22"/>
        </w:rPr>
      </w:pPr>
      <w:r>
        <w:rPr>
          <w:rFonts w:ascii="宋体" w:hAnsi="宋体"/>
          <w:szCs w:val="21"/>
        </w:rPr>
        <w:t>2</w:t>
      </w:r>
      <w:r>
        <w:rPr>
          <w:rFonts w:hint="eastAsia" w:ascii="宋体" w:hAnsi="宋体"/>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6DB9581">
      <w:p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21. 法律适用</w:t>
      </w:r>
    </w:p>
    <w:p w14:paraId="41035F4A">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21.1 本合同的订立、生效、解释、履行及与本合同有关的争议解决，均适用法律、行政法规。</w:t>
      </w:r>
    </w:p>
    <w:p w14:paraId="396B632A">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21.2 本合同条款与法律、行政法规的强制性规定不一致的，双方当事人应按照法律、行政法规的强制性规定修改本合同的相关条款。</w:t>
      </w:r>
    </w:p>
    <w:p w14:paraId="67C80E75">
      <w:pPr>
        <w:numPr>
          <w:ilvl w:val="255"/>
          <w:numId w:val="0"/>
        </w:num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22. 通知</w:t>
      </w:r>
    </w:p>
    <w:p w14:paraId="00DF944C">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22.1 本合同任何一方向对方发出的通知、信件、数据电文等，应当发送至本合同第一部分《政府采购合同协议书》所约定的通讯地址、联系人、联系电话或电子邮箱。</w:t>
      </w:r>
    </w:p>
    <w:p w14:paraId="1C48C968">
      <w:pPr>
        <w:autoSpaceDE w:val="0"/>
        <w:autoSpaceDN w:val="0"/>
        <w:adjustRightInd w:val="0"/>
        <w:spacing w:line="400" w:lineRule="exact"/>
        <w:rPr>
          <w:rFonts w:hint="eastAsia" w:ascii="华文楷体" w:hAnsi="华文楷体" w:eastAsia="华文楷体" w:cs="华文楷体"/>
          <w:szCs w:val="21"/>
        </w:rPr>
      </w:pPr>
      <w:r>
        <w:rPr>
          <w:rFonts w:hint="eastAsia" w:ascii="宋体" w:hAnsi="宋体" w:cs="宋体"/>
          <w:szCs w:val="21"/>
        </w:rPr>
        <w:t xml:space="preserve">    22.2 一方当事人变更名称、住所、联系人、联系电话或电子邮箱等信息的，应当在变更后3日内及时书面通知对方，对方实际收到变更通知前的送达仍为有效送达。</w:t>
      </w:r>
    </w:p>
    <w:p w14:paraId="2F634B30">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0F483C75">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22.4通知以送达之日或通知书中规定的生效之日起生效，两者中以较迟之日为准。</w:t>
      </w:r>
    </w:p>
    <w:p w14:paraId="6143FF53">
      <w:pPr>
        <w:numPr>
          <w:ilvl w:val="0"/>
          <w:numId w:val="27"/>
        </w:numPr>
        <w:adjustRightInd w:val="0"/>
        <w:snapToGrid w:val="0"/>
        <w:spacing w:line="400" w:lineRule="exact"/>
        <w:jc w:val="left"/>
        <w:rPr>
          <w:rFonts w:hint="eastAsia" w:ascii="宋体" w:hAnsi="宋体"/>
          <w:b/>
          <w:bCs/>
          <w:sz w:val="24"/>
        </w:rPr>
      </w:pPr>
      <w:r>
        <w:rPr>
          <w:rFonts w:hint="eastAsia" w:ascii="宋体" w:hAnsi="宋体"/>
          <w:b/>
          <w:bCs/>
          <w:sz w:val="24"/>
        </w:rPr>
        <w:t>合同未尽事项</w:t>
      </w:r>
    </w:p>
    <w:p w14:paraId="08A6F8CC">
      <w:pPr>
        <w:adjustRightInd w:val="0"/>
        <w:snapToGrid w:val="0"/>
        <w:spacing w:line="400" w:lineRule="exact"/>
        <w:ind w:firstLine="420" w:firstLineChars="200"/>
        <w:jc w:val="left"/>
        <w:rPr>
          <w:rFonts w:hint="eastAsia"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08A3599E">
      <w:pPr>
        <w:adjustRightInd w:val="0"/>
        <w:snapToGrid w:val="0"/>
        <w:spacing w:line="400" w:lineRule="exact"/>
        <w:jc w:val="left"/>
        <w:rPr>
          <w:rFonts w:hint="eastAsia" w:ascii="黑体" w:hAnsi="华文中宋" w:eastAsia="黑体"/>
          <w:sz w:val="28"/>
          <w:szCs w:val="28"/>
        </w:rPr>
      </w:pPr>
      <w:r>
        <w:rPr>
          <w:rFonts w:hint="eastAsia" w:ascii="宋体" w:hAnsi="宋体"/>
          <w:bCs/>
          <w:szCs w:val="21"/>
        </w:rPr>
        <w:t xml:space="preserve">    23.2 合同附件与合同正文具有同等的法律效力。</w:t>
      </w:r>
      <w:bookmarkStart w:id="84" w:name="_Toc20313"/>
    </w:p>
    <w:p w14:paraId="7DB1BC04">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2686D972">
      <w:pPr>
        <w:keepNext/>
        <w:keepLines/>
        <w:adjustRightInd w:val="0"/>
        <w:snapToGrid w:val="0"/>
        <w:spacing w:line="360" w:lineRule="auto"/>
        <w:jc w:val="center"/>
        <w:outlineLvl w:val="1"/>
        <w:rPr>
          <w:rFonts w:hint="eastAsia" w:ascii="黑体" w:hAnsi="华文中宋" w:eastAsia="黑体"/>
          <w:sz w:val="28"/>
          <w:szCs w:val="28"/>
        </w:rPr>
      </w:pPr>
      <w:r>
        <w:rPr>
          <w:rFonts w:hint="eastAsia" w:ascii="黑体" w:hAnsi="华文中宋" w:eastAsia="黑体"/>
          <w:sz w:val="28"/>
          <w:szCs w:val="28"/>
        </w:rPr>
        <w:t>第三节 政府采购合同专用条款</w:t>
      </w:r>
      <w:bookmarkEnd w:id="84"/>
    </w:p>
    <w:tbl>
      <w:tblPr>
        <w:tblStyle w:val="4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FF957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50A4C9">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16CE799B">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第1.2（6）项</w:t>
            </w:r>
          </w:p>
        </w:tc>
        <w:tc>
          <w:tcPr>
            <w:tcW w:w="1742" w:type="dxa"/>
            <w:vAlign w:val="center"/>
          </w:tcPr>
          <w:p w14:paraId="0A1BE6D6">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联合体具体要求</w:t>
            </w:r>
          </w:p>
        </w:tc>
        <w:tc>
          <w:tcPr>
            <w:tcW w:w="5170" w:type="dxa"/>
            <w:vAlign w:val="center"/>
          </w:tcPr>
          <w:p w14:paraId="6B7343B5">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3AA520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BA99C8D">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14E7A198">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第1.2（7）项</w:t>
            </w:r>
          </w:p>
        </w:tc>
        <w:tc>
          <w:tcPr>
            <w:tcW w:w="1742" w:type="dxa"/>
            <w:vAlign w:val="center"/>
          </w:tcPr>
          <w:p w14:paraId="152F0BEE">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其他术语解释</w:t>
            </w:r>
          </w:p>
        </w:tc>
        <w:tc>
          <w:tcPr>
            <w:tcW w:w="5170" w:type="dxa"/>
            <w:vAlign w:val="center"/>
          </w:tcPr>
          <w:p w14:paraId="48E9566B">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090938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CDB8D2">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4E384AA5">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第4.4款</w:t>
            </w:r>
          </w:p>
        </w:tc>
        <w:tc>
          <w:tcPr>
            <w:tcW w:w="1742" w:type="dxa"/>
            <w:vAlign w:val="center"/>
          </w:tcPr>
          <w:p w14:paraId="60948D9B">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履约验收中甲方提出异议或作出说明的期限</w:t>
            </w:r>
          </w:p>
        </w:tc>
        <w:tc>
          <w:tcPr>
            <w:tcW w:w="5170" w:type="dxa"/>
            <w:vAlign w:val="center"/>
          </w:tcPr>
          <w:p w14:paraId="3E096234">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3FEF5C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BB68FD">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4DB77652">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第4.6款</w:t>
            </w:r>
          </w:p>
        </w:tc>
        <w:tc>
          <w:tcPr>
            <w:tcW w:w="1742" w:type="dxa"/>
            <w:vAlign w:val="center"/>
          </w:tcPr>
          <w:p w14:paraId="1242FB6A">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约定甲方承担的其他义务和责任</w:t>
            </w:r>
          </w:p>
        </w:tc>
        <w:tc>
          <w:tcPr>
            <w:tcW w:w="5170" w:type="dxa"/>
            <w:vAlign w:val="center"/>
          </w:tcPr>
          <w:p w14:paraId="2EB3B9E5">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4A5DCD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B70AEA">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752A9682">
            <w:pPr>
              <w:keepNext w:val="0"/>
              <w:keepLines w:val="0"/>
              <w:suppressLineNumbers w:val="0"/>
              <w:snapToGrid w:val="0"/>
              <w:spacing w:before="0" w:beforeAutospacing="0" w:after="0" w:afterAutospacing="0"/>
              <w:ind w:left="0" w:right="0"/>
              <w:jc w:val="center"/>
              <w:rPr>
                <w:rFonts w:hint="default"/>
              </w:rPr>
            </w:pPr>
            <w:r>
              <w:rPr>
                <w:rFonts w:hint="eastAsia" w:ascii="宋体" w:hAnsi="宋体"/>
                <w:szCs w:val="21"/>
              </w:rPr>
              <w:t>第5.4款</w:t>
            </w:r>
          </w:p>
        </w:tc>
        <w:tc>
          <w:tcPr>
            <w:tcW w:w="1742" w:type="dxa"/>
            <w:vAlign w:val="center"/>
          </w:tcPr>
          <w:p w14:paraId="7DDD01D1">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约定乙方承担的其他义务和责任</w:t>
            </w:r>
          </w:p>
        </w:tc>
        <w:tc>
          <w:tcPr>
            <w:tcW w:w="5170" w:type="dxa"/>
            <w:vAlign w:val="center"/>
          </w:tcPr>
          <w:p w14:paraId="229BB43A">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4D603F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B26B39">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56C826EC">
            <w:pPr>
              <w:keepNext w:val="0"/>
              <w:keepLines w:val="0"/>
              <w:suppressLineNumbers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第6.1款</w:t>
            </w:r>
          </w:p>
        </w:tc>
        <w:tc>
          <w:tcPr>
            <w:tcW w:w="1742" w:type="dxa"/>
            <w:vAlign w:val="center"/>
          </w:tcPr>
          <w:p w14:paraId="578A14EF">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履行合同义务的顺序</w:t>
            </w:r>
          </w:p>
        </w:tc>
        <w:tc>
          <w:tcPr>
            <w:tcW w:w="5170" w:type="dxa"/>
            <w:vAlign w:val="center"/>
          </w:tcPr>
          <w:p w14:paraId="6751EF8F">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11C1B4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07F690B">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32ED775B">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第7.1款</w:t>
            </w:r>
          </w:p>
        </w:tc>
        <w:tc>
          <w:tcPr>
            <w:tcW w:w="1742" w:type="dxa"/>
            <w:vAlign w:val="center"/>
          </w:tcPr>
          <w:p w14:paraId="5B08A5EA">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包装特殊要求</w:t>
            </w:r>
          </w:p>
        </w:tc>
        <w:tc>
          <w:tcPr>
            <w:tcW w:w="5170" w:type="dxa"/>
            <w:vAlign w:val="center"/>
          </w:tcPr>
          <w:p w14:paraId="75D1EEC3">
            <w:pPr>
              <w:keepNext w:val="0"/>
              <w:keepLines w:val="0"/>
              <w:suppressLineNumbers w:val="0"/>
              <w:spacing w:before="0" w:beforeAutospacing="0" w:after="0" w:afterAutospacing="0"/>
              <w:ind w:left="0" w:right="0"/>
              <w:rPr>
                <w:rFonts w:hint="default"/>
              </w:rPr>
            </w:pPr>
          </w:p>
        </w:tc>
      </w:tr>
      <w:tr w14:paraId="7A226B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F4260B6">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p>
        </w:tc>
        <w:tc>
          <w:tcPr>
            <w:tcW w:w="1742" w:type="dxa"/>
            <w:vAlign w:val="center"/>
          </w:tcPr>
          <w:p w14:paraId="4084F518">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指定现场</w:t>
            </w:r>
          </w:p>
        </w:tc>
        <w:tc>
          <w:tcPr>
            <w:tcW w:w="5170" w:type="dxa"/>
            <w:vAlign w:val="center"/>
          </w:tcPr>
          <w:p w14:paraId="47BB5E6E">
            <w:pPr>
              <w:keepNext w:val="0"/>
              <w:keepLines w:val="0"/>
              <w:suppressLineNumbers w:val="0"/>
              <w:spacing w:before="0" w:beforeAutospacing="0" w:after="0" w:afterAutospacing="0"/>
              <w:ind w:left="0" w:right="0"/>
              <w:rPr>
                <w:rFonts w:hint="default"/>
              </w:rPr>
            </w:pPr>
          </w:p>
        </w:tc>
      </w:tr>
      <w:tr w14:paraId="66C6E5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57335FD">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7FEADC49">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第7.2款</w:t>
            </w:r>
          </w:p>
        </w:tc>
        <w:tc>
          <w:tcPr>
            <w:tcW w:w="1742" w:type="dxa"/>
            <w:vAlign w:val="center"/>
          </w:tcPr>
          <w:p w14:paraId="7011D141">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运输特殊要求</w:t>
            </w:r>
          </w:p>
        </w:tc>
        <w:tc>
          <w:tcPr>
            <w:tcW w:w="5170" w:type="dxa"/>
            <w:vAlign w:val="center"/>
          </w:tcPr>
          <w:p w14:paraId="7695AAD0">
            <w:pPr>
              <w:keepNext w:val="0"/>
              <w:keepLines w:val="0"/>
              <w:suppressLineNumbers w:val="0"/>
              <w:spacing w:before="0" w:beforeAutospacing="0" w:after="0" w:afterAutospacing="0"/>
              <w:ind w:left="0" w:right="0"/>
              <w:rPr>
                <w:rFonts w:hint="default"/>
              </w:rPr>
            </w:pPr>
          </w:p>
        </w:tc>
      </w:tr>
      <w:tr w14:paraId="516374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765D7EA">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19192372">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第7.3款</w:t>
            </w:r>
          </w:p>
        </w:tc>
        <w:tc>
          <w:tcPr>
            <w:tcW w:w="1742" w:type="dxa"/>
            <w:vAlign w:val="center"/>
          </w:tcPr>
          <w:p w14:paraId="74719491">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保险要求</w:t>
            </w:r>
          </w:p>
        </w:tc>
        <w:tc>
          <w:tcPr>
            <w:tcW w:w="5170" w:type="dxa"/>
            <w:vAlign w:val="center"/>
          </w:tcPr>
          <w:p w14:paraId="445D7BCE">
            <w:pPr>
              <w:keepNext w:val="0"/>
              <w:keepLines w:val="0"/>
              <w:suppressLineNumbers w:val="0"/>
              <w:spacing w:before="0" w:beforeAutospacing="0" w:after="0" w:afterAutospacing="0"/>
              <w:ind w:left="0" w:right="0"/>
              <w:rPr>
                <w:rFonts w:hint="default"/>
              </w:rPr>
            </w:pPr>
          </w:p>
        </w:tc>
      </w:tr>
      <w:tr w14:paraId="4FB065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8712C1">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2BE77977">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第8.2（1）项</w:t>
            </w:r>
          </w:p>
        </w:tc>
        <w:tc>
          <w:tcPr>
            <w:tcW w:w="1742" w:type="dxa"/>
            <w:vAlign w:val="center"/>
          </w:tcPr>
          <w:p w14:paraId="6A2B8DBD">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质量保证期</w:t>
            </w:r>
          </w:p>
        </w:tc>
        <w:tc>
          <w:tcPr>
            <w:tcW w:w="5170" w:type="dxa"/>
            <w:vAlign w:val="center"/>
          </w:tcPr>
          <w:p w14:paraId="23E97EC1">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eastAsia" w:ascii="宋体" w:hAnsi="宋体"/>
                <w:szCs w:val="21"/>
              </w:rPr>
            </w:pPr>
          </w:p>
        </w:tc>
      </w:tr>
      <w:tr w14:paraId="620AA3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362387">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60FDCB6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第8.2（3）项</w:t>
            </w:r>
          </w:p>
        </w:tc>
        <w:tc>
          <w:tcPr>
            <w:tcW w:w="1742" w:type="dxa"/>
            <w:vAlign w:val="center"/>
          </w:tcPr>
          <w:p w14:paraId="03722F8E">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货物质量缺陷</w:t>
            </w:r>
          </w:p>
          <w:p w14:paraId="4E96FFF9">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响应时间</w:t>
            </w:r>
          </w:p>
        </w:tc>
        <w:tc>
          <w:tcPr>
            <w:tcW w:w="5170" w:type="dxa"/>
            <w:vAlign w:val="center"/>
          </w:tcPr>
          <w:p w14:paraId="11E6E5CD">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622E06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421BCB">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第二节</w:t>
            </w:r>
          </w:p>
          <w:p w14:paraId="7C311063">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华文楷体" w:hAnsi="华文楷体" w:eastAsia="华文楷体" w:cs="华文楷体"/>
                <w:sz w:val="22"/>
                <w:szCs w:val="21"/>
              </w:rPr>
            </w:pPr>
            <w:r>
              <w:rPr>
                <w:rFonts w:hint="eastAsia" w:ascii="宋体" w:hAnsi="宋体" w:cs="宋体"/>
                <w:sz w:val="22"/>
                <w:szCs w:val="21"/>
              </w:rPr>
              <w:t>第11.1款</w:t>
            </w:r>
          </w:p>
        </w:tc>
        <w:tc>
          <w:tcPr>
            <w:tcW w:w="1742" w:type="dxa"/>
            <w:vAlign w:val="center"/>
          </w:tcPr>
          <w:p w14:paraId="014E9769">
            <w:pPr>
              <w:keepNext w:val="0"/>
              <w:keepLines w:val="0"/>
              <w:suppressLineNumbers w:val="0"/>
              <w:adjustRightInd w:val="0"/>
              <w:snapToGrid w:val="0"/>
              <w:spacing w:before="0" w:beforeAutospacing="0" w:after="0" w:afterAutospacing="0"/>
              <w:ind w:left="0" w:right="0"/>
              <w:rPr>
                <w:rFonts w:hint="eastAsia" w:ascii="宋体" w:hAnsi="宋体"/>
                <w:szCs w:val="21"/>
              </w:rPr>
            </w:pPr>
            <w:r>
              <w:rPr>
                <w:rFonts w:hint="eastAsia" w:ascii="宋体" w:hAnsi="宋体"/>
                <w:szCs w:val="21"/>
              </w:rPr>
              <w:t>其他应当保密的信息</w:t>
            </w:r>
          </w:p>
        </w:tc>
        <w:tc>
          <w:tcPr>
            <w:tcW w:w="5170" w:type="dxa"/>
            <w:vAlign w:val="center"/>
          </w:tcPr>
          <w:p w14:paraId="3F134AEC">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5C6539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ACC39B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27CFF5BB">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第12.2款</w:t>
            </w:r>
          </w:p>
        </w:tc>
        <w:tc>
          <w:tcPr>
            <w:tcW w:w="1742" w:type="dxa"/>
            <w:vAlign w:val="center"/>
          </w:tcPr>
          <w:p w14:paraId="7012DA40">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合同价款支付时间</w:t>
            </w:r>
          </w:p>
        </w:tc>
        <w:tc>
          <w:tcPr>
            <w:tcW w:w="5170" w:type="dxa"/>
            <w:vAlign w:val="center"/>
          </w:tcPr>
          <w:p w14:paraId="1E4BC8DB">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3DEC36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26BEDB3">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718AB322">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第13.2款</w:t>
            </w:r>
          </w:p>
        </w:tc>
        <w:tc>
          <w:tcPr>
            <w:tcW w:w="1742" w:type="dxa"/>
            <w:vAlign w:val="center"/>
          </w:tcPr>
          <w:p w14:paraId="710707A6">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履约保证金不予退还的情形</w:t>
            </w:r>
          </w:p>
        </w:tc>
        <w:tc>
          <w:tcPr>
            <w:tcW w:w="5170" w:type="dxa"/>
            <w:vAlign w:val="center"/>
          </w:tcPr>
          <w:p w14:paraId="35BD6584">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17205E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ECB890">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79713EC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第13.3款</w:t>
            </w:r>
          </w:p>
        </w:tc>
        <w:tc>
          <w:tcPr>
            <w:tcW w:w="1742" w:type="dxa"/>
            <w:vAlign w:val="center"/>
          </w:tcPr>
          <w:p w14:paraId="08836484">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履约保证金退还时间及逾期退还的违约金</w:t>
            </w:r>
          </w:p>
        </w:tc>
        <w:tc>
          <w:tcPr>
            <w:tcW w:w="5170" w:type="dxa"/>
            <w:vAlign w:val="center"/>
          </w:tcPr>
          <w:p w14:paraId="33B3E336">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2A77D2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FD5D360">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591AEE47">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第14.1（3）项</w:t>
            </w:r>
          </w:p>
        </w:tc>
        <w:tc>
          <w:tcPr>
            <w:tcW w:w="1742" w:type="dxa"/>
            <w:vAlign w:val="center"/>
          </w:tcPr>
          <w:p w14:paraId="793402EA">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运行监督、维修期限</w:t>
            </w:r>
          </w:p>
        </w:tc>
        <w:tc>
          <w:tcPr>
            <w:tcW w:w="5170" w:type="dxa"/>
            <w:vAlign w:val="center"/>
          </w:tcPr>
          <w:p w14:paraId="5B60C524">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77AC79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1E336D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14BCD704">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第14.1（5）项</w:t>
            </w:r>
          </w:p>
        </w:tc>
        <w:tc>
          <w:tcPr>
            <w:tcW w:w="1742" w:type="dxa"/>
            <w:vAlign w:val="center"/>
          </w:tcPr>
          <w:p w14:paraId="2B916B4D">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货物回收的约定</w:t>
            </w:r>
          </w:p>
        </w:tc>
        <w:tc>
          <w:tcPr>
            <w:tcW w:w="5170" w:type="dxa"/>
            <w:vAlign w:val="center"/>
          </w:tcPr>
          <w:p w14:paraId="04CE4151">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15FDDB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CA4C60">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21E0C5AF">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第14.1（6）项</w:t>
            </w:r>
          </w:p>
        </w:tc>
        <w:tc>
          <w:tcPr>
            <w:tcW w:w="1742" w:type="dxa"/>
            <w:vAlign w:val="center"/>
          </w:tcPr>
          <w:p w14:paraId="470C9700">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乙方提供的其他服务</w:t>
            </w:r>
          </w:p>
        </w:tc>
        <w:tc>
          <w:tcPr>
            <w:tcW w:w="5170" w:type="dxa"/>
            <w:vAlign w:val="center"/>
          </w:tcPr>
          <w:p w14:paraId="4909BF54">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47C077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E12D60">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47969830">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第15.1款</w:t>
            </w:r>
          </w:p>
        </w:tc>
        <w:tc>
          <w:tcPr>
            <w:tcW w:w="1742" w:type="dxa"/>
            <w:vAlign w:val="center"/>
          </w:tcPr>
          <w:p w14:paraId="77593AE2">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修理、重作、更换相关具体规定</w:t>
            </w:r>
          </w:p>
        </w:tc>
        <w:tc>
          <w:tcPr>
            <w:tcW w:w="5170" w:type="dxa"/>
            <w:vAlign w:val="center"/>
          </w:tcPr>
          <w:p w14:paraId="3534DAF3">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6C7679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A2AD05">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24D4671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第15.2（2）项</w:t>
            </w:r>
          </w:p>
        </w:tc>
        <w:tc>
          <w:tcPr>
            <w:tcW w:w="1742" w:type="dxa"/>
            <w:vAlign w:val="center"/>
          </w:tcPr>
          <w:p w14:paraId="0384BCA0">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迟延交货赔偿费</w:t>
            </w:r>
          </w:p>
        </w:tc>
        <w:tc>
          <w:tcPr>
            <w:tcW w:w="5170" w:type="dxa"/>
            <w:vAlign w:val="center"/>
          </w:tcPr>
          <w:p w14:paraId="1644E79F">
            <w:pPr>
              <w:keepNext w:val="0"/>
              <w:keepLines w:val="0"/>
              <w:suppressLineNumbers w:val="0"/>
              <w:adjustRightInd w:val="0"/>
              <w:snapToGrid w:val="0"/>
              <w:spacing w:before="0" w:beforeAutospacing="0" w:after="0" w:afterAutospacing="0"/>
              <w:ind w:left="0" w:right="0"/>
              <w:jc w:val="left"/>
              <w:rPr>
                <w:rFonts w:hint="eastAsia" w:ascii="宋体" w:hAnsi="宋体"/>
                <w:szCs w:val="21"/>
                <w:u w:val="single"/>
              </w:rPr>
            </w:pPr>
          </w:p>
        </w:tc>
      </w:tr>
      <w:tr w14:paraId="6836CA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25F308">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02E93B06">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第15.3款</w:t>
            </w:r>
          </w:p>
        </w:tc>
        <w:tc>
          <w:tcPr>
            <w:tcW w:w="1742" w:type="dxa"/>
            <w:vAlign w:val="center"/>
          </w:tcPr>
          <w:p w14:paraId="488A02BC">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逾期付款利息</w:t>
            </w:r>
          </w:p>
        </w:tc>
        <w:tc>
          <w:tcPr>
            <w:tcW w:w="5170" w:type="dxa"/>
            <w:vAlign w:val="center"/>
          </w:tcPr>
          <w:p w14:paraId="7197D0EB">
            <w:pPr>
              <w:keepNext w:val="0"/>
              <w:keepLines w:val="0"/>
              <w:suppressLineNumbers w:val="0"/>
              <w:adjustRightInd w:val="0"/>
              <w:snapToGrid w:val="0"/>
              <w:spacing w:before="0" w:beforeAutospacing="0" w:after="0" w:afterAutospacing="0"/>
              <w:ind w:left="0" w:right="0"/>
              <w:jc w:val="left"/>
              <w:rPr>
                <w:rFonts w:hint="eastAsia" w:ascii="宋体" w:hAnsi="宋体"/>
                <w:szCs w:val="21"/>
                <w:u w:val="single"/>
              </w:rPr>
            </w:pPr>
          </w:p>
        </w:tc>
      </w:tr>
      <w:tr w14:paraId="515B72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9005F3D">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3E525E02">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第15.4款</w:t>
            </w:r>
          </w:p>
        </w:tc>
        <w:tc>
          <w:tcPr>
            <w:tcW w:w="1742" w:type="dxa"/>
            <w:tcBorders>
              <w:left w:val="single" w:color="auto" w:sz="2" w:space="0"/>
              <w:bottom w:val="single" w:color="auto" w:sz="2" w:space="0"/>
              <w:right w:val="single" w:color="auto" w:sz="2" w:space="0"/>
            </w:tcBorders>
            <w:vAlign w:val="center"/>
          </w:tcPr>
          <w:p w14:paraId="78ED4B10">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4265AAEF">
            <w:pPr>
              <w:keepNext w:val="0"/>
              <w:keepLines w:val="0"/>
              <w:suppressLineNumbers w:val="0"/>
              <w:adjustRightInd w:val="0"/>
              <w:snapToGrid w:val="0"/>
              <w:spacing w:before="0" w:beforeAutospacing="0" w:after="0" w:afterAutospacing="0"/>
              <w:ind w:left="0" w:right="0"/>
              <w:jc w:val="left"/>
              <w:rPr>
                <w:rFonts w:hint="eastAsia" w:ascii="宋体" w:hAnsi="宋体"/>
                <w:szCs w:val="21"/>
                <w:u w:val="single"/>
              </w:rPr>
            </w:pPr>
          </w:p>
        </w:tc>
      </w:tr>
      <w:tr w14:paraId="68612F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C337E1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1E7A287B">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第19.2款</w:t>
            </w:r>
          </w:p>
        </w:tc>
        <w:tc>
          <w:tcPr>
            <w:tcW w:w="1742" w:type="dxa"/>
            <w:tcBorders>
              <w:top w:val="single" w:color="auto" w:sz="2" w:space="0"/>
              <w:left w:val="single" w:color="auto" w:sz="2" w:space="0"/>
              <w:right w:val="single" w:color="auto" w:sz="2" w:space="0"/>
            </w:tcBorders>
            <w:vAlign w:val="center"/>
          </w:tcPr>
          <w:p w14:paraId="4F6FB985">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解决争议的方法</w:t>
            </w:r>
          </w:p>
        </w:tc>
        <w:tc>
          <w:tcPr>
            <w:tcW w:w="5170" w:type="dxa"/>
            <w:tcBorders>
              <w:top w:val="single" w:color="auto" w:sz="2" w:space="0"/>
              <w:left w:val="single" w:color="auto" w:sz="2" w:space="0"/>
            </w:tcBorders>
            <w:vAlign w:val="center"/>
          </w:tcPr>
          <w:p w14:paraId="0C2CFE0F">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14:paraId="351B37A7">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7032CFF7">
            <w:pPr>
              <w:keepNext w:val="0"/>
              <w:keepLines w:val="0"/>
              <w:suppressLineNumbers w:val="0"/>
              <w:adjustRightInd w:val="0"/>
              <w:snapToGrid w:val="0"/>
              <w:spacing w:before="0" w:beforeAutospacing="0" w:after="0" w:afterAutospacing="0"/>
              <w:ind w:left="0" w:right="0"/>
              <w:jc w:val="left"/>
              <w:rPr>
                <w:rFonts w:hint="eastAsia"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14:paraId="67BF5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3742CC7">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4AE6D5EA">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第23.1款</w:t>
            </w:r>
          </w:p>
        </w:tc>
        <w:tc>
          <w:tcPr>
            <w:tcW w:w="1742" w:type="dxa"/>
            <w:vAlign w:val="center"/>
          </w:tcPr>
          <w:p w14:paraId="14A94328">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bCs/>
                <w:szCs w:val="21"/>
              </w:rPr>
              <w:t>其他专用条款</w:t>
            </w:r>
          </w:p>
        </w:tc>
        <w:tc>
          <w:tcPr>
            <w:tcW w:w="5170" w:type="dxa"/>
            <w:vAlign w:val="center"/>
          </w:tcPr>
          <w:p w14:paraId="3C822482">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bl>
    <w:p w14:paraId="3203E752"/>
    <w:p w14:paraId="5ACDF30E"/>
    <w:p w14:paraId="29F237C1">
      <w:pPr>
        <w:widowControl/>
        <w:jc w:val="left"/>
        <w:rPr>
          <w:rFonts w:hint="eastAsia" w:ascii="宋体" w:hAnsi="宋体"/>
          <w:szCs w:val="21"/>
        </w:rPr>
      </w:pPr>
      <w:r>
        <w:rPr>
          <w:rFonts w:ascii="宋体" w:hAnsi="宋体"/>
          <w:szCs w:val="21"/>
        </w:rPr>
        <w:br w:type="page"/>
      </w:r>
    </w:p>
    <w:p w14:paraId="4C51AE85">
      <w:pPr>
        <w:widowControl/>
        <w:jc w:val="left"/>
        <w:rPr>
          <w:rFonts w:hint="eastAsia" w:ascii="宋体" w:hAnsi="宋体"/>
          <w:szCs w:val="21"/>
        </w:rPr>
      </w:pPr>
    </w:p>
    <w:p w14:paraId="74A10220">
      <w:pPr>
        <w:pStyle w:val="4"/>
        <w:spacing w:before="120" w:beforeLines="50" w:after="120" w:afterLines="50"/>
        <w:ind w:left="562"/>
        <w:rPr>
          <w:sz w:val="28"/>
          <w:szCs w:val="28"/>
        </w:rPr>
      </w:pPr>
      <w:r>
        <w:rPr>
          <w:rFonts w:hint="eastAsia"/>
          <w:sz w:val="28"/>
          <w:szCs w:val="28"/>
        </w:rPr>
        <w:t>第二册  通用条款（公开招标）</w:t>
      </w:r>
    </w:p>
    <w:p w14:paraId="5FDB6F59">
      <w:pPr>
        <w:pStyle w:val="4"/>
        <w:numPr>
          <w:ilvl w:val="0"/>
          <w:numId w:val="28"/>
        </w:numPr>
        <w:spacing w:before="120" w:beforeLines="50" w:after="120" w:afterLines="50"/>
        <w:ind w:left="562" w:hanging="562"/>
        <w:rPr>
          <w:sz w:val="28"/>
          <w:szCs w:val="28"/>
        </w:rPr>
      </w:pPr>
      <w:bookmarkStart w:id="85" w:name="_Hlk72399513"/>
      <w:r>
        <w:rPr>
          <w:rFonts w:hint="eastAsia"/>
          <w:sz w:val="28"/>
          <w:szCs w:val="28"/>
        </w:rPr>
        <w:t>总则</w:t>
      </w:r>
    </w:p>
    <w:bookmarkEnd w:id="85"/>
    <w:p w14:paraId="004B8E90">
      <w:pPr>
        <w:rPr>
          <w:rFonts w:hint="eastAsia" w:ascii="黑体" w:hAnsi="宋体" w:eastAsia="黑体"/>
          <w:sz w:val="24"/>
        </w:rPr>
      </w:pPr>
      <w:r>
        <w:rPr>
          <w:rFonts w:hint="eastAsia" w:ascii="黑体" w:hAnsi="宋体" w:eastAsia="黑体"/>
          <w:sz w:val="24"/>
        </w:rPr>
        <w:t>1. 通用条款说明</w:t>
      </w:r>
    </w:p>
    <w:p w14:paraId="6DA8ECFF">
      <w:pPr>
        <w:ind w:firstLine="411" w:firstLineChars="196"/>
        <w:rPr>
          <w:rFonts w:hint="eastAsia"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86" w:name="_Hlk72399729"/>
      <w:r>
        <w:rPr>
          <w:rFonts w:hint="eastAsia" w:ascii="宋体" w:hAnsi="宋体"/>
          <w:szCs w:val="21"/>
        </w:rPr>
        <w:t>如有需要，政府集中采购机构可以对通用条款的内容进行补充。</w:t>
      </w:r>
      <w:bookmarkEnd w:id="86"/>
    </w:p>
    <w:p w14:paraId="0498E5CF">
      <w:pPr>
        <w:ind w:firstLine="411" w:firstLineChars="196"/>
        <w:rPr>
          <w:rFonts w:hint="eastAsia" w:ascii="宋体" w:hAnsi="宋体"/>
          <w:szCs w:val="21"/>
        </w:rPr>
      </w:pPr>
      <w:r>
        <w:rPr>
          <w:rFonts w:hint="eastAsia" w:ascii="宋体" w:hAnsi="宋体"/>
          <w:szCs w:val="21"/>
        </w:rPr>
        <w:t>1.2招标文件分为第一册“专用条款”和第二册“通用条款”。</w:t>
      </w:r>
    </w:p>
    <w:p w14:paraId="78B4D8BD">
      <w:pPr>
        <w:ind w:firstLine="411" w:firstLineChars="196"/>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1.3“专用条款”是对本次采购项目的具体要求，包含招标公告、对通用条款的补充内容及其他关键信息、用户需求书、投标文件组成要求及格式、合同条款及格式等内容。</w:t>
      </w:r>
    </w:p>
    <w:p w14:paraId="4CEBC0BF">
      <w:pPr>
        <w:ind w:firstLine="411" w:firstLineChars="196"/>
        <w:rPr>
          <w:rFonts w:hint="eastAsia" w:ascii="宋体" w:hAnsi="宋体"/>
          <w:szCs w:val="21"/>
        </w:rPr>
      </w:pPr>
      <w:r>
        <w:rPr>
          <w:rFonts w:hint="eastAsia" w:ascii="宋体" w:hAnsi="宋体"/>
          <w:szCs w:val="21"/>
        </w:rPr>
        <w:t>1.4“通用条款”是适用于政府采购公开招标项目的基础性条款，具有普遍性和通用性。</w:t>
      </w:r>
    </w:p>
    <w:p w14:paraId="0B4E436B">
      <w:pPr>
        <w:ind w:firstLine="411" w:firstLineChars="196"/>
        <w:rPr>
          <w:rFonts w:hint="eastAsia" w:ascii="宋体" w:hAnsi="宋体"/>
          <w:szCs w:val="21"/>
        </w:rPr>
      </w:pPr>
      <w:r>
        <w:rPr>
          <w:rFonts w:hint="eastAsia" w:ascii="宋体" w:hAnsi="宋体"/>
          <w:szCs w:val="21"/>
        </w:rPr>
        <w:t>1.5 “专用条款”和“通用条款”表述不一致或有冲突时，以“专用条款”为准。</w:t>
      </w:r>
    </w:p>
    <w:p w14:paraId="547D2627">
      <w:pPr>
        <w:rPr>
          <w:rFonts w:hint="eastAsia"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602D8E8B">
      <w:pPr>
        <w:ind w:firstLine="411" w:firstLineChars="196"/>
        <w:rPr>
          <w:rFonts w:hint="eastAsia" w:ascii="宋体" w:hAnsi="宋体"/>
          <w:szCs w:val="21"/>
        </w:rPr>
      </w:pPr>
      <w:r>
        <w:rPr>
          <w:rFonts w:hint="eastAsia" w:ascii="宋体" w:hAnsi="宋体"/>
          <w:szCs w:val="21"/>
        </w:rPr>
        <w:t>本项目按照《深圳经济特区政府采购条例》、《深圳经济特区政府采购条例实施细则》及政府采购其他法律法规，通过公开招标方式确定中标供应商。</w:t>
      </w:r>
    </w:p>
    <w:p w14:paraId="4EC2454F">
      <w:pPr>
        <w:rPr>
          <w:rFonts w:hint="eastAsia" w:ascii="黑体" w:hAnsi="宋体" w:eastAsia="黑体"/>
          <w:sz w:val="24"/>
        </w:rPr>
      </w:pPr>
      <w:r>
        <w:rPr>
          <w:rFonts w:hint="eastAsia" w:ascii="黑体" w:hAnsi="宋体" w:eastAsia="黑体"/>
          <w:sz w:val="24"/>
        </w:rPr>
        <w:t>3．定义</w:t>
      </w:r>
    </w:p>
    <w:p w14:paraId="0DE9C73C">
      <w:pPr>
        <w:ind w:firstLine="420" w:firstLineChars="200"/>
        <w:rPr>
          <w:rFonts w:hint="eastAsia" w:ascii="宋体" w:hAnsi="宋体"/>
          <w:szCs w:val="21"/>
        </w:rPr>
      </w:pPr>
      <w:r>
        <w:rPr>
          <w:rFonts w:ascii="宋体" w:hAnsi="宋体"/>
          <w:szCs w:val="21"/>
        </w:rPr>
        <w:t>招标文件中下列术语应解释为：</w:t>
      </w:r>
    </w:p>
    <w:p w14:paraId="5C8D12F9">
      <w:pPr>
        <w:ind w:firstLine="411" w:firstLineChars="196"/>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14:paraId="2B1DD3EB">
      <w:pPr>
        <w:ind w:firstLine="411" w:firstLineChars="196"/>
        <w:rPr>
          <w:rFonts w:hint="eastAsia"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3257A2B5">
      <w:pPr>
        <w:ind w:firstLine="411" w:firstLineChars="196"/>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6709C667">
      <w:pPr>
        <w:ind w:firstLine="411" w:firstLineChars="196"/>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7D0D56A6">
      <w:pPr>
        <w:ind w:firstLine="411" w:firstLineChars="196"/>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C21A77">
      <w:pPr>
        <w:ind w:firstLine="411" w:firstLineChars="196"/>
        <w:rPr>
          <w:rFonts w:hint="eastAsia" w:ascii="宋体" w:hAnsi="宋体"/>
          <w:szCs w:val="21"/>
        </w:rPr>
      </w:pPr>
      <w:r>
        <w:rPr>
          <w:rFonts w:hint="eastAsia" w:ascii="宋体" w:hAnsi="宋体"/>
          <w:szCs w:val="21"/>
        </w:rPr>
        <w:t>3.6“合同”指由本次招标所产生的合同或合约文件；</w:t>
      </w:r>
    </w:p>
    <w:p w14:paraId="487DF9F5">
      <w:pPr>
        <w:ind w:firstLine="411" w:firstLineChars="196"/>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p>
    <w:p w14:paraId="23EB04B9">
      <w:pPr>
        <w:ind w:firstLine="411" w:firstLineChars="196"/>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网站上传电子投标文件；</w:t>
      </w:r>
    </w:p>
    <w:p w14:paraId="0A20E316">
      <w:pPr>
        <w:ind w:firstLine="411" w:firstLineChars="196"/>
        <w:rPr>
          <w:rFonts w:hint="eastAsia" w:ascii="宋体" w:hAnsi="宋体"/>
          <w:szCs w:val="21"/>
        </w:rPr>
      </w:pPr>
      <w:r>
        <w:rPr>
          <w:rFonts w:hint="eastAsia" w:ascii="宋体" w:hAnsi="宋体"/>
          <w:szCs w:val="21"/>
        </w:rPr>
        <w:t>3.9招标文件中的标题或题名仅起引导作用，而不应视为对招标文件内容的理解和解释。</w:t>
      </w:r>
    </w:p>
    <w:p w14:paraId="2AB4671C">
      <w:pPr>
        <w:rPr>
          <w:rFonts w:hint="eastAsia" w:ascii="黑体" w:hAnsi="宋体" w:eastAsia="黑体"/>
          <w:sz w:val="24"/>
        </w:rPr>
      </w:pPr>
      <w:r>
        <w:rPr>
          <w:rFonts w:hint="eastAsia" w:ascii="黑体" w:hAnsi="宋体" w:eastAsia="黑体"/>
          <w:sz w:val="24"/>
        </w:rPr>
        <w:t xml:space="preserve">4. </w:t>
      </w:r>
      <w:bookmarkStart w:id="87" w:name="_Hlk72398643"/>
      <w:r>
        <w:rPr>
          <w:rFonts w:hint="eastAsia" w:ascii="黑体" w:hAnsi="宋体" w:eastAsia="黑体"/>
          <w:sz w:val="24"/>
        </w:rPr>
        <w:t>政府采购供应商责任</w:t>
      </w:r>
    </w:p>
    <w:p w14:paraId="65E465C7">
      <w:pPr>
        <w:ind w:firstLine="411" w:firstLineChars="196"/>
        <w:rPr>
          <w:rFonts w:hint="eastAsia" w:ascii="宋体" w:hAnsi="宋体"/>
          <w:szCs w:val="21"/>
        </w:rPr>
      </w:pPr>
      <w:r>
        <w:rPr>
          <w:rFonts w:hint="eastAsia" w:ascii="宋体" w:hAnsi="宋体"/>
          <w:szCs w:val="21"/>
        </w:rPr>
        <w:t>4.1欢迎诚信、有实力和有社会责任心的供应商参与政府采购事业。</w:t>
      </w:r>
    </w:p>
    <w:p w14:paraId="06215D83">
      <w:pPr>
        <w:ind w:firstLine="411" w:firstLineChars="196"/>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490D1260">
      <w:pPr>
        <w:rPr>
          <w:rFonts w:hint="eastAsia" w:ascii="黑体" w:hAnsi="宋体" w:eastAsia="黑体"/>
          <w:sz w:val="24"/>
        </w:rPr>
      </w:pPr>
      <w:r>
        <w:rPr>
          <w:rFonts w:hint="eastAsia" w:ascii="黑体" w:hAnsi="宋体" w:eastAsia="黑体"/>
          <w:sz w:val="24"/>
        </w:rPr>
        <w:t>5．投标人参加政府采购的条件</w:t>
      </w:r>
    </w:p>
    <w:p w14:paraId="1586D806">
      <w:pPr>
        <w:ind w:firstLine="411" w:firstLineChars="196"/>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p>
    <w:p w14:paraId="711A2E46">
      <w:pPr>
        <w:ind w:firstLine="411" w:firstLineChars="196"/>
        <w:rPr>
          <w:rFonts w:hint="eastAsia" w:ascii="宋体" w:hAnsi="宋体"/>
          <w:szCs w:val="21"/>
        </w:rPr>
      </w:pPr>
      <w:r>
        <w:rPr>
          <w:rFonts w:hint="eastAsia" w:ascii="宋体" w:hAnsi="宋体"/>
          <w:szCs w:val="21"/>
        </w:rPr>
        <w:t>5.2投标人资格要求</w:t>
      </w:r>
    </w:p>
    <w:p w14:paraId="146E3A4E">
      <w:pPr>
        <w:ind w:firstLine="411" w:firstLineChars="196"/>
        <w:rPr>
          <w:rFonts w:hint="eastAsia" w:ascii="宋体" w:hAnsi="宋体"/>
          <w:szCs w:val="21"/>
        </w:rPr>
      </w:pPr>
      <w:r>
        <w:rPr>
          <w:rFonts w:hint="eastAsia" w:ascii="宋体" w:hAnsi="宋体"/>
          <w:szCs w:val="21"/>
        </w:rPr>
        <w:t>参加本项目的投标人应具备的资格条件详见本项目招标公告中“投标人资格要求”（即申请人的资格要求）的内容。</w:t>
      </w:r>
    </w:p>
    <w:p w14:paraId="63BF7403">
      <w:pPr>
        <w:ind w:firstLine="411" w:firstLineChars="196"/>
        <w:rPr>
          <w:rFonts w:hint="eastAsia" w:ascii="宋体" w:hAnsi="宋体"/>
          <w:szCs w:val="21"/>
        </w:rPr>
      </w:pPr>
      <w:r>
        <w:rPr>
          <w:rFonts w:hint="eastAsia" w:ascii="宋体" w:hAnsi="宋体"/>
          <w:szCs w:val="21"/>
        </w:rPr>
        <w:t>5.3联合体投标</w:t>
      </w:r>
    </w:p>
    <w:p w14:paraId="42D28157">
      <w:pPr>
        <w:ind w:firstLine="411" w:firstLineChars="196"/>
        <w:rPr>
          <w:rFonts w:hint="eastAsia" w:ascii="宋体" w:hAnsi="宋体"/>
          <w:szCs w:val="21"/>
        </w:rPr>
      </w:pPr>
      <w:r>
        <w:rPr>
          <w:rFonts w:hint="eastAsia" w:ascii="宋体" w:hAnsi="宋体"/>
          <w:szCs w:val="21"/>
        </w:rPr>
        <w:t>5.3.1　以下有关联合体投标的条款仅适用于允许投标人组成联合体投标的项目。</w:t>
      </w:r>
    </w:p>
    <w:p w14:paraId="20B8AFD0">
      <w:pPr>
        <w:ind w:firstLine="411" w:firstLineChars="196"/>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683D83CB">
      <w:pPr>
        <w:ind w:firstLine="411" w:firstLineChars="196"/>
        <w:rPr>
          <w:rFonts w:hint="eastAsia" w:ascii="宋体" w:hAnsi="宋体"/>
        </w:rPr>
      </w:pPr>
      <w:r>
        <w:rPr>
          <w:rFonts w:hint="eastAsia" w:ascii="宋体" w:hAnsi="宋体"/>
        </w:rPr>
        <w:t>（1）投标联合体各方参加政府采购活动应当具备下列条件：</w:t>
      </w:r>
      <w:r>
        <w:rPr>
          <w:rFonts w:ascii="宋体" w:hAnsi="宋体"/>
        </w:rPr>
        <w:t xml:space="preserve"> </w:t>
      </w:r>
    </w:p>
    <w:p w14:paraId="1AF5FCA8">
      <w:pPr>
        <w:ind w:left="420" w:leftChars="200" w:firstLine="411" w:firstLineChars="196"/>
        <w:rPr>
          <w:rFonts w:hint="eastAsia" w:ascii="宋体" w:hAnsi="宋体"/>
        </w:rPr>
      </w:pPr>
      <w:r>
        <w:rPr>
          <w:rFonts w:hint="eastAsia" w:ascii="宋体" w:hAnsi="宋体"/>
        </w:rPr>
        <w:t>1、具有独立承担民事责任的能力；</w:t>
      </w:r>
      <w:r>
        <w:rPr>
          <w:rFonts w:ascii="宋体" w:hAnsi="宋体"/>
        </w:rPr>
        <w:t xml:space="preserve"> </w:t>
      </w:r>
    </w:p>
    <w:p w14:paraId="69EA80CF">
      <w:pPr>
        <w:ind w:left="420" w:firstLine="411" w:firstLineChars="196"/>
        <w:rPr>
          <w:rFonts w:hint="eastAsia" w:ascii="宋体" w:hAnsi="宋体"/>
        </w:rPr>
      </w:pPr>
      <w:r>
        <w:rPr>
          <w:rFonts w:hint="eastAsia" w:ascii="宋体" w:hAnsi="宋体"/>
        </w:rPr>
        <w:t>2、有良好的商业信誉和健全的财务会计制度；</w:t>
      </w:r>
      <w:r>
        <w:rPr>
          <w:rFonts w:ascii="宋体" w:hAnsi="宋体"/>
        </w:rPr>
        <w:t xml:space="preserve"> </w:t>
      </w:r>
    </w:p>
    <w:p w14:paraId="645C85D9">
      <w:pPr>
        <w:ind w:left="420" w:leftChars="200" w:firstLine="411" w:firstLineChars="196"/>
        <w:rPr>
          <w:rFonts w:hint="eastAsia" w:ascii="宋体" w:hAnsi="宋体"/>
        </w:rPr>
      </w:pPr>
      <w:r>
        <w:rPr>
          <w:rFonts w:hint="eastAsia" w:ascii="宋体" w:hAnsi="宋体"/>
        </w:rPr>
        <w:t>3、具有履行合同所必需的设备和专业技术能力；</w:t>
      </w:r>
      <w:r>
        <w:rPr>
          <w:rFonts w:ascii="宋体" w:hAnsi="宋体"/>
        </w:rPr>
        <w:t xml:space="preserve"> </w:t>
      </w:r>
    </w:p>
    <w:p w14:paraId="4C87D150">
      <w:pPr>
        <w:ind w:left="420" w:leftChars="200" w:firstLine="411" w:firstLineChars="196"/>
        <w:rPr>
          <w:rFonts w:hint="eastAsia" w:ascii="宋体" w:hAnsi="宋体"/>
        </w:rPr>
      </w:pPr>
      <w:r>
        <w:rPr>
          <w:rFonts w:hint="eastAsia" w:ascii="宋体" w:hAnsi="宋体"/>
        </w:rPr>
        <w:t>4、有依法缴纳税收和社会保障资金的良好记录；</w:t>
      </w:r>
      <w:r>
        <w:rPr>
          <w:rFonts w:ascii="宋体" w:hAnsi="宋体"/>
        </w:rPr>
        <w:t xml:space="preserve"> </w:t>
      </w:r>
    </w:p>
    <w:p w14:paraId="1175D118">
      <w:pPr>
        <w:ind w:left="420" w:leftChars="200" w:firstLine="411" w:firstLineChars="196"/>
        <w:rPr>
          <w:rFonts w:hint="eastAsia" w:ascii="宋体" w:hAnsi="宋体"/>
        </w:rPr>
      </w:pPr>
      <w:r>
        <w:rPr>
          <w:rFonts w:hint="eastAsia" w:ascii="宋体" w:hAnsi="宋体"/>
        </w:rPr>
        <w:t>5、参加政府采购活动前三年内，在经营活动中没有重大违法记录；</w:t>
      </w:r>
      <w:r>
        <w:rPr>
          <w:rFonts w:ascii="宋体" w:hAnsi="宋体"/>
        </w:rPr>
        <w:t xml:space="preserve"> </w:t>
      </w:r>
    </w:p>
    <w:p w14:paraId="6FE32FD3">
      <w:pPr>
        <w:ind w:left="420" w:leftChars="200" w:firstLine="411" w:firstLineChars="196"/>
        <w:rPr>
          <w:rFonts w:hint="eastAsia" w:ascii="宋体" w:hAnsi="宋体"/>
        </w:rPr>
      </w:pPr>
      <w:r>
        <w:rPr>
          <w:rFonts w:hint="eastAsia" w:ascii="宋体" w:hAnsi="宋体"/>
        </w:rPr>
        <w:t>6、法律、行政法规规定的其他条件。</w:t>
      </w:r>
      <w:r>
        <w:rPr>
          <w:rFonts w:ascii="宋体" w:hAnsi="宋体"/>
        </w:rPr>
        <w:t xml:space="preserve"> </w:t>
      </w:r>
    </w:p>
    <w:p w14:paraId="79AEB500">
      <w:pPr>
        <w:ind w:firstLine="411" w:firstLineChars="196"/>
        <w:rPr>
          <w:rFonts w:hint="eastAsia" w:ascii="宋体" w:hAnsi="宋体"/>
        </w:rPr>
      </w:pPr>
      <w:r>
        <w:rPr>
          <w:rFonts w:hint="eastAsia" w:ascii="宋体" w:hAnsi="宋体"/>
        </w:rPr>
        <w:t>（2）在投标截止前，投标联合体各方均应注册成政府集中采购机构供应商；</w:t>
      </w:r>
    </w:p>
    <w:p w14:paraId="3E62AAE0">
      <w:pPr>
        <w:ind w:firstLine="411" w:firstLineChars="196"/>
        <w:rPr>
          <w:rFonts w:hint="eastAsia" w:ascii="宋体" w:hAnsi="宋体"/>
        </w:rPr>
      </w:pPr>
      <w:r>
        <w:rPr>
          <w:rFonts w:hint="eastAsia" w:ascii="宋体" w:hAnsi="宋体"/>
        </w:rPr>
        <w:t>（3）联合体中有同类资质的供应商按照联合体分工承担相同工作的，应当按照资质等级较低的供应商确定资质等级；</w:t>
      </w:r>
    </w:p>
    <w:p w14:paraId="6A42202D">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14:paraId="05D93F29">
      <w:pPr>
        <w:ind w:firstLine="411" w:firstLineChars="196"/>
        <w:rPr>
          <w:rFonts w:hint="eastAsia" w:ascii="宋体" w:hAnsi="宋体"/>
        </w:rPr>
      </w:pPr>
      <w:r>
        <w:rPr>
          <w:rFonts w:hint="eastAsia" w:ascii="宋体" w:hAnsi="宋体"/>
        </w:rPr>
        <w:t>（5）投标人的投标文件及中标后签署的合同协议对联合体各方均具法律约束力；</w:t>
      </w:r>
    </w:p>
    <w:p w14:paraId="7A58AF14">
      <w:pPr>
        <w:ind w:firstLine="411" w:firstLineChars="196"/>
        <w:rPr>
          <w:rFonts w:hint="eastAsia" w:ascii="宋体" w:hAnsi="宋体"/>
        </w:rPr>
      </w:pPr>
      <w:r>
        <w:rPr>
          <w:rFonts w:hint="eastAsia" w:ascii="宋体" w:hAnsi="宋体"/>
        </w:rPr>
        <w:t>（6）联合体各方应当签订联合体投标协议，明确约定各方拟承担的工作和责任，并将该协议随投标文件一并递交给政府集中采购机构；</w:t>
      </w:r>
    </w:p>
    <w:p w14:paraId="37419265">
      <w:pPr>
        <w:ind w:firstLine="411" w:firstLineChars="196"/>
        <w:rPr>
          <w:rFonts w:hint="eastAsia" w:ascii="宋体" w:hAnsi="宋体"/>
        </w:rPr>
      </w:pPr>
      <w:r>
        <w:rPr>
          <w:rFonts w:hint="eastAsia" w:ascii="宋体" w:hAnsi="宋体"/>
        </w:rPr>
        <w:t>（7）联合体中标后，联合体各方应当共同与采购人签订合同，就中标项目向采购人承担连带责任；</w:t>
      </w:r>
    </w:p>
    <w:p w14:paraId="6999F78B">
      <w:pPr>
        <w:ind w:firstLine="411" w:firstLineChars="196"/>
        <w:rPr>
          <w:rFonts w:hint="eastAsia"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52BA7AF1">
      <w:pPr>
        <w:ind w:firstLine="411" w:firstLineChars="196"/>
        <w:rPr>
          <w:rFonts w:hint="eastAsia" w:ascii="宋体" w:hAnsi="宋体"/>
          <w:szCs w:val="21"/>
        </w:rPr>
      </w:pPr>
      <w:r>
        <w:rPr>
          <w:rFonts w:hint="eastAsia" w:ascii="宋体" w:hAnsi="宋体"/>
        </w:rPr>
        <w:t>（9）本通用条款中“投标人”一词亦指联合体各方，专用条款另有规定或说明的除外。</w:t>
      </w:r>
    </w:p>
    <w:p w14:paraId="570B5B85">
      <w:pPr>
        <w:rPr>
          <w:rFonts w:hint="eastAsia" w:ascii="黑体" w:hAnsi="宋体" w:eastAsia="黑体"/>
          <w:sz w:val="24"/>
        </w:rPr>
      </w:pPr>
      <w:r>
        <w:rPr>
          <w:rFonts w:hint="eastAsia" w:ascii="黑体" w:hAnsi="宋体" w:eastAsia="黑体"/>
          <w:sz w:val="24"/>
        </w:rPr>
        <w:t>6．政策导向</w:t>
      </w:r>
    </w:p>
    <w:p w14:paraId="69C2F3B3">
      <w:pPr>
        <w:ind w:firstLine="411" w:firstLineChars="196"/>
        <w:rPr>
          <w:rFonts w:hint="eastAsia"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14:paraId="770C19ED">
      <w:pPr>
        <w:ind w:firstLine="405"/>
        <w:rPr>
          <w:rFonts w:hint="eastAsia"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14:paraId="264B9BA0">
      <w:pPr>
        <w:ind w:firstLine="405"/>
      </w:pPr>
      <w:r>
        <w:rPr>
          <w:rFonts w:hint="eastAsia" w:ascii="宋体" w:hAnsi="宋体"/>
        </w:rPr>
        <w:t>6.3  本项目支持投标人性别平等的相关政策。</w:t>
      </w:r>
    </w:p>
    <w:p w14:paraId="3D9E0CC9">
      <w:pPr>
        <w:rPr>
          <w:rFonts w:hint="eastAsia" w:ascii="黑体" w:hAnsi="宋体" w:eastAsia="黑体"/>
          <w:sz w:val="24"/>
        </w:rPr>
      </w:pPr>
      <w:r>
        <w:rPr>
          <w:rFonts w:hint="eastAsia" w:ascii="黑体" w:hAnsi="宋体" w:eastAsia="黑体"/>
          <w:sz w:val="24"/>
        </w:rPr>
        <w:t>7. 本项目若涉及采购货物，则合格的货物及相应服务应满足以下要求：</w:t>
      </w:r>
    </w:p>
    <w:p w14:paraId="735D55AE">
      <w:pPr>
        <w:ind w:firstLine="411" w:firstLineChars="196"/>
        <w:rPr>
          <w:rFonts w:hint="eastAsia"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5EACEC2B">
      <w:pPr>
        <w:ind w:firstLine="411" w:firstLineChars="196"/>
        <w:rPr>
          <w:rFonts w:hint="eastAsia"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2AED267B">
      <w:pPr>
        <w:ind w:firstLine="411" w:firstLineChars="196"/>
        <w:rPr>
          <w:rFonts w:hint="eastAsia"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66EA15FF">
      <w:pPr>
        <w:ind w:firstLine="411" w:firstLineChars="196"/>
        <w:rPr>
          <w:rFonts w:hint="eastAsia"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88"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8"/>
    </w:p>
    <w:p w14:paraId="3D5AC542">
      <w:pPr>
        <w:ind w:firstLine="411" w:firstLineChars="196"/>
        <w:rPr>
          <w:rFonts w:hint="eastAsia"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5E4E44D9">
      <w:pPr>
        <w:ind w:firstLine="411" w:firstLineChars="196"/>
        <w:rPr>
          <w:rFonts w:hint="eastAsia" w:ascii="宋体" w:hAnsi="宋体"/>
        </w:rPr>
      </w:pPr>
      <w:r>
        <w:rPr>
          <w:rFonts w:hint="eastAsia" w:ascii="宋体" w:hAnsi="宋体"/>
        </w:rPr>
        <w:t>7.6  工期要求：投标人在投标时对其所投项目应提交交货进度、交货计划等，在合同规定的时间内完成项目实施工作。</w:t>
      </w:r>
    </w:p>
    <w:p w14:paraId="7BB42ACB">
      <w:pPr>
        <w:ind w:firstLine="411" w:firstLineChars="196"/>
        <w:rPr>
          <w:rFonts w:hint="eastAsia" w:ascii="宋体" w:hAnsi="宋体"/>
        </w:rPr>
      </w:pPr>
      <w:r>
        <w:rPr>
          <w:rFonts w:hint="eastAsia" w:ascii="宋体" w:hAnsi="宋体"/>
        </w:rPr>
        <w:t>7.7  投标人必须承担的设备运输、安装调试、验收检测和提供设备操作说明书、图纸等其他相关及类似的义务。</w:t>
      </w:r>
    </w:p>
    <w:p w14:paraId="49DAB883">
      <w:pPr>
        <w:rPr>
          <w:rFonts w:hint="eastAsia" w:ascii="黑体" w:hAnsi="宋体" w:eastAsia="黑体"/>
          <w:sz w:val="24"/>
        </w:rPr>
      </w:pPr>
      <w:r>
        <w:rPr>
          <w:rFonts w:hint="eastAsia" w:ascii="黑体" w:hAnsi="宋体" w:eastAsia="黑体"/>
          <w:sz w:val="24"/>
        </w:rPr>
        <w:t>8．投标费用</w:t>
      </w:r>
    </w:p>
    <w:p w14:paraId="66E562B6">
      <w:pPr>
        <w:ind w:firstLine="411" w:firstLineChars="196"/>
        <w:rPr>
          <w:rFonts w:hint="eastAsia" w:ascii="宋体" w:hAnsi="宋体"/>
          <w:szCs w:val="21"/>
        </w:rPr>
      </w:pPr>
      <w:r>
        <w:rPr>
          <w:rFonts w:hint="eastAsia" w:ascii="宋体" w:hAnsi="宋体"/>
          <w:szCs w:val="21"/>
        </w:rPr>
        <w:t>不论投标结果如何，投标人应承担其编制投标文件与递交投标文件所涉及的一切费用。</w:t>
      </w:r>
    </w:p>
    <w:p w14:paraId="0908DA41">
      <w:pPr>
        <w:rPr>
          <w:rFonts w:hint="eastAsia" w:ascii="黑体" w:hAnsi="宋体" w:eastAsia="黑体"/>
          <w:sz w:val="24"/>
        </w:rPr>
      </w:pPr>
      <w:r>
        <w:rPr>
          <w:rFonts w:hint="eastAsia" w:ascii="黑体" w:hAnsi="宋体" w:eastAsia="黑体"/>
          <w:sz w:val="24"/>
        </w:rPr>
        <w:t>9．踏勘现场</w:t>
      </w:r>
    </w:p>
    <w:p w14:paraId="33A9A5F0">
      <w:pPr>
        <w:ind w:firstLine="411" w:firstLineChars="196"/>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0E4FB61E">
      <w:pPr>
        <w:ind w:firstLine="411" w:firstLineChars="196"/>
        <w:rPr>
          <w:rFonts w:hint="eastAsia"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230A4CC8">
      <w:pPr>
        <w:ind w:firstLine="411" w:firstLineChars="196"/>
        <w:rPr>
          <w:rFonts w:hint="eastAsia" w:ascii="宋体" w:hAnsi="宋体"/>
        </w:rPr>
      </w:pPr>
      <w:r>
        <w:rPr>
          <w:rFonts w:hint="eastAsia" w:ascii="宋体" w:hAnsi="宋体"/>
        </w:rPr>
        <w:t>9.3采购人应当通过政府集中采购机构向投标人提供有关现场的书面资料和数据。</w:t>
      </w:r>
    </w:p>
    <w:p w14:paraId="5D304AC1">
      <w:pPr>
        <w:ind w:firstLine="411" w:firstLineChars="196"/>
        <w:rPr>
          <w:rFonts w:hint="eastAsia"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14:paraId="20B0AD80">
      <w:pPr>
        <w:ind w:firstLine="411" w:firstLineChars="196"/>
        <w:rPr>
          <w:rFonts w:hint="eastAsia"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34FCC3BE">
      <w:pPr>
        <w:rPr>
          <w:rFonts w:hint="eastAsia"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5FEE2B5C">
      <w:pPr>
        <w:ind w:firstLine="411" w:firstLineChars="196"/>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4F02525F">
      <w:pPr>
        <w:ind w:firstLine="411" w:firstLineChars="196"/>
        <w:rPr>
          <w:rFonts w:hint="eastAsia"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14:paraId="271EDA35">
      <w:pPr>
        <w:ind w:firstLine="411" w:firstLineChars="196"/>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7"/>
    <w:p w14:paraId="65A5F8F8">
      <w:pPr>
        <w:ind w:firstLine="411" w:firstLineChars="196"/>
        <w:rPr>
          <w:rFonts w:hint="eastAsia" w:ascii="宋体" w:hAnsi="宋体"/>
        </w:rPr>
      </w:pPr>
    </w:p>
    <w:p w14:paraId="2B4D3A81">
      <w:pPr>
        <w:pStyle w:val="4"/>
        <w:numPr>
          <w:ilvl w:val="0"/>
          <w:numId w:val="28"/>
        </w:numPr>
        <w:spacing w:before="120" w:beforeLines="50" w:after="120" w:afterLines="50"/>
        <w:ind w:left="562" w:hanging="562"/>
        <w:rPr>
          <w:sz w:val="28"/>
          <w:szCs w:val="28"/>
        </w:rPr>
      </w:pPr>
      <w:r>
        <w:rPr>
          <w:rFonts w:hint="eastAsia"/>
          <w:sz w:val="28"/>
          <w:szCs w:val="28"/>
        </w:rPr>
        <w:t>招标文件</w:t>
      </w:r>
    </w:p>
    <w:p w14:paraId="4CCA3CBB">
      <w:pPr>
        <w:rPr>
          <w:rFonts w:hint="eastAsia"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89" w:name="_Hlk72399819"/>
      <w:r>
        <w:rPr>
          <w:rFonts w:hint="eastAsia" w:ascii="黑体" w:hAnsi="宋体" w:eastAsia="黑体"/>
          <w:sz w:val="24"/>
        </w:rPr>
        <w:t>招标文件的编制与组成</w:t>
      </w:r>
    </w:p>
    <w:p w14:paraId="0588B1EC">
      <w:pPr>
        <w:snapToGrid w:val="0"/>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681E51FF">
      <w:pPr>
        <w:ind w:firstLine="411" w:firstLineChars="196"/>
        <w:rPr>
          <w:rFonts w:hint="eastAsia" w:ascii="宋体" w:hAnsi="宋体"/>
          <w:szCs w:val="21"/>
        </w:rPr>
      </w:pPr>
      <w:r>
        <w:rPr>
          <w:rFonts w:hint="eastAsia" w:ascii="宋体" w:hAnsi="宋体"/>
          <w:szCs w:val="21"/>
        </w:rPr>
        <w:t>招标文件包括下列内容：</w:t>
      </w:r>
    </w:p>
    <w:p w14:paraId="6E3C845E">
      <w:pPr>
        <w:ind w:left="420" w:leftChars="200" w:firstLine="413" w:firstLineChars="196"/>
        <w:rPr>
          <w:rFonts w:hint="eastAsia" w:ascii="宋体" w:hAnsi="宋体"/>
          <w:b/>
          <w:szCs w:val="21"/>
        </w:rPr>
      </w:pPr>
      <w:r>
        <w:rPr>
          <w:rFonts w:hint="eastAsia" w:ascii="宋体" w:hAnsi="宋体"/>
          <w:b/>
          <w:szCs w:val="21"/>
        </w:rPr>
        <w:t>第一册  专用条款</w:t>
      </w:r>
    </w:p>
    <w:p w14:paraId="22AEF719">
      <w:pPr>
        <w:ind w:left="1079" w:leftChars="514"/>
        <w:rPr>
          <w:rFonts w:hint="eastAsia" w:ascii="宋体" w:hAnsi="宋体"/>
          <w:b/>
          <w:szCs w:val="21"/>
        </w:rPr>
      </w:pPr>
      <w:r>
        <w:rPr>
          <w:rFonts w:hint="eastAsia" w:ascii="宋体" w:hAnsi="宋体"/>
          <w:b/>
          <w:szCs w:val="21"/>
        </w:rPr>
        <w:t>关键信息</w:t>
      </w:r>
    </w:p>
    <w:p w14:paraId="2D4A31C1">
      <w:pPr>
        <w:ind w:left="630" w:leftChars="300" w:firstLine="411" w:firstLineChars="196"/>
        <w:rPr>
          <w:rFonts w:hint="eastAsia" w:ascii="宋体" w:hAnsi="宋体"/>
          <w:szCs w:val="21"/>
        </w:rPr>
      </w:pPr>
      <w:r>
        <w:rPr>
          <w:rFonts w:hint="eastAsia" w:ascii="宋体" w:hAnsi="宋体"/>
          <w:szCs w:val="21"/>
        </w:rPr>
        <w:t>第一章  招标公告</w:t>
      </w:r>
    </w:p>
    <w:p w14:paraId="12639162">
      <w:pPr>
        <w:ind w:left="630" w:leftChars="300" w:firstLine="411" w:firstLineChars="196"/>
        <w:rPr>
          <w:rFonts w:hint="eastAsia" w:ascii="宋体" w:hAnsi="宋体"/>
          <w:szCs w:val="21"/>
        </w:rPr>
      </w:pPr>
      <w:r>
        <w:rPr>
          <w:rFonts w:hint="eastAsia" w:ascii="宋体" w:hAnsi="宋体"/>
          <w:szCs w:val="21"/>
        </w:rPr>
        <w:t>第二章  对通用条款的补充内容及其他关键信息</w:t>
      </w:r>
    </w:p>
    <w:p w14:paraId="10CD0F08">
      <w:pPr>
        <w:ind w:left="630" w:leftChars="300" w:firstLine="411" w:firstLineChars="196"/>
        <w:rPr>
          <w:rFonts w:hint="eastAsia" w:ascii="宋体" w:hAnsi="宋体"/>
          <w:szCs w:val="21"/>
        </w:rPr>
      </w:pPr>
      <w:r>
        <w:rPr>
          <w:rFonts w:hint="eastAsia" w:ascii="宋体" w:hAnsi="宋体"/>
          <w:szCs w:val="21"/>
        </w:rPr>
        <w:t>第三章  用户需求书</w:t>
      </w:r>
    </w:p>
    <w:p w14:paraId="25C662C0">
      <w:pPr>
        <w:ind w:left="630" w:leftChars="300" w:firstLine="411" w:firstLineChars="196"/>
        <w:rPr>
          <w:rFonts w:hint="eastAsia" w:ascii="宋体" w:hAnsi="宋体"/>
          <w:szCs w:val="21"/>
        </w:rPr>
      </w:pPr>
      <w:r>
        <w:rPr>
          <w:rFonts w:hint="eastAsia" w:ascii="宋体" w:hAnsi="宋体"/>
          <w:szCs w:val="21"/>
        </w:rPr>
        <w:t>第四章  投标文件组成要求及格式</w:t>
      </w:r>
    </w:p>
    <w:p w14:paraId="46C7261C">
      <w:pPr>
        <w:ind w:left="630" w:leftChars="300" w:firstLine="411" w:firstLineChars="196"/>
        <w:rPr>
          <w:rFonts w:hint="eastAsia" w:ascii="宋体" w:hAnsi="宋体"/>
          <w:szCs w:val="21"/>
        </w:rPr>
      </w:pPr>
      <w:r>
        <w:rPr>
          <w:rFonts w:hint="eastAsia" w:ascii="宋体" w:hAnsi="宋体"/>
          <w:szCs w:val="21"/>
        </w:rPr>
        <w:t>第五章  合同条款及格式</w:t>
      </w:r>
    </w:p>
    <w:p w14:paraId="610DC926">
      <w:pPr>
        <w:ind w:left="420" w:leftChars="200" w:firstLine="413" w:firstLineChars="196"/>
        <w:rPr>
          <w:rFonts w:hint="eastAsia" w:ascii="宋体" w:hAnsi="宋体"/>
          <w:b/>
          <w:szCs w:val="21"/>
        </w:rPr>
      </w:pPr>
      <w:r>
        <w:rPr>
          <w:rFonts w:hint="eastAsia" w:ascii="宋体" w:hAnsi="宋体"/>
          <w:b/>
          <w:szCs w:val="21"/>
        </w:rPr>
        <w:t>第二册  通用条款</w:t>
      </w:r>
    </w:p>
    <w:p w14:paraId="68EAB3DC">
      <w:pPr>
        <w:ind w:left="630" w:leftChars="300" w:firstLine="411" w:firstLineChars="196"/>
        <w:rPr>
          <w:rFonts w:hint="eastAsia" w:ascii="宋体" w:hAnsi="宋体"/>
          <w:szCs w:val="21"/>
        </w:rPr>
      </w:pPr>
      <w:r>
        <w:rPr>
          <w:rFonts w:hint="eastAsia" w:ascii="宋体" w:hAnsi="宋体"/>
          <w:szCs w:val="21"/>
        </w:rPr>
        <w:t>第一章  总则</w:t>
      </w:r>
    </w:p>
    <w:p w14:paraId="0F02DED5">
      <w:pPr>
        <w:ind w:left="630" w:leftChars="300" w:firstLine="411" w:firstLineChars="196"/>
        <w:rPr>
          <w:rFonts w:hint="eastAsia" w:ascii="宋体" w:hAnsi="宋体"/>
          <w:szCs w:val="21"/>
        </w:rPr>
      </w:pPr>
      <w:r>
        <w:rPr>
          <w:rFonts w:hint="eastAsia" w:ascii="宋体" w:hAnsi="宋体"/>
          <w:szCs w:val="21"/>
        </w:rPr>
        <w:t>第二章  招标文件</w:t>
      </w:r>
    </w:p>
    <w:p w14:paraId="7C2B5808">
      <w:pPr>
        <w:ind w:left="630" w:leftChars="300" w:firstLine="411" w:firstLineChars="196"/>
        <w:rPr>
          <w:rFonts w:hint="eastAsia" w:ascii="宋体" w:hAnsi="宋体"/>
          <w:szCs w:val="21"/>
        </w:rPr>
      </w:pPr>
      <w:r>
        <w:rPr>
          <w:rFonts w:hint="eastAsia" w:ascii="宋体" w:hAnsi="宋体"/>
          <w:szCs w:val="21"/>
        </w:rPr>
        <w:t>第三章  投标文件的编制</w:t>
      </w:r>
    </w:p>
    <w:p w14:paraId="25DD3620">
      <w:pPr>
        <w:ind w:left="630" w:leftChars="300" w:firstLine="411" w:firstLineChars="196"/>
        <w:rPr>
          <w:rFonts w:hint="eastAsia" w:ascii="宋体" w:hAnsi="宋体"/>
          <w:szCs w:val="21"/>
        </w:rPr>
      </w:pPr>
      <w:r>
        <w:rPr>
          <w:rFonts w:hint="eastAsia" w:ascii="宋体" w:hAnsi="宋体"/>
          <w:szCs w:val="21"/>
        </w:rPr>
        <w:t>第四章  投标文件的递交</w:t>
      </w:r>
    </w:p>
    <w:p w14:paraId="32722FFC">
      <w:pPr>
        <w:ind w:left="630" w:leftChars="300" w:firstLine="411" w:firstLineChars="196"/>
        <w:rPr>
          <w:rFonts w:hint="eastAsia" w:ascii="宋体" w:hAnsi="宋体"/>
          <w:szCs w:val="21"/>
        </w:rPr>
      </w:pPr>
      <w:r>
        <w:rPr>
          <w:rFonts w:hint="eastAsia" w:ascii="宋体" w:hAnsi="宋体"/>
          <w:szCs w:val="21"/>
        </w:rPr>
        <w:t>第五章  开标</w:t>
      </w:r>
    </w:p>
    <w:p w14:paraId="61A79F86">
      <w:pPr>
        <w:ind w:left="630" w:leftChars="300" w:firstLine="411" w:firstLineChars="196"/>
        <w:rPr>
          <w:rFonts w:hint="eastAsia" w:ascii="宋体" w:hAnsi="宋体"/>
          <w:szCs w:val="21"/>
        </w:rPr>
      </w:pPr>
      <w:r>
        <w:rPr>
          <w:rFonts w:hint="eastAsia" w:ascii="宋体" w:hAnsi="宋体"/>
          <w:szCs w:val="21"/>
        </w:rPr>
        <w:t>第六章  评审要求</w:t>
      </w:r>
    </w:p>
    <w:p w14:paraId="769FD4BB">
      <w:pPr>
        <w:ind w:left="630" w:leftChars="300" w:firstLine="411" w:firstLineChars="196"/>
        <w:rPr>
          <w:rFonts w:hint="eastAsia" w:ascii="宋体" w:hAnsi="宋体"/>
          <w:szCs w:val="21"/>
        </w:rPr>
      </w:pPr>
      <w:r>
        <w:rPr>
          <w:rFonts w:hint="eastAsia" w:ascii="宋体" w:hAnsi="宋体"/>
          <w:szCs w:val="21"/>
        </w:rPr>
        <w:t>第七章  评审程序及评审方法</w:t>
      </w:r>
    </w:p>
    <w:p w14:paraId="6CB11034">
      <w:pPr>
        <w:ind w:left="630" w:leftChars="300" w:firstLine="411" w:firstLineChars="196"/>
        <w:rPr>
          <w:rFonts w:hint="eastAsia" w:ascii="宋体" w:hAnsi="宋体"/>
          <w:szCs w:val="21"/>
        </w:rPr>
      </w:pPr>
      <w:r>
        <w:rPr>
          <w:rFonts w:hint="eastAsia" w:ascii="宋体" w:hAnsi="宋体"/>
          <w:szCs w:val="21"/>
        </w:rPr>
        <w:t>第八章  定标及公示</w:t>
      </w:r>
    </w:p>
    <w:p w14:paraId="5FC787E9">
      <w:pPr>
        <w:ind w:left="630" w:leftChars="300" w:firstLine="411" w:firstLineChars="196"/>
        <w:rPr>
          <w:rFonts w:hint="eastAsia" w:ascii="宋体" w:hAnsi="宋体"/>
          <w:szCs w:val="21"/>
        </w:rPr>
      </w:pPr>
      <w:r>
        <w:rPr>
          <w:rFonts w:hint="eastAsia" w:ascii="宋体" w:hAnsi="宋体"/>
          <w:szCs w:val="21"/>
        </w:rPr>
        <w:t>第九章  公开招标失败的后续处理</w:t>
      </w:r>
    </w:p>
    <w:p w14:paraId="04B5DA94">
      <w:pPr>
        <w:ind w:left="630" w:leftChars="300" w:firstLine="411" w:firstLineChars="196"/>
        <w:rPr>
          <w:rFonts w:hint="eastAsia" w:ascii="宋体" w:hAnsi="宋体"/>
          <w:szCs w:val="21"/>
        </w:rPr>
      </w:pPr>
      <w:r>
        <w:rPr>
          <w:rFonts w:hint="eastAsia" w:ascii="宋体" w:hAnsi="宋体"/>
          <w:szCs w:val="21"/>
        </w:rPr>
        <w:t>第十章  合同的授予与备案</w:t>
      </w:r>
    </w:p>
    <w:p w14:paraId="4F8F0694">
      <w:pPr>
        <w:ind w:left="630" w:leftChars="300" w:firstLine="411" w:firstLineChars="196"/>
        <w:rPr>
          <w:rFonts w:hint="eastAsia" w:ascii="宋体" w:hAnsi="宋体"/>
          <w:szCs w:val="21"/>
        </w:rPr>
      </w:pPr>
      <w:r>
        <w:rPr>
          <w:rFonts w:hint="eastAsia" w:ascii="宋体" w:hAnsi="宋体"/>
          <w:szCs w:val="21"/>
        </w:rPr>
        <w:t>第十一章  质疑处理</w:t>
      </w:r>
    </w:p>
    <w:p w14:paraId="3CFC390D">
      <w:pPr>
        <w:ind w:firstLine="411" w:firstLineChars="196"/>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33258708">
      <w:pPr>
        <w:ind w:firstLine="411" w:firstLineChars="196"/>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1BA198B">
      <w:pPr>
        <w:ind w:firstLine="411" w:firstLineChars="196"/>
        <w:rPr>
          <w:rFonts w:hint="eastAsia" w:ascii="宋体" w:hAnsi="宋体"/>
        </w:rPr>
      </w:pPr>
      <w:r>
        <w:rPr>
          <w:rFonts w:hint="eastAsia" w:ascii="宋体" w:hAnsi="宋体"/>
        </w:rPr>
        <w:t>11.4招标文件所称“原件备查”，是指在项目产生质疑、投诉等阶段，主管部门、采购人、代理机构、评审委员会等可以要求供应商提供原件进行核查。</w:t>
      </w:r>
    </w:p>
    <w:p w14:paraId="1B72C8F5">
      <w:pPr>
        <w:rPr>
          <w:rFonts w:hint="eastAsia" w:ascii="黑体" w:hAnsi="宋体" w:eastAsia="黑体"/>
          <w:sz w:val="24"/>
        </w:rPr>
      </w:pPr>
    </w:p>
    <w:p w14:paraId="1D942238">
      <w:pPr>
        <w:rPr>
          <w:rFonts w:hint="eastAsia"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56F16F32">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0743BB7E">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4C7C7A95">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5E778D9A">
      <w:pPr>
        <w:rPr>
          <w:rFonts w:hint="eastAsia"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2B80473B">
      <w:pPr>
        <w:ind w:firstLine="411" w:firstLineChars="196"/>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33966B1">
      <w:pPr>
        <w:ind w:firstLine="411" w:firstLineChars="196"/>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7C258058">
      <w:pPr>
        <w:ind w:firstLine="411" w:firstLineChars="196"/>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45B9AD79">
      <w:pPr>
        <w:ind w:firstLine="411" w:firstLineChars="196"/>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9"/>
    </w:p>
    <w:p w14:paraId="7F40DE62">
      <w:pPr>
        <w:rPr>
          <w:rFonts w:hint="eastAsia" w:ascii="宋体" w:hAnsi="宋体"/>
          <w:szCs w:val="21"/>
        </w:rPr>
      </w:pPr>
    </w:p>
    <w:p w14:paraId="76A05739">
      <w:pPr>
        <w:pStyle w:val="4"/>
        <w:numPr>
          <w:ilvl w:val="0"/>
          <w:numId w:val="28"/>
        </w:numPr>
        <w:spacing w:before="120" w:beforeLines="50" w:after="120" w:afterLines="50"/>
        <w:ind w:left="562" w:hanging="562"/>
        <w:rPr>
          <w:sz w:val="28"/>
          <w:szCs w:val="28"/>
        </w:rPr>
      </w:pPr>
      <w:r>
        <w:rPr>
          <w:rFonts w:hint="eastAsia"/>
          <w:sz w:val="28"/>
          <w:szCs w:val="28"/>
        </w:rPr>
        <w:t>投标文件的编制</w:t>
      </w:r>
    </w:p>
    <w:p w14:paraId="003F2F34">
      <w:pPr>
        <w:rPr>
          <w:rFonts w:hint="eastAsia" w:ascii="黑体" w:hAnsi="宋体" w:eastAsia="黑体"/>
          <w:sz w:val="24"/>
        </w:rPr>
      </w:pPr>
      <w:r>
        <w:rPr>
          <w:rFonts w:hint="eastAsia" w:ascii="黑体" w:hAnsi="宋体" w:eastAsia="黑体"/>
          <w:sz w:val="24"/>
        </w:rPr>
        <w:t>14．</w:t>
      </w:r>
      <w:bookmarkStart w:id="90" w:name="_Hlk72400236"/>
      <w:r>
        <w:rPr>
          <w:rFonts w:hint="eastAsia" w:ascii="黑体" w:hAnsi="宋体" w:eastAsia="黑体"/>
          <w:sz w:val="24"/>
        </w:rPr>
        <w:t>投标文件的语言及度量单位</w:t>
      </w:r>
    </w:p>
    <w:p w14:paraId="13029D5C">
      <w:pPr>
        <w:ind w:firstLine="411" w:firstLineChars="196"/>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665B8021">
      <w:pPr>
        <w:ind w:firstLine="411" w:firstLineChars="196"/>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90"/>
    <w:p w14:paraId="5F4F528D">
      <w:pPr>
        <w:rPr>
          <w:rFonts w:hint="eastAsia" w:ascii="黑体" w:hAnsi="宋体" w:eastAsia="黑体"/>
          <w:sz w:val="24"/>
        </w:rPr>
      </w:pPr>
      <w:r>
        <w:rPr>
          <w:rFonts w:hint="eastAsia" w:ascii="黑体" w:hAnsi="宋体" w:eastAsia="黑体"/>
          <w:sz w:val="24"/>
        </w:rPr>
        <w:t>15．</w:t>
      </w:r>
      <w:bookmarkStart w:id="91" w:name="_Hlk72401567"/>
      <w:r>
        <w:rPr>
          <w:rFonts w:hint="eastAsia" w:ascii="黑体" w:hAnsi="宋体" w:eastAsia="黑体"/>
          <w:sz w:val="24"/>
        </w:rPr>
        <w:t>投标文件的组成</w:t>
      </w:r>
    </w:p>
    <w:p w14:paraId="011ED21A">
      <w:pPr>
        <w:ind w:firstLine="411" w:firstLineChars="196"/>
        <w:rPr>
          <w:rFonts w:hint="eastAsia" w:ascii="宋体" w:hAnsi="宋体"/>
          <w:szCs w:val="21"/>
        </w:rPr>
      </w:pPr>
      <w:r>
        <w:rPr>
          <w:rFonts w:hint="eastAsia" w:ascii="宋体" w:hAnsi="宋体"/>
          <w:szCs w:val="21"/>
        </w:rPr>
        <w:t>具体内容在招标文件专用条款中进行规定。</w:t>
      </w:r>
    </w:p>
    <w:p w14:paraId="166EF1FC">
      <w:pPr>
        <w:rPr>
          <w:rFonts w:hint="eastAsia" w:ascii="黑体" w:hAnsi="宋体" w:eastAsia="黑体"/>
          <w:sz w:val="24"/>
        </w:rPr>
      </w:pPr>
      <w:r>
        <w:rPr>
          <w:rFonts w:ascii="黑体" w:hAnsi="宋体" w:eastAsia="黑体"/>
          <w:sz w:val="24"/>
        </w:rPr>
        <w:t>16．投标文件格式</w:t>
      </w:r>
    </w:p>
    <w:p w14:paraId="39460F6A">
      <w:pPr>
        <w:ind w:firstLine="411" w:firstLineChars="196"/>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4FCA23B2">
      <w:pPr>
        <w:rPr>
          <w:rFonts w:hint="eastAsia" w:ascii="黑体" w:hAnsi="宋体" w:eastAsia="黑体"/>
          <w:sz w:val="24"/>
        </w:rPr>
      </w:pPr>
      <w:r>
        <w:rPr>
          <w:rFonts w:hint="eastAsia" w:ascii="黑体" w:hAnsi="宋体" w:eastAsia="黑体"/>
          <w:sz w:val="24"/>
        </w:rPr>
        <w:t>17．投标货币</w:t>
      </w:r>
    </w:p>
    <w:p w14:paraId="18C83F14">
      <w:pPr>
        <w:ind w:firstLine="411" w:firstLineChars="196"/>
        <w:rPr>
          <w:rFonts w:hint="eastAsia" w:ascii="宋体" w:hAnsi="宋体"/>
          <w:szCs w:val="21"/>
        </w:rPr>
      </w:pPr>
      <w:r>
        <w:rPr>
          <w:rFonts w:hint="eastAsia" w:ascii="宋体" w:hAnsi="宋体"/>
          <w:szCs w:val="21"/>
        </w:rPr>
        <w:t>本项目的投标报价应以人民币计。</w:t>
      </w:r>
    </w:p>
    <w:bookmarkEnd w:id="91"/>
    <w:p w14:paraId="5528ACD1">
      <w:pPr>
        <w:rPr>
          <w:rFonts w:hint="eastAsia" w:ascii="黑体" w:hAnsi="宋体" w:eastAsia="黑体"/>
          <w:sz w:val="24"/>
        </w:rPr>
      </w:pPr>
      <w:r>
        <w:rPr>
          <w:rFonts w:hint="eastAsia" w:ascii="黑体" w:hAnsi="宋体" w:eastAsia="黑体"/>
          <w:sz w:val="24"/>
        </w:rPr>
        <w:t>18．</w:t>
      </w:r>
      <w:bookmarkStart w:id="92" w:name="_Hlk72401735"/>
      <w:r>
        <w:rPr>
          <w:rFonts w:hint="eastAsia" w:ascii="黑体" w:hAnsi="宋体" w:eastAsia="黑体"/>
          <w:sz w:val="24"/>
        </w:rPr>
        <w:t>证明投标文件投标技术方案的合格性和符合招标文件规定的文件要求</w:t>
      </w:r>
    </w:p>
    <w:p w14:paraId="147AC3DE">
      <w:pPr>
        <w:ind w:firstLine="411" w:firstLineChars="196"/>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44B8CB61">
      <w:pPr>
        <w:ind w:firstLine="411" w:firstLineChars="196"/>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005F16C4">
      <w:pPr>
        <w:ind w:firstLine="411" w:firstLineChars="196"/>
        <w:rPr>
          <w:rFonts w:hint="eastAsia" w:ascii="宋体" w:hAnsi="宋体"/>
          <w:szCs w:val="21"/>
        </w:rPr>
      </w:pPr>
      <w:r>
        <w:rPr>
          <w:rFonts w:hint="eastAsia" w:ascii="宋体" w:hAnsi="宋体"/>
          <w:szCs w:val="21"/>
        </w:rPr>
        <w:t>18.2.1主要技术指标和性能的详细说明。</w:t>
      </w:r>
    </w:p>
    <w:p w14:paraId="5AF91E77">
      <w:pPr>
        <w:ind w:firstLine="411" w:firstLineChars="196"/>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22129D17">
      <w:pPr>
        <w:ind w:firstLine="411" w:firstLineChars="196"/>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3F2145C2">
      <w:pPr>
        <w:ind w:firstLine="411" w:firstLineChars="196"/>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7A7E0B79">
      <w:pPr>
        <w:ind w:firstLine="411" w:firstLineChars="196"/>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508B25A8">
      <w:pPr>
        <w:ind w:firstLine="411" w:firstLineChars="196"/>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05306BE3">
      <w:pPr>
        <w:ind w:firstLine="411" w:firstLineChars="196"/>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2DA78C61">
      <w:pPr>
        <w:ind w:firstLine="411" w:firstLineChars="196"/>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92"/>
    <w:p w14:paraId="0FC11F76">
      <w:pPr>
        <w:rPr>
          <w:rFonts w:hint="eastAsia" w:ascii="黑体" w:hAnsi="宋体" w:eastAsia="黑体"/>
          <w:sz w:val="24"/>
        </w:rPr>
      </w:pPr>
      <w:r>
        <w:rPr>
          <w:rFonts w:hint="eastAsia" w:ascii="黑体" w:hAnsi="宋体" w:eastAsia="黑体"/>
          <w:sz w:val="24"/>
        </w:rPr>
        <w:t>19．</w:t>
      </w:r>
      <w:bookmarkStart w:id="93" w:name="_Hlk72402034"/>
      <w:r>
        <w:rPr>
          <w:rFonts w:hint="eastAsia" w:ascii="黑体" w:hAnsi="宋体" w:eastAsia="黑体"/>
          <w:sz w:val="24"/>
        </w:rPr>
        <w:t>投标文件其他证明文件的要求</w:t>
      </w:r>
    </w:p>
    <w:p w14:paraId="7EE0AA82">
      <w:pPr>
        <w:rPr>
          <w:rFonts w:hint="eastAsia" w:ascii="宋体" w:hAnsi="宋体"/>
          <w:color w:val="FF0000"/>
          <w:szCs w:val="21"/>
        </w:rPr>
      </w:pPr>
      <w:r>
        <w:rPr>
          <w:rFonts w:hint="eastAsia" w:ascii="黑体" w:hAnsi="宋体" w:eastAsia="黑体"/>
          <w:sz w:val="24"/>
        </w:rPr>
        <w:t xml:space="preserve"> </w:t>
      </w:r>
      <w:bookmarkStart w:id="94" w:name="_Hlk71407299"/>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采购人、代理机构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4"/>
    <w:p w14:paraId="0BFA49B8">
      <w:pPr>
        <w:ind w:firstLine="411" w:firstLineChars="196"/>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1BEAE180">
      <w:pPr>
        <w:rPr>
          <w:rFonts w:hint="eastAsia" w:ascii="黑体" w:hAnsi="宋体" w:eastAsia="黑体"/>
          <w:sz w:val="24"/>
        </w:rPr>
      </w:pPr>
      <w:r>
        <w:rPr>
          <w:rFonts w:hint="eastAsia" w:ascii="黑体" w:hAnsi="宋体" w:eastAsia="黑体"/>
          <w:sz w:val="24"/>
        </w:rPr>
        <w:t>20．投标有效期</w:t>
      </w:r>
    </w:p>
    <w:bookmarkEnd w:id="93"/>
    <w:p w14:paraId="1CD9B42F">
      <w:pPr>
        <w:ind w:firstLine="411" w:firstLineChars="196"/>
        <w:rPr>
          <w:rFonts w:hint="eastAsia" w:ascii="宋体" w:hAnsi="宋体"/>
          <w:szCs w:val="21"/>
        </w:rPr>
      </w:pPr>
      <w:bookmarkStart w:id="95"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66E229E4">
      <w:pPr>
        <w:ind w:firstLine="411" w:firstLineChars="196"/>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0D6E0039">
      <w:pPr>
        <w:ind w:firstLine="411" w:firstLineChars="196"/>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5"/>
    <w:p w14:paraId="500B4FDD">
      <w:pPr>
        <w:rPr>
          <w:rFonts w:hint="eastAsia" w:ascii="黑体" w:hAnsi="宋体" w:eastAsia="黑体"/>
          <w:sz w:val="24"/>
        </w:rPr>
      </w:pPr>
      <w:r>
        <w:rPr>
          <w:rFonts w:hint="eastAsia" w:ascii="黑体" w:hAnsi="宋体" w:eastAsia="黑体"/>
          <w:sz w:val="24"/>
        </w:rPr>
        <w:t>21．</w:t>
      </w:r>
      <w:bookmarkStart w:id="96" w:name="_Hlk72402325"/>
      <w:r>
        <w:rPr>
          <w:rFonts w:hint="eastAsia" w:ascii="黑体" w:hAnsi="宋体" w:eastAsia="黑体"/>
          <w:sz w:val="24"/>
        </w:rPr>
        <w:t xml:space="preserve">关于投标保证金 </w:t>
      </w:r>
    </w:p>
    <w:p w14:paraId="5D03C439">
      <w:pPr>
        <w:rPr>
          <w:rFonts w:hint="eastAsia"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14:paraId="748BB0F8">
      <w:pPr>
        <w:rPr>
          <w:rFonts w:hint="eastAsia" w:ascii="黑体" w:hAnsi="宋体" w:eastAsia="黑体"/>
          <w:sz w:val="24"/>
        </w:rPr>
      </w:pPr>
      <w:r>
        <w:rPr>
          <w:rFonts w:hint="eastAsia" w:ascii="黑体" w:hAnsi="宋体" w:eastAsia="黑体"/>
          <w:sz w:val="24"/>
        </w:rPr>
        <w:t>22．投标人的替代方案</w:t>
      </w:r>
    </w:p>
    <w:p w14:paraId="2E111A5F">
      <w:pPr>
        <w:ind w:firstLine="411" w:firstLineChars="196"/>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612D8726">
      <w:pPr>
        <w:ind w:firstLine="411" w:firstLineChars="196"/>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6"/>
    <w:p w14:paraId="2AA6B870">
      <w:pPr>
        <w:rPr>
          <w:rFonts w:hint="eastAsia" w:ascii="黑体" w:hAnsi="宋体" w:eastAsia="黑体"/>
          <w:sz w:val="24"/>
        </w:rPr>
      </w:pPr>
      <w:r>
        <w:rPr>
          <w:rFonts w:hint="eastAsia" w:ascii="黑体" w:hAnsi="宋体" w:eastAsia="黑体"/>
          <w:sz w:val="24"/>
        </w:rPr>
        <w:t>23．</w:t>
      </w:r>
      <w:bookmarkStart w:id="97"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58FE6F49">
      <w:pPr>
        <w:ind w:firstLine="411" w:firstLineChars="196"/>
        <w:rPr>
          <w:rFonts w:hint="eastAsia" w:ascii="宋体" w:hAnsi="宋体"/>
        </w:rPr>
      </w:pPr>
      <w:r>
        <w:rPr>
          <w:rFonts w:hint="eastAsia" w:ascii="宋体" w:hAnsi="宋体"/>
        </w:rPr>
        <w:t>23.1投标人应准备所投项目的电子投标文件一份。此电子投标文件须由投标人根据政府集中采购机构提供的后缀名为.</w:t>
      </w:r>
      <w:r>
        <w:t xml:space="preserve"> </w:t>
      </w:r>
      <w:r>
        <w:rPr>
          <w:rFonts w:ascii="宋体" w:hAnsi="宋体"/>
        </w:rPr>
        <w:t>szczf</w:t>
      </w:r>
      <w:r>
        <w:rPr>
          <w:rFonts w:hint="eastAsia" w:ascii="宋体" w:hAnsi="宋体"/>
        </w:rPr>
        <w:t>的电子招标文件，下载并使用相应的深圳智慧采购平台投标文件制作专用软件打开招标文件（.szczf格式）【下载地址：</w:t>
      </w:r>
      <w:r>
        <w:rPr>
          <w:rFonts w:ascii="宋体" w:hAnsi="宋体"/>
        </w:rPr>
        <w:t>http://zfcg.szggzy.com:8081/cgxy/013002/list.html</w:t>
      </w:r>
      <w:r>
        <w:rPr>
          <w:rFonts w:hint="eastAsia" w:ascii="宋体" w:hAnsi="宋体"/>
        </w:rPr>
        <w:t>】。</w:t>
      </w:r>
    </w:p>
    <w:p w14:paraId="3400321D">
      <w:pPr>
        <w:ind w:firstLine="411" w:firstLineChars="196"/>
        <w:rPr>
          <w:rFonts w:hint="eastAsia" w:ascii="宋体" w:hAnsi="宋体"/>
        </w:rPr>
      </w:pPr>
      <w:r>
        <w:rPr>
          <w:rFonts w:hint="eastAsia" w:ascii="宋体" w:hAnsi="宋体"/>
        </w:rPr>
        <w:t>23.2投标人在使用《投标书编制软件》编制投标书时须注意：</w:t>
      </w:r>
    </w:p>
    <w:p w14:paraId="068F6046">
      <w:pPr>
        <w:ind w:firstLine="411" w:firstLineChars="196"/>
        <w:rPr>
          <w:rFonts w:hint="eastAsia"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456D19D2">
      <w:pPr>
        <w:ind w:firstLine="411" w:firstLineChars="196"/>
        <w:rPr>
          <w:rFonts w:hint="eastAsia" w:ascii="宋体" w:hAnsi="宋体"/>
        </w:rPr>
      </w:pPr>
      <w:r>
        <w:rPr>
          <w:rFonts w:hint="eastAsia" w:ascii="宋体" w:hAnsi="宋体"/>
        </w:rPr>
        <w:t>23.2.2不能用非本公司的电子密钥加密本公司的投标文件，或者用其它公司的登录用户上传本公司的投标文件。</w:t>
      </w:r>
    </w:p>
    <w:p w14:paraId="05847691">
      <w:pPr>
        <w:ind w:firstLine="411" w:firstLineChars="196"/>
        <w:rPr>
          <w:rFonts w:hint="eastAsia" w:ascii="宋体" w:hAnsi="宋体"/>
        </w:rPr>
      </w:pPr>
      <w:r>
        <w:rPr>
          <w:rFonts w:hint="eastAsia" w:ascii="宋体" w:hAnsi="宋体"/>
        </w:rPr>
        <w:t>23.2.3要求用《投标书编制软件》编制投标书的包，不能用其它方式编制投标书。编制投标文件时，电脑须连通互联网。</w:t>
      </w:r>
    </w:p>
    <w:p w14:paraId="45C55405">
      <w:pPr>
        <w:ind w:firstLine="411" w:firstLineChars="196"/>
        <w:rPr>
          <w:rFonts w:hint="eastAsia"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3E351843">
      <w:pPr>
        <w:ind w:firstLine="411" w:firstLineChars="196"/>
        <w:rPr>
          <w:rFonts w:hint="eastAsia" w:ascii="宋体" w:hAnsi="宋体"/>
        </w:rPr>
      </w:pPr>
      <w:r>
        <w:rPr>
          <w:rFonts w:hint="eastAsia" w:ascii="宋体" w:hAnsi="宋体"/>
        </w:rPr>
        <w:t>23.2.5完整填写“投标关键信息”，如下图所示：</w:t>
      </w:r>
    </w:p>
    <w:p w14:paraId="15F09104">
      <w:pPr>
        <w:ind w:firstLine="411" w:firstLineChars="196"/>
        <w:rPr>
          <w:rFonts w:hint="eastAsia" w:ascii="宋体" w:hAnsi="宋体"/>
        </w:rPr>
      </w:pPr>
      <w:r>
        <w:rPr>
          <w:rFonts w:ascii="宋体" w:hAnsi="宋体"/>
        </w:rPr>
        <w:drawing>
          <wp:inline distT="0" distB="0" distL="0" distR="0">
            <wp:extent cx="5278755" cy="2721610"/>
            <wp:effectExtent l="0" t="0" r="0" b="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48F815A7">
      <w:pPr>
        <w:ind w:firstLine="413" w:firstLineChars="196"/>
        <w:rPr>
          <w:rFonts w:hint="eastAsia" w:ascii="宋体" w:hAnsi="宋体"/>
          <w:b/>
        </w:rPr>
      </w:pPr>
      <w:r>
        <w:rPr>
          <w:rFonts w:hint="eastAsia" w:ascii="宋体" w:hAnsi="宋体"/>
          <w:b/>
        </w:rPr>
        <w:t>备注：上述“开标一览表”中的“投标报价”将作为价格分计算依据；其它信息仅是对投标文件相关内容的概括性表述，不作为评审依据。</w:t>
      </w:r>
    </w:p>
    <w:p w14:paraId="70638148">
      <w:pPr>
        <w:ind w:firstLine="411" w:firstLineChars="196"/>
        <w:rPr>
          <w:rFonts w:hint="eastAsia"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34638A4A">
      <w:pPr>
        <w:ind w:firstLine="411" w:firstLineChars="196"/>
        <w:rPr>
          <w:rFonts w:hint="eastAsia" w:ascii="宋体" w:hAnsi="宋体"/>
        </w:rPr>
      </w:pPr>
      <w:r>
        <w:rPr>
          <w:rFonts w:hint="eastAsia" w:ascii="宋体" w:hAnsi="宋体"/>
        </w:rPr>
        <w:t>23.2.7投标文件编写完成后，</w:t>
      </w:r>
      <w:r>
        <w:rPr>
          <w:rFonts w:hint="eastAsia" w:ascii="宋体" w:hAnsi="宋体"/>
          <w:b/>
        </w:rPr>
        <w:t>必须用属于投标人的电子密钥或电子营业执照进行加密，否则视同未盖公章，将导致投标文件无效。</w:t>
      </w:r>
    </w:p>
    <w:p w14:paraId="69BCF858">
      <w:pPr>
        <w:ind w:firstLine="411" w:firstLineChars="196"/>
        <w:rPr>
          <w:rFonts w:hint="eastAsia"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11904268">
      <w:pPr>
        <w:ind w:firstLine="411" w:firstLineChars="196"/>
        <w:rPr>
          <w:rFonts w:hint="eastAsia"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66503B9D">
      <w:pPr>
        <w:ind w:firstLine="411" w:firstLineChars="196"/>
        <w:rPr>
          <w:rFonts w:hint="eastAsia" w:ascii="宋体" w:hAnsi="宋体"/>
        </w:rPr>
      </w:pPr>
      <w:r>
        <w:rPr>
          <w:rFonts w:hint="eastAsia" w:ascii="宋体" w:hAnsi="宋体"/>
        </w:rPr>
        <w:t>23.3电报、电话、传真形式的投标概不接受。</w:t>
      </w:r>
    </w:p>
    <w:p w14:paraId="2F0BD9D7">
      <w:pPr>
        <w:ind w:firstLine="413" w:firstLineChars="196"/>
        <w:rPr>
          <w:rFonts w:hint="eastAsia" w:ascii="宋体" w:hAnsi="宋体"/>
          <w:b/>
        </w:rPr>
      </w:pPr>
      <w:r>
        <w:rPr>
          <w:rFonts w:hint="eastAsia" w:ascii="宋体" w:hAnsi="宋体"/>
          <w:b/>
        </w:rPr>
        <w:t>23.4经投标人电子密钥或电子营业执照加密的投标文件无须盖章或签字，</w:t>
      </w:r>
      <w:r>
        <w:rPr>
          <w:rFonts w:hint="eastAsia" w:ascii="宋体" w:hAnsi="宋体"/>
        </w:rPr>
        <w:t>专用条款另有要求的除外。</w:t>
      </w:r>
    </w:p>
    <w:p w14:paraId="74B0E4D8">
      <w:pPr>
        <w:ind w:firstLine="413" w:firstLineChars="196"/>
        <w:rPr>
          <w:rFonts w:hint="eastAsia" w:ascii="宋体" w:hAnsi="宋体"/>
        </w:rPr>
      </w:pPr>
      <w:r>
        <w:rPr>
          <w:rFonts w:hint="eastAsia" w:ascii="宋体" w:hAnsi="宋体"/>
          <w:b/>
        </w:rPr>
        <w:t>23.5</w:t>
      </w:r>
      <w:r>
        <w:rPr>
          <w:rFonts w:hint="eastAsia" w:ascii="宋体" w:hAnsi="宋体"/>
        </w:rPr>
        <w:t xml:space="preserve"> 各类资格（资质）文件提供扫描件，专用条款另有要求的除外。</w:t>
      </w:r>
      <w:bookmarkEnd w:id="97"/>
    </w:p>
    <w:p w14:paraId="41482735">
      <w:pPr>
        <w:ind w:firstLine="411" w:firstLineChars="196"/>
        <w:rPr>
          <w:rFonts w:hint="eastAsia" w:ascii="宋体" w:hAnsi="宋体"/>
          <w:szCs w:val="21"/>
        </w:rPr>
      </w:pPr>
    </w:p>
    <w:p w14:paraId="0814F619">
      <w:pPr>
        <w:pStyle w:val="4"/>
        <w:numPr>
          <w:ilvl w:val="0"/>
          <w:numId w:val="28"/>
        </w:numPr>
        <w:spacing w:before="120" w:beforeLines="50" w:after="120" w:afterLines="50"/>
        <w:ind w:left="562" w:hanging="562"/>
        <w:rPr>
          <w:sz w:val="28"/>
          <w:szCs w:val="28"/>
        </w:rPr>
      </w:pPr>
      <w:r>
        <w:rPr>
          <w:rFonts w:hint="eastAsia"/>
          <w:sz w:val="28"/>
          <w:szCs w:val="28"/>
        </w:rPr>
        <w:t>投标文件的递交</w:t>
      </w:r>
    </w:p>
    <w:p w14:paraId="2731C864">
      <w:pPr>
        <w:rPr>
          <w:rFonts w:hint="eastAsia" w:ascii="黑体" w:hAnsi="宋体" w:eastAsia="黑体"/>
          <w:sz w:val="24"/>
        </w:rPr>
      </w:pPr>
      <w:bookmarkStart w:id="98" w:name="_Hlk72405459"/>
      <w:r>
        <w:rPr>
          <w:rFonts w:hint="eastAsia" w:ascii="黑体" w:hAnsi="宋体" w:eastAsia="黑体"/>
          <w:sz w:val="24"/>
        </w:rPr>
        <w:t>24．投标文件的保密</w:t>
      </w:r>
    </w:p>
    <w:p w14:paraId="3BE17DB8">
      <w:pPr>
        <w:ind w:firstLine="411" w:firstLineChars="196"/>
        <w:rPr>
          <w:rFonts w:hint="eastAsia" w:ascii="宋体" w:hAnsi="宋体"/>
        </w:rPr>
      </w:pPr>
      <w:r>
        <w:rPr>
          <w:rFonts w:hint="eastAsia" w:ascii="宋体" w:hAnsi="宋体"/>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投标文件自动进行加密，此加密程序确保投标文件在到达投标截止时间后才能解密查看。在加密过程中，请按照软件提示进行操作。加密界面如下图所示：</w:t>
      </w:r>
    </w:p>
    <w:p w14:paraId="54A0CA11">
      <w:pPr>
        <w:widowControl/>
        <w:jc w:val="left"/>
        <w:rPr>
          <w:rFonts w:hint="eastAsia" w:ascii="宋体" w:hAnsi="宋体" w:cs="宋体"/>
          <w:kern w:val="0"/>
          <w:sz w:val="24"/>
        </w:rPr>
      </w:pPr>
      <w:r>
        <w:rPr>
          <w:rFonts w:ascii="宋体" w:hAnsi="宋体"/>
        </w:rPr>
        <w:drawing>
          <wp:inline distT="0" distB="0" distL="0" distR="0">
            <wp:extent cx="5278755" cy="2721610"/>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3774E04B">
      <w:pPr>
        <w:ind w:firstLine="480" w:firstLineChars="200"/>
        <w:rPr>
          <w:sz w:val="24"/>
        </w:rPr>
      </w:pPr>
    </w:p>
    <w:p w14:paraId="19CD693A">
      <w:pPr>
        <w:rPr>
          <w:sz w:val="24"/>
        </w:rPr>
      </w:pPr>
      <w:r>
        <w:rPr>
          <w:rFonts w:ascii="宋体" w:hAnsi="宋体"/>
        </w:rPr>
        <w:drawing>
          <wp:inline distT="0" distB="0" distL="0" distR="0">
            <wp:extent cx="5278755" cy="2732405"/>
            <wp:effectExtent l="0" t="0" r="0" b="0"/>
            <wp:docPr id="9" name="图片 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784A9096">
      <w:pPr>
        <w:ind w:firstLine="411" w:firstLineChars="196"/>
        <w:rPr>
          <w:rFonts w:hint="eastAsia" w:ascii="宋体" w:hAnsi="宋体"/>
        </w:rPr>
      </w:pPr>
    </w:p>
    <w:p w14:paraId="5F99C55F">
      <w:pPr>
        <w:rPr>
          <w:rFonts w:hint="eastAsia" w:ascii="宋体" w:hAnsi="宋体"/>
          <w:b/>
        </w:rPr>
      </w:pPr>
      <w:r>
        <w:rPr>
          <w:rFonts w:hint="eastAsia" w:ascii="宋体" w:hAnsi="宋体"/>
          <w:b/>
        </w:rPr>
        <w:t>24.2若采购项目出现延期情况：</w:t>
      </w:r>
    </w:p>
    <w:p w14:paraId="2935C985">
      <w:pPr>
        <w:ind w:firstLine="422" w:firstLineChars="200"/>
        <w:rPr>
          <w:rFonts w:hint="eastAsia" w:ascii="黑体" w:hAnsi="宋体" w:eastAsia="黑体"/>
          <w:b/>
          <w:sz w:val="24"/>
        </w:rPr>
      </w:pPr>
      <w:r>
        <w:rPr>
          <w:rFonts w:hint="eastAsia" w:ascii="宋体" w:hAnsi="宋体"/>
          <w:b/>
        </w:rPr>
        <w:t>如果供下载的招标文件（后缀名为.</w:t>
      </w:r>
      <w:r>
        <w:t xml:space="preserve"> </w:t>
      </w:r>
      <w:r>
        <w:rPr>
          <w:rFonts w:ascii="宋体" w:hAnsi="宋体"/>
          <w:b/>
        </w:rPr>
        <w:t>szczf</w:t>
      </w:r>
      <w:r>
        <w:rPr>
          <w:rFonts w:hint="eastAsia" w:ascii="宋体" w:hAnsi="宋体"/>
          <w:b/>
        </w:rPr>
        <w:t>）有更新，投标人必须重新下载招标文件、重新制作投标文件、重新加密投标文件、重新上传投标文件；如果供下载的招标文件（后缀名为.</w:t>
      </w:r>
      <w:r>
        <w:t xml:space="preserve"> </w:t>
      </w:r>
      <w:r>
        <w:rPr>
          <w:rFonts w:ascii="宋体" w:hAnsi="宋体"/>
          <w:b/>
        </w:rPr>
        <w:t>szczf</w:t>
      </w:r>
      <w:r>
        <w:rPr>
          <w:rFonts w:hint="eastAsia" w:ascii="宋体" w:hAnsi="宋体"/>
          <w:b/>
        </w:rPr>
        <w:t>）没有更新，投标人必须重新加密投标文件、重新上传投标文件（是否重新制作投标文件根据项目实际情况定）。否则，投标人自行承担投标文件无法解密导致投标无效的后果。</w:t>
      </w:r>
    </w:p>
    <w:p w14:paraId="0F80BE66">
      <w:pPr>
        <w:rPr>
          <w:rFonts w:hint="eastAsia" w:ascii="黑体" w:hAnsi="宋体" w:eastAsia="黑体"/>
          <w:sz w:val="24"/>
        </w:rPr>
      </w:pPr>
      <w:r>
        <w:rPr>
          <w:rFonts w:hint="eastAsia" w:ascii="黑体" w:hAnsi="宋体" w:eastAsia="黑体"/>
          <w:sz w:val="24"/>
        </w:rPr>
        <w:t>25．上传投标文件及投标截止日期</w:t>
      </w:r>
    </w:p>
    <w:p w14:paraId="591502AE">
      <w:pPr>
        <w:wordWrap w:val="0"/>
        <w:ind w:firstLine="411" w:firstLineChars="196"/>
        <w:rPr>
          <w:rFonts w:hint="eastAsia"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TPBidder/memberLogin）”，用“【我的项目】→【项目流程】→【递交投标(应答)文件】”功能点上传投标文件。如上传过程中遇到问题，可拨打采购公告中的技术支持电话。如多次上传均告失败，请在投标截止时间之前携带加密后的电子投标文件送达至</w:t>
      </w:r>
      <w:r>
        <w:rPr>
          <w:rFonts w:hint="eastAsia" w:ascii="宋体" w:hAnsi="宋体"/>
          <w:b/>
          <w:bCs/>
          <w:szCs w:val="21"/>
        </w:rPr>
        <w:t>深圳公共资源交易中心（深圳交易集团有限公司政府采购业务分公司）</w:t>
      </w:r>
      <w:r>
        <w:rPr>
          <w:rFonts w:hint="eastAsia" w:ascii="宋体" w:hAnsi="宋体"/>
          <w:b/>
          <w:bCs/>
        </w:rPr>
        <w:t>（地址：深圳市南山区沙河西路3185号南山智谷A座（深圳交易集团总部大楼）3楼）</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1614ACD3">
      <w:pPr>
        <w:ind w:firstLine="411" w:firstLineChars="196"/>
        <w:rPr>
          <w:rFonts w:hint="eastAsia"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3236C570">
      <w:pPr>
        <w:ind w:firstLine="411" w:firstLineChars="196"/>
        <w:rPr>
          <w:rFonts w:hint="eastAsia"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7A4128A9">
      <w:pPr>
        <w:ind w:firstLine="411" w:firstLineChars="196"/>
        <w:rPr>
          <w:rFonts w:hint="eastAsia" w:ascii="宋体" w:hAnsi="宋体"/>
        </w:rPr>
      </w:pPr>
    </w:p>
    <w:bookmarkEnd w:id="98"/>
    <w:p w14:paraId="30C1C678">
      <w:pPr>
        <w:rPr>
          <w:rFonts w:hint="eastAsia" w:ascii="黑体" w:hAnsi="宋体" w:eastAsia="黑体"/>
          <w:sz w:val="24"/>
        </w:rPr>
      </w:pPr>
      <w:r>
        <w:rPr>
          <w:rFonts w:hint="eastAsia" w:ascii="黑体" w:hAnsi="宋体" w:eastAsia="黑体"/>
          <w:sz w:val="24"/>
        </w:rPr>
        <w:t>26. 样品、现场演示、方案讲解</w:t>
      </w:r>
    </w:p>
    <w:p w14:paraId="14E7B2CD">
      <w:pPr>
        <w:ind w:firstLine="411" w:firstLineChars="196"/>
        <w:rPr>
          <w:rFonts w:hint="eastAsia" w:ascii="宋体" w:hAnsi="宋体"/>
          <w:szCs w:val="21"/>
        </w:rPr>
      </w:pPr>
      <w:r>
        <w:rPr>
          <w:rFonts w:hint="eastAsia" w:ascii="宋体" w:hAnsi="宋体"/>
          <w:szCs w:val="21"/>
        </w:rPr>
        <w:t>26.1 样品、现场演示、方案讲解等事项在招标文件专用条款中进行规定。</w:t>
      </w:r>
    </w:p>
    <w:p w14:paraId="17C327B6">
      <w:pPr>
        <w:rPr>
          <w:rFonts w:hint="eastAsia" w:ascii="黑体" w:hAnsi="宋体" w:eastAsia="黑体"/>
          <w:sz w:val="24"/>
        </w:rPr>
      </w:pPr>
      <w:bookmarkStart w:id="99"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34D71E4D">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3BB237C1">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3F11C167">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2735618A">
      <w:pPr>
        <w:ind w:firstLine="411" w:firstLineChars="196"/>
        <w:rPr>
          <w:rFonts w:hint="eastAsia" w:ascii="宋体" w:hAnsi="宋体"/>
          <w:szCs w:val="21"/>
        </w:rPr>
      </w:pPr>
      <w:r>
        <w:rPr>
          <w:rFonts w:hint="eastAsia" w:ascii="宋体" w:hAnsi="宋体"/>
          <w:szCs w:val="21"/>
        </w:rPr>
        <w:t>27.4政府集中采购机构不退还投标文件，专用条款另有规定的除外。</w:t>
      </w:r>
    </w:p>
    <w:bookmarkEnd w:id="99"/>
    <w:p w14:paraId="45EBABCC">
      <w:pPr>
        <w:pStyle w:val="4"/>
        <w:numPr>
          <w:ilvl w:val="0"/>
          <w:numId w:val="28"/>
        </w:numPr>
        <w:spacing w:before="120" w:beforeLines="50" w:after="120" w:afterLines="50"/>
        <w:ind w:left="562" w:hanging="562"/>
        <w:rPr>
          <w:sz w:val="28"/>
          <w:szCs w:val="28"/>
        </w:rPr>
      </w:pPr>
      <w:r>
        <w:rPr>
          <w:rFonts w:hint="eastAsia"/>
          <w:sz w:val="28"/>
          <w:szCs w:val="28"/>
        </w:rPr>
        <w:t>开标</w:t>
      </w:r>
    </w:p>
    <w:p w14:paraId="7D2A8194">
      <w:pPr>
        <w:rPr>
          <w:rFonts w:hint="eastAsia" w:ascii="黑体" w:hAnsi="宋体" w:eastAsia="黑体"/>
          <w:sz w:val="24"/>
        </w:rPr>
      </w:pPr>
      <w:r>
        <w:rPr>
          <w:rFonts w:hint="eastAsia" w:ascii="黑体" w:hAnsi="宋体" w:eastAsia="黑体"/>
          <w:sz w:val="24"/>
        </w:rPr>
        <w:t>28．开标</w:t>
      </w:r>
    </w:p>
    <w:p w14:paraId="62BA0E1D">
      <w:pPr>
        <w:ind w:firstLine="359" w:firstLineChars="171"/>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p w14:paraId="16BC5869">
      <w:pPr>
        <w:ind w:firstLine="315" w:firstLineChars="15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529880DF">
      <w:pPr>
        <w:ind w:firstLine="315" w:firstLineChars="150"/>
        <w:rPr>
          <w:rFonts w:hint="eastAsia" w:ascii="宋体" w:hAnsi="宋体"/>
          <w:szCs w:val="21"/>
        </w:rPr>
      </w:pPr>
    </w:p>
    <w:p w14:paraId="3F94C4DA">
      <w:pPr>
        <w:pStyle w:val="4"/>
        <w:numPr>
          <w:ilvl w:val="0"/>
          <w:numId w:val="28"/>
        </w:numPr>
        <w:spacing w:before="120" w:beforeLines="50" w:after="120" w:afterLines="50"/>
        <w:ind w:left="562" w:hanging="562"/>
        <w:rPr>
          <w:sz w:val="28"/>
          <w:szCs w:val="28"/>
        </w:rPr>
      </w:pPr>
      <w:r>
        <w:rPr>
          <w:rFonts w:hint="eastAsia"/>
          <w:sz w:val="28"/>
          <w:szCs w:val="28"/>
        </w:rPr>
        <w:t>评审要求</w:t>
      </w:r>
    </w:p>
    <w:p w14:paraId="4950B0DE">
      <w:pPr>
        <w:rPr>
          <w:rFonts w:hint="eastAsia" w:ascii="黑体" w:hAnsi="宋体" w:eastAsia="黑体"/>
          <w:sz w:val="24"/>
        </w:rPr>
      </w:pPr>
      <w:r>
        <w:rPr>
          <w:rFonts w:hint="eastAsia" w:ascii="黑体" w:hAnsi="宋体" w:eastAsia="黑体"/>
          <w:sz w:val="24"/>
        </w:rPr>
        <w:t>29．评审委员会组成</w:t>
      </w:r>
    </w:p>
    <w:p w14:paraId="379E0E0A">
      <w:pPr>
        <w:ind w:firstLine="411" w:firstLineChars="196"/>
        <w:rPr>
          <w:rFonts w:hint="eastAsia"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458D63DC">
      <w:pPr>
        <w:ind w:firstLine="411" w:firstLineChars="196"/>
        <w:rPr>
          <w:rFonts w:hint="eastAsia" w:ascii="宋体" w:hAnsi="宋体"/>
        </w:rPr>
      </w:pPr>
      <w:bookmarkStart w:id="100"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100"/>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5C3CBAAC">
      <w:pPr>
        <w:pStyle w:val="18"/>
        <w:ind w:firstLine="422" w:firstLineChars="200"/>
        <w:rPr>
          <w:rFonts w:hint="eastAsia" w:ascii="宋体" w:hAnsi="宋体"/>
          <w:color w:val="FF0000"/>
          <w:sz w:val="21"/>
        </w:rPr>
      </w:pPr>
      <w:r>
        <w:rPr>
          <w:rFonts w:hint="eastAsia" w:ascii="宋体" w:hAnsi="宋体"/>
          <w:color w:val="FF0000"/>
          <w:sz w:val="21"/>
        </w:rPr>
        <w:t>根据财政部门要求，将食材、物业管理、清扫保洁、保安服务、家具、窗帘、园林绿化、社工服务、“城市管家”九类采购项目作为严管项目，实行“通用品目+专业品目”组合抽取制。严管项目的范围由市财政部门根据监管需要适时调整。上述所称专业品目是指，与项目采购标的相对应的品目，具体由采购人商采购代理机构根据项目需求自主确定。通用品目具体由会计、审计、法律、人力资源管理、资产评估、金融服务品目下的所有专家合并组成。专业品目下产生的专家人数占抽取总人数的比例不得超过50%（含本数），除此之外的专家均从通用品目库中随机抽取。注：论证专家抽取规则无需按此要求执行，具体严管项目的范围由市财政部门根据监管需要适时调整。</w:t>
      </w:r>
    </w:p>
    <w:p w14:paraId="20D24AD4">
      <w:pPr>
        <w:ind w:firstLine="411" w:firstLineChars="196"/>
        <w:rPr>
          <w:rFonts w:hint="eastAsia" w:ascii="宋体" w:hAnsi="宋体"/>
        </w:rPr>
      </w:pPr>
      <w:r>
        <w:rPr>
          <w:rFonts w:hint="eastAsia" w:ascii="宋体" w:hAnsi="宋体"/>
        </w:rPr>
        <w:t>29.2评审定标应当遵循公平、公正、科学、择优的原则。</w:t>
      </w:r>
    </w:p>
    <w:p w14:paraId="3E8D6189">
      <w:pPr>
        <w:ind w:firstLine="411" w:firstLineChars="196"/>
        <w:rPr>
          <w:rFonts w:hint="eastAsia" w:ascii="宋体" w:hAnsi="宋体"/>
        </w:rPr>
      </w:pPr>
      <w:r>
        <w:rPr>
          <w:rFonts w:hint="eastAsia" w:ascii="宋体" w:hAnsi="宋体"/>
        </w:rPr>
        <w:t>29.3评审活动依法进行，任何单位和个人不得非法干预评标过程和结果。</w:t>
      </w:r>
    </w:p>
    <w:p w14:paraId="50E3994A">
      <w:pPr>
        <w:ind w:firstLine="411" w:firstLineChars="196"/>
        <w:rPr>
          <w:rFonts w:hint="eastAsia" w:ascii="宋体" w:hAnsi="宋体"/>
        </w:rPr>
      </w:pPr>
      <w:r>
        <w:rPr>
          <w:rFonts w:hint="eastAsia" w:ascii="宋体" w:hAnsi="宋体"/>
        </w:rPr>
        <w:t>29.4评审过程中不允许违背评标程序或采用招标文件未载明的评标方法或评标因素进行评标。</w:t>
      </w:r>
    </w:p>
    <w:p w14:paraId="467C8187">
      <w:pPr>
        <w:ind w:firstLine="411" w:firstLineChars="196"/>
        <w:rPr>
          <w:rFonts w:hint="eastAsia"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3181E31F">
      <w:pPr>
        <w:rPr>
          <w:rFonts w:hint="eastAsia" w:ascii="黑体" w:hAnsi="宋体" w:eastAsia="黑体"/>
          <w:sz w:val="24"/>
        </w:rPr>
      </w:pPr>
      <w:r>
        <w:rPr>
          <w:rFonts w:hint="eastAsia" w:ascii="黑体" w:hAnsi="宋体" w:eastAsia="黑体"/>
          <w:sz w:val="24"/>
        </w:rPr>
        <w:t>30．向评审委员会提供的资料</w:t>
      </w:r>
    </w:p>
    <w:p w14:paraId="5EF2F640">
      <w:pPr>
        <w:ind w:firstLine="411" w:firstLineChars="196"/>
        <w:rPr>
          <w:rFonts w:hint="eastAsia" w:ascii="宋体" w:hAnsi="宋体"/>
        </w:rPr>
      </w:pPr>
      <w:r>
        <w:rPr>
          <w:rFonts w:hint="eastAsia" w:ascii="宋体" w:hAnsi="宋体"/>
        </w:rPr>
        <w:t>30.1公开发布的招标文件，包括图纸、服务清单、答疑文件等；</w:t>
      </w:r>
    </w:p>
    <w:p w14:paraId="29DDD4DC">
      <w:pPr>
        <w:ind w:firstLine="411" w:firstLineChars="196"/>
        <w:rPr>
          <w:rFonts w:hint="eastAsia" w:ascii="宋体" w:hAnsi="宋体"/>
        </w:rPr>
      </w:pPr>
      <w:r>
        <w:rPr>
          <w:rFonts w:hint="eastAsia" w:ascii="宋体" w:hAnsi="宋体"/>
        </w:rPr>
        <w:t>30.2其他评标必须的资料。</w:t>
      </w:r>
    </w:p>
    <w:p w14:paraId="3E3BCD12">
      <w:pPr>
        <w:ind w:firstLine="411" w:firstLineChars="196"/>
        <w:rPr>
          <w:rFonts w:hint="eastAsia"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1736FA84">
      <w:pPr>
        <w:ind w:firstLine="411" w:firstLineChars="196"/>
        <w:rPr>
          <w:rFonts w:hint="eastAsia" w:ascii="宋体" w:hAnsi="宋体"/>
        </w:rPr>
      </w:pPr>
      <w:r>
        <w:rPr>
          <w:rFonts w:hint="eastAsia" w:ascii="宋体" w:hAnsi="宋体"/>
        </w:rPr>
        <w:t>（1）招标的目的；</w:t>
      </w:r>
    </w:p>
    <w:p w14:paraId="33355EAA">
      <w:pPr>
        <w:ind w:firstLine="411" w:firstLineChars="196"/>
        <w:rPr>
          <w:rFonts w:hint="eastAsia" w:ascii="宋体" w:hAnsi="宋体"/>
        </w:rPr>
      </w:pPr>
      <w:r>
        <w:rPr>
          <w:rFonts w:hint="eastAsia" w:ascii="宋体" w:hAnsi="宋体"/>
        </w:rPr>
        <w:t>（2）招标项目需求的范围和性质；</w:t>
      </w:r>
    </w:p>
    <w:p w14:paraId="217D68E4">
      <w:pPr>
        <w:ind w:firstLine="411" w:firstLineChars="196"/>
        <w:rPr>
          <w:rFonts w:hint="eastAsia" w:ascii="宋体" w:hAnsi="宋体"/>
        </w:rPr>
      </w:pPr>
      <w:r>
        <w:rPr>
          <w:rFonts w:hint="eastAsia" w:ascii="宋体" w:hAnsi="宋体"/>
        </w:rPr>
        <w:t>（3）招标文件规定的投标人的资格、财政预算限额、商务条款；</w:t>
      </w:r>
    </w:p>
    <w:p w14:paraId="632DB117">
      <w:pPr>
        <w:ind w:firstLine="411" w:firstLineChars="196"/>
        <w:rPr>
          <w:rFonts w:hint="eastAsia" w:ascii="宋体" w:hAnsi="宋体"/>
        </w:rPr>
      </w:pPr>
      <w:r>
        <w:rPr>
          <w:rFonts w:hint="eastAsia" w:ascii="宋体" w:hAnsi="宋体"/>
        </w:rPr>
        <w:t>（4）招标文件规定的评标程序、评标方法和评标因素；</w:t>
      </w:r>
    </w:p>
    <w:p w14:paraId="6AEFBD62">
      <w:pPr>
        <w:ind w:firstLine="411" w:firstLineChars="196"/>
        <w:rPr>
          <w:rFonts w:hint="eastAsia" w:ascii="宋体" w:hAnsi="宋体"/>
        </w:rPr>
      </w:pPr>
      <w:r>
        <w:rPr>
          <w:rFonts w:hint="eastAsia" w:ascii="宋体" w:hAnsi="宋体"/>
        </w:rPr>
        <w:t>（5）招标文件所列示的资格性审查表及符合性审查表。</w:t>
      </w:r>
    </w:p>
    <w:p w14:paraId="0A414660">
      <w:pPr>
        <w:rPr>
          <w:rFonts w:hint="eastAsia" w:ascii="黑体" w:hAnsi="宋体" w:eastAsia="黑体"/>
          <w:sz w:val="24"/>
        </w:rPr>
      </w:pPr>
      <w:r>
        <w:rPr>
          <w:rFonts w:hint="eastAsia" w:ascii="黑体" w:hAnsi="宋体" w:eastAsia="黑体"/>
          <w:sz w:val="24"/>
        </w:rPr>
        <w:t>31．独立评审</w:t>
      </w:r>
    </w:p>
    <w:p w14:paraId="05358867">
      <w:pPr>
        <w:ind w:firstLine="411" w:firstLineChars="196"/>
        <w:rPr>
          <w:rFonts w:hint="eastAsia"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71BE7B61">
      <w:pPr>
        <w:ind w:firstLine="411" w:firstLineChars="196"/>
        <w:rPr>
          <w:rFonts w:hint="eastAsia" w:ascii="宋体" w:hAnsi="宋体"/>
          <w:bCs/>
          <w:szCs w:val="21"/>
        </w:rPr>
      </w:pPr>
    </w:p>
    <w:p w14:paraId="33903FA3">
      <w:pPr>
        <w:pStyle w:val="4"/>
        <w:numPr>
          <w:ilvl w:val="0"/>
          <w:numId w:val="28"/>
        </w:numPr>
        <w:spacing w:before="120" w:beforeLines="50" w:after="120" w:afterLines="50"/>
        <w:ind w:left="562" w:hanging="562"/>
        <w:rPr>
          <w:sz w:val="28"/>
          <w:szCs w:val="28"/>
        </w:rPr>
      </w:pPr>
      <w:r>
        <w:rPr>
          <w:rFonts w:hint="eastAsia"/>
          <w:sz w:val="28"/>
          <w:szCs w:val="28"/>
        </w:rPr>
        <w:t>评审程序及评审方法</w:t>
      </w:r>
    </w:p>
    <w:p w14:paraId="3FE60C62">
      <w:pPr>
        <w:rPr>
          <w:rFonts w:hint="eastAsia" w:ascii="黑体" w:hAnsi="宋体" w:eastAsia="黑体"/>
          <w:sz w:val="24"/>
        </w:rPr>
      </w:pPr>
      <w:r>
        <w:rPr>
          <w:rFonts w:hint="eastAsia" w:ascii="黑体" w:hAnsi="宋体" w:eastAsia="黑体"/>
          <w:sz w:val="24"/>
        </w:rPr>
        <w:t>32．投标文件初审</w:t>
      </w:r>
    </w:p>
    <w:p w14:paraId="7775DFF8">
      <w:pPr>
        <w:ind w:firstLine="411" w:firstLineChars="196"/>
        <w:rPr>
          <w:rFonts w:hint="eastAsia" w:ascii="宋体" w:hAnsi="宋体"/>
        </w:rPr>
      </w:pPr>
      <w:r>
        <w:rPr>
          <w:rFonts w:hint="eastAsia" w:ascii="宋体" w:hAnsi="宋体"/>
        </w:rPr>
        <w:t>32.1投标文件初审包括资格性审查和符合性审查。</w:t>
      </w:r>
    </w:p>
    <w:p w14:paraId="001E1B2B">
      <w:pPr>
        <w:ind w:firstLine="411" w:firstLineChars="196"/>
        <w:rPr>
          <w:rFonts w:hint="eastAsia" w:ascii="宋体" w:hAnsi="宋体"/>
        </w:rPr>
      </w:pPr>
      <w:r>
        <w:rPr>
          <w:rFonts w:hint="eastAsia" w:ascii="宋体" w:hAnsi="宋体"/>
        </w:rPr>
        <w:t>资格性审查：依据法律法规和招标文件的规定，对投标文件中的资格证明等进行审查，以确定投标供应商是否具备投标资格。</w:t>
      </w:r>
    </w:p>
    <w:p w14:paraId="1E04EDA8">
      <w:pPr>
        <w:ind w:firstLine="411" w:firstLineChars="196"/>
        <w:rPr>
          <w:rFonts w:hint="eastAsia"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3E1DFFE1">
      <w:pPr>
        <w:ind w:firstLine="411" w:firstLineChars="196"/>
        <w:rPr>
          <w:rFonts w:hint="eastAsia" w:ascii="宋体" w:hAnsi="宋体"/>
        </w:rPr>
      </w:pPr>
      <w:r>
        <w:rPr>
          <w:rFonts w:hint="eastAsia" w:ascii="宋体" w:hAnsi="宋体"/>
        </w:rPr>
        <w:t>32.2 投标文件初审内容请详见《资格性审查表》和《符合性审查表》部分。投标人若有一条审查不通过则按投标无效处理。</w:t>
      </w:r>
    </w:p>
    <w:p w14:paraId="1FEE254B">
      <w:pPr>
        <w:ind w:firstLine="411" w:firstLineChars="196"/>
        <w:rPr>
          <w:rFonts w:hint="eastAsia" w:ascii="宋体" w:hAnsi="宋体"/>
          <w:bCs/>
        </w:rPr>
      </w:pPr>
      <w:r>
        <w:rPr>
          <w:rFonts w:hint="eastAsia" w:ascii="宋体" w:hAnsi="宋体"/>
          <w:bCs/>
        </w:rPr>
        <w:t>32.3 投标文件初审中关于供应商家数的计算:</w:t>
      </w:r>
    </w:p>
    <w:p w14:paraId="0E197DD3">
      <w:pPr>
        <w:ind w:firstLine="411" w:firstLineChars="196"/>
        <w:rPr>
          <w:rFonts w:hint="eastAsia"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02FCB763">
      <w:pPr>
        <w:ind w:firstLine="411" w:firstLineChars="196"/>
        <w:rPr>
          <w:rFonts w:hint="eastAsia"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3413F921">
      <w:pPr>
        <w:ind w:firstLine="411" w:firstLineChars="196"/>
        <w:rPr>
          <w:rFonts w:hint="eastAsia"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7D492840">
      <w:pPr>
        <w:ind w:firstLine="411" w:firstLineChars="196"/>
        <w:rPr>
          <w:rFonts w:hint="eastAsia" w:ascii="宋体" w:hAnsi="宋体"/>
        </w:rPr>
      </w:pPr>
      <w:r>
        <w:rPr>
          <w:rFonts w:hint="eastAsia" w:ascii="宋体" w:hAnsi="宋体"/>
        </w:rPr>
        <w:t>32.4投标人投标文件作无效处理的情形，具体包括但不限于以下：</w:t>
      </w:r>
    </w:p>
    <w:p w14:paraId="7A9A181B">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049BC391">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66AA399C">
      <w:pPr>
        <w:ind w:firstLine="411" w:firstLineChars="196"/>
        <w:rPr>
          <w:rFonts w:hint="eastAsia" w:ascii="宋体" w:hAnsi="宋体"/>
        </w:rPr>
      </w:pPr>
      <w:r>
        <w:rPr>
          <w:rFonts w:hint="eastAsia" w:ascii="宋体" w:hAnsi="宋体"/>
        </w:rPr>
        <w:t>32.4.3不同投标人的投标文件载明的项目管理成员或者联系人员为同一人；</w:t>
      </w:r>
    </w:p>
    <w:p w14:paraId="2B710EC2">
      <w:pPr>
        <w:ind w:firstLine="411" w:firstLineChars="196"/>
        <w:rPr>
          <w:rFonts w:hint="eastAsia" w:ascii="宋体" w:hAnsi="宋体"/>
        </w:rPr>
      </w:pPr>
      <w:r>
        <w:rPr>
          <w:rFonts w:hint="eastAsia" w:ascii="宋体" w:hAnsi="宋体"/>
        </w:rPr>
        <w:t>32.4.4不同投标人的投标文件异常一致或者投标报价呈规律性差异；</w:t>
      </w:r>
    </w:p>
    <w:p w14:paraId="2B4FF056">
      <w:pPr>
        <w:ind w:firstLine="411" w:firstLineChars="196"/>
        <w:rPr>
          <w:rFonts w:hint="eastAsia"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34C3CE23">
      <w:pPr>
        <w:ind w:firstLine="411" w:firstLineChars="196"/>
        <w:rPr>
          <w:rFonts w:hint="eastAsia" w:ascii="宋体" w:hAnsi="宋体"/>
        </w:rPr>
      </w:pPr>
      <w:r>
        <w:rPr>
          <w:rFonts w:hint="eastAsia" w:ascii="宋体" w:hAnsi="宋体"/>
        </w:rPr>
        <w:t>32.4.6投标供应商之间相互约定给予未中标的供应商利益补偿；</w:t>
      </w:r>
    </w:p>
    <w:p w14:paraId="56C7E5B6">
      <w:pPr>
        <w:ind w:firstLine="411" w:firstLineChars="196"/>
        <w:rPr>
          <w:rFonts w:hint="eastAsia"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4DC45E85">
      <w:pPr>
        <w:ind w:firstLine="411" w:firstLineChars="196"/>
        <w:rPr>
          <w:rFonts w:hint="eastAsia" w:ascii="宋体" w:hAnsi="宋体"/>
        </w:rPr>
      </w:pPr>
      <w:r>
        <w:rPr>
          <w:rFonts w:hint="eastAsia" w:ascii="宋体" w:hAnsi="宋体"/>
        </w:rPr>
        <w:t>32.4.8不同投标供应商的投标文件内容存在非正常一致；</w:t>
      </w:r>
    </w:p>
    <w:p w14:paraId="016AE146">
      <w:pPr>
        <w:ind w:firstLine="411" w:firstLineChars="196"/>
        <w:rPr>
          <w:rFonts w:hint="eastAsia" w:ascii="宋体" w:hAnsi="宋体"/>
        </w:rPr>
      </w:pPr>
      <w:r>
        <w:rPr>
          <w:rFonts w:hint="eastAsia" w:ascii="宋体" w:hAnsi="宋体"/>
        </w:rPr>
        <w:t>32.4.9在同一单位工作人员为两家以上（含两家）供应商进行同一项投标活动；</w:t>
      </w:r>
    </w:p>
    <w:p w14:paraId="7C50DC72">
      <w:pPr>
        <w:ind w:firstLine="411" w:firstLineChars="196"/>
        <w:rPr>
          <w:rFonts w:hint="eastAsia" w:ascii="宋体" w:hAnsi="宋体"/>
        </w:rPr>
      </w:pPr>
      <w:r>
        <w:rPr>
          <w:rFonts w:hint="eastAsia" w:ascii="宋体" w:hAnsi="宋体"/>
        </w:rPr>
        <w:t>32.4.10主管部门依照法律、法规认定的其他情形。</w:t>
      </w:r>
    </w:p>
    <w:p w14:paraId="4525ED16">
      <w:pPr>
        <w:ind w:firstLine="420" w:firstLineChars="200"/>
        <w:rPr>
          <w:rFonts w:hint="eastAsia" w:ascii="宋体" w:hAnsi="宋体"/>
        </w:rPr>
      </w:pPr>
      <w:r>
        <w:rPr>
          <w:rFonts w:hint="eastAsia" w:ascii="宋体" w:hAnsi="宋体"/>
        </w:rPr>
        <w:t>32.5对不属于《资格性审查表》和《符合性审查表》所列的其他情形，除专用条款另有规定和32.4条款所列情形外，不得作为投标无效的理由。</w:t>
      </w:r>
    </w:p>
    <w:p w14:paraId="5B054B1E">
      <w:pPr>
        <w:rPr>
          <w:rFonts w:hint="eastAsia" w:ascii="黑体" w:hAnsi="宋体" w:eastAsia="黑体"/>
          <w:sz w:val="24"/>
        </w:rPr>
      </w:pPr>
      <w:r>
        <w:rPr>
          <w:rFonts w:hint="eastAsia" w:ascii="黑体" w:hAnsi="宋体" w:eastAsia="黑体"/>
          <w:sz w:val="24"/>
        </w:rPr>
        <w:t>33．澄清有关问题</w:t>
      </w:r>
    </w:p>
    <w:p w14:paraId="751FADD7">
      <w:pPr>
        <w:ind w:firstLine="411" w:firstLineChars="196"/>
        <w:rPr>
          <w:rFonts w:hint="eastAsia" w:ascii="宋体" w:hAnsi="宋体"/>
        </w:rPr>
      </w:pPr>
      <w:bookmarkStart w:id="101"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101"/>
    </w:p>
    <w:p w14:paraId="5B5CF92E">
      <w:pPr>
        <w:ind w:firstLine="411" w:firstLineChars="196"/>
        <w:rPr>
          <w:rFonts w:hint="eastAsia"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18D03F17">
      <w:pPr>
        <w:ind w:firstLine="411" w:firstLineChars="196"/>
        <w:rPr>
          <w:rFonts w:hint="eastAsia"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081125FB">
      <w:pPr>
        <w:ind w:firstLine="411" w:firstLineChars="196"/>
        <w:rPr>
          <w:rFonts w:hint="eastAsia"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14EAD2BF">
      <w:pPr>
        <w:ind w:firstLine="411" w:firstLineChars="196"/>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14:paraId="0FA3A495">
      <w:pPr>
        <w:rPr>
          <w:rFonts w:hint="eastAsia" w:ascii="黑体" w:hAnsi="宋体" w:eastAsia="黑体"/>
          <w:sz w:val="24"/>
        </w:rPr>
      </w:pPr>
      <w:bookmarkStart w:id="102" w:name="_Toc73517673"/>
      <w:bookmarkStart w:id="103" w:name="_Toc100052400"/>
      <w:bookmarkStart w:id="104" w:name="_Toc73521581"/>
      <w:bookmarkStart w:id="105" w:name="_Toc73521669"/>
      <w:bookmarkStart w:id="106" w:name="_Toc73518151"/>
      <w:r>
        <w:rPr>
          <w:rFonts w:hint="eastAsia" w:ascii="黑体" w:hAnsi="宋体" w:eastAsia="黑体"/>
          <w:sz w:val="24"/>
        </w:rPr>
        <w:t>34．错误的修正</w:t>
      </w:r>
      <w:bookmarkEnd w:id="102"/>
      <w:bookmarkEnd w:id="103"/>
      <w:bookmarkEnd w:id="104"/>
      <w:bookmarkEnd w:id="105"/>
      <w:bookmarkEnd w:id="106"/>
    </w:p>
    <w:p w14:paraId="13EDAEA4">
      <w:pPr>
        <w:ind w:firstLine="411" w:firstLineChars="196"/>
        <w:rPr>
          <w:rFonts w:hint="eastAsia" w:ascii="宋体" w:hAnsi="宋体"/>
          <w:szCs w:val="21"/>
        </w:rPr>
      </w:pPr>
      <w:r>
        <w:rPr>
          <w:rFonts w:hint="eastAsia" w:ascii="宋体" w:hAnsi="宋体"/>
          <w:szCs w:val="21"/>
        </w:rPr>
        <w:t>投标文件报价出现前后不一致的，除专用条款另有规定外，按照下列规定修正：</w:t>
      </w:r>
    </w:p>
    <w:p w14:paraId="20517A22">
      <w:pPr>
        <w:ind w:firstLine="411" w:firstLineChars="196"/>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14:paraId="70C738CD">
      <w:pPr>
        <w:ind w:firstLine="411" w:firstLineChars="196"/>
        <w:rPr>
          <w:rFonts w:hint="eastAsia" w:ascii="宋体" w:hAnsi="宋体"/>
          <w:szCs w:val="21"/>
        </w:rPr>
      </w:pPr>
      <w:r>
        <w:rPr>
          <w:rFonts w:hint="eastAsia" w:ascii="宋体" w:hAnsi="宋体"/>
          <w:szCs w:val="21"/>
        </w:rPr>
        <w:t>34.2大写金额和小写金额不一致的，以大写金额为准；</w:t>
      </w:r>
    </w:p>
    <w:p w14:paraId="25DAF122">
      <w:pPr>
        <w:ind w:firstLine="411" w:firstLineChars="196"/>
        <w:rPr>
          <w:rFonts w:hint="eastAsia" w:ascii="宋体" w:hAnsi="宋体"/>
          <w:szCs w:val="21"/>
        </w:rPr>
      </w:pPr>
      <w:r>
        <w:rPr>
          <w:rFonts w:hint="eastAsia" w:ascii="宋体" w:hAnsi="宋体"/>
          <w:szCs w:val="21"/>
        </w:rPr>
        <w:t>34.3单价金额小数点或者百分比有明显错位，以开标一览表的总价为准，并修改单价；</w:t>
      </w:r>
    </w:p>
    <w:p w14:paraId="5B61651D">
      <w:pPr>
        <w:ind w:firstLine="411" w:firstLineChars="196"/>
        <w:rPr>
          <w:rFonts w:hint="eastAsia" w:ascii="宋体" w:hAnsi="宋体"/>
          <w:szCs w:val="21"/>
        </w:rPr>
      </w:pPr>
      <w:r>
        <w:rPr>
          <w:rFonts w:hint="eastAsia" w:ascii="宋体" w:hAnsi="宋体"/>
          <w:szCs w:val="21"/>
        </w:rPr>
        <w:t>34.4总价金额与按单价汇总金额不一致的，以单价金额计算结果为准。</w:t>
      </w:r>
    </w:p>
    <w:p w14:paraId="4270F97A">
      <w:pPr>
        <w:ind w:firstLine="411" w:firstLineChars="196"/>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31FA566">
      <w:pPr>
        <w:rPr>
          <w:rFonts w:hint="eastAsia" w:ascii="黑体" w:hAnsi="宋体" w:eastAsia="黑体"/>
          <w:sz w:val="24"/>
        </w:rPr>
      </w:pPr>
      <w:r>
        <w:rPr>
          <w:rFonts w:hint="eastAsia" w:ascii="黑体" w:hAnsi="宋体" w:eastAsia="黑体"/>
          <w:sz w:val="24"/>
        </w:rPr>
        <w:t>35．投标文件的比较与评价</w:t>
      </w:r>
    </w:p>
    <w:p w14:paraId="7018F8FE">
      <w:pPr>
        <w:ind w:firstLine="411" w:firstLineChars="196"/>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0915184C">
      <w:pPr>
        <w:ind w:firstLine="411" w:firstLineChars="196"/>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0951D4EF">
      <w:pPr>
        <w:rPr>
          <w:rFonts w:hint="eastAsia" w:ascii="黑体" w:hAnsi="宋体" w:eastAsia="黑体"/>
          <w:sz w:val="24"/>
        </w:rPr>
      </w:pPr>
      <w:r>
        <w:rPr>
          <w:rFonts w:hint="eastAsia" w:ascii="黑体" w:hAnsi="宋体" w:eastAsia="黑体"/>
          <w:sz w:val="24"/>
        </w:rPr>
        <w:t>36. 实地考察或资料查验</w:t>
      </w:r>
    </w:p>
    <w:p w14:paraId="23628694">
      <w:pPr>
        <w:ind w:firstLine="420" w:firstLineChars="200"/>
        <w:rPr>
          <w:rFonts w:hint="eastAsia" w:ascii="宋体" w:hAnsi="宋体"/>
          <w:szCs w:val="21"/>
        </w:rPr>
      </w:pPr>
      <w:r>
        <w:rPr>
          <w:rFonts w:hint="eastAsia" w:ascii="宋体" w:hAnsi="宋体"/>
          <w:szCs w:val="21"/>
        </w:rPr>
        <w:t>36.1在评审期间，评审委员会根据招标文件规定（详见“一、对通用条款的补充内容”），有权对本项目的投标人开展实地考察，投标人需时刻做好接收实地考察的准备。</w:t>
      </w:r>
    </w:p>
    <w:p w14:paraId="15D1A69F">
      <w:pPr>
        <w:rPr>
          <w:rFonts w:hint="eastAsia" w:ascii="黑体" w:hAnsi="宋体" w:eastAsia="黑体"/>
          <w:sz w:val="24"/>
        </w:rPr>
      </w:pPr>
      <w:r>
        <w:rPr>
          <w:rFonts w:hint="eastAsia" w:ascii="黑体" w:hAnsi="宋体" w:eastAsia="黑体"/>
          <w:sz w:val="24"/>
        </w:rPr>
        <w:t>37．评审方法</w:t>
      </w:r>
    </w:p>
    <w:p w14:paraId="26F1E6D9">
      <w:pPr>
        <w:ind w:firstLine="413" w:firstLineChars="196"/>
        <w:rPr>
          <w:rFonts w:hint="eastAsia" w:ascii="宋体" w:hAnsi="宋体"/>
          <w:b/>
          <w:bCs/>
          <w:szCs w:val="21"/>
        </w:rPr>
      </w:pPr>
      <w:r>
        <w:rPr>
          <w:rFonts w:hint="eastAsia" w:ascii="宋体" w:hAnsi="宋体"/>
          <w:b/>
          <w:bCs/>
          <w:szCs w:val="21"/>
        </w:rPr>
        <w:t>37.1.1最低价法</w:t>
      </w:r>
    </w:p>
    <w:p w14:paraId="2931D871">
      <w:pPr>
        <w:ind w:firstLine="411" w:firstLineChars="196"/>
        <w:rPr>
          <w:rFonts w:hint="eastAsia" w:ascii="ˎ̥" w:hAnsi="ˎ̥"/>
        </w:rPr>
      </w:pPr>
      <w:bookmarkStart w:id="107" w:name="_Hlk72438142"/>
      <w:r>
        <w:rPr>
          <w:rFonts w:ascii="ˎ̥" w:hAnsi="ˎ̥"/>
        </w:rPr>
        <w:t>最低价法，</w:t>
      </w:r>
      <w:r>
        <w:rPr>
          <w:rFonts w:hint="eastAsia" w:ascii="ˎ̥" w:hAnsi="ˎ̥"/>
        </w:rPr>
        <w:t>是指投标文件满足招标文件全部实质性要求，且投标报价最低的投标人为中标候选人的评标方法。</w:t>
      </w:r>
    </w:p>
    <w:p w14:paraId="78493712">
      <w:pPr>
        <w:ind w:firstLine="411" w:firstLineChars="196"/>
        <w:rPr>
          <w:rFonts w:hint="eastAsia" w:ascii="ˎ̥" w:hAnsi="ˎ̥"/>
        </w:rPr>
      </w:pPr>
      <w:r>
        <w:rPr>
          <w:rFonts w:hint="eastAsia" w:ascii="ˎ̥" w:hAnsi="ˎ̥"/>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2BD2AD71">
      <w:pPr>
        <w:ind w:firstLine="413" w:firstLineChars="196"/>
        <w:rPr>
          <w:rFonts w:hint="eastAsia" w:ascii="宋体" w:hAnsi="宋体"/>
          <w:b/>
          <w:bCs/>
          <w:szCs w:val="21"/>
        </w:rPr>
      </w:pPr>
      <w:r>
        <w:rPr>
          <w:rFonts w:hint="eastAsia" w:ascii="宋体" w:hAnsi="宋体"/>
          <w:b/>
          <w:bCs/>
          <w:szCs w:val="21"/>
        </w:rPr>
        <w:t>37.1.2综合评分法</w:t>
      </w:r>
    </w:p>
    <w:p w14:paraId="4C54A449">
      <w:pPr>
        <w:ind w:firstLine="411" w:firstLineChars="196"/>
        <w:rPr>
          <w:rFonts w:hint="eastAsia" w:ascii="ˎ̥" w:hAnsi="ˎ̥"/>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107"/>
      <w:r>
        <w:rPr>
          <w:rFonts w:hint="eastAsia" w:ascii="ˎ̥" w:hAnsi="ˎ̥"/>
        </w:rPr>
        <w:t>。</w:t>
      </w:r>
    </w:p>
    <w:p w14:paraId="662F755C">
      <w:pPr>
        <w:ind w:firstLine="411" w:firstLineChars="196"/>
        <w:rPr>
          <w:rFonts w:hint="eastAsia" w:ascii="ˎ̥" w:hAnsi="ˎ̥"/>
        </w:rPr>
      </w:pPr>
      <w:r>
        <w:rPr>
          <w:rFonts w:hint="eastAsia" w:ascii="ˎ̥" w:hAnsi="ˎ̥"/>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45B63964">
      <w:pPr>
        <w:ind w:firstLine="413" w:firstLineChars="196"/>
        <w:rPr>
          <w:rFonts w:hint="eastAsia" w:ascii="宋体" w:hAnsi="宋体"/>
          <w:b/>
          <w:bCs/>
          <w:szCs w:val="21"/>
        </w:rPr>
      </w:pPr>
      <w:r>
        <w:rPr>
          <w:rFonts w:hint="eastAsia" w:ascii="宋体" w:hAnsi="宋体"/>
          <w:b/>
          <w:bCs/>
          <w:szCs w:val="21"/>
        </w:rPr>
        <w:t>37.2本项目采用的评审方法见本项目招标文件第一册“专用条款”的相关内容。</w:t>
      </w:r>
    </w:p>
    <w:p w14:paraId="7AC48B8A">
      <w:pPr>
        <w:ind w:firstLine="413" w:firstLineChars="196"/>
        <w:rPr>
          <w:rFonts w:hint="eastAsia" w:ascii="宋体" w:hAnsi="宋体"/>
          <w:b/>
          <w:bCs/>
          <w:szCs w:val="21"/>
        </w:rPr>
      </w:pPr>
      <w:r>
        <w:rPr>
          <w:rFonts w:hint="eastAsia" w:ascii="宋体" w:hAnsi="宋体"/>
          <w:b/>
          <w:bCs/>
          <w:szCs w:val="21"/>
        </w:rPr>
        <w:t>37.3重新评审的情形</w:t>
      </w:r>
    </w:p>
    <w:p w14:paraId="612A21A5">
      <w:pPr>
        <w:ind w:firstLine="411" w:firstLineChars="196"/>
        <w:rPr>
          <w:rFonts w:hint="eastAsia" w:ascii="宋体" w:hAnsi="宋体"/>
          <w:b/>
          <w:bCs/>
          <w:szCs w:val="21"/>
        </w:rPr>
      </w:pPr>
      <w:r>
        <w:rPr>
          <w:rFonts w:hint="eastAsia" w:ascii="宋体" w:hAnsi="宋体" w:cs="宋体"/>
          <w:kern w:val="0"/>
          <w:szCs w:val="21"/>
        </w:rPr>
        <w:t>评审结果汇总完成后，除下列情形外，任何人不得修改评审结果：</w:t>
      </w:r>
    </w:p>
    <w:p w14:paraId="2859A22A">
      <w:pPr>
        <w:ind w:firstLine="411" w:firstLineChars="196"/>
        <w:rPr>
          <w:rFonts w:hint="eastAsia" w:ascii="宋体" w:hAnsi="宋体" w:cs="宋体"/>
          <w:kern w:val="0"/>
          <w:szCs w:val="21"/>
        </w:rPr>
      </w:pPr>
      <w:r>
        <w:rPr>
          <w:rFonts w:hint="eastAsia" w:ascii="宋体" w:hAnsi="宋体" w:cs="宋体"/>
          <w:kern w:val="0"/>
          <w:szCs w:val="21"/>
        </w:rPr>
        <w:t>37.3.1分值汇总计算错误的；</w:t>
      </w:r>
    </w:p>
    <w:p w14:paraId="11AEFC54">
      <w:pPr>
        <w:ind w:firstLine="411" w:firstLineChars="196"/>
        <w:rPr>
          <w:rFonts w:hint="eastAsia" w:ascii="宋体" w:hAnsi="宋体" w:cs="宋体"/>
          <w:kern w:val="0"/>
          <w:szCs w:val="21"/>
        </w:rPr>
      </w:pPr>
      <w:r>
        <w:rPr>
          <w:rFonts w:hint="eastAsia" w:ascii="宋体" w:hAnsi="宋体" w:cs="宋体"/>
          <w:kern w:val="0"/>
          <w:szCs w:val="21"/>
        </w:rPr>
        <w:t>37.3.2分项评分超出评分标准范围的；</w:t>
      </w:r>
    </w:p>
    <w:p w14:paraId="0112D88B">
      <w:pPr>
        <w:ind w:firstLine="411" w:firstLineChars="196"/>
        <w:rPr>
          <w:rFonts w:hint="eastAsia" w:ascii="宋体" w:hAnsi="宋体" w:cs="宋体"/>
          <w:kern w:val="0"/>
          <w:szCs w:val="21"/>
        </w:rPr>
      </w:pPr>
      <w:r>
        <w:rPr>
          <w:rFonts w:hint="eastAsia" w:ascii="宋体" w:hAnsi="宋体" w:cs="宋体"/>
          <w:kern w:val="0"/>
          <w:szCs w:val="21"/>
        </w:rPr>
        <w:t>37.3.3评审委员会成员对客观评审因素评分不一致的；</w:t>
      </w:r>
    </w:p>
    <w:p w14:paraId="4B09FE8C">
      <w:pPr>
        <w:ind w:firstLine="411" w:firstLineChars="196"/>
        <w:rPr>
          <w:rFonts w:hint="eastAsia" w:ascii="宋体" w:hAnsi="宋体" w:cs="宋体"/>
          <w:kern w:val="0"/>
          <w:szCs w:val="21"/>
        </w:rPr>
      </w:pPr>
      <w:r>
        <w:rPr>
          <w:rFonts w:hint="eastAsia" w:ascii="宋体" w:hAnsi="宋体" w:cs="宋体"/>
          <w:kern w:val="0"/>
          <w:szCs w:val="21"/>
        </w:rPr>
        <w:t>37.3.4经评审委员会认定评分畸高、畸低的。</w:t>
      </w:r>
    </w:p>
    <w:p w14:paraId="59772796">
      <w:pPr>
        <w:ind w:firstLine="411" w:firstLineChars="196"/>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4B368BEB">
      <w:pPr>
        <w:ind w:firstLine="411" w:firstLineChars="196"/>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06A29BD4">
      <w:pPr>
        <w:ind w:firstLine="413" w:firstLineChars="196"/>
        <w:rPr>
          <w:rFonts w:hint="eastAsia" w:ascii="宋体" w:hAnsi="宋体"/>
          <w:b/>
          <w:bCs/>
          <w:szCs w:val="21"/>
        </w:rPr>
      </w:pPr>
      <w:r>
        <w:rPr>
          <w:rFonts w:hint="eastAsia" w:ascii="宋体" w:hAnsi="宋体"/>
          <w:b/>
          <w:bCs/>
          <w:szCs w:val="21"/>
        </w:rPr>
        <w:t>37.4重新组建评审委员会的情形</w:t>
      </w:r>
    </w:p>
    <w:p w14:paraId="2740C53F">
      <w:pPr>
        <w:ind w:firstLine="411" w:firstLineChars="196"/>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ADBC252">
      <w:pPr>
        <w:ind w:firstLine="411" w:firstLineChars="196"/>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5BBACC15">
      <w:pPr>
        <w:ind w:firstLine="411" w:firstLineChars="196"/>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28342B0E">
      <w:pPr>
        <w:ind w:firstLine="411" w:firstLineChars="196"/>
        <w:rPr>
          <w:rFonts w:hint="eastAsia" w:ascii="宋体" w:hAnsi="宋体" w:cs="宋体"/>
          <w:kern w:val="0"/>
          <w:szCs w:val="21"/>
        </w:rPr>
      </w:pPr>
      <w:r>
        <w:rPr>
          <w:rFonts w:hint="eastAsia" w:ascii="宋体" w:hAnsi="宋体" w:cs="宋体"/>
          <w:kern w:val="0"/>
          <w:szCs w:val="21"/>
        </w:rPr>
        <w:t>37.4.3评审委员会及其成员独立评标受到非法干预的；</w:t>
      </w:r>
    </w:p>
    <w:p w14:paraId="7464815D">
      <w:pPr>
        <w:ind w:firstLine="411" w:firstLineChars="196"/>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14:paraId="4EC3BF5A">
      <w:pPr>
        <w:ind w:firstLine="411" w:firstLineChars="196"/>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4690AF32">
      <w:pPr>
        <w:ind w:firstLine="411" w:firstLineChars="196"/>
        <w:rPr>
          <w:rFonts w:hint="eastAsia" w:ascii="宋体" w:hAnsi="宋体"/>
          <w:szCs w:val="21"/>
        </w:rPr>
      </w:pPr>
    </w:p>
    <w:p w14:paraId="379DE04A">
      <w:pPr>
        <w:pStyle w:val="4"/>
        <w:numPr>
          <w:ilvl w:val="0"/>
          <w:numId w:val="28"/>
        </w:numPr>
        <w:spacing w:before="120" w:beforeLines="50" w:after="120" w:afterLines="50"/>
        <w:ind w:left="562" w:hanging="562"/>
        <w:rPr>
          <w:sz w:val="28"/>
          <w:szCs w:val="28"/>
        </w:rPr>
      </w:pPr>
      <w:r>
        <w:rPr>
          <w:rFonts w:hint="eastAsia"/>
          <w:sz w:val="28"/>
          <w:szCs w:val="28"/>
        </w:rPr>
        <w:t>定标及公示</w:t>
      </w:r>
    </w:p>
    <w:p w14:paraId="3EB24987">
      <w:pPr>
        <w:rPr>
          <w:rFonts w:hint="eastAsia" w:ascii="黑体" w:hAnsi="宋体" w:eastAsia="黑体"/>
          <w:sz w:val="24"/>
        </w:rPr>
      </w:pPr>
      <w:r>
        <w:rPr>
          <w:rFonts w:hint="eastAsia" w:ascii="黑体" w:hAnsi="宋体" w:eastAsia="黑体"/>
          <w:sz w:val="24"/>
        </w:rPr>
        <w:t>38．定标方法</w:t>
      </w:r>
    </w:p>
    <w:p w14:paraId="58BBA74B">
      <w:pPr>
        <w:ind w:firstLine="411" w:firstLineChars="196"/>
        <w:rPr>
          <w:rFonts w:hint="eastAsia" w:ascii="宋体" w:hAnsi="宋体"/>
          <w:szCs w:val="21"/>
        </w:rPr>
      </w:pPr>
      <w:bookmarkStart w:id="108" w:name="_Hlk73782795"/>
      <w:r>
        <w:rPr>
          <w:rFonts w:hint="eastAsia" w:ascii="宋体" w:hAnsi="宋体"/>
          <w:szCs w:val="21"/>
        </w:rPr>
        <w:t>38.1非评定分离项目定标方法</w:t>
      </w:r>
    </w:p>
    <w:p w14:paraId="320DCDA0">
      <w:pPr>
        <w:ind w:firstLine="411" w:firstLineChars="196"/>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569643BF">
      <w:pPr>
        <w:ind w:firstLine="411" w:firstLineChars="196"/>
        <w:rPr>
          <w:rFonts w:hint="eastAsia"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109"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109"/>
      <w:r>
        <w:rPr>
          <w:rFonts w:ascii="ˎ̥" w:hAnsi="ˎ̥"/>
        </w:rPr>
        <w:t>）。</w:t>
      </w:r>
    </w:p>
    <w:p w14:paraId="5DB1E14F">
      <w:pPr>
        <w:ind w:firstLine="411" w:firstLineChars="196"/>
        <w:rPr>
          <w:rFonts w:hint="eastAsia"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p>
    <w:p w14:paraId="0C1D7542">
      <w:pPr>
        <w:ind w:firstLine="411" w:firstLineChars="196"/>
        <w:rPr>
          <w:rFonts w:hint="eastAsia" w:ascii="宋体" w:hAnsi="宋体"/>
          <w:szCs w:val="21"/>
        </w:rPr>
      </w:pPr>
      <w:r>
        <w:rPr>
          <w:rFonts w:hint="eastAsia" w:ascii="宋体" w:hAnsi="宋体"/>
          <w:szCs w:val="21"/>
        </w:rPr>
        <w:t>38.2评定分离项目定标方法</w:t>
      </w:r>
    </w:p>
    <w:p w14:paraId="61282B7B">
      <w:pPr>
        <w:ind w:firstLine="411" w:firstLineChars="196"/>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D190AF6">
      <w:pPr>
        <w:ind w:firstLine="411" w:firstLineChars="196"/>
      </w:pPr>
      <w:r>
        <w:rPr>
          <w:rFonts w:ascii="宋体" w:hAnsi="宋体"/>
          <w:szCs w:val="21"/>
        </w:rPr>
        <w:t xml:space="preserve">38.2.2 </w:t>
      </w:r>
      <w:bookmarkStart w:id="110"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24C6742F">
      <w:pPr>
        <w:ind w:firstLine="411" w:firstLineChars="196"/>
        <w:rPr>
          <w:rFonts w:hint="eastAsia" w:ascii="宋体" w:hAnsi="宋体"/>
          <w:szCs w:val="21"/>
        </w:rPr>
      </w:pPr>
      <w:r>
        <w:rPr>
          <w:rFonts w:hint="eastAsia" w:ascii="宋体" w:hAnsi="宋体"/>
          <w:szCs w:val="21"/>
        </w:rPr>
        <w:t>38.2.3</w:t>
      </w:r>
      <w:bookmarkStart w:id="111"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10"/>
      <w:bookmarkEnd w:id="111"/>
    </w:p>
    <w:p w14:paraId="6C63E95E">
      <w:pPr>
        <w:ind w:firstLine="411" w:firstLineChars="196"/>
        <w:rPr>
          <w:rFonts w:hint="eastAsia"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政府集中采购机构。具体定标程序及相关要求以按照《深圳市财政局关于&lt;深圳市政府采购评标定标分离管理办法&gt;续期的通知》（深财规〔2023〕1号）执行。</w:t>
      </w:r>
    </w:p>
    <w:p w14:paraId="4FFCA120">
      <w:pPr>
        <w:ind w:firstLine="411" w:firstLineChars="196"/>
        <w:rPr>
          <w:rFonts w:hint="eastAsia" w:ascii="宋体" w:hAnsi="宋体"/>
          <w:szCs w:val="21"/>
        </w:rPr>
      </w:pPr>
      <w:r>
        <w:rPr>
          <w:rFonts w:hint="eastAsia" w:ascii="宋体" w:hAnsi="宋体"/>
          <w:szCs w:val="21"/>
        </w:rPr>
        <w:t>说明：采购人及投标供应商应按照上述方法提前做好相关准备。</w:t>
      </w:r>
    </w:p>
    <w:p w14:paraId="29BE2AB5">
      <w:pPr>
        <w:ind w:firstLine="411" w:firstLineChars="196"/>
        <w:rPr>
          <w:rFonts w:hint="eastAsia" w:ascii="宋体" w:hAnsi="宋体"/>
          <w:szCs w:val="21"/>
        </w:rPr>
      </w:pPr>
      <w:r>
        <w:rPr>
          <w:rFonts w:hint="eastAsia" w:ascii="宋体" w:hAnsi="宋体"/>
          <w:szCs w:val="21"/>
        </w:rPr>
        <w:t>38.3专用条款另有规定的，按专用条款相关要求定标。</w:t>
      </w:r>
      <w:bookmarkEnd w:id="108"/>
    </w:p>
    <w:p w14:paraId="7F7932AC">
      <w:pPr>
        <w:rPr>
          <w:rFonts w:hint="eastAsia" w:ascii="黑体" w:hAnsi="宋体" w:eastAsia="黑体"/>
          <w:sz w:val="24"/>
        </w:rPr>
      </w:pPr>
      <w:r>
        <w:rPr>
          <w:rFonts w:hint="eastAsia" w:ascii="黑体" w:hAnsi="宋体" w:eastAsia="黑体"/>
          <w:sz w:val="24"/>
        </w:rPr>
        <w:t>39．编写评审报告</w:t>
      </w:r>
    </w:p>
    <w:p w14:paraId="6799F747">
      <w:pPr>
        <w:ind w:firstLine="411" w:firstLineChars="196"/>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18B0564E">
      <w:pPr>
        <w:rPr>
          <w:rFonts w:hint="eastAsia" w:ascii="黑体" w:hAnsi="宋体" w:eastAsia="黑体"/>
          <w:sz w:val="24"/>
        </w:rPr>
      </w:pPr>
      <w:r>
        <w:rPr>
          <w:rFonts w:hint="eastAsia" w:ascii="黑体" w:hAnsi="宋体" w:eastAsia="黑体"/>
          <w:sz w:val="24"/>
        </w:rPr>
        <w:t>40．中标公告</w:t>
      </w:r>
    </w:p>
    <w:p w14:paraId="3FEBBD50">
      <w:pPr>
        <w:ind w:firstLine="411" w:firstLineChars="196"/>
        <w:rPr>
          <w:rFonts w:hint="eastAsia" w:ascii="宋体" w:hAnsi="宋体"/>
          <w:szCs w:val="21"/>
        </w:rPr>
      </w:pPr>
      <w:r>
        <w:rPr>
          <w:rFonts w:hint="eastAsia" w:ascii="宋体" w:hAnsi="宋体"/>
          <w:szCs w:val="21"/>
        </w:rPr>
        <w:t>40.1</w:t>
      </w:r>
      <w:bookmarkStart w:id="112"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szCs w:val="21"/>
        </w:rPr>
        <w:t>深圳公共资源交易网（https://szggzy.com/）</w:t>
      </w:r>
      <w:r>
        <w:rPr>
          <w:rFonts w:hint="eastAsia" w:ascii="宋体" w:hAnsi="宋体"/>
          <w:szCs w:val="21"/>
        </w:rPr>
        <w:t>上发布中标结果公告。</w:t>
      </w:r>
      <w:bookmarkEnd w:id="112"/>
      <w:bookmarkStart w:id="113"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 监督电话：0755-83948143。</w:t>
      </w:r>
      <w:r>
        <w:rPr>
          <w:rFonts w:hint="eastAsia" w:ascii="宋体" w:hAnsi="宋体"/>
          <w:szCs w:val="21"/>
        </w:rPr>
        <w:t>若在公示期内未提出质疑，则视为认同该评审结果。</w:t>
      </w:r>
    </w:p>
    <w:bookmarkEnd w:id="113"/>
    <w:p w14:paraId="51CA6AC5">
      <w:pPr>
        <w:ind w:firstLine="411" w:firstLineChars="196"/>
        <w:rPr>
          <w:rFonts w:hint="eastAsia" w:ascii="宋体" w:hAnsi="宋体"/>
          <w:szCs w:val="21"/>
        </w:rPr>
      </w:pPr>
      <w:r>
        <w:rPr>
          <w:rFonts w:hint="eastAsia" w:ascii="宋体" w:hAnsi="宋体"/>
          <w:szCs w:val="21"/>
        </w:rPr>
        <w:t>40.2质疑、投诉供应商应保证质疑、投诉内容的真实性和可靠性，并承担相应的法律责任。</w:t>
      </w:r>
    </w:p>
    <w:p w14:paraId="5D6EF70F">
      <w:pPr>
        <w:rPr>
          <w:rFonts w:hint="eastAsia" w:ascii="黑体" w:hAnsi="宋体" w:eastAsia="黑体"/>
          <w:sz w:val="24"/>
        </w:rPr>
      </w:pPr>
      <w:r>
        <w:rPr>
          <w:rFonts w:hint="eastAsia" w:ascii="黑体" w:hAnsi="宋体" w:eastAsia="黑体"/>
          <w:sz w:val="24"/>
        </w:rPr>
        <w:t>41．中标通知书</w:t>
      </w:r>
    </w:p>
    <w:p w14:paraId="0508DF15">
      <w:pPr>
        <w:ind w:firstLine="411" w:firstLineChars="196"/>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4" w:name="_Hlk72438863"/>
      <w:r>
        <w:rPr>
          <w:rFonts w:hint="eastAsia" w:ascii="宋体" w:hAnsi="宋体"/>
          <w:szCs w:val="21"/>
        </w:rPr>
        <w:t>中标公告公布以后无异常的情况下,中标供应商和采购人可自行在</w:t>
      </w:r>
      <w:r>
        <w:rPr>
          <w:rFonts w:hint="eastAsia" w:ascii="宋体" w:hAnsi="宋体"/>
          <w:b/>
          <w:bCs/>
          <w:szCs w:val="21"/>
        </w:rPr>
        <w:t>“深圳政府采购智慧平台（http://zfcg.szggzy.com/）”</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4"/>
    </w:p>
    <w:p w14:paraId="4062D9EF">
      <w:pPr>
        <w:ind w:firstLine="411" w:firstLineChars="196"/>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2B4F6D3C">
      <w:pPr>
        <w:ind w:firstLine="411" w:firstLineChars="196"/>
        <w:rPr>
          <w:rFonts w:hint="eastAsia" w:ascii="宋体" w:hAnsi="宋体"/>
          <w:szCs w:val="21"/>
        </w:rPr>
      </w:pPr>
      <w:bookmarkStart w:id="115" w:name="_Hlk71407340"/>
      <w:r>
        <w:rPr>
          <w:rFonts w:hint="eastAsia" w:ascii="宋体" w:hAnsi="宋体"/>
          <w:szCs w:val="21"/>
        </w:rPr>
        <w:t>41.3因质疑投诉或其它原因导致项目结果变更或采购终止的，政府集中采购机构有权吊销中标通知书。</w:t>
      </w:r>
    </w:p>
    <w:bookmarkEnd w:id="115"/>
    <w:p w14:paraId="211E4E3F">
      <w:pPr>
        <w:ind w:firstLine="411" w:firstLineChars="196"/>
        <w:rPr>
          <w:rFonts w:hint="eastAsia" w:ascii="宋体" w:hAnsi="宋体"/>
          <w:szCs w:val="21"/>
        </w:rPr>
      </w:pPr>
    </w:p>
    <w:p w14:paraId="22AC8A40">
      <w:pPr>
        <w:pStyle w:val="4"/>
        <w:numPr>
          <w:ilvl w:val="0"/>
          <w:numId w:val="28"/>
        </w:numPr>
        <w:spacing w:before="120" w:beforeLines="50" w:after="120" w:afterLines="50"/>
        <w:ind w:left="562" w:hanging="562"/>
        <w:rPr>
          <w:sz w:val="28"/>
          <w:szCs w:val="28"/>
        </w:rPr>
      </w:pPr>
      <w:r>
        <w:rPr>
          <w:rFonts w:hint="eastAsia"/>
          <w:sz w:val="28"/>
          <w:szCs w:val="28"/>
        </w:rPr>
        <w:t>公开招标失败的后续处理</w:t>
      </w:r>
    </w:p>
    <w:p w14:paraId="5040780A">
      <w:pPr>
        <w:rPr>
          <w:rFonts w:hint="eastAsia" w:ascii="黑体" w:hAnsi="宋体" w:eastAsia="黑体"/>
          <w:sz w:val="24"/>
        </w:rPr>
      </w:pPr>
      <w:r>
        <w:rPr>
          <w:rFonts w:hint="eastAsia" w:ascii="黑体" w:hAnsi="宋体" w:eastAsia="黑体"/>
          <w:sz w:val="24"/>
        </w:rPr>
        <w:t>42．公开招标失败的处理</w:t>
      </w:r>
    </w:p>
    <w:p w14:paraId="5449F9B7">
      <w:pPr>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34FDB267">
      <w:pPr>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03B1F9DB">
      <w:pPr>
        <w:ind w:firstLine="411" w:firstLineChars="196"/>
        <w:rPr>
          <w:rFonts w:hint="eastAsia" w:ascii="宋体" w:hAnsi="宋体"/>
          <w:szCs w:val="21"/>
        </w:rPr>
      </w:pPr>
      <w:r>
        <w:rPr>
          <w:rFonts w:hint="eastAsia" w:ascii="宋体" w:hAnsi="宋体"/>
          <w:szCs w:val="21"/>
        </w:rPr>
        <w:t>42.3重新组织采购有以下两种组织形式：</w:t>
      </w:r>
    </w:p>
    <w:p w14:paraId="5DCAF144">
      <w:pPr>
        <w:ind w:firstLine="411" w:firstLineChars="196"/>
        <w:rPr>
          <w:rFonts w:hint="eastAsia" w:ascii="宋体" w:hAnsi="宋体"/>
        </w:rPr>
      </w:pPr>
      <w:r>
        <w:rPr>
          <w:rFonts w:hint="eastAsia" w:ascii="宋体" w:hAnsi="宋体"/>
        </w:rPr>
        <w:t>（1）由政府集中采购机构重新组织公开招标；</w:t>
      </w:r>
    </w:p>
    <w:p w14:paraId="4D96AC12">
      <w:pPr>
        <w:ind w:firstLine="411" w:firstLineChars="196"/>
        <w:rPr>
          <w:rFonts w:hint="eastAsia"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14:paraId="28541DBC">
      <w:pPr>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14:paraId="3E057E0D">
      <w:pPr>
        <w:rPr>
          <w:rFonts w:hint="eastAsia" w:ascii="宋体" w:hAnsi="宋体"/>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14:paraId="73C1A0DF">
      <w:pPr>
        <w:rPr>
          <w:rFonts w:hint="eastAsia" w:ascii="黑体" w:hAnsi="宋体" w:eastAsia="黑体"/>
          <w:sz w:val="24"/>
        </w:rPr>
      </w:pPr>
    </w:p>
    <w:p w14:paraId="66457748">
      <w:pPr>
        <w:pStyle w:val="4"/>
        <w:numPr>
          <w:ilvl w:val="0"/>
          <w:numId w:val="28"/>
        </w:numPr>
        <w:spacing w:before="120" w:beforeLines="50" w:after="120" w:afterLines="50"/>
        <w:ind w:left="562" w:hanging="562"/>
        <w:rPr>
          <w:sz w:val="28"/>
          <w:szCs w:val="28"/>
        </w:rPr>
      </w:pPr>
      <w:bookmarkStart w:id="116" w:name="_Hlk72439043"/>
      <w:r>
        <w:rPr>
          <w:rFonts w:hint="eastAsia"/>
          <w:sz w:val="28"/>
          <w:szCs w:val="28"/>
        </w:rPr>
        <w:t>合同的授予与备案</w:t>
      </w:r>
      <w:bookmarkEnd w:id="116"/>
    </w:p>
    <w:p w14:paraId="11FDF122">
      <w:pPr>
        <w:rPr>
          <w:rFonts w:hint="eastAsia" w:ascii="黑体" w:hAnsi="宋体" w:eastAsia="黑体"/>
          <w:sz w:val="24"/>
        </w:rPr>
      </w:pPr>
      <w:bookmarkStart w:id="117" w:name="_Toc100052408"/>
      <w:bookmarkStart w:id="118" w:name="_Toc73521674"/>
      <w:bookmarkStart w:id="119" w:name="_Toc73521586"/>
      <w:bookmarkStart w:id="120" w:name="_Toc73518157"/>
      <w:bookmarkStart w:id="121" w:name="_Toc73517679"/>
      <w:bookmarkStart w:id="122" w:name="_Hlk72439088"/>
      <w:r>
        <w:rPr>
          <w:rFonts w:hint="eastAsia" w:ascii="黑体" w:hAnsi="宋体" w:eastAsia="黑体"/>
          <w:sz w:val="24"/>
        </w:rPr>
        <w:t>43．合同授予标准</w:t>
      </w:r>
      <w:bookmarkEnd w:id="117"/>
      <w:bookmarkEnd w:id="118"/>
      <w:bookmarkEnd w:id="119"/>
      <w:bookmarkEnd w:id="120"/>
      <w:bookmarkEnd w:id="121"/>
    </w:p>
    <w:p w14:paraId="56184F03">
      <w:pPr>
        <w:ind w:firstLine="411" w:firstLineChars="196"/>
        <w:rPr>
          <w:rFonts w:hint="eastAsia" w:ascii="宋体" w:hAnsi="宋体"/>
          <w:szCs w:val="21"/>
        </w:rPr>
      </w:pPr>
      <w:r>
        <w:rPr>
          <w:rFonts w:hint="eastAsia" w:ascii="宋体" w:hAnsi="宋体"/>
          <w:szCs w:val="21"/>
        </w:rPr>
        <w:t>本项目的合同将授予经本招标文件规定评审确定的中标供应商。</w:t>
      </w:r>
    </w:p>
    <w:p w14:paraId="7D9BFFA0">
      <w:pPr>
        <w:rPr>
          <w:rFonts w:hint="eastAsia" w:ascii="黑体" w:hAnsi="宋体" w:eastAsia="黑体"/>
          <w:sz w:val="24"/>
        </w:rPr>
      </w:pPr>
      <w:bookmarkStart w:id="123" w:name="_Toc73521587"/>
      <w:bookmarkStart w:id="124" w:name="_Toc73518158"/>
      <w:bookmarkStart w:id="125" w:name="_Toc73521675"/>
      <w:bookmarkStart w:id="126" w:name="_Toc100052409"/>
      <w:bookmarkStart w:id="127" w:name="_Toc73517680"/>
      <w:r>
        <w:rPr>
          <w:rFonts w:hint="eastAsia" w:ascii="黑体" w:hAnsi="宋体" w:eastAsia="黑体"/>
          <w:sz w:val="24"/>
        </w:rPr>
        <w:t>44．</w:t>
      </w:r>
      <w:bookmarkEnd w:id="123"/>
      <w:bookmarkEnd w:id="124"/>
      <w:bookmarkEnd w:id="125"/>
      <w:bookmarkEnd w:id="126"/>
      <w:bookmarkEnd w:id="127"/>
      <w:r>
        <w:rPr>
          <w:rFonts w:hint="eastAsia" w:ascii="黑体" w:hAnsi="宋体" w:eastAsia="黑体"/>
          <w:sz w:val="24"/>
        </w:rPr>
        <w:t>接受和拒绝任何或所有投标的权力</w:t>
      </w:r>
    </w:p>
    <w:p w14:paraId="64AA9FA6">
      <w:pPr>
        <w:ind w:firstLine="411" w:firstLineChars="196"/>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0BB8D55">
      <w:pPr>
        <w:rPr>
          <w:rFonts w:hint="eastAsia" w:ascii="黑体" w:hAnsi="宋体" w:eastAsia="黑体"/>
          <w:sz w:val="24"/>
        </w:rPr>
      </w:pPr>
      <w:bookmarkStart w:id="128" w:name="_Toc73518160"/>
      <w:bookmarkStart w:id="129" w:name="_Toc100052410"/>
      <w:bookmarkStart w:id="130" w:name="_Toc73521677"/>
      <w:bookmarkStart w:id="131" w:name="_Toc73521589"/>
      <w:bookmarkStart w:id="132" w:name="_Toc73517682"/>
      <w:r>
        <w:rPr>
          <w:rFonts w:hint="eastAsia" w:ascii="黑体" w:hAnsi="宋体" w:eastAsia="黑体"/>
          <w:sz w:val="24"/>
        </w:rPr>
        <w:t>45．合同的签订</w:t>
      </w:r>
      <w:bookmarkEnd w:id="128"/>
      <w:bookmarkEnd w:id="129"/>
      <w:bookmarkEnd w:id="130"/>
      <w:bookmarkEnd w:id="131"/>
      <w:bookmarkEnd w:id="132"/>
    </w:p>
    <w:p w14:paraId="3629AA2E">
      <w:pPr>
        <w:ind w:firstLine="411" w:firstLineChars="196"/>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7772784E">
      <w:pPr>
        <w:ind w:firstLine="411" w:firstLineChars="196"/>
        <w:rPr>
          <w:rFonts w:hint="eastAsia"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7D7E4C95">
      <w:pPr>
        <w:ind w:firstLine="411" w:firstLineChars="196"/>
        <w:rPr>
          <w:rFonts w:hint="eastAsia" w:ascii="宋体" w:hAnsi="宋体"/>
          <w:szCs w:val="21"/>
        </w:rPr>
      </w:pPr>
      <w:r>
        <w:rPr>
          <w:rFonts w:hint="eastAsia" w:ascii="宋体" w:hAnsi="宋体"/>
          <w:szCs w:val="21"/>
        </w:rPr>
        <w:t>45.3中标人应当按照合同约定履行义务，完成中标项目，不得将中标项目转让（转包）给他人。</w:t>
      </w:r>
    </w:p>
    <w:p w14:paraId="714CE0E5">
      <w:pPr>
        <w:rPr>
          <w:rFonts w:hint="eastAsia" w:ascii="黑体" w:hAnsi="宋体" w:eastAsia="黑体"/>
          <w:sz w:val="24"/>
        </w:rPr>
      </w:pPr>
      <w:bookmarkStart w:id="133" w:name="_Toc73518161"/>
      <w:bookmarkStart w:id="134" w:name="_Toc73521678"/>
      <w:bookmarkStart w:id="135" w:name="_Toc73521590"/>
      <w:bookmarkStart w:id="136" w:name="_Toc73517683"/>
      <w:bookmarkStart w:id="137" w:name="_Toc100052411"/>
      <w:r>
        <w:rPr>
          <w:rFonts w:hint="eastAsia" w:ascii="黑体" w:hAnsi="宋体" w:eastAsia="黑体"/>
          <w:sz w:val="24"/>
        </w:rPr>
        <w:t>46．履约担保</w:t>
      </w:r>
      <w:bookmarkEnd w:id="133"/>
      <w:bookmarkEnd w:id="134"/>
      <w:bookmarkEnd w:id="135"/>
      <w:bookmarkEnd w:id="136"/>
      <w:bookmarkEnd w:id="137"/>
    </w:p>
    <w:p w14:paraId="2D5C9945">
      <w:pPr>
        <w:ind w:firstLine="411" w:firstLineChars="196"/>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14:paraId="5470AB15">
      <w:pPr>
        <w:ind w:firstLine="411" w:firstLineChars="196"/>
        <w:rPr>
          <w:rFonts w:hint="eastAsia"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01601542">
      <w:pPr>
        <w:rPr>
          <w:rFonts w:hint="eastAsia" w:ascii="黑体" w:hAnsi="宋体" w:eastAsia="黑体"/>
          <w:sz w:val="24"/>
        </w:rPr>
      </w:pPr>
      <w:r>
        <w:rPr>
          <w:rFonts w:hint="eastAsia" w:ascii="黑体" w:hAnsi="宋体" w:eastAsia="黑体"/>
          <w:sz w:val="24"/>
        </w:rPr>
        <w:t>47. 合同备案</w:t>
      </w:r>
    </w:p>
    <w:p w14:paraId="5E1C232C">
      <w:pPr>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采购人与中标供应商自中标通知书发出之日起10个工作日内签订政府采购合同，</w:t>
      </w:r>
      <w:r>
        <w:rPr>
          <w:rFonts w:hint="eastAsia" w:ascii="宋体" w:hAnsi="宋体"/>
          <w:szCs w:val="21"/>
        </w:rPr>
        <w:t>并按财政部门规定提交备案。</w:t>
      </w:r>
    </w:p>
    <w:p w14:paraId="787E308A">
      <w:pPr>
        <w:rPr>
          <w:rFonts w:hint="eastAsia" w:ascii="黑体" w:hAnsi="宋体" w:eastAsia="黑体"/>
          <w:sz w:val="24"/>
        </w:rPr>
      </w:pPr>
      <w:r>
        <w:rPr>
          <w:rFonts w:hint="eastAsia" w:ascii="黑体" w:hAnsi="宋体" w:eastAsia="黑体"/>
          <w:sz w:val="24"/>
        </w:rPr>
        <w:t>48. 合同变更</w:t>
      </w:r>
    </w:p>
    <w:p w14:paraId="1C191678">
      <w:pPr>
        <w:ind w:firstLine="411" w:firstLineChars="196"/>
        <w:rPr>
          <w:rFonts w:hint="eastAsia" w:ascii="宋体" w:hAnsi="宋体"/>
          <w:szCs w:val="21"/>
        </w:rPr>
      </w:pPr>
      <w:r>
        <w:rPr>
          <w:rFonts w:hint="eastAsia" w:ascii="宋体" w:hAnsi="宋体"/>
          <w:szCs w:val="21"/>
        </w:rPr>
        <w:t>合同变更事宜按《深圳市财政局关于优化政府采购合同备案的通知》（深财发保〔2022〕2号）相关规定执行。</w:t>
      </w:r>
    </w:p>
    <w:p w14:paraId="097FC8A6">
      <w:pPr>
        <w:rPr>
          <w:rFonts w:hint="eastAsia" w:ascii="黑体" w:hAnsi="宋体" w:eastAsia="黑体"/>
          <w:sz w:val="24"/>
        </w:rPr>
      </w:pPr>
      <w:r>
        <w:rPr>
          <w:rFonts w:hint="eastAsia" w:ascii="黑体" w:hAnsi="宋体" w:eastAsia="黑体"/>
          <w:sz w:val="24"/>
        </w:rPr>
        <w:t>49. 项目验收</w:t>
      </w:r>
    </w:p>
    <w:p w14:paraId="06412D9F">
      <w:pPr>
        <w:widowControl/>
        <w:ind w:right="176" w:firstLine="420"/>
        <w:jc w:val="left"/>
        <w:rPr>
          <w:rFonts w:hint="eastAsia" w:ascii="宋体" w:hAnsi="宋体"/>
        </w:rPr>
      </w:pPr>
      <w:r>
        <w:rPr>
          <w:rFonts w:hint="eastAsia" w:ascii="宋体" w:hAnsi="宋体"/>
        </w:rPr>
        <w:t>49.1采购人应当按照招标文件和合同规定的标准和方法，及时组织验收。</w:t>
      </w:r>
      <w:r>
        <w:rPr>
          <w:rFonts w:ascii="宋体" w:hAnsi="宋体"/>
        </w:rPr>
        <w:t xml:space="preserve"> </w:t>
      </w:r>
    </w:p>
    <w:p w14:paraId="0D7FF1C6">
      <w:pPr>
        <w:rPr>
          <w:rFonts w:hint="eastAsia" w:ascii="黑体" w:hAnsi="宋体" w:eastAsia="黑体"/>
          <w:sz w:val="24"/>
        </w:rPr>
      </w:pPr>
      <w:r>
        <w:rPr>
          <w:rFonts w:hint="eastAsia" w:ascii="黑体" w:hAnsi="宋体" w:eastAsia="黑体"/>
          <w:sz w:val="24"/>
        </w:rPr>
        <w:t>50. 宣传</w:t>
      </w:r>
    </w:p>
    <w:p w14:paraId="006AF793">
      <w:pPr>
        <w:ind w:left="210" w:leftChars="100" w:firstLine="411" w:firstLineChars="196"/>
        <w:rPr>
          <w:rFonts w:hint="eastAsia"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22A87030">
      <w:pPr>
        <w:ind w:left="210" w:leftChars="100" w:firstLine="411" w:firstLineChars="196"/>
        <w:rPr>
          <w:rFonts w:hint="eastAsia" w:ascii="宋体" w:hAnsi="宋体"/>
        </w:rPr>
      </w:pPr>
      <w:r>
        <w:rPr>
          <w:rFonts w:ascii="宋体" w:hAnsi="宋体"/>
        </w:rPr>
        <w:t>a.名片、宣传册、广告标语等；</w:t>
      </w:r>
    </w:p>
    <w:p w14:paraId="32E4943E">
      <w:pPr>
        <w:ind w:left="210" w:leftChars="100" w:firstLine="411" w:firstLineChars="196"/>
        <w:rPr>
          <w:rFonts w:hint="eastAsia" w:ascii="宋体" w:hAnsi="宋体"/>
        </w:rPr>
      </w:pPr>
      <w:r>
        <w:rPr>
          <w:rFonts w:ascii="宋体" w:hAnsi="宋体"/>
        </w:rPr>
        <w:t>b.案例介绍、推广等；</w:t>
      </w:r>
    </w:p>
    <w:p w14:paraId="0617D359">
      <w:pPr>
        <w:ind w:left="210" w:leftChars="100" w:firstLine="411" w:firstLineChars="196"/>
        <w:rPr>
          <w:rFonts w:hint="eastAsia" w:ascii="宋体" w:hAnsi="宋体"/>
        </w:rPr>
      </w:pPr>
      <w:r>
        <w:rPr>
          <w:rFonts w:hint="eastAsia" w:ascii="宋体" w:hAnsi="宋体"/>
        </w:rPr>
        <w:t>c.工作</w:t>
      </w:r>
      <w:r>
        <w:rPr>
          <w:rFonts w:ascii="宋体" w:hAnsi="宋体"/>
        </w:rPr>
        <w:t>人员向其他消费群体宣传。</w:t>
      </w:r>
    </w:p>
    <w:p w14:paraId="5B13BDBB">
      <w:pPr>
        <w:rPr>
          <w:rFonts w:hint="eastAsia" w:ascii="黑体" w:hAnsi="宋体" w:eastAsia="黑体"/>
          <w:sz w:val="24"/>
        </w:rPr>
      </w:pPr>
      <w:r>
        <w:rPr>
          <w:rFonts w:hint="eastAsia" w:ascii="黑体" w:hAnsi="宋体" w:eastAsia="黑体"/>
          <w:sz w:val="24"/>
        </w:rPr>
        <w:t>51. 供应商违法责任</w:t>
      </w:r>
    </w:p>
    <w:p w14:paraId="1F62A091">
      <w:pPr>
        <w:ind w:firstLine="411" w:firstLineChars="196"/>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5B68C94">
      <w:pPr>
        <w:ind w:firstLine="411" w:firstLineChars="196"/>
        <w:rPr>
          <w:rFonts w:hint="eastAsia" w:ascii="宋体" w:hAnsi="宋体"/>
          <w:szCs w:val="21"/>
        </w:rPr>
      </w:pPr>
      <w:r>
        <w:rPr>
          <w:rFonts w:hint="eastAsia" w:ascii="宋体" w:hAnsi="宋体"/>
          <w:szCs w:val="21"/>
        </w:rPr>
        <w:t>（1）在采购活动中应当回避而未回避的；</w:t>
      </w:r>
    </w:p>
    <w:p w14:paraId="673BE28E">
      <w:pPr>
        <w:ind w:firstLine="411" w:firstLineChars="196"/>
        <w:rPr>
          <w:rFonts w:hint="eastAsia" w:ascii="宋体" w:hAnsi="宋体"/>
          <w:szCs w:val="21"/>
        </w:rPr>
      </w:pPr>
      <w:r>
        <w:rPr>
          <w:rFonts w:hint="eastAsia" w:ascii="宋体" w:hAnsi="宋体"/>
          <w:szCs w:val="21"/>
        </w:rPr>
        <w:t>（2）未按本条例规定签订、履行采购合同，造成严重后果的；</w:t>
      </w:r>
    </w:p>
    <w:p w14:paraId="7F6F44CA">
      <w:pPr>
        <w:ind w:firstLine="411" w:firstLineChars="196"/>
        <w:rPr>
          <w:rFonts w:hint="eastAsia" w:ascii="宋体" w:hAnsi="宋体"/>
          <w:szCs w:val="21"/>
        </w:rPr>
      </w:pPr>
      <w:r>
        <w:rPr>
          <w:rFonts w:hint="eastAsia" w:ascii="宋体" w:hAnsi="宋体"/>
          <w:szCs w:val="21"/>
        </w:rPr>
        <w:t>（3）隐瞒真实情况，提供虚假资料的；</w:t>
      </w:r>
    </w:p>
    <w:p w14:paraId="6AAEE61A">
      <w:pPr>
        <w:ind w:firstLine="411" w:firstLineChars="196"/>
        <w:rPr>
          <w:rFonts w:hint="eastAsia" w:ascii="宋体" w:hAnsi="宋体"/>
          <w:szCs w:val="21"/>
        </w:rPr>
      </w:pPr>
      <w:r>
        <w:rPr>
          <w:rFonts w:hint="eastAsia" w:ascii="宋体" w:hAnsi="宋体"/>
          <w:szCs w:val="21"/>
        </w:rPr>
        <w:t>（4）以非法手段排斥其他供应商参与竞争的；</w:t>
      </w:r>
    </w:p>
    <w:p w14:paraId="52BE62DD">
      <w:pPr>
        <w:ind w:firstLine="411" w:firstLineChars="196"/>
        <w:rPr>
          <w:rFonts w:hint="eastAsia" w:ascii="宋体" w:hAnsi="宋体"/>
          <w:szCs w:val="21"/>
        </w:rPr>
      </w:pPr>
      <w:r>
        <w:rPr>
          <w:rFonts w:hint="eastAsia" w:ascii="宋体" w:hAnsi="宋体"/>
          <w:szCs w:val="21"/>
        </w:rPr>
        <w:t>（5）与其他采购参加人串通投标的；</w:t>
      </w:r>
    </w:p>
    <w:p w14:paraId="6CE395F1">
      <w:pPr>
        <w:ind w:firstLine="411" w:firstLineChars="196"/>
        <w:rPr>
          <w:rFonts w:hint="eastAsia" w:ascii="宋体" w:hAnsi="宋体"/>
          <w:szCs w:val="21"/>
        </w:rPr>
      </w:pPr>
      <w:r>
        <w:rPr>
          <w:rFonts w:hint="eastAsia" w:ascii="宋体" w:hAnsi="宋体"/>
          <w:szCs w:val="21"/>
        </w:rPr>
        <w:t>（6）恶意投诉的；</w:t>
      </w:r>
    </w:p>
    <w:p w14:paraId="71FC40B3">
      <w:pPr>
        <w:ind w:firstLine="411" w:firstLineChars="196"/>
        <w:rPr>
          <w:rFonts w:hint="eastAsia" w:ascii="宋体" w:hAnsi="宋体"/>
          <w:szCs w:val="21"/>
        </w:rPr>
      </w:pPr>
      <w:r>
        <w:rPr>
          <w:rFonts w:hint="eastAsia" w:ascii="宋体" w:hAnsi="宋体"/>
          <w:szCs w:val="21"/>
        </w:rPr>
        <w:t>（7）向采购项目相关人行贿或者提供其他不当利益的；</w:t>
      </w:r>
    </w:p>
    <w:p w14:paraId="754B007F">
      <w:pPr>
        <w:ind w:firstLine="411" w:firstLineChars="196"/>
        <w:rPr>
          <w:rFonts w:hint="eastAsia" w:ascii="宋体" w:hAnsi="宋体"/>
          <w:szCs w:val="21"/>
        </w:rPr>
      </w:pPr>
      <w:r>
        <w:rPr>
          <w:rFonts w:hint="eastAsia" w:ascii="宋体" w:hAnsi="宋体"/>
          <w:szCs w:val="21"/>
        </w:rPr>
        <w:t>（8）阻碍、抗拒主管部门监督检查的；</w:t>
      </w:r>
    </w:p>
    <w:p w14:paraId="595EF083">
      <w:pPr>
        <w:ind w:firstLine="411" w:firstLineChars="196"/>
        <w:rPr>
          <w:rFonts w:hint="eastAsia" w:ascii="宋体" w:hAnsi="宋体"/>
          <w:szCs w:val="21"/>
        </w:rPr>
      </w:pPr>
      <w:r>
        <w:rPr>
          <w:rFonts w:hint="eastAsia" w:ascii="宋体" w:hAnsi="宋体"/>
          <w:szCs w:val="21"/>
        </w:rPr>
        <w:t>（9）其他违反本条例规定的行为。</w:t>
      </w:r>
    </w:p>
    <w:p w14:paraId="2A3DAC7B">
      <w:pPr>
        <w:ind w:firstLine="411" w:firstLineChars="196"/>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38" w:name="_Hlk72440769"/>
      <w:r>
        <w:rPr>
          <w:rFonts w:hint="eastAsia" w:ascii="宋体" w:hAnsi="宋体"/>
          <w:szCs w:val="21"/>
        </w:rPr>
        <w:t>政府集中采购机构或采购人不予退还其交纳的谈判保证金，情节严重的，并由主管部门</w:t>
      </w:r>
      <w:bookmarkEnd w:id="138"/>
      <w:r>
        <w:rPr>
          <w:rFonts w:hint="eastAsia" w:ascii="宋体" w:hAnsi="宋体"/>
          <w:szCs w:val="21"/>
        </w:rPr>
        <w:t>记入供应商诚信档案，予以通报：</w:t>
      </w:r>
    </w:p>
    <w:p w14:paraId="1B0EAAD3">
      <w:pPr>
        <w:ind w:firstLine="411" w:firstLineChars="196"/>
        <w:rPr>
          <w:rFonts w:hint="eastAsia" w:ascii="宋体" w:hAnsi="宋体"/>
          <w:szCs w:val="21"/>
        </w:rPr>
      </w:pPr>
      <w:r>
        <w:rPr>
          <w:rFonts w:hint="eastAsia" w:ascii="宋体" w:hAnsi="宋体"/>
          <w:szCs w:val="21"/>
        </w:rPr>
        <w:t>（1</w:t>
      </w:r>
      <w:r>
        <w:rPr>
          <w:rFonts w:ascii="宋体" w:hAnsi="宋体"/>
          <w:szCs w:val="21"/>
        </w:rPr>
        <w:t>）投标截止后，撤销投标的；</w:t>
      </w:r>
    </w:p>
    <w:p w14:paraId="1CBC26B6">
      <w:pPr>
        <w:ind w:firstLine="411" w:firstLineChars="196"/>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7925E796">
      <w:pPr>
        <w:ind w:firstLine="411" w:firstLineChars="196"/>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3E324CAB">
      <w:pPr>
        <w:ind w:firstLine="411" w:firstLineChars="196"/>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22"/>
    <w:p w14:paraId="2AB41A9B">
      <w:pPr>
        <w:pStyle w:val="4"/>
        <w:numPr>
          <w:ilvl w:val="0"/>
          <w:numId w:val="28"/>
        </w:numPr>
        <w:spacing w:before="120" w:beforeLines="50" w:after="120" w:afterLines="50"/>
        <w:ind w:left="562" w:hanging="562"/>
        <w:rPr>
          <w:sz w:val="28"/>
          <w:szCs w:val="28"/>
        </w:rPr>
      </w:pPr>
      <w:r>
        <w:rPr>
          <w:rFonts w:hint="eastAsia"/>
          <w:sz w:val="28"/>
          <w:szCs w:val="28"/>
        </w:rPr>
        <w:t>质疑处理</w:t>
      </w:r>
    </w:p>
    <w:p w14:paraId="5A6D8805">
      <w:pPr>
        <w:rPr>
          <w:rFonts w:hint="eastAsia" w:ascii="黑体" w:hAnsi="宋体" w:eastAsia="黑体"/>
          <w:sz w:val="24"/>
        </w:rPr>
      </w:pPr>
      <w:bookmarkStart w:id="139" w:name="_Hlk72439706"/>
      <w:r>
        <w:rPr>
          <w:rFonts w:hint="eastAsia" w:ascii="黑体" w:hAnsi="宋体" w:eastAsia="黑体"/>
          <w:sz w:val="24"/>
        </w:rPr>
        <w:t>52.质疑提出与答复</w:t>
      </w:r>
    </w:p>
    <w:p w14:paraId="37080E3F">
      <w:pPr>
        <w:rPr>
          <w:rFonts w:hint="eastAsia" w:ascii="宋体" w:hAnsi="宋体"/>
          <w:szCs w:val="21"/>
        </w:rPr>
      </w:pPr>
      <w:r>
        <w:rPr>
          <w:rFonts w:hint="eastAsia" w:ascii="宋体" w:hAnsi="宋体"/>
          <w:szCs w:val="21"/>
        </w:rPr>
        <w:t xml:space="preserve">    52.1提出质疑</w:t>
      </w:r>
    </w:p>
    <w:p w14:paraId="4B1745FA">
      <w:pPr>
        <w:rPr>
          <w:rFonts w:hint="eastAsia"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56E45F69">
      <w:pPr>
        <w:rPr>
          <w:rFonts w:hint="eastAsia" w:ascii="宋体" w:hAnsi="宋体"/>
          <w:szCs w:val="21"/>
        </w:rPr>
      </w:pPr>
      <w:r>
        <w:rPr>
          <w:rFonts w:hint="eastAsia" w:ascii="宋体" w:hAnsi="宋体"/>
          <w:szCs w:val="21"/>
        </w:rPr>
        <w:t xml:space="preserve">    52.2</w:t>
      </w:r>
      <w:r>
        <w:rPr>
          <w:rFonts w:ascii="宋体" w:hAnsi="宋体"/>
          <w:szCs w:val="21"/>
        </w:rPr>
        <w:t>法律依据</w:t>
      </w:r>
    </w:p>
    <w:p w14:paraId="122D25F3">
      <w:pPr>
        <w:rPr>
          <w:rFonts w:hint="eastAsia" w:ascii="宋体" w:hAnsi="宋体"/>
          <w:szCs w:val="21"/>
        </w:rPr>
      </w:pPr>
      <w:r>
        <w:rPr>
          <w:rFonts w:hint="eastAsia" w:ascii="宋体" w:hAnsi="宋体"/>
          <w:szCs w:val="21"/>
        </w:rPr>
        <w:t xml:space="preserve">    《中华人民共和国政府采购法》、《中华人民共和国政府采购法实施条例》、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691596D8">
      <w:pPr>
        <w:rPr>
          <w:rFonts w:hint="eastAsia"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14:paraId="7C48C5D1">
      <w:pPr>
        <w:rPr>
          <w:rFonts w:hint="eastAsia" w:ascii="宋体" w:hAnsi="宋体"/>
          <w:szCs w:val="21"/>
        </w:rPr>
      </w:pPr>
      <w:r>
        <w:rPr>
          <w:rFonts w:hint="eastAsia" w:ascii="宋体" w:hAnsi="宋体"/>
          <w:szCs w:val="21"/>
        </w:rPr>
        <w:t xml:space="preserve">    52.3.1提出质疑的供应商应当是参与所质疑项目采购活动的供应商；</w:t>
      </w:r>
      <w:bookmarkStart w:id="140" w:name="_Hlk75374941"/>
      <w:r>
        <w:rPr>
          <w:rFonts w:hint="eastAsia" w:ascii="宋体" w:hAnsi="宋体"/>
          <w:szCs w:val="21"/>
        </w:rPr>
        <w:t>以联合体形式参与的，质疑应当由组成联合体的所有成员共同提出</w:t>
      </w:r>
      <w:bookmarkEnd w:id="140"/>
      <w:r>
        <w:rPr>
          <w:rFonts w:hint="eastAsia" w:ascii="宋体" w:hAnsi="宋体"/>
          <w:szCs w:val="21"/>
        </w:rPr>
        <w:t>；</w:t>
      </w:r>
    </w:p>
    <w:p w14:paraId="0ED9CB9B">
      <w:pPr>
        <w:rPr>
          <w:rFonts w:hint="eastAsia"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采购文件的质疑，为采购文件公布之日；对采购过程的质疑，为各采购程序环节结束之日；对中标（成交）结果以及评审委员会组成人员的质疑，为中标（成交）结果公示之日；</w:t>
      </w:r>
    </w:p>
    <w:p w14:paraId="5464A358">
      <w:pPr>
        <w:ind w:firstLine="42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33DB3CFD">
      <w:pPr>
        <w:ind w:firstLine="420"/>
        <w:rPr>
          <w:rFonts w:hint="eastAsia" w:ascii="宋体" w:hAnsi="宋体"/>
          <w:szCs w:val="21"/>
        </w:rPr>
      </w:pPr>
      <w:r>
        <w:rPr>
          <w:rFonts w:hint="eastAsia" w:ascii="宋体" w:hAnsi="宋体"/>
          <w:szCs w:val="21"/>
        </w:rPr>
        <w:t>（1）供应商的名称（或者姓名）、地址、邮编、邮箱、联系人及联系电话；</w:t>
      </w:r>
    </w:p>
    <w:p w14:paraId="7CBF7D77">
      <w:pPr>
        <w:ind w:firstLine="420" w:firstLineChars="200"/>
        <w:rPr>
          <w:rFonts w:hint="eastAsia" w:ascii="宋体" w:hAnsi="宋体"/>
          <w:szCs w:val="21"/>
        </w:rPr>
      </w:pPr>
      <w:r>
        <w:rPr>
          <w:rFonts w:hint="eastAsia" w:ascii="宋体" w:hAnsi="宋体"/>
          <w:szCs w:val="21"/>
        </w:rPr>
        <w:t>（2）质疑项目的名称、编号；</w:t>
      </w:r>
    </w:p>
    <w:p w14:paraId="593D29FA">
      <w:pPr>
        <w:ind w:firstLine="420" w:firstLineChars="200"/>
        <w:rPr>
          <w:rFonts w:hint="eastAsia" w:ascii="宋体" w:hAnsi="宋体"/>
          <w:szCs w:val="21"/>
        </w:rPr>
      </w:pPr>
      <w:r>
        <w:rPr>
          <w:rFonts w:hint="eastAsia" w:ascii="宋体" w:hAnsi="宋体"/>
          <w:szCs w:val="21"/>
        </w:rPr>
        <w:t>（3）具体、明确的质疑对象、质疑事项和质疑请求；</w:t>
      </w:r>
    </w:p>
    <w:p w14:paraId="1A803D74">
      <w:pPr>
        <w:ind w:firstLine="420" w:firstLineChars="200"/>
        <w:rPr>
          <w:rFonts w:hint="eastAsia" w:ascii="宋体" w:hAnsi="宋体"/>
          <w:szCs w:val="21"/>
        </w:rPr>
      </w:pPr>
      <w:r>
        <w:rPr>
          <w:rFonts w:hint="eastAsia" w:ascii="宋体" w:hAnsi="宋体"/>
          <w:szCs w:val="21"/>
        </w:rPr>
        <w:t>（4）因质疑事项而受损害的权益；</w:t>
      </w:r>
    </w:p>
    <w:p w14:paraId="44C2589E">
      <w:pPr>
        <w:ind w:firstLine="420" w:firstLineChars="200"/>
        <w:rPr>
          <w:rFonts w:hint="eastAsia" w:ascii="宋体" w:hAnsi="宋体"/>
          <w:szCs w:val="21"/>
        </w:rPr>
      </w:pPr>
      <w:r>
        <w:rPr>
          <w:rFonts w:hint="eastAsia" w:ascii="宋体" w:hAnsi="宋体"/>
          <w:szCs w:val="21"/>
        </w:rPr>
        <w:t>（5）事实依据；</w:t>
      </w:r>
    </w:p>
    <w:p w14:paraId="6ECE7831">
      <w:pPr>
        <w:ind w:firstLine="420" w:firstLineChars="200"/>
        <w:rPr>
          <w:rFonts w:hint="eastAsia" w:ascii="宋体" w:hAnsi="宋体"/>
          <w:szCs w:val="21"/>
        </w:rPr>
      </w:pPr>
      <w:r>
        <w:rPr>
          <w:rFonts w:hint="eastAsia" w:ascii="宋体" w:hAnsi="宋体"/>
          <w:szCs w:val="21"/>
        </w:rPr>
        <w:t>（6）必要的法律依据；</w:t>
      </w:r>
    </w:p>
    <w:p w14:paraId="01E5E4FE">
      <w:pPr>
        <w:ind w:firstLine="420" w:firstLineChars="200"/>
        <w:rPr>
          <w:rFonts w:hint="eastAsia" w:ascii="宋体" w:hAnsi="宋体"/>
          <w:szCs w:val="21"/>
        </w:rPr>
      </w:pPr>
      <w:r>
        <w:rPr>
          <w:rFonts w:hint="eastAsia" w:ascii="宋体" w:hAnsi="宋体"/>
          <w:szCs w:val="21"/>
        </w:rPr>
        <w:t>（7）提出质疑的日期。</w:t>
      </w:r>
    </w:p>
    <w:p w14:paraId="6B8E9B0B">
      <w:pPr>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58DEECBC">
      <w:pPr>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14:paraId="7B2CBCE3">
      <w:pPr>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7E575370">
      <w:pPr>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728DD01">
      <w:pPr>
        <w:ind w:firstLine="420" w:firstLineChars="200"/>
        <w:rPr>
          <w:rFonts w:hint="eastAsia" w:ascii="宋体" w:hAnsi="宋体"/>
          <w:szCs w:val="21"/>
        </w:rPr>
      </w:pPr>
      <w:r>
        <w:rPr>
          <w:rFonts w:hint="eastAsia" w:ascii="宋体" w:hAnsi="宋体"/>
          <w:szCs w:val="21"/>
        </w:rPr>
        <w:t>52.5收文地点</w:t>
      </w:r>
    </w:p>
    <w:p w14:paraId="75B37029">
      <w:pPr>
        <w:ind w:firstLine="422" w:firstLineChars="200"/>
        <w:rPr>
          <w:rFonts w:hint="eastAsia" w:ascii="宋体" w:hAnsi="宋体"/>
          <w:b/>
          <w:bCs/>
          <w:szCs w:val="21"/>
        </w:rPr>
      </w:pPr>
      <w:r>
        <w:rPr>
          <w:rFonts w:hint="eastAsia" w:ascii="宋体" w:hAnsi="宋体"/>
          <w:b/>
          <w:bCs/>
          <w:szCs w:val="21"/>
        </w:rPr>
        <w:t>地址：深圳公共资源交易中心（深圳交易集团有限公司政府采购业务分公司）深圳市南山区沙河西路3185号南山智谷A座（深圳交易集团总部大楼）27楼，质疑咨询电话：0755-86500050。</w:t>
      </w:r>
    </w:p>
    <w:p w14:paraId="7FE2DE62">
      <w:pPr>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14:paraId="3D7A61CB">
      <w:pPr>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1B067CE5">
      <w:pPr>
        <w:ind w:firstLine="420" w:firstLineChars="200"/>
        <w:rPr>
          <w:rFonts w:hint="eastAsia" w:ascii="仿宋" w:hAnsi="仿宋" w:eastAsia="仿宋"/>
          <w:sz w:val="28"/>
          <w:szCs w:val="28"/>
        </w:rPr>
      </w:pPr>
      <w:r>
        <w:rPr>
          <w:rFonts w:hint="eastAsia" w:ascii="宋体" w:hAnsi="宋体"/>
          <w:szCs w:val="21"/>
        </w:rPr>
        <w:t>52.6.2供应商提交的质疑材料不符合质疑条件的，视情况处理：</w:t>
      </w:r>
    </w:p>
    <w:p w14:paraId="62F20FFE">
      <w:pPr>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7B5C62F4">
      <w:pPr>
        <w:ind w:firstLine="420" w:firstLineChars="200"/>
        <w:rPr>
          <w:rFonts w:hint="eastAsia" w:ascii="宋体" w:hAnsi="宋体"/>
          <w:szCs w:val="21"/>
        </w:rPr>
      </w:pPr>
      <w:r>
        <w:rPr>
          <w:rFonts w:hint="eastAsia" w:ascii="宋体" w:hAnsi="宋体"/>
          <w:szCs w:val="21"/>
        </w:rPr>
        <w:t>供应商提交的质疑存在下列情形之一的，不予受理：</w:t>
      </w:r>
    </w:p>
    <w:p w14:paraId="224D291F">
      <w:pPr>
        <w:ind w:firstLine="420" w:firstLineChars="200"/>
        <w:rPr>
          <w:rFonts w:hint="eastAsia" w:ascii="宋体" w:hAnsi="宋体"/>
          <w:szCs w:val="21"/>
        </w:rPr>
      </w:pPr>
      <w:r>
        <w:rPr>
          <w:rFonts w:hint="eastAsia" w:ascii="宋体" w:hAnsi="宋体"/>
          <w:szCs w:val="21"/>
        </w:rPr>
        <w:t>（1）质疑主体不满足要求的；</w:t>
      </w:r>
    </w:p>
    <w:p w14:paraId="052F551E">
      <w:pPr>
        <w:ind w:firstLine="420" w:firstLineChars="200"/>
        <w:rPr>
          <w:rFonts w:hint="eastAsia" w:ascii="宋体" w:hAnsi="宋体"/>
          <w:szCs w:val="21"/>
        </w:rPr>
      </w:pPr>
      <w:r>
        <w:rPr>
          <w:rFonts w:hint="eastAsia" w:ascii="宋体" w:hAnsi="宋体"/>
          <w:szCs w:val="21"/>
        </w:rPr>
        <w:t>（2）供应商自身权益未受到损害的；</w:t>
      </w:r>
    </w:p>
    <w:p w14:paraId="03E124FC">
      <w:pPr>
        <w:ind w:firstLine="420" w:firstLineChars="200"/>
        <w:rPr>
          <w:rFonts w:hint="eastAsia" w:ascii="宋体" w:hAnsi="宋体"/>
          <w:szCs w:val="21"/>
        </w:rPr>
      </w:pPr>
      <w:r>
        <w:rPr>
          <w:rFonts w:hint="eastAsia" w:ascii="宋体" w:hAnsi="宋体"/>
          <w:szCs w:val="21"/>
        </w:rPr>
        <w:t>（3）供应商未在法定质疑期限内提出质疑的；</w:t>
      </w:r>
    </w:p>
    <w:p w14:paraId="6F549D27">
      <w:pPr>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1C1DD78F">
      <w:pPr>
        <w:ind w:firstLine="420" w:firstLineChars="200"/>
        <w:rPr>
          <w:rFonts w:hint="eastAsia" w:ascii="宋体" w:hAnsi="宋体"/>
          <w:szCs w:val="21"/>
        </w:rPr>
      </w:pPr>
      <w:r>
        <w:rPr>
          <w:rFonts w:hint="eastAsia" w:ascii="宋体" w:hAnsi="宋体"/>
          <w:szCs w:val="21"/>
        </w:rPr>
        <w:t>（5）其他不符合受理条件情形的。</w:t>
      </w:r>
    </w:p>
    <w:p w14:paraId="3FE33C20">
      <w:pPr>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14:paraId="0B8673CA">
      <w:pPr>
        <w:rPr>
          <w:rFonts w:hint="eastAsia"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14:paraId="4014CFE5">
      <w:pPr>
        <w:rPr>
          <w:rFonts w:hint="eastAsia" w:ascii="宋体" w:hAnsi="宋体"/>
          <w:szCs w:val="21"/>
        </w:rPr>
      </w:pPr>
      <w:r>
        <w:rPr>
          <w:rFonts w:hint="eastAsia" w:ascii="宋体" w:hAnsi="宋体"/>
          <w:szCs w:val="21"/>
        </w:rPr>
        <w:t xml:space="preserve">    自收文之日起七个工作日内。</w:t>
      </w:r>
    </w:p>
    <w:p w14:paraId="797850EA">
      <w:pPr>
        <w:rPr>
          <w:rFonts w:hint="eastAsia" w:ascii="宋体" w:hAnsi="宋体"/>
          <w:szCs w:val="21"/>
        </w:rPr>
      </w:pPr>
      <w:r>
        <w:rPr>
          <w:rFonts w:hint="eastAsia" w:ascii="宋体" w:hAnsi="宋体"/>
          <w:szCs w:val="21"/>
        </w:rPr>
        <w:t xml:space="preserve">    52.8投诉</w:t>
      </w:r>
    </w:p>
    <w:p w14:paraId="17C52137">
      <w:pPr>
        <w:rPr>
          <w:rFonts w:hint="eastAsia" w:ascii="宋体" w:hAnsi="宋体"/>
          <w:szCs w:val="21"/>
        </w:rPr>
      </w:pPr>
      <w:r>
        <w:rPr>
          <w:rFonts w:hint="eastAsia" w:ascii="宋体" w:hAnsi="宋体"/>
          <w:szCs w:val="21"/>
        </w:rPr>
        <w:t xml:space="preserve">    对质疑答复不满意或者未在规定时间内答复的，提出质疑的供应商可以在答复期满后15个工作日内向同级财政部门投诉。</w:t>
      </w:r>
    </w:p>
    <w:p w14:paraId="0097E65E">
      <w:pPr>
        <w:rPr>
          <w:rFonts w:hint="eastAsia" w:ascii="黑体" w:hAnsi="宋体" w:eastAsia="黑体"/>
          <w:sz w:val="24"/>
        </w:rPr>
      </w:pPr>
      <w:r>
        <w:rPr>
          <w:rFonts w:hint="eastAsia" w:ascii="黑体" w:hAnsi="宋体" w:eastAsia="黑体"/>
          <w:sz w:val="24"/>
        </w:rPr>
        <w:t>53. 质疑后续处理</w:t>
      </w:r>
    </w:p>
    <w:p w14:paraId="5E6D5E24">
      <w:pPr>
        <w:rPr>
          <w:rFonts w:hint="eastAsia" w:ascii="宋体" w:hAnsi="宋体"/>
          <w:szCs w:val="21"/>
        </w:rPr>
      </w:pPr>
      <w:r>
        <w:rPr>
          <w:rFonts w:hint="eastAsia" w:ascii="宋体" w:hAnsi="宋体"/>
          <w:szCs w:val="21"/>
        </w:rPr>
        <w:t xml:space="preserve">    53.1供应商质疑不成立，或者成立但未对中标、成交结果构成影响的，继续开展采购活动。</w:t>
      </w:r>
    </w:p>
    <w:p w14:paraId="24C17B8C">
      <w:pPr>
        <w:ind w:firstLine="420"/>
        <w:rPr>
          <w:rFonts w:hint="eastAsia"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2DAD8174">
      <w:pPr>
        <w:ind w:firstLine="420"/>
        <w:rPr>
          <w:rFonts w:hint="eastAsia" w:ascii="宋体" w:hAnsi="宋体"/>
          <w:szCs w:val="21"/>
        </w:rPr>
      </w:pPr>
      <w:r>
        <w:rPr>
          <w:rFonts w:hint="eastAsia" w:ascii="宋体" w:hAnsi="宋体"/>
          <w:szCs w:val="21"/>
        </w:rPr>
        <w:t>53.3被质疑供应商应配合提供质疑答辩意见，并提供相关证据材料，逾期不作书面答辩的，视同放弃答辩权利，依法承担由此可能产生的不利法律后果。</w:t>
      </w:r>
    </w:p>
    <w:p w14:paraId="04288508">
      <w:pPr>
        <w:jc w:val="center"/>
      </w:pPr>
      <w:r>
        <w:t>---- END ----</w:t>
      </w:r>
      <w:bookmarkEnd w:id="139"/>
    </w:p>
    <w:sectPr>
      <w:pgSz w:w="11907" w:h="16840"/>
      <w:pgMar w:top="1440" w:right="1797" w:bottom="1440" w:left="1797" w:header="851" w:footer="992" w:gutter="0"/>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F4859F7-749B-4C23-B882-E4F6FF551B11}"/>
  </w:font>
  <w:font w:name="Arial">
    <w:panose1 w:val="020B0604020202020204"/>
    <w:charset w:val="01"/>
    <w:family w:val="swiss"/>
    <w:pitch w:val="default"/>
    <w:sig w:usb0="E0002EFF" w:usb1="C000785B" w:usb2="00000009" w:usb3="00000000" w:csb0="400001FF" w:csb1="FFFF0000"/>
    <w:embedRegular r:id="rId2" w:fontKey="{6E873C85-EDE3-45B5-A279-1175FA91AE5F}"/>
  </w:font>
  <w:font w:name="黑体">
    <w:panose1 w:val="02010609060101010101"/>
    <w:charset w:val="86"/>
    <w:family w:val="auto"/>
    <w:pitch w:val="default"/>
    <w:sig w:usb0="800002BF" w:usb1="38CF7CFA" w:usb2="00000016" w:usb3="00000000" w:csb0="00040001" w:csb1="00000000"/>
    <w:embedRegular r:id="rId3" w:fontKey="{56E0A253-2A37-4938-A422-D258C40396E8}"/>
  </w:font>
  <w:font w:name="Courier New">
    <w:panose1 w:val="02070309020205020404"/>
    <w:charset w:val="01"/>
    <w:family w:val="modern"/>
    <w:pitch w:val="default"/>
    <w:sig w:usb0="E0002EFF" w:usb1="C0007843" w:usb2="00000009" w:usb3="00000000" w:csb0="400001FF" w:csb1="FFFF0000"/>
    <w:embedRegular r:id="rId4" w:fontKey="{10429287-93BA-410D-9145-E9FA7F6A3AA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665B9B8B-57DE-4419-B51F-BB6DD8804D53}"/>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embedRegular r:id="rId6" w:fontKey="{62D06BBA-ECDF-4B97-B1F2-A64307A7F652}"/>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7" w:fontKey="{2D43781F-1350-4640-8263-C0D88A03A071}"/>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embedRegular r:id="rId8" w:fontKey="{66016A2B-E779-45AE-BF32-18C69A559FB3}"/>
  </w:font>
  <w:font w:name="??">
    <w:altName w:val="微软雅黑"/>
    <w:panose1 w:val="00000000000000000000"/>
    <w:charset w:val="01"/>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汉仪细等线简">
    <w:altName w:val="宋体"/>
    <w:panose1 w:val="00020600040101010101"/>
    <w:charset w:val="86"/>
    <w:family w:val="modern"/>
    <w:pitch w:val="default"/>
    <w:sig w:usb0="00000000" w:usb1="00000000" w:usb2="00000012" w:usb3="00000000" w:csb0="0004009F" w:csb1="DFD70000"/>
  </w:font>
  <w:font w:name="H Yb 2gj">
    <w:altName w:val="宋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embedRegular r:id="rId9" w:fontKey="{03C0AF2B-CBC2-4900-A0DC-7820B04D72EE}"/>
  </w:font>
  <w:font w:name="汉仪书宋二S">
    <w:panose1 w:val="00020600040101010101"/>
    <w:charset w:val="86"/>
    <w:family w:val="auto"/>
    <w:pitch w:val="default"/>
    <w:sig w:usb0="A00002BF" w:usb1="18EF7CFA" w:usb2="00000016" w:usb3="00000000" w:csb0="00040000" w:csb1="00000000"/>
    <w:embedRegular r:id="rId10" w:fontKey="{56A96EEA-3C2B-4964-8F21-C19FB175CC79}"/>
  </w:font>
  <w:font w:name="华文楷体">
    <w:panose1 w:val="02010600040101010101"/>
    <w:charset w:val="86"/>
    <w:family w:val="auto"/>
    <w:pitch w:val="default"/>
    <w:sig w:usb0="00000287" w:usb1="080F0000" w:usb2="00000000" w:usb3="00000000" w:csb0="0004009F" w:csb1="DFD70000"/>
    <w:embedRegular r:id="rId11" w:fontKey="{75DE1430-8363-4225-9F95-E4658DBA0E93}"/>
  </w:font>
  <w:font w:name="Arial">
    <w:panose1 w:val="020B0604020202020204"/>
    <w:charset w:val="00"/>
    <w:family w:val="auto"/>
    <w:pitch w:val="default"/>
    <w:sig w:usb0="E0002EFF" w:usb1="C000785B" w:usb2="00000009" w:usb3="00000000" w:csb0="400001FF" w:csb1="FFFF0000"/>
    <w:embedRegular r:id="rId12" w:fontKey="{4E956F4E-2073-4581-88FC-D18D144DB6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3A714">
    <w:pPr>
      <w:pStyle w:val="27"/>
      <w:framePr w:wrap="around" w:vAnchor="text" w:hAnchor="margin" w:xAlign="center" w:y="1"/>
      <w:rPr>
        <w:rStyle w:val="48"/>
      </w:rPr>
    </w:pPr>
    <w:r>
      <w:t xml:space="preserve">- </w:t>
    </w:r>
    <w:r>
      <w:fldChar w:fldCharType="begin"/>
    </w:r>
    <w:r>
      <w:instrText xml:space="preserve"> PAGE </w:instrText>
    </w:r>
    <w:r>
      <w:fldChar w:fldCharType="separate"/>
    </w:r>
    <w:r>
      <w:t>32</w:t>
    </w:r>
    <w:r>
      <w:fldChar w:fldCharType="end"/>
    </w:r>
    <w:r>
      <w:t xml:space="preserve"> -</w:t>
    </w:r>
  </w:p>
  <w:p w14:paraId="672D81B4">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382A8">
    <w:pPr>
      <w:pStyle w:val="27"/>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14:paraId="69884A62">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9DA16">
    <w:pPr>
      <w:tabs>
        <w:tab w:val="center" w:pos="4153"/>
        <w:tab w:val="right" w:pos="8306"/>
      </w:tabs>
      <w:snapToGrid w:val="0"/>
      <w:jc w:val="left"/>
      <w:rPr>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0F892">
    <w:pPr>
      <w:pStyle w:val="2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919EE">
    <w:pPr>
      <w:pBdr>
        <w:top w:val="none" w:color="auto" w:sz="0" w:space="1"/>
        <w:left w:val="none" w:color="auto" w:sz="0" w:space="4"/>
        <w:bottom w:val="none" w:color="auto" w:sz="0" w:space="1"/>
        <w:right w:val="none" w:color="auto" w:sz="0" w:space="4"/>
      </w:pBdr>
      <w:tabs>
        <w:tab w:val="center" w:pos="4153"/>
        <w:tab w:val="right" w:pos="8306"/>
      </w:tabs>
      <w:snapToGrid w:val="0"/>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9F1627"/>
    <w:multiLevelType w:val="multilevel"/>
    <w:tmpl w:val="9A9F1627"/>
    <w:lvl w:ilvl="0" w:tentative="0">
      <w:start w:val="1"/>
      <w:numFmt w:val="decimal"/>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68D5198"/>
    <w:multiLevelType w:val="multilevel"/>
    <w:tmpl w:val="B68D5198"/>
    <w:lvl w:ilvl="0" w:tentative="0">
      <w:start w:val="1"/>
      <w:numFmt w:val="decimal"/>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B9358C2E"/>
    <w:multiLevelType w:val="singleLevel"/>
    <w:tmpl w:val="B9358C2E"/>
    <w:lvl w:ilvl="0" w:tentative="0">
      <w:start w:val="2"/>
      <w:numFmt w:val="decimal"/>
      <w:suff w:val="nothing"/>
      <w:lvlText w:val="%1、"/>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30AE4D0"/>
    <w:multiLevelType w:val="multilevel"/>
    <w:tmpl w:val="D30AE4D0"/>
    <w:lvl w:ilvl="0" w:tentative="0">
      <w:start w:val="1"/>
      <w:numFmt w:val="decimal"/>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E3794C74"/>
    <w:multiLevelType w:val="multilevel"/>
    <w:tmpl w:val="E3794C74"/>
    <w:lvl w:ilvl="0" w:tentative="0">
      <w:start w:val="1"/>
      <w:numFmt w:val="decimal"/>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1">
    <w:nsid w:val="EA6A5C97"/>
    <w:multiLevelType w:val="multilevel"/>
    <w:tmpl w:val="EA6A5C97"/>
    <w:lvl w:ilvl="0" w:tentative="0">
      <w:start w:val="1"/>
      <w:numFmt w:val="decimal"/>
      <w:suff w:val="nothing"/>
      <w:lvlText w:val="%1."/>
      <w:lvlJc w:val="left"/>
      <w:pPr>
        <w:ind w:left="425" w:hanging="425"/>
      </w:pPr>
      <w:rPr>
        <w:rFonts w:hint="default" w:ascii="Times New Roman" w:hAnsi="Times New Roman" w:cs="Times New Roman"/>
      </w:rPr>
    </w:lvl>
    <w:lvl w:ilvl="1" w:tentative="0">
      <w:start w:val="1"/>
      <w:numFmt w:val="decimal"/>
      <w:suff w:val="nothing"/>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rPr>
    </w:lvl>
    <w:lvl w:ilvl="3" w:tentative="0">
      <w:start w:val="1"/>
      <w:numFmt w:val="decimal"/>
      <w:lvlText w:val="%1.%2.%3.%4."/>
      <w:lvlJc w:val="left"/>
      <w:pPr>
        <w:ind w:left="850" w:hanging="850"/>
      </w:pPr>
      <w:rPr>
        <w:rFonts w:hint="default" w:ascii="Times New Roman" w:hAnsi="Times New Roman" w:cs="Times New Roman"/>
      </w:rPr>
    </w:lvl>
    <w:lvl w:ilvl="4" w:tentative="0">
      <w:start w:val="1"/>
      <w:numFmt w:val="decimal"/>
      <w:lvlText w:val="%1.%2.%3.%4.%5."/>
      <w:lvlJc w:val="left"/>
      <w:pPr>
        <w:ind w:left="991" w:hanging="991"/>
      </w:pPr>
      <w:rPr>
        <w:rFonts w:hint="default" w:ascii="Times New Roman" w:hAnsi="Times New Roman" w:cs="Times New Roman"/>
      </w:rPr>
    </w:lvl>
    <w:lvl w:ilvl="5" w:tentative="0">
      <w:start w:val="1"/>
      <w:numFmt w:val="decimal"/>
      <w:lvlText w:val="%1.%2.%3.%4.%5.%6."/>
      <w:lvlJc w:val="left"/>
      <w:pPr>
        <w:ind w:left="1134" w:hanging="1134"/>
      </w:pPr>
      <w:rPr>
        <w:rFonts w:hint="default" w:ascii="Times New Roman" w:hAnsi="Times New Roman" w:cs="Times New Roman"/>
      </w:rPr>
    </w:lvl>
    <w:lvl w:ilvl="6" w:tentative="0">
      <w:start w:val="1"/>
      <w:numFmt w:val="decimal"/>
      <w:lvlText w:val="%1.%2.%3.%4.%5.%6.%7."/>
      <w:lvlJc w:val="left"/>
      <w:pPr>
        <w:ind w:left="1275" w:hanging="1275"/>
      </w:pPr>
      <w:rPr>
        <w:rFonts w:hint="default" w:ascii="Times New Roman" w:hAnsi="Times New Roman" w:cs="Times New Roman"/>
      </w:rPr>
    </w:lvl>
    <w:lvl w:ilvl="7" w:tentative="0">
      <w:start w:val="1"/>
      <w:numFmt w:val="decimal"/>
      <w:lvlText w:val="%1.%2.%3.%4.%5.%6.%7.%8."/>
      <w:lvlJc w:val="left"/>
      <w:pPr>
        <w:ind w:left="1418" w:hanging="1418"/>
      </w:pPr>
      <w:rPr>
        <w:rFonts w:hint="default" w:ascii="Times New Roman" w:hAnsi="Times New Roman" w:cs="Times New Roman"/>
      </w:rPr>
    </w:lvl>
    <w:lvl w:ilvl="8" w:tentative="0">
      <w:start w:val="1"/>
      <w:numFmt w:val="decimal"/>
      <w:lvlText w:val="%1.%2.%3.%4.%5.%6.%7.%8.%9."/>
      <w:lvlJc w:val="left"/>
      <w:pPr>
        <w:ind w:left="1558" w:hanging="1558"/>
      </w:pPr>
      <w:rPr>
        <w:rFonts w:hint="default" w:ascii="Times New Roman" w:hAnsi="Times New Roman" w:cs="Times New Roman"/>
      </w:rPr>
    </w:lvl>
  </w:abstractNum>
  <w:abstractNum w:abstractNumId="12">
    <w:nsid w:val="ED592030"/>
    <w:multiLevelType w:val="multilevel"/>
    <w:tmpl w:val="ED592030"/>
    <w:lvl w:ilvl="0" w:tentative="0">
      <w:start w:val="1"/>
      <w:numFmt w:val="decimal"/>
      <w:suff w:val="nothing"/>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3">
    <w:nsid w:val="F28D29DA"/>
    <w:multiLevelType w:val="multilevel"/>
    <w:tmpl w:val="F28D29D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FFEFC674"/>
    <w:multiLevelType w:val="singleLevel"/>
    <w:tmpl w:val="FFEFC674"/>
    <w:lvl w:ilvl="0" w:tentative="0">
      <w:start w:val="1"/>
      <w:numFmt w:val="decimal"/>
      <w:suff w:val="nothing"/>
      <w:lvlText w:val="（%1）"/>
      <w:lvlJc w:val="left"/>
    </w:lvl>
  </w:abstractNum>
  <w:abstractNum w:abstractNumId="15">
    <w:nsid w:val="FFFFFF7C"/>
    <w:multiLevelType w:val="singleLevel"/>
    <w:tmpl w:val="FFFFFF7C"/>
    <w:lvl w:ilvl="0" w:tentative="0">
      <w:start w:val="1"/>
      <w:numFmt w:val="decimal"/>
      <w:pStyle w:val="68"/>
      <w:lvlText w:val="%1."/>
      <w:lvlJc w:val="left"/>
      <w:pPr>
        <w:tabs>
          <w:tab w:val="left" w:pos="7994"/>
        </w:tabs>
        <w:ind w:left="7994" w:leftChars="800" w:hanging="360" w:hangingChars="200"/>
      </w:pPr>
    </w:lvl>
  </w:abstractNum>
  <w:abstractNum w:abstractNumId="16">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17">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CADD2A0"/>
    <w:multiLevelType w:val="multilevel"/>
    <w:tmpl w:val="0CADD2A0"/>
    <w:lvl w:ilvl="0" w:tentative="0">
      <w:start w:val="1"/>
      <w:numFmt w:val="decimal"/>
      <w:suff w:val="nothing"/>
      <w:lvlText w:val="%1."/>
      <w:lvlJc w:val="left"/>
      <w:pPr>
        <w:ind w:left="425" w:hanging="425"/>
      </w:pPr>
      <w:rPr>
        <w:rFonts w:hint="default" w:ascii="Times New Roman" w:hAnsi="Times New Roman" w:cs="Times New Roman"/>
      </w:rPr>
    </w:lvl>
    <w:lvl w:ilvl="1" w:tentative="0">
      <w:start w:val="1"/>
      <w:numFmt w:val="decimal"/>
      <w:suff w:val="nothing"/>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rPr>
    </w:lvl>
    <w:lvl w:ilvl="3" w:tentative="0">
      <w:start w:val="1"/>
      <w:numFmt w:val="decimal"/>
      <w:lvlText w:val="%1.%2.%3.%4."/>
      <w:lvlJc w:val="left"/>
      <w:pPr>
        <w:ind w:left="850" w:hanging="850"/>
      </w:pPr>
      <w:rPr>
        <w:rFonts w:hint="default" w:ascii="Times New Roman" w:hAnsi="Times New Roman" w:cs="Times New Roman"/>
      </w:rPr>
    </w:lvl>
    <w:lvl w:ilvl="4" w:tentative="0">
      <w:start w:val="1"/>
      <w:numFmt w:val="decimal"/>
      <w:lvlText w:val="%1.%2.%3.%4.%5."/>
      <w:lvlJc w:val="left"/>
      <w:pPr>
        <w:ind w:left="991" w:hanging="991"/>
      </w:pPr>
      <w:rPr>
        <w:rFonts w:hint="default" w:ascii="Times New Roman" w:hAnsi="Times New Roman" w:cs="Times New Roman"/>
      </w:rPr>
    </w:lvl>
    <w:lvl w:ilvl="5" w:tentative="0">
      <w:start w:val="1"/>
      <w:numFmt w:val="decimal"/>
      <w:lvlText w:val="%1.%2.%3.%4.%5.%6."/>
      <w:lvlJc w:val="left"/>
      <w:pPr>
        <w:ind w:left="1134" w:hanging="1134"/>
      </w:pPr>
      <w:rPr>
        <w:rFonts w:hint="default" w:ascii="Times New Roman" w:hAnsi="Times New Roman" w:cs="Times New Roman"/>
      </w:rPr>
    </w:lvl>
    <w:lvl w:ilvl="6" w:tentative="0">
      <w:start w:val="1"/>
      <w:numFmt w:val="decimal"/>
      <w:lvlText w:val="%1.%2.%3.%4.%5.%6.%7."/>
      <w:lvlJc w:val="left"/>
      <w:pPr>
        <w:ind w:left="1275" w:hanging="1275"/>
      </w:pPr>
      <w:rPr>
        <w:rFonts w:hint="default" w:ascii="Times New Roman" w:hAnsi="Times New Roman" w:cs="Times New Roman"/>
      </w:rPr>
    </w:lvl>
    <w:lvl w:ilvl="7" w:tentative="0">
      <w:start w:val="1"/>
      <w:numFmt w:val="decimal"/>
      <w:lvlText w:val="%1.%2.%3.%4.%5.%6.%7.%8."/>
      <w:lvlJc w:val="left"/>
      <w:pPr>
        <w:ind w:left="1418" w:hanging="1418"/>
      </w:pPr>
      <w:rPr>
        <w:rFonts w:hint="default" w:ascii="Times New Roman" w:hAnsi="Times New Roman" w:cs="Times New Roman"/>
      </w:rPr>
    </w:lvl>
    <w:lvl w:ilvl="8" w:tentative="0">
      <w:start w:val="1"/>
      <w:numFmt w:val="decimal"/>
      <w:lvlText w:val="%1.%2.%3.%4.%5.%6.%7.%8.%9."/>
      <w:lvlJc w:val="left"/>
      <w:pPr>
        <w:ind w:left="1558" w:hanging="1558"/>
      </w:pPr>
      <w:rPr>
        <w:rFonts w:hint="default" w:ascii="Times New Roman" w:hAnsi="Times New Roman" w:cs="Times New Roman"/>
      </w:rPr>
    </w:lvl>
  </w:abstractNum>
  <w:abstractNum w:abstractNumId="19">
    <w:nsid w:val="0D8CF652"/>
    <w:multiLevelType w:val="multilevel"/>
    <w:tmpl w:val="0D8CF652"/>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suff w:val="nothing"/>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rPr>
    </w:lvl>
    <w:lvl w:ilvl="3" w:tentative="0">
      <w:start w:val="1"/>
      <w:numFmt w:val="decimal"/>
      <w:lvlText w:val="%1.%2.%3.%4."/>
      <w:lvlJc w:val="left"/>
      <w:pPr>
        <w:ind w:left="850" w:hanging="850"/>
      </w:pPr>
      <w:rPr>
        <w:rFonts w:hint="default" w:ascii="Times New Roman" w:hAnsi="Times New Roman" w:cs="Times New Roman"/>
      </w:rPr>
    </w:lvl>
    <w:lvl w:ilvl="4" w:tentative="0">
      <w:start w:val="1"/>
      <w:numFmt w:val="decimal"/>
      <w:lvlText w:val="%1.%2.%3.%4.%5."/>
      <w:lvlJc w:val="left"/>
      <w:pPr>
        <w:ind w:left="991" w:hanging="991"/>
      </w:pPr>
      <w:rPr>
        <w:rFonts w:hint="default" w:ascii="Times New Roman" w:hAnsi="Times New Roman" w:cs="Times New Roman"/>
      </w:rPr>
    </w:lvl>
    <w:lvl w:ilvl="5" w:tentative="0">
      <w:start w:val="1"/>
      <w:numFmt w:val="decimal"/>
      <w:lvlText w:val="%1.%2.%3.%4.%5.%6."/>
      <w:lvlJc w:val="left"/>
      <w:pPr>
        <w:ind w:left="1134" w:hanging="1134"/>
      </w:pPr>
      <w:rPr>
        <w:rFonts w:hint="default" w:ascii="Times New Roman" w:hAnsi="Times New Roman" w:cs="Times New Roman"/>
      </w:rPr>
    </w:lvl>
    <w:lvl w:ilvl="6" w:tentative="0">
      <w:start w:val="1"/>
      <w:numFmt w:val="decimal"/>
      <w:lvlText w:val="%1.%2.%3.%4.%5.%6.%7."/>
      <w:lvlJc w:val="left"/>
      <w:pPr>
        <w:ind w:left="1275" w:hanging="1275"/>
      </w:pPr>
      <w:rPr>
        <w:rFonts w:hint="default" w:ascii="Times New Roman" w:hAnsi="Times New Roman" w:cs="Times New Roman"/>
      </w:rPr>
    </w:lvl>
    <w:lvl w:ilvl="7" w:tentative="0">
      <w:start w:val="1"/>
      <w:numFmt w:val="decimal"/>
      <w:lvlText w:val="%1.%2.%3.%4.%5.%6.%7.%8."/>
      <w:lvlJc w:val="left"/>
      <w:pPr>
        <w:ind w:left="1418" w:hanging="1418"/>
      </w:pPr>
      <w:rPr>
        <w:rFonts w:hint="default" w:ascii="Times New Roman" w:hAnsi="Times New Roman" w:cs="Times New Roman"/>
      </w:rPr>
    </w:lvl>
    <w:lvl w:ilvl="8" w:tentative="0">
      <w:start w:val="1"/>
      <w:numFmt w:val="decimal"/>
      <w:lvlText w:val="%1.%2.%3.%4.%5.%6.%7.%8.%9."/>
      <w:lvlJc w:val="left"/>
      <w:pPr>
        <w:ind w:left="1558" w:hanging="1558"/>
      </w:pPr>
      <w:rPr>
        <w:rFonts w:hint="default" w:ascii="Times New Roman" w:hAnsi="Times New Roman" w:cs="Times New Roman"/>
      </w:rPr>
    </w:lvl>
  </w:abstractNum>
  <w:abstractNum w:abstractNumId="20">
    <w:nsid w:val="12503483"/>
    <w:multiLevelType w:val="multilevel"/>
    <w:tmpl w:val="12503483"/>
    <w:lvl w:ilvl="0" w:tentative="0">
      <w:start w:val="1"/>
      <w:numFmt w:val="bullet"/>
      <w:pStyle w:val="115"/>
      <w:lvlText w:val=""/>
      <w:lvlJc w:val="left"/>
      <w:pPr>
        <w:tabs>
          <w:tab w:val="left" w:pos="420"/>
        </w:tabs>
        <w:ind w:left="420" w:hanging="420"/>
      </w:pPr>
      <w:rPr>
        <w:rFonts w:hint="default" w:ascii="Wingdings" w:hAnsi="Wingdings"/>
      </w:rPr>
    </w:lvl>
    <w:lvl w:ilvl="1" w:tentative="0">
      <w:start w:val="1"/>
      <w:numFmt w:val="bullet"/>
      <w:pStyle w:val="114"/>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160D20D0"/>
    <w:multiLevelType w:val="multilevel"/>
    <w:tmpl w:val="160D20D0"/>
    <w:lvl w:ilvl="0" w:tentative="0">
      <w:start w:val="1"/>
      <w:numFmt w:val="bullet"/>
      <w:pStyle w:val="83"/>
      <w:lvlText w:val=""/>
      <w:lvlJc w:val="left"/>
      <w:pPr>
        <w:tabs>
          <w:tab w:val="left" w:pos="840"/>
        </w:tabs>
        <w:ind w:left="840" w:hanging="420"/>
      </w:pPr>
      <w:rPr>
        <w:rFonts w:hint="default" w:ascii="Wingdings" w:hAnsi="Wingdings"/>
      </w:rPr>
    </w:lvl>
    <w:lvl w:ilvl="1" w:tentative="0">
      <w:start w:val="1"/>
      <w:numFmt w:val="bullet"/>
      <w:pStyle w:val="84"/>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2">
    <w:nsid w:val="270DD778"/>
    <w:multiLevelType w:val="multilevel"/>
    <w:tmpl w:val="270DD778"/>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rPr>
    </w:lvl>
    <w:lvl w:ilvl="3" w:tentative="0">
      <w:start w:val="1"/>
      <w:numFmt w:val="decimal"/>
      <w:lvlText w:val="%1.%2.%3.%4."/>
      <w:lvlJc w:val="left"/>
      <w:pPr>
        <w:ind w:left="850" w:hanging="850"/>
      </w:pPr>
      <w:rPr>
        <w:rFonts w:hint="default" w:ascii="Times New Roman" w:hAnsi="Times New Roman" w:cs="Times New Roman"/>
      </w:rPr>
    </w:lvl>
    <w:lvl w:ilvl="4" w:tentative="0">
      <w:start w:val="1"/>
      <w:numFmt w:val="decimal"/>
      <w:lvlText w:val="%1.%2.%3.%4.%5."/>
      <w:lvlJc w:val="left"/>
      <w:pPr>
        <w:ind w:left="991" w:hanging="991"/>
      </w:pPr>
      <w:rPr>
        <w:rFonts w:hint="default" w:ascii="Times New Roman" w:hAnsi="Times New Roman" w:cs="Times New Roman"/>
      </w:rPr>
    </w:lvl>
    <w:lvl w:ilvl="5" w:tentative="0">
      <w:start w:val="1"/>
      <w:numFmt w:val="decimal"/>
      <w:lvlText w:val="%1.%2.%3.%4.%5.%6."/>
      <w:lvlJc w:val="left"/>
      <w:pPr>
        <w:ind w:left="1134" w:hanging="1134"/>
      </w:pPr>
      <w:rPr>
        <w:rFonts w:hint="default" w:ascii="Times New Roman" w:hAnsi="Times New Roman" w:cs="Times New Roman"/>
      </w:rPr>
    </w:lvl>
    <w:lvl w:ilvl="6" w:tentative="0">
      <w:start w:val="1"/>
      <w:numFmt w:val="decimal"/>
      <w:lvlText w:val="%1.%2.%3.%4.%5.%6.%7."/>
      <w:lvlJc w:val="left"/>
      <w:pPr>
        <w:ind w:left="1275" w:hanging="1275"/>
      </w:pPr>
      <w:rPr>
        <w:rFonts w:hint="default" w:ascii="Times New Roman" w:hAnsi="Times New Roman" w:cs="Times New Roman"/>
      </w:rPr>
    </w:lvl>
    <w:lvl w:ilvl="7" w:tentative="0">
      <w:start w:val="1"/>
      <w:numFmt w:val="decimal"/>
      <w:lvlText w:val="%1.%2.%3.%4.%5.%6.%7.%8."/>
      <w:lvlJc w:val="left"/>
      <w:pPr>
        <w:ind w:left="1418" w:hanging="1418"/>
      </w:pPr>
      <w:rPr>
        <w:rFonts w:hint="default" w:ascii="Times New Roman" w:hAnsi="Times New Roman" w:cs="Times New Roman"/>
      </w:rPr>
    </w:lvl>
    <w:lvl w:ilvl="8" w:tentative="0">
      <w:start w:val="1"/>
      <w:numFmt w:val="decimal"/>
      <w:lvlText w:val="%1.%2.%3.%4.%5.%6.%7.%8.%9."/>
      <w:lvlJc w:val="left"/>
      <w:pPr>
        <w:ind w:left="1558" w:hanging="1558"/>
      </w:pPr>
      <w:rPr>
        <w:rFonts w:hint="default" w:ascii="Times New Roman" w:hAnsi="Times New Roman" w:cs="Times New Roman"/>
      </w:rPr>
    </w:lvl>
  </w:abstractNum>
  <w:abstractNum w:abstractNumId="23">
    <w:nsid w:val="27E63F59"/>
    <w:multiLevelType w:val="multilevel"/>
    <w:tmpl w:val="27E63F59"/>
    <w:lvl w:ilvl="0" w:tentative="0">
      <w:start w:val="1"/>
      <w:numFmt w:val="decimal"/>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4">
    <w:nsid w:val="2F395B7B"/>
    <w:multiLevelType w:val="multilevel"/>
    <w:tmpl w:val="2F395B7B"/>
    <w:lvl w:ilvl="0" w:tentative="0">
      <w:start w:val="1"/>
      <w:numFmt w:val="bullet"/>
      <w:pStyle w:val="1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25">
    <w:nsid w:val="60A1C906"/>
    <w:multiLevelType w:val="multilevel"/>
    <w:tmpl w:val="60A1C906"/>
    <w:lvl w:ilvl="0" w:tentative="0">
      <w:start w:val="1"/>
      <w:numFmt w:val="decimal"/>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6">
    <w:nsid w:val="7A0F6431"/>
    <w:multiLevelType w:val="singleLevel"/>
    <w:tmpl w:val="7A0F6431"/>
    <w:lvl w:ilvl="0" w:tentative="0">
      <w:start w:val="1"/>
      <w:numFmt w:val="decimal"/>
      <w:suff w:val="space"/>
      <w:lvlText w:val="%1."/>
      <w:lvlJc w:val="left"/>
    </w:lvl>
  </w:abstractNum>
  <w:abstractNum w:abstractNumId="27">
    <w:nsid w:val="7AEF7716"/>
    <w:multiLevelType w:val="multilevel"/>
    <w:tmpl w:val="7AEF7716"/>
    <w:lvl w:ilvl="0" w:tentative="0">
      <w:start w:val="1"/>
      <w:numFmt w:val="chineseCountingThousand"/>
      <w:pStyle w:val="128"/>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6"/>
  </w:num>
  <w:num w:numId="2">
    <w:abstractNumId w:val="15"/>
  </w:num>
  <w:num w:numId="3">
    <w:abstractNumId w:val="21"/>
  </w:num>
  <w:num w:numId="4">
    <w:abstractNumId w:val="20"/>
  </w:num>
  <w:num w:numId="5">
    <w:abstractNumId w:val="27"/>
  </w:num>
  <w:num w:numId="6">
    <w:abstractNumId w:val="24"/>
  </w:num>
  <w:num w:numId="7">
    <w:abstractNumId w:val="22"/>
  </w:num>
  <w:num w:numId="8">
    <w:abstractNumId w:val="12"/>
  </w:num>
  <w:num w:numId="9">
    <w:abstractNumId w:val="25"/>
  </w:num>
  <w:num w:numId="10">
    <w:abstractNumId w:val="0"/>
  </w:num>
  <w:num w:numId="11">
    <w:abstractNumId w:val="10"/>
  </w:num>
  <w:num w:numId="12">
    <w:abstractNumId w:val="19"/>
  </w:num>
  <w:num w:numId="13">
    <w:abstractNumId w:val="11"/>
  </w:num>
  <w:num w:numId="14">
    <w:abstractNumId w:val="18"/>
  </w:num>
  <w:num w:numId="15">
    <w:abstractNumId w:val="13"/>
  </w:num>
  <w:num w:numId="16">
    <w:abstractNumId w:val="2"/>
  </w:num>
  <w:num w:numId="17">
    <w:abstractNumId w:val="6"/>
  </w:num>
  <w:num w:numId="18">
    <w:abstractNumId w:val="23"/>
  </w:num>
  <w:num w:numId="19">
    <w:abstractNumId w:val="1"/>
  </w:num>
  <w:num w:numId="20">
    <w:abstractNumId w:val="3"/>
  </w:num>
  <w:num w:numId="21">
    <w:abstractNumId w:val="26"/>
  </w:num>
  <w:num w:numId="22">
    <w:abstractNumId w:val="5"/>
  </w:num>
  <w:num w:numId="23">
    <w:abstractNumId w:val="14"/>
  </w:num>
  <w:num w:numId="24">
    <w:abstractNumId w:val="8"/>
  </w:num>
  <w:num w:numId="25">
    <w:abstractNumId w:val="7"/>
  </w:num>
  <w:num w:numId="26">
    <w:abstractNumId w:val="4"/>
  </w:num>
  <w:num w:numId="27">
    <w:abstractNumId w:val="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isplayHorizontalDrawingGridEvery w:val="0"/>
  <w:displayVerticalDrawingGridEvery w:val="2"/>
  <w:characterSpacingControl w:val="doNotCompress"/>
  <w:compat>
    <w:balanceSingleByteDoubleByteWidth/>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IwsDQxNDM0tjAxNjdV0lEKTi0uzszPAykwrwUACGroLywAAAA="/>
    <w:docVar w:name="commondata" w:val="eyJoZGlkIjoiMTY0NGJhN2YxNjhjOTEwYTJiNmE1ZmZjMjYxZDU0YjAifQ=="/>
    <w:docVar w:name="KSO_WPS_MARK_KEY" w:val="a5980290-81d1-4166-b591-31e4936b8684"/>
  </w:docVars>
  <w:rsids>
    <w:rsidRoot w:val="006C5683"/>
    <w:rsid w:val="000006EA"/>
    <w:rsid w:val="00000AD9"/>
    <w:rsid w:val="000043C0"/>
    <w:rsid w:val="00004F2D"/>
    <w:rsid w:val="00005035"/>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08E"/>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2E0C"/>
    <w:rsid w:val="00053A89"/>
    <w:rsid w:val="00054A2C"/>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1AD6"/>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2CD2"/>
    <w:rsid w:val="000E2CDD"/>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35B4"/>
    <w:rsid w:val="0011500F"/>
    <w:rsid w:val="00115A55"/>
    <w:rsid w:val="0011665D"/>
    <w:rsid w:val="00116AAC"/>
    <w:rsid w:val="00117D55"/>
    <w:rsid w:val="00117F8C"/>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37FD8"/>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4775"/>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5D5"/>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6F0A"/>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6A18"/>
    <w:rsid w:val="00207BC6"/>
    <w:rsid w:val="00210771"/>
    <w:rsid w:val="00210EE2"/>
    <w:rsid w:val="00211885"/>
    <w:rsid w:val="00212864"/>
    <w:rsid w:val="00212ADF"/>
    <w:rsid w:val="002134CF"/>
    <w:rsid w:val="00213A60"/>
    <w:rsid w:val="00213B94"/>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CEB"/>
    <w:rsid w:val="00227D49"/>
    <w:rsid w:val="00227FC7"/>
    <w:rsid w:val="00230153"/>
    <w:rsid w:val="00230E28"/>
    <w:rsid w:val="0023110A"/>
    <w:rsid w:val="00233A54"/>
    <w:rsid w:val="00234440"/>
    <w:rsid w:val="002347C9"/>
    <w:rsid w:val="00236507"/>
    <w:rsid w:val="00236E72"/>
    <w:rsid w:val="0023738E"/>
    <w:rsid w:val="002411BD"/>
    <w:rsid w:val="00242ED3"/>
    <w:rsid w:val="00244711"/>
    <w:rsid w:val="00244AE4"/>
    <w:rsid w:val="00245EBE"/>
    <w:rsid w:val="002472C1"/>
    <w:rsid w:val="002473F4"/>
    <w:rsid w:val="00247D64"/>
    <w:rsid w:val="0025009C"/>
    <w:rsid w:val="00250934"/>
    <w:rsid w:val="00250F42"/>
    <w:rsid w:val="00252B89"/>
    <w:rsid w:val="00252EBA"/>
    <w:rsid w:val="0025361A"/>
    <w:rsid w:val="002545EF"/>
    <w:rsid w:val="00254B44"/>
    <w:rsid w:val="00254E99"/>
    <w:rsid w:val="00255B9B"/>
    <w:rsid w:val="00256596"/>
    <w:rsid w:val="00257ECB"/>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601"/>
    <w:rsid w:val="00280F4B"/>
    <w:rsid w:val="002816D0"/>
    <w:rsid w:val="002821E9"/>
    <w:rsid w:val="002827D2"/>
    <w:rsid w:val="002835B7"/>
    <w:rsid w:val="0028425D"/>
    <w:rsid w:val="00284C1F"/>
    <w:rsid w:val="00284F69"/>
    <w:rsid w:val="002851AF"/>
    <w:rsid w:val="00285866"/>
    <w:rsid w:val="00286129"/>
    <w:rsid w:val="002864ED"/>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97EA6"/>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15BF"/>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5C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998"/>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0782"/>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16B"/>
    <w:rsid w:val="003A625F"/>
    <w:rsid w:val="003A6A5A"/>
    <w:rsid w:val="003A72E9"/>
    <w:rsid w:val="003B11DA"/>
    <w:rsid w:val="003B175A"/>
    <w:rsid w:val="003B28C0"/>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4E32"/>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393"/>
    <w:rsid w:val="00400C13"/>
    <w:rsid w:val="00401AD9"/>
    <w:rsid w:val="00401F48"/>
    <w:rsid w:val="00402251"/>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5F02"/>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0A08"/>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093"/>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2F79"/>
    <w:rsid w:val="00473579"/>
    <w:rsid w:val="00473E50"/>
    <w:rsid w:val="00474E5A"/>
    <w:rsid w:val="0047504E"/>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8B2"/>
    <w:rsid w:val="00490C0F"/>
    <w:rsid w:val="00491FF2"/>
    <w:rsid w:val="004925EE"/>
    <w:rsid w:val="0049268C"/>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E0C"/>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8D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1B16"/>
    <w:rsid w:val="005120BE"/>
    <w:rsid w:val="005122F4"/>
    <w:rsid w:val="0051405F"/>
    <w:rsid w:val="00514277"/>
    <w:rsid w:val="0051444F"/>
    <w:rsid w:val="005156A6"/>
    <w:rsid w:val="00516393"/>
    <w:rsid w:val="00516669"/>
    <w:rsid w:val="005179A5"/>
    <w:rsid w:val="00520B4F"/>
    <w:rsid w:val="00522582"/>
    <w:rsid w:val="00523845"/>
    <w:rsid w:val="00524AD7"/>
    <w:rsid w:val="005254FD"/>
    <w:rsid w:val="00525FDE"/>
    <w:rsid w:val="005268A9"/>
    <w:rsid w:val="0052720F"/>
    <w:rsid w:val="00527421"/>
    <w:rsid w:val="005275C4"/>
    <w:rsid w:val="00527D36"/>
    <w:rsid w:val="00531076"/>
    <w:rsid w:val="00531D28"/>
    <w:rsid w:val="005328A8"/>
    <w:rsid w:val="00532AB3"/>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211"/>
    <w:rsid w:val="005A44E7"/>
    <w:rsid w:val="005A5D8E"/>
    <w:rsid w:val="005A63D8"/>
    <w:rsid w:val="005A6FAA"/>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46E"/>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1A86"/>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1CD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6EA7"/>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2BD4"/>
    <w:rsid w:val="00663125"/>
    <w:rsid w:val="006636D0"/>
    <w:rsid w:val="00663834"/>
    <w:rsid w:val="00663BF1"/>
    <w:rsid w:val="006647D7"/>
    <w:rsid w:val="00664F1B"/>
    <w:rsid w:val="006653D7"/>
    <w:rsid w:val="00665BFF"/>
    <w:rsid w:val="006665BA"/>
    <w:rsid w:val="00666A4F"/>
    <w:rsid w:val="00667477"/>
    <w:rsid w:val="006703D9"/>
    <w:rsid w:val="00671A3E"/>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5A4"/>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083A"/>
    <w:rsid w:val="006C2994"/>
    <w:rsid w:val="006C35EC"/>
    <w:rsid w:val="006C4150"/>
    <w:rsid w:val="006C4382"/>
    <w:rsid w:val="006C4891"/>
    <w:rsid w:val="006C52BC"/>
    <w:rsid w:val="006C5683"/>
    <w:rsid w:val="006C5DB3"/>
    <w:rsid w:val="006C5E33"/>
    <w:rsid w:val="006C5E48"/>
    <w:rsid w:val="006C6434"/>
    <w:rsid w:val="006C6CD8"/>
    <w:rsid w:val="006C70BB"/>
    <w:rsid w:val="006C774A"/>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11B1"/>
    <w:rsid w:val="006E2765"/>
    <w:rsid w:val="006E4238"/>
    <w:rsid w:val="006E4551"/>
    <w:rsid w:val="006E50E6"/>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08"/>
    <w:rsid w:val="006F6436"/>
    <w:rsid w:val="006F65C5"/>
    <w:rsid w:val="006F687A"/>
    <w:rsid w:val="006F68EF"/>
    <w:rsid w:val="006F6D4C"/>
    <w:rsid w:val="006F6E67"/>
    <w:rsid w:val="006F7157"/>
    <w:rsid w:val="006F78E0"/>
    <w:rsid w:val="007023EA"/>
    <w:rsid w:val="00702588"/>
    <w:rsid w:val="00702B1B"/>
    <w:rsid w:val="007032B3"/>
    <w:rsid w:val="00704164"/>
    <w:rsid w:val="00704313"/>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1E80"/>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208"/>
    <w:rsid w:val="00765DD8"/>
    <w:rsid w:val="00766230"/>
    <w:rsid w:val="00766B33"/>
    <w:rsid w:val="00766D36"/>
    <w:rsid w:val="00767607"/>
    <w:rsid w:val="00767ACD"/>
    <w:rsid w:val="007705B5"/>
    <w:rsid w:val="0077270D"/>
    <w:rsid w:val="00773874"/>
    <w:rsid w:val="0077393B"/>
    <w:rsid w:val="00775D3B"/>
    <w:rsid w:val="0077615A"/>
    <w:rsid w:val="007806A0"/>
    <w:rsid w:val="00780E00"/>
    <w:rsid w:val="00780FDB"/>
    <w:rsid w:val="0078215D"/>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53E"/>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760"/>
    <w:rsid w:val="007E1930"/>
    <w:rsid w:val="007E21FB"/>
    <w:rsid w:val="007E3B9D"/>
    <w:rsid w:val="007E420B"/>
    <w:rsid w:val="007E4932"/>
    <w:rsid w:val="007E4CAD"/>
    <w:rsid w:val="007E502C"/>
    <w:rsid w:val="007E516A"/>
    <w:rsid w:val="007E5BD7"/>
    <w:rsid w:val="007E5C0B"/>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828"/>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442"/>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4D0"/>
    <w:rsid w:val="008677CB"/>
    <w:rsid w:val="0087026D"/>
    <w:rsid w:val="0087056E"/>
    <w:rsid w:val="00870C16"/>
    <w:rsid w:val="00870CB6"/>
    <w:rsid w:val="00870DF8"/>
    <w:rsid w:val="008722A6"/>
    <w:rsid w:val="008737AE"/>
    <w:rsid w:val="00873851"/>
    <w:rsid w:val="00873FEA"/>
    <w:rsid w:val="0087419B"/>
    <w:rsid w:val="008744CC"/>
    <w:rsid w:val="00874592"/>
    <w:rsid w:val="008751C1"/>
    <w:rsid w:val="0087595D"/>
    <w:rsid w:val="00876C1B"/>
    <w:rsid w:val="00876E70"/>
    <w:rsid w:val="00877E8C"/>
    <w:rsid w:val="008804E1"/>
    <w:rsid w:val="008815B6"/>
    <w:rsid w:val="008818F6"/>
    <w:rsid w:val="00881D45"/>
    <w:rsid w:val="0088398E"/>
    <w:rsid w:val="00885182"/>
    <w:rsid w:val="008858B7"/>
    <w:rsid w:val="00885DD6"/>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1EA9"/>
    <w:rsid w:val="008A2289"/>
    <w:rsid w:val="008A34BA"/>
    <w:rsid w:val="008A3766"/>
    <w:rsid w:val="008A4489"/>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38FA"/>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493"/>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0A7A"/>
    <w:rsid w:val="00911808"/>
    <w:rsid w:val="009122B4"/>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3FC3"/>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19C"/>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2702"/>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2F9"/>
    <w:rsid w:val="009D57A7"/>
    <w:rsid w:val="009D65EE"/>
    <w:rsid w:val="009D6865"/>
    <w:rsid w:val="009D6903"/>
    <w:rsid w:val="009E02F1"/>
    <w:rsid w:val="009E0525"/>
    <w:rsid w:val="009E199C"/>
    <w:rsid w:val="009E1F76"/>
    <w:rsid w:val="009E20A6"/>
    <w:rsid w:val="009E233F"/>
    <w:rsid w:val="009E2380"/>
    <w:rsid w:val="009E323A"/>
    <w:rsid w:val="009E328B"/>
    <w:rsid w:val="009E68C1"/>
    <w:rsid w:val="009E6DD0"/>
    <w:rsid w:val="009E6DEE"/>
    <w:rsid w:val="009E700C"/>
    <w:rsid w:val="009F082A"/>
    <w:rsid w:val="009F0BD9"/>
    <w:rsid w:val="009F12B4"/>
    <w:rsid w:val="009F33FA"/>
    <w:rsid w:val="009F347C"/>
    <w:rsid w:val="009F3F14"/>
    <w:rsid w:val="009F4C1B"/>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5DA5"/>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A1E"/>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4A9"/>
    <w:rsid w:val="00A63D89"/>
    <w:rsid w:val="00A63EF3"/>
    <w:rsid w:val="00A650F1"/>
    <w:rsid w:val="00A6526E"/>
    <w:rsid w:val="00A65DA4"/>
    <w:rsid w:val="00A66E04"/>
    <w:rsid w:val="00A67194"/>
    <w:rsid w:val="00A671B3"/>
    <w:rsid w:val="00A67864"/>
    <w:rsid w:val="00A70242"/>
    <w:rsid w:val="00A7040E"/>
    <w:rsid w:val="00A70D10"/>
    <w:rsid w:val="00A726C7"/>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5A9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468"/>
    <w:rsid w:val="00B069A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89C"/>
    <w:rsid w:val="00B32D93"/>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43A1"/>
    <w:rsid w:val="00B8441F"/>
    <w:rsid w:val="00B854BE"/>
    <w:rsid w:val="00B85704"/>
    <w:rsid w:val="00B86421"/>
    <w:rsid w:val="00B866BF"/>
    <w:rsid w:val="00B868D6"/>
    <w:rsid w:val="00B86D0A"/>
    <w:rsid w:val="00B8748B"/>
    <w:rsid w:val="00B87B3F"/>
    <w:rsid w:val="00B90972"/>
    <w:rsid w:val="00B912C4"/>
    <w:rsid w:val="00B91818"/>
    <w:rsid w:val="00B922D6"/>
    <w:rsid w:val="00B92819"/>
    <w:rsid w:val="00B93E18"/>
    <w:rsid w:val="00B93E2C"/>
    <w:rsid w:val="00B94BE5"/>
    <w:rsid w:val="00B95B44"/>
    <w:rsid w:val="00B96069"/>
    <w:rsid w:val="00BA0A76"/>
    <w:rsid w:val="00BA11A9"/>
    <w:rsid w:val="00BA1642"/>
    <w:rsid w:val="00BA2617"/>
    <w:rsid w:val="00BA30C2"/>
    <w:rsid w:val="00BA31C6"/>
    <w:rsid w:val="00BA4B0A"/>
    <w:rsid w:val="00BA4FE7"/>
    <w:rsid w:val="00BA699B"/>
    <w:rsid w:val="00BA7611"/>
    <w:rsid w:val="00BA76AB"/>
    <w:rsid w:val="00BB0225"/>
    <w:rsid w:val="00BB0423"/>
    <w:rsid w:val="00BB1D73"/>
    <w:rsid w:val="00BB2CE4"/>
    <w:rsid w:val="00BB2D17"/>
    <w:rsid w:val="00BB2D1B"/>
    <w:rsid w:val="00BB42D2"/>
    <w:rsid w:val="00BB4D05"/>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FBC"/>
    <w:rsid w:val="00BE5B7C"/>
    <w:rsid w:val="00BE6DBE"/>
    <w:rsid w:val="00BE72FD"/>
    <w:rsid w:val="00BE733C"/>
    <w:rsid w:val="00BE73D4"/>
    <w:rsid w:val="00BE7AF2"/>
    <w:rsid w:val="00BF1EF8"/>
    <w:rsid w:val="00BF25A9"/>
    <w:rsid w:val="00BF2DE5"/>
    <w:rsid w:val="00BF4429"/>
    <w:rsid w:val="00BF48B0"/>
    <w:rsid w:val="00BF4C49"/>
    <w:rsid w:val="00BF4D1A"/>
    <w:rsid w:val="00BF5168"/>
    <w:rsid w:val="00BF51C9"/>
    <w:rsid w:val="00BF5A5B"/>
    <w:rsid w:val="00BF62DF"/>
    <w:rsid w:val="00BF6338"/>
    <w:rsid w:val="00BF6572"/>
    <w:rsid w:val="00BF6D56"/>
    <w:rsid w:val="00BF7EB2"/>
    <w:rsid w:val="00C00D03"/>
    <w:rsid w:val="00C00D9C"/>
    <w:rsid w:val="00C01DFC"/>
    <w:rsid w:val="00C0270E"/>
    <w:rsid w:val="00C0282B"/>
    <w:rsid w:val="00C03262"/>
    <w:rsid w:val="00C047A4"/>
    <w:rsid w:val="00C05013"/>
    <w:rsid w:val="00C067E0"/>
    <w:rsid w:val="00C0773D"/>
    <w:rsid w:val="00C1025D"/>
    <w:rsid w:val="00C10B7C"/>
    <w:rsid w:val="00C11733"/>
    <w:rsid w:val="00C12CC1"/>
    <w:rsid w:val="00C12D93"/>
    <w:rsid w:val="00C12EE2"/>
    <w:rsid w:val="00C12EE5"/>
    <w:rsid w:val="00C1324B"/>
    <w:rsid w:val="00C139DE"/>
    <w:rsid w:val="00C13AA8"/>
    <w:rsid w:val="00C13B55"/>
    <w:rsid w:val="00C13C5F"/>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0D60"/>
    <w:rsid w:val="00C70E4B"/>
    <w:rsid w:val="00C714EE"/>
    <w:rsid w:val="00C731E1"/>
    <w:rsid w:val="00C73883"/>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910"/>
    <w:rsid w:val="00C95DD7"/>
    <w:rsid w:val="00C95ED6"/>
    <w:rsid w:val="00C96BBB"/>
    <w:rsid w:val="00C96FD2"/>
    <w:rsid w:val="00CA0065"/>
    <w:rsid w:val="00CA04D5"/>
    <w:rsid w:val="00CA0F7D"/>
    <w:rsid w:val="00CA12CF"/>
    <w:rsid w:val="00CA1AC8"/>
    <w:rsid w:val="00CA1FB0"/>
    <w:rsid w:val="00CA24D1"/>
    <w:rsid w:val="00CA2AD9"/>
    <w:rsid w:val="00CA39CC"/>
    <w:rsid w:val="00CA3C11"/>
    <w:rsid w:val="00CA403D"/>
    <w:rsid w:val="00CA4743"/>
    <w:rsid w:val="00CA5387"/>
    <w:rsid w:val="00CA57FE"/>
    <w:rsid w:val="00CA5FF6"/>
    <w:rsid w:val="00CA6F32"/>
    <w:rsid w:val="00CA735E"/>
    <w:rsid w:val="00CB01B1"/>
    <w:rsid w:val="00CB138F"/>
    <w:rsid w:val="00CB13CF"/>
    <w:rsid w:val="00CB13E0"/>
    <w:rsid w:val="00CB199A"/>
    <w:rsid w:val="00CB2282"/>
    <w:rsid w:val="00CB2F02"/>
    <w:rsid w:val="00CB44CC"/>
    <w:rsid w:val="00CB4522"/>
    <w:rsid w:val="00CB548E"/>
    <w:rsid w:val="00CB76B8"/>
    <w:rsid w:val="00CB7703"/>
    <w:rsid w:val="00CB77EE"/>
    <w:rsid w:val="00CB783B"/>
    <w:rsid w:val="00CB7AE2"/>
    <w:rsid w:val="00CC1C1E"/>
    <w:rsid w:val="00CC2611"/>
    <w:rsid w:val="00CC2803"/>
    <w:rsid w:val="00CC295E"/>
    <w:rsid w:val="00CC45D1"/>
    <w:rsid w:val="00CC48D6"/>
    <w:rsid w:val="00CC4B7F"/>
    <w:rsid w:val="00CC544C"/>
    <w:rsid w:val="00CC559E"/>
    <w:rsid w:val="00CC707F"/>
    <w:rsid w:val="00CC708A"/>
    <w:rsid w:val="00CC79CD"/>
    <w:rsid w:val="00CD0365"/>
    <w:rsid w:val="00CD1447"/>
    <w:rsid w:val="00CD1841"/>
    <w:rsid w:val="00CD1BF1"/>
    <w:rsid w:val="00CD1D2E"/>
    <w:rsid w:val="00CD1DCF"/>
    <w:rsid w:val="00CD27CD"/>
    <w:rsid w:val="00CD4BF8"/>
    <w:rsid w:val="00CD52CD"/>
    <w:rsid w:val="00CD652E"/>
    <w:rsid w:val="00CD6828"/>
    <w:rsid w:val="00CD685C"/>
    <w:rsid w:val="00CD68DD"/>
    <w:rsid w:val="00CD7B8B"/>
    <w:rsid w:val="00CE01F8"/>
    <w:rsid w:val="00CE0D43"/>
    <w:rsid w:val="00CE19B6"/>
    <w:rsid w:val="00CE24B9"/>
    <w:rsid w:val="00CE2506"/>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261B"/>
    <w:rsid w:val="00D138F2"/>
    <w:rsid w:val="00D1489F"/>
    <w:rsid w:val="00D159F8"/>
    <w:rsid w:val="00D15DD2"/>
    <w:rsid w:val="00D16E55"/>
    <w:rsid w:val="00D16ECF"/>
    <w:rsid w:val="00D17564"/>
    <w:rsid w:val="00D17C04"/>
    <w:rsid w:val="00D17CFB"/>
    <w:rsid w:val="00D17E3E"/>
    <w:rsid w:val="00D2046D"/>
    <w:rsid w:val="00D21820"/>
    <w:rsid w:val="00D22437"/>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37E4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12DF"/>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296"/>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12D"/>
    <w:rsid w:val="00D9031D"/>
    <w:rsid w:val="00D90824"/>
    <w:rsid w:val="00D90F8A"/>
    <w:rsid w:val="00D91621"/>
    <w:rsid w:val="00D9180B"/>
    <w:rsid w:val="00D925BC"/>
    <w:rsid w:val="00D9323B"/>
    <w:rsid w:val="00D939BF"/>
    <w:rsid w:val="00D94EB6"/>
    <w:rsid w:val="00D95111"/>
    <w:rsid w:val="00D954B6"/>
    <w:rsid w:val="00D9553A"/>
    <w:rsid w:val="00D958D2"/>
    <w:rsid w:val="00D95C5C"/>
    <w:rsid w:val="00D96B91"/>
    <w:rsid w:val="00D9740F"/>
    <w:rsid w:val="00D97545"/>
    <w:rsid w:val="00D9787B"/>
    <w:rsid w:val="00D97BA1"/>
    <w:rsid w:val="00DA01D9"/>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A7A06"/>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E7DBF"/>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1C09"/>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377"/>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97963"/>
    <w:rsid w:val="00EA0266"/>
    <w:rsid w:val="00EA111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6FA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1E25"/>
    <w:rsid w:val="00ED28DD"/>
    <w:rsid w:val="00ED421C"/>
    <w:rsid w:val="00ED43A6"/>
    <w:rsid w:val="00ED4E89"/>
    <w:rsid w:val="00ED4E93"/>
    <w:rsid w:val="00ED502A"/>
    <w:rsid w:val="00ED69B3"/>
    <w:rsid w:val="00ED6AF3"/>
    <w:rsid w:val="00ED6FB9"/>
    <w:rsid w:val="00ED7371"/>
    <w:rsid w:val="00ED7E2F"/>
    <w:rsid w:val="00ED7EA8"/>
    <w:rsid w:val="00EE1162"/>
    <w:rsid w:val="00EE1313"/>
    <w:rsid w:val="00EE2126"/>
    <w:rsid w:val="00EE2CF5"/>
    <w:rsid w:val="00EE2FBF"/>
    <w:rsid w:val="00EE3363"/>
    <w:rsid w:val="00EE3725"/>
    <w:rsid w:val="00EE3F3C"/>
    <w:rsid w:val="00EE4C7E"/>
    <w:rsid w:val="00EE556D"/>
    <w:rsid w:val="00EE60A2"/>
    <w:rsid w:val="00EE6184"/>
    <w:rsid w:val="00EE679C"/>
    <w:rsid w:val="00EE686B"/>
    <w:rsid w:val="00EE7596"/>
    <w:rsid w:val="00EE7A2C"/>
    <w:rsid w:val="00EF06D3"/>
    <w:rsid w:val="00EF07DC"/>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319F"/>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589"/>
    <w:rsid w:val="00F467F9"/>
    <w:rsid w:val="00F4691E"/>
    <w:rsid w:val="00F47426"/>
    <w:rsid w:val="00F50D6C"/>
    <w:rsid w:val="00F5184D"/>
    <w:rsid w:val="00F51B88"/>
    <w:rsid w:val="00F51CB2"/>
    <w:rsid w:val="00F534D3"/>
    <w:rsid w:val="00F5421D"/>
    <w:rsid w:val="00F55022"/>
    <w:rsid w:val="00F55184"/>
    <w:rsid w:val="00F5704A"/>
    <w:rsid w:val="00F57E4F"/>
    <w:rsid w:val="00F60DF3"/>
    <w:rsid w:val="00F62057"/>
    <w:rsid w:val="00F62597"/>
    <w:rsid w:val="00F6264B"/>
    <w:rsid w:val="00F6290C"/>
    <w:rsid w:val="00F62AD1"/>
    <w:rsid w:val="00F646C8"/>
    <w:rsid w:val="00F67988"/>
    <w:rsid w:val="00F67C01"/>
    <w:rsid w:val="00F70909"/>
    <w:rsid w:val="00F70AA4"/>
    <w:rsid w:val="00F7114B"/>
    <w:rsid w:val="00F711D9"/>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6D47"/>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011D"/>
    <w:rsid w:val="00FB04CD"/>
    <w:rsid w:val="00FB1729"/>
    <w:rsid w:val="00FB30A2"/>
    <w:rsid w:val="00FB4993"/>
    <w:rsid w:val="00FC072E"/>
    <w:rsid w:val="00FC1364"/>
    <w:rsid w:val="00FC4323"/>
    <w:rsid w:val="00FC51AE"/>
    <w:rsid w:val="00FC550A"/>
    <w:rsid w:val="00FC551E"/>
    <w:rsid w:val="00FC5790"/>
    <w:rsid w:val="00FC6275"/>
    <w:rsid w:val="00FC6EBB"/>
    <w:rsid w:val="00FD039F"/>
    <w:rsid w:val="00FD053B"/>
    <w:rsid w:val="00FD0910"/>
    <w:rsid w:val="00FD0A92"/>
    <w:rsid w:val="00FD0AF0"/>
    <w:rsid w:val="00FD0D0D"/>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0F6F10"/>
    <w:rsid w:val="011E42FB"/>
    <w:rsid w:val="012146C6"/>
    <w:rsid w:val="015D35F5"/>
    <w:rsid w:val="01635C49"/>
    <w:rsid w:val="01CC1A40"/>
    <w:rsid w:val="01E55D35"/>
    <w:rsid w:val="01F72B36"/>
    <w:rsid w:val="02095687"/>
    <w:rsid w:val="022B2C0A"/>
    <w:rsid w:val="02743188"/>
    <w:rsid w:val="02AC10D3"/>
    <w:rsid w:val="02AF383B"/>
    <w:rsid w:val="02E37041"/>
    <w:rsid w:val="02F2197A"/>
    <w:rsid w:val="031511C4"/>
    <w:rsid w:val="034033B2"/>
    <w:rsid w:val="036F2FCB"/>
    <w:rsid w:val="03A10CAA"/>
    <w:rsid w:val="03B866D0"/>
    <w:rsid w:val="03C40B3F"/>
    <w:rsid w:val="03C52BEB"/>
    <w:rsid w:val="03D270B5"/>
    <w:rsid w:val="03E11E16"/>
    <w:rsid w:val="03EB3CDE"/>
    <w:rsid w:val="04833B9D"/>
    <w:rsid w:val="04CE5ACF"/>
    <w:rsid w:val="04FC5581"/>
    <w:rsid w:val="050634BB"/>
    <w:rsid w:val="05485881"/>
    <w:rsid w:val="05557F9E"/>
    <w:rsid w:val="056754CD"/>
    <w:rsid w:val="05821997"/>
    <w:rsid w:val="05891928"/>
    <w:rsid w:val="05A131E3"/>
    <w:rsid w:val="05B11678"/>
    <w:rsid w:val="05BF24C9"/>
    <w:rsid w:val="05DF0DF0"/>
    <w:rsid w:val="05EC26B0"/>
    <w:rsid w:val="05F257ED"/>
    <w:rsid w:val="0616597F"/>
    <w:rsid w:val="061816F7"/>
    <w:rsid w:val="065C52B8"/>
    <w:rsid w:val="066606B5"/>
    <w:rsid w:val="0680729D"/>
    <w:rsid w:val="06875BE0"/>
    <w:rsid w:val="06BF6017"/>
    <w:rsid w:val="06C559AF"/>
    <w:rsid w:val="06E8731C"/>
    <w:rsid w:val="070954E4"/>
    <w:rsid w:val="07283BBC"/>
    <w:rsid w:val="07324DF9"/>
    <w:rsid w:val="073D0CEA"/>
    <w:rsid w:val="0775586D"/>
    <w:rsid w:val="078B5EF9"/>
    <w:rsid w:val="07BA54F9"/>
    <w:rsid w:val="07CE3ADB"/>
    <w:rsid w:val="07D72EEC"/>
    <w:rsid w:val="07D77390"/>
    <w:rsid w:val="07E51AAD"/>
    <w:rsid w:val="07FB307F"/>
    <w:rsid w:val="080A32C2"/>
    <w:rsid w:val="081C64DD"/>
    <w:rsid w:val="08387E2F"/>
    <w:rsid w:val="083E1B6F"/>
    <w:rsid w:val="08435461"/>
    <w:rsid w:val="08435AFA"/>
    <w:rsid w:val="08907C6B"/>
    <w:rsid w:val="08987816"/>
    <w:rsid w:val="08BD0334"/>
    <w:rsid w:val="08BF40AC"/>
    <w:rsid w:val="08E65ADD"/>
    <w:rsid w:val="090C7C1B"/>
    <w:rsid w:val="09173EE8"/>
    <w:rsid w:val="091C14FF"/>
    <w:rsid w:val="0929095D"/>
    <w:rsid w:val="09410F65"/>
    <w:rsid w:val="09493091"/>
    <w:rsid w:val="095E38C5"/>
    <w:rsid w:val="095E7989"/>
    <w:rsid w:val="095F3199"/>
    <w:rsid w:val="09630EDC"/>
    <w:rsid w:val="0980057D"/>
    <w:rsid w:val="09897DD1"/>
    <w:rsid w:val="09C520DD"/>
    <w:rsid w:val="09C556F2"/>
    <w:rsid w:val="09C63218"/>
    <w:rsid w:val="09CB6AF9"/>
    <w:rsid w:val="09E518F1"/>
    <w:rsid w:val="0A3C34DB"/>
    <w:rsid w:val="0A6D18E6"/>
    <w:rsid w:val="0A914C01"/>
    <w:rsid w:val="0AD31787"/>
    <w:rsid w:val="0AF96D6A"/>
    <w:rsid w:val="0AFC2894"/>
    <w:rsid w:val="0B09160F"/>
    <w:rsid w:val="0B112BB9"/>
    <w:rsid w:val="0B1A1A6E"/>
    <w:rsid w:val="0B2823DD"/>
    <w:rsid w:val="0B896BF3"/>
    <w:rsid w:val="0B912479"/>
    <w:rsid w:val="0BBB0B4A"/>
    <w:rsid w:val="0BCC39BB"/>
    <w:rsid w:val="0BDA2FAB"/>
    <w:rsid w:val="0BE8391A"/>
    <w:rsid w:val="0C104C1F"/>
    <w:rsid w:val="0C122745"/>
    <w:rsid w:val="0C2520CA"/>
    <w:rsid w:val="0C2B1A59"/>
    <w:rsid w:val="0C4C5587"/>
    <w:rsid w:val="0C4D5E73"/>
    <w:rsid w:val="0C743AB6"/>
    <w:rsid w:val="0C7777A9"/>
    <w:rsid w:val="0D0E5602"/>
    <w:rsid w:val="0D2E1801"/>
    <w:rsid w:val="0D3B5CCB"/>
    <w:rsid w:val="0D490A8D"/>
    <w:rsid w:val="0D544AC2"/>
    <w:rsid w:val="0D6F744D"/>
    <w:rsid w:val="0D817B82"/>
    <w:rsid w:val="0D9A0C44"/>
    <w:rsid w:val="0DB717F6"/>
    <w:rsid w:val="0DC93D4A"/>
    <w:rsid w:val="0E016F15"/>
    <w:rsid w:val="0E5232CD"/>
    <w:rsid w:val="0E5643EF"/>
    <w:rsid w:val="0E6E6F80"/>
    <w:rsid w:val="0EEA5BFB"/>
    <w:rsid w:val="0EEC1973"/>
    <w:rsid w:val="0F087E2F"/>
    <w:rsid w:val="0F0A004B"/>
    <w:rsid w:val="0F1B5DB5"/>
    <w:rsid w:val="0F307AB2"/>
    <w:rsid w:val="0F7A7451"/>
    <w:rsid w:val="0F904F26"/>
    <w:rsid w:val="0FEF171B"/>
    <w:rsid w:val="0FF94323"/>
    <w:rsid w:val="1017657C"/>
    <w:rsid w:val="101C0C5E"/>
    <w:rsid w:val="10352FA6"/>
    <w:rsid w:val="107A34BF"/>
    <w:rsid w:val="107A51CD"/>
    <w:rsid w:val="108D4A90"/>
    <w:rsid w:val="109127D2"/>
    <w:rsid w:val="10993984"/>
    <w:rsid w:val="10BC10C0"/>
    <w:rsid w:val="10C07307"/>
    <w:rsid w:val="10E67EAB"/>
    <w:rsid w:val="110A7E8F"/>
    <w:rsid w:val="11124F95"/>
    <w:rsid w:val="111D7BC2"/>
    <w:rsid w:val="11763776"/>
    <w:rsid w:val="117B301D"/>
    <w:rsid w:val="11925F20"/>
    <w:rsid w:val="11AE581E"/>
    <w:rsid w:val="11B81FE1"/>
    <w:rsid w:val="11BF6059"/>
    <w:rsid w:val="11C91423"/>
    <w:rsid w:val="11CC15E8"/>
    <w:rsid w:val="11DC7A7D"/>
    <w:rsid w:val="11F03528"/>
    <w:rsid w:val="123821EC"/>
    <w:rsid w:val="124D44D7"/>
    <w:rsid w:val="124E024F"/>
    <w:rsid w:val="128D0D77"/>
    <w:rsid w:val="12E96032"/>
    <w:rsid w:val="12EB6997"/>
    <w:rsid w:val="12EC0F8D"/>
    <w:rsid w:val="1312127D"/>
    <w:rsid w:val="131D659F"/>
    <w:rsid w:val="13560879"/>
    <w:rsid w:val="13773FFC"/>
    <w:rsid w:val="13CC1D73"/>
    <w:rsid w:val="13D4431F"/>
    <w:rsid w:val="13D44784"/>
    <w:rsid w:val="13F015BE"/>
    <w:rsid w:val="13F05A62"/>
    <w:rsid w:val="14263231"/>
    <w:rsid w:val="14CF38C9"/>
    <w:rsid w:val="14D233B9"/>
    <w:rsid w:val="151D38BF"/>
    <w:rsid w:val="15BA18F1"/>
    <w:rsid w:val="15BF1762"/>
    <w:rsid w:val="15DF5D8E"/>
    <w:rsid w:val="15E2587E"/>
    <w:rsid w:val="15F335E7"/>
    <w:rsid w:val="1602382A"/>
    <w:rsid w:val="160650C5"/>
    <w:rsid w:val="161A1EE6"/>
    <w:rsid w:val="161C2B3E"/>
    <w:rsid w:val="1653052A"/>
    <w:rsid w:val="165D4F05"/>
    <w:rsid w:val="16A4387C"/>
    <w:rsid w:val="16BA40A9"/>
    <w:rsid w:val="16E54E7B"/>
    <w:rsid w:val="16EB2510"/>
    <w:rsid w:val="16F2564D"/>
    <w:rsid w:val="16F47498"/>
    <w:rsid w:val="17051BB8"/>
    <w:rsid w:val="1719707D"/>
    <w:rsid w:val="17214184"/>
    <w:rsid w:val="174560C4"/>
    <w:rsid w:val="17727A45"/>
    <w:rsid w:val="17785A91"/>
    <w:rsid w:val="178C1418"/>
    <w:rsid w:val="17C57205"/>
    <w:rsid w:val="17CF598E"/>
    <w:rsid w:val="17EA27C8"/>
    <w:rsid w:val="17FF2717"/>
    <w:rsid w:val="181638D8"/>
    <w:rsid w:val="182E6B59"/>
    <w:rsid w:val="18414ADE"/>
    <w:rsid w:val="184E0FA9"/>
    <w:rsid w:val="18841AD7"/>
    <w:rsid w:val="18A015D3"/>
    <w:rsid w:val="18AE1A47"/>
    <w:rsid w:val="19461C80"/>
    <w:rsid w:val="19832ED4"/>
    <w:rsid w:val="198E1224"/>
    <w:rsid w:val="19A370D2"/>
    <w:rsid w:val="19B1604A"/>
    <w:rsid w:val="19B95C26"/>
    <w:rsid w:val="19DC29B5"/>
    <w:rsid w:val="19E46AD9"/>
    <w:rsid w:val="19F4792E"/>
    <w:rsid w:val="1A0428BA"/>
    <w:rsid w:val="1A126E19"/>
    <w:rsid w:val="1A652503"/>
    <w:rsid w:val="1A7E634F"/>
    <w:rsid w:val="1A907657"/>
    <w:rsid w:val="1A954C6D"/>
    <w:rsid w:val="1AB53561"/>
    <w:rsid w:val="1AC668AF"/>
    <w:rsid w:val="1AD559B1"/>
    <w:rsid w:val="1AF8344E"/>
    <w:rsid w:val="1B325F2A"/>
    <w:rsid w:val="1B327A6D"/>
    <w:rsid w:val="1B334486"/>
    <w:rsid w:val="1B62301A"/>
    <w:rsid w:val="1B851185"/>
    <w:rsid w:val="1BD17F27"/>
    <w:rsid w:val="1C0D4CD7"/>
    <w:rsid w:val="1C1F1E0E"/>
    <w:rsid w:val="1CD27580"/>
    <w:rsid w:val="1CF12935"/>
    <w:rsid w:val="1CFE11EF"/>
    <w:rsid w:val="1D0C481B"/>
    <w:rsid w:val="1D190873"/>
    <w:rsid w:val="1D2422D8"/>
    <w:rsid w:val="1D4B710C"/>
    <w:rsid w:val="1D8E3BF5"/>
    <w:rsid w:val="1DE2466D"/>
    <w:rsid w:val="1E330E9C"/>
    <w:rsid w:val="1E340CEE"/>
    <w:rsid w:val="1E3D7AF5"/>
    <w:rsid w:val="1E4A3FC0"/>
    <w:rsid w:val="1E967206"/>
    <w:rsid w:val="1E9C6591"/>
    <w:rsid w:val="1ED1023E"/>
    <w:rsid w:val="1F2111C5"/>
    <w:rsid w:val="1F3A001E"/>
    <w:rsid w:val="1F417171"/>
    <w:rsid w:val="1F507A92"/>
    <w:rsid w:val="1F75506D"/>
    <w:rsid w:val="1F8937C0"/>
    <w:rsid w:val="1F9E2DEF"/>
    <w:rsid w:val="1FC63B1B"/>
    <w:rsid w:val="1FD21930"/>
    <w:rsid w:val="1FD42A3B"/>
    <w:rsid w:val="1FDC50EC"/>
    <w:rsid w:val="1FFD700C"/>
    <w:rsid w:val="20043B19"/>
    <w:rsid w:val="200F54C2"/>
    <w:rsid w:val="202D3B9A"/>
    <w:rsid w:val="20435F90"/>
    <w:rsid w:val="206A5849"/>
    <w:rsid w:val="208732AA"/>
    <w:rsid w:val="20D17B68"/>
    <w:rsid w:val="20EC75B1"/>
    <w:rsid w:val="21002EFC"/>
    <w:rsid w:val="2112344B"/>
    <w:rsid w:val="21156B08"/>
    <w:rsid w:val="21481A39"/>
    <w:rsid w:val="2149210D"/>
    <w:rsid w:val="219A1B7F"/>
    <w:rsid w:val="21B22A5C"/>
    <w:rsid w:val="21B31E7D"/>
    <w:rsid w:val="21C61BB0"/>
    <w:rsid w:val="21E65C8F"/>
    <w:rsid w:val="21F42BC1"/>
    <w:rsid w:val="22405E06"/>
    <w:rsid w:val="226B2757"/>
    <w:rsid w:val="22B42350"/>
    <w:rsid w:val="22BB723B"/>
    <w:rsid w:val="22DA1DB7"/>
    <w:rsid w:val="22E9024C"/>
    <w:rsid w:val="22F17100"/>
    <w:rsid w:val="232C1EE7"/>
    <w:rsid w:val="233314C7"/>
    <w:rsid w:val="23425BAE"/>
    <w:rsid w:val="235220CD"/>
    <w:rsid w:val="236835FA"/>
    <w:rsid w:val="23A67EEB"/>
    <w:rsid w:val="23A979DB"/>
    <w:rsid w:val="23AA6A32"/>
    <w:rsid w:val="23C9229F"/>
    <w:rsid w:val="240927AD"/>
    <w:rsid w:val="24195A43"/>
    <w:rsid w:val="24561911"/>
    <w:rsid w:val="245D31B5"/>
    <w:rsid w:val="246B0720"/>
    <w:rsid w:val="247D79EF"/>
    <w:rsid w:val="24826101"/>
    <w:rsid w:val="24A3442A"/>
    <w:rsid w:val="254554E2"/>
    <w:rsid w:val="256F130F"/>
    <w:rsid w:val="25784A9C"/>
    <w:rsid w:val="25861D82"/>
    <w:rsid w:val="258864A1"/>
    <w:rsid w:val="25900E53"/>
    <w:rsid w:val="25A3418E"/>
    <w:rsid w:val="25C463EC"/>
    <w:rsid w:val="25E16A45"/>
    <w:rsid w:val="25F11338"/>
    <w:rsid w:val="25F46AB0"/>
    <w:rsid w:val="26127ABA"/>
    <w:rsid w:val="27217B54"/>
    <w:rsid w:val="27337CE7"/>
    <w:rsid w:val="277D1EE5"/>
    <w:rsid w:val="277E0D9B"/>
    <w:rsid w:val="278A223C"/>
    <w:rsid w:val="27A31B59"/>
    <w:rsid w:val="27AE3812"/>
    <w:rsid w:val="27B30E28"/>
    <w:rsid w:val="27B87AF2"/>
    <w:rsid w:val="27D56FF1"/>
    <w:rsid w:val="27EE3E21"/>
    <w:rsid w:val="284D302B"/>
    <w:rsid w:val="28537F15"/>
    <w:rsid w:val="286C3B37"/>
    <w:rsid w:val="287265EE"/>
    <w:rsid w:val="289002C6"/>
    <w:rsid w:val="28996270"/>
    <w:rsid w:val="28B07F33"/>
    <w:rsid w:val="28C64B8B"/>
    <w:rsid w:val="28C71A62"/>
    <w:rsid w:val="28C85689"/>
    <w:rsid w:val="28D9666D"/>
    <w:rsid w:val="28F622CD"/>
    <w:rsid w:val="292875F4"/>
    <w:rsid w:val="293801B5"/>
    <w:rsid w:val="294C6E3F"/>
    <w:rsid w:val="298A23AD"/>
    <w:rsid w:val="299E3412"/>
    <w:rsid w:val="29F6324E"/>
    <w:rsid w:val="2A005E7B"/>
    <w:rsid w:val="2A0E6341"/>
    <w:rsid w:val="2A336250"/>
    <w:rsid w:val="2A3873C3"/>
    <w:rsid w:val="2A426494"/>
    <w:rsid w:val="2ABE5B1A"/>
    <w:rsid w:val="2AD510B6"/>
    <w:rsid w:val="2AED63FF"/>
    <w:rsid w:val="2AF91248"/>
    <w:rsid w:val="2B033371"/>
    <w:rsid w:val="2B085B8B"/>
    <w:rsid w:val="2B116592"/>
    <w:rsid w:val="2B2142FB"/>
    <w:rsid w:val="2B2405A8"/>
    <w:rsid w:val="2B3A56AF"/>
    <w:rsid w:val="2B606BD1"/>
    <w:rsid w:val="2B852ADC"/>
    <w:rsid w:val="2B940F71"/>
    <w:rsid w:val="2BB71443"/>
    <w:rsid w:val="2BD650E5"/>
    <w:rsid w:val="2BF00047"/>
    <w:rsid w:val="2C0853D9"/>
    <w:rsid w:val="2C240F34"/>
    <w:rsid w:val="2C5C1A8E"/>
    <w:rsid w:val="2C64115C"/>
    <w:rsid w:val="2C6E17C2"/>
    <w:rsid w:val="2C9E14C2"/>
    <w:rsid w:val="2CAD5E46"/>
    <w:rsid w:val="2D0B54A3"/>
    <w:rsid w:val="2D230138"/>
    <w:rsid w:val="2D3E35CA"/>
    <w:rsid w:val="2D5C238D"/>
    <w:rsid w:val="2D6D3827"/>
    <w:rsid w:val="2D6F4378"/>
    <w:rsid w:val="2DCE7B02"/>
    <w:rsid w:val="2DD07AC9"/>
    <w:rsid w:val="2DED1D9C"/>
    <w:rsid w:val="2DF47AA5"/>
    <w:rsid w:val="2E2959A0"/>
    <w:rsid w:val="2E3B56D4"/>
    <w:rsid w:val="2E3E316C"/>
    <w:rsid w:val="2E590BD6"/>
    <w:rsid w:val="2E650042"/>
    <w:rsid w:val="2E7A61FC"/>
    <w:rsid w:val="2E884DC6"/>
    <w:rsid w:val="2EA0509E"/>
    <w:rsid w:val="2EA72D69"/>
    <w:rsid w:val="2ED27DE6"/>
    <w:rsid w:val="2EEE550E"/>
    <w:rsid w:val="2EF34ABE"/>
    <w:rsid w:val="2F302D5E"/>
    <w:rsid w:val="2F3C7955"/>
    <w:rsid w:val="2F3F3850"/>
    <w:rsid w:val="2F573CB6"/>
    <w:rsid w:val="2F5F53F2"/>
    <w:rsid w:val="2F715851"/>
    <w:rsid w:val="2F815A0A"/>
    <w:rsid w:val="2F8F7008"/>
    <w:rsid w:val="2FAF45CB"/>
    <w:rsid w:val="2FBE480E"/>
    <w:rsid w:val="2FF73D1D"/>
    <w:rsid w:val="300801AF"/>
    <w:rsid w:val="30104524"/>
    <w:rsid w:val="30113460"/>
    <w:rsid w:val="30204AC3"/>
    <w:rsid w:val="30297EDA"/>
    <w:rsid w:val="304B4E50"/>
    <w:rsid w:val="3063463F"/>
    <w:rsid w:val="30662EDC"/>
    <w:rsid w:val="306727B0"/>
    <w:rsid w:val="308F3CFA"/>
    <w:rsid w:val="30A532D8"/>
    <w:rsid w:val="30D77936"/>
    <w:rsid w:val="30FB7F21"/>
    <w:rsid w:val="312753D6"/>
    <w:rsid w:val="31543DE9"/>
    <w:rsid w:val="319C0B7F"/>
    <w:rsid w:val="31A11AE9"/>
    <w:rsid w:val="31C854D0"/>
    <w:rsid w:val="31ED3189"/>
    <w:rsid w:val="31FC3EF9"/>
    <w:rsid w:val="32270449"/>
    <w:rsid w:val="322E5E24"/>
    <w:rsid w:val="323D1A1A"/>
    <w:rsid w:val="324B16F5"/>
    <w:rsid w:val="325D030E"/>
    <w:rsid w:val="32B04D26"/>
    <w:rsid w:val="32B10138"/>
    <w:rsid w:val="32CF303F"/>
    <w:rsid w:val="3350673E"/>
    <w:rsid w:val="33596D28"/>
    <w:rsid w:val="33830490"/>
    <w:rsid w:val="33977D4F"/>
    <w:rsid w:val="33B67A9F"/>
    <w:rsid w:val="33C24F8B"/>
    <w:rsid w:val="33E02E1C"/>
    <w:rsid w:val="34014CC9"/>
    <w:rsid w:val="341D63B4"/>
    <w:rsid w:val="345E036E"/>
    <w:rsid w:val="34727975"/>
    <w:rsid w:val="34E60A39"/>
    <w:rsid w:val="351D0A98"/>
    <w:rsid w:val="3539317A"/>
    <w:rsid w:val="354F755A"/>
    <w:rsid w:val="35523A2F"/>
    <w:rsid w:val="35531555"/>
    <w:rsid w:val="355C0DE1"/>
    <w:rsid w:val="355E0625"/>
    <w:rsid w:val="35867B7C"/>
    <w:rsid w:val="35893F26"/>
    <w:rsid w:val="35A87AF3"/>
    <w:rsid w:val="35D03558"/>
    <w:rsid w:val="35F66F10"/>
    <w:rsid w:val="361D3B28"/>
    <w:rsid w:val="363437C5"/>
    <w:rsid w:val="36383DD0"/>
    <w:rsid w:val="365B6913"/>
    <w:rsid w:val="36691651"/>
    <w:rsid w:val="366D4898"/>
    <w:rsid w:val="369D517D"/>
    <w:rsid w:val="36D466C5"/>
    <w:rsid w:val="36E032BC"/>
    <w:rsid w:val="36F1018E"/>
    <w:rsid w:val="372C38F8"/>
    <w:rsid w:val="376857B1"/>
    <w:rsid w:val="377622CB"/>
    <w:rsid w:val="3780685D"/>
    <w:rsid w:val="37990E12"/>
    <w:rsid w:val="37BA2F63"/>
    <w:rsid w:val="37C81053"/>
    <w:rsid w:val="37E817A5"/>
    <w:rsid w:val="37F039D3"/>
    <w:rsid w:val="382D2531"/>
    <w:rsid w:val="384B29B7"/>
    <w:rsid w:val="385271CD"/>
    <w:rsid w:val="38704532"/>
    <w:rsid w:val="38AA04E2"/>
    <w:rsid w:val="38AA5930"/>
    <w:rsid w:val="38B04014"/>
    <w:rsid w:val="38B467AE"/>
    <w:rsid w:val="38B62526"/>
    <w:rsid w:val="38D77AF6"/>
    <w:rsid w:val="38DA1EF9"/>
    <w:rsid w:val="38E050B1"/>
    <w:rsid w:val="39331DC9"/>
    <w:rsid w:val="394E275F"/>
    <w:rsid w:val="394E75C1"/>
    <w:rsid w:val="395A5B11"/>
    <w:rsid w:val="398A2C99"/>
    <w:rsid w:val="39B41E0D"/>
    <w:rsid w:val="39B853D1"/>
    <w:rsid w:val="39C62C3D"/>
    <w:rsid w:val="39DB34A5"/>
    <w:rsid w:val="3A306308"/>
    <w:rsid w:val="3A3C23C2"/>
    <w:rsid w:val="3A6A35C8"/>
    <w:rsid w:val="3A7A7584"/>
    <w:rsid w:val="3A804B9A"/>
    <w:rsid w:val="3A8D375B"/>
    <w:rsid w:val="3B00217F"/>
    <w:rsid w:val="3B005CDB"/>
    <w:rsid w:val="3B040851"/>
    <w:rsid w:val="3B1672AC"/>
    <w:rsid w:val="3B59309C"/>
    <w:rsid w:val="3BA448B8"/>
    <w:rsid w:val="3BA76A03"/>
    <w:rsid w:val="3BAE3989"/>
    <w:rsid w:val="3BCB0097"/>
    <w:rsid w:val="3BE30FA7"/>
    <w:rsid w:val="3BEC625F"/>
    <w:rsid w:val="3C002C09"/>
    <w:rsid w:val="3C2B6D87"/>
    <w:rsid w:val="3C56385D"/>
    <w:rsid w:val="3C6E4EC6"/>
    <w:rsid w:val="3C895347"/>
    <w:rsid w:val="3C8A1D00"/>
    <w:rsid w:val="3CDF3135"/>
    <w:rsid w:val="3D1D0F09"/>
    <w:rsid w:val="3D406863"/>
    <w:rsid w:val="3D4153BD"/>
    <w:rsid w:val="3D4C5207"/>
    <w:rsid w:val="3D4F4CF8"/>
    <w:rsid w:val="3D605B64"/>
    <w:rsid w:val="3DA02D91"/>
    <w:rsid w:val="3DB66D48"/>
    <w:rsid w:val="3DB86D41"/>
    <w:rsid w:val="3DDB658B"/>
    <w:rsid w:val="3DFB0617"/>
    <w:rsid w:val="3E42676A"/>
    <w:rsid w:val="3E4607A4"/>
    <w:rsid w:val="3E612F34"/>
    <w:rsid w:val="3E7E3AE6"/>
    <w:rsid w:val="3EAF410F"/>
    <w:rsid w:val="3EB219E2"/>
    <w:rsid w:val="3EB92D70"/>
    <w:rsid w:val="3EC3774B"/>
    <w:rsid w:val="3EFE69D5"/>
    <w:rsid w:val="3F0D6C18"/>
    <w:rsid w:val="3F26350E"/>
    <w:rsid w:val="3F2A1578"/>
    <w:rsid w:val="3F2B5786"/>
    <w:rsid w:val="3F34383F"/>
    <w:rsid w:val="3F3D74FE"/>
    <w:rsid w:val="3F3E428E"/>
    <w:rsid w:val="3F513CB1"/>
    <w:rsid w:val="3F5B5BD6"/>
    <w:rsid w:val="3F9D1D4A"/>
    <w:rsid w:val="3FA86688"/>
    <w:rsid w:val="3FB269C3"/>
    <w:rsid w:val="3FC71848"/>
    <w:rsid w:val="3FCC262F"/>
    <w:rsid w:val="3FCF3ECE"/>
    <w:rsid w:val="3FD032C7"/>
    <w:rsid w:val="3FDB1D7E"/>
    <w:rsid w:val="3FDD483D"/>
    <w:rsid w:val="3FF102E8"/>
    <w:rsid w:val="3FF83425"/>
    <w:rsid w:val="402C1320"/>
    <w:rsid w:val="406B1E48"/>
    <w:rsid w:val="406D3E71"/>
    <w:rsid w:val="40767C0D"/>
    <w:rsid w:val="40877969"/>
    <w:rsid w:val="40CB28E7"/>
    <w:rsid w:val="40E45FD9"/>
    <w:rsid w:val="410061AC"/>
    <w:rsid w:val="41246907"/>
    <w:rsid w:val="413E22CD"/>
    <w:rsid w:val="414D77A0"/>
    <w:rsid w:val="41571D6E"/>
    <w:rsid w:val="419D4283"/>
    <w:rsid w:val="41B06223"/>
    <w:rsid w:val="41B829D4"/>
    <w:rsid w:val="41D852BC"/>
    <w:rsid w:val="41E77728"/>
    <w:rsid w:val="41F8244F"/>
    <w:rsid w:val="4214206C"/>
    <w:rsid w:val="421F601D"/>
    <w:rsid w:val="42426BD9"/>
    <w:rsid w:val="42482AD4"/>
    <w:rsid w:val="424A2571"/>
    <w:rsid w:val="4267663F"/>
    <w:rsid w:val="426B25D4"/>
    <w:rsid w:val="427D40B5"/>
    <w:rsid w:val="42896114"/>
    <w:rsid w:val="42975177"/>
    <w:rsid w:val="42BE5CDC"/>
    <w:rsid w:val="430C0C47"/>
    <w:rsid w:val="432509D4"/>
    <w:rsid w:val="432B6014"/>
    <w:rsid w:val="432D1637"/>
    <w:rsid w:val="43560B8E"/>
    <w:rsid w:val="43575046"/>
    <w:rsid w:val="43947908"/>
    <w:rsid w:val="439671DC"/>
    <w:rsid w:val="43A73423"/>
    <w:rsid w:val="43E62EC8"/>
    <w:rsid w:val="440F12D0"/>
    <w:rsid w:val="441D78FE"/>
    <w:rsid w:val="44332C7D"/>
    <w:rsid w:val="4447460A"/>
    <w:rsid w:val="447D65EE"/>
    <w:rsid w:val="44B715B0"/>
    <w:rsid w:val="44F03249"/>
    <w:rsid w:val="44F763A1"/>
    <w:rsid w:val="44FA379B"/>
    <w:rsid w:val="451275EF"/>
    <w:rsid w:val="451F5E78"/>
    <w:rsid w:val="45303661"/>
    <w:rsid w:val="453040D2"/>
    <w:rsid w:val="456B6447"/>
    <w:rsid w:val="45717F01"/>
    <w:rsid w:val="4594599D"/>
    <w:rsid w:val="459D0477"/>
    <w:rsid w:val="45AA3413"/>
    <w:rsid w:val="45AC35EE"/>
    <w:rsid w:val="463D7DE3"/>
    <w:rsid w:val="464C44CA"/>
    <w:rsid w:val="467F21AA"/>
    <w:rsid w:val="468974CC"/>
    <w:rsid w:val="46CB3641"/>
    <w:rsid w:val="46CC258D"/>
    <w:rsid w:val="46E42C4A"/>
    <w:rsid w:val="472C7633"/>
    <w:rsid w:val="47385FC3"/>
    <w:rsid w:val="474256D1"/>
    <w:rsid w:val="475D2AB1"/>
    <w:rsid w:val="478B1022"/>
    <w:rsid w:val="47C02A7A"/>
    <w:rsid w:val="47D965EA"/>
    <w:rsid w:val="47E44403"/>
    <w:rsid w:val="47EC7D13"/>
    <w:rsid w:val="480706A9"/>
    <w:rsid w:val="48233009"/>
    <w:rsid w:val="482A4397"/>
    <w:rsid w:val="48395652"/>
    <w:rsid w:val="48BC5937"/>
    <w:rsid w:val="48D32A07"/>
    <w:rsid w:val="48D43EA7"/>
    <w:rsid w:val="48DC7D87"/>
    <w:rsid w:val="48EA0098"/>
    <w:rsid w:val="49296D45"/>
    <w:rsid w:val="494D6547"/>
    <w:rsid w:val="49694C99"/>
    <w:rsid w:val="496D4057"/>
    <w:rsid w:val="49807693"/>
    <w:rsid w:val="49A60395"/>
    <w:rsid w:val="49A81A17"/>
    <w:rsid w:val="49B94673"/>
    <w:rsid w:val="49D175ED"/>
    <w:rsid w:val="49D82CEC"/>
    <w:rsid w:val="4A4A2ACF"/>
    <w:rsid w:val="4A5366C4"/>
    <w:rsid w:val="4A930919"/>
    <w:rsid w:val="4AD625B4"/>
    <w:rsid w:val="4ADA02F6"/>
    <w:rsid w:val="4ADA6DED"/>
    <w:rsid w:val="4B03407B"/>
    <w:rsid w:val="4B633D46"/>
    <w:rsid w:val="4B7342A7"/>
    <w:rsid w:val="4B8322F0"/>
    <w:rsid w:val="4B92472D"/>
    <w:rsid w:val="4BB832B2"/>
    <w:rsid w:val="4BC16430"/>
    <w:rsid w:val="4BFC1970"/>
    <w:rsid w:val="4BFD54DB"/>
    <w:rsid w:val="4C164FBE"/>
    <w:rsid w:val="4C2537F3"/>
    <w:rsid w:val="4C271A49"/>
    <w:rsid w:val="4C325CE4"/>
    <w:rsid w:val="4C416153"/>
    <w:rsid w:val="4C520360"/>
    <w:rsid w:val="4C5304CD"/>
    <w:rsid w:val="4C567E51"/>
    <w:rsid w:val="4C623D84"/>
    <w:rsid w:val="4C63256E"/>
    <w:rsid w:val="4CE935CD"/>
    <w:rsid w:val="4D0478AD"/>
    <w:rsid w:val="4D090A1F"/>
    <w:rsid w:val="4D275349"/>
    <w:rsid w:val="4D2C6E03"/>
    <w:rsid w:val="4D3032B0"/>
    <w:rsid w:val="4D3F2693"/>
    <w:rsid w:val="4DC55A54"/>
    <w:rsid w:val="4DD637A3"/>
    <w:rsid w:val="4DEA0C18"/>
    <w:rsid w:val="4DEB45C9"/>
    <w:rsid w:val="4DF60365"/>
    <w:rsid w:val="4E0D2787"/>
    <w:rsid w:val="4E0D453F"/>
    <w:rsid w:val="4E2C67E9"/>
    <w:rsid w:val="4E3221F7"/>
    <w:rsid w:val="4E537D88"/>
    <w:rsid w:val="4E5E2A3C"/>
    <w:rsid w:val="4E5E2FEC"/>
    <w:rsid w:val="4E7B22CD"/>
    <w:rsid w:val="4E9B1B4B"/>
    <w:rsid w:val="4ECD27ED"/>
    <w:rsid w:val="4EE334F2"/>
    <w:rsid w:val="4F0E056F"/>
    <w:rsid w:val="4F227A3B"/>
    <w:rsid w:val="4F2B0C9E"/>
    <w:rsid w:val="4FC74BC1"/>
    <w:rsid w:val="4FCD0FCF"/>
    <w:rsid w:val="4FDD40CD"/>
    <w:rsid w:val="4FEC07C0"/>
    <w:rsid w:val="4FF813ED"/>
    <w:rsid w:val="500100D3"/>
    <w:rsid w:val="50043987"/>
    <w:rsid w:val="502F5B05"/>
    <w:rsid w:val="505144B9"/>
    <w:rsid w:val="50566671"/>
    <w:rsid w:val="50577CF3"/>
    <w:rsid w:val="509960DB"/>
    <w:rsid w:val="50C730CB"/>
    <w:rsid w:val="50E51220"/>
    <w:rsid w:val="50EF2622"/>
    <w:rsid w:val="50F67A62"/>
    <w:rsid w:val="510E78E7"/>
    <w:rsid w:val="510F05CE"/>
    <w:rsid w:val="512D6CA6"/>
    <w:rsid w:val="5144471C"/>
    <w:rsid w:val="51583D23"/>
    <w:rsid w:val="51823496"/>
    <w:rsid w:val="51B17C8F"/>
    <w:rsid w:val="51CB4239"/>
    <w:rsid w:val="51D73B45"/>
    <w:rsid w:val="51EE4687"/>
    <w:rsid w:val="51F21254"/>
    <w:rsid w:val="522B58DB"/>
    <w:rsid w:val="523258FE"/>
    <w:rsid w:val="5257222D"/>
    <w:rsid w:val="52AD009F"/>
    <w:rsid w:val="52B70F1D"/>
    <w:rsid w:val="52CC2C1B"/>
    <w:rsid w:val="52D23FA9"/>
    <w:rsid w:val="52D65847"/>
    <w:rsid w:val="52DF6974"/>
    <w:rsid w:val="52E33AC0"/>
    <w:rsid w:val="5325057D"/>
    <w:rsid w:val="53292792"/>
    <w:rsid w:val="5362532D"/>
    <w:rsid w:val="536D782E"/>
    <w:rsid w:val="53B57275"/>
    <w:rsid w:val="53CC27A6"/>
    <w:rsid w:val="53DA1367"/>
    <w:rsid w:val="53FA5565"/>
    <w:rsid w:val="540A2A63"/>
    <w:rsid w:val="54224ABC"/>
    <w:rsid w:val="54322F51"/>
    <w:rsid w:val="54613836"/>
    <w:rsid w:val="54A27FE5"/>
    <w:rsid w:val="54EF499E"/>
    <w:rsid w:val="54F41FB5"/>
    <w:rsid w:val="54F55D2D"/>
    <w:rsid w:val="550D3076"/>
    <w:rsid w:val="550F5041"/>
    <w:rsid w:val="55180399"/>
    <w:rsid w:val="551A77A3"/>
    <w:rsid w:val="552B71DA"/>
    <w:rsid w:val="556D7D9F"/>
    <w:rsid w:val="558F536E"/>
    <w:rsid w:val="5597575A"/>
    <w:rsid w:val="55C80ACA"/>
    <w:rsid w:val="55F9355F"/>
    <w:rsid w:val="56024321"/>
    <w:rsid w:val="5606548A"/>
    <w:rsid w:val="56244B1C"/>
    <w:rsid w:val="56352885"/>
    <w:rsid w:val="563805C7"/>
    <w:rsid w:val="56562CF2"/>
    <w:rsid w:val="56BA0507"/>
    <w:rsid w:val="56CA1873"/>
    <w:rsid w:val="56ED13B1"/>
    <w:rsid w:val="570A1F63"/>
    <w:rsid w:val="57212E09"/>
    <w:rsid w:val="572A016E"/>
    <w:rsid w:val="5730509E"/>
    <w:rsid w:val="573D71DF"/>
    <w:rsid w:val="577D0663"/>
    <w:rsid w:val="57AE734F"/>
    <w:rsid w:val="57B123DF"/>
    <w:rsid w:val="57B343A9"/>
    <w:rsid w:val="57B8376D"/>
    <w:rsid w:val="57C06AC6"/>
    <w:rsid w:val="57EE3633"/>
    <w:rsid w:val="58236A15"/>
    <w:rsid w:val="583152CE"/>
    <w:rsid w:val="58321EC6"/>
    <w:rsid w:val="584969EE"/>
    <w:rsid w:val="58501D07"/>
    <w:rsid w:val="58533496"/>
    <w:rsid w:val="585A3C87"/>
    <w:rsid w:val="585A7A00"/>
    <w:rsid w:val="585C67EF"/>
    <w:rsid w:val="58615F39"/>
    <w:rsid w:val="58620FD6"/>
    <w:rsid w:val="586757C9"/>
    <w:rsid w:val="5875340D"/>
    <w:rsid w:val="58807305"/>
    <w:rsid w:val="5889153D"/>
    <w:rsid w:val="58A446B9"/>
    <w:rsid w:val="590B5B1F"/>
    <w:rsid w:val="597C3E85"/>
    <w:rsid w:val="59B61F2F"/>
    <w:rsid w:val="5A5C0D28"/>
    <w:rsid w:val="5A9102A6"/>
    <w:rsid w:val="5AAE70AA"/>
    <w:rsid w:val="5ABF28B9"/>
    <w:rsid w:val="5AC22B45"/>
    <w:rsid w:val="5ADD3C34"/>
    <w:rsid w:val="5AFF2912"/>
    <w:rsid w:val="5B031FA8"/>
    <w:rsid w:val="5B046CCA"/>
    <w:rsid w:val="5B24477E"/>
    <w:rsid w:val="5B372BFB"/>
    <w:rsid w:val="5B4B66A7"/>
    <w:rsid w:val="5B7E082A"/>
    <w:rsid w:val="5B7E4CCE"/>
    <w:rsid w:val="5BA858A7"/>
    <w:rsid w:val="5BB93F58"/>
    <w:rsid w:val="5BE34B31"/>
    <w:rsid w:val="5C49708A"/>
    <w:rsid w:val="5C6E4D42"/>
    <w:rsid w:val="5CD61222"/>
    <w:rsid w:val="5CF35248"/>
    <w:rsid w:val="5D0905C7"/>
    <w:rsid w:val="5D12364D"/>
    <w:rsid w:val="5D2B39E1"/>
    <w:rsid w:val="5D5F6EC4"/>
    <w:rsid w:val="5D610403"/>
    <w:rsid w:val="5D652999"/>
    <w:rsid w:val="5D6730F6"/>
    <w:rsid w:val="5D722610"/>
    <w:rsid w:val="5D814602"/>
    <w:rsid w:val="5D8D7C8E"/>
    <w:rsid w:val="5DC61182"/>
    <w:rsid w:val="5DE60909"/>
    <w:rsid w:val="5E123C25"/>
    <w:rsid w:val="5E2935C7"/>
    <w:rsid w:val="5E4A71C0"/>
    <w:rsid w:val="5E59557E"/>
    <w:rsid w:val="5E643D94"/>
    <w:rsid w:val="5E6E14AE"/>
    <w:rsid w:val="5E865C5F"/>
    <w:rsid w:val="5EB43E99"/>
    <w:rsid w:val="5EB54CAB"/>
    <w:rsid w:val="5EB86749"/>
    <w:rsid w:val="5EC155FD"/>
    <w:rsid w:val="5EC74A26"/>
    <w:rsid w:val="5EC7698C"/>
    <w:rsid w:val="5ED1630A"/>
    <w:rsid w:val="5ED840C7"/>
    <w:rsid w:val="5EEC4F2C"/>
    <w:rsid w:val="5F137888"/>
    <w:rsid w:val="5F3118C0"/>
    <w:rsid w:val="5F362174"/>
    <w:rsid w:val="5F61293D"/>
    <w:rsid w:val="5FAD15EE"/>
    <w:rsid w:val="5FB23198"/>
    <w:rsid w:val="5FD17AC2"/>
    <w:rsid w:val="5FDA0F8D"/>
    <w:rsid w:val="5FFE1F39"/>
    <w:rsid w:val="5FFF5CB2"/>
    <w:rsid w:val="6005151A"/>
    <w:rsid w:val="60103A97"/>
    <w:rsid w:val="60261490"/>
    <w:rsid w:val="60343BAD"/>
    <w:rsid w:val="60563B24"/>
    <w:rsid w:val="606A75CF"/>
    <w:rsid w:val="6094289E"/>
    <w:rsid w:val="60C1328E"/>
    <w:rsid w:val="60DB227B"/>
    <w:rsid w:val="610C012A"/>
    <w:rsid w:val="61237EB8"/>
    <w:rsid w:val="61686204"/>
    <w:rsid w:val="619F08EA"/>
    <w:rsid w:val="61B96A60"/>
    <w:rsid w:val="61BE4076"/>
    <w:rsid w:val="61E433B1"/>
    <w:rsid w:val="61FC3A17"/>
    <w:rsid w:val="623A3232"/>
    <w:rsid w:val="624C3ACF"/>
    <w:rsid w:val="627D5CDF"/>
    <w:rsid w:val="630C2BBF"/>
    <w:rsid w:val="633C34A4"/>
    <w:rsid w:val="637C7D45"/>
    <w:rsid w:val="63804BBC"/>
    <w:rsid w:val="63B70D7D"/>
    <w:rsid w:val="63BA64B1"/>
    <w:rsid w:val="63C139AA"/>
    <w:rsid w:val="63C82F8A"/>
    <w:rsid w:val="63DD630A"/>
    <w:rsid w:val="63F2576A"/>
    <w:rsid w:val="64232B20"/>
    <w:rsid w:val="64365814"/>
    <w:rsid w:val="64B74DAD"/>
    <w:rsid w:val="64CB312C"/>
    <w:rsid w:val="64DB3FFC"/>
    <w:rsid w:val="64E32783"/>
    <w:rsid w:val="64EC4A56"/>
    <w:rsid w:val="65007F4E"/>
    <w:rsid w:val="65063DE0"/>
    <w:rsid w:val="65393A14"/>
    <w:rsid w:val="655D3BA6"/>
    <w:rsid w:val="6585379C"/>
    <w:rsid w:val="658A3520"/>
    <w:rsid w:val="65AC068A"/>
    <w:rsid w:val="661354E8"/>
    <w:rsid w:val="662D4763"/>
    <w:rsid w:val="664513D6"/>
    <w:rsid w:val="6646288C"/>
    <w:rsid w:val="664B644A"/>
    <w:rsid w:val="666B09B5"/>
    <w:rsid w:val="667C4500"/>
    <w:rsid w:val="66885224"/>
    <w:rsid w:val="66BB6DD6"/>
    <w:rsid w:val="66DC0AFB"/>
    <w:rsid w:val="66E005EB"/>
    <w:rsid w:val="66F10A4A"/>
    <w:rsid w:val="67002A3B"/>
    <w:rsid w:val="67236729"/>
    <w:rsid w:val="67281F92"/>
    <w:rsid w:val="672C1A82"/>
    <w:rsid w:val="6759039D"/>
    <w:rsid w:val="67600786"/>
    <w:rsid w:val="677360E3"/>
    <w:rsid w:val="67931B01"/>
    <w:rsid w:val="67E22141"/>
    <w:rsid w:val="67F26828"/>
    <w:rsid w:val="67F65590"/>
    <w:rsid w:val="682C160E"/>
    <w:rsid w:val="682D3D04"/>
    <w:rsid w:val="688A03DF"/>
    <w:rsid w:val="68AB2E7A"/>
    <w:rsid w:val="68AB4C28"/>
    <w:rsid w:val="68BB1E56"/>
    <w:rsid w:val="68D357B0"/>
    <w:rsid w:val="68F14D31"/>
    <w:rsid w:val="693E3CEF"/>
    <w:rsid w:val="69962BD5"/>
    <w:rsid w:val="69C43098"/>
    <w:rsid w:val="69C9180A"/>
    <w:rsid w:val="69CB7493"/>
    <w:rsid w:val="69D361E5"/>
    <w:rsid w:val="69D4537F"/>
    <w:rsid w:val="69F50851"/>
    <w:rsid w:val="6A18009C"/>
    <w:rsid w:val="6A365264"/>
    <w:rsid w:val="6A9B5EF7"/>
    <w:rsid w:val="6A9D7F57"/>
    <w:rsid w:val="6AAD6A36"/>
    <w:rsid w:val="6AB30BF4"/>
    <w:rsid w:val="6B1E5CE6"/>
    <w:rsid w:val="6B431148"/>
    <w:rsid w:val="6B4B624F"/>
    <w:rsid w:val="6B851761"/>
    <w:rsid w:val="6B981DF8"/>
    <w:rsid w:val="6B9D025C"/>
    <w:rsid w:val="6BA75FB6"/>
    <w:rsid w:val="6BC32289"/>
    <w:rsid w:val="6BCA0C7C"/>
    <w:rsid w:val="6BFE0F28"/>
    <w:rsid w:val="6BFF52D4"/>
    <w:rsid w:val="6C59487A"/>
    <w:rsid w:val="6C6B0957"/>
    <w:rsid w:val="6C7B3D34"/>
    <w:rsid w:val="6C7D68DC"/>
    <w:rsid w:val="6C9A56E0"/>
    <w:rsid w:val="6CA125CA"/>
    <w:rsid w:val="6D262AD0"/>
    <w:rsid w:val="6D2F00AE"/>
    <w:rsid w:val="6D5C2995"/>
    <w:rsid w:val="6D9B19E5"/>
    <w:rsid w:val="6DDA2238"/>
    <w:rsid w:val="6E072901"/>
    <w:rsid w:val="6E096679"/>
    <w:rsid w:val="6E1D2124"/>
    <w:rsid w:val="6E314130"/>
    <w:rsid w:val="6E3A2CD6"/>
    <w:rsid w:val="6E6C09B6"/>
    <w:rsid w:val="6EC30F1E"/>
    <w:rsid w:val="6ECE45B7"/>
    <w:rsid w:val="6ED21161"/>
    <w:rsid w:val="6EE30707"/>
    <w:rsid w:val="6EE3336E"/>
    <w:rsid w:val="6EE80984"/>
    <w:rsid w:val="6EE82D75"/>
    <w:rsid w:val="6EE92007"/>
    <w:rsid w:val="6EEF1D13"/>
    <w:rsid w:val="6F1352D6"/>
    <w:rsid w:val="6F20011E"/>
    <w:rsid w:val="6F235519"/>
    <w:rsid w:val="6F4207B0"/>
    <w:rsid w:val="6F5E0FC0"/>
    <w:rsid w:val="6F6F4E5B"/>
    <w:rsid w:val="6F712728"/>
    <w:rsid w:val="6F9B0B3D"/>
    <w:rsid w:val="6FC30AAA"/>
    <w:rsid w:val="6FCD69D4"/>
    <w:rsid w:val="706A7177"/>
    <w:rsid w:val="70785D38"/>
    <w:rsid w:val="707D6EAA"/>
    <w:rsid w:val="70A56F77"/>
    <w:rsid w:val="70A64653"/>
    <w:rsid w:val="70A80E7F"/>
    <w:rsid w:val="70BA3C5B"/>
    <w:rsid w:val="70CB4BD2"/>
    <w:rsid w:val="70E241C6"/>
    <w:rsid w:val="710257E0"/>
    <w:rsid w:val="71031AA6"/>
    <w:rsid w:val="71034F30"/>
    <w:rsid w:val="71603DA0"/>
    <w:rsid w:val="716B13F9"/>
    <w:rsid w:val="71834994"/>
    <w:rsid w:val="71844269"/>
    <w:rsid w:val="718A7AD1"/>
    <w:rsid w:val="718F6E95"/>
    <w:rsid w:val="72007D93"/>
    <w:rsid w:val="720930EC"/>
    <w:rsid w:val="722D79AB"/>
    <w:rsid w:val="7265409A"/>
    <w:rsid w:val="72676064"/>
    <w:rsid w:val="72785B7B"/>
    <w:rsid w:val="728B1D53"/>
    <w:rsid w:val="72991E28"/>
    <w:rsid w:val="729F75AC"/>
    <w:rsid w:val="72E94CCB"/>
    <w:rsid w:val="734D525A"/>
    <w:rsid w:val="73700F48"/>
    <w:rsid w:val="737722D7"/>
    <w:rsid w:val="739D4574"/>
    <w:rsid w:val="73A155A6"/>
    <w:rsid w:val="73AA6208"/>
    <w:rsid w:val="73B928EF"/>
    <w:rsid w:val="73C31078"/>
    <w:rsid w:val="73C60B68"/>
    <w:rsid w:val="73CA68AB"/>
    <w:rsid w:val="73D03795"/>
    <w:rsid w:val="741C69DA"/>
    <w:rsid w:val="741E09A4"/>
    <w:rsid w:val="7429721D"/>
    <w:rsid w:val="74564E86"/>
    <w:rsid w:val="7463285B"/>
    <w:rsid w:val="749869A9"/>
    <w:rsid w:val="7519756E"/>
    <w:rsid w:val="753D3F57"/>
    <w:rsid w:val="756D1BE3"/>
    <w:rsid w:val="75826D11"/>
    <w:rsid w:val="75BA3232"/>
    <w:rsid w:val="75D411D5"/>
    <w:rsid w:val="76133CEB"/>
    <w:rsid w:val="76397D18"/>
    <w:rsid w:val="766D79C1"/>
    <w:rsid w:val="767336E4"/>
    <w:rsid w:val="76742AFE"/>
    <w:rsid w:val="76852F5D"/>
    <w:rsid w:val="76A16BB3"/>
    <w:rsid w:val="76D10E3F"/>
    <w:rsid w:val="76E35326"/>
    <w:rsid w:val="76EB17F6"/>
    <w:rsid w:val="7706432E"/>
    <w:rsid w:val="77100A78"/>
    <w:rsid w:val="77737259"/>
    <w:rsid w:val="77747E1D"/>
    <w:rsid w:val="777C1998"/>
    <w:rsid w:val="778411AD"/>
    <w:rsid w:val="778623A5"/>
    <w:rsid w:val="77901832"/>
    <w:rsid w:val="77B9304C"/>
    <w:rsid w:val="77BF5FFA"/>
    <w:rsid w:val="77C11D73"/>
    <w:rsid w:val="77C67389"/>
    <w:rsid w:val="77D0645A"/>
    <w:rsid w:val="77DC5234"/>
    <w:rsid w:val="780600CD"/>
    <w:rsid w:val="78440AD8"/>
    <w:rsid w:val="785901FD"/>
    <w:rsid w:val="786B73C0"/>
    <w:rsid w:val="78857573"/>
    <w:rsid w:val="788F3C1F"/>
    <w:rsid w:val="789442E7"/>
    <w:rsid w:val="78C55892"/>
    <w:rsid w:val="78E74F63"/>
    <w:rsid w:val="792A3948"/>
    <w:rsid w:val="792B7DEB"/>
    <w:rsid w:val="7940316B"/>
    <w:rsid w:val="79501600"/>
    <w:rsid w:val="79982FA7"/>
    <w:rsid w:val="79986B03"/>
    <w:rsid w:val="79AF342D"/>
    <w:rsid w:val="79F41288"/>
    <w:rsid w:val="7A010B4C"/>
    <w:rsid w:val="7A6B1587"/>
    <w:rsid w:val="7A6B1788"/>
    <w:rsid w:val="7A796935"/>
    <w:rsid w:val="7A7B26AD"/>
    <w:rsid w:val="7A7E03EF"/>
    <w:rsid w:val="7AAB6B9F"/>
    <w:rsid w:val="7AE44FF0"/>
    <w:rsid w:val="7AFF6892"/>
    <w:rsid w:val="7B1E65F5"/>
    <w:rsid w:val="7B341C56"/>
    <w:rsid w:val="7B364547"/>
    <w:rsid w:val="7B4056A4"/>
    <w:rsid w:val="7B8B2DC3"/>
    <w:rsid w:val="7B933A26"/>
    <w:rsid w:val="7B937ECA"/>
    <w:rsid w:val="7B963F4F"/>
    <w:rsid w:val="7B9854E0"/>
    <w:rsid w:val="7B9A4DB4"/>
    <w:rsid w:val="7B9F5272"/>
    <w:rsid w:val="7BB8348D"/>
    <w:rsid w:val="7BBB7C03"/>
    <w:rsid w:val="7BCE4A5E"/>
    <w:rsid w:val="7BDD1145"/>
    <w:rsid w:val="7C0741E9"/>
    <w:rsid w:val="7C230F73"/>
    <w:rsid w:val="7C605FFE"/>
    <w:rsid w:val="7C8415C1"/>
    <w:rsid w:val="7C8E41ED"/>
    <w:rsid w:val="7CD04806"/>
    <w:rsid w:val="7D00333D"/>
    <w:rsid w:val="7D1B52B4"/>
    <w:rsid w:val="7D1C725E"/>
    <w:rsid w:val="7D366D5F"/>
    <w:rsid w:val="7D3744CD"/>
    <w:rsid w:val="7D7173A1"/>
    <w:rsid w:val="7DA97531"/>
    <w:rsid w:val="7DB23C95"/>
    <w:rsid w:val="7DBA7990"/>
    <w:rsid w:val="7E433576"/>
    <w:rsid w:val="7E4454AB"/>
    <w:rsid w:val="7E5576B9"/>
    <w:rsid w:val="7E5C45A3"/>
    <w:rsid w:val="7E6761FB"/>
    <w:rsid w:val="7EAD12A3"/>
    <w:rsid w:val="7EBE0DBA"/>
    <w:rsid w:val="7EED3340"/>
    <w:rsid w:val="7EF07EAE"/>
    <w:rsid w:val="7EFB3DBC"/>
    <w:rsid w:val="7F2349D7"/>
    <w:rsid w:val="7F4C0ABC"/>
    <w:rsid w:val="7F5259A6"/>
    <w:rsid w:val="7F6A0F42"/>
    <w:rsid w:val="7F727327"/>
    <w:rsid w:val="7F7B6CAB"/>
    <w:rsid w:val="7FCB4259"/>
    <w:rsid w:val="7FD36AE7"/>
    <w:rsid w:val="7FDD5BB8"/>
    <w:rsid w:val="7FF62F7B"/>
    <w:rsid w:val="B9BB95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2"/>
    <w:qFormat/>
    <w:uiPriority w:val="0"/>
    <w:pPr>
      <w:spacing w:before="340" w:after="330" w:line="360" w:lineRule="auto"/>
      <w:jc w:val="center"/>
      <w:outlineLvl w:val="0"/>
    </w:pPr>
    <w:rPr>
      <w:rFonts w:eastAsia="黑体"/>
      <w:kern w:val="44"/>
      <w:szCs w:val="44"/>
    </w:rPr>
  </w:style>
  <w:style w:type="paragraph" w:styleId="4">
    <w:name w:val="heading 2"/>
    <w:basedOn w:val="1"/>
    <w:next w:val="1"/>
    <w:link w:val="61"/>
    <w:qFormat/>
    <w:uiPriority w:val="0"/>
    <w:pPr>
      <w:adjustRightInd w:val="0"/>
      <w:jc w:val="center"/>
      <w:textAlignment w:val="baseline"/>
      <w:outlineLvl w:val="1"/>
    </w:pPr>
    <w:rPr>
      <w:kern w:val="0"/>
      <w:sz w:val="24"/>
      <w:szCs w:val="20"/>
    </w:rPr>
  </w:style>
  <w:style w:type="paragraph" w:styleId="3">
    <w:name w:val="heading 3"/>
    <w:basedOn w:val="1"/>
    <w:next w:val="1"/>
    <w:link w:val="63"/>
    <w:qFormat/>
    <w:uiPriority w:val="9"/>
    <w:pPr>
      <w:spacing w:before="260" w:after="260"/>
      <w:outlineLvl w:val="2"/>
    </w:pPr>
    <w:rPr>
      <w:rFonts w:ascii="宋体" w:hAnsi="宋体"/>
      <w:szCs w:val="32"/>
    </w:rPr>
  </w:style>
  <w:style w:type="paragraph" w:styleId="5">
    <w:name w:val="heading 4"/>
    <w:basedOn w:val="1"/>
    <w:next w:val="1"/>
    <w:link w:val="64"/>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8"/>
    <w:qFormat/>
    <w:uiPriority w:val="0"/>
    <w:pPr>
      <w:keepNext/>
      <w:keepLines/>
      <w:spacing w:before="280" w:after="290" w:line="376" w:lineRule="auto"/>
      <w:outlineLvl w:val="4"/>
    </w:pPr>
    <w:rPr>
      <w:b/>
      <w:sz w:val="28"/>
      <w:szCs w:val="20"/>
    </w:rPr>
  </w:style>
  <w:style w:type="paragraph" w:styleId="8">
    <w:name w:val="heading 6"/>
    <w:basedOn w:val="1"/>
    <w:next w:val="7"/>
    <w:link w:val="91"/>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link w:val="92"/>
    <w:qFormat/>
    <w:uiPriority w:val="0"/>
    <w:pPr>
      <w:keepNext/>
      <w:keepLines/>
      <w:spacing w:before="240" w:after="64" w:line="320" w:lineRule="auto"/>
      <w:outlineLvl w:val="6"/>
    </w:pPr>
    <w:rPr>
      <w:b/>
      <w:sz w:val="24"/>
      <w:szCs w:val="20"/>
    </w:rPr>
  </w:style>
  <w:style w:type="paragraph" w:styleId="10">
    <w:name w:val="heading 8"/>
    <w:basedOn w:val="1"/>
    <w:next w:val="7"/>
    <w:link w:val="93"/>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link w:val="94"/>
    <w:qFormat/>
    <w:uiPriority w:val="0"/>
    <w:pPr>
      <w:keepNext/>
      <w:keepLines/>
      <w:spacing w:before="240" w:after="64" w:line="320" w:lineRule="auto"/>
      <w:outlineLvl w:val="8"/>
    </w:pPr>
    <w:rPr>
      <w:rFonts w:ascii="Arial" w:hAnsi="Arial" w:eastAsia="黑体"/>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link w:val="66"/>
    <w:qFormat/>
    <w:uiPriority w:val="0"/>
    <w:pPr>
      <w:ind w:firstLine="420"/>
    </w:pPr>
    <w:rPr>
      <w:szCs w:val="20"/>
    </w:rPr>
  </w:style>
  <w:style w:type="paragraph" w:styleId="12">
    <w:name w:val="toc 7"/>
    <w:basedOn w:val="1"/>
    <w:next w:val="1"/>
    <w:semiHidden/>
    <w:qFormat/>
    <w:uiPriority w:val="0"/>
    <w:pPr>
      <w:ind w:left="1260"/>
      <w:jc w:val="left"/>
    </w:pPr>
    <w:rPr>
      <w:szCs w:val="21"/>
    </w:rPr>
  </w:style>
  <w:style w:type="paragraph" w:styleId="13">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4">
    <w:name w:val="List Bullet"/>
    <w:basedOn w:val="1"/>
    <w:qFormat/>
    <w:uiPriority w:val="0"/>
    <w:pPr>
      <w:numPr>
        <w:ilvl w:val="0"/>
        <w:numId w:val="1"/>
      </w:numPr>
    </w:pPr>
    <w:rPr>
      <w:szCs w:val="20"/>
    </w:rPr>
  </w:style>
  <w:style w:type="paragraph" w:styleId="15">
    <w:name w:val="Document Map"/>
    <w:basedOn w:val="1"/>
    <w:semiHidden/>
    <w:qFormat/>
    <w:uiPriority w:val="0"/>
    <w:pPr>
      <w:shd w:val="clear" w:color="auto" w:fill="000080"/>
    </w:pPr>
  </w:style>
  <w:style w:type="paragraph" w:styleId="16">
    <w:name w:val="annotation text"/>
    <w:basedOn w:val="1"/>
    <w:link w:val="192"/>
    <w:semiHidden/>
    <w:qFormat/>
    <w:uiPriority w:val="99"/>
    <w:pPr>
      <w:autoSpaceDE w:val="0"/>
      <w:autoSpaceDN w:val="0"/>
      <w:adjustRightInd w:val="0"/>
      <w:jc w:val="left"/>
      <w:textAlignment w:val="baseline"/>
    </w:pPr>
    <w:rPr>
      <w:rFonts w:ascii="宋体"/>
      <w:kern w:val="0"/>
      <w:sz w:val="34"/>
      <w:szCs w:val="20"/>
    </w:rPr>
  </w:style>
  <w:style w:type="paragraph" w:styleId="17">
    <w:name w:val="Body Text 3"/>
    <w:basedOn w:val="1"/>
    <w:link w:val="106"/>
    <w:qFormat/>
    <w:uiPriority w:val="0"/>
    <w:pPr>
      <w:spacing w:after="120"/>
    </w:pPr>
    <w:rPr>
      <w:sz w:val="16"/>
      <w:szCs w:val="16"/>
    </w:rPr>
  </w:style>
  <w:style w:type="paragraph" w:styleId="18">
    <w:name w:val="Body Text"/>
    <w:basedOn w:val="1"/>
    <w:link w:val="100"/>
    <w:qFormat/>
    <w:uiPriority w:val="0"/>
    <w:pPr>
      <w:spacing w:line="360" w:lineRule="auto"/>
    </w:pPr>
    <w:rPr>
      <w:b/>
      <w:bCs/>
      <w:sz w:val="24"/>
    </w:rPr>
  </w:style>
  <w:style w:type="paragraph" w:styleId="19">
    <w:name w:val="Body Text Indent"/>
    <w:basedOn w:val="1"/>
    <w:link w:val="87"/>
    <w:qFormat/>
    <w:uiPriority w:val="0"/>
    <w:pPr>
      <w:spacing w:line="360" w:lineRule="auto"/>
      <w:ind w:firstLine="420" w:firstLineChars="200"/>
    </w:p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link w:val="98"/>
    <w:qFormat/>
    <w:uiPriority w:val="0"/>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link w:val="96"/>
    <w:qFormat/>
    <w:uiPriority w:val="0"/>
    <w:rPr>
      <w:rFonts w:ascii="宋体" w:hAnsi="Courier New"/>
      <w:sz w:val="32"/>
      <w:szCs w:val="20"/>
    </w:rPr>
  </w:style>
  <w:style w:type="paragraph" w:styleId="25">
    <w:name w:val="Body Text Indent 2"/>
    <w:basedOn w:val="1"/>
    <w:link w:val="101"/>
    <w:qFormat/>
    <w:uiPriority w:val="0"/>
    <w:pPr>
      <w:spacing w:beforeLines="50" w:afterLines="50" w:line="120" w:lineRule="auto"/>
      <w:ind w:firstLine="840" w:firstLineChars="400"/>
      <w:jc w:val="left"/>
    </w:pPr>
    <w:rPr>
      <w:rFonts w:ascii="宋体" w:hAnsi="宋体"/>
    </w:rPr>
  </w:style>
  <w:style w:type="paragraph" w:styleId="26">
    <w:name w:val="Balloon Text"/>
    <w:basedOn w:val="1"/>
    <w:link w:val="107"/>
    <w:semiHidden/>
    <w:qFormat/>
    <w:uiPriority w:val="99"/>
    <w:rPr>
      <w:sz w:val="18"/>
      <w:szCs w:val="18"/>
    </w:rPr>
  </w:style>
  <w:style w:type="paragraph" w:styleId="27">
    <w:name w:val="footer"/>
    <w:basedOn w:val="1"/>
    <w:link w:val="105"/>
    <w:qFormat/>
    <w:uiPriority w:val="0"/>
    <w:pPr>
      <w:tabs>
        <w:tab w:val="center" w:pos="4153"/>
        <w:tab w:val="right" w:pos="8306"/>
      </w:tabs>
      <w:snapToGrid w:val="0"/>
      <w:jc w:val="left"/>
    </w:pPr>
    <w:rPr>
      <w:sz w:val="18"/>
      <w:szCs w:val="18"/>
    </w:rPr>
  </w:style>
  <w:style w:type="paragraph" w:styleId="28">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Subtitle"/>
    <w:next w:val="1"/>
    <w:link w:val="317"/>
    <w:qFormat/>
    <w:uiPriority w:val="0"/>
    <w:pPr>
      <w:wordWrap w:val="0"/>
      <w:spacing w:after="60"/>
      <w:jc w:val="center"/>
    </w:pPr>
    <w:rPr>
      <w:rFonts w:ascii="Calibri" w:hAnsi="Calibri" w:eastAsia="宋体" w:cs="Times New Roman"/>
      <w:sz w:val="24"/>
      <w:lang w:val="en-US" w:eastAsia="zh-CN" w:bidi="ar-SA"/>
    </w:rPr>
  </w:style>
  <w:style w:type="paragraph" w:styleId="32">
    <w:name w:val="toc 6"/>
    <w:basedOn w:val="1"/>
    <w:next w:val="1"/>
    <w:semiHidden/>
    <w:qFormat/>
    <w:uiPriority w:val="0"/>
    <w:pPr>
      <w:ind w:left="1050"/>
      <w:jc w:val="left"/>
    </w:pPr>
    <w:rPr>
      <w:szCs w:val="21"/>
    </w:rPr>
  </w:style>
  <w:style w:type="paragraph" w:styleId="33">
    <w:name w:val="Body Text Indent 3"/>
    <w:basedOn w:val="1"/>
    <w:link w:val="103"/>
    <w:qFormat/>
    <w:uiPriority w:val="0"/>
    <w:pPr>
      <w:spacing w:line="360" w:lineRule="auto"/>
      <w:ind w:firstLine="482" w:firstLineChars="200"/>
    </w:pPr>
    <w:rPr>
      <w:rFonts w:ascii="宋体"/>
      <w:b/>
      <w:bCs/>
      <w:sz w:val="24"/>
    </w:rPr>
  </w:style>
  <w:style w:type="paragraph" w:styleId="34">
    <w:name w:val="toc 2"/>
    <w:basedOn w:val="1"/>
    <w:next w:val="1"/>
    <w:semiHidden/>
    <w:qFormat/>
    <w:uiPriority w:val="0"/>
    <w:pPr>
      <w:tabs>
        <w:tab w:val="right" w:leader="dot" w:pos="8296"/>
      </w:tabs>
      <w:ind w:left="210"/>
      <w:jc w:val="left"/>
    </w:pPr>
    <w:rPr>
      <w:smallCaps/>
    </w:rPr>
  </w:style>
  <w:style w:type="paragraph" w:styleId="35">
    <w:name w:val="toc 9"/>
    <w:basedOn w:val="1"/>
    <w:next w:val="1"/>
    <w:semiHidden/>
    <w:qFormat/>
    <w:uiPriority w:val="0"/>
    <w:pPr>
      <w:ind w:left="1680"/>
      <w:jc w:val="left"/>
    </w:pPr>
    <w:rPr>
      <w:szCs w:val="21"/>
    </w:rPr>
  </w:style>
  <w:style w:type="paragraph" w:styleId="36">
    <w:name w:val="Body Text 2"/>
    <w:basedOn w:val="1"/>
    <w:link w:val="104"/>
    <w:qFormat/>
    <w:uiPriority w:val="0"/>
    <w:pPr>
      <w:spacing w:line="360" w:lineRule="auto"/>
    </w:pPr>
    <w:rPr>
      <w:sz w:val="24"/>
    </w:rPr>
  </w:style>
  <w:style w:type="paragraph" w:styleId="37">
    <w:name w:val="HTML Preformatted"/>
    <w:basedOn w:val="1"/>
    <w:link w:val="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8">
    <w:name w:val="Normal (Web)"/>
    <w:basedOn w:val="1"/>
    <w:qFormat/>
    <w:uiPriority w:val="99"/>
    <w:pPr>
      <w:spacing w:beforeAutospacing="1" w:afterAutospacing="1"/>
      <w:jc w:val="left"/>
    </w:pPr>
    <w:rPr>
      <w:kern w:val="0"/>
      <w:sz w:val="24"/>
    </w:rPr>
  </w:style>
  <w:style w:type="paragraph" w:styleId="39">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95"/>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6"/>
    <w:next w:val="16"/>
    <w:link w:val="193"/>
    <w:qFormat/>
    <w:uiPriority w:val="99"/>
    <w:pPr>
      <w:autoSpaceDE/>
      <w:autoSpaceDN/>
      <w:adjustRightInd/>
      <w:textAlignment w:val="auto"/>
    </w:pPr>
    <w:rPr>
      <w:rFonts w:ascii="Times New Roman"/>
      <w:b/>
      <w:bCs/>
      <w:kern w:val="2"/>
      <w:sz w:val="21"/>
      <w:szCs w:val="24"/>
    </w:rPr>
  </w:style>
  <w:style w:type="paragraph" w:styleId="42">
    <w:name w:val="Body Text First Indent"/>
    <w:basedOn w:val="18"/>
    <w:link w:val="138"/>
    <w:qFormat/>
    <w:uiPriority w:val="0"/>
    <w:pPr>
      <w:spacing w:after="120" w:line="240" w:lineRule="auto"/>
      <w:ind w:firstLine="420" w:firstLineChars="100"/>
    </w:pPr>
    <w:rPr>
      <w:sz w:val="21"/>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5">
    <w:name w:val="Table Elegant"/>
    <w:basedOn w:val="43"/>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basedOn w:val="46"/>
    <w:qFormat/>
    <w:uiPriority w:val="0"/>
    <w:rPr>
      <w:b/>
      <w:bCs/>
      <w:sz w:val="20"/>
    </w:rPr>
  </w:style>
  <w:style w:type="character" w:styleId="51">
    <w:name w:val="HTML Definition"/>
    <w:basedOn w:val="46"/>
    <w:semiHidden/>
    <w:unhideWhenUsed/>
    <w:qFormat/>
    <w:uiPriority w:val="0"/>
  </w:style>
  <w:style w:type="character" w:styleId="52">
    <w:name w:val="HTML Typewriter"/>
    <w:basedOn w:val="46"/>
    <w:semiHidden/>
    <w:unhideWhenUsed/>
    <w:qFormat/>
    <w:uiPriority w:val="0"/>
    <w:rPr>
      <w:rFonts w:ascii="monospace" w:hAnsi="monospace" w:eastAsia="monospace" w:cs="monospace"/>
      <w:sz w:val="20"/>
    </w:rPr>
  </w:style>
  <w:style w:type="character" w:styleId="53">
    <w:name w:val="HTML Acronym"/>
    <w:basedOn w:val="46"/>
    <w:semiHidden/>
    <w:unhideWhenUsed/>
    <w:qFormat/>
    <w:uiPriority w:val="0"/>
  </w:style>
  <w:style w:type="character" w:styleId="54">
    <w:name w:val="HTML Variable"/>
    <w:basedOn w:val="46"/>
    <w:semiHidden/>
    <w:unhideWhenUsed/>
    <w:qFormat/>
    <w:uiPriority w:val="0"/>
    <w:rPr>
      <w:bdr w:val="single" w:color="EBEBEB" w:sz="2" w:space="0"/>
    </w:rPr>
  </w:style>
  <w:style w:type="character" w:styleId="55">
    <w:name w:val="Hyperlink"/>
    <w:qFormat/>
    <w:uiPriority w:val="0"/>
    <w:rPr>
      <w:color w:val="0000FF"/>
      <w:u w:val="single"/>
    </w:rPr>
  </w:style>
  <w:style w:type="character" w:styleId="56">
    <w:name w:val="HTML Code"/>
    <w:basedOn w:val="46"/>
    <w:semiHidden/>
    <w:unhideWhenUsed/>
    <w:qFormat/>
    <w:uiPriority w:val="0"/>
    <w:rPr>
      <w:rFonts w:hint="default" w:ascii="monospace" w:hAnsi="monospace" w:eastAsia="monospace" w:cs="monospace"/>
      <w:sz w:val="20"/>
    </w:rPr>
  </w:style>
  <w:style w:type="character" w:styleId="57">
    <w:name w:val="annotation reference"/>
    <w:basedOn w:val="46"/>
    <w:qFormat/>
    <w:uiPriority w:val="99"/>
    <w:rPr>
      <w:sz w:val="21"/>
      <w:szCs w:val="21"/>
    </w:rPr>
  </w:style>
  <w:style w:type="character" w:styleId="58">
    <w:name w:val="HTML Cite"/>
    <w:basedOn w:val="46"/>
    <w:semiHidden/>
    <w:unhideWhenUsed/>
    <w:qFormat/>
    <w:uiPriority w:val="0"/>
  </w:style>
  <w:style w:type="character" w:styleId="59">
    <w:name w:val="HTML Keyboard"/>
    <w:basedOn w:val="46"/>
    <w:semiHidden/>
    <w:unhideWhenUsed/>
    <w:qFormat/>
    <w:uiPriority w:val="0"/>
    <w:rPr>
      <w:rFonts w:hint="default" w:ascii="monospace" w:hAnsi="monospace" w:eastAsia="monospace" w:cs="monospace"/>
      <w:sz w:val="20"/>
    </w:rPr>
  </w:style>
  <w:style w:type="character" w:styleId="60">
    <w:name w:val="HTML Sample"/>
    <w:basedOn w:val="46"/>
    <w:semiHidden/>
    <w:unhideWhenUsed/>
    <w:qFormat/>
    <w:uiPriority w:val="0"/>
    <w:rPr>
      <w:rFonts w:hint="default" w:ascii="monospace" w:hAnsi="monospace" w:eastAsia="monospace" w:cs="monospace"/>
    </w:rPr>
  </w:style>
  <w:style w:type="character" w:customStyle="1" w:styleId="61">
    <w:name w:val="标题 2 字符"/>
    <w:link w:val="4"/>
    <w:qFormat/>
    <w:uiPriority w:val="0"/>
    <w:rPr>
      <w:rFonts w:ascii="宋体" w:hAnsi="宋体" w:eastAsia="宋体"/>
      <w:b/>
      <w:bCs/>
      <w:sz w:val="24"/>
      <w:lang w:val="en-US" w:eastAsia="zh-CN" w:bidi="ar-SA"/>
    </w:rPr>
  </w:style>
  <w:style w:type="character" w:customStyle="1" w:styleId="62">
    <w:name w:val="标题 1 字符"/>
    <w:link w:val="2"/>
    <w:qFormat/>
    <w:uiPriority w:val="0"/>
    <w:rPr>
      <w:rFonts w:ascii="宋体" w:hAnsi="宋体" w:eastAsia="黑体"/>
      <w:b/>
      <w:bCs/>
      <w:kern w:val="44"/>
      <w:sz w:val="28"/>
      <w:szCs w:val="44"/>
      <w:lang w:val="en-US" w:eastAsia="zh-CN" w:bidi="ar-SA"/>
    </w:rPr>
  </w:style>
  <w:style w:type="character" w:customStyle="1" w:styleId="63">
    <w:name w:val="标题 3 字符"/>
    <w:link w:val="3"/>
    <w:qFormat/>
    <w:uiPriority w:val="9"/>
    <w:rPr>
      <w:rFonts w:ascii="宋体" w:hAnsi="宋体" w:eastAsia="宋体"/>
      <w:b/>
      <w:bCs/>
      <w:kern w:val="2"/>
      <w:sz w:val="28"/>
      <w:szCs w:val="32"/>
      <w:lang w:val="en-US" w:eastAsia="zh-CN" w:bidi="ar-SA"/>
    </w:rPr>
  </w:style>
  <w:style w:type="character" w:customStyle="1" w:styleId="64">
    <w:name w:val="标题 4 字符"/>
    <w:link w:val="5"/>
    <w:qFormat/>
    <w:uiPriority w:val="9"/>
    <w:rPr>
      <w:rFonts w:ascii="Arial" w:hAnsi="Arial" w:eastAsia="黑体"/>
      <w:b/>
      <w:bCs/>
      <w:kern w:val="2"/>
      <w:sz w:val="28"/>
      <w:szCs w:val="28"/>
      <w:lang w:val="en-US" w:eastAsia="zh-CN" w:bidi="ar-SA"/>
    </w:rPr>
  </w:style>
  <w:style w:type="paragraph" w:customStyle="1" w:styleId="65">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6">
    <w:name w:val="正文缩进 字符"/>
    <w:link w:val="7"/>
    <w:qFormat/>
    <w:uiPriority w:val="0"/>
    <w:rPr>
      <w:rFonts w:eastAsia="宋体"/>
      <w:kern w:val="2"/>
      <w:sz w:val="21"/>
      <w:lang w:val="en-US" w:eastAsia="zh-CN" w:bidi="ar-SA"/>
    </w:rPr>
  </w:style>
  <w:style w:type="character" w:customStyle="1" w:styleId="67">
    <w:name w:val="标题 3 Char"/>
    <w:qFormat/>
    <w:uiPriority w:val="0"/>
    <w:rPr>
      <w:rFonts w:ascii="黑体" w:eastAsia="黑体"/>
      <w:bCs/>
      <w:sz w:val="30"/>
    </w:rPr>
  </w:style>
  <w:style w:type="paragraph" w:customStyle="1" w:styleId="68">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69">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70">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71">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2">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
    <w:name w:val="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5">
    <w:name w:val="自定义正文"/>
    <w:basedOn w:val="1"/>
    <w:qFormat/>
    <w:uiPriority w:val="0"/>
    <w:pPr>
      <w:spacing w:afterLines="50"/>
      <w:ind w:left="600" w:leftChars="600"/>
    </w:pPr>
  </w:style>
  <w:style w:type="paragraph" w:customStyle="1" w:styleId="76">
    <w:name w:val="Char Char Char Char Char"/>
    <w:basedOn w:val="1"/>
    <w:qFormat/>
    <w:uiPriority w:val="0"/>
    <w:rPr>
      <w:rFonts w:ascii="Tahoma" w:hAnsi="Tahoma"/>
      <w:sz w:val="24"/>
      <w:szCs w:val="20"/>
    </w:rPr>
  </w:style>
  <w:style w:type="paragraph" w:customStyle="1" w:styleId="77">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8">
    <w:name w:val="Char Char"/>
    <w:basedOn w:val="1"/>
    <w:qFormat/>
    <w:uiPriority w:val="0"/>
    <w:rPr>
      <w:rFonts w:ascii="Tahoma" w:hAnsi="Tahoma"/>
      <w:sz w:val="24"/>
      <w:szCs w:val="20"/>
    </w:rPr>
  </w:style>
  <w:style w:type="paragraph" w:customStyle="1" w:styleId="79">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8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81">
    <w:name w:val="List Paragraph"/>
    <w:basedOn w:val="1"/>
    <w:qFormat/>
    <w:uiPriority w:val="0"/>
    <w:pPr>
      <w:ind w:firstLine="420" w:firstLineChars="200"/>
    </w:pPr>
    <w:rPr>
      <w:rFonts w:ascii="Calibri" w:hAnsi="Calibri"/>
      <w:szCs w:val="22"/>
    </w:rPr>
  </w:style>
  <w:style w:type="paragraph" w:customStyle="1" w:styleId="82">
    <w:name w:val="USE 1"/>
    <w:basedOn w:val="1"/>
    <w:qFormat/>
    <w:uiPriority w:val="0"/>
    <w:pPr>
      <w:spacing w:line="200" w:lineRule="atLeast"/>
      <w:jc w:val="left"/>
    </w:pPr>
    <w:rPr>
      <w:rFonts w:ascii="宋体" w:hAnsi="宋体"/>
      <w:b/>
      <w:sz w:val="24"/>
      <w:szCs w:val="28"/>
    </w:rPr>
  </w:style>
  <w:style w:type="paragraph" w:customStyle="1" w:styleId="83">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4">
    <w:name w:val="正文文字缩进项目"/>
    <w:basedOn w:val="19"/>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5">
    <w:name w:val="样式 标题 2 + 段前: 13 磅 段后: 13 磅 行距: 单倍行距"/>
    <w:basedOn w:val="4"/>
    <w:qFormat/>
    <w:uiPriority w:val="0"/>
    <w:pPr>
      <w:adjustRightInd/>
      <w:jc w:val="both"/>
      <w:textAlignment w:val="auto"/>
    </w:pPr>
    <w:rPr>
      <w:rFonts w:ascii="Cambria" w:hAnsi="Cambria" w:cs="宋体"/>
      <w:kern w:val="2"/>
      <w:sz w:val="32"/>
    </w:rPr>
  </w:style>
  <w:style w:type="character" w:customStyle="1" w:styleId="86">
    <w:name w:val="H4 Char2"/>
    <w:qFormat/>
    <w:uiPriority w:val="0"/>
    <w:rPr>
      <w:rFonts w:ascii="Arial" w:hAnsi="Arial" w:eastAsia="黑体"/>
      <w:b/>
      <w:bCs/>
      <w:kern w:val="2"/>
      <w:sz w:val="28"/>
      <w:szCs w:val="28"/>
      <w:lang w:val="en-US" w:eastAsia="zh-CN" w:bidi="ar-SA"/>
    </w:rPr>
  </w:style>
  <w:style w:type="character" w:customStyle="1" w:styleId="87">
    <w:name w:val="正文文本缩进 字符"/>
    <w:link w:val="19"/>
    <w:qFormat/>
    <w:uiPriority w:val="0"/>
    <w:rPr>
      <w:rFonts w:eastAsia="宋体"/>
      <w:kern w:val="2"/>
      <w:sz w:val="21"/>
      <w:szCs w:val="24"/>
      <w:lang w:val="en-US" w:eastAsia="zh-CN" w:bidi="ar-SA"/>
    </w:rPr>
  </w:style>
  <w:style w:type="character" w:customStyle="1" w:styleId="88">
    <w:name w:val="标题 5 字符"/>
    <w:link w:val="6"/>
    <w:qFormat/>
    <w:uiPriority w:val="0"/>
    <w:rPr>
      <w:rFonts w:eastAsia="宋体"/>
      <w:b/>
      <w:kern w:val="2"/>
      <w:sz w:val="28"/>
      <w:lang w:val="en-US" w:eastAsia="zh-CN" w:bidi="ar-SA"/>
    </w:rPr>
  </w:style>
  <w:style w:type="character" w:customStyle="1" w:styleId="89">
    <w:name w:val="第*章 Char"/>
    <w:qFormat/>
    <w:uiPriority w:val="0"/>
    <w:rPr>
      <w:rFonts w:ascii="Arial" w:hAnsi="Arial" w:eastAsia="黑体"/>
      <w:b/>
      <w:bCs/>
      <w:kern w:val="2"/>
      <w:sz w:val="32"/>
      <w:szCs w:val="32"/>
    </w:rPr>
  </w:style>
  <w:style w:type="character" w:customStyle="1" w:styleId="90">
    <w:name w:val="章标题1 Char"/>
    <w:qFormat/>
    <w:uiPriority w:val="0"/>
    <w:rPr>
      <w:rFonts w:eastAsia="宋体"/>
      <w:b/>
      <w:bCs/>
      <w:kern w:val="2"/>
      <w:sz w:val="32"/>
      <w:szCs w:val="32"/>
      <w:lang w:val="en-US" w:eastAsia="zh-CN" w:bidi="ar-SA"/>
    </w:rPr>
  </w:style>
  <w:style w:type="character" w:customStyle="1" w:styleId="91">
    <w:name w:val="标题 6 字符"/>
    <w:link w:val="8"/>
    <w:qFormat/>
    <w:uiPriority w:val="0"/>
    <w:rPr>
      <w:rFonts w:ascii="Arial" w:hAnsi="Arial" w:eastAsia="黑体"/>
      <w:b/>
      <w:kern w:val="2"/>
      <w:sz w:val="24"/>
      <w:lang w:val="en-US" w:eastAsia="zh-CN" w:bidi="ar-SA"/>
    </w:rPr>
  </w:style>
  <w:style w:type="character" w:customStyle="1" w:styleId="92">
    <w:name w:val="标题 7 字符"/>
    <w:link w:val="9"/>
    <w:qFormat/>
    <w:uiPriority w:val="0"/>
    <w:rPr>
      <w:rFonts w:eastAsia="宋体"/>
      <w:b/>
      <w:kern w:val="2"/>
      <w:sz w:val="24"/>
      <w:lang w:val="en-US" w:eastAsia="zh-CN" w:bidi="ar-SA"/>
    </w:rPr>
  </w:style>
  <w:style w:type="character" w:customStyle="1" w:styleId="93">
    <w:name w:val="标题 8 字符"/>
    <w:link w:val="10"/>
    <w:qFormat/>
    <w:uiPriority w:val="0"/>
    <w:rPr>
      <w:rFonts w:ascii="Arial" w:hAnsi="Arial" w:eastAsia="黑体"/>
      <w:kern w:val="2"/>
      <w:sz w:val="24"/>
      <w:lang w:val="en-US" w:eastAsia="zh-CN" w:bidi="ar-SA"/>
    </w:rPr>
  </w:style>
  <w:style w:type="character" w:customStyle="1" w:styleId="94">
    <w:name w:val="标题 9 字符"/>
    <w:link w:val="11"/>
    <w:qFormat/>
    <w:uiPriority w:val="0"/>
    <w:rPr>
      <w:rFonts w:ascii="Arial" w:hAnsi="Arial" w:eastAsia="黑体"/>
      <w:kern w:val="2"/>
      <w:sz w:val="21"/>
      <w:lang w:val="en-US" w:eastAsia="zh-CN" w:bidi="ar-SA"/>
    </w:rPr>
  </w:style>
  <w:style w:type="character" w:customStyle="1" w:styleId="95">
    <w:name w:val="标题 字符"/>
    <w:link w:val="40"/>
    <w:qFormat/>
    <w:uiPriority w:val="0"/>
    <w:rPr>
      <w:rFonts w:ascii="Arial" w:hAnsi="Arial" w:eastAsia="隶书" w:cs="Arial"/>
      <w:b/>
      <w:bCs/>
      <w:kern w:val="2"/>
      <w:sz w:val="32"/>
      <w:szCs w:val="32"/>
      <w:lang w:val="en-US" w:eastAsia="zh-CN" w:bidi="ar-SA"/>
    </w:rPr>
  </w:style>
  <w:style w:type="character" w:customStyle="1" w:styleId="96">
    <w:name w:val="日期 字符"/>
    <w:link w:val="24"/>
    <w:qFormat/>
    <w:uiPriority w:val="0"/>
    <w:rPr>
      <w:rFonts w:ascii="宋体" w:hAnsi="Courier New" w:eastAsia="宋体"/>
      <w:kern w:val="2"/>
      <w:sz w:val="32"/>
      <w:lang w:val="en-US" w:eastAsia="zh-CN" w:bidi="ar-SA"/>
    </w:rPr>
  </w:style>
  <w:style w:type="character" w:customStyle="1" w:styleId="97">
    <w:name w:val="HTML 预设格式 字符"/>
    <w:link w:val="37"/>
    <w:qFormat/>
    <w:uiPriority w:val="0"/>
    <w:rPr>
      <w:rFonts w:ascii="Arial Unicode MS" w:hAnsi="Arial Unicode MS" w:eastAsia="Arial Unicode MS"/>
      <w:color w:val="000000"/>
      <w:lang w:val="en-US" w:eastAsia="zh-CN" w:bidi="ar-SA"/>
    </w:rPr>
  </w:style>
  <w:style w:type="character" w:customStyle="1" w:styleId="98">
    <w:name w:val="纯文本 字符"/>
    <w:link w:val="22"/>
    <w:qFormat/>
    <w:uiPriority w:val="0"/>
    <w:rPr>
      <w:rFonts w:ascii="宋体" w:hAnsi="Courier New" w:eastAsia="宋体"/>
      <w:kern w:val="2"/>
      <w:sz w:val="21"/>
      <w:lang w:val="en-US" w:eastAsia="zh-CN" w:bidi="ar-SA"/>
    </w:rPr>
  </w:style>
  <w:style w:type="character" w:customStyle="1" w:styleId="99">
    <w:name w:val="正文文字首行缩进 Char"/>
    <w:qFormat/>
    <w:uiPriority w:val="0"/>
    <w:rPr>
      <w:kern w:val="2"/>
      <w:sz w:val="21"/>
      <w:szCs w:val="24"/>
    </w:rPr>
  </w:style>
  <w:style w:type="character" w:customStyle="1" w:styleId="100">
    <w:name w:val="正文文本 字符"/>
    <w:link w:val="18"/>
    <w:qFormat/>
    <w:uiPriority w:val="0"/>
    <w:rPr>
      <w:rFonts w:eastAsia="宋体"/>
      <w:b/>
      <w:bCs/>
      <w:kern w:val="2"/>
      <w:sz w:val="24"/>
      <w:szCs w:val="24"/>
      <w:lang w:val="en-US" w:eastAsia="zh-CN" w:bidi="ar-SA"/>
    </w:rPr>
  </w:style>
  <w:style w:type="character" w:customStyle="1" w:styleId="101">
    <w:name w:val="正文文本缩进 2 字符"/>
    <w:link w:val="25"/>
    <w:qFormat/>
    <w:uiPriority w:val="0"/>
    <w:rPr>
      <w:rFonts w:ascii="宋体" w:hAnsi="宋体" w:eastAsia="宋体"/>
      <w:kern w:val="2"/>
      <w:sz w:val="21"/>
      <w:szCs w:val="24"/>
      <w:lang w:val="en-US" w:eastAsia="zh-CN" w:bidi="ar-SA"/>
    </w:rPr>
  </w:style>
  <w:style w:type="character" w:customStyle="1" w:styleId="102">
    <w:name w:val="页眉 字符"/>
    <w:link w:val="28"/>
    <w:qFormat/>
    <w:uiPriority w:val="99"/>
    <w:rPr>
      <w:rFonts w:eastAsia="宋体"/>
      <w:kern w:val="2"/>
      <w:sz w:val="18"/>
      <w:szCs w:val="18"/>
      <w:lang w:val="en-US" w:eastAsia="zh-CN" w:bidi="ar-SA"/>
    </w:rPr>
  </w:style>
  <w:style w:type="character" w:customStyle="1" w:styleId="103">
    <w:name w:val="正文文本缩进 3 字符"/>
    <w:link w:val="33"/>
    <w:qFormat/>
    <w:uiPriority w:val="0"/>
    <w:rPr>
      <w:rFonts w:ascii="宋体" w:eastAsia="宋体"/>
      <w:b/>
      <w:bCs/>
      <w:kern w:val="2"/>
      <w:sz w:val="24"/>
      <w:szCs w:val="24"/>
      <w:lang w:val="en-US" w:eastAsia="zh-CN" w:bidi="ar-SA"/>
    </w:rPr>
  </w:style>
  <w:style w:type="character" w:customStyle="1" w:styleId="104">
    <w:name w:val="正文文本 2 字符"/>
    <w:link w:val="36"/>
    <w:qFormat/>
    <w:uiPriority w:val="0"/>
    <w:rPr>
      <w:rFonts w:eastAsia="宋体"/>
      <w:kern w:val="2"/>
      <w:sz w:val="24"/>
      <w:szCs w:val="24"/>
      <w:lang w:val="en-US" w:eastAsia="zh-CN" w:bidi="ar-SA"/>
    </w:rPr>
  </w:style>
  <w:style w:type="character" w:customStyle="1" w:styleId="105">
    <w:name w:val="页脚 字符"/>
    <w:link w:val="27"/>
    <w:qFormat/>
    <w:uiPriority w:val="0"/>
    <w:rPr>
      <w:rFonts w:eastAsia="宋体"/>
      <w:kern w:val="2"/>
      <w:sz w:val="18"/>
      <w:szCs w:val="18"/>
      <w:lang w:val="en-US" w:eastAsia="zh-CN" w:bidi="ar-SA"/>
    </w:rPr>
  </w:style>
  <w:style w:type="character" w:customStyle="1" w:styleId="106">
    <w:name w:val="正文文本 3 字符"/>
    <w:link w:val="17"/>
    <w:qFormat/>
    <w:uiPriority w:val="0"/>
    <w:rPr>
      <w:rFonts w:eastAsia="宋体"/>
      <w:kern w:val="2"/>
      <w:sz w:val="16"/>
      <w:szCs w:val="16"/>
      <w:lang w:val="en-US" w:eastAsia="zh-CN" w:bidi="ar-SA"/>
    </w:rPr>
  </w:style>
  <w:style w:type="character" w:customStyle="1" w:styleId="107">
    <w:name w:val="批注框文本 字符"/>
    <w:link w:val="26"/>
    <w:semiHidden/>
    <w:qFormat/>
    <w:uiPriority w:val="99"/>
    <w:rPr>
      <w:rFonts w:eastAsia="宋体"/>
      <w:kern w:val="2"/>
      <w:sz w:val="18"/>
      <w:szCs w:val="18"/>
      <w:lang w:val="en-US" w:eastAsia="zh-CN" w:bidi="ar-SA"/>
    </w:rPr>
  </w:style>
  <w:style w:type="paragraph" w:customStyle="1" w:styleId="108">
    <w:name w:val="样式1"/>
    <w:basedOn w:val="40"/>
    <w:qFormat/>
    <w:uiPriority w:val="0"/>
    <w:pPr>
      <w:spacing w:before="120" w:after="120"/>
    </w:pPr>
    <w:rPr>
      <w:rFonts w:eastAsia="黑体"/>
      <w:b w:val="0"/>
      <w:sz w:val="30"/>
      <w:szCs w:val="21"/>
    </w:rPr>
  </w:style>
  <w:style w:type="paragraph" w:customStyle="1" w:styleId="109">
    <w:name w:val="样式2"/>
    <w:basedOn w:val="40"/>
    <w:next w:val="108"/>
    <w:qFormat/>
    <w:uiPriority w:val="0"/>
    <w:pPr>
      <w:spacing w:before="120" w:after="120"/>
    </w:pPr>
    <w:rPr>
      <w:rFonts w:eastAsia="黑体"/>
      <w:b w:val="0"/>
      <w:sz w:val="30"/>
      <w:szCs w:val="30"/>
    </w:rPr>
  </w:style>
  <w:style w:type="character" w:customStyle="1" w:styleId="110">
    <w:name w:val="标题 3 Char Char"/>
    <w:qFormat/>
    <w:uiPriority w:val="0"/>
    <w:rPr>
      <w:rFonts w:eastAsia="宋体"/>
      <w:b/>
      <w:bCs/>
      <w:kern w:val="2"/>
      <w:sz w:val="32"/>
      <w:szCs w:val="32"/>
      <w:lang w:val="en-US" w:eastAsia="zh-CN" w:bidi="ar-SA"/>
    </w:rPr>
  </w:style>
  <w:style w:type="paragraph" w:customStyle="1" w:styleId="111">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2">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3">
    <w:name w:val="--规划正文"/>
    <w:basedOn w:val="1"/>
    <w:qFormat/>
    <w:uiPriority w:val="0"/>
    <w:pPr>
      <w:spacing w:line="360" w:lineRule="auto"/>
      <w:ind w:firstLine="200" w:firstLineChars="200"/>
    </w:pPr>
    <w:rPr>
      <w:szCs w:val="20"/>
    </w:rPr>
  </w:style>
  <w:style w:type="paragraph" w:customStyle="1" w:styleId="114">
    <w:name w:val="设计依据"/>
    <w:basedOn w:val="18"/>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5">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16">
    <w:name w:val="样式4"/>
    <w:basedOn w:val="1"/>
    <w:qFormat/>
    <w:uiPriority w:val="0"/>
    <w:pPr>
      <w:tabs>
        <w:tab w:val="left" w:pos="842"/>
      </w:tabs>
      <w:spacing w:line="360" w:lineRule="auto"/>
      <w:ind w:left="842" w:hanging="420"/>
    </w:pPr>
    <w:rPr>
      <w:sz w:val="24"/>
    </w:rPr>
  </w:style>
  <w:style w:type="paragraph" w:customStyle="1" w:styleId="117">
    <w:name w:val="文字"/>
    <w:basedOn w:val="1"/>
    <w:qFormat/>
    <w:uiPriority w:val="0"/>
    <w:pPr>
      <w:tabs>
        <w:tab w:val="left" w:pos="8520"/>
      </w:tabs>
      <w:spacing w:line="312" w:lineRule="auto"/>
      <w:ind w:right="-210" w:firstLine="556"/>
    </w:pPr>
    <w:rPr>
      <w:rFonts w:ascii="宋体"/>
      <w:sz w:val="28"/>
      <w:szCs w:val="20"/>
    </w:rPr>
  </w:style>
  <w:style w:type="paragraph" w:customStyle="1" w:styleId="118">
    <w:name w:val="--规划-表格-居左"/>
    <w:basedOn w:val="113"/>
    <w:qFormat/>
    <w:uiPriority w:val="0"/>
    <w:pPr>
      <w:spacing w:line="240" w:lineRule="auto"/>
      <w:ind w:firstLine="0" w:firstLineChars="0"/>
    </w:pPr>
    <w:rPr>
      <w:sz w:val="20"/>
    </w:rPr>
  </w:style>
  <w:style w:type="paragraph" w:customStyle="1" w:styleId="119">
    <w:name w:val="--规划-表格-居中"/>
    <w:basedOn w:val="113"/>
    <w:qFormat/>
    <w:uiPriority w:val="0"/>
    <w:pPr>
      <w:spacing w:line="240" w:lineRule="auto"/>
      <w:ind w:firstLine="0" w:firstLineChars="0"/>
      <w:jc w:val="center"/>
    </w:pPr>
    <w:rPr>
      <w:sz w:val="20"/>
    </w:rPr>
  </w:style>
  <w:style w:type="paragraph" w:customStyle="1" w:styleId="120">
    <w:name w:val="--编号内缩进"/>
    <w:basedOn w:val="1"/>
    <w:qFormat/>
    <w:uiPriority w:val="0"/>
    <w:pPr>
      <w:spacing w:line="360" w:lineRule="auto"/>
      <w:ind w:left="420" w:firstLine="200" w:firstLineChars="200"/>
    </w:pPr>
    <w:rPr>
      <w:szCs w:val="21"/>
    </w:rPr>
  </w:style>
  <w:style w:type="paragraph" w:customStyle="1" w:styleId="121">
    <w:name w:val="--规划-题注"/>
    <w:basedOn w:val="1"/>
    <w:next w:val="113"/>
    <w:qFormat/>
    <w:uiPriority w:val="0"/>
    <w:pPr>
      <w:spacing w:line="360" w:lineRule="auto"/>
      <w:jc w:val="center"/>
    </w:pPr>
    <w:rPr>
      <w:rFonts w:eastAsia="黑体"/>
    </w:rPr>
  </w:style>
  <w:style w:type="paragraph" w:customStyle="1" w:styleId="122">
    <w:name w:val="--规划-图和表"/>
    <w:next w:val="113"/>
    <w:qFormat/>
    <w:uiPriority w:val="0"/>
    <w:pPr>
      <w:jc w:val="center"/>
    </w:pPr>
    <w:rPr>
      <w:rFonts w:ascii="Times New Roman" w:hAnsi="Times New Roman" w:eastAsia="宋体" w:cs="Times New Roman"/>
      <w:kern w:val="2"/>
      <w:sz w:val="21"/>
      <w:lang w:val="en-US" w:eastAsia="zh-CN" w:bidi="ar-SA"/>
    </w:rPr>
  </w:style>
  <w:style w:type="paragraph" w:customStyle="1" w:styleId="123">
    <w:name w:val="--规划-小标题"/>
    <w:basedOn w:val="1"/>
    <w:next w:val="113"/>
    <w:qFormat/>
    <w:uiPriority w:val="0"/>
    <w:pPr>
      <w:keepNext/>
      <w:keepLines/>
      <w:spacing w:line="360" w:lineRule="auto"/>
      <w:outlineLvl w:val="4"/>
    </w:pPr>
    <w:rPr>
      <w:rFonts w:eastAsia="黑体"/>
    </w:rPr>
  </w:style>
  <w:style w:type="paragraph" w:customStyle="1" w:styleId="124">
    <w:name w:val="--规划正文 Char"/>
    <w:basedOn w:val="1"/>
    <w:qFormat/>
    <w:uiPriority w:val="0"/>
    <w:pPr>
      <w:spacing w:line="360" w:lineRule="auto"/>
      <w:ind w:firstLine="200" w:firstLineChars="200"/>
    </w:pPr>
    <w:rPr>
      <w:sz w:val="24"/>
    </w:rPr>
  </w:style>
  <w:style w:type="paragraph" w:customStyle="1" w:styleId="125">
    <w:name w:val="缺省文本"/>
    <w:basedOn w:val="1"/>
    <w:qFormat/>
    <w:uiPriority w:val="0"/>
    <w:pPr>
      <w:autoSpaceDE w:val="0"/>
      <w:autoSpaceDN w:val="0"/>
      <w:adjustRightInd w:val="0"/>
      <w:jc w:val="left"/>
    </w:pPr>
    <w:rPr>
      <w:kern w:val="0"/>
    </w:rPr>
  </w:style>
  <w:style w:type="paragraph" w:customStyle="1" w:styleId="126">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27">
    <w:name w:val="--规划正文 Char Char"/>
    <w:qFormat/>
    <w:uiPriority w:val="0"/>
    <w:rPr>
      <w:rFonts w:eastAsia="宋体"/>
      <w:kern w:val="2"/>
      <w:sz w:val="24"/>
      <w:szCs w:val="24"/>
      <w:lang w:val="en-US" w:eastAsia="zh-CN" w:bidi="ar-SA"/>
    </w:rPr>
  </w:style>
  <w:style w:type="paragraph" w:customStyle="1" w:styleId="128">
    <w:name w:val="样式3"/>
    <w:basedOn w:val="2"/>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9">
    <w:name w:val="--规划正文 Char1"/>
    <w:qFormat/>
    <w:uiPriority w:val="0"/>
    <w:rPr>
      <w:rFonts w:eastAsia="宋体"/>
      <w:kern w:val="2"/>
      <w:sz w:val="21"/>
      <w:lang w:val="en-US" w:eastAsia="zh-CN" w:bidi="ar-SA"/>
    </w:rPr>
  </w:style>
  <w:style w:type="paragraph" w:customStyle="1" w:styleId="130">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1">
    <w:name w:val="列表项目"/>
    <w:basedOn w:val="1"/>
    <w:qFormat/>
    <w:uiPriority w:val="0"/>
    <w:pPr>
      <w:tabs>
        <w:tab w:val="left" w:pos="420"/>
        <w:tab w:val="left" w:pos="1080"/>
      </w:tabs>
      <w:spacing w:line="288" w:lineRule="auto"/>
      <w:ind w:left="1080" w:hanging="360"/>
    </w:pPr>
    <w:rPr>
      <w:sz w:val="24"/>
      <w:szCs w:val="20"/>
    </w:rPr>
  </w:style>
  <w:style w:type="character" w:customStyle="1" w:styleId="132">
    <w:name w:val="content1"/>
    <w:qFormat/>
    <w:uiPriority w:val="0"/>
    <w:rPr>
      <w:rFonts w:hint="default" w:ascii="??" w:hAnsi="??"/>
      <w:sz w:val="16"/>
      <w:szCs w:val="16"/>
      <w:u w:val="none"/>
    </w:rPr>
  </w:style>
  <w:style w:type="character" w:customStyle="1" w:styleId="133">
    <w:name w:val="unnamed4"/>
    <w:basedOn w:val="46"/>
    <w:qFormat/>
    <w:uiPriority w:val="0"/>
  </w:style>
  <w:style w:type="character" w:customStyle="1" w:styleId="134">
    <w:name w:val="font2"/>
    <w:basedOn w:val="46"/>
    <w:qFormat/>
    <w:uiPriority w:val="0"/>
  </w:style>
  <w:style w:type="character" w:customStyle="1" w:styleId="135">
    <w:name w:val="font41"/>
    <w:qFormat/>
    <w:uiPriority w:val="0"/>
    <w:rPr>
      <w:color w:val="000000"/>
      <w:spacing w:val="260"/>
      <w:sz w:val="18"/>
      <w:szCs w:val="18"/>
      <w:u w:val="none"/>
    </w:rPr>
  </w:style>
  <w:style w:type="paragraph" w:customStyle="1" w:styleId="136">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7">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38">
    <w:name w:val="正文文本首行缩进 字符"/>
    <w:link w:val="42"/>
    <w:qFormat/>
    <w:uiPriority w:val="0"/>
    <w:rPr>
      <w:rFonts w:eastAsia="宋体"/>
      <w:b/>
      <w:bCs/>
      <w:kern w:val="2"/>
      <w:sz w:val="21"/>
      <w:szCs w:val="24"/>
      <w:lang w:val="en-US" w:eastAsia="zh-CN" w:bidi="ar-SA"/>
    </w:rPr>
  </w:style>
  <w:style w:type="paragraph" w:customStyle="1" w:styleId="139">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40">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41">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2">
    <w:name w:val="mode"/>
    <w:basedOn w:val="46"/>
    <w:qFormat/>
    <w:uiPriority w:val="0"/>
  </w:style>
  <w:style w:type="paragraph" w:customStyle="1" w:styleId="143">
    <w:name w:val="9"/>
    <w:basedOn w:val="1"/>
    <w:next w:val="7"/>
    <w:qFormat/>
    <w:uiPriority w:val="0"/>
    <w:pPr>
      <w:autoSpaceDE w:val="0"/>
      <w:autoSpaceDN w:val="0"/>
      <w:adjustRightInd w:val="0"/>
      <w:ind w:firstLine="420"/>
      <w:jc w:val="left"/>
      <w:textAlignment w:val="baseline"/>
    </w:pPr>
    <w:rPr>
      <w:rFonts w:ascii="宋体"/>
      <w:kern w:val="0"/>
      <w:sz w:val="34"/>
      <w:szCs w:val="20"/>
    </w:rPr>
  </w:style>
  <w:style w:type="character" w:customStyle="1" w:styleId="144">
    <w:name w:val="unnamed3"/>
    <w:basedOn w:val="46"/>
    <w:qFormat/>
    <w:uiPriority w:val="0"/>
  </w:style>
  <w:style w:type="paragraph" w:customStyle="1" w:styleId="145">
    <w:name w:val="8"/>
    <w:basedOn w:val="1"/>
    <w:next w:val="19"/>
    <w:qFormat/>
    <w:uiPriority w:val="0"/>
    <w:pPr>
      <w:spacing w:after="120"/>
      <w:ind w:left="420" w:leftChars="200"/>
    </w:pPr>
  </w:style>
  <w:style w:type="paragraph" w:customStyle="1" w:styleId="146">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7">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48">
    <w:name w:val="5"/>
    <w:basedOn w:val="1"/>
    <w:qFormat/>
    <w:uiPriority w:val="0"/>
    <w:pPr>
      <w:autoSpaceDE w:val="0"/>
      <w:autoSpaceDN w:val="0"/>
      <w:adjustRightInd w:val="0"/>
      <w:jc w:val="left"/>
    </w:pPr>
    <w:rPr>
      <w:rFonts w:ascii="宋体"/>
      <w:b/>
      <w:bCs/>
      <w:kern w:val="0"/>
      <w:sz w:val="18"/>
      <w:szCs w:val="18"/>
    </w:rPr>
  </w:style>
  <w:style w:type="paragraph" w:customStyle="1" w:styleId="149">
    <w:name w:val="6"/>
    <w:basedOn w:val="148"/>
    <w:qFormat/>
    <w:uiPriority w:val="0"/>
    <w:pPr>
      <w:spacing w:line="270" w:lineRule="atLeast"/>
      <w:jc w:val="both"/>
    </w:pPr>
    <w:rPr>
      <w:b w:val="0"/>
      <w:bCs w:val="0"/>
    </w:rPr>
  </w:style>
  <w:style w:type="paragraph" w:customStyle="1" w:styleId="150">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51">
    <w:name w:val="姜文清定义的正文"/>
    <w:basedOn w:val="1"/>
    <w:qFormat/>
    <w:uiPriority w:val="0"/>
    <w:pPr>
      <w:spacing w:line="240" w:lineRule="atLeast"/>
      <w:ind w:firstLine="567"/>
    </w:pPr>
    <w:rPr>
      <w:szCs w:val="20"/>
    </w:rPr>
  </w:style>
  <w:style w:type="paragraph" w:customStyle="1" w:styleId="152">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3">
    <w:name w:val="CM2"/>
    <w:basedOn w:val="152"/>
    <w:next w:val="152"/>
    <w:qFormat/>
    <w:uiPriority w:val="0"/>
    <w:pPr>
      <w:spacing w:line="200" w:lineRule="atLeast"/>
    </w:pPr>
    <w:rPr>
      <w:rFonts w:ascii="Arial" w:hAnsi="Arial" w:eastAsia="宋体" w:cs="Times New Roman"/>
      <w:color w:val="auto"/>
    </w:rPr>
  </w:style>
  <w:style w:type="paragraph" w:customStyle="1" w:styleId="154">
    <w:name w:val="Normal Paragraph"/>
    <w:basedOn w:val="1"/>
    <w:qFormat/>
    <w:uiPriority w:val="0"/>
    <w:pPr>
      <w:widowControl/>
      <w:spacing w:before="120" w:line="360" w:lineRule="auto"/>
      <w:ind w:firstLine="425"/>
    </w:pPr>
    <w:rPr>
      <w:kern w:val="0"/>
      <w:sz w:val="24"/>
    </w:rPr>
  </w:style>
  <w:style w:type="character" w:customStyle="1" w:styleId="155">
    <w:name w:val="blue"/>
    <w:basedOn w:val="46"/>
    <w:qFormat/>
    <w:uiPriority w:val="0"/>
  </w:style>
  <w:style w:type="paragraph" w:customStyle="1" w:styleId="156">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7">
    <w:name w:val="font"/>
    <w:basedOn w:val="46"/>
    <w:qFormat/>
    <w:uiPriority w:val="0"/>
  </w:style>
  <w:style w:type="character" w:customStyle="1" w:styleId="158">
    <w:name w:val="font11"/>
    <w:qFormat/>
    <w:uiPriority w:val="0"/>
    <w:rPr>
      <w:rFonts w:hint="default" w:ascii="ˎ̥" w:hAnsi="ˎ̥"/>
    </w:rPr>
  </w:style>
  <w:style w:type="paragraph" w:customStyle="1" w:styleId="159">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60">
    <w:name w:val="proddescription"/>
    <w:basedOn w:val="46"/>
    <w:qFormat/>
    <w:uiPriority w:val="0"/>
  </w:style>
  <w:style w:type="character" w:customStyle="1" w:styleId="161">
    <w:name w:val="prodheadlines"/>
    <w:basedOn w:val="46"/>
    <w:qFormat/>
    <w:uiPriority w:val="0"/>
  </w:style>
  <w:style w:type="character" w:customStyle="1" w:styleId="162">
    <w:name w:val="text"/>
    <w:basedOn w:val="46"/>
    <w:qFormat/>
    <w:uiPriority w:val="0"/>
  </w:style>
  <w:style w:type="paragraph" w:customStyle="1" w:styleId="163">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65">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8">
    <w:name w:val="段落正文"/>
    <w:basedOn w:val="22"/>
    <w:qFormat/>
    <w:uiPriority w:val="0"/>
    <w:pPr>
      <w:ind w:firstLine="560" w:firstLineChars="200"/>
    </w:pPr>
    <w:rPr>
      <w:sz w:val="28"/>
    </w:rPr>
  </w:style>
  <w:style w:type="character" w:customStyle="1" w:styleId="169">
    <w:name w:val="gray6"/>
    <w:basedOn w:val="46"/>
    <w:qFormat/>
    <w:uiPriority w:val="0"/>
  </w:style>
  <w:style w:type="character" w:customStyle="1" w:styleId="170">
    <w:name w:val="style9"/>
    <w:basedOn w:val="46"/>
    <w:qFormat/>
    <w:uiPriority w:val="0"/>
  </w:style>
  <w:style w:type="paragraph" w:customStyle="1" w:styleId="1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72">
    <w:name w:val="grame"/>
    <w:basedOn w:val="46"/>
    <w:qFormat/>
    <w:uiPriority w:val="0"/>
  </w:style>
  <w:style w:type="paragraph" w:customStyle="1" w:styleId="1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4">
    <w:name w:val="Char1"/>
    <w:basedOn w:val="1"/>
    <w:qFormat/>
    <w:uiPriority w:val="0"/>
    <w:pPr>
      <w:jc w:val="left"/>
    </w:pPr>
    <w:rPr>
      <w:rFonts w:ascii="Tahoma" w:hAnsi="Tahoma"/>
      <w:sz w:val="24"/>
      <w:szCs w:val="20"/>
    </w:rPr>
  </w:style>
  <w:style w:type="paragraph" w:customStyle="1" w:styleId="175">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78">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9">
    <w:name w:val="font6"/>
    <w:basedOn w:val="1"/>
    <w:qFormat/>
    <w:uiPriority w:val="0"/>
    <w:pPr>
      <w:widowControl/>
      <w:spacing w:before="100" w:beforeAutospacing="1" w:after="100" w:afterAutospacing="1"/>
      <w:jc w:val="left"/>
    </w:pPr>
    <w:rPr>
      <w:kern w:val="0"/>
      <w:sz w:val="24"/>
    </w:rPr>
  </w:style>
  <w:style w:type="paragraph" w:customStyle="1" w:styleId="180">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8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2">
    <w:name w:val="表格字"/>
    <w:basedOn w:val="1"/>
    <w:qFormat/>
    <w:uiPriority w:val="0"/>
    <w:pPr>
      <w:adjustRightInd w:val="0"/>
      <w:jc w:val="center"/>
    </w:pPr>
    <w:rPr>
      <w:rFonts w:ascii="宋体"/>
      <w:sz w:val="24"/>
      <w:szCs w:val="20"/>
    </w:rPr>
  </w:style>
  <w:style w:type="character" w:customStyle="1" w:styleId="183">
    <w:name w:val="样式 小三 加粗"/>
    <w:qFormat/>
    <w:uiPriority w:val="0"/>
    <w:rPr>
      <w:rFonts w:eastAsia="宋体"/>
      <w:b/>
      <w:bCs/>
      <w:sz w:val="32"/>
    </w:rPr>
  </w:style>
  <w:style w:type="paragraph" w:customStyle="1" w:styleId="18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5">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6">
    <w:name w:val="Char Char Char"/>
    <w:basedOn w:val="1"/>
    <w:qFormat/>
    <w:uiPriority w:val="0"/>
    <w:rPr>
      <w:rFonts w:ascii="Tahoma" w:hAnsi="Tahoma"/>
      <w:sz w:val="24"/>
      <w:szCs w:val="20"/>
    </w:rPr>
  </w:style>
  <w:style w:type="paragraph" w:customStyle="1" w:styleId="187">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8">
    <w:name w:val="info4"/>
    <w:basedOn w:val="46"/>
    <w:qFormat/>
    <w:uiPriority w:val="0"/>
  </w:style>
  <w:style w:type="paragraph" w:customStyle="1" w:styleId="189">
    <w:name w:val="缩进正文"/>
    <w:basedOn w:val="1"/>
    <w:link w:val="190"/>
    <w:qFormat/>
    <w:uiPriority w:val="0"/>
    <w:pPr>
      <w:ind w:firstLine="560" w:firstLineChars="200"/>
    </w:pPr>
    <w:rPr>
      <w:rFonts w:eastAsia="仿宋_GB2312" w:cs="宋体"/>
      <w:sz w:val="28"/>
      <w:szCs w:val="20"/>
    </w:rPr>
  </w:style>
  <w:style w:type="character" w:customStyle="1" w:styleId="190">
    <w:name w:val="缩进正文 Char"/>
    <w:link w:val="189"/>
    <w:qFormat/>
    <w:uiPriority w:val="0"/>
    <w:rPr>
      <w:rFonts w:eastAsia="仿宋_GB2312" w:cs="宋体"/>
      <w:kern w:val="2"/>
      <w:sz w:val="28"/>
      <w:lang w:val="en-US" w:eastAsia="zh-CN" w:bidi="ar-SA"/>
    </w:rPr>
  </w:style>
  <w:style w:type="paragraph" w:customStyle="1" w:styleId="191">
    <w:name w:val="列出段落1"/>
    <w:basedOn w:val="1"/>
    <w:qFormat/>
    <w:uiPriority w:val="0"/>
    <w:pPr>
      <w:ind w:firstLine="420" w:firstLineChars="200"/>
    </w:pPr>
    <w:rPr>
      <w:rFonts w:ascii="Calibri" w:hAnsi="Calibri" w:cs="Calibri"/>
      <w:szCs w:val="21"/>
    </w:rPr>
  </w:style>
  <w:style w:type="character" w:customStyle="1" w:styleId="192">
    <w:name w:val="批注文字 字符"/>
    <w:basedOn w:val="46"/>
    <w:link w:val="16"/>
    <w:semiHidden/>
    <w:qFormat/>
    <w:uiPriority w:val="99"/>
    <w:rPr>
      <w:rFonts w:ascii="宋体"/>
      <w:sz w:val="34"/>
    </w:rPr>
  </w:style>
  <w:style w:type="character" w:customStyle="1" w:styleId="193">
    <w:name w:val="批注主题 字符"/>
    <w:basedOn w:val="192"/>
    <w:link w:val="41"/>
    <w:qFormat/>
    <w:uiPriority w:val="99"/>
    <w:rPr>
      <w:rFonts w:ascii="宋体"/>
      <w:sz w:val="34"/>
    </w:rPr>
  </w:style>
  <w:style w:type="paragraph" w:customStyle="1" w:styleId="194">
    <w:name w:val="评价"/>
    <w:basedOn w:val="1"/>
    <w:qFormat/>
    <w:uiPriority w:val="0"/>
    <w:pPr>
      <w:spacing w:afterLines="20"/>
      <w:ind w:firstLine="1446" w:firstLineChars="200"/>
    </w:pPr>
    <w:rPr>
      <w:rFonts w:ascii="Calibri" w:hAnsi="Calibri"/>
      <w:sz w:val="24"/>
    </w:rPr>
  </w:style>
  <w:style w:type="paragraph" w:customStyle="1" w:styleId="19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96">
    <w:name w:val="alt-edited1"/>
    <w:qFormat/>
    <w:uiPriority w:val="0"/>
    <w:rPr>
      <w:color w:val="4D90F0"/>
    </w:rPr>
  </w:style>
  <w:style w:type="paragraph" w:customStyle="1" w:styleId="197">
    <w:name w:val="toc 14"/>
    <w:next w:val="1"/>
    <w:qFormat/>
    <w:uiPriority w:val="0"/>
    <w:pPr>
      <w:wordWrap w:val="0"/>
      <w:jc w:val="both"/>
    </w:pPr>
    <w:rPr>
      <w:rFonts w:ascii="Calibri" w:hAnsi="Calibri" w:eastAsia="宋体" w:cs="Times New Roman"/>
      <w:sz w:val="21"/>
      <w:lang w:val="en-US" w:eastAsia="zh-CN" w:bidi="ar-SA"/>
    </w:rPr>
  </w:style>
  <w:style w:type="character" w:customStyle="1" w:styleId="198">
    <w:name w:val="文档结构图 Char1"/>
    <w:semiHidden/>
    <w:qFormat/>
    <w:uiPriority w:val="0"/>
    <w:rPr>
      <w:sz w:val="20"/>
    </w:rPr>
  </w:style>
  <w:style w:type="character" w:customStyle="1" w:styleId="199">
    <w:name w:val="文档结构图 Char"/>
    <w:semiHidden/>
    <w:qFormat/>
    <w:uiPriority w:val="0"/>
    <w:rPr>
      <w:sz w:val="20"/>
    </w:rPr>
  </w:style>
  <w:style w:type="character" w:customStyle="1" w:styleId="200">
    <w:name w:val="short_text"/>
    <w:basedOn w:val="46"/>
    <w:qFormat/>
    <w:uiPriority w:val="0"/>
    <w:rPr>
      <w:sz w:val="20"/>
    </w:rPr>
  </w:style>
  <w:style w:type="character" w:customStyle="1" w:styleId="201">
    <w:name w:val="标题 Char1"/>
    <w:qFormat/>
    <w:uiPriority w:val="0"/>
    <w:rPr>
      <w:b/>
      <w:sz w:val="20"/>
    </w:rPr>
  </w:style>
  <w:style w:type="character" w:customStyle="1" w:styleId="202">
    <w:name w:val="正文文本缩进 3 Char1"/>
    <w:semiHidden/>
    <w:qFormat/>
    <w:uiPriority w:val="0"/>
    <w:rPr>
      <w:sz w:val="20"/>
    </w:rPr>
  </w:style>
  <w:style w:type="character" w:customStyle="1" w:styleId="203">
    <w:name w:val="font21"/>
    <w:basedOn w:val="46"/>
    <w:qFormat/>
    <w:uiPriority w:val="0"/>
    <w:rPr>
      <w:color w:val="FF0000"/>
      <w:sz w:val="20"/>
      <w:u w:val="none"/>
    </w:rPr>
  </w:style>
  <w:style w:type="character" w:customStyle="1" w:styleId="204">
    <w:name w:val="不明显强调1"/>
    <w:qFormat/>
    <w:uiPriority w:val="0"/>
    <w:rPr>
      <w:i/>
      <w:sz w:val="20"/>
    </w:rPr>
  </w:style>
  <w:style w:type="character" w:customStyle="1" w:styleId="205">
    <w:name w:val="font71"/>
    <w:qFormat/>
    <w:uiPriority w:val="0"/>
    <w:rPr>
      <w:sz w:val="20"/>
      <w:u w:val="none"/>
    </w:rPr>
  </w:style>
  <w:style w:type="character" w:customStyle="1" w:styleId="206">
    <w:name w:val="页眉 Char1"/>
    <w:semiHidden/>
    <w:qFormat/>
    <w:uiPriority w:val="0"/>
    <w:rPr>
      <w:sz w:val="20"/>
    </w:rPr>
  </w:style>
  <w:style w:type="character" w:customStyle="1" w:styleId="207">
    <w:name w:val="正文文本缩进 2 Char1"/>
    <w:semiHidden/>
    <w:qFormat/>
    <w:uiPriority w:val="0"/>
    <w:rPr>
      <w:sz w:val="20"/>
    </w:rPr>
  </w:style>
  <w:style w:type="character" w:customStyle="1" w:styleId="208">
    <w:name w:val="font61"/>
    <w:qFormat/>
    <w:uiPriority w:val="0"/>
    <w:rPr>
      <w:sz w:val="20"/>
      <w:u w:val="none"/>
    </w:rPr>
  </w:style>
  <w:style w:type="character" w:customStyle="1" w:styleId="209">
    <w:name w:val="纯文本 Char1"/>
    <w:semiHidden/>
    <w:qFormat/>
    <w:uiPriority w:val="0"/>
    <w:rPr>
      <w:sz w:val="20"/>
    </w:rPr>
  </w:style>
  <w:style w:type="character" w:customStyle="1" w:styleId="210">
    <w:name w:val="正文文本 3 Char1"/>
    <w:semiHidden/>
    <w:qFormat/>
    <w:uiPriority w:val="0"/>
    <w:rPr>
      <w:sz w:val="20"/>
    </w:rPr>
  </w:style>
  <w:style w:type="character" w:customStyle="1" w:styleId="211">
    <w:name w:val="正文文本缩进 Char1"/>
    <w:semiHidden/>
    <w:qFormat/>
    <w:uiPriority w:val="0"/>
    <w:rPr>
      <w:sz w:val="20"/>
    </w:rPr>
  </w:style>
  <w:style w:type="character" w:customStyle="1" w:styleId="212">
    <w:name w:val="明显参考1"/>
    <w:qFormat/>
    <w:uiPriority w:val="0"/>
    <w:rPr>
      <w:b/>
      <w:sz w:val="20"/>
    </w:rPr>
  </w:style>
  <w:style w:type="character" w:customStyle="1" w:styleId="213">
    <w:name w:val="apple-converted-space"/>
    <w:qFormat/>
    <w:uiPriority w:val="0"/>
    <w:rPr>
      <w:sz w:val="20"/>
    </w:rPr>
  </w:style>
  <w:style w:type="character" w:customStyle="1" w:styleId="214">
    <w:name w:val="书籍标题1"/>
    <w:qFormat/>
    <w:uiPriority w:val="0"/>
    <w:rPr>
      <w:b/>
      <w:i/>
      <w:sz w:val="20"/>
    </w:rPr>
  </w:style>
  <w:style w:type="character" w:customStyle="1" w:styleId="215">
    <w:name w:val="long_text"/>
    <w:qFormat/>
    <w:uiPriority w:val="0"/>
    <w:rPr>
      <w:sz w:val="20"/>
    </w:rPr>
  </w:style>
  <w:style w:type="character" w:customStyle="1" w:styleId="216">
    <w:name w:val="日期 Char1"/>
    <w:semiHidden/>
    <w:qFormat/>
    <w:uiPriority w:val="0"/>
    <w:rPr>
      <w:sz w:val="20"/>
    </w:rPr>
  </w:style>
  <w:style w:type="character" w:customStyle="1" w:styleId="217">
    <w:name w:val="批注文字 Char1"/>
    <w:semiHidden/>
    <w:qFormat/>
    <w:uiPriority w:val="0"/>
    <w:rPr>
      <w:sz w:val="20"/>
    </w:rPr>
  </w:style>
  <w:style w:type="character" w:customStyle="1" w:styleId="218">
    <w:name w:val="明显强调1"/>
    <w:qFormat/>
    <w:uiPriority w:val="0"/>
    <w:rPr>
      <w:i/>
      <w:sz w:val="20"/>
    </w:rPr>
  </w:style>
  <w:style w:type="character" w:customStyle="1" w:styleId="219">
    <w:name w:val="16"/>
    <w:qFormat/>
    <w:uiPriority w:val="0"/>
    <w:rPr>
      <w:b/>
      <w:color w:val="FF0356"/>
      <w:sz w:val="20"/>
    </w:rPr>
  </w:style>
  <w:style w:type="character" w:customStyle="1" w:styleId="220">
    <w:name w:val="批注主题 Char1"/>
    <w:semiHidden/>
    <w:qFormat/>
    <w:uiPriority w:val="0"/>
    <w:rPr>
      <w:b/>
      <w:sz w:val="20"/>
    </w:rPr>
  </w:style>
  <w:style w:type="character" w:customStyle="1" w:styleId="221">
    <w:name w:val="正文文本 2 Char1"/>
    <w:semiHidden/>
    <w:qFormat/>
    <w:uiPriority w:val="0"/>
    <w:rPr>
      <w:sz w:val="20"/>
    </w:rPr>
  </w:style>
  <w:style w:type="character" w:customStyle="1" w:styleId="222">
    <w:name w:val="font31"/>
    <w:qFormat/>
    <w:uiPriority w:val="0"/>
    <w:rPr>
      <w:color w:val="FF0000"/>
      <w:sz w:val="20"/>
      <w:u w:val="none"/>
      <w:vertAlign w:val="superscript"/>
    </w:rPr>
  </w:style>
  <w:style w:type="character" w:customStyle="1" w:styleId="223">
    <w:name w:val="不明显参考1"/>
    <w:qFormat/>
    <w:uiPriority w:val="0"/>
    <w:rPr>
      <w:sz w:val="20"/>
    </w:rPr>
  </w:style>
  <w:style w:type="character" w:customStyle="1" w:styleId="224">
    <w:name w:val="HTML 预设格式 Char1"/>
    <w:semiHidden/>
    <w:qFormat/>
    <w:uiPriority w:val="0"/>
    <w:rPr>
      <w:sz w:val="20"/>
    </w:rPr>
  </w:style>
  <w:style w:type="character" w:customStyle="1" w:styleId="225">
    <w:name w:val="font01"/>
    <w:basedOn w:val="46"/>
    <w:qFormat/>
    <w:uiPriority w:val="0"/>
    <w:rPr>
      <w:color w:val="FF0000"/>
      <w:sz w:val="20"/>
      <w:u w:val="none"/>
      <w:vertAlign w:val="superscript"/>
    </w:rPr>
  </w:style>
  <w:style w:type="character" w:customStyle="1" w:styleId="226">
    <w:name w:val="页脚 Char1"/>
    <w:semiHidden/>
    <w:qFormat/>
    <w:uiPriority w:val="0"/>
    <w:rPr>
      <w:sz w:val="20"/>
    </w:rPr>
  </w:style>
  <w:style w:type="character" w:customStyle="1" w:styleId="227">
    <w:name w:val="批注框文本 Char1"/>
    <w:semiHidden/>
    <w:qFormat/>
    <w:uiPriority w:val="0"/>
    <w:rPr>
      <w:sz w:val="20"/>
    </w:rPr>
  </w:style>
  <w:style w:type="paragraph" w:customStyle="1" w:styleId="228">
    <w:name w:val="列出段落2"/>
    <w:basedOn w:val="1"/>
    <w:next w:val="229"/>
    <w:qFormat/>
    <w:uiPriority w:val="0"/>
    <w:pPr>
      <w:ind w:firstLine="420"/>
    </w:pPr>
    <w:rPr>
      <w:rFonts w:hAnsi="Calibri"/>
      <w:kern w:val="0"/>
      <w:szCs w:val="20"/>
    </w:rPr>
  </w:style>
  <w:style w:type="paragraph" w:customStyle="1" w:styleId="229">
    <w:name w:val="toc 814"/>
    <w:next w:val="1"/>
    <w:qFormat/>
    <w:uiPriority w:val="0"/>
    <w:pPr>
      <w:wordWrap w:val="0"/>
      <w:ind w:left="2975"/>
      <w:jc w:val="both"/>
    </w:pPr>
    <w:rPr>
      <w:rFonts w:ascii="Calibri" w:hAnsi="Calibri" w:eastAsia="宋体" w:cs="Times New Roman"/>
      <w:sz w:val="21"/>
      <w:lang w:val="en-US" w:eastAsia="zh-CN" w:bidi="ar-SA"/>
    </w:rPr>
  </w:style>
  <w:style w:type="paragraph" w:customStyle="1" w:styleId="230">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31">
    <w:name w:val="toc 414"/>
    <w:next w:val="1"/>
    <w:qFormat/>
    <w:uiPriority w:val="0"/>
    <w:pPr>
      <w:wordWrap w:val="0"/>
      <w:ind w:left="1275"/>
      <w:jc w:val="both"/>
    </w:pPr>
    <w:rPr>
      <w:rFonts w:ascii="Calibri" w:hAnsi="Calibri" w:eastAsia="宋体" w:cs="Times New Roman"/>
      <w:sz w:val="21"/>
      <w:lang w:val="en-US" w:eastAsia="zh-CN" w:bidi="ar-SA"/>
    </w:rPr>
  </w:style>
  <w:style w:type="paragraph" w:customStyle="1" w:styleId="232">
    <w:name w:val="toc 411"/>
    <w:next w:val="1"/>
    <w:qFormat/>
    <w:uiPriority w:val="0"/>
    <w:pPr>
      <w:wordWrap w:val="0"/>
      <w:ind w:left="1275"/>
      <w:jc w:val="both"/>
    </w:pPr>
    <w:rPr>
      <w:rFonts w:ascii="Calibri" w:hAnsi="Calibri" w:eastAsia="宋体" w:cs="Times New Roman"/>
      <w:sz w:val="21"/>
      <w:lang w:val="en-US" w:eastAsia="zh-CN" w:bidi="ar-SA"/>
    </w:rPr>
  </w:style>
  <w:style w:type="paragraph" w:customStyle="1" w:styleId="233">
    <w:name w:val="xl86"/>
    <w:basedOn w:val="1"/>
    <w:next w:val="234"/>
    <w:qFormat/>
    <w:uiPriority w:val="0"/>
    <w:pPr>
      <w:widowControl/>
      <w:shd w:val="clear" w:color="000000" w:fill="FFFFFF"/>
      <w:spacing w:before="280" w:after="280"/>
      <w:jc w:val="center"/>
    </w:pPr>
    <w:rPr>
      <w:rFonts w:ascii="宋体" w:hAnsi="Calibri"/>
      <w:kern w:val="0"/>
      <w:sz w:val="20"/>
      <w:szCs w:val="20"/>
    </w:rPr>
  </w:style>
  <w:style w:type="paragraph" w:customStyle="1" w:styleId="234">
    <w:name w:val="toc 515"/>
    <w:next w:val="1"/>
    <w:qFormat/>
    <w:uiPriority w:val="0"/>
    <w:pPr>
      <w:wordWrap w:val="0"/>
      <w:ind w:left="1700"/>
      <w:jc w:val="both"/>
    </w:pPr>
    <w:rPr>
      <w:rFonts w:ascii="Calibri" w:hAnsi="Calibri" w:eastAsia="宋体" w:cs="Times New Roman"/>
      <w:sz w:val="21"/>
      <w:lang w:val="en-US" w:eastAsia="zh-CN" w:bidi="ar-SA"/>
    </w:rPr>
  </w:style>
  <w:style w:type="paragraph" w:customStyle="1" w:styleId="235">
    <w:name w:val="TOC Heading4"/>
    <w:next w:val="1"/>
    <w:qFormat/>
    <w:uiPriority w:val="0"/>
    <w:pPr>
      <w:wordWrap w:val="0"/>
    </w:pPr>
    <w:rPr>
      <w:rFonts w:ascii="Calibri" w:hAnsi="Calibri" w:eastAsia="宋体" w:cs="Times New Roman"/>
      <w:sz w:val="32"/>
      <w:lang w:val="en-US" w:eastAsia="zh-CN" w:bidi="ar-SA"/>
    </w:rPr>
  </w:style>
  <w:style w:type="paragraph" w:customStyle="1" w:styleId="236">
    <w:name w:val="toc 15"/>
    <w:next w:val="1"/>
    <w:qFormat/>
    <w:uiPriority w:val="0"/>
    <w:pPr>
      <w:wordWrap w:val="0"/>
      <w:jc w:val="both"/>
    </w:pPr>
    <w:rPr>
      <w:rFonts w:ascii="Calibri" w:hAnsi="Calibri" w:eastAsia="宋体" w:cs="Times New Roman"/>
      <w:sz w:val="21"/>
      <w:lang w:val="en-US" w:eastAsia="zh-CN" w:bidi="ar-SA"/>
    </w:rPr>
  </w:style>
  <w:style w:type="paragraph" w:customStyle="1" w:styleId="237">
    <w:name w:val="TOC Heading2"/>
    <w:next w:val="1"/>
    <w:qFormat/>
    <w:uiPriority w:val="0"/>
    <w:pPr>
      <w:wordWrap w:val="0"/>
    </w:pPr>
    <w:rPr>
      <w:rFonts w:ascii="Calibri" w:hAnsi="Calibri" w:eastAsia="宋体" w:cs="Times New Roman"/>
      <w:sz w:val="32"/>
      <w:lang w:val="en-US" w:eastAsia="zh-CN" w:bidi="ar-SA"/>
    </w:rPr>
  </w:style>
  <w:style w:type="paragraph" w:customStyle="1" w:styleId="238">
    <w:name w:val="TOC Heading1"/>
    <w:next w:val="1"/>
    <w:qFormat/>
    <w:uiPriority w:val="0"/>
    <w:pPr>
      <w:wordWrap w:val="0"/>
    </w:pPr>
    <w:rPr>
      <w:rFonts w:ascii="Calibri" w:hAnsi="Calibri" w:eastAsia="宋体" w:cs="Times New Roman"/>
      <w:sz w:val="32"/>
      <w:lang w:val="en-US" w:eastAsia="zh-CN" w:bidi="ar-SA"/>
    </w:rPr>
  </w:style>
  <w:style w:type="paragraph" w:customStyle="1" w:styleId="239">
    <w:name w:val="toc 73"/>
    <w:next w:val="1"/>
    <w:qFormat/>
    <w:uiPriority w:val="0"/>
    <w:pPr>
      <w:wordWrap w:val="0"/>
      <w:ind w:left="2550"/>
      <w:jc w:val="both"/>
    </w:pPr>
    <w:rPr>
      <w:rFonts w:ascii="Calibri" w:hAnsi="Calibri" w:eastAsia="宋体" w:cs="Times New Roman"/>
      <w:sz w:val="21"/>
      <w:lang w:val="en-US" w:eastAsia="zh-CN" w:bidi="ar-SA"/>
    </w:rPr>
  </w:style>
  <w:style w:type="paragraph" w:customStyle="1" w:styleId="240">
    <w:name w:val="font7"/>
    <w:basedOn w:val="1"/>
    <w:next w:val="241"/>
    <w:qFormat/>
    <w:uiPriority w:val="0"/>
    <w:pPr>
      <w:widowControl/>
      <w:spacing w:before="280" w:after="280"/>
    </w:pPr>
    <w:rPr>
      <w:rFonts w:ascii="Arial" w:hAnsi="Calibri"/>
      <w:kern w:val="0"/>
      <w:sz w:val="18"/>
      <w:szCs w:val="20"/>
    </w:rPr>
  </w:style>
  <w:style w:type="paragraph" w:customStyle="1" w:styleId="241">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42">
    <w:name w:val="xl113"/>
    <w:basedOn w:val="1"/>
    <w:next w:val="243"/>
    <w:qFormat/>
    <w:uiPriority w:val="0"/>
    <w:pPr>
      <w:widowControl/>
      <w:shd w:val="clear" w:color="000000" w:fill="FFFFFF"/>
      <w:spacing w:before="280" w:after="280"/>
      <w:jc w:val="center"/>
    </w:pPr>
    <w:rPr>
      <w:rFonts w:ascii="宋体" w:hAnsi="Calibri"/>
      <w:b/>
      <w:kern w:val="0"/>
      <w:sz w:val="20"/>
      <w:szCs w:val="20"/>
    </w:rPr>
  </w:style>
  <w:style w:type="paragraph" w:customStyle="1" w:styleId="243">
    <w:name w:val="TOC Heading10"/>
    <w:next w:val="1"/>
    <w:qFormat/>
    <w:uiPriority w:val="0"/>
    <w:pPr>
      <w:wordWrap w:val="0"/>
    </w:pPr>
    <w:rPr>
      <w:rFonts w:ascii="Calibri" w:hAnsi="Calibri" w:eastAsia="宋体" w:cs="Times New Roman"/>
      <w:sz w:val="32"/>
      <w:lang w:val="en-US" w:eastAsia="zh-CN" w:bidi="ar-SA"/>
    </w:rPr>
  </w:style>
  <w:style w:type="paragraph" w:customStyle="1" w:styleId="244">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45">
    <w:name w:val="xl73"/>
    <w:basedOn w:val="1"/>
    <w:next w:val="246"/>
    <w:qFormat/>
    <w:uiPriority w:val="0"/>
    <w:pPr>
      <w:widowControl/>
      <w:shd w:val="clear" w:color="000000" w:fill="FFFFFF"/>
      <w:spacing w:before="280" w:after="280"/>
      <w:jc w:val="center"/>
    </w:pPr>
    <w:rPr>
      <w:rFonts w:ascii="宋体" w:hAnsi="Calibri"/>
      <w:kern w:val="0"/>
      <w:sz w:val="20"/>
      <w:szCs w:val="20"/>
    </w:rPr>
  </w:style>
  <w:style w:type="paragraph" w:customStyle="1" w:styleId="246">
    <w:name w:val="toc 613"/>
    <w:next w:val="1"/>
    <w:qFormat/>
    <w:uiPriority w:val="0"/>
    <w:pPr>
      <w:wordWrap w:val="0"/>
      <w:ind w:left="2125"/>
      <w:jc w:val="both"/>
    </w:pPr>
    <w:rPr>
      <w:rFonts w:ascii="Calibri" w:hAnsi="Calibri" w:eastAsia="宋体" w:cs="Times New Roman"/>
      <w:sz w:val="21"/>
      <w:lang w:val="en-US" w:eastAsia="zh-CN" w:bidi="ar-SA"/>
    </w:rPr>
  </w:style>
  <w:style w:type="paragraph" w:customStyle="1" w:styleId="247">
    <w:name w:val="xl79"/>
    <w:basedOn w:val="1"/>
    <w:next w:val="248"/>
    <w:qFormat/>
    <w:uiPriority w:val="0"/>
    <w:pPr>
      <w:widowControl/>
      <w:shd w:val="clear" w:color="000000" w:fill="FFFFFF"/>
      <w:spacing w:before="280" w:after="280"/>
    </w:pPr>
    <w:rPr>
      <w:rFonts w:ascii="宋体" w:hAnsi="Calibri"/>
      <w:b/>
      <w:kern w:val="0"/>
      <w:sz w:val="20"/>
      <w:szCs w:val="20"/>
    </w:rPr>
  </w:style>
  <w:style w:type="paragraph" w:customStyle="1" w:styleId="248">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49">
    <w:name w:val="toc 11"/>
    <w:next w:val="1"/>
    <w:qFormat/>
    <w:uiPriority w:val="0"/>
    <w:pPr>
      <w:wordWrap w:val="0"/>
      <w:jc w:val="both"/>
    </w:pPr>
    <w:rPr>
      <w:rFonts w:ascii="Calibri" w:hAnsi="Calibri" w:eastAsia="宋体" w:cs="Times New Roman"/>
      <w:sz w:val="21"/>
      <w:lang w:val="en-US" w:eastAsia="zh-CN" w:bidi="ar-SA"/>
    </w:rPr>
  </w:style>
  <w:style w:type="paragraph" w:customStyle="1" w:styleId="250">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51">
    <w:name w:val="toc 611"/>
    <w:next w:val="1"/>
    <w:qFormat/>
    <w:uiPriority w:val="0"/>
    <w:pPr>
      <w:wordWrap w:val="0"/>
      <w:ind w:left="2125"/>
      <w:jc w:val="both"/>
    </w:pPr>
    <w:rPr>
      <w:rFonts w:ascii="Calibri" w:hAnsi="Calibri" w:eastAsia="宋体" w:cs="Times New Roman"/>
      <w:sz w:val="21"/>
      <w:lang w:val="en-US" w:eastAsia="zh-CN" w:bidi="ar-SA"/>
    </w:rPr>
  </w:style>
  <w:style w:type="paragraph" w:customStyle="1" w:styleId="252">
    <w:name w:val="xl112"/>
    <w:basedOn w:val="1"/>
    <w:next w:val="251"/>
    <w:qFormat/>
    <w:uiPriority w:val="0"/>
    <w:pPr>
      <w:widowControl/>
      <w:shd w:val="clear" w:color="000000" w:fill="FFFFFF"/>
      <w:spacing w:before="280" w:after="280"/>
      <w:jc w:val="center"/>
    </w:pPr>
    <w:rPr>
      <w:rFonts w:ascii="宋体" w:hAnsi="Calibri"/>
      <w:b/>
      <w:kern w:val="0"/>
      <w:sz w:val="20"/>
      <w:szCs w:val="20"/>
    </w:rPr>
  </w:style>
  <w:style w:type="paragraph" w:customStyle="1" w:styleId="253">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54">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55">
    <w:name w:val="toc 412"/>
    <w:next w:val="1"/>
    <w:qFormat/>
    <w:uiPriority w:val="0"/>
    <w:pPr>
      <w:wordWrap w:val="0"/>
      <w:ind w:left="1275"/>
      <w:jc w:val="both"/>
    </w:pPr>
    <w:rPr>
      <w:rFonts w:ascii="Calibri" w:hAnsi="Calibri" w:eastAsia="宋体" w:cs="Times New Roman"/>
      <w:sz w:val="21"/>
      <w:lang w:val="en-US" w:eastAsia="zh-CN" w:bidi="ar-SA"/>
    </w:rPr>
  </w:style>
  <w:style w:type="paragraph" w:customStyle="1" w:styleId="256">
    <w:name w:val="xl74"/>
    <w:basedOn w:val="1"/>
    <w:next w:val="257"/>
    <w:qFormat/>
    <w:uiPriority w:val="0"/>
    <w:pPr>
      <w:widowControl/>
      <w:shd w:val="clear" w:color="000000" w:fill="FFFFFF"/>
      <w:spacing w:before="280" w:after="280"/>
    </w:pPr>
    <w:rPr>
      <w:rFonts w:ascii="宋体" w:hAnsi="Calibri"/>
      <w:kern w:val="0"/>
      <w:sz w:val="20"/>
      <w:szCs w:val="20"/>
    </w:rPr>
  </w:style>
  <w:style w:type="paragraph" w:customStyle="1" w:styleId="257">
    <w:name w:val="toc 57"/>
    <w:next w:val="1"/>
    <w:qFormat/>
    <w:uiPriority w:val="0"/>
    <w:pPr>
      <w:wordWrap w:val="0"/>
      <w:ind w:left="1700"/>
      <w:jc w:val="both"/>
    </w:pPr>
    <w:rPr>
      <w:rFonts w:ascii="Calibri" w:hAnsi="Calibri" w:eastAsia="宋体" w:cs="Times New Roman"/>
      <w:sz w:val="21"/>
      <w:lang w:val="en-US" w:eastAsia="zh-CN" w:bidi="ar-SA"/>
    </w:rPr>
  </w:style>
  <w:style w:type="paragraph" w:customStyle="1" w:styleId="258">
    <w:name w:val="toc 912"/>
    <w:next w:val="1"/>
    <w:qFormat/>
    <w:uiPriority w:val="0"/>
    <w:pPr>
      <w:wordWrap w:val="0"/>
      <w:ind w:left="3400"/>
      <w:jc w:val="both"/>
    </w:pPr>
    <w:rPr>
      <w:rFonts w:ascii="Calibri" w:hAnsi="Calibri" w:eastAsia="宋体" w:cs="Times New Roman"/>
      <w:sz w:val="21"/>
      <w:lang w:val="en-US" w:eastAsia="zh-CN" w:bidi="ar-SA"/>
    </w:rPr>
  </w:style>
  <w:style w:type="paragraph" w:customStyle="1" w:styleId="259">
    <w:name w:val="toc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60">
    <w:name w:val="toc 38"/>
    <w:next w:val="1"/>
    <w:qFormat/>
    <w:uiPriority w:val="0"/>
    <w:pPr>
      <w:wordWrap w:val="0"/>
      <w:ind w:left="850"/>
      <w:jc w:val="both"/>
    </w:pPr>
    <w:rPr>
      <w:rFonts w:ascii="Calibri" w:hAnsi="Calibri" w:eastAsia="宋体" w:cs="Times New Roman"/>
      <w:sz w:val="21"/>
      <w:lang w:val="en-US" w:eastAsia="zh-CN" w:bidi="ar-SA"/>
    </w:rPr>
  </w:style>
  <w:style w:type="paragraph" w:customStyle="1" w:styleId="261">
    <w:name w:val="toc 95"/>
    <w:next w:val="1"/>
    <w:qFormat/>
    <w:uiPriority w:val="0"/>
    <w:pPr>
      <w:wordWrap w:val="0"/>
      <w:ind w:left="3400"/>
      <w:jc w:val="both"/>
    </w:pPr>
    <w:rPr>
      <w:rFonts w:ascii="Calibri" w:hAnsi="Calibri" w:eastAsia="宋体" w:cs="Times New Roman"/>
      <w:sz w:val="21"/>
      <w:lang w:val="en-US" w:eastAsia="zh-CN" w:bidi="ar-SA"/>
    </w:rPr>
  </w:style>
  <w:style w:type="paragraph" w:customStyle="1" w:styleId="262">
    <w:name w:val="列出段落5"/>
    <w:basedOn w:val="1"/>
    <w:next w:val="263"/>
    <w:qFormat/>
    <w:uiPriority w:val="0"/>
    <w:pPr>
      <w:ind w:firstLine="420"/>
    </w:pPr>
    <w:rPr>
      <w:rFonts w:hAnsi="Calibri"/>
      <w:kern w:val="0"/>
      <w:szCs w:val="20"/>
    </w:rPr>
  </w:style>
  <w:style w:type="paragraph" w:customStyle="1" w:styleId="263">
    <w:name w:val="toc 312"/>
    <w:next w:val="1"/>
    <w:qFormat/>
    <w:uiPriority w:val="0"/>
    <w:pPr>
      <w:wordWrap w:val="0"/>
      <w:ind w:left="850"/>
      <w:jc w:val="both"/>
    </w:pPr>
    <w:rPr>
      <w:rFonts w:ascii="Calibri" w:hAnsi="Calibri" w:eastAsia="宋体" w:cs="Times New Roman"/>
      <w:sz w:val="21"/>
      <w:lang w:val="en-US" w:eastAsia="zh-CN" w:bidi="ar-SA"/>
    </w:rPr>
  </w:style>
  <w:style w:type="paragraph" w:customStyle="1" w:styleId="264">
    <w:name w:val="xl66"/>
    <w:basedOn w:val="1"/>
    <w:next w:val="265"/>
    <w:qFormat/>
    <w:uiPriority w:val="0"/>
    <w:pPr>
      <w:widowControl/>
      <w:shd w:val="clear" w:color="000000" w:fill="FFFFFF"/>
      <w:spacing w:before="280" w:after="280"/>
    </w:pPr>
    <w:rPr>
      <w:rFonts w:ascii="宋体" w:hAnsi="Calibri"/>
      <w:kern w:val="0"/>
      <w:sz w:val="20"/>
      <w:szCs w:val="20"/>
    </w:rPr>
  </w:style>
  <w:style w:type="paragraph" w:customStyle="1" w:styleId="265">
    <w:name w:val="toc 56"/>
    <w:next w:val="1"/>
    <w:qFormat/>
    <w:uiPriority w:val="0"/>
    <w:pPr>
      <w:wordWrap w:val="0"/>
      <w:ind w:left="1700"/>
      <w:jc w:val="both"/>
    </w:pPr>
    <w:rPr>
      <w:rFonts w:ascii="Calibri" w:hAnsi="Calibri" w:eastAsia="宋体" w:cs="Times New Roman"/>
      <w:sz w:val="21"/>
      <w:lang w:val="en-US" w:eastAsia="zh-CN" w:bidi="ar-SA"/>
    </w:rPr>
  </w:style>
  <w:style w:type="paragraph" w:customStyle="1" w:styleId="266">
    <w:name w:val="TOC Heading3"/>
    <w:next w:val="1"/>
    <w:qFormat/>
    <w:uiPriority w:val="0"/>
    <w:pPr>
      <w:wordWrap w:val="0"/>
    </w:pPr>
    <w:rPr>
      <w:rFonts w:ascii="Calibri" w:hAnsi="Calibri" w:eastAsia="宋体" w:cs="Times New Roman"/>
      <w:sz w:val="32"/>
      <w:lang w:val="en-US" w:eastAsia="zh-CN" w:bidi="ar-SA"/>
    </w:rPr>
  </w:style>
  <w:style w:type="paragraph" w:customStyle="1" w:styleId="267">
    <w:name w:val="toc 65"/>
    <w:next w:val="1"/>
    <w:qFormat/>
    <w:uiPriority w:val="0"/>
    <w:pPr>
      <w:wordWrap w:val="0"/>
      <w:ind w:left="2125"/>
      <w:jc w:val="both"/>
    </w:pPr>
    <w:rPr>
      <w:rFonts w:ascii="Calibri" w:hAnsi="Calibri" w:eastAsia="宋体" w:cs="Times New Roman"/>
      <w:sz w:val="21"/>
      <w:lang w:val="en-US" w:eastAsia="zh-CN" w:bidi="ar-SA"/>
    </w:rPr>
  </w:style>
  <w:style w:type="paragraph" w:customStyle="1" w:styleId="268">
    <w:name w:val="toc 25"/>
    <w:next w:val="1"/>
    <w:qFormat/>
    <w:uiPriority w:val="0"/>
    <w:pPr>
      <w:wordWrap w:val="0"/>
      <w:ind w:left="425"/>
      <w:jc w:val="both"/>
    </w:pPr>
    <w:rPr>
      <w:rFonts w:ascii="Calibri" w:hAnsi="Calibri" w:eastAsia="宋体" w:cs="Times New Roman"/>
      <w:sz w:val="21"/>
      <w:lang w:val="en-US" w:eastAsia="zh-CN" w:bidi="ar-SA"/>
    </w:rPr>
  </w:style>
  <w:style w:type="paragraph" w:customStyle="1" w:styleId="269">
    <w:name w:val="xl84"/>
    <w:basedOn w:val="1"/>
    <w:next w:val="270"/>
    <w:qFormat/>
    <w:uiPriority w:val="0"/>
    <w:pPr>
      <w:widowControl/>
      <w:shd w:val="clear" w:color="000000" w:fill="FFFFFF"/>
      <w:spacing w:before="280" w:after="280"/>
      <w:jc w:val="center"/>
    </w:pPr>
    <w:rPr>
      <w:rFonts w:ascii="宋体" w:hAnsi="Calibri"/>
      <w:kern w:val="0"/>
      <w:sz w:val="20"/>
      <w:szCs w:val="20"/>
    </w:rPr>
  </w:style>
  <w:style w:type="paragraph" w:customStyle="1" w:styleId="270">
    <w:name w:val="toc 99"/>
    <w:next w:val="1"/>
    <w:qFormat/>
    <w:uiPriority w:val="0"/>
    <w:pPr>
      <w:wordWrap w:val="0"/>
      <w:ind w:left="3400"/>
      <w:jc w:val="both"/>
    </w:pPr>
    <w:rPr>
      <w:rFonts w:ascii="Calibri" w:hAnsi="Calibri" w:eastAsia="宋体" w:cs="Times New Roman"/>
      <w:sz w:val="21"/>
      <w:lang w:val="en-US" w:eastAsia="zh-CN" w:bidi="ar-SA"/>
    </w:rPr>
  </w:style>
  <w:style w:type="paragraph" w:customStyle="1" w:styleId="271">
    <w:name w:val="xl81"/>
    <w:basedOn w:val="1"/>
    <w:next w:val="272"/>
    <w:qFormat/>
    <w:uiPriority w:val="0"/>
    <w:pPr>
      <w:widowControl/>
      <w:shd w:val="clear" w:color="000000" w:fill="FFFFFF"/>
      <w:spacing w:before="280" w:after="280"/>
    </w:pPr>
    <w:rPr>
      <w:rFonts w:ascii="宋体" w:hAnsi="Calibri"/>
      <w:kern w:val="0"/>
      <w:sz w:val="20"/>
      <w:szCs w:val="20"/>
    </w:rPr>
  </w:style>
  <w:style w:type="paragraph" w:customStyle="1" w:styleId="272">
    <w:name w:val="toc 59"/>
    <w:next w:val="1"/>
    <w:qFormat/>
    <w:uiPriority w:val="0"/>
    <w:pPr>
      <w:wordWrap w:val="0"/>
      <w:ind w:left="1700"/>
      <w:jc w:val="both"/>
    </w:pPr>
    <w:rPr>
      <w:rFonts w:ascii="Calibri" w:hAnsi="Calibri" w:eastAsia="宋体" w:cs="Times New Roman"/>
      <w:sz w:val="21"/>
      <w:lang w:val="en-US" w:eastAsia="zh-CN" w:bidi="ar-SA"/>
    </w:rPr>
  </w:style>
  <w:style w:type="paragraph" w:customStyle="1" w:styleId="273">
    <w:name w:val="目录 11"/>
    <w:next w:val="1"/>
    <w:qFormat/>
    <w:uiPriority w:val="0"/>
    <w:pPr>
      <w:wordWrap w:val="0"/>
      <w:jc w:val="both"/>
    </w:pPr>
    <w:rPr>
      <w:rFonts w:ascii="Calibri" w:hAnsi="Calibri" w:eastAsia="宋体" w:cs="Times New Roman"/>
      <w:sz w:val="21"/>
      <w:lang w:val="en-US" w:eastAsia="zh-CN" w:bidi="ar-SA"/>
    </w:rPr>
  </w:style>
  <w:style w:type="paragraph" w:customStyle="1" w:styleId="274">
    <w:name w:val="toc 513"/>
    <w:next w:val="1"/>
    <w:qFormat/>
    <w:uiPriority w:val="0"/>
    <w:pPr>
      <w:wordWrap w:val="0"/>
      <w:ind w:left="1700"/>
      <w:jc w:val="both"/>
    </w:pPr>
    <w:rPr>
      <w:rFonts w:ascii="Calibri" w:hAnsi="Calibri" w:eastAsia="宋体" w:cs="Times New Roman"/>
      <w:sz w:val="21"/>
      <w:lang w:val="en-US" w:eastAsia="zh-CN" w:bidi="ar-SA"/>
    </w:rPr>
  </w:style>
  <w:style w:type="paragraph" w:customStyle="1" w:styleId="275">
    <w:name w:val="TOC Heading12"/>
    <w:next w:val="1"/>
    <w:qFormat/>
    <w:uiPriority w:val="0"/>
    <w:pPr>
      <w:wordWrap w:val="0"/>
    </w:pPr>
    <w:rPr>
      <w:rFonts w:ascii="Calibri" w:hAnsi="Calibri" w:eastAsia="宋体" w:cs="Times New Roman"/>
      <w:sz w:val="32"/>
      <w:lang w:val="en-US" w:eastAsia="zh-CN" w:bidi="ar-SA"/>
    </w:rPr>
  </w:style>
  <w:style w:type="paragraph" w:customStyle="1" w:styleId="276">
    <w:name w:val="TOC Heading8"/>
    <w:next w:val="1"/>
    <w:qFormat/>
    <w:uiPriority w:val="0"/>
    <w:pPr>
      <w:wordWrap w:val="0"/>
    </w:pPr>
    <w:rPr>
      <w:rFonts w:ascii="Calibri" w:hAnsi="Calibri" w:eastAsia="宋体" w:cs="Times New Roman"/>
      <w:sz w:val="32"/>
      <w:lang w:val="en-US" w:eastAsia="zh-CN" w:bidi="ar-SA"/>
    </w:rPr>
  </w:style>
  <w:style w:type="paragraph" w:customStyle="1" w:styleId="277">
    <w:name w:val="toc 711"/>
    <w:next w:val="1"/>
    <w:qFormat/>
    <w:uiPriority w:val="0"/>
    <w:pPr>
      <w:wordWrap w:val="0"/>
      <w:ind w:left="2550"/>
      <w:jc w:val="both"/>
    </w:pPr>
    <w:rPr>
      <w:rFonts w:ascii="Calibri" w:hAnsi="Calibri" w:eastAsia="宋体" w:cs="Times New Roman"/>
      <w:sz w:val="21"/>
      <w:lang w:val="en-US" w:eastAsia="zh-CN" w:bidi="ar-SA"/>
    </w:rPr>
  </w:style>
  <w:style w:type="paragraph" w:customStyle="1" w:styleId="278">
    <w:name w:val="toc 212"/>
    <w:next w:val="1"/>
    <w:qFormat/>
    <w:uiPriority w:val="0"/>
    <w:pPr>
      <w:wordWrap w:val="0"/>
      <w:ind w:left="425"/>
      <w:jc w:val="both"/>
    </w:pPr>
    <w:rPr>
      <w:rFonts w:ascii="Calibri" w:hAnsi="Calibri" w:eastAsia="宋体" w:cs="Times New Roman"/>
      <w:sz w:val="21"/>
      <w:lang w:val="en-US" w:eastAsia="zh-CN" w:bidi="ar-SA"/>
    </w:rPr>
  </w:style>
  <w:style w:type="paragraph" w:customStyle="1" w:styleId="279">
    <w:name w:val="目录 21"/>
    <w:next w:val="1"/>
    <w:qFormat/>
    <w:uiPriority w:val="0"/>
    <w:pPr>
      <w:wordWrap w:val="0"/>
      <w:ind w:left="425"/>
      <w:jc w:val="both"/>
    </w:pPr>
    <w:rPr>
      <w:rFonts w:ascii="Calibri" w:hAnsi="Calibri" w:eastAsia="宋体" w:cs="Times New Roman"/>
      <w:sz w:val="21"/>
      <w:lang w:val="en-US" w:eastAsia="zh-CN" w:bidi="ar-SA"/>
    </w:rPr>
  </w:style>
  <w:style w:type="paragraph" w:customStyle="1" w:styleId="280">
    <w:name w:val="toc 45"/>
    <w:next w:val="1"/>
    <w:qFormat/>
    <w:uiPriority w:val="0"/>
    <w:pPr>
      <w:wordWrap w:val="0"/>
      <w:ind w:left="1275"/>
      <w:jc w:val="both"/>
    </w:pPr>
    <w:rPr>
      <w:rFonts w:ascii="Calibri" w:hAnsi="Calibri" w:eastAsia="宋体" w:cs="Times New Roman"/>
      <w:sz w:val="21"/>
      <w:lang w:val="en-US" w:eastAsia="zh-CN" w:bidi="ar-SA"/>
    </w:rPr>
  </w:style>
  <w:style w:type="paragraph" w:customStyle="1" w:styleId="281">
    <w:name w:val="xl116"/>
    <w:basedOn w:val="1"/>
    <w:next w:val="282"/>
    <w:qFormat/>
    <w:uiPriority w:val="0"/>
    <w:pPr>
      <w:widowControl/>
      <w:shd w:val="clear" w:color="000000" w:fill="FFFFFF"/>
      <w:spacing w:before="280" w:after="280"/>
      <w:jc w:val="center"/>
    </w:pPr>
    <w:rPr>
      <w:rFonts w:ascii="Arial Narrow" w:hAnsi="Calibri"/>
      <w:kern w:val="0"/>
      <w:sz w:val="20"/>
      <w:szCs w:val="20"/>
    </w:rPr>
  </w:style>
  <w:style w:type="paragraph" w:customStyle="1" w:styleId="282">
    <w:name w:val="toc 78"/>
    <w:next w:val="1"/>
    <w:qFormat/>
    <w:uiPriority w:val="0"/>
    <w:pPr>
      <w:wordWrap w:val="0"/>
      <w:ind w:left="2550"/>
      <w:jc w:val="both"/>
    </w:pPr>
    <w:rPr>
      <w:rFonts w:ascii="Calibri" w:hAnsi="Calibri" w:eastAsia="宋体" w:cs="Times New Roman"/>
      <w:sz w:val="21"/>
      <w:lang w:val="en-US" w:eastAsia="zh-CN" w:bidi="ar-SA"/>
    </w:rPr>
  </w:style>
  <w:style w:type="paragraph" w:customStyle="1" w:styleId="283">
    <w:name w:val="font8"/>
    <w:basedOn w:val="1"/>
    <w:next w:val="284"/>
    <w:qFormat/>
    <w:uiPriority w:val="0"/>
    <w:pPr>
      <w:widowControl/>
      <w:spacing w:before="280" w:after="280"/>
    </w:pPr>
    <w:rPr>
      <w:rFonts w:ascii="Arial" w:hAnsi="Calibri"/>
      <w:kern w:val="0"/>
      <w:sz w:val="20"/>
      <w:szCs w:val="20"/>
    </w:rPr>
  </w:style>
  <w:style w:type="paragraph" w:customStyle="1" w:styleId="284">
    <w:name w:val="TOC Heading11"/>
    <w:next w:val="1"/>
    <w:qFormat/>
    <w:uiPriority w:val="0"/>
    <w:pPr>
      <w:wordWrap w:val="0"/>
    </w:pPr>
    <w:rPr>
      <w:rFonts w:ascii="Calibri" w:hAnsi="Calibri" w:eastAsia="宋体" w:cs="Times New Roman"/>
      <w:sz w:val="32"/>
      <w:lang w:val="en-US" w:eastAsia="zh-CN" w:bidi="ar-SA"/>
    </w:rPr>
  </w:style>
  <w:style w:type="paragraph" w:customStyle="1" w:styleId="285">
    <w:name w:val="xl69"/>
    <w:basedOn w:val="1"/>
    <w:next w:val="286"/>
    <w:qFormat/>
    <w:uiPriority w:val="0"/>
    <w:pPr>
      <w:widowControl/>
      <w:shd w:val="clear" w:color="000000" w:fill="FFFFFF"/>
      <w:spacing w:before="280" w:after="280"/>
    </w:pPr>
    <w:rPr>
      <w:rFonts w:ascii="宋体" w:hAnsi="Calibri"/>
      <w:b/>
      <w:kern w:val="0"/>
      <w:sz w:val="20"/>
      <w:szCs w:val="20"/>
    </w:rPr>
  </w:style>
  <w:style w:type="paragraph" w:customStyle="1" w:styleId="286">
    <w:name w:val="toc 48"/>
    <w:next w:val="1"/>
    <w:qFormat/>
    <w:uiPriority w:val="0"/>
    <w:pPr>
      <w:wordWrap w:val="0"/>
      <w:ind w:left="1275"/>
      <w:jc w:val="both"/>
    </w:pPr>
    <w:rPr>
      <w:rFonts w:ascii="Calibri" w:hAnsi="Calibri" w:eastAsia="宋体" w:cs="Times New Roman"/>
      <w:sz w:val="21"/>
      <w:lang w:val="en-US" w:eastAsia="zh-CN" w:bidi="ar-SA"/>
    </w:rPr>
  </w:style>
  <w:style w:type="paragraph" w:customStyle="1" w:styleId="287">
    <w:name w:val="toc 813"/>
    <w:next w:val="1"/>
    <w:qFormat/>
    <w:uiPriority w:val="0"/>
    <w:pPr>
      <w:wordWrap w:val="0"/>
      <w:ind w:left="2975"/>
      <w:jc w:val="both"/>
    </w:pPr>
    <w:rPr>
      <w:rFonts w:ascii="Calibri" w:hAnsi="Calibri" w:eastAsia="宋体" w:cs="Times New Roman"/>
      <w:sz w:val="21"/>
      <w:lang w:val="en-US" w:eastAsia="zh-CN" w:bidi="ar-SA"/>
    </w:rPr>
  </w:style>
  <w:style w:type="paragraph" w:customStyle="1" w:styleId="288">
    <w:name w:val="目录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89">
    <w:name w:val="列出段落3"/>
    <w:basedOn w:val="1"/>
    <w:next w:val="290"/>
    <w:qFormat/>
    <w:uiPriority w:val="0"/>
    <w:pPr>
      <w:ind w:firstLine="420"/>
    </w:pPr>
    <w:rPr>
      <w:rFonts w:hAnsi="Calibri"/>
      <w:kern w:val="0"/>
      <w:szCs w:val="20"/>
    </w:rPr>
  </w:style>
  <w:style w:type="paragraph" w:customStyle="1" w:styleId="290">
    <w:name w:val="toc 213"/>
    <w:next w:val="1"/>
    <w:qFormat/>
    <w:uiPriority w:val="0"/>
    <w:pPr>
      <w:wordWrap w:val="0"/>
      <w:ind w:left="425"/>
      <w:jc w:val="both"/>
    </w:pPr>
    <w:rPr>
      <w:rFonts w:ascii="Calibri" w:hAnsi="Calibri" w:eastAsia="宋体" w:cs="Times New Roman"/>
      <w:sz w:val="21"/>
      <w:lang w:val="en-US" w:eastAsia="zh-CN" w:bidi="ar-SA"/>
    </w:rPr>
  </w:style>
  <w:style w:type="paragraph" w:customStyle="1" w:styleId="291">
    <w:name w:val="TOC 标题1"/>
    <w:next w:val="1"/>
    <w:qFormat/>
    <w:uiPriority w:val="0"/>
    <w:pPr>
      <w:wordWrap w:val="0"/>
    </w:pPr>
    <w:rPr>
      <w:rFonts w:ascii="Calibri" w:hAnsi="Calibri" w:eastAsia="宋体" w:cs="Times New Roman"/>
      <w:sz w:val="32"/>
      <w:lang w:val="en-US" w:eastAsia="zh-CN" w:bidi="ar-SA"/>
    </w:rPr>
  </w:style>
  <w:style w:type="paragraph" w:customStyle="1" w:styleId="292">
    <w:name w:val="TOC Heading5"/>
    <w:next w:val="1"/>
    <w:qFormat/>
    <w:uiPriority w:val="0"/>
    <w:pPr>
      <w:wordWrap w:val="0"/>
    </w:pPr>
    <w:rPr>
      <w:rFonts w:ascii="Calibri" w:hAnsi="Calibri" w:eastAsia="宋体" w:cs="Times New Roman"/>
      <w:sz w:val="32"/>
      <w:lang w:val="en-US" w:eastAsia="zh-CN" w:bidi="ar-SA"/>
    </w:rPr>
  </w:style>
  <w:style w:type="paragraph" w:customStyle="1" w:styleId="293">
    <w:name w:val="toc 313"/>
    <w:next w:val="1"/>
    <w:qFormat/>
    <w:uiPriority w:val="0"/>
    <w:pPr>
      <w:wordWrap w:val="0"/>
      <w:ind w:left="850"/>
      <w:jc w:val="both"/>
    </w:pPr>
    <w:rPr>
      <w:rFonts w:ascii="Calibri" w:hAnsi="Calibri" w:eastAsia="宋体" w:cs="Times New Roman"/>
      <w:sz w:val="21"/>
      <w:lang w:val="en-US" w:eastAsia="zh-CN" w:bidi="ar-SA"/>
    </w:rPr>
  </w:style>
  <w:style w:type="paragraph" w:customStyle="1" w:styleId="294">
    <w:name w:val="toc 716"/>
    <w:next w:val="1"/>
    <w:qFormat/>
    <w:uiPriority w:val="0"/>
    <w:pPr>
      <w:wordWrap w:val="0"/>
      <w:ind w:left="2550"/>
      <w:jc w:val="both"/>
    </w:pPr>
    <w:rPr>
      <w:rFonts w:ascii="Calibri" w:hAnsi="Calibri" w:eastAsia="宋体" w:cs="Times New Roman"/>
      <w:sz w:val="21"/>
      <w:lang w:val="en-US" w:eastAsia="zh-CN" w:bidi="ar-SA"/>
    </w:rPr>
  </w:style>
  <w:style w:type="paragraph" w:customStyle="1" w:styleId="295">
    <w:name w:val="xl115"/>
    <w:basedOn w:val="1"/>
    <w:next w:val="296"/>
    <w:qFormat/>
    <w:uiPriority w:val="0"/>
    <w:pPr>
      <w:widowControl/>
      <w:shd w:val="clear" w:color="000000" w:fill="FFFFFF"/>
      <w:spacing w:before="280" w:after="280"/>
      <w:jc w:val="center"/>
    </w:pPr>
    <w:rPr>
      <w:rFonts w:ascii="宋体" w:hAnsi="Calibri"/>
      <w:b/>
      <w:kern w:val="0"/>
      <w:sz w:val="20"/>
      <w:szCs w:val="20"/>
    </w:rPr>
  </w:style>
  <w:style w:type="paragraph" w:customStyle="1" w:styleId="296">
    <w:name w:val="toc 712"/>
    <w:next w:val="1"/>
    <w:qFormat/>
    <w:uiPriority w:val="0"/>
    <w:pPr>
      <w:wordWrap w:val="0"/>
      <w:ind w:left="2550"/>
      <w:jc w:val="both"/>
    </w:pPr>
    <w:rPr>
      <w:rFonts w:ascii="Calibri" w:hAnsi="Calibri" w:eastAsia="宋体" w:cs="Times New Roman"/>
      <w:sz w:val="21"/>
      <w:lang w:val="en-US" w:eastAsia="zh-CN" w:bidi="ar-SA"/>
    </w:rPr>
  </w:style>
  <w:style w:type="paragraph" w:customStyle="1" w:styleId="297">
    <w:name w:val="toc 64"/>
    <w:next w:val="1"/>
    <w:qFormat/>
    <w:uiPriority w:val="0"/>
    <w:pPr>
      <w:wordWrap w:val="0"/>
      <w:ind w:left="2125"/>
      <w:jc w:val="both"/>
    </w:pPr>
    <w:rPr>
      <w:rFonts w:ascii="Calibri" w:hAnsi="Calibri" w:eastAsia="宋体" w:cs="Times New Roman"/>
      <w:sz w:val="21"/>
      <w:lang w:val="en-US" w:eastAsia="zh-CN" w:bidi="ar-SA"/>
    </w:rPr>
  </w:style>
  <w:style w:type="paragraph" w:customStyle="1" w:styleId="298">
    <w:name w:val="toc 24"/>
    <w:next w:val="1"/>
    <w:qFormat/>
    <w:uiPriority w:val="0"/>
    <w:pPr>
      <w:wordWrap w:val="0"/>
      <w:ind w:left="425"/>
      <w:jc w:val="both"/>
    </w:pPr>
    <w:rPr>
      <w:rFonts w:ascii="Calibri" w:hAnsi="Calibri" w:eastAsia="宋体" w:cs="Times New Roman"/>
      <w:sz w:val="21"/>
      <w:lang w:val="en-US" w:eastAsia="zh-CN" w:bidi="ar-SA"/>
    </w:rPr>
  </w:style>
  <w:style w:type="paragraph" w:customStyle="1" w:styleId="299">
    <w:name w:val="toc 54"/>
    <w:next w:val="1"/>
    <w:qFormat/>
    <w:uiPriority w:val="0"/>
    <w:pPr>
      <w:wordWrap w:val="0"/>
      <w:ind w:left="1700"/>
      <w:jc w:val="both"/>
    </w:pPr>
    <w:rPr>
      <w:rFonts w:ascii="Calibri" w:hAnsi="Calibri" w:eastAsia="宋体" w:cs="Times New Roman"/>
      <w:sz w:val="21"/>
      <w:lang w:val="en-US" w:eastAsia="zh-CN" w:bidi="ar-SA"/>
    </w:rPr>
  </w:style>
  <w:style w:type="paragraph" w:customStyle="1" w:styleId="300">
    <w:name w:val="xl93"/>
    <w:basedOn w:val="1"/>
    <w:next w:val="301"/>
    <w:qFormat/>
    <w:uiPriority w:val="0"/>
    <w:pPr>
      <w:widowControl/>
      <w:shd w:val="clear" w:color="000000" w:fill="FFFFFF"/>
      <w:spacing w:before="280" w:after="280"/>
      <w:jc w:val="center"/>
    </w:pPr>
    <w:rPr>
      <w:rFonts w:ascii="宋体" w:hAnsi="Calibri"/>
      <w:kern w:val="0"/>
      <w:sz w:val="20"/>
      <w:szCs w:val="20"/>
    </w:rPr>
  </w:style>
  <w:style w:type="paragraph" w:customStyle="1" w:styleId="301">
    <w:name w:val="toc 112"/>
    <w:next w:val="1"/>
    <w:qFormat/>
    <w:uiPriority w:val="0"/>
    <w:pPr>
      <w:wordWrap w:val="0"/>
      <w:jc w:val="both"/>
    </w:pPr>
    <w:rPr>
      <w:rFonts w:ascii="Calibri" w:hAnsi="Calibri" w:eastAsia="宋体" w:cs="Times New Roman"/>
      <w:sz w:val="21"/>
      <w:lang w:val="en-US" w:eastAsia="zh-CN" w:bidi="ar-SA"/>
    </w:rPr>
  </w:style>
  <w:style w:type="paragraph" w:customStyle="1" w:styleId="302">
    <w:name w:val="xl96"/>
    <w:basedOn w:val="1"/>
    <w:next w:val="253"/>
    <w:qFormat/>
    <w:uiPriority w:val="0"/>
    <w:pPr>
      <w:widowControl/>
      <w:shd w:val="clear" w:color="000000" w:fill="FFFFFF"/>
      <w:spacing w:before="280" w:after="280"/>
      <w:jc w:val="center"/>
    </w:pPr>
    <w:rPr>
      <w:rFonts w:ascii="宋体" w:hAnsi="Calibri"/>
      <w:kern w:val="0"/>
      <w:sz w:val="20"/>
      <w:szCs w:val="20"/>
    </w:rPr>
  </w:style>
  <w:style w:type="paragraph" w:customStyle="1" w:styleId="303">
    <w:name w:val="xl106"/>
    <w:basedOn w:val="1"/>
    <w:next w:val="287"/>
    <w:qFormat/>
    <w:uiPriority w:val="0"/>
    <w:pPr>
      <w:widowControl/>
      <w:shd w:val="clear" w:color="000000" w:fill="FFFFFF"/>
      <w:spacing w:before="280" w:after="280"/>
    </w:pPr>
    <w:rPr>
      <w:rFonts w:ascii="宋体" w:hAnsi="Calibri"/>
      <w:kern w:val="0"/>
      <w:sz w:val="20"/>
      <w:szCs w:val="20"/>
    </w:rPr>
  </w:style>
  <w:style w:type="paragraph" w:customStyle="1" w:styleId="304">
    <w:name w:val="toc 35"/>
    <w:next w:val="1"/>
    <w:qFormat/>
    <w:uiPriority w:val="0"/>
    <w:pPr>
      <w:wordWrap w:val="0"/>
      <w:ind w:left="850"/>
      <w:jc w:val="both"/>
    </w:pPr>
    <w:rPr>
      <w:rFonts w:ascii="Calibri" w:hAnsi="Calibri" w:eastAsia="宋体" w:cs="Times New Roman"/>
      <w:sz w:val="21"/>
      <w:lang w:val="en-US" w:eastAsia="zh-CN" w:bidi="ar-SA"/>
    </w:rPr>
  </w:style>
  <w:style w:type="paragraph" w:customStyle="1" w:styleId="305">
    <w:name w:val="TOC Heading14"/>
    <w:next w:val="1"/>
    <w:qFormat/>
    <w:uiPriority w:val="0"/>
    <w:pPr>
      <w:wordWrap w:val="0"/>
    </w:pPr>
    <w:rPr>
      <w:rFonts w:ascii="Calibri" w:hAnsi="Calibri" w:eastAsia="宋体" w:cs="Times New Roman"/>
      <w:sz w:val="32"/>
      <w:lang w:val="en-US" w:eastAsia="zh-CN" w:bidi="ar-SA"/>
    </w:rPr>
  </w:style>
  <w:style w:type="paragraph" w:customStyle="1" w:styleId="306">
    <w:name w:val="Char Char Char Char Char Char Char1"/>
    <w:basedOn w:val="1"/>
    <w:next w:val="307"/>
    <w:qFormat/>
    <w:uiPriority w:val="0"/>
    <w:pPr>
      <w:widowControl/>
      <w:spacing w:after="160" w:line="240" w:lineRule="exact"/>
    </w:pPr>
    <w:rPr>
      <w:rFonts w:hAnsi="Calibri"/>
      <w:kern w:val="0"/>
      <w:szCs w:val="20"/>
    </w:rPr>
  </w:style>
  <w:style w:type="paragraph" w:customStyle="1" w:styleId="307">
    <w:name w:val="toc 67"/>
    <w:next w:val="1"/>
    <w:qFormat/>
    <w:uiPriority w:val="0"/>
    <w:pPr>
      <w:wordWrap w:val="0"/>
      <w:ind w:left="2125"/>
      <w:jc w:val="both"/>
    </w:pPr>
    <w:rPr>
      <w:rFonts w:ascii="Calibri" w:hAnsi="Calibri" w:eastAsia="宋体" w:cs="Times New Roman"/>
      <w:sz w:val="21"/>
      <w:lang w:val="en-US" w:eastAsia="zh-CN" w:bidi="ar-SA"/>
    </w:rPr>
  </w:style>
  <w:style w:type="paragraph" w:customStyle="1" w:styleId="308">
    <w:name w:val="列出段落4"/>
    <w:basedOn w:val="1"/>
    <w:next w:val="309"/>
    <w:qFormat/>
    <w:uiPriority w:val="0"/>
    <w:pPr>
      <w:ind w:firstLine="420"/>
    </w:pPr>
    <w:rPr>
      <w:rFonts w:hAnsi="Calibri"/>
      <w:kern w:val="0"/>
      <w:szCs w:val="20"/>
    </w:rPr>
  </w:style>
  <w:style w:type="paragraph" w:customStyle="1" w:styleId="309">
    <w:name w:val="TOC Heading9"/>
    <w:next w:val="1"/>
    <w:qFormat/>
    <w:uiPriority w:val="0"/>
    <w:pPr>
      <w:wordWrap w:val="0"/>
    </w:pPr>
    <w:rPr>
      <w:rFonts w:ascii="Calibri" w:hAnsi="Calibri" w:eastAsia="宋体" w:cs="Times New Roman"/>
      <w:sz w:val="32"/>
      <w:lang w:val="en-US" w:eastAsia="zh-CN" w:bidi="ar-SA"/>
    </w:rPr>
  </w:style>
  <w:style w:type="paragraph" w:customStyle="1" w:styleId="310">
    <w:name w:val="xl71"/>
    <w:basedOn w:val="1"/>
    <w:next w:val="311"/>
    <w:qFormat/>
    <w:uiPriority w:val="0"/>
    <w:pPr>
      <w:widowControl/>
      <w:shd w:val="clear" w:color="000000" w:fill="FFFFFF"/>
      <w:spacing w:before="280" w:after="280"/>
    </w:pPr>
    <w:rPr>
      <w:rFonts w:ascii="宋体" w:hAnsi="Calibri"/>
      <w:kern w:val="0"/>
      <w:sz w:val="24"/>
      <w:szCs w:val="20"/>
    </w:rPr>
  </w:style>
  <w:style w:type="paragraph" w:customStyle="1" w:styleId="311">
    <w:name w:val="toc 115"/>
    <w:next w:val="1"/>
    <w:qFormat/>
    <w:uiPriority w:val="0"/>
    <w:pPr>
      <w:wordWrap w:val="0"/>
      <w:jc w:val="both"/>
    </w:pPr>
    <w:rPr>
      <w:rFonts w:ascii="Calibri" w:hAnsi="Calibri" w:eastAsia="宋体" w:cs="Times New Roman"/>
      <w:sz w:val="21"/>
      <w:lang w:val="en-US" w:eastAsia="zh-CN" w:bidi="ar-SA"/>
    </w:rPr>
  </w:style>
  <w:style w:type="paragraph" w:customStyle="1" w:styleId="312">
    <w:name w:val="toc 51"/>
    <w:next w:val="1"/>
    <w:qFormat/>
    <w:uiPriority w:val="0"/>
    <w:pPr>
      <w:wordWrap w:val="0"/>
      <w:ind w:left="1700"/>
      <w:jc w:val="both"/>
    </w:pPr>
    <w:rPr>
      <w:rFonts w:ascii="Calibri" w:hAnsi="Calibri" w:eastAsia="宋体" w:cs="Times New Roman"/>
      <w:sz w:val="21"/>
      <w:lang w:val="en-US" w:eastAsia="zh-CN" w:bidi="ar-SA"/>
    </w:rPr>
  </w:style>
  <w:style w:type="paragraph" w:customStyle="1" w:styleId="313">
    <w:name w:val="toc 47"/>
    <w:next w:val="1"/>
    <w:qFormat/>
    <w:uiPriority w:val="0"/>
    <w:pPr>
      <w:wordWrap w:val="0"/>
      <w:ind w:left="1275"/>
      <w:jc w:val="both"/>
    </w:pPr>
    <w:rPr>
      <w:rFonts w:ascii="Calibri" w:hAnsi="Calibri" w:eastAsia="宋体" w:cs="Times New Roman"/>
      <w:sz w:val="21"/>
      <w:lang w:val="en-US" w:eastAsia="zh-CN" w:bidi="ar-SA"/>
    </w:rPr>
  </w:style>
  <w:style w:type="paragraph" w:customStyle="1" w:styleId="314">
    <w:name w:val="xl108"/>
    <w:basedOn w:val="1"/>
    <w:next w:val="315"/>
    <w:qFormat/>
    <w:uiPriority w:val="0"/>
    <w:pPr>
      <w:widowControl/>
      <w:shd w:val="clear" w:color="000000" w:fill="FFFFFF"/>
      <w:spacing w:before="280" w:after="280"/>
    </w:pPr>
    <w:rPr>
      <w:rFonts w:ascii="宋体" w:hAnsi="Calibri"/>
      <w:kern w:val="0"/>
      <w:sz w:val="18"/>
      <w:szCs w:val="20"/>
    </w:rPr>
  </w:style>
  <w:style w:type="paragraph" w:customStyle="1" w:styleId="315">
    <w:name w:val="toc 18"/>
    <w:next w:val="1"/>
    <w:qFormat/>
    <w:uiPriority w:val="0"/>
    <w:pPr>
      <w:wordWrap w:val="0"/>
      <w:jc w:val="both"/>
    </w:pPr>
    <w:rPr>
      <w:rFonts w:ascii="Calibri" w:hAnsi="Calibri" w:eastAsia="宋体" w:cs="Times New Roman"/>
      <w:sz w:val="21"/>
      <w:lang w:val="en-US" w:eastAsia="zh-CN" w:bidi="ar-SA"/>
    </w:rPr>
  </w:style>
  <w:style w:type="paragraph" w:customStyle="1" w:styleId="316">
    <w:name w:val="TOC Heading7"/>
    <w:next w:val="1"/>
    <w:qFormat/>
    <w:uiPriority w:val="0"/>
    <w:pPr>
      <w:wordWrap w:val="0"/>
    </w:pPr>
    <w:rPr>
      <w:rFonts w:ascii="Calibri" w:hAnsi="Calibri" w:eastAsia="宋体" w:cs="Times New Roman"/>
      <w:sz w:val="32"/>
      <w:lang w:val="en-US" w:eastAsia="zh-CN" w:bidi="ar-SA"/>
    </w:rPr>
  </w:style>
  <w:style w:type="character" w:customStyle="1" w:styleId="317">
    <w:name w:val="副标题 字符"/>
    <w:basedOn w:val="46"/>
    <w:link w:val="31"/>
    <w:qFormat/>
    <w:uiPriority w:val="0"/>
    <w:rPr>
      <w:rFonts w:ascii="Calibri" w:hAnsi="Calibri"/>
      <w:sz w:val="24"/>
    </w:rPr>
  </w:style>
  <w:style w:type="paragraph" w:customStyle="1" w:styleId="318">
    <w:name w:val="目录 71"/>
    <w:next w:val="1"/>
    <w:qFormat/>
    <w:uiPriority w:val="0"/>
    <w:pPr>
      <w:wordWrap w:val="0"/>
      <w:ind w:left="2550"/>
      <w:jc w:val="both"/>
    </w:pPr>
    <w:rPr>
      <w:rFonts w:ascii="Calibri" w:hAnsi="Calibri" w:eastAsia="宋体" w:cs="Times New Roman"/>
      <w:sz w:val="21"/>
      <w:lang w:val="en-US" w:eastAsia="zh-CN" w:bidi="ar-SA"/>
    </w:rPr>
  </w:style>
  <w:style w:type="paragraph" w:customStyle="1" w:styleId="319">
    <w:name w:val="toc 413"/>
    <w:next w:val="1"/>
    <w:qFormat/>
    <w:uiPriority w:val="0"/>
    <w:pPr>
      <w:wordWrap w:val="0"/>
      <w:ind w:left="1275"/>
      <w:jc w:val="both"/>
    </w:pPr>
    <w:rPr>
      <w:rFonts w:ascii="Calibri" w:hAnsi="Calibri" w:eastAsia="宋体" w:cs="Times New Roman"/>
      <w:sz w:val="21"/>
      <w:lang w:val="en-US" w:eastAsia="zh-CN" w:bidi="ar-SA"/>
    </w:rPr>
  </w:style>
  <w:style w:type="paragraph" w:customStyle="1" w:styleId="320">
    <w:name w:val="toc 85"/>
    <w:next w:val="1"/>
    <w:qFormat/>
    <w:uiPriority w:val="0"/>
    <w:pPr>
      <w:wordWrap w:val="0"/>
      <w:ind w:left="2975"/>
      <w:jc w:val="both"/>
    </w:pPr>
    <w:rPr>
      <w:rFonts w:ascii="Calibri" w:hAnsi="Calibri" w:eastAsia="宋体" w:cs="Times New Roman"/>
      <w:sz w:val="21"/>
      <w:lang w:val="en-US" w:eastAsia="zh-CN" w:bidi="ar-SA"/>
    </w:rPr>
  </w:style>
  <w:style w:type="paragraph" w:customStyle="1" w:styleId="321">
    <w:name w:val="列出段落6"/>
    <w:basedOn w:val="1"/>
    <w:next w:val="322"/>
    <w:qFormat/>
    <w:uiPriority w:val="0"/>
    <w:pPr>
      <w:ind w:firstLine="420"/>
    </w:pPr>
    <w:rPr>
      <w:rFonts w:hAnsi="Calibri"/>
      <w:kern w:val="0"/>
      <w:szCs w:val="20"/>
    </w:rPr>
  </w:style>
  <w:style w:type="paragraph" w:customStyle="1" w:styleId="322">
    <w:name w:val="toc 86"/>
    <w:next w:val="1"/>
    <w:qFormat/>
    <w:uiPriority w:val="0"/>
    <w:pPr>
      <w:wordWrap w:val="0"/>
      <w:ind w:left="2975"/>
      <w:jc w:val="both"/>
    </w:pPr>
    <w:rPr>
      <w:rFonts w:ascii="Calibri" w:hAnsi="Calibri" w:eastAsia="宋体" w:cs="Times New Roman"/>
      <w:sz w:val="21"/>
      <w:lang w:val="en-US" w:eastAsia="zh-CN" w:bidi="ar-SA"/>
    </w:rPr>
  </w:style>
  <w:style w:type="paragraph" w:customStyle="1" w:styleId="323">
    <w:name w:val="xl80"/>
    <w:basedOn w:val="1"/>
    <w:next w:val="324"/>
    <w:qFormat/>
    <w:uiPriority w:val="0"/>
    <w:pPr>
      <w:widowControl/>
      <w:shd w:val="clear" w:color="000000" w:fill="FFFFFF"/>
      <w:spacing w:before="280" w:after="280"/>
      <w:jc w:val="center"/>
    </w:pPr>
    <w:rPr>
      <w:rFonts w:ascii="宋体" w:hAnsi="Calibri"/>
      <w:b/>
      <w:kern w:val="0"/>
      <w:sz w:val="20"/>
      <w:szCs w:val="20"/>
    </w:rPr>
  </w:style>
  <w:style w:type="paragraph" w:customStyle="1" w:styleId="324">
    <w:name w:val="toc 49"/>
    <w:next w:val="1"/>
    <w:qFormat/>
    <w:uiPriority w:val="0"/>
    <w:pPr>
      <w:wordWrap w:val="0"/>
      <w:ind w:left="1275"/>
      <w:jc w:val="both"/>
    </w:pPr>
    <w:rPr>
      <w:rFonts w:ascii="Calibri" w:hAnsi="Calibri" w:eastAsia="宋体" w:cs="Times New Roman"/>
      <w:sz w:val="21"/>
      <w:lang w:val="en-US" w:eastAsia="zh-CN" w:bidi="ar-SA"/>
    </w:rPr>
  </w:style>
  <w:style w:type="paragraph" w:customStyle="1" w:styleId="325">
    <w:name w:val="Char Char Char Char1"/>
    <w:basedOn w:val="1"/>
    <w:next w:val="326"/>
    <w:qFormat/>
    <w:uiPriority w:val="0"/>
    <w:pPr>
      <w:widowControl/>
      <w:spacing w:after="160" w:line="240" w:lineRule="exact"/>
    </w:pPr>
    <w:rPr>
      <w:rFonts w:ascii="Verdana" w:hAnsi="Calibri" w:eastAsia="仿宋_GB2312"/>
      <w:kern w:val="0"/>
      <w:sz w:val="24"/>
      <w:szCs w:val="20"/>
    </w:rPr>
  </w:style>
  <w:style w:type="paragraph" w:customStyle="1" w:styleId="326">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7">
    <w:name w:val="xl102"/>
    <w:basedOn w:val="1"/>
    <w:next w:val="328"/>
    <w:qFormat/>
    <w:uiPriority w:val="0"/>
    <w:pPr>
      <w:widowControl/>
      <w:shd w:val="clear" w:color="000000" w:fill="FFFFFF"/>
      <w:spacing w:before="280" w:after="280"/>
      <w:jc w:val="right"/>
    </w:pPr>
    <w:rPr>
      <w:rFonts w:ascii="宋体" w:hAnsi="Calibri"/>
      <w:kern w:val="0"/>
      <w:sz w:val="20"/>
      <w:szCs w:val="20"/>
    </w:rPr>
  </w:style>
  <w:style w:type="paragraph" w:customStyle="1" w:styleId="328">
    <w:name w:val="toc 17"/>
    <w:next w:val="1"/>
    <w:qFormat/>
    <w:uiPriority w:val="0"/>
    <w:pPr>
      <w:wordWrap w:val="0"/>
      <w:jc w:val="both"/>
    </w:pPr>
    <w:rPr>
      <w:rFonts w:ascii="Calibri" w:hAnsi="Calibri" w:eastAsia="宋体" w:cs="Times New Roman"/>
      <w:sz w:val="21"/>
      <w:lang w:val="en-US" w:eastAsia="zh-CN" w:bidi="ar-SA"/>
    </w:rPr>
  </w:style>
  <w:style w:type="paragraph" w:customStyle="1" w:styleId="329">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30">
    <w:name w:val="toc 311"/>
    <w:next w:val="1"/>
    <w:qFormat/>
    <w:uiPriority w:val="0"/>
    <w:pPr>
      <w:wordWrap w:val="0"/>
      <w:ind w:left="850"/>
      <w:jc w:val="both"/>
    </w:pPr>
    <w:rPr>
      <w:rFonts w:ascii="Calibri" w:hAnsi="Calibri" w:eastAsia="宋体" w:cs="Times New Roman"/>
      <w:sz w:val="21"/>
      <w:lang w:val="en-US" w:eastAsia="zh-CN" w:bidi="ar-SA"/>
    </w:rPr>
  </w:style>
  <w:style w:type="paragraph" w:customStyle="1" w:styleId="331">
    <w:name w:val="xl65"/>
    <w:basedOn w:val="1"/>
    <w:next w:val="232"/>
    <w:qFormat/>
    <w:uiPriority w:val="0"/>
    <w:pPr>
      <w:widowControl/>
      <w:shd w:val="clear" w:color="000000" w:fill="FFFFFF"/>
      <w:spacing w:before="280" w:after="280"/>
      <w:jc w:val="center"/>
    </w:pPr>
    <w:rPr>
      <w:rFonts w:ascii="宋体" w:hAnsi="Calibri"/>
      <w:kern w:val="0"/>
      <w:sz w:val="20"/>
      <w:szCs w:val="20"/>
    </w:rPr>
  </w:style>
  <w:style w:type="paragraph" w:customStyle="1" w:styleId="332">
    <w:name w:val="toc 94"/>
    <w:next w:val="1"/>
    <w:qFormat/>
    <w:uiPriority w:val="0"/>
    <w:pPr>
      <w:wordWrap w:val="0"/>
      <w:ind w:left="3400"/>
      <w:jc w:val="both"/>
    </w:pPr>
    <w:rPr>
      <w:rFonts w:ascii="Calibri" w:hAnsi="Calibri" w:eastAsia="宋体" w:cs="Times New Roman"/>
      <w:sz w:val="21"/>
      <w:lang w:val="en-US" w:eastAsia="zh-CN" w:bidi="ar-SA"/>
    </w:rPr>
  </w:style>
  <w:style w:type="paragraph" w:customStyle="1" w:styleId="333">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34">
    <w:name w:val="toc 812"/>
    <w:next w:val="1"/>
    <w:qFormat/>
    <w:uiPriority w:val="0"/>
    <w:pPr>
      <w:wordWrap w:val="0"/>
      <w:ind w:left="2975"/>
      <w:jc w:val="both"/>
    </w:pPr>
    <w:rPr>
      <w:rFonts w:ascii="Calibri" w:hAnsi="Calibri" w:eastAsia="宋体" w:cs="Times New Roman"/>
      <w:sz w:val="21"/>
      <w:lang w:val="en-US" w:eastAsia="zh-CN" w:bidi="ar-SA"/>
    </w:rPr>
  </w:style>
  <w:style w:type="paragraph" w:customStyle="1" w:styleId="335">
    <w:name w:val="xl75"/>
    <w:basedOn w:val="1"/>
    <w:next w:val="336"/>
    <w:qFormat/>
    <w:uiPriority w:val="0"/>
    <w:pPr>
      <w:widowControl/>
      <w:shd w:val="clear" w:color="000000" w:fill="FFFFFF"/>
      <w:spacing w:before="280" w:after="280"/>
    </w:pPr>
    <w:rPr>
      <w:rFonts w:ascii="宋体" w:hAnsi="Calibri"/>
      <w:kern w:val="0"/>
      <w:sz w:val="20"/>
      <w:szCs w:val="20"/>
    </w:rPr>
  </w:style>
  <w:style w:type="paragraph" w:customStyle="1" w:styleId="336">
    <w:name w:val="toc 914"/>
    <w:next w:val="1"/>
    <w:qFormat/>
    <w:uiPriority w:val="0"/>
    <w:pPr>
      <w:wordWrap w:val="0"/>
      <w:ind w:left="3400"/>
      <w:jc w:val="both"/>
    </w:pPr>
    <w:rPr>
      <w:rFonts w:ascii="Calibri" w:hAnsi="Calibri" w:eastAsia="宋体" w:cs="Times New Roman"/>
      <w:sz w:val="21"/>
      <w:lang w:val="en-US" w:eastAsia="zh-CN" w:bidi="ar-SA"/>
    </w:rPr>
  </w:style>
  <w:style w:type="paragraph" w:customStyle="1" w:styleId="337">
    <w:name w:val="toc 19"/>
    <w:next w:val="1"/>
    <w:qFormat/>
    <w:uiPriority w:val="0"/>
    <w:pPr>
      <w:wordWrap w:val="0"/>
      <w:jc w:val="both"/>
    </w:pPr>
    <w:rPr>
      <w:rFonts w:ascii="Calibri" w:hAnsi="Calibri" w:eastAsia="宋体" w:cs="Times New Roman"/>
      <w:sz w:val="21"/>
      <w:lang w:val="en-US" w:eastAsia="zh-CN" w:bidi="ar-SA"/>
    </w:rPr>
  </w:style>
  <w:style w:type="paragraph" w:customStyle="1" w:styleId="338">
    <w:name w:val="TOC Heading6"/>
    <w:next w:val="1"/>
    <w:qFormat/>
    <w:uiPriority w:val="0"/>
    <w:pPr>
      <w:wordWrap w:val="0"/>
    </w:pPr>
    <w:rPr>
      <w:rFonts w:ascii="Calibri" w:hAnsi="Calibri" w:eastAsia="宋体" w:cs="Times New Roman"/>
      <w:sz w:val="32"/>
      <w:lang w:val="en-US" w:eastAsia="zh-CN" w:bidi="ar-SA"/>
    </w:rPr>
  </w:style>
  <w:style w:type="paragraph" w:customStyle="1" w:styleId="339">
    <w:name w:val="toc 52"/>
    <w:next w:val="1"/>
    <w:qFormat/>
    <w:uiPriority w:val="0"/>
    <w:pPr>
      <w:wordWrap w:val="0"/>
      <w:ind w:left="1700"/>
      <w:jc w:val="both"/>
    </w:pPr>
    <w:rPr>
      <w:rFonts w:ascii="Calibri" w:hAnsi="Calibri" w:eastAsia="宋体" w:cs="Times New Roman"/>
      <w:sz w:val="21"/>
      <w:lang w:val="en-US" w:eastAsia="zh-CN" w:bidi="ar-SA"/>
    </w:rPr>
  </w:style>
  <w:style w:type="paragraph" w:customStyle="1" w:styleId="340">
    <w:name w:val="toc 36"/>
    <w:next w:val="1"/>
    <w:qFormat/>
    <w:uiPriority w:val="0"/>
    <w:pPr>
      <w:wordWrap w:val="0"/>
      <w:ind w:left="850"/>
      <w:jc w:val="both"/>
    </w:pPr>
    <w:rPr>
      <w:rFonts w:ascii="Calibri" w:hAnsi="Calibri" w:eastAsia="宋体" w:cs="Times New Roman"/>
      <w:sz w:val="21"/>
      <w:lang w:val="en-US" w:eastAsia="zh-CN" w:bidi="ar-SA"/>
    </w:rPr>
  </w:style>
  <w:style w:type="paragraph" w:customStyle="1" w:styleId="341">
    <w:name w:val="toc 82"/>
    <w:next w:val="1"/>
    <w:qFormat/>
    <w:uiPriority w:val="0"/>
    <w:pPr>
      <w:wordWrap w:val="0"/>
      <w:ind w:left="2975"/>
      <w:jc w:val="both"/>
    </w:pPr>
    <w:rPr>
      <w:rFonts w:ascii="Calibri" w:hAnsi="Calibri" w:eastAsia="宋体" w:cs="Times New Roman"/>
      <w:sz w:val="21"/>
      <w:lang w:val="en-US" w:eastAsia="zh-CN" w:bidi="ar-SA"/>
    </w:rPr>
  </w:style>
  <w:style w:type="paragraph" w:customStyle="1" w:styleId="342">
    <w:name w:val="xl104"/>
    <w:basedOn w:val="1"/>
    <w:next w:val="343"/>
    <w:qFormat/>
    <w:uiPriority w:val="0"/>
    <w:pPr>
      <w:widowControl/>
      <w:shd w:val="clear" w:color="000000" w:fill="FFFFFF"/>
      <w:spacing w:before="280" w:after="280"/>
      <w:jc w:val="center"/>
    </w:pPr>
    <w:rPr>
      <w:rFonts w:ascii="宋体" w:hAnsi="Calibri"/>
      <w:kern w:val="0"/>
      <w:sz w:val="20"/>
      <w:szCs w:val="20"/>
    </w:rPr>
  </w:style>
  <w:style w:type="paragraph" w:customStyle="1" w:styleId="343">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44">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45">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6">
    <w:name w:val="toc 31"/>
    <w:next w:val="1"/>
    <w:qFormat/>
    <w:uiPriority w:val="0"/>
    <w:pPr>
      <w:wordWrap w:val="0"/>
      <w:ind w:left="850"/>
      <w:jc w:val="both"/>
    </w:pPr>
    <w:rPr>
      <w:rFonts w:ascii="Calibri" w:hAnsi="Calibri" w:eastAsia="宋体" w:cs="Times New Roman"/>
      <w:sz w:val="21"/>
      <w:lang w:val="en-US" w:eastAsia="zh-CN" w:bidi="ar-SA"/>
    </w:rPr>
  </w:style>
  <w:style w:type="paragraph" w:customStyle="1" w:styleId="347">
    <w:name w:val="toc 93"/>
    <w:next w:val="1"/>
    <w:qFormat/>
    <w:uiPriority w:val="0"/>
    <w:pPr>
      <w:wordWrap w:val="0"/>
      <w:ind w:left="3400"/>
      <w:jc w:val="both"/>
    </w:pPr>
    <w:rPr>
      <w:rFonts w:ascii="Calibri" w:hAnsi="Calibri" w:eastAsia="宋体" w:cs="Times New Roman"/>
      <w:sz w:val="21"/>
      <w:lang w:val="en-US" w:eastAsia="zh-CN" w:bidi="ar-SA"/>
    </w:rPr>
  </w:style>
  <w:style w:type="paragraph" w:customStyle="1" w:styleId="348">
    <w:name w:val="toc 614"/>
    <w:next w:val="1"/>
    <w:qFormat/>
    <w:uiPriority w:val="0"/>
    <w:pPr>
      <w:wordWrap w:val="0"/>
      <w:ind w:left="2125"/>
      <w:jc w:val="both"/>
    </w:pPr>
    <w:rPr>
      <w:rFonts w:ascii="Calibri" w:hAnsi="Calibri" w:eastAsia="宋体" w:cs="Times New Roman"/>
      <w:sz w:val="21"/>
      <w:lang w:val="en-US" w:eastAsia="zh-CN" w:bidi="ar-SA"/>
    </w:rPr>
  </w:style>
  <w:style w:type="paragraph" w:customStyle="1" w:styleId="349">
    <w:name w:val="无间隔1"/>
    <w:next w:val="344"/>
    <w:qFormat/>
    <w:uiPriority w:val="0"/>
    <w:pPr>
      <w:widowControl w:val="0"/>
      <w:jc w:val="both"/>
    </w:pPr>
    <w:rPr>
      <w:rFonts w:ascii="Calibri" w:hAnsi="Calibri" w:eastAsia="宋体" w:cs="Times New Roman"/>
      <w:sz w:val="22"/>
      <w:lang w:val="en-US" w:eastAsia="zh-CN" w:bidi="ar-SA"/>
    </w:rPr>
  </w:style>
  <w:style w:type="paragraph" w:customStyle="1" w:styleId="350">
    <w:name w:val="目录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1">
    <w:name w:val="xl105"/>
    <w:basedOn w:val="1"/>
    <w:next w:val="352"/>
    <w:qFormat/>
    <w:uiPriority w:val="0"/>
    <w:pPr>
      <w:widowControl/>
      <w:shd w:val="clear" w:color="000000" w:fill="FFFFFF"/>
      <w:spacing w:before="280" w:after="280"/>
    </w:pPr>
    <w:rPr>
      <w:rFonts w:ascii="宋体" w:hAnsi="Calibri"/>
      <w:kern w:val="0"/>
      <w:sz w:val="18"/>
      <w:szCs w:val="20"/>
    </w:rPr>
  </w:style>
  <w:style w:type="paragraph" w:customStyle="1" w:styleId="352">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53">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4">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55">
    <w:name w:val="xl111"/>
    <w:basedOn w:val="1"/>
    <w:next w:val="356"/>
    <w:qFormat/>
    <w:uiPriority w:val="0"/>
    <w:pPr>
      <w:widowControl/>
      <w:shd w:val="clear" w:color="000000" w:fill="FFFFFF"/>
      <w:spacing w:before="280" w:after="280"/>
      <w:jc w:val="center"/>
    </w:pPr>
    <w:rPr>
      <w:rFonts w:ascii="宋体" w:hAnsi="Calibri"/>
      <w:b/>
      <w:kern w:val="0"/>
      <w:sz w:val="20"/>
      <w:szCs w:val="20"/>
    </w:rPr>
  </w:style>
  <w:style w:type="paragraph" w:customStyle="1" w:styleId="356">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7">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58">
    <w:name w:val="p0"/>
    <w:basedOn w:val="1"/>
    <w:next w:val="359"/>
    <w:qFormat/>
    <w:uiPriority w:val="0"/>
    <w:pPr>
      <w:widowControl/>
      <w:spacing w:before="280" w:after="280"/>
    </w:pPr>
    <w:rPr>
      <w:rFonts w:ascii="宋体" w:hAnsi="Calibri"/>
      <w:kern w:val="0"/>
      <w:sz w:val="24"/>
      <w:szCs w:val="20"/>
    </w:rPr>
  </w:style>
  <w:style w:type="paragraph" w:customStyle="1" w:styleId="359">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60">
    <w:name w:val="列出段落11"/>
    <w:basedOn w:val="1"/>
    <w:next w:val="361"/>
    <w:qFormat/>
    <w:uiPriority w:val="0"/>
    <w:pPr>
      <w:widowControl/>
      <w:spacing w:line="360" w:lineRule="auto"/>
      <w:ind w:firstLine="420"/>
    </w:pPr>
    <w:rPr>
      <w:rFonts w:hAnsi="Calibri" w:eastAsia="微软雅黑"/>
      <w:kern w:val="0"/>
      <w:sz w:val="24"/>
      <w:szCs w:val="20"/>
    </w:rPr>
  </w:style>
  <w:style w:type="paragraph" w:customStyle="1" w:styleId="361">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62">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63">
    <w:name w:val="xl91"/>
    <w:basedOn w:val="1"/>
    <w:next w:val="260"/>
    <w:qFormat/>
    <w:uiPriority w:val="0"/>
    <w:pPr>
      <w:widowControl/>
      <w:shd w:val="clear" w:color="000000" w:fill="FFFFFF"/>
      <w:spacing w:before="280" w:after="280"/>
    </w:pPr>
    <w:rPr>
      <w:rFonts w:ascii="宋体" w:hAnsi="Calibri"/>
      <w:kern w:val="0"/>
      <w:sz w:val="20"/>
      <w:szCs w:val="20"/>
    </w:rPr>
  </w:style>
  <w:style w:type="paragraph" w:customStyle="1" w:styleId="364">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65">
    <w:name w:val="_Style 1"/>
    <w:basedOn w:val="1"/>
    <w:next w:val="366"/>
    <w:qFormat/>
    <w:uiPriority w:val="0"/>
    <w:pPr>
      <w:ind w:firstLine="420"/>
    </w:pPr>
    <w:rPr>
      <w:rFonts w:hAnsi="Calibri"/>
      <w:kern w:val="0"/>
      <w:szCs w:val="20"/>
    </w:rPr>
  </w:style>
  <w:style w:type="paragraph" w:customStyle="1" w:styleId="366">
    <w:name w:val="TOC Heading13"/>
    <w:next w:val="1"/>
    <w:qFormat/>
    <w:uiPriority w:val="0"/>
    <w:pPr>
      <w:wordWrap w:val="0"/>
    </w:pPr>
    <w:rPr>
      <w:rFonts w:ascii="Calibri" w:hAnsi="Calibri" w:eastAsia="宋体" w:cs="Times New Roman"/>
      <w:sz w:val="32"/>
      <w:lang w:val="en-US" w:eastAsia="zh-CN" w:bidi="ar-SA"/>
    </w:rPr>
  </w:style>
  <w:style w:type="paragraph" w:customStyle="1" w:styleId="367">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68">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69">
    <w:name w:val="x_msonormal"/>
    <w:basedOn w:val="1"/>
    <w:next w:val="319"/>
    <w:qFormat/>
    <w:uiPriority w:val="0"/>
    <w:pPr>
      <w:widowControl/>
      <w:spacing w:before="280" w:after="280"/>
    </w:pPr>
    <w:rPr>
      <w:rFonts w:ascii="PMingLiU" w:hAnsi="Calibri" w:eastAsia="PMingLiU"/>
      <w:kern w:val="0"/>
      <w:sz w:val="24"/>
      <w:szCs w:val="20"/>
    </w:rPr>
  </w:style>
  <w:style w:type="paragraph" w:customStyle="1" w:styleId="370">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71">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72">
    <w:name w:val="TOC Heading17"/>
    <w:next w:val="1"/>
    <w:qFormat/>
    <w:uiPriority w:val="0"/>
    <w:pPr>
      <w:wordWrap w:val="0"/>
    </w:pPr>
    <w:rPr>
      <w:rFonts w:ascii="Calibri" w:hAnsi="Calibri" w:eastAsia="宋体" w:cs="Times New Roman"/>
      <w:sz w:val="32"/>
      <w:lang w:val="en-US" w:eastAsia="zh-CN" w:bidi="ar-SA"/>
    </w:rPr>
  </w:style>
  <w:style w:type="paragraph" w:customStyle="1" w:styleId="373">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74">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75">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6">
    <w:name w:val="xl118"/>
    <w:basedOn w:val="1"/>
    <w:next w:val="250"/>
    <w:qFormat/>
    <w:uiPriority w:val="0"/>
    <w:pPr>
      <w:widowControl/>
      <w:shd w:val="clear" w:color="000000" w:fill="FFFFFF"/>
      <w:spacing w:before="280" w:after="280"/>
      <w:jc w:val="center"/>
    </w:pPr>
    <w:rPr>
      <w:rFonts w:ascii="宋体" w:hAnsi="Calibri"/>
      <w:b/>
      <w:kern w:val="0"/>
      <w:sz w:val="20"/>
      <w:szCs w:val="20"/>
    </w:rPr>
  </w:style>
  <w:style w:type="paragraph" w:customStyle="1" w:styleId="377">
    <w:name w:val="xl83"/>
    <w:basedOn w:val="1"/>
    <w:next w:val="305"/>
    <w:qFormat/>
    <w:uiPriority w:val="0"/>
    <w:pPr>
      <w:widowControl/>
      <w:shd w:val="clear" w:color="000000" w:fill="FFFFFF"/>
      <w:spacing w:before="280" w:after="280"/>
    </w:pPr>
    <w:rPr>
      <w:rFonts w:ascii="宋体" w:hAnsi="Calibri"/>
      <w:kern w:val="0"/>
      <w:sz w:val="20"/>
      <w:szCs w:val="20"/>
    </w:rPr>
  </w:style>
  <w:style w:type="paragraph" w:customStyle="1" w:styleId="378">
    <w:name w:val="xl103"/>
    <w:basedOn w:val="1"/>
    <w:next w:val="379"/>
    <w:qFormat/>
    <w:uiPriority w:val="0"/>
    <w:pPr>
      <w:widowControl/>
      <w:shd w:val="clear" w:color="000000" w:fill="FFFFFF"/>
      <w:spacing w:before="280" w:after="280"/>
    </w:pPr>
    <w:rPr>
      <w:rFonts w:ascii="宋体" w:hAnsi="Calibri"/>
      <w:kern w:val="0"/>
      <w:sz w:val="20"/>
      <w:szCs w:val="20"/>
    </w:rPr>
  </w:style>
  <w:style w:type="paragraph" w:customStyle="1" w:styleId="379">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80">
    <w:name w:val="xl68"/>
    <w:basedOn w:val="1"/>
    <w:next w:val="381"/>
    <w:qFormat/>
    <w:uiPriority w:val="0"/>
    <w:pPr>
      <w:widowControl/>
      <w:shd w:val="clear" w:color="000000" w:fill="FFFFFF"/>
      <w:spacing w:before="280" w:after="280"/>
    </w:pPr>
    <w:rPr>
      <w:rFonts w:ascii="宋体" w:hAnsi="Calibri"/>
      <w:b/>
      <w:kern w:val="0"/>
      <w:sz w:val="20"/>
      <w:szCs w:val="20"/>
    </w:rPr>
  </w:style>
  <w:style w:type="paragraph" w:customStyle="1" w:styleId="381">
    <w:name w:val="TOC Heading16"/>
    <w:next w:val="1"/>
    <w:qFormat/>
    <w:uiPriority w:val="0"/>
    <w:pPr>
      <w:wordWrap w:val="0"/>
    </w:pPr>
    <w:rPr>
      <w:rFonts w:ascii="Calibri" w:hAnsi="Calibri" w:eastAsia="宋体" w:cs="Times New Roman"/>
      <w:sz w:val="32"/>
      <w:lang w:val="en-US" w:eastAsia="zh-CN" w:bidi="ar-SA"/>
    </w:rPr>
  </w:style>
  <w:style w:type="paragraph" w:customStyle="1" w:styleId="382">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83">
    <w:name w:val="xl94"/>
    <w:basedOn w:val="1"/>
    <w:next w:val="274"/>
    <w:qFormat/>
    <w:uiPriority w:val="0"/>
    <w:pPr>
      <w:widowControl/>
      <w:shd w:val="clear" w:color="000000" w:fill="FFFFFF"/>
      <w:spacing w:before="280" w:after="280"/>
      <w:jc w:val="center"/>
    </w:pPr>
    <w:rPr>
      <w:rFonts w:ascii="宋体" w:hAnsi="Calibri"/>
      <w:kern w:val="0"/>
      <w:sz w:val="20"/>
      <w:szCs w:val="20"/>
    </w:rPr>
  </w:style>
  <w:style w:type="paragraph" w:customStyle="1" w:styleId="384">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85">
    <w:name w:val="xl92"/>
    <w:basedOn w:val="1"/>
    <w:next w:val="386"/>
    <w:qFormat/>
    <w:uiPriority w:val="0"/>
    <w:pPr>
      <w:widowControl/>
      <w:shd w:val="clear" w:color="000000" w:fill="FFFFFF"/>
      <w:spacing w:before="280" w:after="280"/>
    </w:pPr>
    <w:rPr>
      <w:rFonts w:ascii="宋体" w:hAnsi="Calibri"/>
      <w:kern w:val="0"/>
      <w:sz w:val="20"/>
      <w:szCs w:val="20"/>
    </w:rPr>
  </w:style>
  <w:style w:type="paragraph" w:customStyle="1" w:styleId="386">
    <w:name w:val="toc 913"/>
    <w:next w:val="1"/>
    <w:qFormat/>
    <w:uiPriority w:val="0"/>
    <w:pPr>
      <w:wordWrap w:val="0"/>
      <w:ind w:left="3400"/>
      <w:jc w:val="both"/>
    </w:pPr>
    <w:rPr>
      <w:rFonts w:ascii="Calibri" w:hAnsi="Calibri" w:eastAsia="宋体" w:cs="Times New Roman"/>
      <w:sz w:val="21"/>
      <w:lang w:val="en-US" w:eastAsia="zh-CN" w:bidi="ar-SA"/>
    </w:rPr>
  </w:style>
  <w:style w:type="paragraph" w:customStyle="1" w:styleId="387">
    <w:name w:val="toc 512"/>
    <w:next w:val="1"/>
    <w:qFormat/>
    <w:uiPriority w:val="0"/>
    <w:pPr>
      <w:wordWrap w:val="0"/>
      <w:ind w:left="1700"/>
      <w:jc w:val="both"/>
    </w:pPr>
    <w:rPr>
      <w:rFonts w:ascii="Calibri" w:hAnsi="Calibri" w:eastAsia="宋体" w:cs="Times New Roman"/>
      <w:sz w:val="21"/>
      <w:lang w:val="en-US" w:eastAsia="zh-CN" w:bidi="ar-SA"/>
    </w:rPr>
  </w:style>
  <w:style w:type="paragraph" w:customStyle="1" w:styleId="388">
    <w:name w:val="目录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89">
    <w:name w:val="正文表标题"/>
    <w:next w:val="1"/>
    <w:qFormat/>
    <w:uiPriority w:val="0"/>
    <w:pPr>
      <w:ind w:left="630"/>
      <w:jc w:val="center"/>
    </w:pPr>
    <w:rPr>
      <w:rFonts w:ascii="黑体" w:hAnsi="Calibri" w:eastAsia="黑体" w:cs="Times New Roman"/>
      <w:sz w:val="21"/>
      <w:lang w:val="en-US" w:eastAsia="zh-CN" w:bidi="ar-SA"/>
    </w:rPr>
  </w:style>
  <w:style w:type="paragraph" w:customStyle="1" w:styleId="390">
    <w:name w:val="toc 28"/>
    <w:next w:val="1"/>
    <w:qFormat/>
    <w:uiPriority w:val="0"/>
    <w:pPr>
      <w:wordWrap w:val="0"/>
      <w:ind w:left="425"/>
      <w:jc w:val="both"/>
    </w:pPr>
    <w:rPr>
      <w:rFonts w:ascii="Calibri" w:hAnsi="Calibri" w:eastAsia="宋体" w:cs="Times New Roman"/>
      <w:sz w:val="21"/>
      <w:lang w:val="en-US" w:eastAsia="zh-CN" w:bidi="ar-SA"/>
    </w:rPr>
  </w:style>
  <w:style w:type="paragraph" w:customStyle="1" w:styleId="391">
    <w:name w:val="toc 79"/>
    <w:next w:val="1"/>
    <w:qFormat/>
    <w:uiPriority w:val="0"/>
    <w:pPr>
      <w:wordWrap w:val="0"/>
      <w:ind w:left="2550"/>
      <w:jc w:val="both"/>
    </w:pPr>
    <w:rPr>
      <w:rFonts w:ascii="Calibri" w:hAnsi="Calibri" w:eastAsia="宋体" w:cs="Times New Roman"/>
      <w:sz w:val="21"/>
      <w:lang w:val="en-US" w:eastAsia="zh-CN" w:bidi="ar-SA"/>
    </w:rPr>
  </w:style>
  <w:style w:type="paragraph" w:customStyle="1" w:styleId="392">
    <w:name w:val="xl110"/>
    <w:basedOn w:val="1"/>
    <w:next w:val="348"/>
    <w:qFormat/>
    <w:uiPriority w:val="0"/>
    <w:pPr>
      <w:widowControl/>
      <w:shd w:val="clear" w:color="000000" w:fill="FFFFFF"/>
      <w:spacing w:before="280" w:after="280"/>
      <w:jc w:val="center"/>
    </w:pPr>
    <w:rPr>
      <w:rFonts w:ascii="宋体" w:hAnsi="Calibri"/>
      <w:kern w:val="0"/>
      <w:sz w:val="20"/>
      <w:szCs w:val="20"/>
    </w:rPr>
  </w:style>
  <w:style w:type="paragraph" w:customStyle="1" w:styleId="393">
    <w:name w:val="toc 511"/>
    <w:next w:val="1"/>
    <w:qFormat/>
    <w:uiPriority w:val="0"/>
    <w:pPr>
      <w:wordWrap w:val="0"/>
      <w:ind w:left="1700"/>
      <w:jc w:val="both"/>
    </w:pPr>
    <w:rPr>
      <w:rFonts w:ascii="Calibri" w:hAnsi="Calibri" w:eastAsia="宋体" w:cs="Times New Roman"/>
      <w:sz w:val="21"/>
      <w:lang w:val="en-US" w:eastAsia="zh-CN" w:bidi="ar-SA"/>
    </w:rPr>
  </w:style>
  <w:style w:type="paragraph" w:customStyle="1" w:styleId="394">
    <w:name w:val="toc 416"/>
    <w:next w:val="1"/>
    <w:qFormat/>
    <w:uiPriority w:val="0"/>
    <w:pPr>
      <w:wordWrap w:val="0"/>
      <w:ind w:left="1275"/>
      <w:jc w:val="both"/>
    </w:pPr>
    <w:rPr>
      <w:rFonts w:ascii="Calibri" w:hAnsi="Calibri" w:eastAsia="宋体" w:cs="Times New Roman"/>
      <w:sz w:val="21"/>
      <w:lang w:val="en-US" w:eastAsia="zh-CN" w:bidi="ar-SA"/>
    </w:rPr>
  </w:style>
  <w:style w:type="paragraph" w:customStyle="1" w:styleId="395">
    <w:name w:val="xl85"/>
    <w:basedOn w:val="1"/>
    <w:next w:val="396"/>
    <w:qFormat/>
    <w:uiPriority w:val="0"/>
    <w:pPr>
      <w:widowControl/>
      <w:shd w:val="clear" w:color="000000" w:fill="FFFFFF"/>
      <w:spacing w:before="280" w:after="280"/>
      <w:jc w:val="center"/>
    </w:pPr>
    <w:rPr>
      <w:rFonts w:ascii="宋体" w:hAnsi="Calibri"/>
      <w:kern w:val="0"/>
      <w:sz w:val="20"/>
      <w:szCs w:val="20"/>
    </w:rPr>
  </w:style>
  <w:style w:type="paragraph" w:customStyle="1" w:styleId="396">
    <w:name w:val="toc 76"/>
    <w:next w:val="1"/>
    <w:qFormat/>
    <w:uiPriority w:val="0"/>
    <w:pPr>
      <w:wordWrap w:val="0"/>
      <w:ind w:left="2550"/>
      <w:jc w:val="both"/>
    </w:pPr>
    <w:rPr>
      <w:rFonts w:ascii="Calibri" w:hAnsi="Calibri" w:eastAsia="宋体" w:cs="Times New Roman"/>
      <w:sz w:val="21"/>
      <w:lang w:val="en-US" w:eastAsia="zh-CN" w:bidi="ar-SA"/>
    </w:rPr>
  </w:style>
  <w:style w:type="paragraph" w:customStyle="1" w:styleId="397">
    <w:name w:val="toc 27"/>
    <w:next w:val="1"/>
    <w:qFormat/>
    <w:uiPriority w:val="0"/>
    <w:pPr>
      <w:wordWrap w:val="0"/>
      <w:ind w:left="425"/>
      <w:jc w:val="both"/>
    </w:pPr>
    <w:rPr>
      <w:rFonts w:ascii="Calibri" w:hAnsi="Calibri" w:eastAsia="宋体" w:cs="Times New Roman"/>
      <w:sz w:val="21"/>
      <w:lang w:val="en-US" w:eastAsia="zh-CN" w:bidi="ar-SA"/>
    </w:rPr>
  </w:style>
  <w:style w:type="paragraph" w:customStyle="1" w:styleId="398">
    <w:name w:val="toc 916"/>
    <w:next w:val="1"/>
    <w:qFormat/>
    <w:uiPriority w:val="0"/>
    <w:pPr>
      <w:wordWrap w:val="0"/>
      <w:ind w:left="3400"/>
      <w:jc w:val="both"/>
    </w:pPr>
    <w:rPr>
      <w:rFonts w:ascii="Calibri" w:hAnsi="Calibri" w:eastAsia="宋体" w:cs="Times New Roman"/>
      <w:sz w:val="21"/>
      <w:lang w:val="en-US" w:eastAsia="zh-CN" w:bidi="ar-SA"/>
    </w:rPr>
  </w:style>
  <w:style w:type="paragraph" w:customStyle="1" w:styleId="399">
    <w:name w:val="toc 77"/>
    <w:next w:val="1"/>
    <w:qFormat/>
    <w:uiPriority w:val="0"/>
    <w:pPr>
      <w:wordWrap w:val="0"/>
      <w:ind w:left="2550"/>
      <w:jc w:val="both"/>
    </w:pPr>
    <w:rPr>
      <w:rFonts w:ascii="Calibri" w:hAnsi="Calibri" w:eastAsia="宋体" w:cs="Times New Roman"/>
      <w:sz w:val="21"/>
      <w:lang w:val="en-US" w:eastAsia="zh-CN" w:bidi="ar-SA"/>
    </w:rPr>
  </w:style>
  <w:style w:type="paragraph" w:customStyle="1" w:styleId="400">
    <w:name w:val="toc 211"/>
    <w:next w:val="1"/>
    <w:qFormat/>
    <w:uiPriority w:val="0"/>
    <w:pPr>
      <w:wordWrap w:val="0"/>
      <w:ind w:left="425"/>
      <w:jc w:val="both"/>
    </w:pPr>
    <w:rPr>
      <w:rFonts w:ascii="Calibri" w:hAnsi="Calibri" w:eastAsia="宋体" w:cs="Times New Roman"/>
      <w:sz w:val="21"/>
      <w:lang w:val="en-US" w:eastAsia="zh-CN" w:bidi="ar-SA"/>
    </w:rPr>
  </w:style>
  <w:style w:type="paragraph" w:customStyle="1" w:styleId="401">
    <w:name w:val="toc 815"/>
    <w:next w:val="1"/>
    <w:qFormat/>
    <w:uiPriority w:val="0"/>
    <w:pPr>
      <w:wordWrap w:val="0"/>
      <w:ind w:left="2975"/>
      <w:jc w:val="both"/>
    </w:pPr>
    <w:rPr>
      <w:rFonts w:ascii="Calibri" w:hAnsi="Calibri" w:eastAsia="宋体" w:cs="Times New Roman"/>
      <w:sz w:val="21"/>
      <w:lang w:val="en-US" w:eastAsia="zh-CN" w:bidi="ar-SA"/>
    </w:rPr>
  </w:style>
  <w:style w:type="paragraph" w:customStyle="1" w:styleId="402">
    <w:name w:val="xl99"/>
    <w:basedOn w:val="1"/>
    <w:next w:val="387"/>
    <w:qFormat/>
    <w:uiPriority w:val="0"/>
    <w:pPr>
      <w:widowControl/>
      <w:shd w:val="clear" w:color="000000" w:fill="FFFFFF"/>
      <w:spacing w:before="280" w:after="280"/>
    </w:pPr>
    <w:rPr>
      <w:rFonts w:ascii="宋体" w:hAnsi="Calibri"/>
      <w:kern w:val="0"/>
      <w:sz w:val="18"/>
      <w:szCs w:val="20"/>
    </w:rPr>
  </w:style>
  <w:style w:type="paragraph" w:customStyle="1" w:styleId="403">
    <w:name w:val="xl97"/>
    <w:basedOn w:val="1"/>
    <w:next w:val="275"/>
    <w:qFormat/>
    <w:uiPriority w:val="0"/>
    <w:pPr>
      <w:widowControl/>
      <w:shd w:val="clear" w:color="000000" w:fill="FFFFFF"/>
      <w:spacing w:before="280" w:after="280"/>
      <w:jc w:val="center"/>
    </w:pPr>
    <w:rPr>
      <w:rFonts w:ascii="宋体" w:hAnsi="Calibri"/>
      <w:kern w:val="0"/>
      <w:sz w:val="20"/>
      <w:szCs w:val="20"/>
    </w:rPr>
  </w:style>
  <w:style w:type="paragraph" w:customStyle="1" w:styleId="404">
    <w:name w:val="toc 612"/>
    <w:next w:val="1"/>
    <w:qFormat/>
    <w:uiPriority w:val="0"/>
    <w:pPr>
      <w:wordWrap w:val="0"/>
      <w:ind w:left="2125"/>
      <w:jc w:val="both"/>
    </w:pPr>
    <w:rPr>
      <w:rFonts w:ascii="Calibri" w:hAnsi="Calibri" w:eastAsia="宋体" w:cs="Times New Roman"/>
      <w:sz w:val="21"/>
      <w:lang w:val="en-US" w:eastAsia="zh-CN" w:bidi="ar-SA"/>
    </w:rPr>
  </w:style>
  <w:style w:type="paragraph" w:customStyle="1" w:styleId="405">
    <w:name w:val="toc 315"/>
    <w:next w:val="1"/>
    <w:qFormat/>
    <w:uiPriority w:val="0"/>
    <w:pPr>
      <w:wordWrap w:val="0"/>
      <w:ind w:left="850"/>
      <w:jc w:val="both"/>
    </w:pPr>
    <w:rPr>
      <w:rFonts w:ascii="Calibri" w:hAnsi="Calibri" w:eastAsia="宋体" w:cs="Times New Roman"/>
      <w:sz w:val="21"/>
      <w:lang w:val="en-US" w:eastAsia="zh-CN" w:bidi="ar-SA"/>
    </w:rPr>
  </w:style>
  <w:style w:type="paragraph" w:customStyle="1" w:styleId="406">
    <w:name w:val="TOC Heading15"/>
    <w:next w:val="1"/>
    <w:qFormat/>
    <w:uiPriority w:val="0"/>
    <w:pPr>
      <w:wordWrap w:val="0"/>
    </w:pPr>
    <w:rPr>
      <w:rFonts w:ascii="Calibri" w:hAnsi="Calibri" w:eastAsia="宋体" w:cs="Times New Roman"/>
      <w:sz w:val="32"/>
      <w:lang w:val="en-US" w:eastAsia="zh-CN" w:bidi="ar-SA"/>
    </w:rPr>
  </w:style>
  <w:style w:type="paragraph" w:customStyle="1" w:styleId="407">
    <w:name w:val="toc 915"/>
    <w:next w:val="1"/>
    <w:qFormat/>
    <w:uiPriority w:val="0"/>
    <w:pPr>
      <w:wordWrap w:val="0"/>
      <w:ind w:left="3400"/>
      <w:jc w:val="both"/>
    </w:pPr>
    <w:rPr>
      <w:rFonts w:ascii="Calibri" w:hAnsi="Calibri" w:eastAsia="宋体" w:cs="Times New Roman"/>
      <w:sz w:val="21"/>
      <w:lang w:val="en-US" w:eastAsia="zh-CN" w:bidi="ar-SA"/>
    </w:rPr>
  </w:style>
  <w:style w:type="paragraph" w:customStyle="1" w:styleId="408">
    <w:name w:val="toc 39"/>
    <w:next w:val="1"/>
    <w:qFormat/>
    <w:uiPriority w:val="0"/>
    <w:pPr>
      <w:wordWrap w:val="0"/>
      <w:ind w:left="850"/>
      <w:jc w:val="both"/>
    </w:pPr>
    <w:rPr>
      <w:rFonts w:ascii="Calibri" w:hAnsi="Calibri" w:eastAsia="宋体" w:cs="Times New Roman"/>
      <w:sz w:val="21"/>
      <w:lang w:val="en-US" w:eastAsia="zh-CN" w:bidi="ar-SA"/>
    </w:rPr>
  </w:style>
  <w:style w:type="paragraph" w:customStyle="1" w:styleId="409">
    <w:name w:val="toc 710"/>
    <w:next w:val="1"/>
    <w:qFormat/>
    <w:uiPriority w:val="0"/>
    <w:pPr>
      <w:wordWrap w:val="0"/>
      <w:ind w:left="2550"/>
      <w:jc w:val="both"/>
    </w:pPr>
    <w:rPr>
      <w:rFonts w:ascii="Calibri" w:hAnsi="Calibri" w:eastAsia="宋体" w:cs="Times New Roman"/>
      <w:sz w:val="21"/>
      <w:lang w:val="en-US" w:eastAsia="zh-CN" w:bidi="ar-SA"/>
    </w:rPr>
  </w:style>
  <w:style w:type="paragraph" w:customStyle="1" w:styleId="410">
    <w:name w:val="toc 12"/>
    <w:next w:val="1"/>
    <w:qFormat/>
    <w:uiPriority w:val="0"/>
    <w:pPr>
      <w:wordWrap w:val="0"/>
      <w:jc w:val="both"/>
    </w:pPr>
    <w:rPr>
      <w:rFonts w:ascii="Calibri" w:hAnsi="Calibri" w:eastAsia="宋体" w:cs="Times New Roman"/>
      <w:sz w:val="21"/>
      <w:lang w:val="en-US" w:eastAsia="zh-CN" w:bidi="ar-SA"/>
    </w:rPr>
  </w:style>
  <w:style w:type="paragraph" w:customStyle="1" w:styleId="411">
    <w:name w:val="xl95"/>
    <w:basedOn w:val="1"/>
    <w:next w:val="412"/>
    <w:qFormat/>
    <w:uiPriority w:val="0"/>
    <w:pPr>
      <w:widowControl/>
      <w:shd w:val="clear" w:color="000000" w:fill="FFFFFF"/>
      <w:spacing w:before="280" w:after="280"/>
    </w:pPr>
    <w:rPr>
      <w:rFonts w:ascii="宋体" w:hAnsi="Calibri"/>
      <w:kern w:val="0"/>
      <w:sz w:val="20"/>
      <w:szCs w:val="20"/>
    </w:rPr>
  </w:style>
  <w:style w:type="paragraph" w:customStyle="1" w:styleId="412">
    <w:name w:val="toc 415"/>
    <w:next w:val="1"/>
    <w:qFormat/>
    <w:uiPriority w:val="0"/>
    <w:pPr>
      <w:wordWrap w:val="0"/>
      <w:ind w:left="1275"/>
      <w:jc w:val="both"/>
    </w:pPr>
    <w:rPr>
      <w:rFonts w:ascii="Calibri" w:hAnsi="Calibri" w:eastAsia="宋体" w:cs="Times New Roman"/>
      <w:sz w:val="21"/>
      <w:lang w:val="en-US" w:eastAsia="zh-CN" w:bidi="ar-SA"/>
    </w:rPr>
  </w:style>
  <w:style w:type="paragraph" w:customStyle="1" w:styleId="413">
    <w:name w:val="toc 29"/>
    <w:next w:val="1"/>
    <w:qFormat/>
    <w:uiPriority w:val="0"/>
    <w:pPr>
      <w:wordWrap w:val="0"/>
      <w:ind w:left="425"/>
      <w:jc w:val="both"/>
    </w:pPr>
    <w:rPr>
      <w:rFonts w:ascii="Calibri" w:hAnsi="Calibri" w:eastAsia="宋体" w:cs="Times New Roman"/>
      <w:sz w:val="21"/>
      <w:lang w:val="en-US" w:eastAsia="zh-CN" w:bidi="ar-SA"/>
    </w:rPr>
  </w:style>
  <w:style w:type="paragraph" w:customStyle="1" w:styleId="414">
    <w:name w:val="xl67"/>
    <w:basedOn w:val="1"/>
    <w:next w:val="415"/>
    <w:qFormat/>
    <w:uiPriority w:val="0"/>
    <w:pPr>
      <w:widowControl/>
      <w:shd w:val="clear" w:color="000000" w:fill="FFFFFF"/>
      <w:spacing w:before="280" w:after="280"/>
      <w:jc w:val="center"/>
    </w:pPr>
    <w:rPr>
      <w:rFonts w:ascii="宋体" w:hAnsi="Calibri"/>
      <w:b/>
      <w:kern w:val="0"/>
      <w:sz w:val="20"/>
      <w:szCs w:val="20"/>
    </w:rPr>
  </w:style>
  <w:style w:type="paragraph" w:customStyle="1" w:styleId="415">
    <w:name w:val="toc 714"/>
    <w:next w:val="1"/>
    <w:qFormat/>
    <w:uiPriority w:val="0"/>
    <w:pPr>
      <w:wordWrap w:val="0"/>
      <w:ind w:left="2550"/>
      <w:jc w:val="both"/>
    </w:pPr>
    <w:rPr>
      <w:rFonts w:ascii="Calibri" w:hAnsi="Calibri" w:eastAsia="宋体" w:cs="Times New Roman"/>
      <w:sz w:val="21"/>
      <w:lang w:val="en-US" w:eastAsia="zh-CN" w:bidi="ar-SA"/>
    </w:rPr>
  </w:style>
  <w:style w:type="paragraph" w:customStyle="1" w:styleId="416">
    <w:name w:val="toc 21"/>
    <w:next w:val="1"/>
    <w:qFormat/>
    <w:uiPriority w:val="0"/>
    <w:pPr>
      <w:wordWrap w:val="0"/>
      <w:ind w:left="425"/>
      <w:jc w:val="both"/>
    </w:pPr>
    <w:rPr>
      <w:rFonts w:ascii="Calibri" w:hAnsi="Calibri" w:eastAsia="宋体" w:cs="Times New Roman"/>
      <w:sz w:val="21"/>
      <w:lang w:val="en-US" w:eastAsia="zh-CN" w:bidi="ar-SA"/>
    </w:rPr>
  </w:style>
  <w:style w:type="paragraph" w:customStyle="1" w:styleId="417">
    <w:name w:val="正文 A"/>
    <w:next w:val="334"/>
    <w:qFormat/>
    <w:uiPriority w:val="0"/>
    <w:rPr>
      <w:rFonts w:ascii="Arial" w:hAnsi="Calibri" w:eastAsia="Arial Unicode MS" w:cs="Times New Roman"/>
      <w:color w:val="000000"/>
      <w:sz w:val="21"/>
      <w:lang w:val="en-US" w:eastAsia="zh-CN" w:bidi="ar-SA"/>
    </w:rPr>
  </w:style>
  <w:style w:type="paragraph" w:customStyle="1" w:styleId="418">
    <w:name w:val="toc 68"/>
    <w:next w:val="1"/>
    <w:qFormat/>
    <w:uiPriority w:val="0"/>
    <w:pPr>
      <w:wordWrap w:val="0"/>
      <w:ind w:left="2125"/>
      <w:jc w:val="both"/>
    </w:pPr>
    <w:rPr>
      <w:rFonts w:ascii="Calibri" w:hAnsi="Calibri" w:eastAsia="宋体" w:cs="Times New Roman"/>
      <w:sz w:val="21"/>
      <w:lang w:val="en-US" w:eastAsia="zh-CN" w:bidi="ar-SA"/>
    </w:rPr>
  </w:style>
  <w:style w:type="paragraph" w:customStyle="1" w:styleId="419">
    <w:name w:val="toc 58"/>
    <w:next w:val="1"/>
    <w:qFormat/>
    <w:uiPriority w:val="0"/>
    <w:pPr>
      <w:wordWrap w:val="0"/>
      <w:ind w:left="1700"/>
      <w:jc w:val="both"/>
    </w:pPr>
    <w:rPr>
      <w:rFonts w:ascii="Calibri" w:hAnsi="Calibri" w:eastAsia="宋体" w:cs="Times New Roman"/>
      <w:sz w:val="21"/>
      <w:lang w:val="en-US" w:eastAsia="zh-CN" w:bidi="ar-SA"/>
    </w:rPr>
  </w:style>
  <w:style w:type="paragraph" w:customStyle="1" w:styleId="420">
    <w:name w:val="xl88"/>
    <w:basedOn w:val="1"/>
    <w:next w:val="406"/>
    <w:qFormat/>
    <w:uiPriority w:val="0"/>
    <w:pPr>
      <w:widowControl/>
      <w:shd w:val="clear" w:color="000000" w:fill="FFFFFF"/>
      <w:spacing w:before="280" w:after="280"/>
      <w:jc w:val="center"/>
    </w:pPr>
    <w:rPr>
      <w:rFonts w:ascii="宋体" w:hAnsi="Calibri"/>
      <w:kern w:val="0"/>
      <w:sz w:val="20"/>
      <w:szCs w:val="20"/>
    </w:rPr>
  </w:style>
  <w:style w:type="paragraph" w:customStyle="1" w:styleId="421">
    <w:name w:val="toc 71"/>
    <w:next w:val="1"/>
    <w:qFormat/>
    <w:uiPriority w:val="0"/>
    <w:pPr>
      <w:wordWrap w:val="0"/>
      <w:ind w:left="2550"/>
      <w:jc w:val="both"/>
    </w:pPr>
    <w:rPr>
      <w:rFonts w:ascii="Calibri" w:hAnsi="Calibri" w:eastAsia="宋体" w:cs="Times New Roman"/>
      <w:sz w:val="21"/>
      <w:lang w:val="en-US" w:eastAsia="zh-CN" w:bidi="ar-SA"/>
    </w:rPr>
  </w:style>
  <w:style w:type="paragraph" w:customStyle="1" w:styleId="422">
    <w:name w:val="xl100"/>
    <w:basedOn w:val="1"/>
    <w:next w:val="423"/>
    <w:qFormat/>
    <w:uiPriority w:val="0"/>
    <w:pPr>
      <w:widowControl/>
      <w:shd w:val="clear" w:color="000000" w:fill="FFFFFF"/>
      <w:spacing w:before="280" w:after="280"/>
    </w:pPr>
    <w:rPr>
      <w:rFonts w:ascii="宋体" w:hAnsi="Calibri"/>
      <w:kern w:val="0"/>
      <w:sz w:val="20"/>
      <w:szCs w:val="20"/>
    </w:rPr>
  </w:style>
  <w:style w:type="paragraph" w:customStyle="1" w:styleId="423">
    <w:name w:val="toc 510"/>
    <w:next w:val="1"/>
    <w:qFormat/>
    <w:uiPriority w:val="0"/>
    <w:pPr>
      <w:wordWrap w:val="0"/>
      <w:ind w:left="1700"/>
      <w:jc w:val="both"/>
    </w:pPr>
    <w:rPr>
      <w:rFonts w:ascii="Calibri" w:hAnsi="Calibri" w:eastAsia="宋体" w:cs="Times New Roman"/>
      <w:sz w:val="21"/>
      <w:lang w:val="en-US" w:eastAsia="zh-CN" w:bidi="ar-SA"/>
    </w:rPr>
  </w:style>
  <w:style w:type="paragraph" w:customStyle="1" w:styleId="424">
    <w:name w:val="toc 314"/>
    <w:next w:val="1"/>
    <w:qFormat/>
    <w:uiPriority w:val="0"/>
    <w:pPr>
      <w:wordWrap w:val="0"/>
      <w:ind w:left="850"/>
      <w:jc w:val="both"/>
    </w:pPr>
    <w:rPr>
      <w:rFonts w:ascii="Calibri" w:hAnsi="Calibri" w:eastAsia="宋体" w:cs="Times New Roman"/>
      <w:sz w:val="21"/>
      <w:lang w:val="en-US" w:eastAsia="zh-CN" w:bidi="ar-SA"/>
    </w:rPr>
  </w:style>
  <w:style w:type="paragraph" w:customStyle="1" w:styleId="425">
    <w:name w:val="xl114"/>
    <w:basedOn w:val="1"/>
    <w:next w:val="277"/>
    <w:qFormat/>
    <w:uiPriority w:val="0"/>
    <w:pPr>
      <w:widowControl/>
      <w:shd w:val="clear" w:color="000000" w:fill="FFFFFF"/>
      <w:spacing w:before="280" w:after="280"/>
      <w:jc w:val="center"/>
    </w:pPr>
    <w:rPr>
      <w:rFonts w:ascii="宋体" w:hAnsi="Calibri"/>
      <w:b/>
      <w:kern w:val="0"/>
      <w:sz w:val="20"/>
      <w:szCs w:val="20"/>
    </w:rPr>
  </w:style>
  <w:style w:type="paragraph" w:customStyle="1" w:styleId="426">
    <w:name w:val="xl107"/>
    <w:basedOn w:val="1"/>
    <w:next w:val="427"/>
    <w:qFormat/>
    <w:uiPriority w:val="0"/>
    <w:pPr>
      <w:widowControl/>
      <w:shd w:val="clear" w:color="000000" w:fill="FFFFFF"/>
      <w:spacing w:before="280" w:after="280"/>
    </w:pPr>
    <w:rPr>
      <w:rFonts w:ascii="宋体" w:hAnsi="Calibri"/>
      <w:kern w:val="0"/>
      <w:sz w:val="20"/>
      <w:szCs w:val="20"/>
    </w:rPr>
  </w:style>
  <w:style w:type="paragraph" w:customStyle="1" w:styleId="427">
    <w:name w:val="toc 610"/>
    <w:next w:val="1"/>
    <w:qFormat/>
    <w:uiPriority w:val="0"/>
    <w:pPr>
      <w:wordWrap w:val="0"/>
      <w:ind w:left="2125"/>
      <w:jc w:val="both"/>
    </w:pPr>
    <w:rPr>
      <w:rFonts w:ascii="Calibri" w:hAnsi="Calibri" w:eastAsia="宋体" w:cs="Times New Roman"/>
      <w:sz w:val="21"/>
      <w:lang w:val="en-US" w:eastAsia="zh-CN" w:bidi="ar-SA"/>
    </w:rPr>
  </w:style>
  <w:style w:type="paragraph" w:customStyle="1" w:styleId="428">
    <w:name w:val="toc 22"/>
    <w:next w:val="1"/>
    <w:qFormat/>
    <w:uiPriority w:val="0"/>
    <w:pPr>
      <w:wordWrap w:val="0"/>
      <w:ind w:left="425"/>
      <w:jc w:val="both"/>
    </w:pPr>
    <w:rPr>
      <w:rFonts w:ascii="Calibri" w:hAnsi="Calibri" w:eastAsia="宋体" w:cs="Times New Roman"/>
      <w:sz w:val="21"/>
      <w:lang w:val="en-US" w:eastAsia="zh-CN" w:bidi="ar-SA"/>
    </w:rPr>
  </w:style>
  <w:style w:type="paragraph" w:customStyle="1" w:styleId="429">
    <w:name w:val="xl90"/>
    <w:basedOn w:val="1"/>
    <w:next w:val="231"/>
    <w:qFormat/>
    <w:uiPriority w:val="0"/>
    <w:pPr>
      <w:widowControl/>
      <w:shd w:val="clear" w:color="000000" w:fill="FFFFFF"/>
      <w:spacing w:before="280" w:after="280"/>
    </w:pPr>
    <w:rPr>
      <w:rFonts w:ascii="宋体" w:hAnsi="Calibri"/>
      <w:kern w:val="0"/>
      <w:sz w:val="18"/>
      <w:szCs w:val="20"/>
    </w:rPr>
  </w:style>
  <w:style w:type="paragraph" w:customStyle="1" w:styleId="430">
    <w:name w:val="toc 616"/>
    <w:next w:val="1"/>
    <w:qFormat/>
    <w:uiPriority w:val="0"/>
    <w:pPr>
      <w:wordWrap w:val="0"/>
      <w:ind w:left="2125"/>
      <w:jc w:val="both"/>
    </w:pPr>
    <w:rPr>
      <w:rFonts w:ascii="Calibri" w:hAnsi="Calibri" w:eastAsia="宋体" w:cs="Times New Roman"/>
      <w:sz w:val="21"/>
      <w:lang w:val="en-US" w:eastAsia="zh-CN" w:bidi="ar-SA"/>
    </w:rPr>
  </w:style>
  <w:style w:type="paragraph" w:customStyle="1" w:styleId="431">
    <w:name w:val="toc 96"/>
    <w:next w:val="1"/>
    <w:qFormat/>
    <w:uiPriority w:val="0"/>
    <w:pPr>
      <w:wordWrap w:val="0"/>
      <w:ind w:left="3400"/>
      <w:jc w:val="both"/>
    </w:pPr>
    <w:rPr>
      <w:rFonts w:ascii="Calibri" w:hAnsi="Calibri" w:eastAsia="宋体" w:cs="Times New Roman"/>
      <w:sz w:val="21"/>
      <w:lang w:val="en-US" w:eastAsia="zh-CN" w:bidi="ar-SA"/>
    </w:rPr>
  </w:style>
  <w:style w:type="paragraph" w:customStyle="1" w:styleId="432">
    <w:name w:val="toc 42"/>
    <w:next w:val="1"/>
    <w:qFormat/>
    <w:uiPriority w:val="0"/>
    <w:pPr>
      <w:wordWrap w:val="0"/>
      <w:ind w:left="1275"/>
      <w:jc w:val="both"/>
    </w:pPr>
    <w:rPr>
      <w:rFonts w:ascii="Calibri" w:hAnsi="Calibri" w:eastAsia="宋体" w:cs="Times New Roman"/>
      <w:sz w:val="21"/>
      <w:lang w:val="en-US" w:eastAsia="zh-CN" w:bidi="ar-SA"/>
    </w:rPr>
  </w:style>
  <w:style w:type="paragraph" w:customStyle="1" w:styleId="433">
    <w:name w:val="xl117"/>
    <w:basedOn w:val="1"/>
    <w:next w:val="330"/>
    <w:qFormat/>
    <w:uiPriority w:val="0"/>
    <w:pPr>
      <w:widowControl/>
      <w:shd w:val="clear" w:color="000000" w:fill="FFFFFF"/>
      <w:spacing w:before="280" w:after="280"/>
      <w:jc w:val="center"/>
    </w:pPr>
    <w:rPr>
      <w:rFonts w:ascii="Arial Narrow" w:hAnsi="Calibri"/>
      <w:kern w:val="0"/>
      <w:sz w:val="24"/>
      <w:szCs w:val="20"/>
    </w:rPr>
  </w:style>
  <w:style w:type="paragraph" w:customStyle="1" w:styleId="434">
    <w:name w:val="p15"/>
    <w:basedOn w:val="1"/>
    <w:next w:val="255"/>
    <w:qFormat/>
    <w:uiPriority w:val="0"/>
    <w:pPr>
      <w:widowControl/>
      <w:ind w:firstLine="420"/>
    </w:pPr>
    <w:rPr>
      <w:rFonts w:hAnsi="Calibri"/>
      <w:kern w:val="0"/>
      <w:szCs w:val="20"/>
    </w:rPr>
  </w:style>
  <w:style w:type="paragraph" w:customStyle="1" w:styleId="435">
    <w:name w:val="xl87"/>
    <w:basedOn w:val="1"/>
    <w:next w:val="436"/>
    <w:qFormat/>
    <w:uiPriority w:val="0"/>
    <w:pPr>
      <w:widowControl/>
      <w:shd w:val="clear" w:color="000000" w:fill="FFFFFF"/>
      <w:spacing w:before="280" w:after="280"/>
    </w:pPr>
    <w:rPr>
      <w:rFonts w:ascii="Arial" w:hAnsi="Calibri"/>
      <w:kern w:val="0"/>
      <w:sz w:val="18"/>
      <w:szCs w:val="20"/>
    </w:rPr>
  </w:style>
  <w:style w:type="paragraph" w:customStyle="1" w:styleId="436">
    <w:name w:val="toc 98"/>
    <w:next w:val="1"/>
    <w:qFormat/>
    <w:uiPriority w:val="0"/>
    <w:pPr>
      <w:wordWrap w:val="0"/>
      <w:ind w:left="3400"/>
      <w:jc w:val="both"/>
    </w:pPr>
    <w:rPr>
      <w:rFonts w:ascii="Calibri" w:hAnsi="Calibri" w:eastAsia="宋体" w:cs="Times New Roman"/>
      <w:sz w:val="21"/>
      <w:lang w:val="en-US" w:eastAsia="zh-CN" w:bidi="ar-SA"/>
    </w:rPr>
  </w:style>
  <w:style w:type="paragraph" w:customStyle="1" w:styleId="437">
    <w:name w:val="列出段落7"/>
    <w:basedOn w:val="1"/>
    <w:next w:val="419"/>
    <w:qFormat/>
    <w:uiPriority w:val="0"/>
    <w:pPr>
      <w:ind w:firstLine="420"/>
    </w:pPr>
    <w:rPr>
      <w:rFonts w:hAnsi="Calibri"/>
      <w:kern w:val="0"/>
      <w:szCs w:val="20"/>
    </w:rPr>
  </w:style>
  <w:style w:type="paragraph" w:customStyle="1" w:styleId="438">
    <w:name w:val="xl78"/>
    <w:basedOn w:val="1"/>
    <w:next w:val="409"/>
    <w:qFormat/>
    <w:uiPriority w:val="0"/>
    <w:pPr>
      <w:widowControl/>
      <w:shd w:val="clear" w:color="000000" w:fill="FFFFFF"/>
      <w:spacing w:before="280" w:after="280"/>
    </w:pPr>
    <w:rPr>
      <w:rFonts w:ascii="宋体" w:hAnsi="Calibri"/>
      <w:b/>
      <w:kern w:val="0"/>
      <w:sz w:val="20"/>
      <w:szCs w:val="20"/>
    </w:rPr>
  </w:style>
  <w:style w:type="paragraph" w:customStyle="1" w:styleId="439">
    <w:name w:val="toc 516"/>
    <w:next w:val="1"/>
    <w:qFormat/>
    <w:uiPriority w:val="0"/>
    <w:pPr>
      <w:wordWrap w:val="0"/>
      <w:ind w:left="1700"/>
      <w:jc w:val="both"/>
    </w:pPr>
    <w:rPr>
      <w:rFonts w:ascii="Calibri" w:hAnsi="Calibri" w:eastAsia="宋体" w:cs="Times New Roman"/>
      <w:sz w:val="21"/>
      <w:lang w:val="en-US" w:eastAsia="zh-CN" w:bidi="ar-SA"/>
    </w:rPr>
  </w:style>
  <w:style w:type="paragraph" w:customStyle="1" w:styleId="440">
    <w:name w:val="xl89"/>
    <w:basedOn w:val="1"/>
    <w:next w:val="374"/>
    <w:qFormat/>
    <w:uiPriority w:val="0"/>
    <w:pPr>
      <w:widowControl/>
      <w:shd w:val="clear" w:color="000000" w:fill="FFFFFF"/>
      <w:spacing w:before="280" w:after="280"/>
    </w:pPr>
    <w:rPr>
      <w:rFonts w:ascii="宋体" w:hAnsi="Calibri"/>
      <w:kern w:val="0"/>
      <w:sz w:val="20"/>
      <w:szCs w:val="20"/>
    </w:rPr>
  </w:style>
  <w:style w:type="paragraph" w:customStyle="1" w:styleId="441">
    <w:name w:val="toc 910"/>
    <w:next w:val="1"/>
    <w:qFormat/>
    <w:uiPriority w:val="0"/>
    <w:pPr>
      <w:wordWrap w:val="0"/>
      <w:ind w:left="3400"/>
      <w:jc w:val="both"/>
    </w:pPr>
    <w:rPr>
      <w:rFonts w:ascii="Calibri" w:hAnsi="Calibri" w:eastAsia="宋体" w:cs="Times New Roman"/>
      <w:sz w:val="21"/>
      <w:lang w:val="en-US" w:eastAsia="zh-CN" w:bidi="ar-SA"/>
    </w:rPr>
  </w:style>
  <w:style w:type="paragraph" w:customStyle="1" w:styleId="442">
    <w:name w:val="toc 34"/>
    <w:next w:val="1"/>
    <w:qFormat/>
    <w:uiPriority w:val="0"/>
    <w:pPr>
      <w:wordWrap w:val="0"/>
      <w:ind w:left="850"/>
      <w:jc w:val="both"/>
    </w:pPr>
    <w:rPr>
      <w:rFonts w:ascii="Calibri" w:hAnsi="Calibri" w:eastAsia="宋体" w:cs="Times New Roman"/>
      <w:sz w:val="21"/>
      <w:lang w:val="en-US" w:eastAsia="zh-CN" w:bidi="ar-SA"/>
    </w:rPr>
  </w:style>
  <w:style w:type="paragraph" w:customStyle="1" w:styleId="443">
    <w:name w:val="toc 816"/>
    <w:next w:val="1"/>
    <w:qFormat/>
    <w:uiPriority w:val="0"/>
    <w:pPr>
      <w:wordWrap w:val="0"/>
      <w:ind w:left="2975"/>
      <w:jc w:val="both"/>
    </w:pPr>
    <w:rPr>
      <w:rFonts w:ascii="Calibri" w:hAnsi="Calibri" w:eastAsia="宋体" w:cs="Times New Roman"/>
      <w:sz w:val="21"/>
      <w:lang w:val="en-US" w:eastAsia="zh-CN" w:bidi="ar-SA"/>
    </w:rPr>
  </w:style>
  <w:style w:type="paragraph" w:customStyle="1" w:styleId="444">
    <w:name w:val="toc 43"/>
    <w:next w:val="1"/>
    <w:qFormat/>
    <w:uiPriority w:val="0"/>
    <w:pPr>
      <w:wordWrap w:val="0"/>
      <w:ind w:left="1275"/>
      <w:jc w:val="both"/>
    </w:pPr>
    <w:rPr>
      <w:rFonts w:ascii="Calibri" w:hAnsi="Calibri" w:eastAsia="宋体" w:cs="Times New Roman"/>
      <w:sz w:val="21"/>
      <w:lang w:val="en-US" w:eastAsia="zh-CN" w:bidi="ar-SA"/>
    </w:rPr>
  </w:style>
  <w:style w:type="paragraph" w:customStyle="1" w:styleId="445">
    <w:name w:val="toc 16"/>
    <w:next w:val="1"/>
    <w:qFormat/>
    <w:uiPriority w:val="0"/>
    <w:pPr>
      <w:wordWrap w:val="0"/>
      <w:jc w:val="both"/>
    </w:pPr>
    <w:rPr>
      <w:rFonts w:ascii="Calibri" w:hAnsi="Calibri" w:eastAsia="宋体" w:cs="Times New Roman"/>
      <w:sz w:val="21"/>
      <w:lang w:val="en-US" w:eastAsia="zh-CN" w:bidi="ar-SA"/>
    </w:rPr>
  </w:style>
  <w:style w:type="paragraph" w:styleId="446">
    <w:name w:val="Quote"/>
    <w:next w:val="1"/>
    <w:link w:val="447"/>
    <w:qFormat/>
    <w:uiPriority w:val="0"/>
    <w:pPr>
      <w:wordWrap w:val="0"/>
      <w:spacing w:before="200" w:after="160"/>
      <w:ind w:left="864" w:right="864"/>
      <w:jc w:val="center"/>
    </w:pPr>
    <w:rPr>
      <w:rFonts w:ascii="Calibri" w:hAnsi="Calibri" w:eastAsia="宋体" w:cs="Times New Roman"/>
      <w:i/>
      <w:sz w:val="21"/>
      <w:lang w:val="en-US" w:eastAsia="zh-CN" w:bidi="ar-SA"/>
    </w:rPr>
  </w:style>
  <w:style w:type="character" w:customStyle="1" w:styleId="447">
    <w:name w:val="引用 字符"/>
    <w:basedOn w:val="46"/>
    <w:link w:val="446"/>
    <w:qFormat/>
    <w:uiPriority w:val="0"/>
    <w:rPr>
      <w:rFonts w:ascii="Calibri" w:hAnsi="Calibri"/>
      <w:i/>
      <w:sz w:val="21"/>
    </w:rPr>
  </w:style>
  <w:style w:type="paragraph" w:customStyle="1" w:styleId="448">
    <w:name w:val="toc 114"/>
    <w:next w:val="1"/>
    <w:qFormat/>
    <w:uiPriority w:val="0"/>
    <w:pPr>
      <w:wordWrap w:val="0"/>
      <w:jc w:val="both"/>
    </w:pPr>
    <w:rPr>
      <w:rFonts w:ascii="Calibri" w:hAnsi="Calibri" w:eastAsia="宋体" w:cs="Times New Roman"/>
      <w:sz w:val="21"/>
      <w:lang w:val="en-US" w:eastAsia="zh-CN" w:bidi="ar-SA"/>
    </w:rPr>
  </w:style>
  <w:style w:type="paragraph" w:customStyle="1" w:styleId="449">
    <w:name w:val="xl119"/>
    <w:basedOn w:val="1"/>
    <w:next w:val="424"/>
    <w:qFormat/>
    <w:uiPriority w:val="0"/>
    <w:pPr>
      <w:widowControl/>
      <w:shd w:val="clear" w:color="000000" w:fill="FFFFFF"/>
      <w:spacing w:before="280" w:after="280"/>
      <w:jc w:val="center"/>
    </w:pPr>
    <w:rPr>
      <w:rFonts w:ascii="宋体" w:hAnsi="Calibri"/>
      <w:b/>
      <w:kern w:val="0"/>
      <w:sz w:val="20"/>
      <w:szCs w:val="20"/>
    </w:rPr>
  </w:style>
  <w:style w:type="paragraph" w:customStyle="1" w:styleId="450">
    <w:name w:val="toc 37"/>
    <w:next w:val="1"/>
    <w:qFormat/>
    <w:uiPriority w:val="0"/>
    <w:pPr>
      <w:wordWrap w:val="0"/>
      <w:ind w:left="850"/>
      <w:jc w:val="both"/>
    </w:pPr>
    <w:rPr>
      <w:rFonts w:ascii="Calibri" w:hAnsi="Calibri" w:eastAsia="宋体" w:cs="Times New Roman"/>
      <w:sz w:val="21"/>
      <w:lang w:val="en-US" w:eastAsia="zh-CN" w:bidi="ar-SA"/>
    </w:rPr>
  </w:style>
  <w:style w:type="paragraph" w:customStyle="1" w:styleId="451">
    <w:name w:val="xl109"/>
    <w:basedOn w:val="1"/>
    <w:next w:val="397"/>
    <w:qFormat/>
    <w:uiPriority w:val="0"/>
    <w:pPr>
      <w:widowControl/>
      <w:shd w:val="clear" w:color="000000" w:fill="FFFFFF"/>
      <w:spacing w:before="280" w:after="280"/>
    </w:pPr>
    <w:rPr>
      <w:rFonts w:ascii="宋体" w:hAnsi="Calibri"/>
      <w:kern w:val="0"/>
      <w:sz w:val="20"/>
      <w:szCs w:val="20"/>
    </w:rPr>
  </w:style>
  <w:style w:type="paragraph" w:customStyle="1" w:styleId="452">
    <w:name w:val="toc 215"/>
    <w:next w:val="1"/>
    <w:qFormat/>
    <w:uiPriority w:val="0"/>
    <w:pPr>
      <w:wordWrap w:val="0"/>
      <w:ind w:left="425"/>
      <w:jc w:val="both"/>
    </w:pPr>
    <w:rPr>
      <w:rFonts w:ascii="Calibri" w:hAnsi="Calibri" w:eastAsia="宋体" w:cs="Times New Roman"/>
      <w:sz w:val="21"/>
      <w:lang w:val="en-US" w:eastAsia="zh-CN" w:bidi="ar-SA"/>
    </w:rPr>
  </w:style>
  <w:style w:type="paragraph" w:customStyle="1" w:styleId="453">
    <w:name w:val="xl76"/>
    <w:basedOn w:val="1"/>
    <w:next w:val="405"/>
    <w:qFormat/>
    <w:uiPriority w:val="0"/>
    <w:pPr>
      <w:widowControl/>
      <w:shd w:val="clear" w:color="000000" w:fill="FFFFFF"/>
      <w:spacing w:before="280" w:after="280"/>
      <w:jc w:val="center"/>
    </w:pPr>
    <w:rPr>
      <w:rFonts w:ascii="宋体" w:hAnsi="Calibri"/>
      <w:b/>
      <w:kern w:val="0"/>
      <w:sz w:val="20"/>
      <w:szCs w:val="20"/>
    </w:rPr>
  </w:style>
  <w:style w:type="paragraph" w:customStyle="1" w:styleId="454">
    <w:name w:val="toc 92"/>
    <w:next w:val="1"/>
    <w:qFormat/>
    <w:uiPriority w:val="0"/>
    <w:pPr>
      <w:wordWrap w:val="0"/>
      <w:ind w:left="3400"/>
      <w:jc w:val="both"/>
    </w:pPr>
    <w:rPr>
      <w:rFonts w:ascii="Calibri" w:hAnsi="Calibri" w:eastAsia="宋体" w:cs="Times New Roman"/>
      <w:sz w:val="21"/>
      <w:lang w:val="en-US" w:eastAsia="zh-CN" w:bidi="ar-SA"/>
    </w:rPr>
  </w:style>
  <w:style w:type="paragraph" w:customStyle="1" w:styleId="455">
    <w:name w:val="toc 216"/>
    <w:next w:val="1"/>
    <w:qFormat/>
    <w:uiPriority w:val="0"/>
    <w:pPr>
      <w:wordWrap w:val="0"/>
      <w:ind w:left="425"/>
      <w:jc w:val="both"/>
    </w:pPr>
    <w:rPr>
      <w:rFonts w:ascii="Calibri" w:hAnsi="Calibri" w:eastAsia="宋体" w:cs="Times New Roman"/>
      <w:sz w:val="21"/>
      <w:lang w:val="en-US" w:eastAsia="zh-CN" w:bidi="ar-SA"/>
    </w:rPr>
  </w:style>
  <w:style w:type="paragraph" w:customStyle="1" w:styleId="456">
    <w:name w:val="xl70"/>
    <w:basedOn w:val="1"/>
    <w:next w:val="382"/>
    <w:qFormat/>
    <w:uiPriority w:val="0"/>
    <w:pPr>
      <w:widowControl/>
      <w:shd w:val="clear" w:color="000000" w:fill="FFFFFF"/>
      <w:spacing w:before="280" w:after="280"/>
    </w:pPr>
    <w:rPr>
      <w:rFonts w:ascii="宋体" w:hAnsi="Calibri"/>
      <w:kern w:val="0"/>
      <w:sz w:val="20"/>
      <w:szCs w:val="20"/>
    </w:rPr>
  </w:style>
  <w:style w:type="paragraph" w:customStyle="1" w:styleId="457">
    <w:name w:val="toc 33"/>
    <w:next w:val="1"/>
    <w:qFormat/>
    <w:uiPriority w:val="0"/>
    <w:pPr>
      <w:wordWrap w:val="0"/>
      <w:ind w:left="850"/>
      <w:jc w:val="both"/>
    </w:pPr>
    <w:rPr>
      <w:rFonts w:ascii="Calibri" w:hAnsi="Calibri" w:eastAsia="宋体" w:cs="Times New Roman"/>
      <w:sz w:val="21"/>
      <w:lang w:val="en-US" w:eastAsia="zh-CN" w:bidi="ar-SA"/>
    </w:rPr>
  </w:style>
  <w:style w:type="paragraph" w:customStyle="1" w:styleId="458">
    <w:name w:val="toc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59">
    <w:name w:val="xl98"/>
    <w:basedOn w:val="1"/>
    <w:next w:val="400"/>
    <w:qFormat/>
    <w:uiPriority w:val="0"/>
    <w:pPr>
      <w:widowControl/>
      <w:shd w:val="clear" w:color="000000" w:fill="FFFFFF"/>
      <w:spacing w:before="280" w:after="280"/>
      <w:jc w:val="center"/>
    </w:pPr>
    <w:rPr>
      <w:rFonts w:ascii="宋体" w:hAnsi="Calibri"/>
      <w:kern w:val="0"/>
      <w:sz w:val="20"/>
      <w:szCs w:val="20"/>
    </w:rPr>
  </w:style>
  <w:style w:type="paragraph" w:customStyle="1" w:styleId="460">
    <w:name w:val="toc 26"/>
    <w:next w:val="1"/>
    <w:qFormat/>
    <w:uiPriority w:val="0"/>
    <w:pPr>
      <w:wordWrap w:val="0"/>
      <w:ind w:left="425"/>
      <w:jc w:val="both"/>
    </w:pPr>
    <w:rPr>
      <w:rFonts w:ascii="Calibri" w:hAnsi="Calibri" w:eastAsia="宋体" w:cs="Times New Roman"/>
      <w:sz w:val="21"/>
      <w:lang w:val="en-US" w:eastAsia="zh-CN" w:bidi="ar-SA"/>
    </w:rPr>
  </w:style>
  <w:style w:type="paragraph" w:customStyle="1" w:styleId="461">
    <w:name w:val="toc 13"/>
    <w:next w:val="1"/>
    <w:qFormat/>
    <w:uiPriority w:val="0"/>
    <w:pPr>
      <w:wordWrap w:val="0"/>
      <w:jc w:val="both"/>
    </w:pPr>
    <w:rPr>
      <w:rFonts w:ascii="Calibri" w:hAnsi="Calibri" w:eastAsia="宋体" w:cs="Times New Roman"/>
      <w:sz w:val="21"/>
      <w:lang w:val="en-US" w:eastAsia="zh-CN" w:bidi="ar-SA"/>
    </w:rPr>
  </w:style>
  <w:style w:type="paragraph" w:customStyle="1" w:styleId="462">
    <w:name w:val="目录 51"/>
    <w:next w:val="1"/>
    <w:qFormat/>
    <w:uiPriority w:val="0"/>
    <w:pPr>
      <w:wordWrap w:val="0"/>
      <w:ind w:left="1700"/>
      <w:jc w:val="both"/>
    </w:pPr>
    <w:rPr>
      <w:rFonts w:ascii="Calibri" w:hAnsi="Calibri" w:eastAsia="宋体" w:cs="Times New Roman"/>
      <w:sz w:val="21"/>
      <w:lang w:val="en-US" w:eastAsia="zh-CN" w:bidi="ar-SA"/>
    </w:rPr>
  </w:style>
  <w:style w:type="paragraph" w:customStyle="1" w:styleId="463">
    <w:name w:val="xl101"/>
    <w:basedOn w:val="1"/>
    <w:next w:val="431"/>
    <w:qFormat/>
    <w:uiPriority w:val="0"/>
    <w:pPr>
      <w:widowControl/>
      <w:spacing w:before="280" w:after="280"/>
    </w:pPr>
    <w:rPr>
      <w:rFonts w:ascii="宋体" w:hAnsi="Calibri"/>
      <w:kern w:val="0"/>
      <w:sz w:val="20"/>
      <w:szCs w:val="20"/>
    </w:rPr>
  </w:style>
  <w:style w:type="paragraph" w:customStyle="1" w:styleId="464">
    <w:name w:val="toc 75"/>
    <w:next w:val="1"/>
    <w:qFormat/>
    <w:uiPriority w:val="0"/>
    <w:pPr>
      <w:wordWrap w:val="0"/>
      <w:ind w:left="2550"/>
      <w:jc w:val="both"/>
    </w:pPr>
    <w:rPr>
      <w:rFonts w:ascii="Calibri" w:hAnsi="Calibri" w:eastAsia="宋体" w:cs="Times New Roman"/>
      <w:sz w:val="21"/>
      <w:lang w:val="en-US" w:eastAsia="zh-CN" w:bidi="ar-SA"/>
    </w:rPr>
  </w:style>
  <w:style w:type="paragraph" w:customStyle="1" w:styleId="465">
    <w:name w:val="toc 715"/>
    <w:next w:val="1"/>
    <w:qFormat/>
    <w:uiPriority w:val="0"/>
    <w:pPr>
      <w:wordWrap w:val="0"/>
      <w:ind w:left="2550"/>
      <w:jc w:val="both"/>
    </w:pPr>
    <w:rPr>
      <w:rFonts w:ascii="Calibri" w:hAnsi="Calibri" w:eastAsia="宋体" w:cs="Times New Roman"/>
      <w:sz w:val="21"/>
      <w:lang w:val="en-US" w:eastAsia="zh-CN" w:bidi="ar-SA"/>
    </w:rPr>
  </w:style>
  <w:style w:type="paragraph" w:styleId="466">
    <w:name w:val="Intense Quote"/>
    <w:next w:val="1"/>
    <w:link w:val="467"/>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7">
    <w:name w:val="明显引用 字符"/>
    <w:basedOn w:val="46"/>
    <w:link w:val="466"/>
    <w:qFormat/>
    <w:uiPriority w:val="0"/>
    <w:rPr>
      <w:rFonts w:ascii="Calibri" w:hAnsi="Calibri"/>
      <w:i/>
      <w:sz w:val="21"/>
    </w:rPr>
  </w:style>
  <w:style w:type="paragraph" w:customStyle="1" w:styleId="468">
    <w:name w:val="Char Char Char Char Char Char Char"/>
    <w:basedOn w:val="1"/>
    <w:next w:val="452"/>
    <w:qFormat/>
    <w:uiPriority w:val="0"/>
    <w:pPr>
      <w:widowControl/>
      <w:spacing w:after="160" w:line="240" w:lineRule="exact"/>
    </w:pPr>
    <w:rPr>
      <w:rFonts w:hAnsi="Calibri"/>
      <w:kern w:val="0"/>
      <w:szCs w:val="20"/>
    </w:rPr>
  </w:style>
  <w:style w:type="paragraph" w:customStyle="1" w:styleId="469">
    <w:name w:val="toc 23"/>
    <w:next w:val="1"/>
    <w:qFormat/>
    <w:uiPriority w:val="0"/>
    <w:pPr>
      <w:wordWrap w:val="0"/>
      <w:ind w:left="425"/>
      <w:jc w:val="both"/>
    </w:pPr>
    <w:rPr>
      <w:rFonts w:ascii="Calibri" w:hAnsi="Calibri" w:eastAsia="宋体" w:cs="Times New Roman"/>
      <w:sz w:val="21"/>
      <w:lang w:val="en-US" w:eastAsia="zh-CN" w:bidi="ar-SA"/>
    </w:rPr>
  </w:style>
  <w:style w:type="paragraph" w:customStyle="1" w:styleId="470">
    <w:name w:val="目录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71">
    <w:name w:val="toc 97"/>
    <w:next w:val="1"/>
    <w:qFormat/>
    <w:uiPriority w:val="0"/>
    <w:pPr>
      <w:wordWrap w:val="0"/>
      <w:ind w:left="3400"/>
      <w:jc w:val="both"/>
    </w:pPr>
    <w:rPr>
      <w:rFonts w:ascii="Calibri" w:hAnsi="Calibri" w:eastAsia="宋体" w:cs="Times New Roman"/>
      <w:sz w:val="21"/>
      <w:lang w:val="en-US" w:eastAsia="zh-CN" w:bidi="ar-SA"/>
    </w:rPr>
  </w:style>
  <w:style w:type="paragraph" w:customStyle="1" w:styleId="472">
    <w:name w:val="toc 74"/>
    <w:next w:val="1"/>
    <w:qFormat/>
    <w:uiPriority w:val="0"/>
    <w:pPr>
      <w:wordWrap w:val="0"/>
      <w:ind w:left="2550"/>
      <w:jc w:val="both"/>
    </w:pPr>
    <w:rPr>
      <w:rFonts w:ascii="Calibri" w:hAnsi="Calibri" w:eastAsia="宋体" w:cs="Times New Roman"/>
      <w:sz w:val="21"/>
      <w:lang w:val="en-US" w:eastAsia="zh-CN" w:bidi="ar-SA"/>
    </w:rPr>
  </w:style>
  <w:style w:type="paragraph" w:customStyle="1" w:styleId="473">
    <w:name w:val="xl64"/>
    <w:basedOn w:val="1"/>
    <w:next w:val="448"/>
    <w:qFormat/>
    <w:uiPriority w:val="0"/>
    <w:pPr>
      <w:widowControl/>
      <w:shd w:val="clear" w:color="000000" w:fill="FFFFFF"/>
      <w:spacing w:before="280" w:after="280"/>
    </w:pPr>
    <w:rPr>
      <w:rFonts w:ascii="宋体" w:hAnsi="Calibri"/>
      <w:kern w:val="0"/>
      <w:sz w:val="20"/>
      <w:szCs w:val="20"/>
    </w:rPr>
  </w:style>
  <w:style w:type="paragraph" w:customStyle="1" w:styleId="474">
    <w:name w:val="xl82"/>
    <w:basedOn w:val="1"/>
    <w:next w:val="293"/>
    <w:qFormat/>
    <w:uiPriority w:val="0"/>
    <w:pPr>
      <w:widowControl/>
      <w:shd w:val="clear" w:color="000000" w:fill="FFFFFF"/>
      <w:spacing w:before="280" w:after="280"/>
    </w:pPr>
    <w:rPr>
      <w:rFonts w:ascii="宋体" w:hAnsi="Calibri"/>
      <w:kern w:val="0"/>
      <w:sz w:val="20"/>
      <w:szCs w:val="20"/>
    </w:rPr>
  </w:style>
  <w:style w:type="paragraph" w:customStyle="1" w:styleId="475">
    <w:name w:val="toc 32"/>
    <w:next w:val="1"/>
    <w:qFormat/>
    <w:uiPriority w:val="0"/>
    <w:pPr>
      <w:wordWrap w:val="0"/>
      <w:ind w:left="850"/>
      <w:jc w:val="both"/>
    </w:pPr>
    <w:rPr>
      <w:rFonts w:ascii="Calibri" w:hAnsi="Calibri" w:eastAsia="宋体" w:cs="Times New Roman"/>
      <w:sz w:val="21"/>
      <w:lang w:val="en-US" w:eastAsia="zh-CN" w:bidi="ar-SA"/>
    </w:rPr>
  </w:style>
  <w:style w:type="paragraph" w:customStyle="1" w:styleId="476">
    <w:name w:val="xl77"/>
    <w:basedOn w:val="1"/>
    <w:next w:val="441"/>
    <w:qFormat/>
    <w:uiPriority w:val="0"/>
    <w:pPr>
      <w:widowControl/>
      <w:shd w:val="clear" w:color="000000" w:fill="FFFFFF"/>
      <w:spacing w:before="280" w:after="280"/>
      <w:jc w:val="center"/>
    </w:pPr>
    <w:rPr>
      <w:rFonts w:ascii="宋体" w:hAnsi="Calibri"/>
      <w:kern w:val="0"/>
      <w:sz w:val="20"/>
      <w:szCs w:val="20"/>
    </w:rPr>
  </w:style>
  <w:style w:type="character" w:customStyle="1" w:styleId="477">
    <w:name w:val="正文缩进 Char1"/>
    <w:qFormat/>
    <w:uiPriority w:val="0"/>
    <w:rPr>
      <w:rFonts w:eastAsia="宋体"/>
      <w:kern w:val="2"/>
      <w:sz w:val="21"/>
      <w:lang w:val="en-US" w:eastAsia="zh-CN" w:bidi="ar-SA"/>
    </w:rPr>
  </w:style>
  <w:style w:type="character" w:customStyle="1" w:styleId="478">
    <w:name w:val="fielderror"/>
    <w:basedOn w:val="46"/>
    <w:qFormat/>
    <w:uiPriority w:val="0"/>
    <w:rPr>
      <w:color w:val="800000"/>
    </w:rPr>
  </w:style>
  <w:style w:type="character" w:customStyle="1" w:styleId="479">
    <w:name w:val="hilite6"/>
    <w:basedOn w:val="46"/>
    <w:qFormat/>
    <w:uiPriority w:val="0"/>
    <w:rPr>
      <w:color w:val="000000"/>
    </w:rPr>
  </w:style>
  <w:style w:type="character" w:customStyle="1" w:styleId="480">
    <w:name w:val="active6"/>
    <w:basedOn w:val="46"/>
    <w:qFormat/>
    <w:uiPriority w:val="0"/>
    <w:rPr>
      <w:color w:val="FFFFFF"/>
    </w:rPr>
  </w:style>
  <w:style w:type="character" w:customStyle="1" w:styleId="481">
    <w:name w:val="inline-help"/>
    <w:basedOn w:val="46"/>
    <w:qFormat/>
    <w:uiPriority w:val="0"/>
  </w:style>
  <w:style w:type="character" w:customStyle="1" w:styleId="482">
    <w:name w:val="active"/>
    <w:basedOn w:val="46"/>
    <w:qFormat/>
    <w:uiPriority w:val="0"/>
    <w:rPr>
      <w:color w:val="FFFFFF"/>
    </w:rPr>
  </w:style>
  <w:style w:type="table" w:customStyle="1" w:styleId="483">
    <w:name w:val="网格型1"/>
    <w:basedOn w:val="43"/>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4">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485">
    <w:name w:val="无间隔2"/>
    <w:basedOn w:val="1"/>
    <w:qFormat/>
    <w:uiPriority w:val="0"/>
    <w:rPr>
      <w:szCs w:val="21"/>
    </w:rPr>
  </w:style>
  <w:style w:type="paragraph" w:customStyle="1" w:styleId="486">
    <w:name w:val="修订3"/>
    <w:hidden/>
    <w:unhideWhenUsed/>
    <w:qFormat/>
    <w:uiPriority w:val="99"/>
    <w:rPr>
      <w:rFonts w:ascii="Times New Roman" w:hAnsi="Times New Roman" w:eastAsia="宋体" w:cs="Times New Roman"/>
      <w:kern w:val="2"/>
      <w:sz w:val="21"/>
      <w:szCs w:val="24"/>
      <w:lang w:val="en-US" w:eastAsia="zh-CN" w:bidi="ar-SA"/>
    </w:rPr>
  </w:style>
  <w:style w:type="character" w:customStyle="1" w:styleId="487">
    <w:name w:val="hover"/>
    <w:basedOn w:val="46"/>
    <w:qFormat/>
    <w:uiPriority w:val="0"/>
    <w:rPr>
      <w:color w:val="2590EB"/>
    </w:rPr>
  </w:style>
  <w:style w:type="character" w:customStyle="1" w:styleId="488">
    <w:name w:val="hover1"/>
    <w:basedOn w:val="46"/>
    <w:qFormat/>
    <w:uiPriority w:val="0"/>
    <w:rPr>
      <w:color w:val="2590EB"/>
    </w:rPr>
  </w:style>
  <w:style w:type="character" w:customStyle="1" w:styleId="489">
    <w:name w:val="hover2"/>
    <w:basedOn w:val="46"/>
    <w:qFormat/>
    <w:uiPriority w:val="0"/>
  </w:style>
  <w:style w:type="character" w:customStyle="1" w:styleId="490">
    <w:name w:val="hover3"/>
    <w:basedOn w:val="46"/>
    <w:qFormat/>
    <w:uiPriority w:val="0"/>
    <w:rPr>
      <w:color w:val="2590EB"/>
      <w:shd w:val="clear" w:color="auto" w:fill="E9F4FD"/>
    </w:rPr>
  </w:style>
  <w:style w:type="character" w:customStyle="1" w:styleId="491">
    <w:name w:val="mini-outputtext1"/>
    <w:basedOn w:val="46"/>
    <w:qFormat/>
    <w:uiPriority w:val="0"/>
  </w:style>
  <w:style w:type="character" w:customStyle="1" w:styleId="492">
    <w:name w:val="normaltextrun"/>
    <w:basedOn w:val="46"/>
    <w:qFormat/>
    <w:uiPriority w:val="0"/>
  </w:style>
  <w:style w:type="paragraph" w:styleId="49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494">
    <w:name w:val="hover4"/>
    <w:basedOn w:val="46"/>
    <w:qFormat/>
    <w:uiPriority w:val="0"/>
    <w:rPr>
      <w:color w:val="2590EB"/>
      <w:shd w:val="clear" w:color="auto" w:fill="E9F4FD"/>
    </w:rPr>
  </w:style>
  <w:style w:type="paragraph" w:customStyle="1" w:styleId="495">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496">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497">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498">
    <w:name w:val="表格文字"/>
    <w:basedOn w:val="1"/>
    <w:autoRedefine/>
    <w:qFormat/>
    <w:uiPriority w:val="0"/>
    <w:pPr>
      <w:spacing w:before="25" w:after="25" w:line="240" w:lineRule="auto"/>
      <w:ind w:firstLine="0"/>
      <w:jc w:val="left"/>
    </w:pPr>
    <w:rPr>
      <w:bCs/>
      <w:spacing w:val="10"/>
      <w:kern w:val="0"/>
      <w:sz w:val="24"/>
    </w:rPr>
  </w:style>
  <w:style w:type="paragraph" w:customStyle="1" w:styleId="499">
    <w:name w:val="样式 首行缩进:  2 字符"/>
    <w:basedOn w:val="1"/>
    <w:unhideWhenUsed/>
    <w:qFormat/>
    <w:uiPriority w:val="0"/>
    <w:pPr>
      <w:spacing w:beforeLines="0" w:afterLines="0"/>
      <w:ind w:firstLine="560"/>
    </w:pPr>
    <w:rPr>
      <w:rFonts w:hint="default" w:ascii="Times New Roman" w:hAnsi="Times New Roman"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D8BA9-6041-474A-8F38-269D91638B1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73</Pages>
  <Words>16865</Words>
  <Characters>18215</Characters>
  <Lines>1</Lines>
  <Paragraphs>1</Paragraphs>
  <TotalTime>3</TotalTime>
  <ScaleCrop>false</ScaleCrop>
  <LinksUpToDate>false</LinksUpToDate>
  <CharactersWithSpaces>18392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2025-06-03T05:11:00Z</dcterms:created>
  <dc:creator>thsware</dc:creator>
  <cp:lastModifiedBy>M先森</cp:lastModifiedBy>
  <cp:lastPrinted>2021-05-16T19:04:00Z</cp:lastPrinted>
  <dcterms:modified xsi:type="dcterms:W3CDTF">2025-07-17T00:18:29Z</dcterms:modified>
  <dc:title>招  标　文　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1C15F46D50D949018AF7E2BC08426052_13</vt:lpwstr>
  </property>
  <property fmtid="{D5CDD505-2E9C-101B-9397-08002B2CF9AE}" pid="4" name="KSOTemplateDocerSaveRecord">
    <vt:lpwstr>eyJoZGlkIjoiZjhhYjgzYzI1YzVmNjJlNTgwYjE3YTc4MzY3NTM5NzMiLCJ1c2VySWQiOiI0ODQwMzk4NDMifQ==</vt:lpwstr>
  </property>
</Properties>
</file>