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65"/>
        <w:gridCol w:w="960"/>
        <w:gridCol w:w="960"/>
        <w:gridCol w:w="2163"/>
      </w:tblGrid>
      <w:tr w14:paraId="12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346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cs="宋体"/>
                <w:b/>
                <w:sz w:val="22"/>
                <w:lang w:val="en-US" w:eastAsia="zh-CN"/>
              </w:rPr>
              <w:t>采购</w:t>
            </w:r>
            <w:r>
              <w:rPr>
                <w:rFonts w:hint="eastAsia" w:ascii="宋体" w:hAnsi="宋体" w:eastAsia="宋体" w:cs="宋体"/>
                <w:b/>
                <w:sz w:val="22"/>
              </w:rPr>
              <w:t>内容</w:t>
            </w:r>
          </w:p>
        </w:tc>
        <w:tc>
          <w:tcPr>
            <w:tcW w:w="96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96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63"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r>
      <w:tr w14:paraId="6A8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346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存储服务器采购项目</w:t>
            </w:r>
          </w:p>
        </w:tc>
        <w:tc>
          <w:tcPr>
            <w:tcW w:w="96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bCs/>
                <w:sz w:val="21"/>
                <w:szCs w:val="21"/>
              </w:rPr>
              <w:t>1</w:t>
            </w:r>
          </w:p>
        </w:tc>
        <w:tc>
          <w:tcPr>
            <w:tcW w:w="96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cs="宋体"/>
                <w:bCs/>
                <w:sz w:val="21"/>
                <w:szCs w:val="21"/>
                <w:lang w:val="en-US" w:eastAsia="zh-CN"/>
              </w:rPr>
              <w:t>批</w:t>
            </w:r>
          </w:p>
        </w:tc>
        <w:tc>
          <w:tcPr>
            <w:tcW w:w="2163"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810,000</w:t>
            </w:r>
            <w:r>
              <w:rPr>
                <w:rFonts w:hint="eastAsia" w:ascii="宋体" w:hAnsi="宋体" w:eastAsia="宋体" w:cs="宋体"/>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707B733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cs="宋体"/>
          <w:b/>
          <w:sz w:val="28"/>
          <w:szCs w:val="28"/>
          <w:lang w:val="en-US" w:eastAsia="zh-CN"/>
        </w:rPr>
      </w:pPr>
      <w:r>
        <w:rPr>
          <w:rFonts w:hint="eastAsia" w:ascii="宋体" w:hAnsi="宋体" w:cs="宋体"/>
          <w:b/>
          <w:sz w:val="28"/>
          <w:szCs w:val="28"/>
          <w:lang w:val="en-US" w:eastAsia="zh-CN"/>
        </w:rPr>
        <w:t>二、货物清单</w:t>
      </w:r>
    </w:p>
    <w:tbl>
      <w:tblPr>
        <w:tblStyle w:val="20"/>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80"/>
        <w:gridCol w:w="960"/>
        <w:gridCol w:w="960"/>
        <w:gridCol w:w="2139"/>
      </w:tblGrid>
      <w:tr w14:paraId="54FF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2E149D6">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bCs/>
                <w:color w:val="000000" w:themeColor="text1"/>
                <w:szCs w:val="21"/>
              </w:rPr>
            </w:pPr>
            <w:bookmarkStart w:id="0" w:name="_GoBack" w:colFirst="0" w:colLast="4"/>
            <w:r>
              <w:rPr>
                <w:rFonts w:hint="eastAsia" w:asciiTheme="minorEastAsia" w:hAnsiTheme="minorEastAsia" w:eastAsiaTheme="minorEastAsia"/>
                <w:b/>
                <w:bCs/>
                <w:color w:val="000000" w:themeColor="text1"/>
                <w:szCs w:val="21"/>
              </w:rPr>
              <w:t>序号</w:t>
            </w:r>
          </w:p>
        </w:tc>
        <w:tc>
          <w:tcPr>
            <w:tcW w:w="3480" w:type="dxa"/>
            <w:vAlign w:val="center"/>
          </w:tcPr>
          <w:p w14:paraId="3ABA8A5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b/>
                <w:bCs/>
                <w:color w:val="000000" w:themeColor="text1"/>
                <w:szCs w:val="21"/>
                <w:lang w:val="en-US" w:eastAsia="zh-CN"/>
              </w:rPr>
            </w:pPr>
            <w:r>
              <w:rPr>
                <w:rFonts w:hint="eastAsia" w:asciiTheme="minorEastAsia" w:hAnsiTheme="minorEastAsia" w:eastAsiaTheme="minorEastAsia"/>
                <w:b/>
                <w:bCs/>
                <w:color w:val="000000" w:themeColor="text1"/>
                <w:szCs w:val="21"/>
                <w:lang w:val="en-US" w:eastAsia="zh-CN"/>
              </w:rPr>
              <w:t>货物名称</w:t>
            </w:r>
          </w:p>
        </w:tc>
        <w:tc>
          <w:tcPr>
            <w:tcW w:w="960" w:type="dxa"/>
            <w:vAlign w:val="center"/>
          </w:tcPr>
          <w:p w14:paraId="22A9FBE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bCs/>
                <w:color w:val="000000" w:themeColor="text1"/>
                <w:szCs w:val="21"/>
              </w:rPr>
            </w:pPr>
            <w:r>
              <w:rPr>
                <w:rFonts w:hint="eastAsia" w:asciiTheme="minorEastAsia" w:hAnsiTheme="minorEastAsia" w:eastAsiaTheme="minorEastAsia"/>
                <w:b/>
                <w:bCs/>
                <w:color w:val="000000" w:themeColor="text1"/>
                <w:szCs w:val="21"/>
              </w:rPr>
              <w:t>数量</w:t>
            </w:r>
          </w:p>
        </w:tc>
        <w:tc>
          <w:tcPr>
            <w:tcW w:w="960" w:type="dxa"/>
            <w:vAlign w:val="center"/>
          </w:tcPr>
          <w:p w14:paraId="0EABE0DB">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bCs/>
                <w:color w:val="000000" w:themeColor="text1"/>
                <w:szCs w:val="21"/>
              </w:rPr>
            </w:pPr>
            <w:r>
              <w:rPr>
                <w:rFonts w:hint="eastAsia" w:asciiTheme="minorEastAsia" w:hAnsiTheme="minorEastAsia" w:eastAsiaTheme="minorEastAsia"/>
                <w:b/>
                <w:bCs/>
                <w:color w:val="000000" w:themeColor="text1"/>
                <w:szCs w:val="21"/>
              </w:rPr>
              <w:t>单位</w:t>
            </w:r>
          </w:p>
        </w:tc>
        <w:tc>
          <w:tcPr>
            <w:tcW w:w="2139" w:type="dxa"/>
            <w:vAlign w:val="center"/>
          </w:tcPr>
          <w:p w14:paraId="7110E75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bCs/>
                <w:color w:val="000000" w:themeColor="text1"/>
                <w:szCs w:val="21"/>
              </w:rPr>
            </w:pPr>
            <w:r>
              <w:rPr>
                <w:rFonts w:hint="eastAsia" w:asciiTheme="minorEastAsia" w:hAnsiTheme="minorEastAsia" w:eastAsiaTheme="minorEastAsia"/>
                <w:b/>
                <w:bCs/>
                <w:color w:val="000000" w:themeColor="text1"/>
                <w:szCs w:val="21"/>
              </w:rPr>
              <w:t>财政预算限额</w:t>
            </w:r>
          </w:p>
        </w:tc>
      </w:tr>
      <w:bookmarkEnd w:id="0"/>
      <w:tr w14:paraId="25F1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6" w:type="dxa"/>
            <w:vAlign w:val="center"/>
          </w:tcPr>
          <w:p w14:paraId="53F949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1</w:t>
            </w:r>
          </w:p>
        </w:tc>
        <w:tc>
          <w:tcPr>
            <w:tcW w:w="3480" w:type="dxa"/>
            <w:vAlign w:val="center"/>
          </w:tcPr>
          <w:p w14:paraId="02C56E1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存储服务器</w:t>
            </w:r>
          </w:p>
        </w:tc>
        <w:tc>
          <w:tcPr>
            <w:tcW w:w="960" w:type="dxa"/>
            <w:vAlign w:val="center"/>
          </w:tcPr>
          <w:p w14:paraId="309A31E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1</w:t>
            </w:r>
          </w:p>
        </w:tc>
        <w:tc>
          <w:tcPr>
            <w:tcW w:w="960" w:type="dxa"/>
            <w:vAlign w:val="center"/>
          </w:tcPr>
          <w:p w14:paraId="17FFDFD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台</w:t>
            </w:r>
          </w:p>
        </w:tc>
        <w:tc>
          <w:tcPr>
            <w:tcW w:w="2139" w:type="dxa"/>
            <w:vAlign w:val="center"/>
          </w:tcPr>
          <w:p w14:paraId="76A92AE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b w:val="0"/>
                <w:bCs w:val="0"/>
                <w:color w:val="000000" w:themeColor="text1"/>
                <w:szCs w:val="21"/>
                <w:lang w:val="en-US" w:eastAsia="zh-CN"/>
              </w:rPr>
            </w:pPr>
            <w:r>
              <w:rPr>
                <w:rFonts w:hint="eastAsia" w:asciiTheme="minorEastAsia" w:hAnsiTheme="minorEastAsia" w:eastAsiaTheme="minorEastAsia"/>
                <w:b w:val="0"/>
                <w:bCs w:val="0"/>
                <w:color w:val="000000" w:themeColor="text1"/>
                <w:szCs w:val="21"/>
                <w:lang w:val="en-US" w:eastAsia="zh-CN"/>
              </w:rPr>
              <w:t>400,000.00</w:t>
            </w:r>
          </w:p>
        </w:tc>
      </w:tr>
      <w:tr w14:paraId="298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16" w:type="dxa"/>
            <w:vAlign w:val="center"/>
          </w:tcPr>
          <w:p w14:paraId="042B1D03">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2</w:t>
            </w:r>
          </w:p>
        </w:tc>
        <w:tc>
          <w:tcPr>
            <w:tcW w:w="3480" w:type="dxa"/>
            <w:vAlign w:val="center"/>
          </w:tcPr>
          <w:p w14:paraId="7DD1BB3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备份专用服务器</w:t>
            </w:r>
          </w:p>
        </w:tc>
        <w:tc>
          <w:tcPr>
            <w:tcW w:w="960" w:type="dxa"/>
            <w:vAlign w:val="center"/>
          </w:tcPr>
          <w:p w14:paraId="71CC0A3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2</w:t>
            </w:r>
          </w:p>
        </w:tc>
        <w:tc>
          <w:tcPr>
            <w:tcW w:w="960" w:type="dxa"/>
            <w:vAlign w:val="center"/>
          </w:tcPr>
          <w:p w14:paraId="4BC4472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b w:val="0"/>
                <w:bCs w:val="0"/>
                <w:color w:val="000000" w:themeColor="text1"/>
                <w:szCs w:val="21"/>
              </w:rPr>
            </w:pPr>
            <w:r>
              <w:rPr>
                <w:rFonts w:hint="eastAsia" w:asciiTheme="minorEastAsia" w:hAnsiTheme="minorEastAsia" w:eastAsiaTheme="minorEastAsia"/>
                <w:b w:val="0"/>
                <w:bCs w:val="0"/>
                <w:color w:val="000000" w:themeColor="text1"/>
                <w:szCs w:val="21"/>
              </w:rPr>
              <w:t>台</w:t>
            </w:r>
          </w:p>
        </w:tc>
        <w:tc>
          <w:tcPr>
            <w:tcW w:w="2139" w:type="dxa"/>
            <w:vAlign w:val="center"/>
          </w:tcPr>
          <w:p w14:paraId="22F32862">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b w:val="0"/>
                <w:bCs w:val="0"/>
                <w:color w:val="000000" w:themeColor="text1"/>
                <w:szCs w:val="21"/>
                <w:lang w:val="en-US" w:eastAsia="zh-CN"/>
              </w:rPr>
            </w:pPr>
            <w:r>
              <w:rPr>
                <w:rFonts w:hint="eastAsia" w:asciiTheme="minorEastAsia" w:hAnsiTheme="minorEastAsia" w:eastAsiaTheme="minorEastAsia"/>
                <w:b w:val="0"/>
                <w:bCs w:val="0"/>
                <w:color w:val="000000" w:themeColor="text1"/>
                <w:szCs w:val="21"/>
                <w:lang w:val="en-US" w:eastAsia="zh-CN"/>
              </w:rPr>
              <w:t>410,000.00</w:t>
            </w:r>
          </w:p>
        </w:tc>
      </w:tr>
    </w:tbl>
    <w:p w14:paraId="4D2D2DFC">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三</w:t>
      </w:r>
      <w:r>
        <w:rPr>
          <w:rFonts w:hint="eastAsia" w:ascii="宋体" w:hAnsi="宋体" w:eastAsia="宋体" w:cs="宋体"/>
          <w:b/>
          <w:sz w:val="28"/>
          <w:szCs w:val="28"/>
        </w:rPr>
        <w:t>、</w:t>
      </w:r>
      <w:r>
        <w:rPr>
          <w:rFonts w:hint="eastAsia" w:ascii="宋体" w:hAnsi="宋体" w:eastAsia="宋体" w:cs="宋体"/>
          <w:b/>
          <w:sz w:val="28"/>
          <w:szCs w:val="28"/>
          <w:lang w:val="en-US" w:eastAsia="zh-CN"/>
        </w:rPr>
        <w:t>技术</w:t>
      </w:r>
      <w:r>
        <w:rPr>
          <w:rFonts w:hint="eastAsia" w:ascii="宋体" w:hAnsi="宋体" w:cs="宋体"/>
          <w:b/>
          <w:sz w:val="28"/>
          <w:szCs w:val="28"/>
          <w:lang w:val="en-US" w:eastAsia="zh-CN"/>
        </w:rPr>
        <w:t>要求</w:t>
      </w:r>
    </w:p>
    <w:tbl>
      <w:tblPr>
        <w:tblStyle w:val="20"/>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60"/>
        <w:gridCol w:w="6074"/>
      </w:tblGrid>
      <w:tr w14:paraId="288D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tcBorders>
              <w:tl2br w:val="nil"/>
              <w:tr2bl w:val="nil"/>
            </w:tcBorders>
            <w:shd w:val="clear" w:color="000000" w:fill="FFFFFF"/>
            <w:vAlign w:val="center"/>
          </w:tcPr>
          <w:p w14:paraId="0CA2241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360" w:type="dxa"/>
            <w:tcBorders>
              <w:tl2br w:val="nil"/>
              <w:tr2bl w:val="nil"/>
            </w:tcBorders>
            <w:shd w:val="clear" w:color="000000" w:fill="FFFFFF"/>
            <w:vAlign w:val="center"/>
          </w:tcPr>
          <w:p w14:paraId="434EED6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6074" w:type="dxa"/>
            <w:tcBorders>
              <w:tl2br w:val="nil"/>
              <w:tr2bl w:val="nil"/>
            </w:tcBorders>
            <w:shd w:val="clear" w:color="000000" w:fill="FFFFFF"/>
            <w:vAlign w:val="center"/>
          </w:tcPr>
          <w:p w14:paraId="45F675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技术要求</w:t>
            </w:r>
          </w:p>
        </w:tc>
      </w:tr>
      <w:tr w14:paraId="14E8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restart"/>
            <w:tcBorders>
              <w:tl2br w:val="nil"/>
              <w:tr2bl w:val="nil"/>
            </w:tcBorders>
            <w:vAlign w:val="center"/>
          </w:tcPr>
          <w:p w14:paraId="488056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60" w:type="dxa"/>
            <w:vMerge w:val="restart"/>
            <w:tcBorders>
              <w:tl2br w:val="nil"/>
              <w:tr2bl w:val="nil"/>
            </w:tcBorders>
            <w:vAlign w:val="center"/>
          </w:tcPr>
          <w:p w14:paraId="7E8820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存储服务器</w:t>
            </w:r>
          </w:p>
        </w:tc>
        <w:tc>
          <w:tcPr>
            <w:tcW w:w="6074" w:type="dxa"/>
            <w:tcBorders>
              <w:tl2br w:val="nil"/>
              <w:tr2bl w:val="nil"/>
            </w:tcBorders>
            <w:vAlign w:val="center"/>
          </w:tcPr>
          <w:p w14:paraId="4753A9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1、产品使用成熟稳定的国产品牌自主研发CPU（如鲲鹏、飞腾、申威），提供投标产品使用CPU型号、主频等证明材料并加盖原厂公章。</w:t>
            </w:r>
          </w:p>
        </w:tc>
      </w:tr>
      <w:tr w14:paraId="1AA1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continue"/>
            <w:tcBorders>
              <w:tl2br w:val="nil"/>
              <w:tr2bl w:val="nil"/>
            </w:tcBorders>
            <w:vAlign w:val="center"/>
          </w:tcPr>
          <w:p w14:paraId="38EC6E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151CA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19E4F5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2、≥2U盘控一体架构</w:t>
            </w:r>
          </w:p>
        </w:tc>
      </w:tr>
      <w:tr w14:paraId="7FA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3A386A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215970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7F3C23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3、配置2个控制器，控制器采用多核处理器，且单控制器处理器总核心数≥20核，CPU主频为≥2.1GHz。</w:t>
            </w:r>
          </w:p>
        </w:tc>
      </w:tr>
      <w:tr w14:paraId="11DD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31" w:type="dxa"/>
            <w:vMerge w:val="continue"/>
            <w:tcBorders>
              <w:tl2br w:val="nil"/>
              <w:tr2bl w:val="nil"/>
            </w:tcBorders>
            <w:vAlign w:val="center"/>
          </w:tcPr>
          <w:p w14:paraId="596B1F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7DA0C5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1BD6EE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4、SAN和NAS一体化，配置SAN+NAS协议（包括NFS、CIFS以及NDMP），支持SAN和NAS共资源池，无需独立分配。并提供具备CNAS(中国合格评定国家认可委员会)资质的第三方权威评测机构签字盖章的测试报告，加盖原厂公章。</w:t>
            </w:r>
          </w:p>
        </w:tc>
      </w:tr>
      <w:tr w14:paraId="298D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6C6F84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0D2A51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2B8A2B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5、系统内总一级缓存容量配置≥128GB，且任意控制器一级缓存容量≥64GB（不含任何性能加速模块、FlashCache、PAM卡，SSD Cache、SCM等）。</w:t>
            </w:r>
          </w:p>
        </w:tc>
      </w:tr>
      <w:tr w14:paraId="3D4D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continue"/>
            <w:tcBorders>
              <w:tl2br w:val="nil"/>
              <w:tr2bl w:val="nil"/>
            </w:tcBorders>
            <w:vAlign w:val="center"/>
          </w:tcPr>
          <w:p w14:paraId="344AAC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2FC5AE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4DB634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6、配置≥4个3.84TB企业级双端口SAS SSD硬盘，配置≥33个20TB NL-SAS硬盘</w:t>
            </w:r>
          </w:p>
        </w:tc>
      </w:tr>
      <w:tr w14:paraId="742D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65C354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1186CB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7B431ED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7、配置：≥4*10Gbps Ethernet接口；（满配多模光模块），≥8*1Gbps Ethernet接口。</w:t>
            </w:r>
          </w:p>
        </w:tc>
      </w:tr>
      <w:tr w14:paraId="1CF1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31" w:type="dxa"/>
            <w:vMerge w:val="continue"/>
            <w:tcBorders>
              <w:tl2br w:val="nil"/>
              <w:tr2bl w:val="nil"/>
            </w:tcBorders>
            <w:vAlign w:val="center"/>
          </w:tcPr>
          <w:p w14:paraId="095DC3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D2F51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4B5DE8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8、支持提供高密快照功能，系统支持最小每15秒做一次快照备份，单文件系统支持</w:t>
            </w: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0"/>
                <w:sz w:val="21"/>
                <w:szCs w:val="21"/>
              </w:rPr>
              <w:t>4096个快照，整系统支持</w:t>
            </w: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0"/>
                <w:sz w:val="21"/>
                <w:szCs w:val="21"/>
              </w:rPr>
              <w:t>32000个文件系统快照；创建快照，文件系统性能变化幅度小于10%。并提供具备CNAS(中国合格评定国家认可委员会)资质的第三方权威评测机构签字盖章的测试报告，加盖原厂公章</w:t>
            </w:r>
          </w:p>
        </w:tc>
      </w:tr>
      <w:tr w14:paraId="4AA6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31" w:type="dxa"/>
            <w:vMerge w:val="continue"/>
            <w:tcBorders>
              <w:tl2br w:val="nil"/>
              <w:tr2bl w:val="nil"/>
            </w:tcBorders>
            <w:vAlign w:val="center"/>
          </w:tcPr>
          <w:p w14:paraId="09CE74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504773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602554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9、支持提供租户级和文件系统级QoS保障，保障系统支持文件系统服务质量控制功能，提供上限控制和下限保障两种QoS策略，支持QoS的Burst突发控制。并提供具备CNAS(中国合格评定国家认可委员会)资质的第三方权威评测机构签字盖章的测试报告，加盖原厂公章。</w:t>
            </w:r>
          </w:p>
        </w:tc>
      </w:tr>
      <w:tr w14:paraId="68F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31" w:type="dxa"/>
            <w:vMerge w:val="continue"/>
            <w:tcBorders>
              <w:tl2br w:val="nil"/>
              <w:tr2bl w:val="nil"/>
            </w:tcBorders>
            <w:vAlign w:val="center"/>
          </w:tcPr>
          <w:p w14:paraId="6B6CFF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4FA0D4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67F769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10、采用对称AA架构，LUN无控制器归属，在多控配置下，能够负载到所有控制器，CPU利用率差异小于5%。并提供具备CNAS(中国合格评定国家认可委员会)资质的第三方权威评测机构签字盖章的测试报告，加盖原厂公章。</w:t>
            </w:r>
          </w:p>
        </w:tc>
      </w:tr>
      <w:tr w14:paraId="7B65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31" w:type="dxa"/>
            <w:vMerge w:val="continue"/>
            <w:tcBorders>
              <w:tl2br w:val="nil"/>
              <w:tr2bl w:val="nil"/>
            </w:tcBorders>
            <w:vAlign w:val="center"/>
          </w:tcPr>
          <w:p w14:paraId="4EB3F5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8DB63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4394D1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11、支持无中断系统软件在线升级和回退。在版本升级和回退的过程中无需重启控制器，主机与存储之间的链路无中断，客户端无感知，升级时长小于 10 分钟，提供截图证明和CNAS报告(中国合格评定国家认可委员会)资质的第三方权威评测机构签字盖章的测试报告，加盖原厂公章。</w:t>
            </w:r>
          </w:p>
        </w:tc>
      </w:tr>
      <w:tr w14:paraId="797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0E6799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37756D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2EF1A4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12、提供SSD寿命监控技术，并在系统中显示每一块SSD硬盘的磨损度以及预估剩余寿命。提供操作界面截图。</w:t>
            </w:r>
          </w:p>
        </w:tc>
      </w:tr>
      <w:tr w14:paraId="28D5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1" w:type="dxa"/>
            <w:vMerge w:val="continue"/>
            <w:tcBorders>
              <w:tl2br w:val="nil"/>
              <w:tr2bl w:val="nil"/>
            </w:tcBorders>
            <w:vAlign w:val="center"/>
          </w:tcPr>
          <w:p w14:paraId="05995F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7EE03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vAlign w:val="center"/>
          </w:tcPr>
          <w:p w14:paraId="3110F1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13、支持RAID-TP，在同一个RAID组内容忍任意3盘同时失效，数据不丢&amp;不中断业务，并提供具备CNAS(中国合格评定国家认可委员会)资质的第三方权威评测机构签字盖章的测试报告，加盖原厂公章。</w:t>
            </w:r>
          </w:p>
        </w:tc>
      </w:tr>
      <w:tr w14:paraId="7BAE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restart"/>
            <w:tcBorders>
              <w:tl2br w:val="nil"/>
              <w:tr2bl w:val="nil"/>
            </w:tcBorders>
            <w:vAlign w:val="center"/>
          </w:tcPr>
          <w:p w14:paraId="14F7EC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60" w:type="dxa"/>
            <w:vMerge w:val="restart"/>
            <w:tcBorders>
              <w:tl2br w:val="nil"/>
              <w:tr2bl w:val="nil"/>
            </w:tcBorders>
            <w:vAlign w:val="center"/>
          </w:tcPr>
          <w:p w14:paraId="06470C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备份专用服务器</w:t>
            </w:r>
          </w:p>
        </w:tc>
        <w:tc>
          <w:tcPr>
            <w:tcW w:w="6074" w:type="dxa"/>
            <w:tcBorders>
              <w:tl2br w:val="nil"/>
              <w:tr2bl w:val="nil"/>
            </w:tcBorders>
            <w:shd w:val="clear" w:color="000000" w:fill="FFFFFF"/>
            <w:vAlign w:val="center"/>
          </w:tcPr>
          <w:p w14:paraId="6ECA27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1、规格：≥2U机架式；</w:t>
            </w:r>
          </w:p>
        </w:tc>
      </w:tr>
      <w:tr w14:paraId="6149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continue"/>
            <w:tcBorders>
              <w:tl2br w:val="nil"/>
              <w:tr2bl w:val="nil"/>
            </w:tcBorders>
            <w:vAlign w:val="center"/>
          </w:tcPr>
          <w:p w14:paraId="7EE097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0928E6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01227D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2、配置≥1颗CPU ，主频≥2.1GHz</w:t>
            </w:r>
          </w:p>
        </w:tc>
      </w:tr>
      <w:tr w14:paraId="4F2C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1" w:type="dxa"/>
            <w:vMerge w:val="continue"/>
            <w:tcBorders>
              <w:tl2br w:val="nil"/>
              <w:tr2bl w:val="nil"/>
            </w:tcBorders>
            <w:vAlign w:val="center"/>
          </w:tcPr>
          <w:p w14:paraId="53D132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1B94C1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34CA45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3、硬盘：配置≥12块8TB SATA企业级磁盘, 配置≥系统盘2块240GB 固态硬盘；</w:t>
            </w:r>
          </w:p>
        </w:tc>
      </w:tr>
      <w:tr w14:paraId="6948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continue"/>
            <w:tcBorders>
              <w:tl2br w:val="nil"/>
              <w:tr2bl w:val="nil"/>
            </w:tcBorders>
            <w:vAlign w:val="center"/>
          </w:tcPr>
          <w:p w14:paraId="69D6BA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DB0B6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2F646C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 内存：配置容量≥2*32GB，最大支持24个DDR4内存插槽；</w:t>
            </w:r>
          </w:p>
        </w:tc>
      </w:tr>
      <w:tr w14:paraId="5085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1" w:type="dxa"/>
            <w:vMerge w:val="continue"/>
            <w:tcBorders>
              <w:tl2br w:val="nil"/>
              <w:tr2bl w:val="nil"/>
            </w:tcBorders>
            <w:vAlign w:val="center"/>
          </w:tcPr>
          <w:p w14:paraId="26835A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1838D0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56A725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5、网卡：提供≥2个板载千兆GE网口，提供≥2个10GE光口（含光模块），配置 16Gb FC接口扩展，最大可扩展至≥2个PCIe扩展；配置2个单端口 16Gb 光纤通道 HBA卡（含光模块）；</w:t>
            </w:r>
          </w:p>
        </w:tc>
      </w:tr>
      <w:tr w14:paraId="1269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3ECFAD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403F67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5B672B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6、支持Raid0、1、10、5、50，6，60，Raid 1GB Cache；提供Raid掉电保护，防止突然断电造成RAID系统数据及缓存数据丢失</w:t>
            </w:r>
            <w:r>
              <w:rPr>
                <w:rFonts w:hint="eastAsia" w:ascii="宋体" w:hAnsi="宋体" w:eastAsia="宋体" w:cs="宋体"/>
                <w:color w:val="auto"/>
                <w:kern w:val="0"/>
                <w:sz w:val="21"/>
                <w:szCs w:val="21"/>
                <w:lang w:eastAsia="zh-CN"/>
              </w:rPr>
              <w:t>；</w:t>
            </w:r>
          </w:p>
        </w:tc>
      </w:tr>
      <w:tr w14:paraId="67A3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31" w:type="dxa"/>
            <w:vMerge w:val="continue"/>
            <w:tcBorders>
              <w:tl2br w:val="nil"/>
              <w:tr2bl w:val="nil"/>
            </w:tcBorders>
            <w:vAlign w:val="center"/>
          </w:tcPr>
          <w:p w14:paraId="2B5B3B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66049B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59D5CB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7、包含备份系统软件，单台节点配置可用容量授权</w:t>
            </w:r>
            <w:r>
              <w:rPr>
                <w:rFonts w:hint="eastAsia" w:ascii="宋体" w:hAnsi="宋体" w:eastAsia="宋体" w:cs="宋体"/>
                <w:color w:val="auto"/>
                <w:sz w:val="21"/>
                <w:szCs w:val="21"/>
                <w:lang w:val="en-US" w:eastAsia="zh-CN" w:bidi="ar"/>
              </w:rPr>
              <w:t>≥</w:t>
            </w:r>
            <w:r>
              <w:rPr>
                <w:rFonts w:hint="eastAsia" w:ascii="宋体" w:hAnsi="宋体" w:eastAsia="宋体" w:cs="宋体"/>
                <w:color w:val="auto"/>
                <w:kern w:val="2"/>
                <w:sz w:val="21"/>
                <w:szCs w:val="21"/>
                <w:lang w:val="en-US" w:eastAsia="zh-CN" w:bidi="ar"/>
              </w:rPr>
              <w:t>80TB，在容量授权范围内，不再限制客户端数量和类型，同时配置了永久增量技术模块授权（提供承诺函并加盖</w:t>
            </w:r>
            <w:r>
              <w:rPr>
                <w:rFonts w:hint="eastAsia" w:ascii="宋体" w:hAnsi="宋体" w:eastAsia="宋体" w:cs="宋体"/>
                <w:color w:val="auto"/>
                <w:kern w:val="0"/>
                <w:sz w:val="21"/>
                <w:szCs w:val="21"/>
              </w:rPr>
              <w:t>投标人有效公章</w:t>
            </w: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0"/>
                <w:sz w:val="21"/>
                <w:szCs w:val="21"/>
                <w:lang w:eastAsia="zh-CN"/>
              </w:rPr>
              <w:t>；</w:t>
            </w:r>
          </w:p>
        </w:tc>
      </w:tr>
      <w:tr w14:paraId="3D73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31" w:type="dxa"/>
            <w:vMerge w:val="continue"/>
            <w:tcBorders>
              <w:tl2br w:val="nil"/>
              <w:tr2bl w:val="nil"/>
            </w:tcBorders>
            <w:vAlign w:val="center"/>
          </w:tcPr>
          <w:p w14:paraId="06FF75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1360" w:type="dxa"/>
            <w:vMerge w:val="continue"/>
            <w:tcBorders>
              <w:tl2br w:val="nil"/>
              <w:tr2bl w:val="nil"/>
            </w:tcBorders>
            <w:vAlign w:val="center"/>
          </w:tcPr>
          <w:p w14:paraId="113A3D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p>
        </w:tc>
        <w:tc>
          <w:tcPr>
            <w:tcW w:w="6074" w:type="dxa"/>
            <w:tcBorders>
              <w:tl2br w:val="nil"/>
              <w:tr2bl w:val="nil"/>
            </w:tcBorders>
            <w:shd w:val="clear" w:color="000000" w:fill="FFFFFF"/>
            <w:vAlign w:val="center"/>
          </w:tcPr>
          <w:p w14:paraId="026879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rPr>
              <w:t>8、与原备份系统兼容，提供承诺函并加盖投标人有效公章。</w:t>
            </w:r>
          </w:p>
        </w:tc>
      </w:tr>
    </w:tbl>
    <w:p w14:paraId="3B504959">
      <w:pPr>
        <w:pStyle w:val="7"/>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四</w:t>
      </w:r>
      <w:r>
        <w:rPr>
          <w:rFonts w:hint="eastAsia" w:ascii="宋体" w:hAnsi="宋体" w:eastAsia="宋体" w:cs="宋体"/>
          <w:b/>
          <w:sz w:val="28"/>
          <w:szCs w:val="28"/>
        </w:rPr>
        <w:t>、商务需求</w:t>
      </w:r>
    </w:p>
    <w:tbl>
      <w:tblPr>
        <w:tblStyle w:val="20"/>
        <w:tblW w:w="493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85"/>
        <w:gridCol w:w="5639"/>
      </w:tblGrid>
      <w:tr w14:paraId="334D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2" w:type="pct"/>
            <w:vAlign w:val="center"/>
          </w:tcPr>
          <w:p w14:paraId="3F15ADCD">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rPr>
            </w:pPr>
            <w:r>
              <w:rPr>
                <w:rFonts w:hint="eastAsia" w:asciiTheme="minorEastAsia" w:hAnsiTheme="minorEastAsia" w:eastAsiaTheme="minorEastAsia"/>
                <w:b/>
                <w:szCs w:val="21"/>
              </w:rPr>
              <w:t>序号</w:t>
            </w:r>
          </w:p>
        </w:tc>
        <w:tc>
          <w:tcPr>
            <w:tcW w:w="1062" w:type="pct"/>
            <w:vAlign w:val="center"/>
          </w:tcPr>
          <w:p w14:paraId="4AEB49D5">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rPr>
            </w:pPr>
            <w:r>
              <w:rPr>
                <w:rFonts w:hint="eastAsia" w:asciiTheme="minorEastAsia" w:hAnsiTheme="minorEastAsia" w:eastAsiaTheme="minorEastAsia"/>
                <w:b/>
                <w:szCs w:val="21"/>
              </w:rPr>
              <w:t>目录</w:t>
            </w:r>
          </w:p>
        </w:tc>
        <w:tc>
          <w:tcPr>
            <w:tcW w:w="3355" w:type="pct"/>
            <w:vAlign w:val="center"/>
          </w:tcPr>
          <w:p w14:paraId="7D7DE59A">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rPr>
            </w:pPr>
            <w:r>
              <w:rPr>
                <w:rFonts w:hint="eastAsia" w:asciiTheme="minorEastAsia" w:hAnsiTheme="minorEastAsia" w:eastAsiaTheme="minorEastAsia"/>
                <w:b/>
                <w:szCs w:val="21"/>
              </w:rPr>
              <w:t>招标商务需求</w:t>
            </w:r>
          </w:p>
        </w:tc>
      </w:tr>
      <w:tr w14:paraId="574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0699A93">
            <w:pPr>
              <w:keepNext w:val="0"/>
              <w:keepLines w:val="0"/>
              <w:suppressLineNumbers w:val="0"/>
              <w:spacing w:before="0" w:beforeAutospacing="0" w:after="0" w:afterAutospacing="0"/>
              <w:ind w:left="0" w:right="0"/>
              <w:rPr>
                <w:rFonts w:hint="eastAsia" w:asciiTheme="minorEastAsia" w:hAnsiTheme="minorEastAsia" w:eastAsiaTheme="minorEastAsia"/>
                <w:b/>
                <w:szCs w:val="21"/>
              </w:rPr>
            </w:pPr>
            <w:r>
              <w:rPr>
                <w:rFonts w:hint="eastAsia" w:asciiTheme="minorEastAsia" w:hAnsiTheme="minorEastAsia" w:eastAsiaTheme="minorEastAsia"/>
                <w:b/>
                <w:szCs w:val="21"/>
              </w:rPr>
              <w:t>（一）免费保修期内售后服务要求</w:t>
            </w:r>
          </w:p>
        </w:tc>
      </w:tr>
      <w:tr w14:paraId="6206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82" w:type="pct"/>
            <w:vAlign w:val="center"/>
          </w:tcPr>
          <w:p w14:paraId="65E4DECD">
            <w:pPr>
              <w:keepNext w:val="0"/>
              <w:keepLines w:val="0"/>
              <w:suppressLineNumbers w:val="0"/>
              <w:spacing w:before="0" w:beforeAutospacing="0" w:after="0" w:afterAutospacing="0"/>
              <w:ind w:left="0" w:right="0"/>
              <w:jc w:val="center"/>
              <w:rPr>
                <w:rFonts w:hint="eastAsia" w:asciiTheme="minorEastAsia" w:hAnsiTheme="minorEastAsia" w:eastAsiaTheme="minorEastAsia"/>
                <w:b w:val="0"/>
                <w:bCs/>
                <w:szCs w:val="21"/>
              </w:rPr>
            </w:pPr>
            <w:r>
              <w:rPr>
                <w:rFonts w:hint="eastAsia" w:asciiTheme="minorEastAsia" w:hAnsiTheme="minorEastAsia" w:eastAsiaTheme="minorEastAsia"/>
                <w:b w:val="0"/>
                <w:bCs/>
                <w:szCs w:val="21"/>
              </w:rPr>
              <w:t>1</w:t>
            </w:r>
          </w:p>
        </w:tc>
        <w:tc>
          <w:tcPr>
            <w:tcW w:w="1062" w:type="pct"/>
          </w:tcPr>
          <w:p w14:paraId="0F312792">
            <w:pPr>
              <w:keepNext w:val="0"/>
              <w:keepLines w:val="0"/>
              <w:suppressLineNumbers w:val="0"/>
              <w:spacing w:before="0" w:beforeAutospacing="0" w:after="0" w:afterAutospacing="0"/>
              <w:ind w:left="0" w:right="0"/>
              <w:rPr>
                <w:rFonts w:hint="eastAsia" w:asciiTheme="minorEastAsia" w:hAnsiTheme="minorEastAsia" w:eastAsiaTheme="minorEastAsia"/>
                <w:b w:val="0"/>
                <w:bCs/>
                <w:szCs w:val="21"/>
              </w:rPr>
            </w:pPr>
            <w:r>
              <w:rPr>
                <w:rFonts w:hint="eastAsia" w:asciiTheme="minorEastAsia" w:hAnsiTheme="minorEastAsia" w:eastAsiaTheme="minorEastAsia"/>
                <w:b w:val="0"/>
                <w:bCs/>
                <w:szCs w:val="21"/>
              </w:rPr>
              <w:t>维修响应及故障解决时间</w:t>
            </w:r>
          </w:p>
        </w:tc>
        <w:tc>
          <w:tcPr>
            <w:tcW w:w="3355" w:type="pct"/>
          </w:tcPr>
          <w:p w14:paraId="0A30D000">
            <w:pPr>
              <w:keepNext w:val="0"/>
              <w:keepLines w:val="0"/>
              <w:suppressLineNumbers w:val="0"/>
              <w:spacing w:before="0" w:beforeAutospacing="0" w:after="0" w:afterAutospacing="0"/>
              <w:ind w:left="0" w:right="0"/>
              <w:rPr>
                <w:rFonts w:hint="eastAsia" w:asciiTheme="minorEastAsia" w:hAnsiTheme="minorEastAsia" w:eastAsiaTheme="minorEastAsia"/>
                <w:b w:val="0"/>
                <w:bCs/>
                <w:szCs w:val="21"/>
              </w:rPr>
            </w:pPr>
            <w:r>
              <w:rPr>
                <w:rFonts w:hint="eastAsia" w:asciiTheme="minorEastAsia" w:hAnsiTheme="minorEastAsia" w:eastAsiaTheme="minorEastAsia"/>
                <w:b w:val="0"/>
                <w:bCs/>
                <w:szCs w:val="21"/>
              </w:rPr>
              <w:t>在保修期内，一旦发生质量问题，投标人保证在接到通知24小时内赶到现场进行修理或更换。</w:t>
            </w:r>
          </w:p>
        </w:tc>
      </w:tr>
      <w:tr w14:paraId="0937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82" w:type="pct"/>
            <w:vAlign w:val="center"/>
          </w:tcPr>
          <w:p w14:paraId="5EA18483">
            <w:pPr>
              <w:keepNext w:val="0"/>
              <w:keepLines w:val="0"/>
              <w:suppressLineNumbers w:val="0"/>
              <w:spacing w:before="0" w:beforeAutospacing="0" w:after="0" w:afterAutospacing="0"/>
              <w:ind w:left="0" w:right="0"/>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062" w:type="pct"/>
          </w:tcPr>
          <w:p w14:paraId="0320559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szCs w:val="21"/>
              </w:rPr>
              <w:t>关于免费保修期</w:t>
            </w:r>
          </w:p>
        </w:tc>
        <w:tc>
          <w:tcPr>
            <w:tcW w:w="3355" w:type="pct"/>
          </w:tcPr>
          <w:p w14:paraId="048C93FE">
            <w:pPr>
              <w:keepNext w:val="0"/>
              <w:keepLines w:val="0"/>
              <w:suppressLineNumbers w:val="0"/>
              <w:spacing w:before="0" w:beforeAutospacing="0" w:after="0" w:afterAutospacing="0"/>
              <w:ind w:left="0" w:right="0"/>
              <w:rPr>
                <w:rFonts w:hint="eastAsia" w:asciiTheme="minorEastAsia" w:hAnsiTheme="minorEastAsia" w:eastAsiaTheme="minorEastAsia"/>
                <w:b/>
                <w:szCs w:val="21"/>
              </w:rPr>
            </w:pPr>
            <w:r>
              <w:rPr>
                <w:rFonts w:hint="eastAsia" w:ascii="宋体" w:hAnsi="宋体" w:eastAsia="宋体" w:cs="宋体"/>
                <w:b/>
                <w:bCs w:val="0"/>
                <w:kern w:val="2"/>
                <w:sz w:val="21"/>
                <w:szCs w:val="21"/>
                <w:lang w:val="en-US" w:eastAsia="zh-CN" w:bidi="ar"/>
              </w:rPr>
              <w:t>★</w:t>
            </w:r>
            <w:r>
              <w:rPr>
                <w:rFonts w:hint="default" w:asciiTheme="minorEastAsia" w:hAnsiTheme="minorEastAsia" w:eastAsiaTheme="minorEastAsia"/>
                <w:bCs/>
                <w:szCs w:val="21"/>
              </w:rPr>
              <w:t>1.1</w:t>
            </w:r>
            <w:r>
              <w:rPr>
                <w:rFonts w:hint="eastAsia" w:asciiTheme="minorEastAsia" w:hAnsiTheme="minorEastAsia" w:eastAsiaTheme="minorEastAsia"/>
                <w:bCs/>
                <w:szCs w:val="21"/>
              </w:rPr>
              <w:t>货物免费保修期</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color w:val="FF0000"/>
                <w:szCs w:val="21"/>
                <w:u w:val="single"/>
              </w:rPr>
              <w:t xml:space="preserve"> 6 </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年，时间自最终验收合格并交付使用之日起计算。</w:t>
            </w:r>
          </w:p>
        </w:tc>
      </w:tr>
      <w:tr w14:paraId="1FAD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5835DE7C">
            <w:pPr>
              <w:keepNext w:val="0"/>
              <w:keepLines w:val="0"/>
              <w:suppressLineNumbers w:val="0"/>
              <w:spacing w:before="0" w:beforeAutospacing="0" w:after="0" w:afterAutospacing="0"/>
              <w:ind w:left="0" w:right="0"/>
              <w:rPr>
                <w:rFonts w:hint="eastAsia" w:asciiTheme="minorEastAsia" w:hAnsiTheme="minorEastAsia" w:eastAsiaTheme="minorEastAsia"/>
                <w:b/>
                <w:szCs w:val="21"/>
              </w:rPr>
            </w:pPr>
            <w:r>
              <w:rPr>
                <w:rFonts w:hint="eastAsia" w:asciiTheme="minorEastAsia" w:hAnsiTheme="minorEastAsia" w:eastAsiaTheme="minorEastAsia"/>
                <w:b/>
                <w:szCs w:val="21"/>
              </w:rPr>
              <w:t>（二）免费保修期外售后服务要求（可选）</w:t>
            </w:r>
          </w:p>
        </w:tc>
      </w:tr>
      <w:tr w14:paraId="0150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Align w:val="center"/>
          </w:tcPr>
          <w:p w14:paraId="5CFC23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rPr>
            </w:pPr>
            <w:r>
              <w:rPr>
                <w:rFonts w:hint="eastAsia" w:ascii="宋体" w:hAnsi="宋体" w:eastAsia="宋体" w:cs="宋体"/>
                <w:b w:val="0"/>
                <w:bCs w:val="0"/>
                <w:color w:val="auto"/>
              </w:rPr>
              <w:t>1</w:t>
            </w:r>
          </w:p>
        </w:tc>
        <w:tc>
          <w:tcPr>
            <w:tcW w:w="1062" w:type="pct"/>
            <w:vAlign w:val="center"/>
          </w:tcPr>
          <w:p w14:paraId="11FCD63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保修期外售后服务要求</w:t>
            </w:r>
          </w:p>
        </w:tc>
        <w:tc>
          <w:tcPr>
            <w:tcW w:w="3355" w:type="pct"/>
          </w:tcPr>
          <w:p w14:paraId="2B823550">
            <w:pPr>
              <w:keepNext w:val="0"/>
              <w:keepLines w:val="0"/>
              <w:suppressLineNumbers w:val="0"/>
              <w:spacing w:before="0" w:beforeAutospacing="0" w:after="0" w:afterAutospacing="0"/>
              <w:ind w:left="0" w:right="0"/>
              <w:rPr>
                <w:rFonts w:hint="eastAsia" w:ascii="宋体" w:hAnsi="宋体" w:eastAsia="宋体" w:cs="宋体"/>
                <w:b w:val="0"/>
                <w:bCs w:val="0"/>
                <w:color w:val="auto"/>
                <w:szCs w:val="21"/>
              </w:rPr>
            </w:pPr>
            <w:r>
              <w:rPr>
                <w:rFonts w:hint="eastAsia" w:ascii="宋体" w:hAnsi="宋体" w:eastAsia="宋体" w:cs="宋体"/>
                <w:b w:val="0"/>
                <w:bCs w:val="0"/>
                <w:color w:val="auto"/>
                <w:szCs w:val="21"/>
              </w:rPr>
              <w:t>中标人提供的产品不能正常使用时，中标人可收取费用，同时提供维修、更换以确保产品正常使用的时间期限。此时间期限从免费保修期期满之日起计算。具体是指免费保修期满后4年。</w:t>
            </w:r>
          </w:p>
        </w:tc>
      </w:tr>
      <w:tr w14:paraId="10D7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77CDF174">
            <w:pPr>
              <w:keepNext w:val="0"/>
              <w:keepLines w:val="0"/>
              <w:suppressLineNumbers w:val="0"/>
              <w:spacing w:before="0" w:beforeAutospacing="0" w:after="0" w:afterAutospacing="0"/>
              <w:ind w:left="0" w:right="0"/>
              <w:rPr>
                <w:rFonts w:hint="eastAsia" w:asciiTheme="minorEastAsia" w:hAnsiTheme="minorEastAsia" w:eastAsiaTheme="minorEastAsia"/>
                <w:b/>
                <w:szCs w:val="21"/>
              </w:rPr>
            </w:pPr>
            <w:r>
              <w:rPr>
                <w:rFonts w:hint="eastAsia" w:asciiTheme="minorEastAsia" w:hAnsiTheme="minorEastAsia" w:eastAsiaTheme="minorEastAsia"/>
                <w:b/>
                <w:szCs w:val="21"/>
              </w:rPr>
              <w:t>（三）其他商务要求</w:t>
            </w:r>
          </w:p>
        </w:tc>
      </w:tr>
      <w:tr w14:paraId="2091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82" w:type="pct"/>
            <w:vMerge w:val="restart"/>
            <w:vAlign w:val="center"/>
          </w:tcPr>
          <w:p w14:paraId="3DEA928E">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1</w:t>
            </w:r>
          </w:p>
        </w:tc>
        <w:tc>
          <w:tcPr>
            <w:tcW w:w="1062" w:type="pct"/>
            <w:vMerge w:val="restart"/>
            <w:vAlign w:val="center"/>
          </w:tcPr>
          <w:p w14:paraId="03329FFE">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关于交货</w:t>
            </w:r>
          </w:p>
        </w:tc>
        <w:tc>
          <w:tcPr>
            <w:tcW w:w="3355" w:type="pct"/>
          </w:tcPr>
          <w:p w14:paraId="724FE57F">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1.1交货地点：甲方指定交货地点</w:t>
            </w:r>
          </w:p>
        </w:tc>
      </w:tr>
      <w:tr w14:paraId="73F1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2" w:type="pct"/>
            <w:vMerge w:val="continue"/>
            <w:vAlign w:val="center"/>
          </w:tcPr>
          <w:p w14:paraId="3310E67B">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1062" w:type="pct"/>
            <w:vMerge w:val="continue"/>
            <w:vAlign w:val="center"/>
          </w:tcPr>
          <w:p w14:paraId="1E974853">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3355" w:type="pct"/>
          </w:tcPr>
          <w:p w14:paraId="551E61C4">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1.2投标人必须承担的设备运输、安装调试、验收检测和提供设备操作说明书、图纸等其他类似的义务。</w:t>
            </w:r>
          </w:p>
        </w:tc>
      </w:tr>
      <w:tr w14:paraId="5E27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82" w:type="pct"/>
            <w:vMerge w:val="continue"/>
            <w:vAlign w:val="center"/>
          </w:tcPr>
          <w:p w14:paraId="42CE0CBD">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1062" w:type="pct"/>
            <w:vMerge w:val="continue"/>
            <w:vAlign w:val="center"/>
          </w:tcPr>
          <w:p w14:paraId="1385F70F">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3355" w:type="pct"/>
          </w:tcPr>
          <w:p w14:paraId="186AAA92">
            <w:pPr>
              <w:keepNext w:val="0"/>
              <w:keepLines w:val="0"/>
              <w:suppressLineNumbers w:val="0"/>
              <w:spacing w:before="0" w:beforeAutospacing="0" w:after="0" w:afterAutospacing="0"/>
              <w:ind w:left="0" w:right="0"/>
              <w:rPr>
                <w:rFonts w:hint="eastAsia" w:ascii="宋体" w:hAnsi="宋体" w:eastAsia="宋体" w:cs="宋体"/>
                <w:b w:val="0"/>
                <w:bCs/>
                <w:color w:val="auto"/>
              </w:rPr>
            </w:pPr>
            <w:r>
              <w:rPr>
                <w:rFonts w:hint="eastAsia" w:ascii="宋体" w:hAnsi="宋体" w:eastAsia="宋体" w:cs="宋体"/>
                <w:b w:val="0"/>
                <w:bCs/>
                <w:color w:val="auto"/>
                <w:lang w:val="en-US" w:eastAsia="zh-CN"/>
              </w:rPr>
              <w:t>★</w:t>
            </w:r>
            <w:r>
              <w:rPr>
                <w:rFonts w:hint="eastAsia" w:ascii="宋体" w:hAnsi="宋体" w:eastAsia="宋体" w:cs="宋体"/>
                <w:b w:val="0"/>
                <w:bCs/>
                <w:color w:val="auto"/>
              </w:rPr>
              <w:t>1.3签订合同后15天（日历日）内交货。</w:t>
            </w:r>
          </w:p>
        </w:tc>
      </w:tr>
      <w:tr w14:paraId="2549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Merge w:val="restart"/>
            <w:vAlign w:val="center"/>
          </w:tcPr>
          <w:p w14:paraId="75515968">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2</w:t>
            </w:r>
          </w:p>
        </w:tc>
        <w:tc>
          <w:tcPr>
            <w:tcW w:w="1062" w:type="pct"/>
            <w:vMerge w:val="restart"/>
            <w:vAlign w:val="center"/>
          </w:tcPr>
          <w:p w14:paraId="406C2833">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关于验收</w:t>
            </w:r>
          </w:p>
        </w:tc>
        <w:tc>
          <w:tcPr>
            <w:tcW w:w="3355" w:type="pct"/>
          </w:tcPr>
          <w:p w14:paraId="23CAF0F7">
            <w:pPr>
              <w:keepNext w:val="0"/>
              <w:keepLines w:val="0"/>
              <w:suppressLineNumbers w:val="0"/>
              <w:spacing w:before="0" w:beforeAutospacing="0" w:after="0" w:afterAutospacing="0" w:line="340" w:lineRule="exact"/>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2.1投标人货物经过双方检验认可后，签署验收报告，产品保修期自验收合格之日起算，由投标人提供产品保修文件。</w:t>
            </w:r>
          </w:p>
        </w:tc>
      </w:tr>
      <w:tr w14:paraId="0EB0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Merge w:val="continue"/>
            <w:vAlign w:val="center"/>
          </w:tcPr>
          <w:p w14:paraId="01EBBE96">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1062" w:type="pct"/>
            <w:vMerge w:val="continue"/>
            <w:vAlign w:val="center"/>
          </w:tcPr>
          <w:p w14:paraId="72A9A9B7">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3355" w:type="pct"/>
          </w:tcPr>
          <w:p w14:paraId="0253DFAF">
            <w:pPr>
              <w:keepNext w:val="0"/>
              <w:keepLines w:val="0"/>
              <w:suppressLineNumbers w:val="0"/>
              <w:spacing w:before="0" w:beforeAutospacing="0" w:after="0" w:afterAutospacing="0" w:line="340" w:lineRule="exact"/>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2.2当满足以下条件时，采购人才向中标人签发货物验收报告：</w:t>
            </w:r>
          </w:p>
          <w:p w14:paraId="66B8EC9A">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a、中标人已按照合同规定提供了全部产品及完整的技术资料。</w:t>
            </w:r>
          </w:p>
          <w:p w14:paraId="5F59BA58">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b、货物符合招标文件技术规格书的要求，性能满足要求。</w:t>
            </w:r>
          </w:p>
          <w:p w14:paraId="7B058F03">
            <w:pPr>
              <w:keepNext w:val="0"/>
              <w:keepLines w:val="0"/>
              <w:suppressLineNumbers w:val="0"/>
              <w:tabs>
                <w:tab w:val="left" w:pos="1260"/>
              </w:tabs>
              <w:spacing w:before="0" w:beforeAutospacing="0" w:after="0" w:afterAutospacing="0" w:line="340" w:lineRule="exact"/>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c、货物具备产品合格证。</w:t>
            </w:r>
          </w:p>
        </w:tc>
      </w:tr>
      <w:tr w14:paraId="43BA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Merge w:val="restart"/>
            <w:vAlign w:val="center"/>
          </w:tcPr>
          <w:p w14:paraId="5BDAF1E0">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3</w:t>
            </w:r>
          </w:p>
        </w:tc>
        <w:tc>
          <w:tcPr>
            <w:tcW w:w="1062" w:type="pct"/>
            <w:vMerge w:val="restart"/>
            <w:vAlign w:val="center"/>
          </w:tcPr>
          <w:p w14:paraId="0999625C">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关于违约</w:t>
            </w:r>
          </w:p>
        </w:tc>
        <w:tc>
          <w:tcPr>
            <w:tcW w:w="3355" w:type="pct"/>
          </w:tcPr>
          <w:p w14:paraId="44132AFC">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3.1中标人不能交货的，需偿付不能交货部分货款的</w:t>
            </w:r>
            <w:r>
              <w:rPr>
                <w:rFonts w:hint="eastAsia" w:ascii="宋体" w:hAnsi="宋体" w:eastAsia="宋体" w:cs="宋体"/>
                <w:b w:val="0"/>
                <w:bCs/>
                <w:color w:val="auto"/>
                <w:szCs w:val="21"/>
                <w:u w:val="single"/>
              </w:rPr>
              <w:t xml:space="preserve"> 10</w:t>
            </w:r>
            <w:r>
              <w:rPr>
                <w:rFonts w:hint="eastAsia" w:ascii="宋体" w:hAnsi="宋体" w:eastAsia="宋体" w:cs="宋体"/>
                <w:b w:val="0"/>
                <w:bCs/>
                <w:color w:val="auto"/>
                <w:szCs w:val="21"/>
              </w:rPr>
              <w:t>%的违约金并按主管部门相关规定处理。</w:t>
            </w:r>
          </w:p>
        </w:tc>
      </w:tr>
      <w:tr w14:paraId="3FA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Merge w:val="continue"/>
            <w:vAlign w:val="center"/>
          </w:tcPr>
          <w:p w14:paraId="5A48FB04">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1062" w:type="pct"/>
            <w:vMerge w:val="continue"/>
            <w:vAlign w:val="center"/>
          </w:tcPr>
          <w:p w14:paraId="45FF90B9">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3355" w:type="pct"/>
          </w:tcPr>
          <w:p w14:paraId="584941A6">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3.2中标人逾期交货的，将被没收履约保证金并按主管部门相关规定处理。</w:t>
            </w:r>
          </w:p>
        </w:tc>
      </w:tr>
      <w:tr w14:paraId="1CEC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Merge w:val="continue"/>
            <w:vAlign w:val="center"/>
          </w:tcPr>
          <w:p w14:paraId="5D8D284F">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1062" w:type="pct"/>
            <w:vMerge w:val="continue"/>
            <w:vAlign w:val="center"/>
          </w:tcPr>
          <w:p w14:paraId="51341A3F">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p>
        </w:tc>
        <w:tc>
          <w:tcPr>
            <w:tcW w:w="3355" w:type="pct"/>
          </w:tcPr>
          <w:p w14:paraId="6BCBAE13">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3.3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25A7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Align w:val="center"/>
          </w:tcPr>
          <w:p w14:paraId="6D82F2CC">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4</w:t>
            </w:r>
          </w:p>
        </w:tc>
        <w:tc>
          <w:tcPr>
            <w:tcW w:w="1062" w:type="pct"/>
            <w:vAlign w:val="center"/>
          </w:tcPr>
          <w:p w14:paraId="5AD4452A">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关于付款</w:t>
            </w:r>
          </w:p>
        </w:tc>
        <w:tc>
          <w:tcPr>
            <w:tcW w:w="3355" w:type="pct"/>
          </w:tcPr>
          <w:p w14:paraId="172FC947">
            <w:pPr>
              <w:keepNext w:val="0"/>
              <w:keepLines w:val="0"/>
              <w:suppressLineNumbers w:val="0"/>
              <w:spacing w:before="0" w:beforeAutospacing="0" w:after="0" w:afterAutospacing="0"/>
              <w:ind w:left="0" w:right="0"/>
              <w:rPr>
                <w:rFonts w:hint="eastAsia" w:ascii="宋体" w:hAnsi="宋体" w:eastAsia="宋体" w:cs="宋体"/>
                <w:b w:val="0"/>
                <w:bCs/>
                <w:color w:val="auto"/>
                <w:szCs w:val="21"/>
                <w:lang w:eastAsia="zh-TW"/>
              </w:rPr>
            </w:pPr>
            <w:r>
              <w:rPr>
                <w:rFonts w:hint="eastAsia" w:ascii="宋体" w:hAnsi="宋体" w:eastAsia="宋体" w:cs="宋体"/>
                <w:b w:val="0"/>
                <w:bCs/>
                <w:color w:val="auto"/>
                <w:szCs w:val="21"/>
                <w:lang w:eastAsia="zh-TW"/>
              </w:rPr>
              <w:t>4.1中标人需在签订合同后1</w:t>
            </w:r>
            <w:r>
              <w:rPr>
                <w:rFonts w:hint="eastAsia" w:ascii="宋体" w:hAnsi="宋体" w:eastAsia="宋体" w:cs="宋体"/>
                <w:b w:val="0"/>
                <w:bCs/>
                <w:color w:val="auto"/>
                <w:szCs w:val="21"/>
              </w:rPr>
              <w:t>0</w:t>
            </w:r>
            <w:r>
              <w:rPr>
                <w:rFonts w:hint="eastAsia" w:ascii="宋体" w:hAnsi="宋体" w:eastAsia="宋体" w:cs="宋体"/>
                <w:b w:val="0"/>
                <w:bCs/>
                <w:color w:val="auto"/>
                <w:szCs w:val="21"/>
                <w:lang w:eastAsia="zh-TW"/>
              </w:rPr>
              <w:t>个工作日内以非现金形式支付合同总额的10%（如为中小企业：合同总额的5%）作为履约保证金给采购人，货到安装完成，经采购人验收合格且中标人提供全额增值税发票后，采购人向中标人一次性支付货款的100%；中标人履行完毕本合同全部义务后，中标人向采购人申请退回该履约保证金，采购人收到申请审核同意后，无息返还中标人的履约保证金。因中标人原因而未能达到本项目验收标准或验收不通过的，履约保证金不予退还。</w:t>
            </w:r>
          </w:p>
          <w:p w14:paraId="1F4966FD">
            <w:pPr>
              <w:keepNext w:val="0"/>
              <w:keepLines w:val="0"/>
              <w:suppressLineNumbers w:val="0"/>
              <w:spacing w:before="0" w:beforeAutospacing="0" w:after="0" w:afterAutospacing="0"/>
              <w:ind w:left="0" w:right="0"/>
              <w:rPr>
                <w:rFonts w:hint="eastAsia" w:ascii="宋体" w:hAnsi="宋体" w:eastAsia="宋体" w:cs="宋体"/>
                <w:b w:val="0"/>
                <w:bCs/>
                <w:color w:val="auto"/>
                <w:szCs w:val="21"/>
                <w:lang w:eastAsia="zh-TW"/>
              </w:rPr>
            </w:pPr>
            <w:r>
              <w:rPr>
                <w:rFonts w:hint="eastAsia" w:ascii="宋体" w:hAnsi="宋体" w:eastAsia="宋体" w:cs="宋体"/>
                <w:b w:val="0"/>
                <w:bCs/>
                <w:color w:val="auto"/>
                <w:szCs w:val="21"/>
                <w:lang w:eastAsia="zh-TW"/>
              </w:rPr>
              <w:t>4.2支付合同款项前，中标人需向采购人提供与支付金额相符的有效发票，且收款方、出具发票方、合同乙方均必须与中标人名称一致。</w:t>
            </w:r>
          </w:p>
          <w:p w14:paraId="3454C3C1">
            <w:pPr>
              <w:keepNext w:val="0"/>
              <w:keepLines w:val="0"/>
              <w:suppressLineNumbers w:val="0"/>
              <w:spacing w:before="0" w:beforeAutospacing="0" w:after="0" w:afterAutospacing="0"/>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4.3违约责任：</w:t>
            </w:r>
            <w:r>
              <w:rPr>
                <w:rFonts w:hint="eastAsia" w:ascii="宋体" w:hAnsi="宋体" w:eastAsia="宋体" w:cs="宋体"/>
                <w:b w:val="0"/>
                <w:bCs/>
                <w:color w:val="auto"/>
                <w:szCs w:val="21"/>
                <w:lang w:eastAsia="zh-TW"/>
              </w:rPr>
              <w:t>采购人逾期</w:t>
            </w:r>
            <w:r>
              <w:rPr>
                <w:rFonts w:hint="eastAsia" w:ascii="宋体" w:hAnsi="宋体" w:eastAsia="宋体" w:cs="宋体"/>
                <w:b w:val="0"/>
                <w:bCs/>
                <w:color w:val="auto"/>
                <w:szCs w:val="21"/>
              </w:rPr>
              <w:t>支付合同款项</w:t>
            </w:r>
            <w:r>
              <w:rPr>
                <w:rFonts w:hint="eastAsia" w:ascii="宋体" w:hAnsi="宋体" w:eastAsia="宋体" w:cs="宋体"/>
                <w:b w:val="0"/>
                <w:bCs/>
                <w:color w:val="auto"/>
                <w:szCs w:val="21"/>
                <w:lang w:eastAsia="zh-TW"/>
              </w:rPr>
              <w:t>的，除应当</w:t>
            </w:r>
            <w:r>
              <w:rPr>
                <w:rFonts w:hint="eastAsia" w:ascii="宋体" w:hAnsi="宋体" w:eastAsia="宋体" w:cs="宋体"/>
                <w:b w:val="0"/>
                <w:bCs/>
                <w:color w:val="auto"/>
                <w:szCs w:val="21"/>
              </w:rPr>
              <w:t>支付合同款项</w:t>
            </w:r>
            <w:r>
              <w:rPr>
                <w:rFonts w:hint="eastAsia" w:ascii="宋体" w:hAnsi="宋体" w:eastAsia="宋体" w:cs="宋体"/>
                <w:b w:val="0"/>
                <w:bCs/>
                <w:color w:val="auto"/>
                <w:szCs w:val="21"/>
                <w:lang w:eastAsia="zh-TW"/>
              </w:rPr>
              <w:t>外，还应当每日按合同总价的3‰向</w:t>
            </w:r>
            <w:r>
              <w:rPr>
                <w:rFonts w:hint="eastAsia" w:ascii="宋体" w:hAnsi="宋体" w:eastAsia="宋体" w:cs="宋体"/>
                <w:b w:val="0"/>
                <w:bCs/>
                <w:color w:val="auto"/>
                <w:szCs w:val="21"/>
              </w:rPr>
              <w:t>中标人</w:t>
            </w:r>
            <w:r>
              <w:rPr>
                <w:rFonts w:hint="eastAsia" w:ascii="宋体" w:hAnsi="宋体" w:eastAsia="宋体" w:cs="宋体"/>
                <w:b w:val="0"/>
                <w:bCs/>
                <w:color w:val="auto"/>
                <w:szCs w:val="21"/>
                <w:lang w:eastAsia="zh-TW"/>
              </w:rPr>
              <w:t>偿付违约金，但因中标人自身原因导致无法及时</w:t>
            </w:r>
            <w:r>
              <w:rPr>
                <w:rFonts w:hint="eastAsia" w:ascii="宋体" w:hAnsi="宋体" w:eastAsia="宋体" w:cs="宋体"/>
                <w:b w:val="0"/>
                <w:bCs/>
                <w:color w:val="auto"/>
                <w:szCs w:val="21"/>
              </w:rPr>
              <w:t>支付</w:t>
            </w:r>
            <w:r>
              <w:rPr>
                <w:rFonts w:hint="eastAsia" w:ascii="宋体" w:hAnsi="宋体" w:eastAsia="宋体" w:cs="宋体"/>
                <w:b w:val="0"/>
                <w:bCs/>
                <w:color w:val="auto"/>
                <w:szCs w:val="21"/>
                <w:lang w:eastAsia="zh-TW"/>
              </w:rPr>
              <w:t>的除外</w:t>
            </w:r>
            <w:r>
              <w:rPr>
                <w:rFonts w:hint="eastAsia" w:ascii="宋体" w:hAnsi="宋体" w:eastAsia="宋体" w:cs="宋体"/>
                <w:b w:val="0"/>
                <w:bCs/>
                <w:color w:val="auto"/>
                <w:szCs w:val="21"/>
              </w:rPr>
              <w:t>。</w:t>
            </w:r>
          </w:p>
        </w:tc>
      </w:tr>
      <w:tr w14:paraId="3D2C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Align w:val="center"/>
          </w:tcPr>
          <w:p w14:paraId="3DC5A273">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lang w:eastAsia="zh-CN"/>
              </w:rPr>
            </w:pPr>
            <w:r>
              <w:rPr>
                <w:rFonts w:hint="eastAsia" w:ascii="宋体" w:hAnsi="宋体" w:eastAsia="宋体" w:cs="宋体"/>
                <w:b w:val="0"/>
                <w:bCs/>
                <w:color w:val="auto"/>
                <w:szCs w:val="21"/>
                <w:lang w:val="en-US" w:eastAsia="zh-CN"/>
              </w:rPr>
              <w:t>5</w:t>
            </w:r>
          </w:p>
        </w:tc>
        <w:tc>
          <w:tcPr>
            <w:tcW w:w="1062" w:type="pct"/>
            <w:vAlign w:val="center"/>
          </w:tcPr>
          <w:p w14:paraId="7EDA3F8A">
            <w:pPr>
              <w:keepNext w:val="0"/>
              <w:keepLines w:val="0"/>
              <w:suppressLineNumbers w:val="0"/>
              <w:tabs>
                <w:tab w:val="left" w:pos="540"/>
              </w:tabs>
              <w:adjustRightInd w:val="0"/>
              <w:snapToGrid w:val="0"/>
              <w:spacing w:before="0" w:beforeAutospacing="0" w:after="0" w:afterAutospacing="0" w:line="360" w:lineRule="auto"/>
              <w:ind w:left="0" w:right="0"/>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知识产权合规承诺</w:t>
            </w:r>
          </w:p>
        </w:tc>
        <w:tc>
          <w:tcPr>
            <w:tcW w:w="3355" w:type="pct"/>
          </w:tcPr>
          <w:p w14:paraId="41CCEB27">
            <w:pPr>
              <w:keepNext w:val="0"/>
              <w:keepLines w:val="0"/>
              <w:suppressLineNumbers w:val="0"/>
              <w:spacing w:before="0" w:beforeAutospacing="0" w:after="0" w:afterAutospacing="0"/>
              <w:ind w:left="0" w:right="0"/>
              <w:rPr>
                <w:rFonts w:hint="eastAsia" w:ascii="宋体" w:hAnsi="宋体" w:eastAsia="宋体" w:cs="宋体"/>
                <w:b w:val="0"/>
                <w:bCs/>
                <w:color w:val="auto"/>
                <w:kern w:val="0"/>
                <w:szCs w:val="21"/>
              </w:rPr>
            </w:pPr>
            <w:r>
              <w:rPr>
                <w:rFonts w:hint="eastAsia" w:ascii="宋体" w:hAnsi="宋体" w:eastAsia="宋体" w:cs="宋体"/>
                <w:b w:val="0"/>
                <w:bCs/>
                <w:color w:val="auto"/>
                <w:szCs w:val="21"/>
              </w:rPr>
              <w:t>★</w:t>
            </w:r>
            <w:r>
              <w:rPr>
                <w:rFonts w:hint="eastAsia" w:ascii="宋体" w:hAnsi="宋体" w:eastAsia="宋体" w:cs="宋体"/>
                <w:b w:val="0"/>
                <w:bCs/>
                <w:color w:val="auto"/>
                <w:kern w:val="0"/>
                <w:szCs w:val="21"/>
                <w:lang w:val="en-US" w:eastAsia="zh-CN" w:bidi="ar"/>
              </w:rPr>
              <w:t>5</w:t>
            </w:r>
            <w:r>
              <w:rPr>
                <w:rFonts w:hint="eastAsia" w:ascii="宋体" w:hAnsi="宋体" w:eastAsia="宋体" w:cs="宋体"/>
                <w:b w:val="0"/>
                <w:bCs/>
                <w:color w:val="auto"/>
                <w:kern w:val="0"/>
                <w:szCs w:val="21"/>
                <w:lang w:bidi="ar"/>
              </w:rPr>
              <w:t>.1中标人在履行合同的过程中不得侵犯他人知识产权，不得提供虚假知识产权申请材料或者违背知识产权合规性承诺，否则依法追究其违约等责任，并将其失信违法信息依法纳入公共信用信息系统。</w:t>
            </w:r>
          </w:p>
          <w:p w14:paraId="6D65FE6C">
            <w:pPr>
              <w:keepNext w:val="0"/>
              <w:keepLines w:val="0"/>
              <w:suppressLineNumbers w:val="0"/>
              <w:spacing w:before="0" w:beforeAutospacing="0" w:after="0" w:afterAutospacing="0"/>
              <w:ind w:left="0" w:right="0"/>
              <w:rPr>
                <w:rFonts w:hint="eastAsia" w:ascii="宋体" w:hAnsi="宋体" w:eastAsia="宋体" w:cs="宋体"/>
                <w:b w:val="0"/>
                <w:bCs/>
                <w:color w:val="auto"/>
                <w:kern w:val="0"/>
                <w:szCs w:val="21"/>
              </w:rPr>
            </w:pPr>
            <w:r>
              <w:rPr>
                <w:rFonts w:hint="eastAsia" w:ascii="宋体" w:hAnsi="宋体" w:eastAsia="宋体" w:cs="宋体"/>
                <w:b w:val="0"/>
                <w:bCs/>
                <w:color w:val="auto"/>
                <w:szCs w:val="21"/>
              </w:rPr>
              <w:t>★</w:t>
            </w:r>
            <w:r>
              <w:rPr>
                <w:rFonts w:hint="eastAsia" w:ascii="宋体" w:hAnsi="宋体" w:eastAsia="宋体" w:cs="宋体"/>
                <w:b w:val="0"/>
                <w:bCs/>
                <w:color w:val="auto"/>
                <w:kern w:val="0"/>
                <w:szCs w:val="21"/>
                <w:lang w:val="en-US" w:eastAsia="zh-CN" w:bidi="ar"/>
              </w:rPr>
              <w:t>5</w:t>
            </w:r>
            <w:r>
              <w:rPr>
                <w:rFonts w:hint="eastAsia" w:ascii="宋体" w:hAnsi="宋体" w:eastAsia="宋体" w:cs="宋体"/>
                <w:b w:val="0"/>
                <w:bCs/>
                <w:color w:val="auto"/>
                <w:kern w:val="0"/>
                <w:szCs w:val="21"/>
                <w:lang w:bidi="ar"/>
              </w:rPr>
              <w:t>.2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378AEF0A">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szCs w:val="21"/>
              </w:rPr>
            </w:pPr>
            <w:r>
              <w:rPr>
                <w:rFonts w:hint="eastAsia" w:ascii="宋体" w:hAnsi="宋体" w:eastAsia="宋体" w:cs="宋体"/>
                <w:b w:val="0"/>
                <w:bCs/>
                <w:color w:val="auto"/>
                <w:szCs w:val="21"/>
              </w:rPr>
              <w:t>★</w:t>
            </w:r>
            <w:r>
              <w:rPr>
                <w:rFonts w:hint="eastAsia" w:ascii="宋体" w:hAnsi="宋体" w:eastAsia="宋体" w:cs="宋体"/>
                <w:b w:val="0"/>
                <w:bCs/>
                <w:color w:val="auto"/>
                <w:kern w:val="0"/>
                <w:szCs w:val="21"/>
                <w:lang w:val="en-US" w:eastAsia="zh-CN" w:bidi="ar"/>
              </w:rPr>
              <w:t>5</w:t>
            </w:r>
            <w:r>
              <w:rPr>
                <w:rFonts w:hint="eastAsia" w:ascii="宋体" w:hAnsi="宋体" w:eastAsia="宋体" w:cs="宋体"/>
                <w:b w:val="0"/>
                <w:bCs/>
                <w:color w:val="auto"/>
                <w:kern w:val="0"/>
                <w:szCs w:val="21"/>
                <w:lang w:bidi="ar"/>
              </w:rPr>
              <w:t>.3中标人实施本项目所形成成果的知识产权归采购人所有，未经采购人许可，中标人不得随意使用。</w:t>
            </w:r>
          </w:p>
        </w:tc>
      </w:tr>
      <w:tr w14:paraId="3598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Align w:val="center"/>
          </w:tcPr>
          <w:p w14:paraId="03475AB2">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6</w:t>
            </w:r>
          </w:p>
        </w:tc>
        <w:tc>
          <w:tcPr>
            <w:tcW w:w="1062" w:type="pct"/>
            <w:vAlign w:val="center"/>
          </w:tcPr>
          <w:p w14:paraId="161ECFDE">
            <w:pPr>
              <w:keepNext w:val="0"/>
              <w:keepLines w:val="0"/>
              <w:suppressLineNumbers w:val="0"/>
              <w:tabs>
                <w:tab w:val="left" w:pos="540"/>
              </w:tabs>
              <w:adjustRightInd w:val="0"/>
              <w:snapToGrid w:val="0"/>
              <w:spacing w:before="0" w:beforeAutospacing="0" w:after="0" w:afterAutospacing="0" w:line="360" w:lineRule="auto"/>
              <w:ind w:left="0" w:right="0"/>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人员安排要求</w:t>
            </w:r>
          </w:p>
        </w:tc>
        <w:tc>
          <w:tcPr>
            <w:tcW w:w="3355" w:type="pct"/>
          </w:tcPr>
          <w:p w14:paraId="339E4FE0">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bidi="ar"/>
              </w:rPr>
            </w:pPr>
            <w:r>
              <w:rPr>
                <w:rFonts w:hint="eastAsia" w:ascii="宋体" w:hAnsi="宋体" w:eastAsia="宋体" w:cs="宋体"/>
                <w:b w:val="0"/>
                <w:bCs/>
                <w:color w:val="auto"/>
                <w:kern w:val="0"/>
                <w:szCs w:val="21"/>
                <w:lang w:val="en-US" w:eastAsia="zh-CN" w:bidi="ar"/>
              </w:rPr>
              <w:t>6.1</w:t>
            </w:r>
            <w:r>
              <w:rPr>
                <w:rFonts w:hint="eastAsia" w:ascii="宋体" w:hAnsi="宋体" w:eastAsia="宋体" w:cs="宋体"/>
                <w:b w:val="0"/>
                <w:bCs/>
                <w:color w:val="auto"/>
                <w:kern w:val="0"/>
                <w:szCs w:val="21"/>
                <w:lang w:bidi="ar"/>
              </w:rPr>
              <w:t>中标人须根据本项目的实际情况，为本项目指定合格的项目负责人，并配备足够人员和技术力量的专门团队，项目团队人员需具备项目相关的专业能力及工作经验，确保项目工作高质量完成。</w:t>
            </w:r>
          </w:p>
        </w:tc>
      </w:tr>
      <w:tr w14:paraId="0E32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82" w:type="pct"/>
            <w:vAlign w:val="center"/>
          </w:tcPr>
          <w:p w14:paraId="5AED86B9">
            <w:pPr>
              <w:keepNext w:val="0"/>
              <w:keepLines w:val="0"/>
              <w:suppressLineNumbers w:val="0"/>
              <w:spacing w:before="0" w:beforeAutospacing="0" w:after="0" w:afterAutospacing="0"/>
              <w:ind w:left="0" w:right="0"/>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7</w:t>
            </w:r>
          </w:p>
        </w:tc>
        <w:tc>
          <w:tcPr>
            <w:tcW w:w="1062" w:type="pct"/>
            <w:vAlign w:val="center"/>
          </w:tcPr>
          <w:p w14:paraId="728B7177">
            <w:pPr>
              <w:keepNext w:val="0"/>
              <w:keepLines w:val="0"/>
              <w:suppressLineNumbers w:val="0"/>
              <w:tabs>
                <w:tab w:val="left" w:pos="540"/>
              </w:tabs>
              <w:adjustRightInd w:val="0"/>
              <w:snapToGrid w:val="0"/>
              <w:spacing w:before="0" w:beforeAutospacing="0" w:after="0" w:afterAutospacing="0" w:line="360" w:lineRule="auto"/>
              <w:ind w:left="0" w:right="0"/>
              <w:jc w:val="center"/>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报价要求</w:t>
            </w:r>
          </w:p>
        </w:tc>
        <w:tc>
          <w:tcPr>
            <w:tcW w:w="3355" w:type="pct"/>
          </w:tcPr>
          <w:p w14:paraId="558C623D">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4A63532">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7.2投标人的投标报价，应是本项目招标范围和招标文件及合同条款上所列的各项内容中所述的全部，不得以任何理由予以重复，并以投标人在投标文件中提出的综合单价或总价为依据。</w:t>
            </w:r>
          </w:p>
          <w:p w14:paraId="14C9C230">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6C9AA153">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7.4投标人应充分了解项目的位置、情况、道路及任何其它足以影响投标报价的情况，任何因忽视或误解项目情况而导致的索赔或服务期限延长申请将不获批准。</w:t>
            </w:r>
          </w:p>
          <w:p w14:paraId="22F6DF89">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7.5投标人不得期望通过索赔等方式获取补偿，否则，除可能遭到拒绝外，还可能将被作为不良行为记录在案，并可能影响其以后参加政府采购的项目投标。各投标人在投标报价时，应充分考虑投标报价的风险。</w:t>
            </w:r>
          </w:p>
          <w:p w14:paraId="0A90B1C6">
            <w:pPr>
              <w:keepNext w:val="0"/>
              <w:keepLines w:val="0"/>
              <w:suppressLineNumbers w:val="0"/>
              <w:tabs>
                <w:tab w:val="left" w:pos="540"/>
              </w:tabs>
              <w:adjustRightInd w:val="0"/>
              <w:snapToGrid w:val="0"/>
              <w:spacing w:before="0" w:beforeAutospacing="0" w:after="0" w:afterAutospacing="0" w:line="360" w:lineRule="auto"/>
              <w:ind w:left="0" w:right="0"/>
              <w:rPr>
                <w:rFonts w:hint="eastAsia" w:ascii="宋体" w:hAnsi="宋体" w:eastAsia="宋体" w:cs="宋体"/>
                <w:b w:val="0"/>
                <w:bCs/>
                <w:color w:val="auto"/>
                <w:kern w:val="0"/>
                <w:szCs w:val="21"/>
                <w:lang w:val="en-US" w:eastAsia="zh-CN" w:bidi="ar"/>
              </w:rPr>
            </w:pPr>
            <w:r>
              <w:rPr>
                <w:rFonts w:hint="eastAsia" w:ascii="宋体" w:hAnsi="宋体" w:eastAsia="宋体" w:cs="宋体"/>
                <w:b w:val="0"/>
                <w:bCs/>
                <w:color w:val="auto"/>
                <w:kern w:val="0"/>
                <w:szCs w:val="21"/>
                <w:lang w:val="en-US" w:eastAsia="zh-CN" w:bidi="ar"/>
              </w:rPr>
              <w:t>7.6投标人须考虑本项目在实施期间的一切可能产生的费用。在项目实施过程中，如项目工作范围发生变更，由中标人和采购人双方协商解决；其余情况下，投标总价均不予调整。</w:t>
            </w:r>
          </w:p>
        </w:tc>
      </w:tr>
    </w:tbl>
    <w:p w14:paraId="6DBA33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5FD2B10"/>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9A50E8"/>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0E943BC"/>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8A766C"/>
    <w:rsid w:val="359B703E"/>
    <w:rsid w:val="35D958F9"/>
    <w:rsid w:val="360B1E2F"/>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76F28"/>
    <w:rsid w:val="47CC6923"/>
    <w:rsid w:val="480E207F"/>
    <w:rsid w:val="480F6038"/>
    <w:rsid w:val="48576465"/>
    <w:rsid w:val="48FC2DB1"/>
    <w:rsid w:val="49522D5E"/>
    <w:rsid w:val="49A02651"/>
    <w:rsid w:val="49C47659"/>
    <w:rsid w:val="49DF11B1"/>
    <w:rsid w:val="49EB7B56"/>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0D4104"/>
    <w:rsid w:val="6D264A09"/>
    <w:rsid w:val="6D285EEE"/>
    <w:rsid w:val="6D3A4256"/>
    <w:rsid w:val="6D912FC0"/>
    <w:rsid w:val="6DAB2AD4"/>
    <w:rsid w:val="6DB4632D"/>
    <w:rsid w:val="6DDE162C"/>
    <w:rsid w:val="6E1172F4"/>
    <w:rsid w:val="6E196680"/>
    <w:rsid w:val="6E380D0C"/>
    <w:rsid w:val="6E9B061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257A51"/>
    <w:rsid w:val="77813724"/>
    <w:rsid w:val="778E6FF9"/>
    <w:rsid w:val="77BC650A"/>
    <w:rsid w:val="77D50689"/>
    <w:rsid w:val="781A4D46"/>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unhideWhenUsed/>
    <w:qFormat/>
    <w:uiPriority w:val="99"/>
    <w:pPr>
      <w:jc w:val="left"/>
    </w:pPr>
  </w:style>
  <w:style w:type="paragraph" w:styleId="7">
    <w:name w:val="Body Text"/>
    <w:basedOn w:val="1"/>
    <w:next w:val="8"/>
    <w:autoRedefine/>
    <w:qFormat/>
    <w:uiPriority w:val="0"/>
    <w:pPr>
      <w:spacing w:after="120"/>
    </w:pPr>
  </w:style>
  <w:style w:type="paragraph" w:customStyle="1" w:styleId="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9">
    <w:name w:val="Body Text Indent"/>
    <w:basedOn w:val="1"/>
    <w:autoRedefine/>
    <w:unhideWhenUsed/>
    <w:qFormat/>
    <w:uiPriority w:val="99"/>
    <w:pPr>
      <w:spacing w:after="120"/>
      <w:ind w:left="420" w:leftChars="200"/>
    </w:pPr>
  </w:style>
  <w:style w:type="paragraph" w:styleId="10">
    <w:name w:val="Plain Text"/>
    <w:basedOn w:val="1"/>
    <w:link w:val="37"/>
    <w:autoRedefine/>
    <w:qFormat/>
    <w:uiPriority w:val="0"/>
    <w:rPr>
      <w:rFonts w:ascii="宋体" w:hAnsi="Courier New" w:eastAsiaTheme="minorEastAsia" w:cstheme="minorBidi"/>
    </w:rPr>
  </w:style>
  <w:style w:type="paragraph" w:styleId="11">
    <w:name w:val="Date"/>
    <w:basedOn w:val="1"/>
    <w:next w:val="1"/>
    <w:link w:val="29"/>
    <w:autoRedefine/>
    <w:qFormat/>
    <w:uiPriority w:val="0"/>
    <w:rPr>
      <w:rFonts w:ascii="宋体" w:hAnsi="Courier New"/>
      <w:kern w:val="0"/>
      <w:sz w:val="32"/>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5"/>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character" w:customStyle="1" w:styleId="28">
    <w:name w:val="日期 Char"/>
    <w:basedOn w:val="22"/>
    <w:link w:val="11"/>
    <w:autoRedefine/>
    <w:qFormat/>
    <w:uiPriority w:val="0"/>
    <w:rPr>
      <w:rFonts w:ascii="宋体" w:hAnsi="Courier New" w:eastAsia="宋体" w:cs="Times New Roman"/>
      <w:kern w:val="0"/>
      <w:sz w:val="32"/>
      <w:szCs w:val="20"/>
    </w:rPr>
  </w:style>
  <w:style w:type="character" w:customStyle="1" w:styleId="29">
    <w:name w:val="日期 Char1"/>
    <w:basedOn w:val="22"/>
    <w:link w:val="11"/>
    <w:autoRedefine/>
    <w:semiHidden/>
    <w:qFormat/>
    <w:uiPriority w:val="99"/>
    <w:rPr>
      <w:rFonts w:ascii="Calibri" w:hAnsi="Calibri" w:eastAsia="宋体" w:cs="Times New Roman"/>
    </w:rPr>
  </w:style>
  <w:style w:type="character" w:customStyle="1" w:styleId="30">
    <w:name w:val="批注框文本 Char"/>
    <w:basedOn w:val="22"/>
    <w:link w:val="12"/>
    <w:autoRedefine/>
    <w:semiHidden/>
    <w:qFormat/>
    <w:uiPriority w:val="99"/>
    <w:rPr>
      <w:rFonts w:ascii="Calibri" w:hAnsi="Calibri" w:eastAsia="宋体" w:cs="Times New Roman"/>
      <w:sz w:val="18"/>
      <w:szCs w:val="18"/>
    </w:rPr>
  </w:style>
  <w:style w:type="character" w:customStyle="1" w:styleId="31">
    <w:name w:val="页眉 Char"/>
    <w:basedOn w:val="22"/>
    <w:link w:val="14"/>
    <w:autoRedefine/>
    <w:semiHidden/>
    <w:qFormat/>
    <w:uiPriority w:val="99"/>
    <w:rPr>
      <w:rFonts w:ascii="Calibri" w:hAnsi="Calibri" w:eastAsia="宋体" w:cs="Times New Roman"/>
      <w:sz w:val="18"/>
      <w:szCs w:val="18"/>
    </w:rPr>
  </w:style>
  <w:style w:type="character" w:customStyle="1" w:styleId="32">
    <w:name w:val="页脚 Char"/>
    <w:basedOn w:val="22"/>
    <w:link w:val="13"/>
    <w:autoRedefine/>
    <w:qFormat/>
    <w:uiPriority w:val="99"/>
    <w:rPr>
      <w:rFonts w:ascii="Calibri" w:hAnsi="Calibri" w:eastAsia="宋体" w:cs="Times New Roman"/>
      <w:sz w:val="18"/>
      <w:szCs w:val="18"/>
    </w:rPr>
  </w:style>
  <w:style w:type="character" w:customStyle="1" w:styleId="33">
    <w:name w:val="标题 1 Char"/>
    <w:basedOn w:val="22"/>
    <w:link w:val="2"/>
    <w:autoRedefine/>
    <w:qFormat/>
    <w:uiPriority w:val="0"/>
    <w:rPr>
      <w:rFonts w:ascii="宋体" w:hAnsi="Calibri" w:eastAsia="宋体" w:cs="Times New Roman"/>
      <w:color w:val="000000"/>
      <w:sz w:val="28"/>
      <w:szCs w:val="20"/>
    </w:rPr>
  </w:style>
  <w:style w:type="character" w:customStyle="1" w:styleId="34">
    <w:name w:val="批注文字 Char"/>
    <w:basedOn w:val="22"/>
    <w:link w:val="6"/>
    <w:autoRedefine/>
    <w:qFormat/>
    <w:uiPriority w:val="99"/>
    <w:rPr>
      <w:rFonts w:ascii="Calibri" w:hAnsi="Calibri" w:eastAsia="宋体" w:cs="Times New Roman"/>
    </w:rPr>
  </w:style>
  <w:style w:type="character" w:customStyle="1" w:styleId="35">
    <w:name w:val="批注主题 Char"/>
    <w:basedOn w:val="34"/>
    <w:link w:val="18"/>
    <w:autoRedefine/>
    <w:semiHidden/>
    <w:qFormat/>
    <w:uiPriority w:val="99"/>
    <w:rPr>
      <w:b/>
      <w:bCs/>
    </w:rPr>
  </w:style>
  <w:style w:type="character" w:customStyle="1" w:styleId="36">
    <w:name w:val="纯文本 Char"/>
    <w:link w:val="10"/>
    <w:autoRedefine/>
    <w:qFormat/>
    <w:uiPriority w:val="0"/>
    <w:rPr>
      <w:rFonts w:ascii="宋体" w:hAnsi="Courier New"/>
    </w:rPr>
  </w:style>
  <w:style w:type="character" w:customStyle="1" w:styleId="37">
    <w:name w:val="纯文本 Char1"/>
    <w:basedOn w:val="22"/>
    <w:link w:val="10"/>
    <w:autoRedefine/>
    <w:semiHidden/>
    <w:qFormat/>
    <w:uiPriority w:val="99"/>
    <w:rPr>
      <w:rFonts w:ascii="宋体" w:hAnsi="Courier New" w:eastAsia="宋体" w:cs="Courier New"/>
      <w:szCs w:val="21"/>
    </w:rPr>
  </w:style>
  <w:style w:type="character" w:customStyle="1" w:styleId="38">
    <w:name w:val="标题 2 Char"/>
    <w:basedOn w:val="22"/>
    <w:link w:val="3"/>
    <w:autoRedefine/>
    <w:qFormat/>
    <w:uiPriority w:val="0"/>
    <w:rPr>
      <w:rFonts w:ascii="Arial" w:hAnsi="Arial" w:eastAsia="宋体" w:cs="Times New Roman"/>
      <w:b/>
      <w:bCs/>
      <w:sz w:val="32"/>
      <w:szCs w:val="32"/>
    </w:rPr>
  </w:style>
  <w:style w:type="paragraph" w:styleId="39">
    <w:name w:val="List Paragraph"/>
    <w:basedOn w:val="1"/>
    <w:autoRedefine/>
    <w:qFormat/>
    <w:uiPriority w:val="34"/>
    <w:pPr>
      <w:ind w:firstLine="420" w:firstLineChars="200"/>
    </w:pPr>
  </w:style>
  <w:style w:type="character" w:customStyle="1" w:styleId="40">
    <w:name w:val="标题 3 Char"/>
    <w:basedOn w:val="22"/>
    <w:link w:val="4"/>
    <w:autoRedefine/>
    <w:semiHidden/>
    <w:qFormat/>
    <w:uiPriority w:val="9"/>
    <w:rPr>
      <w:rFonts w:ascii="Calibri" w:hAnsi="Calibri" w:eastAsia="宋体" w:cs="Times New Roman"/>
      <w:b/>
      <w:bCs/>
      <w:sz w:val="32"/>
      <w:szCs w:val="32"/>
    </w:rPr>
  </w:style>
  <w:style w:type="character" w:customStyle="1" w:styleId="41">
    <w:name w:val="标题 4 Char"/>
    <w:basedOn w:val="22"/>
    <w:link w:val="5"/>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10"/>
    <w:autoRedefine/>
    <w:qFormat/>
    <w:uiPriority w:val="0"/>
    <w:rPr>
      <w:rFonts w:ascii="宋体" w:hAnsi="Courier New"/>
      <w:szCs w:val="20"/>
    </w:rPr>
  </w:style>
  <w:style w:type="paragraph" w:customStyle="1" w:styleId="44">
    <w:name w:val="8"/>
    <w:basedOn w:val="1"/>
    <w:next w:val="10"/>
    <w:autoRedefine/>
    <w:qFormat/>
    <w:uiPriority w:val="0"/>
    <w:rPr>
      <w:rFonts w:ascii="宋体" w:hAnsi="Courier New"/>
      <w:szCs w:val="20"/>
    </w:rPr>
  </w:style>
  <w:style w:type="paragraph" w:customStyle="1" w:styleId="45">
    <w:name w:val="_Style 55"/>
    <w:basedOn w:val="1"/>
    <w:next w:val="10"/>
    <w:autoRedefine/>
    <w:qFormat/>
    <w:uiPriority w:val="0"/>
    <w:rPr>
      <w:rFonts w:ascii="宋体" w:hAnsi="Courier New"/>
      <w:szCs w:val="20"/>
    </w:rPr>
  </w:style>
  <w:style w:type="paragraph" w:customStyle="1" w:styleId="46">
    <w:name w:val="7"/>
    <w:basedOn w:val="1"/>
    <w:next w:val="10"/>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39"/>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3530</Words>
  <Characters>3589</Characters>
  <Lines>229</Lines>
  <Paragraphs>64</Paragraphs>
  <TotalTime>1</TotalTime>
  <ScaleCrop>false</ScaleCrop>
  <LinksUpToDate>false</LinksUpToDate>
  <CharactersWithSpaces>3604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2025-08-20T01:26:18Z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