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p>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w:t>
      </w:r>
      <w:r>
        <w:rPr>
          <w:rFonts w:hint="eastAsia" w:ascii="宋体" w:hAnsi="宋体" w:cs="宋体"/>
          <w:b/>
          <w:bCs/>
          <w:color w:val="FF0000"/>
          <w:sz w:val="21"/>
          <w:szCs w:val="21"/>
          <w:highlight w:val="yellow"/>
          <w:lang w:val="en-US" w:eastAsia="zh-CN"/>
        </w:rPr>
        <w:t>参考</w:t>
      </w:r>
      <w:r>
        <w:rPr>
          <w:rFonts w:hint="eastAsia" w:ascii="宋体" w:hAnsi="宋体" w:eastAsia="宋体" w:cs="宋体"/>
          <w:b/>
          <w:bCs/>
          <w:color w:val="FF0000"/>
          <w:sz w:val="21"/>
          <w:szCs w:val="21"/>
          <w:highlight w:val="yellow"/>
          <w:lang w:val="en-US" w:eastAsia="zh-CN"/>
        </w:rPr>
        <w:t>政府采购活动</w:t>
      </w:r>
      <w:r>
        <w:rPr>
          <w:rFonts w:hint="eastAsia" w:ascii="宋体" w:hAnsi="宋体" w:cs="宋体"/>
          <w:b/>
          <w:bCs/>
          <w:color w:val="FF0000"/>
          <w:sz w:val="21"/>
          <w:szCs w:val="21"/>
          <w:highlight w:val="yellow"/>
          <w:lang w:val="en-US" w:eastAsia="zh-CN"/>
        </w:rPr>
        <w:t>，</w:t>
      </w:r>
      <w:r>
        <w:rPr>
          <w:rFonts w:hint="eastAsia" w:ascii="宋体" w:hAnsi="宋体" w:eastAsia="宋体" w:cs="宋体"/>
          <w:b/>
          <w:bCs/>
          <w:color w:val="FF0000"/>
          <w:sz w:val="21"/>
          <w:szCs w:val="21"/>
          <w:highlight w:val="yellow"/>
          <w:lang w:val="en-US" w:eastAsia="zh-CN"/>
        </w:rPr>
        <w:t>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hint="eastAsia" w:ascii="黑体" w:hAnsi="宋体" w:eastAsia="黑体" w:cs="黑体"/>
          <w:kern w:val="0"/>
          <w:sz w:val="40"/>
          <w:szCs w:val="40"/>
        </w:rPr>
      </w:pPr>
    </w:p>
    <w:p>
      <w:pPr>
        <w:widowControl/>
        <w:spacing w:beforeAutospacing="1" w:afterAutospacing="1"/>
        <w:jc w:val="center"/>
        <w:outlineLvl w:val="1"/>
        <w:rPr>
          <w:rFonts w:hint="eastAsia" w:ascii="黑体" w:hAnsi="宋体" w:eastAsia="黑体" w:cs="黑体"/>
          <w:kern w:val="0"/>
          <w:sz w:val="40"/>
          <w:szCs w:val="40"/>
        </w:rPr>
      </w:pPr>
    </w:p>
    <w:p>
      <w:pPr>
        <w:widowControl/>
        <w:spacing w:beforeAutospacing="1" w:afterAutospacing="1"/>
        <w:jc w:val="center"/>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2090" w:bottom="1440" w:left="1417" w:header="851" w:footer="992" w:gutter="0"/>
          <w:cols w:space="720" w:num="1"/>
          <w:titlePg/>
          <w:docGrid w:linePitch="462" w:charSpace="0"/>
        </w:sectPr>
      </w:pPr>
    </w:p>
    <w:p>
      <w:pPr>
        <w:pStyle w:val="2"/>
        <w:rPr>
          <w:rFonts w:hint="eastAsia"/>
        </w:rPr>
      </w:pPr>
    </w:p>
    <w:p>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p>
      <w:pPr>
        <w:pStyle w:val="39"/>
        <w:widowControl/>
        <w:ind w:firstLine="2400" w:firstLineChars="800"/>
        <w:jc w:val="both"/>
        <w:outlineLvl w:val="1"/>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项目编号：FTZXCG-2025-00086</w:t>
      </w:r>
    </w:p>
    <w:p>
      <w:pPr>
        <w:pStyle w:val="39"/>
        <w:widowControl/>
        <w:jc w:val="center"/>
        <w:outlineLvl w:val="1"/>
        <w:rPr>
          <w:rFonts w:hint="eastAsia" w:ascii="宋体" w:hAnsi="宋体" w:eastAsia="宋体" w:cs="宋体"/>
          <w:b w:val="0"/>
          <w:bCs w:val="0"/>
          <w:sz w:val="30"/>
          <w:szCs w:val="30"/>
          <w:lang w:val="en-US" w:eastAsia="zh-CN"/>
        </w:rPr>
      </w:pPr>
    </w:p>
    <w:p>
      <w:pPr>
        <w:pStyle w:val="39"/>
        <w:widowControl/>
        <w:ind w:left="3886" w:leftChars="1136" w:hanging="1500" w:hangingChars="500"/>
        <w:jc w:val="both"/>
        <w:outlineLvl w:val="1"/>
        <w:rPr>
          <w:rFonts w:hint="eastAsia" w:ascii="宋体" w:hAnsi="宋体" w:eastAsia="宋体" w:cs="宋体"/>
          <w:b w:val="0"/>
          <w:bCs w:val="0"/>
          <w:sz w:val="30"/>
          <w:szCs w:val="30"/>
        </w:rPr>
      </w:pPr>
      <w:r>
        <w:rPr>
          <w:rFonts w:hint="eastAsia" w:ascii="宋体" w:hAnsi="宋体" w:eastAsia="宋体" w:cs="宋体"/>
          <w:b w:val="0"/>
          <w:bCs w:val="0"/>
          <w:sz w:val="30"/>
          <w:szCs w:val="30"/>
        </w:rPr>
        <w:t>项目名称：</w:t>
      </w:r>
      <w:r>
        <w:rPr>
          <w:rFonts w:hint="eastAsia" w:ascii="宋体" w:hAnsi="宋体" w:eastAsia="宋体" w:cs="宋体"/>
          <w:sz w:val="30"/>
          <w:szCs w:val="30"/>
        </w:rPr>
        <w:t>皇岗边检站生活区物业管理服务项目</w:t>
      </w:r>
    </w:p>
    <w:p>
      <w:pPr>
        <w:pStyle w:val="39"/>
        <w:widowControl/>
        <w:ind w:firstLine="2400" w:firstLineChars="800"/>
        <w:jc w:val="both"/>
        <w:outlineLvl w:val="1"/>
        <w:rPr>
          <w:rFonts w:hint="eastAsia" w:ascii="宋体" w:hAnsi="宋体" w:eastAsia="宋体" w:cs="宋体"/>
          <w:b w:val="0"/>
          <w:bCs w:val="0"/>
          <w:sz w:val="30"/>
          <w:szCs w:val="30"/>
        </w:rPr>
      </w:pPr>
    </w:p>
    <w:p>
      <w:pPr>
        <w:pStyle w:val="39"/>
        <w:widowControl/>
        <w:ind w:firstLine="2400" w:firstLineChars="800"/>
        <w:jc w:val="both"/>
        <w:outlineLvl w:val="1"/>
        <w:rPr>
          <w:rFonts w:hint="eastAsia" w:ascii="宋体" w:hAnsi="宋体" w:eastAsia="宋体" w:cs="宋体"/>
          <w:b w:val="0"/>
          <w:bCs w:val="0"/>
          <w:sz w:val="30"/>
          <w:szCs w:val="30"/>
        </w:rPr>
      </w:pPr>
      <w:r>
        <w:rPr>
          <w:rFonts w:hint="eastAsia" w:ascii="宋体" w:hAnsi="宋体" w:eastAsia="宋体" w:cs="宋体"/>
          <w:b w:val="0"/>
          <w:bCs w:val="0"/>
          <w:sz w:val="30"/>
          <w:szCs w:val="30"/>
        </w:rPr>
        <w:t>包 号：</w:t>
      </w:r>
      <w:r>
        <w:rPr>
          <w:rFonts w:hint="eastAsia" w:ascii="宋体" w:hAnsi="宋体" w:eastAsia="宋体" w:cs="宋体"/>
          <w:b w:val="0"/>
          <w:bCs w:val="0"/>
          <w:sz w:val="30"/>
          <w:szCs w:val="30"/>
        </w:rPr>
        <w:tab/>
      </w:r>
      <w:r>
        <w:rPr>
          <w:rFonts w:hint="eastAsia" w:ascii="宋体" w:hAnsi="宋体" w:eastAsia="宋体" w:cs="宋体"/>
          <w:b w:val="0"/>
          <w:bCs w:val="0"/>
          <w:sz w:val="30"/>
          <w:szCs w:val="30"/>
        </w:rPr>
        <w:t>A</w:t>
      </w:r>
    </w:p>
    <w:p>
      <w:pPr>
        <w:pStyle w:val="39"/>
        <w:widowControl/>
        <w:ind w:firstLine="2400" w:firstLineChars="800"/>
        <w:jc w:val="both"/>
        <w:outlineLvl w:val="1"/>
        <w:rPr>
          <w:rFonts w:hint="eastAsia" w:ascii="宋体" w:hAnsi="宋体" w:eastAsia="宋体" w:cs="宋体"/>
          <w:b w:val="0"/>
          <w:bCs w:val="0"/>
          <w:sz w:val="30"/>
          <w:szCs w:val="30"/>
        </w:rPr>
      </w:pPr>
    </w:p>
    <w:p>
      <w:pPr>
        <w:pStyle w:val="39"/>
        <w:widowControl/>
        <w:ind w:firstLine="2400" w:firstLineChars="800"/>
        <w:jc w:val="both"/>
        <w:outlineLvl w:val="1"/>
        <w:rPr>
          <w:rFonts w:hint="eastAsia" w:ascii="宋体" w:hAnsi="宋体" w:eastAsia="宋体" w:cs="宋体"/>
          <w:b w:val="0"/>
          <w:bCs w:val="0"/>
          <w:sz w:val="30"/>
          <w:szCs w:val="30"/>
        </w:rPr>
      </w:pPr>
      <w:r>
        <w:rPr>
          <w:rFonts w:hint="eastAsia" w:ascii="宋体" w:hAnsi="宋体" w:eastAsia="宋体" w:cs="宋体"/>
          <w:b w:val="0"/>
          <w:bCs w:val="0"/>
          <w:sz w:val="30"/>
          <w:szCs w:val="30"/>
        </w:rPr>
        <w:t>项目类型：</w:t>
      </w:r>
      <w:r>
        <w:rPr>
          <w:rFonts w:hint="eastAsia" w:ascii="宋体" w:hAnsi="宋体" w:eastAsia="宋体" w:cs="宋体"/>
          <w:b w:val="0"/>
          <w:bCs w:val="0"/>
          <w:sz w:val="30"/>
          <w:szCs w:val="30"/>
        </w:rPr>
        <w:tab/>
      </w:r>
      <w:r>
        <w:rPr>
          <w:rFonts w:hint="eastAsia" w:ascii="宋体" w:hAnsi="宋体" w:eastAsia="宋体" w:cs="宋体"/>
          <w:b w:val="0"/>
          <w:bCs w:val="0"/>
          <w:sz w:val="30"/>
          <w:szCs w:val="30"/>
          <w:lang w:val="en-US" w:eastAsia="zh-CN"/>
        </w:rPr>
        <w:t>服务</w:t>
      </w:r>
      <w:r>
        <w:rPr>
          <w:rFonts w:hint="eastAsia" w:ascii="宋体" w:hAnsi="宋体" w:eastAsia="宋体" w:cs="宋体"/>
          <w:b w:val="0"/>
          <w:bCs w:val="0"/>
          <w:sz w:val="30"/>
          <w:szCs w:val="30"/>
        </w:rPr>
        <w:t>类</w:t>
      </w:r>
    </w:p>
    <w:p>
      <w:pPr>
        <w:pStyle w:val="39"/>
        <w:widowControl/>
        <w:ind w:firstLine="2400" w:firstLineChars="800"/>
        <w:jc w:val="both"/>
        <w:outlineLvl w:val="1"/>
        <w:rPr>
          <w:rFonts w:hint="eastAsia" w:ascii="宋体" w:hAnsi="宋体" w:eastAsia="宋体" w:cs="宋体"/>
          <w:b w:val="0"/>
          <w:bCs w:val="0"/>
          <w:sz w:val="30"/>
          <w:szCs w:val="30"/>
        </w:rPr>
      </w:pPr>
    </w:p>
    <w:p>
      <w:pPr>
        <w:pStyle w:val="39"/>
        <w:widowControl/>
        <w:ind w:firstLine="2400" w:firstLineChars="800"/>
        <w:jc w:val="both"/>
        <w:outlineLvl w:val="1"/>
        <w:rPr>
          <w:rFonts w:hint="eastAsia" w:ascii="宋体" w:hAnsi="宋体" w:eastAsia="宋体" w:cs="宋体"/>
          <w:b w:val="0"/>
          <w:bCs w:val="0"/>
          <w:sz w:val="30"/>
          <w:szCs w:val="30"/>
        </w:rPr>
      </w:pPr>
      <w:r>
        <w:rPr>
          <w:rFonts w:hint="eastAsia" w:ascii="宋体" w:hAnsi="宋体" w:eastAsia="宋体" w:cs="宋体"/>
          <w:b w:val="0"/>
          <w:bCs w:val="0"/>
          <w:sz w:val="30"/>
          <w:szCs w:val="30"/>
        </w:rPr>
        <w:t>采购方式：</w:t>
      </w:r>
      <w:r>
        <w:rPr>
          <w:rFonts w:hint="eastAsia" w:ascii="宋体" w:hAnsi="宋体" w:eastAsia="宋体" w:cs="宋体"/>
          <w:b w:val="0"/>
          <w:bCs w:val="0"/>
          <w:sz w:val="30"/>
          <w:szCs w:val="30"/>
        </w:rPr>
        <w:tab/>
      </w:r>
      <w:r>
        <w:rPr>
          <w:rFonts w:hint="eastAsia" w:ascii="宋体" w:hAnsi="宋体" w:eastAsia="宋体" w:cs="宋体"/>
          <w:b w:val="0"/>
          <w:bCs w:val="0"/>
          <w:sz w:val="30"/>
          <w:szCs w:val="30"/>
        </w:rPr>
        <w:t>公开招标</w:t>
      </w:r>
    </w:p>
    <w:p>
      <w:pPr>
        <w:pStyle w:val="39"/>
        <w:widowControl/>
        <w:ind w:firstLine="2400" w:firstLineChars="800"/>
        <w:jc w:val="both"/>
        <w:outlineLvl w:val="1"/>
        <w:rPr>
          <w:rFonts w:hint="eastAsia" w:ascii="宋体" w:hAnsi="宋体" w:eastAsia="宋体" w:cs="宋体"/>
          <w:b w:val="0"/>
          <w:bCs w:val="0"/>
          <w:sz w:val="30"/>
          <w:szCs w:val="30"/>
        </w:rPr>
      </w:pPr>
    </w:p>
    <w:p>
      <w:pPr>
        <w:pStyle w:val="39"/>
        <w:widowControl/>
        <w:ind w:firstLine="2400" w:firstLineChars="800"/>
        <w:jc w:val="both"/>
        <w:outlineLvl w:val="1"/>
        <w:rPr>
          <w:rFonts w:hint="eastAsia" w:ascii="宋体" w:hAnsi="宋体" w:eastAsia="宋体" w:cs="宋体"/>
          <w:b w:val="0"/>
          <w:bCs w:val="0"/>
          <w:sz w:val="30"/>
          <w:szCs w:val="30"/>
        </w:rPr>
      </w:pPr>
      <w:r>
        <w:rPr>
          <w:rFonts w:hint="eastAsia" w:ascii="宋体" w:hAnsi="宋体" w:eastAsia="宋体" w:cs="宋体"/>
          <w:b w:val="0"/>
          <w:bCs w:val="0"/>
          <w:sz w:val="30"/>
          <w:szCs w:val="30"/>
        </w:rPr>
        <w:t>货币类型：</w:t>
      </w:r>
      <w:r>
        <w:rPr>
          <w:rFonts w:hint="eastAsia" w:ascii="宋体" w:hAnsi="宋体" w:eastAsia="宋体" w:cs="宋体"/>
          <w:b w:val="0"/>
          <w:bCs w:val="0"/>
          <w:sz w:val="30"/>
          <w:szCs w:val="30"/>
        </w:rPr>
        <w:tab/>
      </w:r>
      <w:r>
        <w:rPr>
          <w:rFonts w:hint="eastAsia" w:ascii="宋体" w:hAnsi="宋体" w:eastAsia="宋体" w:cs="宋体"/>
          <w:b w:val="0"/>
          <w:bCs w:val="0"/>
          <w:sz w:val="30"/>
          <w:szCs w:val="30"/>
        </w:rPr>
        <w:t>人民币</w:t>
      </w:r>
    </w:p>
    <w:p>
      <w:pPr>
        <w:pStyle w:val="39"/>
        <w:widowControl/>
        <w:ind w:firstLine="2400" w:firstLineChars="800"/>
        <w:jc w:val="both"/>
        <w:outlineLvl w:val="1"/>
        <w:rPr>
          <w:rFonts w:hint="eastAsia" w:ascii="宋体" w:hAnsi="宋体" w:eastAsia="宋体" w:cs="宋体"/>
          <w:b w:val="0"/>
          <w:bCs w:val="0"/>
          <w:sz w:val="30"/>
          <w:szCs w:val="30"/>
        </w:rPr>
      </w:pPr>
    </w:p>
    <w:p>
      <w:pPr>
        <w:pStyle w:val="39"/>
        <w:widowControl/>
        <w:ind w:firstLine="2400" w:firstLineChars="800"/>
        <w:jc w:val="both"/>
        <w:outlineLvl w:val="1"/>
        <w:rPr>
          <w:rFonts w:eastAsia="黑体"/>
          <w:sz w:val="40"/>
          <w:szCs w:val="40"/>
        </w:rPr>
      </w:pPr>
      <w:r>
        <w:rPr>
          <w:rFonts w:hint="eastAsia" w:ascii="宋体" w:hAnsi="宋体" w:eastAsia="宋体" w:cs="宋体"/>
          <w:b w:val="0"/>
          <w:bCs w:val="0"/>
          <w:sz w:val="30"/>
          <w:szCs w:val="30"/>
        </w:rPr>
        <w:t>评标方法：</w:t>
      </w:r>
      <w:r>
        <w:rPr>
          <w:rFonts w:hint="eastAsia" w:ascii="宋体" w:hAnsi="宋体" w:eastAsia="宋体" w:cs="宋体"/>
          <w:b w:val="0"/>
          <w:bCs w:val="0"/>
          <w:sz w:val="30"/>
          <w:szCs w:val="30"/>
        </w:rPr>
        <w:tab/>
      </w:r>
      <w:r>
        <w:rPr>
          <w:rFonts w:hint="eastAsia" w:ascii="宋体" w:hAnsi="宋体" w:eastAsia="宋体" w:cs="宋体"/>
          <w:b w:val="0"/>
          <w:bCs w:val="0"/>
          <w:sz w:val="30"/>
          <w:szCs w:val="30"/>
        </w:rPr>
        <w:t>综合评分法</w:t>
      </w:r>
    </w:p>
    <w:p>
      <w:pPr>
        <w:pStyle w:val="39"/>
        <w:jc w:val="center"/>
        <w:outlineLvl w:val="1"/>
        <w:rPr>
          <w:rFonts w:hint="eastAsia" w:ascii="黑体" w:hAnsi="黑体" w:eastAsia="黑体"/>
          <w:sz w:val="40"/>
          <w:szCs w:val="40"/>
        </w:rPr>
      </w:pPr>
    </w:p>
    <w:p>
      <w:pPr>
        <w:pStyle w:val="39"/>
        <w:jc w:val="center"/>
        <w:outlineLvl w:val="1"/>
        <w:rPr>
          <w:rFonts w:hint="eastAsia" w:ascii="黑体" w:hAnsi="黑体" w:eastAsia="黑体"/>
          <w:sz w:val="40"/>
          <w:szCs w:val="40"/>
        </w:rPr>
        <w:sectPr>
          <w:headerReference r:id="rId6" w:type="first"/>
          <w:footerReference r:id="rId7" w:type="default"/>
          <w:footerReference r:id="rId8" w:type="even"/>
          <w:pgSz w:w="11907" w:h="16840"/>
          <w:pgMar w:top="1440" w:right="1670" w:bottom="1440" w:left="1417" w:header="851" w:footer="992" w:gutter="0"/>
          <w:cols w:space="720" w:num="1"/>
          <w:titlePg/>
          <w:docGrid w:linePitch="462" w:charSpace="0"/>
        </w:sectPr>
      </w:pPr>
    </w:p>
    <w:p>
      <w:pPr>
        <w:pStyle w:val="3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color w:val="FF0000"/>
                <w:lang w:val="en-US" w:eastAsia="zh-CN"/>
              </w:rPr>
              <w:t>采购标的/服务</w:t>
            </w:r>
            <w:r>
              <w:rPr>
                <w:rFonts w:hint="eastAsia" w:ascii="Times New Roman" w:eastAsia="宋体"/>
                <w:color w:val="FF0000"/>
                <w:lang w:val="en-US" w:eastAsia="zh-CN"/>
              </w:rPr>
              <w:t>清单</w:t>
            </w:r>
            <w:r>
              <w:rPr>
                <w:rFonts w:hint="eastAsia"/>
                <w:color w:val="FF0000"/>
                <w:lang w:val="en-US" w:eastAsia="zh-CN"/>
              </w:rPr>
              <w:t>/报价等任意一类</w:t>
            </w:r>
            <w:r>
              <w:rPr>
                <w:rFonts w:hint="eastAsia" w:ascii="Times New Roman" w:eastAsia="宋体"/>
                <w:color w:val="FF0000"/>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ascii="宋体" w:hAnsi="宋体" w:cs="宋体"/>
                <w:szCs w:val="21"/>
              </w:rPr>
            </w:pPr>
            <w:r>
              <w:rPr>
                <w:rFonts w:hint="eastAsia"/>
                <w:szCs w:val="24"/>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pPr>
            <w:r>
              <w:rPr>
                <w:rFonts w:hint="eastAsia" w:ascii="Times New Roman" w:hAnsi="Times New Roman" w:eastAsia="宋体" w:cs="Times New Roman"/>
                <w:szCs w:val="24"/>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szCs w:val="21"/>
                <w:lang w:eastAsia="zh-CN"/>
              </w:rPr>
            </w:pPr>
            <w:r>
              <w:rPr>
                <w:szCs w:val="21"/>
              </w:rPr>
              <w:t>1</w:t>
            </w:r>
            <w:r>
              <w:rPr>
                <w:rFonts w:hint="eastAsia"/>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szCs w:val="21"/>
              </w:rPr>
            </w:pPr>
            <w:r>
              <w:rPr>
                <w:rFonts w:hint="eastAsia"/>
              </w:rPr>
              <w:t>法律、法规、规章、规范性文件规定的其他情形。</w:t>
            </w:r>
          </w:p>
        </w:tc>
      </w:tr>
    </w:tbl>
    <w:p>
      <w:pPr>
        <w:pStyle w:val="39"/>
        <w:jc w:val="center"/>
        <w:outlineLvl w:val="1"/>
        <w:rPr>
          <w:rFonts w:hint="eastAsia" w:ascii="黑体" w:hAnsi="黑体" w:eastAsia="黑体"/>
          <w:sz w:val="40"/>
          <w:szCs w:val="40"/>
        </w:rPr>
      </w:pPr>
    </w:p>
    <w:p>
      <w:pPr>
        <w:pStyle w:val="39"/>
        <w:jc w:val="center"/>
        <w:outlineLvl w:val="1"/>
        <w:rPr>
          <w:rFonts w:hint="eastAsia" w:ascii="黑体" w:hAnsi="黑体" w:eastAsia="黑体"/>
          <w:sz w:val="40"/>
          <w:szCs w:val="40"/>
        </w:rPr>
        <w:sectPr>
          <w:pgSz w:w="11907" w:h="16840"/>
          <w:pgMar w:top="1440" w:right="1417" w:bottom="1440" w:left="1417" w:header="851" w:footer="992" w:gutter="0"/>
          <w:cols w:space="720" w:num="1"/>
          <w:titlePg/>
          <w:docGrid w:linePitch="462" w:charSpace="0"/>
        </w:sectPr>
      </w:pPr>
    </w:p>
    <w:p>
      <w:pPr>
        <w:pStyle w:val="39"/>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noWrap w:val="0"/>
            <w:vAlign w:val="center"/>
          </w:tcPr>
          <w:p>
            <w:pPr>
              <w:widowControl/>
              <w:jc w:val="left"/>
              <w:rPr>
                <w:b/>
                <w:bCs/>
                <w:sz w:val="24"/>
              </w:rPr>
            </w:pPr>
            <w:r>
              <w:rPr>
                <w:b/>
                <w:bCs/>
              </w:rPr>
              <w:t>评标方法：</w:t>
            </w:r>
            <w:r>
              <w:rPr>
                <w:b/>
                <w:bCs/>
                <w:strike w:val="0"/>
                <w:dstrike w:val="0"/>
              </w:rPr>
              <w:t>综合评分法</w:t>
            </w:r>
          </w:p>
        </w:tc>
        <w:tc>
          <w:tcPr>
            <w:tcW w:w="240" w:type="dxa"/>
            <w:noWrap w:val="0"/>
            <w:vAlign w:val="center"/>
          </w:tcPr>
          <w:p>
            <w:pPr>
              <w:jc w:val="right"/>
              <w:rPr>
                <w:rFonts w:ascii="宋体"/>
                <w:b/>
                <w:bCs/>
                <w:sz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highlight w:val="yellow"/>
                <w:lang w:eastAsia="zh-CN"/>
              </w:rPr>
            </w:pPr>
            <w:r>
              <w:rPr>
                <w:sz w:val="21"/>
                <w:szCs w:val="21"/>
              </w:rPr>
              <w:sym w:font="Wingdings" w:char="00FE"/>
            </w:r>
            <w:r>
              <w:rPr>
                <w:sz w:val="21"/>
                <w:szCs w:val="21"/>
              </w:rPr>
              <w:t>综合评分法，是指</w:t>
            </w:r>
            <w:r>
              <w:rPr>
                <w:rFonts w:hint="eastAsia" w:ascii="Times New Roman" w:hAnsi="Times New Roman" w:eastAsia="宋体" w:cs="Times New Roman"/>
                <w:kern w:val="0"/>
                <w:sz w:val="21"/>
                <w:szCs w:val="21"/>
                <w:lang w:val="en-US" w:eastAsia="zh-CN" w:bidi="ar-SA"/>
              </w:rPr>
              <w:t>投标文件满足招标文件全部实质性要求</w:t>
            </w:r>
            <w:r>
              <w:rPr>
                <w:sz w:val="21"/>
                <w:szCs w:val="21"/>
              </w:rPr>
              <w:t>，且按照</w:t>
            </w:r>
            <w:r>
              <w:rPr>
                <w:rFonts w:hint="eastAsia" w:ascii="Times New Roman" w:eastAsia="宋体"/>
                <w:sz w:val="21"/>
                <w:szCs w:val="21"/>
                <w:lang w:val="en-US" w:eastAsia="zh-CN"/>
              </w:rPr>
              <w:t>招标文件规定的各项因素进行综合评审</w:t>
            </w:r>
            <w:r>
              <w:rPr>
                <w:rFonts w:hint="eastAsia" w:ascii="Times New Roman" w:eastAsia="宋体"/>
                <w:sz w:val="21"/>
                <w:szCs w:val="21"/>
                <w:highlight w:val="none"/>
                <w:lang w:val="en-US" w:eastAsia="zh-CN"/>
              </w:rPr>
              <w:t>，评标总得分排名前列</w:t>
            </w:r>
            <w:r>
              <w:rPr>
                <w:sz w:val="21"/>
                <w:szCs w:val="21"/>
                <w:highlight w:val="none"/>
              </w:rPr>
              <w:t>的投标人为中标候选人的评标方法。</w:t>
            </w:r>
            <w:r>
              <w:rPr>
                <w:rFonts w:hint="eastAsia" w:eastAsia="宋体"/>
                <w:sz w:val="21"/>
                <w:szCs w:val="21"/>
                <w:highlight w:val="none"/>
                <w:lang w:eastAsia="zh-CN"/>
              </w:rPr>
              <w:t>（</w:t>
            </w:r>
            <w:r>
              <w:rPr>
                <w:rFonts w:hint="eastAsia" w:ascii="Times New Roman" w:eastAsia="宋体"/>
                <w:sz w:val="21"/>
                <w:szCs w:val="21"/>
                <w:highlight w:val="none"/>
                <w:lang w:val="en-US" w:eastAsia="zh-CN"/>
              </w:rPr>
              <w:t>适用于中标候选人为2家或以上的情形</w:t>
            </w:r>
            <w:r>
              <w:rPr>
                <w:rFonts w:hint="eastAsia" w:eastAsia="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lang w:val="en-US" w:eastAsia="zh-CN" w:bidi="ar-SA"/>
              </w:rPr>
            </w:pPr>
          </w:p>
        </w:tc>
      </w:tr>
    </w:tbl>
    <w:p>
      <w:pPr>
        <w:rPr>
          <w:vanish/>
        </w:rPr>
      </w:pPr>
    </w:p>
    <w:tbl>
      <w:tblPr>
        <w:tblStyle w:val="43"/>
        <w:tblpPr w:leftFromText="180" w:rightFromText="180" w:vertAnchor="text" w:horzAnchor="page" w:tblpX="1509" w:tblpY="228"/>
        <w:tblOverlap w:val="never"/>
        <w:tblW w:w="930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1729"/>
        <w:gridCol w:w="651"/>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b/>
                <w:bCs/>
                <w:szCs w:val="21"/>
              </w:rPr>
            </w:pPr>
            <w:r>
              <w:rPr>
                <w:rFonts w:hint="eastAsia" w:ascii="宋体" w:hAnsi="宋体" w:cs="宋体"/>
                <w:b/>
                <w:bCs/>
                <w:szCs w:val="21"/>
              </w:rPr>
              <w:t>序号</w:t>
            </w:r>
          </w:p>
        </w:tc>
        <w:tc>
          <w:tcPr>
            <w:tcW w:w="2928" w:type="dxa"/>
            <w:gridSpan w:val="3"/>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b/>
                <w:bCs/>
                <w:szCs w:val="21"/>
              </w:rPr>
            </w:pPr>
            <w:r>
              <w:rPr>
                <w:rFonts w:hint="eastAsia" w:ascii="宋体" w:hAnsi="宋体" w:cs="宋体"/>
                <w:b/>
                <w:bCs/>
                <w:szCs w:val="21"/>
              </w:rPr>
              <w:t>评分项</w:t>
            </w:r>
          </w:p>
        </w:tc>
        <w:tc>
          <w:tcPr>
            <w:tcW w:w="5694"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b/>
                <w:bCs/>
                <w:szCs w:val="21"/>
              </w:rPr>
            </w:pPr>
            <w:r>
              <w:rPr>
                <w:rFonts w:hint="eastAsia" w:ascii="宋体" w:hAnsi="宋体" w:cs="宋体"/>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1</w:t>
            </w:r>
          </w:p>
        </w:tc>
        <w:tc>
          <w:tcPr>
            <w:tcW w:w="2928" w:type="dxa"/>
            <w:gridSpan w:val="3"/>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价格</w:t>
            </w:r>
          </w:p>
        </w:tc>
        <w:tc>
          <w:tcPr>
            <w:tcW w:w="5694" w:type="dxa"/>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8622" w:type="dxa"/>
            <w:gridSpan w:val="4"/>
            <w:tcBorders>
              <w:tl2br w:val="nil"/>
              <w:tr2bl w:val="nil"/>
            </w:tcBorders>
            <w:noWrap w:val="0"/>
            <w:vAlign w:val="top"/>
          </w:tcPr>
          <w:p>
            <w:pPr>
              <w:wordWrap w:val="0"/>
              <w:adjustRightInd w:val="0"/>
              <w:snapToGrid w:val="0"/>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2</w:t>
            </w:r>
          </w:p>
        </w:tc>
        <w:tc>
          <w:tcPr>
            <w:tcW w:w="2928" w:type="dxa"/>
            <w:gridSpan w:val="3"/>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技术部分</w:t>
            </w:r>
          </w:p>
        </w:tc>
        <w:tc>
          <w:tcPr>
            <w:tcW w:w="5694" w:type="dxa"/>
            <w:tcBorders>
              <w:tl2br w:val="nil"/>
              <w:tr2bl w:val="nil"/>
            </w:tcBorders>
            <w:noWrap w:val="0"/>
            <w:vAlign w:val="top"/>
          </w:tcPr>
          <w:p>
            <w:pPr>
              <w:wordWrap w:val="0"/>
              <w:adjustRightInd w:val="0"/>
              <w:snapToGrid w:val="0"/>
              <w:spacing w:line="320" w:lineRule="exact"/>
              <w:jc w:val="center"/>
              <w:rPr>
                <w:rFonts w:hint="default" w:ascii="宋体" w:hAnsi="宋体" w:eastAsia="宋体" w:cs="宋体"/>
                <w:b/>
                <w:bCs/>
                <w:color w:val="0000FF"/>
                <w:szCs w:val="21"/>
                <w:lang w:val="en-US" w:eastAsia="zh-CN"/>
              </w:rPr>
            </w:pPr>
            <w:r>
              <w:rPr>
                <w:rFonts w:hint="eastAsia" w:ascii="宋体" w:hAnsi="宋体" w:cs="宋体"/>
                <w:b/>
                <w:bCs/>
                <w:color w:val="0000FF"/>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8622" w:type="dxa"/>
            <w:gridSpan w:val="4"/>
            <w:tcBorders>
              <w:tl2br w:val="nil"/>
              <w:tr2bl w:val="nil"/>
            </w:tcBorders>
            <w:noWrap w:val="0"/>
            <w:vAlign w:val="top"/>
          </w:tcPr>
          <w:p>
            <w:pPr>
              <w:wordWrap w:val="0"/>
              <w:adjustRightInd w:val="0"/>
              <w:snapToGrid w:val="0"/>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序号</w:t>
            </w:r>
          </w:p>
        </w:tc>
        <w:tc>
          <w:tcPr>
            <w:tcW w:w="1729"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评分因素</w:t>
            </w:r>
          </w:p>
        </w:tc>
        <w:tc>
          <w:tcPr>
            <w:tcW w:w="651"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权重(%)</w:t>
            </w:r>
          </w:p>
        </w:tc>
        <w:tc>
          <w:tcPr>
            <w:tcW w:w="5694"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1</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实施方案</w:t>
            </w:r>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94" w:type="dxa"/>
            <w:tcBorders>
              <w:tl2br w:val="nil"/>
              <w:tr2bl w:val="nil"/>
            </w:tcBorders>
            <w:noWrap w:val="0"/>
            <w:vAlign w:val="top"/>
          </w:tcPr>
          <w:p>
            <w:pPr>
              <w:keepNext w:val="0"/>
              <w:keepLines w:val="0"/>
              <w:pageBreakBefore w:val="0"/>
              <w:kinsoku/>
              <w:wordWrap w:val="0"/>
              <w:overflowPunct/>
              <w:topLinePunct w:val="0"/>
              <w:bidi w:val="0"/>
              <w:adjustRightInd w:val="0"/>
              <w:snapToGrid w:val="0"/>
              <w:spacing w:line="320" w:lineRule="exact"/>
              <w:rPr>
                <w:rFonts w:hint="eastAsia"/>
              </w:rPr>
            </w:pPr>
            <w:r>
              <w:rPr>
                <w:rFonts w:hint="eastAsia"/>
              </w:rPr>
              <w:t>（一）评</w:t>
            </w:r>
            <w:r>
              <w:rPr>
                <w:rFonts w:hint="eastAsia"/>
                <w:lang w:eastAsia="zh-CN"/>
              </w:rPr>
              <w:t>分</w:t>
            </w:r>
            <w:r>
              <w:rPr>
                <w:rFonts w:hint="eastAsia"/>
              </w:rPr>
              <w:t xml:space="preserve">内容： </w:t>
            </w:r>
          </w:p>
          <w:p>
            <w:pPr>
              <w:keepNext w:val="0"/>
              <w:keepLines w:val="0"/>
              <w:pageBreakBefore w:val="0"/>
              <w:kinsoku/>
              <w:wordWrap w:val="0"/>
              <w:overflowPunct/>
              <w:topLinePunct w:val="0"/>
              <w:bidi w:val="0"/>
              <w:adjustRightInd w:val="0"/>
              <w:snapToGrid w:val="0"/>
              <w:spacing w:line="320" w:lineRule="exact"/>
              <w:rPr>
                <w:rFonts w:hint="eastAsia"/>
              </w:rPr>
            </w:pPr>
            <w:r>
              <w:rPr>
                <w:rFonts w:hint="eastAsia"/>
              </w:rPr>
              <w:t>投标人制定贴切本项目的实施方案，内容包括但不限于：</w:t>
            </w:r>
          </w:p>
          <w:p>
            <w:pPr>
              <w:keepNext w:val="0"/>
              <w:keepLines w:val="0"/>
              <w:pageBreakBefore w:val="0"/>
              <w:kinsoku/>
              <w:wordWrap w:val="0"/>
              <w:overflowPunct/>
              <w:topLinePunct w:val="0"/>
              <w:bidi w:val="0"/>
              <w:adjustRightInd w:val="0"/>
              <w:snapToGrid w:val="0"/>
              <w:spacing w:line="320" w:lineRule="exact"/>
              <w:rPr>
                <w:rFonts w:hint="eastAsia"/>
                <w:lang w:eastAsia="zh-CN"/>
              </w:rPr>
            </w:pPr>
            <w:r>
              <w:rPr>
                <w:rFonts w:hint="eastAsia"/>
                <w:lang w:val="en-US" w:eastAsia="zh-CN"/>
              </w:rPr>
              <w:t>1、</w:t>
            </w:r>
            <w:r>
              <w:rPr>
                <w:rFonts w:hint="eastAsia"/>
              </w:rPr>
              <w:t>物业总体规划</w:t>
            </w:r>
            <w:r>
              <w:rPr>
                <w:rFonts w:hint="eastAsia"/>
                <w:lang w:eastAsia="zh-CN"/>
              </w:rPr>
              <w:t>（重点介绍小区外来人员管理方案）</w:t>
            </w:r>
          </w:p>
          <w:p>
            <w:pPr>
              <w:keepNext w:val="0"/>
              <w:keepLines w:val="0"/>
              <w:pageBreakBefore w:val="0"/>
              <w:kinsoku/>
              <w:wordWrap w:val="0"/>
              <w:overflowPunct/>
              <w:topLinePunct w:val="0"/>
              <w:bidi w:val="0"/>
              <w:adjustRightInd w:val="0"/>
              <w:snapToGrid w:val="0"/>
              <w:spacing w:line="320" w:lineRule="exact"/>
              <w:rPr>
                <w:rFonts w:hint="eastAsia"/>
              </w:rPr>
            </w:pPr>
            <w:r>
              <w:rPr>
                <w:rFonts w:hint="eastAsia"/>
                <w:lang w:val="en-US" w:eastAsia="zh-CN"/>
              </w:rPr>
              <w:t>2、</w:t>
            </w:r>
            <w:r>
              <w:rPr>
                <w:rFonts w:hint="eastAsia"/>
              </w:rPr>
              <w:t>人员的配置、培训与管理措施</w:t>
            </w:r>
          </w:p>
          <w:p>
            <w:pPr>
              <w:keepNext w:val="0"/>
              <w:keepLines w:val="0"/>
              <w:pageBreakBefore w:val="0"/>
              <w:kinsoku/>
              <w:wordWrap w:val="0"/>
              <w:overflowPunct/>
              <w:topLinePunct w:val="0"/>
              <w:bidi w:val="0"/>
              <w:adjustRightInd w:val="0"/>
              <w:snapToGrid w:val="0"/>
              <w:spacing w:line="320" w:lineRule="exact"/>
              <w:rPr>
                <w:rFonts w:hint="eastAsia"/>
              </w:rPr>
            </w:pPr>
            <w:r>
              <w:rPr>
                <w:rFonts w:hint="eastAsia"/>
                <w:lang w:val="en-US" w:eastAsia="zh-CN"/>
              </w:rPr>
              <w:t>3、</w:t>
            </w:r>
            <w:r>
              <w:rPr>
                <w:rFonts w:hint="eastAsia"/>
              </w:rPr>
              <w:t>保洁管理</w:t>
            </w:r>
          </w:p>
          <w:p>
            <w:pPr>
              <w:keepNext w:val="0"/>
              <w:keepLines w:val="0"/>
              <w:pageBreakBefore w:val="0"/>
              <w:kinsoku/>
              <w:wordWrap w:val="0"/>
              <w:overflowPunct/>
              <w:topLinePunct w:val="0"/>
              <w:bidi w:val="0"/>
              <w:adjustRightInd w:val="0"/>
              <w:snapToGrid w:val="0"/>
              <w:spacing w:line="320" w:lineRule="exact"/>
              <w:rPr>
                <w:rFonts w:hint="eastAsia"/>
                <w:lang w:eastAsia="zh-CN"/>
              </w:rPr>
            </w:pPr>
            <w:r>
              <w:rPr>
                <w:rFonts w:hint="eastAsia"/>
                <w:lang w:val="en-US" w:eastAsia="zh-CN"/>
              </w:rPr>
              <w:t>4、</w:t>
            </w:r>
            <w:bookmarkStart w:id="0" w:name="OLE_LINK18"/>
            <w:r>
              <w:rPr>
                <w:rFonts w:hint="eastAsia"/>
              </w:rPr>
              <w:t>秩序与安全管理</w:t>
            </w:r>
            <w:bookmarkEnd w:id="0"/>
          </w:p>
          <w:p>
            <w:pPr>
              <w:keepNext w:val="0"/>
              <w:keepLines w:val="0"/>
              <w:pageBreakBefore w:val="0"/>
              <w:kinsoku/>
              <w:wordWrap w:val="0"/>
              <w:overflowPunct/>
              <w:topLinePunct w:val="0"/>
              <w:bidi w:val="0"/>
              <w:adjustRightInd w:val="0"/>
              <w:snapToGrid w:val="0"/>
              <w:spacing w:line="320" w:lineRule="exact"/>
              <w:rPr>
                <w:rFonts w:hint="eastAsia"/>
              </w:rPr>
            </w:pPr>
            <w:r>
              <w:rPr>
                <w:rFonts w:hint="eastAsia"/>
                <w:lang w:val="en-US" w:eastAsia="zh-CN"/>
              </w:rPr>
              <w:t>5、</w:t>
            </w:r>
            <w:bookmarkStart w:id="1" w:name="OLE_LINK19"/>
            <w:r>
              <w:rPr>
                <w:rFonts w:hint="eastAsia"/>
              </w:rPr>
              <w:t>建筑物本体及公共设备设施的管理</w:t>
            </w:r>
          </w:p>
          <w:bookmarkEnd w:id="1"/>
          <w:p>
            <w:pPr>
              <w:keepNext w:val="0"/>
              <w:keepLines w:val="0"/>
              <w:pageBreakBefore w:val="0"/>
              <w:kinsoku/>
              <w:wordWrap w:val="0"/>
              <w:overflowPunct/>
              <w:topLinePunct w:val="0"/>
              <w:bidi w:val="0"/>
              <w:adjustRightInd w:val="0"/>
              <w:snapToGrid w:val="0"/>
              <w:spacing w:line="320" w:lineRule="exact"/>
              <w:rPr>
                <w:rFonts w:hint="eastAsia"/>
              </w:rPr>
            </w:pPr>
            <w:r>
              <w:rPr>
                <w:rFonts w:hint="eastAsia"/>
              </w:rPr>
              <w:t>（二）评分依据：</w:t>
            </w:r>
          </w:p>
          <w:p>
            <w:pPr>
              <w:keepNext w:val="0"/>
              <w:keepLines w:val="0"/>
              <w:pageBreakBefore w:val="0"/>
              <w:wordWrap w:val="0"/>
              <w:overflowPunct/>
              <w:topLinePunct w:val="0"/>
              <w:bidi w:val="0"/>
              <w:adjustRightInd w:val="0"/>
              <w:snapToGrid w:val="0"/>
              <w:spacing w:line="320" w:lineRule="exact"/>
              <w:rPr>
                <w:rFonts w:hint="eastAsia"/>
              </w:rPr>
            </w:pPr>
            <w:r>
              <w:rPr>
                <w:rFonts w:hint="eastAsia"/>
              </w:rPr>
              <w:t>投标人每满足以上1项得1</w:t>
            </w:r>
            <w:r>
              <w:rPr>
                <w:rFonts w:hint="eastAsia"/>
                <w:lang w:val="en-US" w:eastAsia="zh-CN"/>
              </w:rPr>
              <w:t>0</w:t>
            </w:r>
            <w:r>
              <w:rPr>
                <w:rFonts w:hint="eastAsia"/>
              </w:rPr>
              <w:t>分，本项最高得</w:t>
            </w:r>
            <w:r>
              <w:rPr>
                <w:rFonts w:hint="eastAsia"/>
                <w:lang w:val="en-US" w:eastAsia="zh-CN"/>
              </w:rPr>
              <w:t>50</w:t>
            </w:r>
            <w:r>
              <w:rPr>
                <w:rFonts w:hint="eastAsia"/>
              </w:rPr>
              <w:t>分。其他情况不得分。在此基础上，专家根据各供应商的具体响应内容按照量化的评审因素指标进一步评审：</w:t>
            </w:r>
          </w:p>
          <w:p>
            <w:pPr>
              <w:wordWrap w:val="0"/>
              <w:adjustRightInd w:val="0"/>
              <w:snapToGrid w:val="0"/>
              <w:spacing w:line="320" w:lineRule="exact"/>
              <w:rPr>
                <w:rFonts w:hint="eastAsia"/>
              </w:rPr>
            </w:pPr>
            <w:r>
              <w:rPr>
                <w:rFonts w:hint="eastAsia"/>
              </w:rPr>
              <w:t>1、</w:t>
            </w:r>
            <w:bookmarkStart w:id="2" w:name="OLE_LINK21"/>
            <w:bookmarkStart w:id="3" w:name="OLE_LINK20"/>
            <w:r>
              <w:rPr>
                <w:rFonts w:hint="eastAsia"/>
              </w:rPr>
              <w:t>方案</w:t>
            </w:r>
            <w:r>
              <w:rPr>
                <w:rFonts w:hint="eastAsia"/>
                <w:lang w:val="en-US" w:eastAsia="zh-CN"/>
              </w:rPr>
              <w:t>中外来人员管理方案科学、人员配置、培训与管理措施合理、保洁管理及</w:t>
            </w:r>
            <w:r>
              <w:rPr>
                <w:rFonts w:hint="eastAsia"/>
              </w:rPr>
              <w:t>秩序与安全管理</w:t>
            </w:r>
            <w:r>
              <w:rPr>
                <w:rFonts w:hint="eastAsia"/>
                <w:lang w:val="en-US" w:eastAsia="zh-CN"/>
              </w:rPr>
              <w:t>方案详尽、</w:t>
            </w:r>
            <w:r>
              <w:rPr>
                <w:rFonts w:hint="eastAsia"/>
              </w:rPr>
              <w:t>建筑物本体及公共设备设施的管理</w:t>
            </w:r>
            <w:r>
              <w:rPr>
                <w:rFonts w:hint="eastAsia"/>
                <w:lang w:val="en-US" w:eastAsia="zh-CN"/>
              </w:rPr>
              <w:t>针对性强，加50分;</w:t>
            </w:r>
            <w:bookmarkEnd w:id="2"/>
          </w:p>
          <w:bookmarkEnd w:id="3"/>
          <w:p>
            <w:pPr>
              <w:wordWrap w:val="0"/>
              <w:adjustRightInd w:val="0"/>
              <w:snapToGrid w:val="0"/>
              <w:spacing w:line="320" w:lineRule="exact"/>
              <w:rPr>
                <w:rFonts w:hint="eastAsia"/>
              </w:rPr>
            </w:pPr>
            <w:r>
              <w:rPr>
                <w:rFonts w:hint="eastAsia" w:ascii="宋体" w:hAnsi="宋体" w:cs="宋体"/>
                <w:sz w:val="21"/>
                <w:szCs w:val="21"/>
                <w:lang w:val="en-US" w:eastAsia="zh-CN"/>
              </w:rPr>
              <w:t>2、</w:t>
            </w:r>
            <w:bookmarkStart w:id="4" w:name="OLE_LINK23"/>
            <w:r>
              <w:rPr>
                <w:rFonts w:hint="eastAsia" w:ascii="宋体" w:hAnsi="宋体" w:cs="宋体"/>
                <w:szCs w:val="21"/>
              </w:rPr>
              <w:t>方案中外来人员管理方案</w:t>
            </w:r>
            <w:bookmarkStart w:id="5" w:name="OLE_LINK22"/>
            <w:r>
              <w:rPr>
                <w:rFonts w:hint="eastAsia" w:ascii="宋体" w:hAnsi="宋体" w:cs="宋体"/>
                <w:szCs w:val="21"/>
                <w:lang w:val="en-US" w:eastAsia="zh-CN"/>
              </w:rPr>
              <w:t>较</w:t>
            </w:r>
            <w:bookmarkEnd w:id="5"/>
            <w:r>
              <w:rPr>
                <w:rFonts w:hint="eastAsia" w:ascii="宋体" w:hAnsi="宋体" w:cs="宋体"/>
                <w:szCs w:val="21"/>
              </w:rPr>
              <w:t>科学、人员配置、培训与管理措施</w:t>
            </w:r>
            <w:r>
              <w:rPr>
                <w:rFonts w:hint="eastAsia" w:ascii="宋体" w:hAnsi="宋体" w:cs="宋体"/>
                <w:szCs w:val="21"/>
                <w:lang w:val="en-US" w:eastAsia="zh-CN"/>
              </w:rPr>
              <w:t>较</w:t>
            </w:r>
            <w:r>
              <w:rPr>
                <w:rFonts w:hint="eastAsia" w:ascii="宋体" w:hAnsi="宋体" w:cs="宋体"/>
                <w:szCs w:val="21"/>
              </w:rPr>
              <w:t>合理、保洁管理及秩序与安全管理方案</w:t>
            </w:r>
            <w:r>
              <w:rPr>
                <w:rFonts w:hint="eastAsia" w:ascii="宋体" w:hAnsi="宋体" w:cs="宋体"/>
                <w:szCs w:val="21"/>
                <w:lang w:val="en-US" w:eastAsia="zh-CN"/>
              </w:rPr>
              <w:t>较</w:t>
            </w:r>
            <w:r>
              <w:rPr>
                <w:rFonts w:hint="eastAsia" w:ascii="宋体" w:hAnsi="宋体" w:cs="宋体"/>
                <w:szCs w:val="21"/>
              </w:rPr>
              <w:t>详尽、建筑物本体及公共设备设施的管理针对性</w:t>
            </w:r>
            <w:r>
              <w:rPr>
                <w:rFonts w:hint="eastAsia" w:ascii="宋体" w:hAnsi="宋体" w:cs="宋体"/>
                <w:szCs w:val="21"/>
                <w:lang w:val="en-US" w:eastAsia="zh-CN"/>
              </w:rPr>
              <w:t>较</w:t>
            </w:r>
            <w:r>
              <w:rPr>
                <w:rFonts w:hint="eastAsia" w:ascii="宋体" w:hAnsi="宋体" w:cs="宋体"/>
                <w:szCs w:val="21"/>
              </w:rPr>
              <w:t>强，加</w:t>
            </w:r>
            <w:r>
              <w:rPr>
                <w:rFonts w:hint="eastAsia" w:ascii="宋体" w:hAnsi="宋体" w:cs="宋体"/>
                <w:szCs w:val="21"/>
                <w:lang w:eastAsia="zh-CN"/>
              </w:rPr>
              <w:t>3</w:t>
            </w:r>
            <w:r>
              <w:rPr>
                <w:rFonts w:hint="eastAsia" w:ascii="宋体" w:hAnsi="宋体" w:cs="宋体"/>
                <w:szCs w:val="21"/>
                <w:lang w:val="en-US" w:eastAsia="zh-CN"/>
              </w:rPr>
              <w:t>0</w:t>
            </w:r>
            <w:r>
              <w:rPr>
                <w:rFonts w:hint="eastAsia" w:ascii="宋体" w:hAnsi="宋体" w:cs="宋体"/>
                <w:szCs w:val="21"/>
              </w:rPr>
              <w:t>分;</w:t>
            </w:r>
          </w:p>
          <w:bookmarkEnd w:id="4"/>
          <w:p>
            <w:pPr>
              <w:wordWrap w:val="0"/>
              <w:adjustRightInd w:val="0"/>
              <w:snapToGrid w:val="0"/>
              <w:spacing w:line="320" w:lineRule="exact"/>
              <w:rPr>
                <w:rFonts w:hint="eastAsia"/>
              </w:rPr>
            </w:pPr>
            <w:r>
              <w:rPr>
                <w:rFonts w:hint="eastAsia"/>
                <w:lang w:val="en-US" w:eastAsia="zh-CN"/>
              </w:rPr>
              <w:t>3、</w:t>
            </w:r>
            <w:r>
              <w:rPr>
                <w:rFonts w:hint="eastAsia" w:ascii="宋体" w:hAnsi="宋体" w:cs="宋体"/>
                <w:szCs w:val="21"/>
              </w:rPr>
              <w:t>方案中外来人员管理方案</w:t>
            </w:r>
            <w:bookmarkStart w:id="6" w:name="OLE_LINK24"/>
            <w:r>
              <w:rPr>
                <w:rFonts w:hint="eastAsia" w:ascii="宋体" w:hAnsi="宋体" w:cs="宋体"/>
                <w:szCs w:val="21"/>
                <w:lang w:val="en-US" w:eastAsia="zh-CN"/>
              </w:rPr>
              <w:t>一般</w:t>
            </w:r>
            <w:bookmarkEnd w:id="6"/>
            <w:r>
              <w:rPr>
                <w:rFonts w:hint="eastAsia" w:ascii="宋体" w:hAnsi="宋体" w:cs="宋体"/>
                <w:szCs w:val="21"/>
              </w:rPr>
              <w:t>、人员配置、培训与管理措施</w:t>
            </w:r>
            <w:r>
              <w:rPr>
                <w:rFonts w:hint="eastAsia" w:ascii="宋体" w:hAnsi="宋体" w:cs="宋体"/>
                <w:szCs w:val="21"/>
                <w:lang w:val="en-US" w:eastAsia="zh-CN"/>
              </w:rPr>
              <w:t>一般</w:t>
            </w:r>
            <w:r>
              <w:rPr>
                <w:rFonts w:hint="eastAsia" w:ascii="宋体" w:hAnsi="宋体" w:cs="宋体"/>
                <w:szCs w:val="21"/>
              </w:rPr>
              <w:t>、保洁管理及秩序与安全管理方案</w:t>
            </w:r>
            <w:r>
              <w:rPr>
                <w:rFonts w:hint="eastAsia" w:ascii="宋体" w:hAnsi="宋体" w:cs="宋体"/>
                <w:szCs w:val="21"/>
                <w:lang w:val="en-US" w:eastAsia="zh-CN"/>
              </w:rPr>
              <w:t>不</w:t>
            </w:r>
            <w:r>
              <w:rPr>
                <w:rFonts w:hint="eastAsia" w:ascii="宋体" w:hAnsi="宋体" w:cs="宋体"/>
                <w:szCs w:val="21"/>
              </w:rPr>
              <w:t>详尽、建筑物本体及公共设备设施的管理针对性</w:t>
            </w:r>
            <w:r>
              <w:rPr>
                <w:rFonts w:hint="eastAsia" w:ascii="宋体" w:hAnsi="宋体" w:cs="宋体"/>
                <w:szCs w:val="21"/>
                <w:lang w:val="en-US" w:eastAsia="zh-CN"/>
              </w:rPr>
              <w:t>一般</w:t>
            </w:r>
            <w:r>
              <w:rPr>
                <w:rFonts w:hint="eastAsia" w:ascii="宋体" w:hAnsi="宋体" w:cs="宋体"/>
                <w:szCs w:val="21"/>
              </w:rPr>
              <w:t>，加</w:t>
            </w:r>
            <w:r>
              <w:rPr>
                <w:rFonts w:hint="eastAsia" w:ascii="宋体" w:hAnsi="宋体" w:cs="宋体"/>
                <w:szCs w:val="21"/>
                <w:lang w:val="en-US" w:eastAsia="zh-CN"/>
              </w:rPr>
              <w:t>10</w:t>
            </w:r>
            <w:r>
              <w:rPr>
                <w:rFonts w:hint="eastAsia" w:ascii="宋体" w:hAnsi="宋体" w:cs="宋体"/>
                <w:szCs w:val="21"/>
              </w:rPr>
              <w:t>分;</w:t>
            </w:r>
          </w:p>
          <w:p>
            <w:pPr>
              <w:wordWrap w:val="0"/>
              <w:adjustRightInd w:val="0"/>
              <w:snapToGrid w:val="0"/>
              <w:spacing w:line="320" w:lineRule="exact"/>
              <w:rPr>
                <w:rFonts w:hint="default" w:ascii="宋体" w:hAnsi="宋体" w:cs="宋体"/>
                <w:sz w:val="21"/>
                <w:szCs w:val="21"/>
                <w:lang w:val="en-US" w:eastAsia="zh-CN"/>
              </w:rPr>
            </w:pPr>
            <w:r>
              <w:rPr>
                <w:rFonts w:hint="eastAsia"/>
                <w:lang w:val="en-US" w:eastAsia="zh-CN"/>
              </w:rPr>
              <w:t>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2</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项目重点难点分析、应对措施及相关的合理化建议</w:t>
            </w:r>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94" w:type="dxa"/>
            <w:tcBorders>
              <w:tl2br w:val="nil"/>
              <w:tr2bl w:val="nil"/>
            </w:tcBorders>
            <w:noWrap w:val="0"/>
            <w:vAlign w:val="center"/>
          </w:tcPr>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b/>
                <w:bCs/>
                <w:sz w:val="21"/>
                <w:szCs w:val="21"/>
              </w:rPr>
              <w:t>（一）评</w:t>
            </w:r>
            <w:r>
              <w:rPr>
                <w:rFonts w:hint="eastAsia" w:ascii="宋体" w:hAnsi="宋体" w:eastAsia="宋体" w:cs="宋体"/>
                <w:b/>
                <w:bCs/>
                <w:sz w:val="21"/>
                <w:szCs w:val="21"/>
                <w:lang w:eastAsia="zh-CN"/>
              </w:rPr>
              <w:t>分</w:t>
            </w:r>
            <w:r>
              <w:rPr>
                <w:rFonts w:hint="eastAsia" w:ascii="宋体" w:hAnsi="宋体" w:eastAsia="宋体" w:cs="宋体"/>
                <w:b/>
                <w:bCs/>
                <w:sz w:val="21"/>
                <w:szCs w:val="21"/>
              </w:rPr>
              <w:t>内容：</w:t>
            </w:r>
            <w:r>
              <w:rPr>
                <w:rFonts w:hint="eastAsia" w:ascii="宋体" w:hAnsi="宋体" w:eastAsia="宋体" w:cs="宋体"/>
                <w:sz w:val="21"/>
                <w:szCs w:val="21"/>
              </w:rPr>
              <w:t xml:space="preserve"> </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（一）评分内容：</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提供符合本项目服务特点的相关重点难点分析应对措施及相关的合理化建议，包括：</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1.根据本项目服务特点，提供保洁、秩序与安全、设施设备维护的相关重点难点分析；</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2.针对保洁、秩序与安全、设施设备维护的重难点分析提出应对措施；</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3.结合上述内容提出相关合理化建议。</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（二）评分依据：</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满足以上3点内容得80分，满足任意2点内容得50分，满足任意1点内容得10分，未满足不得分。</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在此基础上，专家根据各供应商的具体响应内容按照量化的评审因素指标进一步评审：</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优评分标准：方案符合实际、完整、规范、思路清晰，内容合理性强得20分。</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良评分标准：方案较符合实际、较完整规范、思路较清晰，内容合理性较强得15分。</w:t>
            </w:r>
          </w:p>
          <w:p>
            <w:pPr>
              <w:keepNext w:val="0"/>
              <w:keepLines w:val="0"/>
              <w:pageBreakBefore w:val="0"/>
              <w:kinsoku/>
              <w:wordWrap w:val="0"/>
              <w:overflowPunct/>
              <w:topLinePunct w:val="0"/>
              <w:bidi w:val="0"/>
              <w:spacing w:line="400" w:lineRule="exact"/>
              <w:rPr>
                <w:rFonts w:hint="eastAsia" w:ascii="宋体" w:hAnsi="宋体" w:cs="宋体"/>
                <w:szCs w:val="21"/>
              </w:rPr>
            </w:pPr>
            <w:r>
              <w:rPr>
                <w:rFonts w:hint="eastAsia" w:ascii="宋体" w:hAnsi="宋体" w:cs="宋体"/>
                <w:szCs w:val="21"/>
              </w:rPr>
              <w:t>中评分标准：方案较普通、完整性、规范性一般，思路不够清晰，内容合理性一般得10分。</w:t>
            </w:r>
          </w:p>
          <w:p>
            <w:pPr>
              <w:wordWrap w:val="0"/>
              <w:adjustRightInd w:val="0"/>
              <w:snapToGrid w:val="0"/>
              <w:spacing w:line="320" w:lineRule="exact"/>
              <w:jc w:val="left"/>
              <w:rPr>
                <w:rFonts w:ascii="宋体" w:hAnsi="宋体" w:cs="宋体"/>
                <w:szCs w:val="21"/>
              </w:rPr>
            </w:pPr>
            <w:r>
              <w:rPr>
                <w:rFonts w:hint="eastAsia" w:ascii="宋体" w:hAnsi="宋体" w:cs="宋体"/>
                <w:szCs w:val="21"/>
              </w:rPr>
              <w:t>差评分标准：方案不完整、不规范，思路不清晰，内容合理性较差或未提供不得分。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3</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eastAsia="宋体" w:cs="宋体"/>
                <w:sz w:val="21"/>
                <w:szCs w:val="21"/>
              </w:rPr>
              <w:t>质量保障措施及方案</w:t>
            </w:r>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94" w:type="dxa"/>
            <w:tcBorders>
              <w:tl2br w:val="nil"/>
              <w:tr2bl w:val="nil"/>
            </w:tcBorders>
            <w:noWrap w:val="0"/>
            <w:vAlign w:val="center"/>
          </w:tcPr>
          <w:p>
            <w:pPr>
              <w:keepNext w:val="0"/>
              <w:keepLines w:val="0"/>
              <w:pageBreakBefore w:val="0"/>
              <w:kinsoku/>
              <w:wordWrap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（一）评</w:t>
            </w:r>
            <w:r>
              <w:rPr>
                <w:rFonts w:hint="eastAsia" w:ascii="宋体" w:hAnsi="宋体" w:eastAsia="宋体" w:cs="宋体"/>
                <w:b/>
                <w:bCs/>
                <w:sz w:val="21"/>
                <w:szCs w:val="21"/>
                <w:lang w:eastAsia="zh-CN"/>
              </w:rPr>
              <w:t>分</w:t>
            </w:r>
            <w:r>
              <w:rPr>
                <w:rFonts w:hint="eastAsia" w:ascii="宋体" w:hAnsi="宋体" w:eastAsia="宋体" w:cs="宋体"/>
                <w:b/>
                <w:bCs/>
                <w:sz w:val="21"/>
                <w:szCs w:val="21"/>
              </w:rPr>
              <w:t xml:space="preserve">内容： </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提供符合本项目服务特点的服务保障措施及方案</w:t>
            </w:r>
            <w:r>
              <w:rPr>
                <w:rFonts w:hint="eastAsia" w:ascii="宋体" w:hAnsi="宋体" w:eastAsia="宋体" w:cs="宋体"/>
                <w:sz w:val="21"/>
                <w:szCs w:val="21"/>
                <w:lang w:eastAsia="zh-CN"/>
              </w:rPr>
              <w:t>，</w:t>
            </w:r>
            <w:r>
              <w:rPr>
                <w:rFonts w:hint="eastAsia" w:ascii="宋体" w:hAnsi="宋体" w:eastAsia="宋体" w:cs="宋体"/>
                <w:sz w:val="21"/>
                <w:szCs w:val="21"/>
              </w:rPr>
              <w:t>主要包括：</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质量保障措施；</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rPr>
              <w:t>应急预案（</w:t>
            </w:r>
            <w:r>
              <w:rPr>
                <w:rFonts w:hint="eastAsia" w:ascii="宋体" w:hAnsi="宋体" w:eastAsia="宋体" w:cs="宋体"/>
                <w:sz w:val="21"/>
                <w:szCs w:val="21"/>
                <w:lang w:val="en-US" w:eastAsia="zh-CN"/>
              </w:rPr>
              <w:t>包括</w:t>
            </w:r>
            <w:r>
              <w:rPr>
                <w:rFonts w:hint="eastAsia" w:ascii="宋体" w:hAnsi="宋体" w:eastAsia="宋体" w:cs="宋体"/>
                <w:sz w:val="21"/>
                <w:szCs w:val="21"/>
              </w:rPr>
              <w:t>但不限于：重要接待、反恐防爆事件、灾害性天气、突发安全事故）；</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档案及制度建立。</w:t>
            </w:r>
          </w:p>
          <w:p>
            <w:pPr>
              <w:keepNext w:val="0"/>
              <w:keepLines w:val="0"/>
              <w:pageBreakBefore w:val="0"/>
              <w:kinsoku/>
              <w:wordWrap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（二）评分依据：</w:t>
            </w:r>
          </w:p>
          <w:p>
            <w:pPr>
              <w:keepNext w:val="0"/>
              <w:keepLines w:val="0"/>
              <w:pageBreakBefore w:val="0"/>
              <w:overflowPunct/>
              <w:topLinePunct w:val="0"/>
              <w:bidi w:val="0"/>
              <w:spacing w:line="400" w:lineRule="exact"/>
              <w:rPr>
                <w:rFonts w:hint="eastAsia" w:ascii="宋体" w:hAnsi="宋体" w:cs="宋体"/>
                <w:szCs w:val="21"/>
              </w:rPr>
            </w:pPr>
            <w:r>
              <w:rPr>
                <w:rFonts w:hint="eastAsia" w:ascii="宋体" w:hAnsi="宋体" w:cs="宋体"/>
                <w:szCs w:val="21"/>
              </w:rPr>
              <w:t>满足以上3点内容得80分，满足任意2点内容得50分，满足任意1点内容得10分，未满足不得分。</w:t>
            </w:r>
          </w:p>
          <w:p>
            <w:pPr>
              <w:keepNext w:val="0"/>
              <w:keepLines w:val="0"/>
              <w:pageBreakBefore w:val="0"/>
              <w:overflowPunct/>
              <w:topLinePunct w:val="0"/>
              <w:bidi w:val="0"/>
              <w:spacing w:line="400" w:lineRule="exact"/>
              <w:rPr>
                <w:rFonts w:hint="eastAsia" w:ascii="宋体" w:hAnsi="宋体" w:cs="宋体"/>
                <w:szCs w:val="21"/>
              </w:rPr>
            </w:pPr>
            <w:r>
              <w:rPr>
                <w:rFonts w:hint="eastAsia" w:ascii="宋体" w:hAnsi="宋体" w:cs="宋体"/>
                <w:szCs w:val="21"/>
              </w:rPr>
              <w:t>在此基础上，专家根据各供应商的具体响应内容按照量化的评审因素指标进一步评审：</w:t>
            </w:r>
          </w:p>
          <w:p>
            <w:pPr>
              <w:keepNext w:val="0"/>
              <w:keepLines w:val="0"/>
              <w:pageBreakBefore w:val="0"/>
              <w:overflowPunct/>
              <w:topLinePunct w:val="0"/>
              <w:bidi w:val="0"/>
              <w:spacing w:line="400" w:lineRule="exact"/>
              <w:rPr>
                <w:rFonts w:hint="eastAsia" w:ascii="宋体" w:hAnsi="宋体" w:cs="宋体"/>
                <w:szCs w:val="21"/>
              </w:rPr>
            </w:pPr>
            <w:r>
              <w:rPr>
                <w:rFonts w:hint="eastAsia" w:ascii="宋体" w:hAnsi="宋体" w:cs="宋体"/>
                <w:szCs w:val="21"/>
              </w:rPr>
              <w:t>优评分标准：方案符合实际、完整、规范、思路清晰，内容合理性强得20分。</w:t>
            </w:r>
          </w:p>
          <w:p>
            <w:pPr>
              <w:keepNext w:val="0"/>
              <w:keepLines w:val="0"/>
              <w:pageBreakBefore w:val="0"/>
              <w:overflowPunct/>
              <w:topLinePunct w:val="0"/>
              <w:bidi w:val="0"/>
              <w:spacing w:line="400" w:lineRule="exact"/>
              <w:rPr>
                <w:rFonts w:hint="eastAsia" w:ascii="宋体" w:hAnsi="宋体" w:cs="宋体"/>
                <w:szCs w:val="21"/>
              </w:rPr>
            </w:pPr>
            <w:r>
              <w:rPr>
                <w:rFonts w:hint="eastAsia" w:ascii="宋体" w:hAnsi="宋体" w:cs="宋体"/>
                <w:szCs w:val="21"/>
              </w:rPr>
              <w:t>良评分标准：方案较符合实际、较完整规范、思路较清晰，内容合理性较强得15分。</w:t>
            </w:r>
          </w:p>
          <w:p>
            <w:pPr>
              <w:keepNext w:val="0"/>
              <w:keepLines w:val="0"/>
              <w:pageBreakBefore w:val="0"/>
              <w:overflowPunct/>
              <w:topLinePunct w:val="0"/>
              <w:bidi w:val="0"/>
              <w:spacing w:line="400" w:lineRule="exact"/>
              <w:rPr>
                <w:rFonts w:hint="eastAsia" w:ascii="宋体" w:hAnsi="宋体" w:cs="宋体"/>
                <w:szCs w:val="21"/>
              </w:rPr>
            </w:pPr>
            <w:r>
              <w:rPr>
                <w:rFonts w:hint="eastAsia" w:ascii="宋体" w:hAnsi="宋体" w:cs="宋体"/>
                <w:szCs w:val="21"/>
              </w:rPr>
              <w:t>中评分标准：方案较普通、完整性、规范性一般，思路不够清晰，内容合理性一般得10分。</w:t>
            </w:r>
          </w:p>
          <w:p>
            <w:pPr>
              <w:wordWrap w:val="0"/>
              <w:adjustRightInd w:val="0"/>
              <w:snapToGrid w:val="0"/>
              <w:spacing w:line="320" w:lineRule="exact"/>
              <w:jc w:val="left"/>
              <w:rPr>
                <w:rFonts w:ascii="宋体" w:hAnsi="宋体" w:cs="宋体"/>
                <w:szCs w:val="21"/>
              </w:rPr>
            </w:pPr>
            <w:r>
              <w:rPr>
                <w:rFonts w:hint="eastAsia" w:ascii="宋体" w:hAnsi="宋体" w:cs="宋体"/>
                <w:szCs w:val="21"/>
              </w:rPr>
              <w:t>差评分标准：方案不完整、不规范，思路不清晰，内容合理性较差或未提供不得分。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4</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项目完成（服务期满）后的服务承诺</w:t>
            </w:r>
          </w:p>
        </w:tc>
        <w:tc>
          <w:tcPr>
            <w:tcW w:w="651"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694" w:type="dxa"/>
            <w:tcBorders>
              <w:tl2br w:val="nil"/>
              <w:tr2bl w:val="nil"/>
            </w:tcBorders>
            <w:noWrap w:val="0"/>
            <w:vAlign w:val="center"/>
          </w:tcPr>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（一）评分内容：</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投标人提供项目完成（服务期满）后的服务承诺：</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1、服务期满后主动安排离岗工作，且与后续服务公司进行详细交接；</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2、服务期满时，后续服务公司未到位期间，仍然按照原合同服务承诺提供服务。</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投标人承诺以上全部内容得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r>
              <w:rPr>
                <w:rFonts w:hint="eastAsia" w:ascii="宋体" w:hAnsi="宋体" w:eastAsia="宋体" w:cs="宋体"/>
                <w:sz w:val="21"/>
                <w:szCs w:val="21"/>
                <w:lang w:eastAsia="zh-CN"/>
              </w:rPr>
              <w:t>没有不得分</w:t>
            </w:r>
            <w:r>
              <w:rPr>
                <w:rFonts w:hint="eastAsia" w:ascii="宋体" w:hAnsi="宋体" w:eastAsia="宋体" w:cs="宋体"/>
                <w:sz w:val="21"/>
                <w:szCs w:val="21"/>
              </w:rPr>
              <w:t>。</w:t>
            </w:r>
          </w:p>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（二）评分依据：</w:t>
            </w:r>
          </w:p>
          <w:p>
            <w:pPr>
              <w:adjustRightInd w:val="0"/>
              <w:snapToGrid w:val="0"/>
              <w:spacing w:line="320" w:lineRule="exact"/>
              <w:jc w:val="left"/>
              <w:rPr>
                <w:rFonts w:ascii="宋体" w:hAnsi="宋体" w:cs="宋体"/>
                <w:szCs w:val="21"/>
              </w:rPr>
            </w:pPr>
            <w:r>
              <w:rPr>
                <w:rFonts w:hint="eastAsia" w:ascii="宋体" w:hAnsi="宋体" w:eastAsia="宋体" w:cs="宋体"/>
                <w:sz w:val="21"/>
                <w:szCs w:val="21"/>
              </w:rPr>
              <w:t>要求提供《项目完成（服务期满）后的服务承诺函》（格式自定）作为得分依据，未提供承诺函或承诺内容不满足要求不得分。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5</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eastAsia="宋体" w:cs="宋体"/>
                <w:sz w:val="21"/>
                <w:szCs w:val="21"/>
              </w:rPr>
              <w:t>违约承诺</w:t>
            </w:r>
          </w:p>
        </w:tc>
        <w:tc>
          <w:tcPr>
            <w:tcW w:w="651"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694" w:type="dxa"/>
            <w:tcBorders>
              <w:tl2br w:val="nil"/>
              <w:tr2bl w:val="nil"/>
            </w:tcBorders>
            <w:noWrap w:val="0"/>
            <w:vAlign w:val="top"/>
          </w:tcPr>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（一）评分内容：</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投标人提供违约承诺：</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1、服务质量达到招标文件要求；</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2、人员严格按照招标文件及投标承诺配置；</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3、对未能达到管理要求承担相应管理责任。</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投标人承诺以上全部内容得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r>
              <w:rPr>
                <w:rFonts w:hint="eastAsia" w:ascii="宋体" w:hAnsi="宋体" w:eastAsia="宋体" w:cs="宋体"/>
                <w:sz w:val="21"/>
                <w:szCs w:val="21"/>
                <w:lang w:eastAsia="zh-CN"/>
              </w:rPr>
              <w:t>没有不得分</w:t>
            </w:r>
            <w:r>
              <w:rPr>
                <w:rFonts w:hint="eastAsia" w:ascii="宋体" w:hAnsi="宋体" w:eastAsia="宋体" w:cs="宋体"/>
                <w:sz w:val="21"/>
                <w:szCs w:val="21"/>
              </w:rPr>
              <w:t>。</w:t>
            </w:r>
          </w:p>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（二）评分依据：</w:t>
            </w:r>
          </w:p>
          <w:p>
            <w:pPr>
              <w:wordWrap w:val="0"/>
              <w:adjustRightInd w:val="0"/>
              <w:snapToGrid w:val="0"/>
              <w:spacing w:line="320" w:lineRule="exact"/>
              <w:jc w:val="left"/>
              <w:rPr>
                <w:rFonts w:ascii="宋体" w:hAnsi="宋体" w:cs="宋体"/>
                <w:szCs w:val="21"/>
              </w:rPr>
            </w:pPr>
            <w:r>
              <w:rPr>
                <w:rFonts w:hint="eastAsia" w:ascii="宋体" w:hAnsi="宋体" w:eastAsia="宋体" w:cs="宋体"/>
                <w:sz w:val="21"/>
                <w:szCs w:val="21"/>
              </w:rPr>
              <w:t>提供《违约承诺函》（格式自定）作为得分依据，未提供承诺函或承诺内容不满足要求不得分。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729"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拟安排的项目</w:t>
            </w:r>
            <w:r>
              <w:rPr>
                <w:rFonts w:hint="eastAsia" w:ascii="宋体" w:hAnsi="宋体" w:eastAsia="宋体" w:cs="宋体"/>
                <w:sz w:val="21"/>
                <w:szCs w:val="21"/>
                <w:lang w:eastAsia="zh-CN"/>
              </w:rPr>
              <w:t>经理</w:t>
            </w:r>
            <w:r>
              <w:rPr>
                <w:rFonts w:hint="eastAsia" w:ascii="宋体" w:hAnsi="宋体" w:eastAsia="宋体" w:cs="宋体"/>
                <w:sz w:val="21"/>
                <w:szCs w:val="21"/>
              </w:rPr>
              <w:t>（仅限1人）情况</w:t>
            </w:r>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cs="宋体"/>
                <w:szCs w:val="21"/>
                <w:lang w:val="en-US" w:eastAsia="zh-CN"/>
              </w:rPr>
            </w:pPr>
            <w:r>
              <w:rPr>
                <w:rFonts w:hint="eastAsia" w:ascii="宋体" w:hAnsi="宋体" w:cs="宋体"/>
                <w:szCs w:val="21"/>
                <w:lang w:val="en-US" w:eastAsia="zh-CN"/>
              </w:rPr>
              <w:t>10</w:t>
            </w:r>
          </w:p>
        </w:tc>
        <w:tc>
          <w:tcPr>
            <w:tcW w:w="5694" w:type="dxa"/>
            <w:tcBorders>
              <w:tl2br w:val="nil"/>
              <w:tr2bl w:val="nil"/>
            </w:tcBorders>
            <w:noWrap w:val="0"/>
            <w:vAlign w:val="center"/>
          </w:tcPr>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（一）评分内容：</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cs="宋体"/>
                <w:color w:val="FF0000"/>
                <w:szCs w:val="21"/>
              </w:rPr>
              <w:t>按招标文件要求提供人员配备承诺（格式见招标文件第四章-投标文件附件-人员配备承诺），</w:t>
            </w:r>
            <w:r>
              <w:rPr>
                <w:rFonts w:hint="eastAsia" w:ascii="宋体" w:hAnsi="宋体" w:eastAsia="宋体" w:cs="宋体"/>
                <w:b w:val="0"/>
                <w:bCs w:val="0"/>
                <w:sz w:val="21"/>
                <w:szCs w:val="21"/>
                <w:highlight w:val="none"/>
                <w:lang w:val="en-US" w:eastAsia="zh-CN"/>
              </w:rPr>
              <w:t>拟安排的项目经理(仅限1人）需为投标人正式聘任员工，具有本科（或以上）学历证书且</w:t>
            </w:r>
            <w:r>
              <w:rPr>
                <w:rFonts w:hint="eastAsia" w:ascii="宋体" w:hAnsi="宋体" w:cs="宋体"/>
                <w:b w:val="0"/>
                <w:bCs w:val="0"/>
                <w:sz w:val="21"/>
                <w:szCs w:val="21"/>
                <w:highlight w:val="none"/>
                <w:lang w:val="en-US" w:eastAsia="zh-CN"/>
              </w:rPr>
              <w:t>有3年以上物业项目管理经验，至少2年住宅型项目管理经验</w:t>
            </w:r>
            <w:r>
              <w:rPr>
                <w:rFonts w:hint="eastAsia" w:ascii="宋体" w:hAnsi="宋体" w:eastAsia="宋体" w:cs="宋体"/>
                <w:b w:val="0"/>
                <w:bCs w:val="0"/>
                <w:sz w:val="21"/>
                <w:szCs w:val="21"/>
                <w:highlight w:val="none"/>
                <w:lang w:val="en-US" w:eastAsia="zh-CN"/>
              </w:rPr>
              <w:t>的，否则不得分，在此基础上：</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1.具有</w:t>
            </w:r>
            <w:bookmarkStart w:id="7" w:name="OLE_LINK5"/>
            <w:r>
              <w:rPr>
                <w:rFonts w:hint="eastAsia" w:ascii="宋体" w:hAnsi="宋体" w:cs="宋体"/>
                <w:b w:val="0"/>
                <w:bCs w:val="0"/>
                <w:sz w:val="21"/>
                <w:szCs w:val="21"/>
                <w:highlight w:val="none"/>
                <w:lang w:val="en-US" w:eastAsia="zh-CN"/>
              </w:rPr>
              <w:t>人力资源和社会保障部</w:t>
            </w:r>
            <w:bookmarkEnd w:id="7"/>
            <w:r>
              <w:rPr>
                <w:rFonts w:hint="eastAsia" w:ascii="宋体" w:hAnsi="宋体" w:eastAsia="宋体" w:cs="宋体"/>
                <w:b w:val="0"/>
                <w:bCs w:val="0"/>
                <w:sz w:val="21"/>
                <w:szCs w:val="21"/>
                <w:highlight w:val="none"/>
                <w:lang w:val="en-US" w:eastAsia="zh-CN"/>
              </w:rPr>
              <w:t>颁发的中级或以上安全类工程师证书得</w:t>
            </w:r>
            <w:r>
              <w:rPr>
                <w:rFonts w:hint="eastAsia" w:ascii="宋体" w:hAnsi="宋体" w:cs="宋体"/>
                <w:b w:val="0"/>
                <w:bCs w:val="0"/>
                <w:sz w:val="21"/>
                <w:szCs w:val="21"/>
                <w:highlight w:val="none"/>
                <w:lang w:val="en-US" w:eastAsia="zh-CN"/>
              </w:rPr>
              <w:t>20</w:t>
            </w:r>
            <w:r>
              <w:rPr>
                <w:rFonts w:hint="eastAsia" w:ascii="宋体" w:hAnsi="宋体" w:eastAsia="宋体" w:cs="宋体"/>
                <w:b w:val="0"/>
                <w:bCs w:val="0"/>
                <w:sz w:val="21"/>
                <w:szCs w:val="21"/>
                <w:highlight w:val="none"/>
                <w:lang w:val="en-US" w:eastAsia="zh-CN"/>
              </w:rPr>
              <w:t>分；</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sz w:val="21"/>
                <w:szCs w:val="21"/>
                <w:highlight w:val="none"/>
                <w:lang w:val="en-US" w:eastAsia="zh-CN"/>
              </w:rPr>
              <w:t>2.具有</w:t>
            </w:r>
            <w:r>
              <w:rPr>
                <w:rFonts w:hint="eastAsia" w:ascii="宋体" w:hAnsi="宋体" w:cs="宋体"/>
                <w:b w:val="0"/>
                <w:bCs w:val="0"/>
                <w:sz w:val="21"/>
                <w:szCs w:val="21"/>
                <w:highlight w:val="none"/>
                <w:lang w:val="en-US" w:eastAsia="zh-CN"/>
              </w:rPr>
              <w:t>协会颁发的</w:t>
            </w:r>
            <w:r>
              <w:rPr>
                <w:rFonts w:hint="eastAsia" w:ascii="宋体" w:hAnsi="宋体" w:eastAsia="宋体" w:cs="宋体"/>
                <w:b w:val="0"/>
                <w:bCs w:val="0"/>
                <w:sz w:val="21"/>
                <w:szCs w:val="21"/>
                <w:highlight w:val="none"/>
                <w:lang w:val="en-US" w:eastAsia="zh-CN"/>
              </w:rPr>
              <w:t>三级（或以上）物业管理师职业技能证书</w:t>
            </w:r>
            <w:r>
              <w:rPr>
                <w:rFonts w:hint="eastAsia" w:ascii="宋体" w:hAnsi="宋体" w:eastAsia="宋体" w:cs="宋体"/>
                <w:b w:val="0"/>
                <w:bCs w:val="0"/>
                <w:i w:val="0"/>
                <w:iCs w:val="0"/>
                <w:sz w:val="21"/>
                <w:szCs w:val="21"/>
                <w:highlight w:val="none"/>
                <w:u w:val="none"/>
                <w:lang w:val="en-US" w:eastAsia="zh-CN"/>
              </w:rPr>
              <w:t>，得</w:t>
            </w:r>
            <w:r>
              <w:rPr>
                <w:rFonts w:hint="eastAsia" w:ascii="宋体" w:hAnsi="宋体" w:cs="宋体"/>
                <w:b w:val="0"/>
                <w:bCs w:val="0"/>
                <w:i w:val="0"/>
                <w:iCs w:val="0"/>
                <w:sz w:val="21"/>
                <w:szCs w:val="21"/>
                <w:highlight w:val="none"/>
                <w:u w:val="none"/>
                <w:lang w:val="en-US" w:eastAsia="zh-CN"/>
              </w:rPr>
              <w:t>20</w:t>
            </w:r>
            <w:r>
              <w:rPr>
                <w:rFonts w:hint="eastAsia" w:ascii="宋体" w:hAnsi="宋体" w:eastAsia="宋体" w:cs="宋体"/>
                <w:b w:val="0"/>
                <w:bCs w:val="0"/>
                <w:i w:val="0"/>
                <w:iCs w:val="0"/>
                <w:sz w:val="21"/>
                <w:szCs w:val="21"/>
                <w:highlight w:val="none"/>
                <w:u w:val="none"/>
                <w:lang w:val="en-US" w:eastAsia="zh-CN"/>
              </w:rPr>
              <w:t>分；</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3.具有电工职业技能等级证书或职业资格证书，得2</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lang w:val="en-US" w:eastAsia="zh-CN"/>
              </w:rPr>
              <w:t>分；</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4.荣获</w:t>
            </w:r>
            <w:r>
              <w:rPr>
                <w:rFonts w:hint="eastAsia" w:ascii="宋体" w:hAnsi="宋体" w:cs="宋体"/>
                <w:b w:val="0"/>
                <w:bCs w:val="0"/>
                <w:sz w:val="21"/>
                <w:szCs w:val="21"/>
                <w:highlight w:val="none"/>
                <w:lang w:val="en-US" w:eastAsia="zh-CN"/>
              </w:rPr>
              <w:t>市</w:t>
            </w:r>
            <w:r>
              <w:rPr>
                <w:rFonts w:hint="eastAsia" w:ascii="宋体" w:hAnsi="宋体" w:eastAsia="宋体" w:cs="宋体"/>
                <w:b w:val="0"/>
                <w:bCs w:val="0"/>
                <w:sz w:val="21"/>
                <w:szCs w:val="21"/>
                <w:highlight w:val="none"/>
                <w:lang w:val="en-US" w:eastAsia="zh-CN"/>
              </w:rPr>
              <w:t>级或以上</w:t>
            </w:r>
            <w:r>
              <w:rPr>
                <w:rFonts w:hint="eastAsia" w:ascii="宋体" w:hAnsi="宋体" w:cs="宋体"/>
                <w:b w:val="0"/>
                <w:bCs w:val="0"/>
                <w:sz w:val="21"/>
                <w:szCs w:val="21"/>
                <w:highlight w:val="none"/>
                <w:lang w:val="en-US" w:eastAsia="zh-CN"/>
              </w:rPr>
              <w:t>人力资源和社会保障部</w:t>
            </w:r>
            <w:r>
              <w:rPr>
                <w:rFonts w:hint="eastAsia" w:ascii="宋体" w:hAnsi="宋体" w:eastAsia="宋体" w:cs="宋体"/>
                <w:b w:val="0"/>
                <w:bCs w:val="0"/>
                <w:sz w:val="21"/>
                <w:szCs w:val="21"/>
                <w:highlight w:val="none"/>
                <w:lang w:val="en-US" w:eastAsia="zh-CN"/>
              </w:rPr>
              <w:t>颁发的物业相关类个人荣誉称号得2</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lang w:val="en-US" w:eastAsia="zh-CN"/>
              </w:rPr>
              <w:t>分；</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5.荣获市级或以上的总工会颁发的个人荣誉称号得2</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lang w:val="en-US" w:eastAsia="zh-CN"/>
              </w:rPr>
              <w:t>分。</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以上</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项得分累计，最高得</w:t>
            </w:r>
            <w:r>
              <w:rPr>
                <w:rFonts w:hint="eastAsia" w:ascii="宋体" w:hAnsi="宋体" w:eastAsia="宋体" w:cs="宋体"/>
                <w:b w:val="0"/>
                <w:bCs w:val="0"/>
                <w:sz w:val="21"/>
                <w:szCs w:val="21"/>
                <w:highlight w:val="none"/>
                <w:lang w:val="en-US" w:eastAsia="zh-CN"/>
              </w:rPr>
              <w:t>10</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rPr>
              <w:t>分。</w:t>
            </w:r>
          </w:p>
          <w:p>
            <w:pPr>
              <w:keepNext w:val="0"/>
              <w:keepLines w:val="0"/>
              <w:pageBreakBefore w:val="0"/>
              <w:widowControl/>
              <w:kinsoku/>
              <w:wordWrap w:val="0"/>
              <w:overflowPunct/>
              <w:topLinePunct w:val="0"/>
              <w:bidi w:val="0"/>
              <w:adjustRightInd/>
              <w:snapToGrid/>
              <w:spacing w:line="40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1.提供项目经理通过投标单位缴纳的载有社保部门或税务部门公章的</w:t>
            </w:r>
            <w:bookmarkStart w:id="8" w:name="OLE_LINK13"/>
            <w:r>
              <w:rPr>
                <w:rFonts w:hint="eastAsia" w:ascii="宋体" w:hAnsi="宋体" w:cs="宋体"/>
                <w:b w:val="0"/>
                <w:bCs w:val="0"/>
                <w:kern w:val="0"/>
                <w:sz w:val="21"/>
                <w:szCs w:val="21"/>
                <w:highlight w:val="none"/>
                <w:lang w:val="en-US" w:eastAsia="zh-CN"/>
              </w:rPr>
              <w:t>近三个月(2025年4月至6月)其中任意一月</w:t>
            </w:r>
            <w:bookmarkEnd w:id="8"/>
            <w:r>
              <w:rPr>
                <w:rFonts w:hint="eastAsia" w:ascii="宋体" w:hAnsi="宋体" w:eastAsia="宋体" w:cs="宋体"/>
                <w:b w:val="0"/>
                <w:bCs w:val="0"/>
                <w:kern w:val="0"/>
                <w:sz w:val="21"/>
                <w:szCs w:val="21"/>
                <w:highlight w:val="none"/>
              </w:rPr>
              <w:t>的个人社保证明（如投标截止日上一个月的社保证明因社保部门或税务部门原因暂时无法取得，则同往前顺延一个月）；如供应商为新成立单位且成立时间不足一个月的，可提供加盖公章的情况说明或者证明材料，无需提供相关人员社保，亦视为符合；</w:t>
            </w:r>
          </w:p>
          <w:p>
            <w:pPr>
              <w:widowControl/>
              <w:wordWrap w:val="0"/>
              <w:spacing w:line="400" w:lineRule="exact"/>
              <w:jc w:val="left"/>
              <w:rPr>
                <w:rFonts w:hint="eastAsia" w:ascii="宋体" w:hAnsi="宋体" w:eastAsia="宋体" w:cs="宋体"/>
                <w:kern w:val="0"/>
                <w:szCs w:val="21"/>
                <w:highlight w:val="none"/>
                <w:lang w:val="en-US" w:eastAsia="zh-CN"/>
              </w:rPr>
            </w:pPr>
            <w:r>
              <w:rPr>
                <w:rFonts w:hint="eastAsia" w:ascii="宋体" w:hAnsi="宋体" w:cs="宋体"/>
                <w:b w:val="0"/>
                <w:bCs w:val="0"/>
                <w:kern w:val="0"/>
                <w:sz w:val="21"/>
                <w:szCs w:val="21"/>
                <w:highlight w:val="none"/>
                <w:lang w:val="en-US" w:eastAsia="zh-CN"/>
              </w:rPr>
              <w:t>2.</w:t>
            </w:r>
            <w:r>
              <w:rPr>
                <w:rFonts w:hint="eastAsia" w:ascii="宋体" w:hAnsi="宋体" w:eastAsia="宋体" w:cs="宋体"/>
                <w:kern w:val="0"/>
                <w:sz w:val="21"/>
                <w:szCs w:val="21"/>
                <w:highlight w:val="none"/>
              </w:rPr>
              <w:t>工作经验要求提供项目合同关键信息作为得分依据，通过合同关键信息无法判断是否得分的，还须同时提供投标人承诺</w:t>
            </w:r>
            <w:r>
              <w:rPr>
                <w:rFonts w:hint="eastAsia" w:ascii="宋体" w:hAnsi="宋体" w:cs="宋体"/>
                <w:kern w:val="0"/>
                <w:sz w:val="21"/>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1"/>
                <w:szCs w:val="21"/>
                <w:highlight w:val="none"/>
              </w:rPr>
            </w:pPr>
            <w:r>
              <w:rPr>
                <w:rFonts w:hint="eastAsia" w:ascii="宋体" w:hAnsi="宋体" w:cs="宋体"/>
                <w:b w:val="0"/>
                <w:bCs w:val="0"/>
                <w:kern w:val="0"/>
                <w:sz w:val="21"/>
                <w:szCs w:val="21"/>
                <w:highlight w:val="none"/>
                <w:lang w:val="en-US" w:eastAsia="zh-CN"/>
              </w:rPr>
              <w:t>3</w:t>
            </w:r>
            <w:r>
              <w:rPr>
                <w:rFonts w:hint="eastAsia" w:ascii="宋体" w:hAnsi="宋体" w:eastAsia="宋体" w:cs="宋体"/>
                <w:b w:val="0"/>
                <w:bCs w:val="0"/>
                <w:kern w:val="0"/>
                <w:sz w:val="21"/>
                <w:szCs w:val="21"/>
                <w:highlight w:val="none"/>
              </w:rPr>
              <w:t>、提供项目经理上述证书</w:t>
            </w:r>
            <w:r>
              <w:rPr>
                <w:rFonts w:hint="eastAsia" w:ascii="宋体" w:hAnsi="宋体" w:cs="宋体"/>
                <w:b w:val="0"/>
                <w:bCs w:val="0"/>
                <w:kern w:val="0"/>
                <w:sz w:val="21"/>
                <w:szCs w:val="21"/>
                <w:highlight w:val="none"/>
                <w:lang w:val="en-US" w:eastAsia="zh-CN"/>
              </w:rPr>
              <w:t>及荣誉证明</w:t>
            </w:r>
            <w:r>
              <w:rPr>
                <w:rFonts w:hint="eastAsia" w:ascii="宋体" w:hAnsi="宋体" w:eastAsia="宋体" w:cs="宋体"/>
                <w:b w:val="0"/>
                <w:bCs w:val="0"/>
                <w:kern w:val="0"/>
                <w:sz w:val="21"/>
                <w:szCs w:val="21"/>
                <w:highlight w:val="none"/>
              </w:rPr>
              <w:t>；涉及考察职业资格证书或职业技能等级证书的，要求同时提供证书和技能人才评价证书全国联网（网址http://zscx.osta.org.cn/）查询截图，否则不予认可，视为无效证书；</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1"/>
                <w:szCs w:val="21"/>
                <w:highlight w:val="none"/>
              </w:rPr>
            </w:pPr>
            <w:r>
              <w:rPr>
                <w:rFonts w:hint="eastAsia" w:ascii="宋体" w:hAnsi="宋体" w:cs="宋体"/>
                <w:b w:val="0"/>
                <w:bCs w:val="0"/>
                <w:kern w:val="0"/>
                <w:sz w:val="21"/>
                <w:szCs w:val="21"/>
                <w:highlight w:val="none"/>
                <w:lang w:val="en-US" w:eastAsia="zh-CN"/>
              </w:rPr>
              <w:t>4</w:t>
            </w:r>
            <w:r>
              <w:rPr>
                <w:rFonts w:hint="eastAsia" w:ascii="宋体" w:hAnsi="宋体" w:eastAsia="宋体" w:cs="宋体"/>
                <w:b w:val="0"/>
                <w:bCs w:val="0"/>
                <w:kern w:val="0"/>
                <w:sz w:val="21"/>
                <w:szCs w:val="21"/>
                <w:highlight w:val="none"/>
              </w:rPr>
              <w:t>、涉及考察学历或学位的，提供毕业证书（或学位证书）以及学信网查询记录，对于学信网无法查询的，还需提供毕业院校或人社部门或教育部门等颁发机构或监管机构出具的证明，在海外留学并取得学位的，学信网无法查询的，可提供教育部留学服务中心出具的国外学历学位认证证书以及教育部留学服务中心官网查询截图）；</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val="en-US" w:eastAsia="zh-CN" w:bidi="ar-SA"/>
              </w:rPr>
            </w:pPr>
            <w:r>
              <w:rPr>
                <w:rFonts w:hint="eastAsia" w:ascii="宋体" w:hAnsi="宋体" w:cs="宋体"/>
                <w:b w:val="0"/>
                <w:bCs w:val="0"/>
                <w:kern w:val="0"/>
                <w:sz w:val="21"/>
                <w:szCs w:val="21"/>
                <w:highlight w:val="none"/>
                <w:lang w:val="en-US" w:eastAsia="zh-CN"/>
              </w:rPr>
              <w:t>5</w:t>
            </w:r>
            <w:r>
              <w:rPr>
                <w:rFonts w:hint="eastAsia" w:ascii="宋体" w:hAnsi="宋体" w:eastAsia="宋体" w:cs="宋体"/>
                <w:b w:val="0"/>
                <w:bCs w:val="0"/>
                <w:kern w:val="0"/>
                <w:sz w:val="21"/>
                <w:szCs w:val="21"/>
                <w:highlight w:val="none"/>
              </w:rPr>
              <w:t>、以上证明文件提供扫描件，如涉及网站截图或照片等证明材料,需提供清晰图片。未按要求提供有效证明材料或提供不清晰导致评委无法识别的不计得分。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729"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拟安排的项目团队成员（项目</w:t>
            </w:r>
            <w:r>
              <w:rPr>
                <w:rFonts w:hint="eastAsia" w:ascii="宋体" w:hAnsi="宋体" w:eastAsia="宋体" w:cs="宋体"/>
                <w:sz w:val="21"/>
                <w:szCs w:val="21"/>
                <w:lang w:eastAsia="zh-CN"/>
              </w:rPr>
              <w:t>经理</w:t>
            </w:r>
            <w:r>
              <w:rPr>
                <w:rFonts w:hint="eastAsia" w:ascii="宋体" w:hAnsi="宋体" w:eastAsia="宋体" w:cs="宋体"/>
                <w:sz w:val="21"/>
                <w:szCs w:val="21"/>
              </w:rPr>
              <w:t>除外）</w:t>
            </w:r>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cs="宋体"/>
                <w:szCs w:val="21"/>
                <w:lang w:val="en-US" w:eastAsia="zh-CN"/>
              </w:rPr>
            </w:pPr>
            <w:r>
              <w:rPr>
                <w:rFonts w:hint="eastAsia" w:ascii="宋体" w:hAnsi="宋体" w:cs="宋体"/>
                <w:szCs w:val="21"/>
                <w:lang w:val="en-US" w:eastAsia="zh-CN"/>
              </w:rPr>
              <w:t>15</w:t>
            </w:r>
          </w:p>
        </w:tc>
        <w:tc>
          <w:tcPr>
            <w:tcW w:w="5694"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（一）评分内容：</w:t>
            </w:r>
          </w:p>
          <w:p>
            <w:pPr>
              <w:keepNext w:val="0"/>
              <w:keepLines w:val="0"/>
              <w:pageBreakBefore w:val="0"/>
              <w:kinsoku/>
              <w:wordWrap w:val="0"/>
              <w:overflowPunct/>
              <w:topLinePunct w:val="0"/>
              <w:bidi w:val="0"/>
              <w:spacing w:line="400" w:lineRule="exact"/>
              <w:rPr>
                <w:rFonts w:hint="eastAsia" w:ascii="宋体" w:hAnsi="宋体" w:eastAsia="宋体" w:cs="宋体"/>
                <w:b w:val="0"/>
                <w:bCs w:val="0"/>
                <w:sz w:val="21"/>
                <w:szCs w:val="21"/>
                <w:highlight w:val="none"/>
                <w:lang w:val="en-US" w:eastAsia="zh-CN"/>
              </w:rPr>
            </w:pPr>
            <w:r>
              <w:rPr>
                <w:rFonts w:hint="eastAsia" w:ascii="宋体" w:hAnsi="宋体" w:cs="宋体"/>
                <w:color w:val="FF0000"/>
                <w:szCs w:val="21"/>
              </w:rPr>
              <w:t>按招标文件要求提供人员配备承诺（格式见招标文件第四章-投标文件附件-人员配备承诺），</w:t>
            </w:r>
            <w:r>
              <w:rPr>
                <w:rFonts w:hint="eastAsia" w:ascii="宋体" w:hAnsi="宋体" w:eastAsia="宋体" w:cs="宋体"/>
                <w:sz w:val="21"/>
                <w:szCs w:val="21"/>
              </w:rPr>
              <w:t>拟安排的项目团队成员需为投标人</w:t>
            </w:r>
            <w:r>
              <w:rPr>
                <w:rFonts w:hint="eastAsia" w:ascii="宋体" w:hAnsi="宋体" w:eastAsia="宋体" w:cs="宋体"/>
                <w:color w:val="000000"/>
                <w:sz w:val="21"/>
                <w:szCs w:val="21"/>
              </w:rPr>
              <w:t>正式聘任</w:t>
            </w:r>
            <w:r>
              <w:rPr>
                <w:rFonts w:hint="eastAsia" w:ascii="宋体" w:hAnsi="宋体" w:eastAsia="宋体" w:cs="宋体"/>
                <w:sz w:val="21"/>
                <w:szCs w:val="21"/>
              </w:rPr>
              <w:t>员工，否则该人员情况不计分。在此基础上，按以下标准评分：</w:t>
            </w:r>
          </w:p>
          <w:p>
            <w:pPr>
              <w:keepNext w:val="0"/>
              <w:keepLines w:val="0"/>
              <w:pageBreakBefore w:val="0"/>
              <w:overflowPunct/>
              <w:topLinePunct w:val="0"/>
              <w:bidi w:val="0"/>
              <w:spacing w:line="40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1、拟投入本项目的</w:t>
            </w:r>
            <w:r>
              <w:rPr>
                <w:rFonts w:hint="eastAsia" w:ascii="宋体" w:hAnsi="宋体" w:eastAsia="宋体" w:cs="宋体"/>
                <w:b/>
                <w:bCs/>
                <w:sz w:val="21"/>
                <w:szCs w:val="21"/>
                <w:highlight w:val="none"/>
                <w:lang w:eastAsia="zh-CN"/>
              </w:rPr>
              <w:t>财务文员（</w:t>
            </w:r>
            <w:r>
              <w:rPr>
                <w:rFonts w:hint="eastAsia" w:ascii="宋体" w:hAnsi="宋体" w:eastAsia="宋体" w:cs="宋体"/>
                <w:b/>
                <w:bCs/>
                <w:sz w:val="21"/>
                <w:szCs w:val="21"/>
                <w:highlight w:val="none"/>
                <w:lang w:val="en-US" w:eastAsia="zh-CN"/>
              </w:rPr>
              <w:t>1人</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具</w:t>
            </w:r>
            <w:r>
              <w:rPr>
                <w:rFonts w:hint="eastAsia" w:ascii="宋体" w:hAnsi="宋体" w:eastAsia="宋体" w:cs="宋体"/>
                <w:sz w:val="21"/>
                <w:szCs w:val="21"/>
                <w:highlight w:val="none"/>
                <w:lang w:eastAsia="zh-CN"/>
              </w:rPr>
              <w:t>有</w:t>
            </w:r>
            <w:bookmarkStart w:id="9" w:name="OLE_LINK6"/>
            <w:r>
              <w:rPr>
                <w:rFonts w:hint="eastAsia" w:ascii="宋体" w:hAnsi="宋体" w:cs="宋体"/>
                <w:sz w:val="21"/>
                <w:szCs w:val="21"/>
                <w:highlight w:val="none"/>
                <w:lang w:eastAsia="zh-CN"/>
              </w:rPr>
              <w:t>本科</w:t>
            </w:r>
            <w:r>
              <w:rPr>
                <w:rFonts w:hint="eastAsia" w:ascii="宋体" w:hAnsi="宋体" w:eastAsia="宋体" w:cs="宋体"/>
                <w:sz w:val="21"/>
                <w:szCs w:val="21"/>
                <w:highlight w:val="none"/>
                <w:lang w:eastAsia="zh-CN"/>
              </w:rPr>
              <w:t>及</w:t>
            </w:r>
            <w:bookmarkEnd w:id="9"/>
            <w:r>
              <w:rPr>
                <w:rFonts w:hint="eastAsia" w:ascii="宋体" w:hAnsi="宋体" w:eastAsia="宋体" w:cs="宋体"/>
                <w:sz w:val="21"/>
                <w:szCs w:val="21"/>
                <w:highlight w:val="none"/>
                <w:lang w:eastAsia="zh-CN"/>
              </w:rPr>
              <w:t>以上学历；</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（2）具有</w:t>
            </w:r>
            <w:bookmarkStart w:id="10" w:name="OLE_LINK9"/>
            <w:r>
              <w:rPr>
                <w:rFonts w:hint="eastAsia" w:ascii="宋体" w:hAnsi="宋体" w:eastAsia="宋体" w:cs="宋体"/>
                <w:sz w:val="21"/>
                <w:szCs w:val="21"/>
                <w:highlight w:val="none"/>
                <w:lang w:eastAsia="zh-CN"/>
              </w:rPr>
              <w:t>人力资源和社会保障部门</w:t>
            </w:r>
            <w:bookmarkEnd w:id="10"/>
            <w:r>
              <w:rPr>
                <w:rFonts w:hint="eastAsia" w:ascii="宋体" w:hAnsi="宋体" w:eastAsia="宋体" w:cs="宋体"/>
                <w:sz w:val="21"/>
                <w:szCs w:val="21"/>
                <w:highlight w:val="none"/>
                <w:lang w:eastAsia="zh-CN"/>
              </w:rPr>
              <w:t>颁发的经济类</w:t>
            </w:r>
            <w:r>
              <w:rPr>
                <w:rFonts w:hint="eastAsia" w:ascii="宋体" w:hAnsi="宋体" w:cs="宋体"/>
                <w:sz w:val="21"/>
                <w:szCs w:val="21"/>
                <w:highlight w:val="none"/>
                <w:lang w:eastAsia="zh-CN"/>
              </w:rPr>
              <w:t>初</w:t>
            </w:r>
            <w:r>
              <w:rPr>
                <w:rFonts w:hint="eastAsia" w:ascii="宋体" w:hAnsi="宋体" w:eastAsia="宋体" w:cs="宋体"/>
                <w:sz w:val="21"/>
                <w:szCs w:val="21"/>
                <w:highlight w:val="none"/>
                <w:lang w:eastAsia="zh-CN"/>
              </w:rPr>
              <w:t>级职称；</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（3）具有物业管理企业经理相关证书。</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val="en-US" w:eastAsia="zh-CN"/>
              </w:rPr>
            </w:pPr>
            <w:bookmarkStart w:id="11" w:name="OLE_LINK10"/>
            <w:r>
              <w:rPr>
                <w:rFonts w:hint="eastAsia" w:ascii="宋体" w:hAnsi="宋体" w:cs="宋体"/>
                <w:sz w:val="21"/>
                <w:szCs w:val="21"/>
                <w:highlight w:val="none"/>
                <w:lang w:val="en-US" w:eastAsia="zh-CN"/>
              </w:rPr>
              <w:t>每满足1项以上要求得10分，</w:t>
            </w:r>
            <w:bookmarkEnd w:id="11"/>
            <w:r>
              <w:rPr>
                <w:rFonts w:hint="eastAsia" w:ascii="宋体" w:hAnsi="宋体" w:eastAsia="宋体" w:cs="宋体"/>
                <w:sz w:val="21"/>
                <w:szCs w:val="21"/>
                <w:highlight w:val="none"/>
                <w:lang w:val="en-US" w:eastAsia="zh-CN"/>
              </w:rPr>
              <w:t>本项最高得30分。</w:t>
            </w:r>
          </w:p>
          <w:p>
            <w:pPr>
              <w:keepNext w:val="0"/>
              <w:keepLines w:val="0"/>
              <w:pageBreakBefore w:val="0"/>
              <w:overflowPunct/>
              <w:topLinePunct w:val="0"/>
              <w:bidi w:val="0"/>
              <w:spacing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2、拟投入本项目的</w:t>
            </w:r>
            <w:r>
              <w:rPr>
                <w:rFonts w:hint="eastAsia" w:ascii="宋体" w:hAnsi="宋体" w:eastAsia="宋体" w:cs="宋体"/>
                <w:b/>
                <w:bCs/>
                <w:sz w:val="21"/>
                <w:szCs w:val="21"/>
                <w:highlight w:val="none"/>
              </w:rPr>
              <w:t>保安班长</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1人</w:t>
            </w:r>
            <w:r>
              <w:rPr>
                <w:rFonts w:hint="eastAsia" w:ascii="宋体" w:hAnsi="宋体" w:eastAsia="宋体" w:cs="宋体"/>
                <w:b/>
                <w:bCs/>
                <w:sz w:val="21"/>
                <w:szCs w:val="21"/>
                <w:highlight w:val="none"/>
                <w:lang w:eastAsia="zh-CN"/>
              </w:rPr>
              <w:t>）：</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具</w:t>
            </w:r>
            <w:r>
              <w:rPr>
                <w:rFonts w:hint="eastAsia" w:ascii="宋体" w:hAnsi="宋体" w:eastAsia="宋体" w:cs="宋体"/>
                <w:sz w:val="21"/>
                <w:szCs w:val="21"/>
                <w:highlight w:val="none"/>
                <w:lang w:eastAsia="zh-CN"/>
              </w:rPr>
              <w:t>有</w:t>
            </w:r>
            <w:bookmarkStart w:id="12" w:name="OLE_LINK7"/>
            <w:r>
              <w:rPr>
                <w:rFonts w:hint="eastAsia" w:ascii="宋体" w:hAnsi="宋体" w:cs="宋体"/>
                <w:sz w:val="21"/>
                <w:szCs w:val="21"/>
                <w:highlight w:val="none"/>
                <w:lang w:eastAsia="zh-CN"/>
              </w:rPr>
              <w:t>大专及以上学历，</w:t>
            </w:r>
            <w:r>
              <w:rPr>
                <w:rFonts w:hint="eastAsia" w:ascii="宋体" w:hAnsi="宋体" w:cs="宋体"/>
                <w:sz w:val="21"/>
                <w:szCs w:val="21"/>
                <w:highlight w:val="none"/>
                <w:lang w:val="en-US" w:eastAsia="zh-CN"/>
              </w:rPr>
              <w:t>2年以上安保管理经验，熟悉监控系统操作、巡逻排班、安全隐患排查等工作</w:t>
            </w:r>
            <w:bookmarkEnd w:id="12"/>
            <w:r>
              <w:rPr>
                <w:rFonts w:hint="eastAsia" w:ascii="宋体" w:hAnsi="宋体" w:eastAsia="宋体" w:cs="宋体"/>
                <w:sz w:val="21"/>
                <w:szCs w:val="21"/>
                <w:highlight w:val="none"/>
                <w:lang w:eastAsia="zh-CN"/>
              </w:rPr>
              <w:t>；</w:t>
            </w:r>
          </w:p>
          <w:p>
            <w:pPr>
              <w:spacing w:line="400" w:lineRule="exact"/>
              <w:rPr>
                <w:rFonts w:hint="eastAsia"/>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b w:val="0"/>
                <w:bCs w:val="0"/>
                <w:sz w:val="21"/>
                <w:szCs w:val="21"/>
                <w:highlight w:val="none"/>
                <w:lang w:val="en-US" w:eastAsia="zh-CN"/>
              </w:rPr>
              <w:t>具有</w:t>
            </w:r>
            <w:r>
              <w:rPr>
                <w:rFonts w:hint="eastAsia" w:ascii="宋体" w:hAnsi="宋体" w:cs="宋体"/>
                <w:b w:val="0"/>
                <w:bCs w:val="0"/>
                <w:sz w:val="21"/>
                <w:szCs w:val="21"/>
                <w:highlight w:val="none"/>
                <w:lang w:val="en-US" w:eastAsia="zh-CN"/>
              </w:rPr>
              <w:t>人社部颁发的保安员职业资格证书</w:t>
            </w:r>
            <w:r>
              <w:rPr>
                <w:rFonts w:hint="eastAsia" w:ascii="宋体" w:hAnsi="宋体" w:eastAsia="宋体" w:cs="宋体"/>
                <w:b w:val="0"/>
                <w:bCs w:val="0"/>
                <w:sz w:val="21"/>
                <w:szCs w:val="21"/>
                <w:highlight w:val="none"/>
                <w:lang w:val="en-US" w:eastAsia="zh-CN"/>
              </w:rPr>
              <w:t>；</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val="en-US" w:eastAsia="zh-CN"/>
              </w:rPr>
            </w:pPr>
            <w:bookmarkStart w:id="13" w:name="OLE_LINK11"/>
            <w:r>
              <w:rPr>
                <w:rFonts w:hint="eastAsia" w:ascii="宋体" w:hAnsi="宋体" w:cs="宋体"/>
                <w:sz w:val="21"/>
                <w:szCs w:val="21"/>
                <w:highlight w:val="none"/>
                <w:lang w:val="en-US" w:eastAsia="zh-CN"/>
              </w:rPr>
              <w:t>每</w:t>
            </w:r>
            <w:bookmarkStart w:id="14" w:name="OLE_LINK12"/>
            <w:r>
              <w:rPr>
                <w:rFonts w:hint="eastAsia" w:ascii="宋体" w:hAnsi="宋体" w:cs="宋体"/>
                <w:sz w:val="21"/>
                <w:szCs w:val="21"/>
                <w:highlight w:val="none"/>
                <w:lang w:val="en-US" w:eastAsia="zh-CN"/>
              </w:rPr>
              <w:t>满足</w:t>
            </w:r>
            <w:bookmarkEnd w:id="14"/>
            <w:r>
              <w:rPr>
                <w:rFonts w:hint="eastAsia" w:ascii="宋体" w:hAnsi="宋体" w:cs="宋体"/>
                <w:sz w:val="21"/>
                <w:szCs w:val="21"/>
                <w:highlight w:val="none"/>
                <w:lang w:val="en-US" w:eastAsia="zh-CN"/>
              </w:rPr>
              <w:t>1项以上要求得15分，</w:t>
            </w:r>
            <w:bookmarkEnd w:id="13"/>
            <w:r>
              <w:rPr>
                <w:rFonts w:hint="eastAsia" w:ascii="宋体" w:hAnsi="宋体" w:eastAsia="宋体" w:cs="宋体"/>
                <w:sz w:val="21"/>
                <w:szCs w:val="21"/>
                <w:highlight w:val="none"/>
                <w:lang w:val="en-US" w:eastAsia="zh-CN"/>
              </w:rPr>
              <w:t>本项最高得30分。</w:t>
            </w:r>
          </w:p>
          <w:p>
            <w:pPr>
              <w:keepNext w:val="0"/>
              <w:keepLines w:val="0"/>
              <w:pageBreakBefore w:val="0"/>
              <w:overflowPunct/>
              <w:topLinePunct w:val="0"/>
              <w:bidi w:val="0"/>
              <w:spacing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3、拟投入本项目的</w:t>
            </w:r>
            <w:r>
              <w:rPr>
                <w:rFonts w:hint="eastAsia" w:ascii="宋体" w:hAnsi="宋体" w:eastAsia="宋体" w:cs="宋体"/>
                <w:b/>
                <w:bCs/>
                <w:sz w:val="21"/>
                <w:szCs w:val="21"/>
                <w:highlight w:val="none"/>
                <w:lang w:eastAsia="zh-CN"/>
              </w:rPr>
              <w:t>维修工（</w:t>
            </w:r>
            <w:r>
              <w:rPr>
                <w:rFonts w:hint="eastAsia" w:ascii="宋体" w:hAnsi="宋体" w:eastAsia="宋体" w:cs="宋体"/>
                <w:b/>
                <w:bCs/>
                <w:sz w:val="21"/>
                <w:szCs w:val="21"/>
                <w:highlight w:val="none"/>
                <w:lang w:val="en-US" w:eastAsia="zh-CN"/>
              </w:rPr>
              <w:t>2人</w:t>
            </w:r>
            <w:r>
              <w:rPr>
                <w:rFonts w:hint="eastAsia" w:ascii="宋体" w:hAnsi="宋体" w:eastAsia="宋体" w:cs="宋体"/>
                <w:b/>
                <w:bCs/>
                <w:sz w:val="21"/>
                <w:szCs w:val="21"/>
                <w:highlight w:val="none"/>
                <w:lang w:eastAsia="zh-CN"/>
              </w:rPr>
              <w:t>）：</w:t>
            </w:r>
          </w:p>
          <w:p>
            <w:pPr>
              <w:keepNext w:val="0"/>
              <w:keepLines w:val="0"/>
              <w:pageBreakBefore w:val="0"/>
              <w:overflowPunct/>
              <w:topLinePunct w:val="0"/>
              <w:bidi w:val="0"/>
              <w:spacing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b w:val="0"/>
                <w:bCs w:val="0"/>
                <w:sz w:val="21"/>
                <w:szCs w:val="21"/>
                <w:highlight w:val="none"/>
                <w:lang w:val="en-US" w:eastAsia="zh-CN"/>
              </w:rPr>
              <w:t>1）具有</w:t>
            </w:r>
            <w:bookmarkStart w:id="15" w:name="OLE_LINK8"/>
            <w:r>
              <w:rPr>
                <w:rFonts w:hint="eastAsia" w:ascii="宋体" w:hAnsi="宋体" w:cs="宋体"/>
                <w:b w:val="0"/>
                <w:bCs w:val="0"/>
                <w:sz w:val="21"/>
                <w:szCs w:val="21"/>
                <w:highlight w:val="none"/>
                <w:lang w:val="en-US" w:eastAsia="zh-CN"/>
              </w:rPr>
              <w:t>2年以上物业水、电设备维修经验</w:t>
            </w:r>
            <w:bookmarkEnd w:id="15"/>
            <w:r>
              <w:rPr>
                <w:rFonts w:hint="eastAsia" w:ascii="宋体" w:hAnsi="宋体" w:eastAsia="宋体" w:cs="宋体"/>
                <w:b w:val="0"/>
                <w:bCs w:val="0"/>
                <w:sz w:val="21"/>
                <w:szCs w:val="21"/>
                <w:highlight w:val="none"/>
                <w:lang w:val="en-US" w:eastAsia="zh-CN"/>
              </w:rPr>
              <w:t>；</w:t>
            </w:r>
          </w:p>
          <w:p>
            <w:pPr>
              <w:keepNext w:val="0"/>
              <w:keepLines w:val="0"/>
              <w:pageBreakBefore w:val="0"/>
              <w:overflowPunct/>
              <w:topLinePunct w:val="0"/>
              <w:bidi w:val="0"/>
              <w:spacing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（2）具有</w:t>
            </w:r>
            <w:r>
              <w:rPr>
                <w:rFonts w:hint="eastAsia" w:ascii="宋体" w:hAnsi="宋体" w:cs="宋体"/>
                <w:b w:val="0"/>
                <w:bCs w:val="0"/>
                <w:sz w:val="21"/>
                <w:szCs w:val="21"/>
                <w:highlight w:val="none"/>
                <w:lang w:val="en-US" w:eastAsia="zh-CN"/>
              </w:rPr>
              <w:t>国家应急管理部颁发的低压（或以上）电工作业操作证</w:t>
            </w:r>
            <w:r>
              <w:rPr>
                <w:rFonts w:hint="eastAsia" w:ascii="宋体" w:hAnsi="宋体" w:eastAsia="宋体" w:cs="宋体"/>
                <w:b w:val="0"/>
                <w:bCs w:val="0"/>
                <w:sz w:val="21"/>
                <w:szCs w:val="21"/>
                <w:highlight w:val="none"/>
                <w:lang w:val="en-US" w:eastAsia="zh-CN"/>
              </w:rPr>
              <w:t>证书；</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每</w:t>
            </w:r>
            <w:bookmarkStart w:id="16" w:name="OLE_LINK16"/>
            <w:r>
              <w:rPr>
                <w:rFonts w:hint="eastAsia" w:ascii="宋体" w:hAnsi="宋体" w:cs="宋体"/>
                <w:sz w:val="21"/>
                <w:szCs w:val="21"/>
                <w:highlight w:val="none"/>
                <w:lang w:val="en-US" w:eastAsia="zh-CN"/>
              </w:rPr>
              <w:t>满足</w:t>
            </w:r>
            <w:bookmarkEnd w:id="16"/>
            <w:r>
              <w:rPr>
                <w:rFonts w:hint="eastAsia" w:ascii="宋体" w:hAnsi="宋体" w:cs="宋体"/>
                <w:sz w:val="21"/>
                <w:szCs w:val="21"/>
                <w:highlight w:val="none"/>
                <w:lang w:val="en-US" w:eastAsia="zh-CN"/>
              </w:rPr>
              <w:t>1项以上要求得10分，</w:t>
            </w:r>
            <w:r>
              <w:rPr>
                <w:rFonts w:hint="eastAsia" w:ascii="宋体" w:hAnsi="宋体" w:eastAsia="宋体" w:cs="宋体"/>
                <w:sz w:val="21"/>
                <w:szCs w:val="21"/>
                <w:highlight w:val="none"/>
                <w:lang w:val="en-US" w:eastAsia="zh-CN"/>
              </w:rPr>
              <w:t>本项最高得20分。</w:t>
            </w:r>
          </w:p>
          <w:p>
            <w:pPr>
              <w:keepNext w:val="0"/>
              <w:keepLines w:val="0"/>
              <w:pageBreakBefore w:val="0"/>
              <w:kinsoku/>
              <w:wordWrap w:val="0"/>
              <w:overflowPunct/>
              <w:topLinePunct w:val="0"/>
              <w:bidi w:val="0"/>
              <w:spacing w:line="4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4、拟投入本项目的绿化工（1人）：</w:t>
            </w:r>
          </w:p>
          <w:p>
            <w:pPr>
              <w:keepNext w:val="0"/>
              <w:keepLines w:val="0"/>
              <w:pageBreakBefore w:val="0"/>
              <w:overflowPunct/>
              <w:topLinePunct w:val="0"/>
              <w:bidi w:val="0"/>
              <w:spacing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b w:val="0"/>
                <w:bCs w:val="0"/>
                <w:sz w:val="21"/>
                <w:szCs w:val="21"/>
                <w:highlight w:val="none"/>
                <w:lang w:val="en-US" w:eastAsia="zh-CN"/>
              </w:rPr>
              <w:t>1）具有</w:t>
            </w:r>
            <w:r>
              <w:rPr>
                <w:rFonts w:hint="eastAsia" w:ascii="宋体" w:hAnsi="宋体" w:cs="宋体"/>
                <w:b w:val="0"/>
                <w:bCs w:val="0"/>
                <w:sz w:val="21"/>
                <w:szCs w:val="21"/>
                <w:highlight w:val="none"/>
                <w:lang w:val="en-US" w:eastAsia="zh-CN"/>
              </w:rPr>
              <w:t>1年以上园林养护经验，掌握病虫害防治、植物修剪等专业技能</w:t>
            </w:r>
            <w:r>
              <w:rPr>
                <w:rFonts w:hint="eastAsia" w:ascii="宋体" w:hAnsi="宋体" w:eastAsia="宋体" w:cs="宋体"/>
                <w:b w:val="0"/>
                <w:bCs w:val="0"/>
                <w:sz w:val="21"/>
                <w:szCs w:val="21"/>
                <w:highlight w:val="none"/>
                <w:lang w:val="en-US" w:eastAsia="zh-CN"/>
              </w:rPr>
              <w:t>；</w:t>
            </w:r>
          </w:p>
          <w:p>
            <w:pPr>
              <w:keepNext w:val="0"/>
              <w:keepLines w:val="0"/>
              <w:pageBreakBefore w:val="0"/>
              <w:overflowPunct/>
              <w:topLinePunct w:val="0"/>
              <w:bidi w:val="0"/>
              <w:spacing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（2）具有</w:t>
            </w:r>
            <w:r>
              <w:rPr>
                <w:rFonts w:hint="eastAsia" w:ascii="宋体" w:hAnsi="宋体" w:eastAsia="宋体" w:cs="宋体"/>
                <w:i w:val="0"/>
                <w:iCs w:val="0"/>
                <w:caps w:val="0"/>
                <w:spacing w:val="0"/>
                <w:sz w:val="21"/>
                <w:szCs w:val="21"/>
                <w:highlight w:val="none"/>
                <w:shd w:val="clear" w:color="auto" w:fill="auto"/>
              </w:rPr>
              <w:t>由</w:t>
            </w:r>
            <w:r>
              <w:rPr>
                <w:rFonts w:hint="eastAsia" w:ascii="宋体" w:hAnsi="宋体" w:eastAsia="宋体" w:cs="宋体"/>
                <w:sz w:val="21"/>
                <w:szCs w:val="21"/>
                <w:highlight w:val="none"/>
                <w:lang w:eastAsia="zh-CN"/>
              </w:rPr>
              <w:t>人力资源和社会保障部门</w:t>
            </w:r>
            <w:r>
              <w:rPr>
                <w:rFonts w:hint="eastAsia" w:ascii="宋体" w:hAnsi="宋体" w:eastAsia="宋体" w:cs="宋体"/>
                <w:i w:val="0"/>
                <w:iCs w:val="0"/>
                <w:caps w:val="0"/>
                <w:spacing w:val="0"/>
                <w:sz w:val="21"/>
                <w:szCs w:val="21"/>
                <w:highlight w:val="none"/>
                <w:shd w:val="clear" w:color="auto" w:fill="auto"/>
                <w:lang w:val="en-US" w:eastAsia="zh-CN"/>
              </w:rPr>
              <w:t>或</w:t>
            </w:r>
            <w:r>
              <w:rPr>
                <w:rFonts w:hint="eastAsia" w:ascii="宋体" w:hAnsi="宋体" w:eastAsia="宋体" w:cs="宋体"/>
                <w:sz w:val="21"/>
                <w:szCs w:val="21"/>
                <w:highlight w:val="none"/>
                <w:lang w:eastAsia="zh-CN"/>
              </w:rPr>
              <w:t>人力资源和社会保障部门</w:t>
            </w:r>
            <w:r>
              <w:rPr>
                <w:rFonts w:hint="eastAsia" w:ascii="宋体" w:hAnsi="宋体" w:eastAsia="宋体" w:cs="宋体"/>
                <w:i w:val="0"/>
                <w:iCs w:val="0"/>
                <w:caps w:val="0"/>
                <w:spacing w:val="0"/>
                <w:sz w:val="21"/>
                <w:szCs w:val="21"/>
                <w:highlight w:val="none"/>
                <w:shd w:val="clear" w:color="auto" w:fill="auto"/>
              </w:rPr>
              <w:t>审批备案的第三方评价组织颁发</w:t>
            </w:r>
            <w:r>
              <w:rPr>
                <w:rFonts w:hint="eastAsia" w:ascii="宋体" w:hAnsi="宋体" w:cs="宋体"/>
                <w:szCs w:val="21"/>
                <w:highlight w:val="none"/>
              </w:rPr>
              <w:t>园林绿化工职业技能等级证书</w:t>
            </w:r>
            <w:r>
              <w:rPr>
                <w:rFonts w:hint="eastAsia" w:ascii="宋体" w:hAnsi="宋体" w:eastAsia="宋体" w:cs="宋体"/>
                <w:b w:val="0"/>
                <w:bCs w:val="0"/>
                <w:sz w:val="21"/>
                <w:szCs w:val="21"/>
                <w:highlight w:val="none"/>
                <w:lang w:val="en-US" w:eastAsia="zh-CN"/>
              </w:rPr>
              <w:t>；</w:t>
            </w:r>
          </w:p>
          <w:p>
            <w:pPr>
              <w:keepNext w:val="0"/>
              <w:keepLines w:val="0"/>
              <w:pageBreakBefore w:val="0"/>
              <w:overflowPunct/>
              <w:topLinePunct w:val="0"/>
              <w:bidi w:val="0"/>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每满足1项得10分，</w:t>
            </w:r>
            <w:r>
              <w:rPr>
                <w:rFonts w:hint="eastAsia" w:ascii="宋体" w:hAnsi="宋体" w:eastAsia="宋体" w:cs="宋体"/>
                <w:sz w:val="21"/>
                <w:szCs w:val="21"/>
                <w:highlight w:val="none"/>
                <w:lang w:val="en-US" w:eastAsia="zh-CN"/>
              </w:rPr>
              <w:t>本项最高得20分。</w:t>
            </w:r>
          </w:p>
          <w:p>
            <w:pPr>
              <w:keepNext w:val="0"/>
              <w:keepLines w:val="0"/>
              <w:pageBreakBefore w:val="0"/>
              <w:kinsoku/>
              <w:wordWrap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（二）评分依据：</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w:t>
            </w:r>
            <w:r>
              <w:rPr>
                <w:rFonts w:hint="eastAsia" w:ascii="宋体" w:hAnsi="宋体" w:cs="宋体"/>
                <w:b w:val="0"/>
                <w:bCs w:val="0"/>
                <w:kern w:val="0"/>
                <w:sz w:val="21"/>
                <w:szCs w:val="21"/>
                <w:highlight w:val="none"/>
                <w:lang w:val="en-US" w:eastAsia="zh-CN"/>
              </w:rPr>
              <w:t>近三个月(2025年4月至6月)其中任意一月</w:t>
            </w:r>
            <w:r>
              <w:rPr>
                <w:rFonts w:hint="eastAsia" w:ascii="宋体" w:hAnsi="宋体" w:eastAsia="宋体" w:cs="宋体"/>
                <w:sz w:val="21"/>
                <w:szCs w:val="21"/>
              </w:rPr>
              <w:t>社保证明（如投标截止日上一个月的社保证明因社保部门或税务部门原因暂时无法取得，则同往前顺延一个月）；如供应商为新成立单位且成立时间不足一个月的，可提供加盖公章的情况说明或者证明材料，无需提供相关人员社保，亦视为符合；</w:t>
            </w:r>
          </w:p>
          <w:p>
            <w:pPr>
              <w:pStyle w:val="2"/>
              <w:rPr>
                <w:rFonts w:hint="default" w:eastAsia="宋体"/>
                <w:lang w:val="en-US" w:eastAsia="zh-CN"/>
              </w:rPr>
            </w:pPr>
            <w:r>
              <w:rPr>
                <w:rFonts w:hint="eastAsia" w:ascii="宋体" w:hAnsi="宋体" w:cs="宋体"/>
                <w:sz w:val="21"/>
                <w:szCs w:val="21"/>
                <w:lang w:val="en-US" w:eastAsia="zh-CN"/>
              </w:rPr>
              <w:t>2、</w:t>
            </w:r>
            <w:r>
              <w:rPr>
                <w:rFonts w:hint="eastAsia" w:ascii="宋体" w:hAnsi="宋体" w:eastAsia="宋体" w:cs="宋体"/>
                <w:kern w:val="0"/>
                <w:sz w:val="21"/>
                <w:szCs w:val="21"/>
                <w:highlight w:val="none"/>
              </w:rPr>
              <w:t>工作经验要求提供项目合同关键信息作为得分依据，通过合同关键信息无法判断是否得分的，还须同时提供投标人承诺</w:t>
            </w:r>
            <w:r>
              <w:rPr>
                <w:rFonts w:hint="eastAsia" w:ascii="宋体" w:hAnsi="宋体" w:cs="宋体"/>
                <w:kern w:val="0"/>
                <w:sz w:val="21"/>
                <w:szCs w:val="21"/>
                <w:highlight w:val="none"/>
                <w:lang w:eastAsia="zh-CN"/>
              </w:rPr>
              <w:t>。</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提供项目团队成员资格证书、职称证书；涉及考察职业资格证书或职业技能等级证书的，要求同时提供证书和技能人才评价证书全国联网（网址http://zscx.osta.org.cn/）查询截图；如证书由行业协会颁发的，需提供该行业协会在“中国社会组织政务服务平台”（网址：https://chinanpo.mca.gov.cn/）查询的已合法登记且状态正常截图，否则不予认可，视为无效证书；</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、涉及考察学历或学位的，提供毕业证书（或学位证书）以及学信网查询记录，对于学信网无法查询的，还需提供毕业院校或人社部门或教育部门等颁发机构或监管机构出具的证明，</w:t>
            </w:r>
            <w:r>
              <w:rPr>
                <w:rFonts w:hint="eastAsia" w:ascii="宋体" w:hAnsi="宋体" w:eastAsia="宋体" w:cs="宋体"/>
                <w:b w:val="0"/>
                <w:bCs w:val="0"/>
                <w:kern w:val="0"/>
                <w:sz w:val="21"/>
                <w:szCs w:val="21"/>
                <w:highlight w:val="none"/>
              </w:rPr>
              <w:t>在海外留学并取得学位的，学信网无法查询的，可提供教育部留学服务中心出具的国外学历学位认证证书以及教育部留学服务中心官网查询截图）</w:t>
            </w:r>
            <w:r>
              <w:rPr>
                <w:rFonts w:hint="eastAsia" w:ascii="宋体" w:hAnsi="宋体" w:eastAsia="宋体" w:cs="宋体"/>
                <w:sz w:val="21"/>
                <w:szCs w:val="21"/>
              </w:rPr>
              <w:t>；</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、以上证明文件提供扫描件，如涉及网站截图或照片等证明材料,需提供清晰图片</w:t>
            </w:r>
            <w:r>
              <w:rPr>
                <w:rFonts w:hint="eastAsia" w:ascii="宋体" w:hAnsi="宋体" w:cs="宋体"/>
                <w:sz w:val="21"/>
                <w:szCs w:val="21"/>
                <w:lang w:eastAsia="zh-CN"/>
              </w:rPr>
              <w:t>。</w:t>
            </w:r>
            <w:r>
              <w:rPr>
                <w:rFonts w:hint="eastAsia" w:ascii="宋体" w:hAnsi="宋体" w:eastAsia="宋体" w:cs="宋体"/>
                <w:sz w:val="21"/>
                <w:szCs w:val="21"/>
              </w:rPr>
              <w:t>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3</w:t>
            </w:r>
          </w:p>
        </w:tc>
        <w:tc>
          <w:tcPr>
            <w:tcW w:w="2928" w:type="dxa"/>
            <w:gridSpan w:val="3"/>
            <w:tcBorders>
              <w:tl2br w:val="nil"/>
              <w:tr2bl w:val="nil"/>
            </w:tcBorders>
            <w:noWrap w:val="0"/>
            <w:vAlign w:val="center"/>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综合实力部分</w:t>
            </w:r>
          </w:p>
        </w:tc>
        <w:tc>
          <w:tcPr>
            <w:tcW w:w="5694" w:type="dxa"/>
            <w:tcBorders>
              <w:tl2br w:val="nil"/>
              <w:tr2bl w:val="nil"/>
            </w:tcBorders>
            <w:noWrap w:val="0"/>
            <w:vAlign w:val="top"/>
          </w:tcPr>
          <w:p>
            <w:pPr>
              <w:wordWrap w:val="0"/>
              <w:adjustRightInd w:val="0"/>
              <w:snapToGrid w:val="0"/>
              <w:spacing w:line="320" w:lineRule="exact"/>
              <w:jc w:val="center"/>
              <w:rPr>
                <w:rFonts w:hint="default" w:ascii="宋体" w:hAnsi="宋体" w:eastAsia="宋体" w:cs="宋体"/>
                <w:b/>
                <w:bCs/>
                <w:color w:val="0000FF"/>
                <w:szCs w:val="21"/>
                <w:lang w:val="en-US" w:eastAsia="zh-CN"/>
              </w:rPr>
            </w:pPr>
            <w:r>
              <w:rPr>
                <w:rFonts w:hint="eastAsia" w:ascii="宋体" w:hAnsi="宋体" w:cs="宋体"/>
                <w:b/>
                <w:bCs/>
                <w:color w:val="0000FF"/>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8622" w:type="dxa"/>
            <w:gridSpan w:val="4"/>
            <w:tcBorders>
              <w:tl2br w:val="nil"/>
              <w:tr2bl w:val="nil"/>
            </w:tcBorders>
            <w:noWrap w:val="0"/>
            <w:vAlign w:val="center"/>
          </w:tcPr>
          <w:p>
            <w:pPr>
              <w:wordWrap w:val="0"/>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序号</w:t>
            </w:r>
          </w:p>
        </w:tc>
        <w:tc>
          <w:tcPr>
            <w:tcW w:w="1729"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评分因素</w:t>
            </w:r>
          </w:p>
        </w:tc>
        <w:tc>
          <w:tcPr>
            <w:tcW w:w="651"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权重(%)</w:t>
            </w:r>
          </w:p>
        </w:tc>
        <w:tc>
          <w:tcPr>
            <w:tcW w:w="5694"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729" w:type="dxa"/>
            <w:tcBorders>
              <w:tl2br w:val="nil"/>
              <w:tr2bl w:val="nil"/>
            </w:tcBorders>
            <w:noWrap w:val="0"/>
            <w:vAlign w:val="center"/>
          </w:tcPr>
          <w:p>
            <w:pPr>
              <w:wordWrap w:val="0"/>
              <w:adjustRightInd w:val="0"/>
              <w:snapToGrid w:val="0"/>
              <w:spacing w:line="320" w:lineRule="exact"/>
              <w:jc w:val="center"/>
              <w:rPr>
                <w:rFonts w:hint="eastAsia" w:ascii="宋体" w:hAnsi="宋体" w:cs="宋体"/>
                <w:szCs w:val="21"/>
                <w:lang w:val="en-US" w:eastAsia="zh-CN"/>
              </w:rPr>
            </w:pPr>
            <w:bookmarkStart w:id="17" w:name="OLE_LINK3"/>
            <w:r>
              <w:rPr>
                <w:rFonts w:hint="eastAsia" w:ascii="宋体" w:hAnsi="宋体" w:eastAsia="宋体" w:cs="宋体"/>
                <w:sz w:val="21"/>
                <w:szCs w:val="21"/>
              </w:rPr>
              <w:t>投标人经验情况</w:t>
            </w:r>
            <w:bookmarkEnd w:id="17"/>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cs="宋体"/>
                <w:szCs w:val="21"/>
                <w:lang w:val="en-US" w:eastAsia="zh-CN"/>
              </w:rPr>
            </w:pPr>
            <w:r>
              <w:rPr>
                <w:rFonts w:hint="eastAsia" w:ascii="宋体" w:hAnsi="宋体" w:cs="宋体"/>
                <w:szCs w:val="21"/>
                <w:lang w:val="en-US" w:eastAsia="zh-CN"/>
              </w:rPr>
              <w:t>5</w:t>
            </w:r>
          </w:p>
        </w:tc>
        <w:tc>
          <w:tcPr>
            <w:tcW w:w="5694" w:type="dxa"/>
            <w:tcBorders>
              <w:tl2br w:val="nil"/>
              <w:tr2bl w:val="nil"/>
            </w:tcBorders>
            <w:noWrap w:val="0"/>
            <w:vAlign w:val="top"/>
          </w:tcPr>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（一）评分内容：</w:t>
            </w:r>
          </w:p>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202</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年1月1日至</w:t>
            </w:r>
            <w:r>
              <w:rPr>
                <w:rFonts w:hint="eastAsia" w:ascii="宋体" w:hAnsi="宋体" w:eastAsia="宋体" w:cs="宋体"/>
                <w:b w:val="0"/>
                <w:bCs w:val="0"/>
                <w:sz w:val="21"/>
                <w:szCs w:val="21"/>
                <w:highlight w:val="none"/>
                <w:lang w:val="en-US" w:eastAsia="zh-CN"/>
              </w:rPr>
              <w:t>本项目</w:t>
            </w:r>
            <w:r>
              <w:rPr>
                <w:rFonts w:hint="eastAsia" w:ascii="宋体" w:hAnsi="宋体" w:eastAsia="宋体" w:cs="宋体"/>
                <w:b w:val="0"/>
                <w:bCs w:val="0"/>
                <w:sz w:val="21"/>
                <w:szCs w:val="21"/>
                <w:highlight w:val="none"/>
              </w:rPr>
              <w:t>投标截止日（以合同签订</w:t>
            </w:r>
            <w:r>
              <w:rPr>
                <w:rFonts w:hint="eastAsia" w:ascii="宋体" w:hAnsi="宋体" w:eastAsia="宋体" w:cs="宋体"/>
                <w:b w:val="0"/>
                <w:bCs w:val="0"/>
                <w:sz w:val="21"/>
                <w:szCs w:val="21"/>
                <w:highlight w:val="none"/>
                <w:lang w:val="en-US" w:eastAsia="zh-CN"/>
              </w:rPr>
              <w:t>日期</w:t>
            </w:r>
            <w:r>
              <w:rPr>
                <w:rFonts w:hint="eastAsia" w:ascii="宋体" w:hAnsi="宋体" w:eastAsia="宋体" w:cs="宋体"/>
                <w:b w:val="0"/>
                <w:bCs w:val="0"/>
                <w:sz w:val="21"/>
                <w:szCs w:val="21"/>
                <w:highlight w:val="none"/>
              </w:rPr>
              <w:t>为准），投标人具有同类物业管理服务项目，服务内容至少同时包括清洁卫生、园林绿化、工程服务（名称表述类似即可），且经采购单位或被服务单位总体履约评价结果为“优”或“优秀”或“满意”或评价中最高等级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每提供一个项目业绩得</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分，最高得</w:t>
            </w:r>
            <w:r>
              <w:rPr>
                <w:rFonts w:hint="eastAsia" w:ascii="宋体" w:hAnsi="宋体" w:eastAsia="宋体" w:cs="宋体"/>
                <w:b w:val="0"/>
                <w:bCs w:val="0"/>
                <w:sz w:val="21"/>
                <w:szCs w:val="21"/>
                <w:highlight w:val="none"/>
                <w:lang w:val="en-US" w:eastAsia="zh-CN"/>
              </w:rPr>
              <w:t>100</w:t>
            </w:r>
            <w:r>
              <w:rPr>
                <w:rFonts w:hint="eastAsia" w:ascii="宋体" w:hAnsi="宋体" w:eastAsia="宋体" w:cs="宋体"/>
                <w:b w:val="0"/>
                <w:bCs w:val="0"/>
                <w:sz w:val="21"/>
                <w:szCs w:val="21"/>
                <w:highlight w:val="none"/>
              </w:rPr>
              <w:t>分，同一项目续签合同的不可重复得分。</w:t>
            </w:r>
          </w:p>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（二）评分依据：</w:t>
            </w:r>
          </w:p>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rPr>
              <w:t>1、</w:t>
            </w:r>
            <w:r>
              <w:rPr>
                <w:rFonts w:hint="eastAsia" w:ascii="宋体" w:hAnsi="宋体" w:eastAsia="宋体" w:cs="宋体"/>
                <w:b w:val="0"/>
                <w:bCs w:val="0"/>
                <w:sz w:val="21"/>
                <w:szCs w:val="21"/>
                <w:highlight w:val="none"/>
              </w:rPr>
              <w:t>提供合同关键页（须体现合同签订日期、项目名称、服务内容、甲乙双方名称及签章等）及加盖合同甲方公章或甲方业务章的履约评价</w:t>
            </w:r>
            <w:r>
              <w:rPr>
                <w:rFonts w:hint="eastAsia" w:ascii="宋体" w:hAnsi="宋体" w:eastAsia="宋体" w:cs="宋体"/>
                <w:b w:val="0"/>
                <w:bCs w:val="0"/>
                <w:sz w:val="21"/>
                <w:szCs w:val="21"/>
                <w:highlight w:val="none"/>
                <w:lang w:val="en-US" w:eastAsia="zh-CN"/>
              </w:rPr>
              <w:t>证明材料</w:t>
            </w:r>
            <w:r>
              <w:rPr>
                <w:rFonts w:hint="eastAsia" w:ascii="宋体" w:hAnsi="宋体" w:eastAsia="宋体" w:cs="宋体"/>
                <w:b w:val="0"/>
                <w:bCs w:val="0"/>
                <w:sz w:val="21"/>
                <w:szCs w:val="21"/>
                <w:highlight w:val="none"/>
              </w:rPr>
              <w:t>；通过合同关键信息无法判断是否得分的，可以提供能证明得分的其他证明资料，如项目报告或合同甲方出具的证明文件</w:t>
            </w:r>
            <w:r>
              <w:rPr>
                <w:rFonts w:hint="eastAsia" w:ascii="宋体" w:hAnsi="宋体" w:eastAsia="宋体" w:cs="宋体"/>
                <w:b w:val="0"/>
                <w:bCs w:val="0"/>
                <w:sz w:val="21"/>
                <w:szCs w:val="21"/>
                <w:highlight w:val="none"/>
                <w:lang w:eastAsia="zh-CN"/>
              </w:rPr>
              <w:t>；</w:t>
            </w:r>
          </w:p>
          <w:p>
            <w:pPr>
              <w:adjustRightInd w:val="0"/>
              <w:snapToGrid w:val="0"/>
              <w:spacing w:line="320" w:lineRule="exact"/>
              <w:rPr>
                <w:rFonts w:hint="eastAsia" w:ascii="宋体" w:hAnsi="宋体" w:eastAsia="宋体" w:cs="宋体"/>
                <w:b w:val="0"/>
                <w:bCs w:val="0"/>
                <w:sz w:val="21"/>
                <w:szCs w:val="21"/>
                <w:highlight w:val="none"/>
              </w:rPr>
            </w:pPr>
            <w:r>
              <w:rPr>
                <w:rFonts w:hint="eastAsia" w:ascii="宋体" w:hAnsi="宋体" w:eastAsia="宋体" w:cs="宋体"/>
                <w:sz w:val="21"/>
                <w:szCs w:val="21"/>
              </w:rPr>
              <w:t>2、以上证明文件提供扫描件，如涉及网站截图或照片等证明材料,需提供清晰图片。未按要求提供有效证明材料或提供不清晰导致评委无法识别的不计得分。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729" w:type="dxa"/>
            <w:tcBorders>
              <w:tl2br w:val="nil"/>
              <w:tr2bl w:val="nil"/>
            </w:tcBorders>
            <w:noWrap w:val="0"/>
            <w:vAlign w:val="center"/>
          </w:tcPr>
          <w:p>
            <w:pPr>
              <w:wordWrap w:val="0"/>
              <w:adjustRightInd w:val="0"/>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证书及奖项</w:t>
            </w:r>
          </w:p>
        </w:tc>
        <w:tc>
          <w:tcPr>
            <w:tcW w:w="651" w:type="dxa"/>
            <w:tcBorders>
              <w:tl2br w:val="nil"/>
              <w:tr2bl w:val="nil"/>
            </w:tcBorders>
            <w:noWrap w:val="0"/>
            <w:vAlign w:val="center"/>
          </w:tcPr>
          <w:p>
            <w:pPr>
              <w:wordWrap w:val="0"/>
              <w:adjustRightInd w:val="0"/>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94" w:type="dxa"/>
            <w:tcBorders>
              <w:tl2br w:val="nil"/>
              <w:tr2bl w:val="nil"/>
            </w:tcBorders>
            <w:noWrap w:val="0"/>
            <w:vAlign w:val="top"/>
          </w:tcPr>
          <w:p>
            <w:pPr>
              <w:keepNext w:val="0"/>
              <w:keepLines w:val="0"/>
              <w:pageBreakBefore w:val="0"/>
              <w:kinsoku/>
              <w:wordWrap w:val="0"/>
              <w:overflowPunct/>
              <w:topLinePunct w:val="0"/>
              <w:bidi w:val="0"/>
              <w:spacing w:line="4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（一）评分内容：</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投标人获得过</w:t>
            </w:r>
            <w:r>
              <w:rPr>
                <w:rFonts w:hint="eastAsia" w:ascii="宋体" w:hAnsi="宋体" w:cs="宋体"/>
                <w:sz w:val="21"/>
                <w:szCs w:val="21"/>
                <w:lang w:eastAsia="zh-CN"/>
              </w:rPr>
              <w:t>县级（或以上）</w:t>
            </w:r>
            <w:r>
              <w:rPr>
                <w:rFonts w:hint="eastAsia" w:ascii="宋体" w:hAnsi="宋体" w:eastAsia="宋体" w:cs="宋体"/>
                <w:sz w:val="21"/>
                <w:szCs w:val="21"/>
              </w:rPr>
              <w:t>政府颁发的质量</w:t>
            </w:r>
            <w:r>
              <w:rPr>
                <w:rFonts w:hint="eastAsia" w:ascii="宋体" w:hAnsi="宋体" w:eastAsia="宋体" w:cs="宋体"/>
                <w:sz w:val="21"/>
                <w:szCs w:val="21"/>
                <w:lang w:eastAsia="zh-CN"/>
              </w:rPr>
              <w:t>类</w:t>
            </w:r>
            <w:r>
              <w:rPr>
                <w:rFonts w:hint="eastAsia" w:ascii="宋体" w:hAnsi="宋体" w:eastAsia="宋体" w:cs="宋体"/>
                <w:sz w:val="21"/>
                <w:szCs w:val="21"/>
              </w:rPr>
              <w:t>奖</w:t>
            </w:r>
            <w:r>
              <w:rPr>
                <w:rFonts w:hint="eastAsia" w:ascii="宋体" w:hAnsi="宋体" w:eastAsia="宋体" w:cs="宋体"/>
                <w:sz w:val="21"/>
                <w:szCs w:val="21"/>
                <w:lang w:eastAsia="zh-CN"/>
              </w:rPr>
              <w:t>项，</w:t>
            </w:r>
            <w:r>
              <w:rPr>
                <w:rFonts w:hint="eastAsia" w:ascii="宋体" w:hAnsi="宋体" w:eastAsia="宋体" w:cs="宋体"/>
                <w:b w:val="0"/>
                <w:bCs w:val="0"/>
                <w:i w:val="0"/>
                <w:iCs w:val="0"/>
                <w:sz w:val="21"/>
                <w:szCs w:val="21"/>
                <w:highlight w:val="none"/>
                <w:u w:val="none"/>
                <w:lang w:eastAsia="zh-CN"/>
              </w:rPr>
              <w:t>每提供一个得</w:t>
            </w:r>
            <w:r>
              <w:rPr>
                <w:rFonts w:hint="eastAsia" w:ascii="宋体" w:hAnsi="宋体" w:cs="宋体"/>
                <w:b w:val="0"/>
                <w:bCs w:val="0"/>
                <w:i w:val="0"/>
                <w:iCs w:val="0"/>
                <w:sz w:val="21"/>
                <w:szCs w:val="21"/>
                <w:highlight w:val="none"/>
                <w:u w:val="none"/>
                <w:lang w:val="en-US" w:eastAsia="zh-CN"/>
              </w:rPr>
              <w:t>20</w:t>
            </w:r>
            <w:r>
              <w:rPr>
                <w:rFonts w:hint="eastAsia" w:ascii="宋体" w:hAnsi="宋体" w:eastAsia="宋体" w:cs="宋体"/>
                <w:b w:val="0"/>
                <w:bCs w:val="0"/>
                <w:i w:val="0"/>
                <w:iCs w:val="0"/>
                <w:sz w:val="21"/>
                <w:szCs w:val="21"/>
                <w:highlight w:val="none"/>
                <w:u w:val="none"/>
                <w:lang w:eastAsia="zh-CN"/>
              </w:rPr>
              <w:t>分，本小项最高得</w:t>
            </w:r>
            <w:r>
              <w:rPr>
                <w:rFonts w:hint="eastAsia" w:ascii="宋体" w:hAnsi="宋体" w:cs="宋体"/>
                <w:b w:val="0"/>
                <w:bCs w:val="0"/>
                <w:i w:val="0"/>
                <w:iCs w:val="0"/>
                <w:sz w:val="21"/>
                <w:szCs w:val="21"/>
                <w:highlight w:val="none"/>
                <w:u w:val="none"/>
                <w:lang w:val="en-US" w:eastAsia="zh-CN"/>
              </w:rPr>
              <w:t>40</w:t>
            </w:r>
            <w:r>
              <w:rPr>
                <w:rFonts w:hint="eastAsia" w:ascii="宋体" w:hAnsi="宋体" w:eastAsia="宋体" w:cs="宋体"/>
                <w:b w:val="0"/>
                <w:bCs w:val="0"/>
                <w:i w:val="0"/>
                <w:iCs w:val="0"/>
                <w:sz w:val="21"/>
                <w:szCs w:val="21"/>
                <w:highlight w:val="none"/>
                <w:u w:val="none"/>
                <w:lang w:eastAsia="zh-CN"/>
              </w:rPr>
              <w:t>分</w:t>
            </w:r>
            <w:r>
              <w:rPr>
                <w:rFonts w:hint="eastAsia" w:ascii="宋体" w:hAnsi="宋体" w:eastAsia="宋体" w:cs="宋体"/>
                <w:sz w:val="21"/>
                <w:szCs w:val="21"/>
              </w:rPr>
              <w:t>。</w:t>
            </w:r>
          </w:p>
          <w:p>
            <w:pPr>
              <w:keepNext w:val="0"/>
              <w:keepLines w:val="0"/>
              <w:pageBreakBefore w:val="0"/>
              <w:kinsoku/>
              <w:wordWrap w:val="0"/>
              <w:overflowPunct/>
              <w:topLinePunct w:val="0"/>
              <w:bidi w:val="0"/>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投</w:t>
            </w:r>
            <w:r>
              <w:rPr>
                <w:rFonts w:hint="eastAsia" w:ascii="宋体" w:hAnsi="宋体" w:eastAsia="宋体" w:cs="宋体"/>
                <w:sz w:val="21"/>
                <w:szCs w:val="21"/>
                <w:highlight w:val="none"/>
                <w:u w:val="none"/>
              </w:rPr>
              <w:t>标人获得</w:t>
            </w:r>
            <w:r>
              <w:rPr>
                <w:rFonts w:hint="eastAsia" w:ascii="宋体" w:hAnsi="宋体" w:cs="宋体"/>
                <w:sz w:val="21"/>
                <w:szCs w:val="21"/>
                <w:highlight w:val="none"/>
                <w:u w:val="none"/>
                <w:lang w:eastAsia="zh-CN"/>
              </w:rPr>
              <w:t>县</w:t>
            </w:r>
            <w:r>
              <w:rPr>
                <w:rFonts w:hint="eastAsia" w:ascii="宋体" w:hAnsi="宋体" w:eastAsia="宋体" w:cs="宋体"/>
                <w:sz w:val="21"/>
                <w:szCs w:val="21"/>
                <w:highlight w:val="none"/>
                <w:u w:val="none"/>
              </w:rPr>
              <w:t>级（或以上）</w:t>
            </w:r>
            <w:r>
              <w:rPr>
                <w:rFonts w:hint="eastAsia" w:ascii="宋体" w:hAnsi="宋体" w:cs="宋体"/>
                <w:szCs w:val="21"/>
                <w:highlight w:val="none"/>
                <w:u w:val="none"/>
                <w:lang w:val="en-US" w:eastAsia="zh-CN"/>
              </w:rPr>
              <w:t>国家机关或政府部门或事业单位</w:t>
            </w:r>
            <w:r>
              <w:rPr>
                <w:rFonts w:hint="eastAsia" w:ascii="宋体" w:hAnsi="宋体" w:eastAsia="宋体" w:cs="宋体"/>
                <w:sz w:val="21"/>
                <w:szCs w:val="21"/>
                <w:highlight w:val="none"/>
                <w:u w:val="none"/>
              </w:rPr>
              <w:t>颁发的</w:t>
            </w:r>
            <w:r>
              <w:rPr>
                <w:rFonts w:hint="eastAsia" w:ascii="宋体" w:hAnsi="宋体" w:cs="宋体"/>
                <w:szCs w:val="21"/>
                <w:highlight w:val="none"/>
                <w:u w:val="none"/>
                <w:lang w:val="en-US" w:eastAsia="zh-CN"/>
              </w:rPr>
              <w:t>与物业服务相关的荣誉或奖项</w:t>
            </w:r>
            <w:r>
              <w:rPr>
                <w:rFonts w:hint="eastAsia" w:ascii="宋体" w:hAnsi="宋体" w:eastAsia="宋体" w:cs="宋体"/>
                <w:sz w:val="21"/>
                <w:szCs w:val="21"/>
                <w:highlight w:val="none"/>
                <w:u w:val="none"/>
              </w:rPr>
              <w:t>的</w:t>
            </w:r>
            <w:r>
              <w:rPr>
                <w:rFonts w:hint="eastAsia" w:ascii="宋体" w:hAnsi="宋体" w:cs="宋体"/>
                <w:b w:val="0"/>
                <w:bCs w:val="0"/>
                <w:sz w:val="21"/>
                <w:szCs w:val="21"/>
                <w:highlight w:val="none"/>
                <w:u w:val="none"/>
                <w:lang w:val="en-US" w:eastAsia="zh-CN"/>
              </w:rPr>
              <w:t>，</w:t>
            </w:r>
            <w:r>
              <w:rPr>
                <w:rFonts w:hint="eastAsia" w:ascii="宋体" w:hAnsi="宋体" w:cs="宋体"/>
                <w:b w:val="0"/>
                <w:bCs w:val="0"/>
                <w:sz w:val="21"/>
                <w:szCs w:val="21"/>
                <w:highlight w:val="none"/>
                <w:lang w:val="en-US" w:eastAsia="zh-CN"/>
              </w:rPr>
              <w:t>每提供1个得10分，本项最高60分。</w:t>
            </w:r>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以上</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项得分累计，最高</w:t>
            </w:r>
            <w:r>
              <w:rPr>
                <w:rFonts w:hint="eastAsia" w:ascii="宋体"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lang w:eastAsia="zh-CN"/>
              </w:rPr>
              <w:t>分。</w:t>
            </w:r>
          </w:p>
          <w:p>
            <w:pPr>
              <w:pStyle w:val="9"/>
              <w:keepNext w:val="0"/>
              <w:keepLines w:val="0"/>
              <w:pageBreakBefore w:val="0"/>
              <w:kinsoku/>
              <w:overflowPunct/>
              <w:topLinePunct w:val="0"/>
              <w:bidi w:val="0"/>
              <w:spacing w:after="0" w:line="4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 提供</w:t>
            </w:r>
            <w:r>
              <w:rPr>
                <w:rFonts w:hint="eastAsia" w:ascii="宋体" w:hAnsi="宋体" w:eastAsia="宋体" w:cs="宋体"/>
                <w:b w:val="0"/>
                <w:bCs w:val="0"/>
                <w:sz w:val="21"/>
                <w:szCs w:val="21"/>
                <w:highlight w:val="none"/>
                <w:lang w:eastAsia="zh-CN"/>
              </w:rPr>
              <w:t>相关证明文件及网站</w:t>
            </w:r>
            <w:r>
              <w:rPr>
                <w:rFonts w:hint="eastAsia" w:ascii="宋体" w:hAnsi="宋体" w:eastAsia="宋体" w:cs="宋体"/>
                <w:b w:val="0"/>
                <w:bCs w:val="0"/>
                <w:i w:val="0"/>
                <w:iCs w:val="0"/>
                <w:sz w:val="21"/>
                <w:szCs w:val="21"/>
                <w:highlight w:val="none"/>
                <w:u w:val="none"/>
                <w:lang w:eastAsia="zh-CN"/>
              </w:rPr>
              <w:t>公示截图</w:t>
            </w:r>
            <w:r>
              <w:rPr>
                <w:rFonts w:hint="eastAsia" w:ascii="宋体" w:hAnsi="宋体" w:eastAsia="宋体" w:cs="宋体"/>
                <w:b w:val="0"/>
                <w:bCs w:val="0"/>
                <w:sz w:val="21"/>
                <w:szCs w:val="21"/>
                <w:highlight w:val="none"/>
              </w:rPr>
              <w:t>作为得分依据</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i w:val="0"/>
                <w:iCs w:val="0"/>
                <w:sz w:val="21"/>
                <w:szCs w:val="21"/>
                <w:highlight w:val="none"/>
                <w:u w:val="none"/>
                <w:lang w:eastAsia="zh-CN"/>
              </w:rPr>
              <w:t>由社会组织颁发的证书，还需同时提供该组织在“中国社会组织政务服务平台（全国社会组织信用信息公示平台）https://chinanpo.mca.gov.cn/”的查询截图（截图需体现网址且状态为正常），否则该证书不得分</w:t>
            </w:r>
            <w:r>
              <w:rPr>
                <w:rFonts w:hint="eastAsia" w:ascii="宋体" w:hAnsi="宋体" w:eastAsia="宋体" w:cs="宋体"/>
                <w:b w:val="0"/>
                <w:bCs w:val="0"/>
                <w:sz w:val="21"/>
                <w:szCs w:val="21"/>
                <w:highlight w:val="none"/>
                <w:lang w:eastAsia="zh-CN"/>
              </w:rPr>
              <w:t>。</w:t>
            </w:r>
          </w:p>
          <w:p>
            <w:pPr>
              <w:adjustRightInd w:val="0"/>
              <w:snapToGrid w:val="0"/>
              <w:spacing w:line="320" w:lineRule="exact"/>
              <w:rPr>
                <w:rFonts w:ascii="宋体" w:hAnsi="宋体" w:cs="宋体"/>
                <w:szCs w:val="21"/>
              </w:rPr>
            </w:pPr>
            <w:r>
              <w:rPr>
                <w:rFonts w:hint="eastAsia" w:ascii="宋体" w:hAnsi="宋体" w:eastAsia="宋体" w:cs="宋体"/>
                <w:b w:val="0"/>
                <w:bCs w:val="0"/>
                <w:sz w:val="21"/>
                <w:szCs w:val="21"/>
                <w:highlight w:val="none"/>
              </w:rPr>
              <w:t>2. 提供以上证明文件扫描件，如涉及网站截图或照片等证明材料,需提供清晰图片。未按要求提供有效证明材料或提供不清晰导致评委无法识别的不计得分。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认证情况</w:t>
            </w:r>
          </w:p>
        </w:tc>
        <w:tc>
          <w:tcPr>
            <w:tcW w:w="651" w:type="dxa"/>
            <w:tcBorders>
              <w:tl2br w:val="nil"/>
              <w:tr2bl w:val="nil"/>
            </w:tcBorders>
            <w:noWrap w:val="0"/>
            <w:vAlign w:val="center"/>
          </w:tcPr>
          <w:p>
            <w:pPr>
              <w:wordWrap w:val="0"/>
              <w:adjustRightInd w:val="0"/>
              <w:snapToGrid w:val="0"/>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694" w:type="dxa"/>
            <w:tcBorders>
              <w:tl2br w:val="nil"/>
              <w:tr2bl w:val="nil"/>
            </w:tcBorders>
            <w:noWrap w:val="0"/>
            <w:vAlign w:val="top"/>
          </w:tcPr>
          <w:p>
            <w:pPr>
              <w:keepNext w:val="0"/>
              <w:keepLines w:val="0"/>
              <w:pageBreakBefore w:val="0"/>
              <w:overflowPunct/>
              <w:topLinePunct w:val="0"/>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rPr>
              <w:t>（一）评分内容：</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具有</w:t>
            </w:r>
            <w:r>
              <w:rPr>
                <w:rFonts w:hint="eastAsia" w:ascii="宋体" w:hAnsi="宋体" w:eastAsia="宋体" w:cs="宋体"/>
                <w:b w:val="0"/>
                <w:bCs w:val="0"/>
                <w:sz w:val="21"/>
                <w:szCs w:val="21"/>
                <w:highlight w:val="none"/>
                <w:lang w:eastAsia="zh-CN"/>
              </w:rPr>
              <w:t>设备维护保养服务认证证书</w:t>
            </w:r>
            <w:r>
              <w:rPr>
                <w:rFonts w:hint="eastAsia" w:ascii="宋体" w:hAnsi="宋体" w:eastAsia="宋体" w:cs="宋体"/>
                <w:sz w:val="21"/>
                <w:szCs w:val="21"/>
              </w:rPr>
              <w:t>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具有</w:t>
            </w:r>
            <w:r>
              <w:rPr>
                <w:rFonts w:hint="eastAsia" w:ascii="宋体" w:hAnsi="宋体" w:eastAsia="宋体" w:cs="宋体"/>
                <w:b w:val="0"/>
                <w:bCs w:val="0"/>
                <w:sz w:val="21"/>
                <w:szCs w:val="21"/>
                <w:highlight w:val="none"/>
                <w:lang w:eastAsia="zh-CN"/>
              </w:rPr>
              <w:t>清洁服务认</w:t>
            </w:r>
            <w:r>
              <w:rPr>
                <w:rFonts w:hint="eastAsia" w:ascii="宋体" w:hAnsi="宋体" w:eastAsia="宋体" w:cs="宋体"/>
                <w:b w:val="0"/>
                <w:bCs w:val="0"/>
                <w:sz w:val="21"/>
                <w:szCs w:val="21"/>
                <w:highlight w:val="none"/>
                <w:lang w:val="en-US" w:eastAsia="zh-CN"/>
              </w:rPr>
              <w:t>证证书</w:t>
            </w:r>
            <w:r>
              <w:rPr>
                <w:rFonts w:hint="eastAsia" w:ascii="宋体" w:hAnsi="宋体" w:eastAsia="宋体" w:cs="宋体"/>
                <w:sz w:val="21"/>
                <w:szCs w:val="21"/>
              </w:rPr>
              <w:t>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具有</w:t>
            </w:r>
            <w:r>
              <w:rPr>
                <w:rFonts w:hint="eastAsia" w:ascii="宋体" w:hAnsi="宋体" w:eastAsia="宋体" w:cs="宋体"/>
                <w:b w:val="0"/>
                <w:bCs w:val="0"/>
                <w:sz w:val="21"/>
                <w:szCs w:val="21"/>
                <w:highlight w:val="none"/>
                <w:lang w:val="en-US" w:eastAsia="zh-CN"/>
              </w:rPr>
              <w:t>应急预案管理能力评价体系认证证书</w:t>
            </w:r>
            <w:r>
              <w:rPr>
                <w:rFonts w:hint="eastAsia" w:ascii="宋体" w:hAnsi="宋体" w:eastAsia="宋体" w:cs="宋体"/>
                <w:sz w:val="21"/>
                <w:szCs w:val="21"/>
              </w:rPr>
              <w:t>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具有</w:t>
            </w:r>
            <w:r>
              <w:rPr>
                <w:rFonts w:hint="eastAsia" w:ascii="宋体" w:hAnsi="宋体" w:eastAsia="宋体" w:cs="宋体"/>
                <w:b w:val="0"/>
                <w:bCs w:val="0"/>
                <w:sz w:val="21"/>
                <w:szCs w:val="21"/>
                <w:highlight w:val="none"/>
                <w:lang w:val="en-US" w:eastAsia="zh-CN"/>
              </w:rPr>
              <w:t>保安服务认证证书</w:t>
            </w:r>
            <w:r>
              <w:rPr>
                <w:rFonts w:hint="eastAsia" w:ascii="宋体" w:hAnsi="宋体" w:eastAsia="宋体" w:cs="宋体"/>
                <w:sz w:val="21"/>
                <w:szCs w:val="21"/>
              </w:rPr>
              <w:t>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具有</w:t>
            </w:r>
            <w:r>
              <w:rPr>
                <w:rFonts w:hint="eastAsia" w:ascii="宋体" w:hAnsi="宋体" w:eastAsia="宋体" w:cs="宋体"/>
                <w:b w:val="0"/>
                <w:bCs w:val="0"/>
                <w:sz w:val="21"/>
                <w:szCs w:val="21"/>
                <w:highlight w:val="none"/>
                <w:lang w:val="en-US" w:eastAsia="zh-CN"/>
              </w:rPr>
              <w:t>履约能力评价体系认证证书</w:t>
            </w:r>
            <w:r>
              <w:rPr>
                <w:rFonts w:hint="eastAsia" w:ascii="宋体" w:hAnsi="宋体" w:eastAsia="宋体" w:cs="宋体"/>
                <w:sz w:val="21"/>
                <w:szCs w:val="21"/>
              </w:rPr>
              <w:t>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overflowPunct/>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注：以上证书认证范围须包含物业管理或物业服务相关内容，本项最高得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p>
          <w:p>
            <w:pPr>
              <w:keepNext w:val="0"/>
              <w:keepLines w:val="0"/>
              <w:pageBreakBefore w:val="0"/>
              <w:overflowPunct/>
              <w:topLinePunct w:val="0"/>
              <w:bidi w:val="0"/>
              <w:spacing w:line="400" w:lineRule="exact"/>
              <w:textAlignment w:val="center"/>
              <w:rPr>
                <w:rFonts w:hint="eastAsia" w:ascii="宋体" w:hAnsi="宋体" w:eastAsia="宋体" w:cs="宋体"/>
                <w:b/>
                <w:bCs/>
                <w:sz w:val="21"/>
                <w:szCs w:val="21"/>
              </w:rPr>
            </w:pPr>
            <w:r>
              <w:rPr>
                <w:rFonts w:hint="eastAsia" w:ascii="宋体" w:hAnsi="宋体" w:eastAsia="宋体" w:cs="宋体"/>
                <w:b/>
                <w:bCs/>
                <w:sz w:val="21"/>
                <w:szCs w:val="21"/>
              </w:rPr>
              <w:t>（二）评分依据：</w:t>
            </w:r>
          </w:p>
          <w:p>
            <w:pPr>
              <w:keepNext w:val="0"/>
              <w:keepLines w:val="0"/>
              <w:pageBreakBefore w:val="0"/>
              <w:overflowPunct/>
              <w:topLinePunct w:val="0"/>
              <w:bidi w:val="0"/>
              <w:spacing w:line="400" w:lineRule="exact"/>
              <w:textAlignment w:val="center"/>
              <w:rPr>
                <w:rFonts w:hint="eastAsia" w:ascii="宋体" w:hAnsi="宋体" w:eastAsia="宋体" w:cs="宋体"/>
                <w:sz w:val="21"/>
                <w:szCs w:val="21"/>
              </w:rPr>
            </w:pPr>
            <w:r>
              <w:rPr>
                <w:rFonts w:hint="eastAsia" w:ascii="宋体" w:hAnsi="宋体" w:eastAsia="宋体" w:cs="宋体"/>
                <w:sz w:val="21"/>
                <w:szCs w:val="21"/>
              </w:rPr>
              <w:t>1、提供有效认证证书（如认证证书注明年审要求的，必须按规定年审且证书在有效期内的方为有效；如未注明年审要求的，证书必须在有效期内的方为有效）；</w:t>
            </w:r>
          </w:p>
          <w:p>
            <w:pPr>
              <w:keepNext w:val="0"/>
              <w:keepLines w:val="0"/>
              <w:pageBreakBefore w:val="0"/>
              <w:overflowPunct/>
              <w:topLinePunct w:val="0"/>
              <w:bidi w:val="0"/>
              <w:spacing w:line="400" w:lineRule="exact"/>
              <w:textAlignment w:val="center"/>
              <w:rPr>
                <w:rFonts w:hint="eastAsia" w:ascii="宋体" w:hAnsi="宋体" w:eastAsia="宋体" w:cs="宋体"/>
                <w:sz w:val="21"/>
                <w:szCs w:val="21"/>
                <w:lang w:val="zh-CN"/>
              </w:rPr>
            </w:pPr>
            <w:r>
              <w:rPr>
                <w:rFonts w:hint="eastAsia" w:ascii="宋体" w:hAnsi="宋体" w:eastAsia="宋体" w:cs="宋体"/>
                <w:sz w:val="21"/>
                <w:szCs w:val="21"/>
              </w:rPr>
              <w:t>2、提供证书官网或权威机构【如：全国认证认可信息公共服务平台（cx.cnca.cn）】认证信息查询截图（截图需显示证书状态为有效）。</w:t>
            </w:r>
            <w:r>
              <w:rPr>
                <w:rFonts w:hint="eastAsia" w:ascii="宋体" w:hAnsi="宋体" w:eastAsia="宋体" w:cs="宋体"/>
                <w:sz w:val="21"/>
                <w:szCs w:val="21"/>
                <w:lang w:val="zh-CN"/>
              </w:rPr>
              <w:t>相关证书在公开渠道无法查询的，投标人需提供颁发部门或者监管机构的证明材料，证明证书真实有效且为合法机构颁发；</w:t>
            </w:r>
          </w:p>
          <w:p>
            <w:pPr>
              <w:keepNext w:val="0"/>
              <w:keepLines w:val="0"/>
              <w:pageBreakBefore w:val="0"/>
              <w:overflowPunct/>
              <w:topLinePunct w:val="0"/>
              <w:bidi w:val="0"/>
              <w:spacing w:line="400" w:lineRule="exact"/>
              <w:textAlignment w:val="center"/>
              <w:rPr>
                <w:rFonts w:hint="eastAsia" w:ascii="宋体" w:hAnsi="宋体" w:eastAsia="宋体" w:cs="宋体"/>
                <w:sz w:val="21"/>
                <w:szCs w:val="21"/>
              </w:rPr>
            </w:pPr>
            <w:r>
              <w:rPr>
                <w:rFonts w:hint="eastAsia" w:ascii="宋体" w:hAnsi="宋体" w:eastAsia="宋体" w:cs="宋体"/>
                <w:sz w:val="21"/>
                <w:szCs w:val="21"/>
              </w:rPr>
              <w:t>3、如证书由行业协会颁发，需提供该行业协会在“中国社会组织政务服务平台”（网址：https://chinanpo.mca.gov.cn/）查询的已合法登记且状态正常截图，否则不予认可，视为无效证书；</w:t>
            </w:r>
          </w:p>
          <w:p>
            <w:pPr>
              <w:keepNext w:val="0"/>
              <w:keepLines w:val="0"/>
              <w:pageBreakBefore w:val="0"/>
              <w:overflowPunct/>
              <w:topLinePunct w:val="0"/>
              <w:bidi w:val="0"/>
              <w:spacing w:line="400" w:lineRule="exact"/>
              <w:textAlignment w:val="center"/>
              <w:rPr>
                <w:rFonts w:hint="eastAsia" w:ascii="宋体" w:hAnsi="宋体" w:eastAsia="宋体" w:cs="宋体"/>
                <w:sz w:val="21"/>
                <w:szCs w:val="21"/>
                <w:lang w:val="zh-CN"/>
              </w:rPr>
            </w:pPr>
            <w:r>
              <w:rPr>
                <w:rFonts w:hint="eastAsia" w:ascii="宋体" w:hAnsi="宋体" w:eastAsia="宋体" w:cs="宋体"/>
                <w:sz w:val="21"/>
                <w:szCs w:val="21"/>
              </w:rPr>
              <w:t>4、如</w:t>
            </w:r>
            <w:r>
              <w:rPr>
                <w:rFonts w:hint="eastAsia" w:ascii="宋体" w:hAnsi="宋体" w:eastAsia="宋体" w:cs="宋体"/>
                <w:sz w:val="21"/>
                <w:szCs w:val="21"/>
                <w:lang w:val="zh-CN"/>
              </w:rPr>
              <w:t>投标人成立时间不足三个月，可提供情况说明作为佐证材料，无需提供证书和</w:t>
            </w:r>
            <w:r>
              <w:rPr>
                <w:rFonts w:hint="eastAsia" w:ascii="宋体" w:hAnsi="宋体" w:eastAsia="宋体" w:cs="宋体"/>
                <w:sz w:val="21"/>
                <w:szCs w:val="21"/>
              </w:rPr>
              <w:t>认证信息查询截图</w:t>
            </w:r>
            <w:r>
              <w:rPr>
                <w:rFonts w:hint="eastAsia" w:ascii="宋体" w:hAnsi="宋体" w:eastAsia="宋体" w:cs="宋体"/>
                <w:sz w:val="21"/>
                <w:szCs w:val="21"/>
                <w:lang w:val="zh-CN"/>
              </w:rPr>
              <w:t>亦视为满足评分要求；</w:t>
            </w:r>
          </w:p>
          <w:p>
            <w:pPr>
              <w:pStyle w:val="9"/>
              <w:wordWrap w:val="0"/>
              <w:adjustRightInd w:val="0"/>
              <w:snapToGrid w:val="0"/>
              <w:spacing w:line="320" w:lineRule="exact"/>
              <w:rPr>
                <w:rFonts w:ascii="宋体" w:hAnsi="宋体" w:cs="宋体"/>
                <w:sz w:val="21"/>
                <w:szCs w:val="21"/>
              </w:rPr>
            </w:pPr>
            <w:r>
              <w:rPr>
                <w:rFonts w:hint="eastAsia" w:ascii="宋体" w:hAnsi="宋体" w:eastAsia="宋体" w:cs="宋体"/>
                <w:sz w:val="21"/>
                <w:szCs w:val="21"/>
              </w:rPr>
              <w:t>5</w:t>
            </w:r>
            <w:r>
              <w:rPr>
                <w:rFonts w:hint="eastAsia" w:ascii="宋体" w:hAnsi="宋体" w:eastAsia="宋体" w:cs="宋体"/>
                <w:b w:val="0"/>
                <w:bCs w:val="0"/>
                <w:sz w:val="21"/>
                <w:szCs w:val="21"/>
              </w:rPr>
              <w:t>、以上证明文件提供扫描件，如涉及网站截图或照片等证明材料,需提供清晰图片。未按要求提供有效证明材料或提供不清晰导致评委无法识别的不计得分。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4</w:t>
            </w:r>
          </w:p>
        </w:tc>
        <w:tc>
          <w:tcPr>
            <w:tcW w:w="2928" w:type="dxa"/>
            <w:gridSpan w:val="3"/>
            <w:tcBorders>
              <w:tl2br w:val="nil"/>
              <w:tr2bl w:val="nil"/>
            </w:tcBorders>
            <w:noWrap w:val="0"/>
            <w:vAlign w:val="center"/>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诚信情况</w:t>
            </w:r>
          </w:p>
        </w:tc>
        <w:tc>
          <w:tcPr>
            <w:tcW w:w="5694" w:type="dxa"/>
            <w:tcBorders>
              <w:tl2br w:val="nil"/>
              <w:tr2bl w:val="nil"/>
            </w:tcBorders>
            <w:noWrap w:val="0"/>
            <w:vAlign w:val="top"/>
          </w:tcPr>
          <w:p>
            <w:pPr>
              <w:wordWrap w:val="0"/>
              <w:adjustRightInd w:val="0"/>
              <w:snapToGrid w:val="0"/>
              <w:spacing w:line="320" w:lineRule="exact"/>
              <w:jc w:val="center"/>
              <w:rPr>
                <w:rFonts w:ascii="宋体" w:hAnsi="宋体" w:cs="宋体"/>
                <w:b/>
                <w:bCs/>
                <w:color w:val="0000FF"/>
                <w:szCs w:val="21"/>
              </w:rPr>
            </w:pPr>
            <w:r>
              <w:rPr>
                <w:rFonts w:hint="eastAsia" w:ascii="宋体" w:hAnsi="宋体" w:cs="宋体"/>
                <w:b/>
                <w:bCs/>
                <w:color w:val="0000FF"/>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8622" w:type="dxa"/>
            <w:gridSpan w:val="4"/>
            <w:tcBorders>
              <w:tl2br w:val="nil"/>
              <w:tr2bl w:val="nil"/>
            </w:tcBorders>
            <w:noWrap w:val="0"/>
            <w:vAlign w:val="center"/>
          </w:tcPr>
          <w:p>
            <w:pPr>
              <w:wordWrap w:val="0"/>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序号</w:t>
            </w:r>
          </w:p>
        </w:tc>
        <w:tc>
          <w:tcPr>
            <w:tcW w:w="1729"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评分因素</w:t>
            </w:r>
          </w:p>
        </w:tc>
        <w:tc>
          <w:tcPr>
            <w:tcW w:w="651"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权重(%)</w:t>
            </w:r>
          </w:p>
        </w:tc>
        <w:tc>
          <w:tcPr>
            <w:tcW w:w="5694" w:type="dxa"/>
            <w:tcBorders>
              <w:tl2br w:val="nil"/>
              <w:tr2bl w:val="nil"/>
            </w:tcBorders>
            <w:shd w:val="clear" w:color="auto" w:fill="E6EFFA"/>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548"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1</w:t>
            </w:r>
          </w:p>
        </w:tc>
        <w:tc>
          <w:tcPr>
            <w:tcW w:w="1729"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诚信情况</w:t>
            </w:r>
          </w:p>
        </w:tc>
        <w:tc>
          <w:tcPr>
            <w:tcW w:w="651" w:type="dxa"/>
            <w:tcBorders>
              <w:tl2br w:val="nil"/>
              <w:tr2bl w:val="nil"/>
            </w:tcBorders>
            <w:noWrap w:val="0"/>
            <w:vAlign w:val="center"/>
          </w:tcPr>
          <w:p>
            <w:pPr>
              <w:wordWrap w:val="0"/>
              <w:adjustRightInd w:val="0"/>
              <w:snapToGrid w:val="0"/>
              <w:spacing w:line="320" w:lineRule="exact"/>
              <w:jc w:val="center"/>
              <w:rPr>
                <w:rFonts w:ascii="宋体" w:hAnsi="宋体" w:cs="宋体"/>
                <w:szCs w:val="21"/>
              </w:rPr>
            </w:pPr>
            <w:r>
              <w:rPr>
                <w:rFonts w:hint="eastAsia" w:ascii="宋体" w:hAnsi="宋体" w:cs="宋体"/>
                <w:szCs w:val="21"/>
              </w:rPr>
              <w:t>5</w:t>
            </w:r>
          </w:p>
        </w:tc>
        <w:tc>
          <w:tcPr>
            <w:tcW w:w="5694" w:type="dxa"/>
            <w:tcBorders>
              <w:tl2br w:val="nil"/>
              <w:tr2bl w:val="nil"/>
            </w:tcBorders>
            <w:noWrap w:val="0"/>
            <w:vAlign w:val="top"/>
          </w:tcPr>
          <w:p>
            <w:pPr>
              <w:wordWrap w:val="0"/>
              <w:adjustRightInd w:val="0"/>
              <w:snapToGrid w:val="0"/>
              <w:spacing w:line="320" w:lineRule="exact"/>
              <w:rPr>
                <w:rFonts w:ascii="宋体" w:hAnsi="宋体" w:eastAsia="宋体" w:cs="宋体"/>
                <w:szCs w:val="21"/>
              </w:rPr>
            </w:pPr>
            <w:bookmarkStart w:id="18" w:name="OLE_LINK28"/>
            <w:r>
              <w:rPr>
                <w:rFonts w:hint="eastAsia" w:ascii="宋体" w:hAnsi="宋体" w:eastAsia="宋体" w:cs="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ordWrap w:val="0"/>
              <w:adjustRightInd w:val="0"/>
              <w:snapToGrid w:val="0"/>
              <w:spacing w:line="320" w:lineRule="exact"/>
              <w:rPr>
                <w:rFonts w:ascii="宋体" w:hAnsi="宋体" w:eastAsia="宋体" w:cs="宋体"/>
                <w:szCs w:val="21"/>
              </w:rPr>
            </w:pPr>
          </w:p>
          <w:p>
            <w:pPr>
              <w:wordWrap w:val="0"/>
              <w:adjustRightInd w:val="0"/>
              <w:snapToGrid w:val="0"/>
              <w:spacing w:line="320" w:lineRule="exact"/>
              <w:rPr>
                <w:rFonts w:ascii="宋体" w:hAnsi="宋体" w:cs="宋体"/>
                <w:color w:val="FF0000"/>
                <w:szCs w:val="21"/>
              </w:rPr>
            </w:pPr>
            <w:r>
              <w:rPr>
                <w:rFonts w:hint="eastAsia" w:ascii="宋体" w:hAnsi="宋体" w:eastAsia="宋体" w:cs="宋体"/>
                <w:szCs w:val="21"/>
              </w:rPr>
              <w:t>查询渠道具体包括“信用中国”（www.creditchina.gov.cn）、“中国政府采购网”（www.ccgp.gov.cn）”以及“深圳市政府采购监管网”（http://zfcg.sz.gov.cn）为供应商信用信息的查询渠道，相关信息以开标当日的查询结果为准。</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noWrap w:val="0"/>
            <w:vAlign w:val="center"/>
          </w:tcPr>
          <w:p>
            <w:pPr>
              <w:adjustRightInd w:val="0"/>
              <w:snapToGrid w:val="0"/>
              <w:spacing w:line="320" w:lineRule="exact"/>
              <w:rPr>
                <w:rFonts w:ascii="宋体" w:hAnsi="宋体" w:cs="宋体"/>
                <w:b/>
                <w:bCs/>
                <w:color w:val="0000FF"/>
                <w:szCs w:val="21"/>
              </w:rPr>
            </w:pPr>
          </w:p>
        </w:tc>
        <w:tc>
          <w:tcPr>
            <w:tcW w:w="8622" w:type="dxa"/>
            <w:gridSpan w:val="4"/>
            <w:tcBorders>
              <w:tl2br w:val="nil"/>
              <w:tr2bl w:val="nil"/>
            </w:tcBorders>
            <w:noWrap w:val="0"/>
            <w:vAlign w:val="top"/>
          </w:tcPr>
          <w:p>
            <w:pPr>
              <w:wordWrap w:val="0"/>
              <w:adjustRightInd w:val="0"/>
              <w:snapToGrid w:val="0"/>
              <w:spacing w:line="320" w:lineRule="exact"/>
              <w:rPr>
                <w:rFonts w:ascii="宋体" w:hAnsi="宋体" w:cs="宋体"/>
                <w:szCs w:val="21"/>
              </w:rPr>
            </w:pPr>
          </w:p>
        </w:tc>
      </w:tr>
    </w:tbl>
    <w:p>
      <w:pPr>
        <w:wordWrap w:val="0"/>
        <w:rPr>
          <w:rFonts w:ascii="Times New Roman" w:hAnsi="Times New Roman" w:eastAsia="宋体" w:cs="Times New Roman"/>
          <w:b/>
          <w:bCs/>
          <w:color w:val="FF0000"/>
          <w:szCs w:val="24"/>
        </w:rPr>
      </w:pPr>
      <w:r>
        <w:rPr>
          <w:rFonts w:hint="eastAsia" w:ascii="Times New Roman" w:hAnsi="Times New Roman" w:eastAsia="宋体" w:cs="Times New Roman"/>
          <w:b/>
          <w:bCs/>
          <w:color w:val="FF0000"/>
          <w:szCs w:val="24"/>
        </w:rPr>
        <w:t>投标人的“技术规格响应情况”“技术规格偏离情况”等必须与客观实际保持一致，响应不实且情节严重的，经查实，将依法记入供应商诚信档案或受到行政处罚。</w:t>
      </w:r>
    </w:p>
    <w:p>
      <w:pPr>
        <w:sectPr>
          <w:pgSz w:w="11907" w:h="16840"/>
          <w:pgMar w:top="1440" w:right="1417" w:bottom="1440" w:left="1417" w:header="851" w:footer="992" w:gutter="0"/>
          <w:cols w:space="720" w:num="1"/>
          <w:titlePg/>
          <w:docGrid w:linePitch="462" w:charSpace="0"/>
        </w:sectPr>
      </w:pPr>
    </w:p>
    <w:p>
      <w:pPr>
        <w:jc w:val="center"/>
        <w:rPr>
          <w:rFonts w:hint="eastAsia"/>
          <w:b/>
          <w:sz w:val="120"/>
          <w:szCs w:val="120"/>
        </w:rPr>
      </w:pPr>
    </w:p>
    <w:p>
      <w:pPr>
        <w:jc w:val="center"/>
        <w:rPr>
          <w:rFonts w:hint="eastAsia"/>
          <w:b/>
          <w:sz w:val="120"/>
          <w:szCs w:val="120"/>
        </w:rPr>
      </w:pPr>
    </w:p>
    <w:p>
      <w:pPr>
        <w:jc w:val="center"/>
        <w:rPr>
          <w:rFonts w:hint="eastAsia"/>
          <w:b/>
          <w:sz w:val="120"/>
          <w:szCs w:val="120"/>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19"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 xml:space="preserve">5 </w:t>
      </w:r>
      <w:r>
        <w:rPr>
          <w:rFonts w:hint="eastAsia"/>
          <w:b/>
          <w:sz w:val="28"/>
          <w:szCs w:val="28"/>
        </w:rPr>
        <w:t>）</w:t>
      </w:r>
      <w:bookmarkEnd w:id="19"/>
    </w:p>
    <w:p>
      <w:pPr>
        <w:ind w:firstLine="420" w:firstLineChars="200"/>
        <w:rPr>
          <w:rFonts w:hint="eastAsia"/>
        </w:rPr>
      </w:pPr>
      <w:r>
        <w:rPr>
          <w:rFonts w:hint="eastAsia"/>
        </w:rPr>
        <w:br w:type="page"/>
      </w:r>
    </w:p>
    <w:p>
      <w:pPr>
        <w:pStyle w:val="3"/>
      </w:pPr>
      <w:r>
        <w:rPr>
          <w:rFonts w:hint="eastAsia"/>
        </w:rPr>
        <w:t>目   录</w:t>
      </w:r>
    </w:p>
    <w:p>
      <w:pPr>
        <w:outlineLvl w:val="0"/>
        <w:rPr>
          <w:b/>
          <w:sz w:val="24"/>
        </w:rPr>
      </w:pPr>
      <w:r>
        <w:rPr>
          <w:rFonts w:hint="eastAsia"/>
          <w:b/>
          <w:sz w:val="24"/>
        </w:rPr>
        <w:t>第一册  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20" w:name="_Hlk71994379"/>
      <w:r>
        <w:rPr>
          <w:rFonts w:hint="eastAsia" w:ascii="宋体" w:hAnsi="宋体"/>
          <w:szCs w:val="21"/>
        </w:rPr>
        <w:t>对通用条款的补充内容及其他关键信息</w:t>
      </w:r>
      <w:bookmarkEnd w:id="20"/>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outlineLvl w:val="0"/>
        <w:rPr>
          <w:b/>
          <w:sz w:val="24"/>
        </w:rPr>
      </w:pPr>
      <w:r>
        <w:rPr>
          <w:rFonts w:hint="eastAsia" w:ascii="宋体" w:hAnsi="宋体"/>
          <w:szCs w:val="21"/>
        </w:rPr>
        <w:t>第十一章  质疑处理</w:t>
      </w:r>
    </w:p>
    <w:p>
      <w:pPr>
        <w:spacing w:line="360" w:lineRule="auto"/>
        <w:ind w:firstLine="420" w:firstLineChars="200"/>
        <w:jc w:val="left"/>
        <w:rPr>
          <w:rFonts w:ascii="宋体" w:hAnsi="宋体"/>
          <w:szCs w:val="21"/>
        </w:rPr>
      </w:pPr>
    </w:p>
    <w:p>
      <w:pPr>
        <w:pStyle w:val="3"/>
        <w:rPr>
          <w:sz w:val="24"/>
        </w:rPr>
      </w:pPr>
      <w:r>
        <w:br w:type="page"/>
      </w:r>
      <w:bookmarkStart w:id="21" w:name="bt投标报价汇总表"/>
      <w:bookmarkEnd w:id="21"/>
      <w:bookmarkStart w:id="22" w:name="bt项目管理班子配备情况"/>
      <w:bookmarkEnd w:id="22"/>
      <w:bookmarkStart w:id="23" w:name="bt开标一览表"/>
      <w:bookmarkEnd w:id="23"/>
      <w:bookmarkStart w:id="24" w:name="bt投标人须知"/>
      <w:bookmarkEnd w:id="24"/>
      <w:bookmarkStart w:id="25" w:name="bt其他资料由投标人自定"/>
      <w:bookmarkEnd w:id="25"/>
      <w:bookmarkStart w:id="26" w:name="bt其他资料2"/>
      <w:bookmarkEnd w:id="26"/>
      <w:bookmarkStart w:id="27" w:name="合同格式"/>
      <w:bookmarkEnd w:id="27"/>
      <w:bookmarkStart w:id="28" w:name="bt合同条款"/>
      <w:bookmarkEnd w:id="28"/>
      <w:bookmarkStart w:id="29" w:name="bt投标人情况介绍"/>
      <w:bookmarkEnd w:id="29"/>
      <w:bookmarkStart w:id="30" w:name="bt商务标投标文件格式"/>
      <w:bookmarkEnd w:id="30"/>
      <w:bookmarkStart w:id="31" w:name="bt说明"/>
      <w:bookmarkEnd w:id="31"/>
      <w:bookmarkStart w:id="32" w:name="bt合同条款及格式"/>
      <w:bookmarkEnd w:id="32"/>
      <w:bookmarkStart w:id="33" w:name="bt本工程承诺书"/>
      <w:bookmarkEnd w:id="33"/>
      <w:bookmarkStart w:id="34" w:name="bt合同格式"/>
      <w:bookmarkEnd w:id="34"/>
      <w:bookmarkStart w:id="35" w:name="bt投标文件签署授权委托书"/>
      <w:bookmarkEnd w:id="35"/>
      <w:bookmarkStart w:id="36" w:name="bt技术标投标文件格式"/>
      <w:bookmarkEnd w:id="36"/>
      <w:bookmarkStart w:id="37" w:name="bt投标函"/>
      <w:bookmarkEnd w:id="37"/>
      <w:r>
        <w:rPr>
          <w:rFonts w:hint="eastAsia"/>
        </w:rPr>
        <w:t>第一册</w:t>
      </w:r>
      <w:r>
        <w:rPr>
          <w:rFonts w:hint="eastAsia"/>
          <w:lang w:val="en-US" w:eastAsia="zh-CN"/>
        </w:rPr>
        <w:t xml:space="preserve">  </w:t>
      </w:r>
      <w:r>
        <w:rPr>
          <w:rFonts w:hint="eastAsia"/>
        </w:rPr>
        <w:t>专用条款</w:t>
      </w:r>
    </w:p>
    <w:p>
      <w:pPr>
        <w:pStyle w:val="6"/>
        <w:rPr>
          <w:rFonts w:hint="eastAsia"/>
          <w:sz w:val="28"/>
          <w:szCs w:val="28"/>
        </w:rPr>
      </w:pPr>
      <w:r>
        <w:rPr>
          <w:rFonts w:hint="eastAsia"/>
          <w:sz w:val="28"/>
          <w:szCs w:val="28"/>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tblPrEx>
          <w:tblCellMar>
            <w:top w:w="0" w:type="dxa"/>
            <w:left w:w="0" w:type="dxa"/>
            <w:bottom w:w="0" w:type="dxa"/>
            <w:right w:w="0" w:type="dxa"/>
          </w:tblCellMar>
        </w:tblPrEx>
        <w:trPr>
          <w:tblCellSpacing w:w="0" w:type="dxa"/>
          <w:jc w:val="center"/>
        </w:trPr>
        <w:tc>
          <w:tcPr>
            <w:tcW w:w="8147" w:type="dxa"/>
            <w:noWrap w:val="0"/>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noWrap w:val="0"/>
                  <w:vAlign w:val="top"/>
                </w:tcPr>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38"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38"/>
                  <w:r>
                    <w:rPr>
                      <w:rFonts w:hint="eastAsia" w:eastAsia="宋体"/>
                      <w:lang w:eastAsia="zh-CN"/>
                    </w:rPr>
                    <w:t>；</w:t>
                  </w:r>
                </w:p>
                <w:p>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w:t>
                  </w:r>
                  <w:r>
                    <w:rPr>
                      <w:rFonts w:hint="eastAsia" w:ascii="宋体" w:hAnsi="宋体" w:cs="宋体"/>
                      <w:color w:val="FF0000"/>
                      <w:kern w:val="0"/>
                      <w:szCs w:val="21"/>
                    </w:rPr>
                    <w:sym w:font="Wingdings" w:char="00A8"/>
                  </w:r>
                  <w:r>
                    <w:rPr>
                      <w:rFonts w:hint="eastAsia" w:ascii="宋体" w:hAnsi="宋体" w:cs="宋体"/>
                      <w:color w:val="FF0000"/>
                      <w:kern w:val="0"/>
                      <w:szCs w:val="21"/>
                    </w:rPr>
                    <w:t>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lang w:val="en-US" w:eastAsia="zh-CN"/>
                    </w:rPr>
                    <w:sym w:font="Wingdings" w:char="00FE"/>
                  </w:r>
                  <w:r>
                    <w:rPr>
                      <w:rFonts w:hint="eastAsia" w:ascii="宋体" w:hAnsi="宋体" w:cs="宋体"/>
                      <w:color w:val="FF0000"/>
                      <w:kern w:val="0"/>
                      <w:szCs w:val="21"/>
                    </w:rPr>
                    <w:t>不接受</w:t>
                  </w:r>
                  <w:r>
                    <w:rPr>
                      <w:rFonts w:hint="eastAsia" w:ascii="宋体" w:hAnsi="宋体" w:cs="宋体"/>
                      <w:color w:val="FF0000"/>
                      <w:kern w:val="0"/>
                      <w:szCs w:val="21"/>
                      <w:lang w:val="en-US" w:eastAsia="zh-CN"/>
                    </w:rPr>
                    <w:t>/</w:t>
                  </w:r>
                  <w:r>
                    <w:rPr>
                      <w:rFonts w:hint="eastAsia" w:ascii="宋体" w:hAnsi="宋体" w:cs="宋体"/>
                      <w:color w:val="FF0000"/>
                      <w:kern w:val="0"/>
                      <w:szCs w:val="21"/>
                      <w:lang w:val="en-US" w:eastAsia="zh-CN"/>
                    </w:rPr>
                    <w:sym w:font="Wingdings" w:char="00A8"/>
                  </w:r>
                  <w:r>
                    <w:rPr>
                      <w:rFonts w:hint="eastAsia" w:ascii="宋体" w:hAnsi="宋体" w:cs="宋体"/>
                      <w:color w:val="FF0000"/>
                      <w:kern w:val="0"/>
                      <w:szCs w:val="21"/>
                      <w:lang w:val="en-US" w:eastAsia="zh-CN"/>
                    </w:rPr>
                    <w:t>接受</w:t>
                  </w:r>
                  <w:r>
                    <w:rPr>
                      <w:rFonts w:hint="eastAsia" w:ascii="宋体" w:hAnsi="宋体" w:cs="宋体"/>
                      <w:color w:val="FF0000"/>
                      <w:kern w:val="0"/>
                      <w:szCs w:val="21"/>
                    </w:rPr>
                    <w:t>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lang w:val="en-US" w:eastAsia="zh-CN"/>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w:t>
                  </w:r>
                  <w:r>
                    <w:rPr>
                      <w:rFonts w:hint="eastAsia" w:ascii="宋体" w:hAnsi="宋体" w:cs="宋体"/>
                      <w:kern w:val="0"/>
                      <w:szCs w:val="21"/>
                    </w:rPr>
                    <w:sym w:font="Wingdings" w:char="00FE"/>
                  </w:r>
                  <w:r>
                    <w:rPr>
                      <w:rFonts w:hint="eastAsia" w:ascii="宋体" w:hAnsi="宋体" w:cs="宋体"/>
                      <w:kern w:val="0"/>
                      <w:szCs w:val="21"/>
                    </w:rPr>
                    <w:t>否</w:t>
                  </w:r>
                  <w:r>
                    <w:rPr>
                      <w:rFonts w:hint="eastAsia" w:ascii="宋体" w:hAnsi="宋体" w:cs="宋体"/>
                      <w:kern w:val="0"/>
                      <w:szCs w:val="21"/>
                      <w:lang w:eastAsia="zh-CN"/>
                    </w:rPr>
                    <w:t>。</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lang w:val="en-US" w:eastAsia="zh-CN"/>
                    </w:rPr>
                    <w:t>10.</w:t>
                  </w:r>
                  <w:r>
                    <w:rPr>
                      <w:rFonts w:hint="eastAsia" w:ascii="宋体" w:hAnsi="宋体" w:cs="宋体"/>
                      <w:color w:val="FF0000"/>
                      <w:kern w:val="0"/>
                      <w:szCs w:val="21"/>
                    </w:rPr>
                    <w:t>本项目允许投标人将电梯维保工作分包：</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（1）若不分包，投标人须具有符合《中华人民共和国特种设备安全法》的电梯维修资质，提供证书扫描件。</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（2）若投标人选择分包的，分包承担主体不多于</w:t>
                  </w:r>
                  <w:r>
                    <w:rPr>
                      <w:rFonts w:hint="eastAsia" w:ascii="宋体" w:hAnsi="宋体" w:cs="宋体"/>
                      <w:color w:val="FF0000"/>
                      <w:kern w:val="0"/>
                      <w:szCs w:val="21"/>
                      <w:lang w:val="en-US" w:eastAsia="zh-CN"/>
                    </w:rPr>
                    <w:t>1</w:t>
                  </w:r>
                  <w:r>
                    <w:rPr>
                      <w:rFonts w:hint="eastAsia" w:ascii="宋体" w:hAnsi="宋体" w:cs="宋体"/>
                      <w:color w:val="FF0000"/>
                      <w:kern w:val="0"/>
                      <w:szCs w:val="21"/>
                    </w:rPr>
                    <w:t>家，且分包承担主体不得再次分包：</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①须提供《分包意向协议》（格式自拟，须载明分包承担主体且加盖投标人与各分包承担主体的公章）；</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②分包承担主体须具有符合《中华人民共和国特种设备安全法》的电梯维修资质，提供证书扫描件。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eastAsia="宋体"/>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r>
                    <w:rPr>
                      <w:rFonts w:hint="eastAsia" w:ascii="宋体" w:hAnsi="宋体"/>
                    </w:rPr>
                    <w:t>（2）供应商投标（上传投标文件）必须先行办理注册手续。</w:t>
                  </w:r>
                </w:p>
                <w:p>
                  <w:pPr>
                    <w:spacing w:beforeAutospacing="1" w:afterAutospacing="1"/>
                    <w:ind w:firstLine="442" w:firstLineChars="200"/>
                    <w:rPr>
                      <w:rFonts w:ascii="宋体" w:hAnsi="宋体" w:cs="宋体"/>
                      <w:sz w:val="24"/>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pPr>
              <w:rPr>
                <w:rFonts w:ascii="宋体" w:hAnsi="宋体" w:cs="宋体"/>
                <w:sz w:val="24"/>
              </w:rPr>
            </w:pPr>
          </w:p>
        </w:tc>
      </w:tr>
    </w:tbl>
    <w:p>
      <w:r>
        <w:rPr>
          <w:rFonts w:hint="eastAsia"/>
        </w:rPr>
        <w:br w:type="page"/>
      </w:r>
    </w:p>
    <w:p>
      <w:pPr>
        <w:pStyle w:val="6"/>
        <w:rPr>
          <w:sz w:val="28"/>
          <w:szCs w:val="28"/>
        </w:rPr>
      </w:pPr>
      <w:r>
        <w:rPr>
          <w:rFonts w:hint="eastAsia"/>
          <w:sz w:val="28"/>
          <w:szCs w:val="28"/>
        </w:rPr>
        <w:t>第二章 对通用条款的补充内容及其他关键信息</w:t>
      </w:r>
    </w:p>
    <w:p>
      <w:pPr>
        <w:pStyle w:val="6"/>
        <w:spacing w:before="120" w:beforeLines="50" w:after="120" w:afterLines="50"/>
        <w:rPr>
          <w:rFonts w:hint="eastAsia"/>
          <w:szCs w:val="21"/>
        </w:rPr>
      </w:pPr>
      <w:bookmarkStart w:id="39" w:name="_Toc73521547"/>
      <w:bookmarkStart w:id="40" w:name="_Toc73521635"/>
      <w:bookmarkStart w:id="41" w:name="_Toc60631620"/>
      <w:bookmarkStart w:id="42" w:name="_Toc73518117"/>
      <w:bookmarkStart w:id="43" w:name="_Toc73517639"/>
      <w:bookmarkStart w:id="44" w:name="_Toc101074876"/>
      <w:bookmarkStart w:id="45" w:name="_Toc60560625"/>
      <w:bookmarkStart w:id="46" w:name="_Toc100052364"/>
      <w:r>
        <w:rPr>
          <w:rFonts w:hint="eastAsia"/>
          <w:szCs w:val="24"/>
        </w:rPr>
        <w:t>一、对通用条款的补充内容</w:t>
      </w:r>
      <w:bookmarkEnd w:id="39"/>
      <w:bookmarkEnd w:id="40"/>
      <w:bookmarkEnd w:id="41"/>
      <w:bookmarkEnd w:id="42"/>
      <w:bookmarkEnd w:id="43"/>
      <w:bookmarkEnd w:id="44"/>
      <w:bookmarkEnd w:id="45"/>
      <w:bookmarkEnd w:id="46"/>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b/>
                <w:bCs/>
              </w:rPr>
            </w:pPr>
            <w:r>
              <w:rPr>
                <w:rFonts w:hint="eastAsia" w:ascii="宋体" w:hAnsi="宋体"/>
                <w:b/>
                <w:bCs/>
              </w:rPr>
              <w:t>通用条款序号</w:t>
            </w:r>
          </w:p>
        </w:tc>
        <w:tc>
          <w:tcPr>
            <w:tcW w:w="2409" w:type="dxa"/>
            <w:noWrap w:val="0"/>
            <w:vAlign w:val="center"/>
          </w:tcPr>
          <w:p>
            <w:pPr>
              <w:jc w:val="center"/>
              <w:rPr>
                <w:rFonts w:ascii="宋体" w:hAnsi="宋体"/>
                <w:b/>
                <w:bCs/>
              </w:rPr>
            </w:pPr>
            <w:r>
              <w:rPr>
                <w:rFonts w:hint="eastAsia" w:ascii="宋体" w:hAnsi="宋体"/>
                <w:b/>
                <w:bCs/>
              </w:rPr>
              <w:t>涉及事项</w:t>
            </w:r>
          </w:p>
        </w:tc>
        <w:tc>
          <w:tcPr>
            <w:tcW w:w="4980" w:type="dxa"/>
            <w:noWrap w:val="0"/>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.1</w:t>
            </w:r>
          </w:p>
        </w:tc>
        <w:tc>
          <w:tcPr>
            <w:tcW w:w="2409" w:type="dxa"/>
            <w:noWrap w:val="0"/>
            <w:vAlign w:val="center"/>
          </w:tcPr>
          <w:p>
            <w:pPr>
              <w:jc w:val="center"/>
            </w:pPr>
            <w:r>
              <w:rPr>
                <w:rFonts w:hint="eastAsia"/>
              </w:rPr>
              <w:t>采购人</w:t>
            </w:r>
          </w:p>
        </w:tc>
        <w:tc>
          <w:tcPr>
            <w:tcW w:w="4980" w:type="dxa"/>
            <w:noWrap w:val="0"/>
            <w:vAlign w:val="center"/>
          </w:tcPr>
          <w:p>
            <w:pPr>
              <w:spacing w:line="300" w:lineRule="exact"/>
              <w:jc w:val="center"/>
              <w:rPr>
                <w:rFonts w:ascii="宋体" w:hAnsi="宋体"/>
              </w:rPr>
            </w:pPr>
            <w:bookmarkStart w:id="47" w:name="OLE_LINK1"/>
            <w:r>
              <w:rPr>
                <w:rFonts w:hint="eastAsia"/>
                <w:u w:val="none"/>
              </w:rPr>
              <w:t>中华人民共和国皇岗出入境边防检查站</w:t>
            </w:r>
            <w:bookmarkEnd w:id="47"/>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.2</w:t>
            </w:r>
          </w:p>
        </w:tc>
        <w:tc>
          <w:tcPr>
            <w:tcW w:w="2409" w:type="dxa"/>
            <w:noWrap w:val="0"/>
            <w:vAlign w:val="center"/>
          </w:tcPr>
          <w:p>
            <w:pPr>
              <w:jc w:val="center"/>
              <w:rPr>
                <w:rFonts w:ascii="宋体" w:hAnsi="宋体"/>
              </w:rPr>
            </w:pPr>
            <w:r>
              <w:rPr>
                <w:rFonts w:hint="eastAsia" w:ascii="宋体" w:hAnsi="宋体"/>
              </w:rPr>
              <w:t>政府集中采购机构</w:t>
            </w:r>
          </w:p>
        </w:tc>
        <w:tc>
          <w:tcPr>
            <w:tcW w:w="4980" w:type="dxa"/>
            <w:noWrap w:val="0"/>
            <w:vAlign w:val="center"/>
          </w:tcPr>
          <w:p>
            <w:pPr>
              <w:spacing w:line="300" w:lineRule="exact"/>
              <w:jc w:val="center"/>
              <w:rPr>
                <w:rFonts w:ascii="宋体" w:hAnsi="宋体" w:cs="宋体"/>
                <w:szCs w:val="21"/>
              </w:rPr>
            </w:pPr>
            <w:r>
              <w:rPr>
                <w:rFonts w:hint="eastAsia" w:ascii="宋体" w:hAnsi="宋体" w:cs="宋体"/>
                <w:szCs w:val="21"/>
              </w:rPr>
              <w:t>深圳公共资源交易中心</w:t>
            </w:r>
          </w:p>
          <w:p>
            <w:pPr>
              <w:spacing w:line="300" w:lineRule="exact"/>
              <w:jc w:val="center"/>
              <w:rPr>
                <w:rFonts w:ascii="宋体" w:hAnsi="宋体"/>
              </w:rPr>
            </w:pPr>
            <w:r>
              <w:rPr>
                <w:rFonts w:hint="eastAsia" w:ascii="宋体" w:hAnsi="宋体" w:cs="宋体"/>
                <w:szCs w:val="21"/>
              </w:rPr>
              <w:t>（</w:t>
            </w:r>
            <w:r>
              <w:rPr>
                <w:rFonts w:hint="eastAsia" w:ascii="宋体" w:hAnsi="宋体" w:cs="宋体"/>
                <w:color w:val="0000FF"/>
                <w:szCs w:val="21"/>
              </w:rPr>
              <w:t>深圳交易集团有限公司福田分公司</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9</w:t>
            </w:r>
          </w:p>
        </w:tc>
        <w:tc>
          <w:tcPr>
            <w:tcW w:w="2409" w:type="dxa"/>
            <w:noWrap w:val="0"/>
            <w:vAlign w:val="center"/>
          </w:tcPr>
          <w:p>
            <w:pPr>
              <w:jc w:val="center"/>
              <w:rPr>
                <w:rFonts w:ascii="宋体" w:hAnsi="宋体"/>
              </w:rPr>
            </w:pPr>
            <w:r>
              <w:rPr>
                <w:rFonts w:hint="eastAsia" w:ascii="宋体" w:hAnsi="宋体"/>
              </w:rPr>
              <w:t>踏勘现场</w:t>
            </w:r>
          </w:p>
        </w:tc>
        <w:tc>
          <w:tcPr>
            <w:tcW w:w="4980" w:type="dxa"/>
            <w:noWrap w:val="0"/>
            <w:vAlign w:val="center"/>
          </w:tcPr>
          <w:p>
            <w:pPr>
              <w:spacing w:line="300" w:lineRule="exact"/>
              <w:jc w:val="center"/>
              <w:rPr>
                <w:rFonts w:ascii="宋体" w:hAnsi="宋体" w:cs="宋体"/>
                <w:szCs w:val="21"/>
              </w:rPr>
            </w:pPr>
            <w:r>
              <w:rPr>
                <w:rFonts w:hint="eastAsia" w:ascii="宋体" w:hAnsi="宋体" w:cs="宋体"/>
                <w:szCs w:val="21"/>
              </w:rPr>
              <w:sym w:font="Wingdings 2" w:char="0052"/>
            </w:r>
            <w:r>
              <w:rPr>
                <w:rFonts w:hint="eastAsia" w:ascii="宋体" w:hAnsi="宋体" w:cs="宋体"/>
                <w:szCs w:val="21"/>
              </w:rPr>
              <w:t xml:space="preserve">不组织   </w:t>
            </w:r>
            <w:r>
              <w:rPr>
                <w:rFonts w:hint="eastAsia" w:ascii="宋体" w:hAnsi="宋体" w:cs="宋体"/>
                <w:szCs w:val="21"/>
              </w:rPr>
              <w:sym w:font="Wingdings 2" w:char="00A3"/>
            </w:r>
            <w:r>
              <w:rPr>
                <w:rFonts w:hint="eastAsia" w:ascii="宋体" w:hAnsi="宋体" w:cs="宋体"/>
                <w:szCs w:val="21"/>
              </w:rPr>
              <w:t>组织</w:t>
            </w:r>
          </w:p>
          <w:p>
            <w:pPr>
              <w:spacing w:line="300" w:lineRule="exact"/>
              <w:jc w:val="center"/>
              <w:rPr>
                <w:rFonts w:ascii="宋体" w:hAnsi="宋体"/>
              </w:rPr>
            </w:pPr>
            <w:r>
              <w:rPr>
                <w:rFonts w:hint="eastAsia" w:ascii="宋体" w:hAnsi="宋体" w:cs="宋体"/>
                <w:szCs w:val="21"/>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1</w:t>
            </w:r>
            <w:r>
              <w:rPr>
                <w:rFonts w:ascii="宋体" w:hAnsi="宋体"/>
              </w:rPr>
              <w:t>0</w:t>
            </w:r>
          </w:p>
        </w:tc>
        <w:tc>
          <w:tcPr>
            <w:tcW w:w="2409" w:type="dxa"/>
            <w:noWrap w:val="0"/>
            <w:vAlign w:val="center"/>
          </w:tcPr>
          <w:p>
            <w:pPr>
              <w:jc w:val="center"/>
              <w:rPr>
                <w:rFonts w:ascii="宋体" w:hAnsi="宋体"/>
              </w:rPr>
            </w:pPr>
            <w:r>
              <w:rPr>
                <w:rFonts w:hint="eastAsia" w:ascii="宋体" w:hAnsi="宋体"/>
              </w:rPr>
              <w:t>标前会议</w:t>
            </w:r>
          </w:p>
        </w:tc>
        <w:tc>
          <w:tcPr>
            <w:tcW w:w="4980" w:type="dxa"/>
            <w:noWrap w:val="0"/>
            <w:vAlign w:val="center"/>
          </w:tcPr>
          <w:p>
            <w:pPr>
              <w:spacing w:line="300" w:lineRule="exact"/>
              <w:jc w:val="center"/>
              <w:rPr>
                <w:rFonts w:ascii="宋体" w:hAnsi="宋体" w:cs="宋体"/>
                <w:szCs w:val="21"/>
              </w:rPr>
            </w:pPr>
            <w:r>
              <w:rPr>
                <w:rFonts w:hint="eastAsia" w:ascii="宋体" w:hAnsi="宋体" w:cs="宋体"/>
                <w:szCs w:val="21"/>
              </w:rPr>
              <w:sym w:font="Wingdings 2" w:char="0052"/>
            </w:r>
            <w:r>
              <w:rPr>
                <w:rFonts w:hint="eastAsia" w:ascii="宋体" w:hAnsi="宋体" w:cs="宋体"/>
                <w:szCs w:val="21"/>
              </w:rPr>
              <w:t xml:space="preserve">不组织   </w:t>
            </w:r>
            <w:r>
              <w:rPr>
                <w:rFonts w:hint="eastAsia" w:ascii="宋体" w:hAnsi="宋体" w:cs="宋体"/>
                <w:szCs w:val="21"/>
              </w:rPr>
              <w:sym w:font="Wingdings 2" w:char="00A3"/>
            </w:r>
            <w:r>
              <w:rPr>
                <w:rFonts w:hint="eastAsia" w:ascii="宋体" w:hAnsi="宋体" w:cs="宋体"/>
                <w:szCs w:val="21"/>
              </w:rPr>
              <w:t>组织</w:t>
            </w:r>
          </w:p>
          <w:p>
            <w:pPr>
              <w:spacing w:line="300" w:lineRule="exact"/>
              <w:jc w:val="center"/>
              <w:rPr>
                <w:rFonts w:ascii="宋体" w:hAnsi="宋体"/>
              </w:rPr>
            </w:pPr>
            <w:r>
              <w:rPr>
                <w:rFonts w:hint="eastAsia" w:ascii="宋体" w:hAnsi="宋体" w:cs="宋体"/>
                <w:szCs w:val="21"/>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noWrap w:val="0"/>
            <w:vAlign w:val="center"/>
          </w:tcPr>
          <w:p>
            <w:pPr>
              <w:jc w:val="center"/>
              <w:rPr>
                <w:rFonts w:ascii="宋体" w:hAnsi="宋体"/>
              </w:rPr>
            </w:pPr>
            <w:r>
              <w:rPr>
                <w:rFonts w:hint="eastAsia" w:ascii="宋体" w:hAnsi="宋体"/>
              </w:rPr>
              <w:t>招标文件的澄清和修改</w:t>
            </w:r>
          </w:p>
        </w:tc>
        <w:tc>
          <w:tcPr>
            <w:tcW w:w="4980" w:type="dxa"/>
            <w:noWrap w:val="0"/>
            <w:vAlign w:val="center"/>
          </w:tcPr>
          <w:p>
            <w:pPr>
              <w:spacing w:line="300" w:lineRule="exact"/>
              <w:jc w:val="left"/>
              <w:rPr>
                <w:rFonts w:ascii="宋体" w:hAnsi="宋体"/>
              </w:rPr>
            </w:pPr>
            <w:r>
              <w:rPr>
                <w:rFonts w:hint="eastAsia" w:ascii="宋体" w:hAnsi="宋体" w:cs="宋体"/>
                <w:szCs w:val="21"/>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0</w:t>
            </w:r>
          </w:p>
        </w:tc>
        <w:tc>
          <w:tcPr>
            <w:tcW w:w="2409" w:type="dxa"/>
            <w:noWrap w:val="0"/>
            <w:vAlign w:val="center"/>
          </w:tcPr>
          <w:p>
            <w:pPr>
              <w:jc w:val="center"/>
              <w:rPr>
                <w:rFonts w:ascii="宋体" w:hAnsi="宋体"/>
              </w:rPr>
            </w:pPr>
            <w:r>
              <w:rPr>
                <w:rFonts w:hint="eastAsia" w:ascii="宋体" w:hAnsi="宋体"/>
              </w:rPr>
              <w:t>投标有效期</w:t>
            </w:r>
          </w:p>
        </w:tc>
        <w:tc>
          <w:tcPr>
            <w:tcW w:w="4980" w:type="dxa"/>
            <w:noWrap w:val="0"/>
            <w:vAlign w:val="center"/>
          </w:tcPr>
          <w:p>
            <w:pPr>
              <w:spacing w:line="300" w:lineRule="exact"/>
              <w:jc w:val="center"/>
              <w:rPr>
                <w:rFonts w:ascii="宋体" w:hAnsi="宋体"/>
              </w:rPr>
            </w:pPr>
            <w:r>
              <w:rPr>
                <w:rFonts w:hint="eastAsia" w:ascii="宋体" w:hAnsi="宋体" w:cs="宋体"/>
                <w:szCs w:val="21"/>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2</w:t>
            </w:r>
          </w:p>
        </w:tc>
        <w:tc>
          <w:tcPr>
            <w:tcW w:w="2409" w:type="dxa"/>
            <w:noWrap w:val="0"/>
            <w:vAlign w:val="center"/>
          </w:tcPr>
          <w:p>
            <w:pPr>
              <w:jc w:val="center"/>
              <w:rPr>
                <w:rFonts w:ascii="宋体" w:hAnsi="宋体"/>
              </w:rPr>
            </w:pPr>
            <w:r>
              <w:rPr>
                <w:rFonts w:hint="eastAsia" w:ascii="宋体" w:hAnsi="宋体"/>
              </w:rPr>
              <w:t>投标人的替代方案</w:t>
            </w:r>
          </w:p>
        </w:tc>
        <w:tc>
          <w:tcPr>
            <w:tcW w:w="4980" w:type="dxa"/>
            <w:noWrap w:val="0"/>
            <w:vAlign w:val="center"/>
          </w:tcPr>
          <w:p>
            <w:pPr>
              <w:spacing w:line="300" w:lineRule="exact"/>
              <w:jc w:val="center"/>
              <w:rPr>
                <w:rFonts w:ascii="宋体" w:hAnsi="宋体"/>
              </w:rPr>
            </w:pPr>
            <w:r>
              <w:rPr>
                <w:rFonts w:hint="eastAsia" w:ascii="宋体" w:hAnsi="宋体" w:cs="宋体"/>
                <w:szCs w:val="21"/>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5</w:t>
            </w:r>
          </w:p>
        </w:tc>
        <w:tc>
          <w:tcPr>
            <w:tcW w:w="2409" w:type="dxa"/>
            <w:noWrap w:val="0"/>
            <w:vAlign w:val="center"/>
          </w:tcPr>
          <w:p>
            <w:pPr>
              <w:jc w:val="center"/>
              <w:rPr>
                <w:rFonts w:ascii="宋体" w:hAnsi="宋体"/>
              </w:rPr>
            </w:pPr>
            <w:r>
              <w:rPr>
                <w:rFonts w:hint="eastAsia" w:ascii="宋体" w:hAnsi="宋体"/>
              </w:rPr>
              <w:t>投标文件的大小</w:t>
            </w:r>
          </w:p>
        </w:tc>
        <w:tc>
          <w:tcPr>
            <w:tcW w:w="4980" w:type="dxa"/>
            <w:noWrap w:val="0"/>
            <w:vAlign w:val="center"/>
          </w:tcPr>
          <w:p>
            <w:pPr>
              <w:spacing w:line="300" w:lineRule="exact"/>
              <w:jc w:val="center"/>
              <w:rPr>
                <w:rFonts w:ascii="宋体" w:hAnsi="宋体"/>
              </w:rPr>
            </w:pPr>
            <w:r>
              <w:rPr>
                <w:rFonts w:hint="eastAsia" w:ascii="宋体" w:hAnsi="宋体" w:cs="宋体"/>
                <w:szCs w:val="21"/>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6</w:t>
            </w:r>
          </w:p>
        </w:tc>
        <w:tc>
          <w:tcPr>
            <w:tcW w:w="2409" w:type="dxa"/>
            <w:noWrap w:val="0"/>
            <w:vAlign w:val="center"/>
          </w:tcPr>
          <w:p>
            <w:pPr>
              <w:jc w:val="center"/>
              <w:rPr>
                <w:rFonts w:ascii="宋体" w:hAnsi="宋体"/>
              </w:rPr>
            </w:pPr>
            <w:r>
              <w:rPr>
                <w:rFonts w:hint="eastAsia" w:ascii="宋体" w:hAnsi="宋体"/>
              </w:rPr>
              <w:t>样品、现场演示、方案讲解</w:t>
            </w:r>
          </w:p>
        </w:tc>
        <w:tc>
          <w:tcPr>
            <w:tcW w:w="4980" w:type="dxa"/>
            <w:noWrap w:val="0"/>
            <w:vAlign w:val="center"/>
          </w:tcPr>
          <w:p>
            <w:pPr>
              <w:spacing w:line="300" w:lineRule="exact"/>
              <w:jc w:val="left"/>
              <w:rPr>
                <w:rFonts w:ascii="宋体" w:hAnsi="宋体"/>
              </w:rPr>
            </w:pPr>
            <w:r>
              <w:rPr>
                <w:rFonts w:hint="eastAsia" w:ascii="宋体" w:hAnsi="宋体" w:cs="宋体"/>
                <w:szCs w:val="21"/>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7</w:t>
            </w:r>
          </w:p>
        </w:tc>
        <w:tc>
          <w:tcPr>
            <w:tcW w:w="2409" w:type="dxa"/>
            <w:noWrap w:val="0"/>
            <w:vAlign w:val="center"/>
          </w:tcPr>
          <w:p>
            <w:pPr>
              <w:jc w:val="center"/>
              <w:rPr>
                <w:rFonts w:ascii="宋体" w:hAnsi="宋体"/>
              </w:rPr>
            </w:pPr>
            <w:r>
              <w:rPr>
                <w:rFonts w:hint="eastAsia" w:ascii="宋体" w:hAnsi="宋体"/>
              </w:rPr>
              <w:t>评审方法</w:t>
            </w:r>
          </w:p>
        </w:tc>
        <w:tc>
          <w:tcPr>
            <w:tcW w:w="4980" w:type="dxa"/>
            <w:noWrap w:val="0"/>
            <w:vAlign w:val="center"/>
          </w:tcPr>
          <w:p>
            <w:pPr>
              <w:spacing w:line="300" w:lineRule="exact"/>
              <w:jc w:val="left"/>
              <w:rPr>
                <w:rFonts w:ascii="宋体" w:hAnsi="宋体" w:cs="宋体"/>
                <w:bCs/>
                <w:szCs w:val="21"/>
              </w:rPr>
            </w:pPr>
            <w:r>
              <w:rPr>
                <w:rFonts w:hint="eastAsia" w:ascii="宋体" w:hAnsi="宋体" w:cs="宋体"/>
                <w:bCs/>
                <w:szCs w:val="21"/>
              </w:rPr>
              <w:t>□ 最低价法</w:t>
            </w:r>
          </w:p>
          <w:p>
            <w:pPr>
              <w:spacing w:line="300" w:lineRule="exact"/>
              <w:jc w:val="left"/>
              <w:rPr>
                <w:rFonts w:ascii="宋体" w:hAnsi="宋体"/>
              </w:rPr>
            </w:pPr>
            <w:r>
              <w:rPr>
                <w:rFonts w:hint="eastAsia" w:ascii="宋体" w:hAnsi="宋体" w:cs="宋体"/>
                <w:bCs/>
                <w:szCs w:val="21"/>
              </w:rPr>
              <w:sym w:font="Wingdings 2" w:char="0052"/>
            </w:r>
            <w:r>
              <w:rPr>
                <w:rFonts w:hint="eastAsia" w:ascii="宋体" w:hAnsi="宋体" w:cs="宋体"/>
                <w:bCs/>
                <w:szCs w:val="21"/>
              </w:rPr>
              <w:t xml:space="preserve"> 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Merge w:val="restart"/>
            <w:noWrap w:val="0"/>
            <w:vAlign w:val="center"/>
          </w:tcPr>
          <w:p>
            <w:pPr>
              <w:jc w:val="center"/>
              <w:rPr>
                <w:rFonts w:ascii="宋体" w:hAnsi="宋体"/>
              </w:rPr>
            </w:pPr>
            <w:r>
              <w:rPr>
                <w:rFonts w:hint="eastAsia" w:ascii="宋体" w:hAnsi="宋体"/>
              </w:rPr>
              <w:t>3</w:t>
            </w:r>
            <w:r>
              <w:rPr>
                <w:rFonts w:ascii="宋体" w:hAnsi="宋体"/>
              </w:rPr>
              <w:t>8</w:t>
            </w:r>
          </w:p>
        </w:tc>
        <w:tc>
          <w:tcPr>
            <w:tcW w:w="2409" w:type="dxa"/>
            <w:vMerge w:val="restart"/>
            <w:noWrap w:val="0"/>
            <w:vAlign w:val="center"/>
          </w:tcPr>
          <w:p>
            <w:pPr>
              <w:jc w:val="center"/>
              <w:rPr>
                <w:rFonts w:ascii="宋体" w:hAnsi="宋体"/>
              </w:rPr>
            </w:pPr>
            <w:r>
              <w:rPr>
                <w:rFonts w:hint="eastAsia" w:ascii="宋体" w:hAnsi="宋体"/>
              </w:rPr>
              <w:t>定标方法</w:t>
            </w:r>
          </w:p>
        </w:tc>
        <w:tc>
          <w:tcPr>
            <w:tcW w:w="4980" w:type="dxa"/>
            <w:noWrap w:val="0"/>
            <w:vAlign w:val="center"/>
          </w:tcPr>
          <w:p>
            <w:pPr>
              <w:spacing w:line="300" w:lineRule="exact"/>
              <w:jc w:val="left"/>
              <w:rPr>
                <w:rFonts w:ascii="宋体" w:hAnsi="宋体"/>
                <w:highlight w:val="none"/>
              </w:rPr>
            </w:pPr>
            <w:r>
              <w:rPr>
                <w:rFonts w:hint="eastAsia" w:ascii="宋体" w:hAnsi="宋体" w:cs="宋体"/>
                <w:bCs/>
                <w:szCs w:val="21"/>
                <w:highlight w:val="none"/>
              </w:rPr>
              <w:sym w:font="Wingdings 2" w:char="0052"/>
            </w:r>
            <w:r>
              <w:rPr>
                <w:rFonts w:hint="eastAsia" w:ascii="宋体" w:hAnsi="宋体" w:cs="宋体"/>
                <w:bCs/>
                <w:szCs w:val="21"/>
                <w:highlight w:val="none"/>
              </w:rPr>
              <w:t xml:space="preserve"> 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Merge w:val="continue"/>
            <w:noWrap w:val="0"/>
            <w:vAlign w:val="center"/>
          </w:tcPr>
          <w:p>
            <w:pPr>
              <w:jc w:val="center"/>
              <w:rPr>
                <w:rFonts w:hint="eastAsia" w:ascii="宋体" w:hAnsi="宋体"/>
              </w:rPr>
            </w:pPr>
          </w:p>
        </w:tc>
        <w:tc>
          <w:tcPr>
            <w:tcW w:w="2409" w:type="dxa"/>
            <w:vMerge w:val="continue"/>
            <w:noWrap w:val="0"/>
            <w:vAlign w:val="center"/>
          </w:tcPr>
          <w:p>
            <w:pPr>
              <w:jc w:val="center"/>
              <w:rPr>
                <w:rFonts w:hint="eastAsia" w:ascii="宋体" w:hAnsi="宋体"/>
              </w:rPr>
            </w:pPr>
          </w:p>
        </w:tc>
        <w:tc>
          <w:tcPr>
            <w:tcW w:w="4980" w:type="dxa"/>
            <w:noWrap w:val="0"/>
            <w:vAlign w:val="center"/>
          </w:tcPr>
          <w:p>
            <w:pPr>
              <w:spacing w:line="300" w:lineRule="exact"/>
              <w:jc w:val="left"/>
              <w:rPr>
                <w:rFonts w:ascii="宋体" w:hAnsi="宋体" w:cs="宋体"/>
                <w:bCs/>
                <w:szCs w:val="21"/>
                <w:highlight w:val="none"/>
              </w:rPr>
            </w:pPr>
            <w:r>
              <w:rPr>
                <w:rFonts w:hint="eastAsia" w:ascii="宋体" w:hAnsi="宋体" w:cs="宋体"/>
                <w:bCs/>
                <w:szCs w:val="21"/>
                <w:highlight w:val="none"/>
              </w:rPr>
              <w:t>□ 评定分离</w:t>
            </w:r>
          </w:p>
          <w:p>
            <w:pPr>
              <w:spacing w:line="300" w:lineRule="exact"/>
              <w:jc w:val="left"/>
              <w:rPr>
                <w:rFonts w:hint="eastAsia" w:ascii="宋体" w:hAnsi="宋体"/>
                <w:highlight w:val="none"/>
              </w:rPr>
            </w:pPr>
            <w:r>
              <w:rPr>
                <w:rFonts w:hint="eastAsia" w:ascii="宋体" w:hAnsi="宋体" w:cs="宋体"/>
                <w:bCs/>
                <w:color w:val="000000"/>
                <w:szCs w:val="21"/>
                <w:highlight w:val="none"/>
              </w:rPr>
              <w:t>本项目推荐的候选中标供应商进行/不进行排名，且中标（成交）结果信息公示内容仅公示候选中标供应商名单，不公示得分和排名。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Merge w:val="restart"/>
            <w:noWrap w:val="0"/>
            <w:vAlign w:val="center"/>
          </w:tcPr>
          <w:p>
            <w:pPr>
              <w:jc w:val="center"/>
              <w:rPr>
                <w:rFonts w:ascii="宋体" w:hAnsi="宋体"/>
              </w:rPr>
            </w:pPr>
            <w:r>
              <w:rPr>
                <w:rFonts w:hint="eastAsia" w:ascii="宋体" w:hAnsi="宋体"/>
              </w:rPr>
              <w:t>4</w:t>
            </w:r>
            <w:r>
              <w:rPr>
                <w:rFonts w:ascii="宋体" w:hAnsi="宋体"/>
              </w:rPr>
              <w:t>6</w:t>
            </w:r>
          </w:p>
        </w:tc>
        <w:tc>
          <w:tcPr>
            <w:tcW w:w="2409" w:type="dxa"/>
            <w:vMerge w:val="restart"/>
            <w:noWrap w:val="0"/>
            <w:vAlign w:val="center"/>
          </w:tcPr>
          <w:p>
            <w:pPr>
              <w:jc w:val="center"/>
              <w:rPr>
                <w:rFonts w:ascii="宋体" w:hAnsi="宋体"/>
              </w:rPr>
            </w:pPr>
            <w:r>
              <w:rPr>
                <w:rFonts w:hint="eastAsia" w:ascii="宋体" w:hAnsi="宋体"/>
              </w:rPr>
              <w:t>履约担保</w:t>
            </w:r>
          </w:p>
        </w:tc>
        <w:tc>
          <w:tcPr>
            <w:tcW w:w="4980" w:type="dxa"/>
            <w:noWrap w:val="0"/>
            <w:vAlign w:val="center"/>
          </w:tcPr>
          <w:p>
            <w:pPr>
              <w:spacing w:line="300" w:lineRule="exact"/>
              <w:jc w:val="left"/>
              <w:rPr>
                <w:rFonts w:ascii="宋体" w:hAnsi="宋体"/>
              </w:rPr>
            </w:pPr>
            <w:r>
              <w:rPr>
                <w:rFonts w:ascii="宋体" w:hAnsi="宋体" w:cs="宋体"/>
                <w:bCs/>
                <w:szCs w:val="21"/>
              </w:rPr>
              <w:sym w:font="Wingdings 2" w:char="F052"/>
            </w:r>
            <w:r>
              <w:rPr>
                <w:rFonts w:hint="eastAsia" w:ascii="宋体" w:hAnsi="宋体" w:cs="宋体"/>
                <w:bCs/>
                <w:szCs w:val="21"/>
              </w:rPr>
              <w:t xml:space="preserve"> 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Merge w:val="continue"/>
            <w:noWrap w:val="0"/>
            <w:vAlign w:val="center"/>
          </w:tcPr>
          <w:p>
            <w:pPr>
              <w:jc w:val="center"/>
              <w:rPr>
                <w:rFonts w:hint="eastAsia" w:ascii="宋体" w:hAnsi="宋体"/>
              </w:rPr>
            </w:pPr>
          </w:p>
        </w:tc>
        <w:tc>
          <w:tcPr>
            <w:tcW w:w="2409" w:type="dxa"/>
            <w:vMerge w:val="continue"/>
            <w:noWrap w:val="0"/>
            <w:vAlign w:val="center"/>
          </w:tcPr>
          <w:p>
            <w:pPr>
              <w:jc w:val="center"/>
              <w:rPr>
                <w:rFonts w:hint="eastAsia" w:ascii="宋体" w:hAnsi="宋体"/>
              </w:rPr>
            </w:pPr>
          </w:p>
        </w:tc>
        <w:tc>
          <w:tcPr>
            <w:tcW w:w="4980" w:type="dxa"/>
            <w:noWrap w:val="0"/>
            <w:vAlign w:val="center"/>
          </w:tcPr>
          <w:p>
            <w:pPr>
              <w:spacing w:line="300" w:lineRule="exact"/>
              <w:jc w:val="left"/>
              <w:rPr>
                <w:rFonts w:hint="eastAsia" w:ascii="宋体" w:hAnsi="宋体"/>
                <w:highlight w:val="none"/>
              </w:rPr>
            </w:pPr>
            <w:r>
              <w:rPr>
                <w:rFonts w:hint="eastAsia" w:ascii="宋体" w:hAnsi="宋体" w:cs="宋体"/>
                <w:bCs/>
                <w:szCs w:val="21"/>
                <w:highlight w:val="none"/>
              </w:rPr>
              <w:t>□</w:t>
            </w:r>
            <w:r>
              <w:rPr>
                <w:rFonts w:hint="eastAsia" w:ascii="宋体" w:hAnsi="宋体" w:cs="宋体"/>
                <w:szCs w:val="21"/>
                <w:highlight w:val="none"/>
              </w:rPr>
              <w:t xml:space="preserve"> </w:t>
            </w:r>
            <w:r>
              <w:rPr>
                <w:rFonts w:hint="eastAsia" w:ascii="宋体" w:hAnsi="宋体" w:cs="宋体"/>
                <w:color w:val="000000"/>
                <w:szCs w:val="21"/>
                <w:highlight w:val="none"/>
              </w:rPr>
              <w:t>需要，合同金额的</w:t>
            </w:r>
            <w:r>
              <w:rPr>
                <w:rFonts w:hint="eastAsia" w:ascii="宋体" w:hAnsi="宋体" w:cs="宋体"/>
                <w:color w:val="000000"/>
                <w:szCs w:val="21"/>
                <w:highlight w:val="none"/>
                <w:u w:val="single"/>
              </w:rPr>
              <w:t xml:space="preserve">  %（</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w:t>
            </w:r>
            <w:r>
              <w:rPr>
                <w:rFonts w:hint="eastAsia" w:ascii="宋体" w:hAnsi="宋体" w:cs="宋体"/>
                <w:color w:val="000000"/>
                <w:szCs w:val="21"/>
                <w:highlight w:val="none"/>
                <w:u w:val="single"/>
              </w:rPr>
              <w:t>）</w:t>
            </w:r>
            <w:r>
              <w:rPr>
                <w:rFonts w:hint="eastAsia" w:ascii="宋体" w:hAnsi="宋体" w:cs="宋体"/>
                <w:color w:val="000000"/>
                <w:szCs w:val="21"/>
                <w:highlight w:val="none"/>
              </w:rPr>
              <w:t>，投标供应商自主选择以支票、汇票、本票、保函等非现金形式缴纳或提交。履约保证金在中标人履行完成合同约定权利义务事项在合同期满之日起</w:t>
            </w:r>
            <w:r>
              <w:rPr>
                <w:rFonts w:hint="eastAsia" w:ascii="宋体" w:hAnsi="宋体" w:cs="宋体"/>
                <w:color w:val="000000"/>
                <w:szCs w:val="21"/>
                <w:highlight w:val="none"/>
                <w:u w:val="single"/>
              </w:rPr>
              <w:t xml:space="preserve">    日</w:t>
            </w:r>
            <w:r>
              <w:rPr>
                <w:rFonts w:hint="eastAsia" w:ascii="宋体" w:hAnsi="宋体" w:cs="宋体"/>
                <w:color w:val="000000"/>
                <w:szCs w:val="21"/>
                <w:highlight w:val="none"/>
              </w:rPr>
              <w:t>内按原方式退还，不计利息。采购人逾期退还履约保证金的，向中标人每日偿付履约保证金的</w:t>
            </w:r>
            <w:r>
              <w:rPr>
                <w:rFonts w:hint="eastAsia" w:ascii="宋体" w:hAnsi="宋体" w:cs="宋体"/>
                <w:color w:val="000000"/>
                <w:szCs w:val="21"/>
                <w:highlight w:val="none"/>
                <w:u w:val="single"/>
              </w:rPr>
              <w:t>0.5‰</w:t>
            </w:r>
            <w:r>
              <w:rPr>
                <w:rFonts w:hint="eastAsia" w:ascii="宋体" w:hAnsi="宋体" w:cs="宋体"/>
                <w:color w:val="000000"/>
                <w:szCs w:val="21"/>
                <w:highlight w:val="none"/>
              </w:rPr>
              <w:t>的利息。因中标人原因而未能达到本项目验收标准或验收不通过的，履约保证金不予退还。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cs="宋体"/>
              </w:rPr>
              <w:t>52.8</w:t>
            </w:r>
          </w:p>
        </w:tc>
        <w:tc>
          <w:tcPr>
            <w:tcW w:w="2409" w:type="dxa"/>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cs="宋体"/>
              </w:rPr>
              <w:t>投诉</w:t>
            </w:r>
          </w:p>
        </w:tc>
        <w:tc>
          <w:tcPr>
            <w:tcW w:w="4980" w:type="dxa"/>
            <w:noWrap w:val="0"/>
            <w:vAlign w:val="center"/>
          </w:tcPr>
          <w:p>
            <w:pPr>
              <w:jc w:val="left"/>
              <w:rPr>
                <w:rFonts w:hint="eastAsia" w:ascii="宋体" w:hAnsi="宋体" w:eastAsia="宋体" w:cs="宋体"/>
                <w:bCs/>
                <w:kern w:val="2"/>
                <w:sz w:val="21"/>
                <w:szCs w:val="21"/>
                <w:lang w:val="en-US" w:eastAsia="zh-CN" w:bidi="ar-SA"/>
              </w:rPr>
            </w:pPr>
            <w:r>
              <w:rPr>
                <w:rFonts w:hint="eastAsia" w:ascii="宋体" w:hAnsi="宋体" w:cs="宋体"/>
                <w:color w:val="0000FF"/>
              </w:rPr>
              <w:t>本项目为自行采购项目，提出质疑的供应商对质疑答复不满意或者未在规定时间内答复的，可以在答复期满后7个工作日内向采购人投诉。</w:t>
            </w:r>
          </w:p>
        </w:tc>
      </w:tr>
    </w:tbl>
    <w:p>
      <w:pPr>
        <w:pStyle w:val="37"/>
        <w:rPr>
          <w:rFonts w:hint="eastAsia"/>
        </w:rPr>
      </w:pPr>
    </w:p>
    <w:p>
      <w:pPr>
        <w:rPr>
          <w:b/>
        </w:rPr>
      </w:pPr>
      <w:r>
        <w:rPr>
          <w:rFonts w:hint="eastAsia"/>
          <w:szCs w:val="21"/>
        </w:rPr>
        <w:t>备注：本表是通用条款相关条款的补充和明确，如与通用条款内容相冲突的，以本表为准。</w:t>
      </w:r>
    </w:p>
    <w:p>
      <w:pPr>
        <w:rPr>
          <w:b/>
        </w:rPr>
      </w:pPr>
    </w:p>
    <w:p>
      <w:pPr>
        <w:pStyle w:val="6"/>
        <w:spacing w:before="120" w:beforeLines="50" w:after="120" w:afterLines="50"/>
        <w:rPr>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ascii="宋体" w:hAnsi="宋体" w:eastAsia="宋体"/>
          <w:b/>
          <w:kern w:val="0"/>
          <w:szCs w:val="20"/>
        </w:rPr>
      </w:pPr>
      <w:bookmarkStart w:id="48" w:name="_Hlk72579465"/>
      <w:r>
        <w:rPr>
          <w:rFonts w:hint="eastAsia" w:ascii="宋体" w:hAnsi="宋体" w:eastAsia="宋体"/>
          <w:b/>
          <w:kern w:val="0"/>
          <w:szCs w:val="20"/>
        </w:rPr>
        <w:t>1</w:t>
      </w:r>
      <w:r>
        <w:rPr>
          <w:rFonts w:hint="eastAsia" w:ascii="宋体" w:hAnsi="宋体" w:eastAsia="宋体"/>
          <w:b/>
          <w:kern w:val="0"/>
          <w:szCs w:val="20"/>
          <w:lang w:val="en-US" w:eastAsia="zh-CN"/>
        </w:rPr>
        <w:t>.</w:t>
      </w:r>
      <w:r>
        <w:rPr>
          <w:rFonts w:hint="eastAsia" w:ascii="宋体" w:hAnsi="宋体" w:eastAsia="宋体"/>
          <w:b/>
          <w:kern w:val="0"/>
          <w:szCs w:val="20"/>
        </w:rPr>
        <w:t>评标定标信息</w:t>
      </w:r>
    </w:p>
    <w:bookmarkEnd w:id="48"/>
    <w:p>
      <w:pPr>
        <w:jc w:val="center"/>
      </w:pPr>
      <w:r>
        <w:rPr>
          <w:rFonts w:hint="eastAsia"/>
          <w:b/>
        </w:rPr>
        <w:t>非评定分离项目</w:t>
      </w:r>
    </w:p>
    <w:tbl>
      <w:tblPr>
        <w:tblStyle w:val="44"/>
        <w:tblW w:w="6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noWrap w:val="0"/>
            <w:vAlign w:val="top"/>
          </w:tcPr>
          <w:p>
            <w:pPr>
              <w:jc w:val="center"/>
            </w:pPr>
            <w:r>
              <w:rPr>
                <w:rFonts w:hint="eastAsia"/>
              </w:rPr>
              <w:t>评标方法</w:t>
            </w:r>
          </w:p>
        </w:tc>
        <w:tc>
          <w:tcPr>
            <w:tcW w:w="3235" w:type="dxa"/>
            <w:noWrap w:val="0"/>
            <w:vAlign w:val="top"/>
          </w:tcPr>
          <w:p>
            <w:pPr>
              <w:jc w:val="center"/>
              <w:rPr>
                <w:rFonts w:hint="default" w:eastAsia="宋体"/>
                <w:lang w:val="en-US" w:eastAsia="zh-CN"/>
              </w:rP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noWrap w:val="0"/>
            <w:vAlign w:val="top"/>
          </w:tcPr>
          <w:p>
            <w:pPr>
              <w:jc w:val="center"/>
            </w:pPr>
            <w:r>
              <w:rPr>
                <w:rFonts w:hint="eastAsia"/>
              </w:rPr>
              <w:t>候选中标供应商家数</w:t>
            </w:r>
          </w:p>
        </w:tc>
        <w:tc>
          <w:tcPr>
            <w:tcW w:w="3235" w:type="dxa"/>
            <w:noWrap w:val="0"/>
            <w:vAlign w:val="top"/>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4" w:type="dxa"/>
            <w:noWrap w:val="0"/>
            <w:vAlign w:val="top"/>
          </w:tcPr>
          <w:p>
            <w:pPr>
              <w:jc w:val="center"/>
            </w:pPr>
            <w:r>
              <w:rPr>
                <w:rFonts w:hint="eastAsia"/>
              </w:rPr>
              <w:t>中标供应商家数</w:t>
            </w:r>
          </w:p>
        </w:tc>
        <w:tc>
          <w:tcPr>
            <w:tcW w:w="3235" w:type="dxa"/>
            <w:noWrap w:val="0"/>
            <w:vAlign w:val="top"/>
          </w:tcPr>
          <w:p>
            <w:pPr>
              <w:jc w:val="center"/>
            </w:pPr>
            <w:r>
              <w:rPr>
                <w:rFonts w:hint="eastAsia"/>
              </w:rPr>
              <w:t>1</w:t>
            </w:r>
          </w:p>
        </w:tc>
      </w:tr>
    </w:tbl>
    <w:p>
      <w:pPr>
        <w:pStyle w:val="37"/>
      </w:pPr>
    </w:p>
    <w:p>
      <w:pPr>
        <w:ind w:firstLine="422" w:firstLineChars="200"/>
        <w:rPr>
          <w:rFonts w:hint="eastAsia"/>
          <w:b/>
        </w:rPr>
      </w:pPr>
    </w:p>
    <w:p>
      <w:pPr>
        <w:rPr>
          <w:rFonts w:hint="eastAsia"/>
          <w:b/>
        </w:rPr>
      </w:pPr>
    </w:p>
    <w:p>
      <w:pPr>
        <w:ind w:firstLine="422" w:firstLineChars="200"/>
        <w:rPr>
          <w:rFonts w:hint="eastAsia"/>
          <w:b/>
        </w:rPr>
      </w:pPr>
    </w:p>
    <w:p>
      <w:pPr>
        <w:ind w:firstLine="422" w:firstLineChars="200"/>
        <w:rPr>
          <w:b/>
        </w:rPr>
      </w:pPr>
      <w:r>
        <w:rPr>
          <w:rFonts w:hint="eastAsia"/>
          <w:b/>
        </w:rPr>
        <w:t>（二）其他事项</w:t>
      </w:r>
    </w:p>
    <w:p>
      <w:pPr>
        <w:ind w:firstLine="422" w:firstLineChars="200"/>
        <w:rPr>
          <w:rFonts w:hint="default" w:eastAsia="宋体"/>
          <w:b/>
          <w:bCs/>
          <w:lang w:val="en-US" w:eastAsia="zh-CN"/>
        </w:rPr>
      </w:pPr>
      <w:r>
        <w:rPr>
          <w:b/>
          <w:bCs/>
        </w:rPr>
        <w:t>1</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：供应商</w:t>
      </w:r>
      <w:r>
        <w:rPr>
          <w:rFonts w:hint="eastAsia"/>
        </w:rPr>
        <w:t>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eastAsia="宋体"/>
          <w:color w:val="000000"/>
          <w:u w:val="none"/>
          <w:lang w:eastAsia="zh-CN"/>
        </w:rPr>
        <w:t>（</w:t>
      </w:r>
      <w:r>
        <w:rPr>
          <w:rFonts w:hint="eastAsia" w:ascii="Times New Roman" w:eastAsia="宋体"/>
          <w:color w:val="000000"/>
          <w:u w:val="none"/>
          <w:lang w:val="en-US" w:eastAsia="zh-CN"/>
        </w:rPr>
        <w:t>10%~20%</w:t>
      </w:r>
      <w:r>
        <w:rPr>
          <w:rFonts w:hint="eastAsia" w:eastAsia="宋体"/>
          <w:color w:val="000000"/>
          <w:u w:val="none"/>
          <w:lang w:eastAsia="zh-CN"/>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bookmarkStart w:id="49" w:name="_Hlk71970739"/>
      <w:r>
        <w:rPr>
          <w:rFonts w:hint="eastAsia" w:ascii="宋体" w:hAnsi="宋体" w:eastAsia="宋体" w:cs="宋体"/>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bookmarkEnd w:id="49"/>
    </w:p>
    <w:p>
      <w:pPr>
        <w:ind w:firstLine="420" w:firstLineChars="200"/>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pPr>
        <w:ind w:firstLine="422" w:firstLineChars="200"/>
        <w:rPr>
          <w:rFonts w:hint="eastAsia"/>
          <w:b/>
          <w:bCs/>
          <w:highlight w:val="none"/>
        </w:rPr>
      </w:pPr>
    </w:p>
    <w:p>
      <w:pPr>
        <w:ind w:firstLine="422" w:firstLineChars="200"/>
        <w:rPr>
          <w:rFonts w:hint="eastAsia"/>
          <w:b/>
          <w:bCs/>
          <w:highlight w:val="none"/>
        </w:rPr>
      </w:pPr>
    </w:p>
    <w:p>
      <w:pPr>
        <w:ind w:firstLine="0" w:firstLineChars="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pPr>
        <w:ind w:firstLine="420" w:firstLineChars="200"/>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w:t>
      </w:r>
      <w:r>
        <w:rPr>
          <w:rFonts w:hint="eastAsia"/>
        </w:rPr>
        <w:t>资源交易中心（深圳交易集团有限公司</w:t>
      </w:r>
      <w:r>
        <w:rPr>
          <w:rFonts w:hint="eastAsia"/>
          <w:lang w:val="en-US" w:eastAsia="zh-CN"/>
        </w:rPr>
        <w:t>福田</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noWrap w:val="0"/>
            <w:vAlign w:val="center"/>
          </w:tcPr>
          <w:p>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noWrap w:val="0"/>
            <w:vAlign w:val="center"/>
          </w:tcPr>
          <w:p>
            <w:pPr>
              <w:widowControl/>
              <w:spacing w:line="360" w:lineRule="auto"/>
              <w:jc w:val="center"/>
            </w:pPr>
            <w:r>
              <w:rPr>
                <w:rFonts w:hint="eastAsia"/>
              </w:rPr>
              <w:t>货物采购</w:t>
            </w:r>
          </w:p>
        </w:tc>
        <w:tc>
          <w:tcPr>
            <w:tcW w:w="1799" w:type="dxa"/>
            <w:noWrap w:val="0"/>
            <w:vAlign w:val="center"/>
          </w:tcPr>
          <w:p>
            <w:pPr>
              <w:widowControl/>
              <w:spacing w:line="360" w:lineRule="auto"/>
              <w:jc w:val="center"/>
            </w:pPr>
            <w:r>
              <w:rPr>
                <w:rFonts w:hint="eastAsia"/>
              </w:rPr>
              <w:t>服务采购</w:t>
            </w:r>
          </w:p>
        </w:tc>
        <w:tc>
          <w:tcPr>
            <w:tcW w:w="1799" w:type="dxa"/>
            <w:noWrap w:val="0"/>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100万元以下</w:t>
            </w:r>
          </w:p>
        </w:tc>
        <w:tc>
          <w:tcPr>
            <w:tcW w:w="1799" w:type="dxa"/>
            <w:noWrap w:val="0"/>
            <w:vAlign w:val="center"/>
          </w:tcPr>
          <w:p>
            <w:pPr>
              <w:widowControl/>
              <w:spacing w:line="360" w:lineRule="auto"/>
              <w:jc w:val="center"/>
            </w:pPr>
            <w:r>
              <w:rPr>
                <w:rFonts w:hint="eastAsia"/>
              </w:rPr>
              <w:t>1.5%</w:t>
            </w:r>
          </w:p>
        </w:tc>
        <w:tc>
          <w:tcPr>
            <w:tcW w:w="1799" w:type="dxa"/>
            <w:noWrap w:val="0"/>
            <w:vAlign w:val="center"/>
          </w:tcPr>
          <w:p>
            <w:pPr>
              <w:widowControl/>
              <w:spacing w:line="360" w:lineRule="auto"/>
              <w:jc w:val="center"/>
            </w:pPr>
            <w:r>
              <w:rPr>
                <w:rFonts w:hint="eastAsia"/>
              </w:rPr>
              <w:t>1.5%</w:t>
            </w:r>
          </w:p>
        </w:tc>
        <w:tc>
          <w:tcPr>
            <w:tcW w:w="1799" w:type="dxa"/>
            <w:noWrap w:val="0"/>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100万元（含）-500万元</w:t>
            </w:r>
          </w:p>
        </w:tc>
        <w:tc>
          <w:tcPr>
            <w:tcW w:w="1799" w:type="dxa"/>
            <w:noWrap w:val="0"/>
            <w:vAlign w:val="center"/>
          </w:tcPr>
          <w:p>
            <w:pPr>
              <w:widowControl/>
              <w:spacing w:line="360" w:lineRule="auto"/>
              <w:jc w:val="center"/>
            </w:pPr>
            <w:r>
              <w:rPr>
                <w:rFonts w:hint="eastAsia"/>
              </w:rPr>
              <w:t>1.1%</w:t>
            </w:r>
          </w:p>
        </w:tc>
        <w:tc>
          <w:tcPr>
            <w:tcW w:w="1799" w:type="dxa"/>
            <w:noWrap w:val="0"/>
            <w:vAlign w:val="center"/>
          </w:tcPr>
          <w:p>
            <w:pPr>
              <w:widowControl/>
              <w:spacing w:line="360" w:lineRule="auto"/>
              <w:jc w:val="center"/>
            </w:pPr>
            <w:r>
              <w:rPr>
                <w:rFonts w:hint="eastAsia"/>
              </w:rPr>
              <w:t>0.8%</w:t>
            </w:r>
          </w:p>
        </w:tc>
        <w:tc>
          <w:tcPr>
            <w:tcW w:w="1799" w:type="dxa"/>
            <w:noWrap w:val="0"/>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500万元（含）-1000万元</w:t>
            </w:r>
          </w:p>
        </w:tc>
        <w:tc>
          <w:tcPr>
            <w:tcW w:w="1799" w:type="dxa"/>
            <w:noWrap w:val="0"/>
            <w:vAlign w:val="center"/>
          </w:tcPr>
          <w:p>
            <w:pPr>
              <w:widowControl/>
              <w:spacing w:line="360" w:lineRule="auto"/>
              <w:jc w:val="center"/>
            </w:pPr>
            <w:r>
              <w:rPr>
                <w:rFonts w:hint="eastAsia"/>
              </w:rPr>
              <w:t>0.8%</w:t>
            </w:r>
          </w:p>
        </w:tc>
        <w:tc>
          <w:tcPr>
            <w:tcW w:w="1799" w:type="dxa"/>
            <w:noWrap w:val="0"/>
            <w:vAlign w:val="center"/>
          </w:tcPr>
          <w:p>
            <w:pPr>
              <w:widowControl/>
              <w:spacing w:line="360" w:lineRule="auto"/>
              <w:jc w:val="center"/>
            </w:pPr>
            <w:r>
              <w:rPr>
                <w:rFonts w:hint="eastAsia"/>
              </w:rPr>
              <w:t>0.45%</w:t>
            </w:r>
          </w:p>
        </w:tc>
        <w:tc>
          <w:tcPr>
            <w:tcW w:w="1799" w:type="dxa"/>
            <w:noWrap w:val="0"/>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1000万元（含）-5000万元</w:t>
            </w:r>
          </w:p>
        </w:tc>
        <w:tc>
          <w:tcPr>
            <w:tcW w:w="1799" w:type="dxa"/>
            <w:noWrap w:val="0"/>
            <w:vAlign w:val="center"/>
          </w:tcPr>
          <w:p>
            <w:pPr>
              <w:widowControl/>
              <w:spacing w:line="360" w:lineRule="auto"/>
              <w:jc w:val="center"/>
            </w:pPr>
            <w:r>
              <w:rPr>
                <w:rFonts w:hint="eastAsia"/>
              </w:rPr>
              <w:t>0.5%</w:t>
            </w:r>
          </w:p>
        </w:tc>
        <w:tc>
          <w:tcPr>
            <w:tcW w:w="1799" w:type="dxa"/>
            <w:noWrap w:val="0"/>
            <w:vAlign w:val="center"/>
          </w:tcPr>
          <w:p>
            <w:pPr>
              <w:widowControl/>
              <w:spacing w:line="360" w:lineRule="auto"/>
              <w:jc w:val="center"/>
            </w:pPr>
            <w:r>
              <w:rPr>
                <w:rFonts w:hint="eastAsia"/>
              </w:rPr>
              <w:t>0.25%</w:t>
            </w:r>
          </w:p>
        </w:tc>
        <w:tc>
          <w:tcPr>
            <w:tcW w:w="1799" w:type="dxa"/>
            <w:noWrap w:val="0"/>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5000万元（含）-1亿元</w:t>
            </w:r>
          </w:p>
        </w:tc>
        <w:tc>
          <w:tcPr>
            <w:tcW w:w="1799" w:type="dxa"/>
            <w:noWrap w:val="0"/>
            <w:vAlign w:val="center"/>
          </w:tcPr>
          <w:p>
            <w:pPr>
              <w:widowControl/>
              <w:spacing w:line="360" w:lineRule="auto"/>
              <w:jc w:val="center"/>
            </w:pPr>
            <w:r>
              <w:rPr>
                <w:rFonts w:hint="eastAsia"/>
              </w:rPr>
              <w:t>0.25%</w:t>
            </w:r>
          </w:p>
        </w:tc>
        <w:tc>
          <w:tcPr>
            <w:tcW w:w="1799" w:type="dxa"/>
            <w:noWrap w:val="0"/>
            <w:vAlign w:val="center"/>
          </w:tcPr>
          <w:p>
            <w:pPr>
              <w:widowControl/>
              <w:spacing w:line="360" w:lineRule="auto"/>
              <w:jc w:val="center"/>
            </w:pPr>
            <w:r>
              <w:rPr>
                <w:rFonts w:hint="eastAsia"/>
              </w:rPr>
              <w:t>0.1%</w:t>
            </w:r>
          </w:p>
        </w:tc>
        <w:tc>
          <w:tcPr>
            <w:tcW w:w="1799" w:type="dxa"/>
            <w:noWrap w:val="0"/>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1亿元（含）-5亿元</w:t>
            </w:r>
          </w:p>
        </w:tc>
        <w:tc>
          <w:tcPr>
            <w:tcW w:w="1799" w:type="dxa"/>
            <w:noWrap w:val="0"/>
            <w:vAlign w:val="center"/>
          </w:tcPr>
          <w:p>
            <w:pPr>
              <w:widowControl/>
              <w:spacing w:line="360" w:lineRule="auto"/>
              <w:jc w:val="center"/>
            </w:pPr>
            <w:r>
              <w:rPr>
                <w:rFonts w:hint="eastAsia"/>
              </w:rPr>
              <w:t>0.05%</w:t>
            </w:r>
          </w:p>
        </w:tc>
        <w:tc>
          <w:tcPr>
            <w:tcW w:w="1799" w:type="dxa"/>
            <w:noWrap w:val="0"/>
            <w:vAlign w:val="center"/>
          </w:tcPr>
          <w:p>
            <w:pPr>
              <w:widowControl/>
              <w:spacing w:line="360" w:lineRule="auto"/>
              <w:jc w:val="center"/>
            </w:pPr>
            <w:r>
              <w:rPr>
                <w:rFonts w:hint="eastAsia"/>
              </w:rPr>
              <w:t>0.05%</w:t>
            </w:r>
          </w:p>
        </w:tc>
        <w:tc>
          <w:tcPr>
            <w:tcW w:w="1799" w:type="dxa"/>
            <w:noWrap w:val="0"/>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5亿元（含）-10亿元</w:t>
            </w:r>
          </w:p>
        </w:tc>
        <w:tc>
          <w:tcPr>
            <w:tcW w:w="1799" w:type="dxa"/>
            <w:noWrap w:val="0"/>
            <w:vAlign w:val="center"/>
          </w:tcPr>
          <w:p>
            <w:pPr>
              <w:widowControl/>
              <w:spacing w:line="360" w:lineRule="auto"/>
              <w:jc w:val="center"/>
            </w:pPr>
            <w:r>
              <w:rPr>
                <w:rFonts w:hint="eastAsia"/>
              </w:rPr>
              <w:t>0.035%</w:t>
            </w:r>
          </w:p>
        </w:tc>
        <w:tc>
          <w:tcPr>
            <w:tcW w:w="1799" w:type="dxa"/>
            <w:noWrap w:val="0"/>
            <w:vAlign w:val="center"/>
          </w:tcPr>
          <w:p>
            <w:pPr>
              <w:widowControl/>
              <w:spacing w:line="360" w:lineRule="auto"/>
              <w:jc w:val="center"/>
            </w:pPr>
            <w:r>
              <w:rPr>
                <w:rFonts w:hint="eastAsia"/>
              </w:rPr>
              <w:t>0.035%</w:t>
            </w:r>
          </w:p>
        </w:tc>
        <w:tc>
          <w:tcPr>
            <w:tcW w:w="1799" w:type="dxa"/>
            <w:noWrap w:val="0"/>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noWrap w:val="0"/>
            <w:vAlign w:val="center"/>
          </w:tcPr>
          <w:p>
            <w:pPr>
              <w:widowControl/>
              <w:spacing w:line="360" w:lineRule="auto"/>
              <w:jc w:val="center"/>
            </w:pPr>
            <w:r>
              <w:rPr>
                <w:rFonts w:hint="eastAsia"/>
              </w:rPr>
              <w:t>10亿元（含）-50亿元</w:t>
            </w:r>
          </w:p>
        </w:tc>
        <w:tc>
          <w:tcPr>
            <w:tcW w:w="1799" w:type="dxa"/>
            <w:noWrap w:val="0"/>
            <w:vAlign w:val="center"/>
          </w:tcPr>
          <w:p>
            <w:pPr>
              <w:widowControl/>
              <w:spacing w:line="360" w:lineRule="auto"/>
              <w:jc w:val="center"/>
            </w:pPr>
            <w:r>
              <w:rPr>
                <w:rFonts w:hint="eastAsia"/>
              </w:rPr>
              <w:t>0.008%</w:t>
            </w:r>
          </w:p>
        </w:tc>
        <w:tc>
          <w:tcPr>
            <w:tcW w:w="1799" w:type="dxa"/>
            <w:noWrap w:val="0"/>
            <w:vAlign w:val="center"/>
          </w:tcPr>
          <w:p>
            <w:pPr>
              <w:widowControl/>
              <w:spacing w:line="360" w:lineRule="auto"/>
              <w:jc w:val="center"/>
            </w:pPr>
            <w:r>
              <w:rPr>
                <w:rFonts w:hint="eastAsia"/>
              </w:rPr>
              <w:t>0.008%</w:t>
            </w:r>
          </w:p>
        </w:tc>
        <w:tc>
          <w:tcPr>
            <w:tcW w:w="1799" w:type="dxa"/>
            <w:noWrap w:val="0"/>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widowControl/>
              <w:spacing w:line="360" w:lineRule="auto"/>
              <w:jc w:val="center"/>
            </w:pPr>
            <w:r>
              <w:rPr>
                <w:rFonts w:hint="eastAsia"/>
              </w:rPr>
              <w:t>50亿元（含）-100亿元</w:t>
            </w:r>
          </w:p>
        </w:tc>
        <w:tc>
          <w:tcPr>
            <w:tcW w:w="1799" w:type="dxa"/>
            <w:noWrap w:val="0"/>
            <w:vAlign w:val="center"/>
          </w:tcPr>
          <w:p>
            <w:pPr>
              <w:widowControl/>
              <w:spacing w:line="360" w:lineRule="auto"/>
              <w:jc w:val="center"/>
            </w:pPr>
            <w:r>
              <w:rPr>
                <w:rFonts w:hint="eastAsia"/>
              </w:rPr>
              <w:t>0.006%</w:t>
            </w:r>
          </w:p>
        </w:tc>
        <w:tc>
          <w:tcPr>
            <w:tcW w:w="1799" w:type="dxa"/>
            <w:noWrap w:val="0"/>
            <w:vAlign w:val="center"/>
          </w:tcPr>
          <w:p>
            <w:pPr>
              <w:widowControl/>
              <w:spacing w:line="360" w:lineRule="auto"/>
              <w:jc w:val="center"/>
            </w:pPr>
            <w:r>
              <w:rPr>
                <w:rFonts w:hint="eastAsia"/>
              </w:rPr>
              <w:t>0.006%</w:t>
            </w:r>
          </w:p>
        </w:tc>
        <w:tc>
          <w:tcPr>
            <w:tcW w:w="1799" w:type="dxa"/>
            <w:noWrap w:val="0"/>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noWrap w:val="0"/>
            <w:vAlign w:val="center"/>
          </w:tcPr>
          <w:p>
            <w:pPr>
              <w:widowControl/>
              <w:spacing w:line="360" w:lineRule="auto"/>
              <w:jc w:val="center"/>
            </w:pPr>
            <w:r>
              <w:rPr>
                <w:rFonts w:hint="eastAsia"/>
              </w:rPr>
              <w:t>100亿元（含）以上</w:t>
            </w:r>
          </w:p>
        </w:tc>
        <w:tc>
          <w:tcPr>
            <w:tcW w:w="1799" w:type="dxa"/>
            <w:noWrap w:val="0"/>
            <w:vAlign w:val="center"/>
          </w:tcPr>
          <w:p>
            <w:pPr>
              <w:widowControl/>
              <w:spacing w:line="360" w:lineRule="auto"/>
              <w:jc w:val="center"/>
            </w:pPr>
            <w:r>
              <w:rPr>
                <w:rFonts w:hint="eastAsia"/>
              </w:rPr>
              <w:t>0.004%</w:t>
            </w:r>
          </w:p>
        </w:tc>
        <w:tc>
          <w:tcPr>
            <w:tcW w:w="1799" w:type="dxa"/>
            <w:noWrap w:val="0"/>
            <w:vAlign w:val="center"/>
          </w:tcPr>
          <w:p>
            <w:pPr>
              <w:widowControl/>
              <w:spacing w:line="360" w:lineRule="auto"/>
              <w:jc w:val="center"/>
            </w:pPr>
            <w:r>
              <w:rPr>
                <w:rFonts w:hint="eastAsia"/>
              </w:rPr>
              <w:t>0.004%</w:t>
            </w:r>
          </w:p>
        </w:tc>
        <w:tc>
          <w:tcPr>
            <w:tcW w:w="1799" w:type="dxa"/>
            <w:noWrap w:val="0"/>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pPr>
        <w:spacing w:after="0" w:line="240" w:lineRule="auto"/>
        <w:ind w:firstLine="422" w:firstLineChars="200"/>
        <w:jc w:val="left"/>
        <w:rPr>
          <w:rFonts w:ascii="宋体" w:hAnsi="宋体" w:eastAsia="宋体" w:cs="宋体"/>
          <w:b/>
          <w:color w:val="000000"/>
          <w:szCs w:val="21"/>
          <w:highlight w:val="none"/>
        </w:rPr>
      </w:pPr>
      <w:r>
        <w:rPr>
          <w:rFonts w:hint="eastAsia" w:cs="Times New Roman"/>
          <w:b/>
          <w:color w:val="000000"/>
          <w:highlight w:val="none"/>
          <w:lang w:val="en-US" w:eastAsia="zh-CN"/>
        </w:rPr>
        <w:t>3</w:t>
      </w:r>
      <w:r>
        <w:rPr>
          <w:rFonts w:hint="eastAsia" w:ascii="Times New Roman" w:hAnsi="Times New Roman" w:cs="Times New Roman"/>
          <w:b/>
          <w:color w:val="000000"/>
          <w:highlight w:val="none"/>
          <w:lang w:val="en-US" w:eastAsia="zh-CN"/>
        </w:rPr>
        <w:t>.</w:t>
      </w:r>
      <w:r>
        <w:rPr>
          <w:rFonts w:hint="eastAsia" w:ascii="Times New Roman" w:hAnsi="Times New Roman" w:eastAsia="宋体" w:cs="Times New Roman"/>
          <w:b/>
          <w:color w:val="000000"/>
          <w:highlight w:val="none"/>
        </w:rPr>
        <w:t>其他说明</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pStyle w:val="37"/>
        <w:rPr>
          <w:b/>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pStyle w:val="9"/>
        <w:rPr>
          <w:b/>
        </w:rPr>
        <w:sectPr>
          <w:pgSz w:w="11907" w:h="16840"/>
          <w:pgMar w:top="1440" w:right="1797" w:bottom="1440" w:left="1797" w:header="851" w:footer="992" w:gutter="0"/>
          <w:cols w:space="720" w:num="1"/>
          <w:titlePg/>
          <w:docGrid w:linePitch="462" w:charSpace="0"/>
        </w:sectPr>
      </w:pPr>
    </w:p>
    <w:p>
      <w:pPr>
        <w:pStyle w:val="6"/>
        <w:rPr>
          <w:sz w:val="28"/>
          <w:szCs w:val="28"/>
        </w:rPr>
      </w:pPr>
      <w:bookmarkStart w:id="50" w:name="_Toc128884461"/>
      <w:r>
        <w:rPr>
          <w:rFonts w:hint="eastAsia"/>
          <w:sz w:val="28"/>
          <w:szCs w:val="28"/>
        </w:rPr>
        <w:t>第三章 用户需求书</w:t>
      </w:r>
    </w:p>
    <w:p>
      <w:pPr>
        <w:pStyle w:val="6"/>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3"/>
        <w:tblpPr w:leftFromText="180" w:rightFromText="180" w:vertAnchor="text" w:horzAnchor="margin" w:tblpY="173"/>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4906"/>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noWrap w:val="0"/>
            <w:vAlign w:val="center"/>
          </w:tcPr>
          <w:p>
            <w:pPr>
              <w:jc w:val="center"/>
              <w:rPr>
                <w:rFonts w:hint="eastAsia" w:ascii="Times New Roman" w:hAnsi="Times New Roman" w:cs="Times New Roman"/>
                <w:bCs/>
                <w:szCs w:val="21"/>
              </w:rPr>
            </w:pPr>
            <w:r>
              <w:rPr>
                <w:rFonts w:hint="eastAsia" w:ascii="Times New Roman" w:hAnsi="Times New Roman" w:cs="Times New Roman"/>
                <w:bCs/>
                <w:szCs w:val="21"/>
              </w:rPr>
              <w:t>序号</w:t>
            </w:r>
          </w:p>
        </w:tc>
        <w:tc>
          <w:tcPr>
            <w:tcW w:w="4906" w:type="dxa"/>
            <w:noWrap w:val="0"/>
            <w:vAlign w:val="center"/>
          </w:tcPr>
          <w:p>
            <w:pPr>
              <w:jc w:val="center"/>
              <w:rPr>
                <w:rFonts w:hint="eastAsia" w:ascii="Times New Roman" w:hAnsi="Times New Roman" w:cs="Times New Roman"/>
                <w:bCs/>
                <w:szCs w:val="21"/>
              </w:rPr>
            </w:pPr>
            <w:r>
              <w:rPr>
                <w:rFonts w:hint="eastAsia" w:ascii="Times New Roman" w:hAnsi="Times New Roman" w:cs="Times New Roman"/>
                <w:bCs/>
                <w:szCs w:val="21"/>
              </w:rPr>
              <w:t>采购项目名称</w:t>
            </w:r>
          </w:p>
        </w:tc>
        <w:tc>
          <w:tcPr>
            <w:tcW w:w="2952" w:type="dxa"/>
            <w:noWrap w:val="0"/>
            <w:vAlign w:val="center"/>
          </w:tcPr>
          <w:p>
            <w:pPr>
              <w:jc w:val="center"/>
              <w:rPr>
                <w:rFonts w:hint="eastAsia" w:ascii="Times New Roman" w:hAnsi="Times New Roman" w:cs="Times New Roman"/>
                <w:b w:val="0"/>
                <w:bCs/>
                <w:szCs w:val="21"/>
              </w:rPr>
            </w:pPr>
            <w:r>
              <w:rPr>
                <w:rFonts w:hint="eastAsia" w:ascii="Times New Roman" w:hAnsi="Times New Roman" w:cs="Times New Roman"/>
                <w:b w:val="0"/>
                <w:bCs/>
                <w:szCs w:val="21"/>
              </w:rPr>
              <w:t>预算</w:t>
            </w:r>
            <w:r>
              <w:rPr>
                <w:rFonts w:hint="eastAsia" w:ascii="Times New Roman" w:hAnsi="Times New Roman" w:cs="Times New Roman"/>
                <w:b w:val="0"/>
                <w:bCs/>
                <w:szCs w:val="21"/>
                <w:lang w:val="en-US" w:eastAsia="zh-CN"/>
              </w:rPr>
              <w:t>金额</w:t>
            </w:r>
            <w:r>
              <w:rPr>
                <w:rFonts w:hint="eastAsia" w:ascii="Times New Roman" w:hAnsi="Times New Roman" w:cs="Times New Roman"/>
                <w:b w:val="0"/>
                <w:bCs/>
                <w:szCs w:val="21"/>
              </w:rPr>
              <w:t>（元</w:t>
            </w:r>
            <w:r>
              <w:rPr>
                <w:rFonts w:hint="eastAsia" w:ascii="Times New Roman" w:hAnsi="Times New Roman" w:cs="Times New Roman"/>
                <w:b w:val="0"/>
                <w:bCs/>
                <w:szCs w:val="21"/>
                <w:lang w:val="en-US" w:eastAsia="zh-CN"/>
              </w:rPr>
              <w:t>/年</w:t>
            </w:r>
            <w:r>
              <w:rPr>
                <w:rFonts w:hint="eastAsia" w:ascii="Times New Roman" w:hAnsi="Times New Roman" w:cs="Times New Roman"/>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13" w:type="dxa"/>
            <w:noWrap w:val="0"/>
            <w:vAlign w:val="center"/>
          </w:tcPr>
          <w:p>
            <w:pPr>
              <w:jc w:val="center"/>
              <w:rPr>
                <w:rFonts w:hint="eastAsia" w:ascii="Times New Roman" w:hAnsi="Times New Roman" w:cs="Times New Roman"/>
                <w:bCs/>
                <w:szCs w:val="21"/>
              </w:rPr>
            </w:pPr>
            <w:r>
              <w:rPr>
                <w:rFonts w:hint="eastAsia" w:ascii="Times New Roman" w:hAnsi="Times New Roman" w:cs="Times New Roman"/>
                <w:bCs/>
                <w:szCs w:val="21"/>
              </w:rPr>
              <w:t>1</w:t>
            </w:r>
          </w:p>
          <w:p>
            <w:pPr>
              <w:jc w:val="center"/>
              <w:rPr>
                <w:rFonts w:hint="eastAsia" w:ascii="Times New Roman" w:hAnsi="Times New Roman" w:cs="Times New Roman"/>
                <w:bCs/>
                <w:szCs w:val="21"/>
              </w:rPr>
            </w:pPr>
          </w:p>
        </w:tc>
        <w:tc>
          <w:tcPr>
            <w:tcW w:w="4906" w:type="dxa"/>
            <w:noWrap w:val="0"/>
            <w:vAlign w:val="center"/>
          </w:tcPr>
          <w:p>
            <w:pPr>
              <w:jc w:val="center"/>
              <w:rPr>
                <w:rFonts w:hint="eastAsia" w:ascii="Times New Roman" w:hAnsi="Times New Roman" w:eastAsia="宋体" w:cs="Times New Roman"/>
                <w:b w:val="0"/>
                <w:bCs/>
                <w:sz w:val="21"/>
                <w:szCs w:val="21"/>
              </w:rPr>
            </w:pPr>
            <w:bookmarkStart w:id="51" w:name="OLE_LINK2"/>
            <w:r>
              <w:rPr>
                <w:rFonts w:hint="eastAsia" w:ascii="Times New Roman" w:hAnsi="Times New Roman" w:eastAsia="宋体" w:cs="Times New Roman"/>
                <w:bCs/>
                <w:sz w:val="21"/>
                <w:szCs w:val="21"/>
              </w:rPr>
              <w:t>皇岗边检站生活区物业管理服务项目</w:t>
            </w:r>
          </w:p>
          <w:bookmarkEnd w:id="51"/>
          <w:p>
            <w:pPr>
              <w:jc w:val="center"/>
              <w:rPr>
                <w:rFonts w:hint="eastAsia" w:ascii="Times New Roman" w:hAnsi="Times New Roman" w:cs="Times New Roman"/>
                <w:b w:val="0"/>
                <w:bCs/>
                <w:szCs w:val="21"/>
              </w:rPr>
            </w:pPr>
          </w:p>
        </w:tc>
        <w:tc>
          <w:tcPr>
            <w:tcW w:w="2952" w:type="dxa"/>
            <w:noWrap w:val="0"/>
            <w:vAlign w:val="center"/>
          </w:tcPr>
          <w:p>
            <w:pPr>
              <w:jc w:val="center"/>
              <w:rPr>
                <w:rFonts w:hint="eastAsia" w:ascii="Times New Roman" w:hAnsi="Times New Roman" w:eastAsia="宋体" w:cs="Times New Roman"/>
                <w:bCs/>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w:t>
            </w:r>
            <w:r>
              <w:rPr>
                <w:rFonts w:hint="eastAsia" w:ascii="Times New Roman" w:hAnsi="Times New Roman" w:cs="Times New Roman"/>
                <w:bCs/>
                <w:kern w:val="2"/>
                <w:sz w:val="21"/>
                <w:szCs w:val="21"/>
              </w:rPr>
              <w:t>332</w:t>
            </w:r>
            <w:r>
              <w:rPr>
                <w:rFonts w:hint="eastAsia" w:ascii="Times New Roman" w:hAnsi="Times New Roman" w:cs="Times New Roman"/>
                <w:bCs/>
                <w:kern w:val="2"/>
                <w:sz w:val="21"/>
                <w:szCs w:val="21"/>
                <w:lang w:val="en-US" w:eastAsia="zh-CN"/>
              </w:rPr>
              <w:t>,</w:t>
            </w:r>
            <w:r>
              <w:rPr>
                <w:rFonts w:hint="eastAsia" w:ascii="Times New Roman" w:hAnsi="Times New Roman" w:cs="Times New Roman"/>
                <w:bCs/>
                <w:kern w:val="2"/>
                <w:sz w:val="21"/>
                <w:szCs w:val="21"/>
              </w:rPr>
              <w:t>9</w:t>
            </w:r>
            <w:r>
              <w:rPr>
                <w:rFonts w:hint="eastAsia" w:ascii="Times New Roman" w:hAnsi="Times New Roman" w:cs="Times New Roman"/>
                <w:bCs/>
                <w:kern w:val="2"/>
                <w:sz w:val="21"/>
                <w:szCs w:val="21"/>
                <w:lang w:val="en-US" w:eastAsia="zh-CN"/>
              </w:rPr>
              <w:t>00.00</w:t>
            </w:r>
          </w:p>
        </w:tc>
      </w:tr>
    </w:tbl>
    <w:p>
      <w:pPr>
        <w:rPr>
          <w:rFonts w:ascii="宋体" w:hAnsi="宋体"/>
          <w:b/>
          <w:color w:val="FF0000"/>
          <w:szCs w:val="21"/>
        </w:rPr>
      </w:pPr>
    </w:p>
    <w:p>
      <w:pPr>
        <w:pStyle w:val="6"/>
        <w:spacing w:before="120" w:beforeLines="50" w:after="120" w:afterLines="50"/>
        <w:rPr>
          <w:szCs w:val="24"/>
        </w:rPr>
      </w:pPr>
      <w:r>
        <w:rPr>
          <w:rFonts w:hint="eastAsia"/>
          <w:szCs w:val="24"/>
        </w:rPr>
        <w:t>二、项目概况</w:t>
      </w:r>
    </w:p>
    <w:p>
      <w:pPr>
        <w:spacing w:line="540" w:lineRule="exact"/>
        <w:ind w:firstLine="420" w:firstLineChars="200"/>
        <w:jc w:val="left"/>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皇岗边检站生活区物业管理服务</w:t>
      </w:r>
      <w:r>
        <w:rPr>
          <w:rFonts w:hint="eastAsia" w:ascii="Times New Roman" w:hAnsi="Times New Roman" w:eastAsia="宋体" w:cs="Times New Roman"/>
          <w:bCs/>
          <w:sz w:val="21"/>
          <w:szCs w:val="21"/>
          <w:lang w:eastAsia="zh-CN"/>
        </w:rPr>
        <w:t>项目包括皇岗边检生活区（</w:t>
      </w:r>
      <w:r>
        <w:rPr>
          <w:rFonts w:hint="eastAsia" w:ascii="Times New Roman" w:hAnsi="Times New Roman" w:eastAsia="宋体" w:cs="Times New Roman"/>
          <w:bCs/>
          <w:sz w:val="21"/>
          <w:szCs w:val="21"/>
        </w:rPr>
        <w:t>含皇福苑和2号楼</w:t>
      </w:r>
      <w:r>
        <w:rPr>
          <w:rFonts w:hint="eastAsia" w:ascii="Times New Roman" w:hAnsi="Times New Roman" w:eastAsia="宋体" w:cs="Times New Roman"/>
          <w:bCs/>
          <w:sz w:val="21"/>
          <w:szCs w:val="21"/>
          <w:lang w:eastAsia="zh-CN"/>
        </w:rPr>
        <w:t>）、福田保税区新桂花村边检宿舍楼及</w:t>
      </w:r>
      <w:r>
        <w:rPr>
          <w:rFonts w:hint="eastAsia" w:ascii="Times New Roman" w:hAnsi="Times New Roman" w:eastAsia="宋体" w:cs="Times New Roman"/>
          <w:bCs/>
          <w:sz w:val="21"/>
          <w:szCs w:val="21"/>
        </w:rPr>
        <w:t>皇岗边检站沙头执勤点，总建筑面积60319.02平方米</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 xml:space="preserve">          </w:t>
      </w:r>
    </w:p>
    <w:p>
      <w:pPr>
        <w:spacing w:line="540" w:lineRule="exact"/>
        <w:ind w:firstLine="0" w:firstLineChars="0"/>
        <w:jc w:val="left"/>
        <w:rPr>
          <w:rFonts w:eastAsia="仿宋_GB2312"/>
          <w:sz w:val="32"/>
          <w:szCs w:val="32"/>
        </w:rPr>
      </w:pPr>
      <w:r>
        <w:rPr>
          <w:rFonts w:hint="eastAsia" w:ascii="Times New Roman" w:hAnsi="Times New Roman" w:eastAsia="宋体" w:cs="Times New Roman"/>
          <w:bCs/>
          <w:sz w:val="21"/>
          <w:szCs w:val="21"/>
        </w:rPr>
        <w:t>为进一步落实从优待警工作要求，不断提升小区物业服务水平，我站拟通过公开招标的方式选取皇岗边检站生活区物业管理服务公司。本项目拟按照现有物业服务收费标准测算费用：停车位110元/辆/月；皇岗边检生活区多层建筑和新桂花村边检宿舍楼物业服务收费标准为0.5元/平方米/月，2号楼物业服务收费标准为1.2元/平方米/月，皇福苑物业服务收费标准为1.8元/平方米/月；皇岗边检站沙头执勤点因</w:t>
      </w:r>
      <w:r>
        <w:rPr>
          <w:rFonts w:hint="eastAsia" w:ascii="Times New Roman" w:hAnsi="Times New Roman" w:eastAsia="宋体" w:cs="Times New Roman"/>
          <w:bCs/>
          <w:sz w:val="21"/>
          <w:szCs w:val="21"/>
          <w:lang w:eastAsia="zh-CN"/>
        </w:rPr>
        <w:t>仍未移交福田区政府，且部分站内固定资产仍存放在工作站内，需安排人员</w:t>
      </w:r>
      <w:r>
        <w:rPr>
          <w:rFonts w:hint="eastAsia" w:ascii="Times New Roman" w:hAnsi="Times New Roman" w:eastAsia="宋体" w:cs="Times New Roman"/>
          <w:bCs/>
          <w:sz w:val="21"/>
          <w:szCs w:val="21"/>
          <w:lang w:val="en-US" w:eastAsia="zh-CN"/>
        </w:rPr>
        <w:t>24小时进行监管</w:t>
      </w:r>
      <w:r>
        <w:rPr>
          <w:rFonts w:hint="eastAsia"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拟</w:t>
      </w:r>
      <w:r>
        <w:rPr>
          <w:rFonts w:hint="eastAsia" w:ascii="Times New Roman" w:hAnsi="Times New Roman" w:eastAsia="宋体" w:cs="Times New Roman"/>
          <w:bCs/>
          <w:sz w:val="21"/>
          <w:szCs w:val="21"/>
        </w:rPr>
        <w:t>按照现物业管理收费标准</w:t>
      </w:r>
      <w:r>
        <w:rPr>
          <w:rFonts w:hint="eastAsia" w:ascii="Times New Roman" w:hAnsi="Times New Roman" w:eastAsia="宋体" w:cs="Times New Roman"/>
          <w:bCs/>
          <w:sz w:val="21"/>
          <w:szCs w:val="21"/>
          <w:lang w:val="en-US" w:eastAsia="zh-CN"/>
        </w:rPr>
        <w:t>8.</w:t>
      </w:r>
      <w:r>
        <w:rPr>
          <w:rFonts w:hint="eastAsia" w:ascii="Times New Roman" w:hAnsi="Times New Roman" w:eastAsia="宋体" w:cs="Times New Roman"/>
          <w:bCs/>
          <w:sz w:val="21"/>
          <w:szCs w:val="21"/>
          <w:lang w:val="en-US" w:eastAsia="zh"/>
        </w:rPr>
        <w:t>09</w:t>
      </w:r>
      <w:r>
        <w:rPr>
          <w:rFonts w:hint="eastAsia" w:ascii="Times New Roman" w:hAnsi="Times New Roman" w:eastAsia="宋体" w:cs="Times New Roman"/>
          <w:bCs/>
          <w:sz w:val="21"/>
          <w:szCs w:val="21"/>
        </w:rPr>
        <w:t>万元/年进行测算，后期由中标服务商增派物业人员提供管理服务</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 w:val="0"/>
          <w:bCs/>
          <w:sz w:val="21"/>
          <w:szCs w:val="21"/>
          <w:lang w:eastAsia="zh-CN"/>
        </w:rPr>
        <w:t>相关服务费按照实际服务时间进行核算</w:t>
      </w:r>
      <w:r>
        <w:rPr>
          <w:rFonts w:hint="eastAsia" w:ascii="Times New Roman" w:hAnsi="Times New Roman" w:eastAsia="宋体" w:cs="Times New Roman"/>
          <w:b w:val="0"/>
          <w:bCs/>
          <w:sz w:val="21"/>
          <w:szCs w:val="21"/>
        </w:rPr>
        <w:t>。</w:t>
      </w:r>
    </w:p>
    <w:p>
      <w:pPr>
        <w:ind w:firstLine="480" w:firstLineChars="200"/>
        <w:rPr>
          <w:sz w:val="24"/>
        </w:rPr>
      </w:pPr>
    </w:p>
    <w:p>
      <w:pPr>
        <w:rPr>
          <w:rFonts w:ascii="宋体" w:hAnsi="宋体"/>
          <w:b/>
          <w:color w:val="FF0000"/>
          <w:szCs w:val="21"/>
        </w:rPr>
      </w:pPr>
    </w:p>
    <w:p>
      <w:pPr>
        <w:pStyle w:val="6"/>
        <w:spacing w:before="120" w:beforeLines="50" w:after="120" w:afterLines="50"/>
        <w:rPr>
          <w:szCs w:val="24"/>
        </w:rPr>
      </w:pPr>
      <w:r>
        <w:rPr>
          <w:rFonts w:hint="eastAsia"/>
          <w:szCs w:val="24"/>
        </w:rPr>
        <w:t>三、</w:t>
      </w:r>
      <w:bookmarkStart w:id="52" w:name="_Hlk72073432"/>
      <w:r>
        <w:rPr>
          <w:rFonts w:hint="eastAsia"/>
          <w:szCs w:val="24"/>
        </w:rPr>
        <w:t>服务需求明细</w:t>
      </w:r>
      <w:bookmarkEnd w:id="52"/>
    </w:p>
    <w:tbl>
      <w:tblPr>
        <w:tblStyle w:val="43"/>
        <w:tblpPr w:leftFromText="180" w:rightFromText="180" w:vertAnchor="text" w:horzAnchor="margin" w:tblpY="173"/>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879"/>
        <w:gridCol w:w="925"/>
        <w:gridCol w:w="753"/>
        <w:gridCol w:w="1769"/>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6" w:type="dxa"/>
            <w:noWrap w:val="0"/>
            <w:vAlign w:val="center"/>
          </w:tcPr>
          <w:p>
            <w:pPr>
              <w:jc w:val="center"/>
              <w:rPr>
                <w:bCs/>
                <w:szCs w:val="21"/>
              </w:rPr>
            </w:pPr>
            <w:r>
              <w:rPr>
                <w:rFonts w:hint="eastAsia"/>
                <w:bCs/>
                <w:szCs w:val="21"/>
              </w:rPr>
              <w:t>序号</w:t>
            </w:r>
          </w:p>
        </w:tc>
        <w:tc>
          <w:tcPr>
            <w:tcW w:w="2879" w:type="dxa"/>
            <w:noWrap w:val="0"/>
            <w:vAlign w:val="center"/>
          </w:tcPr>
          <w:p>
            <w:pPr>
              <w:jc w:val="center"/>
              <w:rPr>
                <w:bCs/>
                <w:szCs w:val="21"/>
              </w:rPr>
            </w:pPr>
            <w:r>
              <w:rPr>
                <w:rFonts w:hint="eastAsia"/>
                <w:bCs/>
                <w:szCs w:val="21"/>
              </w:rPr>
              <w:t>服务需求名称（标的名称）</w:t>
            </w:r>
          </w:p>
        </w:tc>
        <w:tc>
          <w:tcPr>
            <w:tcW w:w="925" w:type="dxa"/>
            <w:noWrap w:val="0"/>
            <w:vAlign w:val="center"/>
          </w:tcPr>
          <w:p>
            <w:pPr>
              <w:jc w:val="center"/>
              <w:rPr>
                <w:bCs/>
                <w:szCs w:val="21"/>
              </w:rPr>
            </w:pPr>
            <w:r>
              <w:rPr>
                <w:rFonts w:hint="eastAsia"/>
                <w:bCs/>
                <w:szCs w:val="21"/>
              </w:rPr>
              <w:t>数量</w:t>
            </w:r>
          </w:p>
        </w:tc>
        <w:tc>
          <w:tcPr>
            <w:tcW w:w="753" w:type="dxa"/>
            <w:noWrap w:val="0"/>
            <w:vAlign w:val="center"/>
          </w:tcPr>
          <w:p>
            <w:pPr>
              <w:jc w:val="center"/>
              <w:rPr>
                <w:bCs/>
                <w:szCs w:val="21"/>
              </w:rPr>
            </w:pPr>
            <w:r>
              <w:rPr>
                <w:rFonts w:hint="eastAsia"/>
                <w:bCs/>
                <w:szCs w:val="21"/>
              </w:rPr>
              <w:t>单位</w:t>
            </w:r>
          </w:p>
        </w:tc>
        <w:tc>
          <w:tcPr>
            <w:tcW w:w="1769" w:type="dxa"/>
            <w:noWrap w:val="0"/>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1493" w:type="dxa"/>
            <w:noWrap w:val="0"/>
            <w:vAlign w:val="center"/>
          </w:tcPr>
          <w:p>
            <w:pPr>
              <w:jc w:val="center"/>
              <w:rPr>
                <w:rFonts w:hint="eastAsia"/>
                <w:bCs/>
                <w:szCs w:val="21"/>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516" w:type="dxa"/>
            <w:noWrap w:val="0"/>
            <w:vAlign w:val="center"/>
          </w:tcPr>
          <w:p>
            <w:pPr>
              <w:jc w:val="center"/>
              <w:rPr>
                <w:bCs/>
                <w:szCs w:val="21"/>
              </w:rPr>
            </w:pPr>
            <w:r>
              <w:rPr>
                <w:rFonts w:hint="eastAsia"/>
                <w:bCs/>
                <w:szCs w:val="21"/>
              </w:rPr>
              <w:t>1</w:t>
            </w:r>
          </w:p>
        </w:tc>
        <w:tc>
          <w:tcPr>
            <w:tcW w:w="2879" w:type="dxa"/>
            <w:noWrap w:val="0"/>
            <w:vAlign w:val="center"/>
          </w:tcPr>
          <w:p>
            <w:pPr>
              <w:jc w:val="center"/>
              <w:rPr>
                <w:rFonts w:hint="eastAsia" w:ascii="Times New Roman" w:hAnsi="Times New Roman" w:eastAsia="宋体" w:cs="Times New Roman"/>
                <w:b w:val="0"/>
                <w:bCs/>
                <w:sz w:val="21"/>
                <w:szCs w:val="21"/>
              </w:rPr>
            </w:pPr>
            <w:r>
              <w:rPr>
                <w:rFonts w:hint="eastAsia" w:ascii="Times New Roman" w:hAnsi="Times New Roman" w:eastAsia="宋体" w:cs="Times New Roman"/>
                <w:bCs/>
                <w:sz w:val="21"/>
                <w:szCs w:val="21"/>
              </w:rPr>
              <w:t>皇岗边检站生活区物业管理服务项目</w:t>
            </w:r>
          </w:p>
          <w:p>
            <w:pPr>
              <w:jc w:val="center"/>
              <w:rPr>
                <w:bCs/>
                <w:szCs w:val="21"/>
              </w:rPr>
            </w:pPr>
          </w:p>
        </w:tc>
        <w:tc>
          <w:tcPr>
            <w:tcW w:w="925" w:type="dxa"/>
            <w:noWrap w:val="0"/>
            <w:vAlign w:val="center"/>
          </w:tcPr>
          <w:p>
            <w:pPr>
              <w:jc w:val="center"/>
              <w:rPr>
                <w:rFonts w:hint="eastAsia" w:eastAsia="宋体"/>
                <w:bCs/>
                <w:szCs w:val="21"/>
                <w:lang w:eastAsia="zh-CN"/>
              </w:rPr>
            </w:pPr>
            <w:r>
              <w:rPr>
                <w:rFonts w:hint="eastAsia"/>
                <w:lang w:val="en-US" w:eastAsia="zh-CN"/>
              </w:rPr>
              <w:t>1</w:t>
            </w:r>
          </w:p>
        </w:tc>
        <w:tc>
          <w:tcPr>
            <w:tcW w:w="753" w:type="dxa"/>
            <w:noWrap w:val="0"/>
            <w:vAlign w:val="center"/>
          </w:tcPr>
          <w:p>
            <w:pPr>
              <w:jc w:val="center"/>
              <w:rPr>
                <w:rFonts w:hint="default" w:eastAsia="宋体"/>
                <w:bCs/>
                <w:szCs w:val="21"/>
                <w:lang w:val="en-US" w:eastAsia="zh-CN"/>
              </w:rPr>
            </w:pPr>
            <w:r>
              <w:rPr>
                <w:rFonts w:hint="eastAsia"/>
                <w:bCs/>
                <w:szCs w:val="21"/>
                <w:lang w:val="en-US" w:eastAsia="zh-CN"/>
              </w:rPr>
              <w:t>项</w:t>
            </w:r>
          </w:p>
        </w:tc>
        <w:tc>
          <w:tcPr>
            <w:tcW w:w="1769" w:type="dxa"/>
            <w:noWrap w:val="0"/>
            <w:vAlign w:val="center"/>
          </w:tcPr>
          <w:p>
            <w:pPr>
              <w:jc w:val="center"/>
              <w:rPr>
                <w:rFonts w:hint="eastAsia" w:eastAsia="宋体"/>
                <w:bCs/>
                <w:szCs w:val="21"/>
                <w:lang w:val="en-US" w:eastAsia="zh-CN"/>
              </w:rPr>
            </w:pPr>
            <w:r>
              <w:rPr>
                <w:rFonts w:hint="eastAsia"/>
                <w:bCs/>
                <w:szCs w:val="21"/>
                <w:lang w:val="en-US" w:eastAsia="zh-CN"/>
              </w:rPr>
              <w:t>否</w:t>
            </w:r>
          </w:p>
        </w:tc>
        <w:tc>
          <w:tcPr>
            <w:tcW w:w="1493" w:type="dxa"/>
            <w:noWrap w:val="0"/>
            <w:vAlign w:val="center"/>
          </w:tcPr>
          <w:p>
            <w:pPr>
              <w:jc w:val="center"/>
              <w:rPr>
                <w:rFonts w:hint="default" w:eastAsia="宋体"/>
                <w:bCs/>
                <w:szCs w:val="21"/>
                <w:lang w:val="en-US" w:eastAsia="zh-CN"/>
              </w:rPr>
            </w:pPr>
            <w:r>
              <w:rPr>
                <w:rFonts w:hint="eastAsia"/>
                <w:bCs/>
                <w:szCs w:val="21"/>
                <w:lang w:val="en-US" w:eastAsia="zh-CN"/>
              </w:rPr>
              <w:t>物业管理</w:t>
            </w:r>
          </w:p>
        </w:tc>
      </w:tr>
    </w:tbl>
    <w:p>
      <w:pPr>
        <w:rPr>
          <w:rFonts w:ascii="宋体" w:hAnsi="宋体"/>
          <w:b/>
          <w:color w:val="FF0000"/>
          <w:szCs w:val="21"/>
        </w:rPr>
      </w:pPr>
    </w:p>
    <w:p>
      <w:pPr>
        <w:pStyle w:val="6"/>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pPr>
              <w:adjustRightInd w:val="0"/>
              <w:snapToGrid w:val="0"/>
              <w:spacing w:line="360" w:lineRule="auto"/>
              <w:jc w:val="center"/>
              <w:rPr>
                <w:rFonts w:hint="eastAsia" w:ascii="宋体" w:hAnsi="宋体" w:cs="Times New Roman"/>
                <w:color w:val="FF0000"/>
                <w:kern w:val="0"/>
                <w:szCs w:val="21"/>
              </w:rPr>
            </w:pPr>
            <w:r>
              <w:rPr>
                <w:rFonts w:hint="eastAsia" w:ascii="宋体" w:hAnsi="宋体" w:cs="Times New Roman"/>
                <w:color w:val="FF0000"/>
                <w:kern w:val="0"/>
                <w:szCs w:val="21"/>
              </w:rPr>
              <w:t>1</w:t>
            </w:r>
          </w:p>
        </w:tc>
        <w:tc>
          <w:tcPr>
            <w:tcW w:w="7795" w:type="dxa"/>
            <w:noWrap w:val="0"/>
            <w:vAlign w:val="top"/>
          </w:tcPr>
          <w:p>
            <w:pPr>
              <w:adjustRightInd/>
              <w:snapToGrid w:val="0"/>
              <w:spacing w:line="360" w:lineRule="auto"/>
              <w:jc w:val="center"/>
              <w:rPr>
                <w:rFonts w:hint="eastAsia" w:ascii="宋体" w:hAnsi="宋体" w:eastAsia="宋体" w:cs="Times New Roman"/>
                <w:color w:val="FF0000"/>
                <w:kern w:val="0"/>
                <w:szCs w:val="21"/>
              </w:rPr>
            </w:pPr>
            <w:r>
              <w:rPr>
                <w:rFonts w:hint="eastAsia" w:ascii="宋体" w:hAnsi="宋体" w:eastAsia="宋体" w:cs="Times New Roman"/>
                <w:b w:val="0"/>
                <w:bCs w:val="0"/>
                <w:color w:val="FF0000"/>
                <w:kern w:val="0"/>
                <w:szCs w:val="21"/>
              </w:rPr>
              <w:t>招标文件《商务要求》的所有内容</w:t>
            </w:r>
          </w:p>
        </w:tc>
      </w:tr>
    </w:tbl>
    <w:p>
      <w:pPr>
        <w:pStyle w:val="5"/>
        <w:tabs>
          <w:tab w:val="left" w:pos="765"/>
        </w:tabs>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50"/>
    </w:p>
    <w:p>
      <w:pPr>
        <w:rPr>
          <w:b/>
          <w:bCs/>
          <w:sz w:val="24"/>
        </w:rPr>
      </w:pPr>
    </w:p>
    <w:p>
      <w:pPr>
        <w:pStyle w:val="6"/>
        <w:spacing w:before="120" w:beforeLines="50" w:after="120" w:afterLines="50"/>
        <w:rPr>
          <w:b/>
          <w:sz w:val="24"/>
        </w:rPr>
      </w:pPr>
      <w:r>
        <w:rPr>
          <w:rFonts w:hint="eastAsia"/>
          <w:szCs w:val="24"/>
        </w:rPr>
        <w:t>五、技术要求</w:t>
      </w:r>
    </w:p>
    <w:p>
      <w:pPr>
        <w:rPr>
          <w:b/>
          <w:sz w:val="24"/>
        </w:rPr>
      </w:pPr>
    </w:p>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项目概况</w:t>
      </w:r>
    </w:p>
    <w:p>
      <w:pPr>
        <w:spacing w:line="360" w:lineRule="auto"/>
        <w:ind w:firstLine="360" w:firstLineChars="150"/>
        <w:jc w:val="left"/>
        <w:rPr>
          <w:rFonts w:ascii="宋体" w:hAnsi="宋体"/>
          <w:b/>
          <w:sz w:val="24"/>
        </w:rPr>
      </w:pPr>
      <w:r>
        <w:rPr>
          <w:rFonts w:hint="eastAsia" w:ascii="宋体" w:hAnsi="宋体" w:cs="Aharoni"/>
          <w:sz w:val="24"/>
        </w:rPr>
        <w:t>（一）</w:t>
      </w:r>
      <w:r>
        <w:rPr>
          <w:rFonts w:hint="eastAsia" w:ascii="宋体" w:hAnsi="宋体"/>
          <w:sz w:val="24"/>
        </w:rPr>
        <w:t>物业范围</w:t>
      </w:r>
    </w:p>
    <w:p>
      <w:pPr>
        <w:spacing w:line="360" w:lineRule="auto"/>
        <w:ind w:firstLine="480" w:firstLineChars="200"/>
        <w:jc w:val="left"/>
        <w:rPr>
          <w:rFonts w:ascii="宋体" w:hAnsi="宋体"/>
          <w:sz w:val="24"/>
        </w:rPr>
      </w:pPr>
      <w:r>
        <w:rPr>
          <w:rFonts w:hint="eastAsia" w:ascii="宋体" w:hAnsi="宋体"/>
          <w:sz w:val="24"/>
        </w:rPr>
        <w:t>深圳皇岗边检站生活区规划红线范围内区域。</w:t>
      </w:r>
    </w:p>
    <w:p>
      <w:pPr>
        <w:numPr>
          <w:ilvl w:val="0"/>
          <w:numId w:val="8"/>
        </w:numPr>
        <w:spacing w:line="360" w:lineRule="auto"/>
        <w:ind w:firstLine="360" w:firstLineChars="150"/>
        <w:jc w:val="left"/>
        <w:rPr>
          <w:rFonts w:hint="eastAsia" w:ascii="宋体" w:hAnsi="宋体"/>
          <w:sz w:val="24"/>
        </w:rPr>
      </w:pPr>
      <w:r>
        <w:rPr>
          <w:rFonts w:hint="eastAsia" w:ascii="宋体" w:hAnsi="宋体"/>
          <w:sz w:val="24"/>
        </w:rPr>
        <w:t>物业基本情况</w:t>
      </w:r>
    </w:p>
    <w:p>
      <w:pPr>
        <w:spacing w:line="360" w:lineRule="auto"/>
        <w:ind w:firstLine="360" w:firstLineChars="150"/>
        <w:rPr>
          <w:rFonts w:hint="eastAsia" w:ascii="宋体" w:hAnsi="宋体"/>
          <w:sz w:val="24"/>
        </w:rPr>
      </w:pPr>
      <w:r>
        <w:rPr>
          <w:rFonts w:hint="eastAsia" w:ascii="宋体" w:hAnsi="宋体"/>
          <w:sz w:val="24"/>
        </w:rPr>
        <w:t xml:space="preserve">皇岗边检站生活区物业管理服务项目包括皇岗边检生活区（含皇福苑和2号楼）、福田保税区新桂花村边检宿舍楼及皇岗边检站沙头执勤点，总建筑面积60319.02平方米。          </w:t>
      </w:r>
    </w:p>
    <w:p>
      <w:pPr>
        <w:spacing w:line="360" w:lineRule="auto"/>
        <w:ind w:firstLine="360" w:firstLineChars="150"/>
        <w:rPr>
          <w:rFonts w:hint="eastAsia" w:ascii="宋体" w:hAnsi="宋体"/>
          <w:sz w:val="24"/>
        </w:rPr>
      </w:pPr>
      <w:r>
        <w:rPr>
          <w:rFonts w:hint="eastAsia" w:ascii="宋体" w:hAnsi="宋体"/>
          <w:sz w:val="24"/>
        </w:rPr>
        <w:t>为进一步落实从优待警工作要求，不断提升小区物业服务水平，我站拟通过公开招标的方式选取皇岗边检站生活区物业管理服务公司。本项目拟按照现有物业服务收费标准测算费用：停车位110元/辆/月；皇岗边检生活区多层建筑和新桂花村边检宿舍楼物业服务收费标准为0.5元/平方米/月，2号楼物业服务收费标准为1.2元/平方米/月，皇福苑物业服务收费标准为1.8元/平方米/月；皇岗边检站沙头执勤点因仍未移交福田区政府，且部分站内固定资产仍存放在工作站内，需安排人员24小时进行监管，拟按照现物业管理收费标准8.09万元/年进行测算，后期由中标服务商增派物业人员提供管理服务，相关服务费按照实际服务时间进行核算。</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物业管理内容</w:t>
      </w:r>
    </w:p>
    <w:p>
      <w:pPr>
        <w:spacing w:line="360" w:lineRule="auto"/>
        <w:ind w:firstLine="360" w:firstLineChars="150"/>
        <w:rPr>
          <w:rFonts w:ascii="宋体" w:hAnsi="宋体"/>
          <w:sz w:val="24"/>
        </w:rPr>
      </w:pPr>
      <w:r>
        <w:rPr>
          <w:rFonts w:hint="eastAsia" w:ascii="宋体" w:hAnsi="宋体"/>
          <w:sz w:val="24"/>
        </w:rPr>
        <w:t>（一）房屋建筑本体共用部位（楼盖、层顶、梁、柱、内外墙体和基础等承重结构部位、外墙面、楼梯间、走廊通道、门厅、各种设备机房等）的维修、养护和管理。</w:t>
      </w:r>
    </w:p>
    <w:p>
      <w:pPr>
        <w:spacing w:line="360" w:lineRule="auto"/>
        <w:ind w:firstLine="360" w:firstLineChars="150"/>
        <w:rPr>
          <w:rFonts w:ascii="宋体" w:hAnsi="宋体"/>
          <w:sz w:val="24"/>
        </w:rPr>
      </w:pPr>
      <w:r>
        <w:rPr>
          <w:rFonts w:hint="eastAsia" w:ascii="宋体" w:hAnsi="宋体"/>
          <w:sz w:val="24"/>
        </w:rPr>
        <w:t>（二）房屋建筑本体共用设施设备（共用的上下水管道、落水管、垃圾道、共用照明、加压供水设备、强弱电系统、楼内消防设施设备、</w:t>
      </w:r>
      <w:r>
        <w:rPr>
          <w:rFonts w:hint="eastAsia" w:ascii="宋体" w:hAnsi="宋体"/>
          <w:sz w:val="24"/>
          <w:lang w:eastAsia="zh-CN"/>
        </w:rPr>
        <w:t>监控设施设备、</w:t>
      </w:r>
      <w:r>
        <w:rPr>
          <w:rFonts w:hint="eastAsia" w:ascii="宋体" w:hAnsi="宋体"/>
          <w:sz w:val="24"/>
        </w:rPr>
        <w:t>电梯等）的维修、养护、管理和运行服务。</w:t>
      </w:r>
    </w:p>
    <w:p>
      <w:pPr>
        <w:spacing w:line="360" w:lineRule="auto"/>
        <w:ind w:firstLine="360" w:firstLineChars="150"/>
        <w:rPr>
          <w:rFonts w:ascii="宋体" w:hAnsi="宋体"/>
          <w:sz w:val="24"/>
        </w:rPr>
      </w:pPr>
      <w:r>
        <w:rPr>
          <w:rFonts w:hint="eastAsia" w:ascii="宋体" w:hAnsi="宋体"/>
          <w:sz w:val="24"/>
        </w:rPr>
        <w:t>（三）本物业规划红线内属物业管理范围的市政公用设施（道路、室外上下水管道、化粪池、沟渠、池、井、绿化、路灯、自行车棚、停车场等）的维修、养护和管理。</w:t>
      </w:r>
    </w:p>
    <w:p>
      <w:pPr>
        <w:spacing w:line="360" w:lineRule="auto"/>
        <w:ind w:firstLine="360" w:firstLineChars="150"/>
        <w:rPr>
          <w:rFonts w:hint="default" w:ascii="宋体" w:hAnsi="宋体" w:eastAsia="宋体"/>
          <w:sz w:val="24"/>
          <w:lang w:val="en-US" w:eastAsia="zh-CN"/>
        </w:rPr>
      </w:pPr>
      <w:r>
        <w:rPr>
          <w:rFonts w:hint="eastAsia" w:ascii="宋体" w:hAnsi="宋体"/>
          <w:sz w:val="24"/>
        </w:rPr>
        <w:t>（四）本物业规划红线内属配套服务设施（老人活动中心、社区健康中心、文化活动站、居委会、商业裙楼等，其中商业裙楼一楼的洗衣房及机关办公区域除外）的维修、养护和管理。</w:t>
      </w:r>
    </w:p>
    <w:p>
      <w:pPr>
        <w:spacing w:line="360" w:lineRule="auto"/>
        <w:ind w:firstLine="360" w:firstLineChars="150"/>
        <w:rPr>
          <w:rFonts w:ascii="宋体" w:hAnsi="宋体"/>
          <w:sz w:val="24"/>
        </w:rPr>
      </w:pPr>
      <w:r>
        <w:rPr>
          <w:rFonts w:hint="eastAsia" w:ascii="宋体" w:hAnsi="宋体"/>
          <w:sz w:val="24"/>
        </w:rPr>
        <w:t>（五）公共环境（包括公共场地、房屋建筑物共用部位）的清洁卫生、垃圾的收集、清运。</w:t>
      </w:r>
    </w:p>
    <w:p>
      <w:pPr>
        <w:spacing w:line="360" w:lineRule="auto"/>
        <w:ind w:firstLine="360" w:firstLineChars="150"/>
        <w:rPr>
          <w:rFonts w:ascii="宋体" w:hAnsi="宋体"/>
          <w:sz w:val="24"/>
        </w:rPr>
      </w:pPr>
      <w:r>
        <w:rPr>
          <w:rFonts w:hint="eastAsia" w:ascii="宋体" w:hAnsi="宋体"/>
          <w:sz w:val="24"/>
        </w:rPr>
        <w:t>（六）小区内交通秩序、车辆行驶和停泊等秩序的管理。</w:t>
      </w:r>
    </w:p>
    <w:p>
      <w:pPr>
        <w:spacing w:line="360" w:lineRule="auto"/>
        <w:ind w:firstLine="360" w:firstLineChars="150"/>
        <w:rPr>
          <w:rFonts w:ascii="宋体" w:hAnsi="宋体"/>
          <w:sz w:val="24"/>
        </w:rPr>
      </w:pPr>
      <w:r>
        <w:rPr>
          <w:rFonts w:hint="eastAsia" w:ascii="宋体" w:hAnsi="宋体"/>
          <w:sz w:val="24"/>
        </w:rPr>
        <w:t>（七）协助、配合皇岗站有关部门，当地公安机关对公共秩序的安全监控实施24小时巡视、护卫及公共秩序管理等工作，包括：安全监控、巡视、门岗执勤、大门出入口及小区秩序管理等。</w:t>
      </w:r>
    </w:p>
    <w:p>
      <w:pPr>
        <w:spacing w:line="360" w:lineRule="auto"/>
        <w:ind w:firstLine="480" w:firstLineChars="200"/>
        <w:rPr>
          <w:rFonts w:ascii="宋体" w:hAnsi="宋体"/>
          <w:sz w:val="24"/>
        </w:rPr>
      </w:pPr>
      <w:r>
        <w:rPr>
          <w:rFonts w:hint="eastAsia" w:ascii="宋体" w:hAnsi="宋体"/>
          <w:sz w:val="24"/>
        </w:rPr>
        <w:t>（八）社区文化娱乐活动的组织、协调及管理。</w:t>
      </w:r>
    </w:p>
    <w:p>
      <w:pPr>
        <w:spacing w:line="360" w:lineRule="auto"/>
        <w:ind w:firstLine="480" w:firstLineChars="200"/>
        <w:rPr>
          <w:rFonts w:ascii="宋体" w:hAnsi="宋体"/>
          <w:sz w:val="24"/>
        </w:rPr>
      </w:pPr>
      <w:r>
        <w:rPr>
          <w:rFonts w:hint="eastAsia" w:ascii="宋体" w:hAnsi="宋体"/>
          <w:sz w:val="24"/>
        </w:rPr>
        <w:t>（九）小区物业及物业管理档案、资料的管理。</w:t>
      </w:r>
    </w:p>
    <w:p>
      <w:pPr>
        <w:spacing w:line="360" w:lineRule="auto"/>
        <w:ind w:firstLine="480" w:firstLineChars="200"/>
        <w:rPr>
          <w:rFonts w:hint="eastAsia" w:ascii="宋体" w:hAnsi="宋体"/>
          <w:sz w:val="24"/>
        </w:rPr>
      </w:pPr>
      <w:r>
        <w:rPr>
          <w:rFonts w:hint="eastAsia" w:ascii="宋体" w:hAnsi="宋体"/>
          <w:sz w:val="24"/>
        </w:rPr>
        <w:t>（十）法律法规等相关政策规定，以及我单位委托物业管理公司管理的其它事项。</w:t>
      </w:r>
    </w:p>
    <w:p>
      <w:pPr>
        <w:pStyle w:val="2"/>
        <w:ind w:firstLine="480" w:firstLineChars="200"/>
        <w:rPr>
          <w:rFonts w:hint="eastAsia" w:ascii="宋体" w:hAnsi="宋体"/>
          <w:sz w:val="24"/>
          <w:lang w:val="en-US" w:eastAsia="zh-CN"/>
        </w:rPr>
      </w:pPr>
      <w:r>
        <w:rPr>
          <w:rFonts w:hint="eastAsia" w:ascii="宋体" w:hAnsi="宋体"/>
          <w:sz w:val="24"/>
          <w:lang w:val="en-US" w:eastAsia="zh-CN"/>
        </w:rPr>
        <w:t>(十一)依照相关法律法规，配合街道社区派驻民警做好小区日常安全管理并承担街道社区临时派驻在我小区内警务室日常使用所产生的的水电等其他物业管理相关费用。</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物业管理要求</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在物业区域内设立物业管理机构，对本物业实行专业化、规范化、一体化的封闭式管理服务。物业管理公司应按约定的条款，实现管理目标。</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根据有关法律法规等相关政策规定，制定本物业各项管理办法、规章制度、实施细则等，并报我单位备案。</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遵照国家、地方物业管理服务收费规定，按照物业管理的服务项目、服务内容、服务程度，测算物业管理收费标准，并向业主方提供测算依据，严格按照规定的标准收费，不得擅自提价，不得只收费不服务或多收费少服务。</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物业公司负责编制房屋及附属设施设备年度维修养护计划和大中修方案，经双方议定后，按约定责任组织实施。</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物业管理公司负责知会业主和物业使用人有关物业使用的规定，当业主或物业使用人装修物业时，告知有关限制条件，并负责监督。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物业管理公司应按照法律法规等相关政策规定，制定制止小区内违反物业管理、破坏管理秩序等行为的规章制度，并报我单位备案。</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物业管理公司有权选聘专营公司，承担本物业的部分专项管理业务，并支付费用，但不得将整体管理责任及利益转让给第三方，不得将重要专项业务承包给个人，不得将本物业转嫁给挂靠单位或个人。</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物业管理公司应接受物业管理部门及政府有关主管部门的监督、指导，并接受我单位及业主的监督。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物业管理公司不得擅自占用本物业的公用设施，不得擅自改变其原有功能，如需在本物业内占用公用设施、改建或扩建完善配套设施项目，须报我单位批准后方可实施。</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物业管理公司应每月定期向业委会报告收支账目，向全体业主张榜公布，接受业主的监督。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物业管理公司应结合实际，积极开展健康有益的社区文化活动和便民活动。公布便民服务和有偿服务项目的清单和收费标准。</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物业管理公司应建立健全物业管理档案、资料，并负责及时记载有关变更项目情况，每季度向我单位书面反馈变更信息。</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物业管理公司应安排24小时保安值班巡逻服务，在小区大门口、停车场和主要出入口应设置固定监控岗、负责安防、消防监控等公共秩序管理。</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负责维持出入小区及出入口周边的交通秩序，有效引导所有进入小区内车辆的行驶和停泊，停车场应设有专人管理岗位，巡查车辆停放情况，私家车、单车、摩托车、公务车辆、外来车辆应分区管理。</w:t>
      </w:r>
      <w:r>
        <w:rPr>
          <w:rFonts w:hint="eastAsia" w:ascii="宋体" w:hAnsi="宋体"/>
          <w:sz w:val="24"/>
          <w:lang w:eastAsia="zh-CN"/>
        </w:rPr>
        <w:t>另需定期向我单位报告小区外来临时车辆出入停放记录（不包含我单位民警及职工车辆）。</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物业管理公司应为小区公共场地（包含篮球场）的卫生负责，每日至少2次定期清理保洁，公用垃圾桶内应放置垃圾袋，垃圾临时存放点必须每日及时清运，每周定期清洗1次。</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对小区共用设施的疏通、清洗、清运负责，对二次供水水池至少每半年清洗1次；化粪池的抽吸每半年至少进行1次；排水、排污管道及沟、渠、池、井应定期清理、疏通，特别是雨季时期应重点排查、疏通、清理，如因管理不当给我单位或业主造成经济损失，应据实赔偿，全部费用由物业管理公司负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定期(每两月消杀一次)对小区“四害”进行消杀，临时根据天气、时节及业主委员会的要求开展消杀；对小区范围内的绿化花草、树木定期（每季度一次）进行修剪、浇水、施肥、松土、杀虫等养护管理，如因管理不当造成花草、树木枯死等损失的，应负责在规定时间内补种同类花草、树木，全部费用由物业管理公司负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物业管理公司应按规定，每三年对住宅楼外墙清洗1次，费用由物业管理公司负责。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物业管理公司为小区电梯使用管理方，负责皇福苑6台电梯、26栋1台电梯和2号楼一台电梯的日常管理、维修、全责任保养等工作（含电梯年检），维保费由物业管理公司负责。</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物业管理公司应提供优质的家政维修服务项目，公布无偿、有偿维修服务项目，标明维修服务价目表，禁止乱收费。</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物业管理公司应按要求向我单位提交物业设施、设备清洁现状情况登记表、工作计划表、进程表；制定清洁卫生工作规范及定期保养方法等。</w:t>
      </w:r>
    </w:p>
    <w:p>
      <w:pPr>
        <w:numPr>
          <w:ilvl w:val="0"/>
          <w:numId w:val="9"/>
        </w:numPr>
        <w:snapToGrid w:val="0"/>
        <w:spacing w:line="360" w:lineRule="auto"/>
        <w:ind w:left="0" w:leftChars="0" w:firstLine="420" w:firstLineChars="0"/>
        <w:rPr>
          <w:rFonts w:hint="eastAsia" w:ascii="宋体" w:hAnsi="宋体"/>
          <w:sz w:val="24"/>
        </w:rPr>
      </w:pPr>
      <w:r>
        <w:rPr>
          <w:rFonts w:hint="eastAsia" w:ascii="宋体" w:hAnsi="宋体"/>
          <w:sz w:val="24"/>
        </w:rPr>
        <w:t>物业管理公司应严守有关安全作业的规定，做好派出人员的安全教育工作，如发生安全等责任事故，责任由物业管理公司承担。</w:t>
      </w:r>
    </w:p>
    <w:p>
      <w:pPr>
        <w:numPr>
          <w:ilvl w:val="0"/>
          <w:numId w:val="9"/>
        </w:numPr>
        <w:snapToGrid w:val="0"/>
        <w:spacing w:line="360" w:lineRule="auto"/>
        <w:ind w:left="0" w:leftChars="0" w:firstLine="420" w:firstLineChars="0"/>
        <w:rPr>
          <w:rFonts w:ascii="宋体" w:hAnsi="宋体"/>
          <w:sz w:val="24"/>
        </w:rPr>
      </w:pPr>
      <w:r>
        <w:rPr>
          <w:rFonts w:hint="eastAsia" w:ascii="宋体" w:hAnsi="宋体"/>
          <w:sz w:val="24"/>
        </w:rPr>
        <w:t>物业管理公司应根据合同要求兑现物业服务承诺，承担相应违约责任。</w:t>
      </w:r>
    </w:p>
    <w:p>
      <w:pPr>
        <w:pStyle w:val="2"/>
        <w:ind w:firstLine="480" w:firstLineChars="200"/>
        <w:rPr>
          <w:rFonts w:hint="eastAsia" w:ascii="宋体" w:hAnsi="宋体"/>
          <w:sz w:val="24"/>
          <w:lang w:val="en-US" w:eastAsia="zh-CN"/>
        </w:rPr>
      </w:pPr>
      <w:r>
        <w:rPr>
          <w:rFonts w:hint="eastAsia" w:ascii="宋体" w:hAnsi="宋体"/>
          <w:sz w:val="24"/>
          <w:lang w:eastAsia="zh-CN"/>
        </w:rPr>
        <w:t>（二十四）物业管理公司应</w:t>
      </w:r>
      <w:r>
        <w:rPr>
          <w:rFonts w:hint="eastAsia" w:ascii="宋体" w:hAnsi="宋体"/>
          <w:sz w:val="24"/>
          <w:lang w:val="en-US" w:eastAsia="zh-CN"/>
        </w:rPr>
        <w:t>依照相关法律法规，配合街道社区派驻民警做好小区日常安全管理并承担街道社区临时派驻在我小区内警务室日常使用所产生的的水电等其他物业管理相关费用，如发生异议，由物业管理公司与警务室使用单位协商解决。</w:t>
      </w:r>
    </w:p>
    <w:p>
      <w:pPr>
        <w:pStyle w:val="2"/>
        <w:ind w:firstLine="480" w:firstLineChars="200"/>
        <w:rPr>
          <w:rFonts w:hint="eastAsia" w:ascii="宋体" w:hAnsi="宋体"/>
          <w:sz w:val="24"/>
          <w:lang w:val="en-US" w:eastAsia="zh-CN"/>
        </w:rPr>
      </w:pPr>
      <w:r>
        <w:rPr>
          <w:rFonts w:hint="eastAsia" w:ascii="宋体" w:hAnsi="宋体"/>
          <w:sz w:val="24"/>
          <w:lang w:val="en-US" w:eastAsia="zh-CN"/>
        </w:rPr>
        <w:t>（二十五）物业管理公司应对小区内各视频监控点位做好日常巡逻巡检，并负责小区内所有公共视频监控设施设备的日常保养、维护、检修及更换，确保各视频监控点能正常运行，如涉及小区公共安全需要，经我单位提出后应及时进行加装和完善相关视频监控设施设备（含皇岗边检生活区2号楼视频监控系统）。</w:t>
      </w:r>
    </w:p>
    <w:p>
      <w:pPr>
        <w:pStyle w:val="2"/>
        <w:ind w:firstLine="480" w:firstLineChars="200"/>
        <w:rPr>
          <w:rFonts w:hint="default" w:ascii="宋体" w:hAnsi="宋体"/>
          <w:sz w:val="24"/>
          <w:lang w:val="en-US" w:eastAsia="zh-CN"/>
        </w:rPr>
      </w:pPr>
      <w:r>
        <w:rPr>
          <w:rFonts w:hint="eastAsia" w:ascii="宋体" w:hAnsi="宋体"/>
          <w:sz w:val="24"/>
          <w:lang w:val="en-US" w:eastAsia="zh-CN"/>
        </w:rPr>
        <w:t>(二十六）</w:t>
      </w:r>
      <w:r>
        <w:rPr>
          <w:rFonts w:hint="default" w:ascii="宋体" w:hAnsi="宋体"/>
          <w:sz w:val="24"/>
          <w:lang w:val="en-US" w:eastAsia="zh-CN"/>
        </w:rPr>
        <w:t>物业公司应承担我单位委托管理的小区内现有的电动车充电设施设备的日常巡检、故障维修、隐患整改责任，</w:t>
      </w:r>
      <w:r>
        <w:rPr>
          <w:rFonts w:hint="eastAsia" w:ascii="宋体" w:hAnsi="宋体"/>
          <w:sz w:val="24"/>
          <w:lang w:val="en-US" w:eastAsia="zh-CN"/>
        </w:rPr>
        <w:t>能够出具</w:t>
      </w:r>
      <w:r>
        <w:rPr>
          <w:rFonts w:hint="default" w:ascii="宋体" w:hAnsi="宋体"/>
          <w:sz w:val="24"/>
          <w:lang w:val="en-US" w:eastAsia="zh-CN"/>
        </w:rPr>
        <w:t>维护记录及第三方检测报告等书面材料</w:t>
      </w:r>
      <w:r>
        <w:rPr>
          <w:rFonts w:hint="eastAsia" w:ascii="宋体" w:hAnsi="宋体"/>
          <w:sz w:val="24"/>
          <w:lang w:val="en-US" w:eastAsia="zh-CN"/>
        </w:rPr>
        <w:t>。</w:t>
      </w:r>
      <w:r>
        <w:rPr>
          <w:rFonts w:hint="default" w:ascii="宋体" w:hAnsi="宋体"/>
          <w:sz w:val="24"/>
          <w:lang w:val="en-US" w:eastAsia="zh-CN"/>
        </w:rPr>
        <w:t>因充电桩巡检、故障维修、隐患整改不及时导致的人身或财产损害（包括火灾、电击、设施坍塌等），由物业公司承担全部赔偿责任。</w:t>
      </w:r>
    </w:p>
    <w:p>
      <w:pPr>
        <w:pStyle w:val="2"/>
        <w:ind w:firstLine="480" w:firstLineChars="200"/>
        <w:rPr>
          <w:rFonts w:hint="default" w:ascii="宋体" w:hAnsi="宋体"/>
          <w:sz w:val="24"/>
          <w:lang w:val="en-US" w:eastAsia="zh-CN"/>
        </w:rPr>
      </w:pPr>
      <w:r>
        <w:rPr>
          <w:rFonts w:hint="eastAsia" w:ascii="宋体" w:hAnsi="宋体"/>
          <w:sz w:val="24"/>
          <w:lang w:val="en-US" w:eastAsia="zh-CN"/>
        </w:rPr>
        <w:t>（二十七）物业管理公司</w:t>
      </w:r>
      <w:r>
        <w:rPr>
          <w:rFonts w:hint="default" w:ascii="宋体" w:hAnsi="宋体"/>
          <w:sz w:val="24"/>
          <w:lang w:val="en-US" w:eastAsia="zh-CN"/>
        </w:rPr>
        <w:t>如因多数业主、住户需求等</w:t>
      </w:r>
      <w:r>
        <w:rPr>
          <w:rFonts w:hint="eastAsia" w:ascii="宋体" w:hAnsi="宋体"/>
          <w:sz w:val="24"/>
          <w:lang w:val="en-US" w:eastAsia="zh-CN"/>
        </w:rPr>
        <w:t>认为</w:t>
      </w:r>
      <w:r>
        <w:rPr>
          <w:rFonts w:hint="default" w:ascii="宋体" w:hAnsi="宋体"/>
          <w:sz w:val="24"/>
          <w:lang w:val="en-US" w:eastAsia="zh-CN"/>
        </w:rPr>
        <w:t>确有必要在</w:t>
      </w:r>
      <w:r>
        <w:rPr>
          <w:rFonts w:hint="eastAsia" w:ascii="宋体" w:hAnsi="宋体"/>
          <w:sz w:val="24"/>
          <w:lang w:val="en-US" w:eastAsia="zh-CN"/>
        </w:rPr>
        <w:t>我单位委托管理的</w:t>
      </w:r>
      <w:r>
        <w:rPr>
          <w:rFonts w:hint="default" w:ascii="宋体" w:hAnsi="宋体"/>
          <w:sz w:val="24"/>
          <w:lang w:val="en-US" w:eastAsia="zh-CN"/>
        </w:rPr>
        <w:t>小区内另外加装电动车充电桩的，应当</w:t>
      </w:r>
      <w:r>
        <w:rPr>
          <w:rFonts w:hint="eastAsia" w:ascii="宋体" w:hAnsi="宋体"/>
          <w:sz w:val="24"/>
          <w:lang w:val="en-US" w:eastAsia="zh-CN"/>
        </w:rPr>
        <w:t>严格依据《中华人民共和国民法典》第272条、第278条、第942条、第1165条之相关规定，以及《关于加快居民区电动汽车充电基础设施建设的通知》《电动汽车充电站设计规范》（GB 50966）等相关法律法规，并</w:t>
      </w:r>
      <w:r>
        <w:rPr>
          <w:rFonts w:hint="default" w:ascii="宋体" w:hAnsi="宋体"/>
          <w:sz w:val="24"/>
          <w:lang w:val="en-US" w:eastAsia="zh-CN"/>
        </w:rPr>
        <w:t>严格遵循国家及地方</w:t>
      </w:r>
      <w:r>
        <w:rPr>
          <w:rFonts w:hint="eastAsia" w:ascii="宋体" w:hAnsi="宋体"/>
          <w:sz w:val="24"/>
          <w:lang w:val="en-US" w:eastAsia="zh-CN"/>
        </w:rPr>
        <w:t>其他</w:t>
      </w:r>
      <w:r>
        <w:rPr>
          <w:rFonts w:hint="default" w:ascii="宋体" w:hAnsi="宋体"/>
          <w:sz w:val="24"/>
          <w:lang w:val="en-US" w:eastAsia="zh-CN"/>
        </w:rPr>
        <w:t>相关规定标准</w:t>
      </w:r>
      <w:r>
        <w:rPr>
          <w:rFonts w:hint="eastAsia" w:ascii="宋体" w:hAnsi="宋体"/>
          <w:sz w:val="24"/>
          <w:lang w:val="en-US" w:eastAsia="zh-CN"/>
        </w:rPr>
        <w:t>进行加装</w:t>
      </w:r>
      <w:r>
        <w:rPr>
          <w:rFonts w:hint="default" w:ascii="宋体" w:hAnsi="宋体"/>
          <w:sz w:val="24"/>
          <w:lang w:val="en-US" w:eastAsia="zh-CN"/>
        </w:rPr>
        <w:t>，确保安全、合规</w:t>
      </w:r>
      <w:r>
        <w:rPr>
          <w:rFonts w:hint="eastAsia" w:ascii="宋体" w:hAnsi="宋体"/>
          <w:sz w:val="24"/>
          <w:lang w:val="en-US" w:eastAsia="zh-CN"/>
        </w:rPr>
        <w:t>，</w:t>
      </w:r>
      <w:r>
        <w:rPr>
          <w:rFonts w:hint="default" w:ascii="宋体" w:hAnsi="宋体"/>
          <w:sz w:val="24"/>
          <w:lang w:val="en-US" w:eastAsia="zh-CN"/>
        </w:rPr>
        <w:t>包括但不限于以下几点：一、严格遵循国家及行业关于充电桩的布局、消防要求、电气安全、接口规范、设备技术条件等的相关标准依据；二、安装场所必须符合消防安全管理规定，充电桩安装公司必须具备规定资质，所有充电桩区域必须安装24小时监控及自动断电装置；三、电力配置、电网负荷、安全防护措施必须符合国家及地方相关规定标准；四、安装流程必须遵照国家及地方相关规定要求履行严格的申请与审批、施工与验收程序，</w:t>
      </w:r>
      <w:r>
        <w:rPr>
          <w:rFonts w:hint="eastAsia" w:ascii="宋体" w:hAnsi="宋体"/>
          <w:sz w:val="24"/>
          <w:lang w:val="en-US" w:eastAsia="zh-CN"/>
        </w:rPr>
        <w:t>能够出具</w:t>
      </w:r>
      <w:r>
        <w:rPr>
          <w:rFonts w:hint="default" w:ascii="宋体" w:hAnsi="宋体"/>
          <w:sz w:val="24"/>
          <w:lang w:val="en-US" w:eastAsia="zh-CN"/>
        </w:rPr>
        <w:t>政府合规文件、消防验收合格证、电力扩容许可等必备文件，以及具备资质的机构出具的电路负载评估、安全防护方案等</w:t>
      </w:r>
      <w:r>
        <w:rPr>
          <w:rFonts w:hint="eastAsia" w:ascii="宋体" w:hAnsi="宋体"/>
          <w:sz w:val="24"/>
          <w:lang w:val="en-US" w:eastAsia="zh-CN"/>
        </w:rPr>
        <w:t>文件</w:t>
      </w:r>
      <w:r>
        <w:rPr>
          <w:rFonts w:hint="default" w:ascii="宋体" w:hAnsi="宋体"/>
          <w:sz w:val="24"/>
          <w:lang w:val="en-US" w:eastAsia="zh-CN"/>
        </w:rPr>
        <w:t>；五、充电桩投入使用后，物业公司承担日常巡检、故障维修、隐患整改责任，</w:t>
      </w:r>
      <w:r>
        <w:rPr>
          <w:rFonts w:hint="eastAsia" w:ascii="宋体" w:hAnsi="宋体"/>
          <w:sz w:val="24"/>
          <w:lang w:val="en-US" w:eastAsia="zh-CN"/>
        </w:rPr>
        <w:t>能够出具定期</w:t>
      </w:r>
      <w:r>
        <w:rPr>
          <w:rFonts w:hint="default" w:ascii="宋体" w:hAnsi="宋体"/>
          <w:sz w:val="24"/>
          <w:lang w:val="en-US" w:eastAsia="zh-CN"/>
        </w:rPr>
        <w:t>维护记录及第三方检测报告等书面材料；六、因充电桩</w:t>
      </w:r>
      <w:r>
        <w:rPr>
          <w:rFonts w:hint="eastAsia" w:ascii="宋体" w:hAnsi="宋体"/>
          <w:sz w:val="24"/>
          <w:lang w:val="en-US" w:eastAsia="zh-CN"/>
        </w:rPr>
        <w:t>加</w:t>
      </w:r>
      <w:r>
        <w:rPr>
          <w:rFonts w:hint="default" w:ascii="宋体" w:hAnsi="宋体"/>
          <w:sz w:val="24"/>
          <w:lang w:val="en-US" w:eastAsia="zh-CN"/>
        </w:rPr>
        <w:t>装、运维导致的人身或财产损害（包括火灾、电击、设施坍塌等），由物业公司承担全部赔偿责任；七、</w:t>
      </w:r>
      <w:r>
        <w:rPr>
          <w:rFonts w:hint="eastAsia" w:ascii="宋体" w:hAnsi="宋体"/>
          <w:sz w:val="24"/>
          <w:lang w:val="en-US" w:eastAsia="zh-CN"/>
        </w:rPr>
        <w:t>建议</w:t>
      </w:r>
      <w:r>
        <w:rPr>
          <w:rFonts w:hint="default" w:ascii="宋体" w:hAnsi="宋体"/>
          <w:sz w:val="24"/>
          <w:lang w:val="en-US" w:eastAsia="zh-CN"/>
        </w:rPr>
        <w:t>物业公司购买专项保险</w:t>
      </w:r>
      <w:r>
        <w:rPr>
          <w:rFonts w:hint="eastAsia" w:ascii="宋体" w:hAnsi="宋体"/>
          <w:sz w:val="24"/>
          <w:lang w:val="en-US" w:eastAsia="zh-CN"/>
        </w:rPr>
        <w:t>，</w:t>
      </w:r>
      <w:r>
        <w:rPr>
          <w:rFonts w:hint="default" w:ascii="宋体" w:hAnsi="宋体"/>
          <w:sz w:val="24"/>
          <w:lang w:val="en-US" w:eastAsia="zh-CN"/>
        </w:rPr>
        <w:t>包括公共责任险、覆盖充电桩本身及关联设施损失的财产险等；八、发生私自安装充电桩或由此引发重大事故的，我单位有权立即解除合同，且物业公司需支付惩罚性违约金。</w:t>
      </w:r>
    </w:p>
    <w:p>
      <w:pPr>
        <w:pStyle w:val="2"/>
        <w:ind w:firstLine="480" w:firstLineChars="200"/>
        <w:rPr>
          <w:rFonts w:hint="eastAsia" w:eastAsia="宋体"/>
          <w:lang w:eastAsia="zh-CN"/>
        </w:rPr>
      </w:pPr>
      <w:r>
        <w:rPr>
          <w:rFonts w:hint="eastAsia" w:ascii="宋体" w:hAnsi="宋体"/>
          <w:sz w:val="24"/>
          <w:lang w:eastAsia="zh-CN"/>
        </w:rPr>
        <w:t>（二十八）物业管理公司应严格遵守《深圳经济特区物业管理条例》相关规定做好物业服务和物业安全管理，尤其是第五十七条、第五十八条、第六十一条、第六十二条、第六十四条、第六十五条、第六十六条、第六十八条、第七十三条、第七十八条、第七十九条、第八十一条、第八十二条及第八十五条内规定的相关法律义务和责任。</w:t>
      </w:r>
    </w:p>
    <w:p>
      <w:pPr>
        <w:spacing w:line="360" w:lineRule="auto"/>
        <w:ind w:firstLine="482" w:firstLineChars="200"/>
        <w:rPr>
          <w:rFonts w:ascii="宋体" w:hAnsi="宋体"/>
          <w:b/>
          <w:sz w:val="24"/>
        </w:rPr>
      </w:pPr>
      <w:r>
        <w:rPr>
          <w:rFonts w:hint="eastAsia" w:ascii="宋体" w:hAnsi="宋体"/>
          <w:b/>
          <w:sz w:val="24"/>
        </w:rPr>
        <w:t>注:参考执行《深圳市住宅物业管理服务收费指导标准》(深价规[2007</w:t>
      </w:r>
      <w:r>
        <w:rPr>
          <w:rFonts w:ascii="宋体" w:hAnsi="宋体"/>
          <w:b/>
          <w:sz w:val="24"/>
        </w:rPr>
        <w:t>]</w:t>
      </w:r>
      <w:r>
        <w:rPr>
          <w:rFonts w:hint="eastAsia" w:ascii="宋体" w:hAnsi="宋体"/>
          <w:b/>
          <w:sz w:val="24"/>
        </w:rPr>
        <w:t>1号)三级以上标准。</w:t>
      </w:r>
    </w:p>
    <w:p>
      <w:pPr>
        <w:pStyle w:val="24"/>
        <w:numPr>
          <w:ilvl w:val="0"/>
          <w:numId w:val="7"/>
        </w:numPr>
        <w:tabs>
          <w:tab w:val="left" w:pos="540"/>
        </w:tabs>
        <w:snapToGrid w:val="0"/>
        <w:spacing w:line="360" w:lineRule="auto"/>
        <w:rPr>
          <w:rFonts w:ascii="宋体" w:hAnsi="宋体"/>
          <w:bCs/>
          <w:sz w:val="24"/>
          <w:szCs w:val="24"/>
        </w:rPr>
      </w:pPr>
      <w:r>
        <w:rPr>
          <w:rFonts w:hint="eastAsia" w:ascii="宋体" w:hAnsi="宋体"/>
          <w:b/>
          <w:sz w:val="24"/>
          <w:szCs w:val="24"/>
        </w:rPr>
        <w:t>人员设置要</w:t>
      </w:r>
      <w:r>
        <w:rPr>
          <w:rFonts w:hint="eastAsia" w:ascii="宋体" w:hAnsi="宋体"/>
          <w:b/>
          <w:bCs w:val="0"/>
          <w:sz w:val="24"/>
          <w:szCs w:val="24"/>
        </w:rPr>
        <w:t>求</w:t>
      </w:r>
    </w:p>
    <w:p>
      <w:pPr>
        <w:spacing w:line="360" w:lineRule="auto"/>
        <w:ind w:firstLine="360" w:firstLineChars="150"/>
        <w:rPr>
          <w:rFonts w:hint="eastAsia" w:ascii="宋体" w:hAnsi="宋体" w:eastAsia="宋体"/>
          <w:sz w:val="24"/>
          <w:lang w:eastAsia="zh-CN"/>
        </w:rPr>
      </w:pPr>
      <w:r>
        <w:rPr>
          <w:rFonts w:hint="default" w:ascii="宋体" w:hAnsi="宋体"/>
          <w:sz w:val="24"/>
        </w:rPr>
        <w:t>要求配备总人数3</w:t>
      </w:r>
      <w:r>
        <w:rPr>
          <w:rFonts w:hint="eastAsia" w:ascii="宋体" w:hAnsi="宋体"/>
          <w:sz w:val="24"/>
          <w:lang w:val="en-US" w:eastAsia="zh-CN"/>
        </w:rPr>
        <w:t>0</w:t>
      </w:r>
      <w:r>
        <w:rPr>
          <w:rFonts w:hint="default" w:ascii="宋体" w:hAnsi="宋体"/>
          <w:sz w:val="24"/>
        </w:rPr>
        <w:t>人，按照招标需求进行配备，从业人员必须具有相应从业资质。其中管理处主任1人，财务</w:t>
      </w:r>
      <w:r>
        <w:rPr>
          <w:rFonts w:hint="default" w:ascii="宋体" w:hAnsi="宋体"/>
          <w:sz w:val="24"/>
          <w:lang w:eastAsia="zh-CN"/>
        </w:rPr>
        <w:t>文员</w:t>
      </w:r>
      <w:r>
        <w:rPr>
          <w:rFonts w:hint="default" w:ascii="宋体" w:hAnsi="宋体"/>
          <w:sz w:val="24"/>
        </w:rPr>
        <w:t>1人，保安班长1人，保安1</w:t>
      </w:r>
      <w:r>
        <w:rPr>
          <w:rFonts w:hint="eastAsia" w:ascii="宋体" w:hAnsi="宋体"/>
          <w:sz w:val="24"/>
          <w:lang w:val="en-US" w:eastAsia="zh-CN"/>
        </w:rPr>
        <w:t>2</w:t>
      </w:r>
      <w:r>
        <w:rPr>
          <w:rFonts w:hint="default" w:ascii="宋体" w:hAnsi="宋体"/>
          <w:sz w:val="24"/>
        </w:rPr>
        <w:t>人（保税区保安3人，皇岗边检生活区正门</w:t>
      </w:r>
      <w:r>
        <w:rPr>
          <w:rFonts w:hint="eastAsia" w:ascii="宋体" w:hAnsi="宋体"/>
          <w:sz w:val="24"/>
          <w:lang w:val="en-US" w:eastAsia="zh-CN"/>
        </w:rPr>
        <w:t>3</w:t>
      </w:r>
      <w:r>
        <w:rPr>
          <w:rFonts w:hint="default" w:ascii="宋体" w:hAnsi="宋体"/>
          <w:sz w:val="24"/>
        </w:rPr>
        <w:t>人，副门3人，巡查岗位</w:t>
      </w:r>
      <w:r>
        <w:rPr>
          <w:rFonts w:hint="default" w:ascii="宋体" w:hAnsi="宋体"/>
          <w:sz w:val="24"/>
          <w:lang w:val="en-US" w:eastAsia="zh-CN"/>
        </w:rPr>
        <w:t>2</w:t>
      </w:r>
      <w:r>
        <w:rPr>
          <w:rFonts w:hint="default" w:ascii="宋体" w:hAnsi="宋体"/>
          <w:sz w:val="24"/>
        </w:rPr>
        <w:t>人</w:t>
      </w:r>
      <w:r>
        <w:rPr>
          <w:rFonts w:hint="default" w:ascii="宋体" w:hAnsi="宋体"/>
          <w:sz w:val="24"/>
          <w:lang w:eastAsia="zh-CN"/>
        </w:rPr>
        <w:t>，沙头执勤点</w:t>
      </w:r>
      <w:r>
        <w:rPr>
          <w:rFonts w:hint="default" w:ascii="宋体" w:hAnsi="宋体"/>
          <w:sz w:val="24"/>
          <w:lang w:val="en-US" w:eastAsia="zh-CN"/>
        </w:rPr>
        <w:t>1人</w:t>
      </w:r>
      <w:r>
        <w:rPr>
          <w:rFonts w:hint="default" w:ascii="宋体" w:hAnsi="宋体"/>
          <w:sz w:val="24"/>
        </w:rPr>
        <w:t>），消防和治安监控平台1人，维修工2人，保洁班长1人，清洁工10人（保税区新桂花村2人，皇岗边检生活区公共区域2人，皇福苑2人，2号楼1人，剩余9栋小</w:t>
      </w:r>
      <w:r>
        <w:rPr>
          <w:rFonts w:hint="eastAsia" w:ascii="宋体" w:hAnsi="宋体"/>
          <w:sz w:val="24"/>
          <w:lang w:eastAsia="zh-CN"/>
        </w:rPr>
        <w:t>多</w:t>
      </w:r>
      <w:r>
        <w:rPr>
          <w:rFonts w:hint="default" w:ascii="宋体" w:hAnsi="宋体"/>
          <w:sz w:val="24"/>
        </w:rPr>
        <w:t>层按照3栋配备1个保洁</w:t>
      </w:r>
      <w:r>
        <w:rPr>
          <w:rFonts w:hint="eastAsia" w:ascii="宋体" w:hAnsi="宋体"/>
          <w:sz w:val="24"/>
        </w:rPr>
        <w:t>员的标准配备），绿化工1人</w:t>
      </w:r>
      <w:r>
        <w:rPr>
          <w:rFonts w:hint="eastAsia" w:ascii="宋体" w:hAnsi="宋体"/>
          <w:sz w:val="24"/>
          <w:lang w:eastAsia="zh-CN"/>
        </w:rPr>
        <w:t>。</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管理目标要求</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物业管理公司应24小时值班，保安人员24小时巡逻，清洁范围全天保持洁净，各类工作人员服务意识、敬业意识强，言行规范，形象好，业务素质高。</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有效利用、管理、完善社区文化服务场地设施，年度开展形式多样、内容丰富的文体活动。</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小区内绿化覆盖率80%以上，园林绿地花草、树木长势良好，修剪整齐美观；公共配套设施完好。</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房屋及配套设施维护运行状态良好。完善的配套设施系统，包括消防、强弱电、给排水、安防监控等系统运行状态良好。</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有效引导出入小区车辆行驶、停泊，加强车辆监管，100%无出现违章违停、车辆人为损坏等现象，秩序良好。</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年度内无发生重大安全、恶性、群体性责任事故。</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达到市区相关主管部门考评标准90分以上。</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年度业主/住户服务测评满意率90%以上。</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年度业主/住户保洁测评满意率95%以上。</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年度业主/住户服务测评及时率99%以上。</w:t>
      </w:r>
    </w:p>
    <w:p>
      <w:pPr>
        <w:numPr>
          <w:ilvl w:val="0"/>
          <w:numId w:val="10"/>
        </w:numPr>
        <w:spacing w:line="360" w:lineRule="auto"/>
        <w:ind w:left="0" w:leftChars="0" w:firstLine="420" w:firstLineChars="0"/>
        <w:rPr>
          <w:rFonts w:hint="eastAsia" w:ascii="宋体" w:hAnsi="宋体"/>
          <w:sz w:val="24"/>
        </w:rPr>
      </w:pPr>
      <w:r>
        <w:rPr>
          <w:rFonts w:hint="eastAsia" w:ascii="宋体" w:hAnsi="宋体"/>
          <w:sz w:val="24"/>
        </w:rPr>
        <w:t>外来人员登记率达到100%。</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管理服务费用</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本物业管理服务按三类以上的标准执行，管理费用由物业管理公司向业主或物业使用人收取，物业管理公司自负盈亏。</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本物业住宅楼每户物业管理服务费按建筑面积计算。</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本物业收费标准:</w:t>
      </w:r>
    </w:p>
    <w:p>
      <w:pPr>
        <w:spacing w:line="360" w:lineRule="auto"/>
        <w:ind w:left="0" w:leftChars="0" w:firstLine="398" w:firstLineChars="166"/>
        <w:rPr>
          <w:rFonts w:hint="eastAsia" w:ascii="宋体" w:hAnsi="宋体"/>
          <w:sz w:val="24"/>
        </w:rPr>
      </w:pPr>
      <w:r>
        <w:rPr>
          <w:rFonts w:hint="eastAsia" w:ascii="宋体" w:hAnsi="宋体"/>
          <w:sz w:val="24"/>
        </w:rPr>
        <w:t>皇岗边检生活区：多层（14、15、18、19、20、21、22、26栋）0.5元/平方米/月，小高层（皇福苑）1.8元/平方米/月；</w:t>
      </w:r>
    </w:p>
    <w:p>
      <w:pPr>
        <w:spacing w:line="360" w:lineRule="auto"/>
        <w:ind w:left="0" w:leftChars="0" w:firstLine="398" w:firstLineChars="166"/>
        <w:rPr>
          <w:rFonts w:hint="eastAsia" w:ascii="宋体" w:hAnsi="宋体"/>
          <w:sz w:val="24"/>
        </w:rPr>
      </w:pPr>
      <w:r>
        <w:rPr>
          <w:rFonts w:hint="eastAsia" w:ascii="宋体" w:hAnsi="宋体"/>
          <w:sz w:val="24"/>
        </w:rPr>
        <w:t>2号楼：小高层1.2元/平方米/月；</w:t>
      </w:r>
    </w:p>
    <w:p>
      <w:pPr>
        <w:spacing w:line="360" w:lineRule="auto"/>
        <w:ind w:left="0" w:leftChars="0" w:firstLine="398" w:firstLineChars="166"/>
        <w:rPr>
          <w:rFonts w:hint="eastAsia" w:ascii="宋体" w:hAnsi="宋体"/>
          <w:sz w:val="24"/>
        </w:rPr>
      </w:pPr>
      <w:r>
        <w:rPr>
          <w:rFonts w:hint="eastAsia" w:ascii="宋体" w:hAnsi="宋体"/>
          <w:sz w:val="24"/>
        </w:rPr>
        <w:t>福田区菩提路新桂花村边检宿舍楼：多层0.5元/平方米/月。</w:t>
      </w:r>
    </w:p>
    <w:p>
      <w:pPr>
        <w:spacing w:line="360" w:lineRule="auto"/>
        <w:ind w:left="0" w:leftChars="0" w:firstLine="398" w:firstLineChars="166"/>
        <w:rPr>
          <w:rFonts w:hint="eastAsia" w:ascii="宋体" w:hAnsi="宋体"/>
          <w:sz w:val="24"/>
        </w:rPr>
      </w:pPr>
      <w:r>
        <w:rPr>
          <w:rFonts w:hint="eastAsia" w:ascii="宋体" w:hAnsi="宋体"/>
          <w:sz w:val="24"/>
        </w:rPr>
        <w:t>皇岗边检站沙头执勤点因仍未移交福田区政府，且部分站内固定资产仍存放在工作站内，需安排人员24小时进行监管，为贯彻落实过紧日子的工作要求，按照实际物业管理费用标准进行测算（8.09万元/年），后期由中标服务商增派物业人员提供管理服务，相关服务费按照实际服务时间进行核算。</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物业管理公司负责办妥本物业停车场合法的相关牌照手续，对停车场进行经营管理，停车收费按深圳市相关规定标准执行，即：室外110元/位/月，无地下停车位。停车费由物业管理公司向业主直接收取。我单位公务车辆、军警号牌车辆免交停车费。</w:t>
      </w:r>
    </w:p>
    <w:p>
      <w:pPr>
        <w:spacing w:line="360" w:lineRule="auto"/>
        <w:ind w:left="0" w:leftChars="0" w:firstLine="398" w:firstLineChars="166"/>
        <w:rPr>
          <w:rFonts w:hint="eastAsia" w:ascii="宋体" w:hAnsi="宋体" w:eastAsia="宋体"/>
          <w:sz w:val="24"/>
          <w:lang w:eastAsia="zh-CN"/>
        </w:rPr>
      </w:pPr>
      <w:r>
        <w:rPr>
          <w:rFonts w:hint="eastAsia" w:ascii="宋体" w:hAnsi="宋体"/>
          <w:sz w:val="24"/>
        </w:rPr>
        <w:t>在优先保障</w:t>
      </w:r>
      <w:r>
        <w:rPr>
          <w:rFonts w:hint="eastAsia" w:ascii="宋体" w:hAnsi="宋体"/>
          <w:sz w:val="24"/>
          <w:lang w:eastAsia="zh-CN"/>
        </w:rPr>
        <w:t>本小区</w:t>
      </w:r>
      <w:r>
        <w:rPr>
          <w:rFonts w:hint="eastAsia" w:ascii="宋体" w:hAnsi="宋体"/>
          <w:sz w:val="24"/>
        </w:rPr>
        <w:t>业主私家车辆、</w:t>
      </w:r>
      <w:r>
        <w:rPr>
          <w:rFonts w:hint="eastAsia" w:ascii="宋体" w:hAnsi="宋体"/>
          <w:sz w:val="24"/>
          <w:lang w:eastAsia="zh-CN"/>
        </w:rPr>
        <w:t>单位</w:t>
      </w:r>
      <w:r>
        <w:rPr>
          <w:rFonts w:hint="eastAsia" w:ascii="宋体" w:hAnsi="宋体"/>
          <w:sz w:val="24"/>
        </w:rPr>
        <w:t>公务车辆正常停放的前提下，物业管理公司</w:t>
      </w:r>
      <w:r>
        <w:rPr>
          <w:rFonts w:hint="eastAsia" w:ascii="宋体" w:hAnsi="宋体"/>
          <w:sz w:val="24"/>
          <w:lang w:eastAsia="zh-CN"/>
        </w:rPr>
        <w:t>可以</w:t>
      </w:r>
      <w:r>
        <w:rPr>
          <w:rFonts w:hint="eastAsia" w:ascii="宋体" w:hAnsi="宋体"/>
          <w:sz w:val="24"/>
        </w:rPr>
        <w:t>适当允许临时外来车辆有序停放</w:t>
      </w:r>
      <w:r>
        <w:rPr>
          <w:rFonts w:hint="eastAsia" w:ascii="宋体" w:hAnsi="宋体"/>
          <w:sz w:val="24"/>
          <w:lang w:eastAsia="zh-CN"/>
        </w:rPr>
        <w:t>并</w:t>
      </w:r>
      <w:r>
        <w:rPr>
          <w:rFonts w:hint="eastAsia" w:ascii="宋体" w:hAnsi="宋体"/>
          <w:sz w:val="24"/>
        </w:rPr>
        <w:t>加强管理，禁止乱停放，</w:t>
      </w:r>
      <w:r>
        <w:rPr>
          <w:rFonts w:hint="eastAsia" w:ascii="宋体" w:hAnsi="宋体"/>
          <w:sz w:val="24"/>
          <w:lang w:eastAsia="zh-CN"/>
        </w:rPr>
        <w:t>也可以</w:t>
      </w:r>
      <w:r>
        <w:rPr>
          <w:rFonts w:hint="eastAsia" w:ascii="宋体" w:hAnsi="宋体"/>
          <w:sz w:val="24"/>
        </w:rPr>
        <w:t>按规定收取停车费，作为管理服务费。</w:t>
      </w:r>
      <w:r>
        <w:rPr>
          <w:rFonts w:hint="eastAsia" w:ascii="宋体" w:hAnsi="宋体"/>
          <w:sz w:val="24"/>
          <w:lang w:eastAsia="zh-CN"/>
        </w:rPr>
        <w:t>但是，对于停车月卡备案车辆应当严格控制总量，进行限额管理，如确有必要登记备案为月卡车辆，须将登记备案情况书面报我单位备案。</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物业管理公司对物业产权人、使用人的房屋自用部位、自用设备的维修养护，及其它特殊服务，采取成本核算方式，按实际发生费用计收，但物业管理公司需明确列出上述收费项目的清单及收费标准，我单位有权对收费项目及标准进行审核和监督。</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本物业的公共照明、电梯运行发生的电费；清洁、绿化发生的水费由物业管理公司承担；公共部分更换的照明灯管、灯泡、电源开关、水龙头等材料费、人工费由物业管理公司承担。</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涉及未实行抄表到户的水电费，由物业管理服务公司先行垫支后再向业主及用户收取水电费。</w:t>
      </w:r>
    </w:p>
    <w:p>
      <w:pPr>
        <w:numPr>
          <w:ilvl w:val="0"/>
          <w:numId w:val="11"/>
        </w:numPr>
        <w:spacing w:line="360" w:lineRule="auto"/>
        <w:ind w:left="0" w:leftChars="0" w:firstLine="420" w:firstLineChars="0"/>
        <w:rPr>
          <w:rFonts w:hint="eastAsia" w:ascii="宋体" w:hAnsi="宋体"/>
          <w:sz w:val="24"/>
        </w:rPr>
      </w:pPr>
      <w:r>
        <w:rPr>
          <w:rFonts w:hint="eastAsia" w:ascii="宋体" w:hAnsi="宋体"/>
          <w:sz w:val="24"/>
        </w:rPr>
        <w:t>由于本物业未设立房屋本体维修基金，物业管理公司可根据实际情况，对房屋本体维修提出方案，报我单位审核同意后，</w:t>
      </w:r>
      <w:r>
        <w:rPr>
          <w:rFonts w:hint="eastAsia" w:ascii="宋体" w:hAnsi="宋体"/>
          <w:sz w:val="24"/>
          <w:lang w:eastAsia="zh-CN"/>
        </w:rPr>
        <w:t>可以</w:t>
      </w:r>
      <w:r>
        <w:rPr>
          <w:rFonts w:hint="eastAsia" w:ascii="宋体" w:hAnsi="宋体"/>
          <w:sz w:val="24"/>
        </w:rPr>
        <w:t>由我单位进行维修（因皇福苑绝大多数住户已转红本，已经设立房屋本体维修基金，不包含在上述范围内，房屋本体维修由专项维修基金支出），包括：</w:t>
      </w:r>
    </w:p>
    <w:p>
      <w:pPr>
        <w:spacing w:line="360" w:lineRule="auto"/>
        <w:ind w:left="0" w:leftChars="0" w:firstLine="398" w:firstLineChars="166"/>
        <w:rPr>
          <w:rFonts w:hint="eastAsia" w:ascii="宋体" w:hAnsi="宋体"/>
          <w:sz w:val="24"/>
        </w:rPr>
      </w:pPr>
      <w:r>
        <w:rPr>
          <w:rFonts w:hint="eastAsia" w:ascii="宋体" w:hAnsi="宋体"/>
          <w:sz w:val="24"/>
        </w:rPr>
        <w:t>①房屋本体维修：房屋外墙面、楼梯间、走廊通道、门厅、机电设备、上下水管道、公用水池、水泵、楼内消防设施设备、电梯等中修、大修或更新。房屋承重结构部位（含楼盖、层顶、梁、柱、内外墙体和基础等）和抗震结构部位中修、大修。</w:t>
      </w:r>
    </w:p>
    <w:p>
      <w:pPr>
        <w:spacing w:line="360" w:lineRule="auto"/>
        <w:ind w:left="0" w:leftChars="0" w:firstLine="398" w:firstLineChars="166"/>
        <w:rPr>
          <w:rFonts w:ascii="宋体" w:hAnsi="宋体"/>
          <w:sz w:val="24"/>
        </w:rPr>
      </w:pPr>
      <w:r>
        <w:rPr>
          <w:rFonts w:hint="eastAsia" w:ascii="宋体" w:hAnsi="宋体"/>
          <w:sz w:val="24"/>
        </w:rPr>
        <w:t>②共用设施维修（不含日常维修） ：路面、路基整体翻新或重建（不含小范围修补）；路灯线路整体改造或重新铺设；排水沟、渠、池、井的整体翻新更换或改造；园林绿化花草、树木重新种植、更新或改造（不含小范围修补）；停车场、车棚更新、改造或改建（不含日常维修）；给排水、强弱电、排污系统设施的大修、更新或改造；文化娱乐场地及设施的更新、改造或改建；消防系统、门禁系统等配套设施。</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共用部位和共用设施经营</w:t>
      </w:r>
    </w:p>
    <w:p>
      <w:pPr>
        <w:snapToGrid w:val="0"/>
        <w:spacing w:line="360" w:lineRule="auto"/>
        <w:ind w:firstLine="480" w:firstLineChars="200"/>
        <w:rPr>
          <w:rFonts w:ascii="宋体" w:hAnsi="宋体"/>
          <w:sz w:val="24"/>
        </w:rPr>
      </w:pPr>
      <w:bookmarkStart w:id="53" w:name="OLE_LINK15"/>
      <w:r>
        <w:rPr>
          <w:rFonts w:hint="eastAsia" w:ascii="宋体" w:hAnsi="宋体"/>
          <w:sz w:val="24"/>
        </w:rPr>
        <w:t>中标人将</w:t>
      </w:r>
      <w:bookmarkEnd w:id="53"/>
      <w:r>
        <w:rPr>
          <w:rFonts w:hint="eastAsia" w:ascii="宋体" w:hAnsi="宋体"/>
          <w:sz w:val="24"/>
        </w:rPr>
        <w:t>归业主所有的共用部位、共用设施用于广告、商业促销等活动，在符合国家的法律、法规、规章的前提下，应事先征得采购人书面同意，并每半年向采购人公布收益情况，接受采购人监督。本住宅区公共区域的电梯广告及相关收入、除中标人权属之外的停车场收入、特约服务收入等，公开透明，合理合规，使用于本小区物业。</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委托管理期限</w:t>
      </w:r>
    </w:p>
    <w:p>
      <w:pPr>
        <w:spacing w:line="360" w:lineRule="auto"/>
        <w:ind w:firstLine="600" w:firstLineChars="250"/>
        <w:rPr>
          <w:rFonts w:ascii="宋体" w:hAnsi="宋体"/>
          <w:sz w:val="24"/>
        </w:rPr>
      </w:pPr>
      <w:r>
        <w:rPr>
          <w:rFonts w:hint="eastAsia" w:ascii="宋体" w:hAnsi="宋体" w:cs="仿宋_GB2312"/>
          <w:kern w:val="2"/>
          <w:sz w:val="24"/>
        </w:rPr>
        <w:t>委托管理期限3年。</w:t>
      </w:r>
      <w:r>
        <w:rPr>
          <w:rFonts w:hint="eastAsia"/>
        </w:rPr>
        <w:t>本项目为长期服务项目，合同期满可以续签，但合同履行期限最长不得超过三十六个月。如甲方对履约情况不满意，</w:t>
      </w:r>
      <w:r>
        <w:rPr>
          <w:rFonts w:hint="eastAsia" w:ascii="宋体" w:hAnsi="宋体" w:cs="宋体"/>
          <w:color w:val="000000"/>
          <w:sz w:val="20"/>
          <w:szCs w:val="20"/>
          <w:lang w:val="en-US" w:eastAsia="zh-CN"/>
        </w:rPr>
        <w:t>或政策等客观原因</w:t>
      </w:r>
      <w:r>
        <w:rPr>
          <w:rFonts w:hint="eastAsia" w:ascii="宋体" w:hAnsi="宋体" w:cs="宋体"/>
          <w:color w:val="000000"/>
          <w:sz w:val="20"/>
          <w:szCs w:val="20"/>
        </w:rPr>
        <w:t>，</w:t>
      </w:r>
      <w:r>
        <w:rPr>
          <w:rFonts w:hint="eastAsia"/>
        </w:rPr>
        <w:t>甲方不再续约。</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特殊情况</w:t>
      </w:r>
    </w:p>
    <w:p>
      <w:pPr>
        <w:spacing w:line="360" w:lineRule="auto"/>
        <w:ind w:firstLine="600" w:firstLineChars="250"/>
        <w:rPr>
          <w:rFonts w:hint="eastAsia" w:ascii="宋体" w:hAnsi="宋体" w:cs="仿宋_GB2312"/>
          <w:kern w:val="2"/>
          <w:sz w:val="24"/>
        </w:rPr>
      </w:pPr>
      <w:r>
        <w:rPr>
          <w:rFonts w:hint="eastAsia" w:ascii="宋体" w:hAnsi="宋体" w:cs="仿宋_GB2312"/>
          <w:kern w:val="2"/>
          <w:sz w:val="24"/>
        </w:rPr>
        <w:t>若因</w:t>
      </w:r>
      <w:r>
        <w:rPr>
          <w:rFonts w:hint="eastAsia" w:ascii="宋体" w:hAnsi="宋体" w:cs="仿宋_GB2312"/>
          <w:kern w:val="2"/>
          <w:sz w:val="24"/>
          <w:lang w:val="en-US" w:eastAsia="zh-CN"/>
        </w:rPr>
        <w:t>政府征收、拆迁等行政行为或者因法律法规或上级单位要求变更物业管理（包括沙头执勤点物业移交）等政策原因导致物业管理服务基础条件发生重大变化，我方因在知悉政策变动后30日内告知对方，双方应在告知后30日内协商变更合同，协商不成的，我方可以单方解除合同，</w:t>
      </w:r>
      <w:r>
        <w:rPr>
          <w:rFonts w:hint="eastAsia" w:ascii="宋体" w:hAnsi="宋体" w:cs="仿宋_GB2312"/>
          <w:kern w:val="2"/>
          <w:sz w:val="24"/>
        </w:rPr>
        <w:t>但应当提前30日告知对方解除合同的时限。</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报价要求</w:t>
      </w:r>
    </w:p>
    <w:p>
      <w:pPr>
        <w:spacing w:line="360" w:lineRule="auto"/>
        <w:ind w:firstLine="480" w:firstLineChars="200"/>
        <w:rPr>
          <w:rFonts w:ascii="宋体" w:hAnsi="宋体"/>
          <w:sz w:val="24"/>
        </w:rPr>
      </w:pPr>
      <w:r>
        <w:rPr>
          <w:rFonts w:hint="eastAsia" w:ascii="宋体" w:hAnsi="宋体"/>
          <w:sz w:val="24"/>
        </w:rPr>
        <w:t>（一）本项目的投标报价要以住宅面积为基础,待分配完毕交付使用时起,计收物业管理费。</w:t>
      </w:r>
    </w:p>
    <w:p>
      <w:pPr>
        <w:spacing w:line="360" w:lineRule="auto"/>
        <w:ind w:firstLine="480" w:firstLineChars="200"/>
        <w:rPr>
          <w:rFonts w:ascii="宋体" w:hAnsi="宋体"/>
          <w:sz w:val="24"/>
        </w:rPr>
      </w:pPr>
      <w:r>
        <w:rPr>
          <w:rFonts w:hint="eastAsia" w:ascii="宋体" w:hAnsi="宋体"/>
          <w:sz w:val="24"/>
        </w:rPr>
        <w:t>（二）本项目服务费采用包干制,应包括服务成本,法定税费和企业的利润。由企业根据招标文件所提供的资料自行测算投标报价；一经中标,投标报价总价作为中标人与采购人签订的合同金额,合同期限内不做调整。</w:t>
      </w:r>
    </w:p>
    <w:p>
      <w:pPr>
        <w:spacing w:line="360" w:lineRule="auto"/>
        <w:ind w:firstLine="480" w:firstLineChars="200"/>
        <w:rPr>
          <w:rFonts w:hint="eastAsia" w:ascii="宋体" w:hAnsi="宋体" w:cs="Times New Roman"/>
          <w:sz w:val="24"/>
        </w:rPr>
      </w:pPr>
      <w:r>
        <w:rPr>
          <w:rFonts w:hint="eastAsia" w:ascii="宋体" w:hAnsi="宋体"/>
          <w:sz w:val="24"/>
        </w:rPr>
        <w:t>（三）投标人应根据本企业的成本自行决定报价,但不得以低于其企业成本</w:t>
      </w:r>
      <w:r>
        <w:rPr>
          <w:rFonts w:hint="eastAsia" w:ascii="宋体" w:hAnsi="宋体" w:cs="Times New Roman"/>
          <w:sz w:val="24"/>
        </w:rPr>
        <w:t>的报价投标。</w:t>
      </w:r>
    </w:p>
    <w:p>
      <w:pPr>
        <w:spacing w:line="360" w:lineRule="auto"/>
        <w:ind w:firstLine="480" w:firstLineChars="200"/>
        <w:rPr>
          <w:rFonts w:hint="eastAsia" w:ascii="宋体" w:hAnsi="宋体" w:eastAsia="宋体" w:cs="Times New Roman"/>
          <w:sz w:val="24"/>
          <w:lang w:eastAsia="zh-CN"/>
        </w:rPr>
      </w:pPr>
      <w:r>
        <w:rPr>
          <w:rFonts w:hint="eastAsia" w:ascii="宋体" w:hAnsi="宋体" w:cs="Times New Roman"/>
          <w:sz w:val="24"/>
        </w:rPr>
        <w:t>（四）本项目有效投标报价:皇岗边检生活区多层建筑和新桂花村边检宿舍楼物业服务收费标准为0.5元/平方米/月，2号楼物业服务收费标准为1.2元/平方米/月，皇福苑物业服务收费标准为1.8元/平方米/月；皇岗边检站沙头执勤点因仍未移交福田区政府，且部分站内固定资产仍存放在工作站内，需安排人员24小时进行监管，拟按照现物业管理收费标准8.09万元/年,</w:t>
      </w:r>
      <w:r>
        <w:rPr>
          <w:rFonts w:hint="eastAsia" w:ascii="宋体" w:hAnsi="宋体" w:cs="Times New Roman"/>
          <w:b w:val="0"/>
          <w:sz w:val="24"/>
        </w:rPr>
        <w:t xml:space="preserve"> </w:t>
      </w:r>
      <w:r>
        <w:rPr>
          <w:rFonts w:hint="eastAsia" w:ascii="宋体" w:hAnsi="宋体" w:cs="Times New Roman"/>
          <w:b w:val="0"/>
          <w:bCs w:val="0"/>
          <w:sz w:val="24"/>
        </w:rPr>
        <w:t>停车费用标准</w:t>
      </w:r>
      <w:r>
        <w:rPr>
          <w:rFonts w:hint="eastAsia" w:ascii="宋体" w:hAnsi="宋体" w:cs="Times New Roman"/>
          <w:b w:val="0"/>
          <w:bCs w:val="0"/>
          <w:sz w:val="24"/>
          <w:lang w:val="en-US" w:eastAsia="zh-CN"/>
        </w:rPr>
        <w:t>110</w:t>
      </w:r>
      <w:r>
        <w:rPr>
          <w:rFonts w:hint="eastAsia" w:ascii="宋体" w:hAnsi="宋体" w:cs="Times New Roman"/>
          <w:b w:val="0"/>
          <w:bCs w:val="0"/>
          <w:sz w:val="24"/>
        </w:rPr>
        <w:t>元/辆/月，</w:t>
      </w:r>
      <w:r>
        <w:rPr>
          <w:rFonts w:hint="eastAsia" w:ascii="宋体" w:hAnsi="宋体" w:cs="Times New Roman"/>
          <w:sz w:val="24"/>
        </w:rPr>
        <w:t>超过有效报价的投标将导致废标</w:t>
      </w:r>
      <w:r>
        <w:rPr>
          <w:rFonts w:hint="eastAsia" w:ascii="宋体" w:hAnsi="宋体" w:cs="Times New Roman"/>
          <w:b w:val="0"/>
          <w:bCs w:val="0"/>
          <w:kern w:val="2"/>
          <w:sz w:val="24"/>
          <w:lang w:val="en-US" w:eastAsia="zh-CN"/>
        </w:rPr>
        <w:t>。</w:t>
      </w:r>
    </w:p>
    <w:p>
      <w:pPr>
        <w:pStyle w:val="24"/>
        <w:numPr>
          <w:ilvl w:val="0"/>
          <w:numId w:val="7"/>
        </w:numPr>
        <w:tabs>
          <w:tab w:val="left" w:pos="540"/>
        </w:tabs>
        <w:snapToGrid w:val="0"/>
        <w:spacing w:line="360" w:lineRule="auto"/>
        <w:rPr>
          <w:rFonts w:ascii="宋体" w:hAnsi="宋体"/>
          <w:b/>
          <w:sz w:val="24"/>
          <w:szCs w:val="24"/>
        </w:rPr>
      </w:pPr>
      <w:r>
        <w:rPr>
          <w:rFonts w:hint="eastAsia" w:hAnsi="宋体"/>
          <w:sz w:val="24"/>
        </w:rPr>
        <w:t>投标人的投标报价,应是本项目招标范围和招标文件及合同条款上所列的各项内容中所述的全部,不得以任何理由子以重复,并以投标人在投标文件中提出的综合单价或总价为依据。</w:t>
      </w:r>
    </w:p>
    <w:p>
      <w:pPr>
        <w:pStyle w:val="24"/>
        <w:numPr>
          <w:ilvl w:val="0"/>
          <w:numId w:val="7"/>
        </w:numPr>
        <w:tabs>
          <w:tab w:val="left" w:pos="540"/>
        </w:tabs>
        <w:snapToGrid w:val="0"/>
        <w:spacing w:line="360" w:lineRule="auto"/>
        <w:rPr>
          <w:rFonts w:ascii="宋体" w:hAnsi="宋体"/>
          <w:b/>
          <w:sz w:val="24"/>
          <w:szCs w:val="24"/>
        </w:rPr>
      </w:pPr>
      <w:r>
        <w:rPr>
          <w:rFonts w:hint="eastAsia" w:ascii="宋体" w:hAnsi="宋体"/>
          <w:b/>
          <w:sz w:val="24"/>
          <w:szCs w:val="24"/>
        </w:rPr>
        <w:t>其他</w:t>
      </w:r>
    </w:p>
    <w:p>
      <w:pPr>
        <w:spacing w:line="360" w:lineRule="auto"/>
        <w:ind w:firstLine="480" w:firstLineChars="200"/>
        <w:rPr>
          <w:rFonts w:ascii="宋体" w:hAnsi="宋体"/>
          <w:sz w:val="24"/>
        </w:rPr>
      </w:pPr>
      <w:r>
        <w:rPr>
          <w:rFonts w:hint="eastAsia" w:ascii="宋体" w:hAnsi="宋体"/>
          <w:sz w:val="24"/>
        </w:rPr>
        <w:t>（一）中标人不得将该项目非法分包或转包给任何单位和个人。否则,采购人有权即刻终止合同,并要求中标人赔偿相应损失</w:t>
      </w:r>
    </w:p>
    <w:p>
      <w:pPr>
        <w:spacing w:line="360" w:lineRule="auto"/>
        <w:ind w:firstLine="480" w:firstLineChars="200"/>
        <w:rPr>
          <w:rFonts w:hAnsi="宋体" w:eastAsia="宋体"/>
          <w:sz w:val="24"/>
          <w:szCs w:val="24"/>
        </w:rPr>
      </w:pPr>
      <w:r>
        <w:rPr>
          <w:rFonts w:hint="eastAsia" w:ascii="宋体" w:hAnsi="宋体"/>
          <w:sz w:val="24"/>
        </w:rPr>
        <w:t>（二）投标人使用的标准必须是国际公认或国家、或地区政府</w:t>
      </w:r>
      <w:r>
        <w:rPr>
          <w:rFonts w:hint="eastAsia" w:hAnsi="宋体" w:eastAsia="宋体"/>
          <w:sz w:val="24"/>
          <w:szCs w:val="24"/>
        </w:rPr>
        <w:t>颁布的同等或更高的标准,如投标人使用的标准低于上述标准,评标委员会将有权不</w:t>
      </w:r>
      <w:r>
        <w:rPr>
          <w:rFonts w:hint="eastAsia"/>
        </w:rPr>
        <w:t>予</w:t>
      </w:r>
      <w:r>
        <w:rPr>
          <w:rFonts w:hint="eastAsia" w:hAnsi="宋体" w:eastAsia="宋体"/>
          <w:sz w:val="24"/>
          <w:szCs w:val="24"/>
        </w:rPr>
        <w:t>接受,投标人必须列表将明显的差异详细说明。</w:t>
      </w:r>
    </w:p>
    <w:p>
      <w:pPr>
        <w:pStyle w:val="24"/>
        <w:numPr>
          <w:ilvl w:val="0"/>
          <w:numId w:val="7"/>
        </w:numPr>
        <w:tabs>
          <w:tab w:val="left" w:pos="540"/>
        </w:tabs>
        <w:snapToGrid w:val="0"/>
        <w:spacing w:line="360" w:lineRule="auto"/>
        <w:rPr>
          <w:rFonts w:ascii="宋体" w:hAnsi="宋体" w:cs="宋体"/>
          <w:b/>
          <w:sz w:val="24"/>
          <w:lang w:eastAsia="zh-TW"/>
        </w:rPr>
      </w:pPr>
      <w:r>
        <w:rPr>
          <w:rFonts w:hint="eastAsia"/>
          <w:b/>
          <w:bCs/>
          <w:sz w:val="24"/>
        </w:rPr>
        <w:t>付款及结算方式</w:t>
      </w:r>
    </w:p>
    <w:p>
      <w:pPr>
        <w:numPr>
          <w:ilvl w:val="0"/>
          <w:numId w:val="12"/>
        </w:numPr>
        <w:tabs>
          <w:tab w:val="left" w:pos="567"/>
        </w:tabs>
        <w:autoSpaceDE w:val="0"/>
        <w:autoSpaceDN w:val="0"/>
        <w:adjustRightInd/>
        <w:snapToGrid w:val="0"/>
        <w:spacing w:line="360" w:lineRule="auto"/>
        <w:ind w:hanging="278"/>
        <w:textAlignment w:val="auto"/>
        <w:rPr>
          <w:rFonts w:ascii="宋体" w:hAnsi="宋体" w:eastAsia="宋体" w:cs="宋体"/>
          <w:kern w:val="2"/>
          <w:sz w:val="24"/>
          <w:szCs w:val="22"/>
        </w:rPr>
      </w:pPr>
      <w:r>
        <w:rPr>
          <w:rFonts w:hint="eastAsia" w:ascii="宋体" w:hAnsi="宋体" w:eastAsia="宋体" w:cs="宋体"/>
          <w:kern w:val="2"/>
          <w:sz w:val="24"/>
          <w:szCs w:val="22"/>
        </w:rPr>
        <w:t>合同款支付：</w:t>
      </w:r>
    </w:p>
    <w:p>
      <w:pPr>
        <w:tabs>
          <w:tab w:val="left" w:pos="840"/>
        </w:tabs>
        <w:adjustRightInd/>
        <w:snapToGrid w:val="0"/>
        <w:spacing w:line="360" w:lineRule="auto"/>
        <w:ind w:firstLine="480" w:firstLineChars="200"/>
        <w:textAlignment w:val="auto"/>
        <w:rPr>
          <w:rFonts w:ascii="宋体" w:hAnsi="宋体" w:eastAsia="宋体" w:cs="宋体"/>
          <w:kern w:val="2"/>
          <w:sz w:val="24"/>
          <w:szCs w:val="22"/>
          <w:u w:val="single"/>
        </w:rPr>
      </w:pPr>
      <w:r>
        <w:rPr>
          <w:rFonts w:hint="eastAsia" w:ascii="宋体" w:hAnsi="宋体" w:eastAsia="宋体" w:cs="宋体"/>
          <w:kern w:val="2"/>
          <w:sz w:val="24"/>
          <w:szCs w:val="22"/>
        </w:rPr>
        <w:t>签订合同后，中标人按约定</w:t>
      </w:r>
      <w:r>
        <w:rPr>
          <w:rFonts w:hint="eastAsia" w:ascii="宋体" w:hAnsi="宋体" w:eastAsia="宋体" w:cs="宋体"/>
          <w:kern w:val="2"/>
          <w:sz w:val="24"/>
          <w:szCs w:val="22"/>
          <w:lang w:eastAsia="zh-CN"/>
        </w:rPr>
        <w:t>提供</w:t>
      </w:r>
      <w:r>
        <w:rPr>
          <w:rFonts w:hint="eastAsia" w:ascii="宋体" w:hAnsi="宋体" w:eastAsia="宋体" w:cs="宋体"/>
          <w:kern w:val="2"/>
          <w:sz w:val="24"/>
          <w:szCs w:val="22"/>
        </w:rPr>
        <w:t>物业管理服务，按照中标单价计算各住房套内面积，按月向小区业主收取物业服务费用</w:t>
      </w:r>
      <w:r>
        <w:rPr>
          <w:rFonts w:hint="eastAsia" w:ascii="宋体" w:hAnsi="宋体" w:eastAsia="宋体" w:cs="宋体"/>
          <w:kern w:val="2"/>
          <w:sz w:val="24"/>
          <w:szCs w:val="22"/>
          <w:lang w:eastAsia="zh-CN"/>
        </w:rPr>
        <w:t>；</w:t>
      </w:r>
      <w:bookmarkStart w:id="54" w:name="OLE_LINK25"/>
      <w:r>
        <w:rPr>
          <w:rFonts w:hint="eastAsia" w:ascii="宋体" w:hAnsi="宋体" w:eastAsia="宋体" w:cs="宋体"/>
          <w:kern w:val="2"/>
          <w:sz w:val="24"/>
          <w:szCs w:val="22"/>
          <w:lang w:eastAsia="zh-CN"/>
        </w:rPr>
        <w:t>沙头执勤点的服务费用由皇岗出入境边防检查站按月支付</w:t>
      </w:r>
      <w:r>
        <w:rPr>
          <w:rFonts w:hint="eastAsia" w:ascii="宋体" w:hAnsi="宋体" w:eastAsia="宋体" w:cs="宋体"/>
          <w:kern w:val="2"/>
          <w:sz w:val="24"/>
          <w:szCs w:val="22"/>
        </w:rPr>
        <w:t>。</w:t>
      </w:r>
    </w:p>
    <w:bookmarkEnd w:id="54"/>
    <w:p>
      <w:pPr>
        <w:tabs>
          <w:tab w:val="left" w:pos="840"/>
        </w:tabs>
        <w:adjustRightInd/>
        <w:snapToGrid w:val="0"/>
        <w:spacing w:line="360" w:lineRule="auto"/>
        <w:ind w:firstLine="480" w:firstLineChars="200"/>
        <w:textAlignment w:val="auto"/>
        <w:rPr>
          <w:rFonts w:ascii="宋体" w:hAnsi="宋体" w:eastAsia="宋体" w:cs="宋体"/>
          <w:kern w:val="2"/>
          <w:sz w:val="24"/>
          <w:szCs w:val="22"/>
          <w:lang w:eastAsia="zh-TW"/>
        </w:rPr>
      </w:pPr>
      <w:r>
        <w:rPr>
          <w:rFonts w:hint="eastAsia" w:ascii="宋体" w:hAnsi="宋体" w:eastAsia="宋体" w:cs="宋体"/>
          <w:kern w:val="2"/>
          <w:sz w:val="24"/>
          <w:szCs w:val="22"/>
          <w:lang w:eastAsia="zh-TW"/>
        </w:rPr>
        <w:t>中标人</w:t>
      </w:r>
      <w:r>
        <w:rPr>
          <w:rFonts w:hint="eastAsia" w:ascii="宋体" w:hAnsi="宋体" w:eastAsia="宋体" w:cs="宋体"/>
          <w:kern w:val="2"/>
          <w:sz w:val="24"/>
          <w:szCs w:val="22"/>
        </w:rPr>
        <w:t>应</w:t>
      </w:r>
      <w:r>
        <w:rPr>
          <w:rFonts w:hint="eastAsia" w:ascii="宋体" w:hAnsi="宋体" w:eastAsia="宋体" w:cs="宋体"/>
          <w:kern w:val="2"/>
          <w:sz w:val="24"/>
          <w:szCs w:val="22"/>
          <w:lang w:eastAsia="zh-TW"/>
        </w:rPr>
        <w:t>向</w:t>
      </w:r>
      <w:r>
        <w:rPr>
          <w:rFonts w:hint="eastAsia" w:ascii="宋体" w:hAnsi="宋体" w:eastAsia="宋体" w:cs="宋体"/>
          <w:b/>
          <w:kern w:val="2"/>
          <w:sz w:val="24"/>
          <w:szCs w:val="22"/>
        </w:rPr>
        <w:t>业主或物业使用人</w:t>
      </w:r>
      <w:r>
        <w:rPr>
          <w:rFonts w:hint="eastAsia" w:ascii="宋体" w:hAnsi="宋体" w:eastAsia="宋体" w:cs="宋体"/>
          <w:kern w:val="2"/>
          <w:sz w:val="24"/>
          <w:szCs w:val="22"/>
          <w:lang w:eastAsia="zh-TW"/>
        </w:rPr>
        <w:t>提供与支付金额相符的有效发票，且收款方、出具发票方均必须与中标人名称一致；</w:t>
      </w:r>
    </w:p>
    <w:p>
      <w:pPr>
        <w:numPr>
          <w:ilvl w:val="0"/>
          <w:numId w:val="12"/>
        </w:numPr>
        <w:tabs>
          <w:tab w:val="left" w:pos="567"/>
        </w:tabs>
        <w:autoSpaceDE w:val="0"/>
        <w:autoSpaceDN w:val="0"/>
        <w:adjustRightInd/>
        <w:snapToGrid w:val="0"/>
        <w:spacing w:line="360" w:lineRule="auto"/>
        <w:ind w:hanging="278"/>
        <w:textAlignment w:val="auto"/>
        <w:rPr>
          <w:rFonts w:hAnsi="宋体" w:cs="宋体"/>
          <w:sz w:val="24"/>
        </w:rPr>
      </w:pPr>
      <w:r>
        <w:rPr>
          <w:rFonts w:hint="eastAsia" w:ascii="宋体" w:hAnsi="宋体" w:eastAsia="宋体" w:cs="宋体"/>
          <w:kern w:val="2"/>
          <w:sz w:val="24"/>
          <w:szCs w:val="22"/>
        </w:rPr>
        <w:t>付款</w:t>
      </w:r>
      <w:r>
        <w:rPr>
          <w:rFonts w:hint="eastAsia" w:ascii="Calibri" w:hAnsi="宋体" w:eastAsia="宋体" w:cs="宋体"/>
          <w:kern w:val="2"/>
          <w:sz w:val="24"/>
          <w:szCs w:val="22"/>
        </w:rPr>
        <w:t>方式：采用现金支付、银行转账、银行卡托收等方式。</w:t>
      </w:r>
    </w:p>
    <w:p>
      <w:pPr>
        <w:pStyle w:val="2"/>
        <w:numPr>
          <w:ilvl w:val="0"/>
          <w:numId w:val="7"/>
        </w:numPr>
        <w:ind w:left="420" w:hanging="420"/>
        <w:rPr>
          <w:rFonts w:hint="eastAsia" w:ascii="Calibri" w:hAnsi="宋体" w:eastAsia="宋体" w:cs="宋体"/>
          <w:kern w:val="2"/>
          <w:sz w:val="24"/>
          <w:szCs w:val="22"/>
          <w:lang w:val="en-US" w:eastAsia="zh-CN"/>
        </w:rPr>
      </w:pPr>
      <w:r>
        <w:rPr>
          <w:rFonts w:hint="eastAsia" w:ascii="Calibri" w:hAnsi="宋体" w:eastAsia="宋体" w:cs="宋体"/>
          <w:kern w:val="2"/>
          <w:sz w:val="24"/>
          <w:szCs w:val="22"/>
          <w:lang w:val="en-US" w:eastAsia="zh-CN"/>
        </w:rPr>
        <w:t>考核标准及评分标准</w:t>
      </w:r>
    </w:p>
    <w:p>
      <w:pPr>
        <w:pStyle w:val="2"/>
        <w:numPr>
          <w:ilvl w:val="0"/>
          <w:numId w:val="0"/>
        </w:numPr>
        <w:ind w:left="0" w:firstLine="0"/>
        <w:rPr>
          <w:rFonts w:hint="default" w:ascii="Calibri" w:hAnsi="宋体" w:eastAsia="宋体" w:cs="宋体"/>
          <w:kern w:val="2"/>
          <w:sz w:val="24"/>
          <w:szCs w:val="22"/>
          <w:lang w:val="en-US" w:eastAsia="zh-CN"/>
        </w:rPr>
      </w:pPr>
    </w:p>
    <w:tbl>
      <w:tblPr>
        <w:tblStyle w:val="43"/>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13"/>
        <w:gridCol w:w="3217"/>
        <w:gridCol w:w="686"/>
        <w:gridCol w:w="1063"/>
        <w:gridCol w:w="481"/>
        <w:gridCol w:w="772"/>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bookmarkStart w:id="55" w:name="OLE_LINK26" w:colFirst="3" w:colLast="5"/>
            <w:r>
              <w:rPr>
                <w:rFonts w:ascii="宋体" w:hAnsi="宋体" w:eastAsia="宋体" w:cs="宋体"/>
                <w:kern w:val="0"/>
                <w:sz w:val="24"/>
                <w:szCs w:val="24"/>
                <w:lang w:val="en-US" w:eastAsia="zh-CN" w:bidi="ar"/>
              </w:rPr>
              <w:t>考核项目</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考核内容</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lang w:val="en-US"/>
              </w:rPr>
            </w:pPr>
            <w:r>
              <w:rPr>
                <w:rFonts w:hint="eastAsia" w:ascii="宋体" w:hAnsi="宋体" w:eastAsia="宋体" w:cs="宋体"/>
                <w:kern w:val="0"/>
                <w:sz w:val="24"/>
                <w:szCs w:val="24"/>
                <w:lang w:val="en-US" w:eastAsia="zh-CN" w:bidi="ar"/>
              </w:rPr>
              <w:t>总分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评分标准</w:t>
            </w:r>
          </w:p>
        </w:tc>
        <w:tc>
          <w:tcPr>
            <w:tcW w:w="481"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应扣/加分</w:t>
            </w:r>
            <w:r>
              <w:rPr>
                <w:rFonts w:hint="eastAsia" w:ascii="宋体" w:hAnsi="宋体" w:eastAsia="宋体" w:cs="宋体"/>
                <w:color w:val="auto"/>
                <w:sz w:val="21"/>
                <w:szCs w:val="21"/>
                <w:highlight w:val="none"/>
              </w:rPr>
              <w:t>值</w:t>
            </w:r>
          </w:p>
        </w:tc>
        <w:tc>
          <w:tcPr>
            <w:tcW w:w="772"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5"/>
                <w:sz w:val="21"/>
                <w:szCs w:val="21"/>
                <w:highlight w:val="none"/>
              </w:rPr>
              <w:t>扣分说明</w:t>
            </w:r>
          </w:p>
        </w:tc>
        <w:tc>
          <w:tcPr>
            <w:tcW w:w="772"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备注</w:t>
            </w:r>
          </w:p>
        </w:tc>
      </w:tr>
      <w:bookmark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bookmarkStart w:id="56" w:name="OLE_LINK27" w:colFirst="2" w:colLast="2"/>
            <w:r>
              <w:rPr>
                <w:rFonts w:ascii="宋体" w:hAnsi="宋体" w:eastAsia="宋体" w:cs="宋体"/>
                <w:b/>
                <w:bCs/>
                <w:kern w:val="0"/>
                <w:sz w:val="24"/>
                <w:szCs w:val="24"/>
                <w:lang w:val="en-US" w:eastAsia="zh-CN" w:bidi="ar"/>
              </w:rPr>
              <w:t>基础管理</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营业执照、服务内容、标准、收费标准、24 小时服务电话、岗位职责在显著位置上墙明示</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制定停水停电、防汛、电梯困人、消防灭火、公共卫生、疫情防疫等应急预案，有年度计划和演练记录、照片</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每月公示公共水费与电费清单及分摊情况；公共收益单独建账，收入及使用情况至少每季度公布一次，按规定处理公共收益资金</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设施维护</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房屋共用部位定期巡查，无损坏、渗漏、脱落等现象</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电梯、水泵等共用设备设施运行正常，定期维护保养，记录齐全</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道路、停车场、健身设施等共用设施完好，无破损、安全隐患</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消防设施（灭火器、消火栓、应急照明、疏散指示标志等）配置齐全，功能完好，定期检查维护，记录完整</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智能化管理</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门禁系统（单元门禁、小区出入口门禁等）运行正常，刷卡、人脸识别等功能灵敏，故障及时修复；访客登记管理规范</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环境管理</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小区内垃圾收集点设置合理，周边干净整洁，垃圾日产日清</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道路、绿化带无杂物、垃圾，无乱堆乱放现象</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房屋公共部位（楼梯、走廊等）保持清洁，无乱贴乱画</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安全秩序</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制定日常安全管理制度，明确巡逻路线、频次和重点区域，安保人员按制度执行巡逻任务，巡逻记录完整</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消防通道、安全出口保持畅通，无占用、堵塞现象，标识清晰；定期检查消防通道和安全出口状况，记录完整</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监控系统运行正常，监控画面清晰，存储时间符合相关规定；监控设备定期维护，故障及时修复，记录完整</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秩序维护</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门岗 24 小时值守，对外来人员、车辆登记管理规范</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小区内定期巡逻，有巡逻记录，治安状况良好</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突发事件应急预案执行到位，处理及时有效</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 xml:space="preserve"> 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客户服务</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设立服务接待中心，公示服务电话，及时处理业主投诉</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定期开展业主满意度调查，对业主意见及时整改</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restart"/>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b/>
                <w:bCs/>
                <w:kern w:val="0"/>
                <w:sz w:val="24"/>
                <w:szCs w:val="24"/>
                <w:lang w:val="en-US" w:eastAsia="zh-CN" w:bidi="ar"/>
              </w:rPr>
              <w:t>绿化养护</w:t>
            </w: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绿化植物生长良好，无枯萎、病虫害现象</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13" w:type="dxa"/>
            <w:vMerge w:val="continue"/>
            <w:noWrap w:val="0"/>
            <w:tcMar>
              <w:top w:w="108" w:type="dxa"/>
              <w:left w:w="96" w:type="dxa"/>
              <w:bottom w:w="108" w:type="dxa"/>
              <w:right w:w="96" w:type="dxa"/>
            </w:tcMar>
            <w:vAlign w:val="top"/>
          </w:tcPr>
          <w:p>
            <w:pPr>
              <w:rPr>
                <w:rFonts w:hint="eastAsia" w:ascii="宋体"/>
                <w:sz w:val="24"/>
                <w:szCs w:val="24"/>
              </w:rPr>
            </w:pPr>
          </w:p>
        </w:tc>
        <w:tc>
          <w:tcPr>
            <w:tcW w:w="3217"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4"/>
                <w:szCs w:val="24"/>
                <w:lang w:val="en-US" w:eastAsia="zh-CN" w:bidi="ar"/>
              </w:rPr>
              <w:t>定期修剪、除草、施肥，绿地无杂草、杂物</w:t>
            </w:r>
          </w:p>
        </w:tc>
        <w:tc>
          <w:tcPr>
            <w:tcW w:w="686"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w:t>
            </w:r>
          </w:p>
        </w:tc>
        <w:tc>
          <w:tcPr>
            <w:tcW w:w="1063" w:type="dxa"/>
            <w:noWrap w:val="0"/>
            <w:tcMar>
              <w:top w:w="108" w:type="dxa"/>
              <w:left w:w="96" w:type="dxa"/>
              <w:bottom w:w="108" w:type="dxa"/>
              <w:right w:w="96" w:type="dxa"/>
            </w:tcMar>
            <w:vAlign w:val="center"/>
          </w:tcPr>
          <w:p>
            <w:pPr>
              <w:pStyle w:val="193"/>
              <w:keepNext w:val="0"/>
              <w:keepLines w:val="0"/>
              <w:pageBreakBefore w:val="0"/>
              <w:widowControl/>
              <w:kinsoku w:val="0"/>
              <w:wordWrap/>
              <w:overflowPunct/>
              <w:topLinePunct w:val="0"/>
              <w:autoSpaceDE w:val="0"/>
              <w:autoSpaceDN w:val="0"/>
              <w:bidi w:val="0"/>
              <w:adjustRightInd w:val="0"/>
              <w:snapToGrid w:val="0"/>
              <w:spacing w:line="240" w:lineRule="auto"/>
              <w:ind w:left="21" w:leftChars="10" w:right="57" w:rightChars="0" w:firstLine="0" w:firstLineChars="0"/>
              <w:jc w:val="center"/>
              <w:textAlignment w:val="baseline"/>
              <w:rPr>
                <w:rFonts w:ascii="宋体" w:hAnsi="宋体" w:eastAsia="宋体" w:cs="宋体"/>
                <w:kern w:val="0"/>
                <w:sz w:val="24"/>
                <w:szCs w:val="24"/>
                <w:lang w:val="en-US" w:eastAsia="zh-CN" w:bidi="ar"/>
              </w:rPr>
            </w:pPr>
            <w:r>
              <w:rPr>
                <w:rFonts w:hint="eastAsia" w:ascii="宋体" w:hAnsi="宋体" w:eastAsia="宋体" w:cs="宋体"/>
                <w:color w:val="auto"/>
                <w:spacing w:val="2"/>
                <w:sz w:val="21"/>
                <w:szCs w:val="21"/>
                <w:highlight w:val="none"/>
              </w:rPr>
              <w:t>每发现一项</w:t>
            </w:r>
            <w:r>
              <w:rPr>
                <w:rFonts w:hint="eastAsia" w:ascii="宋体" w:hAnsi="宋体" w:eastAsia="宋体" w:cs="宋体"/>
                <w:color w:val="auto"/>
                <w:spacing w:val="5"/>
                <w:sz w:val="21"/>
                <w:szCs w:val="21"/>
                <w:highlight w:val="none"/>
              </w:rPr>
              <w:t>不合格，扣</w:t>
            </w:r>
            <w:r>
              <w:rPr>
                <w:rFonts w:hint="eastAsia" w:ascii="宋体" w:hAnsi="宋体" w:eastAsia="宋体" w:cs="宋体"/>
                <w:color w:val="auto"/>
                <w:spacing w:val="1"/>
                <w:sz w:val="21"/>
                <w:szCs w:val="21"/>
                <w:highlight w:val="none"/>
              </w:rPr>
              <w:t>0.1分</w:t>
            </w:r>
          </w:p>
        </w:tc>
        <w:tc>
          <w:tcPr>
            <w:tcW w:w="481"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c>
          <w:tcPr>
            <w:tcW w:w="772" w:type="dxa"/>
            <w:noWrap w:val="0"/>
            <w:tcMar>
              <w:top w:w="108" w:type="dxa"/>
              <w:left w:w="96" w:type="dxa"/>
              <w:bottom w:w="108" w:type="dxa"/>
              <w:right w:w="9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p>
        </w:tc>
      </w:tr>
      <w:bookmarkEnd w:id="56"/>
    </w:tbl>
    <w:p>
      <w:pPr>
        <w:pStyle w:val="2"/>
      </w:pPr>
    </w:p>
    <w:p>
      <w:pPr>
        <w:pStyle w:val="6"/>
        <w:spacing w:before="120" w:beforeLines="50" w:after="120" w:afterLines="50"/>
        <w:rPr>
          <w:rFonts w:hint="eastAsia"/>
          <w:szCs w:val="24"/>
        </w:rPr>
      </w:pPr>
    </w:p>
    <w:p>
      <w:pPr>
        <w:pStyle w:val="6"/>
        <w:spacing w:before="120" w:beforeLines="50" w:after="120" w:afterLines="50"/>
        <w:rPr>
          <w:szCs w:val="24"/>
        </w:rPr>
      </w:pPr>
      <w:r>
        <w:rPr>
          <w:rFonts w:hint="eastAsia"/>
          <w:szCs w:val="24"/>
        </w:rPr>
        <w:t>六、商务要求</w:t>
      </w:r>
    </w:p>
    <w:p>
      <w:pPr>
        <w:rPr>
          <w:rFonts w:ascii="宋体" w:hAnsi="宋体" w:cs="宋体"/>
          <w:b/>
          <w:kern w:val="0"/>
          <w:szCs w:val="21"/>
        </w:rPr>
      </w:pPr>
      <w:r>
        <w:rPr>
          <w:rFonts w:hint="eastAsia" w:ascii="宋体" w:hAnsi="宋体"/>
          <w:b/>
          <w:color w:val="0000FF"/>
          <w:szCs w:val="21"/>
        </w:rPr>
        <w:t>以下商务条款为合同的组成部分，属于实质性条款。供应商必须满足商务条款中各条款，否则，投标将被否决。</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47"/>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5" w:type="dxa"/>
            <w:noWrap w:val="0"/>
            <w:vAlign w:val="center"/>
          </w:tcPr>
          <w:p>
            <w:pPr>
              <w:widowControl/>
              <w:jc w:val="center"/>
              <w:rPr>
                <w:b/>
                <w:szCs w:val="21"/>
              </w:rPr>
            </w:pPr>
            <w:r>
              <w:rPr>
                <w:rFonts w:hint="eastAsia"/>
                <w:b/>
                <w:szCs w:val="21"/>
              </w:rPr>
              <w:t>序号</w:t>
            </w:r>
          </w:p>
        </w:tc>
        <w:tc>
          <w:tcPr>
            <w:tcW w:w="1147" w:type="dxa"/>
            <w:noWrap w:val="0"/>
            <w:vAlign w:val="center"/>
          </w:tcPr>
          <w:p>
            <w:pPr>
              <w:widowControl/>
              <w:jc w:val="center"/>
              <w:rPr>
                <w:b/>
                <w:szCs w:val="21"/>
              </w:rPr>
            </w:pPr>
            <w:r>
              <w:rPr>
                <w:rFonts w:hint="eastAsia"/>
                <w:b/>
                <w:szCs w:val="21"/>
              </w:rPr>
              <w:t>目录</w:t>
            </w:r>
          </w:p>
        </w:tc>
        <w:tc>
          <w:tcPr>
            <w:tcW w:w="6757" w:type="dxa"/>
            <w:noWrap w:val="0"/>
            <w:vAlign w:val="center"/>
          </w:tcPr>
          <w:p>
            <w:pPr>
              <w:widowControl/>
              <w:jc w:val="center"/>
              <w:rPr>
                <w:b/>
                <w:szCs w:val="21"/>
              </w:rPr>
            </w:pPr>
            <w:r>
              <w:rPr>
                <w:rFonts w:hint="eastAsia" w:ascii="宋体" w:hAnsi="宋体" w:cs="宋体"/>
                <w:color w:val="FF0000"/>
                <w:szCs w:val="21"/>
              </w:rPr>
              <w:t>★</w:t>
            </w:r>
            <w:r>
              <w:rPr>
                <w:rFonts w:hint="eastAsia"/>
                <w:b/>
                <w:szCs w:val="21"/>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jc w:val="center"/>
              <w:outlineLvl w:val="0"/>
              <w:rPr>
                <w:rFonts w:ascii="宋体" w:hAnsi="宋体"/>
                <w:b/>
                <w:bCs/>
                <w:szCs w:val="21"/>
              </w:rPr>
            </w:pPr>
            <w:r>
              <w:rPr>
                <w:rFonts w:hint="eastAsia" w:ascii="宋体" w:hAnsi="宋体"/>
                <w:b/>
                <w:bCs/>
                <w:szCs w:val="21"/>
              </w:rPr>
              <w:t>1</w:t>
            </w:r>
          </w:p>
        </w:tc>
        <w:tc>
          <w:tcPr>
            <w:tcW w:w="1147" w:type="dxa"/>
            <w:noWrap w:val="0"/>
            <w:vAlign w:val="center"/>
          </w:tcPr>
          <w:p>
            <w:pPr>
              <w:jc w:val="center"/>
              <w:outlineLvl w:val="0"/>
              <w:rPr>
                <w:rFonts w:ascii="宋体" w:hAnsi="宋体"/>
                <w:b/>
                <w:bCs/>
                <w:szCs w:val="21"/>
              </w:rPr>
            </w:pPr>
            <w:r>
              <w:rPr>
                <w:rFonts w:hint="eastAsia" w:ascii="宋体" w:hAnsi="宋体"/>
                <w:b/>
                <w:bCs/>
                <w:szCs w:val="21"/>
              </w:rPr>
              <w:t>服务期要求</w:t>
            </w:r>
          </w:p>
        </w:tc>
        <w:tc>
          <w:tcPr>
            <w:tcW w:w="6757" w:type="dxa"/>
            <w:noWrap w:val="0"/>
            <w:vAlign w:val="top"/>
          </w:tcPr>
          <w:p>
            <w:pPr>
              <w:spacing w:line="276" w:lineRule="auto"/>
            </w:pPr>
            <w:r>
              <w:rPr>
                <w:rFonts w:hint="eastAsia" w:ascii="宋体" w:hAnsi="宋体" w:cs="宋体"/>
                <w:color w:val="000000"/>
                <w:sz w:val="20"/>
                <w:szCs w:val="20"/>
                <w:lang w:val="en-US" w:eastAsia="zh-CN"/>
              </w:rPr>
              <w:t>本项目为</w:t>
            </w:r>
            <w:r>
              <w:rPr>
                <w:rFonts w:hint="eastAsia" w:ascii="宋体" w:hAnsi="宋体" w:cs="宋体"/>
                <w:color w:val="000000"/>
                <w:sz w:val="20"/>
                <w:szCs w:val="20"/>
              </w:rPr>
              <w:t>长期服务采购合同</w:t>
            </w:r>
            <w:r>
              <w:rPr>
                <w:rFonts w:hint="eastAsia" w:ascii="宋体" w:hAnsi="宋体" w:cs="宋体"/>
                <w:color w:val="000000"/>
                <w:sz w:val="20"/>
                <w:szCs w:val="20"/>
                <w:lang w:eastAsia="zh-CN"/>
              </w:rPr>
              <w:t>，</w:t>
            </w:r>
            <w:r>
              <w:rPr>
                <w:rFonts w:hint="eastAsia" w:ascii="宋体" w:hAnsi="宋体" w:cs="宋体"/>
                <w:color w:val="000000"/>
                <w:sz w:val="20"/>
                <w:szCs w:val="20"/>
              </w:rPr>
              <w:t>履行期限最长不得超过三十六个月。如甲方对履约情况不满意</w:t>
            </w:r>
            <w:bookmarkStart w:id="57" w:name="OLE_LINK14"/>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未达到考核标准</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或政策等客观原因</w:t>
            </w:r>
            <w:r>
              <w:rPr>
                <w:rFonts w:hint="eastAsia" w:ascii="宋体" w:hAnsi="宋体" w:cs="宋体"/>
                <w:color w:val="000000"/>
                <w:sz w:val="20"/>
                <w:szCs w:val="20"/>
              </w:rPr>
              <w:t>，</w:t>
            </w:r>
            <w:bookmarkEnd w:id="57"/>
            <w:r>
              <w:rPr>
                <w:rFonts w:hint="eastAsia" w:ascii="宋体" w:hAnsi="宋体" w:cs="宋体"/>
                <w:color w:val="000000"/>
                <w:sz w:val="20"/>
                <w:szCs w:val="20"/>
              </w:rPr>
              <w:t>甲方不再续约</w:t>
            </w:r>
            <w:r>
              <w:rPr>
                <w:rFonts w:hint="eastAsia" w:ascii="宋体" w:hAnsi="宋体"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jc w:val="center"/>
              <w:outlineLvl w:val="0"/>
              <w:rPr>
                <w:rFonts w:ascii="宋体" w:hAnsi="宋体"/>
                <w:b/>
                <w:bCs/>
                <w:szCs w:val="21"/>
              </w:rPr>
            </w:pPr>
            <w:r>
              <w:rPr>
                <w:rFonts w:hint="eastAsia" w:ascii="宋体" w:hAnsi="宋体"/>
                <w:b/>
                <w:bCs/>
                <w:szCs w:val="21"/>
              </w:rPr>
              <w:t>2</w:t>
            </w:r>
          </w:p>
        </w:tc>
        <w:tc>
          <w:tcPr>
            <w:tcW w:w="1147" w:type="dxa"/>
            <w:noWrap w:val="0"/>
            <w:vAlign w:val="center"/>
          </w:tcPr>
          <w:p>
            <w:pPr>
              <w:jc w:val="center"/>
              <w:outlineLvl w:val="0"/>
              <w:rPr>
                <w:rFonts w:ascii="宋体" w:hAnsi="宋体"/>
                <w:b/>
                <w:bCs/>
                <w:szCs w:val="21"/>
              </w:rPr>
            </w:pPr>
            <w:r>
              <w:rPr>
                <w:rFonts w:hint="eastAsia" w:ascii="宋体" w:hAnsi="宋体"/>
                <w:b/>
                <w:bCs/>
                <w:szCs w:val="21"/>
              </w:rPr>
              <w:t>服务地点</w:t>
            </w:r>
          </w:p>
        </w:tc>
        <w:tc>
          <w:tcPr>
            <w:tcW w:w="6757" w:type="dxa"/>
            <w:noWrap w:val="0"/>
            <w:vAlign w:val="top"/>
          </w:tcPr>
          <w:p>
            <w:pPr>
              <w:outlineLvl w:val="0"/>
              <w:rPr>
                <w:rFonts w:hint="default" w:ascii="宋体" w:hAnsi="宋体" w:eastAsia="宋体"/>
                <w:b/>
                <w:sz w:val="28"/>
                <w:szCs w:val="28"/>
                <w:lang w:val="en-US" w:eastAsia="zh-CN"/>
              </w:rPr>
            </w:pPr>
            <w:r>
              <w:rPr>
                <w:rFonts w:hint="eastAsia" w:ascii="宋体" w:hAnsi="宋体" w:cs="宋体"/>
                <w:b w:val="0"/>
                <w:color w:val="000000"/>
                <w:sz w:val="20"/>
                <w:szCs w:val="20"/>
                <w:lang w:val="en-US" w:eastAsia="zh-CN"/>
              </w:rPr>
              <w:t>按服务要求。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jc w:val="center"/>
              <w:outlineLvl w:val="0"/>
              <w:rPr>
                <w:rFonts w:ascii="宋体" w:hAnsi="宋体"/>
                <w:b/>
                <w:bCs/>
                <w:szCs w:val="21"/>
              </w:rPr>
            </w:pPr>
            <w:r>
              <w:rPr>
                <w:rFonts w:hint="eastAsia" w:ascii="宋体" w:hAnsi="宋体"/>
                <w:b/>
                <w:bCs/>
                <w:szCs w:val="21"/>
              </w:rPr>
              <w:t>3</w:t>
            </w:r>
          </w:p>
        </w:tc>
        <w:tc>
          <w:tcPr>
            <w:tcW w:w="1147" w:type="dxa"/>
            <w:noWrap w:val="0"/>
            <w:vAlign w:val="center"/>
          </w:tcPr>
          <w:p>
            <w:pPr>
              <w:jc w:val="center"/>
              <w:outlineLvl w:val="0"/>
              <w:rPr>
                <w:rFonts w:ascii="宋体" w:hAnsi="宋体"/>
                <w:b/>
                <w:bCs/>
                <w:szCs w:val="21"/>
              </w:rPr>
            </w:pPr>
            <w:r>
              <w:rPr>
                <w:rFonts w:hint="eastAsia" w:ascii="宋体" w:hAnsi="宋体"/>
                <w:b/>
                <w:bCs/>
                <w:szCs w:val="21"/>
              </w:rPr>
              <w:t>付款方式</w:t>
            </w:r>
          </w:p>
        </w:tc>
        <w:tc>
          <w:tcPr>
            <w:tcW w:w="6757" w:type="dxa"/>
            <w:noWrap w:val="0"/>
            <w:vAlign w:val="top"/>
          </w:tcPr>
          <w:p>
            <w:pPr>
              <w:numPr>
                <w:ilvl w:val="0"/>
                <w:numId w:val="0"/>
              </w:numPr>
              <w:autoSpaceDE/>
              <w:autoSpaceDN/>
              <w:adjustRightInd/>
              <w:snapToGrid/>
              <w:spacing w:line="276" w:lineRule="auto"/>
              <w:ind w:left="0" w:firstLine="0"/>
              <w:textAlignment w:val="auto"/>
              <w:rPr>
                <w:rFonts w:hint="eastAsia" w:ascii="宋体" w:hAnsi="宋体" w:eastAsia="宋体" w:cs="宋体"/>
                <w:color w:val="000000"/>
                <w:kern w:val="2"/>
                <w:sz w:val="20"/>
                <w:szCs w:val="20"/>
              </w:rPr>
            </w:pPr>
            <w:r>
              <w:rPr>
                <w:rFonts w:hint="eastAsia" w:ascii="宋体" w:hAnsi="宋体" w:eastAsia="宋体" w:cs="宋体"/>
                <w:color w:val="000000"/>
                <w:kern w:val="2"/>
                <w:sz w:val="20"/>
                <w:szCs w:val="20"/>
              </w:rPr>
              <w:t>合同款支付：</w:t>
            </w:r>
          </w:p>
          <w:p>
            <w:pPr>
              <w:tabs>
                <w:tab w:val="left" w:pos="840"/>
              </w:tabs>
              <w:adjustRightInd/>
              <w:snapToGrid w:val="0"/>
              <w:spacing w:line="360" w:lineRule="auto"/>
              <w:ind w:firstLine="0" w:firstLineChars="0"/>
              <w:textAlignment w:val="auto"/>
              <w:rPr>
                <w:rFonts w:ascii="宋体" w:hAnsi="宋体" w:eastAsia="宋体" w:cs="宋体"/>
                <w:kern w:val="2"/>
                <w:sz w:val="24"/>
                <w:szCs w:val="22"/>
                <w:u w:val="single"/>
              </w:rPr>
            </w:pPr>
            <w:r>
              <w:rPr>
                <w:rFonts w:hint="eastAsia" w:ascii="宋体" w:hAnsi="宋体" w:cs="宋体"/>
                <w:color w:val="000000"/>
                <w:kern w:val="2"/>
                <w:sz w:val="20"/>
                <w:szCs w:val="20"/>
                <w:lang w:val="en-US" w:eastAsia="zh-CN"/>
              </w:rPr>
              <w:t>1.</w:t>
            </w:r>
            <w:r>
              <w:rPr>
                <w:rFonts w:hint="eastAsia" w:ascii="宋体" w:hAnsi="宋体" w:eastAsia="宋体" w:cs="宋体"/>
                <w:color w:val="000000"/>
                <w:kern w:val="2"/>
                <w:sz w:val="20"/>
                <w:szCs w:val="20"/>
              </w:rPr>
              <w:t>签订合同后，中标人按约定</w:t>
            </w:r>
            <w:r>
              <w:rPr>
                <w:rFonts w:hint="eastAsia" w:ascii="宋体" w:hAnsi="宋体" w:cs="宋体"/>
                <w:color w:val="000000"/>
                <w:kern w:val="2"/>
                <w:sz w:val="20"/>
                <w:szCs w:val="20"/>
                <w:lang w:eastAsia="zh-CN"/>
              </w:rPr>
              <w:t>提供</w:t>
            </w:r>
            <w:r>
              <w:rPr>
                <w:rFonts w:hint="eastAsia" w:ascii="宋体" w:hAnsi="宋体" w:eastAsia="宋体" w:cs="宋体"/>
                <w:color w:val="000000"/>
                <w:kern w:val="2"/>
                <w:sz w:val="20"/>
                <w:szCs w:val="20"/>
              </w:rPr>
              <w:t>物业管理服务，按照中标单价计算各住房套内面积，按月向小区业主收取物业服务费用。</w:t>
            </w:r>
            <w:r>
              <w:rPr>
                <w:rFonts w:hint="eastAsia" w:ascii="宋体" w:hAnsi="宋体" w:eastAsia="宋体" w:cs="宋体"/>
                <w:color w:val="000000"/>
                <w:kern w:val="2"/>
                <w:sz w:val="20"/>
                <w:szCs w:val="20"/>
                <w:lang w:eastAsia="zh-CN"/>
              </w:rPr>
              <w:t>沙头执勤点的服务费用由皇岗出入境边防检查站按月支付</w:t>
            </w:r>
            <w:r>
              <w:rPr>
                <w:rFonts w:hint="eastAsia" w:ascii="宋体" w:hAnsi="宋体" w:eastAsia="宋体" w:cs="宋体"/>
                <w:color w:val="000000"/>
                <w:kern w:val="2"/>
                <w:sz w:val="20"/>
                <w:szCs w:val="20"/>
              </w:rPr>
              <w:t>。</w:t>
            </w:r>
          </w:p>
          <w:p>
            <w:pPr>
              <w:adjustRightInd/>
              <w:snapToGrid/>
              <w:spacing w:line="276" w:lineRule="auto"/>
              <w:ind w:firstLine="0" w:firstLineChars="0"/>
              <w:textAlignment w:val="auto"/>
              <w:rPr>
                <w:rFonts w:hint="eastAsia" w:ascii="宋体" w:hAnsi="宋体" w:cs="宋体"/>
                <w:color w:val="000000"/>
                <w:sz w:val="20"/>
                <w:szCs w:val="20"/>
              </w:rPr>
            </w:pPr>
            <w:r>
              <w:rPr>
                <w:rFonts w:hint="eastAsia" w:ascii="宋体" w:hAnsi="宋体" w:cs="宋体"/>
                <w:color w:val="000000"/>
                <w:kern w:val="2"/>
                <w:sz w:val="20"/>
                <w:szCs w:val="20"/>
                <w:lang w:val="en-US" w:eastAsia="zh-CN"/>
              </w:rPr>
              <w:t>2.</w:t>
            </w:r>
            <w:r>
              <w:rPr>
                <w:rFonts w:hint="eastAsia" w:ascii="宋体" w:hAnsi="宋体" w:cs="宋体"/>
                <w:color w:val="000000"/>
                <w:sz w:val="20"/>
                <w:szCs w:val="20"/>
              </w:rPr>
              <w:t>90 分及以上：物业服务质量优秀，全额支付当月服务费，不进行扣减。​</w:t>
            </w:r>
          </w:p>
          <w:p>
            <w:pPr>
              <w:adjustRightInd/>
              <w:snapToGrid/>
              <w:spacing w:line="276" w:lineRule="auto"/>
              <w:ind w:firstLine="0" w:firstLineChars="0"/>
              <w:textAlignment w:val="auto"/>
              <w:rPr>
                <w:rFonts w:hint="eastAsia" w:ascii="宋体" w:hAnsi="宋体" w:cs="宋体"/>
                <w:color w:val="000000"/>
                <w:sz w:val="20"/>
                <w:szCs w:val="20"/>
              </w:rPr>
            </w:pPr>
            <w:r>
              <w:rPr>
                <w:rFonts w:hint="eastAsia" w:ascii="宋体" w:hAnsi="宋体" w:cs="宋体"/>
                <w:color w:val="000000"/>
                <w:sz w:val="20"/>
                <w:szCs w:val="20"/>
              </w:rPr>
              <w:t>80 - 89 分：扣减当月服务费的 3%，表明物业服务存在部分细节需完善提升 。​</w:t>
            </w:r>
          </w:p>
          <w:p>
            <w:pPr>
              <w:adjustRightInd/>
              <w:snapToGrid/>
              <w:spacing w:line="276" w:lineRule="auto"/>
              <w:ind w:firstLine="0" w:firstLineChars="0"/>
              <w:textAlignment w:val="auto"/>
              <w:rPr>
                <w:rFonts w:hint="eastAsia" w:ascii="宋体" w:hAnsi="宋体" w:cs="宋体"/>
                <w:color w:val="000000"/>
                <w:sz w:val="20"/>
                <w:szCs w:val="20"/>
              </w:rPr>
            </w:pPr>
            <w:r>
              <w:rPr>
                <w:rFonts w:hint="eastAsia" w:ascii="宋体" w:hAnsi="宋体" w:cs="宋体"/>
                <w:color w:val="000000"/>
                <w:sz w:val="20"/>
                <w:szCs w:val="20"/>
              </w:rPr>
              <w:t>70 - 79 分：扣减当月服务费的 6%，说明物业服务在多项考核指标上存在不足，需重点改进。​</w:t>
            </w:r>
          </w:p>
          <w:p>
            <w:pPr>
              <w:adjustRightInd/>
              <w:snapToGrid/>
              <w:spacing w:line="276" w:lineRule="auto"/>
              <w:ind w:firstLine="0" w:firstLineChars="0"/>
              <w:textAlignment w:val="auto"/>
              <w:rPr>
                <w:rFonts w:hint="eastAsia" w:ascii="宋体" w:hAnsi="宋体" w:cs="宋体"/>
                <w:color w:val="000000"/>
                <w:sz w:val="20"/>
                <w:szCs w:val="20"/>
              </w:rPr>
            </w:pPr>
            <w:r>
              <w:rPr>
                <w:rFonts w:hint="eastAsia" w:ascii="宋体" w:hAnsi="宋体" w:cs="宋体"/>
                <w:color w:val="000000"/>
                <w:sz w:val="20"/>
                <w:szCs w:val="20"/>
              </w:rPr>
              <w:t>60 - 69 分：扣减当月服务费的 10%，意味着物业服务质量与标准有较大差距，需全面整改。​</w:t>
            </w:r>
          </w:p>
          <w:p>
            <w:pPr>
              <w:adjustRightInd/>
              <w:snapToGrid/>
              <w:spacing w:line="276" w:lineRule="auto"/>
              <w:ind w:firstLine="0" w:firstLineChars="0"/>
              <w:textAlignment w:val="auto"/>
              <w:rPr>
                <w:rFonts w:hint="default" w:ascii="宋体" w:hAnsi="宋体" w:cs="宋体"/>
                <w:color w:val="000000"/>
                <w:kern w:val="2"/>
                <w:sz w:val="20"/>
                <w:szCs w:val="20"/>
                <w:lang w:val="en-US" w:eastAsia="zh-CN"/>
              </w:rPr>
            </w:pPr>
            <w:r>
              <w:rPr>
                <w:rFonts w:hint="eastAsia" w:ascii="宋体" w:hAnsi="宋体" w:cs="宋体"/>
                <w:color w:val="000000"/>
                <w:sz w:val="20"/>
                <w:szCs w:val="20"/>
              </w:rPr>
              <w:t>60 分以下：扣减当月服务费的 15%，并要求物业企业限期整改，整改期间持续跟踪考核，若后续考核仍不达标，可启动重新选聘物业程序。</w:t>
            </w:r>
          </w:p>
          <w:p>
            <w:pPr>
              <w:adjustRightInd/>
              <w:snapToGrid/>
              <w:spacing w:line="276" w:lineRule="auto"/>
              <w:ind w:firstLine="0" w:firstLineChars="0"/>
              <w:textAlignment w:val="auto"/>
              <w:rPr>
                <w:rFonts w:hint="eastAsia" w:ascii="宋体" w:hAnsi="宋体" w:eastAsia="宋体" w:cs="宋体"/>
                <w:color w:val="000000"/>
                <w:kern w:val="2"/>
                <w:sz w:val="20"/>
                <w:szCs w:val="20"/>
                <w:lang w:eastAsia="zh-TW"/>
              </w:rPr>
            </w:pPr>
            <w:r>
              <w:rPr>
                <w:rFonts w:hint="eastAsia" w:ascii="宋体" w:hAnsi="宋体" w:cs="宋体"/>
                <w:color w:val="000000"/>
                <w:kern w:val="2"/>
                <w:sz w:val="20"/>
                <w:szCs w:val="20"/>
                <w:lang w:val="en-US" w:eastAsia="zh-CN"/>
              </w:rPr>
              <w:t>3.</w:t>
            </w:r>
            <w:r>
              <w:rPr>
                <w:rFonts w:hint="eastAsia" w:ascii="宋体" w:hAnsi="宋体" w:eastAsia="宋体" w:cs="宋体"/>
                <w:color w:val="000000"/>
                <w:kern w:val="2"/>
                <w:sz w:val="20"/>
                <w:szCs w:val="20"/>
                <w:lang w:eastAsia="zh-TW"/>
              </w:rPr>
              <w:t>中标人</w:t>
            </w:r>
            <w:r>
              <w:rPr>
                <w:rFonts w:hint="eastAsia" w:ascii="宋体" w:hAnsi="宋体" w:eastAsia="宋体" w:cs="宋体"/>
                <w:color w:val="000000"/>
                <w:kern w:val="2"/>
                <w:sz w:val="20"/>
                <w:szCs w:val="20"/>
              </w:rPr>
              <w:t>应</w:t>
            </w:r>
            <w:r>
              <w:rPr>
                <w:rFonts w:hint="eastAsia" w:ascii="宋体" w:hAnsi="宋体" w:eastAsia="宋体" w:cs="宋体"/>
                <w:color w:val="000000"/>
                <w:kern w:val="2"/>
                <w:sz w:val="20"/>
                <w:szCs w:val="20"/>
                <w:lang w:eastAsia="zh-TW"/>
              </w:rPr>
              <w:t>向</w:t>
            </w:r>
            <w:r>
              <w:rPr>
                <w:rFonts w:hint="eastAsia" w:ascii="宋体" w:hAnsi="宋体" w:eastAsia="宋体" w:cs="宋体"/>
                <w:b w:val="0"/>
                <w:color w:val="000000"/>
                <w:kern w:val="2"/>
                <w:sz w:val="20"/>
                <w:szCs w:val="20"/>
              </w:rPr>
              <w:t>业主或物业使用人</w:t>
            </w:r>
            <w:r>
              <w:rPr>
                <w:rFonts w:hint="eastAsia" w:ascii="宋体" w:hAnsi="宋体" w:eastAsia="宋体" w:cs="宋体"/>
                <w:color w:val="000000"/>
                <w:kern w:val="2"/>
                <w:sz w:val="20"/>
                <w:szCs w:val="20"/>
                <w:lang w:eastAsia="zh-TW"/>
              </w:rPr>
              <w:t>提供与支付金额相符的有效发票，且收款方、出具发票方均必须与中标人名称一致；</w:t>
            </w:r>
          </w:p>
          <w:p>
            <w:pPr>
              <w:numPr>
                <w:ilvl w:val="0"/>
                <w:numId w:val="0"/>
              </w:numPr>
              <w:autoSpaceDE/>
              <w:autoSpaceDN/>
              <w:adjustRightInd/>
              <w:snapToGrid/>
              <w:spacing w:line="276" w:lineRule="auto"/>
              <w:ind w:left="0" w:firstLine="0"/>
              <w:textAlignment w:val="auto"/>
              <w:rPr>
                <w:rFonts w:hint="eastAsia" w:ascii="宋体" w:hAnsi="宋体" w:cs="宋体"/>
                <w:color w:val="000000"/>
                <w:sz w:val="20"/>
                <w:szCs w:val="20"/>
              </w:rPr>
            </w:pPr>
            <w:r>
              <w:rPr>
                <w:rFonts w:hint="eastAsia" w:ascii="宋体" w:hAnsi="宋体" w:eastAsia="宋体" w:cs="宋体"/>
                <w:color w:val="000000"/>
                <w:kern w:val="2"/>
                <w:sz w:val="20"/>
                <w:szCs w:val="20"/>
              </w:rPr>
              <w:t>付款方式：采用现金支付、银行转账、银行卡托收等方式。</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jc w:val="center"/>
              <w:outlineLvl w:val="0"/>
              <w:rPr>
                <w:rFonts w:ascii="宋体" w:hAnsi="宋体"/>
                <w:b/>
                <w:bCs/>
                <w:szCs w:val="21"/>
              </w:rPr>
            </w:pPr>
            <w:r>
              <w:rPr>
                <w:rFonts w:hint="eastAsia" w:ascii="宋体" w:hAnsi="宋体"/>
                <w:b/>
                <w:bCs/>
                <w:szCs w:val="21"/>
              </w:rPr>
              <w:t>4</w:t>
            </w:r>
          </w:p>
        </w:tc>
        <w:tc>
          <w:tcPr>
            <w:tcW w:w="1147" w:type="dxa"/>
            <w:noWrap w:val="0"/>
            <w:vAlign w:val="center"/>
          </w:tcPr>
          <w:p>
            <w:pPr>
              <w:jc w:val="center"/>
              <w:rPr>
                <w:rFonts w:ascii="宋体" w:hAnsi="宋体"/>
                <w:b/>
                <w:bCs/>
                <w:szCs w:val="21"/>
              </w:rPr>
            </w:pPr>
            <w:r>
              <w:rPr>
                <w:rFonts w:hint="eastAsia" w:ascii="宋体" w:hAnsi="宋体"/>
                <w:b/>
                <w:bCs/>
                <w:szCs w:val="21"/>
              </w:rPr>
              <w:t>关于验收</w:t>
            </w:r>
          </w:p>
          <w:p>
            <w:pPr>
              <w:jc w:val="center"/>
              <w:outlineLvl w:val="0"/>
              <w:rPr>
                <w:rFonts w:ascii="宋体" w:hAnsi="宋体"/>
                <w:b/>
                <w:bCs/>
                <w:szCs w:val="21"/>
              </w:rPr>
            </w:pPr>
          </w:p>
        </w:tc>
        <w:tc>
          <w:tcPr>
            <w:tcW w:w="6757" w:type="dxa"/>
            <w:noWrap w:val="0"/>
            <w:vAlign w:val="top"/>
          </w:tcPr>
          <w:p>
            <w:pPr>
              <w:spacing w:line="276" w:lineRule="auto"/>
              <w:ind w:left="0" w:leftChars="0" w:firstLine="0" w:firstLineChars="0"/>
              <w:rPr>
                <w:rFonts w:hint="eastAsia" w:ascii="宋体" w:hAnsi="宋体" w:cs="宋体"/>
                <w:b w:val="0"/>
                <w:color w:val="000000"/>
                <w:sz w:val="20"/>
                <w:szCs w:val="20"/>
                <w:lang w:eastAsia="zh-TW"/>
              </w:rPr>
            </w:pPr>
            <w:r>
              <w:rPr>
                <w:rFonts w:hint="eastAsia" w:ascii="宋体" w:hAnsi="宋体" w:cs="宋体"/>
                <w:bCs w:val="0"/>
                <w:color w:val="000000"/>
                <w:sz w:val="20"/>
                <w:szCs w:val="20"/>
                <w:lang w:eastAsia="zh-TW"/>
              </w:rPr>
              <w:t>1）服务经过双方检验认可后，签署验收报告。</w:t>
            </w:r>
          </w:p>
          <w:p>
            <w:pPr>
              <w:spacing w:line="276" w:lineRule="auto"/>
              <w:ind w:left="0" w:leftChars="0" w:firstLine="0" w:firstLineChars="0"/>
              <w:rPr>
                <w:rFonts w:hint="eastAsia" w:ascii="宋体" w:hAnsi="宋体" w:cs="宋体"/>
                <w:bCs w:val="0"/>
                <w:color w:val="000000"/>
                <w:sz w:val="20"/>
                <w:szCs w:val="20"/>
                <w:lang w:eastAsia="zh-TW"/>
              </w:rPr>
            </w:pPr>
            <w:r>
              <w:rPr>
                <w:rFonts w:hint="eastAsia" w:ascii="宋体" w:hAnsi="宋体" w:cs="宋体"/>
                <w:bCs w:val="0"/>
                <w:color w:val="000000"/>
                <w:sz w:val="20"/>
                <w:szCs w:val="20"/>
                <w:lang w:eastAsia="zh-TW"/>
              </w:rPr>
              <w:t>2）当满足以下条件时，采购人才向中标人签发验收报告：</w:t>
            </w:r>
          </w:p>
          <w:p>
            <w:pPr>
              <w:spacing w:line="276" w:lineRule="auto"/>
              <w:ind w:left="0" w:leftChars="0" w:firstLine="0" w:firstLineChars="0"/>
              <w:rPr>
                <w:rFonts w:hint="eastAsia" w:ascii="宋体" w:hAnsi="宋体" w:cs="宋体"/>
                <w:bCs w:val="0"/>
                <w:color w:val="000000"/>
                <w:sz w:val="20"/>
                <w:szCs w:val="20"/>
                <w:lang w:eastAsia="zh-TW"/>
              </w:rPr>
            </w:pPr>
            <w:r>
              <w:rPr>
                <w:rFonts w:hint="eastAsia" w:ascii="宋体" w:hAnsi="宋体" w:cs="宋体"/>
                <w:bCs w:val="0"/>
                <w:color w:val="000000"/>
                <w:sz w:val="20"/>
                <w:szCs w:val="20"/>
                <w:lang w:eastAsia="zh-TW"/>
              </w:rPr>
              <w:t>a、中标人已按照合同规定提供了全部技术资料。</w:t>
            </w:r>
          </w:p>
          <w:p>
            <w:pPr>
              <w:spacing w:line="276" w:lineRule="auto"/>
              <w:ind w:left="0" w:leftChars="0" w:firstLine="0" w:firstLineChars="0"/>
              <w:rPr>
                <w:rFonts w:hint="eastAsia" w:ascii="宋体" w:hAnsi="宋体" w:cs="宋体"/>
                <w:bCs w:val="0"/>
                <w:color w:val="000000"/>
                <w:sz w:val="20"/>
                <w:szCs w:val="20"/>
                <w:lang w:eastAsia="zh-TW"/>
              </w:rPr>
            </w:pPr>
            <w:r>
              <w:rPr>
                <w:rFonts w:hint="eastAsia" w:ascii="宋体" w:hAnsi="宋体" w:cs="宋体"/>
                <w:bCs w:val="0"/>
                <w:color w:val="000000"/>
                <w:sz w:val="20"/>
                <w:szCs w:val="20"/>
                <w:lang w:eastAsia="zh-TW"/>
              </w:rPr>
              <w:t>b、服务项目符合招标文件的服务要求</w:t>
            </w:r>
          </w:p>
          <w:p>
            <w:pPr>
              <w:spacing w:line="276" w:lineRule="auto"/>
              <w:rPr>
                <w:rFonts w:hint="eastAsia" w:ascii="宋体" w:hAnsi="宋体" w:cs="宋体"/>
                <w:color w:val="00000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jc w:val="center"/>
              <w:outlineLvl w:val="0"/>
              <w:rPr>
                <w:rFonts w:ascii="宋体" w:hAnsi="宋体"/>
                <w:b/>
                <w:bCs/>
                <w:szCs w:val="21"/>
              </w:rPr>
            </w:pPr>
            <w:r>
              <w:rPr>
                <w:rFonts w:hint="eastAsia" w:ascii="宋体" w:hAnsi="宋体"/>
                <w:b/>
                <w:bCs/>
                <w:szCs w:val="21"/>
              </w:rPr>
              <w:t>5</w:t>
            </w:r>
          </w:p>
        </w:tc>
        <w:tc>
          <w:tcPr>
            <w:tcW w:w="1147" w:type="dxa"/>
            <w:noWrap w:val="0"/>
            <w:vAlign w:val="center"/>
          </w:tcPr>
          <w:p>
            <w:pPr>
              <w:jc w:val="center"/>
              <w:outlineLvl w:val="0"/>
              <w:rPr>
                <w:rFonts w:ascii="宋体" w:hAnsi="宋体"/>
                <w:b/>
                <w:bCs/>
                <w:szCs w:val="21"/>
              </w:rPr>
            </w:pPr>
            <w:r>
              <w:rPr>
                <w:rFonts w:hint="eastAsia" w:ascii="宋体" w:hAnsi="宋体"/>
                <w:b/>
                <w:bCs/>
                <w:szCs w:val="21"/>
              </w:rPr>
              <w:t>其他</w:t>
            </w:r>
          </w:p>
        </w:tc>
        <w:tc>
          <w:tcPr>
            <w:tcW w:w="6757" w:type="dxa"/>
            <w:noWrap w:val="0"/>
            <w:vAlign w:val="top"/>
          </w:tcPr>
          <w:p>
            <w:pPr>
              <w:spacing w:line="276" w:lineRule="auto"/>
              <w:ind w:firstLine="0" w:firstLineChars="0"/>
              <w:rPr>
                <w:rFonts w:hint="eastAsia" w:ascii="宋体" w:hAnsi="宋体" w:cs="宋体"/>
                <w:bCs w:val="0"/>
                <w:color w:val="000000"/>
                <w:sz w:val="20"/>
                <w:szCs w:val="20"/>
                <w:lang w:eastAsia="zh-TW"/>
              </w:rPr>
            </w:pPr>
            <w:r>
              <w:rPr>
                <w:rFonts w:hint="eastAsia" w:ascii="宋体" w:hAnsi="宋体" w:cs="宋体"/>
                <w:bCs w:val="0"/>
                <w:color w:val="000000"/>
                <w:sz w:val="20"/>
                <w:szCs w:val="20"/>
                <w:lang w:eastAsia="zh-TW"/>
              </w:rPr>
              <w:t>（一）中标人不得将该项目非法分包或转包给任何单位和个人。否则,采购人有权即刻终止合同,并要求中标人赔偿相应损失</w:t>
            </w:r>
          </w:p>
          <w:p>
            <w:pPr>
              <w:spacing w:line="276" w:lineRule="auto"/>
              <w:ind w:firstLine="0" w:firstLineChars="0"/>
              <w:rPr>
                <w:rFonts w:hint="eastAsia" w:ascii="宋体" w:hAnsi="宋体" w:eastAsia="宋体" w:cs="宋体"/>
                <w:bCs w:val="0"/>
                <w:color w:val="000000"/>
                <w:sz w:val="20"/>
                <w:szCs w:val="20"/>
                <w:lang w:eastAsia="zh-TW"/>
              </w:rPr>
            </w:pPr>
            <w:r>
              <w:rPr>
                <w:rFonts w:hint="eastAsia" w:ascii="宋体" w:hAnsi="宋体" w:cs="宋体"/>
                <w:bCs w:val="0"/>
                <w:color w:val="000000"/>
                <w:sz w:val="20"/>
                <w:szCs w:val="20"/>
                <w:lang w:eastAsia="zh-TW"/>
              </w:rPr>
              <w:t>（二）投标人使用的标准必须是国际公认或国家、或地区政府</w:t>
            </w:r>
            <w:r>
              <w:rPr>
                <w:rFonts w:hint="eastAsia" w:ascii="宋体" w:hAnsi="宋体" w:eastAsia="宋体" w:cs="宋体"/>
                <w:bCs w:val="0"/>
                <w:color w:val="000000"/>
                <w:sz w:val="20"/>
                <w:szCs w:val="20"/>
                <w:lang w:eastAsia="zh-TW"/>
              </w:rPr>
              <w:t>颁布的同等或更高的标准,如投标人使用的标准低于上述标准,评标委员会将有权不</w:t>
            </w:r>
            <w:r>
              <w:rPr>
                <w:rFonts w:hint="eastAsia" w:ascii="宋体" w:hAnsi="宋体" w:cs="宋体"/>
                <w:bCs w:val="0"/>
                <w:color w:val="000000"/>
                <w:sz w:val="20"/>
                <w:szCs w:val="20"/>
                <w:lang w:eastAsia="zh-TW"/>
              </w:rPr>
              <w:t>予</w:t>
            </w:r>
            <w:r>
              <w:rPr>
                <w:rFonts w:hint="eastAsia" w:ascii="宋体" w:hAnsi="宋体" w:eastAsia="宋体" w:cs="宋体"/>
                <w:bCs w:val="0"/>
                <w:color w:val="000000"/>
                <w:sz w:val="20"/>
                <w:szCs w:val="20"/>
                <w:lang w:eastAsia="zh-TW"/>
              </w:rPr>
              <w:t>接受,投标人必须列表将明显的差异详细说明。</w:t>
            </w:r>
          </w:p>
          <w:p>
            <w:pPr>
              <w:spacing w:line="276" w:lineRule="auto"/>
              <w:outlineLvl w:val="9"/>
              <w:rPr>
                <w:rFonts w:hint="eastAsia" w:ascii="宋体" w:hAnsi="宋体" w:cs="宋体"/>
                <w:b w:val="0"/>
                <w:color w:val="000000"/>
                <w:sz w:val="20"/>
                <w:szCs w:val="20"/>
                <w:lang w:eastAsia="zh-TW"/>
              </w:rPr>
            </w:pPr>
          </w:p>
        </w:tc>
      </w:tr>
    </w:tbl>
    <w:p>
      <w:pPr>
        <w:ind w:firstLine="420" w:firstLineChars="200"/>
        <w:rPr>
          <w:rFonts w:ascii="宋体" w:hAnsi="宋体" w:eastAsia="宋体"/>
        </w:rPr>
      </w:pPr>
    </w:p>
    <w:p/>
    <w:p>
      <w:pPr>
        <w:pStyle w:val="6"/>
        <w:spacing w:before="120" w:beforeLines="50" w:after="120" w:afterLines="50"/>
        <w:rPr>
          <w:szCs w:val="24"/>
        </w:rPr>
      </w:pPr>
      <w:r>
        <w:rPr>
          <w:rFonts w:hint="eastAsia"/>
          <w:szCs w:val="24"/>
        </w:rPr>
        <w:t>七、其他重要条款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w:t>
      </w:r>
    </w:p>
    <w:p>
      <w:pPr>
        <w:pStyle w:val="8"/>
        <w:spacing w:before="60" w:beforeLines="25" w:after="60" w:afterLines="25"/>
        <w:ind w:firstLine="392" w:firstLineChars="187"/>
        <w:rPr>
          <w:rFonts w:ascii="宋体" w:hAnsi="宋体"/>
          <w:szCs w:val="21"/>
        </w:rPr>
      </w:pPr>
    </w:p>
    <w:p>
      <w:pPr>
        <w:pStyle w:val="9"/>
        <w:rPr>
          <w:rFonts w:ascii="宋体" w:hAnsi="宋体"/>
          <w:szCs w:val="21"/>
        </w:rPr>
      </w:pPr>
    </w:p>
    <w:p>
      <w:pPr>
        <w:pStyle w:val="6"/>
        <w:spacing w:before="120" w:beforeLines="50" w:after="120" w:afterLines="50"/>
        <w:rPr>
          <w:rFonts w:hint="eastAsia" w:ascii="宋体" w:hAnsi="宋体"/>
          <w:szCs w:val="24"/>
        </w:rPr>
      </w:pPr>
    </w:p>
    <w:p>
      <w:pPr>
        <w:pStyle w:val="37"/>
      </w:pPr>
    </w:p>
    <w:p>
      <w:pPr>
        <w:pStyle w:val="8"/>
        <w:spacing w:before="60" w:beforeLines="25" w:after="60" w:afterLines="25"/>
        <w:ind w:firstLine="392" w:firstLineChars="187"/>
        <w:rPr>
          <w:rFonts w:ascii="宋体" w:hAnsi="宋体"/>
          <w:szCs w:val="21"/>
        </w:rPr>
      </w:pPr>
    </w:p>
    <w:p>
      <w:pPr>
        <w:rPr>
          <w:rFonts w:hint="eastAsia"/>
          <w:kern w:val="2"/>
        </w:rPr>
      </w:pPr>
      <w:r>
        <w:rPr>
          <w:rFonts w:hint="eastAsia"/>
          <w:kern w:val="2"/>
        </w:rPr>
        <w:br w:type="page"/>
      </w:r>
    </w:p>
    <w:p>
      <w:pPr>
        <w:pStyle w:val="6"/>
        <w:rPr>
          <w:kern w:val="2"/>
        </w:rPr>
      </w:pPr>
      <w:r>
        <w:rPr>
          <w:rFonts w:hint="eastAsia"/>
          <w:kern w:val="2"/>
        </w:rPr>
        <w:t>第四章 投标文件组成要求及格式</w:t>
      </w:r>
    </w:p>
    <w:p>
      <w:pPr>
        <w:rPr>
          <w:rStyle w:val="79"/>
          <w:sz w:val="24"/>
        </w:rPr>
      </w:pPr>
      <w:r>
        <w:rPr>
          <w:rStyle w:val="79"/>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rPr>
      </w:pPr>
    </w:p>
    <w:p>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pPr>
        <w:ind w:firstLine="480" w:firstLineChars="200"/>
        <w:rPr>
          <w:rFonts w:ascii="仿宋_GB2312" w:eastAsia="仿宋_GB2312"/>
          <w:sz w:val="24"/>
        </w:rPr>
      </w:pPr>
    </w:p>
    <w:p>
      <w:pPr>
        <w:ind w:firstLine="482" w:firstLineChars="200"/>
        <w:rPr>
          <w:rFonts w:ascii="宋体" w:hAnsi="宋体"/>
          <w:b/>
          <w:sz w:val="24"/>
        </w:rPr>
      </w:pPr>
    </w:p>
    <w:p>
      <w:pPr>
        <w:rPr>
          <w:rFonts w:ascii="宋体" w:hAnsi="宋体"/>
          <w:sz w:val="24"/>
        </w:rPr>
      </w:pPr>
      <w:r>
        <w:rPr>
          <w:rFonts w:hint="eastAsia" w:ascii="宋体" w:hAnsi="宋体"/>
          <w:sz w:val="24"/>
        </w:rPr>
        <w:t>投标文件组成：</w:t>
      </w:r>
    </w:p>
    <w:p>
      <w:pPr>
        <w:ind w:firstLine="1200" w:firstLineChars="500"/>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szCs w:val="21"/>
        </w:rPr>
      </w:pPr>
      <w:r>
        <w:rPr>
          <w:rFonts w:hint="eastAsia"/>
          <w:szCs w:val="21"/>
        </w:rPr>
        <w:t>（1）</w:t>
      </w:r>
      <w:bookmarkStart w:id="58" w:name="_Hlk72070784"/>
      <w:r>
        <w:rPr>
          <w:rFonts w:hint="eastAsia"/>
          <w:szCs w:val="21"/>
        </w:rPr>
        <w:t>投标函</w:t>
      </w:r>
      <w:bookmarkEnd w:id="58"/>
    </w:p>
    <w:p>
      <w:pPr>
        <w:ind w:left="718" w:leftChars="342" w:firstLine="1417" w:firstLineChars="675"/>
        <w:rPr>
          <w:szCs w:val="21"/>
          <w:highlight w:val="none"/>
        </w:rPr>
      </w:pPr>
      <w:r>
        <w:rPr>
          <w:rFonts w:hint="eastAsia"/>
          <w:szCs w:val="21"/>
          <w:highlight w:val="none"/>
        </w:rPr>
        <w:t>（2）</w:t>
      </w:r>
      <w:bookmarkStart w:id="59" w:name="_Hlk72062521"/>
      <w:r>
        <w:rPr>
          <w:rFonts w:hint="eastAsia"/>
          <w:szCs w:val="21"/>
          <w:highlight w:val="none"/>
        </w:rPr>
        <w:t>政府采购投标及履约承诺函</w:t>
      </w:r>
      <w:bookmarkEnd w:id="59"/>
    </w:p>
    <w:p>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pPr>
        <w:ind w:left="718" w:leftChars="342" w:firstLine="1417" w:firstLineChars="675"/>
        <w:rPr>
          <w:rFonts w:ascii="宋体" w:hAnsi="宋体"/>
          <w:szCs w:val="21"/>
          <w:highlight w:val="none"/>
        </w:rPr>
      </w:pPr>
      <w:bookmarkStart w:id="60" w:name="_Hlk72257201"/>
      <w:r>
        <w:rPr>
          <w:rFonts w:hint="eastAsia"/>
          <w:szCs w:val="21"/>
          <w:highlight w:val="none"/>
        </w:rPr>
        <w:t>（</w:t>
      </w:r>
      <w:r>
        <w:rPr>
          <w:szCs w:val="21"/>
          <w:highlight w:val="none"/>
        </w:rPr>
        <w:t>4</w:t>
      </w:r>
      <w:r>
        <w:rPr>
          <w:rFonts w:hint="eastAsia"/>
          <w:szCs w:val="21"/>
          <w:highlight w:val="none"/>
        </w:rPr>
        <w:t>）项目详细报价</w:t>
      </w:r>
      <w:bookmarkEnd w:id="60"/>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（5）投标人经验情况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（6）获奖情况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bookmarkStart w:id="61" w:name="OLE_LINK17"/>
      <w:r>
        <w:rPr>
          <w:rFonts w:hint="eastAsia" w:ascii="Times New Roman" w:hAnsi="Times New Roman" w:eastAsia="宋体" w:cs="Times New Roman"/>
          <w:szCs w:val="21"/>
          <w:highlight w:val="none"/>
        </w:rPr>
        <w:t>认证情况</w:t>
      </w:r>
    </w:p>
    <w:bookmarkEnd w:id="61"/>
    <w:p>
      <w:pPr>
        <w:ind w:firstLine="1200" w:firstLineChars="500"/>
        <w:outlineLvl w:val="9"/>
        <w:rPr>
          <w:rFonts w:hint="eastAsia" w:ascii="宋体" w:hAnsi="宋体"/>
          <w:sz w:val="24"/>
          <w:highlight w:val="none"/>
        </w:rPr>
      </w:pPr>
    </w:p>
    <w:p>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）服务方案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）质量保障措施及方案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）项目完成（服务期满）后的服务承诺</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ascii="Times New Roman" w:hAnsi="Times New Roman" w:eastAsia="宋体" w:cs="Times New Roman"/>
          <w:sz w:val="21"/>
          <w:szCs w:val="21"/>
          <w:highlight w:val="none"/>
        </w:rPr>
        <w:t>违约承诺</w:t>
      </w:r>
    </w:p>
    <w:p>
      <w:pPr>
        <w:ind w:left="718" w:leftChars="342" w:firstLine="1417" w:firstLineChars="675"/>
        <w:rPr>
          <w:rFonts w:hint="eastAsia"/>
          <w:szCs w:val="21"/>
          <w:highlight w:val="none"/>
          <w:lang w:val="en-US" w:eastAsia="zh-CN"/>
        </w:rPr>
      </w:pPr>
      <w:r>
        <w:rPr>
          <w:rFonts w:hint="eastAsia"/>
          <w:szCs w:val="21"/>
          <w:highlight w:val="none"/>
        </w:rPr>
        <w:t>（</w:t>
      </w:r>
      <w:r>
        <w:rPr>
          <w:rFonts w:hint="eastAsia"/>
          <w:szCs w:val="21"/>
          <w:highlight w:val="none"/>
          <w:lang w:val="en-US" w:eastAsia="zh-CN"/>
        </w:rPr>
        <w:t>10</w:t>
      </w:r>
      <w:r>
        <w:rPr>
          <w:rFonts w:hint="eastAsia"/>
          <w:szCs w:val="21"/>
          <w:highlight w:val="none"/>
        </w:rPr>
        <w:t>）</w:t>
      </w:r>
      <w:r>
        <w:rPr>
          <w:rFonts w:hint="eastAsia" w:ascii="Times New Roman" w:eastAsia="宋体"/>
          <w:b w:val="0"/>
          <w:kern w:val="2"/>
          <w:sz w:val="21"/>
          <w:szCs w:val="21"/>
          <w:highlight w:val="none"/>
        </w:rPr>
        <w:t>拟安排的项目负责人情况（仅限一人）</w:t>
      </w:r>
      <w:r>
        <w:rPr>
          <w:rFonts w:hint="eastAsia"/>
          <w:b w:val="0"/>
          <w:kern w:val="2"/>
          <w:sz w:val="21"/>
          <w:szCs w:val="21"/>
          <w:highlight w:val="none"/>
          <w:lang w:val="en-US" w:eastAsia="zh-CN"/>
        </w:rPr>
        <w:t>及</w:t>
      </w:r>
      <w:r>
        <w:rPr>
          <w:rFonts w:hint="eastAsia"/>
          <w:szCs w:val="21"/>
          <w:highlight w:val="none"/>
          <w:lang w:val="en-US" w:eastAsia="zh-CN"/>
        </w:rPr>
        <w:t>项目团队成员</w:t>
      </w:r>
    </w:p>
    <w:p>
      <w:pPr>
        <w:ind w:left="718" w:leftChars="342" w:firstLine="1417" w:firstLineChars="675"/>
        <w:rPr>
          <w:rFonts w:hint="eastAsia"/>
          <w:szCs w:val="21"/>
          <w:highlight w:val="none"/>
        </w:rPr>
      </w:pPr>
      <w:r>
        <w:rPr>
          <w:rFonts w:hint="eastAsia"/>
          <w:szCs w:val="21"/>
          <w:highlight w:val="none"/>
          <w:lang w:eastAsia="zh-CN"/>
        </w:rPr>
        <w:t>（</w:t>
      </w:r>
      <w:r>
        <w:rPr>
          <w:rFonts w:hint="eastAsia"/>
          <w:szCs w:val="21"/>
          <w:highlight w:val="none"/>
          <w:lang w:val="en-US" w:eastAsia="zh-CN"/>
        </w:rPr>
        <w:t>12</w:t>
      </w:r>
      <w:r>
        <w:rPr>
          <w:rFonts w:hint="eastAsia"/>
          <w:szCs w:val="21"/>
          <w:highlight w:val="none"/>
          <w:lang w:eastAsia="zh-CN"/>
        </w:rPr>
        <w:t>）</w:t>
      </w:r>
      <w:bookmarkStart w:id="62" w:name="OLE_LINK29"/>
      <w:r>
        <w:rPr>
          <w:rFonts w:hint="eastAsia"/>
          <w:szCs w:val="21"/>
          <w:highlight w:val="none"/>
        </w:rPr>
        <w:t>投标人认为需要加以说明的其他内容</w:t>
      </w:r>
    </w:p>
    <w:bookmarkEnd w:id="62"/>
    <w:p>
      <w:pPr>
        <w:pStyle w:val="9"/>
      </w:pPr>
    </w:p>
    <w:p>
      <w:pPr>
        <w:pStyle w:val="8"/>
        <w:ind w:left="210" w:leftChars="100" w:firstLine="781" w:firstLineChars="372"/>
        <w:rPr>
          <w:rFonts w:ascii="宋体" w:hAnsi="宋体"/>
          <w:szCs w:val="21"/>
        </w:rPr>
      </w:pPr>
    </w:p>
    <w:p>
      <w:pPr>
        <w:rPr>
          <w:rFonts w:ascii="仿宋_GB2312" w:eastAsia="仿宋_GB2312"/>
          <w:sz w:val="24"/>
        </w:rPr>
      </w:pPr>
    </w:p>
    <w:p>
      <w:pPr>
        <w:ind w:firstLine="426" w:firstLineChars="202"/>
        <w:rPr>
          <w:rFonts w:ascii="宋体" w:hAnsi="宋体"/>
          <w:b/>
          <w:szCs w:val="21"/>
        </w:rPr>
      </w:pPr>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pPr>
        <w:rPr>
          <w:rFonts w:ascii="仿宋_GB2312" w:eastAsia="仿宋_GB2312"/>
          <w:sz w:val="24"/>
        </w:rPr>
      </w:pPr>
    </w:p>
    <w:p>
      <w:pPr>
        <w:rPr>
          <w:rFonts w:ascii="宋体" w:hAnsi="宋体"/>
          <w:b/>
          <w:szCs w:val="21"/>
        </w:rPr>
      </w:pPr>
    </w:p>
    <w:p>
      <w:pPr>
        <w:rPr>
          <w:rFonts w:ascii="宋体" w:hAnsi="宋体"/>
          <w:b/>
          <w:szCs w:val="21"/>
        </w:rPr>
      </w:pPr>
    </w:p>
    <w:p>
      <w:pPr>
        <w:jc w:val="left"/>
        <w:rPr>
          <w:rFonts w:ascii="宋体" w:hAnsi="宋体"/>
          <w:b/>
          <w:color w:val="FF0000"/>
          <w:sz w:val="36"/>
          <w:szCs w:val="36"/>
        </w:rPr>
      </w:pPr>
      <w:r>
        <w:rPr>
          <w:rFonts w:hint="eastAsia" w:ascii="宋体" w:hAnsi="宋体"/>
          <w:b/>
          <w:color w:val="FF0000"/>
          <w:sz w:val="36"/>
          <w:szCs w:val="36"/>
        </w:rPr>
        <w:br w:type="page"/>
      </w:r>
    </w:p>
    <w:p>
      <w:pPr>
        <w:outlineLvl w:val="1"/>
        <w:rPr>
          <w:rFonts w:ascii="宋体" w:hAnsi="宋体"/>
          <w:b/>
          <w:color w:val="FF0000"/>
          <w:sz w:val="28"/>
          <w:szCs w:val="28"/>
        </w:rPr>
      </w:pPr>
      <w:r>
        <w:rPr>
          <w:rFonts w:hint="eastAsia" w:ascii="宋体" w:hAnsi="宋体"/>
          <w:b/>
          <w:color w:val="FF0000"/>
          <w:sz w:val="28"/>
          <w:szCs w:val="28"/>
        </w:rPr>
        <w:t>投标文件正文（信息公开部分）</w:t>
      </w:r>
    </w:p>
    <w:p>
      <w:pPr>
        <w:pStyle w:val="4"/>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63" w:name="_Hlk73818812"/>
      <w:r>
        <w:rPr>
          <w:rFonts w:hint="eastAsia"/>
          <w:szCs w:val="21"/>
        </w:rPr>
        <w:t>1</w:t>
      </w:r>
      <w:r>
        <w:rPr>
          <w:rFonts w:hint="eastAsia"/>
          <w:szCs w:val="21"/>
          <w:lang w:val="en-US" w:eastAsia="zh-CN"/>
        </w:rPr>
        <w:t>.</w:t>
      </w:r>
      <w:r>
        <w:rPr>
          <w:rFonts w:hint="eastAsia"/>
          <w:szCs w:val="21"/>
        </w:rPr>
        <w:t>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64" w:name="_Hlk72263588"/>
      <w:r>
        <w:rPr>
          <w:rFonts w:hint="eastAsia"/>
          <w:szCs w:val="21"/>
        </w:rPr>
        <w:t>愿意按照招标文件要求承包上述项目并修补其任何缺陷。</w:t>
      </w:r>
      <w:bookmarkEnd w:id="64"/>
    </w:p>
    <w:p>
      <w:pPr>
        <w:ind w:firstLine="420" w:firstLineChars="200"/>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投标价格见</w:t>
      </w:r>
      <w:r>
        <w:rPr>
          <w:rFonts w:hint="eastAsia"/>
          <w:szCs w:val="21"/>
        </w:rPr>
        <w:t>投标书编制软件中《开标一览表》中填写的投标总价。</w:t>
      </w:r>
    </w:p>
    <w:p>
      <w:pPr>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如果我单位中标，我单位将按照招标文件的要求足额提交履约担保。</w:t>
      </w:r>
    </w:p>
    <w:p>
      <w:pPr>
        <w:ind w:firstLine="420" w:firstLineChars="200"/>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我单位理解贵单位将不受必须接受所收到的最低报价或其它任何投标文件的约束。</w:t>
      </w:r>
      <w:bookmarkEnd w:id="63"/>
    </w:p>
    <w:p>
      <w:pPr>
        <w:ind w:left="420" w:leftChars="200"/>
        <w:rPr>
          <w:rFonts w:ascii="宋体" w:hAnsi="宋体"/>
          <w:b/>
          <w:szCs w:val="21"/>
        </w:rPr>
      </w:pPr>
      <w:r>
        <w:rPr>
          <w:rFonts w:hint="eastAsia" w:ascii="宋体" w:hAnsi="宋体"/>
          <w:b/>
          <w:szCs w:val="21"/>
        </w:rPr>
        <w:t>7</w:t>
      </w:r>
      <w:r>
        <w:rPr>
          <w:rFonts w:hint="eastAsia" w:ascii="宋体" w:hAnsi="宋体"/>
          <w:b/>
          <w:szCs w:val="21"/>
          <w:lang w:val="en-US" w:eastAsia="zh-CN"/>
        </w:rPr>
        <w:t>.</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pStyle w:val="4"/>
        <w:jc w:val="center"/>
        <w:rPr>
          <w:rFonts w:ascii="黑体" w:eastAsia="黑体"/>
          <w:b w:val="0"/>
          <w:kern w:val="0"/>
          <w:sz w:val="24"/>
        </w:rPr>
      </w:pPr>
      <w:r>
        <w:rPr>
          <w:rFonts w:hint="eastAsia" w:ascii="黑体" w:eastAsia="黑体"/>
          <w:b w:val="0"/>
          <w:kern w:val="0"/>
          <w:sz w:val="24"/>
        </w:rPr>
        <w:t>二、政府采购投标及履约承诺函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0" w:firstLineChars="200"/>
        <w:rPr>
          <w:rFonts w:hint="eastAsia" w:ascii="宋体" w:hAnsi="宋体"/>
          <w:b/>
          <w:bCs w:val="0"/>
          <w:sz w:val="21"/>
          <w:lang w:val="en-US" w:eastAsia="zh-CN"/>
        </w:rPr>
      </w:pPr>
      <w:r>
        <w:rPr>
          <w:rFonts w:hint="eastAsia" w:ascii="宋体" w:hAnsi="宋体"/>
          <w:color w:val="auto"/>
          <w:lang w:val="en-US" w:eastAsia="zh-CN"/>
        </w:rPr>
        <w:t>14.</w:t>
      </w:r>
      <w:r>
        <w:rPr>
          <w:rFonts w:hint="eastAsia" w:ascii="宋体" w:hAnsi="宋体"/>
          <w:color w:val="auto"/>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2" w:firstLineChars="200"/>
        <w:rPr>
          <w:rFonts w:ascii="宋体" w:hAnsi="宋体"/>
          <w:b/>
        </w:rPr>
      </w:pPr>
      <w:r>
        <w:rPr>
          <w:rFonts w:hint="eastAsia" w:ascii="宋体" w:hAnsi="宋体"/>
          <w:b/>
          <w:bCs w:val="0"/>
          <w:sz w:val="21"/>
          <w:lang w:val="en-US" w:eastAsia="zh-CN"/>
        </w:rPr>
        <w:t>15.我单位清楚，如存在违反投标承诺行为情节严重的，将根据《深圳市财政局关于印发&lt;深圳市财政局政府采购供应商信用信息管理办法&gt;的通知》，依法被列入失信信息。</w:t>
      </w:r>
    </w:p>
    <w:p>
      <w:pPr>
        <w:pStyle w:val="9"/>
        <w:ind w:firstLine="482"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rPr>
          <w:rFonts w:ascii="宋体" w:hAnsi="宋体"/>
          <w:szCs w:val="21"/>
        </w:rPr>
      </w:pPr>
    </w:p>
    <w:p>
      <w:pPr>
        <w:rPr>
          <w:rFonts w:ascii="宋体" w:hAnsi="宋体"/>
          <w:szCs w:val="21"/>
        </w:rPr>
      </w:pPr>
    </w:p>
    <w:p/>
    <w:p/>
    <w:p>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lang w:val="en-US" w:eastAsia="zh-CN"/>
        </w:rPr>
        <w:t>其中要求提供《政府采购投标及履约承诺函》《供应商基本情况表》且已在规定章节中提供的，此处不重复提供</w:t>
      </w:r>
      <w:r>
        <w:rPr>
          <w:rFonts w:hint="eastAsia"/>
          <w:b/>
          <w:bCs/>
          <w:color w:val="FF0000"/>
        </w:rPr>
        <w:t>。）</w:t>
      </w:r>
    </w:p>
    <w:p>
      <w:pPr>
        <w:ind w:firstLine="482"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3"/>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lang w:val="en-US" w:eastAsia="zh-CN"/>
        </w:rPr>
        <w:t>1.</w:t>
      </w:r>
      <w:r>
        <w:rPr>
          <w:rFonts w:hint="eastAsia" w:ascii="黑体" w:hAnsi="宋体" w:eastAsia="黑体"/>
          <w:bCs/>
          <w:color w:val="FF0000"/>
          <w:kern w:val="0"/>
          <w:szCs w:val="21"/>
        </w:rPr>
        <w:t>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w:t>
      </w:r>
      <w:r>
        <w:rPr>
          <w:rFonts w:hint="eastAsia" w:ascii="黑体" w:hAnsi="黑体" w:eastAsia="黑体"/>
          <w:color w:val="FF0000"/>
          <w:szCs w:val="21"/>
          <w:lang w:val="en-US" w:eastAsia="zh-CN"/>
        </w:rPr>
        <w:t>.</w:t>
      </w:r>
      <w:r>
        <w:rPr>
          <w:rFonts w:hint="eastAsia" w:ascii="黑体" w:hAnsi="黑体" w:eastAsia="黑体"/>
          <w:color w:val="FF0000"/>
          <w:szCs w:val="21"/>
        </w:rPr>
        <w:t>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65"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65"/>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w:t>
      </w:r>
      <w:r>
        <w:rPr>
          <w:rFonts w:hint="eastAsia" w:ascii="黑体" w:hAnsi="宋体" w:eastAsia="黑体"/>
          <w:bCs/>
          <w:color w:val="FF0000"/>
          <w:kern w:val="0"/>
          <w:szCs w:val="21"/>
          <w:lang w:val="en-US" w:eastAsia="zh-CN"/>
        </w:rPr>
        <w:t>.</w:t>
      </w:r>
      <w:r>
        <w:rPr>
          <w:rFonts w:hint="eastAsia" w:ascii="黑体" w:hAnsi="宋体" w:eastAsia="黑体"/>
          <w:bCs/>
          <w:color w:val="FF0000"/>
          <w:kern w:val="0"/>
          <w:szCs w:val="21"/>
        </w:rPr>
        <w:t>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w:t>
      </w:r>
      <w:r>
        <w:rPr>
          <w:rFonts w:hint="eastAsia" w:ascii="黑体" w:hAnsi="宋体" w:eastAsia="黑体"/>
          <w:bCs/>
          <w:color w:val="FF0000"/>
          <w:kern w:val="0"/>
          <w:szCs w:val="21"/>
          <w:lang w:val="en-US" w:eastAsia="zh-CN"/>
        </w:rPr>
        <w:t>.</w:t>
      </w:r>
      <w:r>
        <w:rPr>
          <w:rFonts w:hint="eastAsia" w:ascii="黑体" w:hAnsi="宋体" w:eastAsia="黑体"/>
          <w:bCs/>
          <w:color w:val="FF0000"/>
          <w:kern w:val="0"/>
          <w:szCs w:val="21"/>
        </w:rPr>
        <w:t>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pStyle w:val="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lang w:val="en-US" w:eastAsia="zh-CN"/>
        </w:rPr>
        <w:t>.</w:t>
      </w:r>
      <w:r>
        <w:rPr>
          <w:rFonts w:hint="eastAsia" w:ascii="黑体" w:hAnsi="宋体" w:eastAsia="黑体"/>
          <w:bCs/>
          <w:color w:val="FF0000"/>
          <w:kern w:val="0"/>
          <w:szCs w:val="21"/>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6.本项目属于服务类项目，相关服务的承接商应当为中小企业或残疾人福利性单位或监狱企业，如包含硬件设备、产品等货物采购的，不再对其中涉及的货物的制造商作出要求。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2"/>
        <w:rPr>
          <w:rFonts w:hint="default"/>
          <w:lang w:val="en-US" w:eastAsia="zh-CN"/>
        </w:rPr>
      </w:pPr>
    </w:p>
    <w:p>
      <w:pPr>
        <w:ind w:firstLine="420" w:firstLineChars="200"/>
      </w:pPr>
    </w:p>
    <w:p>
      <w:pPr>
        <w:numPr>
          <w:ilvl w:val="0"/>
          <w:numId w:val="0"/>
        </w:numPr>
        <w:jc w:val="center"/>
        <w:outlineLvl w:val="3"/>
        <w:rPr>
          <w:b/>
          <w:sz w:val="24"/>
        </w:rPr>
      </w:pPr>
      <w:r>
        <w:rPr>
          <w:rFonts w:hint="eastAsia"/>
          <w:b/>
          <w:sz w:val="24"/>
          <w:lang w:val="en-US" w:eastAsia="zh-CN"/>
        </w:rPr>
        <w:t>1.</w:t>
      </w:r>
      <w:r>
        <w:rPr>
          <w:b/>
          <w:sz w:val="24"/>
        </w:rPr>
        <w:t>中小企业声明函（</w:t>
      </w:r>
      <w:r>
        <w:rPr>
          <w:rFonts w:hint="eastAsia"/>
          <w:b/>
          <w:sz w:val="24"/>
        </w:rPr>
        <w:t>服务</w:t>
      </w:r>
      <w:r>
        <w:rPr>
          <w:b/>
          <w:sz w:val="24"/>
        </w:rPr>
        <w:t>）</w:t>
      </w:r>
    </w:p>
    <w:p>
      <w:pPr>
        <w:pStyle w:val="9"/>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本公司（联合体）郑重声明，根据《政府采购促进中小企业发展管理办法》（财库﹝2020﹞46号）的规定，本公司（联合体）参加</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（单位名称）</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sz w:val="21"/>
          <w:szCs w:val="21"/>
        </w:rPr>
        <w:t>的</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（项目名称）</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（标的名称）</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，属于</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（采购文件中明确的所属行业）</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sz w:val="21"/>
          <w:szCs w:val="21"/>
        </w:rPr>
        <w:t>行业</w:t>
      </w:r>
      <w:r>
        <w:rPr>
          <w:rFonts w:hint="eastAsia" w:ascii="宋体" w:hAnsi="宋体" w:eastAsia="宋体" w:cs="宋体"/>
          <w:kern w:val="2"/>
          <w:sz w:val="21"/>
          <w:szCs w:val="21"/>
          <w:lang w:val="en-US" w:eastAsia="zh-CN" w:bidi="ar-SA"/>
        </w:rPr>
        <w:t>；承接企业为</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（企业名称</w:t>
      </w:r>
      <w:r>
        <w:rPr>
          <w:rFonts w:hint="eastAsia" w:ascii="宋体" w:hAnsi="宋体" w:eastAsia="宋体" w:cs="宋体"/>
          <w:b/>
          <w:bCs/>
          <w:i/>
          <w:iCs/>
          <w:sz w:val="21"/>
          <w:szCs w:val="21"/>
          <w:u w:val="single"/>
          <w:lang w:eastAsia="zh-CN"/>
        </w:rPr>
        <w:t>，要求</w:t>
      </w:r>
      <w:r>
        <w:rPr>
          <w:rFonts w:hint="eastAsia" w:ascii="宋体" w:hAnsi="宋体" w:eastAsia="宋体" w:cs="宋体"/>
          <w:b/>
          <w:bCs/>
          <w:i/>
          <w:iCs/>
          <w:sz w:val="21"/>
          <w:szCs w:val="21"/>
          <w:u w:val="single"/>
          <w:lang w:val="en-US" w:eastAsia="zh-CN"/>
        </w:rPr>
        <w:t>承接企业本身</w:t>
      </w:r>
      <w:r>
        <w:rPr>
          <w:rFonts w:hint="eastAsia" w:ascii="宋体" w:hAnsi="宋体" w:eastAsia="宋体" w:cs="宋体"/>
          <w:b/>
          <w:bCs/>
          <w:i/>
          <w:iCs/>
          <w:sz w:val="21"/>
          <w:szCs w:val="21"/>
          <w:u w:val="single"/>
          <w:lang w:eastAsia="zh-CN"/>
        </w:rPr>
        <w:t>所属行业应当与招标文件要求的行业相一致</w:t>
      </w:r>
      <w:r>
        <w:rPr>
          <w:rFonts w:hint="eastAsia" w:ascii="宋体" w:hAnsi="宋体" w:eastAsia="宋体" w:cs="宋体"/>
          <w:b/>
          <w:bCs/>
          <w:i/>
          <w:iCs/>
          <w:sz w:val="21"/>
          <w:szCs w:val="21"/>
          <w:u w:val="single"/>
        </w:rPr>
        <w:t>）</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，从业人员</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人，营业收入为</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万元，资产总额为</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万元，属于</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（中型企业、小型企业、微型企业）</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（标的名称）</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，属于</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（采购文件中明确的所属行业）</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sz w:val="21"/>
          <w:szCs w:val="21"/>
        </w:rPr>
        <w:t>行业</w:t>
      </w:r>
      <w:r>
        <w:rPr>
          <w:rFonts w:hint="eastAsia" w:ascii="宋体" w:hAnsi="宋体" w:eastAsia="宋体" w:cs="宋体"/>
          <w:kern w:val="2"/>
          <w:sz w:val="21"/>
          <w:szCs w:val="21"/>
          <w:lang w:val="en-US" w:eastAsia="zh-CN" w:bidi="ar-SA"/>
        </w:rPr>
        <w:t>；承接企业为</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（企业名称</w:t>
      </w:r>
      <w:r>
        <w:rPr>
          <w:rFonts w:hint="eastAsia" w:ascii="宋体" w:hAnsi="宋体" w:eastAsia="宋体" w:cs="宋体"/>
          <w:b/>
          <w:bCs/>
          <w:i/>
          <w:iCs/>
          <w:sz w:val="21"/>
          <w:szCs w:val="21"/>
          <w:u w:val="single"/>
          <w:lang w:eastAsia="zh-CN"/>
        </w:rPr>
        <w:t>，要求</w:t>
      </w:r>
      <w:r>
        <w:rPr>
          <w:rFonts w:hint="eastAsia" w:ascii="宋体" w:hAnsi="宋体" w:eastAsia="宋体" w:cs="宋体"/>
          <w:b/>
          <w:bCs/>
          <w:i/>
          <w:iCs/>
          <w:sz w:val="21"/>
          <w:szCs w:val="21"/>
          <w:u w:val="single"/>
          <w:lang w:val="en-US" w:eastAsia="zh-CN"/>
        </w:rPr>
        <w:t>承接企业本身</w:t>
      </w:r>
      <w:r>
        <w:rPr>
          <w:rFonts w:hint="eastAsia" w:ascii="宋体" w:hAnsi="宋体" w:eastAsia="宋体" w:cs="宋体"/>
          <w:b/>
          <w:bCs/>
          <w:i/>
          <w:iCs/>
          <w:sz w:val="21"/>
          <w:szCs w:val="21"/>
          <w:u w:val="single"/>
          <w:lang w:eastAsia="zh-CN"/>
        </w:rPr>
        <w:t>所属行业应当与招标文件要求的行业相一致</w:t>
      </w:r>
      <w:r>
        <w:rPr>
          <w:rFonts w:hint="eastAsia" w:ascii="宋体" w:hAnsi="宋体" w:eastAsia="宋体" w:cs="宋体"/>
          <w:b/>
          <w:bCs/>
          <w:i/>
          <w:iCs/>
          <w:sz w:val="21"/>
          <w:szCs w:val="21"/>
          <w:u w:val="single"/>
        </w:rPr>
        <w:t>）</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，从业人员</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人，营业收入为</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万元，资产总额为</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万元，属于</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（中型企业、小型企业、微型企业）</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kern w:val="2"/>
          <w:sz w:val="21"/>
          <w:szCs w:val="21"/>
          <w:lang w:val="en-US" w:eastAsia="zh-CN" w:bidi="ar-SA"/>
        </w:rPr>
      </w:pPr>
      <w:bookmarkStart w:id="66" w:name="_Hlk73562275"/>
      <w:r>
        <w:rPr>
          <w:rFonts w:hint="eastAsia" w:ascii="宋体" w:hAnsi="宋体" w:eastAsia="宋体" w:cs="宋体"/>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6"/>
    </w:p>
    <w:p>
      <w:pPr>
        <w:ind w:firstLine="420" w:firstLineChars="200"/>
      </w:pPr>
    </w:p>
    <w:p>
      <w:pPr>
        <w:jc w:val="center"/>
        <w:outlineLvl w:val="3"/>
        <w:rPr>
          <w:b/>
          <w:sz w:val="24"/>
        </w:rPr>
      </w:pPr>
      <w:r>
        <w:rPr>
          <w:rFonts w:hint="eastAsia"/>
          <w:b/>
          <w:sz w:val="24"/>
          <w:lang w:val="en-US" w:eastAsia="zh-CN"/>
        </w:rPr>
        <w:t>2.</w:t>
      </w:r>
      <w:r>
        <w:rPr>
          <w:rFonts w:hint="eastAsia"/>
          <w:b/>
          <w:sz w:val="24"/>
        </w:rPr>
        <w:t>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（单位名称）</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单位的</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b/>
          <w:bCs/>
          <w:i/>
          <w:iCs/>
          <w:sz w:val="21"/>
          <w:szCs w:val="21"/>
          <w:u w:val="single"/>
        </w:rPr>
        <w:t>（项目名称）</w:t>
      </w:r>
      <w:r>
        <w:rPr>
          <w:rFonts w:hint="eastAsia" w:ascii="宋体" w:hAnsi="宋体" w:eastAsia="宋体" w:cs="宋体"/>
          <w:b/>
          <w:bCs/>
          <w:i/>
          <w:iCs/>
          <w:sz w:val="21"/>
          <w:szCs w:val="21"/>
          <w:u w:val="single"/>
          <w:lang w:val="en-US" w:eastAsia="zh-CN"/>
        </w:rPr>
        <w:t xml:space="preserve">    </w:t>
      </w:r>
      <w:r>
        <w:rPr>
          <w:rFonts w:hint="eastAsia" w:ascii="宋体" w:hAnsi="宋体" w:eastAsia="宋体" w:cs="宋体"/>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3"/>
        <w:rPr>
          <w:b/>
          <w:sz w:val="24"/>
        </w:rPr>
      </w:pPr>
      <w:r>
        <w:rPr>
          <w:rFonts w:hint="eastAsia"/>
          <w:b/>
          <w:sz w:val="24"/>
          <w:lang w:val="en-US" w:eastAsia="zh-CN"/>
        </w:rPr>
        <w:t>3.</w:t>
      </w:r>
      <w:r>
        <w:rPr>
          <w:rFonts w:hint="eastAsia"/>
          <w:b/>
          <w:sz w:val="24"/>
        </w:rPr>
        <w:t>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imes New Roman"/>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3"/>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imes New Roman"/>
          <w:szCs w:val="21"/>
        </w:rPr>
        <w:t>本</w:t>
      </w:r>
      <w:r>
        <w:rPr>
          <w:rFonts w:hint="eastAsia" w:ascii="宋体" w:hAnsi="宋体" w:cs="Times New Roman"/>
          <w:szCs w:val="21"/>
        </w:rPr>
        <w:t>投标人</w:t>
      </w:r>
      <w:r>
        <w:rPr>
          <w:rFonts w:ascii="宋体" w:hAnsi="宋体"/>
          <w:szCs w:val="21"/>
        </w:rPr>
        <w:t>对上述声明内容的真实性负责。如有虚假，将依法承担相应责任。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pPr>
        <w:ind w:left="723" w:hanging="723" w:hangingChars="300"/>
        <w:rPr>
          <w:b/>
          <w:sz w:val="24"/>
        </w:rPr>
      </w:pPr>
    </w:p>
    <w:p>
      <w:pPr>
        <w:ind w:left="723" w:hanging="723" w:hangingChars="300"/>
        <w:rPr>
          <w:b/>
          <w:sz w:val="24"/>
        </w:rPr>
      </w:pPr>
    </w:p>
    <w:p>
      <w:pPr>
        <w:pStyle w:val="4"/>
        <w:jc w:val="center"/>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3"/>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20"/>
        <w:gridCol w:w="1569"/>
        <w:gridCol w:w="1769"/>
        <w:gridCol w:w="1174"/>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925" w:type="dxa"/>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20" w:type="dxa"/>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标的名称</w:t>
            </w:r>
          </w:p>
        </w:tc>
        <w:tc>
          <w:tcPr>
            <w:tcW w:w="1569" w:type="dxa"/>
            <w:noWrap w:val="0"/>
            <w:vAlign w:val="center"/>
          </w:tcPr>
          <w:p>
            <w:pPr>
              <w:spacing w:line="560" w:lineRule="exact"/>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单价</w:t>
            </w:r>
            <w:bookmarkStart w:id="67" w:name="OLE_LINK4"/>
            <w:r>
              <w:rPr>
                <w:rFonts w:hint="eastAsia" w:ascii="宋体" w:hAnsi="宋体" w:eastAsia="宋体" w:cs="宋体"/>
                <w:b/>
                <w:sz w:val="24"/>
                <w:szCs w:val="24"/>
                <w:lang w:val="en-US" w:eastAsia="zh-CN"/>
              </w:rPr>
              <w:t>(元/年</w:t>
            </w:r>
            <w:r>
              <w:rPr>
                <w:rFonts w:hint="eastAsia" w:ascii="宋体" w:hAnsi="宋体" w:cs="宋体"/>
                <w:b/>
                <w:sz w:val="24"/>
                <w:szCs w:val="24"/>
                <w:lang w:val="en-US" w:eastAsia="zh-CN"/>
              </w:rPr>
              <w:t>)</w:t>
            </w:r>
            <w:bookmarkEnd w:id="67"/>
          </w:p>
        </w:tc>
        <w:tc>
          <w:tcPr>
            <w:tcW w:w="1769" w:type="dxa"/>
            <w:noWrap w:val="0"/>
            <w:vAlign w:val="center"/>
          </w:tcPr>
          <w:p>
            <w:pPr>
              <w:spacing w:line="560" w:lineRule="exact"/>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合价(元/年</w:t>
            </w:r>
            <w:r>
              <w:rPr>
                <w:rFonts w:hint="eastAsia" w:ascii="宋体" w:hAnsi="宋体" w:cs="宋体"/>
                <w:b/>
                <w:sz w:val="24"/>
                <w:szCs w:val="24"/>
                <w:lang w:val="en-US" w:eastAsia="zh-CN"/>
              </w:rPr>
              <w:t>)</w:t>
            </w:r>
          </w:p>
        </w:tc>
        <w:tc>
          <w:tcPr>
            <w:tcW w:w="1174" w:type="dxa"/>
            <w:noWrap w:val="0"/>
            <w:vAlign w:val="center"/>
          </w:tcPr>
          <w:p>
            <w:pPr>
              <w:spacing w:line="5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限价</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元/年</w:t>
            </w:r>
            <w:r>
              <w:rPr>
                <w:rFonts w:hint="eastAsia" w:ascii="宋体" w:hAnsi="宋体" w:eastAsia="宋体" w:cs="宋体"/>
                <w:b/>
                <w:sz w:val="24"/>
                <w:szCs w:val="24"/>
                <w:lang w:eastAsia="zh-CN"/>
              </w:rPr>
              <w:t>）</w:t>
            </w:r>
          </w:p>
        </w:tc>
        <w:tc>
          <w:tcPr>
            <w:tcW w:w="2090" w:type="dxa"/>
            <w:noWrap w:val="0"/>
            <w:vAlign w:val="center"/>
          </w:tcPr>
          <w:p>
            <w:pPr>
              <w:spacing w:line="560" w:lineRule="exact"/>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925" w:type="dxa"/>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20" w:type="dxa"/>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皇岗边检生活区（含2号楼和保税区</w:t>
            </w:r>
            <w:r>
              <w:rPr>
                <w:rFonts w:hint="eastAsia" w:ascii="宋体" w:hAnsi="宋体" w:eastAsia="宋体" w:cs="宋体"/>
                <w:sz w:val="24"/>
                <w:szCs w:val="24"/>
                <w:lang w:eastAsia="zh-CN"/>
              </w:rPr>
              <w:t>新桂花村</w:t>
            </w:r>
            <w:r>
              <w:rPr>
                <w:rFonts w:hint="eastAsia" w:ascii="宋体" w:hAnsi="宋体" w:eastAsia="宋体" w:cs="宋体"/>
                <w:sz w:val="24"/>
                <w:szCs w:val="24"/>
              </w:rPr>
              <w:t>边检宿舍楼）</w:t>
            </w:r>
          </w:p>
        </w:tc>
        <w:tc>
          <w:tcPr>
            <w:tcW w:w="1569"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769"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174" w:type="dxa"/>
            <w:noWrap w:val="0"/>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252</w:t>
            </w:r>
            <w:r>
              <w:rPr>
                <w:rFonts w:hint="eastAsia" w:ascii="宋体" w:hAnsi="宋体" w:eastAsia="宋体" w:cs="宋体"/>
                <w:sz w:val="24"/>
                <w:szCs w:val="24"/>
                <w:lang w:val="en-US" w:eastAsia="zh-CN"/>
              </w:rPr>
              <w:t>,000.00</w:t>
            </w:r>
          </w:p>
        </w:tc>
        <w:tc>
          <w:tcPr>
            <w:tcW w:w="2090" w:type="dxa"/>
            <w:noWrap w:val="0"/>
            <w:vAlign w:val="center"/>
          </w:tcPr>
          <w:p>
            <w:pPr>
              <w:adjustRightInd w:val="0"/>
              <w:snapToGrid w:val="0"/>
              <w:spacing w:line="300" w:lineRule="exact"/>
              <w:jc w:val="left"/>
              <w:rPr>
                <w:rFonts w:hint="eastAsia"/>
                <w:lang w:val="en-US" w:eastAsia="zh-CN"/>
              </w:rPr>
            </w:pPr>
            <w:r>
              <w:rPr>
                <w:rFonts w:hint="eastAsia"/>
                <w:lang w:val="en-US" w:eastAsia="zh-CN"/>
              </w:rPr>
              <w:t>收费标准不得低于此标准：</w:t>
            </w:r>
          </w:p>
          <w:p>
            <w:pPr>
              <w:adjustRightInd w:val="0"/>
              <w:snapToGrid w:val="0"/>
              <w:spacing w:line="300" w:lineRule="exact"/>
              <w:jc w:val="left"/>
              <w:rPr>
                <w:rFonts w:hint="eastAsia" w:ascii="Times New Roman" w:hAnsi="Times New Roman" w:eastAsia="宋体" w:cs="Times New Roman"/>
                <w:lang w:eastAsia="zh-CN"/>
              </w:rPr>
            </w:pPr>
            <w:r>
              <w:rPr>
                <w:rFonts w:hint="eastAsia"/>
              </w:rPr>
              <w:t>皇岗边检生活区多层建筑和新桂花村边检宿舍楼物业服务收费标准为0.5元/平方米/月，2号楼物业服务收费标准为1.2元/平方米/月，皇福苑物业服务收费标准为1.8元/平方米/</w:t>
            </w:r>
            <w:r>
              <w:rPr>
                <w:rFonts w:hint="eastAsia" w:ascii="Times New Roman" w:hAnsi="Times New Roman" w:cs="Times New Roman"/>
              </w:rPr>
              <w:t>月</w:t>
            </w:r>
            <w:r>
              <w:rPr>
                <w:rFonts w:hint="eastAsia" w:ascii="Times New Roman" w:hAnsi="Times New Roman" w:cs="Times New Roman"/>
                <w:lang w:eastAsia="zh-CN"/>
              </w:rPr>
              <w:t>。</w:t>
            </w:r>
          </w:p>
          <w:p>
            <w:pPr>
              <w:adjustRightInd w:val="0"/>
              <w:snapToGrid w:val="0"/>
              <w:spacing w:line="300" w:lineRule="exact"/>
              <w:rPr>
                <w:rFonts w:hint="eastAsia" w:eastAsia="宋体"/>
                <w:lang w:eastAsia="zh-CN"/>
              </w:rPr>
            </w:pPr>
            <w:r>
              <w:rPr>
                <w:rFonts w:hint="eastAsia" w:ascii="Times New Roman" w:hAnsi="Times New Roman" w:eastAsia="宋体" w:cs="Times New Roman"/>
                <w:sz w:val="21"/>
                <w:szCs w:val="24"/>
              </w:rPr>
              <w:t>停车位110元/辆/月</w:t>
            </w:r>
            <w:r>
              <w:rPr>
                <w:rFonts w:hint="eastAsia" w:ascii="Times New Roman" w:hAnsi="Times New Roman" w:cs="Times New Roman"/>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25" w:type="dxa"/>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20" w:type="dxa"/>
            <w:noWrap w:val="0"/>
            <w:vAlign w:val="center"/>
          </w:tcPr>
          <w:p>
            <w:pPr>
              <w:adjustRightInd w:val="0"/>
              <w:snapToGrid w:val="0"/>
              <w:spacing w:line="300" w:lineRule="exact"/>
              <w:jc w:val="center"/>
              <w:rPr>
                <w:rFonts w:hint="eastAsia" w:ascii="宋体" w:hAnsi="宋体" w:eastAsia="宋体" w:cs="宋体"/>
                <w:i/>
                <w:sz w:val="24"/>
                <w:szCs w:val="24"/>
                <w:u w:val="single"/>
              </w:rPr>
            </w:pPr>
            <w:r>
              <w:rPr>
                <w:rFonts w:hint="eastAsia" w:ascii="宋体" w:hAnsi="宋体" w:eastAsia="宋体" w:cs="宋体"/>
                <w:sz w:val="24"/>
                <w:szCs w:val="24"/>
              </w:rPr>
              <w:t>皇岗边检站沙头执勤点</w:t>
            </w:r>
          </w:p>
        </w:tc>
        <w:tc>
          <w:tcPr>
            <w:tcW w:w="1569"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769"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174" w:type="dxa"/>
            <w:noWrap w:val="0"/>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80,900.00</w:t>
            </w:r>
          </w:p>
        </w:tc>
        <w:tc>
          <w:tcPr>
            <w:tcW w:w="2090" w:type="dxa"/>
            <w:noWrap w:val="0"/>
            <w:vAlign w:val="center"/>
          </w:tcPr>
          <w:p>
            <w:pPr>
              <w:adjustRightInd w:val="0"/>
              <w:snapToGrid w:val="0"/>
              <w:spacing w:line="30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25"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820"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569" w:type="dxa"/>
            <w:noWrap w:val="0"/>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总计</w:t>
            </w:r>
            <w:r>
              <w:rPr>
                <w:rFonts w:hint="eastAsia" w:ascii="宋体" w:hAnsi="宋体" w:eastAsia="宋体" w:cs="宋体"/>
                <w:b/>
                <w:sz w:val="24"/>
                <w:szCs w:val="24"/>
                <w:lang w:val="en-US" w:eastAsia="zh-CN"/>
              </w:rPr>
              <w:t>(元/年</w:t>
            </w:r>
            <w:r>
              <w:rPr>
                <w:rFonts w:hint="eastAsia" w:ascii="宋体" w:hAnsi="宋体" w:cs="宋体"/>
                <w:b/>
                <w:sz w:val="24"/>
                <w:szCs w:val="24"/>
                <w:lang w:val="en-US" w:eastAsia="zh-CN"/>
              </w:rPr>
              <w:t>)</w:t>
            </w:r>
          </w:p>
        </w:tc>
        <w:tc>
          <w:tcPr>
            <w:tcW w:w="1769" w:type="dxa"/>
            <w:noWrap w:val="0"/>
            <w:vAlign w:val="center"/>
          </w:tcPr>
          <w:p>
            <w:pPr>
              <w:adjustRightInd w:val="0"/>
              <w:snapToGrid w:val="0"/>
              <w:spacing w:line="300" w:lineRule="exact"/>
              <w:jc w:val="center"/>
              <w:rPr>
                <w:rFonts w:hint="eastAsia" w:ascii="宋体" w:hAnsi="宋体" w:eastAsia="宋体" w:cs="宋体"/>
                <w:sz w:val="24"/>
                <w:szCs w:val="24"/>
              </w:rPr>
            </w:pPr>
          </w:p>
        </w:tc>
        <w:tc>
          <w:tcPr>
            <w:tcW w:w="1174" w:type="dxa"/>
            <w:noWrap w:val="0"/>
            <w:vAlign w:val="center"/>
          </w:tcPr>
          <w:p>
            <w:pPr>
              <w:adjustRightInd w:val="0"/>
              <w:snapToGrid w:val="0"/>
              <w:spacing w:line="300" w:lineRule="exact"/>
              <w:jc w:val="center"/>
              <w:rPr>
                <w:rFonts w:hint="eastAsia" w:ascii="宋体" w:hAnsi="宋体" w:eastAsia="宋体" w:cs="宋体"/>
                <w:sz w:val="24"/>
                <w:szCs w:val="24"/>
                <w:lang w:val="en-US" w:eastAsia="zh-CN"/>
              </w:rPr>
            </w:pPr>
          </w:p>
        </w:tc>
        <w:tc>
          <w:tcPr>
            <w:tcW w:w="2090" w:type="dxa"/>
            <w:noWrap w:val="0"/>
            <w:vAlign w:val="center"/>
          </w:tcPr>
          <w:p>
            <w:pPr>
              <w:adjustRightInd w:val="0"/>
              <w:snapToGrid w:val="0"/>
              <w:spacing w:line="300" w:lineRule="exact"/>
              <w:jc w:val="center"/>
              <w:rPr>
                <w:rFonts w:hint="eastAsia" w:ascii="宋体" w:hAnsi="宋体" w:eastAsia="宋体" w:cs="宋体"/>
                <w:sz w:val="24"/>
                <w:szCs w:val="24"/>
                <w:lang w:val="en-US" w:eastAsia="zh-CN"/>
              </w:rPr>
            </w:pPr>
          </w:p>
        </w:tc>
      </w:tr>
    </w:tbl>
    <w:p>
      <w:pPr>
        <w:numPr>
          <w:ilvl w:val="0"/>
          <w:numId w:val="13"/>
        </w:numPr>
        <w:tabs>
          <w:tab w:val="left" w:pos="567"/>
          <w:tab w:val="clear" w:pos="312"/>
        </w:tabs>
        <w:snapToGrid w:val="0"/>
        <w:spacing w:line="360" w:lineRule="auto"/>
        <w:ind w:left="0" w:firstLine="0"/>
        <w:rPr>
          <w:rFonts w:hint="eastAsia" w:ascii="宋体" w:hAnsi="宋体" w:eastAsia="宋体"/>
          <w:bCs/>
          <w:sz w:val="24"/>
        </w:rPr>
      </w:pPr>
      <w:r>
        <w:rPr>
          <w:rFonts w:hint="eastAsia" w:ascii="宋体" w:hAnsi="宋体" w:eastAsia="宋体"/>
          <w:bCs/>
          <w:sz w:val="24"/>
        </w:rPr>
        <w:t>投标人须对本项目的采购标的进行整体投标，任何只对本项目采购标的其中一部分内容、数量进行的投标都被视为无效投标。</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本项目的投标报价要以住宅面积为基础,待分配完毕交付使用时起,计收物业管理费。</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本项目服务费采用包干制,应包括服务成本,法定税费和企业的利润。由企业根据招标文件所提供的资料自行测算投标报价；一经中标,投标报价总价作为中标人与采购人签订的合同金额,合同期限内不做调整。</w:t>
      </w:r>
    </w:p>
    <w:p>
      <w:pPr>
        <w:spacing w:line="360" w:lineRule="auto"/>
        <w:ind w:firstLine="480" w:firstLineChars="200"/>
        <w:rPr>
          <w:rFonts w:hint="eastAsia" w:ascii="宋体" w:hAnsi="宋体" w:cs="Times New Roman"/>
          <w:sz w:val="24"/>
        </w:rPr>
      </w:pPr>
      <w:r>
        <w:rPr>
          <w:rFonts w:hint="eastAsia" w:ascii="宋体" w:hAnsi="宋体" w:cs="Times New Roman"/>
          <w:sz w:val="24"/>
          <w:lang w:val="en-US" w:eastAsia="zh-CN"/>
        </w:rPr>
        <w:t>4.</w:t>
      </w:r>
      <w:r>
        <w:rPr>
          <w:rFonts w:hint="eastAsia" w:ascii="宋体" w:hAnsi="宋体" w:cs="Times New Roman"/>
          <w:sz w:val="24"/>
        </w:rPr>
        <w:t>投标人应根据本企业的成本自行决定报价,但不得以低于其企业成本的报价投标。</w:t>
      </w:r>
    </w:p>
    <w:p>
      <w:pPr>
        <w:numPr>
          <w:ilvl w:val="0"/>
          <w:numId w:val="0"/>
        </w:numPr>
        <w:snapToGrid/>
        <w:spacing w:line="360" w:lineRule="auto"/>
        <w:ind w:left="0" w:firstLine="480" w:firstLineChars="200"/>
        <w:rPr>
          <w:rFonts w:hint="eastAsia" w:ascii="宋体" w:hAnsi="宋体" w:eastAsia="宋体" w:cs="Times New Roman"/>
          <w:bCs w:val="0"/>
          <w:sz w:val="24"/>
        </w:rPr>
      </w:pPr>
      <w:r>
        <w:rPr>
          <w:rFonts w:hint="eastAsia" w:ascii="宋体" w:hAnsi="宋体" w:cs="Times New Roman"/>
          <w:sz w:val="24"/>
          <w:lang w:val="en-US" w:eastAsia="zh-CN"/>
        </w:rPr>
        <w:t>5.</w:t>
      </w:r>
      <w:r>
        <w:rPr>
          <w:rFonts w:hint="eastAsia" w:ascii="宋体" w:hAnsi="宋体" w:cs="Times New Roman"/>
          <w:sz w:val="24"/>
        </w:rPr>
        <w:t>本项目有效投标报价:皇岗边检生活区多层建筑和新桂花村边检宿舍楼物业服务收费标准为0.5元/平方米/月，2号楼物业服务收费标准为1.2元/平方米/月，皇福苑物业服务收费标准为1.8元/平方米/月；皇岗边检站沙头执勤点因仍未移交福田区政府，且部分站内固定资产仍存放在工作站内，需安排人员24小时进行监管，拟按照现物业管理收费标准8.09万元/年,</w:t>
      </w:r>
      <w:r>
        <w:rPr>
          <w:rFonts w:hint="eastAsia" w:ascii="宋体" w:hAnsi="宋体" w:cs="Times New Roman"/>
          <w:b w:val="0"/>
          <w:sz w:val="24"/>
        </w:rPr>
        <w:t xml:space="preserve"> </w:t>
      </w:r>
      <w:r>
        <w:rPr>
          <w:rFonts w:hint="eastAsia" w:ascii="宋体" w:hAnsi="宋体" w:cs="Times New Roman"/>
          <w:b w:val="0"/>
          <w:bCs w:val="0"/>
          <w:sz w:val="24"/>
        </w:rPr>
        <w:t>停车费用标准</w:t>
      </w:r>
      <w:r>
        <w:rPr>
          <w:rFonts w:hint="eastAsia" w:ascii="宋体" w:hAnsi="宋体" w:cs="Times New Roman"/>
          <w:b w:val="0"/>
          <w:bCs w:val="0"/>
          <w:sz w:val="24"/>
          <w:lang w:val="en-US" w:eastAsia="zh-CN"/>
        </w:rPr>
        <w:t>110</w:t>
      </w:r>
      <w:r>
        <w:rPr>
          <w:rFonts w:hint="eastAsia" w:ascii="宋体" w:hAnsi="宋体" w:cs="Times New Roman"/>
          <w:b w:val="0"/>
          <w:bCs w:val="0"/>
          <w:sz w:val="24"/>
        </w:rPr>
        <w:t>元/辆/月，</w:t>
      </w:r>
      <w:r>
        <w:rPr>
          <w:rFonts w:hint="eastAsia" w:ascii="宋体" w:hAnsi="宋体" w:cs="Times New Roman"/>
          <w:sz w:val="24"/>
        </w:rPr>
        <w:t>超过有效报价的投标将导致废标</w:t>
      </w:r>
    </w:p>
    <w:p>
      <w:pPr>
        <w:pStyle w:val="9"/>
        <w:rPr>
          <w:rFonts w:hint="default"/>
          <w:lang w:val="en-US" w:eastAsia="zh-CN"/>
        </w:rPr>
      </w:pPr>
    </w:p>
    <w:p>
      <w:pPr>
        <w:tabs>
          <w:tab w:val="left" w:pos="720"/>
        </w:tabs>
        <w:jc w:val="center"/>
        <w:rPr>
          <w:b/>
          <w:sz w:val="24"/>
        </w:rPr>
      </w:pPr>
      <w:r>
        <w:rPr>
          <w:rFonts w:hint="eastAsia"/>
          <w:b/>
          <w:sz w:val="24"/>
        </w:rPr>
        <w:t>（二）</w:t>
      </w:r>
      <w:bookmarkStart w:id="68" w:name="_Hlk72073235"/>
      <w:r>
        <w:rPr>
          <w:rFonts w:hint="eastAsia"/>
          <w:b/>
          <w:sz w:val="24"/>
        </w:rPr>
        <w:t>投标人认为需要涉及的其他内容报价清单</w:t>
      </w:r>
      <w:bookmarkEnd w:id="68"/>
    </w:p>
    <w:p/>
    <w:p>
      <w:pPr>
        <w:pStyle w:val="4"/>
        <w:spacing w:line="276" w:lineRule="auto"/>
        <w:jc w:val="center"/>
        <w:rPr>
          <w:rFonts w:hint="eastAsia" w:ascii="黑体" w:eastAsia="黑体"/>
          <w:b w:val="0"/>
          <w:kern w:val="0"/>
          <w:sz w:val="24"/>
          <w:szCs w:val="24"/>
        </w:rPr>
      </w:pPr>
      <w:r>
        <w:rPr>
          <w:rFonts w:hint="eastAsia" w:ascii="黑体" w:eastAsia="黑体"/>
          <w:b w:val="0"/>
          <w:kern w:val="0"/>
          <w:sz w:val="24"/>
          <w:szCs w:val="24"/>
        </w:rPr>
        <w:t>五、投标人经验情况</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noWrap w:val="0"/>
            <w:vAlign w:val="center"/>
          </w:tcPr>
          <w:p>
            <w:pPr>
              <w:spacing w:line="276" w:lineRule="auto"/>
              <w:jc w:val="center"/>
              <w:rPr>
                <w:rFonts w:ascii="宋体"/>
                <w:szCs w:val="21"/>
              </w:rPr>
            </w:pPr>
            <w:r>
              <w:rPr>
                <w:rFonts w:hint="eastAsia" w:ascii="宋体" w:hAnsi="宋体"/>
                <w:szCs w:val="21"/>
              </w:rPr>
              <w:t>序号</w:t>
            </w:r>
          </w:p>
        </w:tc>
        <w:tc>
          <w:tcPr>
            <w:tcW w:w="1267" w:type="dxa"/>
            <w:noWrap w:val="0"/>
            <w:vAlign w:val="center"/>
          </w:tcPr>
          <w:p>
            <w:pPr>
              <w:spacing w:line="276" w:lineRule="auto"/>
              <w:jc w:val="center"/>
              <w:rPr>
                <w:rFonts w:ascii="宋体"/>
                <w:szCs w:val="21"/>
              </w:rPr>
            </w:pPr>
            <w:r>
              <w:rPr>
                <w:rFonts w:hint="eastAsia" w:ascii="宋体" w:hAnsi="宋体"/>
                <w:szCs w:val="21"/>
              </w:rPr>
              <w:t>采购人</w:t>
            </w:r>
          </w:p>
        </w:tc>
        <w:tc>
          <w:tcPr>
            <w:tcW w:w="1105" w:type="dxa"/>
            <w:noWrap w:val="0"/>
            <w:vAlign w:val="center"/>
          </w:tcPr>
          <w:p>
            <w:pPr>
              <w:spacing w:line="276" w:lineRule="auto"/>
              <w:jc w:val="center"/>
              <w:rPr>
                <w:rFonts w:ascii="宋体"/>
                <w:szCs w:val="21"/>
              </w:rPr>
            </w:pPr>
            <w:r>
              <w:rPr>
                <w:rFonts w:hint="eastAsia" w:ascii="宋体" w:hAnsi="宋体"/>
                <w:szCs w:val="21"/>
              </w:rPr>
              <w:t>项目名称</w:t>
            </w:r>
          </w:p>
        </w:tc>
        <w:tc>
          <w:tcPr>
            <w:tcW w:w="1538" w:type="dxa"/>
            <w:noWrap w:val="0"/>
            <w:vAlign w:val="center"/>
          </w:tcPr>
          <w:p>
            <w:pPr>
              <w:spacing w:line="276" w:lineRule="auto"/>
              <w:jc w:val="center"/>
              <w:rPr>
                <w:rFonts w:ascii="宋体"/>
                <w:szCs w:val="21"/>
              </w:rPr>
            </w:pPr>
            <w:r>
              <w:rPr>
                <w:rFonts w:hint="eastAsia" w:ascii="宋体"/>
                <w:szCs w:val="21"/>
              </w:rPr>
              <w:t>合同签订时间</w:t>
            </w:r>
          </w:p>
        </w:tc>
        <w:tc>
          <w:tcPr>
            <w:tcW w:w="1287" w:type="dxa"/>
            <w:noWrap w:val="0"/>
            <w:vAlign w:val="center"/>
          </w:tcPr>
          <w:p>
            <w:pPr>
              <w:spacing w:line="276" w:lineRule="auto"/>
              <w:jc w:val="center"/>
              <w:rPr>
                <w:rFonts w:ascii="宋体"/>
                <w:szCs w:val="21"/>
              </w:rPr>
            </w:pPr>
            <w:r>
              <w:rPr>
                <w:rFonts w:hint="eastAsia" w:ascii="宋体" w:hAnsi="宋体"/>
                <w:szCs w:val="21"/>
              </w:rPr>
              <w:t>完成时间</w:t>
            </w:r>
          </w:p>
        </w:tc>
        <w:tc>
          <w:tcPr>
            <w:tcW w:w="1113" w:type="dxa"/>
            <w:noWrap w:val="0"/>
            <w:vAlign w:val="center"/>
          </w:tcPr>
          <w:p>
            <w:pPr>
              <w:spacing w:line="276" w:lineRule="auto"/>
              <w:jc w:val="center"/>
              <w:rPr>
                <w:rFonts w:ascii="宋体"/>
                <w:szCs w:val="21"/>
              </w:rPr>
            </w:pPr>
            <w:r>
              <w:rPr>
                <w:rFonts w:hint="eastAsia" w:ascii="宋体" w:hAnsi="宋体"/>
                <w:szCs w:val="21"/>
              </w:rPr>
              <w:t>服务情况</w:t>
            </w:r>
          </w:p>
        </w:tc>
        <w:tc>
          <w:tcPr>
            <w:tcW w:w="907" w:type="dxa"/>
            <w:noWrap w:val="0"/>
            <w:vAlign w:val="center"/>
          </w:tcPr>
          <w:p>
            <w:pPr>
              <w:spacing w:line="276" w:lineRule="auto"/>
              <w:jc w:val="center"/>
              <w:rPr>
                <w:rFonts w:ascii="宋体"/>
                <w:szCs w:val="21"/>
              </w:rPr>
            </w:pPr>
            <w:r>
              <w:rPr>
                <w:rFonts w:hint="eastAsia" w:ascii="宋体" w:hAnsi="宋体"/>
                <w:szCs w:val="21"/>
              </w:rPr>
              <w:t>联系人</w:t>
            </w:r>
          </w:p>
        </w:tc>
        <w:tc>
          <w:tcPr>
            <w:tcW w:w="1123" w:type="dxa"/>
            <w:noWrap w:val="0"/>
            <w:vAlign w:val="center"/>
          </w:tcPr>
          <w:p>
            <w:pPr>
              <w:spacing w:line="276" w:lineRule="auto"/>
              <w:jc w:val="center"/>
              <w:rPr>
                <w:rFonts w:ascii="宋体"/>
                <w:szCs w:val="21"/>
              </w:rPr>
            </w:pPr>
            <w:r>
              <w:rPr>
                <w:rFonts w:hint="eastAsia" w:ascii="宋体" w:hAnsi="宋体"/>
                <w:szCs w:val="21"/>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noWrap w:val="0"/>
            <w:vAlign w:val="top"/>
          </w:tcPr>
          <w:p>
            <w:pPr>
              <w:spacing w:line="276" w:lineRule="auto"/>
              <w:rPr>
                <w:rFonts w:ascii="宋体"/>
                <w:szCs w:val="21"/>
              </w:rPr>
            </w:pPr>
          </w:p>
        </w:tc>
        <w:tc>
          <w:tcPr>
            <w:tcW w:w="1267" w:type="dxa"/>
            <w:noWrap w:val="0"/>
            <w:vAlign w:val="top"/>
          </w:tcPr>
          <w:p>
            <w:pPr>
              <w:spacing w:line="276" w:lineRule="auto"/>
              <w:rPr>
                <w:rFonts w:ascii="宋体"/>
                <w:szCs w:val="21"/>
              </w:rPr>
            </w:pPr>
          </w:p>
        </w:tc>
        <w:tc>
          <w:tcPr>
            <w:tcW w:w="1105" w:type="dxa"/>
            <w:noWrap w:val="0"/>
            <w:vAlign w:val="top"/>
          </w:tcPr>
          <w:p>
            <w:pPr>
              <w:spacing w:line="276" w:lineRule="auto"/>
              <w:rPr>
                <w:rFonts w:ascii="宋体"/>
                <w:szCs w:val="21"/>
              </w:rPr>
            </w:pPr>
          </w:p>
        </w:tc>
        <w:tc>
          <w:tcPr>
            <w:tcW w:w="1538" w:type="dxa"/>
            <w:noWrap w:val="0"/>
            <w:vAlign w:val="top"/>
          </w:tcPr>
          <w:p>
            <w:pPr>
              <w:spacing w:line="276" w:lineRule="auto"/>
              <w:rPr>
                <w:rFonts w:ascii="宋体"/>
                <w:szCs w:val="21"/>
              </w:rPr>
            </w:pPr>
          </w:p>
        </w:tc>
        <w:tc>
          <w:tcPr>
            <w:tcW w:w="1287" w:type="dxa"/>
            <w:noWrap w:val="0"/>
            <w:vAlign w:val="top"/>
          </w:tcPr>
          <w:p>
            <w:pPr>
              <w:spacing w:line="276" w:lineRule="auto"/>
              <w:rPr>
                <w:rFonts w:ascii="宋体"/>
                <w:szCs w:val="21"/>
              </w:rPr>
            </w:pPr>
          </w:p>
        </w:tc>
        <w:tc>
          <w:tcPr>
            <w:tcW w:w="1113" w:type="dxa"/>
            <w:noWrap w:val="0"/>
            <w:vAlign w:val="top"/>
          </w:tcPr>
          <w:p>
            <w:pPr>
              <w:spacing w:line="276" w:lineRule="auto"/>
              <w:rPr>
                <w:rFonts w:ascii="宋体"/>
                <w:szCs w:val="21"/>
              </w:rPr>
            </w:pPr>
          </w:p>
        </w:tc>
        <w:tc>
          <w:tcPr>
            <w:tcW w:w="907" w:type="dxa"/>
            <w:noWrap w:val="0"/>
            <w:vAlign w:val="top"/>
          </w:tcPr>
          <w:p>
            <w:pPr>
              <w:spacing w:line="276" w:lineRule="auto"/>
              <w:rPr>
                <w:rFonts w:ascii="宋体"/>
                <w:szCs w:val="21"/>
              </w:rPr>
            </w:pPr>
          </w:p>
        </w:tc>
        <w:tc>
          <w:tcPr>
            <w:tcW w:w="1123" w:type="dxa"/>
            <w:noWrap w:val="0"/>
            <w:vAlign w:val="top"/>
          </w:tcPr>
          <w:p>
            <w:pPr>
              <w:spacing w:line="276" w:lineRule="auto"/>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noWrap w:val="0"/>
            <w:vAlign w:val="top"/>
          </w:tcPr>
          <w:p>
            <w:pPr>
              <w:spacing w:line="276" w:lineRule="auto"/>
              <w:rPr>
                <w:rFonts w:ascii="宋体"/>
                <w:szCs w:val="21"/>
              </w:rPr>
            </w:pPr>
          </w:p>
        </w:tc>
        <w:tc>
          <w:tcPr>
            <w:tcW w:w="1267" w:type="dxa"/>
            <w:noWrap w:val="0"/>
            <w:vAlign w:val="top"/>
          </w:tcPr>
          <w:p>
            <w:pPr>
              <w:spacing w:line="276" w:lineRule="auto"/>
              <w:rPr>
                <w:rFonts w:ascii="宋体"/>
                <w:szCs w:val="21"/>
              </w:rPr>
            </w:pPr>
          </w:p>
        </w:tc>
        <w:tc>
          <w:tcPr>
            <w:tcW w:w="1105" w:type="dxa"/>
            <w:noWrap w:val="0"/>
            <w:vAlign w:val="top"/>
          </w:tcPr>
          <w:p>
            <w:pPr>
              <w:spacing w:line="276" w:lineRule="auto"/>
              <w:rPr>
                <w:rFonts w:ascii="宋体"/>
                <w:szCs w:val="21"/>
              </w:rPr>
            </w:pPr>
          </w:p>
        </w:tc>
        <w:tc>
          <w:tcPr>
            <w:tcW w:w="1538" w:type="dxa"/>
            <w:noWrap w:val="0"/>
            <w:vAlign w:val="top"/>
          </w:tcPr>
          <w:p>
            <w:pPr>
              <w:spacing w:line="276" w:lineRule="auto"/>
              <w:rPr>
                <w:rFonts w:ascii="宋体"/>
                <w:szCs w:val="21"/>
              </w:rPr>
            </w:pPr>
          </w:p>
        </w:tc>
        <w:tc>
          <w:tcPr>
            <w:tcW w:w="1287" w:type="dxa"/>
            <w:noWrap w:val="0"/>
            <w:vAlign w:val="top"/>
          </w:tcPr>
          <w:p>
            <w:pPr>
              <w:spacing w:line="276" w:lineRule="auto"/>
              <w:rPr>
                <w:rFonts w:ascii="宋体"/>
                <w:szCs w:val="21"/>
              </w:rPr>
            </w:pPr>
          </w:p>
        </w:tc>
        <w:tc>
          <w:tcPr>
            <w:tcW w:w="1113" w:type="dxa"/>
            <w:noWrap w:val="0"/>
            <w:vAlign w:val="top"/>
          </w:tcPr>
          <w:p>
            <w:pPr>
              <w:spacing w:line="276" w:lineRule="auto"/>
              <w:rPr>
                <w:rFonts w:ascii="宋体"/>
                <w:szCs w:val="21"/>
              </w:rPr>
            </w:pPr>
          </w:p>
        </w:tc>
        <w:tc>
          <w:tcPr>
            <w:tcW w:w="907" w:type="dxa"/>
            <w:noWrap w:val="0"/>
            <w:vAlign w:val="top"/>
          </w:tcPr>
          <w:p>
            <w:pPr>
              <w:spacing w:line="276" w:lineRule="auto"/>
              <w:rPr>
                <w:rFonts w:ascii="宋体"/>
                <w:szCs w:val="21"/>
              </w:rPr>
            </w:pPr>
          </w:p>
        </w:tc>
        <w:tc>
          <w:tcPr>
            <w:tcW w:w="1123" w:type="dxa"/>
            <w:noWrap w:val="0"/>
            <w:vAlign w:val="top"/>
          </w:tcPr>
          <w:p>
            <w:pPr>
              <w:spacing w:line="276" w:lineRule="auto"/>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noWrap w:val="0"/>
            <w:vAlign w:val="top"/>
          </w:tcPr>
          <w:p>
            <w:pPr>
              <w:spacing w:line="276" w:lineRule="auto"/>
              <w:rPr>
                <w:rFonts w:ascii="宋体"/>
                <w:szCs w:val="21"/>
              </w:rPr>
            </w:pPr>
          </w:p>
        </w:tc>
        <w:tc>
          <w:tcPr>
            <w:tcW w:w="1267" w:type="dxa"/>
            <w:noWrap w:val="0"/>
            <w:vAlign w:val="top"/>
          </w:tcPr>
          <w:p>
            <w:pPr>
              <w:spacing w:line="276" w:lineRule="auto"/>
              <w:rPr>
                <w:rFonts w:ascii="宋体"/>
                <w:szCs w:val="21"/>
              </w:rPr>
            </w:pPr>
          </w:p>
        </w:tc>
        <w:tc>
          <w:tcPr>
            <w:tcW w:w="1105" w:type="dxa"/>
            <w:noWrap w:val="0"/>
            <w:vAlign w:val="top"/>
          </w:tcPr>
          <w:p>
            <w:pPr>
              <w:spacing w:line="276" w:lineRule="auto"/>
              <w:rPr>
                <w:rFonts w:ascii="宋体"/>
                <w:szCs w:val="21"/>
              </w:rPr>
            </w:pPr>
          </w:p>
        </w:tc>
        <w:tc>
          <w:tcPr>
            <w:tcW w:w="1538" w:type="dxa"/>
            <w:noWrap w:val="0"/>
            <w:vAlign w:val="top"/>
          </w:tcPr>
          <w:p>
            <w:pPr>
              <w:spacing w:line="276" w:lineRule="auto"/>
              <w:rPr>
                <w:rFonts w:ascii="宋体"/>
                <w:szCs w:val="21"/>
              </w:rPr>
            </w:pPr>
          </w:p>
        </w:tc>
        <w:tc>
          <w:tcPr>
            <w:tcW w:w="1287" w:type="dxa"/>
            <w:noWrap w:val="0"/>
            <w:vAlign w:val="top"/>
          </w:tcPr>
          <w:p>
            <w:pPr>
              <w:spacing w:line="276" w:lineRule="auto"/>
              <w:rPr>
                <w:rFonts w:ascii="宋体"/>
                <w:szCs w:val="21"/>
              </w:rPr>
            </w:pPr>
          </w:p>
        </w:tc>
        <w:tc>
          <w:tcPr>
            <w:tcW w:w="1113" w:type="dxa"/>
            <w:noWrap w:val="0"/>
            <w:vAlign w:val="top"/>
          </w:tcPr>
          <w:p>
            <w:pPr>
              <w:spacing w:line="276" w:lineRule="auto"/>
              <w:rPr>
                <w:rFonts w:ascii="宋体"/>
                <w:szCs w:val="21"/>
              </w:rPr>
            </w:pPr>
          </w:p>
        </w:tc>
        <w:tc>
          <w:tcPr>
            <w:tcW w:w="907" w:type="dxa"/>
            <w:noWrap w:val="0"/>
            <w:vAlign w:val="top"/>
          </w:tcPr>
          <w:p>
            <w:pPr>
              <w:spacing w:line="276" w:lineRule="auto"/>
              <w:rPr>
                <w:rFonts w:ascii="宋体"/>
                <w:szCs w:val="21"/>
              </w:rPr>
            </w:pPr>
          </w:p>
        </w:tc>
        <w:tc>
          <w:tcPr>
            <w:tcW w:w="1123" w:type="dxa"/>
            <w:noWrap w:val="0"/>
            <w:vAlign w:val="top"/>
          </w:tcPr>
          <w:p>
            <w:pPr>
              <w:spacing w:line="276" w:lineRule="auto"/>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noWrap w:val="0"/>
            <w:vAlign w:val="top"/>
          </w:tcPr>
          <w:p>
            <w:pPr>
              <w:spacing w:line="276" w:lineRule="auto"/>
              <w:rPr>
                <w:rFonts w:ascii="宋体"/>
                <w:szCs w:val="21"/>
              </w:rPr>
            </w:pPr>
          </w:p>
        </w:tc>
        <w:tc>
          <w:tcPr>
            <w:tcW w:w="1267" w:type="dxa"/>
            <w:noWrap w:val="0"/>
            <w:vAlign w:val="top"/>
          </w:tcPr>
          <w:p>
            <w:pPr>
              <w:spacing w:line="276" w:lineRule="auto"/>
              <w:rPr>
                <w:rFonts w:ascii="宋体"/>
                <w:szCs w:val="21"/>
              </w:rPr>
            </w:pPr>
          </w:p>
        </w:tc>
        <w:tc>
          <w:tcPr>
            <w:tcW w:w="1105" w:type="dxa"/>
            <w:noWrap w:val="0"/>
            <w:vAlign w:val="top"/>
          </w:tcPr>
          <w:p>
            <w:pPr>
              <w:spacing w:line="276" w:lineRule="auto"/>
              <w:rPr>
                <w:rFonts w:ascii="宋体"/>
                <w:szCs w:val="21"/>
              </w:rPr>
            </w:pPr>
          </w:p>
        </w:tc>
        <w:tc>
          <w:tcPr>
            <w:tcW w:w="1538" w:type="dxa"/>
            <w:noWrap w:val="0"/>
            <w:vAlign w:val="top"/>
          </w:tcPr>
          <w:p>
            <w:pPr>
              <w:spacing w:line="276" w:lineRule="auto"/>
              <w:rPr>
                <w:rFonts w:ascii="宋体"/>
                <w:szCs w:val="21"/>
              </w:rPr>
            </w:pPr>
          </w:p>
        </w:tc>
        <w:tc>
          <w:tcPr>
            <w:tcW w:w="1287" w:type="dxa"/>
            <w:noWrap w:val="0"/>
            <w:vAlign w:val="top"/>
          </w:tcPr>
          <w:p>
            <w:pPr>
              <w:spacing w:line="276" w:lineRule="auto"/>
              <w:rPr>
                <w:rFonts w:ascii="宋体"/>
                <w:szCs w:val="21"/>
              </w:rPr>
            </w:pPr>
          </w:p>
        </w:tc>
        <w:tc>
          <w:tcPr>
            <w:tcW w:w="1113" w:type="dxa"/>
            <w:noWrap w:val="0"/>
            <w:vAlign w:val="top"/>
          </w:tcPr>
          <w:p>
            <w:pPr>
              <w:spacing w:line="276" w:lineRule="auto"/>
              <w:rPr>
                <w:rFonts w:ascii="宋体"/>
                <w:szCs w:val="21"/>
              </w:rPr>
            </w:pPr>
          </w:p>
        </w:tc>
        <w:tc>
          <w:tcPr>
            <w:tcW w:w="907" w:type="dxa"/>
            <w:noWrap w:val="0"/>
            <w:vAlign w:val="top"/>
          </w:tcPr>
          <w:p>
            <w:pPr>
              <w:spacing w:line="276" w:lineRule="auto"/>
              <w:rPr>
                <w:rFonts w:ascii="宋体"/>
                <w:szCs w:val="21"/>
              </w:rPr>
            </w:pPr>
          </w:p>
        </w:tc>
        <w:tc>
          <w:tcPr>
            <w:tcW w:w="1123" w:type="dxa"/>
            <w:noWrap w:val="0"/>
            <w:vAlign w:val="top"/>
          </w:tcPr>
          <w:p>
            <w:pPr>
              <w:spacing w:line="276" w:lineRule="auto"/>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noWrap w:val="0"/>
            <w:vAlign w:val="top"/>
          </w:tcPr>
          <w:p>
            <w:pPr>
              <w:spacing w:line="276" w:lineRule="auto"/>
              <w:rPr>
                <w:rFonts w:ascii="宋体"/>
                <w:szCs w:val="21"/>
              </w:rPr>
            </w:pPr>
          </w:p>
        </w:tc>
        <w:tc>
          <w:tcPr>
            <w:tcW w:w="1267" w:type="dxa"/>
            <w:noWrap w:val="0"/>
            <w:vAlign w:val="top"/>
          </w:tcPr>
          <w:p>
            <w:pPr>
              <w:spacing w:line="276" w:lineRule="auto"/>
              <w:rPr>
                <w:rFonts w:ascii="宋体"/>
                <w:szCs w:val="21"/>
              </w:rPr>
            </w:pPr>
          </w:p>
        </w:tc>
        <w:tc>
          <w:tcPr>
            <w:tcW w:w="1105" w:type="dxa"/>
            <w:noWrap w:val="0"/>
            <w:vAlign w:val="top"/>
          </w:tcPr>
          <w:p>
            <w:pPr>
              <w:spacing w:line="276" w:lineRule="auto"/>
              <w:rPr>
                <w:rFonts w:ascii="宋体"/>
                <w:szCs w:val="21"/>
              </w:rPr>
            </w:pPr>
          </w:p>
        </w:tc>
        <w:tc>
          <w:tcPr>
            <w:tcW w:w="1538" w:type="dxa"/>
            <w:noWrap w:val="0"/>
            <w:vAlign w:val="top"/>
          </w:tcPr>
          <w:p>
            <w:pPr>
              <w:spacing w:line="276" w:lineRule="auto"/>
              <w:rPr>
                <w:rFonts w:ascii="宋体"/>
                <w:szCs w:val="21"/>
              </w:rPr>
            </w:pPr>
          </w:p>
        </w:tc>
        <w:tc>
          <w:tcPr>
            <w:tcW w:w="1287" w:type="dxa"/>
            <w:noWrap w:val="0"/>
            <w:vAlign w:val="top"/>
          </w:tcPr>
          <w:p>
            <w:pPr>
              <w:spacing w:line="276" w:lineRule="auto"/>
              <w:rPr>
                <w:rFonts w:ascii="宋体"/>
                <w:szCs w:val="21"/>
              </w:rPr>
            </w:pPr>
          </w:p>
        </w:tc>
        <w:tc>
          <w:tcPr>
            <w:tcW w:w="1113" w:type="dxa"/>
            <w:noWrap w:val="0"/>
            <w:vAlign w:val="top"/>
          </w:tcPr>
          <w:p>
            <w:pPr>
              <w:spacing w:line="276" w:lineRule="auto"/>
              <w:rPr>
                <w:rFonts w:ascii="宋体"/>
                <w:szCs w:val="21"/>
              </w:rPr>
            </w:pPr>
          </w:p>
        </w:tc>
        <w:tc>
          <w:tcPr>
            <w:tcW w:w="907" w:type="dxa"/>
            <w:noWrap w:val="0"/>
            <w:vAlign w:val="top"/>
          </w:tcPr>
          <w:p>
            <w:pPr>
              <w:spacing w:line="276" w:lineRule="auto"/>
              <w:rPr>
                <w:rFonts w:ascii="宋体"/>
                <w:szCs w:val="21"/>
              </w:rPr>
            </w:pPr>
          </w:p>
        </w:tc>
        <w:tc>
          <w:tcPr>
            <w:tcW w:w="1123" w:type="dxa"/>
            <w:noWrap w:val="0"/>
            <w:vAlign w:val="top"/>
          </w:tcPr>
          <w:p>
            <w:pPr>
              <w:spacing w:line="276" w:lineRule="auto"/>
              <w:rPr>
                <w:rFonts w:ascii="宋体"/>
                <w:szCs w:val="21"/>
              </w:rPr>
            </w:pPr>
          </w:p>
        </w:tc>
      </w:tr>
    </w:tbl>
    <w:p>
      <w:pPr>
        <w:pStyle w:val="9"/>
        <w:spacing w:line="276" w:lineRule="auto"/>
        <w:rPr>
          <w:b w:val="0"/>
          <w:bCs w:val="0"/>
          <w:sz w:val="21"/>
          <w:szCs w:val="21"/>
        </w:rPr>
      </w:pPr>
      <w:r>
        <w:rPr>
          <w:rFonts w:hint="eastAsia"/>
          <w:b w:val="0"/>
          <w:bCs w:val="0"/>
          <w:sz w:val="21"/>
          <w:szCs w:val="21"/>
        </w:rPr>
        <w:t>（特别提示：以上表格仅供参考。投标人须按本招标文件评标信息中“投标人经验情况”这一评分因素要求，提供证明资料）</w:t>
      </w:r>
    </w:p>
    <w:p/>
    <w:p>
      <w:pPr>
        <w:pStyle w:val="4"/>
        <w:spacing w:line="276" w:lineRule="auto"/>
        <w:jc w:val="center"/>
        <w:rPr>
          <w:rFonts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w:t>
      </w:r>
      <w:r>
        <w:rPr>
          <w:rFonts w:hint="eastAsia" w:ascii="黑体" w:eastAsia="黑体"/>
          <w:b w:val="0"/>
          <w:kern w:val="0"/>
          <w:sz w:val="24"/>
          <w:szCs w:val="24"/>
          <w:lang w:val="en-US" w:eastAsia="zh-CN"/>
        </w:rPr>
        <w:t>证书及</w:t>
      </w:r>
      <w:r>
        <w:rPr>
          <w:rFonts w:hint="eastAsia" w:ascii="黑体" w:eastAsia="黑体"/>
          <w:b w:val="0"/>
          <w:kern w:val="0"/>
          <w:sz w:val="24"/>
          <w:szCs w:val="24"/>
        </w:rPr>
        <w:t>获奖情况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spacing w:line="276" w:lineRule="auto"/>
              <w:jc w:val="center"/>
              <w:rPr>
                <w:rFonts w:ascii="宋体"/>
                <w:szCs w:val="21"/>
              </w:rPr>
            </w:pPr>
            <w:r>
              <w:rPr>
                <w:rFonts w:hint="eastAsia" w:ascii="宋体" w:hAnsi="宋体"/>
                <w:szCs w:val="21"/>
              </w:rPr>
              <w:t>序号</w:t>
            </w:r>
          </w:p>
        </w:tc>
        <w:tc>
          <w:tcPr>
            <w:tcW w:w="2002" w:type="dxa"/>
            <w:noWrap w:val="0"/>
            <w:vAlign w:val="center"/>
          </w:tcPr>
          <w:p>
            <w:pPr>
              <w:spacing w:line="276" w:lineRule="auto"/>
              <w:jc w:val="center"/>
              <w:rPr>
                <w:rFonts w:ascii="宋体"/>
                <w:szCs w:val="21"/>
              </w:rPr>
            </w:pPr>
            <w:r>
              <w:rPr>
                <w:rFonts w:hint="eastAsia" w:ascii="宋体" w:hAnsi="宋体"/>
                <w:szCs w:val="21"/>
              </w:rPr>
              <w:t>奖项名称</w:t>
            </w:r>
          </w:p>
        </w:tc>
        <w:tc>
          <w:tcPr>
            <w:tcW w:w="1745" w:type="dxa"/>
            <w:noWrap w:val="0"/>
            <w:vAlign w:val="center"/>
          </w:tcPr>
          <w:p>
            <w:pPr>
              <w:spacing w:line="276" w:lineRule="auto"/>
              <w:jc w:val="center"/>
              <w:rPr>
                <w:rFonts w:ascii="宋体"/>
                <w:szCs w:val="21"/>
              </w:rPr>
            </w:pPr>
            <w:r>
              <w:rPr>
                <w:rFonts w:hint="eastAsia" w:ascii="宋体"/>
                <w:szCs w:val="21"/>
              </w:rPr>
              <w:t>获得日期</w:t>
            </w:r>
          </w:p>
        </w:tc>
        <w:tc>
          <w:tcPr>
            <w:tcW w:w="1861" w:type="dxa"/>
            <w:noWrap w:val="0"/>
            <w:vAlign w:val="center"/>
          </w:tcPr>
          <w:p>
            <w:pPr>
              <w:spacing w:line="276" w:lineRule="auto"/>
              <w:jc w:val="center"/>
              <w:rPr>
                <w:rFonts w:ascii="宋体"/>
                <w:szCs w:val="21"/>
              </w:rPr>
            </w:pPr>
            <w:r>
              <w:rPr>
                <w:rFonts w:hint="eastAsia" w:ascii="宋体" w:hAnsi="宋体"/>
                <w:szCs w:val="21"/>
              </w:rPr>
              <w:t>颁发机构</w:t>
            </w:r>
          </w:p>
        </w:tc>
        <w:tc>
          <w:tcPr>
            <w:tcW w:w="1854" w:type="dxa"/>
            <w:noWrap w:val="0"/>
            <w:vAlign w:val="center"/>
          </w:tcPr>
          <w:p>
            <w:pPr>
              <w:spacing w:line="276" w:lineRule="auto"/>
              <w:jc w:val="center"/>
            </w:pPr>
            <w:r>
              <w:rPr>
                <w:rFonts w:hint="eastAsia"/>
              </w:rPr>
              <w:t>备注说明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noWrap w:val="0"/>
            <w:vAlign w:val="center"/>
          </w:tcPr>
          <w:p>
            <w:pPr>
              <w:spacing w:line="276" w:lineRule="auto"/>
              <w:jc w:val="center"/>
              <w:rPr>
                <w:rFonts w:ascii="宋体"/>
                <w:szCs w:val="21"/>
              </w:rPr>
            </w:pPr>
          </w:p>
        </w:tc>
        <w:tc>
          <w:tcPr>
            <w:tcW w:w="2002" w:type="dxa"/>
            <w:noWrap w:val="0"/>
            <w:vAlign w:val="center"/>
          </w:tcPr>
          <w:p>
            <w:pPr>
              <w:spacing w:line="276" w:lineRule="auto"/>
              <w:jc w:val="center"/>
              <w:rPr>
                <w:rFonts w:ascii="宋体"/>
                <w:szCs w:val="21"/>
              </w:rPr>
            </w:pPr>
          </w:p>
        </w:tc>
        <w:tc>
          <w:tcPr>
            <w:tcW w:w="1745" w:type="dxa"/>
            <w:noWrap w:val="0"/>
            <w:vAlign w:val="center"/>
          </w:tcPr>
          <w:p>
            <w:pPr>
              <w:spacing w:line="276" w:lineRule="auto"/>
              <w:jc w:val="center"/>
              <w:rPr>
                <w:rFonts w:ascii="宋体"/>
                <w:szCs w:val="21"/>
              </w:rPr>
            </w:pPr>
          </w:p>
        </w:tc>
        <w:tc>
          <w:tcPr>
            <w:tcW w:w="1861" w:type="dxa"/>
            <w:noWrap w:val="0"/>
            <w:vAlign w:val="center"/>
          </w:tcPr>
          <w:p>
            <w:pPr>
              <w:spacing w:line="276" w:lineRule="auto"/>
              <w:jc w:val="center"/>
              <w:rPr>
                <w:rFonts w:ascii="宋体"/>
                <w:szCs w:val="21"/>
              </w:rPr>
            </w:pPr>
          </w:p>
        </w:tc>
        <w:tc>
          <w:tcPr>
            <w:tcW w:w="1854" w:type="dxa"/>
            <w:noWrap w:val="0"/>
            <w:vAlign w:val="center"/>
          </w:tcPr>
          <w:p>
            <w:pPr>
              <w:spacing w:line="276"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noWrap w:val="0"/>
            <w:vAlign w:val="center"/>
          </w:tcPr>
          <w:p>
            <w:pPr>
              <w:spacing w:line="276" w:lineRule="auto"/>
              <w:jc w:val="center"/>
              <w:rPr>
                <w:rFonts w:ascii="宋体"/>
                <w:szCs w:val="21"/>
              </w:rPr>
            </w:pPr>
          </w:p>
        </w:tc>
        <w:tc>
          <w:tcPr>
            <w:tcW w:w="2002" w:type="dxa"/>
            <w:noWrap w:val="0"/>
            <w:vAlign w:val="center"/>
          </w:tcPr>
          <w:p>
            <w:pPr>
              <w:spacing w:line="276" w:lineRule="auto"/>
              <w:jc w:val="center"/>
              <w:rPr>
                <w:rFonts w:ascii="宋体"/>
                <w:szCs w:val="21"/>
              </w:rPr>
            </w:pPr>
          </w:p>
        </w:tc>
        <w:tc>
          <w:tcPr>
            <w:tcW w:w="1745" w:type="dxa"/>
            <w:noWrap w:val="0"/>
            <w:vAlign w:val="center"/>
          </w:tcPr>
          <w:p>
            <w:pPr>
              <w:spacing w:line="276" w:lineRule="auto"/>
              <w:jc w:val="center"/>
              <w:rPr>
                <w:rFonts w:ascii="宋体"/>
                <w:szCs w:val="21"/>
              </w:rPr>
            </w:pPr>
          </w:p>
        </w:tc>
        <w:tc>
          <w:tcPr>
            <w:tcW w:w="1861" w:type="dxa"/>
            <w:noWrap w:val="0"/>
            <w:vAlign w:val="center"/>
          </w:tcPr>
          <w:p>
            <w:pPr>
              <w:spacing w:line="276" w:lineRule="auto"/>
              <w:jc w:val="center"/>
              <w:rPr>
                <w:rFonts w:ascii="宋体"/>
                <w:szCs w:val="21"/>
              </w:rPr>
            </w:pPr>
          </w:p>
        </w:tc>
        <w:tc>
          <w:tcPr>
            <w:tcW w:w="1854" w:type="dxa"/>
            <w:noWrap w:val="0"/>
            <w:vAlign w:val="center"/>
          </w:tcPr>
          <w:p>
            <w:pPr>
              <w:spacing w:line="276"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noWrap w:val="0"/>
            <w:vAlign w:val="center"/>
          </w:tcPr>
          <w:p>
            <w:pPr>
              <w:spacing w:line="276" w:lineRule="auto"/>
              <w:jc w:val="center"/>
              <w:rPr>
                <w:rFonts w:ascii="宋体"/>
                <w:szCs w:val="21"/>
              </w:rPr>
            </w:pPr>
          </w:p>
        </w:tc>
        <w:tc>
          <w:tcPr>
            <w:tcW w:w="2002" w:type="dxa"/>
            <w:noWrap w:val="0"/>
            <w:vAlign w:val="center"/>
          </w:tcPr>
          <w:p>
            <w:pPr>
              <w:spacing w:line="276" w:lineRule="auto"/>
              <w:jc w:val="center"/>
              <w:rPr>
                <w:rFonts w:ascii="宋体"/>
                <w:szCs w:val="21"/>
              </w:rPr>
            </w:pPr>
          </w:p>
        </w:tc>
        <w:tc>
          <w:tcPr>
            <w:tcW w:w="1745" w:type="dxa"/>
            <w:noWrap w:val="0"/>
            <w:vAlign w:val="center"/>
          </w:tcPr>
          <w:p>
            <w:pPr>
              <w:spacing w:line="276" w:lineRule="auto"/>
              <w:jc w:val="center"/>
              <w:rPr>
                <w:rFonts w:ascii="宋体"/>
                <w:szCs w:val="21"/>
              </w:rPr>
            </w:pPr>
          </w:p>
        </w:tc>
        <w:tc>
          <w:tcPr>
            <w:tcW w:w="1861" w:type="dxa"/>
            <w:noWrap w:val="0"/>
            <w:vAlign w:val="center"/>
          </w:tcPr>
          <w:p>
            <w:pPr>
              <w:spacing w:line="276" w:lineRule="auto"/>
              <w:jc w:val="center"/>
              <w:rPr>
                <w:rFonts w:ascii="宋体"/>
                <w:szCs w:val="21"/>
              </w:rPr>
            </w:pPr>
          </w:p>
        </w:tc>
        <w:tc>
          <w:tcPr>
            <w:tcW w:w="1854" w:type="dxa"/>
            <w:noWrap w:val="0"/>
            <w:vAlign w:val="center"/>
          </w:tcPr>
          <w:p>
            <w:pPr>
              <w:spacing w:line="276" w:lineRule="auto"/>
              <w:jc w:val="center"/>
              <w:rPr>
                <w:rFonts w:ascii="宋体"/>
                <w:szCs w:val="21"/>
              </w:rPr>
            </w:pPr>
          </w:p>
        </w:tc>
      </w:tr>
    </w:tbl>
    <w:p>
      <w:pPr>
        <w:pStyle w:val="9"/>
        <w:spacing w:line="276" w:lineRule="auto"/>
        <w:rPr>
          <w:b w:val="0"/>
          <w:bCs w:val="0"/>
          <w:sz w:val="21"/>
          <w:szCs w:val="21"/>
        </w:rPr>
      </w:pPr>
      <w:r>
        <w:rPr>
          <w:rFonts w:hint="eastAsia"/>
          <w:b w:val="0"/>
          <w:bCs w:val="0"/>
          <w:sz w:val="21"/>
          <w:szCs w:val="21"/>
        </w:rPr>
        <w:t>（特别提示：以上表格仅供参考。投标人须按本招标文件评标信息中“获奖情况”这一评分因素要求，提供证明资料）</w:t>
      </w:r>
    </w:p>
    <w:p>
      <w:pPr>
        <w:pStyle w:val="4"/>
        <w:spacing w:line="276" w:lineRule="auto"/>
        <w:jc w:val="center"/>
        <w:rPr>
          <w:rFonts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spacing w:line="276" w:lineRule="auto"/>
              <w:jc w:val="center"/>
              <w:rPr>
                <w:rFonts w:ascii="宋体"/>
                <w:szCs w:val="21"/>
              </w:rPr>
            </w:pPr>
            <w:r>
              <w:rPr>
                <w:rFonts w:hint="eastAsia" w:ascii="宋体" w:hAnsi="宋体"/>
                <w:szCs w:val="21"/>
              </w:rPr>
              <w:t>序号</w:t>
            </w:r>
          </w:p>
        </w:tc>
        <w:tc>
          <w:tcPr>
            <w:tcW w:w="2002" w:type="dxa"/>
            <w:noWrap w:val="0"/>
            <w:vAlign w:val="center"/>
          </w:tcPr>
          <w:p>
            <w:pPr>
              <w:spacing w:line="276" w:lineRule="auto"/>
              <w:jc w:val="center"/>
              <w:rPr>
                <w:rFonts w:ascii="宋体"/>
                <w:szCs w:val="21"/>
              </w:rPr>
            </w:pPr>
            <w:r>
              <w:rPr>
                <w:rFonts w:hint="eastAsia" w:ascii="宋体" w:hAnsi="宋体"/>
                <w:szCs w:val="21"/>
              </w:rPr>
              <w:t>证书名称</w:t>
            </w:r>
          </w:p>
        </w:tc>
        <w:tc>
          <w:tcPr>
            <w:tcW w:w="1745" w:type="dxa"/>
            <w:noWrap w:val="0"/>
            <w:vAlign w:val="center"/>
          </w:tcPr>
          <w:p>
            <w:pPr>
              <w:spacing w:line="276" w:lineRule="auto"/>
              <w:jc w:val="center"/>
              <w:rPr>
                <w:rFonts w:ascii="宋体"/>
                <w:szCs w:val="21"/>
              </w:rPr>
            </w:pPr>
            <w:r>
              <w:rPr>
                <w:rFonts w:hint="eastAsia" w:ascii="宋体" w:hAnsi="宋体"/>
                <w:szCs w:val="21"/>
              </w:rPr>
              <w:t>证书有效期</w:t>
            </w:r>
          </w:p>
        </w:tc>
        <w:tc>
          <w:tcPr>
            <w:tcW w:w="1861" w:type="dxa"/>
            <w:noWrap w:val="0"/>
            <w:vAlign w:val="center"/>
          </w:tcPr>
          <w:p>
            <w:pPr>
              <w:spacing w:line="276" w:lineRule="auto"/>
              <w:jc w:val="center"/>
              <w:rPr>
                <w:rFonts w:ascii="宋体"/>
                <w:szCs w:val="21"/>
              </w:rPr>
            </w:pPr>
            <w:r>
              <w:rPr>
                <w:rFonts w:hint="eastAsia" w:ascii="宋体" w:hAnsi="宋体"/>
                <w:szCs w:val="21"/>
              </w:rPr>
              <w:t>证书颁发机构</w:t>
            </w:r>
          </w:p>
        </w:tc>
        <w:tc>
          <w:tcPr>
            <w:tcW w:w="1854" w:type="dxa"/>
            <w:noWrap w:val="0"/>
            <w:vAlign w:val="center"/>
          </w:tcPr>
          <w:p>
            <w:pPr>
              <w:spacing w:line="276" w:lineRule="auto"/>
              <w:jc w:val="center"/>
            </w:pPr>
            <w:r>
              <w:rPr>
                <w:rFonts w:hint="eastAsia"/>
              </w:rPr>
              <w:t>备注说明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noWrap w:val="0"/>
            <w:vAlign w:val="center"/>
          </w:tcPr>
          <w:p>
            <w:pPr>
              <w:spacing w:line="276" w:lineRule="auto"/>
              <w:jc w:val="center"/>
              <w:rPr>
                <w:rFonts w:ascii="宋体"/>
                <w:szCs w:val="21"/>
              </w:rPr>
            </w:pPr>
          </w:p>
        </w:tc>
        <w:tc>
          <w:tcPr>
            <w:tcW w:w="2002" w:type="dxa"/>
            <w:noWrap w:val="0"/>
            <w:vAlign w:val="center"/>
          </w:tcPr>
          <w:p>
            <w:pPr>
              <w:spacing w:line="276" w:lineRule="auto"/>
              <w:jc w:val="center"/>
              <w:rPr>
                <w:rFonts w:ascii="宋体"/>
                <w:szCs w:val="21"/>
              </w:rPr>
            </w:pPr>
          </w:p>
        </w:tc>
        <w:tc>
          <w:tcPr>
            <w:tcW w:w="1745" w:type="dxa"/>
            <w:noWrap w:val="0"/>
            <w:vAlign w:val="center"/>
          </w:tcPr>
          <w:p>
            <w:pPr>
              <w:spacing w:line="276" w:lineRule="auto"/>
              <w:jc w:val="center"/>
              <w:rPr>
                <w:rFonts w:ascii="宋体"/>
                <w:szCs w:val="21"/>
              </w:rPr>
            </w:pPr>
          </w:p>
        </w:tc>
        <w:tc>
          <w:tcPr>
            <w:tcW w:w="1861" w:type="dxa"/>
            <w:noWrap w:val="0"/>
            <w:vAlign w:val="center"/>
          </w:tcPr>
          <w:p>
            <w:pPr>
              <w:spacing w:line="276" w:lineRule="auto"/>
              <w:jc w:val="center"/>
              <w:rPr>
                <w:rFonts w:ascii="宋体"/>
                <w:szCs w:val="21"/>
              </w:rPr>
            </w:pPr>
          </w:p>
        </w:tc>
        <w:tc>
          <w:tcPr>
            <w:tcW w:w="1854" w:type="dxa"/>
            <w:noWrap w:val="0"/>
            <w:vAlign w:val="center"/>
          </w:tcPr>
          <w:p>
            <w:pPr>
              <w:spacing w:line="276"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noWrap w:val="0"/>
            <w:vAlign w:val="center"/>
          </w:tcPr>
          <w:p>
            <w:pPr>
              <w:spacing w:line="276" w:lineRule="auto"/>
              <w:jc w:val="center"/>
              <w:rPr>
                <w:rFonts w:ascii="宋体"/>
                <w:szCs w:val="21"/>
              </w:rPr>
            </w:pPr>
          </w:p>
        </w:tc>
        <w:tc>
          <w:tcPr>
            <w:tcW w:w="2002" w:type="dxa"/>
            <w:noWrap w:val="0"/>
            <w:vAlign w:val="center"/>
          </w:tcPr>
          <w:p>
            <w:pPr>
              <w:spacing w:line="276" w:lineRule="auto"/>
              <w:jc w:val="center"/>
              <w:rPr>
                <w:rFonts w:ascii="宋体"/>
                <w:szCs w:val="21"/>
              </w:rPr>
            </w:pPr>
          </w:p>
        </w:tc>
        <w:tc>
          <w:tcPr>
            <w:tcW w:w="1745" w:type="dxa"/>
            <w:noWrap w:val="0"/>
            <w:vAlign w:val="center"/>
          </w:tcPr>
          <w:p>
            <w:pPr>
              <w:spacing w:line="276" w:lineRule="auto"/>
              <w:jc w:val="center"/>
              <w:rPr>
                <w:rFonts w:ascii="宋体"/>
                <w:szCs w:val="21"/>
              </w:rPr>
            </w:pPr>
          </w:p>
        </w:tc>
        <w:tc>
          <w:tcPr>
            <w:tcW w:w="1861" w:type="dxa"/>
            <w:noWrap w:val="0"/>
            <w:vAlign w:val="center"/>
          </w:tcPr>
          <w:p>
            <w:pPr>
              <w:spacing w:line="276" w:lineRule="auto"/>
              <w:jc w:val="center"/>
              <w:rPr>
                <w:rFonts w:ascii="宋体"/>
                <w:szCs w:val="21"/>
              </w:rPr>
            </w:pPr>
          </w:p>
        </w:tc>
        <w:tc>
          <w:tcPr>
            <w:tcW w:w="1854" w:type="dxa"/>
            <w:noWrap w:val="0"/>
            <w:vAlign w:val="center"/>
          </w:tcPr>
          <w:p>
            <w:pPr>
              <w:spacing w:line="276"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noWrap w:val="0"/>
            <w:vAlign w:val="center"/>
          </w:tcPr>
          <w:p>
            <w:pPr>
              <w:spacing w:line="276" w:lineRule="auto"/>
              <w:jc w:val="center"/>
              <w:rPr>
                <w:rFonts w:ascii="宋体"/>
                <w:szCs w:val="21"/>
              </w:rPr>
            </w:pPr>
          </w:p>
        </w:tc>
        <w:tc>
          <w:tcPr>
            <w:tcW w:w="2002" w:type="dxa"/>
            <w:noWrap w:val="0"/>
            <w:vAlign w:val="center"/>
          </w:tcPr>
          <w:p>
            <w:pPr>
              <w:spacing w:line="276" w:lineRule="auto"/>
              <w:jc w:val="center"/>
              <w:rPr>
                <w:rFonts w:ascii="宋体"/>
                <w:szCs w:val="21"/>
              </w:rPr>
            </w:pPr>
          </w:p>
        </w:tc>
        <w:tc>
          <w:tcPr>
            <w:tcW w:w="1745" w:type="dxa"/>
            <w:noWrap w:val="0"/>
            <w:vAlign w:val="center"/>
          </w:tcPr>
          <w:p>
            <w:pPr>
              <w:spacing w:line="276" w:lineRule="auto"/>
              <w:jc w:val="center"/>
              <w:rPr>
                <w:rFonts w:ascii="宋体"/>
                <w:szCs w:val="21"/>
              </w:rPr>
            </w:pPr>
          </w:p>
        </w:tc>
        <w:tc>
          <w:tcPr>
            <w:tcW w:w="1861" w:type="dxa"/>
            <w:noWrap w:val="0"/>
            <w:vAlign w:val="center"/>
          </w:tcPr>
          <w:p>
            <w:pPr>
              <w:spacing w:line="276" w:lineRule="auto"/>
              <w:jc w:val="center"/>
              <w:rPr>
                <w:rFonts w:ascii="宋体"/>
                <w:szCs w:val="21"/>
              </w:rPr>
            </w:pPr>
          </w:p>
        </w:tc>
        <w:tc>
          <w:tcPr>
            <w:tcW w:w="1854" w:type="dxa"/>
            <w:noWrap w:val="0"/>
            <w:vAlign w:val="center"/>
          </w:tcPr>
          <w:p>
            <w:pPr>
              <w:spacing w:line="276" w:lineRule="auto"/>
              <w:jc w:val="center"/>
              <w:rPr>
                <w:rFonts w:ascii="宋体"/>
                <w:szCs w:val="21"/>
              </w:rPr>
            </w:pPr>
          </w:p>
        </w:tc>
      </w:tr>
    </w:tbl>
    <w:p>
      <w:pPr>
        <w:pStyle w:val="9"/>
        <w:spacing w:line="276" w:lineRule="auto"/>
        <w:rPr>
          <w:b w:val="0"/>
          <w:bCs w:val="0"/>
          <w:sz w:val="21"/>
          <w:szCs w:val="21"/>
        </w:rPr>
      </w:pPr>
      <w:r>
        <w:rPr>
          <w:rFonts w:hint="eastAsia"/>
          <w:b w:val="0"/>
          <w:bCs w:val="0"/>
          <w:sz w:val="21"/>
          <w:szCs w:val="21"/>
        </w:rPr>
        <w:t>（特别提示：以上表格仅供参考。投标人须按本招标文件评标信息中“认证情况”这一评分因素要求，提供证明资料）</w:t>
      </w:r>
    </w:p>
    <w:p/>
    <w:p>
      <w:pPr>
        <w:widowControl/>
        <w:tabs>
          <w:tab w:val="left" w:pos="720"/>
        </w:tabs>
        <w:spacing w:line="360" w:lineRule="auto"/>
        <w:ind w:left="420"/>
        <w:jc w:val="left"/>
        <w:rPr>
          <w:rFonts w:ascii="黑体" w:hAnsi="宋体" w:eastAsia="黑体"/>
          <w:bCs/>
          <w:sz w:val="24"/>
        </w:rPr>
      </w:pPr>
    </w:p>
    <w:p>
      <w:pPr>
        <w:pStyle w:val="2"/>
      </w:pPr>
    </w:p>
    <w:p>
      <w:pPr>
        <w:pStyle w:val="8"/>
      </w:pPr>
    </w:p>
    <w:p>
      <w:pPr>
        <w:rPr>
          <w:rFonts w:hint="default" w:eastAsia="宋体"/>
          <w:lang w:val="en-US" w:eastAsia="zh-CN"/>
        </w:rPr>
      </w:pPr>
    </w:p>
    <w:p>
      <w:pPr>
        <w:ind w:firstLine="1446" w:firstLineChars="600"/>
      </w:pPr>
      <w:r>
        <w:rPr>
          <w:rFonts w:hint="eastAsia"/>
          <w:b/>
          <w:color w:val="FF0000"/>
          <w:sz w:val="24"/>
        </w:rPr>
        <w:t>（信息公开部分的内容到此为止！以下为信息不公开部分。）</w:t>
      </w:r>
    </w:p>
    <w:p>
      <w:pPr>
        <w:outlineLvl w:val="1"/>
        <w:rPr>
          <w:rFonts w:hint="eastAsia" w:ascii="宋体" w:hAnsi="宋体"/>
          <w:b/>
          <w:color w:val="FF0000"/>
          <w:sz w:val="28"/>
          <w:szCs w:val="28"/>
        </w:rPr>
      </w:pPr>
    </w:p>
    <w:p>
      <w:pPr>
        <w:outlineLvl w:val="1"/>
        <w:rPr>
          <w:rFonts w:ascii="宋体" w:hAnsi="宋体"/>
          <w:b/>
          <w:color w:val="FF0000"/>
          <w:sz w:val="28"/>
          <w:szCs w:val="28"/>
        </w:rPr>
      </w:pPr>
      <w:r>
        <w:rPr>
          <w:rFonts w:hint="eastAsia" w:ascii="宋体" w:hAnsi="宋体"/>
          <w:b/>
          <w:color w:val="FF0000"/>
          <w:sz w:val="28"/>
          <w:szCs w:val="28"/>
        </w:rPr>
        <w:t>投标文件附件（信息不公开部分）</w:t>
      </w:r>
    </w:p>
    <w:p>
      <w:pPr>
        <w:widowControl w:val="0"/>
        <w:snapToGrid w:val="0"/>
        <w:spacing w:before="0" w:after="0" w:line="240" w:lineRule="auto"/>
        <w:jc w:val="center"/>
        <w:outlineLvl w:val="0"/>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rPr>
      </w:pPr>
    </w:p>
    <w:p>
      <w:pPr>
        <w:pStyle w:val="4"/>
        <w:jc w:val="center"/>
        <w:rPr>
          <w:rFonts w:ascii="黑体" w:eastAsia="黑体"/>
          <w:b w:val="0"/>
          <w:sz w:val="24"/>
        </w:rPr>
      </w:pPr>
      <w:r>
        <w:rPr>
          <w:rFonts w:hint="eastAsia" w:ascii="黑体" w:eastAsia="黑体"/>
          <w:b w:val="0"/>
          <w:sz w:val="24"/>
          <w:lang w:val="en-US" w:eastAsia="zh-CN"/>
        </w:rPr>
        <w:t>二</w:t>
      </w:r>
      <w:r>
        <w:rPr>
          <w:rFonts w:hint="eastAsia" w:ascii="黑体" w:eastAsia="黑体"/>
          <w:b w:val="0"/>
          <w:sz w:val="24"/>
        </w:rPr>
        <w:t>、</w:t>
      </w:r>
      <w:bookmarkStart w:id="69" w:name="_Hlk72092499"/>
      <w:r>
        <w:rPr>
          <w:rFonts w:hint="eastAsia" w:ascii="黑体" w:eastAsia="黑体"/>
          <w:b w:val="0"/>
          <w:sz w:val="24"/>
        </w:rPr>
        <w:t>法定代表人（负责人）证明书</w:t>
      </w:r>
      <w:bookmarkEnd w:id="69"/>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w:t>
      </w:r>
      <w:r>
        <w:rPr>
          <w:rFonts w:hint="eastAsia"/>
          <w:szCs w:val="21"/>
          <w:lang w:val="en-US" w:eastAsia="zh-CN"/>
        </w:rPr>
        <w:t>.</w:t>
      </w:r>
      <w:r>
        <w:rPr>
          <w:rFonts w:hint="eastAsia"/>
          <w:szCs w:val="21"/>
        </w:rPr>
        <w:t>法定代表人为投标人（企业事业单位、国家机关、社会团体）的主要行政负责人。</w:t>
      </w:r>
    </w:p>
    <w:p>
      <w:pPr>
        <w:numPr>
          <w:ilvl w:val="0"/>
          <w:numId w:val="0"/>
        </w:numPr>
        <w:spacing w:line="360" w:lineRule="auto"/>
        <w:ind w:firstLine="420" w:firstLineChars="200"/>
        <w:rPr>
          <w:rFonts w:hint="eastAsia"/>
          <w:color w:val="auto"/>
          <w:szCs w:val="21"/>
          <w:lang w:val="en-US" w:eastAsia="zh-CN"/>
        </w:rPr>
      </w:pPr>
      <w:r>
        <w:rPr>
          <w:rFonts w:hint="eastAsia"/>
          <w:color w:val="auto"/>
          <w:szCs w:val="21"/>
          <w:lang w:val="en-US" w:eastAsia="zh-CN"/>
        </w:rPr>
        <w:t>2.</w:t>
      </w: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w:t>
      </w:r>
      <w:r>
        <w:rPr>
          <w:rFonts w:hint="eastAsia"/>
          <w:color w:val="auto"/>
          <w:szCs w:val="21"/>
          <w:lang w:val="en-US" w:eastAsia="zh-CN"/>
        </w:rPr>
        <w:t>方为有效</w:t>
      </w:r>
      <w:r>
        <w:rPr>
          <w:rFonts w:hint="eastAsia" w:ascii="Times New Roman" w:eastAsia="宋体"/>
          <w:color w:val="auto"/>
          <w:szCs w:val="21"/>
          <w:lang w:val="en-US" w:eastAsia="zh-CN"/>
        </w:rPr>
        <w:t>；港澳台居民可提供来往通行证扫描件；非中国国籍管辖范围人员，可提供公安部门认可的身份证明材料扫描件。</w:t>
      </w:r>
    </w:p>
    <w:p>
      <w:pPr>
        <w:numPr>
          <w:ilvl w:val="0"/>
          <w:numId w:val="0"/>
        </w:numPr>
        <w:spacing w:line="360" w:lineRule="auto"/>
        <w:ind w:firstLine="420" w:firstLineChars="200"/>
        <w:rPr>
          <w:szCs w:val="21"/>
        </w:rPr>
      </w:pPr>
      <w:r>
        <w:rPr>
          <w:rFonts w:hint="eastAsia"/>
          <w:color w:val="auto"/>
          <w:szCs w:val="21"/>
          <w:lang w:val="en-US" w:eastAsia="zh-CN"/>
        </w:rPr>
        <w:t>3.</w:t>
      </w: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pPr>
        <w:numPr>
          <w:ilvl w:val="0"/>
          <w:numId w:val="0"/>
        </w:numPr>
        <w:spacing w:line="360" w:lineRule="auto"/>
        <w:ind w:firstLine="420" w:firstLineChars="200"/>
        <w:rPr>
          <w:szCs w:val="21"/>
        </w:rPr>
      </w:pPr>
      <w:r>
        <w:rPr>
          <w:rFonts w:hint="eastAsia"/>
          <w:szCs w:val="21"/>
          <w:lang w:val="en-US" w:eastAsia="zh-CN"/>
        </w:rPr>
        <w:t>4.</w:t>
      </w: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jc w:val="center"/>
              <w:rPr>
                <w:rFonts w:hint="eastAsia"/>
                <w:lang w:val="en-US" w:eastAsia="zh-CN"/>
              </w:rPr>
            </w:pPr>
            <w:r>
              <w:rPr>
                <w:rFonts w:hint="eastAsia" w:ascii="Times New Roman" w:eastAsia="宋体"/>
                <w:lang w:val="en-US" w:eastAsia="zh-CN"/>
              </w:rPr>
              <w:t>证件扫描件正面</w:t>
            </w:r>
          </w:p>
          <w:p>
            <w:pPr>
              <w:pStyle w:val="9"/>
              <w:jc w:val="center"/>
              <w:rPr>
                <w:rFonts w:hint="eastAsia"/>
                <w:lang w:val="en-US" w:eastAsia="zh-CN"/>
              </w:rPr>
            </w:pPr>
            <w:r>
              <w:rPr>
                <w:rFonts w:hint="eastAsia"/>
                <w:lang w:val="en-US" w:eastAsia="zh-CN"/>
              </w:rPr>
              <w:t xml:space="preserve"> </w:t>
            </w:r>
          </w:p>
          <w:p>
            <w:pPr>
              <w:pStyle w:val="37"/>
              <w:rPr>
                <w:rFonts w:hint="eastAsia"/>
                <w:lang w:val="en-US" w:eastAsia="zh-CN"/>
              </w:rPr>
            </w:pPr>
          </w:p>
          <w:p>
            <w:pPr>
              <w:pStyle w:val="37"/>
              <w:rPr>
                <w:rFonts w:hint="eastAsia"/>
                <w:lang w:val="en-US" w:eastAsia="zh-CN"/>
              </w:rPr>
            </w:pPr>
          </w:p>
          <w:p>
            <w:pPr>
              <w:pStyle w:val="37"/>
              <w:rPr>
                <w:rFonts w:hint="eastAsia"/>
                <w:lang w:val="en-US" w:eastAsia="zh-CN"/>
              </w:rPr>
            </w:pPr>
          </w:p>
          <w:p>
            <w:pPr>
              <w:pStyle w:val="37"/>
              <w:rPr>
                <w:rFonts w:hint="default"/>
                <w:lang w:val="en-US" w:eastAsia="zh-CN"/>
              </w:rPr>
            </w:pPr>
          </w:p>
          <w:p>
            <w:pPr>
              <w:pStyle w:val="37"/>
              <w:jc w:val="center"/>
              <w:rPr>
                <w:rFonts w:hint="default"/>
                <w:lang w:val="en-US" w:eastAsia="zh-CN"/>
              </w:rPr>
            </w:pPr>
          </w:p>
        </w:tc>
        <w:tc>
          <w:tcPr>
            <w:tcW w:w="4265" w:type="dxa"/>
            <w:noWrap w:val="0"/>
            <w:vAlign w:val="top"/>
          </w:tcPr>
          <w:p>
            <w:pPr>
              <w:jc w:val="center"/>
              <w:rPr>
                <w:rFonts w:hint="eastAsia"/>
                <w:lang w:val="en-US" w:eastAsia="zh-CN"/>
              </w:rPr>
            </w:pPr>
            <w:r>
              <w:rPr>
                <w:rFonts w:hint="eastAsia" w:ascii="Times New Roman" w:eastAsia="宋体"/>
                <w:lang w:val="en-US" w:eastAsia="zh-CN"/>
              </w:rPr>
              <w:t>证件扫描件反面</w:t>
            </w:r>
          </w:p>
          <w:p>
            <w:pPr>
              <w:pStyle w:val="9"/>
              <w:jc w:val="center"/>
              <w:rPr>
                <w:rFonts w:hint="eastAsia"/>
                <w:lang w:val="en-US" w:eastAsia="zh-CN"/>
              </w:rPr>
            </w:pPr>
          </w:p>
          <w:p>
            <w:pPr>
              <w:pStyle w:val="37"/>
              <w:jc w:val="center"/>
              <w:rPr>
                <w:rFonts w:hint="eastAsia"/>
                <w:sz w:val="24"/>
                <w:vertAlign w:val="baseline"/>
                <w:lang w:val="en-US" w:eastAsia="zh-CN"/>
              </w:rPr>
            </w:pPr>
          </w:p>
        </w:tc>
      </w:tr>
    </w:tbl>
    <w:p>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pStyle w:val="4"/>
        <w:spacing w:before="120" w:after="120"/>
        <w:jc w:val="center"/>
        <w:rPr>
          <w:rFonts w:ascii="黑体" w:eastAsia="黑体"/>
          <w:b w:val="0"/>
          <w:sz w:val="24"/>
        </w:rPr>
      </w:pPr>
      <w:r>
        <w:rPr>
          <w:rFonts w:hint="eastAsia" w:ascii="黑体" w:eastAsia="黑体"/>
          <w:b w:val="0"/>
          <w:sz w:val="24"/>
          <w:lang w:val="en-US" w:eastAsia="zh-CN"/>
        </w:rPr>
        <w:t>三</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w:t>
      </w:r>
      <w:r>
        <w:rPr>
          <w:rFonts w:hint="eastAsia"/>
          <w:b/>
          <w:color w:val="FF0000"/>
          <w:szCs w:val="21"/>
          <w:lang w:val="en-US" w:eastAsia="zh-CN"/>
        </w:rPr>
        <w:t>方为有效</w:t>
      </w:r>
      <w:r>
        <w:rPr>
          <w:rFonts w:hint="eastAsia"/>
          <w:b/>
          <w:color w:val="FF0000"/>
          <w:szCs w:val="21"/>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jc w:val="center"/>
              <w:rPr>
                <w:rFonts w:hint="eastAsia"/>
                <w:lang w:val="en-US" w:eastAsia="zh-CN"/>
              </w:rPr>
            </w:pPr>
            <w:r>
              <w:rPr>
                <w:rFonts w:hint="eastAsia" w:ascii="Times New Roman" w:eastAsia="宋体"/>
                <w:lang w:val="en-US" w:eastAsia="zh-CN"/>
              </w:rPr>
              <w:t>证件扫描件正面</w:t>
            </w:r>
          </w:p>
          <w:p>
            <w:pPr>
              <w:pStyle w:val="9"/>
              <w:jc w:val="center"/>
              <w:rPr>
                <w:rFonts w:hint="eastAsia"/>
                <w:lang w:val="en-US" w:eastAsia="zh-CN"/>
              </w:rPr>
            </w:pPr>
          </w:p>
          <w:p>
            <w:pPr>
              <w:pStyle w:val="37"/>
              <w:jc w:val="center"/>
              <w:rPr>
                <w:rFonts w:hint="default"/>
                <w:lang w:val="en-US" w:eastAsia="zh-CN"/>
              </w:rPr>
            </w:pPr>
          </w:p>
        </w:tc>
        <w:tc>
          <w:tcPr>
            <w:tcW w:w="4265" w:type="dxa"/>
            <w:noWrap w:val="0"/>
            <w:vAlign w:val="top"/>
          </w:tcPr>
          <w:p>
            <w:pPr>
              <w:jc w:val="center"/>
              <w:rPr>
                <w:rFonts w:hint="eastAsia"/>
                <w:lang w:val="en-US" w:eastAsia="zh-CN"/>
              </w:rPr>
            </w:pPr>
            <w:r>
              <w:rPr>
                <w:rFonts w:hint="eastAsia" w:ascii="Times New Roman" w:eastAsia="宋体"/>
                <w:lang w:val="en-US" w:eastAsia="zh-CN"/>
              </w:rPr>
              <w:t>证件扫描件反面</w:t>
            </w:r>
          </w:p>
          <w:p>
            <w:pPr>
              <w:pStyle w:val="9"/>
              <w:jc w:val="center"/>
              <w:rPr>
                <w:rFonts w:hint="eastAsia"/>
                <w:lang w:val="en-US" w:eastAsia="zh-CN"/>
              </w:rPr>
            </w:pPr>
          </w:p>
          <w:p>
            <w:pPr>
              <w:pStyle w:val="37"/>
              <w:jc w:val="center"/>
              <w:rPr>
                <w:rFonts w:hint="eastAsia"/>
                <w:sz w:val="24"/>
                <w:vertAlign w:val="baseline"/>
                <w:lang w:val="en-US" w:eastAsia="zh-CN"/>
              </w:rPr>
            </w:pPr>
          </w:p>
        </w:tc>
      </w:tr>
    </w:tbl>
    <w:p>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4"/>
        <w:jc w:val="center"/>
        <w:rPr>
          <w:rFonts w:ascii="黑体" w:eastAsia="黑体"/>
          <w:b w:val="0"/>
          <w:kern w:val="0"/>
          <w:sz w:val="24"/>
          <w:szCs w:val="24"/>
        </w:rPr>
      </w:pPr>
      <w:r>
        <w:rPr>
          <w:rFonts w:hint="eastAsia" w:ascii="黑体" w:eastAsia="黑体"/>
          <w:b w:val="0"/>
          <w:kern w:val="0"/>
          <w:sz w:val="24"/>
          <w:szCs w:val="24"/>
          <w:lang w:val="en-US" w:eastAsia="zh-CN"/>
        </w:rPr>
        <w:t>四</w:t>
      </w:r>
      <w:r>
        <w:rPr>
          <w:rFonts w:hint="eastAsia" w:ascii="黑体" w:eastAsia="黑体"/>
          <w:b w:val="0"/>
          <w:kern w:val="0"/>
          <w:sz w:val="24"/>
          <w:szCs w:val="24"/>
        </w:rPr>
        <w:t>、</w:t>
      </w:r>
      <w:bookmarkStart w:id="70" w:name="_Hlk72092634"/>
      <w:r>
        <w:rPr>
          <w:rFonts w:hint="eastAsia" w:ascii="黑体" w:eastAsia="黑体"/>
          <w:b w:val="0"/>
          <w:kern w:val="0"/>
          <w:sz w:val="24"/>
          <w:szCs w:val="24"/>
        </w:rPr>
        <w:t>实质性条款响应情况表</w:t>
      </w:r>
      <w:bookmarkEnd w:id="70"/>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noWrap w:val="0"/>
            <w:vAlign w:val="center"/>
          </w:tcPr>
          <w:p>
            <w:pPr>
              <w:adjustRightInd w:val="0"/>
              <w:snapToGrid w:val="0"/>
              <w:spacing w:line="360" w:lineRule="auto"/>
              <w:jc w:val="center"/>
              <w:rPr>
                <w:rFonts w:ascii="宋体" w:hAnsi="宋体"/>
                <w:kern w:val="0"/>
                <w:szCs w:val="21"/>
              </w:rPr>
            </w:pPr>
            <w:bookmarkStart w:id="71" w:name="_Hlk72092651"/>
            <w:r>
              <w:rPr>
                <w:rFonts w:hint="eastAsia" w:ascii="宋体" w:hAnsi="宋体"/>
                <w:kern w:val="0"/>
                <w:szCs w:val="21"/>
              </w:rPr>
              <w:t>序号</w:t>
            </w:r>
          </w:p>
        </w:tc>
        <w:tc>
          <w:tcPr>
            <w:tcW w:w="2664"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noWrap w:val="0"/>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noWrap w:val="0"/>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noWrap w:val="0"/>
            <w:vAlign w:val="center"/>
          </w:tcPr>
          <w:p>
            <w:pPr>
              <w:adjustRightInd w:val="0"/>
              <w:snapToGrid w:val="0"/>
              <w:spacing w:line="360" w:lineRule="auto"/>
              <w:jc w:val="center"/>
              <w:rPr>
                <w:rFonts w:ascii="宋体" w:hAnsi="宋体"/>
                <w:kern w:val="0"/>
                <w:szCs w:val="21"/>
              </w:rPr>
            </w:pPr>
            <w:r>
              <w:rPr>
                <w:rFonts w:hint="eastAsia"/>
              </w:rPr>
              <w:t>说明</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本项目《商务要求》所有内容</w:t>
            </w:r>
          </w:p>
        </w:tc>
        <w:tc>
          <w:tcPr>
            <w:tcW w:w="1588" w:type="dxa"/>
            <w:noWrap w:val="0"/>
            <w:vAlign w:val="top"/>
          </w:tcPr>
          <w:p>
            <w:pPr>
              <w:adjustRightInd w:val="0"/>
              <w:snapToGrid w:val="0"/>
              <w:spacing w:line="360" w:lineRule="auto"/>
              <w:rPr>
                <w:rFonts w:ascii="宋体" w:hAnsi="宋体"/>
                <w:kern w:val="0"/>
                <w:szCs w:val="21"/>
              </w:rPr>
            </w:pPr>
          </w:p>
        </w:tc>
        <w:tc>
          <w:tcPr>
            <w:tcW w:w="1842" w:type="dxa"/>
            <w:noWrap w:val="0"/>
            <w:vAlign w:val="top"/>
          </w:tcPr>
          <w:p>
            <w:pPr>
              <w:adjustRightInd w:val="0"/>
              <w:snapToGrid w:val="0"/>
              <w:spacing w:line="360" w:lineRule="auto"/>
              <w:rPr>
                <w:rFonts w:ascii="宋体" w:hAnsi="宋体"/>
                <w:kern w:val="0"/>
                <w:szCs w:val="21"/>
              </w:rPr>
            </w:pPr>
          </w:p>
        </w:tc>
        <w:tc>
          <w:tcPr>
            <w:tcW w:w="1418" w:type="dxa"/>
            <w:noWrap w:val="0"/>
            <w:vAlign w:val="top"/>
          </w:tcPr>
          <w:p>
            <w:pPr>
              <w:adjustRightInd w:val="0"/>
              <w:snapToGrid w:val="0"/>
              <w:spacing w:line="360" w:lineRule="auto"/>
              <w:rPr>
                <w:rFonts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w:t>
      </w:r>
      <w:r>
        <w:rPr>
          <w:rFonts w:hint="eastAsia" w:ascii="宋体" w:hAnsi="宋体" w:cs="宋体"/>
          <w:szCs w:val="21"/>
          <w:lang w:eastAsia="zh-CN"/>
        </w:rPr>
        <w:t>，</w:t>
      </w:r>
      <w:r>
        <w:rPr>
          <w:rFonts w:hint="eastAsia" w:ascii="宋体" w:hAnsi="宋体" w:cs="宋体"/>
          <w:b/>
          <w:szCs w:val="21"/>
        </w:rPr>
        <w:t>如完全满足实质性条款具体内容可填写“完全响应”</w:t>
      </w:r>
      <w:r>
        <w:rPr>
          <w:rFonts w:hint="eastAsia"/>
          <w:b/>
          <w:sz w:val="24"/>
          <w:szCs w:val="22"/>
        </w:rPr>
        <w:t>。</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ind w:firstLine="420" w:firstLineChars="200"/>
      </w:pPr>
    </w:p>
    <w:p>
      <w:pPr>
        <w:rPr>
          <w:b/>
          <w:bCs/>
          <w:sz w:val="24"/>
        </w:rPr>
      </w:pPr>
    </w:p>
    <w:p>
      <w:pPr>
        <w:pStyle w:val="4"/>
        <w:adjustRightInd w:val="0"/>
        <w:snapToGrid w:val="0"/>
        <w:spacing w:line="276" w:lineRule="auto"/>
        <w:jc w:val="center"/>
        <w:rPr>
          <w:rFonts w:ascii="黑体" w:eastAsia="黑体"/>
          <w:b w:val="0"/>
          <w:kern w:val="0"/>
          <w:sz w:val="24"/>
          <w:szCs w:val="24"/>
        </w:rPr>
      </w:pPr>
      <w:r>
        <w:rPr>
          <w:rFonts w:hint="eastAsia" w:ascii="黑体" w:eastAsia="黑体"/>
          <w:b w:val="0"/>
          <w:kern w:val="0"/>
          <w:sz w:val="24"/>
          <w:szCs w:val="24"/>
          <w:lang w:val="en-US" w:eastAsia="zh-CN"/>
        </w:rPr>
        <w:t>五</w:t>
      </w:r>
      <w:r>
        <w:rPr>
          <w:rFonts w:hint="eastAsia" w:ascii="黑体" w:eastAsia="黑体"/>
          <w:b w:val="0"/>
          <w:kern w:val="0"/>
          <w:sz w:val="24"/>
          <w:szCs w:val="24"/>
        </w:rPr>
        <w:t>、服务方案</w:t>
      </w:r>
    </w:p>
    <w:p>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（特别提示：投标人须按本招标文件评标信息中“服务方案”这一评分因素要求，提供证明资料）</w:t>
      </w:r>
    </w:p>
    <w:p>
      <w:pPr>
        <w:pStyle w:val="4"/>
        <w:adjustRightInd w:val="0"/>
        <w:snapToGrid w:val="0"/>
        <w:spacing w:line="276" w:lineRule="auto"/>
        <w:jc w:val="center"/>
        <w:rPr>
          <w:rFonts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、项目重点难点分析、应对措施及相关的合理化建议</w:t>
      </w:r>
    </w:p>
    <w:p>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（特别提示：投标人须按本招标文件评标信息中“项目重点难点分析、应对措施及相关的合理化建议”这一评分因素要求，提供证明资料）</w:t>
      </w:r>
    </w:p>
    <w:p>
      <w:pPr>
        <w:pStyle w:val="4"/>
        <w:adjustRightInd w:val="0"/>
        <w:snapToGrid w:val="0"/>
        <w:spacing w:line="276" w:lineRule="auto"/>
        <w:jc w:val="center"/>
        <w:rPr>
          <w:rFonts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、质量保障措施及方案</w:t>
      </w:r>
    </w:p>
    <w:p>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（特别提示：投标人须按本招标文件评标信息中“质量（完成时间、安全、环保）保障措施及方案”这一评分因素要求，提供证明资料）</w:t>
      </w:r>
    </w:p>
    <w:p>
      <w:pPr>
        <w:pStyle w:val="4"/>
        <w:adjustRightInd w:val="0"/>
        <w:snapToGrid w:val="0"/>
        <w:spacing w:line="276" w:lineRule="auto"/>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、项目完成（服务期满）后的服务承诺</w:t>
      </w:r>
    </w:p>
    <w:p>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（特别提示：投标人须按本招标文件评标信息中“项目完成（服务期满）后的服务承诺”这一评分因素要求，提供证明资料）</w:t>
      </w:r>
    </w:p>
    <w:p>
      <w:pPr>
        <w:jc w:val="center"/>
        <w:rPr>
          <w:rFonts w:hint="eastAsia" w:ascii="黑体" w:hAnsi="宋体" w:eastAsia="黑体"/>
          <w:bCs/>
          <w:kern w:val="0"/>
          <w:sz w:val="24"/>
        </w:rPr>
      </w:pPr>
      <w:r>
        <w:rPr>
          <w:rFonts w:hint="eastAsia" w:ascii="黑体" w:hAnsi="宋体" w:eastAsia="黑体"/>
          <w:bCs/>
          <w:kern w:val="0"/>
          <w:sz w:val="24"/>
          <w:lang w:val="en-US" w:eastAsia="zh-CN"/>
        </w:rPr>
        <w:t>九、</w:t>
      </w:r>
      <w:r>
        <w:rPr>
          <w:rFonts w:hint="eastAsia" w:ascii="黑体" w:hAnsi="宋体" w:eastAsia="黑体"/>
          <w:bCs/>
          <w:kern w:val="0"/>
          <w:sz w:val="24"/>
        </w:rPr>
        <w:t>违约承诺</w:t>
      </w:r>
    </w:p>
    <w:p>
      <w:pPr>
        <w:ind w:firstLine="2400" w:firstLineChars="1000"/>
        <w:rPr>
          <w:rFonts w:hint="eastAsia" w:ascii="黑体" w:hAnsi="宋体" w:eastAsia="黑体"/>
          <w:b w:val="0"/>
          <w:bCs/>
          <w:kern w:val="0"/>
          <w:sz w:val="24"/>
          <w:szCs w:val="24"/>
        </w:rPr>
      </w:pPr>
      <w:r>
        <w:rPr>
          <w:rFonts w:hint="eastAsia" w:ascii="黑体" w:hAnsi="宋体" w:eastAsia="黑体"/>
          <w:b w:val="0"/>
          <w:bCs/>
          <w:kern w:val="0"/>
          <w:sz w:val="24"/>
          <w:szCs w:val="24"/>
          <w:lang w:val="en-US" w:eastAsia="zh-CN"/>
        </w:rPr>
        <w:t>十</w:t>
      </w:r>
      <w:r>
        <w:rPr>
          <w:rFonts w:hint="eastAsia" w:ascii="黑体" w:hAnsi="宋体" w:eastAsia="黑体"/>
          <w:b w:val="0"/>
          <w:bCs/>
          <w:kern w:val="0"/>
          <w:sz w:val="24"/>
          <w:szCs w:val="24"/>
        </w:rPr>
        <w:t>、</w:t>
      </w:r>
      <w:bookmarkStart w:id="72" w:name="OLE_LINK30"/>
      <w:r>
        <w:rPr>
          <w:rFonts w:hint="eastAsia" w:ascii="黑体" w:hAnsi="宋体" w:eastAsia="黑体"/>
          <w:b w:val="0"/>
          <w:bCs/>
          <w:kern w:val="0"/>
          <w:sz w:val="24"/>
          <w:szCs w:val="24"/>
        </w:rPr>
        <w:t>拟安排的项目负责人情况（仅限一人）</w:t>
      </w:r>
    </w:p>
    <w:bookmarkEnd w:id="72"/>
    <w:p>
      <w:pPr>
        <w:pStyle w:val="5"/>
        <w:spacing w:before="0" w:after="0" w:line="240" w:lineRule="auto"/>
        <w:jc w:val="left"/>
        <w:rPr>
          <w:rFonts w:ascii="宋体" w:hAnsi="宋体" w:eastAsia="宋体"/>
          <w:sz w:val="21"/>
          <w:szCs w:val="21"/>
        </w:rPr>
      </w:pPr>
      <w:r>
        <w:rPr>
          <w:rFonts w:hint="eastAsia" w:ascii="宋体" w:hAnsi="宋体" w:eastAsia="宋体"/>
          <w:sz w:val="21"/>
          <w:szCs w:val="21"/>
          <w:lang w:val="en-US" w:eastAsia="zh-CN"/>
        </w:rPr>
        <w:t>10</w:t>
      </w:r>
      <w:r>
        <w:rPr>
          <w:rFonts w:hint="eastAsia" w:ascii="宋体" w:hAnsi="宋体" w:eastAsia="宋体"/>
          <w:sz w:val="21"/>
          <w:szCs w:val="21"/>
        </w:rPr>
        <w:t>-1人员配备承诺</w:t>
      </w:r>
    </w:p>
    <w:p>
      <w:pPr>
        <w:adjustRightInd w:val="0"/>
        <w:snapToGrid w:val="0"/>
        <w:spacing w:line="276" w:lineRule="auto"/>
        <w:jc w:val="center"/>
        <w:rPr>
          <w:rFonts w:ascii="宋体"/>
          <w:kern w:val="0"/>
          <w:szCs w:val="21"/>
        </w:rPr>
      </w:pPr>
      <w:r>
        <w:rPr>
          <w:rFonts w:hint="eastAsia" w:ascii="宋体" w:hAnsi="宋体"/>
          <w:b/>
          <w:szCs w:val="21"/>
        </w:rPr>
        <w:t>人员配备承诺</w:t>
      </w:r>
    </w:p>
    <w:p>
      <w:pPr>
        <w:adjustRightInd w:val="0"/>
        <w:snapToGrid w:val="0"/>
        <w:spacing w:line="276" w:lineRule="auto"/>
        <w:jc w:val="left"/>
        <w:rPr>
          <w:rFonts w:ascii="宋体"/>
          <w:color w:val="000000"/>
          <w:szCs w:val="21"/>
          <w:u w:val="single"/>
        </w:rPr>
      </w:pPr>
      <w:r>
        <w:rPr>
          <w:rFonts w:hint="eastAsia" w:ascii="宋体" w:hAnsi="宋体"/>
          <w:color w:val="000000"/>
          <w:szCs w:val="21"/>
        </w:rPr>
        <w:t>致：</w:t>
      </w:r>
      <w:r>
        <w:rPr>
          <w:rFonts w:ascii="宋体" w:hAnsi="宋体"/>
          <w:color w:val="000000"/>
          <w:szCs w:val="21"/>
          <w:u w:val="single"/>
        </w:rPr>
        <w:t xml:space="preserve">     </w:t>
      </w:r>
      <w:r>
        <w:rPr>
          <w:rFonts w:hint="eastAsia" w:ascii="宋体" w:hAnsi="宋体"/>
          <w:color w:val="000000"/>
          <w:szCs w:val="21"/>
          <w:u w:val="single"/>
        </w:rPr>
        <w:t>（采购人）</w:t>
      </w:r>
      <w:r>
        <w:rPr>
          <w:rFonts w:ascii="宋体" w:hAnsi="宋体"/>
          <w:color w:val="000000"/>
          <w:szCs w:val="21"/>
          <w:u w:val="single"/>
        </w:rPr>
        <w:t xml:space="preserve">          </w:t>
      </w:r>
    </w:p>
    <w:p>
      <w:pPr>
        <w:adjustRightInd w:val="0"/>
        <w:snapToGrid w:val="0"/>
        <w:spacing w:line="276" w:lineRule="auto"/>
        <w:ind w:firstLine="420" w:firstLineChars="200"/>
        <w:rPr>
          <w:rFonts w:ascii="宋体" w:hAnsi="宋体"/>
          <w:color w:val="000000"/>
          <w:szCs w:val="21"/>
        </w:rPr>
      </w:pPr>
      <w:r>
        <w:rPr>
          <w:rFonts w:hint="eastAsia" w:ascii="宋体" w:hAnsi="宋体"/>
          <w:color w:val="000000"/>
          <w:szCs w:val="21"/>
        </w:rPr>
        <w:t>根据已收到贵方的项目编号为</w:t>
      </w:r>
      <w:r>
        <w:rPr>
          <w:rFonts w:hint="eastAsia" w:ascii="宋体" w:hAnsi="宋体"/>
          <w:b/>
          <w:color w:val="000000"/>
          <w:szCs w:val="21"/>
          <w:u w:val="single"/>
        </w:rPr>
        <w:t xml:space="preserve">            </w:t>
      </w:r>
      <w:r>
        <w:rPr>
          <w:rFonts w:hint="eastAsia" w:ascii="宋体" w:hAnsi="宋体"/>
          <w:color w:val="000000"/>
          <w:szCs w:val="21"/>
        </w:rPr>
        <w:t>的</w:t>
      </w:r>
      <w:r>
        <w:rPr>
          <w:rFonts w:hint="eastAsia" w:ascii="宋体" w:hAnsi="宋体"/>
          <w:color w:val="000000"/>
          <w:szCs w:val="21"/>
          <w:u w:val="single"/>
        </w:rPr>
        <w:t xml:space="preserve">           </w:t>
      </w:r>
      <w:r>
        <w:rPr>
          <w:rFonts w:hint="eastAsia" w:ascii="宋体" w:hAnsi="宋体"/>
          <w:color w:val="000000"/>
          <w:szCs w:val="21"/>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pPr>
        <w:adjustRightInd w:val="0"/>
        <w:snapToGrid w:val="0"/>
        <w:spacing w:line="276" w:lineRule="auto"/>
        <w:ind w:firstLine="420" w:firstLineChars="200"/>
        <w:rPr>
          <w:rFonts w:hint="eastAsia" w:ascii="宋体" w:hAnsi="宋体" w:eastAsia="宋体" w:cs="Times New Roman"/>
          <w:color w:val="000000"/>
          <w:sz w:val="21"/>
          <w:szCs w:val="21"/>
          <w:lang w:eastAsia="zh-CN"/>
        </w:rPr>
      </w:pPr>
      <w:r>
        <w:rPr>
          <w:rFonts w:hint="eastAsia" w:ascii="宋体" w:hAnsi="宋体" w:cs="Times New Roman"/>
          <w:color w:val="000000"/>
          <w:sz w:val="21"/>
          <w:szCs w:val="21"/>
        </w:rPr>
        <w:t>要求配备总人数3</w:t>
      </w:r>
      <w:r>
        <w:rPr>
          <w:rFonts w:hint="eastAsia" w:ascii="宋体" w:hAnsi="宋体" w:cs="Times New Roman"/>
          <w:color w:val="000000"/>
          <w:sz w:val="21"/>
          <w:szCs w:val="21"/>
          <w:lang w:val="en-US" w:eastAsia="zh-CN"/>
        </w:rPr>
        <w:t>0</w:t>
      </w:r>
      <w:r>
        <w:rPr>
          <w:rFonts w:hint="eastAsia" w:ascii="宋体" w:hAnsi="宋体" w:cs="Times New Roman"/>
          <w:color w:val="000000"/>
          <w:sz w:val="21"/>
          <w:szCs w:val="21"/>
        </w:rPr>
        <w:t>人，按照招标需求进行配备，从业人员必须具有相应从业资质。其中管理处主任1人，财务</w:t>
      </w:r>
      <w:r>
        <w:rPr>
          <w:rFonts w:hint="eastAsia" w:ascii="宋体" w:hAnsi="宋体" w:cs="Times New Roman"/>
          <w:color w:val="000000"/>
          <w:sz w:val="21"/>
          <w:szCs w:val="21"/>
          <w:lang w:eastAsia="zh-CN"/>
        </w:rPr>
        <w:t>文员</w:t>
      </w:r>
      <w:r>
        <w:rPr>
          <w:rFonts w:hint="eastAsia" w:ascii="宋体" w:hAnsi="宋体" w:cs="Times New Roman"/>
          <w:color w:val="000000"/>
          <w:sz w:val="21"/>
          <w:szCs w:val="21"/>
        </w:rPr>
        <w:t>1人，保安班长1人，保安1</w:t>
      </w:r>
      <w:r>
        <w:rPr>
          <w:rFonts w:hint="eastAsia" w:ascii="宋体" w:hAnsi="宋体" w:cs="Times New Roman"/>
          <w:color w:val="000000"/>
          <w:sz w:val="21"/>
          <w:szCs w:val="21"/>
          <w:lang w:val="en-US" w:eastAsia="zh-CN"/>
        </w:rPr>
        <w:t>2</w:t>
      </w:r>
      <w:r>
        <w:rPr>
          <w:rFonts w:hint="eastAsia" w:ascii="宋体" w:hAnsi="宋体" w:cs="Times New Roman"/>
          <w:color w:val="000000"/>
          <w:sz w:val="21"/>
          <w:szCs w:val="21"/>
        </w:rPr>
        <w:t>人（保税区保安3人，皇岗边检生活区正门</w:t>
      </w:r>
      <w:r>
        <w:rPr>
          <w:rFonts w:hint="eastAsia" w:ascii="宋体" w:hAnsi="宋体" w:cs="Times New Roman"/>
          <w:color w:val="000000"/>
          <w:sz w:val="21"/>
          <w:szCs w:val="21"/>
          <w:lang w:val="en-US" w:eastAsia="zh-CN"/>
        </w:rPr>
        <w:t>3</w:t>
      </w:r>
      <w:r>
        <w:rPr>
          <w:rFonts w:hint="eastAsia" w:ascii="宋体" w:hAnsi="宋体" w:cs="Times New Roman"/>
          <w:color w:val="000000"/>
          <w:sz w:val="21"/>
          <w:szCs w:val="21"/>
        </w:rPr>
        <w:t>人，副门3人，巡查岗位</w:t>
      </w:r>
      <w:r>
        <w:rPr>
          <w:rFonts w:hint="eastAsia" w:ascii="宋体" w:hAnsi="宋体" w:cs="Times New Roman"/>
          <w:color w:val="000000"/>
          <w:sz w:val="21"/>
          <w:szCs w:val="21"/>
          <w:lang w:val="en-US" w:eastAsia="zh-CN"/>
        </w:rPr>
        <w:t>2</w:t>
      </w:r>
      <w:r>
        <w:rPr>
          <w:rFonts w:hint="eastAsia" w:ascii="宋体" w:hAnsi="宋体" w:cs="Times New Roman"/>
          <w:color w:val="000000"/>
          <w:sz w:val="21"/>
          <w:szCs w:val="21"/>
        </w:rPr>
        <w:t>人</w:t>
      </w:r>
      <w:r>
        <w:rPr>
          <w:rFonts w:hint="eastAsia" w:ascii="宋体" w:hAnsi="宋体" w:cs="Times New Roman"/>
          <w:color w:val="000000"/>
          <w:sz w:val="21"/>
          <w:szCs w:val="21"/>
          <w:lang w:eastAsia="zh-CN"/>
        </w:rPr>
        <w:t>，沙头执勤点</w:t>
      </w:r>
      <w:r>
        <w:rPr>
          <w:rFonts w:hint="eastAsia" w:ascii="宋体" w:hAnsi="宋体" w:cs="Times New Roman"/>
          <w:color w:val="000000"/>
          <w:sz w:val="21"/>
          <w:szCs w:val="21"/>
          <w:lang w:val="en-US" w:eastAsia="zh-CN"/>
        </w:rPr>
        <w:t>1人</w:t>
      </w:r>
      <w:r>
        <w:rPr>
          <w:rFonts w:hint="eastAsia" w:ascii="宋体" w:hAnsi="宋体" w:cs="Times New Roman"/>
          <w:color w:val="000000"/>
          <w:sz w:val="21"/>
          <w:szCs w:val="21"/>
        </w:rPr>
        <w:t>），消防和治安监控平台1人，维修工2人，保洁班长1人，清洁工10人（保税区新桂花村2人，皇岗边检生活区公共区域2人，皇福苑2人，2号楼1人，剩余9栋小高层按照3栋配备1个保洁员的标准配备），绿化工1人</w:t>
      </w:r>
      <w:r>
        <w:rPr>
          <w:rFonts w:hint="eastAsia" w:ascii="宋体" w:hAnsi="宋体" w:cs="Times New Roman"/>
          <w:color w:val="000000"/>
          <w:sz w:val="21"/>
          <w:szCs w:val="21"/>
          <w:lang w:eastAsia="zh-CN"/>
        </w:rPr>
        <w:t>。</w:t>
      </w:r>
    </w:p>
    <w:p>
      <w:pPr>
        <w:adjustRightInd w:val="0"/>
        <w:snapToGrid w:val="0"/>
        <w:spacing w:line="276" w:lineRule="auto"/>
        <w:ind w:firstLine="420" w:firstLineChars="200"/>
        <w:rPr>
          <w:rFonts w:ascii="宋体" w:hAnsi="宋体" w:cs="宋体"/>
          <w:bCs/>
          <w:color w:val="000000"/>
          <w:szCs w:val="21"/>
        </w:rPr>
      </w:pPr>
      <w:r>
        <w:rPr>
          <w:rFonts w:hint="eastAsia" w:ascii="宋体" w:hAnsi="宋体" w:cs="宋体"/>
          <w:bCs/>
          <w:color w:val="000000"/>
          <w:szCs w:val="21"/>
        </w:rPr>
        <w:t>如果违反本承诺书中任何条款，我方愿意接受：</w:t>
      </w:r>
    </w:p>
    <w:p>
      <w:pPr>
        <w:adjustRightInd w:val="0"/>
        <w:snapToGrid w:val="0"/>
        <w:spacing w:line="276" w:lineRule="auto"/>
        <w:ind w:firstLine="420" w:firstLineChars="200"/>
        <w:rPr>
          <w:rFonts w:ascii="宋体" w:hAnsi="宋体" w:cs="宋体"/>
          <w:bCs/>
          <w:color w:val="000000"/>
          <w:szCs w:val="21"/>
        </w:rPr>
      </w:pPr>
      <w:r>
        <w:rPr>
          <w:rFonts w:hint="eastAsia" w:ascii="宋体" w:hAnsi="宋体" w:cs="宋体"/>
          <w:bCs/>
          <w:color w:val="000000"/>
          <w:szCs w:val="21"/>
        </w:rPr>
        <w:t>1.取消我方中标资格并按照虚假投标进行相应处理；</w:t>
      </w:r>
    </w:p>
    <w:p>
      <w:pPr>
        <w:adjustRightInd w:val="0"/>
        <w:snapToGrid w:val="0"/>
        <w:spacing w:line="276" w:lineRule="auto"/>
        <w:ind w:firstLine="420" w:firstLineChars="200"/>
        <w:rPr>
          <w:rFonts w:ascii="宋体" w:hAnsi="宋体" w:cs="宋体"/>
          <w:bCs/>
          <w:color w:val="000000"/>
          <w:szCs w:val="21"/>
        </w:rPr>
      </w:pPr>
      <w:r>
        <w:rPr>
          <w:rFonts w:hint="eastAsia" w:ascii="宋体" w:hAnsi="宋体" w:cs="宋体"/>
          <w:bCs/>
          <w:color w:val="000000"/>
          <w:szCs w:val="21"/>
        </w:rPr>
        <w:t>2.视作我方单方面违约，并按照合同规定向贵方支</w:t>
      </w:r>
      <w:bookmarkStart w:id="127" w:name="_GoBack"/>
      <w:bookmarkEnd w:id="127"/>
      <w:r>
        <w:rPr>
          <w:rFonts w:hint="eastAsia" w:ascii="宋体" w:hAnsi="宋体" w:cs="宋体"/>
          <w:bCs/>
          <w:color w:val="000000"/>
          <w:szCs w:val="21"/>
        </w:rPr>
        <w:t>付违约金或解除合同；</w:t>
      </w:r>
    </w:p>
    <w:p>
      <w:pPr>
        <w:adjustRightInd w:val="0"/>
        <w:snapToGrid w:val="0"/>
        <w:spacing w:line="276" w:lineRule="auto"/>
        <w:ind w:firstLine="420" w:firstLineChars="200"/>
        <w:rPr>
          <w:rFonts w:ascii="宋体" w:hAnsi="宋体" w:cs="宋体"/>
          <w:bCs/>
          <w:color w:val="000000"/>
          <w:szCs w:val="21"/>
        </w:rPr>
      </w:pPr>
      <w:r>
        <w:rPr>
          <w:rFonts w:hint="eastAsia" w:ascii="宋体" w:hAnsi="宋体" w:cs="宋体"/>
          <w:bCs/>
          <w:color w:val="000000"/>
          <w:szCs w:val="21"/>
        </w:rPr>
        <w:t>3.履约评价评定为合格及以下；</w:t>
      </w:r>
    </w:p>
    <w:p>
      <w:pPr>
        <w:adjustRightInd w:val="0"/>
        <w:snapToGrid w:val="0"/>
        <w:spacing w:line="276" w:lineRule="auto"/>
        <w:ind w:firstLine="420" w:firstLineChars="200"/>
        <w:rPr>
          <w:rFonts w:ascii="宋体" w:hAnsi="宋体"/>
          <w:bCs/>
          <w:color w:val="000000"/>
          <w:szCs w:val="21"/>
        </w:rPr>
      </w:pPr>
      <w:r>
        <w:rPr>
          <w:rFonts w:hint="eastAsia" w:ascii="宋体" w:hAnsi="宋体" w:cs="宋体"/>
          <w:bCs/>
          <w:color w:val="000000"/>
          <w:szCs w:val="21"/>
        </w:rPr>
        <w:t>4.行政主管部门或相关主管部门的不良行为记录、行政处</w:t>
      </w:r>
      <w:r>
        <w:rPr>
          <w:rFonts w:hint="eastAsia" w:ascii="宋体" w:hAnsi="宋体"/>
          <w:bCs/>
          <w:color w:val="000000"/>
          <w:szCs w:val="21"/>
        </w:rPr>
        <w:t>罚。</w:t>
      </w:r>
    </w:p>
    <w:p>
      <w:pPr>
        <w:adjustRightInd w:val="0"/>
        <w:snapToGrid w:val="0"/>
        <w:spacing w:line="276" w:lineRule="auto"/>
        <w:ind w:right="960" w:firstLine="210" w:firstLineChars="100"/>
        <w:jc w:val="center"/>
        <w:rPr>
          <w:rFonts w:ascii="宋体" w:hAnsi="宋体"/>
          <w:color w:val="000000"/>
          <w:szCs w:val="21"/>
        </w:rPr>
      </w:pPr>
      <w:r>
        <w:rPr>
          <w:rFonts w:hint="eastAsia" w:ascii="宋体" w:hAnsi="宋体"/>
          <w:color w:val="000000"/>
          <w:szCs w:val="21"/>
        </w:rPr>
        <w:t xml:space="preserve">       </w:t>
      </w:r>
    </w:p>
    <w:p>
      <w:pPr>
        <w:adjustRightInd w:val="0"/>
        <w:snapToGrid w:val="0"/>
        <w:spacing w:line="276" w:lineRule="auto"/>
        <w:ind w:right="960" w:firstLine="210" w:firstLineChars="100"/>
        <w:jc w:val="center"/>
        <w:rPr>
          <w:rFonts w:ascii="宋体" w:hAnsi="宋体"/>
          <w:color w:val="000000"/>
          <w:szCs w:val="21"/>
        </w:rPr>
      </w:pPr>
      <w:r>
        <w:rPr>
          <w:rFonts w:hint="eastAsia" w:ascii="宋体" w:hAnsi="宋体"/>
          <w:color w:val="000000"/>
          <w:szCs w:val="21"/>
        </w:rPr>
        <w:t xml:space="preserve">          投标供应商：  </w:t>
      </w:r>
    </w:p>
    <w:p>
      <w:pPr>
        <w:adjustRightInd w:val="0"/>
        <w:snapToGrid w:val="0"/>
        <w:spacing w:line="276" w:lineRule="auto"/>
        <w:jc w:val="center"/>
        <w:rPr>
          <w:rFonts w:ascii="宋体" w:hAnsi="宋体"/>
          <w:color w:val="000000"/>
          <w:szCs w:val="21"/>
          <w:u w:val="single"/>
        </w:rPr>
      </w:pPr>
      <w:r>
        <w:rPr>
          <w:rFonts w:hint="eastAsia" w:ascii="宋体" w:hAnsi="宋体"/>
          <w:color w:val="000000"/>
          <w:szCs w:val="21"/>
        </w:rPr>
        <w:t xml:space="preserve">                          日      期：  </w:t>
      </w:r>
      <w:r>
        <w:rPr>
          <w:rFonts w:hint="eastAsia" w:ascii="宋体" w:hAnsi="宋体"/>
          <w:color w:val="000000"/>
          <w:szCs w:val="21"/>
          <w:u w:val="single"/>
        </w:rPr>
        <w:t xml:space="preserve">       年    月 </w:t>
      </w:r>
      <w:r>
        <w:rPr>
          <w:rFonts w:ascii="宋体" w:hAnsi="宋体"/>
          <w:color w:val="000000"/>
          <w:szCs w:val="21"/>
          <w:u w:val="single"/>
        </w:rPr>
        <w:t xml:space="preserve"> </w:t>
      </w:r>
      <w:r>
        <w:rPr>
          <w:rFonts w:hint="eastAsia" w:ascii="宋体" w:hAnsi="宋体"/>
          <w:color w:val="000000"/>
          <w:szCs w:val="21"/>
          <w:u w:val="single"/>
        </w:rPr>
        <w:t xml:space="preserve">   日</w:t>
      </w:r>
    </w:p>
    <w:p>
      <w:pPr>
        <w:pStyle w:val="5"/>
        <w:adjustRightInd w:val="0"/>
        <w:snapToGrid w:val="0"/>
        <w:spacing w:before="0" w:after="0" w:line="276" w:lineRule="auto"/>
        <w:jc w:val="left"/>
      </w:pPr>
      <w:r>
        <w:rPr>
          <w:rFonts w:hint="eastAsia" w:ascii="宋体" w:hAnsi="宋体" w:eastAsia="宋体"/>
          <w:sz w:val="21"/>
          <w:szCs w:val="21"/>
          <w:lang w:val="en-US" w:eastAsia="zh-CN"/>
        </w:rPr>
        <w:t>10</w:t>
      </w:r>
      <w:r>
        <w:rPr>
          <w:rFonts w:ascii="宋体" w:hAnsi="宋体" w:eastAsia="宋体"/>
          <w:sz w:val="21"/>
          <w:szCs w:val="21"/>
        </w:rPr>
        <w:t>-2</w:t>
      </w:r>
      <w:r>
        <w:rPr>
          <w:rFonts w:hint="eastAsia" w:ascii="宋体" w:hAnsi="宋体" w:eastAsia="宋体"/>
          <w:sz w:val="21"/>
          <w:szCs w:val="21"/>
        </w:rPr>
        <w:t>拟安排的项目负责人情况（仅限一人）情况</w:t>
      </w: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noWrap w:val="0"/>
            <w:vAlign w:val="center"/>
          </w:tcPr>
          <w:p>
            <w:pPr>
              <w:spacing w:line="276" w:lineRule="auto"/>
              <w:jc w:val="center"/>
              <w:rPr>
                <w:rFonts w:ascii="宋体" w:hAnsi="宋体"/>
                <w:szCs w:val="21"/>
              </w:rPr>
            </w:pPr>
            <w:r>
              <w:rPr>
                <w:rFonts w:hint="eastAsia" w:ascii="宋体" w:hAnsi="宋体"/>
                <w:szCs w:val="21"/>
              </w:rPr>
              <w:t>类别</w:t>
            </w:r>
          </w:p>
        </w:tc>
        <w:tc>
          <w:tcPr>
            <w:tcW w:w="932" w:type="dxa"/>
            <w:vMerge w:val="restart"/>
            <w:noWrap w:val="0"/>
            <w:vAlign w:val="center"/>
          </w:tcPr>
          <w:p>
            <w:pPr>
              <w:spacing w:line="276" w:lineRule="auto"/>
              <w:jc w:val="center"/>
              <w:rPr>
                <w:rFonts w:ascii="宋体" w:hAnsi="宋体"/>
                <w:szCs w:val="21"/>
              </w:rPr>
            </w:pPr>
            <w:r>
              <w:rPr>
                <w:rFonts w:hint="eastAsia" w:ascii="宋体" w:hAnsi="宋体"/>
                <w:szCs w:val="21"/>
              </w:rPr>
              <w:t>姓名</w:t>
            </w:r>
          </w:p>
        </w:tc>
        <w:tc>
          <w:tcPr>
            <w:tcW w:w="932" w:type="dxa"/>
            <w:vMerge w:val="restart"/>
            <w:noWrap w:val="0"/>
            <w:vAlign w:val="center"/>
          </w:tcPr>
          <w:p>
            <w:pPr>
              <w:spacing w:line="276" w:lineRule="auto"/>
              <w:jc w:val="center"/>
              <w:rPr>
                <w:rFonts w:ascii="宋体" w:hAnsi="宋体"/>
                <w:szCs w:val="21"/>
              </w:rPr>
            </w:pPr>
            <w:r>
              <w:rPr>
                <w:rFonts w:hint="eastAsia" w:ascii="宋体" w:hAnsi="宋体"/>
                <w:szCs w:val="21"/>
              </w:rPr>
              <w:t>职称</w:t>
            </w:r>
          </w:p>
        </w:tc>
        <w:tc>
          <w:tcPr>
            <w:tcW w:w="932" w:type="dxa"/>
            <w:vMerge w:val="restart"/>
            <w:noWrap w:val="0"/>
            <w:vAlign w:val="center"/>
          </w:tcPr>
          <w:p>
            <w:pPr>
              <w:spacing w:line="276" w:lineRule="auto"/>
              <w:jc w:val="center"/>
              <w:rPr>
                <w:rFonts w:ascii="宋体" w:hAnsi="宋体"/>
                <w:szCs w:val="21"/>
              </w:rPr>
            </w:pPr>
            <w:r>
              <w:rPr>
                <w:rFonts w:hint="eastAsia" w:ascii="宋体" w:hAnsi="宋体"/>
                <w:szCs w:val="21"/>
              </w:rPr>
              <w:t>学历</w:t>
            </w:r>
          </w:p>
        </w:tc>
        <w:tc>
          <w:tcPr>
            <w:tcW w:w="4536" w:type="dxa"/>
            <w:gridSpan w:val="4"/>
            <w:noWrap w:val="0"/>
            <w:vAlign w:val="center"/>
          </w:tcPr>
          <w:p>
            <w:pPr>
              <w:spacing w:line="276" w:lineRule="auto"/>
              <w:jc w:val="center"/>
              <w:rPr>
                <w:rFonts w:ascii="宋体" w:hAnsi="宋体"/>
                <w:szCs w:val="21"/>
              </w:rPr>
            </w:pPr>
            <w:r>
              <w:rPr>
                <w:rFonts w:hint="eastAsia" w:ascii="宋体" w:hAnsi="宋体"/>
                <w:szCs w:val="21"/>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noWrap w:val="0"/>
            <w:vAlign w:val="center"/>
          </w:tcPr>
          <w:p>
            <w:pPr>
              <w:spacing w:line="276" w:lineRule="auto"/>
              <w:jc w:val="center"/>
              <w:rPr>
                <w:rFonts w:ascii="宋体" w:hAnsi="宋体"/>
                <w:szCs w:val="21"/>
              </w:rPr>
            </w:pPr>
          </w:p>
        </w:tc>
        <w:tc>
          <w:tcPr>
            <w:tcW w:w="932" w:type="dxa"/>
            <w:vMerge w:val="continue"/>
            <w:noWrap w:val="0"/>
            <w:vAlign w:val="center"/>
          </w:tcPr>
          <w:p>
            <w:pPr>
              <w:spacing w:line="276" w:lineRule="auto"/>
              <w:jc w:val="center"/>
              <w:rPr>
                <w:rFonts w:ascii="宋体" w:hAnsi="宋体"/>
                <w:szCs w:val="21"/>
              </w:rPr>
            </w:pPr>
          </w:p>
        </w:tc>
        <w:tc>
          <w:tcPr>
            <w:tcW w:w="932" w:type="dxa"/>
            <w:vMerge w:val="continue"/>
            <w:noWrap w:val="0"/>
            <w:vAlign w:val="top"/>
          </w:tcPr>
          <w:p>
            <w:pPr>
              <w:spacing w:line="276" w:lineRule="auto"/>
              <w:jc w:val="center"/>
              <w:rPr>
                <w:rFonts w:ascii="宋体" w:hAnsi="宋体"/>
                <w:szCs w:val="21"/>
              </w:rPr>
            </w:pPr>
          </w:p>
        </w:tc>
        <w:tc>
          <w:tcPr>
            <w:tcW w:w="932" w:type="dxa"/>
            <w:vMerge w:val="continue"/>
            <w:noWrap w:val="0"/>
            <w:vAlign w:val="center"/>
          </w:tcPr>
          <w:p>
            <w:pPr>
              <w:spacing w:line="276" w:lineRule="auto"/>
              <w:jc w:val="center"/>
              <w:rPr>
                <w:rFonts w:ascii="宋体" w:hAnsi="宋体"/>
                <w:szCs w:val="21"/>
              </w:rPr>
            </w:pPr>
          </w:p>
        </w:tc>
        <w:tc>
          <w:tcPr>
            <w:tcW w:w="1224" w:type="dxa"/>
            <w:noWrap w:val="0"/>
            <w:vAlign w:val="center"/>
          </w:tcPr>
          <w:p>
            <w:pPr>
              <w:spacing w:line="276" w:lineRule="auto"/>
              <w:jc w:val="center"/>
              <w:rPr>
                <w:rFonts w:ascii="宋体" w:hAnsi="宋体"/>
                <w:szCs w:val="21"/>
              </w:rPr>
            </w:pPr>
            <w:r>
              <w:rPr>
                <w:rFonts w:hint="eastAsia" w:ascii="宋体" w:hAnsi="宋体"/>
                <w:szCs w:val="21"/>
              </w:rPr>
              <w:t>证书名称</w:t>
            </w:r>
          </w:p>
        </w:tc>
        <w:tc>
          <w:tcPr>
            <w:tcW w:w="992" w:type="dxa"/>
            <w:noWrap w:val="0"/>
            <w:vAlign w:val="center"/>
          </w:tcPr>
          <w:p>
            <w:pPr>
              <w:spacing w:line="276" w:lineRule="auto"/>
              <w:jc w:val="center"/>
              <w:rPr>
                <w:rFonts w:ascii="宋体" w:hAnsi="宋体"/>
                <w:szCs w:val="21"/>
              </w:rPr>
            </w:pPr>
            <w:r>
              <w:rPr>
                <w:rFonts w:hint="eastAsia" w:ascii="宋体" w:hAnsi="宋体"/>
                <w:szCs w:val="21"/>
              </w:rPr>
              <w:t>级别</w:t>
            </w:r>
          </w:p>
        </w:tc>
        <w:tc>
          <w:tcPr>
            <w:tcW w:w="1171" w:type="dxa"/>
            <w:noWrap w:val="0"/>
            <w:vAlign w:val="center"/>
          </w:tcPr>
          <w:p>
            <w:pPr>
              <w:spacing w:line="276" w:lineRule="auto"/>
              <w:jc w:val="center"/>
              <w:rPr>
                <w:rFonts w:ascii="宋体" w:hAnsi="宋体"/>
                <w:szCs w:val="21"/>
              </w:rPr>
            </w:pPr>
            <w:r>
              <w:rPr>
                <w:rFonts w:hint="eastAsia" w:ascii="宋体" w:hAnsi="宋体"/>
                <w:szCs w:val="21"/>
              </w:rPr>
              <w:t>证号</w:t>
            </w:r>
          </w:p>
        </w:tc>
        <w:tc>
          <w:tcPr>
            <w:tcW w:w="1149" w:type="dxa"/>
            <w:noWrap w:val="0"/>
            <w:vAlign w:val="center"/>
          </w:tcPr>
          <w:p>
            <w:pPr>
              <w:spacing w:line="276" w:lineRule="auto"/>
              <w:jc w:val="center"/>
              <w:rPr>
                <w:rFonts w:ascii="宋体" w:hAnsi="宋体"/>
                <w:szCs w:val="21"/>
              </w:rPr>
            </w:pPr>
            <w:r>
              <w:rPr>
                <w:rFonts w:hint="eastAsia" w:ascii="宋体" w:hAnsi="宋体"/>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noWrap w:val="0"/>
            <w:vAlign w:val="center"/>
          </w:tcPr>
          <w:p>
            <w:pPr>
              <w:spacing w:line="276" w:lineRule="auto"/>
              <w:jc w:val="center"/>
              <w:rPr>
                <w:rFonts w:ascii="宋体" w:hAnsi="宋体"/>
                <w:szCs w:val="21"/>
              </w:rPr>
            </w:pPr>
            <w:r>
              <w:rPr>
                <w:rFonts w:hint="eastAsia" w:ascii="宋体" w:hAnsi="宋体"/>
                <w:szCs w:val="21"/>
              </w:rPr>
              <w:t>拟派项目负责人</w:t>
            </w:r>
          </w:p>
        </w:tc>
        <w:tc>
          <w:tcPr>
            <w:tcW w:w="932" w:type="dxa"/>
            <w:noWrap w:val="0"/>
            <w:vAlign w:val="center"/>
          </w:tcPr>
          <w:p>
            <w:pPr>
              <w:spacing w:line="276" w:lineRule="auto"/>
              <w:jc w:val="center"/>
              <w:rPr>
                <w:rFonts w:ascii="宋体" w:hAnsi="宋体"/>
                <w:szCs w:val="21"/>
              </w:rPr>
            </w:pPr>
          </w:p>
        </w:tc>
        <w:tc>
          <w:tcPr>
            <w:tcW w:w="932" w:type="dxa"/>
            <w:noWrap w:val="0"/>
            <w:vAlign w:val="top"/>
          </w:tcPr>
          <w:p>
            <w:pPr>
              <w:spacing w:line="276" w:lineRule="auto"/>
              <w:jc w:val="center"/>
              <w:rPr>
                <w:rFonts w:ascii="宋体" w:hAnsi="宋体"/>
                <w:szCs w:val="21"/>
              </w:rPr>
            </w:pPr>
          </w:p>
        </w:tc>
        <w:tc>
          <w:tcPr>
            <w:tcW w:w="932" w:type="dxa"/>
            <w:noWrap w:val="0"/>
            <w:vAlign w:val="center"/>
          </w:tcPr>
          <w:p>
            <w:pPr>
              <w:spacing w:line="276" w:lineRule="auto"/>
              <w:jc w:val="center"/>
              <w:rPr>
                <w:rFonts w:ascii="宋体" w:hAnsi="宋体"/>
                <w:szCs w:val="21"/>
              </w:rPr>
            </w:pPr>
          </w:p>
        </w:tc>
        <w:tc>
          <w:tcPr>
            <w:tcW w:w="1224" w:type="dxa"/>
            <w:noWrap w:val="0"/>
            <w:vAlign w:val="center"/>
          </w:tcPr>
          <w:p>
            <w:pPr>
              <w:spacing w:line="276" w:lineRule="auto"/>
              <w:jc w:val="center"/>
              <w:rPr>
                <w:rFonts w:ascii="宋体" w:hAnsi="宋体"/>
                <w:szCs w:val="21"/>
              </w:rPr>
            </w:pPr>
          </w:p>
        </w:tc>
        <w:tc>
          <w:tcPr>
            <w:tcW w:w="992" w:type="dxa"/>
            <w:noWrap w:val="0"/>
            <w:vAlign w:val="center"/>
          </w:tcPr>
          <w:p>
            <w:pPr>
              <w:spacing w:line="276" w:lineRule="auto"/>
              <w:jc w:val="center"/>
              <w:rPr>
                <w:rFonts w:ascii="宋体" w:hAnsi="宋体"/>
                <w:szCs w:val="21"/>
              </w:rPr>
            </w:pPr>
          </w:p>
        </w:tc>
        <w:tc>
          <w:tcPr>
            <w:tcW w:w="1171" w:type="dxa"/>
            <w:noWrap w:val="0"/>
            <w:vAlign w:val="center"/>
          </w:tcPr>
          <w:p>
            <w:pPr>
              <w:spacing w:line="276" w:lineRule="auto"/>
              <w:jc w:val="center"/>
              <w:rPr>
                <w:rFonts w:ascii="宋体" w:hAnsi="宋体"/>
                <w:szCs w:val="21"/>
              </w:rPr>
            </w:pPr>
          </w:p>
        </w:tc>
        <w:tc>
          <w:tcPr>
            <w:tcW w:w="1149" w:type="dxa"/>
            <w:noWrap w:val="0"/>
            <w:vAlign w:val="center"/>
          </w:tcPr>
          <w:p>
            <w:pPr>
              <w:spacing w:line="276" w:lineRule="auto"/>
              <w:jc w:val="center"/>
              <w:rPr>
                <w:rFonts w:ascii="宋体" w:hAnsi="宋体"/>
                <w:szCs w:val="21"/>
              </w:rPr>
            </w:pPr>
          </w:p>
        </w:tc>
      </w:tr>
    </w:tbl>
    <w:p>
      <w:pPr>
        <w:pStyle w:val="9"/>
        <w:spacing w:line="276" w:lineRule="auto"/>
        <w:rPr>
          <w:b w:val="0"/>
          <w:bCs w:val="0"/>
          <w:sz w:val="21"/>
          <w:szCs w:val="21"/>
        </w:rPr>
      </w:pPr>
      <w:r>
        <w:rPr>
          <w:rFonts w:hint="eastAsia"/>
          <w:b w:val="0"/>
          <w:bCs w:val="0"/>
          <w:sz w:val="21"/>
          <w:szCs w:val="21"/>
        </w:rPr>
        <w:t>（特别提示：以上表格仅供参考。投标人须按本招标文件评标信息中“拟安排的项目负责人情况（仅限一人）”这一评分因素要求，提供证明资料）</w:t>
      </w:r>
    </w:p>
    <w:p>
      <w:pPr>
        <w:adjustRightInd w:val="0"/>
        <w:snapToGrid w:val="0"/>
      </w:pPr>
    </w:p>
    <w:p>
      <w:pPr>
        <w:pStyle w:val="4"/>
        <w:jc w:val="center"/>
        <w:rPr>
          <w:rFonts w:ascii="黑体" w:eastAsia="黑体"/>
          <w:b w:val="0"/>
          <w:kern w:val="0"/>
          <w:sz w:val="24"/>
          <w:szCs w:val="24"/>
        </w:rPr>
      </w:pPr>
      <w:bookmarkStart w:id="73" w:name="_Toc59916727"/>
      <w:r>
        <w:rPr>
          <w:rFonts w:hint="eastAsia" w:ascii="黑体" w:eastAsia="黑体"/>
          <w:b w:val="0"/>
          <w:kern w:val="0"/>
          <w:sz w:val="24"/>
          <w:szCs w:val="24"/>
          <w:lang w:val="en-US" w:eastAsia="zh-CN"/>
        </w:rPr>
        <w:t>十</w:t>
      </w:r>
      <w:r>
        <w:rPr>
          <w:rFonts w:hint="eastAsia" w:ascii="黑体" w:eastAsia="黑体"/>
          <w:b w:val="0"/>
          <w:kern w:val="0"/>
          <w:sz w:val="24"/>
          <w:szCs w:val="24"/>
        </w:rPr>
        <w:t>、</w:t>
      </w:r>
      <w:bookmarkEnd w:id="73"/>
      <w:r>
        <w:rPr>
          <w:rFonts w:hint="eastAsia" w:ascii="黑体" w:eastAsia="黑体"/>
          <w:b w:val="0"/>
          <w:kern w:val="0"/>
          <w:sz w:val="24"/>
          <w:szCs w:val="24"/>
        </w:rPr>
        <w:t>拟安排的项目主要团队成员（主要技术人员）情况（项目负责人除外）情况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类别</w:t>
            </w:r>
          </w:p>
        </w:tc>
        <w:tc>
          <w:tcPr>
            <w:tcW w:w="876"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职务</w:t>
            </w:r>
          </w:p>
        </w:tc>
        <w:tc>
          <w:tcPr>
            <w:tcW w:w="877"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姓名</w:t>
            </w:r>
          </w:p>
        </w:tc>
        <w:tc>
          <w:tcPr>
            <w:tcW w:w="877"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职称</w:t>
            </w:r>
          </w:p>
        </w:tc>
        <w:tc>
          <w:tcPr>
            <w:tcW w:w="877"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学历</w:t>
            </w:r>
          </w:p>
        </w:tc>
        <w:tc>
          <w:tcPr>
            <w:tcW w:w="4265" w:type="dxa"/>
            <w:gridSpan w:val="4"/>
            <w:noWrap w:val="0"/>
            <w:vAlign w:val="center"/>
          </w:tcPr>
          <w:p>
            <w:pPr>
              <w:spacing w:line="276" w:lineRule="auto"/>
              <w:jc w:val="center"/>
              <w:rPr>
                <w:rFonts w:ascii="宋体" w:hAnsi="宋体" w:cs="宋体"/>
                <w:szCs w:val="21"/>
              </w:rPr>
            </w:pPr>
            <w:r>
              <w:rPr>
                <w:rFonts w:hint="eastAsia" w:ascii="宋体" w:hAnsi="宋体" w:cs="宋体"/>
                <w:szCs w:val="21"/>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noWrap w:val="0"/>
            <w:vAlign w:val="center"/>
          </w:tcPr>
          <w:p>
            <w:pPr>
              <w:spacing w:line="276" w:lineRule="auto"/>
              <w:jc w:val="center"/>
              <w:rPr>
                <w:rFonts w:ascii="宋体" w:hAnsi="宋体" w:cs="宋体"/>
                <w:szCs w:val="21"/>
              </w:rPr>
            </w:pPr>
          </w:p>
        </w:tc>
        <w:tc>
          <w:tcPr>
            <w:tcW w:w="876" w:type="dxa"/>
            <w:vMerge w:val="continue"/>
            <w:noWrap w:val="0"/>
            <w:vAlign w:val="center"/>
          </w:tcPr>
          <w:p>
            <w:pPr>
              <w:spacing w:line="276" w:lineRule="auto"/>
              <w:jc w:val="center"/>
              <w:rPr>
                <w:rFonts w:ascii="宋体" w:hAnsi="宋体" w:cs="宋体"/>
                <w:szCs w:val="21"/>
              </w:rPr>
            </w:pPr>
          </w:p>
        </w:tc>
        <w:tc>
          <w:tcPr>
            <w:tcW w:w="877" w:type="dxa"/>
            <w:vMerge w:val="continue"/>
            <w:noWrap w:val="0"/>
            <w:vAlign w:val="center"/>
          </w:tcPr>
          <w:p>
            <w:pPr>
              <w:spacing w:line="276" w:lineRule="auto"/>
              <w:jc w:val="center"/>
              <w:rPr>
                <w:rFonts w:ascii="宋体" w:hAnsi="宋体" w:cs="宋体"/>
                <w:szCs w:val="21"/>
              </w:rPr>
            </w:pPr>
          </w:p>
        </w:tc>
        <w:tc>
          <w:tcPr>
            <w:tcW w:w="877" w:type="dxa"/>
            <w:vMerge w:val="continue"/>
            <w:noWrap w:val="0"/>
            <w:vAlign w:val="top"/>
          </w:tcPr>
          <w:p>
            <w:pPr>
              <w:spacing w:line="276" w:lineRule="auto"/>
              <w:jc w:val="center"/>
              <w:rPr>
                <w:rFonts w:ascii="宋体" w:hAnsi="宋体" w:cs="宋体"/>
                <w:szCs w:val="21"/>
              </w:rPr>
            </w:pPr>
          </w:p>
        </w:tc>
        <w:tc>
          <w:tcPr>
            <w:tcW w:w="877" w:type="dxa"/>
            <w:vMerge w:val="continue"/>
            <w:noWrap w:val="0"/>
            <w:vAlign w:val="center"/>
          </w:tcPr>
          <w:p>
            <w:pPr>
              <w:spacing w:line="276" w:lineRule="auto"/>
              <w:jc w:val="center"/>
              <w:rPr>
                <w:rFonts w:ascii="宋体" w:hAnsi="宋体" w:cs="宋体"/>
                <w:szCs w:val="21"/>
              </w:rPr>
            </w:pPr>
          </w:p>
        </w:tc>
        <w:tc>
          <w:tcPr>
            <w:tcW w:w="1151" w:type="dxa"/>
            <w:noWrap w:val="0"/>
            <w:vAlign w:val="center"/>
          </w:tcPr>
          <w:p>
            <w:pPr>
              <w:spacing w:line="276" w:lineRule="auto"/>
              <w:jc w:val="center"/>
              <w:rPr>
                <w:rFonts w:ascii="宋体" w:hAnsi="宋体" w:cs="宋体"/>
                <w:szCs w:val="21"/>
              </w:rPr>
            </w:pPr>
            <w:r>
              <w:rPr>
                <w:rFonts w:hint="eastAsia" w:ascii="宋体" w:hAnsi="宋体" w:cs="宋体"/>
                <w:szCs w:val="21"/>
              </w:rPr>
              <w:t>证书名称</w:t>
            </w:r>
          </w:p>
        </w:tc>
        <w:tc>
          <w:tcPr>
            <w:tcW w:w="933" w:type="dxa"/>
            <w:noWrap w:val="0"/>
            <w:vAlign w:val="center"/>
          </w:tcPr>
          <w:p>
            <w:pPr>
              <w:spacing w:line="276" w:lineRule="auto"/>
              <w:jc w:val="center"/>
              <w:rPr>
                <w:rFonts w:ascii="宋体" w:hAnsi="宋体" w:cs="宋体"/>
                <w:szCs w:val="21"/>
              </w:rPr>
            </w:pPr>
            <w:r>
              <w:rPr>
                <w:rFonts w:hint="eastAsia" w:ascii="宋体" w:hAnsi="宋体" w:cs="宋体"/>
                <w:szCs w:val="21"/>
              </w:rPr>
              <w:t>级别</w:t>
            </w:r>
          </w:p>
        </w:tc>
        <w:tc>
          <w:tcPr>
            <w:tcW w:w="1101" w:type="dxa"/>
            <w:noWrap w:val="0"/>
            <w:vAlign w:val="center"/>
          </w:tcPr>
          <w:p>
            <w:pPr>
              <w:spacing w:line="276" w:lineRule="auto"/>
              <w:jc w:val="center"/>
              <w:rPr>
                <w:rFonts w:ascii="宋体" w:hAnsi="宋体" w:cs="宋体"/>
                <w:szCs w:val="21"/>
              </w:rPr>
            </w:pPr>
            <w:r>
              <w:rPr>
                <w:rFonts w:hint="eastAsia" w:ascii="宋体" w:hAnsi="宋体" w:cs="宋体"/>
                <w:szCs w:val="21"/>
              </w:rPr>
              <w:t>证号</w:t>
            </w:r>
          </w:p>
        </w:tc>
        <w:tc>
          <w:tcPr>
            <w:tcW w:w="1080" w:type="dxa"/>
            <w:noWrap w:val="0"/>
            <w:vAlign w:val="center"/>
          </w:tcPr>
          <w:p>
            <w:pPr>
              <w:spacing w:line="276" w:lineRule="auto"/>
              <w:jc w:val="center"/>
              <w:rPr>
                <w:rFonts w:ascii="宋体" w:hAnsi="宋体" w:cs="宋体"/>
                <w:szCs w:val="21"/>
              </w:rPr>
            </w:pPr>
            <w:r>
              <w:rPr>
                <w:rFonts w:hint="eastAsia" w:ascii="宋体" w:hAnsi="宋体" w:cs="宋体"/>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拟安排的项目团队成员</w:t>
            </w:r>
          </w:p>
        </w:tc>
        <w:tc>
          <w:tcPr>
            <w:tcW w:w="876" w:type="dxa"/>
            <w:noWrap w:val="0"/>
            <w:vAlign w:val="center"/>
          </w:tcPr>
          <w:p>
            <w:pPr>
              <w:spacing w:line="276" w:lineRule="auto"/>
              <w:jc w:val="center"/>
              <w:rPr>
                <w:rFonts w:ascii="宋体" w:hAnsi="宋体" w:cs="宋体"/>
                <w:szCs w:val="21"/>
              </w:rPr>
            </w:pPr>
          </w:p>
        </w:tc>
        <w:tc>
          <w:tcPr>
            <w:tcW w:w="877" w:type="dxa"/>
            <w:noWrap w:val="0"/>
            <w:vAlign w:val="center"/>
          </w:tcPr>
          <w:p>
            <w:pPr>
              <w:spacing w:line="276" w:lineRule="auto"/>
              <w:jc w:val="center"/>
              <w:rPr>
                <w:rFonts w:ascii="宋体" w:hAnsi="宋体" w:cs="宋体"/>
                <w:szCs w:val="21"/>
              </w:rPr>
            </w:pPr>
          </w:p>
        </w:tc>
        <w:tc>
          <w:tcPr>
            <w:tcW w:w="877" w:type="dxa"/>
            <w:noWrap w:val="0"/>
            <w:vAlign w:val="top"/>
          </w:tcPr>
          <w:p>
            <w:pPr>
              <w:spacing w:line="276" w:lineRule="auto"/>
              <w:jc w:val="center"/>
              <w:rPr>
                <w:rFonts w:ascii="宋体" w:hAnsi="宋体" w:cs="宋体"/>
                <w:szCs w:val="21"/>
              </w:rPr>
            </w:pPr>
          </w:p>
        </w:tc>
        <w:tc>
          <w:tcPr>
            <w:tcW w:w="877" w:type="dxa"/>
            <w:noWrap w:val="0"/>
            <w:vAlign w:val="center"/>
          </w:tcPr>
          <w:p>
            <w:pPr>
              <w:spacing w:line="276" w:lineRule="auto"/>
              <w:jc w:val="center"/>
              <w:rPr>
                <w:rFonts w:ascii="宋体" w:hAnsi="宋体" w:cs="宋体"/>
                <w:szCs w:val="21"/>
              </w:rPr>
            </w:pPr>
          </w:p>
        </w:tc>
        <w:tc>
          <w:tcPr>
            <w:tcW w:w="1151" w:type="dxa"/>
            <w:noWrap w:val="0"/>
            <w:vAlign w:val="center"/>
          </w:tcPr>
          <w:p>
            <w:pPr>
              <w:spacing w:line="276" w:lineRule="auto"/>
              <w:jc w:val="center"/>
              <w:rPr>
                <w:rFonts w:ascii="宋体" w:hAnsi="宋体" w:cs="宋体"/>
                <w:szCs w:val="21"/>
              </w:rPr>
            </w:pPr>
          </w:p>
        </w:tc>
        <w:tc>
          <w:tcPr>
            <w:tcW w:w="933" w:type="dxa"/>
            <w:noWrap w:val="0"/>
            <w:vAlign w:val="center"/>
          </w:tcPr>
          <w:p>
            <w:pPr>
              <w:spacing w:line="276" w:lineRule="auto"/>
              <w:jc w:val="center"/>
              <w:rPr>
                <w:rFonts w:ascii="宋体" w:hAnsi="宋体" w:cs="宋体"/>
                <w:szCs w:val="21"/>
              </w:rPr>
            </w:pPr>
          </w:p>
        </w:tc>
        <w:tc>
          <w:tcPr>
            <w:tcW w:w="1101" w:type="dxa"/>
            <w:noWrap w:val="0"/>
            <w:vAlign w:val="center"/>
          </w:tcPr>
          <w:p>
            <w:pPr>
              <w:spacing w:line="276" w:lineRule="auto"/>
              <w:jc w:val="center"/>
              <w:rPr>
                <w:rFonts w:ascii="宋体" w:hAnsi="宋体" w:cs="宋体"/>
                <w:szCs w:val="21"/>
              </w:rPr>
            </w:pPr>
          </w:p>
        </w:tc>
        <w:tc>
          <w:tcPr>
            <w:tcW w:w="1080" w:type="dxa"/>
            <w:noWrap w:val="0"/>
            <w:vAlign w:val="center"/>
          </w:tcPr>
          <w:p>
            <w:pPr>
              <w:spacing w:line="276" w:lineRule="auto"/>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noWrap w:val="0"/>
            <w:vAlign w:val="center"/>
          </w:tcPr>
          <w:p>
            <w:pPr>
              <w:spacing w:line="276" w:lineRule="auto"/>
              <w:jc w:val="center"/>
              <w:rPr>
                <w:rFonts w:ascii="宋体" w:hAnsi="宋体" w:cs="宋体"/>
                <w:szCs w:val="21"/>
              </w:rPr>
            </w:pPr>
          </w:p>
        </w:tc>
        <w:tc>
          <w:tcPr>
            <w:tcW w:w="876" w:type="dxa"/>
            <w:noWrap w:val="0"/>
            <w:vAlign w:val="center"/>
          </w:tcPr>
          <w:p>
            <w:pPr>
              <w:spacing w:line="276" w:lineRule="auto"/>
              <w:jc w:val="center"/>
              <w:rPr>
                <w:rFonts w:ascii="宋体" w:hAnsi="宋体" w:cs="宋体"/>
                <w:szCs w:val="21"/>
              </w:rPr>
            </w:pPr>
          </w:p>
        </w:tc>
        <w:tc>
          <w:tcPr>
            <w:tcW w:w="877" w:type="dxa"/>
            <w:noWrap w:val="0"/>
            <w:vAlign w:val="center"/>
          </w:tcPr>
          <w:p>
            <w:pPr>
              <w:spacing w:line="276" w:lineRule="auto"/>
              <w:jc w:val="center"/>
              <w:rPr>
                <w:rFonts w:ascii="宋体" w:hAnsi="宋体" w:cs="宋体"/>
                <w:szCs w:val="21"/>
              </w:rPr>
            </w:pPr>
          </w:p>
        </w:tc>
        <w:tc>
          <w:tcPr>
            <w:tcW w:w="877" w:type="dxa"/>
            <w:noWrap w:val="0"/>
            <w:vAlign w:val="top"/>
          </w:tcPr>
          <w:p>
            <w:pPr>
              <w:spacing w:line="276" w:lineRule="auto"/>
              <w:jc w:val="center"/>
              <w:rPr>
                <w:rFonts w:ascii="宋体" w:hAnsi="宋体" w:cs="宋体"/>
                <w:szCs w:val="21"/>
              </w:rPr>
            </w:pPr>
          </w:p>
        </w:tc>
        <w:tc>
          <w:tcPr>
            <w:tcW w:w="877" w:type="dxa"/>
            <w:noWrap w:val="0"/>
            <w:vAlign w:val="center"/>
          </w:tcPr>
          <w:p>
            <w:pPr>
              <w:spacing w:line="276" w:lineRule="auto"/>
              <w:jc w:val="center"/>
              <w:rPr>
                <w:rFonts w:ascii="宋体" w:hAnsi="宋体" w:cs="宋体"/>
                <w:szCs w:val="21"/>
              </w:rPr>
            </w:pPr>
          </w:p>
        </w:tc>
        <w:tc>
          <w:tcPr>
            <w:tcW w:w="1151" w:type="dxa"/>
            <w:noWrap w:val="0"/>
            <w:vAlign w:val="center"/>
          </w:tcPr>
          <w:p>
            <w:pPr>
              <w:spacing w:line="276" w:lineRule="auto"/>
              <w:jc w:val="center"/>
              <w:rPr>
                <w:rFonts w:ascii="宋体" w:hAnsi="宋体" w:cs="宋体"/>
                <w:szCs w:val="21"/>
              </w:rPr>
            </w:pPr>
          </w:p>
        </w:tc>
        <w:tc>
          <w:tcPr>
            <w:tcW w:w="933" w:type="dxa"/>
            <w:noWrap w:val="0"/>
            <w:vAlign w:val="center"/>
          </w:tcPr>
          <w:p>
            <w:pPr>
              <w:spacing w:line="276" w:lineRule="auto"/>
              <w:jc w:val="center"/>
              <w:rPr>
                <w:rFonts w:ascii="宋体" w:hAnsi="宋体" w:cs="宋体"/>
                <w:szCs w:val="21"/>
              </w:rPr>
            </w:pPr>
          </w:p>
        </w:tc>
        <w:tc>
          <w:tcPr>
            <w:tcW w:w="1101" w:type="dxa"/>
            <w:noWrap w:val="0"/>
            <w:vAlign w:val="center"/>
          </w:tcPr>
          <w:p>
            <w:pPr>
              <w:spacing w:line="276" w:lineRule="auto"/>
              <w:jc w:val="center"/>
              <w:rPr>
                <w:rFonts w:ascii="宋体" w:hAnsi="宋体" w:cs="宋体"/>
                <w:szCs w:val="21"/>
              </w:rPr>
            </w:pPr>
          </w:p>
        </w:tc>
        <w:tc>
          <w:tcPr>
            <w:tcW w:w="1080" w:type="dxa"/>
            <w:noWrap w:val="0"/>
            <w:vAlign w:val="center"/>
          </w:tcPr>
          <w:p>
            <w:pPr>
              <w:spacing w:line="276" w:lineRule="auto"/>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noWrap w:val="0"/>
            <w:vAlign w:val="center"/>
          </w:tcPr>
          <w:p>
            <w:pPr>
              <w:spacing w:line="276" w:lineRule="auto"/>
              <w:jc w:val="center"/>
              <w:rPr>
                <w:rFonts w:ascii="宋体" w:hAnsi="宋体" w:cs="宋体"/>
                <w:szCs w:val="21"/>
              </w:rPr>
            </w:pPr>
          </w:p>
        </w:tc>
        <w:tc>
          <w:tcPr>
            <w:tcW w:w="876" w:type="dxa"/>
            <w:noWrap w:val="0"/>
            <w:vAlign w:val="center"/>
          </w:tcPr>
          <w:p>
            <w:pPr>
              <w:spacing w:line="276" w:lineRule="auto"/>
              <w:jc w:val="center"/>
              <w:rPr>
                <w:rFonts w:ascii="宋体" w:hAnsi="宋体" w:cs="宋体"/>
                <w:szCs w:val="21"/>
              </w:rPr>
            </w:pPr>
          </w:p>
        </w:tc>
        <w:tc>
          <w:tcPr>
            <w:tcW w:w="877" w:type="dxa"/>
            <w:noWrap w:val="0"/>
            <w:vAlign w:val="center"/>
          </w:tcPr>
          <w:p>
            <w:pPr>
              <w:spacing w:line="276" w:lineRule="auto"/>
              <w:jc w:val="center"/>
              <w:rPr>
                <w:rFonts w:ascii="宋体" w:hAnsi="宋体" w:cs="宋体"/>
                <w:szCs w:val="21"/>
              </w:rPr>
            </w:pPr>
          </w:p>
        </w:tc>
        <w:tc>
          <w:tcPr>
            <w:tcW w:w="877" w:type="dxa"/>
            <w:noWrap w:val="0"/>
            <w:vAlign w:val="top"/>
          </w:tcPr>
          <w:p>
            <w:pPr>
              <w:spacing w:line="276" w:lineRule="auto"/>
              <w:jc w:val="center"/>
              <w:rPr>
                <w:rFonts w:ascii="宋体" w:hAnsi="宋体" w:cs="宋体"/>
                <w:szCs w:val="21"/>
              </w:rPr>
            </w:pPr>
          </w:p>
        </w:tc>
        <w:tc>
          <w:tcPr>
            <w:tcW w:w="877" w:type="dxa"/>
            <w:noWrap w:val="0"/>
            <w:vAlign w:val="center"/>
          </w:tcPr>
          <w:p>
            <w:pPr>
              <w:spacing w:line="276" w:lineRule="auto"/>
              <w:jc w:val="center"/>
              <w:rPr>
                <w:rFonts w:ascii="宋体" w:hAnsi="宋体" w:cs="宋体"/>
                <w:szCs w:val="21"/>
              </w:rPr>
            </w:pPr>
          </w:p>
        </w:tc>
        <w:tc>
          <w:tcPr>
            <w:tcW w:w="1151" w:type="dxa"/>
            <w:noWrap w:val="0"/>
            <w:vAlign w:val="center"/>
          </w:tcPr>
          <w:p>
            <w:pPr>
              <w:spacing w:line="276" w:lineRule="auto"/>
              <w:jc w:val="center"/>
              <w:rPr>
                <w:rFonts w:ascii="宋体" w:hAnsi="宋体" w:cs="宋体"/>
                <w:szCs w:val="21"/>
              </w:rPr>
            </w:pPr>
          </w:p>
        </w:tc>
        <w:tc>
          <w:tcPr>
            <w:tcW w:w="933" w:type="dxa"/>
            <w:noWrap w:val="0"/>
            <w:vAlign w:val="center"/>
          </w:tcPr>
          <w:p>
            <w:pPr>
              <w:spacing w:line="276" w:lineRule="auto"/>
              <w:jc w:val="center"/>
              <w:rPr>
                <w:rFonts w:ascii="宋体" w:hAnsi="宋体" w:cs="宋体"/>
                <w:szCs w:val="21"/>
              </w:rPr>
            </w:pPr>
          </w:p>
        </w:tc>
        <w:tc>
          <w:tcPr>
            <w:tcW w:w="1101" w:type="dxa"/>
            <w:noWrap w:val="0"/>
            <w:vAlign w:val="center"/>
          </w:tcPr>
          <w:p>
            <w:pPr>
              <w:spacing w:line="276" w:lineRule="auto"/>
              <w:jc w:val="center"/>
              <w:rPr>
                <w:rFonts w:ascii="宋体" w:hAnsi="宋体" w:cs="宋体"/>
                <w:szCs w:val="21"/>
              </w:rPr>
            </w:pPr>
          </w:p>
        </w:tc>
        <w:tc>
          <w:tcPr>
            <w:tcW w:w="1080" w:type="dxa"/>
            <w:noWrap w:val="0"/>
            <w:vAlign w:val="center"/>
          </w:tcPr>
          <w:p>
            <w:pPr>
              <w:spacing w:line="276" w:lineRule="auto"/>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noWrap w:val="0"/>
            <w:vAlign w:val="center"/>
          </w:tcPr>
          <w:p>
            <w:pPr>
              <w:spacing w:line="276" w:lineRule="auto"/>
              <w:jc w:val="center"/>
              <w:rPr>
                <w:rFonts w:ascii="宋体" w:hAnsi="宋体" w:cs="宋体"/>
                <w:szCs w:val="21"/>
              </w:rPr>
            </w:pPr>
            <w:r>
              <w:rPr>
                <w:rFonts w:hint="eastAsia" w:ascii="宋体" w:hAnsi="宋体" w:cs="宋体"/>
                <w:szCs w:val="21"/>
              </w:rPr>
              <w:t>其他</w:t>
            </w:r>
          </w:p>
        </w:tc>
        <w:tc>
          <w:tcPr>
            <w:tcW w:w="876" w:type="dxa"/>
            <w:noWrap w:val="0"/>
            <w:vAlign w:val="top"/>
          </w:tcPr>
          <w:p>
            <w:pPr>
              <w:spacing w:line="276" w:lineRule="auto"/>
              <w:rPr>
                <w:rFonts w:ascii="宋体" w:hAnsi="宋体" w:cs="宋体"/>
                <w:szCs w:val="21"/>
              </w:rPr>
            </w:pPr>
          </w:p>
        </w:tc>
        <w:tc>
          <w:tcPr>
            <w:tcW w:w="877" w:type="dxa"/>
            <w:noWrap w:val="0"/>
            <w:vAlign w:val="top"/>
          </w:tcPr>
          <w:p>
            <w:pPr>
              <w:spacing w:line="276" w:lineRule="auto"/>
              <w:rPr>
                <w:rFonts w:ascii="宋体" w:hAnsi="宋体" w:cs="宋体"/>
                <w:szCs w:val="21"/>
              </w:rPr>
            </w:pPr>
          </w:p>
        </w:tc>
        <w:tc>
          <w:tcPr>
            <w:tcW w:w="877" w:type="dxa"/>
            <w:noWrap w:val="0"/>
            <w:vAlign w:val="top"/>
          </w:tcPr>
          <w:p>
            <w:pPr>
              <w:spacing w:line="276" w:lineRule="auto"/>
              <w:rPr>
                <w:rFonts w:ascii="宋体" w:hAnsi="宋体" w:cs="宋体"/>
                <w:szCs w:val="21"/>
              </w:rPr>
            </w:pPr>
          </w:p>
        </w:tc>
        <w:tc>
          <w:tcPr>
            <w:tcW w:w="877" w:type="dxa"/>
            <w:noWrap w:val="0"/>
            <w:vAlign w:val="top"/>
          </w:tcPr>
          <w:p>
            <w:pPr>
              <w:spacing w:line="276" w:lineRule="auto"/>
              <w:rPr>
                <w:rFonts w:ascii="宋体" w:hAnsi="宋体" w:cs="宋体"/>
                <w:szCs w:val="21"/>
              </w:rPr>
            </w:pPr>
          </w:p>
        </w:tc>
        <w:tc>
          <w:tcPr>
            <w:tcW w:w="1151" w:type="dxa"/>
            <w:noWrap w:val="0"/>
            <w:vAlign w:val="top"/>
          </w:tcPr>
          <w:p>
            <w:pPr>
              <w:spacing w:line="276" w:lineRule="auto"/>
              <w:rPr>
                <w:rFonts w:ascii="宋体" w:hAnsi="宋体" w:cs="宋体"/>
                <w:szCs w:val="21"/>
              </w:rPr>
            </w:pPr>
          </w:p>
        </w:tc>
        <w:tc>
          <w:tcPr>
            <w:tcW w:w="933" w:type="dxa"/>
            <w:noWrap w:val="0"/>
            <w:vAlign w:val="top"/>
          </w:tcPr>
          <w:p>
            <w:pPr>
              <w:spacing w:line="276" w:lineRule="auto"/>
              <w:rPr>
                <w:rFonts w:ascii="宋体" w:hAnsi="宋体" w:cs="宋体"/>
                <w:szCs w:val="21"/>
              </w:rPr>
            </w:pPr>
          </w:p>
        </w:tc>
        <w:tc>
          <w:tcPr>
            <w:tcW w:w="1101" w:type="dxa"/>
            <w:noWrap w:val="0"/>
            <w:vAlign w:val="top"/>
          </w:tcPr>
          <w:p>
            <w:pPr>
              <w:spacing w:line="276" w:lineRule="auto"/>
              <w:rPr>
                <w:rFonts w:ascii="宋体" w:hAnsi="宋体" w:cs="宋体"/>
                <w:szCs w:val="21"/>
              </w:rPr>
            </w:pPr>
          </w:p>
        </w:tc>
        <w:tc>
          <w:tcPr>
            <w:tcW w:w="1080" w:type="dxa"/>
            <w:noWrap w:val="0"/>
            <w:vAlign w:val="top"/>
          </w:tcPr>
          <w:p>
            <w:pPr>
              <w:spacing w:line="276" w:lineRule="auto"/>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noWrap w:val="0"/>
            <w:vAlign w:val="top"/>
          </w:tcPr>
          <w:p>
            <w:pPr>
              <w:spacing w:line="276" w:lineRule="auto"/>
              <w:rPr>
                <w:rFonts w:ascii="宋体" w:hAnsi="宋体" w:cs="宋体"/>
                <w:szCs w:val="21"/>
              </w:rPr>
            </w:pPr>
          </w:p>
        </w:tc>
        <w:tc>
          <w:tcPr>
            <w:tcW w:w="876" w:type="dxa"/>
            <w:noWrap w:val="0"/>
            <w:vAlign w:val="top"/>
          </w:tcPr>
          <w:p>
            <w:pPr>
              <w:spacing w:line="276" w:lineRule="auto"/>
              <w:rPr>
                <w:rFonts w:ascii="宋体" w:hAnsi="宋体" w:cs="宋体"/>
                <w:szCs w:val="21"/>
              </w:rPr>
            </w:pPr>
          </w:p>
        </w:tc>
        <w:tc>
          <w:tcPr>
            <w:tcW w:w="877" w:type="dxa"/>
            <w:noWrap w:val="0"/>
            <w:vAlign w:val="top"/>
          </w:tcPr>
          <w:p>
            <w:pPr>
              <w:spacing w:line="276" w:lineRule="auto"/>
              <w:rPr>
                <w:rFonts w:ascii="宋体" w:hAnsi="宋体" w:cs="宋体"/>
                <w:szCs w:val="21"/>
              </w:rPr>
            </w:pPr>
          </w:p>
        </w:tc>
        <w:tc>
          <w:tcPr>
            <w:tcW w:w="877" w:type="dxa"/>
            <w:noWrap w:val="0"/>
            <w:vAlign w:val="top"/>
          </w:tcPr>
          <w:p>
            <w:pPr>
              <w:spacing w:line="276" w:lineRule="auto"/>
              <w:rPr>
                <w:rFonts w:ascii="宋体" w:hAnsi="宋体" w:cs="宋体"/>
                <w:szCs w:val="21"/>
              </w:rPr>
            </w:pPr>
          </w:p>
        </w:tc>
        <w:tc>
          <w:tcPr>
            <w:tcW w:w="877" w:type="dxa"/>
            <w:noWrap w:val="0"/>
            <w:vAlign w:val="top"/>
          </w:tcPr>
          <w:p>
            <w:pPr>
              <w:spacing w:line="276" w:lineRule="auto"/>
              <w:rPr>
                <w:rFonts w:ascii="宋体" w:hAnsi="宋体" w:cs="宋体"/>
                <w:szCs w:val="21"/>
              </w:rPr>
            </w:pPr>
          </w:p>
        </w:tc>
        <w:tc>
          <w:tcPr>
            <w:tcW w:w="1151" w:type="dxa"/>
            <w:noWrap w:val="0"/>
            <w:vAlign w:val="top"/>
          </w:tcPr>
          <w:p>
            <w:pPr>
              <w:spacing w:line="276" w:lineRule="auto"/>
              <w:rPr>
                <w:rFonts w:ascii="宋体" w:hAnsi="宋体" w:cs="宋体"/>
                <w:szCs w:val="21"/>
              </w:rPr>
            </w:pPr>
          </w:p>
        </w:tc>
        <w:tc>
          <w:tcPr>
            <w:tcW w:w="933" w:type="dxa"/>
            <w:noWrap w:val="0"/>
            <w:vAlign w:val="top"/>
          </w:tcPr>
          <w:p>
            <w:pPr>
              <w:spacing w:line="276" w:lineRule="auto"/>
              <w:rPr>
                <w:rFonts w:ascii="宋体" w:hAnsi="宋体" w:cs="宋体"/>
                <w:szCs w:val="21"/>
              </w:rPr>
            </w:pPr>
          </w:p>
        </w:tc>
        <w:tc>
          <w:tcPr>
            <w:tcW w:w="1101" w:type="dxa"/>
            <w:noWrap w:val="0"/>
            <w:vAlign w:val="top"/>
          </w:tcPr>
          <w:p>
            <w:pPr>
              <w:spacing w:line="276" w:lineRule="auto"/>
              <w:rPr>
                <w:rFonts w:ascii="宋体" w:hAnsi="宋体" w:cs="宋体"/>
                <w:szCs w:val="21"/>
              </w:rPr>
            </w:pPr>
          </w:p>
        </w:tc>
        <w:tc>
          <w:tcPr>
            <w:tcW w:w="1080" w:type="dxa"/>
            <w:noWrap w:val="0"/>
            <w:vAlign w:val="top"/>
          </w:tcPr>
          <w:p>
            <w:pPr>
              <w:spacing w:line="276" w:lineRule="auto"/>
              <w:rPr>
                <w:rFonts w:ascii="宋体" w:hAnsi="宋体" w:cs="宋体"/>
                <w:szCs w:val="21"/>
              </w:rPr>
            </w:pPr>
          </w:p>
        </w:tc>
      </w:tr>
    </w:tbl>
    <w:p>
      <w:pPr>
        <w:pStyle w:val="9"/>
        <w:spacing w:line="276" w:lineRule="auto"/>
        <w:rPr>
          <w:b w:val="0"/>
          <w:bCs w:val="0"/>
          <w:sz w:val="21"/>
          <w:szCs w:val="21"/>
        </w:rPr>
      </w:pPr>
      <w:r>
        <w:rPr>
          <w:rFonts w:hint="eastAsia"/>
          <w:b w:val="0"/>
          <w:bCs w:val="0"/>
          <w:sz w:val="21"/>
          <w:szCs w:val="21"/>
        </w:rPr>
        <w:t>（特别提示：以上表格仅供参考。投标人须按本招标文件评标信息中“拟安排的项目主要团队成员（主要技术人员）情况（项目负责人除外）情况”这一评分因素要求，提供证明资料）</w:t>
      </w:r>
    </w:p>
    <w:p>
      <w:pPr>
        <w:pStyle w:val="8"/>
        <w:spacing w:before="60" w:beforeLines="25" w:after="60" w:afterLines="25"/>
        <w:ind w:firstLine="0"/>
        <w:rPr>
          <w:rFonts w:ascii="黑体" w:hAnsi="宋体" w:eastAsia="黑体"/>
          <w:sz w:val="24"/>
        </w:rPr>
      </w:pPr>
    </w:p>
    <w:p>
      <w:pPr>
        <w:rPr>
          <w:rFonts w:ascii="黑体" w:hAnsi="宋体" w:eastAsia="黑体"/>
          <w:sz w:val="24"/>
        </w:rPr>
      </w:pPr>
    </w:p>
    <w:p>
      <w:pPr>
        <w:pStyle w:val="5"/>
        <w:jc w:val="center"/>
        <w:rPr>
          <w:rFonts w:hint="eastAsia" w:ascii="黑体" w:eastAsia="黑体" w:cs="Times New Roman"/>
          <w:b w:val="0"/>
          <w:bCs w:val="0"/>
          <w:sz w:val="24"/>
          <w:szCs w:val="28"/>
        </w:rPr>
      </w:pPr>
      <w:r>
        <w:rPr>
          <w:rFonts w:hint="eastAsia" w:ascii="黑体" w:eastAsia="黑体"/>
          <w:b w:val="0"/>
          <w:bCs w:val="0"/>
          <w:sz w:val="24"/>
        </w:rPr>
        <w:t>十</w:t>
      </w:r>
      <w:r>
        <w:rPr>
          <w:rFonts w:hint="eastAsia" w:ascii="黑体" w:eastAsia="黑体"/>
          <w:b w:val="0"/>
          <w:bCs w:val="0"/>
          <w:sz w:val="24"/>
          <w:lang w:val="en-US" w:eastAsia="zh-CN"/>
        </w:rPr>
        <w:t>一</w:t>
      </w:r>
      <w:r>
        <w:rPr>
          <w:rFonts w:hint="eastAsia" w:ascii="黑体" w:eastAsia="黑体" w:cs="Times New Roman"/>
          <w:b w:val="0"/>
          <w:bCs w:val="0"/>
          <w:sz w:val="24"/>
          <w:szCs w:val="28"/>
        </w:rPr>
        <w:t>投标人认为需要加以说明的其他内容</w:t>
      </w:r>
    </w:p>
    <w:p>
      <w:pPr>
        <w:keepNext w:val="0"/>
        <w:keepLines w:val="0"/>
        <w:widowControl/>
        <w:suppressLineNumbers w:val="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rPr>
        <w:t>政府采购违法行为风险知悉确认书</w:t>
      </w:r>
    </w:p>
    <w:p>
      <w:pPr>
        <w:spacing w:before="0" w:beforeLines="0" w:after="156" w:afterLines="50" w:line="360" w:lineRule="exact"/>
        <w:ind w:firstLine="422" w:firstLineChars="200"/>
        <w:rPr>
          <w:rFonts w:hint="eastAsia" w:eastAsia="宋体" w:cs="Times New Roman"/>
          <w:b/>
          <w:bCs/>
          <w:color w:val="auto"/>
          <w:sz w:val="24"/>
          <w:lang w:val="en-US" w:eastAsia="zh-CN"/>
        </w:rPr>
      </w:pPr>
      <w:r>
        <w:rPr>
          <w:rFonts w:hint="eastAsia"/>
          <w:b/>
          <w:bCs/>
          <w:color w:val="auto"/>
          <w:sz w:val="21"/>
          <w:szCs w:val="21"/>
          <w:lang w:eastAsia="zh-CN"/>
        </w:rPr>
        <w:t>我</w:t>
      </w:r>
      <w:r>
        <w:rPr>
          <w:rFonts w:hint="eastAsia" w:ascii="Calibri" w:hAnsi="Calibri" w:eastAsia="宋体" w:cs="Times New Roman"/>
          <w:b/>
          <w:bCs/>
          <w:color w:val="auto"/>
          <w:sz w:val="21"/>
          <w:szCs w:val="21"/>
          <w:lang w:val="en-US" w:eastAsia="zh-CN"/>
        </w:rPr>
        <w:t>单位</w:t>
      </w:r>
      <w:r>
        <w:rPr>
          <w:rFonts w:hint="eastAsia" w:eastAsia="宋体"/>
          <w:b/>
          <w:bCs/>
          <w:color w:val="auto"/>
          <w:sz w:val="21"/>
          <w:szCs w:val="21"/>
        </w:rPr>
        <w:t>在</w:t>
      </w:r>
      <w:r>
        <w:rPr>
          <w:rFonts w:hint="eastAsia"/>
          <w:b/>
          <w:bCs/>
          <w:color w:val="auto"/>
          <w:sz w:val="21"/>
          <w:szCs w:val="21"/>
        </w:rPr>
        <w:t>投标前已充分知悉以下情形为参与政府采购活动时的重大风险事项，并承诺已对下述风险提示事项重点排查，</w:t>
      </w:r>
      <w:r>
        <w:rPr>
          <w:rFonts w:hint="eastAsia" w:eastAsia="宋体" w:cs="Times New Roman"/>
          <w:b/>
          <w:bCs/>
          <w:color w:val="auto"/>
          <w:sz w:val="21"/>
          <w:szCs w:val="21"/>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widowControl/>
        <w:wordWrap w:val="0"/>
        <w:autoSpaceDE w:val="0"/>
        <w:autoSpaceDN w:val="0"/>
        <w:spacing w:line="400" w:lineRule="exact"/>
        <w:ind w:right="1414" w:firstLine="404" w:firstLineChars="200"/>
        <w:jc w:val="right"/>
        <w:rPr>
          <w:rFonts w:ascii="宋体" w:hAnsi="宋体" w:eastAsia="宋体"/>
          <w:spacing w:val="-4"/>
          <w:kern w:val="0"/>
          <w:szCs w:val="21"/>
        </w:rPr>
      </w:pPr>
      <w:r>
        <w:rPr>
          <w:rFonts w:hint="eastAsia" w:ascii="宋体" w:hAnsi="宋体" w:eastAsia="宋体"/>
          <w:spacing w:val="-4"/>
          <w:kern w:val="0"/>
          <w:szCs w:val="21"/>
        </w:rPr>
        <w:t xml:space="preserve">     </w:t>
      </w:r>
    </w:p>
    <w:p>
      <w:pPr>
        <w:widowControl/>
        <w:autoSpaceDE w:val="0"/>
        <w:autoSpaceDN w:val="0"/>
        <w:spacing w:line="400" w:lineRule="exact"/>
        <w:ind w:firstLine="406" w:firstLineChars="200"/>
        <w:jc w:val="left"/>
        <w:rPr>
          <w:rFonts w:ascii="宋体" w:hAnsi="宋体" w:eastAsia="宋体"/>
          <w:b/>
          <w:bCs/>
          <w:color w:val="FF0000"/>
          <w:spacing w:val="-4"/>
          <w:kern w:val="0"/>
          <w:szCs w:val="21"/>
        </w:rPr>
      </w:pPr>
      <w:r>
        <w:rPr>
          <w:rFonts w:hint="eastAsia" w:ascii="宋体" w:hAnsi="宋体" w:eastAsia="宋体"/>
          <w:b/>
          <w:bCs/>
          <w:color w:val="FF0000"/>
          <w:spacing w:val="-4"/>
          <w:kern w:val="0"/>
          <w:szCs w:val="21"/>
        </w:rPr>
        <w:t>注：</w:t>
      </w:r>
    </w:p>
    <w:p>
      <w:pPr>
        <w:widowControl/>
        <w:autoSpaceDE w:val="0"/>
        <w:autoSpaceDN w:val="0"/>
        <w:spacing w:line="400" w:lineRule="exact"/>
        <w:ind w:firstLine="406" w:firstLineChars="200"/>
        <w:jc w:val="left"/>
        <w:rPr>
          <w:rFonts w:ascii="宋体" w:hAnsi="宋体" w:eastAsia="宋体"/>
          <w:b/>
          <w:bCs/>
          <w:color w:val="FF0000"/>
          <w:spacing w:val="-4"/>
          <w:kern w:val="0"/>
          <w:szCs w:val="21"/>
        </w:rPr>
      </w:pPr>
      <w:r>
        <w:rPr>
          <w:rFonts w:hint="eastAsia" w:ascii="宋体" w:hAnsi="宋体" w:eastAsia="宋体"/>
          <w:b/>
          <w:bCs/>
          <w:color w:val="FF0000"/>
          <w:spacing w:val="-4"/>
          <w:kern w:val="0"/>
          <w:szCs w:val="21"/>
        </w:rPr>
        <w:t>1.</w:t>
      </w:r>
      <w:r>
        <w:rPr>
          <w:rFonts w:hint="eastAsia"/>
        </w:rPr>
        <w:t xml:space="preserve"> </w:t>
      </w:r>
      <w:r>
        <w:rPr>
          <w:rFonts w:hint="eastAsia" w:ascii="宋体" w:hAnsi="宋体" w:eastAsia="宋体"/>
          <w:b/>
          <w:bCs/>
          <w:color w:val="FF0000"/>
          <w:spacing w:val="-4"/>
          <w:kern w:val="0"/>
          <w:szCs w:val="21"/>
        </w:rPr>
        <w:t>根据《深圳市财政局关于在采购文件及深圳政府采购智慧平台增设供应商投标特别警示条款等事宜的通知》（深财购〔202</w:t>
      </w:r>
      <w:r>
        <w:rPr>
          <w:rFonts w:hint="eastAsia" w:ascii="宋体" w:hAnsi="宋体" w:eastAsia="宋体"/>
          <w:b/>
          <w:bCs/>
          <w:color w:val="FF0000"/>
          <w:spacing w:val="-4"/>
          <w:kern w:val="0"/>
          <w:szCs w:val="21"/>
          <w:lang w:val="en-US" w:eastAsia="zh-CN"/>
        </w:rPr>
        <w:t>5</w:t>
      </w:r>
      <w:r>
        <w:rPr>
          <w:rFonts w:hint="eastAsia" w:ascii="宋体" w:hAnsi="宋体" w:eastAsia="宋体"/>
          <w:b/>
          <w:bCs/>
          <w:color w:val="FF0000"/>
          <w:spacing w:val="-4"/>
          <w:kern w:val="0"/>
          <w:szCs w:val="21"/>
        </w:rPr>
        <w:t>〕</w:t>
      </w:r>
      <w:r>
        <w:rPr>
          <w:rFonts w:hint="eastAsia" w:ascii="宋体" w:hAnsi="宋体" w:eastAsia="宋体"/>
          <w:b/>
          <w:bCs/>
          <w:color w:val="FF0000"/>
          <w:spacing w:val="-4"/>
          <w:kern w:val="0"/>
          <w:szCs w:val="21"/>
          <w:lang w:val="en-US" w:eastAsia="zh-CN"/>
        </w:rPr>
        <w:t>7</w:t>
      </w:r>
      <w:r>
        <w:rPr>
          <w:rFonts w:hint="eastAsia" w:ascii="宋体" w:hAnsi="宋体" w:eastAsia="宋体"/>
          <w:b/>
          <w:bCs/>
          <w:color w:val="FF0000"/>
          <w:spacing w:val="-4"/>
          <w:kern w:val="0"/>
          <w:szCs w:val="21"/>
        </w:rPr>
        <w:t xml:space="preserve">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宋体"/>
          <w:color w:val="FF0000"/>
          <w:spacing w:val="-4"/>
          <w:kern w:val="0"/>
          <w:szCs w:val="21"/>
        </w:rPr>
      </w:pPr>
      <w:r>
        <w:rPr>
          <w:rFonts w:hint="eastAsia" w:ascii="宋体" w:hAnsi="宋体" w:eastAsia="宋体"/>
          <w:b/>
          <w:bCs/>
          <w:color w:val="FF0000"/>
          <w:spacing w:val="-4"/>
          <w:kern w:val="0"/>
          <w:szCs w:val="21"/>
        </w:rPr>
        <w:t>2.</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eastAsia="宋体"/>
          <w:b/>
          <w:bCs/>
          <w:color w:val="FF0000"/>
          <w:spacing w:val="-4"/>
          <w:kern w:val="0"/>
          <w:szCs w:val="21"/>
        </w:rPr>
        <w:t>投标供应商负责人或投标授权代表签字</w:t>
      </w:r>
      <w:r>
        <w:rPr>
          <w:rFonts w:hint="eastAsia" w:ascii="宋体" w:hAnsi="宋体" w:eastAsia="宋体"/>
          <w:b/>
          <w:bCs/>
          <w:color w:val="FF0000"/>
          <w:spacing w:val="-4"/>
          <w:kern w:val="0"/>
          <w:szCs w:val="21"/>
          <w:highlight w:val="yellow"/>
        </w:rPr>
        <w:t>并加盖单位公章</w:t>
      </w:r>
      <w:r>
        <w:rPr>
          <w:rFonts w:hint="eastAsia" w:ascii="宋体" w:hAnsi="宋体" w:eastAsia="宋体"/>
          <w:b/>
          <w:bCs/>
          <w:color w:val="FF0000"/>
          <w:spacing w:val="-4"/>
          <w:kern w:val="0"/>
          <w:szCs w:val="21"/>
        </w:rPr>
        <w:t>后，扫描上传至投标文件一并提交。</w:t>
      </w:r>
    </w:p>
    <w:p>
      <w:pPr>
        <w:widowControl/>
        <w:autoSpaceDE w:val="0"/>
        <w:autoSpaceDN w:val="0"/>
        <w:spacing w:line="400" w:lineRule="exact"/>
        <w:ind w:right="1414" w:firstLine="480" w:firstLineChars="200"/>
        <w:jc w:val="right"/>
        <w:rPr>
          <w:rFonts w:eastAsia="宋体"/>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宋体"/>
          <w:b/>
          <w:bCs/>
          <w:color w:val="FF0000"/>
          <w:spacing w:val="-4"/>
          <w:kern w:val="0"/>
          <w:szCs w:val="21"/>
          <w:lang w:val="en-US" w:eastAsia="zh-CN"/>
        </w:rPr>
        <w:t>注：本项填写内容作为订单融资开展的参考信息，</w:t>
      </w:r>
      <w:r>
        <w:rPr>
          <w:rFonts w:hint="eastAsia" w:ascii="宋体" w:hAnsi="宋体" w:eastAsia="宋体"/>
          <w:b/>
          <w:bCs/>
          <w:color w:val="FF0000"/>
          <w:spacing w:val="-4"/>
          <w:kern w:val="0"/>
          <w:szCs w:val="21"/>
        </w:rPr>
        <w:t>不作为供应商资格性审查及符合性审查条件。</w:t>
      </w:r>
    </w:p>
    <w:p>
      <w:pPr>
        <w:widowControl/>
        <w:autoSpaceDE w:val="0"/>
        <w:autoSpaceDN w:val="0"/>
        <w:spacing w:line="400" w:lineRule="exact"/>
        <w:ind w:right="1414" w:firstLine="480" w:firstLineChars="200"/>
        <w:jc w:val="right"/>
        <w:rPr>
          <w:rFonts w:eastAsia="宋体"/>
          <w:kern w:val="0"/>
          <w:sz w:val="24"/>
        </w:rPr>
      </w:pPr>
    </w:p>
    <w:p>
      <w:pPr>
        <w:widowControl/>
        <w:autoSpaceDE w:val="0"/>
        <w:autoSpaceDN w:val="0"/>
        <w:spacing w:line="400" w:lineRule="exact"/>
        <w:ind w:right="1414" w:firstLine="480" w:firstLineChars="200"/>
        <w:jc w:val="right"/>
        <w:rPr>
          <w:rFonts w:eastAsia="宋体"/>
          <w:kern w:val="0"/>
          <w:sz w:val="24"/>
        </w:rPr>
      </w:pPr>
    </w:p>
    <w:p>
      <w:pPr>
        <w:ind w:firstLine="630" w:firstLineChars="300"/>
        <w:rPr>
          <w:rFonts w:ascii="宋体" w:hAnsi="宋体"/>
        </w:rPr>
      </w:pPr>
      <w:r>
        <w:t xml:space="preserve">  </w:t>
      </w:r>
      <w:r>
        <w:rPr>
          <w:rFonts w:hint="eastAsia" w:ascii="宋体" w:hAnsi="宋体"/>
        </w:rPr>
        <w:t>………………（根据项目具体情况增加与综合实力评审相关的节点）</w:t>
      </w:r>
    </w:p>
    <w:p>
      <w:pPr>
        <w:ind w:firstLine="720" w:firstLineChars="300"/>
        <w:rPr>
          <w:sz w:val="24"/>
        </w:rPr>
      </w:pPr>
    </w:p>
    <w:p>
      <w:pPr>
        <w:widowControl/>
        <w:spacing w:line="360" w:lineRule="auto"/>
        <w:jc w:val="left"/>
        <w:rPr>
          <w:rFonts w:eastAsia="宋体"/>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
      <w:pPr>
        <w:pStyle w:val="9"/>
        <w:sectPr>
          <w:pgSz w:w="11907" w:h="16840"/>
          <w:pgMar w:top="1440" w:right="1797" w:bottom="1440" w:left="1797" w:header="851" w:footer="992" w:gutter="0"/>
          <w:cols w:space="720" w:num="1"/>
          <w:titlePg/>
          <w:docGrid w:linePitch="462" w:charSpace="0"/>
        </w:sectPr>
      </w:pPr>
    </w:p>
    <w:p>
      <w:pPr>
        <w:pStyle w:val="9"/>
      </w:pPr>
    </w:p>
    <w:p>
      <w:pPr>
        <w:pStyle w:val="6"/>
      </w:pPr>
      <w:r>
        <w:rPr>
          <w:rFonts w:hint="eastAsia"/>
        </w:rPr>
        <w:t>第五章  合同条款及格式</w:t>
      </w:r>
    </w:p>
    <w:p>
      <w:pPr>
        <w:ind w:firstLine="411" w:firstLineChars="196"/>
      </w:pPr>
    </w:p>
    <w:p>
      <w:pPr>
        <w:jc w:val="center"/>
        <w:outlineLvl w:val="0"/>
      </w:pPr>
      <w:r>
        <w:rPr>
          <w:rFonts w:hint="eastAsia"/>
          <w:b/>
          <w:sz w:val="24"/>
        </w:rPr>
        <w:t>（仅供参考，具体以项目需求及采购结果为准）</w:t>
      </w:r>
    </w:p>
    <w:p>
      <w:pPr>
        <w:rPr>
          <w:rFonts w:ascii="宋体" w:hAnsi="宋体"/>
          <w:b/>
          <w:bCs/>
          <w:szCs w:val="21"/>
        </w:rPr>
      </w:pPr>
      <w:r>
        <w:rPr>
          <w:rFonts w:hint="eastAsia" w:ascii="宋体" w:hAnsi="宋体"/>
          <w:b/>
          <w:bCs/>
          <w:szCs w:val="21"/>
        </w:rPr>
        <w:t>甲方：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szCs w:val="21"/>
        </w:rPr>
      </w:pPr>
      <w:r>
        <w:rPr>
          <w:rFonts w:ascii="宋体" w:hAnsi="宋体"/>
          <w:b/>
          <w:bCs/>
          <w:szCs w:val="21"/>
        </w:rPr>
        <w:t xml:space="preserve">            </w:t>
      </w:r>
      <w:r>
        <w:rPr>
          <w:rFonts w:hint="eastAsia" w:ascii="宋体" w:hAnsi="宋体"/>
          <w:b/>
          <w:bCs/>
          <w:szCs w:val="21"/>
        </w:rPr>
        <w:t xml:space="preserve">          </w:t>
      </w:r>
    </w:p>
    <w:p>
      <w:pPr>
        <w:rPr>
          <w:rFonts w:ascii="宋体" w:hAnsi="宋体"/>
          <w:szCs w:val="21"/>
        </w:rPr>
      </w:pPr>
    </w:p>
    <w:p>
      <w:pPr>
        <w:ind w:firstLine="420" w:firstLineChars="200"/>
        <w:rPr>
          <w:rFonts w:ascii="宋体" w:hAnsi="宋体"/>
          <w:szCs w:val="21"/>
        </w:rPr>
      </w:pPr>
      <w:r>
        <w:rPr>
          <w:rFonts w:hint="eastAsia" w:ascii="宋体" w:hAnsi="宋体"/>
          <w:szCs w:val="21"/>
        </w:rPr>
        <w:t>根据深圳公共资源交易中心（深圳交易集团有限公司</w:t>
      </w:r>
      <w:r>
        <w:rPr>
          <w:rFonts w:hint="eastAsia" w:ascii="宋体" w:hAnsi="宋体"/>
          <w:szCs w:val="21"/>
          <w:lang w:val="en-US" w:eastAsia="zh-CN"/>
        </w:rPr>
        <w:t>福田</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8"/>
        <w:rPr>
          <w:rFonts w:ascii="宋体" w:hAnsi="宋体"/>
          <w:szCs w:val="21"/>
        </w:rPr>
      </w:pPr>
      <w:r>
        <w:rPr>
          <w:rFonts w:hint="eastAsia" w:ascii="宋体" w:hAnsi="宋体"/>
          <w:szCs w:val="21"/>
        </w:rPr>
        <w:t>支付方式：分期支付。</w:t>
      </w:r>
    </w:p>
    <w:p>
      <w:pPr>
        <w:ind w:firstLine="422"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2"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ascii="宋体" w:hAnsi="宋体"/>
          <w:szCs w:val="21"/>
        </w:rPr>
      </w:pPr>
      <w:r>
        <w:rPr>
          <w:rFonts w:hint="eastAsia" w:ascii="宋体" w:hAnsi="宋体"/>
          <w:szCs w:val="21"/>
        </w:rPr>
        <w:t>2、向乙方提供与本项目服务工作有关的资料。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2" w:firstLineChars="200"/>
        <w:rPr>
          <w:rFonts w:ascii="宋体" w:hAnsi="宋体"/>
          <w:b/>
          <w:bCs/>
          <w:szCs w:val="21"/>
        </w:rPr>
      </w:pPr>
      <w:r>
        <w:rPr>
          <w:rFonts w:hint="eastAsia" w:ascii="宋体" w:hAnsi="宋体"/>
          <w:b/>
          <w:bCs/>
          <w:szCs w:val="21"/>
        </w:rPr>
        <w:t>第六条　乙方的义务</w:t>
      </w:r>
    </w:p>
    <w:p>
      <w:pPr>
        <w:ind w:firstLine="420" w:firstLineChars="200"/>
        <w:rPr>
          <w:rFonts w:ascii="宋体" w:hAnsi="宋体"/>
          <w:szCs w:val="21"/>
        </w:rPr>
      </w:pPr>
      <w:r>
        <w:rPr>
          <w:rFonts w:hint="eastAsia" w:ascii="宋体" w:hAnsi="宋体"/>
          <w:szCs w:val="21"/>
        </w:rPr>
        <w:t>１、应按照招标文件、投标文件要求按期完成本项目服务工作。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ascii="宋体" w:hAnsi="宋体"/>
          <w:b/>
          <w:bCs/>
          <w:szCs w:val="21"/>
        </w:rPr>
      </w:pPr>
      <w:r>
        <w:rPr>
          <w:rFonts w:hint="eastAsia" w:ascii="宋体" w:hAnsi="宋体"/>
          <w:b/>
          <w:bCs/>
          <w:szCs w:val="21"/>
        </w:rPr>
        <w:t>第七条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rPr>
      </w:pPr>
      <w:r>
        <w:rPr>
          <w:rFonts w:hint="eastAsia" w:ascii="宋体" w:hAnsi="宋体"/>
          <w:b/>
          <w:bCs/>
          <w:szCs w:val="21"/>
        </w:rPr>
        <w:t>第八条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2" w:firstLineChars="200"/>
        <w:rPr>
          <w:rFonts w:ascii="宋体" w:hAnsi="宋体"/>
          <w:b/>
          <w:bCs/>
          <w:szCs w:val="21"/>
        </w:rPr>
      </w:pPr>
      <w:r>
        <w:rPr>
          <w:rFonts w:hint="eastAsia" w:ascii="宋体" w:hAnsi="宋体"/>
          <w:b/>
          <w:bCs/>
          <w:szCs w:val="21"/>
        </w:rPr>
        <w:t>第九条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ascii="宋体" w:hAnsi="宋体"/>
          <w:b/>
          <w:bCs/>
          <w:szCs w:val="21"/>
        </w:rPr>
      </w:pPr>
      <w:r>
        <w:rPr>
          <w:rFonts w:hint="eastAsia" w:ascii="宋体" w:hAnsi="宋体"/>
          <w:b/>
          <w:bCs/>
          <w:szCs w:val="21"/>
        </w:rPr>
        <w:t>第十条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ascii="宋体" w:hAnsi="宋体"/>
          <w:b/>
          <w:bCs/>
          <w:szCs w:val="21"/>
        </w:rPr>
      </w:pPr>
      <w:r>
        <w:rPr>
          <w:rFonts w:hint="eastAsia" w:ascii="宋体" w:hAnsi="宋体"/>
          <w:b/>
          <w:bCs/>
          <w:szCs w:val="21"/>
        </w:rPr>
        <w:t>第十一条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2" w:firstLineChars="200"/>
        <w:rPr>
          <w:rFonts w:ascii="宋体" w:hAnsi="宋体"/>
          <w:b/>
          <w:bCs/>
          <w:szCs w:val="21"/>
        </w:rPr>
      </w:pPr>
      <w:r>
        <w:rPr>
          <w:rFonts w:hint="eastAsia" w:ascii="宋体" w:hAnsi="宋体"/>
          <w:b/>
          <w:bCs/>
          <w:szCs w:val="21"/>
        </w:rPr>
        <w:t>第十二条  乙方服务工具要求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2" w:firstLineChars="200"/>
        <w:rPr>
          <w:rFonts w:ascii="宋体" w:hAnsi="宋体"/>
          <w:b/>
          <w:bCs/>
          <w:szCs w:val="21"/>
        </w:rPr>
      </w:pPr>
      <w:r>
        <w:rPr>
          <w:rFonts w:hint="eastAsia" w:ascii="宋体" w:hAnsi="宋体"/>
          <w:b/>
          <w:bCs/>
          <w:szCs w:val="21"/>
        </w:rPr>
        <w:t>第十三条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ascii="宋体" w:hAnsi="宋体"/>
          <w:b/>
          <w:bCs/>
          <w:szCs w:val="21"/>
        </w:rPr>
      </w:pPr>
      <w:r>
        <w:rPr>
          <w:rFonts w:hint="eastAsia" w:ascii="宋体" w:hAnsi="宋体"/>
          <w:b/>
          <w:bCs/>
          <w:szCs w:val="21"/>
        </w:rPr>
        <w:t xml:space="preserve">第十四条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3、验收依据为招标文件、投标文件，国家和行业有关规范、规程和标准。</w:t>
      </w:r>
    </w:p>
    <w:p>
      <w:pPr>
        <w:ind w:firstLine="422" w:firstLineChars="200"/>
        <w:rPr>
          <w:rFonts w:ascii="宋体" w:hAnsi="宋体"/>
          <w:b/>
          <w:bCs/>
          <w:szCs w:val="21"/>
        </w:rPr>
      </w:pPr>
      <w:r>
        <w:rPr>
          <w:rFonts w:hint="eastAsia" w:ascii="宋体" w:hAnsi="宋体"/>
          <w:b/>
          <w:bCs/>
          <w:szCs w:val="21"/>
        </w:rPr>
        <w:t>第十五条  付款方式</w:t>
      </w:r>
    </w:p>
    <w:p>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ascii="宋体" w:hAnsi="宋体"/>
          <w:szCs w:val="21"/>
        </w:rPr>
      </w:pPr>
      <w:r>
        <w:rPr>
          <w:rFonts w:hint="eastAsia" w:ascii="宋体" w:hAnsi="宋体"/>
          <w:szCs w:val="21"/>
        </w:rPr>
        <w:t>3、报告通过专家评审后，甲方向乙方支付合同总价%的款项。</w:t>
      </w:r>
    </w:p>
    <w:p>
      <w:pPr>
        <w:ind w:firstLine="422" w:firstLineChars="200"/>
        <w:rPr>
          <w:rFonts w:ascii="宋体" w:hAnsi="宋体"/>
          <w:b/>
          <w:bCs/>
          <w:szCs w:val="21"/>
        </w:rPr>
      </w:pPr>
      <w:r>
        <w:rPr>
          <w:rFonts w:hint="eastAsia" w:ascii="宋体" w:hAnsi="宋体"/>
          <w:b/>
          <w:bCs/>
          <w:szCs w:val="21"/>
        </w:rPr>
        <w:t>第十六条  争议解决办法</w:t>
      </w:r>
    </w:p>
    <w:p>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2" w:firstLineChars="200"/>
        <w:rPr>
          <w:rFonts w:ascii="宋体" w:hAnsi="宋体"/>
          <w:b/>
          <w:bCs/>
          <w:szCs w:val="21"/>
        </w:rPr>
      </w:pPr>
      <w:r>
        <w:rPr>
          <w:rFonts w:hint="eastAsia" w:ascii="宋体" w:hAnsi="宋体"/>
          <w:b/>
          <w:bCs/>
          <w:szCs w:val="21"/>
        </w:rPr>
        <w:t>第十七条  风险责任</w:t>
      </w:r>
    </w:p>
    <w:p>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2" w:firstLineChars="200"/>
        <w:rPr>
          <w:rFonts w:ascii="宋体" w:hAnsi="宋体"/>
          <w:b/>
          <w:bCs/>
          <w:szCs w:val="21"/>
        </w:rPr>
      </w:pPr>
      <w:r>
        <w:rPr>
          <w:rFonts w:hint="eastAsia" w:ascii="宋体" w:hAnsi="宋体"/>
          <w:b/>
          <w:bCs/>
          <w:szCs w:val="21"/>
        </w:rPr>
        <w:t>第十八条  违约责任</w:t>
      </w:r>
    </w:p>
    <w:p>
      <w:pPr>
        <w:pStyle w:val="21"/>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rPr>
      </w:pPr>
      <w:r>
        <w:rPr>
          <w:rFonts w:hint="eastAsia" w:ascii="宋体" w:hAnsi="宋体"/>
          <w:b/>
          <w:bCs/>
          <w:szCs w:val="21"/>
        </w:rPr>
        <w:t>第十九条  其他</w:t>
      </w:r>
    </w:p>
    <w:p>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hint="eastAsia" w:ascii="宋体" w:hAnsi="宋体"/>
          <w:szCs w:val="21"/>
        </w:rPr>
      </w:pPr>
      <w:r>
        <w:rPr>
          <w:rFonts w:hint="eastAsia" w:ascii="宋体" w:hAnsi="宋体"/>
          <w:szCs w:val="21"/>
        </w:rPr>
        <w:t>（1）政府采购合同协议书及其变更、补充协议</w:t>
      </w:r>
    </w:p>
    <w:p>
      <w:pPr>
        <w:ind w:firstLine="420" w:firstLineChars="200"/>
        <w:rPr>
          <w:rFonts w:hint="eastAsia" w:ascii="宋体" w:hAnsi="宋体"/>
          <w:szCs w:val="21"/>
        </w:rPr>
      </w:pPr>
      <w:r>
        <w:rPr>
          <w:rFonts w:hint="eastAsia" w:ascii="宋体" w:hAnsi="宋体"/>
          <w:szCs w:val="21"/>
        </w:rPr>
        <w:t>（2）政府采购合同专用条款</w:t>
      </w:r>
    </w:p>
    <w:p>
      <w:pPr>
        <w:ind w:firstLine="420" w:firstLineChars="200"/>
        <w:rPr>
          <w:rFonts w:hint="eastAsia" w:ascii="宋体" w:hAnsi="宋体"/>
          <w:szCs w:val="21"/>
        </w:rPr>
      </w:pPr>
      <w:r>
        <w:rPr>
          <w:rFonts w:hint="eastAsia" w:ascii="宋体" w:hAnsi="宋体"/>
          <w:szCs w:val="21"/>
        </w:rPr>
        <w:t>（3）政府采购合同通用条款</w:t>
      </w:r>
    </w:p>
    <w:p>
      <w:pPr>
        <w:ind w:firstLine="420" w:firstLineChars="200"/>
        <w:rPr>
          <w:rFonts w:hint="eastAsia" w:ascii="宋体" w:hAnsi="宋体"/>
          <w:szCs w:val="21"/>
        </w:rPr>
      </w:pPr>
      <w:r>
        <w:rPr>
          <w:rFonts w:hint="eastAsia" w:ascii="宋体" w:hAnsi="宋体"/>
          <w:szCs w:val="21"/>
        </w:rPr>
        <w:t>（4）中标（成交）通知书</w:t>
      </w:r>
    </w:p>
    <w:p>
      <w:pPr>
        <w:ind w:firstLine="420" w:firstLineChars="200"/>
        <w:rPr>
          <w:rFonts w:hint="eastAsia" w:ascii="宋体" w:hAnsi="宋体"/>
          <w:szCs w:val="21"/>
        </w:rPr>
      </w:pPr>
      <w:r>
        <w:rPr>
          <w:rFonts w:hint="eastAsia" w:ascii="宋体" w:hAnsi="宋体"/>
          <w:szCs w:val="21"/>
        </w:rPr>
        <w:t>（5）投标（响应）文件</w:t>
      </w:r>
    </w:p>
    <w:p>
      <w:pPr>
        <w:ind w:firstLine="420" w:firstLineChars="200"/>
        <w:rPr>
          <w:rFonts w:hint="eastAsia" w:ascii="宋体" w:hAnsi="宋体"/>
          <w:szCs w:val="21"/>
        </w:rPr>
      </w:pPr>
      <w:r>
        <w:rPr>
          <w:rFonts w:hint="eastAsia" w:ascii="宋体" w:hAnsi="宋体"/>
          <w:szCs w:val="21"/>
        </w:rPr>
        <w:t>（6）采购文件</w:t>
      </w:r>
    </w:p>
    <w:p>
      <w:pPr>
        <w:ind w:firstLine="420" w:firstLineChars="200"/>
        <w:rPr>
          <w:rFonts w:hint="eastAsia" w:ascii="宋体" w:hAnsi="宋体"/>
          <w:szCs w:val="21"/>
        </w:rPr>
      </w:pPr>
      <w:r>
        <w:rPr>
          <w:rFonts w:hint="eastAsia" w:ascii="宋体" w:hAnsi="宋体"/>
          <w:szCs w:val="21"/>
        </w:rPr>
        <w:t>（7）有关技术文件，图纸</w:t>
      </w:r>
    </w:p>
    <w:p>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420" w:firstLineChars="200"/>
        <w:rPr>
          <w:rFonts w:ascii="宋体" w:hAnsi="宋体"/>
          <w:szCs w:val="21"/>
        </w:rPr>
      </w:pPr>
      <w:r>
        <w:rPr>
          <w:rFonts w:hint="eastAsia" w:ascii="宋体" w:hAnsi="宋体"/>
          <w:szCs w:val="21"/>
        </w:rPr>
        <w:t>日期：   年     月    日         日期：   年     月    日</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widowControl/>
        <w:jc w:val="left"/>
        <w:rPr>
          <w:rFonts w:ascii="宋体" w:hAnsi="宋体"/>
          <w:szCs w:val="21"/>
        </w:rPr>
      </w:pPr>
      <w:r>
        <w:rPr>
          <w:rFonts w:ascii="宋体" w:hAnsi="宋体"/>
          <w:szCs w:val="21"/>
        </w:rPr>
        <w:br w:type="page"/>
      </w:r>
    </w:p>
    <w:p>
      <w:pPr>
        <w:pStyle w:val="6"/>
        <w:spacing w:before="120" w:beforeLines="50" w:after="120" w:afterLines="50"/>
        <w:ind w:left="562"/>
        <w:rPr>
          <w:sz w:val="28"/>
          <w:szCs w:val="28"/>
        </w:rPr>
      </w:pPr>
      <w:r>
        <w:rPr>
          <w:rFonts w:hint="eastAsia"/>
          <w:sz w:val="28"/>
          <w:szCs w:val="28"/>
        </w:rPr>
        <w:t>第二册  通用条款（公开招标）</w:t>
      </w:r>
    </w:p>
    <w:p>
      <w:pPr>
        <w:pStyle w:val="6"/>
        <w:numPr>
          <w:ilvl w:val="0"/>
          <w:numId w:val="14"/>
        </w:numPr>
        <w:spacing w:before="120" w:beforeLines="50" w:after="120" w:afterLines="50"/>
        <w:ind w:left="562" w:hanging="562"/>
        <w:rPr>
          <w:sz w:val="28"/>
          <w:szCs w:val="28"/>
        </w:rPr>
      </w:pPr>
      <w:bookmarkStart w:id="74" w:name="_Hlk72399513"/>
      <w:r>
        <w:rPr>
          <w:rFonts w:hint="eastAsia"/>
          <w:sz w:val="28"/>
          <w:szCs w:val="28"/>
        </w:rPr>
        <w:t>总则</w:t>
      </w:r>
    </w:p>
    <w:bookmarkEnd w:id="74"/>
    <w:p>
      <w:pPr>
        <w:rPr>
          <w:rFonts w:ascii="黑体" w:hAnsi="宋体" w:eastAsia="黑体"/>
          <w:sz w:val="24"/>
        </w:rPr>
      </w:pPr>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75" w:name="_Hlk72399729"/>
      <w:r>
        <w:rPr>
          <w:rFonts w:hint="eastAsia" w:ascii="宋体" w:hAnsi="宋体"/>
          <w:szCs w:val="21"/>
        </w:rPr>
        <w:t>如有需要，政府集中采购机构可以对通用条款的内容进行补充。</w:t>
      </w:r>
      <w:bookmarkEnd w:id="75"/>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b/>
          <w:bCs/>
          <w:color w:val="FF0000"/>
          <w:szCs w:val="21"/>
        </w:rPr>
        <w:t>深圳公共资源交易中心（深圳交易集团有限公司</w:t>
      </w:r>
      <w:r>
        <w:rPr>
          <w:rFonts w:hint="eastAsia"/>
          <w:b/>
          <w:bCs/>
          <w:color w:val="FF0000"/>
          <w:szCs w:val="21"/>
        </w:rPr>
        <w:t>福田</w:t>
      </w:r>
      <w:r>
        <w:rPr>
          <w:b/>
          <w:bCs/>
          <w:color w:val="FF0000"/>
          <w:szCs w:val="21"/>
        </w:rPr>
        <w:t>分公司）</w:t>
      </w:r>
      <w:r>
        <w:rPr>
          <w:rFonts w:ascii="Times New Roman" w:hAnsi="Times New Roman" w:eastAsia="宋体" w:cs="Times New Roman"/>
          <w:b/>
          <w:bCs/>
          <w:szCs w:val="21"/>
        </w:rPr>
        <w:t>网站提供的</w:t>
      </w:r>
      <w:r>
        <w:rPr>
          <w:rFonts w:hint="eastAsia" w:ascii="Times New Roman" w:hAnsi="Times New Roman" w:eastAsia="宋体" w:cs="Times New Roman"/>
          <w:b/>
          <w:bCs/>
          <w:szCs w:val="24"/>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rPr>
        <w:t>https://www.szggzy.com/jyfw/details.html?contentId=2053275</w:t>
      </w:r>
      <w:r>
        <w:rPr>
          <w:rFonts w:hint="eastAsia" w:ascii="Times New Roman" w:hAnsi="Times New Roman" w:eastAsia="宋体" w:cs="Times New Roman"/>
          <w:b/>
          <w:bCs/>
          <w:szCs w:val="24"/>
        </w:rPr>
        <w:t>深圳市自行采购系统投标文件编制工具”下载）</w:t>
      </w:r>
      <w:r>
        <w:rPr>
          <w:rFonts w:ascii="Times New Roman" w:hAnsi="Times New Roman" w:eastAsia="宋体" w:cs="Times New Roman"/>
          <w:b/>
          <w:bCs/>
          <w:szCs w:val="21"/>
        </w:rPr>
        <w:t>；</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福田</w:t>
      </w:r>
      <w:r>
        <w:rPr>
          <w:rFonts w:hint="eastAsia" w:ascii="宋体" w:hAnsi="宋体"/>
          <w:b/>
          <w:bCs/>
          <w:color w:val="FF0000"/>
          <w:szCs w:val="21"/>
        </w:rPr>
        <w:t>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76"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hint="default" w:eastAsia="宋体"/>
          <w:lang w:val="en-US" w:eastAsia="zh-CN"/>
        </w:rPr>
      </w:pPr>
      <w:r>
        <w:rPr>
          <w:rFonts w:hint="eastAsia" w:ascii="宋体" w:hAnsi="宋体"/>
          <w:lang w:val="en-US" w:eastAsia="zh-CN"/>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7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7"/>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76"/>
    <w:p>
      <w:pPr>
        <w:ind w:firstLine="411" w:firstLineChars="196"/>
        <w:rPr>
          <w:rFonts w:ascii="宋体" w:hAnsi="宋体"/>
        </w:rPr>
      </w:pPr>
    </w:p>
    <w:p>
      <w:pPr>
        <w:pStyle w:val="6"/>
        <w:numPr>
          <w:ilvl w:val="0"/>
          <w:numId w:val="14"/>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78"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9"/>
        <w:ind w:firstLine="420" w:firstLineChars="200"/>
      </w:pPr>
      <w:r>
        <w:rPr>
          <w:rFonts w:hint="eastAsia" w:ascii="宋体" w:hAnsi="宋体" w:eastAsia="宋体" w:cs="Times New Roman"/>
          <w:b w:val="0"/>
          <w:bCs w:val="0"/>
          <w:kern w:val="2"/>
          <w:sz w:val="21"/>
          <w:szCs w:val="24"/>
          <w:lang w:val="en-US" w:eastAsia="zh-CN" w:bidi="ar-SA"/>
        </w:rPr>
        <w:t>11.4</w:t>
      </w:r>
      <w:r>
        <w:rPr>
          <w:rFonts w:hint="eastAsia" w:ascii="宋体" w:hAnsi="宋体" w:cs="Times New Roman"/>
          <w:b w:val="0"/>
          <w:bCs w:val="0"/>
          <w:kern w:val="2"/>
          <w:sz w:val="21"/>
          <w:szCs w:val="24"/>
          <w:lang w:val="en-US" w:eastAsia="zh-CN" w:bidi="ar-SA"/>
        </w:rPr>
        <w:t>招标文件所称“原件</w:t>
      </w:r>
      <w:r>
        <w:rPr>
          <w:rFonts w:hint="eastAsia" w:ascii="宋体" w:hAnsi="宋体" w:eastAsia="宋体" w:cs="Times New Roman"/>
          <w:b w:val="0"/>
          <w:bCs w:val="0"/>
          <w:kern w:val="2"/>
          <w:sz w:val="21"/>
          <w:szCs w:val="24"/>
          <w:lang w:val="en-US" w:eastAsia="zh-CN" w:bidi="ar-SA"/>
        </w:rPr>
        <w:t>备查</w:t>
      </w:r>
      <w:r>
        <w:rPr>
          <w:rFonts w:hint="eastAsia" w:ascii="宋体" w:hAnsi="宋体" w:cs="Times New Roman"/>
          <w:b w:val="0"/>
          <w:bCs w:val="0"/>
          <w:kern w:val="2"/>
          <w:sz w:val="21"/>
          <w:szCs w:val="24"/>
          <w:lang w:val="en-US" w:eastAsia="zh-CN" w:bidi="ar-SA"/>
        </w:rPr>
        <w:t>”，</w:t>
      </w:r>
      <w:r>
        <w:rPr>
          <w:rFonts w:hint="eastAsia" w:ascii="宋体" w:hAnsi="宋体" w:eastAsia="宋体" w:cs="Times New Roman"/>
          <w:b w:val="0"/>
          <w:bCs w:val="0"/>
          <w:kern w:val="2"/>
          <w:sz w:val="21"/>
          <w:szCs w:val="24"/>
          <w:lang w:val="en-US" w:eastAsia="zh-CN" w:bidi="ar-SA"/>
        </w:rPr>
        <w:t>是指在项目产生质疑、投诉等阶段，主管部门、采购人、代理机构、评审委员会等可以要求供应商提供原件进行核查。</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8"/>
    </w:p>
    <w:p>
      <w:pPr>
        <w:rPr>
          <w:rFonts w:ascii="宋体" w:hAnsi="宋体"/>
          <w:szCs w:val="21"/>
        </w:rPr>
      </w:pPr>
    </w:p>
    <w:p>
      <w:pPr>
        <w:pStyle w:val="6"/>
        <w:numPr>
          <w:ilvl w:val="0"/>
          <w:numId w:val="14"/>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79"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79"/>
    <w:p>
      <w:pPr>
        <w:rPr>
          <w:rFonts w:ascii="黑体" w:hAnsi="宋体" w:eastAsia="黑体"/>
          <w:sz w:val="24"/>
        </w:rPr>
      </w:pPr>
      <w:r>
        <w:rPr>
          <w:rFonts w:hint="eastAsia" w:ascii="黑体" w:hAnsi="宋体" w:eastAsia="黑体"/>
          <w:sz w:val="24"/>
        </w:rPr>
        <w:t>15．</w:t>
      </w:r>
      <w:bookmarkStart w:id="80"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80"/>
    <w:p>
      <w:pPr>
        <w:rPr>
          <w:rFonts w:ascii="黑体" w:hAnsi="宋体" w:eastAsia="黑体"/>
          <w:sz w:val="24"/>
        </w:rPr>
      </w:pPr>
      <w:r>
        <w:rPr>
          <w:rFonts w:hint="eastAsia" w:ascii="黑体" w:hAnsi="宋体" w:eastAsia="黑体"/>
          <w:sz w:val="24"/>
        </w:rPr>
        <w:t>18．</w:t>
      </w:r>
      <w:bookmarkStart w:id="81"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81"/>
    <w:p>
      <w:pPr>
        <w:rPr>
          <w:rFonts w:ascii="黑体" w:hAnsi="宋体" w:eastAsia="黑体"/>
          <w:sz w:val="24"/>
        </w:rPr>
      </w:pPr>
      <w:r>
        <w:rPr>
          <w:rFonts w:hint="eastAsia" w:ascii="黑体" w:hAnsi="宋体" w:eastAsia="黑体"/>
          <w:sz w:val="24"/>
        </w:rPr>
        <w:t>19．</w:t>
      </w:r>
      <w:bookmarkStart w:id="82"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83"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83"/>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82"/>
    <w:p>
      <w:pPr>
        <w:ind w:firstLine="411" w:firstLineChars="196"/>
        <w:rPr>
          <w:rFonts w:ascii="宋体" w:hAnsi="宋体"/>
          <w:szCs w:val="21"/>
        </w:rPr>
      </w:pPr>
      <w:bookmarkStart w:id="8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84"/>
    <w:p>
      <w:pPr>
        <w:rPr>
          <w:rFonts w:ascii="黑体" w:hAnsi="宋体" w:eastAsia="黑体"/>
          <w:sz w:val="24"/>
        </w:rPr>
      </w:pPr>
      <w:r>
        <w:rPr>
          <w:rFonts w:hint="eastAsia" w:ascii="黑体" w:hAnsi="宋体" w:eastAsia="黑体"/>
          <w:sz w:val="24"/>
        </w:rPr>
        <w:t>21．</w:t>
      </w:r>
      <w:bookmarkStart w:id="85"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5"/>
    <w:p>
      <w:pPr>
        <w:rPr>
          <w:rFonts w:ascii="黑体" w:hAnsi="宋体" w:eastAsia="黑体"/>
          <w:sz w:val="24"/>
        </w:rPr>
      </w:pPr>
      <w:r>
        <w:rPr>
          <w:rFonts w:hint="eastAsia" w:ascii="黑体" w:hAnsi="宋体" w:eastAsia="黑体"/>
          <w:sz w:val="24"/>
        </w:rPr>
        <w:t>23．</w:t>
      </w:r>
      <w:bookmarkStart w:id="8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w:t>
      </w:r>
      <w:r>
        <w:rPr>
          <w:rFonts w:ascii="宋体" w:hAnsi="宋体" w:eastAsia="宋体" w:cs="宋体"/>
          <w:sz w:val="24"/>
          <w:szCs w:val="24"/>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23.2.5完整填写“投标关键信息”</w:t>
      </w:r>
      <w:r>
        <w:rPr>
          <w:rFonts w:hint="eastAsia" w:ascii="宋体" w:hAnsi="宋体"/>
          <w:lang w:eastAsia="zh-CN"/>
        </w:rPr>
        <w:t>。</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86"/>
    </w:p>
    <w:p>
      <w:pPr>
        <w:ind w:firstLine="411" w:firstLineChars="196"/>
        <w:rPr>
          <w:rFonts w:ascii="宋体" w:hAnsi="宋体"/>
          <w:szCs w:val="21"/>
        </w:rPr>
      </w:pPr>
    </w:p>
    <w:p>
      <w:pPr>
        <w:pStyle w:val="6"/>
        <w:numPr>
          <w:ilvl w:val="0"/>
          <w:numId w:val="14"/>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87" w:name="_Hlk72405459"/>
      <w:r>
        <w:rPr>
          <w:rFonts w:hint="eastAsia" w:ascii="黑体" w:hAnsi="宋体" w:eastAsia="黑体"/>
          <w:sz w:val="24"/>
        </w:rPr>
        <w:t>24．投标文件的保密</w:t>
      </w:r>
    </w:p>
    <w:p>
      <w:pPr>
        <w:spacing w:line="276" w:lineRule="auto"/>
        <w:ind w:firstLine="422" w:firstLineChars="200"/>
        <w:rPr>
          <w:rFonts w:hint="eastAsia"/>
          <w:b/>
          <w:bCs/>
        </w:rPr>
      </w:pPr>
      <w:r>
        <w:rPr>
          <w:rFonts w:hint="eastAsia"/>
          <w:b/>
          <w:bCs/>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spacing w:line="276" w:lineRule="auto"/>
        <w:ind w:firstLine="422" w:firstLineChars="200"/>
        <w:rPr>
          <w:b/>
        </w:rPr>
      </w:pPr>
      <w:r>
        <w:rPr>
          <w:b/>
        </w:rPr>
        <w:t>24.2若采购项目出现延期情况：</w:t>
      </w:r>
    </w:p>
    <w:p>
      <w:pPr>
        <w:spacing w:line="276" w:lineRule="auto"/>
        <w:ind w:firstLine="422" w:firstLineChars="200"/>
        <w:rPr>
          <w:rFonts w:ascii="Times New Roman" w:hAnsi="Times New Roman" w:eastAsia="黑体" w:cs="Times New Roman"/>
          <w:b/>
          <w:sz w:val="24"/>
          <w:szCs w:val="24"/>
        </w:rPr>
      </w:pPr>
      <w:r>
        <w:rPr>
          <w:rFonts w:ascii="Times New Roman" w:hAnsi="Times New Roman" w:eastAsia="宋体" w:cs="Times New Roman"/>
          <w:b/>
          <w:szCs w:val="24"/>
        </w:rPr>
        <w:t>如果供下载的招标文件有更新，投标人必须重新下载招标文件、重新制作投标文件、重新加密投标文件、重新上传投标文件。</w:t>
      </w:r>
    </w:p>
    <w:p>
      <w:pPr>
        <w:spacing w:line="276" w:lineRule="auto"/>
        <w:rPr>
          <w:rFonts w:eastAsia="黑体"/>
          <w:sz w:val="24"/>
        </w:rPr>
      </w:pPr>
      <w:r>
        <w:rPr>
          <w:rFonts w:eastAsia="黑体"/>
          <w:sz w:val="24"/>
        </w:rPr>
        <w:t>25．上传投标文件及投标截止日期</w:t>
      </w:r>
    </w:p>
    <w:p>
      <w:pPr>
        <w:ind w:firstLine="411" w:firstLineChars="196"/>
        <w:rPr>
          <w:rFonts w:hint="eastAsia" w:ascii="宋体" w:hAnsi="宋体"/>
        </w:rPr>
      </w:pPr>
      <w:r>
        <w:t>25.1</w:t>
      </w:r>
      <w:r>
        <w:rPr>
          <w:b/>
          <w:bCs/>
        </w:rPr>
        <w:t>实行网上投标，</w:t>
      </w:r>
      <w:r>
        <w:rPr>
          <w:rFonts w:hint="eastAsia"/>
          <w:b/>
          <w:bCs/>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p>
    <w:bookmarkEnd w:id="87"/>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8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88"/>
    <w:p>
      <w:pPr>
        <w:pStyle w:val="6"/>
        <w:numPr>
          <w:ilvl w:val="0"/>
          <w:numId w:val="14"/>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15" w:firstLineChars="150"/>
        <w:rPr>
          <w:rFonts w:hint="eastAsia" w:ascii="宋体" w:hAnsi="宋体"/>
          <w:szCs w:val="21"/>
        </w:rPr>
      </w:pPr>
      <w:r>
        <w:rPr>
          <w:szCs w:val="21"/>
        </w:rPr>
        <w:t>28.1</w:t>
      </w:r>
      <w:r>
        <w:rPr>
          <w:rFonts w:hint="eastAsia"/>
          <w:b/>
          <w:bCs/>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ind w:firstLine="315" w:firstLineChars="150"/>
        <w:rPr>
          <w:rFonts w:ascii="宋体" w:hAnsi="宋体"/>
          <w:szCs w:val="21"/>
        </w:rPr>
      </w:pPr>
      <w:r>
        <w:rPr>
          <w:rFonts w:hint="eastAsia" w:ascii="宋体" w:hAnsi="宋体"/>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6"/>
        <w:numPr>
          <w:ilvl w:val="0"/>
          <w:numId w:val="14"/>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8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8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pStyle w:val="9"/>
        <w:ind w:firstLine="422" w:firstLineChars="200"/>
      </w:pPr>
      <w:r>
        <w:rPr>
          <w:rFonts w:hint="eastAsia" w:ascii="宋体" w:hAnsi="宋体" w:eastAsia="宋体" w:cs="Times New Roman"/>
          <w:b/>
          <w:bCs/>
          <w:color w:val="FF0000"/>
          <w:kern w:val="2"/>
          <w:sz w:val="21"/>
          <w:szCs w:val="24"/>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6"/>
        <w:numPr>
          <w:ilvl w:val="0"/>
          <w:numId w:val="14"/>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9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90"/>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91" w:name="_Toc73517673"/>
      <w:bookmarkStart w:id="92" w:name="_Toc73521581"/>
      <w:bookmarkStart w:id="93" w:name="_Toc73518151"/>
      <w:bookmarkStart w:id="94" w:name="_Toc73521669"/>
      <w:bookmarkStart w:id="95" w:name="_Toc100052400"/>
      <w:r>
        <w:rPr>
          <w:rFonts w:hint="eastAsia" w:ascii="黑体" w:hAnsi="宋体" w:eastAsia="黑体"/>
          <w:sz w:val="24"/>
        </w:rPr>
        <w:t>34．错误的修正</w:t>
      </w:r>
      <w:bookmarkEnd w:id="91"/>
      <w:bookmarkEnd w:id="92"/>
      <w:bookmarkEnd w:id="93"/>
      <w:bookmarkEnd w:id="94"/>
      <w:bookmarkEnd w:id="95"/>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w:t>
      </w:r>
    </w:p>
    <w:p>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ascii="ˎ̥" w:hAnsi="ˎ̥"/>
        </w:rPr>
      </w:pPr>
      <w:bookmarkStart w:id="96"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96"/>
    </w:p>
    <w:p>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6"/>
        <w:numPr>
          <w:ilvl w:val="0"/>
          <w:numId w:val="14"/>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9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9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97"/>
      <w:bookmarkEnd w:id="98"/>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9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99"/>
      <w:bookmarkStart w:id="10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100"/>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b/>
          <w:bCs/>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1"/>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102" w:name="_Hlk71407340"/>
      <w:r>
        <w:rPr>
          <w:rFonts w:hint="eastAsia" w:ascii="宋体" w:hAnsi="宋体"/>
          <w:szCs w:val="21"/>
        </w:rPr>
        <w:t>41.3因质疑投诉或其它原因导致项目结果变更或采购终止的，政府集中采购机构有权吊销中标通知书。</w:t>
      </w:r>
    </w:p>
    <w:bookmarkEnd w:id="102"/>
    <w:p>
      <w:pPr>
        <w:ind w:firstLine="411" w:firstLineChars="196"/>
        <w:rPr>
          <w:rFonts w:ascii="宋体" w:hAnsi="宋体"/>
          <w:szCs w:val="21"/>
        </w:rPr>
      </w:pPr>
    </w:p>
    <w:p>
      <w:pPr>
        <w:pStyle w:val="6"/>
        <w:numPr>
          <w:ilvl w:val="0"/>
          <w:numId w:val="14"/>
        </w:numPr>
        <w:spacing w:before="120" w:beforeLines="50" w:after="120" w:afterLines="50"/>
        <w:ind w:left="562" w:hanging="562"/>
        <w:rPr>
          <w:sz w:val="28"/>
          <w:szCs w:val="28"/>
        </w:rPr>
      </w:pP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ascii="黑体" w:hAnsi="宋体" w:eastAsia="黑体"/>
          <w:sz w:val="24"/>
        </w:rPr>
      </w:pPr>
    </w:p>
    <w:p>
      <w:pPr>
        <w:pStyle w:val="6"/>
        <w:numPr>
          <w:ilvl w:val="0"/>
          <w:numId w:val="14"/>
        </w:numPr>
        <w:spacing w:before="120" w:beforeLines="50" w:after="120" w:afterLines="50"/>
        <w:ind w:left="562" w:hanging="562"/>
        <w:rPr>
          <w:sz w:val="28"/>
          <w:szCs w:val="28"/>
        </w:rPr>
      </w:pPr>
      <w:bookmarkStart w:id="103" w:name="_Hlk72439043"/>
      <w:r>
        <w:rPr>
          <w:rFonts w:hint="eastAsia"/>
          <w:sz w:val="28"/>
          <w:szCs w:val="28"/>
        </w:rPr>
        <w:t>合同的授予与备案</w:t>
      </w:r>
      <w:bookmarkEnd w:id="103"/>
    </w:p>
    <w:p>
      <w:pPr>
        <w:rPr>
          <w:rFonts w:ascii="黑体" w:hAnsi="宋体" w:eastAsia="黑体"/>
          <w:sz w:val="24"/>
        </w:rPr>
      </w:pPr>
      <w:bookmarkStart w:id="104" w:name="_Toc73521586"/>
      <w:bookmarkStart w:id="105" w:name="_Toc100052408"/>
      <w:bookmarkStart w:id="106" w:name="_Toc73517679"/>
      <w:bookmarkStart w:id="107" w:name="_Toc73521674"/>
      <w:bookmarkStart w:id="108" w:name="_Toc73518157"/>
      <w:bookmarkStart w:id="109" w:name="_Hlk72439088"/>
      <w:r>
        <w:rPr>
          <w:rFonts w:hint="eastAsia" w:ascii="黑体" w:hAnsi="宋体" w:eastAsia="黑体"/>
          <w:sz w:val="24"/>
        </w:rPr>
        <w:t>43．合同授予标准</w:t>
      </w:r>
      <w:bookmarkEnd w:id="104"/>
      <w:bookmarkEnd w:id="105"/>
      <w:bookmarkEnd w:id="106"/>
      <w:bookmarkEnd w:id="107"/>
      <w:bookmarkEnd w:id="108"/>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110" w:name="_Toc73521587"/>
      <w:bookmarkStart w:id="111" w:name="_Toc100052409"/>
      <w:bookmarkStart w:id="112" w:name="_Toc73518158"/>
      <w:bookmarkStart w:id="113" w:name="_Toc73521675"/>
      <w:bookmarkStart w:id="114" w:name="_Toc73517680"/>
      <w:r>
        <w:rPr>
          <w:rFonts w:hint="eastAsia" w:ascii="黑体" w:hAnsi="宋体" w:eastAsia="黑体"/>
          <w:sz w:val="24"/>
        </w:rPr>
        <w:t>44．</w:t>
      </w:r>
      <w:bookmarkEnd w:id="110"/>
      <w:bookmarkEnd w:id="111"/>
      <w:bookmarkEnd w:id="112"/>
      <w:bookmarkEnd w:id="113"/>
      <w:bookmarkEnd w:id="114"/>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115" w:name="_Toc73517682"/>
      <w:bookmarkStart w:id="116" w:name="_Toc73518160"/>
      <w:bookmarkStart w:id="117" w:name="_Toc73521589"/>
      <w:bookmarkStart w:id="118" w:name="_Toc73521677"/>
      <w:bookmarkStart w:id="119" w:name="_Toc100052410"/>
      <w:r>
        <w:rPr>
          <w:rFonts w:hint="eastAsia" w:ascii="黑体" w:hAnsi="宋体" w:eastAsia="黑体"/>
          <w:sz w:val="24"/>
        </w:rPr>
        <w:t>45．合同的签订</w:t>
      </w:r>
      <w:bookmarkEnd w:id="115"/>
      <w:bookmarkEnd w:id="116"/>
      <w:bookmarkEnd w:id="117"/>
      <w:bookmarkEnd w:id="118"/>
      <w:bookmarkEnd w:id="119"/>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120" w:name="_Toc73521590"/>
      <w:bookmarkStart w:id="121" w:name="_Toc73521678"/>
      <w:bookmarkStart w:id="122" w:name="_Toc73517683"/>
      <w:bookmarkStart w:id="123" w:name="_Toc100052411"/>
      <w:bookmarkStart w:id="124" w:name="_Toc73518161"/>
      <w:r>
        <w:rPr>
          <w:rFonts w:hint="eastAsia" w:ascii="黑体" w:hAnsi="宋体" w:eastAsia="黑体"/>
          <w:sz w:val="24"/>
        </w:rPr>
        <w:t>46．履约担保</w:t>
      </w:r>
      <w:bookmarkEnd w:id="120"/>
      <w:bookmarkEnd w:id="121"/>
      <w:bookmarkEnd w:id="122"/>
      <w:bookmarkEnd w:id="123"/>
      <w:bookmarkEnd w:id="124"/>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25" w:name="_Hlk72440769"/>
      <w:r>
        <w:rPr>
          <w:rFonts w:hint="eastAsia" w:ascii="宋体" w:hAnsi="宋体"/>
          <w:szCs w:val="21"/>
        </w:rPr>
        <w:t>政府集中采购机构或采购人不予退还其交纳的谈判保证金，情节严重的，并由主管部门</w:t>
      </w:r>
      <w:bookmarkEnd w:id="125"/>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09"/>
    <w:p>
      <w:pPr>
        <w:pStyle w:val="6"/>
        <w:numPr>
          <w:ilvl w:val="0"/>
          <w:numId w:val="14"/>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bookmarkStart w:id="126" w:name="_Hlk72439706"/>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val="en-US" w:eastAsia="zh-CN"/>
        </w:rPr>
        <w:t>采购</w:t>
      </w:r>
      <w:r>
        <w:rPr>
          <w:rFonts w:hint="eastAsia" w:ascii="宋体" w:hAnsi="宋体"/>
          <w:szCs w:val="21"/>
        </w:rPr>
        <w:t>文件的质疑，为</w:t>
      </w:r>
      <w:r>
        <w:rPr>
          <w:rFonts w:hint="eastAsia" w:ascii="宋体" w:hAnsi="宋体"/>
          <w:szCs w:val="21"/>
          <w:lang w:val="en-US" w:eastAsia="zh-CN"/>
        </w:rPr>
        <w:t>采购</w:t>
      </w:r>
      <w:r>
        <w:rPr>
          <w:rFonts w:hint="eastAsia" w:ascii="宋体" w:hAnsi="宋体"/>
          <w:szCs w:val="21"/>
        </w:rPr>
        <w:t>文件公布之日；对采购过程的质疑，为各采购程序环节结束之日；对中标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结果以及评审委员会组成人员的质疑，为中标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hint="eastAsia" w:ascii="宋体" w:hAnsi="宋体"/>
          <w:szCs w:val="21"/>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0" w:firstLineChars="0"/>
        <w:jc w:val="both"/>
        <w:rPr>
          <w:rFonts w:hint="eastAsia"/>
        </w:rPr>
      </w:pPr>
      <w:r>
        <w:rPr>
          <w:rFonts w:hint="eastAsia"/>
          <w:lang w:val="en-US" w:eastAsia="zh-CN"/>
        </w:rPr>
        <w:t xml:space="preserve">   </w:t>
      </w:r>
      <w:r>
        <w:rPr>
          <w:rFonts w:hint="eastAsia"/>
        </w:rPr>
        <w:t>53.3被质疑供应商应配合提供质疑答辩意见,并提供相关证据材料,逾期不作书面答辩</w:t>
      </w:r>
    </w:p>
    <w:p>
      <w:pPr>
        <w:ind w:firstLine="0" w:firstLineChars="0"/>
        <w:jc w:val="both"/>
        <w:rPr>
          <w:rFonts w:hint="default" w:eastAsia="宋体"/>
          <w:lang w:val="en-US" w:eastAsia="zh-CN"/>
        </w:rPr>
      </w:pPr>
      <w:r>
        <w:rPr>
          <w:rFonts w:hint="eastAsia"/>
        </w:rPr>
        <w:t>的,视同放弃答辩权利,依法承担由此可能产生的不利法律后果。</w:t>
      </w:r>
    </w:p>
    <w:p>
      <w:pPr>
        <w:pStyle w:val="2"/>
        <w:ind w:firstLine="420"/>
      </w:pPr>
    </w:p>
    <w:p>
      <w:pPr>
        <w:jc w:val="center"/>
      </w:pPr>
      <w:r>
        <w:t>---- END ----</w:t>
      </w:r>
    </w:p>
    <w:bookmarkEnd w:id="126"/>
    <w:p/>
    <w:p>
      <w:pPr>
        <w:ind w:firstLine="420" w:firstLineChars="200"/>
        <w:rPr>
          <w:rFonts w:ascii="宋体" w:hAnsi="宋体"/>
          <w:szCs w:val="21"/>
        </w:rPr>
      </w:pPr>
    </w:p>
    <w:sectPr>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haroni">
    <w:altName w:val="Yu Gothic UI Semibold"/>
    <w:panose1 w:val="02010803020104030203"/>
    <w:charset w:val="B1"/>
    <w:family w:val="auto"/>
    <w:pitch w:val="default"/>
    <w:sig w:usb0="00000000" w:usb1="00000000" w:usb2="00000000" w:usb3="00000000" w:csb0="00000020" w:csb1="002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D59DD"/>
    <w:multiLevelType w:val="singleLevel"/>
    <w:tmpl w:val="CACD59DD"/>
    <w:lvl w:ilvl="0" w:tentative="0">
      <w:start w:val="1"/>
      <w:numFmt w:val="chineseCounting"/>
      <w:suff w:val="nothing"/>
      <w:lvlText w:val="（%1）"/>
      <w:lvlJc w:val="left"/>
      <w:pPr>
        <w:ind w:left="0" w:firstLine="420"/>
      </w:pPr>
      <w:rPr>
        <w:rFonts w:hint="eastAsia"/>
      </w:rPr>
    </w:lvl>
  </w:abstractNum>
  <w:abstractNum w:abstractNumId="1">
    <w:nsid w:val="E0C37C09"/>
    <w:multiLevelType w:val="singleLevel"/>
    <w:tmpl w:val="E0C37C09"/>
    <w:lvl w:ilvl="0" w:tentative="0">
      <w:start w:val="1"/>
      <w:numFmt w:val="decimal"/>
      <w:lvlText w:val="%1."/>
      <w:lvlJc w:val="left"/>
      <w:pPr>
        <w:tabs>
          <w:tab w:val="left" w:pos="312"/>
        </w:tabs>
      </w:pPr>
    </w:lvl>
  </w:abstractNum>
  <w:abstractNum w:abstractNumId="2">
    <w:nsid w:val="EDFD6054"/>
    <w:multiLevelType w:val="singleLevel"/>
    <w:tmpl w:val="EDFD6054"/>
    <w:lvl w:ilvl="0" w:tentative="0">
      <w:start w:val="1"/>
      <w:numFmt w:val="chineseCounting"/>
      <w:suff w:val="nothing"/>
      <w:lvlText w:val="（%1）"/>
      <w:lvlJc w:val="left"/>
      <w:pPr>
        <w:ind w:left="0" w:firstLine="420"/>
      </w:pPr>
      <w:rPr>
        <w:rFonts w:hint="eastAsia"/>
      </w:rPr>
    </w:lvl>
  </w:abstractNum>
  <w:abstractNum w:abstractNumId="3">
    <w:nsid w:val="FFFFFF7C"/>
    <w:multiLevelType w:val="singleLevel"/>
    <w:tmpl w:val="FFFFFF7C"/>
    <w:lvl w:ilvl="0" w:tentative="0">
      <w:start w:val="1"/>
      <w:numFmt w:val="decimal"/>
      <w:pStyle w:val="80"/>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1BB1B3A"/>
    <w:multiLevelType w:val="multilevel"/>
    <w:tmpl w:val="01BB1B3A"/>
    <w:lvl w:ilvl="0" w:tentative="0">
      <w:start w:val="1"/>
      <w:numFmt w:val="decimal"/>
      <w:lvlText w:val="%1."/>
      <w:lvlJc w:val="left"/>
      <w:pPr>
        <w:ind w:left="420" w:hanging="420"/>
      </w:pPr>
      <w:rPr>
        <w:rFonts w:hint="eastAsia" w:ascii="宋体" w:hAnsi="宋体" w:eastAsia="宋体"/>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391B5F3"/>
    <w:multiLevelType w:val="singleLevel"/>
    <w:tmpl w:val="1391B5F3"/>
    <w:lvl w:ilvl="0" w:tentative="0">
      <w:start w:val="1"/>
      <w:numFmt w:val="chineseCounting"/>
      <w:suff w:val="nothing"/>
      <w:lvlText w:val="（%1）"/>
      <w:lvlJc w:val="left"/>
      <w:pPr>
        <w:ind w:left="0" w:firstLine="420"/>
      </w:pPr>
      <w:rPr>
        <w:rFonts w:hint="eastAsia"/>
      </w:rPr>
    </w:lvl>
  </w:abstractNum>
  <w:abstractNum w:abstractNumId="9">
    <w:nsid w:val="160D20D0"/>
    <w:multiLevelType w:val="multilevel"/>
    <w:tmpl w:val="160D20D0"/>
    <w:lvl w:ilvl="0" w:tentative="0">
      <w:start w:val="1"/>
      <w:numFmt w:val="bullet"/>
      <w:pStyle w:val="95"/>
      <w:lvlText w:val=""/>
      <w:lvlJc w:val="left"/>
      <w:pPr>
        <w:tabs>
          <w:tab w:val="left" w:pos="840"/>
        </w:tabs>
        <w:ind w:left="840" w:hanging="420"/>
      </w:pPr>
      <w:rPr>
        <w:rFonts w:hint="default" w:ascii="Wingdings" w:hAnsi="Wingdings"/>
      </w:rPr>
    </w:lvl>
    <w:lvl w:ilvl="1" w:tentative="0">
      <w:start w:val="1"/>
      <w:numFmt w:val="bullet"/>
      <w:pStyle w:val="9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187A48C1"/>
    <w:multiLevelType w:val="multilevel"/>
    <w:tmpl w:val="187A48C1"/>
    <w:lvl w:ilvl="0" w:tentative="0">
      <w:start w:val="1"/>
      <w:numFmt w:val="japaneseCounting"/>
      <w:lvlText w:val="%1、"/>
      <w:lvlJc w:val="left"/>
      <w:pPr>
        <w:tabs>
          <w:tab w:val="left" w:pos="420"/>
        </w:tabs>
        <w:ind w:left="420" w:hanging="420"/>
      </w:pPr>
      <w:rPr>
        <w:rFonts w:hint="eastAsia" w:ascii="宋体" w:hAnsi="宋体" w:eastAsia="宋体" w:cs="Courier New"/>
        <w:b/>
        <w:bC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2">
    <w:nsid w:val="60037381"/>
    <w:multiLevelType w:val="singleLevel"/>
    <w:tmpl w:val="60037381"/>
    <w:lvl w:ilvl="0" w:tentative="0">
      <w:start w:val="2"/>
      <w:numFmt w:val="chineseCounting"/>
      <w:suff w:val="nothing"/>
      <w:lvlText w:val="（%1）"/>
      <w:lvlJc w:val="left"/>
      <w:rPr>
        <w:rFonts w:hint="eastAsia"/>
      </w:rPr>
    </w:lvl>
  </w:abstractNum>
  <w:abstractNum w:abstractNumId="13">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9"/>
  </w:num>
  <w:num w:numId="4">
    <w:abstractNumId w:val="7"/>
  </w:num>
  <w:num w:numId="5">
    <w:abstractNumId w:val="13"/>
  </w:num>
  <w:num w:numId="6">
    <w:abstractNumId w:val="11"/>
  </w:num>
  <w:num w:numId="7">
    <w:abstractNumId w:val="10"/>
  </w:num>
  <w:num w:numId="8">
    <w:abstractNumId w:val="12"/>
  </w:num>
  <w:num w:numId="9">
    <w:abstractNumId w:val="8"/>
  </w:num>
  <w:num w:numId="10">
    <w:abstractNumId w:val="2"/>
  </w:num>
  <w:num w:numId="11">
    <w:abstractNumId w:val="0"/>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3E4434"/>
    <w:rsid w:val="018F4DD0"/>
    <w:rsid w:val="02034A18"/>
    <w:rsid w:val="02A37291"/>
    <w:rsid w:val="03024FFF"/>
    <w:rsid w:val="03613039"/>
    <w:rsid w:val="036202D4"/>
    <w:rsid w:val="038A236C"/>
    <w:rsid w:val="038A4A16"/>
    <w:rsid w:val="03D07714"/>
    <w:rsid w:val="03EC6FAB"/>
    <w:rsid w:val="043F181C"/>
    <w:rsid w:val="04B94B88"/>
    <w:rsid w:val="04C342C6"/>
    <w:rsid w:val="04EB6681"/>
    <w:rsid w:val="05262D76"/>
    <w:rsid w:val="056F462F"/>
    <w:rsid w:val="05B45F67"/>
    <w:rsid w:val="06270849"/>
    <w:rsid w:val="06552DE0"/>
    <w:rsid w:val="067D4F9E"/>
    <w:rsid w:val="06B32C69"/>
    <w:rsid w:val="06D71535"/>
    <w:rsid w:val="07515FD1"/>
    <w:rsid w:val="07991A83"/>
    <w:rsid w:val="087B2F8F"/>
    <w:rsid w:val="08CA370B"/>
    <w:rsid w:val="09815806"/>
    <w:rsid w:val="09F07824"/>
    <w:rsid w:val="0A0932C7"/>
    <w:rsid w:val="0A506477"/>
    <w:rsid w:val="0A5D3B7D"/>
    <w:rsid w:val="0A740EC6"/>
    <w:rsid w:val="0A8A4C86"/>
    <w:rsid w:val="0B547001"/>
    <w:rsid w:val="0C3328C0"/>
    <w:rsid w:val="0C4274CE"/>
    <w:rsid w:val="0C8D726E"/>
    <w:rsid w:val="0CCF3770"/>
    <w:rsid w:val="0CD82D1D"/>
    <w:rsid w:val="0CE05750"/>
    <w:rsid w:val="0D103128"/>
    <w:rsid w:val="0D1077DD"/>
    <w:rsid w:val="0EA162F1"/>
    <w:rsid w:val="0F4F55B5"/>
    <w:rsid w:val="0F523385"/>
    <w:rsid w:val="10907D14"/>
    <w:rsid w:val="10AE3B69"/>
    <w:rsid w:val="10C66B57"/>
    <w:rsid w:val="10C8302C"/>
    <w:rsid w:val="10E072B6"/>
    <w:rsid w:val="110658A6"/>
    <w:rsid w:val="114A387E"/>
    <w:rsid w:val="116D2364"/>
    <w:rsid w:val="11A5684D"/>
    <w:rsid w:val="11D0732A"/>
    <w:rsid w:val="11D87F8D"/>
    <w:rsid w:val="120E7E09"/>
    <w:rsid w:val="123D4E07"/>
    <w:rsid w:val="12562AA0"/>
    <w:rsid w:val="128C51F9"/>
    <w:rsid w:val="1478143A"/>
    <w:rsid w:val="14C8550E"/>
    <w:rsid w:val="15525935"/>
    <w:rsid w:val="156B7273"/>
    <w:rsid w:val="159B504D"/>
    <w:rsid w:val="166242C9"/>
    <w:rsid w:val="167F40D4"/>
    <w:rsid w:val="169B65A7"/>
    <w:rsid w:val="16CB4F50"/>
    <w:rsid w:val="17853B61"/>
    <w:rsid w:val="17A710C7"/>
    <w:rsid w:val="17CB121D"/>
    <w:rsid w:val="17FE6501"/>
    <w:rsid w:val="183A1C0C"/>
    <w:rsid w:val="18821D7D"/>
    <w:rsid w:val="18B310B8"/>
    <w:rsid w:val="19143FA0"/>
    <w:rsid w:val="193463F1"/>
    <w:rsid w:val="199E5A21"/>
    <w:rsid w:val="19D2715C"/>
    <w:rsid w:val="1A3C0855"/>
    <w:rsid w:val="1A89577F"/>
    <w:rsid w:val="1B574618"/>
    <w:rsid w:val="1B942A09"/>
    <w:rsid w:val="1BB61013"/>
    <w:rsid w:val="1BCE272A"/>
    <w:rsid w:val="1BDF7E16"/>
    <w:rsid w:val="1BEC2078"/>
    <w:rsid w:val="1C4C11C0"/>
    <w:rsid w:val="1D035455"/>
    <w:rsid w:val="1D2B1804"/>
    <w:rsid w:val="1D2D465B"/>
    <w:rsid w:val="1DCF66E8"/>
    <w:rsid w:val="1E0A297A"/>
    <w:rsid w:val="1E3950C5"/>
    <w:rsid w:val="1E3E64A9"/>
    <w:rsid w:val="1E4808ED"/>
    <w:rsid w:val="1F5859E7"/>
    <w:rsid w:val="1F6B41EE"/>
    <w:rsid w:val="1FF71956"/>
    <w:rsid w:val="20232D1B"/>
    <w:rsid w:val="20913CBA"/>
    <w:rsid w:val="20B937B9"/>
    <w:rsid w:val="20DB5404"/>
    <w:rsid w:val="210118AD"/>
    <w:rsid w:val="213351E0"/>
    <w:rsid w:val="21627873"/>
    <w:rsid w:val="21FB4CB2"/>
    <w:rsid w:val="22407F63"/>
    <w:rsid w:val="228B3C15"/>
    <w:rsid w:val="245711E5"/>
    <w:rsid w:val="249F0722"/>
    <w:rsid w:val="25B12A01"/>
    <w:rsid w:val="25B82157"/>
    <w:rsid w:val="25C31279"/>
    <w:rsid w:val="26101C34"/>
    <w:rsid w:val="26384FC0"/>
    <w:rsid w:val="27034AD1"/>
    <w:rsid w:val="280C250B"/>
    <w:rsid w:val="28CF69C0"/>
    <w:rsid w:val="28DD6E23"/>
    <w:rsid w:val="298D24BC"/>
    <w:rsid w:val="2A4F0167"/>
    <w:rsid w:val="2AD91221"/>
    <w:rsid w:val="2ADE7026"/>
    <w:rsid w:val="2B057693"/>
    <w:rsid w:val="2BD12EC2"/>
    <w:rsid w:val="2C7C517B"/>
    <w:rsid w:val="2CDD21EA"/>
    <w:rsid w:val="2D8206C8"/>
    <w:rsid w:val="2D964B2C"/>
    <w:rsid w:val="2EEC40A0"/>
    <w:rsid w:val="2FD74BE1"/>
    <w:rsid w:val="2FDB2CCA"/>
    <w:rsid w:val="307410C2"/>
    <w:rsid w:val="308D0856"/>
    <w:rsid w:val="30E92D4B"/>
    <w:rsid w:val="31121EF5"/>
    <w:rsid w:val="31B9703B"/>
    <w:rsid w:val="31D200FD"/>
    <w:rsid w:val="31EF7704"/>
    <w:rsid w:val="32E5730D"/>
    <w:rsid w:val="33305B83"/>
    <w:rsid w:val="338B6C3E"/>
    <w:rsid w:val="34C17D58"/>
    <w:rsid w:val="35780FBB"/>
    <w:rsid w:val="35AF558A"/>
    <w:rsid w:val="361D05E2"/>
    <w:rsid w:val="383B2EA0"/>
    <w:rsid w:val="39810D86"/>
    <w:rsid w:val="39AE1450"/>
    <w:rsid w:val="39AF0A37"/>
    <w:rsid w:val="39E14173"/>
    <w:rsid w:val="39F142D1"/>
    <w:rsid w:val="3A177DDB"/>
    <w:rsid w:val="3A660185"/>
    <w:rsid w:val="3AEF3EC0"/>
    <w:rsid w:val="3B1672AC"/>
    <w:rsid w:val="3BDD4E74"/>
    <w:rsid w:val="3C3A48E7"/>
    <w:rsid w:val="3C7E4EDD"/>
    <w:rsid w:val="3CD13DD3"/>
    <w:rsid w:val="3D303E99"/>
    <w:rsid w:val="3D4F6EA2"/>
    <w:rsid w:val="3E1A1A03"/>
    <w:rsid w:val="3E824310"/>
    <w:rsid w:val="3EB53DB8"/>
    <w:rsid w:val="3F2415CF"/>
    <w:rsid w:val="405C2C22"/>
    <w:rsid w:val="40664832"/>
    <w:rsid w:val="40B97C69"/>
    <w:rsid w:val="41103AB3"/>
    <w:rsid w:val="411A2A57"/>
    <w:rsid w:val="4185067D"/>
    <w:rsid w:val="41A2641C"/>
    <w:rsid w:val="426828AB"/>
    <w:rsid w:val="42A11473"/>
    <w:rsid w:val="42B85BD2"/>
    <w:rsid w:val="42D24149"/>
    <w:rsid w:val="42E51F94"/>
    <w:rsid w:val="43465A4C"/>
    <w:rsid w:val="438356FB"/>
    <w:rsid w:val="44003B89"/>
    <w:rsid w:val="44502E5B"/>
    <w:rsid w:val="44C558EE"/>
    <w:rsid w:val="45882058"/>
    <w:rsid w:val="45E17242"/>
    <w:rsid w:val="467C2385"/>
    <w:rsid w:val="46CF09D5"/>
    <w:rsid w:val="46CF4FC2"/>
    <w:rsid w:val="46EC288D"/>
    <w:rsid w:val="47B6656B"/>
    <w:rsid w:val="48111527"/>
    <w:rsid w:val="48C170B3"/>
    <w:rsid w:val="48E07FF5"/>
    <w:rsid w:val="490E5A67"/>
    <w:rsid w:val="49574862"/>
    <w:rsid w:val="4A5406A2"/>
    <w:rsid w:val="4A9401EE"/>
    <w:rsid w:val="4AA13BA6"/>
    <w:rsid w:val="4AC519F6"/>
    <w:rsid w:val="4B110B90"/>
    <w:rsid w:val="4B2E0642"/>
    <w:rsid w:val="4B827993"/>
    <w:rsid w:val="4BD905AE"/>
    <w:rsid w:val="4D4B1098"/>
    <w:rsid w:val="4D5325E2"/>
    <w:rsid w:val="4D537EEC"/>
    <w:rsid w:val="4D624570"/>
    <w:rsid w:val="4E146B2A"/>
    <w:rsid w:val="4E444B87"/>
    <w:rsid w:val="4E5E5755"/>
    <w:rsid w:val="4ED27793"/>
    <w:rsid w:val="4F4069B0"/>
    <w:rsid w:val="4F993FBC"/>
    <w:rsid w:val="4FB34218"/>
    <w:rsid w:val="5167040A"/>
    <w:rsid w:val="51917235"/>
    <w:rsid w:val="51DA430B"/>
    <w:rsid w:val="52200098"/>
    <w:rsid w:val="52B23907"/>
    <w:rsid w:val="52F061DD"/>
    <w:rsid w:val="53083749"/>
    <w:rsid w:val="5355411C"/>
    <w:rsid w:val="53590226"/>
    <w:rsid w:val="538E1C7E"/>
    <w:rsid w:val="53AE40CE"/>
    <w:rsid w:val="54803EF9"/>
    <w:rsid w:val="54866DF9"/>
    <w:rsid w:val="552233A5"/>
    <w:rsid w:val="55FD133D"/>
    <w:rsid w:val="561244DD"/>
    <w:rsid w:val="562B3B54"/>
    <w:rsid w:val="563A27AE"/>
    <w:rsid w:val="563E276B"/>
    <w:rsid w:val="56BD644F"/>
    <w:rsid w:val="56E80875"/>
    <w:rsid w:val="56F15429"/>
    <w:rsid w:val="573F362D"/>
    <w:rsid w:val="57437223"/>
    <w:rsid w:val="57752C31"/>
    <w:rsid w:val="5879650B"/>
    <w:rsid w:val="58B205DA"/>
    <w:rsid w:val="59134C30"/>
    <w:rsid w:val="59562254"/>
    <w:rsid w:val="59E44CEE"/>
    <w:rsid w:val="59F22E73"/>
    <w:rsid w:val="5A315A59"/>
    <w:rsid w:val="5AA23067"/>
    <w:rsid w:val="5AB92201"/>
    <w:rsid w:val="5B847B74"/>
    <w:rsid w:val="5C3D6937"/>
    <w:rsid w:val="5CED3FF9"/>
    <w:rsid w:val="5D4476FB"/>
    <w:rsid w:val="5E1B3CE7"/>
    <w:rsid w:val="5E8B3C4B"/>
    <w:rsid w:val="5EAD3BA8"/>
    <w:rsid w:val="5ED41C99"/>
    <w:rsid w:val="5ED8763C"/>
    <w:rsid w:val="5EE80ED1"/>
    <w:rsid w:val="5F724B4A"/>
    <w:rsid w:val="5F771986"/>
    <w:rsid w:val="5FC96642"/>
    <w:rsid w:val="60032513"/>
    <w:rsid w:val="601574AE"/>
    <w:rsid w:val="60257F58"/>
    <w:rsid w:val="61250170"/>
    <w:rsid w:val="614B2DC9"/>
    <w:rsid w:val="62111B39"/>
    <w:rsid w:val="634925E3"/>
    <w:rsid w:val="637717AF"/>
    <w:rsid w:val="63EE1813"/>
    <w:rsid w:val="64E57B6C"/>
    <w:rsid w:val="65735661"/>
    <w:rsid w:val="665E5750"/>
    <w:rsid w:val="66CB4C6F"/>
    <w:rsid w:val="66DC2EB8"/>
    <w:rsid w:val="66FE6CC3"/>
    <w:rsid w:val="678877B3"/>
    <w:rsid w:val="67E1648C"/>
    <w:rsid w:val="67EE261E"/>
    <w:rsid w:val="68222307"/>
    <w:rsid w:val="689478DF"/>
    <w:rsid w:val="68DA5D31"/>
    <w:rsid w:val="69A9410F"/>
    <w:rsid w:val="6A9242F2"/>
    <w:rsid w:val="6B100175"/>
    <w:rsid w:val="6C96331E"/>
    <w:rsid w:val="6D0E2679"/>
    <w:rsid w:val="6D4621DE"/>
    <w:rsid w:val="6D4B0788"/>
    <w:rsid w:val="6D891E10"/>
    <w:rsid w:val="6DE55656"/>
    <w:rsid w:val="6E261BA7"/>
    <w:rsid w:val="6E660432"/>
    <w:rsid w:val="6E681C31"/>
    <w:rsid w:val="6E8D3E82"/>
    <w:rsid w:val="6ED7625C"/>
    <w:rsid w:val="6F135292"/>
    <w:rsid w:val="6FC767EC"/>
    <w:rsid w:val="702560CE"/>
    <w:rsid w:val="70F50EBA"/>
    <w:rsid w:val="71266569"/>
    <w:rsid w:val="717C6A58"/>
    <w:rsid w:val="71970440"/>
    <w:rsid w:val="71D60130"/>
    <w:rsid w:val="71FD7459"/>
    <w:rsid w:val="723143F0"/>
    <w:rsid w:val="7364055E"/>
    <w:rsid w:val="73A155A6"/>
    <w:rsid w:val="73FA5E27"/>
    <w:rsid w:val="741E4FC3"/>
    <w:rsid w:val="743B1212"/>
    <w:rsid w:val="7447637A"/>
    <w:rsid w:val="747D4C59"/>
    <w:rsid w:val="74C667AB"/>
    <w:rsid w:val="74C876B4"/>
    <w:rsid w:val="757440A2"/>
    <w:rsid w:val="75F73A2A"/>
    <w:rsid w:val="75FC7405"/>
    <w:rsid w:val="769958F2"/>
    <w:rsid w:val="76E96805"/>
    <w:rsid w:val="770266B0"/>
    <w:rsid w:val="77E577FB"/>
    <w:rsid w:val="77FC2DAB"/>
    <w:rsid w:val="78174C2D"/>
    <w:rsid w:val="784260A8"/>
    <w:rsid w:val="784576F8"/>
    <w:rsid w:val="78767A5E"/>
    <w:rsid w:val="789F5B66"/>
    <w:rsid w:val="78A23A41"/>
    <w:rsid w:val="78B51BB7"/>
    <w:rsid w:val="793D0B51"/>
    <w:rsid w:val="7956473D"/>
    <w:rsid w:val="7A9C3003"/>
    <w:rsid w:val="7B471C92"/>
    <w:rsid w:val="7C167DE9"/>
    <w:rsid w:val="7CFE3D1B"/>
    <w:rsid w:val="7D4E1778"/>
    <w:rsid w:val="7D9817C8"/>
    <w:rsid w:val="7DEB27D3"/>
    <w:rsid w:val="7E816BC7"/>
    <w:rsid w:val="7EF402AF"/>
    <w:rsid w:val="7F2E3DC9"/>
    <w:rsid w:val="7FAE7080"/>
    <w:rsid w:val="7FEF35F0"/>
    <w:rsid w:val="7FF037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54"/>
    <w:qFormat/>
    <w:uiPriority w:val="0"/>
    <w:pPr>
      <w:adjustRightInd w:val="0"/>
      <w:jc w:val="center"/>
      <w:textAlignment w:val="baseline"/>
      <w:outlineLvl w:val="1"/>
    </w:pPr>
    <w:rPr>
      <w:kern w:val="0"/>
      <w:sz w:val="24"/>
      <w:szCs w:val="20"/>
    </w:rPr>
  </w:style>
  <w:style w:type="paragraph" w:styleId="4">
    <w:name w:val="heading 3"/>
    <w:basedOn w:val="5"/>
    <w:next w:val="1"/>
    <w:link w:val="52"/>
    <w:qFormat/>
    <w:uiPriority w:val="9"/>
    <w:pPr>
      <w:spacing w:before="260" w:after="260" w:line="240" w:lineRule="auto"/>
      <w:outlineLvl w:val="2"/>
    </w:pPr>
    <w:rPr>
      <w:rFonts w:ascii="宋体" w:hAnsi="宋体" w:eastAsia="宋体"/>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5"/>
    <w:qFormat/>
    <w:uiPriority w:val="0"/>
    <w:pPr>
      <w:keepNext/>
      <w:keepLines/>
      <w:spacing w:before="280" w:after="290" w:line="376" w:lineRule="auto"/>
      <w:outlineLvl w:val="4"/>
    </w:pPr>
    <w:rPr>
      <w:b/>
      <w:sz w:val="28"/>
      <w:szCs w:val="20"/>
    </w:rPr>
  </w:style>
  <w:style w:type="paragraph" w:styleId="11">
    <w:name w:val="heading 6"/>
    <w:basedOn w:val="1"/>
    <w:next w:val="8"/>
    <w:link w:val="59"/>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60"/>
    <w:qFormat/>
    <w:uiPriority w:val="0"/>
    <w:pPr>
      <w:keepNext/>
      <w:keepLines/>
      <w:spacing w:before="240" w:after="64" w:line="320" w:lineRule="auto"/>
      <w:outlineLvl w:val="6"/>
    </w:pPr>
    <w:rPr>
      <w:b/>
      <w:sz w:val="24"/>
      <w:szCs w:val="20"/>
    </w:rPr>
  </w:style>
  <w:style w:type="paragraph" w:styleId="13">
    <w:name w:val="heading 8"/>
    <w:basedOn w:val="1"/>
    <w:next w:val="8"/>
    <w:link w:val="61"/>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6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6"/>
    <w:qFormat/>
    <w:uiPriority w:val="0"/>
    <w:pPr>
      <w:ind w:firstLine="420"/>
    </w:pPr>
    <w:rPr>
      <w:szCs w:val="20"/>
    </w:rPr>
  </w:style>
  <w:style w:type="paragraph" w:styleId="9">
    <w:name w:val="Body Text"/>
    <w:basedOn w:val="1"/>
    <w:next w:val="10"/>
    <w:link w:val="57"/>
    <w:qFormat/>
    <w:uiPriority w:val="0"/>
    <w:pPr>
      <w:spacing w:line="360" w:lineRule="auto"/>
    </w:pPr>
    <w:rPr>
      <w:b/>
      <w:bCs/>
      <w:sz w:val="24"/>
    </w:rPr>
  </w:style>
  <w:style w:type="paragraph" w:styleId="10">
    <w:name w:val="Title"/>
    <w:basedOn w:val="1"/>
    <w:next w:val="1"/>
    <w:link w:val="58"/>
    <w:qFormat/>
    <w:uiPriority w:val="0"/>
    <w:pPr>
      <w:spacing w:before="240" w:after="60"/>
      <w:jc w:val="center"/>
      <w:outlineLvl w:val="0"/>
    </w:pPr>
    <w:rPr>
      <w:rFonts w:ascii="Arial" w:hAnsi="Arial" w:eastAsia="隶书" w:cs="Arial"/>
      <w:b/>
      <w:bCs/>
      <w:sz w:val="32"/>
      <w:szCs w:val="32"/>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63"/>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64"/>
    <w:qFormat/>
    <w:uiPriority w:val="0"/>
    <w:pPr>
      <w:spacing w:after="120"/>
    </w:pPr>
    <w:rPr>
      <w:sz w:val="16"/>
      <w:szCs w:val="16"/>
    </w:rPr>
  </w:style>
  <w:style w:type="paragraph" w:styleId="21">
    <w:name w:val="Body Text Indent"/>
    <w:basedOn w:val="1"/>
    <w:link w:val="65"/>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66"/>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67"/>
    <w:qFormat/>
    <w:uiPriority w:val="0"/>
    <w:rPr>
      <w:rFonts w:ascii="宋体" w:hAnsi="Courier New"/>
      <w:sz w:val="32"/>
      <w:szCs w:val="20"/>
    </w:rPr>
  </w:style>
  <w:style w:type="paragraph" w:styleId="27">
    <w:name w:val="Body Text Indent 2"/>
    <w:basedOn w:val="1"/>
    <w:link w:val="68"/>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69"/>
    <w:semiHidden/>
    <w:qFormat/>
    <w:uiPriority w:val="99"/>
    <w:rPr>
      <w:sz w:val="18"/>
      <w:szCs w:val="18"/>
    </w:rPr>
  </w:style>
  <w:style w:type="paragraph" w:styleId="29">
    <w:name w:val="footer"/>
    <w:basedOn w:val="1"/>
    <w:link w:val="70"/>
    <w:qFormat/>
    <w:uiPriority w:val="0"/>
    <w:pPr>
      <w:tabs>
        <w:tab w:val="center" w:pos="4153"/>
        <w:tab w:val="right" w:pos="8306"/>
      </w:tabs>
      <w:snapToGrid w:val="0"/>
      <w:jc w:val="left"/>
    </w:pPr>
    <w:rPr>
      <w:sz w:val="18"/>
      <w:szCs w:val="18"/>
    </w:rPr>
  </w:style>
  <w:style w:type="paragraph" w:styleId="30">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72"/>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73"/>
    <w:qFormat/>
    <w:uiPriority w:val="0"/>
    <w:pPr>
      <w:spacing w:line="360" w:lineRule="auto"/>
    </w:pPr>
    <w:rPr>
      <w:sz w:val="24"/>
    </w:rPr>
  </w:style>
  <w:style w:type="paragraph" w:styleId="3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75"/>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annotation subject"/>
    <w:basedOn w:val="19"/>
    <w:next w:val="19"/>
    <w:link w:val="76"/>
    <w:qFormat/>
    <w:uiPriority w:val="99"/>
    <w:pPr>
      <w:autoSpaceDE/>
      <w:autoSpaceDN/>
      <w:adjustRightInd/>
      <w:textAlignment w:val="auto"/>
    </w:pPr>
    <w:rPr>
      <w:rFonts w:ascii="Times New Roman"/>
      <w:b/>
      <w:bCs/>
      <w:kern w:val="2"/>
      <w:sz w:val="21"/>
      <w:szCs w:val="24"/>
    </w:rPr>
  </w:style>
  <w:style w:type="paragraph" w:styleId="42">
    <w:name w:val="Body Text First Indent"/>
    <w:basedOn w:val="9"/>
    <w:link w:val="77"/>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5"/>
    <w:qFormat/>
    <w:uiPriority w:val="9"/>
    <w:rPr>
      <w:rFonts w:ascii="Arial" w:hAnsi="Arial" w:eastAsia="黑体"/>
      <w:b/>
      <w:bCs/>
      <w:kern w:val="2"/>
      <w:sz w:val="28"/>
      <w:szCs w:val="28"/>
      <w:lang w:val="en-US" w:eastAsia="zh-CN" w:bidi="ar-SA"/>
    </w:rPr>
  </w:style>
  <w:style w:type="character" w:customStyle="1" w:styleId="52">
    <w:name w:val="标题 3 Char1"/>
    <w:link w:val="4"/>
    <w:qFormat/>
    <w:uiPriority w:val="9"/>
    <w:rPr>
      <w:rFonts w:ascii="宋体" w:hAnsi="宋体" w:eastAsia="宋体"/>
      <w:b/>
      <w:bCs/>
      <w:kern w:val="2"/>
      <w:sz w:val="28"/>
      <w:szCs w:val="32"/>
      <w:lang w:val="en-US" w:eastAsia="zh-CN" w:bidi="ar-SA"/>
    </w:rPr>
  </w:style>
  <w:style w:type="character" w:customStyle="1" w:styleId="53">
    <w:name w:val="标题 1 Char"/>
    <w:link w:val="3"/>
    <w:qFormat/>
    <w:uiPriority w:val="0"/>
    <w:rPr>
      <w:rFonts w:ascii="宋体" w:hAnsi="宋体" w:eastAsia="黑体"/>
      <w:b/>
      <w:bCs/>
      <w:kern w:val="44"/>
      <w:sz w:val="28"/>
      <w:szCs w:val="44"/>
      <w:lang w:val="en-US" w:eastAsia="zh-CN" w:bidi="ar-SA"/>
    </w:rPr>
  </w:style>
  <w:style w:type="character" w:customStyle="1" w:styleId="54">
    <w:name w:val="标题 2 Char"/>
    <w:link w:val="6"/>
    <w:qFormat/>
    <w:uiPriority w:val="0"/>
    <w:rPr>
      <w:rFonts w:ascii="宋体" w:hAnsi="宋体" w:eastAsia="宋体"/>
      <w:b/>
      <w:bCs/>
      <w:sz w:val="24"/>
      <w:lang w:val="en-US" w:eastAsia="zh-CN" w:bidi="ar-SA"/>
    </w:rPr>
  </w:style>
  <w:style w:type="character" w:customStyle="1" w:styleId="55">
    <w:name w:val="标题 5 Char"/>
    <w:link w:val="7"/>
    <w:qFormat/>
    <w:uiPriority w:val="0"/>
    <w:rPr>
      <w:rFonts w:eastAsia="宋体"/>
      <w:b/>
      <w:kern w:val="2"/>
      <w:sz w:val="28"/>
      <w:lang w:val="en-US" w:eastAsia="zh-CN" w:bidi="ar-SA"/>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正文文本 Char"/>
    <w:link w:val="9"/>
    <w:qFormat/>
    <w:uiPriority w:val="0"/>
    <w:rPr>
      <w:rFonts w:eastAsia="宋体"/>
      <w:b/>
      <w:bCs/>
      <w:kern w:val="2"/>
      <w:sz w:val="24"/>
      <w:szCs w:val="24"/>
      <w:lang w:val="en-US" w:eastAsia="zh-CN" w:bidi="ar-SA"/>
    </w:rPr>
  </w:style>
  <w:style w:type="character" w:customStyle="1" w:styleId="58">
    <w:name w:val="标题 Char"/>
    <w:link w:val="10"/>
    <w:qFormat/>
    <w:uiPriority w:val="0"/>
    <w:rPr>
      <w:rFonts w:ascii="Arial" w:hAnsi="Arial" w:eastAsia="隶书" w:cs="Arial"/>
      <w:b/>
      <w:bCs/>
      <w:kern w:val="2"/>
      <w:sz w:val="32"/>
      <w:szCs w:val="32"/>
      <w:lang w:val="en-US" w:eastAsia="zh-CN" w:bidi="ar-SA"/>
    </w:rPr>
  </w:style>
  <w:style w:type="character" w:customStyle="1" w:styleId="59">
    <w:name w:val="标题 6 Char"/>
    <w:link w:val="11"/>
    <w:qFormat/>
    <w:uiPriority w:val="0"/>
    <w:rPr>
      <w:rFonts w:ascii="Arial" w:hAnsi="Arial" w:eastAsia="黑体"/>
      <w:b/>
      <w:kern w:val="2"/>
      <w:sz w:val="24"/>
      <w:lang w:val="en-US" w:eastAsia="zh-CN" w:bidi="ar-SA"/>
    </w:rPr>
  </w:style>
  <w:style w:type="character" w:customStyle="1" w:styleId="60">
    <w:name w:val="标题 7 Char"/>
    <w:link w:val="12"/>
    <w:qFormat/>
    <w:uiPriority w:val="0"/>
    <w:rPr>
      <w:rFonts w:eastAsia="宋体"/>
      <w:b/>
      <w:kern w:val="2"/>
      <w:sz w:val="24"/>
      <w:lang w:val="en-US" w:eastAsia="zh-CN" w:bidi="ar-SA"/>
    </w:rPr>
  </w:style>
  <w:style w:type="character" w:customStyle="1" w:styleId="61">
    <w:name w:val="标题 8 Char"/>
    <w:link w:val="13"/>
    <w:qFormat/>
    <w:uiPriority w:val="0"/>
    <w:rPr>
      <w:rFonts w:ascii="Arial" w:hAnsi="Arial" w:eastAsia="黑体"/>
      <w:kern w:val="2"/>
      <w:sz w:val="24"/>
      <w:lang w:val="en-US" w:eastAsia="zh-CN" w:bidi="ar-SA"/>
    </w:rPr>
  </w:style>
  <w:style w:type="character" w:customStyle="1" w:styleId="62">
    <w:name w:val="标题 9 Char"/>
    <w:link w:val="14"/>
    <w:qFormat/>
    <w:uiPriority w:val="0"/>
    <w:rPr>
      <w:rFonts w:ascii="Arial" w:hAnsi="Arial" w:eastAsia="黑体"/>
      <w:kern w:val="2"/>
      <w:sz w:val="21"/>
      <w:lang w:val="en-US" w:eastAsia="zh-CN" w:bidi="ar-SA"/>
    </w:rPr>
  </w:style>
  <w:style w:type="character" w:customStyle="1" w:styleId="63">
    <w:name w:val="批注文字 Char"/>
    <w:basedOn w:val="45"/>
    <w:link w:val="19"/>
    <w:qFormat/>
    <w:uiPriority w:val="99"/>
    <w:rPr>
      <w:rFonts w:ascii="宋体"/>
      <w:sz w:val="34"/>
    </w:rPr>
  </w:style>
  <w:style w:type="character" w:customStyle="1" w:styleId="64">
    <w:name w:val="正文文本 3 Char"/>
    <w:link w:val="20"/>
    <w:qFormat/>
    <w:uiPriority w:val="0"/>
    <w:rPr>
      <w:rFonts w:eastAsia="宋体"/>
      <w:kern w:val="2"/>
      <w:sz w:val="16"/>
      <w:szCs w:val="16"/>
      <w:lang w:val="en-US" w:eastAsia="zh-CN" w:bidi="ar-SA"/>
    </w:rPr>
  </w:style>
  <w:style w:type="character" w:customStyle="1" w:styleId="65">
    <w:name w:val="正文文本缩进 Char"/>
    <w:link w:val="21"/>
    <w:qFormat/>
    <w:uiPriority w:val="0"/>
    <w:rPr>
      <w:rFonts w:eastAsia="宋体"/>
      <w:kern w:val="2"/>
      <w:sz w:val="21"/>
      <w:szCs w:val="24"/>
      <w:lang w:val="en-US" w:eastAsia="zh-CN" w:bidi="ar-SA"/>
    </w:rPr>
  </w:style>
  <w:style w:type="character" w:customStyle="1" w:styleId="66">
    <w:name w:val="纯文本 Char"/>
    <w:link w:val="24"/>
    <w:qFormat/>
    <w:uiPriority w:val="0"/>
    <w:rPr>
      <w:rFonts w:ascii="宋体" w:hAnsi="Courier New" w:eastAsia="宋体"/>
      <w:kern w:val="2"/>
      <w:sz w:val="21"/>
      <w:lang w:val="en-US" w:eastAsia="zh-CN" w:bidi="ar-SA"/>
    </w:rPr>
  </w:style>
  <w:style w:type="character" w:customStyle="1" w:styleId="67">
    <w:name w:val="日期 Char"/>
    <w:link w:val="26"/>
    <w:qFormat/>
    <w:uiPriority w:val="0"/>
    <w:rPr>
      <w:rFonts w:ascii="宋体" w:hAnsi="Courier New" w:eastAsia="宋体"/>
      <w:kern w:val="2"/>
      <w:sz w:val="32"/>
      <w:lang w:val="en-US" w:eastAsia="zh-CN" w:bidi="ar-SA"/>
    </w:rPr>
  </w:style>
  <w:style w:type="character" w:customStyle="1" w:styleId="68">
    <w:name w:val="正文文本缩进 2 Char"/>
    <w:link w:val="27"/>
    <w:qFormat/>
    <w:uiPriority w:val="0"/>
    <w:rPr>
      <w:rFonts w:ascii="宋体" w:hAnsi="宋体" w:eastAsia="宋体"/>
      <w:kern w:val="2"/>
      <w:sz w:val="21"/>
      <w:szCs w:val="24"/>
      <w:lang w:val="en-US" w:eastAsia="zh-CN" w:bidi="ar-SA"/>
    </w:rPr>
  </w:style>
  <w:style w:type="character" w:customStyle="1" w:styleId="69">
    <w:name w:val="批注框文本 Char"/>
    <w:link w:val="28"/>
    <w:semiHidden/>
    <w:qFormat/>
    <w:uiPriority w:val="99"/>
    <w:rPr>
      <w:rFonts w:eastAsia="宋体"/>
      <w:kern w:val="2"/>
      <w:sz w:val="18"/>
      <w:szCs w:val="18"/>
      <w:lang w:val="en-US" w:eastAsia="zh-CN" w:bidi="ar-SA"/>
    </w:rPr>
  </w:style>
  <w:style w:type="character" w:customStyle="1" w:styleId="70">
    <w:name w:val="页脚 Char"/>
    <w:link w:val="29"/>
    <w:qFormat/>
    <w:uiPriority w:val="0"/>
    <w:rPr>
      <w:rFonts w:eastAsia="宋体"/>
      <w:kern w:val="2"/>
      <w:sz w:val="18"/>
      <w:szCs w:val="18"/>
      <w:lang w:val="en-US" w:eastAsia="zh-CN" w:bidi="ar-SA"/>
    </w:rPr>
  </w:style>
  <w:style w:type="character" w:customStyle="1" w:styleId="71">
    <w:name w:val="页眉 Char"/>
    <w:link w:val="30"/>
    <w:qFormat/>
    <w:uiPriority w:val="99"/>
    <w:rPr>
      <w:rFonts w:eastAsia="宋体"/>
      <w:kern w:val="2"/>
      <w:sz w:val="18"/>
      <w:szCs w:val="18"/>
      <w:lang w:val="en-US" w:eastAsia="zh-CN" w:bidi="ar-SA"/>
    </w:rPr>
  </w:style>
  <w:style w:type="character" w:customStyle="1" w:styleId="72">
    <w:name w:val="正文文本缩进 3 Char"/>
    <w:link w:val="34"/>
    <w:qFormat/>
    <w:uiPriority w:val="0"/>
    <w:rPr>
      <w:rFonts w:ascii="宋体" w:eastAsia="宋体"/>
      <w:b/>
      <w:bCs/>
      <w:kern w:val="2"/>
      <w:sz w:val="24"/>
      <w:szCs w:val="24"/>
      <w:lang w:val="en-US" w:eastAsia="zh-CN" w:bidi="ar-SA"/>
    </w:rPr>
  </w:style>
  <w:style w:type="character" w:customStyle="1" w:styleId="73">
    <w:name w:val="正文文本 2 Char"/>
    <w:link w:val="37"/>
    <w:qFormat/>
    <w:uiPriority w:val="0"/>
    <w:rPr>
      <w:rFonts w:eastAsia="宋体"/>
      <w:kern w:val="2"/>
      <w:sz w:val="24"/>
      <w:szCs w:val="24"/>
      <w:lang w:val="en-US" w:eastAsia="zh-CN" w:bidi="ar-SA"/>
    </w:rPr>
  </w:style>
  <w:style w:type="character" w:customStyle="1" w:styleId="74">
    <w:name w:val="HTML 预设格式 Char"/>
    <w:link w:val="38"/>
    <w:qFormat/>
    <w:uiPriority w:val="0"/>
    <w:rPr>
      <w:rFonts w:ascii="Arial Unicode MS" w:hAnsi="Arial Unicode MS" w:eastAsia="Arial Unicode MS"/>
      <w:color w:val="000000"/>
      <w:lang w:val="en-US" w:eastAsia="zh-CN" w:bidi="ar-SA"/>
    </w:rPr>
  </w:style>
  <w:style w:type="character" w:customStyle="1" w:styleId="75">
    <w:name w:val="普通(网站) Char"/>
    <w:link w:val="39"/>
    <w:qFormat/>
    <w:uiPriority w:val="0"/>
    <w:rPr>
      <w:kern w:val="2"/>
      <w:sz w:val="24"/>
      <w:szCs w:val="24"/>
    </w:rPr>
  </w:style>
  <w:style w:type="character" w:customStyle="1" w:styleId="76">
    <w:name w:val="批注主题 Char"/>
    <w:basedOn w:val="63"/>
    <w:link w:val="41"/>
    <w:qFormat/>
    <w:uiPriority w:val="99"/>
    <w:rPr>
      <w:rFonts w:ascii="宋体"/>
      <w:sz w:val="34"/>
    </w:rPr>
  </w:style>
  <w:style w:type="character" w:customStyle="1" w:styleId="77">
    <w:name w:val="正文首行缩进 Char"/>
    <w:link w:val="42"/>
    <w:qFormat/>
    <w:uiPriority w:val="0"/>
    <w:rPr>
      <w:rFonts w:eastAsia="宋体"/>
      <w:b/>
      <w:bCs/>
      <w:kern w:val="2"/>
      <w:sz w:val="21"/>
      <w:szCs w:val="24"/>
      <w:lang w:val="en-US" w:eastAsia="zh-CN" w:bidi="ar-SA"/>
    </w:rPr>
  </w:style>
  <w:style w:type="paragraph" w:customStyle="1" w:styleId="7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9">
    <w:name w:val="标题 3 Char"/>
    <w:qFormat/>
    <w:uiPriority w:val="0"/>
    <w:rPr>
      <w:rFonts w:ascii="黑体" w:eastAsia="黑体"/>
      <w:bCs/>
      <w:sz w:val="30"/>
    </w:rPr>
  </w:style>
  <w:style w:type="paragraph" w:customStyle="1" w:styleId="8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8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8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7">
    <w:name w:val="自定义正文"/>
    <w:basedOn w:val="1"/>
    <w:qFormat/>
    <w:uiPriority w:val="0"/>
    <w:pPr>
      <w:spacing w:afterLines="50"/>
      <w:ind w:left="600" w:leftChars="600"/>
    </w:pPr>
  </w:style>
  <w:style w:type="paragraph" w:customStyle="1" w:styleId="88">
    <w:name w:val="Char Char Char Char Char"/>
    <w:basedOn w:val="1"/>
    <w:qFormat/>
    <w:uiPriority w:val="0"/>
    <w:rPr>
      <w:rFonts w:ascii="Tahoma" w:hAnsi="Tahoma"/>
      <w:sz w:val="24"/>
      <w:szCs w:val="20"/>
    </w:rPr>
  </w:style>
  <w:style w:type="paragraph" w:customStyle="1" w:styleId="8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90">
    <w:name w:val="Char Char"/>
    <w:basedOn w:val="1"/>
    <w:qFormat/>
    <w:uiPriority w:val="0"/>
    <w:rPr>
      <w:rFonts w:ascii="Tahoma" w:hAnsi="Tahoma"/>
      <w:sz w:val="24"/>
      <w:szCs w:val="20"/>
    </w:rPr>
  </w:style>
  <w:style w:type="paragraph" w:customStyle="1" w:styleId="9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93">
    <w:name w:val="List Paragraph"/>
    <w:basedOn w:val="1"/>
    <w:qFormat/>
    <w:uiPriority w:val="34"/>
    <w:pPr>
      <w:ind w:firstLine="420" w:firstLineChars="200"/>
    </w:pPr>
    <w:rPr>
      <w:rFonts w:ascii="Calibri" w:hAnsi="Calibri"/>
      <w:szCs w:val="22"/>
    </w:rPr>
  </w:style>
  <w:style w:type="paragraph" w:customStyle="1" w:styleId="94">
    <w:name w:val="USE 1"/>
    <w:basedOn w:val="1"/>
    <w:qFormat/>
    <w:uiPriority w:val="0"/>
    <w:pPr>
      <w:spacing w:line="200" w:lineRule="atLeast"/>
      <w:jc w:val="left"/>
    </w:pPr>
    <w:rPr>
      <w:rFonts w:ascii="宋体" w:hAnsi="宋体"/>
      <w:b/>
      <w:sz w:val="24"/>
      <w:szCs w:val="28"/>
    </w:rPr>
  </w:style>
  <w:style w:type="paragraph" w:customStyle="1" w:styleId="9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96">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97">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98">
    <w:name w:val="H4 Char2"/>
    <w:qFormat/>
    <w:uiPriority w:val="0"/>
    <w:rPr>
      <w:rFonts w:ascii="Arial" w:hAnsi="Arial" w:eastAsia="黑体"/>
      <w:b/>
      <w:bCs/>
      <w:kern w:val="2"/>
      <w:sz w:val="28"/>
      <w:szCs w:val="28"/>
      <w:lang w:val="en-US" w:eastAsia="zh-CN" w:bidi="ar-SA"/>
    </w:rPr>
  </w:style>
  <w:style w:type="character" w:customStyle="1" w:styleId="99">
    <w:name w:val="第*章 Char"/>
    <w:qFormat/>
    <w:uiPriority w:val="0"/>
    <w:rPr>
      <w:rFonts w:ascii="Arial" w:hAnsi="Arial" w:eastAsia="黑体"/>
      <w:b/>
      <w:bCs/>
      <w:kern w:val="2"/>
      <w:sz w:val="32"/>
      <w:szCs w:val="32"/>
    </w:rPr>
  </w:style>
  <w:style w:type="character" w:customStyle="1" w:styleId="100">
    <w:name w:val="章标题1 Char"/>
    <w:qFormat/>
    <w:uiPriority w:val="0"/>
    <w:rPr>
      <w:rFonts w:eastAsia="宋体"/>
      <w:b/>
      <w:bCs/>
      <w:kern w:val="2"/>
      <w:sz w:val="32"/>
      <w:szCs w:val="32"/>
      <w:lang w:val="en-US" w:eastAsia="zh-CN" w:bidi="ar-SA"/>
    </w:rPr>
  </w:style>
  <w:style w:type="character" w:customStyle="1" w:styleId="101">
    <w:name w:val="正文文字首行缩进 Char"/>
    <w:qFormat/>
    <w:uiPriority w:val="0"/>
    <w:rPr>
      <w:kern w:val="2"/>
      <w:sz w:val="21"/>
      <w:szCs w:val="24"/>
    </w:rPr>
  </w:style>
  <w:style w:type="paragraph" w:customStyle="1" w:styleId="102">
    <w:name w:val="样式1"/>
    <w:basedOn w:val="10"/>
    <w:qFormat/>
    <w:uiPriority w:val="0"/>
    <w:pPr>
      <w:spacing w:before="120" w:after="120"/>
    </w:pPr>
    <w:rPr>
      <w:rFonts w:eastAsia="黑体"/>
      <w:b w:val="0"/>
      <w:sz w:val="30"/>
      <w:szCs w:val="21"/>
    </w:rPr>
  </w:style>
  <w:style w:type="paragraph" w:customStyle="1" w:styleId="103">
    <w:name w:val="样式2"/>
    <w:basedOn w:val="10"/>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5"/>
    <w:qFormat/>
    <w:uiPriority w:val="0"/>
  </w:style>
  <w:style w:type="character" w:customStyle="1" w:styleId="128">
    <w:name w:val="font2"/>
    <w:basedOn w:val="45"/>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5"/>
    <w:qFormat/>
    <w:uiPriority w:val="0"/>
  </w:style>
  <w:style w:type="paragraph" w:customStyle="1" w:styleId="136">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5"/>
    <w:qFormat/>
    <w:uiPriority w:val="0"/>
  </w:style>
  <w:style w:type="paragraph" w:customStyle="1" w:styleId="138">
    <w:name w:val="8"/>
    <w:basedOn w:val="1"/>
    <w:next w:val="21"/>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5"/>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5"/>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5"/>
    <w:qFormat/>
    <w:uiPriority w:val="0"/>
  </w:style>
  <w:style w:type="character" w:customStyle="1" w:styleId="154">
    <w:name w:val="prodheadlines"/>
    <w:basedOn w:val="45"/>
    <w:qFormat/>
    <w:uiPriority w:val="0"/>
  </w:style>
  <w:style w:type="character" w:customStyle="1" w:styleId="155">
    <w:name w:val="text"/>
    <w:basedOn w:val="45"/>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4"/>
    <w:qFormat/>
    <w:uiPriority w:val="0"/>
    <w:pPr>
      <w:ind w:firstLine="560" w:firstLineChars="200"/>
    </w:pPr>
    <w:rPr>
      <w:sz w:val="28"/>
    </w:rPr>
  </w:style>
  <w:style w:type="character" w:customStyle="1" w:styleId="162">
    <w:name w:val="gray6"/>
    <w:basedOn w:val="45"/>
    <w:qFormat/>
    <w:uiPriority w:val="0"/>
  </w:style>
  <w:style w:type="character" w:customStyle="1" w:styleId="163">
    <w:name w:val="style9"/>
    <w:basedOn w:val="45"/>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5"/>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5"/>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Table Text"/>
    <w:basedOn w:val="1"/>
    <w:semiHidden/>
    <w:qFormat/>
    <w:uiPriority w:val="0"/>
    <w:rPr>
      <w:rFonts w:ascii="宋体" w:hAnsi="宋体" w:eastAsia="宋体" w:cs="宋体"/>
      <w:sz w:val="21"/>
      <w:szCs w:val="21"/>
      <w:lang w:val="en-US" w:eastAsia="en-US" w:bidi="ar-SA"/>
    </w:rPr>
  </w:style>
  <w:style w:type="table" w:customStyle="1" w:styleId="19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64</Pages>
  <Words>3473</Words>
  <Characters>3549</Characters>
  <Lines>332</Lines>
  <Paragraphs>93</Paragraphs>
  <TotalTime>2</TotalTime>
  <ScaleCrop>false</ScaleCrop>
  <LinksUpToDate>false</LinksUpToDate>
  <CharactersWithSpaces>3566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YU</cp:lastModifiedBy>
  <cp:lastPrinted>2021-05-09T08:02:00Z</cp:lastPrinted>
  <dcterms:modified xsi:type="dcterms:W3CDTF">2025-07-10T02:00:18Z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45927C6BE5274881BC114D3EE4537CB3</vt:lpwstr>
  </property>
  <property fmtid="{D5CDD505-2E9C-101B-9397-08002B2CF9AE}" pid="4" name="KSOTemplateDocerSaveRecord">
    <vt:lpwstr>eyJoZGlkIjoiNDYxZjBlOTQyNzQ0ZGNjMDk4YTg5MWIzZDFmMDRjZmYiLCJ1c2VySWQiOiI0ODEyMTg5MTYifQ==</vt:lpwstr>
  </property>
</Properties>
</file>