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C21D0">
      <w:pPr>
        <w:keepNext w:val="0"/>
        <w:keepLines w:val="0"/>
        <w:pageBreakBefore w:val="0"/>
        <w:kinsoku/>
        <w:wordWrap/>
        <w:overflowPunct/>
        <w:topLinePunct w:val="0"/>
        <w:autoSpaceDE/>
        <w:autoSpaceDN/>
        <w:bidi w:val="0"/>
        <w:adjustRightInd/>
        <w:spacing w:beforeAutospacing="0" w:afterAutospacing="0" w:line="500" w:lineRule="exact"/>
        <w:jc w:val="center"/>
        <w:textAlignment w:val="auto"/>
        <w:rPr>
          <w:rFonts w:hint="eastAsia" w:ascii="方正小标宋简体" w:hAnsi="方正小标宋简体" w:eastAsia="方正小标宋简体" w:cs="方正小标宋简体"/>
          <w:b w:val="0"/>
          <w:bCs w:val="0"/>
          <w:sz w:val="44"/>
          <w:szCs w:val="52"/>
        </w:rPr>
      </w:pPr>
      <w:r>
        <w:rPr>
          <w:rFonts w:hint="eastAsia" w:ascii="方正小标宋简体" w:hAnsi="方正小标宋简体" w:eastAsia="方正小标宋简体" w:cs="方正小标宋简体"/>
          <w:b w:val="0"/>
          <w:bCs w:val="0"/>
          <w:sz w:val="44"/>
          <w:szCs w:val="52"/>
        </w:rPr>
        <w:t>专项法律服务询价单</w:t>
      </w:r>
    </w:p>
    <w:p w14:paraId="3EDEFECB">
      <w:pPr>
        <w:keepNext w:val="0"/>
        <w:keepLines w:val="0"/>
        <w:pageBreakBefore w:val="0"/>
        <w:kinsoku/>
        <w:wordWrap/>
        <w:overflowPunct/>
        <w:topLinePunct w:val="0"/>
        <w:autoSpaceDE/>
        <w:autoSpaceDN/>
        <w:bidi w:val="0"/>
        <w:adjustRightInd/>
        <w:spacing w:beforeAutospacing="0" w:afterAutospacing="0" w:line="500" w:lineRule="exact"/>
        <w:jc w:val="both"/>
        <w:textAlignment w:val="auto"/>
        <w:rPr>
          <w:rFonts w:hint="eastAsia" w:ascii="仿宋_GB2312" w:hAnsi="仿宋_GB2312" w:eastAsia="仿宋_GB2312" w:cs="仿宋_GB2312"/>
          <w:b w:val="0"/>
          <w:bCs w:val="0"/>
          <w:sz w:val="32"/>
          <w:szCs w:val="40"/>
        </w:rPr>
      </w:pPr>
    </w:p>
    <w:p w14:paraId="4187CC39">
      <w:pPr>
        <w:keepNext w:val="0"/>
        <w:keepLines w:val="0"/>
        <w:pageBreakBefore w:val="0"/>
        <w:kinsoku/>
        <w:wordWrap/>
        <w:overflowPunct/>
        <w:topLinePunct w:val="0"/>
        <w:autoSpaceDE/>
        <w:autoSpaceDN/>
        <w:bidi w:val="0"/>
        <w:adjustRightInd/>
        <w:spacing w:beforeAutospacing="0" w:afterAutospacing="0" w:line="500" w:lineRule="exact"/>
        <w:ind w:firstLine="0" w:firstLineChars="0"/>
        <w:jc w:val="both"/>
        <w:textAlignment w:val="auto"/>
        <w:rPr>
          <w:rFonts w:hint="eastAsia" w:ascii="仿宋_GB2312" w:hAnsi="仿宋_GB2312" w:eastAsia="仿宋_GB2312" w:cs="仿宋_GB2312"/>
          <w:b w:val="0"/>
          <w:bCs w:val="0"/>
          <w:sz w:val="32"/>
          <w:szCs w:val="40"/>
        </w:rPr>
      </w:pPr>
      <w:r>
        <w:rPr>
          <w:rFonts w:hint="eastAsia" w:ascii="仿宋_GB2312" w:hAnsi="仿宋_GB2312" w:eastAsia="仿宋_GB2312" w:cs="仿宋_GB2312"/>
          <w:b w:val="0"/>
          <w:bCs w:val="0"/>
          <w:sz w:val="32"/>
          <w:szCs w:val="40"/>
        </w:rPr>
        <w:t>致：各潜在供应商</w:t>
      </w:r>
    </w:p>
    <w:p w14:paraId="0E9F4FB7">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仿宋_GB2312" w:hAnsi="仿宋_GB2312" w:eastAsia="仿宋_GB2312" w:cs="仿宋_GB2312"/>
          <w:b w:val="0"/>
          <w:bCs w:val="0"/>
          <w:kern w:val="2"/>
          <w:sz w:val="32"/>
          <w:szCs w:val="40"/>
          <w:lang w:val="en-US" w:eastAsia="zh-CN" w:bidi="ar-SA"/>
        </w:rPr>
      </w:pPr>
      <w:r>
        <w:rPr>
          <w:rFonts w:hint="eastAsia" w:ascii="仿宋_GB2312" w:hAnsi="仿宋_GB2312" w:eastAsia="仿宋_GB2312" w:cs="仿宋_GB2312"/>
          <w:b w:val="0"/>
          <w:bCs w:val="0"/>
          <w:kern w:val="2"/>
          <w:sz w:val="32"/>
          <w:szCs w:val="40"/>
          <w:lang w:val="en-US" w:eastAsia="zh-CN" w:bidi="ar-SA"/>
        </w:rPr>
        <w:t>本项目旨在聘请一家具有丰富劳动用工合规经验的律师事务所，为我司提供系统性、全流程的劳动用工合规体系建设、外包与派遣风险管控、劳动争议预防与处理、大客户合同审查、驻场法律支持等综合法律服务。</w:t>
      </w:r>
    </w:p>
    <w:p w14:paraId="5DB7F471">
      <w:pPr>
        <w:keepNext w:val="0"/>
        <w:keepLines w:val="0"/>
        <w:pageBreakBefore w:val="0"/>
        <w:numPr>
          <w:ilvl w:val="0"/>
          <w:numId w:val="0"/>
        </w:numPr>
        <w:kinsoku/>
        <w:wordWrap/>
        <w:overflowPunct/>
        <w:topLinePunct w:val="0"/>
        <w:autoSpaceDE/>
        <w:autoSpaceDN/>
        <w:bidi w:val="0"/>
        <w:adjustRightInd/>
        <w:spacing w:beforeAutospacing="0" w:afterAutospacing="0" w:line="500" w:lineRule="exact"/>
        <w:ind w:left="0" w:leftChars="0" w:firstLine="420" w:firstLineChars="0"/>
        <w:jc w:val="both"/>
        <w:textAlignment w:val="auto"/>
        <w:rPr>
          <w:rFonts w:hint="eastAsia" w:ascii="黑体" w:hAnsi="黑体" w:eastAsia="黑体" w:cs="黑体"/>
          <w:b w:val="0"/>
          <w:bCs w:val="0"/>
          <w:sz w:val="32"/>
          <w:szCs w:val="40"/>
          <w:lang w:val="en-US" w:eastAsia="zh-CN"/>
        </w:rPr>
      </w:pPr>
      <w:r>
        <w:rPr>
          <w:rFonts w:hint="eastAsia" w:ascii="黑体" w:hAnsi="黑体" w:eastAsia="黑体" w:cs="黑体"/>
          <w:b w:val="0"/>
          <w:bCs w:val="0"/>
          <w:kern w:val="2"/>
          <w:sz w:val="32"/>
          <w:szCs w:val="40"/>
          <w:lang w:val="en-US" w:eastAsia="zh-CN" w:bidi="ar-SA"/>
        </w:rPr>
        <w:t>一、</w:t>
      </w:r>
      <w:r>
        <w:rPr>
          <w:rFonts w:hint="eastAsia" w:ascii="黑体" w:hAnsi="黑体" w:eastAsia="黑体" w:cs="黑体"/>
          <w:b w:val="0"/>
          <w:bCs w:val="0"/>
          <w:sz w:val="32"/>
          <w:szCs w:val="40"/>
          <w:lang w:val="en-US" w:eastAsia="zh-CN"/>
        </w:rPr>
        <w:t>项目概况</w:t>
      </w:r>
    </w:p>
    <w:p w14:paraId="04EFBE4A">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黑体" w:hAnsi="黑体" w:eastAsia="黑体" w:cs="黑体"/>
          <w:b w:val="0"/>
          <w:bCs w:val="0"/>
          <w:sz w:val="32"/>
          <w:szCs w:val="40"/>
          <w:lang w:val="en-US" w:eastAsia="zh-CN"/>
        </w:rPr>
      </w:pPr>
      <w:r>
        <w:rPr>
          <w:rFonts w:hint="eastAsia" w:ascii="楷体_GB2312" w:hAnsi="楷体_GB2312" w:eastAsia="楷体_GB2312" w:cs="楷体_GB2312"/>
          <w:b w:val="0"/>
          <w:bCs w:val="0"/>
          <w:sz w:val="32"/>
          <w:szCs w:val="40"/>
          <w:lang w:eastAsia="zh-CN"/>
        </w:rPr>
        <w:t>（</w:t>
      </w:r>
      <w:r>
        <w:rPr>
          <w:rFonts w:hint="eastAsia" w:ascii="楷体_GB2312" w:hAnsi="楷体_GB2312" w:eastAsia="楷体_GB2312" w:cs="楷体_GB2312"/>
          <w:b w:val="0"/>
          <w:bCs w:val="0"/>
          <w:sz w:val="32"/>
          <w:szCs w:val="40"/>
          <w:lang w:val="en-US" w:eastAsia="zh-CN"/>
        </w:rPr>
        <w:t>一</w:t>
      </w:r>
      <w:r>
        <w:rPr>
          <w:rFonts w:hint="eastAsia" w:ascii="楷体_GB2312" w:hAnsi="楷体_GB2312" w:eastAsia="楷体_GB2312" w:cs="楷体_GB2312"/>
          <w:b w:val="0"/>
          <w:bCs w:val="0"/>
          <w:sz w:val="32"/>
          <w:szCs w:val="40"/>
          <w:lang w:eastAsia="zh-CN"/>
        </w:rPr>
        <w:t>）</w:t>
      </w:r>
      <w:r>
        <w:rPr>
          <w:rFonts w:hint="eastAsia" w:ascii="楷体_GB2312" w:hAnsi="楷体_GB2312" w:eastAsia="楷体_GB2312" w:cs="楷体_GB2312"/>
          <w:b w:val="0"/>
          <w:bCs w:val="0"/>
          <w:sz w:val="32"/>
          <w:szCs w:val="40"/>
        </w:rPr>
        <w:t>采购单位</w:t>
      </w:r>
      <w:r>
        <w:rPr>
          <w:rFonts w:hint="eastAsia" w:ascii="仿宋_GB2312" w:hAnsi="仿宋_GB2312" w:eastAsia="仿宋_GB2312" w:cs="仿宋_GB2312"/>
          <w:b w:val="0"/>
          <w:bCs w:val="0"/>
          <w:sz w:val="32"/>
          <w:szCs w:val="40"/>
        </w:rPr>
        <w:t>：</w:t>
      </w:r>
      <w:r>
        <w:rPr>
          <w:rFonts w:hint="eastAsia" w:ascii="仿宋_GB2312" w:hAnsi="仿宋_GB2312" w:eastAsia="仿宋_GB2312" w:cs="仿宋_GB2312"/>
          <w:b w:val="0"/>
          <w:bCs w:val="0"/>
          <w:sz w:val="32"/>
          <w:szCs w:val="40"/>
          <w:lang w:val="en-US" w:eastAsia="zh-CN"/>
        </w:rPr>
        <w:t>深圳市人力资源服务有限公司</w:t>
      </w:r>
    </w:p>
    <w:p w14:paraId="7B2CBFD4">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黑体" w:hAnsi="黑体" w:eastAsia="黑体" w:cs="黑体"/>
          <w:b w:val="0"/>
          <w:bCs w:val="0"/>
          <w:sz w:val="32"/>
          <w:szCs w:val="40"/>
          <w:lang w:val="en-US" w:eastAsia="zh-CN"/>
        </w:rPr>
      </w:pPr>
      <w:r>
        <w:rPr>
          <w:rFonts w:hint="eastAsia" w:ascii="楷体_GB2312" w:hAnsi="楷体_GB2312" w:eastAsia="楷体_GB2312" w:cs="楷体_GB2312"/>
          <w:b w:val="0"/>
          <w:bCs w:val="0"/>
          <w:sz w:val="32"/>
          <w:szCs w:val="40"/>
          <w:lang w:val="en-US" w:eastAsia="zh-CN"/>
        </w:rPr>
        <w:t>（二）服务内容：</w:t>
      </w:r>
      <w:r>
        <w:rPr>
          <w:rFonts w:hint="eastAsia" w:ascii="仿宋_GB2312" w:hAnsi="仿宋_GB2312" w:eastAsia="仿宋_GB2312" w:cs="仿宋_GB2312"/>
          <w:b w:val="0"/>
          <w:bCs w:val="0"/>
          <w:kern w:val="2"/>
          <w:sz w:val="32"/>
          <w:szCs w:val="40"/>
          <w:lang w:val="en-US" w:eastAsia="zh-CN" w:bidi="ar-SA"/>
        </w:rPr>
        <w:t>详见附件《专项法律服务需求说明书》</w:t>
      </w:r>
    </w:p>
    <w:p w14:paraId="1387DE1C">
      <w:pPr>
        <w:keepNext w:val="0"/>
        <w:keepLines w:val="0"/>
        <w:pageBreakBefore w:val="0"/>
        <w:numPr>
          <w:ilvl w:val="0"/>
          <w:numId w:val="0"/>
        </w:numPr>
        <w:kinsoku/>
        <w:wordWrap/>
        <w:overflowPunct/>
        <w:topLinePunct w:val="0"/>
        <w:autoSpaceDE/>
        <w:autoSpaceDN/>
        <w:bidi w:val="0"/>
        <w:adjustRightInd/>
        <w:spacing w:beforeAutospacing="0" w:afterAutospacing="0" w:line="500" w:lineRule="exact"/>
        <w:ind w:left="0" w:leftChars="0" w:firstLine="420" w:firstLineChars="0"/>
        <w:jc w:val="both"/>
        <w:textAlignment w:val="auto"/>
        <w:rPr>
          <w:rFonts w:hint="eastAsia" w:ascii="黑体" w:hAnsi="黑体" w:eastAsia="黑体" w:cs="黑体"/>
          <w:b w:val="0"/>
          <w:bCs w:val="0"/>
          <w:sz w:val="32"/>
          <w:szCs w:val="40"/>
          <w:lang w:val="en-US" w:eastAsia="zh-CN"/>
        </w:rPr>
      </w:pPr>
      <w:r>
        <w:rPr>
          <w:rFonts w:hint="eastAsia" w:ascii="黑体" w:hAnsi="黑体" w:eastAsia="黑体" w:cs="黑体"/>
          <w:b w:val="0"/>
          <w:bCs w:val="0"/>
          <w:kern w:val="2"/>
          <w:sz w:val="32"/>
          <w:szCs w:val="40"/>
          <w:lang w:val="en-US" w:eastAsia="zh-CN" w:bidi="ar-SA"/>
        </w:rPr>
        <w:t>二、</w:t>
      </w:r>
      <w:r>
        <w:rPr>
          <w:rFonts w:hint="eastAsia" w:ascii="黑体" w:hAnsi="黑体" w:eastAsia="黑体" w:cs="黑体"/>
          <w:b w:val="0"/>
          <w:bCs w:val="0"/>
          <w:sz w:val="32"/>
          <w:szCs w:val="40"/>
          <w:lang w:val="en-US" w:eastAsia="zh-CN"/>
        </w:rPr>
        <w:t>报价要求</w:t>
      </w:r>
    </w:p>
    <w:p w14:paraId="4DEC677D">
      <w:pPr>
        <w:pStyle w:val="6"/>
        <w:keepNext w:val="0"/>
        <w:keepLines w:val="0"/>
        <w:pageBreakBefore w:val="0"/>
        <w:widowControl/>
        <w:suppressLineNumbers w:val="0"/>
        <w:kinsoku/>
        <w:wordWrap/>
        <w:overflowPunct/>
        <w:topLinePunct w:val="0"/>
        <w:autoSpaceDE/>
        <w:autoSpaceDN/>
        <w:bidi w:val="0"/>
        <w:adjustRightInd/>
        <w:spacing w:beforeAutospacing="0" w:afterAutospacing="0" w:line="500" w:lineRule="exact"/>
        <w:ind w:firstLine="640" w:firstLineChars="200"/>
        <w:textAlignment w:val="auto"/>
        <w:rPr>
          <w:rFonts w:hint="eastAsia" w:ascii="仿宋_GB2312" w:hAnsi="仿宋_GB2312" w:eastAsia="仿宋_GB2312" w:cs="仿宋_GB2312"/>
          <w:b w:val="0"/>
          <w:bCs w:val="0"/>
          <w:kern w:val="2"/>
          <w:sz w:val="32"/>
          <w:szCs w:val="40"/>
          <w:lang w:val="en-US" w:eastAsia="zh-CN" w:bidi="ar-SA"/>
        </w:rPr>
      </w:pPr>
      <w:r>
        <w:rPr>
          <w:rFonts w:hint="eastAsia" w:ascii="仿宋_GB2312" w:hAnsi="仿宋_GB2312" w:eastAsia="仿宋_GB2312" w:cs="仿宋_GB2312"/>
          <w:b w:val="0"/>
          <w:bCs w:val="0"/>
          <w:kern w:val="2"/>
          <w:sz w:val="32"/>
          <w:szCs w:val="40"/>
          <w:lang w:val="en-US" w:eastAsia="zh-CN" w:bidi="ar-SA"/>
        </w:rPr>
        <w:t>请贵司根据以下三部分分别进行报价：</w:t>
      </w:r>
    </w:p>
    <w:tbl>
      <w:tblPr>
        <w:tblStyle w:val="8"/>
        <w:tblW w:w="9689" w:type="dxa"/>
        <w:tblInd w:w="-4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2075"/>
        <w:gridCol w:w="1364"/>
        <w:gridCol w:w="2195"/>
        <w:gridCol w:w="3280"/>
      </w:tblGrid>
      <w:tr w14:paraId="4BDD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75" w:type="dxa"/>
            <w:tcBorders>
              <w:top w:val="double" w:color="auto" w:sz="4" w:space="0"/>
              <w:left w:val="double" w:color="auto" w:sz="4" w:space="0"/>
            </w:tcBorders>
            <w:vAlign w:val="center"/>
          </w:tcPr>
          <w:p w14:paraId="2869C329">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序号</w:t>
            </w:r>
          </w:p>
        </w:tc>
        <w:tc>
          <w:tcPr>
            <w:tcW w:w="2075" w:type="dxa"/>
            <w:tcBorders>
              <w:top w:val="double" w:color="auto" w:sz="4" w:space="0"/>
            </w:tcBorders>
            <w:vAlign w:val="center"/>
          </w:tcPr>
          <w:p w14:paraId="0FC703F0">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报价类别​</w:t>
            </w:r>
          </w:p>
        </w:tc>
        <w:tc>
          <w:tcPr>
            <w:tcW w:w="1364" w:type="dxa"/>
            <w:tcBorders>
              <w:top w:val="double" w:color="auto" w:sz="4" w:space="0"/>
            </w:tcBorders>
            <w:vAlign w:val="center"/>
          </w:tcPr>
          <w:p w14:paraId="3473E19D">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报价方式</w:t>
            </w:r>
          </w:p>
        </w:tc>
        <w:tc>
          <w:tcPr>
            <w:tcW w:w="2195" w:type="dxa"/>
            <w:tcBorders>
              <w:top w:val="double" w:color="auto" w:sz="4" w:space="0"/>
            </w:tcBorders>
            <w:vAlign w:val="center"/>
          </w:tcPr>
          <w:p w14:paraId="3D4E3428">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报价金额​</w:t>
            </w:r>
          </w:p>
        </w:tc>
        <w:tc>
          <w:tcPr>
            <w:tcW w:w="3280" w:type="dxa"/>
            <w:tcBorders>
              <w:top w:val="double" w:color="auto" w:sz="4" w:space="0"/>
              <w:right w:val="double" w:color="auto" w:sz="4" w:space="0"/>
            </w:tcBorders>
            <w:vAlign w:val="center"/>
          </w:tcPr>
          <w:p w14:paraId="367EA7A8">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备注​</w:t>
            </w:r>
          </w:p>
        </w:tc>
      </w:tr>
      <w:tr w14:paraId="0323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775" w:type="dxa"/>
            <w:tcBorders>
              <w:left w:val="double" w:color="auto" w:sz="4" w:space="0"/>
            </w:tcBorders>
            <w:vAlign w:val="center"/>
          </w:tcPr>
          <w:p w14:paraId="0CA81967">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1</w:t>
            </w:r>
          </w:p>
        </w:tc>
        <w:tc>
          <w:tcPr>
            <w:tcW w:w="2075" w:type="dxa"/>
            <w:vAlign w:val="center"/>
          </w:tcPr>
          <w:p w14:paraId="4958FEC9">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专项法律服务基础服务费</w:t>
            </w:r>
          </w:p>
        </w:tc>
        <w:tc>
          <w:tcPr>
            <w:tcW w:w="1364" w:type="dxa"/>
            <w:vAlign w:val="center"/>
          </w:tcPr>
          <w:p w14:paraId="4FD0FD49">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按年报价</w:t>
            </w:r>
          </w:p>
        </w:tc>
        <w:tc>
          <w:tcPr>
            <w:tcW w:w="2195" w:type="dxa"/>
            <w:vAlign w:val="center"/>
          </w:tcPr>
          <w:p w14:paraId="2D1B957C">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   】元/年</w:t>
            </w:r>
          </w:p>
        </w:tc>
        <w:tc>
          <w:tcPr>
            <w:tcW w:w="3280" w:type="dxa"/>
            <w:tcBorders>
              <w:right w:val="double" w:color="auto" w:sz="4" w:space="0"/>
            </w:tcBorders>
            <w:vAlign w:val="center"/>
          </w:tcPr>
          <w:p w14:paraId="215D1EC0">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vertAlign w:val="baseline"/>
                <w:lang w:val="en-US" w:eastAsia="zh-CN" w:bidi="ar-SA"/>
              </w:rPr>
              <w:t>服务内容涵盖需求说明书，但不包括案件代理以及</w:t>
            </w:r>
            <w:r>
              <w:rPr>
                <w:rFonts w:hint="eastAsia" w:ascii="仿宋_GB2312" w:hAnsi="仿宋_GB2312" w:eastAsia="仿宋_GB2312" w:cs="仿宋_GB2312"/>
                <w:b w:val="0"/>
                <w:bCs w:val="0"/>
                <w:kern w:val="2"/>
                <w:sz w:val="28"/>
                <w:szCs w:val="36"/>
                <w:lang w:val="en-US" w:eastAsia="zh-CN" w:bidi="ar-SA"/>
              </w:rPr>
              <w:t>群体性事件/批量人员切转/批量人员解除谈判</w:t>
            </w:r>
          </w:p>
        </w:tc>
      </w:tr>
      <w:tr w14:paraId="371C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75" w:type="dxa"/>
            <w:vMerge w:val="restart"/>
            <w:tcBorders>
              <w:left w:val="double" w:color="auto" w:sz="4" w:space="0"/>
            </w:tcBorders>
            <w:vAlign w:val="center"/>
          </w:tcPr>
          <w:p w14:paraId="09685E8A">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2</w:t>
            </w:r>
          </w:p>
        </w:tc>
        <w:tc>
          <w:tcPr>
            <w:tcW w:w="2075" w:type="dxa"/>
            <w:vMerge w:val="restart"/>
            <w:vAlign w:val="center"/>
          </w:tcPr>
          <w:p w14:paraId="387B5730">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案件代理费​</w:t>
            </w:r>
          </w:p>
        </w:tc>
        <w:tc>
          <w:tcPr>
            <w:tcW w:w="1364" w:type="dxa"/>
            <w:vAlign w:val="center"/>
          </w:tcPr>
          <w:p w14:paraId="132BDEE2">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按件计费</w:t>
            </w:r>
          </w:p>
        </w:tc>
        <w:tc>
          <w:tcPr>
            <w:tcW w:w="2195" w:type="dxa"/>
            <w:vAlign w:val="center"/>
          </w:tcPr>
          <w:p w14:paraId="49FDE55F">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right="0" w:rightChars="0"/>
              <w:jc w:val="center"/>
              <w:textAlignment w:val="auto"/>
              <w:rPr>
                <w:rFonts w:hint="eastAsia"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   】</w:t>
            </w:r>
            <w:r>
              <w:rPr>
                <w:rFonts w:hint="eastAsia" w:ascii="仿宋_GB2312" w:hAnsi="仿宋_GB2312" w:eastAsia="仿宋_GB2312" w:cs="仿宋_GB2312"/>
                <w:b w:val="0"/>
                <w:bCs w:val="0"/>
                <w:kern w:val="2"/>
                <w:sz w:val="28"/>
                <w:szCs w:val="36"/>
                <w:u w:val="none"/>
                <w:lang w:val="en-US" w:eastAsia="zh-CN" w:bidi="ar-SA"/>
              </w:rPr>
              <w:t>元</w:t>
            </w:r>
            <w:r>
              <w:rPr>
                <w:rFonts w:hint="eastAsia" w:ascii="仿宋_GB2312" w:hAnsi="仿宋_GB2312" w:eastAsia="仿宋_GB2312" w:cs="仿宋_GB2312"/>
                <w:b w:val="0"/>
                <w:bCs w:val="0"/>
                <w:kern w:val="2"/>
                <w:sz w:val="28"/>
                <w:szCs w:val="36"/>
                <w:lang w:val="en-US" w:eastAsia="zh-CN" w:bidi="ar-SA"/>
              </w:rPr>
              <w:t>/件</w:t>
            </w:r>
          </w:p>
        </w:tc>
        <w:tc>
          <w:tcPr>
            <w:tcW w:w="3280" w:type="dxa"/>
            <w:tcBorders>
              <w:right w:val="double" w:color="auto" w:sz="4" w:space="0"/>
            </w:tcBorders>
            <w:vAlign w:val="center"/>
          </w:tcPr>
          <w:p w14:paraId="449966D8">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vertAlign w:val="baseline"/>
                <w:lang w:val="en-US" w:eastAsia="zh-CN" w:bidi="ar-SA"/>
              </w:rPr>
              <w:t>同一案件的一审、二审、再审、执行视为同一服务阶段，不分段重复计费；</w:t>
            </w:r>
          </w:p>
        </w:tc>
      </w:tr>
      <w:tr w14:paraId="7611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775" w:type="dxa"/>
            <w:vMerge w:val="continue"/>
            <w:tcBorders>
              <w:left w:val="double" w:color="auto" w:sz="4" w:space="0"/>
            </w:tcBorders>
            <w:vAlign w:val="center"/>
          </w:tcPr>
          <w:p w14:paraId="48520A05">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2"/>
                <w:sz w:val="28"/>
                <w:szCs w:val="36"/>
                <w:lang w:val="en-US" w:eastAsia="zh-CN" w:bidi="ar-SA"/>
              </w:rPr>
            </w:pPr>
          </w:p>
        </w:tc>
        <w:tc>
          <w:tcPr>
            <w:tcW w:w="2075" w:type="dxa"/>
            <w:vMerge w:val="continue"/>
            <w:vAlign w:val="center"/>
          </w:tcPr>
          <w:p w14:paraId="688A20AB">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2"/>
                <w:sz w:val="28"/>
                <w:szCs w:val="36"/>
                <w:lang w:val="en-US" w:eastAsia="zh-CN" w:bidi="ar-SA"/>
              </w:rPr>
            </w:pPr>
          </w:p>
        </w:tc>
        <w:tc>
          <w:tcPr>
            <w:tcW w:w="1364" w:type="dxa"/>
            <w:vAlign w:val="center"/>
          </w:tcPr>
          <w:p w14:paraId="78911658">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仿宋_GB2312" w:hAnsi="仿宋_GB2312" w:eastAsia="仿宋_GB2312" w:cs="仿宋_GB2312"/>
                <w:b w:val="0"/>
                <w:bCs w:val="0"/>
                <w:kern w:val="2"/>
                <w:sz w:val="28"/>
                <w:szCs w:val="36"/>
                <w:lang w:val="en-US" w:eastAsia="zh-CN" w:bidi="ar-SA"/>
              </w:rPr>
            </w:pPr>
            <w:r>
              <w:rPr>
                <w:rFonts w:hint="eastAsia" w:ascii="仿宋_GB2312" w:hAnsi="仿宋_GB2312" w:eastAsia="仿宋_GB2312" w:cs="仿宋_GB2312"/>
                <w:b w:val="0"/>
                <w:bCs w:val="0"/>
                <w:kern w:val="2"/>
                <w:sz w:val="28"/>
                <w:szCs w:val="36"/>
                <w:lang w:val="en-US" w:eastAsia="zh-CN" w:bidi="ar-SA"/>
              </w:rPr>
              <w:t>按阶段计费</w:t>
            </w:r>
          </w:p>
        </w:tc>
        <w:tc>
          <w:tcPr>
            <w:tcW w:w="2195" w:type="dxa"/>
            <w:vAlign w:val="center"/>
          </w:tcPr>
          <w:p w14:paraId="46FD0165">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2"/>
                <w:sz w:val="28"/>
                <w:szCs w:val="36"/>
                <w:lang w:val="en-US" w:eastAsia="zh-CN" w:bidi="ar-SA"/>
              </w:rPr>
            </w:pPr>
            <w:r>
              <w:rPr>
                <w:rFonts w:hint="eastAsia" w:ascii="仿宋_GB2312" w:hAnsi="仿宋_GB2312" w:eastAsia="仿宋_GB2312" w:cs="仿宋_GB2312"/>
                <w:b w:val="0"/>
                <w:bCs w:val="0"/>
                <w:kern w:val="2"/>
                <w:sz w:val="28"/>
                <w:szCs w:val="36"/>
                <w:lang w:val="en-US" w:eastAsia="zh-CN" w:bidi="ar-SA"/>
              </w:rPr>
              <w:t>【   】</w:t>
            </w:r>
            <w:r>
              <w:rPr>
                <w:rFonts w:hint="eastAsia" w:ascii="仿宋_GB2312" w:hAnsi="仿宋_GB2312" w:eastAsia="仿宋_GB2312" w:cs="仿宋_GB2312"/>
                <w:b w:val="0"/>
                <w:bCs w:val="0"/>
                <w:kern w:val="2"/>
                <w:sz w:val="28"/>
                <w:szCs w:val="36"/>
                <w:u w:val="none"/>
                <w:lang w:val="en-US" w:eastAsia="zh-CN" w:bidi="ar-SA"/>
              </w:rPr>
              <w:t>元</w:t>
            </w:r>
            <w:r>
              <w:rPr>
                <w:rFonts w:hint="eastAsia" w:ascii="仿宋_GB2312" w:hAnsi="仿宋_GB2312" w:eastAsia="仿宋_GB2312" w:cs="仿宋_GB2312"/>
                <w:b w:val="0"/>
                <w:bCs w:val="0"/>
                <w:kern w:val="2"/>
                <w:sz w:val="28"/>
                <w:szCs w:val="36"/>
                <w:lang w:val="en-US" w:eastAsia="zh-CN" w:bidi="ar-SA"/>
              </w:rPr>
              <w:t>/件</w:t>
            </w:r>
          </w:p>
        </w:tc>
        <w:tc>
          <w:tcPr>
            <w:tcW w:w="3280" w:type="dxa"/>
            <w:tcBorders>
              <w:right w:val="double" w:color="auto" w:sz="4" w:space="0"/>
            </w:tcBorders>
            <w:vAlign w:val="center"/>
          </w:tcPr>
          <w:p w14:paraId="1AD1500E">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2"/>
                <w:sz w:val="28"/>
                <w:szCs w:val="36"/>
                <w:lang w:val="en-US" w:eastAsia="zh-CN" w:bidi="ar-SA"/>
              </w:rPr>
            </w:pPr>
            <w:r>
              <w:rPr>
                <w:rFonts w:hint="eastAsia" w:ascii="仿宋_GB2312" w:hAnsi="仿宋_GB2312" w:eastAsia="仿宋_GB2312" w:cs="仿宋_GB2312"/>
                <w:b w:val="0"/>
                <w:bCs w:val="0"/>
                <w:kern w:val="2"/>
                <w:sz w:val="28"/>
                <w:szCs w:val="36"/>
                <w:vertAlign w:val="baseline"/>
                <w:lang w:val="en-US" w:eastAsia="zh-CN" w:bidi="ar-SA"/>
              </w:rPr>
              <w:t>同一案件的一审、二审、再审、执行视为不同服务阶段，分段计费；</w:t>
            </w:r>
          </w:p>
        </w:tc>
      </w:tr>
      <w:tr w14:paraId="3349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tcBorders>
              <w:left w:val="double" w:color="auto" w:sz="4" w:space="0"/>
              <w:bottom w:val="double" w:color="auto" w:sz="4" w:space="0"/>
            </w:tcBorders>
            <w:vAlign w:val="center"/>
          </w:tcPr>
          <w:p w14:paraId="1D7F806A">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3</w:t>
            </w:r>
          </w:p>
        </w:tc>
        <w:tc>
          <w:tcPr>
            <w:tcW w:w="2075" w:type="dxa"/>
            <w:tcBorders>
              <w:bottom w:val="double" w:color="auto" w:sz="4" w:space="0"/>
            </w:tcBorders>
            <w:vAlign w:val="center"/>
          </w:tcPr>
          <w:p w14:paraId="7B3CE9CD">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群体性事件/批量人员切转/批量人员解除谈判​</w:t>
            </w:r>
          </w:p>
        </w:tc>
        <w:tc>
          <w:tcPr>
            <w:tcW w:w="1364" w:type="dxa"/>
            <w:tcBorders>
              <w:bottom w:val="double" w:color="auto" w:sz="4" w:space="0"/>
            </w:tcBorders>
            <w:vAlign w:val="center"/>
          </w:tcPr>
          <w:p w14:paraId="04729BF9">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按人数单次计费</w:t>
            </w:r>
          </w:p>
        </w:tc>
        <w:tc>
          <w:tcPr>
            <w:tcW w:w="2195" w:type="dxa"/>
            <w:tcBorders>
              <w:bottom w:val="double" w:color="auto" w:sz="4" w:space="0"/>
            </w:tcBorders>
            <w:vAlign w:val="center"/>
          </w:tcPr>
          <w:p w14:paraId="6CC12DC8">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见下方分段报价表</w:t>
            </w:r>
          </w:p>
        </w:tc>
        <w:tc>
          <w:tcPr>
            <w:tcW w:w="3280" w:type="dxa"/>
            <w:tcBorders>
              <w:bottom w:val="double" w:color="auto" w:sz="4" w:space="0"/>
              <w:right w:val="double" w:color="auto" w:sz="4" w:space="0"/>
            </w:tcBorders>
            <w:vAlign w:val="center"/>
          </w:tcPr>
          <w:p w14:paraId="03261562">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eastAsia"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请根据下表不同人数区间分别报价。</w:t>
            </w:r>
          </w:p>
        </w:tc>
      </w:tr>
    </w:tbl>
    <w:p w14:paraId="16170A52">
      <w:pPr>
        <w:rPr>
          <w:rFonts w:hint="eastAsia" w:ascii="仿宋_GB2312" w:hAnsi="仿宋_GB2312" w:eastAsia="仿宋_GB2312" w:cs="仿宋_GB2312"/>
          <w:b w:val="0"/>
          <w:bCs w:val="0"/>
          <w:kern w:val="2"/>
          <w:sz w:val="24"/>
          <w:szCs w:val="32"/>
          <w:lang w:val="en-US" w:eastAsia="zh-CN" w:bidi="ar-SA"/>
        </w:rPr>
      </w:pPr>
      <w:r>
        <w:rPr>
          <w:rFonts w:hint="eastAsia" w:ascii="仿宋_GB2312" w:hAnsi="仿宋_GB2312" w:eastAsia="仿宋_GB2312" w:cs="仿宋_GB2312"/>
          <w:b w:val="0"/>
          <w:bCs w:val="0"/>
          <w:kern w:val="2"/>
          <w:sz w:val="24"/>
          <w:szCs w:val="32"/>
          <w:lang w:val="en-US" w:eastAsia="zh-CN" w:bidi="ar-SA"/>
        </w:rPr>
        <w:br w:type="page"/>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0"/>
        <w:gridCol w:w="4410"/>
        <w:gridCol w:w="1631"/>
      </w:tblGrid>
      <w:tr w14:paraId="28F0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9061" w:type="dxa"/>
            <w:gridSpan w:val="3"/>
            <w:tcBorders>
              <w:top w:val="double" w:color="auto" w:sz="4" w:space="0"/>
              <w:left w:val="double" w:color="auto" w:sz="4" w:space="0"/>
              <w:right w:val="double" w:color="auto" w:sz="4" w:space="0"/>
            </w:tcBorders>
            <w:vAlign w:val="center"/>
          </w:tcPr>
          <w:p w14:paraId="1F618AB2">
            <w:pPr>
              <w:pStyle w:val="6"/>
              <w:keepNext w:val="0"/>
              <w:keepLines w:val="0"/>
              <w:pageBreakBefore w:val="0"/>
              <w:widowControl/>
              <w:suppressLineNumbers w:val="0"/>
              <w:kinsoku/>
              <w:wordWrap/>
              <w:overflowPunct/>
              <w:topLinePunct w:val="0"/>
              <w:autoSpaceDE/>
              <w:autoSpaceDN/>
              <w:bidi w:val="0"/>
              <w:adjustRightInd/>
              <w:spacing w:beforeAutospacing="0" w:afterAutospacing="0" w:line="500" w:lineRule="exact"/>
              <w:jc w:val="center"/>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群体性事件/批量人员切转/批量人员解除谈判</w:t>
            </w:r>
          </w:p>
          <w:p w14:paraId="79DC6D0C">
            <w:pPr>
              <w:pStyle w:val="6"/>
              <w:keepNext w:val="0"/>
              <w:keepLines w:val="0"/>
              <w:pageBreakBefore w:val="0"/>
              <w:widowControl/>
              <w:suppressLineNumbers w:val="0"/>
              <w:kinsoku/>
              <w:wordWrap/>
              <w:overflowPunct/>
              <w:topLinePunct w:val="0"/>
              <w:autoSpaceDE/>
              <w:autoSpaceDN/>
              <w:bidi w:val="0"/>
              <w:adjustRightInd/>
              <w:spacing w:beforeAutospacing="0" w:afterAutospacing="0" w:line="500" w:lineRule="exact"/>
              <w:jc w:val="center"/>
              <w:textAlignment w:val="auto"/>
              <w:rPr>
                <w:rFonts w:hint="eastAsia" w:ascii="仿宋_GB2312" w:hAnsi="仿宋_GB2312" w:eastAsia="仿宋_GB2312" w:cs="仿宋_GB2312"/>
                <w:b w:val="0"/>
                <w:bCs w:val="0"/>
                <w:snapToGrid w:val="0"/>
                <w:color w:val="000000"/>
                <w:spacing w:val="-1"/>
                <w:kern w:val="0"/>
                <w:sz w:val="24"/>
                <w:szCs w:val="24"/>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按人数单次计费详细报价表</w:t>
            </w:r>
          </w:p>
        </w:tc>
      </w:tr>
      <w:tr w14:paraId="544F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3020" w:type="dxa"/>
            <w:tcBorders>
              <w:left w:val="double" w:color="auto" w:sz="4" w:space="0"/>
            </w:tcBorders>
            <w:vAlign w:val="center"/>
          </w:tcPr>
          <w:p w14:paraId="4EF549EF">
            <w:pPr>
              <w:pStyle w:val="6"/>
              <w:keepNext w:val="0"/>
              <w:keepLines w:val="0"/>
              <w:pageBreakBefore w:val="0"/>
              <w:widowControl/>
              <w:suppressLineNumbers w:val="0"/>
              <w:kinsoku/>
              <w:wordWrap/>
              <w:overflowPunct/>
              <w:topLinePunct w:val="0"/>
              <w:autoSpaceDE/>
              <w:autoSpaceDN/>
              <w:bidi w:val="0"/>
              <w:adjustRightInd/>
              <w:spacing w:beforeAutospacing="0" w:afterAutospacing="0" w:line="500" w:lineRule="exact"/>
              <w:ind w:left="0" w:leftChars="0" w:right="0" w:rightChars="0"/>
              <w:jc w:val="center"/>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人数区间（人）</w:t>
            </w:r>
          </w:p>
        </w:tc>
        <w:tc>
          <w:tcPr>
            <w:tcW w:w="4410" w:type="dxa"/>
            <w:vAlign w:val="center"/>
          </w:tcPr>
          <w:p w14:paraId="6A18E88B">
            <w:pPr>
              <w:pStyle w:val="6"/>
              <w:keepNext w:val="0"/>
              <w:keepLines w:val="0"/>
              <w:pageBreakBefore w:val="0"/>
              <w:widowControl/>
              <w:suppressLineNumbers w:val="0"/>
              <w:kinsoku/>
              <w:wordWrap/>
              <w:overflowPunct/>
              <w:topLinePunct w:val="0"/>
              <w:autoSpaceDE/>
              <w:autoSpaceDN/>
              <w:bidi w:val="0"/>
              <w:adjustRightInd/>
              <w:spacing w:beforeAutospacing="0" w:afterAutospacing="0" w:line="500" w:lineRule="exact"/>
              <w:ind w:left="0" w:leftChars="0" w:right="0" w:rightChars="0"/>
              <w:jc w:val="center"/>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单次服务总价（人民币，元）</w:t>
            </w:r>
          </w:p>
        </w:tc>
        <w:tc>
          <w:tcPr>
            <w:tcW w:w="1631" w:type="dxa"/>
            <w:tcBorders>
              <w:right w:val="double" w:color="auto" w:sz="4" w:space="0"/>
            </w:tcBorders>
            <w:vAlign w:val="center"/>
          </w:tcPr>
          <w:p w14:paraId="571F4472">
            <w:pPr>
              <w:pStyle w:val="6"/>
              <w:keepNext w:val="0"/>
              <w:keepLines w:val="0"/>
              <w:pageBreakBefore w:val="0"/>
              <w:widowControl/>
              <w:suppressLineNumbers w:val="0"/>
              <w:kinsoku/>
              <w:wordWrap/>
              <w:overflowPunct/>
              <w:topLinePunct w:val="0"/>
              <w:autoSpaceDE/>
              <w:autoSpaceDN/>
              <w:bidi w:val="0"/>
              <w:adjustRightInd/>
              <w:spacing w:beforeAutospacing="0" w:afterAutospacing="0" w:line="500" w:lineRule="exact"/>
              <w:ind w:left="0" w:leftChars="0" w:right="0" w:rightChars="0"/>
              <w:jc w:val="center"/>
              <w:textAlignment w:val="auto"/>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1"/>
                <w:kern w:val="0"/>
                <w:sz w:val="28"/>
                <w:szCs w:val="28"/>
                <w:lang w:val="en-US" w:eastAsia="zh-CN" w:bidi="ar-SA"/>
                <w14:textOutline w14:w="3831" w14:cap="flat" w14:cmpd="sng">
                  <w14:solidFill>
                    <w14:srgbClr w14:val="000000"/>
                  </w14:solidFill>
                  <w14:prstDash w14:val="solid"/>
                  <w14:miter w14:val="0"/>
                </w14:textOutline>
              </w:rPr>
              <w:t>备注​</w:t>
            </w:r>
          </w:p>
        </w:tc>
      </w:tr>
      <w:tr w14:paraId="09DB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20" w:type="dxa"/>
            <w:tcBorders>
              <w:left w:val="double" w:color="auto" w:sz="4" w:space="0"/>
            </w:tcBorders>
            <w:vAlign w:val="center"/>
          </w:tcPr>
          <w:p w14:paraId="3048E76C">
            <w:pPr>
              <w:pStyle w:val="6"/>
              <w:keepNext w:val="0"/>
              <w:keepLines w:val="0"/>
              <w:pageBreakBefore w:val="0"/>
              <w:widowControl/>
              <w:suppressLineNumbers w:val="0"/>
              <w:kinsoku/>
              <w:wordWrap/>
              <w:overflowPunct/>
              <w:topLinePunct w:val="0"/>
              <w:autoSpaceDE/>
              <w:autoSpaceDN/>
              <w:bidi w:val="0"/>
              <w:adjustRightInd/>
              <w:spacing w:beforeAutospacing="0" w:afterAutospacing="0" w:line="500" w:lineRule="exact"/>
              <w:ind w:left="0" w:leftChars="0" w:right="0" w:rightChars="0"/>
              <w:jc w:val="center"/>
              <w:textAlignment w:val="auto"/>
              <w:rPr>
                <w:rFonts w:hint="default"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1-50</w:t>
            </w:r>
          </w:p>
        </w:tc>
        <w:tc>
          <w:tcPr>
            <w:tcW w:w="4410" w:type="dxa"/>
            <w:vAlign w:val="center"/>
          </w:tcPr>
          <w:p w14:paraId="7B080301">
            <w:pPr>
              <w:pStyle w:val="6"/>
              <w:keepNext w:val="0"/>
              <w:keepLines w:val="0"/>
              <w:pageBreakBefore w:val="0"/>
              <w:widowControl/>
              <w:suppressLineNumbers w:val="0"/>
              <w:kinsoku/>
              <w:wordWrap/>
              <w:overflowPunct/>
              <w:topLinePunct w:val="0"/>
              <w:autoSpaceDE/>
              <w:autoSpaceDN/>
              <w:bidi w:val="0"/>
              <w:adjustRightInd/>
              <w:spacing w:beforeAutospacing="0" w:afterAutospacing="0" w:line="500" w:lineRule="exact"/>
              <w:ind w:left="0" w:leftChars="0" w:right="0" w:rightChars="0"/>
              <w:textAlignment w:val="auto"/>
              <w:rPr>
                <w:rFonts w:hint="eastAsia"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   】元/次</w:t>
            </w:r>
          </w:p>
        </w:tc>
        <w:tc>
          <w:tcPr>
            <w:tcW w:w="1631" w:type="dxa"/>
            <w:tcBorders>
              <w:right w:val="double" w:color="auto" w:sz="4" w:space="0"/>
            </w:tcBorders>
            <w:vAlign w:val="center"/>
          </w:tcPr>
          <w:p w14:paraId="7B575382">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仿宋_GB2312" w:hAnsi="仿宋_GB2312" w:eastAsia="仿宋_GB2312" w:cs="仿宋_GB2312"/>
                <w:b w:val="0"/>
                <w:bCs w:val="0"/>
                <w:kern w:val="2"/>
                <w:sz w:val="28"/>
                <w:szCs w:val="36"/>
                <w:vertAlign w:val="baseline"/>
                <w:lang w:val="en-US" w:eastAsia="zh-CN" w:bidi="ar-SA"/>
              </w:rPr>
            </w:pPr>
          </w:p>
        </w:tc>
      </w:tr>
      <w:tr w14:paraId="021D7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20" w:type="dxa"/>
            <w:tcBorders>
              <w:left w:val="double" w:color="auto" w:sz="4" w:space="0"/>
            </w:tcBorders>
            <w:vAlign w:val="center"/>
          </w:tcPr>
          <w:p w14:paraId="61DC462B">
            <w:pPr>
              <w:pStyle w:val="6"/>
              <w:keepNext w:val="0"/>
              <w:keepLines w:val="0"/>
              <w:pageBreakBefore w:val="0"/>
              <w:widowControl/>
              <w:suppressLineNumbers w:val="0"/>
              <w:kinsoku/>
              <w:wordWrap/>
              <w:overflowPunct/>
              <w:topLinePunct w:val="0"/>
              <w:autoSpaceDE/>
              <w:autoSpaceDN/>
              <w:bidi w:val="0"/>
              <w:adjustRightInd/>
              <w:spacing w:beforeAutospacing="0" w:afterAutospacing="0" w:line="500" w:lineRule="exact"/>
              <w:ind w:left="0" w:leftChars="0" w:right="0" w:rightChars="0"/>
              <w:jc w:val="center"/>
              <w:textAlignment w:val="auto"/>
              <w:rPr>
                <w:rFonts w:hint="eastAsia"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51-100</w:t>
            </w:r>
          </w:p>
        </w:tc>
        <w:tc>
          <w:tcPr>
            <w:tcW w:w="4410" w:type="dxa"/>
            <w:vAlign w:val="center"/>
          </w:tcPr>
          <w:p w14:paraId="1612C062">
            <w:pPr>
              <w:pStyle w:val="6"/>
              <w:keepNext w:val="0"/>
              <w:keepLines w:val="0"/>
              <w:pageBreakBefore w:val="0"/>
              <w:widowControl/>
              <w:suppressLineNumbers w:val="0"/>
              <w:kinsoku/>
              <w:wordWrap/>
              <w:overflowPunct/>
              <w:topLinePunct w:val="0"/>
              <w:autoSpaceDE/>
              <w:autoSpaceDN/>
              <w:bidi w:val="0"/>
              <w:adjustRightInd/>
              <w:spacing w:beforeAutospacing="0" w:afterAutospacing="0" w:line="500" w:lineRule="exact"/>
              <w:ind w:left="0" w:leftChars="0" w:right="0" w:rightChars="0"/>
              <w:textAlignment w:val="auto"/>
              <w:rPr>
                <w:rFonts w:hint="eastAsia"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   】元/次</w:t>
            </w:r>
          </w:p>
        </w:tc>
        <w:tc>
          <w:tcPr>
            <w:tcW w:w="1631" w:type="dxa"/>
            <w:tcBorders>
              <w:right w:val="double" w:color="auto" w:sz="4" w:space="0"/>
            </w:tcBorders>
            <w:vAlign w:val="center"/>
          </w:tcPr>
          <w:p w14:paraId="5EB0520B">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仿宋_GB2312" w:hAnsi="仿宋_GB2312" w:eastAsia="仿宋_GB2312" w:cs="仿宋_GB2312"/>
                <w:b w:val="0"/>
                <w:bCs w:val="0"/>
                <w:kern w:val="2"/>
                <w:sz w:val="28"/>
                <w:szCs w:val="36"/>
                <w:vertAlign w:val="baseline"/>
                <w:lang w:val="en-US" w:eastAsia="zh-CN" w:bidi="ar-SA"/>
              </w:rPr>
            </w:pPr>
          </w:p>
        </w:tc>
      </w:tr>
      <w:tr w14:paraId="347C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20" w:type="dxa"/>
            <w:tcBorders>
              <w:left w:val="double" w:color="auto" w:sz="4" w:space="0"/>
              <w:bottom w:val="double" w:color="auto" w:sz="4" w:space="0"/>
            </w:tcBorders>
            <w:vAlign w:val="center"/>
          </w:tcPr>
          <w:p w14:paraId="6FE19890">
            <w:pPr>
              <w:pStyle w:val="6"/>
              <w:keepNext w:val="0"/>
              <w:keepLines w:val="0"/>
              <w:pageBreakBefore w:val="0"/>
              <w:widowControl/>
              <w:suppressLineNumbers w:val="0"/>
              <w:kinsoku/>
              <w:wordWrap/>
              <w:overflowPunct/>
              <w:topLinePunct w:val="0"/>
              <w:autoSpaceDE/>
              <w:autoSpaceDN/>
              <w:bidi w:val="0"/>
              <w:adjustRightInd/>
              <w:spacing w:beforeAutospacing="0" w:afterAutospacing="0" w:line="500" w:lineRule="exact"/>
              <w:ind w:left="0" w:leftChars="0" w:right="0" w:rightChars="0"/>
              <w:jc w:val="center"/>
              <w:textAlignment w:val="auto"/>
              <w:rPr>
                <w:rFonts w:hint="default"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100人以上</w:t>
            </w:r>
          </w:p>
        </w:tc>
        <w:tc>
          <w:tcPr>
            <w:tcW w:w="4410" w:type="dxa"/>
            <w:tcBorders>
              <w:bottom w:val="double" w:color="auto" w:sz="4" w:space="0"/>
            </w:tcBorders>
            <w:vAlign w:val="center"/>
          </w:tcPr>
          <w:p w14:paraId="63C95EF7">
            <w:pPr>
              <w:pStyle w:val="6"/>
              <w:keepNext w:val="0"/>
              <w:keepLines w:val="0"/>
              <w:pageBreakBefore w:val="0"/>
              <w:widowControl/>
              <w:suppressLineNumbers w:val="0"/>
              <w:kinsoku/>
              <w:wordWrap/>
              <w:overflowPunct/>
              <w:topLinePunct w:val="0"/>
              <w:autoSpaceDE/>
              <w:autoSpaceDN/>
              <w:bidi w:val="0"/>
              <w:adjustRightInd/>
              <w:spacing w:beforeAutospacing="0" w:afterAutospacing="0" w:line="500" w:lineRule="exact"/>
              <w:ind w:left="0" w:leftChars="0" w:right="0" w:rightChars="0"/>
              <w:textAlignment w:val="auto"/>
              <w:rPr>
                <w:rFonts w:hint="default" w:ascii="仿宋_GB2312" w:hAnsi="仿宋_GB2312" w:eastAsia="仿宋_GB2312" w:cs="仿宋_GB2312"/>
                <w:b w:val="0"/>
                <w:bCs w:val="0"/>
                <w:kern w:val="2"/>
                <w:sz w:val="28"/>
                <w:szCs w:val="36"/>
                <w:vertAlign w:val="baseline"/>
                <w:lang w:val="en-US" w:eastAsia="zh-CN" w:bidi="ar-SA"/>
              </w:rPr>
            </w:pPr>
            <w:r>
              <w:rPr>
                <w:rFonts w:hint="eastAsia" w:ascii="仿宋_GB2312" w:hAnsi="仿宋_GB2312" w:eastAsia="仿宋_GB2312" w:cs="仿宋_GB2312"/>
                <w:b w:val="0"/>
                <w:bCs w:val="0"/>
                <w:kern w:val="2"/>
                <w:sz w:val="28"/>
                <w:szCs w:val="36"/>
                <w:lang w:val="en-US" w:eastAsia="zh-CN" w:bidi="ar-SA"/>
              </w:rPr>
              <w:t>【   】元/次</w:t>
            </w:r>
          </w:p>
        </w:tc>
        <w:tc>
          <w:tcPr>
            <w:tcW w:w="1631" w:type="dxa"/>
            <w:tcBorders>
              <w:bottom w:val="double" w:color="auto" w:sz="4" w:space="0"/>
              <w:right w:val="double" w:color="auto" w:sz="4" w:space="0"/>
            </w:tcBorders>
            <w:vAlign w:val="center"/>
          </w:tcPr>
          <w:p w14:paraId="7A6B0445">
            <w:pPr>
              <w:keepNext w:val="0"/>
              <w:keepLines w:val="0"/>
              <w:pageBreakBefore w:val="0"/>
              <w:kinsoku/>
              <w:wordWrap/>
              <w:overflowPunct/>
              <w:topLinePunct w:val="0"/>
              <w:autoSpaceDE/>
              <w:autoSpaceDN/>
              <w:bidi w:val="0"/>
              <w:adjustRightInd/>
              <w:spacing w:beforeAutospacing="0" w:afterAutospacing="0" w:line="500" w:lineRule="exact"/>
              <w:textAlignment w:val="auto"/>
              <w:rPr>
                <w:rFonts w:hint="eastAsia" w:ascii="仿宋_GB2312" w:hAnsi="仿宋_GB2312" w:eastAsia="仿宋_GB2312" w:cs="仿宋_GB2312"/>
                <w:b w:val="0"/>
                <w:bCs w:val="0"/>
                <w:kern w:val="2"/>
                <w:sz w:val="28"/>
                <w:szCs w:val="36"/>
                <w:vertAlign w:val="baseline"/>
                <w:lang w:val="en-US" w:eastAsia="zh-CN" w:bidi="ar-SA"/>
              </w:rPr>
            </w:pPr>
          </w:p>
        </w:tc>
      </w:tr>
    </w:tbl>
    <w:p w14:paraId="79E6AA75">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both"/>
        <w:textAlignment w:val="auto"/>
        <w:rPr>
          <w:rFonts w:hint="default" w:ascii="仿宋_GB2312" w:hAnsi="仿宋_GB2312" w:eastAsia="仿宋_GB2312" w:cs="仿宋_GB2312"/>
          <w:b w:val="0"/>
          <w:bCs w:val="0"/>
          <w:kern w:val="2"/>
          <w:sz w:val="32"/>
          <w:szCs w:val="40"/>
          <w:lang w:val="en-US" w:eastAsia="zh-CN" w:bidi="ar-SA"/>
        </w:rPr>
      </w:pPr>
      <w:r>
        <w:rPr>
          <w:rFonts w:hint="eastAsia" w:ascii="仿宋_GB2312" w:hAnsi="仿宋_GB2312" w:eastAsia="仿宋_GB2312" w:cs="仿宋_GB2312"/>
          <w:b w:val="0"/>
          <w:bCs w:val="0"/>
          <w:kern w:val="2"/>
          <w:sz w:val="32"/>
          <w:szCs w:val="40"/>
          <w:lang w:val="en-US" w:eastAsia="zh-CN" w:bidi="ar-SA"/>
        </w:rPr>
        <w:t>备注：1.以上</w:t>
      </w:r>
      <w:r>
        <w:rPr>
          <w:rFonts w:hint="eastAsia" w:ascii="仿宋_GB2312" w:hAnsi="仿宋_GB2312" w:eastAsia="仿宋_GB2312" w:cs="仿宋_GB2312"/>
          <w:b w:val="0"/>
          <w:bCs w:val="0"/>
          <w:sz w:val="32"/>
          <w:szCs w:val="40"/>
        </w:rPr>
        <w:t>报价有效期</w:t>
      </w:r>
      <w:r>
        <w:rPr>
          <w:rFonts w:hint="eastAsia" w:ascii="仿宋_GB2312" w:hAnsi="仿宋_GB2312" w:eastAsia="仿宋_GB2312" w:cs="仿宋_GB2312"/>
          <w:b w:val="0"/>
          <w:bCs w:val="0"/>
          <w:sz w:val="32"/>
          <w:szCs w:val="40"/>
          <w:lang w:val="en-US" w:eastAsia="zh-CN"/>
        </w:rPr>
        <w:t>要求</w:t>
      </w:r>
      <w:r>
        <w:rPr>
          <w:rFonts w:hint="eastAsia" w:ascii="仿宋_GB2312" w:hAnsi="仿宋_GB2312" w:eastAsia="仿宋_GB2312" w:cs="仿宋_GB2312"/>
          <w:b w:val="0"/>
          <w:bCs w:val="0"/>
          <w:sz w:val="32"/>
          <w:szCs w:val="40"/>
        </w:rPr>
        <w:t>不少于90天</w:t>
      </w:r>
      <w:r>
        <w:rPr>
          <w:rFonts w:hint="eastAsia" w:ascii="仿宋_GB2312" w:hAnsi="仿宋_GB2312" w:eastAsia="仿宋_GB2312" w:cs="仿宋_GB2312"/>
          <w:b w:val="0"/>
          <w:bCs w:val="0"/>
          <w:sz w:val="32"/>
          <w:szCs w:val="40"/>
          <w:lang w:eastAsia="zh-CN"/>
        </w:rPr>
        <w:t>；</w:t>
      </w:r>
      <w:r>
        <w:rPr>
          <w:rFonts w:hint="eastAsia" w:ascii="仿宋_GB2312" w:hAnsi="仿宋_GB2312" w:eastAsia="仿宋_GB2312" w:cs="仿宋_GB2312"/>
          <w:b w:val="0"/>
          <w:bCs w:val="0"/>
          <w:kern w:val="2"/>
          <w:sz w:val="32"/>
          <w:szCs w:val="40"/>
          <w:lang w:val="en-US" w:eastAsia="zh-CN" w:bidi="ar-SA"/>
        </w:rPr>
        <w:t>2.</w:t>
      </w:r>
      <w:r>
        <w:rPr>
          <w:rFonts w:hint="default" w:ascii="仿宋_GB2312" w:hAnsi="仿宋_GB2312" w:eastAsia="仿宋_GB2312" w:cs="仿宋_GB2312"/>
          <w:b w:val="0"/>
          <w:bCs w:val="0"/>
          <w:kern w:val="2"/>
          <w:sz w:val="32"/>
          <w:szCs w:val="40"/>
          <w:lang w:val="en-US" w:eastAsia="zh-CN" w:bidi="ar-SA"/>
        </w:rPr>
        <w:t>异地办案差旅费、鉴定费、公证费等第三方费用，不包含在上述费用中，</w:t>
      </w:r>
      <w:bookmarkStart w:id="0" w:name="_GoBack"/>
      <w:bookmarkEnd w:id="0"/>
      <w:r>
        <w:rPr>
          <w:rFonts w:hint="eastAsia" w:ascii="仿宋_GB2312" w:hAnsi="仿宋_GB2312" w:eastAsia="仿宋_GB2312" w:cs="仿宋_GB2312"/>
          <w:b w:val="0"/>
          <w:bCs w:val="0"/>
          <w:kern w:val="2"/>
          <w:sz w:val="32"/>
          <w:szCs w:val="40"/>
          <w:lang w:val="en-US" w:eastAsia="zh-CN" w:bidi="ar-SA"/>
        </w:rPr>
        <w:t>差旅费用</w:t>
      </w:r>
      <w:r>
        <w:rPr>
          <w:rFonts w:hint="default" w:ascii="仿宋_GB2312" w:hAnsi="仿宋_GB2312" w:eastAsia="仿宋_GB2312" w:cs="仿宋_GB2312"/>
          <w:b w:val="0"/>
          <w:bCs w:val="0"/>
          <w:kern w:val="2"/>
          <w:sz w:val="32"/>
          <w:szCs w:val="40"/>
          <w:lang w:val="en-US" w:eastAsia="zh-CN" w:bidi="ar-SA"/>
        </w:rPr>
        <w:t>按采购人《差旅费管理办法》实报实销或在委托时另行约定。</w:t>
      </w:r>
    </w:p>
    <w:p w14:paraId="48D298F9">
      <w:pPr>
        <w:keepNext w:val="0"/>
        <w:keepLines w:val="0"/>
        <w:pageBreakBefore w:val="0"/>
        <w:numPr>
          <w:ilvl w:val="0"/>
          <w:numId w:val="0"/>
        </w:numPr>
        <w:kinsoku/>
        <w:wordWrap/>
        <w:overflowPunct/>
        <w:topLinePunct w:val="0"/>
        <w:autoSpaceDE/>
        <w:autoSpaceDN/>
        <w:bidi w:val="0"/>
        <w:adjustRightInd/>
        <w:spacing w:beforeAutospacing="0" w:afterAutospacing="0" w:line="500" w:lineRule="exact"/>
        <w:ind w:left="420" w:leftChars="0"/>
        <w:jc w:val="both"/>
        <w:textAlignment w:val="auto"/>
        <w:rPr>
          <w:rFonts w:hint="eastAsia" w:ascii="黑体" w:hAnsi="黑体" w:eastAsia="黑体" w:cs="黑体"/>
          <w:b w:val="0"/>
          <w:bCs w:val="0"/>
          <w:sz w:val="32"/>
          <w:szCs w:val="40"/>
          <w:lang w:val="en-US" w:eastAsia="zh-CN"/>
        </w:rPr>
      </w:pPr>
      <w:r>
        <w:rPr>
          <w:rFonts w:hint="eastAsia" w:ascii="黑体" w:hAnsi="黑体" w:eastAsia="黑体" w:cs="黑体"/>
          <w:b w:val="0"/>
          <w:bCs w:val="0"/>
          <w:sz w:val="32"/>
          <w:szCs w:val="40"/>
          <w:lang w:val="en-US" w:eastAsia="zh-CN"/>
        </w:rPr>
        <w:t xml:space="preserve">三、提交资料清单 </w:t>
      </w:r>
    </w:p>
    <w:p w14:paraId="179760C9">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请贵司在报价时一并提交以下资料：</w:t>
      </w:r>
    </w:p>
    <w:p w14:paraId="3E2D1181">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1.报价函（加盖公章）。</w:t>
      </w:r>
    </w:p>
    <w:p w14:paraId="6515B5BA">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2.律师事务所执业许可证复印件。</w:t>
      </w:r>
    </w:p>
    <w:p w14:paraId="2919F17C">
      <w:pPr>
        <w:keepNext w:val="0"/>
        <w:keepLines w:val="0"/>
        <w:pageBreakBefore w:val="0"/>
        <w:numPr>
          <w:ilvl w:val="0"/>
          <w:numId w:val="0"/>
        </w:numPr>
        <w:kinsoku/>
        <w:wordWrap/>
        <w:overflowPunct/>
        <w:topLinePunct w:val="0"/>
        <w:autoSpaceDE/>
        <w:autoSpaceDN/>
        <w:bidi w:val="0"/>
        <w:adjustRightInd/>
        <w:spacing w:beforeAutospacing="0" w:afterAutospacing="0" w:line="500" w:lineRule="exact"/>
        <w:ind w:left="0" w:leftChars="0" w:firstLine="420" w:firstLineChars="0"/>
        <w:jc w:val="both"/>
        <w:textAlignment w:val="auto"/>
        <w:rPr>
          <w:rFonts w:hint="eastAsia" w:ascii="黑体" w:hAnsi="黑体" w:eastAsia="黑体" w:cs="黑体"/>
          <w:b w:val="0"/>
          <w:bCs w:val="0"/>
          <w:sz w:val="32"/>
          <w:szCs w:val="40"/>
          <w:lang w:val="en-US" w:eastAsia="zh-CN"/>
        </w:rPr>
      </w:pPr>
      <w:r>
        <w:rPr>
          <w:rFonts w:hint="eastAsia" w:ascii="黑体" w:hAnsi="黑体" w:eastAsia="黑体" w:cs="黑体"/>
          <w:b w:val="0"/>
          <w:bCs w:val="0"/>
          <w:kern w:val="2"/>
          <w:sz w:val="32"/>
          <w:szCs w:val="40"/>
          <w:lang w:val="en-US" w:eastAsia="zh-CN" w:bidi="ar-SA"/>
        </w:rPr>
        <w:t>四、</w:t>
      </w:r>
      <w:r>
        <w:rPr>
          <w:rFonts w:hint="eastAsia" w:ascii="黑体" w:hAnsi="黑体" w:eastAsia="黑体" w:cs="黑体"/>
          <w:b w:val="0"/>
          <w:bCs w:val="0"/>
          <w:sz w:val="32"/>
          <w:szCs w:val="40"/>
          <w:lang w:val="en-US" w:eastAsia="zh-CN"/>
        </w:rPr>
        <w:t>报价方式</w:t>
      </w:r>
    </w:p>
    <w:p w14:paraId="6B55D531">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1.请各供应商于</w:t>
      </w:r>
      <w:r>
        <w:rPr>
          <w:rFonts w:hint="eastAsia" w:ascii="仿宋_GB2312" w:hAnsi="仿宋_GB2312" w:eastAsia="仿宋_GB2312" w:cs="仿宋_GB2312"/>
          <w:b/>
          <w:bCs/>
          <w:sz w:val="32"/>
          <w:szCs w:val="40"/>
        </w:rPr>
        <w:t>2026年8月</w:t>
      </w:r>
      <w:r>
        <w:rPr>
          <w:rFonts w:hint="eastAsia" w:ascii="仿宋_GB2312" w:hAnsi="仿宋_GB2312" w:eastAsia="仿宋_GB2312" w:cs="仿宋_GB2312"/>
          <w:b/>
          <w:bCs/>
          <w:sz w:val="32"/>
          <w:szCs w:val="40"/>
          <w:lang w:val="en-US" w:eastAsia="zh-CN"/>
        </w:rPr>
        <w:t>3日12:00</w:t>
      </w:r>
      <w:r>
        <w:rPr>
          <w:rFonts w:hint="eastAsia" w:ascii="仿宋_GB2312" w:hAnsi="仿宋_GB2312" w:eastAsia="仿宋_GB2312" w:cs="仿宋_GB2312"/>
          <w:b w:val="0"/>
          <w:bCs w:val="0"/>
          <w:sz w:val="32"/>
          <w:szCs w:val="40"/>
          <w:lang w:val="en-US" w:eastAsia="zh-CN"/>
        </w:rPr>
        <w:t>前，将完整报价资料发送至：vanly@joingdt.com；</w:t>
      </w:r>
    </w:p>
    <w:p w14:paraId="4548DA55">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2.邮件主题请统一命名为：【XX律所】+【专项法律服务报价单】</w:t>
      </w:r>
    </w:p>
    <w:p w14:paraId="5FB7E6D6">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3.本次询价所获报价将作为年度法律服务预算的重要参考。</w:t>
      </w:r>
    </w:p>
    <w:p w14:paraId="3F03BF5F">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4.后续正式采购需求，我司将另行发布采购公告，届时欢迎贵司积极参与。我们珍视每一份认真准备的报价，并将对所有报价信息严格保密。感谢贵司的理解与支持！</w:t>
      </w:r>
    </w:p>
    <w:p w14:paraId="1D19DF1F">
      <w:pPr>
        <w:keepNext w:val="0"/>
        <w:keepLines w:val="0"/>
        <w:pageBreakBefore w:val="0"/>
        <w:numPr>
          <w:ilvl w:val="0"/>
          <w:numId w:val="0"/>
        </w:numPr>
        <w:kinsoku/>
        <w:wordWrap/>
        <w:overflowPunct/>
        <w:topLinePunct w:val="0"/>
        <w:autoSpaceDE/>
        <w:autoSpaceDN/>
        <w:bidi w:val="0"/>
        <w:adjustRightInd/>
        <w:spacing w:beforeAutospacing="0" w:afterAutospacing="0" w:line="500" w:lineRule="exact"/>
        <w:ind w:left="420" w:leftChars="0"/>
        <w:jc w:val="both"/>
        <w:textAlignment w:val="auto"/>
        <w:rPr>
          <w:rFonts w:hint="eastAsia" w:ascii="黑体" w:hAnsi="黑体" w:eastAsia="黑体" w:cs="黑体"/>
          <w:b w:val="0"/>
          <w:bCs w:val="0"/>
          <w:sz w:val="32"/>
          <w:szCs w:val="40"/>
          <w:lang w:val="en-US" w:eastAsia="zh-CN"/>
        </w:rPr>
      </w:pPr>
    </w:p>
    <w:p w14:paraId="3C179A7B">
      <w:pPr>
        <w:keepNext w:val="0"/>
        <w:keepLines w:val="0"/>
        <w:pageBreakBefore w:val="0"/>
        <w:numPr>
          <w:ilvl w:val="0"/>
          <w:numId w:val="0"/>
        </w:numPr>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仿宋_GB2312" w:hAnsi="仿宋_GB2312" w:eastAsia="仿宋_GB2312" w:cs="仿宋_GB2312"/>
          <w:b w:val="0"/>
          <w:bCs w:val="0"/>
          <w:kern w:val="2"/>
          <w:sz w:val="32"/>
          <w:szCs w:val="40"/>
          <w:lang w:val="en-US" w:eastAsia="zh-CN" w:bidi="ar-SA"/>
        </w:rPr>
      </w:pPr>
      <w:r>
        <w:rPr>
          <w:rFonts w:hint="eastAsia" w:ascii="仿宋_GB2312" w:hAnsi="仿宋_GB2312" w:eastAsia="仿宋_GB2312" w:cs="仿宋_GB2312"/>
          <w:b w:val="0"/>
          <w:bCs w:val="0"/>
          <w:kern w:val="2"/>
          <w:sz w:val="32"/>
          <w:szCs w:val="40"/>
          <w:lang w:val="en-US" w:eastAsia="zh-CN" w:bidi="ar-SA"/>
        </w:rPr>
        <w:t>附件：专项法律服务需求说明书</w:t>
      </w:r>
    </w:p>
    <w:p w14:paraId="73D9F9EB">
      <w:pPr>
        <w:keepNext w:val="0"/>
        <w:keepLines w:val="0"/>
        <w:pageBreakBefore w:val="0"/>
        <w:numPr>
          <w:ilvl w:val="0"/>
          <w:numId w:val="0"/>
        </w:numPr>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仿宋_GB2312" w:hAnsi="仿宋_GB2312" w:eastAsia="仿宋_GB2312" w:cs="仿宋_GB2312"/>
          <w:b w:val="0"/>
          <w:bCs w:val="0"/>
          <w:kern w:val="2"/>
          <w:sz w:val="32"/>
          <w:szCs w:val="40"/>
          <w:lang w:val="en-US" w:eastAsia="zh-CN" w:bidi="ar-SA"/>
        </w:rPr>
      </w:pPr>
    </w:p>
    <w:p w14:paraId="683B3950">
      <w:pPr>
        <w:keepNext w:val="0"/>
        <w:keepLines w:val="0"/>
        <w:pageBreakBefore w:val="0"/>
        <w:numPr>
          <w:ilvl w:val="0"/>
          <w:numId w:val="0"/>
        </w:numPr>
        <w:kinsoku/>
        <w:wordWrap/>
        <w:overflowPunct/>
        <w:topLinePunct w:val="0"/>
        <w:autoSpaceDE/>
        <w:autoSpaceDN/>
        <w:bidi w:val="0"/>
        <w:adjustRightInd/>
        <w:spacing w:beforeAutospacing="0" w:afterAutospacing="0" w:line="500" w:lineRule="exact"/>
        <w:ind w:left="420" w:leftChars="0"/>
        <w:jc w:val="both"/>
        <w:textAlignment w:val="auto"/>
        <w:rPr>
          <w:rFonts w:hint="default" w:ascii="黑体" w:hAnsi="黑体" w:eastAsia="黑体" w:cs="黑体"/>
          <w:b w:val="0"/>
          <w:bCs w:val="0"/>
          <w:sz w:val="32"/>
          <w:szCs w:val="40"/>
          <w:lang w:val="en-US" w:eastAsia="zh-CN"/>
        </w:rPr>
      </w:pPr>
    </w:p>
    <w:p w14:paraId="5EA86BB7">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right"/>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深圳市人力资源服务有限公司</w:t>
      </w:r>
    </w:p>
    <w:p w14:paraId="68D19442">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right"/>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2026年7月29日</w:t>
      </w:r>
    </w:p>
    <w:p w14:paraId="621CE5AD">
      <w:pPr>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br w:type="page"/>
      </w:r>
    </w:p>
    <w:p w14:paraId="3C23DDEA">
      <w:pPr>
        <w:keepNext w:val="0"/>
        <w:keepLines w:val="0"/>
        <w:pageBreakBefore w:val="0"/>
        <w:numPr>
          <w:ilvl w:val="0"/>
          <w:numId w:val="0"/>
        </w:numPr>
        <w:kinsoku/>
        <w:wordWrap/>
        <w:overflowPunct/>
        <w:topLinePunct w:val="0"/>
        <w:autoSpaceDE/>
        <w:autoSpaceDN/>
        <w:bidi w:val="0"/>
        <w:adjustRightInd/>
        <w:spacing w:beforeAutospacing="0" w:afterAutospacing="0" w:line="500" w:lineRule="exact"/>
        <w:jc w:val="both"/>
        <w:textAlignment w:val="auto"/>
        <w:rPr>
          <w:rFonts w:hint="eastAsia" w:ascii="仿宋_GB2312" w:hAnsi="仿宋_GB2312" w:eastAsia="仿宋_GB2312" w:cs="仿宋_GB2312"/>
          <w:b w:val="0"/>
          <w:bCs w:val="0"/>
          <w:kern w:val="2"/>
          <w:sz w:val="32"/>
          <w:szCs w:val="40"/>
          <w:lang w:val="en-US" w:eastAsia="zh-CN" w:bidi="ar-SA"/>
        </w:rPr>
      </w:pPr>
      <w:r>
        <w:rPr>
          <w:rFonts w:hint="eastAsia" w:ascii="仿宋_GB2312" w:hAnsi="仿宋_GB2312" w:eastAsia="仿宋_GB2312" w:cs="仿宋_GB2312"/>
          <w:b w:val="0"/>
          <w:bCs w:val="0"/>
          <w:kern w:val="2"/>
          <w:sz w:val="32"/>
          <w:szCs w:val="40"/>
          <w:lang w:val="en-US" w:eastAsia="zh-CN" w:bidi="ar-SA"/>
        </w:rPr>
        <w:t>附件：</w:t>
      </w:r>
    </w:p>
    <w:p w14:paraId="6359DE92">
      <w:pPr>
        <w:keepNext w:val="0"/>
        <w:keepLines w:val="0"/>
        <w:pageBreakBefore w:val="0"/>
        <w:kinsoku/>
        <w:wordWrap/>
        <w:overflowPunct/>
        <w:topLinePunct w:val="0"/>
        <w:autoSpaceDE/>
        <w:autoSpaceDN/>
        <w:bidi w:val="0"/>
        <w:adjustRightInd/>
        <w:spacing w:beforeAutospacing="0" w:afterAutospacing="0" w:line="500" w:lineRule="exact"/>
        <w:jc w:val="center"/>
        <w:textAlignment w:val="auto"/>
        <w:rPr>
          <w:rFonts w:hint="eastAsia" w:ascii="方正小标宋简体" w:hAnsi="方正小标宋简体" w:eastAsia="方正小标宋简体" w:cs="方正小标宋简体"/>
          <w:b w:val="0"/>
          <w:bCs w:val="0"/>
          <w:sz w:val="44"/>
          <w:szCs w:val="52"/>
          <w:lang w:val="en-US" w:eastAsia="zh-CN"/>
        </w:rPr>
      </w:pPr>
      <w:r>
        <w:rPr>
          <w:rFonts w:hint="eastAsia" w:ascii="方正小标宋简体" w:hAnsi="方正小标宋简体" w:eastAsia="方正小标宋简体" w:cs="方正小标宋简体"/>
          <w:b w:val="0"/>
          <w:bCs w:val="0"/>
          <w:sz w:val="44"/>
          <w:szCs w:val="52"/>
          <w:lang w:val="en-US" w:eastAsia="zh-CN"/>
        </w:rPr>
        <w:t>专项法律服务需求说明书</w:t>
      </w:r>
    </w:p>
    <w:p w14:paraId="323B701A">
      <w:pPr>
        <w:keepNext w:val="0"/>
        <w:keepLines w:val="0"/>
        <w:pageBreakBefore w:val="0"/>
        <w:kinsoku/>
        <w:wordWrap/>
        <w:overflowPunct/>
        <w:topLinePunct w:val="0"/>
        <w:autoSpaceDE/>
        <w:autoSpaceDN/>
        <w:bidi w:val="0"/>
        <w:adjustRightInd/>
        <w:spacing w:beforeAutospacing="0" w:afterAutospacing="0" w:line="500" w:lineRule="exact"/>
        <w:jc w:val="both"/>
        <w:textAlignment w:val="auto"/>
        <w:rPr>
          <w:rFonts w:hint="eastAsia" w:ascii="方正小标宋简体" w:hAnsi="方正小标宋简体" w:eastAsia="方正小标宋简体" w:cs="方正小标宋简体"/>
          <w:b w:val="0"/>
          <w:bCs w:val="0"/>
          <w:sz w:val="44"/>
          <w:szCs w:val="52"/>
          <w:lang w:val="en-US" w:eastAsia="zh-CN"/>
        </w:rPr>
      </w:pPr>
    </w:p>
    <w:p w14:paraId="1033B8D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本项目旨在聘请一家具有丰富劳动用工合规经验的律师事务所，为采购人提供系统性、全流程的劳动用工合规体系建设、外包与派遣风险管控、劳动争议预防与处理、大客户合同审查、驻场法律支持等综合法律服务。具体要求如下：</w:t>
      </w:r>
    </w:p>
    <w:p w14:paraId="22324F3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420" w:firstLineChars="0"/>
        <w:jc w:val="both"/>
        <w:textAlignment w:val="auto"/>
        <w:rPr>
          <w:rFonts w:hint="eastAsia" w:ascii="楷体_GB2312" w:hAnsi="楷体_GB2312" w:eastAsia="楷体_GB2312" w:cs="楷体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 xml:space="preserve">（一）体系化合规建设与风险管控 </w:t>
      </w:r>
    </w:p>
    <w:p w14:paraId="04F66FE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right="0" w:rightChars="0" w:firstLine="643" w:firstLineChars="200"/>
        <w:jc w:val="both"/>
        <w:textAlignment w:val="auto"/>
        <w:rPr>
          <w:rFonts w:hint="eastAsia" w:ascii="仿宋_GB2312" w:hAnsi="仿宋_GB2312" w:eastAsia="仿宋_GB2312" w:cs="仿宋_GB2312"/>
          <w:b/>
          <w:bCs/>
          <w:snapToGrid/>
          <w:color w:val="000000"/>
          <w:kern w:val="2"/>
          <w:sz w:val="32"/>
          <w:szCs w:val="32"/>
          <w:lang w:val="en-US" w:eastAsia="zh-CN" w:bidi="ar-SA"/>
        </w:rPr>
      </w:pPr>
      <w:r>
        <w:rPr>
          <w:rFonts w:hint="eastAsia" w:ascii="仿宋_GB2312" w:hAnsi="仿宋_GB2312" w:eastAsia="仿宋_GB2312" w:cs="仿宋_GB2312"/>
          <w:b/>
          <w:bCs/>
          <w:snapToGrid/>
          <w:color w:val="000000"/>
          <w:kern w:val="2"/>
          <w:sz w:val="32"/>
          <w:szCs w:val="32"/>
          <w:lang w:val="en-US" w:eastAsia="zh-CN" w:bidi="ar-SA"/>
        </w:rPr>
        <w:t>1.风险地图搭建</w:t>
      </w:r>
    </w:p>
    <w:p w14:paraId="0B2F754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供应商应结合采购人业务实际、大客户政策要求及行业最佳实践</w:t>
      </w:r>
      <w:r>
        <w:rPr>
          <w:rFonts w:hint="eastAsia" w:ascii="仿宋_GB2312" w:hAnsi="仿宋_GB2312" w:eastAsia="仿宋_GB2312" w:cs="仿宋_GB2312"/>
          <w:snapToGrid/>
          <w:color w:val="000000"/>
          <w:kern w:val="2"/>
          <w:sz w:val="32"/>
          <w:szCs w:val="32"/>
          <w:highlight w:val="none"/>
          <w:lang w:val="en-US" w:eastAsia="zh-CN" w:bidi="ar-SA"/>
        </w:rPr>
        <w:t>，围绕全流程外包风险识别、证据留存、过程管控等维度，搭建覆盖全业务流程的法律风险地图。</w:t>
      </w:r>
      <w:r>
        <w:rPr>
          <w:rFonts w:hint="eastAsia" w:ascii="仿宋_GB2312" w:hAnsi="仿宋_GB2312" w:eastAsia="仿宋_GB2312" w:cs="仿宋_GB2312"/>
          <w:snapToGrid/>
          <w:color w:val="000000"/>
          <w:kern w:val="2"/>
          <w:sz w:val="32"/>
          <w:szCs w:val="32"/>
          <w:lang w:val="en-US" w:eastAsia="zh-CN" w:bidi="ar-SA"/>
        </w:rPr>
        <w:t>风险地图应将抽象法律风险转化为可执行、可留痕的日常管理动作，明确各业务环节的风险点及应对要求，并提供配套落地工具或模板。</w:t>
      </w:r>
    </w:p>
    <w:p w14:paraId="2331AD0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3" w:firstLineChars="200"/>
        <w:jc w:val="both"/>
        <w:textAlignment w:val="auto"/>
        <w:rPr>
          <w:rFonts w:hint="eastAsia" w:ascii="仿宋_GB2312" w:hAnsi="仿宋_GB2312" w:eastAsia="仿宋_GB2312" w:cs="仿宋_GB2312"/>
          <w:b/>
          <w:bCs/>
          <w:snapToGrid/>
          <w:color w:val="000000"/>
          <w:kern w:val="2"/>
          <w:sz w:val="32"/>
          <w:szCs w:val="32"/>
          <w:lang w:val="en-US" w:eastAsia="zh-CN" w:bidi="ar-SA"/>
        </w:rPr>
      </w:pPr>
      <w:r>
        <w:rPr>
          <w:rFonts w:hint="eastAsia" w:ascii="仿宋_GB2312" w:hAnsi="仿宋_GB2312" w:eastAsia="仿宋_GB2312" w:cs="仿宋_GB2312"/>
          <w:b/>
          <w:bCs/>
          <w:snapToGrid/>
          <w:color w:val="000000"/>
          <w:kern w:val="2"/>
          <w:sz w:val="32"/>
          <w:szCs w:val="32"/>
          <w:lang w:val="en-US" w:eastAsia="zh-CN" w:bidi="ar-SA"/>
        </w:rPr>
        <w:t>2.合规作业流程（SOP）设计</w:t>
      </w:r>
    </w:p>
    <w:p w14:paraId="58E70D2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针对招聘入职、合同签订、考勤管理、绩效考核、薪酬发放、社保公积金缴纳、离职办理等全业务流程，设计标准化合规作业流程，形成操作指导手册。手册应明确每项管理动作的流程指引、责任部门/岗位、留痕要求及时间节点。</w:t>
      </w:r>
    </w:p>
    <w:p w14:paraId="3A7BF94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3" w:firstLineChars="200"/>
        <w:jc w:val="both"/>
        <w:textAlignment w:val="auto"/>
        <w:rPr>
          <w:rFonts w:hint="eastAsia" w:ascii="仿宋_GB2312" w:hAnsi="仿宋_GB2312" w:eastAsia="仿宋_GB2312" w:cs="仿宋_GB2312"/>
          <w:b/>
          <w:bCs/>
          <w:snapToGrid/>
          <w:color w:val="000000"/>
          <w:kern w:val="2"/>
          <w:sz w:val="32"/>
          <w:szCs w:val="32"/>
          <w:lang w:val="en-US" w:eastAsia="zh-CN" w:bidi="ar-SA"/>
        </w:rPr>
      </w:pPr>
      <w:r>
        <w:rPr>
          <w:rFonts w:hint="eastAsia" w:ascii="仿宋_GB2312" w:hAnsi="仿宋_GB2312" w:eastAsia="仿宋_GB2312" w:cs="仿宋_GB2312"/>
          <w:b/>
          <w:bCs/>
          <w:snapToGrid/>
          <w:color w:val="000000"/>
          <w:kern w:val="2"/>
          <w:sz w:val="32"/>
          <w:szCs w:val="32"/>
          <w:lang w:val="en-US" w:eastAsia="zh-CN" w:bidi="ar-SA"/>
        </w:rPr>
        <w:t>3.规章制度合规审查</w:t>
      </w:r>
    </w:p>
    <w:p w14:paraId="5053ED9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对采购人现行及拟沿用的员工手册、考勤制度、薪酬制度、绩效考核制度等用工管理制度进行全面合规审查，出具书面审查意见及修改建议，并协助完成制度修订、民主程序及公示程序，确保制度合法有效。</w:t>
      </w:r>
    </w:p>
    <w:p w14:paraId="593B508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3"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b/>
          <w:bCs/>
          <w:snapToGrid/>
          <w:color w:val="000000"/>
          <w:kern w:val="2"/>
          <w:sz w:val="32"/>
          <w:szCs w:val="32"/>
          <w:lang w:val="en-US" w:eastAsia="zh-CN" w:bidi="ar-SA"/>
        </w:rPr>
        <w:t>4.证据留存体系搭建</w:t>
      </w:r>
    </w:p>
    <w:p w14:paraId="4B55DE0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协助采购人建立全流程证据留存机制，核心目标是证明采购人对员工实施了实质性管理而非仅提供挂靠服务。具体应包括但不限于月度考勤总结报告下发员工、员工沟通记录留存、业务指令经采购人管理人员转发给员工的留痕、绩效考核由采购人作为组织方收集客户评价后最终决定并传达结果的记录、薪酬发放确认单、风险预警台账等。供应商需提供上述留痕动作的标准模板及操作指引。</w:t>
      </w:r>
    </w:p>
    <w:p w14:paraId="23E2798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3"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b/>
          <w:bCs/>
          <w:snapToGrid/>
          <w:color w:val="000000"/>
          <w:kern w:val="2"/>
          <w:sz w:val="32"/>
          <w:szCs w:val="32"/>
          <w:lang w:val="en-US" w:eastAsia="zh-CN" w:bidi="ar-SA"/>
        </w:rPr>
        <w:t>5.定期风险预警</w:t>
      </w:r>
      <w:r>
        <w:rPr>
          <w:rFonts w:hint="eastAsia" w:ascii="仿宋_GB2312" w:hAnsi="仿宋_GB2312" w:eastAsia="仿宋_GB2312" w:cs="仿宋_GB2312"/>
          <w:snapToGrid/>
          <w:color w:val="000000"/>
          <w:kern w:val="2"/>
          <w:sz w:val="32"/>
          <w:szCs w:val="32"/>
          <w:lang w:val="en-US" w:eastAsia="zh-CN" w:bidi="ar-SA"/>
        </w:rPr>
        <w:t>​</w:t>
      </w:r>
    </w:p>
    <w:p w14:paraId="5385329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每月出具《风险预警台账》，梳理当月发现的合规风险点、整改情况及未完成事项，同步通报采购人相关部门，并持续跟踪整改进展直至闭环。</w:t>
      </w:r>
    </w:p>
    <w:p w14:paraId="0D05CE9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420" w:firstLineChars="0"/>
        <w:jc w:val="both"/>
        <w:textAlignment w:val="auto"/>
        <w:rPr>
          <w:rFonts w:hint="eastAsia" w:ascii="楷体_GB2312" w:hAnsi="楷体_GB2312" w:eastAsia="楷体_GB2312" w:cs="楷体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（二）外包与派遣合规专项</w:t>
      </w:r>
    </w:p>
    <w:p w14:paraId="333CE57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3" w:firstLineChars="200"/>
        <w:jc w:val="both"/>
        <w:textAlignment w:val="auto"/>
        <w:rPr>
          <w:rFonts w:hint="eastAsia" w:ascii="仿宋_GB2312" w:hAnsi="仿宋_GB2312" w:eastAsia="仿宋_GB2312" w:cs="仿宋_GB2312"/>
          <w:b/>
          <w:bCs/>
          <w:snapToGrid/>
          <w:color w:val="000000"/>
          <w:kern w:val="2"/>
          <w:sz w:val="32"/>
          <w:szCs w:val="32"/>
          <w:lang w:val="en-US" w:eastAsia="zh-CN" w:bidi="ar-SA"/>
        </w:rPr>
      </w:pPr>
      <w:r>
        <w:rPr>
          <w:rFonts w:hint="eastAsia" w:ascii="仿宋_GB2312" w:hAnsi="仿宋_GB2312" w:eastAsia="仿宋_GB2312" w:cs="仿宋_GB2312"/>
          <w:b/>
          <w:bCs/>
          <w:snapToGrid/>
          <w:color w:val="000000"/>
          <w:kern w:val="2"/>
          <w:sz w:val="32"/>
          <w:szCs w:val="32"/>
          <w:lang w:val="en-US" w:eastAsia="zh-CN" w:bidi="ar-SA"/>
        </w:rPr>
        <w:t>1.管理权限划分与隔离</w:t>
      </w:r>
    </w:p>
    <w:p w14:paraId="27C3794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协助采购人梳理并明确在项目管理中采购人与大客户之间的管理权限边界，确保在招聘入职、考勤管理、绩效考核、薪酬发放、离职处理等关键环节由采购人作为用人单位行使管理权，大客户仅作为发包方对服务成果进行验收。供应商应提供具体的权限划分方案及操作指引。</w:t>
      </w:r>
    </w:p>
    <w:p w14:paraId="7814B21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3" w:firstLineChars="200"/>
        <w:jc w:val="both"/>
        <w:textAlignment w:val="auto"/>
        <w:rPr>
          <w:rFonts w:hint="eastAsia" w:ascii="仿宋_GB2312" w:hAnsi="仿宋_GB2312" w:eastAsia="仿宋_GB2312" w:cs="仿宋_GB2312"/>
          <w:b/>
          <w:bCs/>
          <w:snapToGrid/>
          <w:color w:val="000000"/>
          <w:kern w:val="2"/>
          <w:sz w:val="32"/>
          <w:szCs w:val="32"/>
          <w:lang w:val="en-US" w:eastAsia="zh-CN" w:bidi="ar-SA"/>
        </w:rPr>
      </w:pPr>
      <w:r>
        <w:rPr>
          <w:rFonts w:hint="eastAsia" w:ascii="仿宋_GB2312" w:hAnsi="仿宋_GB2312" w:eastAsia="仿宋_GB2312" w:cs="仿宋_GB2312"/>
          <w:b/>
          <w:bCs/>
          <w:snapToGrid/>
          <w:color w:val="000000"/>
          <w:kern w:val="2"/>
          <w:sz w:val="32"/>
          <w:szCs w:val="32"/>
          <w:lang w:val="en-US" w:eastAsia="zh-CN" w:bidi="ar-SA"/>
        </w:rPr>
        <w:t>2.证据防线构建</w:t>
      </w:r>
    </w:p>
    <w:p w14:paraId="0AADCD5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围绕“三个隔离”原则设计并落实证据防线：</w:t>
      </w:r>
    </w:p>
    <w:p w14:paraId="75F36D57">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指令隔离：客户的业务指令须通过采购人管理人员转发给员工，沟通记录保留在采购人控制的渠道中；</w:t>
      </w:r>
    </w:p>
    <w:p w14:paraId="7E9FC00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绩效隔离：采购人作为绩效考核组织方，收集客户评价素材后由采购人最终决定并传达考核结果；</w:t>
      </w:r>
    </w:p>
    <w:p w14:paraId="77DB37C7">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身份隔离：通过工牌、工衣等物理标识及业务群组区分，强化外包员工的独立身份认知。</w:t>
      </w:r>
    </w:p>
    <w:p w14:paraId="62F3E6F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供应商需提供上述隔离措施的实施细则及留痕模板。</w:t>
      </w:r>
    </w:p>
    <w:p w14:paraId="4389C6F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3"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b/>
          <w:bCs/>
          <w:snapToGrid/>
          <w:color w:val="000000"/>
          <w:kern w:val="2"/>
          <w:sz w:val="32"/>
          <w:szCs w:val="32"/>
          <w:lang w:val="en-US" w:eastAsia="zh-CN" w:bidi="ar-SA"/>
        </w:rPr>
        <w:t>3.留痕机制设计</w:t>
      </w:r>
      <w:r>
        <w:rPr>
          <w:rFonts w:hint="eastAsia" w:ascii="仿宋_GB2312" w:hAnsi="仿宋_GB2312" w:eastAsia="仿宋_GB2312" w:cs="仿宋_GB2312"/>
          <w:snapToGrid/>
          <w:color w:val="000000"/>
          <w:kern w:val="2"/>
          <w:sz w:val="32"/>
          <w:szCs w:val="32"/>
          <w:lang w:val="en-US" w:eastAsia="zh-CN" w:bidi="ar-SA"/>
        </w:rPr>
        <w:t>​</w:t>
      </w:r>
    </w:p>
    <w:p w14:paraId="595581C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针对与大客户合作过程中的关键管理节点，设计系统化留痕机制，包括但不限于月度考勤总结下发、绩效评价结果传达记录、薪酬发放明细确认、规章制度培训签到表、员工沟通面谈记录等。确保每项管理动作均有书面或电子记录可查证。</w:t>
      </w:r>
    </w:p>
    <w:p w14:paraId="6F99648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3"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b/>
          <w:bCs/>
          <w:snapToGrid/>
          <w:color w:val="000000"/>
          <w:kern w:val="2"/>
          <w:sz w:val="32"/>
          <w:szCs w:val="32"/>
          <w:lang w:val="en-US" w:eastAsia="zh-CN" w:bidi="ar-SA"/>
        </w:rPr>
        <w:t>4.合规培训</w:t>
      </w:r>
      <w:r>
        <w:rPr>
          <w:rFonts w:hint="eastAsia" w:ascii="仿宋_GB2312" w:hAnsi="仿宋_GB2312" w:eastAsia="仿宋_GB2312" w:cs="仿宋_GB2312"/>
          <w:snapToGrid/>
          <w:color w:val="000000"/>
          <w:kern w:val="2"/>
          <w:sz w:val="32"/>
          <w:szCs w:val="32"/>
          <w:lang w:val="en-US" w:eastAsia="zh-CN" w:bidi="ar-SA"/>
        </w:rPr>
        <w:t>​</w:t>
      </w:r>
    </w:p>
    <w:p w14:paraId="4F11B71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每季度至少开展1次劳动用工合规培训，覆盖采购人管理层及驻场人员。培训内容应包括但不限于外包业务全流程规范化管理、操作等，并提供培训课件。</w:t>
      </w:r>
    </w:p>
    <w:p w14:paraId="72BADC1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（三）2N风险管控与离职赔偿管理</w:t>
      </w:r>
      <w:r>
        <w:rPr>
          <w:rFonts w:hint="eastAsia" w:ascii="仿宋_GB2312" w:hAnsi="仿宋_GB2312" w:eastAsia="仿宋_GB2312" w:cs="仿宋_GB2312"/>
          <w:snapToGrid/>
          <w:color w:val="000000"/>
          <w:kern w:val="2"/>
          <w:sz w:val="32"/>
          <w:szCs w:val="32"/>
          <w:lang w:val="en-US" w:eastAsia="zh-CN" w:bidi="ar-SA"/>
        </w:rPr>
        <w:t xml:space="preserve"> </w:t>
      </w:r>
    </w:p>
    <w:p w14:paraId="35364D17">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1.供应商应根据采购人派遣外包项目人员规模、年度离职率、被动离职占比及仲裁率等参数，建立风险数据模型，用于决策参考。</w:t>
      </w:r>
    </w:p>
    <w:p w14:paraId="165A01F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2.协助完善员工手册及规章制度，明确严重违纪、绩效考核不达标、业务调整退回等情形的认定标准及处理程序。针对不胜任工作解除、客观情况重大变化解除等高风险操作，提供逐项法律意见及操作指引，确保解除程序合法合规。</w:t>
      </w:r>
    </w:p>
    <w:p w14:paraId="77888DE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3.对被动离职员工，供应商应指派律师参与或主导谈判，力争以协商解除替代违法解除，降低赔偿差额。供应商需提供谈判方案及话术模板，并按季度汇总谈判成果。</w:t>
      </w:r>
    </w:p>
    <w:p w14:paraId="4598E47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4.如员工申请仲裁或提起诉讼，供应商应代理采购人全程参与案件评估、策略制定、证据收集、庭审代理及判决执行。供应商需在收到案件材料后24小时内完成初步评估并反馈应对方案。</w:t>
      </w:r>
    </w:p>
    <w:p w14:paraId="3DB1BB0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5.每季度统计2N赔偿发生比例，分析成因并提出改进建议，形成《季度2N风险分析报告》。</w:t>
      </w:r>
    </w:p>
    <w:p w14:paraId="7E74C38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（四）大客户合同条款审查</w:t>
      </w:r>
      <w:r>
        <w:rPr>
          <w:rFonts w:hint="eastAsia" w:ascii="仿宋_GB2312" w:hAnsi="仿宋_GB2312" w:eastAsia="仿宋_GB2312" w:cs="仿宋_GB2312"/>
          <w:snapToGrid/>
          <w:color w:val="000000"/>
          <w:kern w:val="2"/>
          <w:sz w:val="32"/>
          <w:szCs w:val="32"/>
          <w:lang w:val="en-US" w:eastAsia="zh-CN" w:bidi="ar-SA"/>
        </w:rPr>
        <w:t xml:space="preserve"> </w:t>
      </w:r>
    </w:p>
    <w:p w14:paraId="4240A0D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供应商应对采购人与大客户签订的劳务外包服务合同进行全面审查，供应商就审查发现的风险点出具《法律意见书》，提出条款修改建议及风险防控措施，并协助采购人进行合同谈判。</w:t>
      </w:r>
    </w:p>
    <w:p w14:paraId="42C5034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420" w:firstLineChars="0"/>
        <w:jc w:val="both"/>
        <w:textAlignment w:val="auto"/>
        <w:rPr>
          <w:rFonts w:hint="eastAsia" w:ascii="楷体_GB2312" w:hAnsi="楷体_GB2312" w:eastAsia="楷体_GB2312" w:cs="楷体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 xml:space="preserve">（五）案件分级处理 </w:t>
      </w:r>
    </w:p>
    <w:p w14:paraId="4215809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供应商应建立劳动争议案件分级机制，根据案件复杂程度、标的金额、影响范围等因素，将案件分为基础案件与复杂案件两个层级：</w:t>
      </w:r>
    </w:p>
    <w:p w14:paraId="4433D9A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基础案件：由采购人自行处理，供应商提供远程咨询指导（电话、邮件等形式，响应时间不超过2小时）；</w:t>
      </w:r>
    </w:p>
    <w:p w14:paraId="3BD8C78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复杂案件：委托供应商代理，包括但不限于员工主张违法解除赔偿2N、要求确认工龄连续、追索年休假差额、病假工资差额、社保公积金补缴、群体性劳动争议等情形。</w:t>
      </w:r>
    </w:p>
    <w:p w14:paraId="79F24CD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对于委托代理的复杂案件，供应商负责全流程工作（案件评估、策略制定、证据收集、庭审代理、判决执行），并定期（至少每月一次）向采购人通报案件进展。</w:t>
      </w:r>
    </w:p>
    <w:p w14:paraId="6D8E764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（六）重大事件介入</w:t>
      </w:r>
      <w:r>
        <w:rPr>
          <w:rFonts w:hint="eastAsia" w:ascii="仿宋_GB2312" w:hAnsi="仿宋_GB2312" w:eastAsia="仿宋_GB2312" w:cs="仿宋_GB2312"/>
          <w:snapToGrid/>
          <w:color w:val="000000"/>
          <w:kern w:val="2"/>
          <w:sz w:val="32"/>
          <w:szCs w:val="32"/>
          <w:lang w:val="en-US" w:eastAsia="zh-CN" w:bidi="ar-SA"/>
        </w:rPr>
        <w:t xml:space="preserve"> </w:t>
      </w:r>
    </w:p>
    <w:p w14:paraId="5961B85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关键谈判场景支持：针对批量人员退回、重大劳动关系调整、群体性事件等场景，供应商应安排专业律师全流程深度介入，参与谈判方案设计、现场谈判、文书起草等环节，提升谈判效果并规避后续隐患。</w:t>
      </w:r>
    </w:p>
    <w:p w14:paraId="152C257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紧急事件快速响应：针对突发重大合规事件或紧急法律风险，供应商须建立快速响应机制，承诺在接到通知后2小时内出具初步应对方案，48小时内提供详细法律意见。</w:t>
      </w:r>
    </w:p>
    <w:p w14:paraId="5438D3A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（七）驻场服务</w:t>
      </w:r>
      <w:r>
        <w:rPr>
          <w:rFonts w:hint="eastAsia" w:ascii="仿宋_GB2312" w:hAnsi="仿宋_GB2312" w:eastAsia="仿宋_GB2312" w:cs="仿宋_GB2312"/>
          <w:snapToGrid/>
          <w:color w:val="000000"/>
          <w:kern w:val="2"/>
          <w:sz w:val="32"/>
          <w:szCs w:val="32"/>
          <w:lang w:val="en-US" w:eastAsia="zh-CN" w:bidi="ar-SA"/>
        </w:rPr>
        <w:t xml:space="preserve"> </w:t>
      </w:r>
    </w:p>
    <w:p w14:paraId="35B7DEF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常规驻场：供应商应安排律师每周平均驻场至少两次，具体时间可根据业务需求动态调整。驻场期间工作内容包括但不限于日常法律咨询、合同初步审查、会议法律支持、合规事项现场指导、证据留存检查等。驻场律师须熟悉采购人业务及合规要求，能够快速响应日常法律需求，并成为采购人项目决策小组的法律支持力量。</w:t>
      </w:r>
    </w:p>
    <w:p w14:paraId="2173677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临时增派：根据案件处理及重大事件应对需要，供应商应能临时增派律师提供现场支持，增派律师资质不得低于常规驻场律师。</w:t>
      </w:r>
    </w:p>
    <w:p w14:paraId="00A1436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420" w:firstLineChars="0"/>
        <w:jc w:val="both"/>
        <w:textAlignment w:val="auto"/>
        <w:rPr>
          <w:rFonts w:hint="eastAsia" w:ascii="楷体_GB2312" w:hAnsi="楷体_GB2312" w:eastAsia="楷体_GB2312" w:cs="楷体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（八）人员切转支持</w:t>
      </w:r>
    </w:p>
    <w:p w14:paraId="4559313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如项目出现人员切转需求（如新增业务线、客户变更等），供应商应提供切转全流程法律服务，包括前期尽职调查、切转方案设计、现场谈判、法律文书起草、社保公积金划转指导及后续争议处理。</w:t>
      </w:r>
    </w:p>
    <w:p w14:paraId="126516CD">
      <w:pPr>
        <w:rPr>
          <w:rFonts w:hint="eastAsia" w:ascii="方正小标宋简体" w:hAnsi="方正小标宋简体" w:eastAsia="方正小标宋简体" w:cs="方正小标宋简体"/>
          <w:b w:val="0"/>
          <w:bCs w:val="0"/>
          <w:sz w:val="44"/>
          <w:szCs w:val="52"/>
          <w:lang w:val="en-US" w:eastAsia="zh-CN"/>
        </w:rPr>
      </w:pP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809C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8F14C3">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8F14C3">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F9B7E6"/>
    <w:multiLevelType w:val="multilevel"/>
    <w:tmpl w:val="1BF9B7E6"/>
    <w:lvl w:ilvl="0" w:tentative="0">
      <w:start w:val="1"/>
      <w:numFmt w:val="none"/>
      <w:suff w:val="nothing"/>
      <w:lvlText w:val="第一章 "/>
      <w:lvlJc w:val="left"/>
      <w:pPr>
        <w:ind w:left="0" w:firstLine="402"/>
      </w:pPr>
      <w:rPr>
        <w:rFonts w:hint="default"/>
      </w:rPr>
    </w:lvl>
    <w:lvl w:ilvl="1" w:tentative="0">
      <w:start w:val="1"/>
      <w:numFmt w:val="none"/>
      <w:suff w:val="nothing"/>
      <w:lvlText w:val="1.1"/>
      <w:lvlJc w:val="left"/>
      <w:pPr>
        <w:ind w:left="0" w:firstLine="402"/>
      </w:pPr>
      <w:rPr>
        <w:rFonts w:hint="default"/>
      </w:rPr>
    </w:lvl>
    <w:lvl w:ilvl="2" w:tentative="0">
      <w:start w:val="1"/>
      <w:numFmt w:val="none"/>
      <w:pStyle w:val="2"/>
      <w:suff w:val="nothing"/>
      <w:lvlText w:val="1.1.1"/>
      <w:lvlJc w:val="left"/>
      <w:pPr>
        <w:tabs>
          <w:tab w:val="left" w:pos="0"/>
        </w:tabs>
        <w:ind w:left="0" w:firstLine="402"/>
      </w:pPr>
      <w:rPr>
        <w:rFonts w:hint="default"/>
      </w:rPr>
    </w:lvl>
    <w:lvl w:ilvl="3" w:tentative="0">
      <w:start w:val="1"/>
      <w:numFmt w:val="none"/>
      <w:suff w:val="nothing"/>
      <w:lvlText w:val="1.1.1.1"/>
      <w:lvlJc w:val="left"/>
      <w:pPr>
        <w:ind w:left="0" w:firstLine="402"/>
      </w:pPr>
      <w:rPr>
        <w:rFonts w:hint="default"/>
      </w:rPr>
    </w:lvl>
    <w:lvl w:ilvl="4" w:tentative="0">
      <w:start w:val="1"/>
      <w:numFmt w:val="none"/>
      <w:suff w:val="nothing"/>
      <w:lvlText w:val="1.1.1.1.1"/>
      <w:lvlJc w:val="left"/>
      <w:pPr>
        <w:ind w:left="0" w:firstLine="402"/>
      </w:pPr>
      <w:rPr>
        <w:rFonts w:hint="default"/>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FA7D8D"/>
    <w:rsid w:val="1DBC540A"/>
    <w:rsid w:val="36FA7D8D"/>
    <w:rsid w:val="3C7C3C7D"/>
    <w:rsid w:val="632A6515"/>
    <w:rsid w:val="71970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next w:val="1"/>
    <w:semiHidden/>
    <w:unhideWhenUsed/>
    <w:qFormat/>
    <w:uiPriority w:val="0"/>
    <w:pPr>
      <w:numPr>
        <w:ilvl w:val="2"/>
        <w:numId w:val="1"/>
      </w:numPr>
      <w:bidi w:val="0"/>
      <w:spacing w:before="300" w:after="120" w:line="288" w:lineRule="auto"/>
      <w:ind w:left="708" w:leftChars="0" w:hanging="288" w:firstLineChars="0"/>
      <w:jc w:val="left"/>
      <w:outlineLvl w:val="2"/>
    </w:pPr>
    <w:rPr>
      <w:rFonts w:ascii="Arial" w:hAnsi="Arial" w:eastAsia="仿宋_GB2312" w:cs="Arial"/>
      <w:b/>
      <w:bCs/>
      <w:sz w:val="32"/>
      <w:szCs w:val="30"/>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325558-2e87-4923-b1ed-052efb90b98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3256</Words>
  <Characters>3325</Characters>
  <Lines>0</Lines>
  <Paragraphs>0</Paragraphs>
  <TotalTime>10</TotalTime>
  <ScaleCrop>false</ScaleCrop>
  <LinksUpToDate>false</LinksUpToDate>
  <CharactersWithSpaces>3350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2026-07-29T03:12:00Z</dcterms:created>
  <dc:creator>vanly</dc:creator>
  <cp:lastModifiedBy>vanly</cp:lastModifiedBy>
  <dcterms:modified xsi:type="dcterms:W3CDTF">2026-07-29T06:41:23Z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C3D7263D02914B90BD0462656E36CD0F_13</vt:lpwstr>
  </property>
  <property fmtid="{D5CDD505-2E9C-101B-9397-08002B2CF9AE}" pid="4" name="KSOTemplateDocerSaveRecord">
    <vt:lpwstr>eyJoZGlkIjoiYjgyMGJlYjRhOTg3NThlMzMwMmIzMGQxMGY3ZWZjZTAiLCJ1c2VySWQiOiIzMTM1MDUyNzYifQ==</vt:lpwstr>
  </property>
</Properties>
</file>