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56" w:after="156"/>
        <w:jc w:val="center"/>
        <w:rPr>
          <w:rFonts w:hint="eastAsia" w:asciiTheme="minorEastAsia" w:hAnsiTheme="minorEastAsia" w:eastAsiaTheme="minorEastAsia"/>
          <w:bCs/>
          <w:color w:val="000000"/>
          <w:sz w:val="44"/>
          <w:szCs w:val="44"/>
        </w:rPr>
      </w:pPr>
      <w:r>
        <w:rPr>
          <w:rFonts w:hint="eastAsia" w:asciiTheme="minorEastAsia" w:hAnsiTheme="minorEastAsia" w:eastAsiaTheme="minorEastAsia"/>
          <w:color w:val="121212"/>
          <w:sz w:val="44"/>
          <w:szCs w:val="44"/>
          <w:shd w:val="clear" w:color="auto" w:fill="FFFFFF"/>
        </w:rPr>
        <w:t>采购公告</w:t>
      </w:r>
      <w:r>
        <w:rPr>
          <w:rFonts w:hint="eastAsia" w:asciiTheme="minorEastAsia" w:hAnsiTheme="minorEastAsia" w:eastAsiaTheme="minorEastAsia"/>
          <w:bCs/>
          <w:color w:val="000000"/>
          <w:sz w:val="44"/>
          <w:szCs w:val="44"/>
        </w:rPr>
        <w:t>文件</w:t>
      </w:r>
    </w:p>
    <w:p>
      <w:pPr>
        <w:rPr>
          <w:rFonts w:hint="eastAsia"/>
        </w:rPr>
      </w:pPr>
    </w:p>
    <w:p>
      <w:pPr>
        <w:spacing w:line="360" w:lineRule="auto"/>
        <w:ind w:right="-51" w:firstLine="480" w:firstLineChars="200"/>
        <w:rPr>
          <w:rFonts w:ascii="宋体" w:hAnsi="宋体" w:eastAsia="宋体" w:cs="宋体"/>
          <w:sz w:val="24"/>
        </w:rPr>
      </w:pPr>
      <w:r>
        <w:rPr>
          <w:rFonts w:hint="eastAsia" w:ascii="宋体" w:hAnsi="宋体" w:eastAsia="宋体" w:cs="宋体"/>
          <w:sz w:val="24"/>
        </w:rPr>
        <w:t>东莞市深粮粮油食品工贸有限公司就</w:t>
      </w:r>
      <w:r>
        <w:rPr>
          <w:rFonts w:hint="eastAsia" w:ascii="宋体" w:hAnsi="宋体" w:eastAsia="宋体" w:cs="宋体"/>
          <w:sz w:val="24"/>
          <w:lang w:eastAsia="zh-CN"/>
        </w:rPr>
        <w:t>采购</w:t>
      </w:r>
      <w:r>
        <w:rPr>
          <w:rFonts w:hint="eastAsia" w:ascii="宋体" w:hAnsi="宋体" w:eastAsia="宋体" w:cs="宋体"/>
          <w:sz w:val="24"/>
          <w:u w:val="single"/>
        </w:rPr>
        <w:t>东莞工贸</w:t>
      </w:r>
      <w:r>
        <w:rPr>
          <w:rFonts w:hint="eastAsia" w:ascii="宋体" w:hAnsi="宋体" w:eastAsia="宋体" w:cs="宋体"/>
          <w:sz w:val="24"/>
          <w:highlight w:val="none"/>
          <w:u w:val="single"/>
          <w:lang w:val="en-US" w:eastAsia="zh-CN"/>
        </w:rPr>
        <w:t>生产部PLC控制系统</w:t>
      </w:r>
      <w:r>
        <w:rPr>
          <w:rFonts w:ascii="宋体" w:hAnsi="宋体" w:eastAsia="宋体" w:cs="宋体"/>
          <w:sz w:val="24"/>
          <w:highlight w:val="none"/>
          <w:u w:val="single"/>
        </w:rPr>
        <w:t>年度</w:t>
      </w:r>
      <w:r>
        <w:rPr>
          <w:rFonts w:hint="eastAsia" w:ascii="宋体" w:hAnsi="宋体" w:eastAsia="宋体" w:cs="宋体"/>
          <w:sz w:val="24"/>
          <w:highlight w:val="none"/>
          <w:u w:val="single"/>
        </w:rPr>
        <w:t>维保</w:t>
      </w:r>
      <w:r>
        <w:rPr>
          <w:rFonts w:hint="eastAsia" w:ascii="宋体" w:hAnsi="宋体" w:eastAsia="宋体" w:cs="宋体"/>
          <w:sz w:val="24"/>
        </w:rPr>
        <w:t>采用询</w:t>
      </w:r>
      <w:r>
        <w:rPr>
          <w:rFonts w:hint="eastAsia" w:ascii="宋体" w:hAnsi="宋体" w:eastAsia="宋体" w:cs="宋体"/>
          <w:sz w:val="24"/>
          <w:lang w:eastAsia="zh-CN"/>
        </w:rPr>
        <w:t>比</w:t>
      </w:r>
      <w:bookmarkStart w:id="0" w:name="_GoBack"/>
      <w:bookmarkEnd w:id="0"/>
      <w:r>
        <w:rPr>
          <w:rFonts w:hint="eastAsia" w:ascii="宋体" w:hAnsi="宋体" w:eastAsia="宋体" w:cs="宋体"/>
          <w:sz w:val="24"/>
        </w:rPr>
        <w:t>价方式选取供应商，欢迎符合资质并有意向的供应商提交报价文件，有关事项如下：</w:t>
      </w:r>
    </w:p>
    <w:p>
      <w:pPr>
        <w:pStyle w:val="3"/>
        <w:numPr>
          <w:ilvl w:val="0"/>
          <w:numId w:val="0"/>
        </w:numPr>
        <w:spacing w:before="156" w:after="156"/>
        <w:ind w:leftChars="0"/>
        <w:rPr>
          <w:rFonts w:hint="eastAsia"/>
          <w:b/>
          <w:bCs/>
        </w:rPr>
      </w:pPr>
      <w:r>
        <w:rPr>
          <w:rFonts w:hint="eastAsia"/>
          <w:b/>
          <w:bCs/>
          <w:lang w:val="en-US" w:eastAsia="zh-CN"/>
        </w:rPr>
        <w:t>一、招标人</w:t>
      </w:r>
      <w:r>
        <w:rPr>
          <w:rFonts w:hint="eastAsia"/>
          <w:b/>
          <w:bCs/>
        </w:rPr>
        <w:t>：东莞市深粮粮油食品工贸有限公司</w:t>
      </w:r>
    </w:p>
    <w:p>
      <w:pPr>
        <w:spacing w:line="360" w:lineRule="auto"/>
        <w:ind w:left="420" w:right="-51" w:firstLine="120" w:firstLineChars="50"/>
        <w:rPr>
          <w:rFonts w:hint="eastAsia" w:ascii="宋体" w:hAnsi="宋体" w:eastAsia="宋体" w:cs="宋体"/>
          <w:sz w:val="24"/>
          <w:lang w:val="en-US"/>
        </w:rPr>
      </w:pPr>
      <w:r>
        <w:rPr>
          <w:rFonts w:hint="eastAsia" w:ascii="宋体" w:hAnsi="宋体" w:eastAsia="宋体" w:cs="宋体"/>
          <w:sz w:val="24"/>
        </w:rPr>
        <w:t xml:space="preserve">联系人： </w:t>
      </w:r>
      <w:r>
        <w:rPr>
          <w:rFonts w:hint="eastAsia" w:ascii="宋体" w:hAnsi="宋体" w:eastAsia="宋体" w:cs="宋体"/>
          <w:sz w:val="24"/>
          <w:lang w:val="en-US" w:eastAsia="zh-CN"/>
        </w:rPr>
        <w:t>黄先生</w:t>
      </w:r>
      <w:r>
        <w:rPr>
          <w:rFonts w:hint="eastAsia" w:ascii="宋体" w:hAnsi="宋体" w:eastAsia="宋体" w:cs="宋体"/>
          <w:sz w:val="24"/>
        </w:rPr>
        <w:t xml:space="preserve"> 联系电话： </w:t>
      </w:r>
      <w:r>
        <w:rPr>
          <w:rFonts w:hint="eastAsia" w:ascii="宋体" w:hAnsi="宋体" w:eastAsia="宋体" w:cs="宋体"/>
          <w:sz w:val="24"/>
          <w:lang w:val="en-US" w:eastAsia="zh-CN"/>
        </w:rPr>
        <w:t xml:space="preserve">13537391074 </w:t>
      </w:r>
    </w:p>
    <w:p>
      <w:pPr>
        <w:spacing w:line="360" w:lineRule="auto"/>
        <w:ind w:left="420" w:right="-51" w:firstLine="120" w:firstLineChars="50"/>
        <w:rPr>
          <w:rFonts w:hint="eastAsia" w:ascii="宋体" w:hAnsi="宋体" w:eastAsia="宋体" w:cs="宋体"/>
          <w:sz w:val="24"/>
          <w:lang w:val="en-US" w:eastAsia="zh-CN"/>
        </w:rPr>
      </w:pPr>
      <w:r>
        <w:rPr>
          <w:rFonts w:hint="eastAsia" w:ascii="宋体" w:hAnsi="宋体" w:eastAsia="宋体" w:cs="宋体"/>
          <w:sz w:val="24"/>
        </w:rPr>
        <w:t>联系地址：东莞市麻涌镇</w:t>
      </w:r>
      <w:r>
        <w:rPr>
          <w:rFonts w:hint="eastAsia" w:ascii="宋体" w:hAnsi="宋体" w:eastAsia="宋体" w:cs="宋体"/>
          <w:sz w:val="24"/>
          <w:lang w:eastAsia="zh-CN"/>
        </w:rPr>
        <w:t>漳澎村</w:t>
      </w:r>
      <w:r>
        <w:rPr>
          <w:rFonts w:hint="eastAsia" w:ascii="宋体" w:hAnsi="宋体" w:eastAsia="宋体" w:cs="宋体"/>
          <w:sz w:val="24"/>
        </w:rPr>
        <w:t>新港南路</w:t>
      </w:r>
      <w:r>
        <w:rPr>
          <w:rFonts w:hint="eastAsia" w:ascii="宋体" w:hAnsi="宋体" w:eastAsia="宋体" w:cs="宋体"/>
          <w:sz w:val="24"/>
          <w:lang w:val="en-US" w:eastAsia="zh-CN"/>
        </w:rPr>
        <w:t>东莞市深粮粮油食品工贸有限公司（过金鲤水泥厂后左转约50米）</w:t>
      </w:r>
    </w:p>
    <w:p>
      <w:pPr>
        <w:numPr>
          <w:ilvl w:val="0"/>
          <w:numId w:val="0"/>
        </w:numPr>
        <w:spacing w:line="360" w:lineRule="auto"/>
        <w:ind w:leftChars="0" w:right="-51" w:rightChars="0"/>
        <w:rPr>
          <w:rFonts w:hint="eastAsia" w:ascii="宋体" w:hAnsi="宋体" w:eastAsia="宋体" w:cs="宋体"/>
          <w:b/>
          <w:bCs/>
          <w:sz w:val="24"/>
          <w:u w:val="single"/>
          <w:lang w:eastAsia="zh-CN"/>
        </w:rPr>
      </w:pPr>
      <w:r>
        <w:rPr>
          <w:rFonts w:hint="eastAsia" w:ascii="宋体" w:hAnsi="宋体" w:eastAsia="宋体" w:cs="宋体"/>
          <w:b/>
          <w:bCs/>
          <w:sz w:val="24"/>
          <w:lang w:eastAsia="zh-CN"/>
        </w:rPr>
        <w:t>二、</w:t>
      </w:r>
      <w:r>
        <w:rPr>
          <w:rFonts w:hint="eastAsia" w:ascii="宋体" w:hAnsi="宋体" w:eastAsia="宋体" w:cs="宋体"/>
          <w:b/>
          <w:bCs/>
          <w:sz w:val="24"/>
        </w:rPr>
        <w:t>项目名称：</w:t>
      </w:r>
      <w:r>
        <w:rPr>
          <w:rFonts w:hint="eastAsia" w:ascii="宋体" w:hAnsi="宋体" w:eastAsia="宋体" w:cs="宋体"/>
          <w:b/>
          <w:bCs/>
          <w:sz w:val="24"/>
          <w:highlight w:val="none"/>
          <w:u w:val="single"/>
        </w:rPr>
        <w:t>东莞工贸</w:t>
      </w:r>
      <w:r>
        <w:rPr>
          <w:rFonts w:hint="eastAsia" w:ascii="宋体" w:hAnsi="宋体" w:eastAsia="宋体" w:cs="宋体"/>
          <w:b/>
          <w:bCs/>
          <w:sz w:val="24"/>
          <w:highlight w:val="none"/>
          <w:u w:val="single"/>
          <w:lang w:val="en-US" w:eastAsia="zh-CN"/>
        </w:rPr>
        <w:t>生产部PLC控制系统</w:t>
      </w:r>
      <w:r>
        <w:rPr>
          <w:rFonts w:ascii="宋体" w:hAnsi="宋体" w:eastAsia="宋体" w:cs="宋体"/>
          <w:b/>
          <w:bCs/>
          <w:sz w:val="24"/>
          <w:highlight w:val="none"/>
          <w:u w:val="single"/>
        </w:rPr>
        <w:t>年度</w:t>
      </w:r>
      <w:r>
        <w:rPr>
          <w:rFonts w:hint="eastAsia" w:ascii="宋体" w:hAnsi="宋体" w:eastAsia="宋体" w:cs="宋体"/>
          <w:b/>
          <w:bCs/>
          <w:sz w:val="24"/>
          <w:highlight w:val="none"/>
          <w:u w:val="single"/>
        </w:rPr>
        <w:t>维保</w:t>
      </w:r>
    </w:p>
    <w:p>
      <w:pPr>
        <w:pStyle w:val="3"/>
        <w:spacing w:before="156" w:after="156"/>
        <w:rPr>
          <w:rFonts w:ascii="宋体" w:hAnsi="宋体" w:cs="宋体"/>
          <w:b/>
          <w:bCs/>
        </w:rPr>
      </w:pPr>
      <w:r>
        <w:rPr>
          <w:rFonts w:hint="eastAsia" w:ascii="宋体" w:hAnsi="宋体" w:cs="宋体"/>
          <w:b/>
          <w:bCs/>
          <w:lang w:eastAsia="zh-CN"/>
        </w:rPr>
        <w:t>三</w:t>
      </w:r>
      <w:r>
        <w:rPr>
          <w:rFonts w:hint="eastAsia" w:ascii="宋体" w:hAnsi="宋体" w:cs="宋体"/>
          <w:b/>
          <w:bCs/>
        </w:rPr>
        <w:t>、项目概况:</w:t>
      </w:r>
    </w:p>
    <w:p>
      <w:pPr>
        <w:pStyle w:val="3"/>
        <w:spacing w:before="156" w:after="156"/>
        <w:ind w:firstLine="720" w:firstLineChars="300"/>
      </w:pPr>
      <w:r>
        <w:rPr>
          <w:rFonts w:hint="eastAsia" w:ascii="宋体" w:hAnsi="宋体" w:cs="宋体"/>
          <w:highlight w:val="none"/>
        </w:rPr>
        <w:t>东莞工贸目前</w:t>
      </w:r>
      <w:r>
        <w:rPr>
          <w:rFonts w:hint="eastAsia" w:ascii="宋体" w:hAnsi="宋体" w:cs="宋体"/>
          <w:highlight w:val="none"/>
          <w:lang w:eastAsia="zh-CN"/>
        </w:rPr>
        <w:t>使用美国通用电气（</w:t>
      </w:r>
      <w:r>
        <w:rPr>
          <w:rFonts w:hint="eastAsia" w:ascii="宋体" w:hAnsi="宋体" w:cs="宋体"/>
          <w:highlight w:val="none"/>
          <w:lang w:val="en-US" w:eastAsia="zh-CN"/>
        </w:rPr>
        <w:t>GE）的PLC控制系统，PLC控制系统专业化程度高，控制面粉生产程序较稳定可靠</w:t>
      </w:r>
      <w:r>
        <w:rPr>
          <w:rFonts w:hint="eastAsia" w:ascii="宋体" w:hAnsi="宋体" w:cs="宋体"/>
          <w:highlight w:val="none"/>
        </w:rPr>
        <w:t>。为了更好的保障车间生产连续性及</w:t>
      </w:r>
      <w:r>
        <w:rPr>
          <w:rFonts w:hint="eastAsia" w:ascii="宋体" w:hAnsi="宋体" w:cs="宋体"/>
          <w:highlight w:val="none"/>
          <w:lang w:eastAsia="zh-CN"/>
        </w:rPr>
        <w:t>整个生产程序</w:t>
      </w:r>
      <w:r>
        <w:rPr>
          <w:rFonts w:hint="eastAsia" w:ascii="宋体" w:hAnsi="宋体" w:cs="宋体"/>
          <w:highlight w:val="none"/>
          <w:lang w:val="en-US" w:eastAsia="zh-CN"/>
        </w:rPr>
        <w:t>PLC控制系统的维护保养</w:t>
      </w:r>
      <w:r>
        <w:rPr>
          <w:rFonts w:hint="eastAsia" w:ascii="宋体" w:hAnsi="宋体" w:cs="宋体"/>
          <w:highlight w:val="none"/>
        </w:rPr>
        <w:t>及时性，现计划寻找优秀供应商对</w:t>
      </w:r>
      <w:r>
        <w:rPr>
          <w:rFonts w:hint="eastAsia" w:ascii="宋体" w:hAnsi="宋体" w:cs="宋体"/>
          <w:highlight w:val="none"/>
          <w:lang w:eastAsia="zh-CN"/>
        </w:rPr>
        <w:t>东莞工贸</w:t>
      </w:r>
      <w:r>
        <w:rPr>
          <w:rFonts w:hint="eastAsia" w:ascii="宋体" w:hAnsi="宋体" w:cs="宋体"/>
          <w:highlight w:val="none"/>
          <w:lang w:val="en-US" w:eastAsia="zh-CN"/>
        </w:rPr>
        <w:t>生产部PLC控制系统</w:t>
      </w:r>
      <w:r>
        <w:rPr>
          <w:rFonts w:hint="eastAsia" w:ascii="宋体" w:hAnsi="宋体" w:cs="宋体"/>
          <w:highlight w:val="none"/>
        </w:rPr>
        <w:t>进行年度维保服务。</w:t>
      </w:r>
      <w:r>
        <w:rPr>
          <w:rFonts w:ascii="宋体" w:hAnsi="宋体" w:cs="宋体"/>
          <w:highlight w:val="none"/>
        </w:rPr>
        <w:t xml:space="preserve">   </w:t>
      </w:r>
    </w:p>
    <w:p>
      <w:pPr>
        <w:pStyle w:val="3"/>
        <w:numPr>
          <w:ilvl w:val="0"/>
          <w:numId w:val="0"/>
        </w:numPr>
        <w:spacing w:before="156" w:after="156"/>
        <w:ind w:leftChars="0"/>
        <w:rPr>
          <w:rFonts w:hint="eastAsia" w:ascii="宋体" w:hAnsi="宋体" w:cs="宋体"/>
          <w:b/>
          <w:bCs/>
        </w:rPr>
      </w:pPr>
      <w:r>
        <w:rPr>
          <w:rFonts w:hint="eastAsia" w:ascii="宋体" w:hAnsi="宋体" w:cs="宋体"/>
          <w:b/>
          <w:bCs/>
          <w:lang w:eastAsia="zh-CN"/>
        </w:rPr>
        <w:t>四、</w:t>
      </w:r>
      <w:r>
        <w:rPr>
          <w:rFonts w:hint="eastAsia" w:ascii="宋体" w:hAnsi="宋体" w:cs="宋体"/>
          <w:b/>
          <w:bCs/>
        </w:rPr>
        <w:t>项目内容：</w:t>
      </w:r>
    </w:p>
    <w:p>
      <w:pPr>
        <w:pStyle w:val="10"/>
        <w:numPr>
          <w:ilvl w:val="0"/>
          <w:numId w:val="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PLC程序备份，每季度1次；</w:t>
      </w:r>
    </w:p>
    <w:p>
      <w:pPr>
        <w:pStyle w:val="10"/>
        <w:numPr>
          <w:ilvl w:val="0"/>
          <w:numId w:val="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工控电脑时间同步，每季度1次；</w:t>
      </w:r>
    </w:p>
    <w:p>
      <w:pPr>
        <w:pStyle w:val="10"/>
        <w:numPr>
          <w:ilvl w:val="0"/>
          <w:numId w:val="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PLC硬件状态检查，每季度1次；</w:t>
      </w:r>
    </w:p>
    <w:p>
      <w:pPr>
        <w:pStyle w:val="10"/>
        <w:numPr>
          <w:ilvl w:val="0"/>
          <w:numId w:val="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PLC系统网络状态检查，每季度1次；</w:t>
      </w:r>
    </w:p>
    <w:p>
      <w:pPr>
        <w:pStyle w:val="10"/>
        <w:numPr>
          <w:ilvl w:val="0"/>
          <w:numId w:val="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PLC系统故障表检查，每季度1次；</w:t>
      </w:r>
    </w:p>
    <w:p>
      <w:pPr>
        <w:pStyle w:val="10"/>
        <w:numPr>
          <w:ilvl w:val="0"/>
          <w:numId w:val="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工控电脑、服务器运行状态检查 ，每季度1次；</w:t>
      </w:r>
    </w:p>
    <w:p>
      <w:pPr>
        <w:pStyle w:val="10"/>
        <w:numPr>
          <w:ilvl w:val="0"/>
          <w:numId w:val="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PLC系统软件运行状态检查 ，每季度1次；</w:t>
      </w:r>
    </w:p>
    <w:p>
      <w:pPr>
        <w:pStyle w:val="10"/>
        <w:numPr>
          <w:ilvl w:val="0"/>
          <w:numId w:val="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PLC柜过滤网灰尘清理，每</w:t>
      </w:r>
      <w:r>
        <w:rPr>
          <w:rFonts w:hint="eastAsia" w:ascii="宋体" w:hAnsi="宋体" w:eastAsia="宋体" w:cs="宋体"/>
          <w:sz w:val="24"/>
          <w:szCs w:val="24"/>
          <w:lang w:eastAsia="zh-CN"/>
        </w:rPr>
        <w:t>年</w:t>
      </w:r>
      <w:r>
        <w:rPr>
          <w:rFonts w:hint="eastAsia" w:ascii="宋体" w:hAnsi="宋体" w:eastAsia="宋体" w:cs="宋体"/>
          <w:sz w:val="24"/>
          <w:szCs w:val="24"/>
        </w:rPr>
        <w:t>1次；</w:t>
      </w:r>
    </w:p>
    <w:p>
      <w:pPr>
        <w:pStyle w:val="10"/>
        <w:numPr>
          <w:ilvl w:val="0"/>
          <w:numId w:val="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工控电脑灰尘清扫，每年1次；</w:t>
      </w:r>
    </w:p>
    <w:p>
      <w:pPr>
        <w:pStyle w:val="10"/>
        <w:numPr>
          <w:ilvl w:val="0"/>
          <w:numId w:val="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PLC柜灰尘清扫，每年1次；</w:t>
      </w:r>
    </w:p>
    <w:p>
      <w:pPr>
        <w:pStyle w:val="10"/>
        <w:numPr>
          <w:ilvl w:val="0"/>
          <w:numId w:val="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PLC柜接地检查，每年1次；</w:t>
      </w:r>
    </w:p>
    <w:p>
      <w:pPr>
        <w:numPr>
          <w:ilvl w:val="0"/>
          <w:numId w:val="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PLC柜接线端子螺丝坚固，每年1次。</w:t>
      </w:r>
    </w:p>
    <w:p>
      <w:pPr>
        <w:numPr>
          <w:ilvl w:val="0"/>
          <w:numId w:val="1"/>
        </w:numPr>
        <w:ind w:left="425" w:leftChars="0" w:hanging="425" w:firstLineChars="0"/>
        <w:jc w:val="left"/>
        <w:rPr>
          <w:rFonts w:hint="default"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每年维护点数不超过100点，否则视为项目改造，价格另议。</w:t>
      </w:r>
    </w:p>
    <w:p>
      <w:pPr>
        <w:numPr>
          <w:ilvl w:val="0"/>
          <w:numId w:val="0"/>
        </w:numPr>
        <w:tabs>
          <w:tab w:val="left" w:pos="1146"/>
        </w:tabs>
        <w:ind w:leftChars="0"/>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14. 在原有工艺图基础上，对电脑生产程序画面优化等小范围改动。但不包括制粉增加粉种，配粉增加称等大量通信设备，涉及工艺大规模变动的改造。如有需要，经双方协调，价格另议。 </w:t>
      </w:r>
    </w:p>
    <w:p>
      <w:pPr>
        <w:rPr>
          <w:rFonts w:ascii="宋体" w:hAnsi="宋体"/>
          <w:u w:val="single"/>
        </w:rPr>
      </w:pPr>
    </w:p>
    <w:p>
      <w:pPr>
        <w:widowControl w:val="0"/>
        <w:jc w:val="both"/>
        <w:rPr>
          <w:rFonts w:ascii="宋体" w:hAnsi="宋体" w:eastAsia="宋体" w:cs="宋体"/>
          <w:sz w:val="24"/>
        </w:rPr>
      </w:pPr>
      <w:r>
        <w:rPr>
          <w:rFonts w:hint="eastAsia" w:ascii="宋体" w:hAnsi="宋体" w:eastAsia="宋体" w:cs="宋体"/>
          <w:sz w:val="24"/>
        </w:rPr>
        <w:t>乙方承担的义务和责任</w:t>
      </w:r>
    </w:p>
    <w:p>
      <w:pPr>
        <w:ind w:firstLine="360" w:firstLineChars="150"/>
        <w:rPr>
          <w:rFonts w:ascii="宋体" w:hAnsi="宋体" w:eastAsia="宋体" w:cs="宋体"/>
          <w:sz w:val="24"/>
        </w:rPr>
      </w:pPr>
      <w:r>
        <w:rPr>
          <w:rFonts w:hint="eastAsia" w:ascii="宋体" w:hAnsi="宋体" w:eastAsia="宋体" w:cs="宋体"/>
          <w:sz w:val="24"/>
        </w:rPr>
        <w:t>1应根据甲方规定的时间，尽快进行</w:t>
      </w:r>
      <w:r>
        <w:rPr>
          <w:rFonts w:hint="eastAsia" w:ascii="宋体" w:hAnsi="宋体" w:eastAsia="宋体" w:cs="宋体"/>
          <w:sz w:val="24"/>
          <w:lang w:eastAsia="zh-CN"/>
        </w:rPr>
        <w:t>东莞工贸</w:t>
      </w:r>
      <w:r>
        <w:rPr>
          <w:rFonts w:hint="eastAsia" w:ascii="宋体" w:hAnsi="宋体" w:eastAsia="宋体" w:cs="宋体"/>
          <w:sz w:val="24"/>
          <w:highlight w:val="none"/>
          <w:lang w:val="en-US" w:eastAsia="zh-CN"/>
        </w:rPr>
        <w:t>生产部</w:t>
      </w:r>
      <w:r>
        <w:rPr>
          <w:rFonts w:hint="eastAsia" w:ascii="宋体" w:hAnsi="宋体" w:eastAsia="宋体" w:cs="宋体"/>
          <w:sz w:val="24"/>
          <w:lang w:val="en-US" w:eastAsia="zh-CN"/>
        </w:rPr>
        <w:t>PLC控制系统</w:t>
      </w:r>
      <w:r>
        <w:rPr>
          <w:rFonts w:hint="eastAsia" w:ascii="宋体" w:hAnsi="宋体" w:eastAsia="宋体" w:cs="宋体"/>
          <w:sz w:val="24"/>
        </w:rPr>
        <w:t>维保等工作。乙方应充分发挥自身的技术优势，合理安排项目进度，包质量、安全的完成维保任务。</w:t>
      </w:r>
    </w:p>
    <w:p>
      <w:pPr>
        <w:ind w:firstLine="360" w:firstLineChars="150"/>
        <w:rPr>
          <w:rFonts w:ascii="宋体" w:hAnsi="宋体" w:eastAsia="宋体" w:cs="宋体"/>
          <w:sz w:val="24"/>
        </w:rPr>
      </w:pPr>
      <w:r>
        <w:rPr>
          <w:rFonts w:hint="eastAsia" w:ascii="宋体" w:hAnsi="宋体" w:eastAsia="宋体" w:cs="宋体"/>
          <w:sz w:val="24"/>
        </w:rPr>
        <w:t>2在甲方</w:t>
      </w:r>
      <w:r>
        <w:rPr>
          <w:rFonts w:hint="eastAsia" w:ascii="宋体" w:hAnsi="宋体" w:eastAsia="宋体" w:cs="宋体"/>
          <w:sz w:val="24"/>
          <w:lang w:val="en-US" w:eastAsia="zh-CN"/>
        </w:rPr>
        <w:t>PLC控制系统</w:t>
      </w:r>
      <w:r>
        <w:rPr>
          <w:rFonts w:hint="eastAsia" w:ascii="宋体" w:hAnsi="宋体" w:eastAsia="宋体" w:cs="宋体"/>
          <w:sz w:val="24"/>
        </w:rPr>
        <w:t>出现故障后，</w:t>
      </w:r>
      <w:r>
        <w:rPr>
          <w:rFonts w:hint="eastAsia" w:ascii="宋体" w:hAnsi="宋体" w:eastAsia="宋体" w:cs="宋体"/>
          <w:sz w:val="24"/>
          <w:lang w:val="en-US" w:eastAsia="zh-CN"/>
        </w:rPr>
        <w:t>12</w:t>
      </w:r>
      <w:r>
        <w:rPr>
          <w:rFonts w:hint="eastAsia" w:ascii="宋体" w:hAnsi="宋体" w:eastAsia="宋体" w:cs="宋体"/>
          <w:sz w:val="24"/>
        </w:rPr>
        <w:t>小时内做出响应并尽快解决，若因备件货期等特殊因素需要延迟解决周期，应提前和甲方友好协商沟通，并尽快处理。</w:t>
      </w:r>
    </w:p>
    <w:p>
      <w:pPr>
        <w:ind w:firstLine="360" w:firstLineChars="150"/>
        <w:rPr>
          <w:rFonts w:ascii="宋体" w:hAnsi="宋体" w:eastAsia="宋体" w:cs="宋体"/>
          <w:sz w:val="24"/>
        </w:rPr>
      </w:pPr>
      <w:r>
        <w:rPr>
          <w:rFonts w:hint="eastAsia" w:ascii="宋体" w:hAnsi="宋体" w:eastAsia="宋体" w:cs="宋体"/>
          <w:sz w:val="24"/>
        </w:rPr>
        <w:t>3乙方应确保进入甲方项目地点的乙方人员遵守甲方的各项安全管理制度，对在售后维保过程中获悉的甲方的各项信息予以保密</w:t>
      </w:r>
      <w:r>
        <w:rPr>
          <w:rFonts w:hint="eastAsia" w:ascii="宋体" w:hAnsi="宋体" w:eastAsia="宋体" w:cs="宋体"/>
          <w:sz w:val="24"/>
          <w:lang w:eastAsia="zh-CN"/>
        </w:rPr>
        <w:t>，并遵守相关法律法规</w:t>
      </w:r>
      <w:r>
        <w:rPr>
          <w:rFonts w:hint="eastAsia" w:ascii="宋体" w:hAnsi="宋体" w:eastAsia="宋体" w:cs="宋体"/>
          <w:sz w:val="24"/>
        </w:rPr>
        <w:t>。</w:t>
      </w:r>
    </w:p>
    <w:p>
      <w:pPr>
        <w:ind w:firstLine="360" w:firstLineChars="150"/>
        <w:rPr>
          <w:rFonts w:ascii="宋体" w:hAnsi="宋体" w:eastAsia="宋体" w:cs="宋体"/>
          <w:sz w:val="24"/>
        </w:rPr>
      </w:pPr>
      <w:r>
        <w:rPr>
          <w:rFonts w:hint="eastAsia" w:ascii="宋体" w:hAnsi="宋体" w:eastAsia="宋体" w:cs="宋体"/>
          <w:sz w:val="24"/>
        </w:rPr>
        <w:t>4 乙方有义务对甲方的合理技术咨询（比如常见故障报错代码等），免费远程交流，远程解决不了的，应双方协商后尽快安排</w:t>
      </w:r>
      <w:r>
        <w:rPr>
          <w:rFonts w:hint="eastAsia" w:ascii="宋体" w:hAnsi="宋体" w:eastAsia="宋体" w:cs="宋体"/>
          <w:sz w:val="24"/>
          <w:lang w:eastAsia="zh-CN"/>
        </w:rPr>
        <w:t>技术</w:t>
      </w:r>
      <w:r>
        <w:rPr>
          <w:rFonts w:hint="eastAsia" w:ascii="宋体" w:hAnsi="宋体" w:eastAsia="宋体" w:cs="宋体"/>
          <w:sz w:val="24"/>
        </w:rPr>
        <w:t>人员进行现场排查。</w:t>
      </w:r>
    </w:p>
    <w:p>
      <w:pPr>
        <w:ind w:firstLine="360" w:firstLineChars="150"/>
        <w:rPr>
          <w:rFonts w:ascii="宋体" w:hAnsi="宋体" w:eastAsia="宋体" w:cs="宋体"/>
          <w:sz w:val="24"/>
        </w:rPr>
      </w:pPr>
      <w:r>
        <w:rPr>
          <w:rFonts w:hint="eastAsia" w:ascii="宋体" w:hAnsi="宋体" w:eastAsia="宋体" w:cs="宋体"/>
          <w:sz w:val="24"/>
        </w:rPr>
        <w:t>5关于季度点检：</w:t>
      </w:r>
    </w:p>
    <w:p>
      <w:pPr>
        <w:ind w:firstLine="480" w:firstLineChars="200"/>
        <w:rPr>
          <w:rFonts w:hint="eastAsia" w:ascii="宋体" w:hAnsi="宋体" w:eastAsia="宋体" w:cs="宋体"/>
          <w:sz w:val="24"/>
        </w:rPr>
      </w:pPr>
      <w:r>
        <w:rPr>
          <w:rFonts w:hint="eastAsia" w:ascii="宋体" w:hAnsi="宋体" w:eastAsia="宋体" w:cs="宋体"/>
          <w:sz w:val="24"/>
        </w:rPr>
        <w:t>a.一年内4次季度点检，即约为3个月/次。</w:t>
      </w:r>
    </w:p>
    <w:p>
      <w:pPr>
        <w:ind w:firstLine="480" w:firstLineChars="200"/>
        <w:rPr>
          <w:rFonts w:hint="eastAsia" w:ascii="宋体" w:hAnsi="宋体" w:eastAsia="宋体" w:cs="宋体"/>
          <w:sz w:val="24"/>
        </w:rPr>
      </w:pPr>
      <w:r>
        <w:rPr>
          <w:rFonts w:hint="eastAsia" w:ascii="宋体" w:hAnsi="宋体" w:eastAsia="宋体" w:cs="宋体"/>
          <w:sz w:val="24"/>
        </w:rPr>
        <w:t>b.若甲方</w:t>
      </w:r>
      <w:r>
        <w:rPr>
          <w:rFonts w:hint="eastAsia" w:ascii="宋体" w:hAnsi="宋体" w:eastAsia="宋体" w:cs="宋体"/>
          <w:sz w:val="24"/>
          <w:lang w:val="en-US" w:eastAsia="zh-CN"/>
        </w:rPr>
        <w:t>PLC控制系统</w:t>
      </w:r>
      <w:r>
        <w:rPr>
          <w:rFonts w:hint="eastAsia" w:ascii="宋体" w:hAnsi="宋体" w:eastAsia="宋体" w:cs="宋体"/>
          <w:sz w:val="24"/>
        </w:rPr>
        <w:t>设备中途出现故障</w:t>
      </w:r>
      <w:r>
        <w:rPr>
          <w:rFonts w:hint="eastAsia" w:ascii="宋体" w:hAnsi="宋体" w:eastAsia="宋体" w:cs="宋体"/>
          <w:sz w:val="24"/>
          <w:lang w:eastAsia="zh-CN"/>
        </w:rPr>
        <w:t>影响生产时</w:t>
      </w:r>
      <w:r>
        <w:rPr>
          <w:rFonts w:hint="eastAsia" w:ascii="宋体" w:hAnsi="宋体" w:eastAsia="宋体" w:cs="宋体"/>
          <w:sz w:val="24"/>
        </w:rPr>
        <w:t>，在乙方远程指导（免费）情况下还不能排查具体哪里问题，则乙方需要尽快在</w:t>
      </w:r>
      <w:r>
        <w:rPr>
          <w:rFonts w:hint="eastAsia" w:ascii="宋体" w:hAnsi="宋体" w:eastAsia="宋体" w:cs="宋体"/>
          <w:sz w:val="24"/>
          <w:lang w:val="en-US" w:eastAsia="zh-CN"/>
        </w:rPr>
        <w:t>4</w:t>
      </w:r>
      <w:r>
        <w:rPr>
          <w:rFonts w:hint="eastAsia" w:ascii="宋体" w:hAnsi="宋体" w:eastAsia="宋体" w:cs="宋体"/>
          <w:sz w:val="24"/>
        </w:rPr>
        <w:t>小时内做出响应，派遣技术人员过甲方排查；甲方有义务尽最大努力配合乙方询问和现场常规电气、硬件及相关技术参数等配合。</w:t>
      </w:r>
    </w:p>
    <w:p>
      <w:pPr>
        <w:ind w:firstLine="420"/>
        <w:rPr>
          <w:rFonts w:hint="eastAsia" w:ascii="宋体" w:hAnsi="宋体" w:eastAsia="宋体" w:cs="宋体"/>
          <w:sz w:val="24"/>
        </w:rPr>
      </w:pPr>
      <w:r>
        <w:rPr>
          <w:rFonts w:hint="eastAsia" w:ascii="宋体" w:hAnsi="宋体" w:eastAsia="宋体" w:cs="宋体"/>
          <w:sz w:val="24"/>
        </w:rPr>
        <w:t>c.季度点检最低要求是4次/年，但中途若有必要乙方派遣技术员过甲方现场，不再另计人工派遣费用。</w:t>
      </w:r>
    </w:p>
    <w:p>
      <w:pPr>
        <w:numPr>
          <w:ilvl w:val="0"/>
          <w:numId w:val="0"/>
        </w:numPr>
        <w:rPr>
          <w:rFonts w:hint="eastAsia" w:ascii="宋体" w:hAnsi="宋体" w:eastAsia="宋体" w:cs="宋体"/>
          <w:b/>
          <w:bCs/>
          <w:kern w:val="0"/>
          <w:sz w:val="24"/>
          <w:szCs w:val="20"/>
          <w:lang w:val="en-US" w:eastAsia="zh-CN" w:bidi="ar-SA"/>
        </w:rPr>
      </w:pPr>
    </w:p>
    <w:p>
      <w:pPr>
        <w:numPr>
          <w:ilvl w:val="0"/>
          <w:numId w:val="0"/>
        </w:numPr>
        <w:rPr>
          <w:rFonts w:hint="default" w:ascii="宋体" w:hAnsi="宋体" w:eastAsia="宋体" w:cs="宋体"/>
          <w:kern w:val="0"/>
          <w:sz w:val="24"/>
          <w:szCs w:val="20"/>
          <w:lang w:val="en-US" w:eastAsia="zh-CN" w:bidi="ar-SA"/>
        </w:rPr>
      </w:pPr>
      <w:r>
        <w:rPr>
          <w:rFonts w:hint="eastAsia" w:ascii="宋体" w:hAnsi="宋体" w:eastAsia="宋体" w:cs="宋体"/>
          <w:b/>
          <w:bCs/>
          <w:kern w:val="0"/>
          <w:sz w:val="24"/>
          <w:szCs w:val="20"/>
          <w:lang w:val="en-US" w:eastAsia="zh-CN" w:bidi="ar-SA"/>
        </w:rPr>
        <w:t>五</w:t>
      </w:r>
      <w:r>
        <w:rPr>
          <w:rFonts w:hint="eastAsia" w:ascii="宋体" w:hAnsi="宋体" w:eastAsia="宋体" w:cs="宋体"/>
          <w:kern w:val="0"/>
          <w:sz w:val="24"/>
          <w:szCs w:val="20"/>
          <w:lang w:val="en-US" w:eastAsia="zh-CN" w:bidi="ar-SA"/>
        </w:rPr>
        <w:t>、</w:t>
      </w:r>
      <w:r>
        <w:rPr>
          <w:rFonts w:hint="eastAsia" w:ascii="宋体" w:hAnsi="宋体" w:eastAsia="宋体" w:cs="宋体"/>
          <w:b/>
          <w:bCs/>
          <w:kern w:val="0"/>
          <w:sz w:val="24"/>
          <w:szCs w:val="20"/>
          <w:lang w:val="en-US" w:eastAsia="zh-CN" w:bidi="ar-SA"/>
        </w:rPr>
        <w:t>服务时间：</w:t>
      </w:r>
      <w:r>
        <w:rPr>
          <w:rFonts w:hint="eastAsia" w:ascii="宋体" w:hAnsi="宋体" w:eastAsia="宋体" w:cs="宋体"/>
          <w:kern w:val="0"/>
          <w:sz w:val="24"/>
          <w:szCs w:val="20"/>
          <w:lang w:val="en-US" w:eastAsia="zh-CN" w:bidi="ar-SA"/>
        </w:rPr>
        <w:t>自本项目合同签订之日起，为期 1 年。。</w:t>
      </w:r>
    </w:p>
    <w:p>
      <w:pPr>
        <w:pStyle w:val="3"/>
        <w:spacing w:before="156" w:after="156"/>
        <w:rPr>
          <w:bCs/>
        </w:rPr>
      </w:pPr>
      <w:r>
        <w:rPr>
          <w:rFonts w:hint="eastAsia"/>
          <w:b/>
          <w:lang w:eastAsia="zh-CN"/>
        </w:rPr>
        <w:t>六</w:t>
      </w:r>
      <w:r>
        <w:rPr>
          <w:rFonts w:hint="eastAsia"/>
          <w:b/>
        </w:rPr>
        <w:t>、报价人资质要求</w:t>
      </w:r>
      <w:r>
        <w:rPr>
          <w:rFonts w:hint="eastAsia"/>
          <w:bCs/>
        </w:rPr>
        <w:t>：</w:t>
      </w:r>
    </w:p>
    <w:p>
      <w:pPr>
        <w:tabs>
          <w:tab w:val="left" w:pos="7560"/>
        </w:tabs>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报价人必须为中华人民共和国境内（不含港、澳、台地区）注册的独立法人（提供加盖公章的营业执照）。</w:t>
      </w:r>
    </w:p>
    <w:p>
      <w:pPr>
        <w:pStyle w:val="2"/>
        <w:spacing w:line="360" w:lineRule="auto"/>
        <w:ind w:firstLine="480" w:firstLineChars="200"/>
        <w:rPr>
          <w:rFonts w:ascii="宋体" w:hAnsi="宋体" w:eastAsia="宋体" w:cs="宋体"/>
          <w:sz w:val="24"/>
        </w:rPr>
      </w:pPr>
      <w:r>
        <w:rPr>
          <w:rFonts w:hint="eastAsia" w:ascii="宋体" w:hAnsi="宋体" w:eastAsia="宋体" w:cs="宋体"/>
          <w:sz w:val="24"/>
        </w:rPr>
        <w:t>2.报价单位应具有</w:t>
      </w:r>
      <w:r>
        <w:rPr>
          <w:rFonts w:hint="eastAsia" w:ascii="宋体" w:hAnsi="宋体" w:eastAsia="宋体" w:cs="宋体"/>
          <w:sz w:val="24"/>
          <w:lang w:val="en-US" w:eastAsia="zh-CN"/>
        </w:rPr>
        <w:t>PLC控制系统维护</w:t>
      </w:r>
      <w:r>
        <w:rPr>
          <w:rFonts w:ascii="宋体" w:hAnsi="宋体" w:eastAsia="宋体" w:cs="宋体"/>
          <w:spacing w:val="14"/>
          <w:kern w:val="0"/>
          <w:sz w:val="24"/>
        </w:rPr>
        <w:t>保养的</w:t>
      </w:r>
      <w:r>
        <w:rPr>
          <w:rFonts w:hint="eastAsia" w:ascii="宋体" w:hAnsi="宋体" w:eastAsia="宋体" w:cs="宋体"/>
          <w:spacing w:val="14"/>
          <w:kern w:val="0"/>
          <w:sz w:val="24"/>
          <w:lang w:eastAsia="zh-CN"/>
        </w:rPr>
        <w:t>专业技术人员</w:t>
      </w:r>
      <w:r>
        <w:rPr>
          <w:rFonts w:hint="eastAsia" w:ascii="宋体" w:hAnsi="宋体" w:eastAsia="宋体" w:cs="宋体"/>
          <w:sz w:val="24"/>
        </w:rPr>
        <w:t>。</w:t>
      </w:r>
    </w:p>
    <w:p>
      <w:pPr>
        <w:tabs>
          <w:tab w:val="left" w:pos="7560"/>
        </w:tabs>
        <w:spacing w:line="360" w:lineRule="auto"/>
        <w:ind w:firstLine="480" w:firstLineChars="200"/>
        <w:rPr>
          <w:rFonts w:hint="eastAsia" w:ascii="宋体" w:hAnsi="宋体" w:eastAsia="宋体" w:cs="宋体"/>
          <w:sz w:val="24"/>
        </w:rPr>
      </w:pPr>
      <w:r>
        <w:rPr>
          <w:rFonts w:hint="eastAsia" w:ascii="宋体" w:hAnsi="宋体" w:eastAsia="宋体" w:cs="宋体"/>
          <w:sz w:val="24"/>
        </w:rPr>
        <w:t>3.报价人近年内（从报价文件递交截止之日起倒算）没有骗取中标和严重违约、提供的产品没有重大质量问题（提供承诺函，加盖公章，格式自拟）。</w:t>
      </w:r>
    </w:p>
    <w:p>
      <w:pPr>
        <w:pStyle w:val="2"/>
        <w:rPr>
          <w:rFonts w:hint="default" w:eastAsia="宋体"/>
          <w:lang w:val="en-US" w:eastAsia="zh-CN"/>
        </w:rPr>
      </w:pPr>
      <w:r>
        <w:rPr>
          <w:rFonts w:hint="eastAsia" w:ascii="宋体" w:hAnsi="宋体" w:eastAsia="宋体" w:cs="宋体"/>
          <w:sz w:val="24"/>
          <w:lang w:val="en-US" w:eastAsia="zh-CN"/>
        </w:rPr>
        <w:t xml:space="preserve">    4. 未被列入失信被执行人、重大税收违法案件当事人名单、政府采购严重违法失信行为记录名单。（提供在“信用中国”（www.creditchina.gov.cn）中“信用服务”栏或其他各级市场监督局查询网站下载的信用信息报告并加盖公章）</w:t>
      </w:r>
    </w:p>
    <w:p>
      <w:pPr>
        <w:tabs>
          <w:tab w:val="left" w:pos="756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.本项目不允许转包、分包。</w:t>
      </w:r>
    </w:p>
    <w:p>
      <w:pPr>
        <w:pStyle w:val="3"/>
        <w:spacing w:before="156" w:after="156"/>
        <w:rPr>
          <w:b/>
          <w:bCs/>
          <w:szCs w:val="21"/>
        </w:rPr>
      </w:pPr>
      <w:r>
        <w:rPr>
          <w:rFonts w:hint="eastAsia"/>
          <w:b/>
          <w:bCs/>
          <w:szCs w:val="21"/>
          <w:lang w:eastAsia="zh-CN"/>
        </w:rPr>
        <w:t>七</w:t>
      </w:r>
      <w:r>
        <w:rPr>
          <w:rFonts w:hint="eastAsia"/>
          <w:b/>
          <w:bCs/>
          <w:szCs w:val="21"/>
        </w:rPr>
        <w:t>、报价要求（报价时注明）</w:t>
      </w:r>
      <w:r>
        <w:rPr>
          <w:b/>
          <w:bCs/>
          <w:szCs w:val="21"/>
        </w:rPr>
        <w:t>:</w:t>
      </w:r>
    </w:p>
    <w:p>
      <w:pPr>
        <w:spacing w:line="276" w:lineRule="auto"/>
        <w:ind w:firstLine="480" w:firstLineChars="200"/>
        <w:rPr>
          <w:rFonts w:ascii="宋体" w:hAnsi="宋体" w:eastAsia="宋体" w:cs="宋体"/>
          <w:sz w:val="24"/>
        </w:rPr>
      </w:pPr>
      <w:r>
        <w:rPr>
          <w:rFonts w:hint="eastAsia" w:ascii="宋体" w:hAnsi="宋体" w:eastAsia="宋体" w:cs="宋体"/>
          <w:sz w:val="24"/>
        </w:rPr>
        <w:t>1、付款方式：合同签订后乙方开始</w:t>
      </w:r>
      <w:r>
        <w:rPr>
          <w:rFonts w:hint="eastAsia" w:ascii="宋体" w:hAnsi="宋体" w:eastAsia="宋体" w:cs="宋体"/>
          <w:sz w:val="24"/>
          <w:lang w:eastAsia="zh-CN"/>
        </w:rPr>
        <w:t>维护</w:t>
      </w:r>
      <w:r>
        <w:rPr>
          <w:rFonts w:hint="eastAsia" w:ascii="宋体" w:hAnsi="宋体" w:eastAsia="宋体" w:cs="宋体"/>
          <w:sz w:val="24"/>
        </w:rPr>
        <w:t>，合同维保款在合同期满后，甲方验收合格之后，乙方开具增值税发票给甲方，甲方支付全部</w:t>
      </w:r>
      <w:r>
        <w:rPr>
          <w:rFonts w:hint="eastAsia" w:ascii="宋体" w:hAnsi="宋体" w:eastAsia="宋体" w:cs="宋体"/>
          <w:sz w:val="24"/>
          <w:lang w:eastAsia="zh-CN"/>
        </w:rPr>
        <w:t>费用</w:t>
      </w:r>
      <w:r>
        <w:rPr>
          <w:rFonts w:hint="eastAsia" w:ascii="宋体" w:hAnsi="宋体" w:eastAsia="宋体" w:cs="宋体"/>
          <w:sz w:val="24"/>
        </w:rPr>
        <w:t>。</w:t>
      </w:r>
    </w:p>
    <w:p>
      <w:pPr>
        <w:pStyle w:val="10"/>
        <w:tabs>
          <w:tab w:val="left" w:pos="0"/>
        </w:tabs>
        <w:spacing w:line="360" w:lineRule="auto"/>
        <w:ind w:firstLine="480"/>
        <w:rPr>
          <w:rFonts w:hint="eastAsia" w:ascii="Times New Roman" w:eastAsia="宋体" w:cs="宋体"/>
          <w:sz w:val="24"/>
          <w:szCs w:val="24"/>
        </w:rPr>
      </w:pPr>
      <w:r>
        <w:rPr>
          <w:rFonts w:ascii="宋体" w:hAnsi="宋体" w:eastAsia="宋体" w:cs="宋体"/>
          <w:sz w:val="24"/>
        </w:rPr>
        <w:t>2</w:t>
      </w:r>
      <w:r>
        <w:rPr>
          <w:rFonts w:hint="eastAsia" w:ascii="宋体" w:hAnsi="宋体" w:eastAsia="宋体" w:cs="宋体"/>
          <w:sz w:val="24"/>
        </w:rPr>
        <w:t>、报价人应填报</w:t>
      </w:r>
      <w:r>
        <w:rPr>
          <w:rFonts w:hint="eastAsia" w:ascii="宋体" w:hAnsi="宋体" w:eastAsia="宋体" w:cs="宋体"/>
          <w:sz w:val="24"/>
          <w:lang w:eastAsia="zh-CN"/>
        </w:rPr>
        <w:t>维护总</w:t>
      </w:r>
      <w:r>
        <w:rPr>
          <w:rFonts w:hint="eastAsia" w:ascii="宋体" w:hAnsi="宋体" w:eastAsia="宋体" w:cs="宋体"/>
          <w:sz w:val="24"/>
        </w:rPr>
        <w:t>价，总价报价上限：</w:t>
      </w:r>
      <w:r>
        <w:rPr>
          <w:rFonts w:hint="eastAsia" w:ascii="宋体" w:hAnsi="宋体" w:eastAsia="宋体" w:cs="宋体"/>
          <w:sz w:val="24"/>
          <w:lang w:val="en-US" w:eastAsia="zh-CN"/>
        </w:rPr>
        <w:t>30</w:t>
      </w:r>
      <w:r>
        <w:rPr>
          <w:rFonts w:hint="eastAsia" w:ascii="宋体" w:hAnsi="宋体" w:eastAsia="宋体" w:cs="宋体"/>
          <w:sz w:val="24"/>
        </w:rPr>
        <w:t>000元（人民币</w:t>
      </w:r>
      <w:r>
        <w:rPr>
          <w:rFonts w:hint="eastAsia" w:ascii="宋体" w:hAnsi="宋体" w:eastAsia="宋体" w:cs="宋体"/>
          <w:sz w:val="24"/>
          <w:lang w:eastAsia="zh-CN"/>
        </w:rPr>
        <w:t>叁</w:t>
      </w:r>
      <w:r>
        <w:rPr>
          <w:rFonts w:hint="eastAsia" w:ascii="宋体" w:hAnsi="宋体" w:eastAsia="宋体" w:cs="宋体"/>
          <w:sz w:val="24"/>
        </w:rPr>
        <w:t>万元整），总价报价高于上限将视为无效报价。</w:t>
      </w:r>
    </w:p>
    <w:p/>
    <w:p>
      <w:pPr>
        <w:pStyle w:val="3"/>
        <w:spacing w:before="156" w:after="156"/>
        <w:rPr>
          <w:b/>
          <w:bCs/>
          <w:szCs w:val="21"/>
        </w:rPr>
      </w:pPr>
      <w:r>
        <w:rPr>
          <w:rFonts w:hint="eastAsia"/>
          <w:b/>
          <w:bCs/>
          <w:szCs w:val="21"/>
          <w:lang w:eastAsia="zh-CN"/>
        </w:rPr>
        <w:t>八</w:t>
      </w:r>
      <w:r>
        <w:rPr>
          <w:rFonts w:hint="eastAsia"/>
          <w:b/>
          <w:bCs/>
          <w:szCs w:val="21"/>
        </w:rPr>
        <w:t>、中选原则：</w:t>
      </w:r>
    </w:p>
    <w:p>
      <w:pPr>
        <w:tabs>
          <w:tab w:val="left" w:pos="7560"/>
        </w:tabs>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采购人组建采购小组在报价截止后组织评审，符合资格条件、投标报价在上限价以内、满足不可偏离条款的报价人为有效投标人，对有效投标人的价格、服务、业绩</w:t>
      </w:r>
      <w:r>
        <w:rPr>
          <w:rFonts w:hint="eastAsia" w:ascii="宋体" w:hAnsi="宋体" w:eastAsia="宋体" w:cs="宋体"/>
          <w:sz w:val="24"/>
          <w:lang w:eastAsia="zh-CN"/>
        </w:rPr>
        <w:t>等</w:t>
      </w:r>
      <w:r>
        <w:rPr>
          <w:rFonts w:hint="eastAsia" w:ascii="宋体" w:hAnsi="宋体" w:eastAsia="宋体" w:cs="宋体"/>
          <w:sz w:val="24"/>
        </w:rPr>
        <w:t>进行综合比选并排序，排名第一的确定为中标人。</w:t>
      </w:r>
    </w:p>
    <w:p>
      <w:pPr>
        <w:widowControl w:val="0"/>
        <w:autoSpaceDE w:val="0"/>
        <w:autoSpaceDN w:val="0"/>
        <w:adjustRightInd w:val="0"/>
        <w:spacing w:line="360" w:lineRule="auto"/>
        <w:rPr>
          <w:rFonts w:ascii="宋体" w:hAnsi="宋体" w:eastAsia="宋体" w:cs="宋体"/>
          <w:b/>
          <w:bCs/>
          <w:sz w:val="24"/>
        </w:rPr>
      </w:pPr>
      <w:r>
        <w:rPr>
          <w:rFonts w:hint="eastAsia" w:ascii="宋体" w:hAnsi="宋体" w:eastAsia="宋体" w:cs="宋体"/>
          <w:b/>
          <w:bCs/>
          <w:sz w:val="24"/>
          <w:lang w:val="en-US" w:eastAsia="zh-CN"/>
        </w:rPr>
        <w:t>九</w:t>
      </w:r>
      <w:r>
        <w:rPr>
          <w:rFonts w:hint="eastAsia" w:ascii="宋体" w:hAnsi="宋体" w:eastAsia="宋体" w:cs="宋体"/>
          <w:b/>
          <w:bCs/>
          <w:sz w:val="24"/>
        </w:rPr>
        <w:t>、递交</w:t>
      </w:r>
      <w:r>
        <w:rPr>
          <w:rFonts w:hint="eastAsia" w:ascii="宋体" w:hAnsi="宋体" w:eastAsia="宋体" w:cs="宋体"/>
          <w:b/>
          <w:bCs/>
          <w:sz w:val="24"/>
          <w:lang w:val="en-US" w:eastAsia="zh-CN"/>
        </w:rPr>
        <w:t>投标</w:t>
      </w:r>
      <w:r>
        <w:rPr>
          <w:rFonts w:hint="eastAsia" w:ascii="宋体" w:hAnsi="宋体" w:eastAsia="宋体" w:cs="宋体"/>
          <w:b/>
          <w:bCs/>
          <w:sz w:val="24"/>
        </w:rPr>
        <w:t>文件时间：</w:t>
      </w:r>
    </w:p>
    <w:p>
      <w:pPr>
        <w:tabs>
          <w:tab w:val="left" w:pos="0"/>
        </w:tabs>
        <w:spacing w:line="360" w:lineRule="auto"/>
        <w:ind w:firstLine="480" w:firstLineChars="200"/>
        <w:rPr>
          <w:rFonts w:hint="eastAsia" w:ascii="宋体" w:hAnsi="宋体" w:eastAsia="宋体" w:cs="宋体"/>
          <w:sz w:val="24"/>
          <w:lang w:val="en-US"/>
        </w:rPr>
      </w:pPr>
      <w:r>
        <w:rPr>
          <w:rFonts w:hint="eastAsia" w:ascii="宋体" w:hAnsi="宋体" w:eastAsia="宋体" w:cs="宋体"/>
          <w:sz w:val="24"/>
        </w:rPr>
        <w:t>递交</w:t>
      </w:r>
      <w:r>
        <w:rPr>
          <w:rFonts w:hint="eastAsia" w:ascii="宋体" w:hAnsi="宋体" w:eastAsia="宋体" w:cs="宋体"/>
          <w:sz w:val="24"/>
          <w:lang w:val="en-US" w:eastAsia="zh-CN"/>
        </w:rPr>
        <w:t>投标</w:t>
      </w:r>
      <w:r>
        <w:rPr>
          <w:rFonts w:hint="eastAsia" w:ascii="宋体" w:hAnsi="宋体" w:eastAsia="宋体" w:cs="宋体"/>
          <w:sz w:val="24"/>
        </w:rPr>
        <w:t>文件截止时间：</w:t>
      </w:r>
      <w:r>
        <w:rPr>
          <w:rFonts w:hint="eastAsia" w:ascii="宋体" w:hAnsi="宋体" w:eastAsia="宋体" w:cs="宋体"/>
          <w:sz w:val="24"/>
          <w:lang w:val="en-US" w:eastAsia="zh-CN"/>
        </w:rPr>
        <w:t>2026</w:t>
      </w:r>
      <w:r>
        <w:rPr>
          <w:rFonts w:hint="eastAsia" w:ascii="宋体" w:hAnsi="宋体" w:eastAsia="宋体" w:cs="宋体"/>
          <w:sz w:val="24"/>
        </w:rPr>
        <w:t>年</w:t>
      </w:r>
      <w:r>
        <w:rPr>
          <w:rFonts w:hint="eastAsia" w:ascii="宋体" w:hAnsi="宋体" w:eastAsia="宋体" w:cs="宋体"/>
          <w:sz w:val="24"/>
          <w:lang w:val="en-US" w:eastAsia="zh-CN"/>
        </w:rPr>
        <w:t>7</w:t>
      </w:r>
      <w:r>
        <w:rPr>
          <w:rFonts w:hint="eastAsia" w:ascii="宋体" w:hAnsi="宋体" w:eastAsia="宋体" w:cs="宋体"/>
          <w:sz w:val="24"/>
        </w:rPr>
        <w:t>月</w:t>
      </w:r>
      <w:r>
        <w:rPr>
          <w:rFonts w:hint="eastAsia" w:ascii="宋体" w:hAnsi="宋体" w:eastAsia="宋体" w:cs="宋体"/>
          <w:sz w:val="24"/>
          <w:lang w:val="en-US" w:eastAsia="zh-CN"/>
        </w:rPr>
        <w:t>3</w:t>
      </w:r>
      <w:r>
        <w:rPr>
          <w:rFonts w:hint="eastAsia" w:ascii="宋体" w:hAnsi="宋体" w:eastAsia="宋体" w:cs="宋体"/>
          <w:sz w:val="24"/>
        </w:rPr>
        <w:t>日</w:t>
      </w:r>
      <w:r>
        <w:rPr>
          <w:rFonts w:hint="eastAsia" w:ascii="宋体" w:hAnsi="宋体" w:eastAsia="宋体" w:cs="宋体"/>
          <w:sz w:val="24"/>
          <w:lang w:val="en-US" w:eastAsia="zh-CN"/>
        </w:rPr>
        <w:t>17:30</w:t>
      </w:r>
    </w:p>
    <w:p>
      <w:pPr>
        <w:pStyle w:val="3"/>
        <w:spacing w:before="156" w:after="156"/>
        <w:rPr>
          <w:rFonts w:asciiTheme="minorEastAsia" w:hAnsiTheme="minorEastAsia" w:eastAsiaTheme="minorEastAsia"/>
          <w:b/>
          <w:bCs/>
          <w:color w:val="000000" w:themeColor="text1"/>
          <w14:textFill>
            <w14:solidFill>
              <w14:schemeClr w14:val="tx1"/>
            </w14:solidFill>
          </w14:textFill>
        </w:rPr>
      </w:pPr>
      <w:r>
        <w:rPr>
          <w:rFonts w:hint="eastAsia" w:cs="宋体" w:asciiTheme="minorEastAsia" w:hAnsiTheme="minorEastAsia" w:eastAsiaTheme="minorEastAsia"/>
          <w:b/>
          <w:bCs/>
          <w:color w:val="000000" w:themeColor="text1"/>
          <w:lang w:val="en-US" w:eastAsia="zh-CN"/>
          <w14:textFill>
            <w14:solidFill>
              <w14:schemeClr w14:val="tx1"/>
            </w14:solidFill>
          </w14:textFill>
        </w:rPr>
        <w:t>十</w:t>
      </w:r>
      <w:r>
        <w:rPr>
          <w:rFonts w:hint="eastAsia" w:cs="宋体" w:asciiTheme="minorEastAsia" w:hAnsiTheme="minorEastAsia" w:eastAsiaTheme="minorEastAsia"/>
          <w:b/>
          <w:bCs/>
          <w:color w:val="000000" w:themeColor="text1"/>
          <w14:textFill>
            <w14:solidFill>
              <w14:schemeClr w14:val="tx1"/>
            </w14:solidFill>
          </w14:textFill>
        </w:rPr>
        <w:t>、</w:t>
      </w:r>
      <w:r>
        <w:rPr>
          <w:rFonts w:hint="eastAsia" w:asciiTheme="minorEastAsia" w:hAnsiTheme="minorEastAsia" w:eastAsiaTheme="minorEastAsia"/>
          <w:b/>
          <w:bCs/>
          <w:color w:val="000000" w:themeColor="text1"/>
          <w14:textFill>
            <w14:solidFill>
              <w14:schemeClr w14:val="tx1"/>
            </w14:solidFill>
          </w14:textFill>
        </w:rPr>
        <w:t>报价</w:t>
      </w:r>
      <w:r>
        <w:rPr>
          <w:rFonts w:hint="eastAsia" w:asciiTheme="minorEastAsia" w:hAnsiTheme="minorEastAsia" w:eastAsiaTheme="minorEastAsia"/>
          <w:b/>
          <w:bCs/>
          <w:color w:val="000000" w:themeColor="text1"/>
          <w:szCs w:val="21"/>
          <w14:textFill>
            <w14:solidFill>
              <w14:schemeClr w14:val="tx1"/>
            </w14:solidFill>
          </w14:textFill>
        </w:rPr>
        <w:t>文件</w:t>
      </w:r>
      <w:r>
        <w:rPr>
          <w:rFonts w:hint="eastAsia" w:asciiTheme="minorEastAsia" w:hAnsiTheme="minorEastAsia" w:eastAsiaTheme="minorEastAsia"/>
          <w:b/>
          <w:bCs/>
          <w:color w:val="000000" w:themeColor="text1"/>
          <w14:textFill>
            <w14:solidFill>
              <w14:schemeClr w14:val="tx1"/>
            </w14:solidFill>
          </w14:textFill>
        </w:rPr>
        <w:t>格式（包括但不限于以下内容）：</w:t>
      </w:r>
    </w:p>
    <w:p>
      <w:pPr>
        <w:pStyle w:val="10"/>
        <w:tabs>
          <w:tab w:val="left" w:pos="7560"/>
        </w:tabs>
        <w:spacing w:line="360" w:lineRule="auto"/>
        <w:ind w:right="-51" w:firstLine="240" w:firstLineChars="100"/>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lang w:val="en-US" w:eastAsia="zh-CN"/>
          <w14:textFill>
            <w14:solidFill>
              <w14:schemeClr w14:val="tx1"/>
            </w14:solidFill>
          </w14:textFill>
        </w:rPr>
        <w:t>加盖公司公章的授权报名表</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见附件1，</w:t>
      </w:r>
      <w:r>
        <w:rPr>
          <w:rFonts w:hint="eastAsia" w:asciiTheme="minorEastAsia" w:hAnsiTheme="minorEastAsia" w:eastAsiaTheme="minorEastAsia"/>
          <w:color w:val="000000" w:themeColor="text1"/>
          <w:sz w:val="24"/>
          <w:lang w:eastAsia="zh-CN"/>
          <w14:textFill>
            <w14:solidFill>
              <w14:schemeClr w14:val="tx1"/>
            </w14:solidFill>
          </w14:textFill>
        </w:rPr>
        <w:t>）</w:t>
      </w:r>
    </w:p>
    <w:p>
      <w:pPr>
        <w:pStyle w:val="10"/>
        <w:tabs>
          <w:tab w:val="left" w:pos="7560"/>
        </w:tabs>
        <w:spacing w:line="360" w:lineRule="auto"/>
        <w:ind w:right="-51" w:firstLine="240" w:firstLineChars="1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2、具有明细的报价单（按公告文件要求的格式提供报价单</w:t>
      </w:r>
      <w:r>
        <w:rPr>
          <w:rFonts w:hint="eastAsia" w:asciiTheme="minorEastAsia" w:hAnsiTheme="minorEastAsia" w:eastAsiaTheme="minorEastAsia"/>
          <w:color w:val="000000" w:themeColor="text1"/>
          <w:sz w:val="22"/>
          <w:szCs w:val="22"/>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w:t>
      </w:r>
    </w:p>
    <w:p>
      <w:pPr>
        <w:pStyle w:val="10"/>
        <w:tabs>
          <w:tab w:val="left" w:pos="7560"/>
        </w:tabs>
        <w:spacing w:line="360" w:lineRule="auto"/>
        <w:ind w:right="-51" w:firstLine="240" w:firstLineChars="1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3、本公告第四项“报价人资格要求”要求提供的所有资料（营业执照复印件</w:t>
      </w:r>
      <w:r>
        <w:rPr>
          <w:rFonts w:hint="eastAsia" w:ascii="宋体" w:hAnsi="宋体" w:eastAsia="宋体" w:cs="宋体"/>
          <w:spacing w:val="14"/>
          <w:kern w:val="0"/>
          <w:sz w:val="24"/>
        </w:rPr>
        <w:t>等</w:t>
      </w:r>
      <w:r>
        <w:rPr>
          <w:rFonts w:hint="eastAsia" w:asciiTheme="minorEastAsia" w:hAnsiTheme="minorEastAsia" w:eastAsiaTheme="minorEastAsia"/>
          <w:color w:val="000000" w:themeColor="text1"/>
          <w:sz w:val="24"/>
          <w14:textFill>
            <w14:solidFill>
              <w14:schemeClr w14:val="tx1"/>
            </w14:solidFill>
          </w14:textFill>
        </w:rPr>
        <w:t>）。</w:t>
      </w:r>
    </w:p>
    <w:p>
      <w:pPr>
        <w:pStyle w:val="10"/>
        <w:tabs>
          <w:tab w:val="left" w:pos="7560"/>
        </w:tabs>
        <w:spacing w:line="360" w:lineRule="auto"/>
        <w:ind w:right="-51" w:firstLine="240" w:firstLineChars="1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4、业绩证明材料。</w:t>
      </w:r>
    </w:p>
    <w:p>
      <w:pPr>
        <w:widowControl w:val="0"/>
        <w:autoSpaceDE w:val="0"/>
        <w:autoSpaceDN w:val="0"/>
        <w:adjustRightInd w:val="0"/>
        <w:spacing w:line="360" w:lineRule="auto"/>
        <w:ind w:firstLine="240" w:firstLineChars="100"/>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5、加盖公司公章的供应商基本情况表（见附件2）</w:t>
      </w:r>
    </w:p>
    <w:p>
      <w:pPr>
        <w:pStyle w:val="2"/>
        <w:rPr>
          <w:rFonts w:hint="eastAsia"/>
          <w:lang w:val="en-US" w:eastAsia="zh-CN"/>
        </w:rPr>
      </w:pPr>
    </w:p>
    <w:p>
      <w:pPr>
        <w:pStyle w:val="10"/>
        <w:tabs>
          <w:tab w:val="left" w:pos="7560"/>
        </w:tabs>
        <w:spacing w:line="360" w:lineRule="auto"/>
        <w:ind w:left="0" w:leftChars="0" w:right="-51" w:firstLine="0" w:firstLineChars="0"/>
        <w:rPr>
          <w:rFonts w:hint="eastAsia" w:asciiTheme="minorEastAsia" w:hAnsiTheme="minorEastAsia" w:eastAsiaTheme="minorEastAsia"/>
          <w:b/>
          <w:bCs/>
          <w:color w:val="000000" w:themeColor="text1"/>
          <w:sz w:val="24"/>
          <w:lang w:val="en-US" w:eastAsia="zh-CN"/>
          <w14:textFill>
            <w14:solidFill>
              <w14:schemeClr w14:val="tx1"/>
            </w14:solidFill>
          </w14:textFill>
        </w:rPr>
      </w:pPr>
      <w:r>
        <w:rPr>
          <w:rFonts w:hint="eastAsia" w:asciiTheme="minorEastAsia" w:hAnsiTheme="minorEastAsia" w:eastAsiaTheme="minorEastAsia"/>
          <w:b/>
          <w:bCs/>
          <w:color w:val="000000" w:themeColor="text1"/>
          <w:sz w:val="24"/>
          <w:lang w:val="en-US" w:eastAsia="zh-CN"/>
          <w14:textFill>
            <w14:solidFill>
              <w14:schemeClr w14:val="tx1"/>
            </w14:solidFill>
          </w14:textFill>
        </w:rPr>
        <w:t>十一、合同续期：</w:t>
      </w:r>
    </w:p>
    <w:p>
      <w:pPr>
        <w:pStyle w:val="10"/>
        <w:tabs>
          <w:tab w:val="left" w:pos="7560"/>
        </w:tabs>
        <w:spacing w:line="360" w:lineRule="auto"/>
        <w:ind w:right="-51" w:firstLine="240" w:firstLineChars="100"/>
        <w:rPr>
          <w:rFonts w:hint="default" w:cs="Times New Roman"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1.续期的条件：中标后签订的合同有效期届满前60日，招标人对中标单位提供的服务进行履约评价。若履约评价结果为优秀，且双方</w:t>
      </w:r>
      <w:r>
        <w:rPr>
          <w:rFonts w:hint="eastAsia" w:cs="Times New Roman" w:asciiTheme="minorEastAsia" w:hAnsiTheme="minorEastAsia" w:eastAsiaTheme="minorEastAsia"/>
          <w:color w:val="000000" w:themeColor="text1"/>
          <w:sz w:val="24"/>
          <w:lang w:val="en-US" w:eastAsia="zh-CN"/>
          <w14:textFill>
            <w14:solidFill>
              <w14:schemeClr w14:val="tx1"/>
            </w14:solidFill>
          </w14:textFill>
        </w:rPr>
        <w:t>协商一致，可对服务合同进行续期。</w:t>
      </w:r>
    </w:p>
    <w:p>
      <w:pPr>
        <w:pStyle w:val="10"/>
        <w:tabs>
          <w:tab w:val="left" w:pos="7560"/>
        </w:tabs>
        <w:spacing w:line="360" w:lineRule="auto"/>
        <w:ind w:right="-51" w:firstLine="240" w:firstLineChars="100"/>
        <w:rPr>
          <w:rFonts w:hint="default"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2.续期时长：续期总时长不超过不超过二十四个月，项目总计时长不超过三十六个月，续期合同实质性内容不得改变。</w:t>
      </w:r>
    </w:p>
    <w:p>
      <w:pPr>
        <w:pStyle w:val="3"/>
        <w:spacing w:before="156" w:after="156"/>
        <w:ind w:left="0" w:leftChars="0" w:firstLine="0" w:firstLineChars="0"/>
        <w:rPr>
          <w:rFonts w:hint="eastAsia" w:ascii="宋体" w:hAnsi="宋体" w:cs="宋体"/>
          <w:b/>
          <w:bCs/>
          <w:lang w:eastAsia="zh-CN"/>
        </w:rPr>
      </w:pPr>
    </w:p>
    <w:p>
      <w:pPr>
        <w:pStyle w:val="3"/>
        <w:spacing w:before="156" w:after="156"/>
        <w:ind w:left="0" w:leftChars="0" w:firstLine="0" w:firstLineChars="0"/>
        <w:rPr>
          <w:rFonts w:ascii="宋体" w:hAnsi="宋体" w:cs="宋体"/>
          <w:b/>
          <w:bCs/>
        </w:rPr>
      </w:pPr>
      <w:r>
        <w:rPr>
          <w:rFonts w:hint="eastAsia" w:ascii="宋体" w:hAnsi="宋体" w:cs="宋体"/>
          <w:b/>
          <w:bCs/>
          <w:lang w:eastAsia="zh-CN"/>
        </w:rPr>
        <w:t>十二</w:t>
      </w:r>
      <w:r>
        <w:rPr>
          <w:rFonts w:hint="eastAsia" w:ascii="宋体" w:hAnsi="宋体" w:cs="宋体"/>
          <w:b/>
          <w:bCs/>
        </w:rPr>
        <w:t>、其他注意事项：</w:t>
      </w:r>
    </w:p>
    <w:p>
      <w:pPr>
        <w:pStyle w:val="3"/>
        <w:spacing w:before="156" w:after="156"/>
        <w:ind w:firstLine="480" w:firstLineChars="200"/>
        <w:rPr>
          <w:rFonts w:ascii="宋体" w:hAnsi="宋体" w:cs="宋体"/>
        </w:rPr>
      </w:pPr>
      <w:r>
        <w:rPr>
          <w:rFonts w:hint="eastAsia" w:ascii="宋体" w:hAnsi="宋体" w:cs="宋体"/>
        </w:rPr>
        <w:t>1、已经报名的报价人，如不递交报价文件，应在递交报价文件截止日期前2 日向需求方作出书面说明，否则，需求方有权拒绝该报价人以后参加需求方其它任何项目的报价或投标。</w:t>
      </w:r>
    </w:p>
    <w:p>
      <w:pPr>
        <w:pStyle w:val="10"/>
        <w:tabs>
          <w:tab w:val="left" w:pos="7560"/>
        </w:tabs>
        <w:spacing w:line="360" w:lineRule="auto"/>
        <w:ind w:firstLine="480"/>
        <w:rPr>
          <w:rFonts w:ascii="宋体" w:hAnsi="宋体" w:eastAsia="宋体" w:cs="宋体"/>
          <w:sz w:val="24"/>
        </w:rPr>
      </w:pPr>
      <w:r>
        <w:rPr>
          <w:rFonts w:hint="eastAsia" w:ascii="宋体" w:hAnsi="宋体" w:eastAsia="宋体" w:cs="宋体"/>
          <w:sz w:val="24"/>
        </w:rPr>
        <w:t>2、凡两家或以上公司同一法人代表或其中一家公司为另一家公司单一最大股东的，不能同时参与同一项目的报价，一经发现，将视同串标处理。</w:t>
      </w:r>
    </w:p>
    <w:p>
      <w:pPr>
        <w:pStyle w:val="10"/>
        <w:tabs>
          <w:tab w:val="left" w:pos="7560"/>
        </w:tabs>
        <w:spacing w:line="360" w:lineRule="auto"/>
        <w:ind w:firstLine="480"/>
        <w:rPr>
          <w:rFonts w:ascii="宋体" w:hAnsi="宋体" w:eastAsia="宋体" w:cs="宋体"/>
          <w:sz w:val="24"/>
        </w:rPr>
      </w:pPr>
      <w:r>
        <w:rPr>
          <w:rFonts w:hint="eastAsia" w:ascii="宋体" w:hAnsi="宋体" w:eastAsia="宋体" w:cs="宋体"/>
          <w:sz w:val="24"/>
        </w:rPr>
        <w:t>3、需求方不承担报价人准备报价文件和递交报价文件以及参加本次报价活动所发生的任何成本或费用。</w:t>
      </w:r>
    </w:p>
    <w:p>
      <w:pPr>
        <w:pStyle w:val="10"/>
        <w:tabs>
          <w:tab w:val="left" w:pos="7560"/>
        </w:tabs>
        <w:spacing w:line="360" w:lineRule="auto"/>
        <w:ind w:firstLine="480"/>
        <w:rPr>
          <w:rFonts w:hint="eastAsia" w:ascii="宋体" w:hAnsi="宋体" w:eastAsia="宋体" w:cs="宋体"/>
          <w:sz w:val="24"/>
        </w:rPr>
      </w:pPr>
      <w:r>
        <w:rPr>
          <w:rFonts w:hint="eastAsia" w:ascii="宋体" w:hAnsi="宋体" w:eastAsia="宋体" w:cs="宋体"/>
          <w:sz w:val="24"/>
        </w:rPr>
        <w:t>4、需求方在签订合同之前任何时候均有权接受或拒绝报价、宣布竞价程序无效或拒绝所有报价。对受影响的报价人不承担任何责任，也无义务向受影响的报价人作出解释。</w:t>
      </w:r>
    </w:p>
    <w:p>
      <w:pPr>
        <w:pStyle w:val="10"/>
        <w:tabs>
          <w:tab w:val="left" w:pos="7560"/>
        </w:tabs>
        <w:spacing w:line="360" w:lineRule="auto"/>
        <w:ind w:firstLine="480"/>
        <w:rPr>
          <w:rFonts w:hint="eastAsia" w:ascii="宋体" w:hAnsi="宋体" w:eastAsia="宋体" w:cs="宋体"/>
          <w:sz w:val="24"/>
        </w:rPr>
      </w:pPr>
    </w:p>
    <w:p>
      <w:pPr>
        <w:pStyle w:val="10"/>
        <w:tabs>
          <w:tab w:val="left" w:pos="7560"/>
        </w:tabs>
        <w:spacing w:line="360" w:lineRule="auto"/>
        <w:ind w:firstLine="480"/>
        <w:rPr>
          <w:rFonts w:hint="eastAsia" w:ascii="宋体" w:hAnsi="宋体" w:eastAsia="宋体" w:cs="宋体"/>
          <w:sz w:val="24"/>
        </w:rPr>
      </w:pPr>
    </w:p>
    <w:p>
      <w:pPr>
        <w:tabs>
          <w:tab w:val="left" w:pos="0"/>
        </w:tabs>
        <w:spacing w:line="360" w:lineRule="auto"/>
        <w:ind w:right="-51" w:firstLine="4560" w:firstLineChars="1900"/>
        <w:jc w:val="both"/>
        <w:rPr>
          <w:rFonts w:ascii="宋体" w:hAnsi="宋体" w:eastAsia="宋体" w:cs="宋体"/>
          <w:sz w:val="24"/>
        </w:rPr>
      </w:pPr>
      <w:r>
        <w:rPr>
          <w:rFonts w:hint="eastAsia" w:ascii="宋体" w:hAnsi="宋体" w:eastAsia="宋体" w:cs="宋体"/>
          <w:sz w:val="24"/>
        </w:rPr>
        <w:t xml:space="preserve"> 东莞市深粮粮油食品工贸有限公司    </w:t>
      </w:r>
    </w:p>
    <w:p>
      <w:pPr>
        <w:jc w:val="center"/>
        <w:rPr>
          <w:rFonts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23</w:t>
      </w:r>
      <w:r>
        <w:rPr>
          <w:rFonts w:hint="eastAsia" w:ascii="宋体" w:hAnsi="宋体" w:eastAsia="宋体" w:cs="宋体"/>
          <w:sz w:val="24"/>
        </w:rPr>
        <w:t xml:space="preserve">日  </w:t>
      </w:r>
    </w:p>
    <w:p>
      <w:pPr>
        <w:pStyle w:val="2"/>
        <w:rPr>
          <w:rFonts w:ascii="宋体" w:hAnsi="宋体" w:eastAsia="宋体" w:cs="宋体"/>
          <w:sz w:val="24"/>
        </w:rPr>
      </w:pPr>
    </w:p>
    <w:p>
      <w:pPr>
        <w:jc w:val="center"/>
      </w:pPr>
    </w:p>
    <w:p>
      <w:pPr>
        <w:bidi w:val="0"/>
        <w:rPr>
          <w:rFonts w:ascii="仿宋_GB2312" w:hAnsi="Times New Roman" w:eastAsia="仿宋_GB2312" w:cs="Times New Roman"/>
          <w:kern w:val="2"/>
          <w:sz w:val="21"/>
          <w:szCs w:val="24"/>
          <w:lang w:val="en-US" w:eastAsia="zh-CN" w:bidi="ar-SA"/>
        </w:rPr>
      </w:pPr>
    </w:p>
    <w:p>
      <w:pPr>
        <w:bidi w:val="0"/>
        <w:rPr>
          <w:lang w:val="en-US" w:eastAsia="zh-CN"/>
        </w:rPr>
      </w:pPr>
    </w:p>
    <w:p>
      <w:pPr>
        <w:bidi w:val="0"/>
        <w:rPr>
          <w:lang w:val="en-US" w:eastAsia="zh-CN"/>
        </w:rPr>
      </w:pPr>
    </w:p>
    <w:p>
      <w:pPr>
        <w:shd w:val="clear" w:color="auto" w:fill="FFFFFF"/>
        <w:spacing w:line="495" w:lineRule="atLeast"/>
        <w:outlineLvl w:val="2"/>
        <w:rPr>
          <w:rFonts w:hint="eastAsia" w:ascii="PingFangSC" w:hAnsi="PingFangSC" w:eastAsia="宋体" w:cs="宋体"/>
          <w:color w:val="222222"/>
          <w:kern w:val="0"/>
          <w:sz w:val="28"/>
          <w:szCs w:val="28"/>
        </w:rPr>
      </w:pPr>
    </w:p>
    <w:p>
      <w:pPr>
        <w:shd w:val="clear" w:color="auto" w:fill="FFFFFF"/>
        <w:spacing w:line="495" w:lineRule="atLeast"/>
        <w:outlineLvl w:val="2"/>
        <w:rPr>
          <w:rFonts w:hint="eastAsia" w:ascii="PingFangSC" w:hAnsi="PingFangSC" w:eastAsia="宋体" w:cs="宋体"/>
          <w:color w:val="222222"/>
          <w:kern w:val="0"/>
          <w:sz w:val="28"/>
          <w:szCs w:val="28"/>
        </w:rPr>
      </w:pPr>
    </w:p>
    <w:p>
      <w:pPr>
        <w:shd w:val="clear" w:color="auto" w:fill="FFFFFF"/>
        <w:spacing w:line="495" w:lineRule="atLeast"/>
        <w:outlineLvl w:val="2"/>
        <w:rPr>
          <w:rFonts w:hint="eastAsia" w:ascii="PingFangSC" w:hAnsi="PingFangSC" w:eastAsia="宋体" w:cs="宋体"/>
          <w:color w:val="222222"/>
          <w:kern w:val="0"/>
          <w:sz w:val="28"/>
          <w:szCs w:val="28"/>
        </w:rPr>
      </w:pPr>
    </w:p>
    <w:p>
      <w:pPr>
        <w:shd w:val="clear" w:color="auto" w:fill="FFFFFF"/>
        <w:spacing w:line="495" w:lineRule="atLeast"/>
        <w:outlineLvl w:val="2"/>
        <w:rPr>
          <w:rFonts w:hint="eastAsia" w:ascii="PingFangSC" w:hAnsi="PingFangSC" w:eastAsia="宋体" w:cs="宋体"/>
          <w:color w:val="222222"/>
          <w:kern w:val="0"/>
          <w:sz w:val="28"/>
          <w:szCs w:val="28"/>
        </w:rPr>
      </w:pPr>
    </w:p>
    <w:p>
      <w:pPr>
        <w:shd w:val="clear" w:color="auto" w:fill="FFFFFF"/>
        <w:spacing w:line="495" w:lineRule="atLeast"/>
        <w:outlineLvl w:val="2"/>
        <w:rPr>
          <w:rFonts w:hint="eastAsia" w:ascii="PingFangSC" w:hAnsi="PingFangSC" w:eastAsia="宋体" w:cs="宋体"/>
          <w:color w:val="222222"/>
          <w:kern w:val="0"/>
          <w:sz w:val="28"/>
          <w:szCs w:val="28"/>
        </w:rPr>
      </w:pPr>
    </w:p>
    <w:p>
      <w:pPr>
        <w:shd w:val="clear" w:color="auto" w:fill="FFFFFF"/>
        <w:spacing w:line="495" w:lineRule="atLeast"/>
        <w:outlineLvl w:val="2"/>
        <w:rPr>
          <w:rFonts w:hint="eastAsia" w:ascii="PingFangSC" w:hAnsi="PingFangSC" w:eastAsia="宋体" w:cs="宋体"/>
          <w:color w:val="222222"/>
          <w:kern w:val="0"/>
          <w:sz w:val="28"/>
          <w:szCs w:val="28"/>
        </w:rPr>
      </w:pPr>
    </w:p>
    <w:p>
      <w:pPr>
        <w:shd w:val="clear" w:color="auto" w:fill="FFFFFF"/>
        <w:spacing w:line="495" w:lineRule="atLeast"/>
        <w:outlineLvl w:val="2"/>
        <w:rPr>
          <w:rFonts w:hint="eastAsia" w:ascii="PingFangSC" w:hAnsi="PingFangSC" w:eastAsia="宋体" w:cs="宋体"/>
          <w:color w:val="222222"/>
          <w:kern w:val="0"/>
          <w:sz w:val="28"/>
          <w:szCs w:val="28"/>
        </w:rPr>
      </w:pPr>
    </w:p>
    <w:p>
      <w:pPr>
        <w:shd w:val="clear" w:color="auto" w:fill="FFFFFF"/>
        <w:spacing w:line="495" w:lineRule="atLeast"/>
        <w:outlineLvl w:val="2"/>
        <w:rPr>
          <w:rFonts w:hint="eastAsia" w:ascii="PingFangSC" w:hAnsi="PingFangSC" w:eastAsia="宋体" w:cs="宋体"/>
          <w:color w:val="222222"/>
          <w:kern w:val="0"/>
          <w:sz w:val="28"/>
          <w:szCs w:val="28"/>
        </w:rPr>
      </w:pPr>
    </w:p>
    <w:p>
      <w:pPr>
        <w:shd w:val="clear" w:color="auto" w:fill="FFFFFF"/>
        <w:spacing w:line="495" w:lineRule="atLeast"/>
        <w:outlineLvl w:val="2"/>
        <w:rPr>
          <w:rFonts w:hint="eastAsia" w:ascii="PingFangSC" w:hAnsi="PingFangSC" w:eastAsia="宋体" w:cs="宋体"/>
          <w:color w:val="222222"/>
          <w:kern w:val="0"/>
          <w:sz w:val="28"/>
          <w:szCs w:val="28"/>
        </w:rPr>
      </w:pPr>
    </w:p>
    <w:p>
      <w:pPr>
        <w:shd w:val="clear" w:color="auto" w:fill="FFFFFF"/>
        <w:spacing w:line="495" w:lineRule="atLeast"/>
        <w:outlineLvl w:val="2"/>
        <w:rPr>
          <w:rFonts w:hint="eastAsia" w:ascii="PingFangSC" w:hAnsi="PingFangSC" w:eastAsia="宋体" w:cs="宋体"/>
          <w:color w:val="222222"/>
          <w:kern w:val="0"/>
          <w:sz w:val="28"/>
          <w:szCs w:val="28"/>
        </w:rPr>
      </w:pPr>
    </w:p>
    <w:p>
      <w:pPr>
        <w:shd w:val="clear" w:color="auto" w:fill="FFFFFF"/>
        <w:spacing w:line="495" w:lineRule="atLeast"/>
        <w:outlineLvl w:val="2"/>
        <w:rPr>
          <w:rFonts w:hint="eastAsia" w:ascii="PingFangSC" w:hAnsi="PingFangSC" w:eastAsia="宋体" w:cs="宋体"/>
          <w:color w:val="222222"/>
          <w:kern w:val="0"/>
          <w:sz w:val="28"/>
          <w:szCs w:val="28"/>
        </w:rPr>
      </w:pPr>
    </w:p>
    <w:p>
      <w:pPr>
        <w:shd w:val="clear" w:color="auto" w:fill="FFFFFF"/>
        <w:spacing w:line="495" w:lineRule="atLeast"/>
        <w:outlineLvl w:val="2"/>
        <w:rPr>
          <w:rFonts w:hint="eastAsia" w:ascii="PingFangSC" w:hAnsi="PingFangSC" w:eastAsia="宋体" w:cs="宋体"/>
          <w:color w:val="222222"/>
          <w:kern w:val="0"/>
          <w:sz w:val="28"/>
          <w:szCs w:val="28"/>
        </w:rPr>
      </w:pPr>
    </w:p>
    <w:p>
      <w:pPr>
        <w:shd w:val="clear" w:color="auto" w:fill="FFFFFF"/>
        <w:spacing w:line="495" w:lineRule="atLeast"/>
        <w:outlineLvl w:val="2"/>
        <w:rPr>
          <w:rFonts w:hint="eastAsia" w:ascii="PingFangSC" w:hAnsi="PingFangSC" w:eastAsia="宋体" w:cs="宋体"/>
          <w:color w:val="222222"/>
          <w:kern w:val="0"/>
          <w:sz w:val="28"/>
          <w:szCs w:val="28"/>
        </w:rPr>
      </w:pPr>
    </w:p>
    <w:p>
      <w:pPr>
        <w:shd w:val="clear" w:color="auto" w:fill="FFFFFF"/>
        <w:spacing w:line="495" w:lineRule="atLeast"/>
        <w:outlineLvl w:val="2"/>
        <w:rPr>
          <w:rFonts w:hint="eastAsia" w:ascii="PingFangSC" w:hAnsi="PingFangSC" w:eastAsia="宋体" w:cs="宋体"/>
          <w:color w:val="222222"/>
          <w:kern w:val="0"/>
          <w:sz w:val="28"/>
          <w:szCs w:val="28"/>
        </w:rPr>
      </w:pPr>
    </w:p>
    <w:p>
      <w:pPr>
        <w:shd w:val="clear" w:color="auto" w:fill="FFFFFF"/>
        <w:spacing w:line="495" w:lineRule="atLeast"/>
        <w:outlineLvl w:val="2"/>
        <w:rPr>
          <w:rFonts w:hint="eastAsia" w:ascii="PingFangSC" w:hAnsi="PingFangSC" w:eastAsia="宋体" w:cs="宋体"/>
          <w:color w:val="222222"/>
          <w:kern w:val="0"/>
          <w:sz w:val="28"/>
          <w:szCs w:val="28"/>
        </w:rPr>
      </w:pPr>
      <w:r>
        <w:rPr>
          <w:rFonts w:hint="eastAsia" w:ascii="PingFangSC" w:hAnsi="PingFangSC" w:eastAsia="宋体" w:cs="宋体"/>
          <w:color w:val="222222"/>
          <w:kern w:val="0"/>
          <w:sz w:val="28"/>
          <w:szCs w:val="28"/>
        </w:rPr>
        <w:t>附件1</w:t>
      </w:r>
    </w:p>
    <w:p>
      <w:pPr>
        <w:shd w:val="clear" w:color="auto" w:fill="FFFFFF"/>
        <w:spacing w:line="495" w:lineRule="atLeast"/>
        <w:jc w:val="center"/>
        <w:outlineLvl w:val="2"/>
        <w:rPr>
          <w:rFonts w:cs="宋体" w:asciiTheme="minorEastAsia" w:hAnsiTheme="minorEastAsia" w:eastAsiaTheme="minorEastAsia"/>
          <w:color w:val="222222"/>
          <w:kern w:val="0"/>
          <w:sz w:val="36"/>
          <w:szCs w:val="36"/>
        </w:rPr>
      </w:pPr>
      <w:r>
        <w:rPr>
          <w:rFonts w:hint="eastAsia" w:cs="宋体" w:asciiTheme="minorEastAsia" w:hAnsiTheme="minorEastAsia" w:eastAsiaTheme="minorEastAsia"/>
          <w:color w:val="222222"/>
          <w:kern w:val="0"/>
          <w:sz w:val="36"/>
          <w:szCs w:val="36"/>
        </w:rPr>
        <w:t>参加（</w:t>
      </w:r>
      <w:r>
        <w:rPr>
          <w:rFonts w:hint="eastAsia" w:cs="宋体" w:asciiTheme="minorEastAsia" w:hAnsiTheme="minorEastAsia"/>
          <w:color w:val="222222"/>
          <w:kern w:val="0"/>
          <w:sz w:val="36"/>
          <w:szCs w:val="36"/>
        </w:rPr>
        <w:t>报价</w:t>
      </w:r>
      <w:r>
        <w:rPr>
          <w:rFonts w:hint="eastAsia" w:cs="宋体" w:asciiTheme="minorEastAsia" w:hAnsiTheme="minorEastAsia" w:eastAsiaTheme="minorEastAsia"/>
          <w:color w:val="222222"/>
          <w:kern w:val="0"/>
          <w:sz w:val="36"/>
          <w:szCs w:val="36"/>
        </w:rPr>
        <w:t>响应）</w:t>
      </w:r>
      <w:r>
        <w:rPr>
          <w:rFonts w:cs="宋体" w:asciiTheme="minorEastAsia" w:hAnsiTheme="minorEastAsia" w:eastAsiaTheme="minorEastAsia"/>
          <w:color w:val="222222"/>
          <w:kern w:val="0"/>
          <w:sz w:val="36"/>
          <w:szCs w:val="36"/>
        </w:rPr>
        <w:t>授权报名表</w:t>
      </w:r>
    </w:p>
    <w:p/>
    <w:p>
      <w:pPr>
        <w:ind w:firstLine="1120" w:firstLineChars="400"/>
        <w:rPr>
          <w:sz w:val="28"/>
          <w:szCs w:val="28"/>
        </w:rPr>
      </w:pPr>
      <w:r>
        <w:rPr>
          <w:rFonts w:hint="eastAsia"/>
          <w:sz w:val="28"/>
          <w:szCs w:val="28"/>
        </w:rPr>
        <w:t>本人</w:t>
      </w:r>
      <w:r>
        <w:rPr>
          <w:rFonts w:hint="eastAsia"/>
          <w:sz w:val="28"/>
          <w:szCs w:val="28"/>
          <w:u w:val="single"/>
        </w:rPr>
        <w:t xml:space="preserve"> </w:t>
      </w:r>
      <w:r>
        <w:rPr>
          <w:sz w:val="28"/>
          <w:szCs w:val="28"/>
          <w:u w:val="single"/>
        </w:rPr>
        <w:t xml:space="preserve">         </w:t>
      </w:r>
      <w:r>
        <w:rPr>
          <w:rFonts w:hint="eastAsia"/>
          <w:sz w:val="28"/>
          <w:szCs w:val="28"/>
        </w:rPr>
        <w:t>（身份证号：</w:t>
      </w:r>
      <w:r>
        <w:rPr>
          <w:rFonts w:hint="eastAsia"/>
          <w:sz w:val="28"/>
          <w:szCs w:val="28"/>
          <w:u w:val="single"/>
        </w:rPr>
        <w:t xml:space="preserve"> </w:t>
      </w:r>
      <w:r>
        <w:rPr>
          <w:sz w:val="28"/>
          <w:szCs w:val="28"/>
          <w:u w:val="single"/>
        </w:rPr>
        <w:t xml:space="preserve">                         </w:t>
      </w:r>
      <w:r>
        <w:rPr>
          <w:rFonts w:hint="eastAsia"/>
          <w:sz w:val="28"/>
          <w:szCs w:val="28"/>
        </w:rPr>
        <w:t>）系</w:t>
      </w:r>
      <w:r>
        <w:rPr>
          <w:rFonts w:hint="eastAsia"/>
          <w:sz w:val="28"/>
          <w:szCs w:val="28"/>
          <w:u w:val="single"/>
        </w:rPr>
        <w:t xml:space="preserve"> </w:t>
      </w:r>
      <w:r>
        <w:rPr>
          <w:sz w:val="28"/>
          <w:szCs w:val="28"/>
          <w:u w:val="single"/>
        </w:rPr>
        <w:t xml:space="preserve">                   </w:t>
      </w:r>
      <w:r>
        <w:rPr>
          <w:rFonts w:hint="eastAsia"/>
          <w:sz w:val="28"/>
          <w:szCs w:val="28"/>
          <w:u w:val="single"/>
        </w:rPr>
        <w:t>公司</w:t>
      </w:r>
      <w:r>
        <w:rPr>
          <w:rFonts w:hint="eastAsia"/>
          <w:sz w:val="28"/>
          <w:szCs w:val="28"/>
        </w:rPr>
        <w:t>的法定代表人，现委托</w:t>
      </w:r>
      <w:r>
        <w:rPr>
          <w:rFonts w:hint="eastAsia"/>
          <w:sz w:val="28"/>
          <w:szCs w:val="28"/>
          <w:u w:val="single"/>
        </w:rPr>
        <w:t xml:space="preserve"> </w:t>
      </w:r>
      <w:r>
        <w:rPr>
          <w:sz w:val="28"/>
          <w:szCs w:val="28"/>
          <w:u w:val="single"/>
        </w:rPr>
        <w:t xml:space="preserve">        </w:t>
      </w:r>
      <w:r>
        <w:rPr>
          <w:rFonts w:hint="eastAsia"/>
          <w:sz w:val="28"/>
          <w:szCs w:val="28"/>
        </w:rPr>
        <w:t>（身份证号</w:t>
      </w:r>
      <w:r>
        <w:rPr>
          <w:rFonts w:hint="eastAsia"/>
          <w:sz w:val="28"/>
          <w:szCs w:val="28"/>
          <w:u w:val="single"/>
        </w:rPr>
        <w:t xml:space="preserve"> </w:t>
      </w:r>
      <w:r>
        <w:rPr>
          <w:sz w:val="28"/>
          <w:szCs w:val="28"/>
          <w:u w:val="single"/>
        </w:rPr>
        <w:t xml:space="preserve">                         </w:t>
      </w:r>
      <w:r>
        <w:rPr>
          <w:rFonts w:hint="eastAsia"/>
          <w:sz w:val="28"/>
          <w:szCs w:val="28"/>
        </w:rPr>
        <w:t>）为我方代理人。代理人根据授权，以我方名义参加</w:t>
      </w:r>
      <w:r>
        <w:rPr>
          <w:sz w:val="28"/>
          <w:szCs w:val="28"/>
          <w:u w:val="single"/>
        </w:rPr>
        <w:t xml:space="preserve">                                       </w:t>
      </w:r>
      <w:r>
        <w:rPr>
          <w:rFonts w:hint="eastAsia"/>
          <w:sz w:val="28"/>
          <w:szCs w:val="28"/>
        </w:rPr>
        <w:t>开展采购活动中的响应文件的签署、澄清、说明、补正、递交、撤回、修改处理有关事宜，其法律后果由我方承担。我公司针对贵公司采购编号为</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的采购公告，郑重声明：我公司提供（工程、货物或服务）质量标准符合采购公告要求，完全能满足采购方要求，如若无法满足采购方要求，我公司将对此负全部责任。</w:t>
      </w:r>
    </w:p>
    <w:p>
      <w:pPr>
        <w:rPr>
          <w:sz w:val="28"/>
          <w:szCs w:val="28"/>
        </w:rPr>
      </w:pPr>
    </w:p>
    <w:p>
      <w:pPr>
        <w:jc w:val="center"/>
        <w:rPr>
          <w:sz w:val="28"/>
          <w:szCs w:val="28"/>
        </w:rPr>
      </w:pPr>
    </w:p>
    <w:p>
      <w:pPr>
        <w:jc w:val="center"/>
        <w:rPr>
          <w:sz w:val="28"/>
          <w:szCs w:val="28"/>
        </w:rPr>
      </w:pPr>
      <w:r>
        <w:rPr>
          <w:rFonts w:hint="eastAsia"/>
          <w:sz w:val="28"/>
          <w:szCs w:val="28"/>
        </w:rPr>
        <w:t>供应商全称（加盖公章）：</w:t>
      </w:r>
    </w:p>
    <w:p>
      <w:pPr>
        <w:ind w:firstLine="2520" w:firstLineChars="900"/>
        <w:jc w:val="both"/>
        <w:rPr>
          <w:sz w:val="28"/>
          <w:szCs w:val="28"/>
        </w:rPr>
      </w:pPr>
      <w:r>
        <w:rPr>
          <w:rFonts w:hint="eastAsia"/>
          <w:sz w:val="28"/>
          <w:szCs w:val="28"/>
        </w:rPr>
        <w:t>法定代表人签字：</w:t>
      </w:r>
    </w:p>
    <w:p>
      <w:pPr>
        <w:rPr>
          <w:rFonts w:hint="eastAsia" w:ascii="PingFangSC" w:hAnsi="PingFangSC" w:eastAsia="宋体" w:cs="宋体"/>
          <w:color w:val="222222"/>
          <w:kern w:val="0"/>
          <w:sz w:val="28"/>
          <w:szCs w:val="28"/>
        </w:rPr>
        <w:sectPr>
          <w:pgSz w:w="11906" w:h="16838"/>
          <w:pgMar w:top="1440" w:right="1800" w:bottom="1440" w:left="1800" w:header="851" w:footer="992" w:gutter="0"/>
          <w:cols w:space="425" w:num="1"/>
          <w:docGrid w:type="lines" w:linePitch="312" w:charSpace="0"/>
        </w:sectPr>
      </w:pPr>
    </w:p>
    <w:p>
      <w:pP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28"/>
          <w:szCs w:val="28"/>
        </w:rPr>
        <w:t>附件</w:t>
      </w:r>
      <w:r>
        <w:rPr>
          <w:rFonts w:ascii="方正小标宋_GBK" w:hAnsi="方正小标宋_GBK" w:eastAsia="方正小标宋_GBK" w:cs="方正小标宋_GBK"/>
          <w:sz w:val="28"/>
          <w:szCs w:val="28"/>
        </w:rPr>
        <w:t>2</w:t>
      </w:r>
      <w:r>
        <w:rPr>
          <w:rFonts w:hint="eastAsia" w:ascii="方正小标宋_GBK" w:hAnsi="方正小标宋_GBK" w:eastAsia="方正小标宋_GBK" w:cs="方正小标宋_GBK"/>
          <w:sz w:val="28"/>
          <w:szCs w:val="28"/>
        </w:rPr>
        <w:t>：</w:t>
      </w: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供应商基本情况表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
        <w:gridCol w:w="720"/>
        <w:gridCol w:w="1177"/>
        <w:gridCol w:w="227"/>
        <w:gridCol w:w="924"/>
        <w:gridCol w:w="84"/>
        <w:gridCol w:w="1116"/>
        <w:gridCol w:w="516"/>
        <w:gridCol w:w="264"/>
        <w:gridCol w:w="1200"/>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项目名称</w:t>
            </w:r>
          </w:p>
        </w:tc>
        <w:tc>
          <w:tcPr>
            <w:tcW w:w="6859" w:type="dxa"/>
            <w:gridSpan w:val="9"/>
            <w:vAlign w:val="center"/>
          </w:tcPr>
          <w:p>
            <w:pPr>
              <w:widowControl w:val="0"/>
              <w:spacing w:line="420" w:lineRule="exact"/>
              <w:jc w:val="cente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投标（响应）供应商</w:t>
            </w:r>
          </w:p>
        </w:tc>
        <w:tc>
          <w:tcPr>
            <w:tcW w:w="2328" w:type="dxa"/>
            <w:gridSpan w:val="3"/>
            <w:vAlign w:val="center"/>
          </w:tcPr>
          <w:p>
            <w:pPr>
              <w:widowControl w:val="0"/>
              <w:spacing w:line="420" w:lineRule="exact"/>
              <w:jc w:val="center"/>
              <w:rPr>
                <w:rFonts w:hAnsi="仿宋_GB2312" w:cs="仿宋_GB2312"/>
                <w:sz w:val="28"/>
                <w:szCs w:val="28"/>
              </w:rPr>
            </w:pPr>
          </w:p>
        </w:tc>
        <w:tc>
          <w:tcPr>
            <w:tcW w:w="1980" w:type="dxa"/>
            <w:gridSpan w:val="4"/>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供应商统一社会信用代码</w:t>
            </w:r>
          </w:p>
        </w:tc>
        <w:tc>
          <w:tcPr>
            <w:tcW w:w="2551" w:type="dxa"/>
            <w:gridSpan w:val="2"/>
            <w:vAlign w:val="center"/>
          </w:tcPr>
          <w:p>
            <w:pPr>
              <w:widowControl w:val="0"/>
              <w:spacing w:line="420" w:lineRule="exact"/>
              <w:jc w:val="cente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vAlign w:val="center"/>
          </w:tcPr>
          <w:p>
            <w:pPr>
              <w:widowControl w:val="0"/>
              <w:spacing w:line="420" w:lineRule="exact"/>
              <w:jc w:val="center"/>
              <w:rPr>
                <w:rFonts w:hAnsi="仿宋_GB2312" w:cs="仿宋_GB2312"/>
                <w:sz w:val="28"/>
                <w:szCs w:val="28"/>
              </w:rPr>
            </w:pPr>
            <w:r>
              <w:rPr>
                <w:rFonts w:hint="eastAsia" w:hAnsi="仿宋_GB2312" w:cs="仿宋_GB2312"/>
                <w:b/>
                <w:bCs/>
                <w:sz w:val="28"/>
                <w:szCs w:val="28"/>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序号</w:t>
            </w:r>
          </w:p>
        </w:tc>
        <w:tc>
          <w:tcPr>
            <w:tcW w:w="2268" w:type="dxa"/>
            <w:gridSpan w:val="4"/>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职务</w:t>
            </w:r>
          </w:p>
        </w:tc>
        <w:tc>
          <w:tcPr>
            <w:tcW w:w="1008" w:type="dxa"/>
            <w:gridSpan w:val="2"/>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姓名</w:t>
            </w:r>
          </w:p>
        </w:tc>
        <w:tc>
          <w:tcPr>
            <w:tcW w:w="1632" w:type="dxa"/>
            <w:gridSpan w:val="2"/>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身份证号码</w:t>
            </w:r>
          </w:p>
        </w:tc>
        <w:tc>
          <w:tcPr>
            <w:tcW w:w="1464" w:type="dxa"/>
            <w:gridSpan w:val="2"/>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劳动合同关系单位</w:t>
            </w:r>
          </w:p>
        </w:tc>
        <w:tc>
          <w:tcPr>
            <w:tcW w:w="1351" w:type="dxa"/>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缴纳社会保险单位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1</w:t>
            </w:r>
          </w:p>
        </w:tc>
        <w:tc>
          <w:tcPr>
            <w:tcW w:w="2268" w:type="dxa"/>
            <w:gridSpan w:val="4"/>
            <w:vAlign w:val="center"/>
          </w:tcPr>
          <w:p>
            <w:pPr>
              <w:widowControl w:val="0"/>
              <w:spacing w:line="420" w:lineRule="exact"/>
              <w:jc w:val="center"/>
              <w:rPr>
                <w:rFonts w:hAnsi="仿宋_GB2312" w:cs="仿宋_GB2312"/>
                <w:szCs w:val="21"/>
              </w:rPr>
            </w:pPr>
            <w:r>
              <w:rPr>
                <w:rFonts w:hint="eastAsia" w:hAnsi="仿宋_GB2312" w:cs="仿宋_GB2312"/>
                <w:szCs w:val="21"/>
              </w:rPr>
              <w:t>法定代表人/单位负责人/主要经营负责人</w:t>
            </w:r>
          </w:p>
        </w:tc>
        <w:tc>
          <w:tcPr>
            <w:tcW w:w="1008" w:type="dxa"/>
            <w:gridSpan w:val="2"/>
            <w:vAlign w:val="center"/>
          </w:tcPr>
          <w:p>
            <w:pPr>
              <w:widowControl w:val="0"/>
              <w:spacing w:line="420" w:lineRule="exact"/>
              <w:jc w:val="center"/>
              <w:rPr>
                <w:rFonts w:hAnsi="仿宋_GB2312" w:cs="仿宋_GB2312"/>
                <w:sz w:val="28"/>
                <w:szCs w:val="28"/>
              </w:rPr>
            </w:pPr>
          </w:p>
        </w:tc>
        <w:tc>
          <w:tcPr>
            <w:tcW w:w="1632" w:type="dxa"/>
            <w:gridSpan w:val="2"/>
            <w:vAlign w:val="center"/>
          </w:tcPr>
          <w:p>
            <w:pPr>
              <w:widowControl w:val="0"/>
              <w:spacing w:line="420" w:lineRule="exact"/>
              <w:jc w:val="center"/>
              <w:rPr>
                <w:rFonts w:hAnsi="仿宋_GB2312" w:cs="仿宋_GB2312"/>
                <w:sz w:val="28"/>
                <w:szCs w:val="28"/>
              </w:rPr>
            </w:pPr>
          </w:p>
        </w:tc>
        <w:tc>
          <w:tcPr>
            <w:tcW w:w="1464" w:type="dxa"/>
            <w:gridSpan w:val="2"/>
            <w:vAlign w:val="center"/>
          </w:tcPr>
          <w:p>
            <w:pPr>
              <w:widowControl w:val="0"/>
              <w:spacing w:line="420" w:lineRule="exact"/>
              <w:jc w:val="center"/>
              <w:rPr>
                <w:rFonts w:hAnsi="仿宋_GB2312" w:cs="仿宋_GB2312"/>
                <w:sz w:val="28"/>
                <w:szCs w:val="28"/>
              </w:rPr>
            </w:pPr>
          </w:p>
        </w:tc>
        <w:tc>
          <w:tcPr>
            <w:tcW w:w="1351" w:type="dxa"/>
            <w:vAlign w:val="center"/>
          </w:tcPr>
          <w:p>
            <w:pPr>
              <w:widowControl w:val="0"/>
              <w:spacing w:line="420" w:lineRule="exact"/>
              <w:jc w:val="cente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2</w:t>
            </w:r>
          </w:p>
        </w:tc>
        <w:tc>
          <w:tcPr>
            <w:tcW w:w="2268" w:type="dxa"/>
            <w:gridSpan w:val="4"/>
            <w:vAlign w:val="center"/>
          </w:tcPr>
          <w:p>
            <w:pPr>
              <w:widowControl w:val="0"/>
              <w:spacing w:line="420" w:lineRule="exact"/>
              <w:jc w:val="center"/>
              <w:rPr>
                <w:rFonts w:hAnsi="仿宋_GB2312" w:cs="仿宋_GB2312"/>
                <w:szCs w:val="21"/>
              </w:rPr>
            </w:pPr>
            <w:r>
              <w:rPr>
                <w:rFonts w:hint="eastAsia" w:hAnsi="仿宋_GB2312" w:cs="仿宋_GB2312"/>
                <w:szCs w:val="21"/>
              </w:rPr>
              <w:t>项目投标授权代表人</w:t>
            </w:r>
          </w:p>
        </w:tc>
        <w:tc>
          <w:tcPr>
            <w:tcW w:w="1008" w:type="dxa"/>
            <w:gridSpan w:val="2"/>
            <w:vAlign w:val="center"/>
          </w:tcPr>
          <w:p>
            <w:pPr>
              <w:widowControl w:val="0"/>
              <w:spacing w:line="420" w:lineRule="exact"/>
              <w:jc w:val="center"/>
              <w:rPr>
                <w:rFonts w:hAnsi="仿宋_GB2312" w:cs="仿宋_GB2312"/>
                <w:sz w:val="28"/>
                <w:szCs w:val="28"/>
              </w:rPr>
            </w:pPr>
          </w:p>
        </w:tc>
        <w:tc>
          <w:tcPr>
            <w:tcW w:w="1632" w:type="dxa"/>
            <w:gridSpan w:val="2"/>
            <w:vAlign w:val="center"/>
          </w:tcPr>
          <w:p>
            <w:pPr>
              <w:widowControl w:val="0"/>
              <w:spacing w:line="420" w:lineRule="exact"/>
              <w:jc w:val="center"/>
              <w:rPr>
                <w:rFonts w:hAnsi="仿宋_GB2312" w:cs="仿宋_GB2312"/>
                <w:sz w:val="28"/>
                <w:szCs w:val="28"/>
              </w:rPr>
            </w:pPr>
          </w:p>
        </w:tc>
        <w:tc>
          <w:tcPr>
            <w:tcW w:w="1464" w:type="dxa"/>
            <w:gridSpan w:val="2"/>
            <w:vAlign w:val="center"/>
          </w:tcPr>
          <w:p>
            <w:pPr>
              <w:widowControl w:val="0"/>
              <w:spacing w:line="420" w:lineRule="exact"/>
              <w:jc w:val="center"/>
              <w:rPr>
                <w:rFonts w:hAnsi="仿宋_GB2312" w:cs="仿宋_GB2312"/>
                <w:sz w:val="28"/>
                <w:szCs w:val="28"/>
              </w:rPr>
            </w:pPr>
          </w:p>
        </w:tc>
        <w:tc>
          <w:tcPr>
            <w:tcW w:w="1351" w:type="dxa"/>
            <w:vAlign w:val="center"/>
          </w:tcPr>
          <w:p>
            <w:pPr>
              <w:widowControl w:val="0"/>
              <w:spacing w:line="420" w:lineRule="exact"/>
              <w:jc w:val="cente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3</w:t>
            </w:r>
          </w:p>
        </w:tc>
        <w:tc>
          <w:tcPr>
            <w:tcW w:w="2268" w:type="dxa"/>
            <w:gridSpan w:val="4"/>
            <w:vAlign w:val="center"/>
          </w:tcPr>
          <w:p>
            <w:pPr>
              <w:widowControl w:val="0"/>
              <w:spacing w:line="420" w:lineRule="exact"/>
              <w:jc w:val="center"/>
              <w:rPr>
                <w:rFonts w:hAnsi="仿宋_GB2312" w:cs="仿宋_GB2312"/>
                <w:szCs w:val="21"/>
              </w:rPr>
            </w:pPr>
            <w:r>
              <w:rPr>
                <w:rFonts w:hint="eastAsia" w:hAnsi="仿宋_GB2312" w:cs="仿宋_GB2312"/>
                <w:szCs w:val="21"/>
              </w:rPr>
              <w:t>项目负责人</w:t>
            </w:r>
          </w:p>
        </w:tc>
        <w:tc>
          <w:tcPr>
            <w:tcW w:w="1008" w:type="dxa"/>
            <w:gridSpan w:val="2"/>
            <w:vAlign w:val="center"/>
          </w:tcPr>
          <w:p>
            <w:pPr>
              <w:widowControl w:val="0"/>
              <w:spacing w:line="420" w:lineRule="exact"/>
              <w:jc w:val="center"/>
              <w:rPr>
                <w:rFonts w:hAnsi="仿宋_GB2312" w:cs="仿宋_GB2312"/>
                <w:sz w:val="28"/>
                <w:szCs w:val="28"/>
              </w:rPr>
            </w:pPr>
          </w:p>
        </w:tc>
        <w:tc>
          <w:tcPr>
            <w:tcW w:w="1632" w:type="dxa"/>
            <w:gridSpan w:val="2"/>
            <w:vAlign w:val="center"/>
          </w:tcPr>
          <w:p>
            <w:pPr>
              <w:widowControl w:val="0"/>
              <w:spacing w:line="420" w:lineRule="exact"/>
              <w:jc w:val="center"/>
              <w:rPr>
                <w:rFonts w:hAnsi="仿宋_GB2312" w:cs="仿宋_GB2312"/>
                <w:sz w:val="28"/>
                <w:szCs w:val="28"/>
              </w:rPr>
            </w:pPr>
          </w:p>
        </w:tc>
        <w:tc>
          <w:tcPr>
            <w:tcW w:w="1464" w:type="dxa"/>
            <w:gridSpan w:val="2"/>
            <w:vAlign w:val="center"/>
          </w:tcPr>
          <w:p>
            <w:pPr>
              <w:widowControl w:val="0"/>
              <w:spacing w:line="420" w:lineRule="exact"/>
              <w:jc w:val="center"/>
              <w:rPr>
                <w:rFonts w:hAnsi="仿宋_GB2312" w:cs="仿宋_GB2312"/>
                <w:sz w:val="28"/>
                <w:szCs w:val="28"/>
              </w:rPr>
            </w:pPr>
          </w:p>
        </w:tc>
        <w:tc>
          <w:tcPr>
            <w:tcW w:w="1351" w:type="dxa"/>
            <w:vAlign w:val="center"/>
          </w:tcPr>
          <w:p>
            <w:pPr>
              <w:widowControl w:val="0"/>
              <w:spacing w:line="420" w:lineRule="exact"/>
              <w:jc w:val="cente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4</w:t>
            </w:r>
          </w:p>
        </w:tc>
        <w:tc>
          <w:tcPr>
            <w:tcW w:w="2268" w:type="dxa"/>
            <w:gridSpan w:val="4"/>
            <w:vAlign w:val="center"/>
          </w:tcPr>
          <w:p>
            <w:pPr>
              <w:widowControl w:val="0"/>
              <w:spacing w:line="420" w:lineRule="exact"/>
              <w:jc w:val="center"/>
              <w:rPr>
                <w:rFonts w:hAnsi="仿宋_GB2312" w:cs="仿宋_GB2312"/>
                <w:szCs w:val="21"/>
              </w:rPr>
            </w:pPr>
            <w:r>
              <w:rPr>
                <w:rFonts w:hint="eastAsia" w:hAnsi="仿宋_GB2312" w:cs="仿宋_GB2312"/>
                <w:szCs w:val="21"/>
              </w:rPr>
              <w:t>主要技术人员</w:t>
            </w:r>
          </w:p>
        </w:tc>
        <w:tc>
          <w:tcPr>
            <w:tcW w:w="1008" w:type="dxa"/>
            <w:gridSpan w:val="2"/>
            <w:vAlign w:val="center"/>
          </w:tcPr>
          <w:p>
            <w:pPr>
              <w:widowControl w:val="0"/>
              <w:spacing w:line="420" w:lineRule="exact"/>
              <w:jc w:val="center"/>
              <w:rPr>
                <w:rFonts w:hAnsi="仿宋_GB2312" w:cs="仿宋_GB2312"/>
                <w:sz w:val="28"/>
                <w:szCs w:val="28"/>
              </w:rPr>
            </w:pPr>
          </w:p>
        </w:tc>
        <w:tc>
          <w:tcPr>
            <w:tcW w:w="1632" w:type="dxa"/>
            <w:gridSpan w:val="2"/>
            <w:vAlign w:val="center"/>
          </w:tcPr>
          <w:p>
            <w:pPr>
              <w:widowControl w:val="0"/>
              <w:spacing w:line="420" w:lineRule="exact"/>
              <w:jc w:val="center"/>
              <w:rPr>
                <w:rFonts w:hAnsi="仿宋_GB2312" w:cs="仿宋_GB2312"/>
                <w:sz w:val="28"/>
                <w:szCs w:val="28"/>
              </w:rPr>
            </w:pPr>
          </w:p>
        </w:tc>
        <w:tc>
          <w:tcPr>
            <w:tcW w:w="1464" w:type="dxa"/>
            <w:gridSpan w:val="2"/>
            <w:vAlign w:val="center"/>
          </w:tcPr>
          <w:p>
            <w:pPr>
              <w:widowControl w:val="0"/>
              <w:spacing w:line="420" w:lineRule="exact"/>
              <w:jc w:val="center"/>
              <w:rPr>
                <w:rFonts w:hAnsi="仿宋_GB2312" w:cs="仿宋_GB2312"/>
                <w:sz w:val="28"/>
                <w:szCs w:val="28"/>
              </w:rPr>
            </w:pPr>
          </w:p>
        </w:tc>
        <w:tc>
          <w:tcPr>
            <w:tcW w:w="1351" w:type="dxa"/>
            <w:vAlign w:val="center"/>
          </w:tcPr>
          <w:p>
            <w:pPr>
              <w:widowControl w:val="0"/>
              <w:spacing w:line="420" w:lineRule="exact"/>
              <w:jc w:val="cente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5</w:t>
            </w:r>
          </w:p>
        </w:tc>
        <w:tc>
          <w:tcPr>
            <w:tcW w:w="2268" w:type="dxa"/>
            <w:gridSpan w:val="4"/>
            <w:vAlign w:val="center"/>
          </w:tcPr>
          <w:p>
            <w:pPr>
              <w:widowControl w:val="0"/>
              <w:spacing w:line="420" w:lineRule="exact"/>
              <w:jc w:val="center"/>
              <w:rPr>
                <w:rFonts w:hAnsi="仿宋_GB2312" w:cs="仿宋_GB2312"/>
                <w:szCs w:val="21"/>
              </w:rPr>
            </w:pPr>
            <w:r>
              <w:rPr>
                <w:rFonts w:hint="eastAsia" w:hAnsi="仿宋_GB2312" w:cs="仿宋_GB2312"/>
                <w:szCs w:val="21"/>
              </w:rPr>
              <w:t>投标文件编制人员</w:t>
            </w:r>
          </w:p>
        </w:tc>
        <w:tc>
          <w:tcPr>
            <w:tcW w:w="1008" w:type="dxa"/>
            <w:gridSpan w:val="2"/>
            <w:vAlign w:val="center"/>
          </w:tcPr>
          <w:p>
            <w:pPr>
              <w:widowControl w:val="0"/>
              <w:spacing w:line="420" w:lineRule="exact"/>
              <w:jc w:val="center"/>
              <w:rPr>
                <w:rFonts w:hAnsi="仿宋_GB2312" w:cs="仿宋_GB2312"/>
                <w:sz w:val="28"/>
                <w:szCs w:val="28"/>
              </w:rPr>
            </w:pPr>
          </w:p>
        </w:tc>
        <w:tc>
          <w:tcPr>
            <w:tcW w:w="1632" w:type="dxa"/>
            <w:gridSpan w:val="2"/>
            <w:vAlign w:val="center"/>
          </w:tcPr>
          <w:p>
            <w:pPr>
              <w:widowControl w:val="0"/>
              <w:spacing w:line="420" w:lineRule="exact"/>
              <w:jc w:val="center"/>
              <w:rPr>
                <w:rFonts w:hAnsi="仿宋_GB2312" w:cs="仿宋_GB2312"/>
                <w:sz w:val="28"/>
                <w:szCs w:val="28"/>
              </w:rPr>
            </w:pPr>
          </w:p>
        </w:tc>
        <w:tc>
          <w:tcPr>
            <w:tcW w:w="1464" w:type="dxa"/>
            <w:gridSpan w:val="2"/>
            <w:vAlign w:val="center"/>
          </w:tcPr>
          <w:p>
            <w:pPr>
              <w:widowControl w:val="0"/>
              <w:spacing w:line="420" w:lineRule="exact"/>
              <w:jc w:val="center"/>
              <w:rPr>
                <w:rFonts w:hAnsi="仿宋_GB2312" w:cs="仿宋_GB2312"/>
                <w:sz w:val="28"/>
                <w:szCs w:val="28"/>
              </w:rPr>
            </w:pPr>
          </w:p>
        </w:tc>
        <w:tc>
          <w:tcPr>
            <w:tcW w:w="1351" w:type="dxa"/>
            <w:vAlign w:val="center"/>
          </w:tcPr>
          <w:p>
            <w:pPr>
              <w:widowControl w:val="0"/>
              <w:spacing w:line="420" w:lineRule="exact"/>
              <w:jc w:val="cente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pPr>
              <w:widowControl w:val="0"/>
              <w:spacing w:line="420" w:lineRule="exact"/>
              <w:rPr>
                <w:rFonts w:hAnsi="仿宋_GB2312" w:cs="仿宋_GB2312"/>
                <w:sz w:val="28"/>
                <w:szCs w:val="28"/>
              </w:rPr>
            </w:pPr>
            <w:r>
              <w:rPr>
                <w:rFonts w:hint="eastAsia" w:hAnsi="仿宋_GB2312" w:cs="仿宋_GB2312"/>
                <w:b/>
                <w:bCs/>
                <w:sz w:val="28"/>
                <w:szCs w:val="28"/>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vAlign w:val="center"/>
          </w:tcPr>
          <w:p>
            <w:pPr>
              <w:widowControl w:val="0"/>
              <w:spacing w:line="420" w:lineRule="exact"/>
              <w:jc w:val="center"/>
              <w:rPr>
                <w:rFonts w:hAnsi="仿宋_GB2312" w:cs="仿宋_GB2312"/>
                <w:sz w:val="28"/>
                <w:szCs w:val="28"/>
              </w:rPr>
            </w:pPr>
            <w:r>
              <w:rPr>
                <w:rFonts w:hint="eastAsia" w:hAnsi="仿宋_GB2312" w:cs="仿宋_GB2312"/>
                <w:b/>
                <w:bCs/>
                <w:sz w:val="28"/>
                <w:szCs w:val="28"/>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序号</w:t>
            </w:r>
          </w:p>
        </w:tc>
        <w:tc>
          <w:tcPr>
            <w:tcW w:w="1897" w:type="dxa"/>
            <w:gridSpan w:val="2"/>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关联关系类型</w:t>
            </w:r>
          </w:p>
        </w:tc>
        <w:tc>
          <w:tcPr>
            <w:tcW w:w="2351" w:type="dxa"/>
            <w:gridSpan w:val="4"/>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关联主体名称</w:t>
            </w:r>
          </w:p>
        </w:tc>
        <w:tc>
          <w:tcPr>
            <w:tcW w:w="3331" w:type="dxa"/>
            <w:gridSpan w:val="4"/>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1</w:t>
            </w:r>
          </w:p>
        </w:tc>
        <w:tc>
          <w:tcPr>
            <w:tcW w:w="1897" w:type="dxa"/>
            <w:gridSpan w:val="2"/>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控股股东</w:t>
            </w:r>
          </w:p>
        </w:tc>
        <w:tc>
          <w:tcPr>
            <w:tcW w:w="2351" w:type="dxa"/>
            <w:gridSpan w:val="4"/>
            <w:vAlign w:val="center"/>
          </w:tcPr>
          <w:p>
            <w:pPr>
              <w:widowControl w:val="0"/>
              <w:spacing w:line="420" w:lineRule="exact"/>
              <w:jc w:val="center"/>
              <w:rPr>
                <w:rFonts w:hAnsi="仿宋_GB2312" w:cs="仿宋_GB2312"/>
                <w:sz w:val="28"/>
                <w:szCs w:val="28"/>
              </w:rPr>
            </w:pPr>
          </w:p>
        </w:tc>
        <w:tc>
          <w:tcPr>
            <w:tcW w:w="3331" w:type="dxa"/>
            <w:gridSpan w:val="4"/>
            <w:vAlign w:val="center"/>
          </w:tcPr>
          <w:p>
            <w:pPr>
              <w:widowControl w:val="0"/>
              <w:spacing w:line="420" w:lineRule="exact"/>
              <w:jc w:val="center"/>
              <w:rPr>
                <w:rFonts w:hAnsi="仿宋_GB2312" w:cs="仿宋_GB2312"/>
                <w:sz w:val="28"/>
                <w:szCs w:val="28"/>
              </w:rPr>
            </w:pPr>
            <w:r>
              <w:rPr>
                <w:rFonts w:hint="eastAsia" w:hAnsi="仿宋_GB2312" w:cs="仿宋_GB2312"/>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2</w:t>
            </w:r>
          </w:p>
        </w:tc>
        <w:tc>
          <w:tcPr>
            <w:tcW w:w="1897" w:type="dxa"/>
            <w:gridSpan w:val="2"/>
            <w:vAlign w:val="center"/>
          </w:tcPr>
          <w:p>
            <w:pPr>
              <w:widowControl w:val="0"/>
              <w:spacing w:line="420" w:lineRule="exact"/>
              <w:jc w:val="center"/>
              <w:rPr>
                <w:rFonts w:hAnsi="仿宋_GB2312" w:cs="仿宋_GB2312"/>
                <w:sz w:val="28"/>
                <w:szCs w:val="28"/>
              </w:rPr>
            </w:pPr>
            <w:r>
              <w:rPr>
                <w:rFonts w:hint="eastAsia" w:hAnsi="仿宋_GB2312" w:cs="仿宋_GB2312"/>
                <w:sz w:val="28"/>
                <w:szCs w:val="28"/>
              </w:rPr>
              <w:t>管理关系</w:t>
            </w:r>
          </w:p>
        </w:tc>
        <w:tc>
          <w:tcPr>
            <w:tcW w:w="2351" w:type="dxa"/>
            <w:gridSpan w:val="4"/>
            <w:vAlign w:val="center"/>
          </w:tcPr>
          <w:p>
            <w:pPr>
              <w:widowControl w:val="0"/>
              <w:spacing w:line="420" w:lineRule="exact"/>
              <w:jc w:val="center"/>
              <w:rPr>
                <w:rFonts w:hAnsi="仿宋_GB2312" w:cs="仿宋_GB2312"/>
                <w:sz w:val="28"/>
                <w:szCs w:val="28"/>
              </w:rPr>
            </w:pPr>
          </w:p>
        </w:tc>
        <w:tc>
          <w:tcPr>
            <w:tcW w:w="3331" w:type="dxa"/>
            <w:gridSpan w:val="4"/>
            <w:vAlign w:val="center"/>
          </w:tcPr>
          <w:p>
            <w:pPr>
              <w:widowControl w:val="0"/>
              <w:spacing w:line="420" w:lineRule="exact"/>
              <w:jc w:val="center"/>
              <w:rPr>
                <w:rFonts w:hAnsi="仿宋_GB2312" w:cs="仿宋_GB2312"/>
                <w:sz w:val="28"/>
                <w:szCs w:val="28"/>
              </w:rPr>
            </w:pPr>
            <w:r>
              <w:rPr>
                <w:rFonts w:hint="eastAsia" w:hAnsi="仿宋_GB2312" w:cs="仿宋_GB2312"/>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pPr>
              <w:widowControl w:val="0"/>
              <w:spacing w:line="420" w:lineRule="exact"/>
              <w:rPr>
                <w:rFonts w:hAnsi="仿宋_GB2312" w:cs="仿宋_GB2312"/>
                <w:sz w:val="28"/>
                <w:szCs w:val="28"/>
              </w:rPr>
            </w:pPr>
            <w:r>
              <w:rPr>
                <w:rFonts w:hint="eastAsia" w:hAnsi="仿宋_GB2312" w:cs="仿宋_GB2312"/>
                <w:b/>
                <w:bCs/>
                <w:sz w:val="28"/>
                <w:szCs w:val="28"/>
              </w:rPr>
              <w:t>说明：同一关联关系类型有多个主体的，应分行填写。</w:t>
            </w:r>
          </w:p>
        </w:tc>
      </w:tr>
    </w:tbl>
    <w:p>
      <w:pPr>
        <w:rPr>
          <w:rFonts w:hAnsi="仿宋_GB2312" w:cs="仿宋_GB2312"/>
          <w:b/>
          <w:bCs/>
          <w:sz w:val="32"/>
          <w:szCs w:val="32"/>
        </w:rPr>
      </w:pPr>
      <w:r>
        <w:rPr>
          <w:rFonts w:hint="eastAsia" w:hAnsi="仿宋_GB2312" w:cs="仿宋_GB2312"/>
          <w:b/>
          <w:bCs/>
          <w:sz w:val="32"/>
          <w:szCs w:val="32"/>
        </w:rPr>
        <w:t>注：</w:t>
      </w:r>
      <w:r>
        <w:rPr>
          <w:rFonts w:hint="eastAsia" w:hAnsi="仿宋_GB2312" w:cs="仿宋_GB2312"/>
          <w:sz w:val="32"/>
          <w:szCs w:val="32"/>
        </w:rPr>
        <w:t>项目投标授权代表人、项目负责人、主要技术人员需另附近3个月（连续且自投标截止之日倒推3个月）的社保缴纳记录证明。社保缴纳单位应为投标人单位，特殊情况（如退休返聘、外籍员工等）需提供相关证明材料。社保缴纳记录应为投标人注册所在地社会保障部门出具的社保缴纳记录证明文件，并包含养老保险和医疗保险等主要险种。</w:t>
      </w:r>
    </w:p>
    <w:p>
      <w:pPr>
        <w:rPr>
          <w:rFonts w:hAnsi="仿宋_GB2312" w:cs="仿宋_GB2312"/>
          <w:b/>
          <w:bCs/>
          <w:sz w:val="32"/>
          <w:szCs w:val="32"/>
        </w:rPr>
      </w:pPr>
      <w:r>
        <w:rPr>
          <w:rFonts w:hint="eastAsia" w:hAnsi="仿宋_GB2312" w:cs="仿宋_GB2312"/>
          <w:b/>
          <w:bCs/>
          <w:sz w:val="32"/>
          <w:szCs w:val="32"/>
        </w:rPr>
        <w:t>投标（响应）供应商声明：</w:t>
      </w:r>
    </w:p>
    <w:p>
      <w:pPr>
        <w:rPr>
          <w:rFonts w:hAnsi="仿宋_GB2312" w:cs="仿宋_GB2312"/>
          <w:color w:val="404040"/>
          <w:sz w:val="32"/>
          <w:szCs w:val="32"/>
          <w:shd w:val="clear" w:color="auto" w:fill="FFFFFF"/>
        </w:rPr>
      </w:pPr>
      <w:r>
        <w:rPr>
          <w:rFonts w:hint="eastAsia" w:hAnsi="仿宋_GB2312" w:cs="仿宋_GB2312"/>
          <w:color w:val="404040"/>
          <w:sz w:val="32"/>
          <w:szCs w:val="32"/>
          <w:shd w:val="clear" w:color="auto" w:fill="FFFFFF"/>
        </w:rPr>
        <w:t>1.投标（响应）供应商填写内容与事实不符的，招标人有权取消其投标资格、否决投标或解除合同，并依法追究其法律责任。</w:t>
      </w:r>
    </w:p>
    <w:p>
      <w:pPr>
        <w:rPr>
          <w:rFonts w:hAnsi="仿宋_GB2312" w:cs="仿宋_GB2312"/>
          <w:color w:val="404040"/>
          <w:sz w:val="32"/>
          <w:szCs w:val="32"/>
          <w:shd w:val="clear" w:color="auto" w:fill="FFFFFF"/>
        </w:rPr>
      </w:pPr>
      <w:r>
        <w:rPr>
          <w:rFonts w:hint="eastAsia" w:hAnsi="仿宋_GB2312" w:cs="仿宋_GB2312"/>
          <w:color w:val="404040"/>
          <w:sz w:val="32"/>
          <w:szCs w:val="32"/>
          <w:shd w:val="clear" w:color="auto" w:fill="FFFFFF"/>
        </w:rPr>
        <w:t>2.投标（响应）供应商存在围标串标行为的，将被列入招标人采购失信名单。</w:t>
      </w:r>
    </w:p>
    <w:p>
      <w:pPr>
        <w:rPr>
          <w:rFonts w:hAnsi="仿宋_GB2312" w:cs="仿宋_GB2312"/>
          <w:color w:val="404040"/>
          <w:sz w:val="32"/>
          <w:szCs w:val="32"/>
          <w:shd w:val="clear" w:color="auto" w:fill="FFFFFF"/>
        </w:rPr>
      </w:pPr>
      <w:r>
        <w:rPr>
          <w:rFonts w:hint="eastAsia" w:hAnsi="仿宋_GB2312" w:cs="仿宋_GB2312"/>
          <w:color w:val="404040"/>
          <w:sz w:val="32"/>
          <w:szCs w:val="32"/>
          <w:shd w:val="clear" w:color="auto" w:fill="FFFFFF"/>
        </w:rPr>
        <w:t>3.本情况表自签署之日起生效，适用于本次招采活动及后续合同履行阶段。</w:t>
      </w:r>
    </w:p>
    <w:p>
      <w:pPr>
        <w:rPr>
          <w:rFonts w:hAnsi="仿宋_GB2312" w:cs="仿宋_GB2312"/>
          <w:color w:val="404040"/>
          <w:sz w:val="32"/>
          <w:szCs w:val="32"/>
          <w:shd w:val="clear" w:color="auto" w:fill="FFFFFF"/>
        </w:rPr>
      </w:pPr>
    </w:p>
    <w:p>
      <w:pPr>
        <w:rPr>
          <w:rFonts w:hAnsi="仿宋_GB2312" w:cs="仿宋_GB2312"/>
          <w:color w:val="404040"/>
          <w:sz w:val="32"/>
          <w:szCs w:val="32"/>
          <w:shd w:val="clear" w:color="auto" w:fill="FFFFFF"/>
        </w:rPr>
      </w:pPr>
    </w:p>
    <w:p>
      <w:pPr>
        <w:ind w:left="5760" w:hanging="5760" w:hangingChars="1800"/>
        <w:rPr>
          <w:rFonts w:hAnsi="仿宋_GB2312" w:cs="仿宋_GB2312"/>
          <w:sz w:val="32"/>
          <w:szCs w:val="32"/>
        </w:rPr>
      </w:pPr>
      <w:r>
        <w:rPr>
          <w:rFonts w:hint="eastAsia" w:hAnsi="仿宋_GB2312" w:cs="仿宋_GB2312"/>
          <w:color w:val="404040"/>
          <w:sz w:val="32"/>
          <w:szCs w:val="32"/>
          <w:shd w:val="clear" w:color="auto" w:fill="FFFFFF"/>
        </w:rPr>
        <w:t xml:space="preserve">                           </w:t>
      </w:r>
      <w:r>
        <w:rPr>
          <w:rFonts w:hint="eastAsia" w:hAnsi="仿宋_GB2312" w:cs="仿宋_GB2312"/>
          <w:sz w:val="32"/>
          <w:szCs w:val="32"/>
        </w:rPr>
        <w:t>填表单位：（加盖单位公章）      年   月   日</w:t>
      </w:r>
    </w:p>
    <w:p>
      <w:pPr>
        <w:jc w:val="center"/>
        <w:sectPr>
          <w:pgSz w:w="11906" w:h="16838"/>
          <w:pgMar w:top="1440" w:right="1800" w:bottom="1440" w:left="1800" w:header="851" w:footer="992" w:gutter="0"/>
          <w:cols w:space="425" w:num="1"/>
          <w:docGrid w:type="lines" w:linePitch="312" w:charSpace="0"/>
        </w:sectPr>
      </w:pPr>
    </w:p>
    <w:p>
      <w:pPr>
        <w:pStyle w:val="2"/>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PMingLiU">
    <w:panose1 w:val="02020500000000000000"/>
    <w:charset w:val="88"/>
    <w:family w:val="roman"/>
    <w:pitch w:val="default"/>
    <w:sig w:usb0="A00002FF" w:usb1="28CFFCFA" w:usb2="00000016" w:usb3="00000000" w:csb0="00100001" w:csb1="00000000"/>
  </w:font>
  <w:font w:name="楷体_GB2312">
    <w:altName w:val="楷体"/>
    <w:panose1 w:val="00000000000000000000"/>
    <w:charset w:val="00"/>
    <w:family w:val="auto"/>
    <w:pitch w:val="default"/>
    <w:sig w:usb0="00000000" w:usb1="00000000" w:usb2="00000000" w:usb3="00000000" w:csb0="00000000" w:csb1="00000000"/>
  </w:font>
  <w:font w:name="等线 Light">
    <w:altName w:val="AMGDT"/>
    <w:panose1 w:val="00000000000000000000"/>
    <w:charset w:val="00"/>
    <w:family w:val="auto"/>
    <w:pitch w:val="default"/>
    <w:sig w:usb0="00000000" w:usb1="00000000" w:usb2="00000000" w:usb3="00000000" w:csb0="00000000" w:csb1="00000000"/>
  </w:font>
  <w:font w:name="PingFangSC">
    <w:altName w:val="Cambria"/>
    <w:panose1 w:val="00000000000000000000"/>
    <w:charset w:val="00"/>
    <w:family w:val="roman"/>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AMGDT">
    <w:panose1 w:val="02000400000000000000"/>
    <w:charset w:val="00"/>
    <w:family w:val="auto"/>
    <w:pitch w:val="default"/>
    <w:sig w:usb0="80000003"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0EDD1"/>
    <w:multiLevelType w:val="singleLevel"/>
    <w:tmpl w:val="C720EDD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zViMDE0ZTNmMzAzOWExOWFjZTVjYzRkOGQzYTMifQ=="/>
    <w:docVar w:name="KSO_WPS_MARK_KEY" w:val="d1ae6e15-84f7-407f-8182-faec66ac4c6c"/>
  </w:docVars>
  <w:rsids>
    <w:rsidRoot w:val="00CF5507"/>
    <w:rsid w:val="000E29CA"/>
    <w:rsid w:val="001957D6"/>
    <w:rsid w:val="00264CEB"/>
    <w:rsid w:val="00285063"/>
    <w:rsid w:val="00303BA9"/>
    <w:rsid w:val="00464CB6"/>
    <w:rsid w:val="00486781"/>
    <w:rsid w:val="00544685"/>
    <w:rsid w:val="00562A70"/>
    <w:rsid w:val="006A4BFE"/>
    <w:rsid w:val="0072789D"/>
    <w:rsid w:val="00741C97"/>
    <w:rsid w:val="00905FF1"/>
    <w:rsid w:val="00911104"/>
    <w:rsid w:val="00930EB3"/>
    <w:rsid w:val="00AD7FCD"/>
    <w:rsid w:val="00B870E6"/>
    <w:rsid w:val="00C06FD8"/>
    <w:rsid w:val="00C6516C"/>
    <w:rsid w:val="00CF5507"/>
    <w:rsid w:val="00D17303"/>
    <w:rsid w:val="00E0668C"/>
    <w:rsid w:val="00EA4CB9"/>
    <w:rsid w:val="00EE0548"/>
    <w:rsid w:val="00F87F8E"/>
    <w:rsid w:val="03700078"/>
    <w:rsid w:val="03CF75C5"/>
    <w:rsid w:val="041A5581"/>
    <w:rsid w:val="0576778C"/>
    <w:rsid w:val="070E48A8"/>
    <w:rsid w:val="07593675"/>
    <w:rsid w:val="07A019A5"/>
    <w:rsid w:val="07BE73F9"/>
    <w:rsid w:val="0860252E"/>
    <w:rsid w:val="08746273"/>
    <w:rsid w:val="088A394B"/>
    <w:rsid w:val="08C94FD5"/>
    <w:rsid w:val="09034319"/>
    <w:rsid w:val="097478E7"/>
    <w:rsid w:val="09B27A4A"/>
    <w:rsid w:val="0A0C5C9B"/>
    <w:rsid w:val="0B5A4560"/>
    <w:rsid w:val="0BA4561B"/>
    <w:rsid w:val="0BE73A64"/>
    <w:rsid w:val="0E5D3D0E"/>
    <w:rsid w:val="0E600092"/>
    <w:rsid w:val="0ECA37AB"/>
    <w:rsid w:val="0F6A69DA"/>
    <w:rsid w:val="116F5633"/>
    <w:rsid w:val="11E84D8F"/>
    <w:rsid w:val="14546C0D"/>
    <w:rsid w:val="1476392B"/>
    <w:rsid w:val="149B41B6"/>
    <w:rsid w:val="14A359F5"/>
    <w:rsid w:val="166D1F5F"/>
    <w:rsid w:val="16783AEC"/>
    <w:rsid w:val="1800776A"/>
    <w:rsid w:val="18AB63FB"/>
    <w:rsid w:val="18DB59F8"/>
    <w:rsid w:val="19972A46"/>
    <w:rsid w:val="1AF43C64"/>
    <w:rsid w:val="1BD91532"/>
    <w:rsid w:val="1E2851F8"/>
    <w:rsid w:val="1E304790"/>
    <w:rsid w:val="1F003265"/>
    <w:rsid w:val="1F415F68"/>
    <w:rsid w:val="1F8654CC"/>
    <w:rsid w:val="20783067"/>
    <w:rsid w:val="21495825"/>
    <w:rsid w:val="215576BA"/>
    <w:rsid w:val="2180661E"/>
    <w:rsid w:val="26025181"/>
    <w:rsid w:val="272A3703"/>
    <w:rsid w:val="28951291"/>
    <w:rsid w:val="28B2052F"/>
    <w:rsid w:val="2925175D"/>
    <w:rsid w:val="29883DF0"/>
    <w:rsid w:val="2A8B7E3A"/>
    <w:rsid w:val="2B690A5A"/>
    <w:rsid w:val="2C0C6D59"/>
    <w:rsid w:val="2C903974"/>
    <w:rsid w:val="2D33090F"/>
    <w:rsid w:val="2F303B49"/>
    <w:rsid w:val="30162D74"/>
    <w:rsid w:val="30E262DA"/>
    <w:rsid w:val="32342B66"/>
    <w:rsid w:val="325F74DA"/>
    <w:rsid w:val="34D22531"/>
    <w:rsid w:val="3553678F"/>
    <w:rsid w:val="35727C2D"/>
    <w:rsid w:val="35E00D03"/>
    <w:rsid w:val="38D46E50"/>
    <w:rsid w:val="395835DE"/>
    <w:rsid w:val="3A4510D5"/>
    <w:rsid w:val="3B3D719E"/>
    <w:rsid w:val="3C165B86"/>
    <w:rsid w:val="3E6E11AD"/>
    <w:rsid w:val="3EAD2763"/>
    <w:rsid w:val="3F1D716E"/>
    <w:rsid w:val="3FEF3772"/>
    <w:rsid w:val="40D602E1"/>
    <w:rsid w:val="43C2490C"/>
    <w:rsid w:val="4713602D"/>
    <w:rsid w:val="473A71D3"/>
    <w:rsid w:val="48EB32EE"/>
    <w:rsid w:val="4BE53F88"/>
    <w:rsid w:val="4C520F1C"/>
    <w:rsid w:val="4DE613FA"/>
    <w:rsid w:val="4FC450D1"/>
    <w:rsid w:val="50081462"/>
    <w:rsid w:val="50636858"/>
    <w:rsid w:val="509D6294"/>
    <w:rsid w:val="50F814D6"/>
    <w:rsid w:val="51662C85"/>
    <w:rsid w:val="51D72AF0"/>
    <w:rsid w:val="51DE4481"/>
    <w:rsid w:val="52BC6534"/>
    <w:rsid w:val="53FD3B23"/>
    <w:rsid w:val="540C5D72"/>
    <w:rsid w:val="546902B2"/>
    <w:rsid w:val="54917C4E"/>
    <w:rsid w:val="56BC5DFE"/>
    <w:rsid w:val="57327A88"/>
    <w:rsid w:val="57E3660A"/>
    <w:rsid w:val="58D565A1"/>
    <w:rsid w:val="5BCE7A03"/>
    <w:rsid w:val="5D4B35B7"/>
    <w:rsid w:val="5D8B6045"/>
    <w:rsid w:val="5E8B1BDC"/>
    <w:rsid w:val="5EB3459A"/>
    <w:rsid w:val="5F342B25"/>
    <w:rsid w:val="5FBC16BA"/>
    <w:rsid w:val="60B06019"/>
    <w:rsid w:val="6170330B"/>
    <w:rsid w:val="61A50678"/>
    <w:rsid w:val="62092E18"/>
    <w:rsid w:val="622C48D3"/>
    <w:rsid w:val="641B24FC"/>
    <w:rsid w:val="655C4D5F"/>
    <w:rsid w:val="67B17C7F"/>
    <w:rsid w:val="67E60DD1"/>
    <w:rsid w:val="69874C95"/>
    <w:rsid w:val="6A333019"/>
    <w:rsid w:val="6BEA35B6"/>
    <w:rsid w:val="6DF621B6"/>
    <w:rsid w:val="6F101C89"/>
    <w:rsid w:val="70CD7E32"/>
    <w:rsid w:val="71213CE3"/>
    <w:rsid w:val="76614049"/>
    <w:rsid w:val="76B37034"/>
    <w:rsid w:val="77DE6B31"/>
    <w:rsid w:val="785B2618"/>
    <w:rsid w:val="78947487"/>
    <w:rsid w:val="7A1940E8"/>
    <w:rsid w:val="7B7D7A10"/>
    <w:rsid w:val="7BB12C18"/>
    <w:rsid w:val="7E3F7F0D"/>
    <w:rsid w:val="7EB42631"/>
    <w:rsid w:val="7F03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仿宋_GB2312" w:hAnsi="Times New Roman" w:eastAsia="仿宋_GB2312" w:cs="Times New Roman"/>
      <w:kern w:val="2"/>
      <w:sz w:val="21"/>
      <w:szCs w:val="24"/>
      <w:lang w:val="en-US" w:eastAsia="zh-CN" w:bidi="ar-SA"/>
    </w:rPr>
  </w:style>
  <w:style w:type="paragraph" w:styleId="3">
    <w:name w:val="heading 1"/>
    <w:basedOn w:val="1"/>
    <w:next w:val="1"/>
    <w:qFormat/>
    <w:uiPriority w:val="0"/>
    <w:pPr>
      <w:spacing w:beforeLines="50" w:afterLines="50" w:line="360" w:lineRule="auto"/>
      <w:outlineLvl w:val="0"/>
    </w:pPr>
    <w:rPr>
      <w:rFonts w:ascii="Times New Roman" w:eastAsia="宋体"/>
      <w:kern w:val="0"/>
      <w:sz w:val="24"/>
      <w:szCs w:val="20"/>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1"/>
    <w:pPr>
      <w:spacing w:after="120"/>
    </w:pPr>
  </w:style>
  <w:style w:type="paragraph" w:styleId="4">
    <w:name w:val="Body Text Indent"/>
    <w:basedOn w:val="1"/>
    <w:semiHidden/>
    <w:unhideWhenUsed/>
    <w:qFormat/>
    <w:uiPriority w:val="99"/>
    <w:pPr>
      <w:spacing w:after="120"/>
      <w:ind w:left="420" w:leftChars="200"/>
    </w:pPr>
  </w:style>
  <w:style w:type="paragraph" w:styleId="5">
    <w:name w:val="Body Text First Indent 2"/>
    <w:basedOn w:val="4"/>
    <w:semiHidden/>
    <w:unhideWhenUsed/>
    <w:qFormat/>
    <w:uiPriority w:val="0"/>
    <w:pPr>
      <w:adjustRightInd w:val="0"/>
      <w:spacing w:line="312" w:lineRule="atLeast"/>
      <w:ind w:firstLine="420" w:firstLineChars="200"/>
    </w:pPr>
    <w:rPr>
      <w:rFonts w:ascii="等线" w:hAnsi="等线" w:eastAsia="等线"/>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paragraph" w:customStyle="1" w:styleId="11">
    <w:name w:val="Body text|31"/>
    <w:basedOn w:val="1"/>
    <w:qFormat/>
    <w:uiPriority w:val="0"/>
    <w:pPr>
      <w:shd w:val="clear" w:color="auto" w:fill="FFFFFF"/>
      <w:spacing w:before="240" w:line="312" w:lineRule="exact"/>
      <w:ind w:hanging="180"/>
      <w:jc w:val="left"/>
    </w:pPr>
    <w:rPr>
      <w:rFonts w:ascii="PMingLiU" w:hAnsi="PMingLiU" w:eastAsia="PMingLiU" w:cs="PMingLiU"/>
      <w:b/>
      <w:bCs/>
      <w:color w:val="000000"/>
      <w:sz w:val="20"/>
      <w:szCs w:val="20"/>
      <w:lang w:val="zh-CN" w:bidi="zh-CN"/>
    </w:rPr>
  </w:style>
  <w:style w:type="character" w:customStyle="1" w:styleId="12">
    <w:name w:val="font21"/>
    <w:basedOn w:val="8"/>
    <w:qFormat/>
    <w:uiPriority w:val="0"/>
    <w:rPr>
      <w:rFonts w:hint="default" w:ascii="楷体_GB2312" w:eastAsia="楷体_GB2312" w:cs="楷体_GB2312"/>
      <w:b/>
      <w:bCs/>
      <w:color w:val="000000"/>
      <w:sz w:val="48"/>
      <w:szCs w:val="48"/>
      <w:u w:val="none"/>
    </w:rPr>
  </w:style>
  <w:style w:type="character" w:customStyle="1" w:styleId="13">
    <w:name w:val="font11"/>
    <w:basedOn w:val="8"/>
    <w:qFormat/>
    <w:uiPriority w:val="0"/>
    <w:rPr>
      <w:rFonts w:hint="default" w:ascii="楷体_GB2312" w:eastAsia="楷体_GB2312" w:cs="楷体_GB2312"/>
      <w:b/>
      <w:bCs/>
      <w:color w:val="000000"/>
      <w:sz w:val="40"/>
      <w:szCs w:val="40"/>
      <w:u w:val="none"/>
    </w:rPr>
  </w:style>
  <w:style w:type="character" w:customStyle="1" w:styleId="14">
    <w:name w:val="font61"/>
    <w:basedOn w:val="8"/>
    <w:qFormat/>
    <w:uiPriority w:val="0"/>
    <w:rPr>
      <w:rFonts w:hint="default" w:ascii="等线" w:hAnsi="等线" w:eastAsia="等线" w:cs="等线"/>
      <w:b/>
      <w:bCs/>
      <w:color w:val="000000"/>
      <w:sz w:val="24"/>
      <w:szCs w:val="24"/>
      <w:u w:val="none"/>
    </w:rPr>
  </w:style>
  <w:style w:type="character" w:customStyle="1" w:styleId="15">
    <w:name w:val="font31"/>
    <w:basedOn w:val="8"/>
    <w:qFormat/>
    <w:uiPriority w:val="0"/>
    <w:rPr>
      <w:rFonts w:hint="default" w:ascii="等线 Light" w:hAnsi="等线 Light" w:eastAsia="等线 Light" w:cs="等线 Light"/>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3086</Words>
  <Characters>3195</Characters>
  <Lines>11</Lines>
  <Paragraphs>3</Paragraphs>
  <TotalTime>49</TotalTime>
  <ScaleCrop>false</ScaleCrop>
  <LinksUpToDate>false</LinksUpToDate>
  <CharactersWithSpaces>3437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2021-07-19T02:22:00Z</dcterms:created>
  <dc:creator>江加强</dc:creator>
  <cp:lastModifiedBy>天明</cp:lastModifiedBy>
  <dcterms:modified xsi:type="dcterms:W3CDTF">2026-06-23T07:11:15Z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0EC0E23131A240DE9B71F5051EF04768</vt:lpwstr>
  </property>
</Properties>
</file>