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56" w:after="156"/>
        <w:jc w:val="center"/>
        <w:rPr>
          <w:rFonts w:hint="eastAsia" w:asciiTheme="minorEastAsia" w:hAnsiTheme="minorEastAsia" w:eastAsiaTheme="minorEastAsia"/>
          <w:bCs/>
          <w:color w:val="000000"/>
          <w:sz w:val="44"/>
          <w:szCs w:val="44"/>
        </w:rPr>
      </w:pPr>
      <w:r>
        <w:rPr>
          <w:rFonts w:hint="eastAsia" w:asciiTheme="minorEastAsia" w:hAnsiTheme="minorEastAsia" w:eastAsiaTheme="minorEastAsia"/>
          <w:color w:val="121212"/>
          <w:sz w:val="44"/>
          <w:szCs w:val="44"/>
          <w:shd w:val="clear" w:color="auto" w:fill="FFFFFF"/>
        </w:rPr>
        <w:t>采购公告</w:t>
      </w:r>
      <w:r>
        <w:rPr>
          <w:rFonts w:hint="eastAsia" w:asciiTheme="minorEastAsia" w:hAnsiTheme="minorEastAsia" w:eastAsiaTheme="minorEastAsia"/>
          <w:bCs/>
          <w:color w:val="000000"/>
          <w:sz w:val="44"/>
          <w:szCs w:val="44"/>
        </w:rPr>
        <w:t>文件</w:t>
      </w:r>
    </w:p>
    <w:p>
      <w:pPr>
        <w:rPr>
          <w:rFonts w:hint="eastAsia"/>
        </w:rPr>
      </w:pPr>
    </w:p>
    <w:p>
      <w:pPr>
        <w:spacing w:line="360" w:lineRule="auto"/>
        <w:ind w:right="-51" w:firstLine="480" w:firstLineChars="200"/>
        <w:rPr>
          <w:rFonts w:ascii="宋体" w:hAnsi="宋体" w:eastAsia="宋体" w:cs="宋体"/>
          <w:sz w:val="24"/>
        </w:rPr>
      </w:pPr>
      <w:r>
        <w:rPr>
          <w:rFonts w:hint="eastAsia" w:ascii="宋体" w:hAnsi="宋体" w:eastAsia="宋体" w:cs="宋体"/>
          <w:sz w:val="24"/>
        </w:rPr>
        <w:t>东莞市深粮粮油食品工贸有限公司就</w:t>
      </w:r>
      <w:r>
        <w:rPr>
          <w:rFonts w:hint="eastAsia" w:ascii="宋体" w:hAnsi="宋体" w:eastAsia="宋体" w:cs="宋体"/>
          <w:sz w:val="24"/>
          <w:lang w:eastAsia="zh-CN"/>
        </w:rPr>
        <w:t>采购</w:t>
      </w:r>
      <w:r>
        <w:rPr>
          <w:rFonts w:hint="eastAsia" w:ascii="宋体" w:hAnsi="宋体" w:eastAsia="宋体" w:cs="宋体"/>
          <w:sz w:val="24"/>
          <w:u w:val="single"/>
        </w:rPr>
        <w:t>东莞工贸</w:t>
      </w:r>
      <w:r>
        <w:rPr>
          <w:rFonts w:hint="eastAsia" w:ascii="宋体" w:hAnsi="宋体" w:eastAsia="宋体" w:cs="宋体"/>
          <w:sz w:val="24"/>
          <w:u w:val="single"/>
          <w:lang w:eastAsia="zh-CN"/>
        </w:rPr>
        <w:t>磨辊委外修复加工年度服务商</w:t>
      </w:r>
      <w:r>
        <w:rPr>
          <w:rFonts w:hint="eastAsia" w:ascii="宋体" w:hAnsi="宋体" w:eastAsia="宋体" w:cs="宋体"/>
          <w:sz w:val="24"/>
        </w:rPr>
        <w:t>采用询价</w:t>
      </w:r>
      <w:r>
        <w:rPr>
          <w:rFonts w:hint="eastAsia" w:ascii="宋体" w:hAnsi="宋体" w:eastAsia="宋体" w:cs="宋体"/>
          <w:sz w:val="24"/>
          <w:lang w:eastAsia="zh-CN"/>
        </w:rPr>
        <w:t>（</w:t>
      </w:r>
      <w:r>
        <w:rPr>
          <w:rFonts w:hint="eastAsia" w:ascii="宋体" w:hAnsi="宋体" w:eastAsia="宋体" w:cs="宋体"/>
          <w:sz w:val="24"/>
          <w:lang w:val="en-US" w:eastAsia="zh-CN"/>
        </w:rPr>
        <w:t>综合评比</w:t>
      </w:r>
      <w:r>
        <w:rPr>
          <w:rFonts w:hint="eastAsia" w:ascii="宋体" w:hAnsi="宋体" w:eastAsia="宋体" w:cs="宋体"/>
          <w:sz w:val="24"/>
          <w:lang w:eastAsia="zh-CN"/>
        </w:rPr>
        <w:t>）</w:t>
      </w:r>
      <w:r>
        <w:rPr>
          <w:rFonts w:hint="eastAsia" w:ascii="宋体" w:hAnsi="宋体" w:eastAsia="宋体" w:cs="宋体"/>
          <w:sz w:val="24"/>
        </w:rPr>
        <w:t>方式选取供应商，欢迎符合资质并有意向的供应商提交报价文件，有关事项如下：</w:t>
      </w:r>
    </w:p>
    <w:p>
      <w:pPr>
        <w:pStyle w:val="2"/>
      </w:pPr>
    </w:p>
    <w:p>
      <w:pPr>
        <w:pStyle w:val="3"/>
        <w:numPr>
          <w:ilvl w:val="0"/>
          <w:numId w:val="1"/>
        </w:numPr>
        <w:spacing w:before="156" w:after="156"/>
        <w:ind w:left="0" w:leftChars="0" w:firstLineChars="0"/>
        <w:rPr>
          <w:rFonts w:hint="eastAsia"/>
          <w:b/>
          <w:bCs/>
        </w:rPr>
      </w:pPr>
      <w:r>
        <w:rPr>
          <w:rFonts w:hint="eastAsia"/>
          <w:b/>
          <w:bCs/>
          <w:lang w:val="en-US" w:eastAsia="zh-CN"/>
        </w:rPr>
        <w:t>招标人</w:t>
      </w:r>
      <w:r>
        <w:rPr>
          <w:rFonts w:hint="eastAsia"/>
          <w:b/>
          <w:bCs/>
        </w:rPr>
        <w:t>：东莞市深粮粮油食品工贸有限公司</w:t>
      </w:r>
    </w:p>
    <w:p>
      <w:pPr>
        <w:spacing w:line="360" w:lineRule="auto"/>
        <w:ind w:left="420" w:right="-51" w:firstLine="120" w:firstLineChars="50"/>
        <w:rPr>
          <w:rFonts w:hint="eastAsia" w:ascii="宋体" w:hAnsi="宋体" w:eastAsia="宋体" w:cs="宋体"/>
          <w:sz w:val="24"/>
          <w:lang w:val="en-US"/>
        </w:rPr>
      </w:pPr>
      <w:r>
        <w:rPr>
          <w:rFonts w:hint="eastAsia" w:ascii="宋体" w:hAnsi="宋体" w:eastAsia="宋体" w:cs="宋体"/>
          <w:sz w:val="24"/>
        </w:rPr>
        <w:t xml:space="preserve">联系人： </w:t>
      </w:r>
      <w:r>
        <w:rPr>
          <w:rFonts w:hint="eastAsia" w:ascii="宋体" w:hAnsi="宋体" w:eastAsia="宋体" w:cs="宋体"/>
          <w:sz w:val="24"/>
          <w:lang w:val="en-US" w:eastAsia="zh-CN"/>
        </w:rPr>
        <w:t>黄先生</w:t>
      </w:r>
      <w:r>
        <w:rPr>
          <w:rFonts w:hint="eastAsia" w:ascii="宋体" w:hAnsi="宋体" w:eastAsia="宋体" w:cs="宋体"/>
          <w:sz w:val="24"/>
        </w:rPr>
        <w:t xml:space="preserve"> 联系电话： </w:t>
      </w:r>
      <w:r>
        <w:rPr>
          <w:rFonts w:hint="eastAsia" w:ascii="宋体" w:hAnsi="宋体" w:eastAsia="宋体" w:cs="宋体"/>
          <w:sz w:val="24"/>
          <w:lang w:val="en-US" w:eastAsia="zh-CN"/>
        </w:rPr>
        <w:t xml:space="preserve">13537391074 </w:t>
      </w:r>
    </w:p>
    <w:p>
      <w:pPr>
        <w:spacing w:line="360" w:lineRule="auto"/>
        <w:ind w:left="420" w:right="-51" w:firstLine="120" w:firstLineChars="50"/>
        <w:rPr>
          <w:rFonts w:hint="eastAsia" w:ascii="宋体" w:hAnsi="宋体" w:eastAsia="宋体" w:cs="宋体"/>
          <w:sz w:val="24"/>
          <w:lang w:val="en-US" w:eastAsia="zh-CN"/>
        </w:rPr>
      </w:pPr>
      <w:r>
        <w:rPr>
          <w:rFonts w:hint="eastAsia" w:ascii="宋体" w:hAnsi="宋体" w:eastAsia="宋体" w:cs="宋体"/>
          <w:sz w:val="24"/>
        </w:rPr>
        <w:t>联系地址：东莞市麻涌镇新港南路</w:t>
      </w:r>
      <w:r>
        <w:rPr>
          <w:rFonts w:hint="eastAsia" w:ascii="宋体" w:hAnsi="宋体" w:eastAsia="宋体" w:cs="宋体"/>
          <w:sz w:val="24"/>
          <w:lang w:val="en-US" w:eastAsia="zh-CN"/>
        </w:rPr>
        <w:t>东莞市深粮粮油食品工贸有限公司（过金鲤水泥厂后左转约50米）</w:t>
      </w:r>
    </w:p>
    <w:p>
      <w:pPr>
        <w:pStyle w:val="2"/>
        <w:rPr>
          <w:rFonts w:hint="eastAsia"/>
          <w:lang w:val="en-US" w:eastAsia="zh-CN"/>
        </w:rPr>
      </w:pPr>
    </w:p>
    <w:p>
      <w:pPr>
        <w:numPr>
          <w:ilvl w:val="0"/>
          <w:numId w:val="1"/>
        </w:numPr>
        <w:spacing w:line="360" w:lineRule="auto"/>
        <w:ind w:left="0" w:leftChars="0" w:right="-51" w:firstLine="0" w:firstLineChars="0"/>
        <w:rPr>
          <w:rFonts w:hint="eastAsia" w:ascii="宋体" w:hAnsi="宋体" w:eastAsia="宋体" w:cs="宋体"/>
          <w:b/>
          <w:bCs/>
          <w:sz w:val="24"/>
          <w:u w:val="single"/>
          <w:lang w:eastAsia="zh-CN"/>
        </w:rPr>
      </w:pPr>
      <w:r>
        <w:rPr>
          <w:rFonts w:hint="eastAsia" w:ascii="宋体" w:hAnsi="宋体" w:eastAsia="宋体" w:cs="宋体"/>
          <w:b/>
          <w:bCs/>
          <w:sz w:val="24"/>
        </w:rPr>
        <w:t>项目名称：</w:t>
      </w:r>
      <w:r>
        <w:rPr>
          <w:rFonts w:hint="eastAsia" w:ascii="宋体" w:hAnsi="宋体" w:eastAsia="宋体" w:cs="宋体"/>
          <w:b/>
          <w:bCs/>
          <w:sz w:val="24"/>
          <w:u w:val="single"/>
        </w:rPr>
        <w:t>东莞工贸</w:t>
      </w:r>
      <w:r>
        <w:rPr>
          <w:rFonts w:hint="eastAsia" w:ascii="宋体" w:hAnsi="宋体" w:eastAsia="宋体" w:cs="宋体"/>
          <w:b/>
          <w:bCs/>
          <w:sz w:val="24"/>
          <w:u w:val="single"/>
          <w:lang w:eastAsia="zh-CN"/>
        </w:rPr>
        <w:t>磨辊委外修复加工年度服务商</w:t>
      </w:r>
    </w:p>
    <w:p>
      <w:pPr>
        <w:pStyle w:val="2"/>
        <w:numPr>
          <w:numId w:val="0"/>
        </w:numPr>
        <w:ind w:leftChars="0"/>
      </w:pPr>
    </w:p>
    <w:p>
      <w:pPr>
        <w:pStyle w:val="3"/>
        <w:spacing w:before="156" w:after="156"/>
        <w:rPr>
          <w:rFonts w:ascii="宋体" w:hAnsi="宋体" w:cs="宋体"/>
          <w:b/>
          <w:bCs/>
        </w:rPr>
      </w:pPr>
      <w:r>
        <w:rPr>
          <w:rFonts w:hint="eastAsia" w:ascii="宋体" w:hAnsi="宋体" w:cs="宋体"/>
          <w:b/>
          <w:bCs/>
          <w:lang w:eastAsia="zh-CN"/>
        </w:rPr>
        <w:t>三</w:t>
      </w:r>
      <w:r>
        <w:rPr>
          <w:rFonts w:hint="eastAsia" w:ascii="宋体" w:hAnsi="宋体" w:cs="宋体"/>
          <w:b/>
          <w:bCs/>
        </w:rPr>
        <w:t>、项目概况:</w:t>
      </w:r>
    </w:p>
    <w:p>
      <w:pPr>
        <w:spacing w:line="360" w:lineRule="auto"/>
        <w:ind w:right="-51" w:firstLine="480" w:firstLineChars="200"/>
        <w:rPr>
          <w:rFonts w:hint="eastAsia" w:ascii="宋体" w:hAnsi="宋体" w:eastAsia="宋体" w:cs="宋体"/>
          <w:sz w:val="24"/>
        </w:rPr>
      </w:pPr>
      <w:r>
        <w:rPr>
          <w:rFonts w:hint="eastAsia" w:ascii="宋体" w:hAnsi="宋体" w:eastAsia="宋体" w:cs="宋体"/>
          <w:sz w:val="24"/>
        </w:rPr>
        <w:t>由于东莞工贸</w:t>
      </w:r>
      <w:r>
        <w:rPr>
          <w:rFonts w:hint="eastAsia" w:ascii="宋体" w:hAnsi="宋体" w:eastAsia="宋体" w:cs="宋体"/>
          <w:sz w:val="24"/>
          <w:lang w:eastAsia="zh-CN"/>
        </w:rPr>
        <w:t>车间磨粉机设备根据生产工艺要求需定期更换磨辊，更换下来的磨辊需寻找专业供应商进行喷砂拉丝工艺的修复加工，</w:t>
      </w:r>
      <w:r>
        <w:rPr>
          <w:rFonts w:hint="default" w:ascii="宋体" w:hAnsi="宋体" w:eastAsia="宋体" w:cs="宋体"/>
          <w:sz w:val="24"/>
          <w:lang w:val="en-US" w:eastAsia="zh-CN"/>
        </w:rPr>
        <w:t>为保证车间工艺技术参数正常运行，稳定公司产品质量</w:t>
      </w:r>
      <w:r>
        <w:rPr>
          <w:rFonts w:hint="eastAsia" w:ascii="宋体" w:hAnsi="宋体" w:eastAsia="宋体" w:cs="宋体"/>
          <w:sz w:val="24"/>
          <w:lang w:eastAsia="zh-CN"/>
        </w:rPr>
        <w:t>需要</w:t>
      </w:r>
      <w:r>
        <w:rPr>
          <w:rFonts w:hint="eastAsia" w:ascii="宋体" w:hAnsi="宋体" w:eastAsia="宋体" w:cs="宋体"/>
          <w:sz w:val="24"/>
        </w:rPr>
        <w:t>，现计划</w:t>
      </w:r>
      <w:r>
        <w:rPr>
          <w:rFonts w:hint="eastAsia" w:ascii="宋体" w:hAnsi="宋体" w:eastAsia="宋体" w:cs="宋体"/>
          <w:sz w:val="24"/>
          <w:lang w:eastAsia="zh-CN"/>
        </w:rPr>
        <w:t>采购</w:t>
      </w:r>
      <w:r>
        <w:rPr>
          <w:rFonts w:hint="eastAsia" w:ascii="宋体" w:hAnsi="宋体" w:eastAsia="宋体" w:cs="宋体"/>
          <w:sz w:val="24"/>
        </w:rPr>
        <w:t>东莞工贸</w:t>
      </w:r>
      <w:r>
        <w:rPr>
          <w:rFonts w:hint="eastAsia" w:ascii="宋体" w:hAnsi="宋体" w:eastAsia="宋体" w:cs="宋体"/>
          <w:sz w:val="24"/>
          <w:lang w:eastAsia="zh-CN"/>
        </w:rPr>
        <w:t>磨辊委外修复加工年度服务商</w:t>
      </w:r>
      <w:r>
        <w:rPr>
          <w:rFonts w:hint="eastAsia" w:ascii="宋体" w:hAnsi="宋体" w:eastAsia="宋体" w:cs="宋体"/>
          <w:sz w:val="24"/>
        </w:rPr>
        <w:t>。</w:t>
      </w:r>
    </w:p>
    <w:p>
      <w:pPr>
        <w:pStyle w:val="2"/>
      </w:pPr>
    </w:p>
    <w:p>
      <w:pPr>
        <w:pStyle w:val="3"/>
        <w:numPr>
          <w:numId w:val="0"/>
        </w:numPr>
        <w:spacing w:before="156" w:after="156"/>
        <w:ind w:leftChars="0"/>
        <w:rPr>
          <w:rFonts w:hint="eastAsia" w:ascii="宋体" w:hAnsi="宋体" w:cs="宋体"/>
          <w:b/>
          <w:bCs/>
        </w:rPr>
      </w:pPr>
      <w:r>
        <w:rPr>
          <w:rFonts w:hint="eastAsia" w:ascii="宋体" w:hAnsi="宋体" w:cs="宋体"/>
          <w:b/>
          <w:bCs/>
          <w:lang w:eastAsia="zh-CN"/>
        </w:rPr>
        <w:t>四、</w:t>
      </w:r>
      <w:r>
        <w:rPr>
          <w:rFonts w:hint="eastAsia" w:ascii="宋体" w:hAnsi="宋体" w:cs="宋体"/>
          <w:b/>
          <w:bCs/>
        </w:rPr>
        <w:t>项目内容：</w:t>
      </w:r>
    </w:p>
    <w:p/>
    <w:tbl>
      <w:tblPr>
        <w:tblStyle w:val="7"/>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4"/>
        <w:gridCol w:w="1212"/>
        <w:gridCol w:w="5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574"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规格</w:t>
            </w:r>
          </w:p>
        </w:tc>
        <w:tc>
          <w:tcPr>
            <w:tcW w:w="1212"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单位</w:t>
            </w:r>
          </w:p>
        </w:tc>
        <w:tc>
          <w:tcPr>
            <w:tcW w:w="5287"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含税单价（元/支）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574" w:type="dxa"/>
          </w:tcPr>
          <w:p>
            <w:pPr>
              <w:pStyle w:val="11"/>
              <w:shd w:val="clear" w:color="auto" w:fill="auto"/>
              <w:spacing w:before="0"/>
              <w:ind w:firstLine="0"/>
              <w:jc w:val="center"/>
              <w:rPr>
                <w:rFonts w:hint="default"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LG250-1250-F</w:t>
            </w:r>
          </w:p>
        </w:tc>
        <w:tc>
          <w:tcPr>
            <w:tcW w:w="1212"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支</w:t>
            </w:r>
          </w:p>
        </w:tc>
        <w:tc>
          <w:tcPr>
            <w:tcW w:w="5287" w:type="dxa"/>
          </w:tcPr>
          <w:p>
            <w:pPr>
              <w:pStyle w:val="11"/>
              <w:shd w:val="clear" w:color="auto" w:fill="auto"/>
              <w:spacing w:before="0"/>
              <w:ind w:firstLine="0"/>
              <w:jc w:val="both"/>
              <w:rPr>
                <w:rFonts w:hint="eastAsia" w:ascii="宋体" w:hAnsi="宋体" w:eastAsia="宋体" w:cs="宋体"/>
                <w:b w:val="0"/>
                <w:bCs w:val="0"/>
                <w:color w:val="auto"/>
                <w:kern w:val="0"/>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574"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LG250-1000-F</w:t>
            </w:r>
          </w:p>
        </w:tc>
        <w:tc>
          <w:tcPr>
            <w:tcW w:w="1212"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支</w:t>
            </w:r>
          </w:p>
        </w:tc>
        <w:tc>
          <w:tcPr>
            <w:tcW w:w="5287" w:type="dxa"/>
          </w:tcPr>
          <w:p>
            <w:pPr>
              <w:pStyle w:val="11"/>
              <w:shd w:val="clear" w:color="auto" w:fill="auto"/>
              <w:spacing w:before="0"/>
              <w:ind w:firstLine="0"/>
              <w:jc w:val="both"/>
              <w:rPr>
                <w:rFonts w:hint="eastAsia" w:ascii="宋体" w:hAnsi="宋体" w:eastAsia="宋体" w:cs="宋体"/>
                <w:b w:val="0"/>
                <w:bCs w:val="0"/>
                <w:color w:val="auto"/>
                <w:kern w:val="0"/>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574" w:type="dxa"/>
          </w:tcPr>
          <w:p>
            <w:pPr>
              <w:pStyle w:val="11"/>
              <w:shd w:val="clear" w:color="auto" w:fill="auto"/>
              <w:spacing w:before="0"/>
              <w:ind w:firstLine="0"/>
              <w:jc w:val="center"/>
              <w:rPr>
                <w:rFonts w:hint="default"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运费</w:t>
            </w:r>
          </w:p>
        </w:tc>
        <w:tc>
          <w:tcPr>
            <w:tcW w:w="1212" w:type="dxa"/>
          </w:tcPr>
          <w:p>
            <w:pPr>
              <w:pStyle w:val="11"/>
              <w:shd w:val="clear" w:color="auto" w:fill="auto"/>
              <w:spacing w:before="0"/>
              <w:ind w:firstLine="0"/>
              <w:jc w:val="center"/>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批</w:t>
            </w:r>
          </w:p>
        </w:tc>
        <w:tc>
          <w:tcPr>
            <w:tcW w:w="5287" w:type="dxa"/>
          </w:tcPr>
          <w:p>
            <w:pPr>
              <w:pStyle w:val="11"/>
              <w:shd w:val="clear" w:color="auto" w:fill="auto"/>
              <w:spacing w:before="0"/>
              <w:ind w:firstLine="0"/>
              <w:jc w:val="both"/>
              <w:rPr>
                <w:rFonts w:hint="eastAsia" w:ascii="宋体" w:hAnsi="宋体" w:eastAsia="宋体" w:cs="宋体"/>
                <w:b w:val="0"/>
                <w:bCs w:val="0"/>
                <w:color w:val="auto"/>
                <w:kern w:val="0"/>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073" w:type="dxa"/>
            <w:gridSpan w:val="3"/>
          </w:tcPr>
          <w:p>
            <w:pPr>
              <w:pStyle w:val="11"/>
              <w:shd w:val="clear" w:color="auto" w:fill="auto"/>
              <w:spacing w:before="0"/>
              <w:ind w:left="160" w:hanging="160"/>
              <w:jc w:val="both"/>
              <w:rPr>
                <w:rFonts w:hint="eastAsia"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注意事项：1、相关技术参数由甲方提供确定。</w:t>
            </w:r>
          </w:p>
          <w:p>
            <w:pPr>
              <w:pStyle w:val="11"/>
              <w:shd w:val="clear" w:color="auto" w:fill="auto"/>
              <w:spacing w:before="0"/>
              <w:ind w:left="218" w:leftChars="104" w:firstLine="1015" w:firstLineChars="423"/>
              <w:jc w:val="both"/>
              <w:rPr>
                <w:rFonts w:hint="default" w:ascii="宋体" w:hAnsi="宋体" w:eastAsia="宋体" w:cs="宋体"/>
                <w:b w:val="0"/>
                <w:bCs w:val="0"/>
                <w:color w:val="auto"/>
                <w:kern w:val="0"/>
                <w:sz w:val="24"/>
                <w:szCs w:val="20"/>
                <w:lang w:val="en-US" w:eastAsia="zh-CN" w:bidi="ar-SA"/>
              </w:rPr>
            </w:pPr>
            <w:r>
              <w:rPr>
                <w:rFonts w:hint="eastAsia" w:ascii="宋体" w:hAnsi="宋体" w:eastAsia="宋体" w:cs="宋体"/>
                <w:b w:val="0"/>
                <w:bCs w:val="0"/>
                <w:color w:val="auto"/>
                <w:kern w:val="0"/>
                <w:sz w:val="24"/>
                <w:szCs w:val="20"/>
                <w:lang w:val="en-US" w:eastAsia="zh-CN" w:bidi="ar-SA"/>
              </w:rPr>
              <w:t>2、两种规格预计数量共约200支，最终以实际服务项目数量结算为准。</w:t>
            </w:r>
          </w:p>
          <w:p>
            <w:pPr>
              <w:pStyle w:val="11"/>
              <w:shd w:val="clear" w:color="auto" w:fill="auto"/>
              <w:spacing w:before="0"/>
              <w:ind w:firstLine="0"/>
              <w:jc w:val="both"/>
              <w:rPr>
                <w:rFonts w:hint="eastAsia" w:ascii="宋体" w:hAnsi="宋体" w:eastAsia="宋体" w:cs="宋体"/>
                <w:b w:val="0"/>
                <w:bCs w:val="0"/>
                <w:color w:val="auto"/>
                <w:kern w:val="0"/>
                <w:sz w:val="24"/>
                <w:szCs w:val="20"/>
                <w:lang w:val="en-US" w:eastAsia="zh-CN" w:bidi="ar-SA"/>
              </w:rPr>
            </w:pPr>
          </w:p>
        </w:tc>
      </w:tr>
    </w:tbl>
    <w:p/>
    <w:p>
      <w:pPr>
        <w:numPr>
          <w:ilvl w:val="0"/>
          <w:numId w:val="0"/>
        </w:numPr>
        <w:rPr>
          <w:rFonts w:hint="default" w:ascii="宋体" w:hAnsi="宋体" w:eastAsia="宋体" w:cs="宋体"/>
          <w:kern w:val="0"/>
          <w:sz w:val="24"/>
          <w:szCs w:val="20"/>
          <w:lang w:val="en-US" w:eastAsia="zh-CN" w:bidi="ar-SA"/>
        </w:rPr>
      </w:pPr>
      <w:r>
        <w:rPr>
          <w:rFonts w:hint="eastAsia" w:ascii="宋体" w:hAnsi="宋体" w:eastAsia="宋体" w:cs="宋体"/>
          <w:b/>
          <w:bCs/>
          <w:kern w:val="0"/>
          <w:sz w:val="24"/>
          <w:szCs w:val="20"/>
          <w:lang w:val="en-US" w:eastAsia="zh-CN" w:bidi="ar-SA"/>
        </w:rPr>
        <w:t>五</w:t>
      </w:r>
      <w:r>
        <w:rPr>
          <w:rFonts w:hint="eastAsia" w:ascii="宋体" w:hAnsi="宋体" w:eastAsia="宋体" w:cs="宋体"/>
          <w:kern w:val="0"/>
          <w:sz w:val="24"/>
          <w:szCs w:val="20"/>
          <w:lang w:val="en-US" w:eastAsia="zh-CN" w:bidi="ar-SA"/>
        </w:rPr>
        <w:t>、</w:t>
      </w:r>
      <w:r>
        <w:rPr>
          <w:rFonts w:hint="eastAsia" w:ascii="宋体" w:hAnsi="宋体" w:eastAsia="宋体" w:cs="宋体"/>
          <w:b/>
          <w:bCs/>
          <w:kern w:val="0"/>
          <w:sz w:val="24"/>
          <w:szCs w:val="20"/>
          <w:lang w:val="en-US" w:eastAsia="zh-CN" w:bidi="ar-SA"/>
        </w:rPr>
        <w:t>服务期限：</w:t>
      </w:r>
      <w:r>
        <w:rPr>
          <w:rFonts w:hint="eastAsia" w:ascii="宋体" w:hAnsi="宋体" w:eastAsia="宋体" w:cs="宋体"/>
          <w:kern w:val="0"/>
          <w:sz w:val="24"/>
          <w:szCs w:val="20"/>
          <w:lang w:val="en-US" w:eastAsia="zh-CN" w:bidi="ar-SA"/>
        </w:rPr>
        <w:t>自本项目合同签订之日起，为期 1 年。</w:t>
      </w:r>
    </w:p>
    <w:p>
      <w:pPr>
        <w:pStyle w:val="3"/>
        <w:spacing w:before="156" w:after="156"/>
        <w:rPr>
          <w:rFonts w:hint="eastAsia"/>
          <w:b/>
        </w:rPr>
      </w:pPr>
    </w:p>
    <w:p>
      <w:pPr>
        <w:pStyle w:val="3"/>
        <w:spacing w:before="156" w:after="156"/>
        <w:rPr>
          <w:bCs/>
        </w:rPr>
      </w:pPr>
      <w:r>
        <w:rPr>
          <w:rFonts w:hint="eastAsia"/>
          <w:b/>
          <w:lang w:eastAsia="zh-CN"/>
        </w:rPr>
        <w:t>六</w:t>
      </w:r>
      <w:r>
        <w:rPr>
          <w:rFonts w:hint="eastAsia"/>
          <w:b/>
        </w:rPr>
        <w:t>、报价人资质要求</w:t>
      </w:r>
      <w:r>
        <w:rPr>
          <w:rFonts w:hint="eastAsia"/>
          <w:bCs/>
        </w:rPr>
        <w:t>：</w:t>
      </w:r>
    </w:p>
    <w:p>
      <w:pPr>
        <w:tabs>
          <w:tab w:val="left" w:pos="7560"/>
        </w:tabs>
        <w:spacing w:line="360" w:lineRule="auto"/>
        <w:ind w:firstLine="480" w:firstLineChars="200"/>
        <w:rPr>
          <w:rFonts w:ascii="宋体" w:hAnsi="宋体" w:eastAsia="宋体" w:cs="宋体"/>
          <w:sz w:val="24"/>
        </w:rPr>
      </w:pPr>
      <w:r>
        <w:rPr>
          <w:rFonts w:hint="eastAsia" w:ascii="宋体" w:hAnsi="宋体" w:eastAsia="宋体" w:cs="宋体"/>
          <w:sz w:val="24"/>
        </w:rPr>
        <w:t>1、报价人必须为中华人民共和国境内（不含港、澳、台地区）注册的独立法人（提供加盖公章的营业执照）。</w:t>
      </w:r>
    </w:p>
    <w:p>
      <w:pPr>
        <w:pStyle w:val="2"/>
        <w:spacing w:line="360" w:lineRule="auto"/>
        <w:ind w:firstLine="480" w:firstLineChars="200"/>
        <w:rPr>
          <w:rFonts w:ascii="宋体" w:hAnsi="宋体" w:eastAsia="宋体" w:cs="宋体"/>
          <w:sz w:val="24"/>
        </w:rPr>
      </w:pPr>
      <w:r>
        <w:rPr>
          <w:rFonts w:hint="eastAsia" w:ascii="宋体" w:hAnsi="宋体" w:eastAsia="宋体" w:cs="宋体"/>
          <w:sz w:val="24"/>
        </w:rPr>
        <w:t>2.报价单位应具有</w:t>
      </w:r>
      <w:r>
        <w:rPr>
          <w:rFonts w:hint="eastAsia" w:ascii="宋体" w:hAnsi="宋体" w:eastAsia="宋体" w:cs="宋体"/>
          <w:spacing w:val="14"/>
          <w:kern w:val="0"/>
          <w:sz w:val="24"/>
        </w:rPr>
        <w:t>粮油</w:t>
      </w:r>
      <w:r>
        <w:rPr>
          <w:rFonts w:hint="eastAsia" w:ascii="宋体" w:hAnsi="宋体" w:eastAsia="宋体" w:cs="宋体"/>
          <w:spacing w:val="14"/>
          <w:kern w:val="0"/>
          <w:sz w:val="24"/>
          <w:lang w:eastAsia="zh-CN"/>
        </w:rPr>
        <w:t>行业磨粉机磨辊修复加工的</w:t>
      </w:r>
      <w:r>
        <w:rPr>
          <w:rFonts w:hint="eastAsia" w:ascii="宋体" w:hAnsi="宋体" w:eastAsia="宋体" w:cs="宋体"/>
          <w:spacing w:val="14"/>
          <w:kern w:val="0"/>
          <w:sz w:val="24"/>
        </w:rPr>
        <w:t>工作经验和</w:t>
      </w:r>
      <w:r>
        <w:rPr>
          <w:rFonts w:hint="eastAsia" w:ascii="宋体" w:hAnsi="宋体" w:eastAsia="宋体" w:cs="宋体"/>
          <w:spacing w:val="14"/>
          <w:kern w:val="0"/>
          <w:sz w:val="24"/>
          <w:lang w:eastAsia="zh-CN"/>
        </w:rPr>
        <w:t>相关</w:t>
      </w:r>
      <w:r>
        <w:rPr>
          <w:rFonts w:hint="eastAsia" w:ascii="宋体" w:hAnsi="宋体" w:eastAsia="宋体" w:cs="宋体"/>
          <w:spacing w:val="14"/>
          <w:kern w:val="0"/>
          <w:sz w:val="24"/>
        </w:rPr>
        <w:t>业绩</w:t>
      </w:r>
      <w:r>
        <w:rPr>
          <w:rFonts w:hint="eastAsia" w:ascii="宋体" w:hAnsi="宋体" w:eastAsia="宋体" w:cs="宋体"/>
          <w:sz w:val="24"/>
        </w:rPr>
        <w:t>。</w:t>
      </w:r>
    </w:p>
    <w:p>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rPr>
        <w:t>3.报价人近年内（从报价文件递交截止之日起倒算）没有骗取中标和严重违约、提供的产品没有重大质量问题（提供承诺函，加盖公章，格式自拟）。</w:t>
      </w:r>
    </w:p>
    <w:p>
      <w:pPr>
        <w:pStyle w:val="2"/>
        <w:rPr>
          <w:rFonts w:hint="default" w:eastAsia="宋体"/>
          <w:lang w:val="en-US" w:eastAsia="zh-CN"/>
        </w:rPr>
      </w:pPr>
      <w:r>
        <w:rPr>
          <w:rFonts w:hint="eastAsia" w:ascii="宋体" w:hAnsi="宋体" w:eastAsia="宋体" w:cs="宋体"/>
          <w:sz w:val="24"/>
          <w:lang w:val="en-US" w:eastAsia="zh-CN"/>
        </w:rPr>
        <w:t xml:space="preserve">    4.</w:t>
      </w:r>
      <w:r>
        <w:rPr>
          <w:rFonts w:hint="eastAsia" w:ascii="宋体" w:hAnsi="宋体" w:eastAsia="宋体" w:cs="宋体"/>
          <w:sz w:val="24"/>
          <w:lang w:val="en-US" w:eastAsia="zh-CN"/>
        </w:rPr>
        <w:t xml:space="preserve"> 未被列入失信被执行人、重大税收违法案件当事人名单、政府采购严重违法失信行为记录名单。（提供在“信用中国”（www.creditchina.gov.cn）中“信用服务”栏或其他各级市场监督局查询网站下载的信用信息报告并加盖公章）</w:t>
      </w:r>
    </w:p>
    <w:p>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5</w:t>
      </w:r>
      <w:r>
        <w:rPr>
          <w:rFonts w:hint="eastAsia" w:ascii="宋体" w:hAnsi="宋体" w:eastAsia="宋体" w:cs="宋体"/>
          <w:sz w:val="24"/>
        </w:rPr>
        <w:t>.本项目不允许转包、分包。</w:t>
      </w:r>
    </w:p>
    <w:p>
      <w:pPr>
        <w:pStyle w:val="2"/>
      </w:pPr>
    </w:p>
    <w:p>
      <w:pPr>
        <w:pStyle w:val="3"/>
        <w:spacing w:before="156" w:after="156"/>
        <w:rPr>
          <w:b/>
          <w:bCs/>
          <w:szCs w:val="21"/>
        </w:rPr>
      </w:pPr>
      <w:r>
        <w:rPr>
          <w:rFonts w:hint="eastAsia"/>
          <w:b/>
          <w:bCs/>
          <w:szCs w:val="21"/>
          <w:lang w:eastAsia="zh-CN"/>
        </w:rPr>
        <w:t>七</w:t>
      </w:r>
      <w:r>
        <w:rPr>
          <w:rFonts w:hint="eastAsia"/>
          <w:b/>
          <w:bCs/>
          <w:szCs w:val="21"/>
        </w:rPr>
        <w:t>、报价要求（报价时注明）</w:t>
      </w:r>
      <w:r>
        <w:rPr>
          <w:b/>
          <w:bCs/>
          <w:szCs w:val="21"/>
        </w:rPr>
        <w:t>:</w:t>
      </w:r>
    </w:p>
    <w:p>
      <w:pPr>
        <w:spacing w:line="276" w:lineRule="auto"/>
        <w:ind w:firstLine="480" w:firstLineChars="200"/>
        <w:rPr>
          <w:rFonts w:ascii="宋体" w:hAnsi="宋体" w:eastAsia="宋体" w:cs="宋体"/>
          <w:sz w:val="24"/>
        </w:rPr>
      </w:pPr>
      <w:r>
        <w:rPr>
          <w:rFonts w:hint="eastAsia" w:ascii="宋体" w:hAnsi="宋体" w:eastAsia="宋体" w:cs="宋体"/>
          <w:sz w:val="24"/>
        </w:rPr>
        <w:t>1、付款方式：</w:t>
      </w:r>
      <w:r>
        <w:rPr>
          <w:rFonts w:hint="eastAsia" w:ascii="宋体" w:hAnsi="宋体" w:eastAsia="宋体" w:cs="宋体"/>
          <w:sz w:val="24"/>
          <w:lang w:eastAsia="zh-CN"/>
        </w:rPr>
        <w:t>磨辊修复加工费用按季度结算，</w:t>
      </w:r>
      <w:r>
        <w:rPr>
          <w:rFonts w:hint="eastAsia" w:ascii="宋体" w:hAnsi="宋体" w:eastAsia="宋体" w:cs="宋体"/>
          <w:sz w:val="24"/>
        </w:rPr>
        <w:t>合同签订后乙方</w:t>
      </w:r>
      <w:r>
        <w:rPr>
          <w:rFonts w:hint="eastAsia" w:ascii="宋体" w:hAnsi="宋体" w:eastAsia="宋体" w:cs="宋体"/>
          <w:sz w:val="24"/>
          <w:lang w:eastAsia="zh-CN"/>
        </w:rPr>
        <w:t>进行修复加工</w:t>
      </w:r>
      <w:r>
        <w:rPr>
          <w:rFonts w:hint="eastAsia" w:ascii="宋体" w:hAnsi="宋体" w:eastAsia="宋体" w:cs="宋体"/>
          <w:sz w:val="24"/>
        </w:rPr>
        <w:t>，待</w:t>
      </w:r>
      <w:r>
        <w:rPr>
          <w:rFonts w:hint="eastAsia" w:ascii="宋体" w:hAnsi="宋体" w:eastAsia="宋体" w:cs="宋体"/>
          <w:sz w:val="24"/>
          <w:lang w:eastAsia="zh-CN"/>
        </w:rPr>
        <w:t>每季度修复加工磨辊</w:t>
      </w:r>
      <w:r>
        <w:rPr>
          <w:rFonts w:hint="eastAsia" w:ascii="宋体" w:hAnsi="宋体" w:eastAsia="宋体" w:cs="宋体"/>
          <w:sz w:val="24"/>
        </w:rPr>
        <w:t>全部</w:t>
      </w:r>
      <w:r>
        <w:rPr>
          <w:rFonts w:hint="eastAsia" w:ascii="宋体" w:hAnsi="宋体" w:eastAsia="宋体" w:cs="宋体"/>
          <w:sz w:val="24"/>
          <w:lang w:eastAsia="zh-CN"/>
        </w:rPr>
        <w:t>完成并送货至甲方公司</w:t>
      </w:r>
      <w:r>
        <w:rPr>
          <w:rFonts w:hint="eastAsia" w:ascii="宋体" w:hAnsi="宋体" w:eastAsia="宋体" w:cs="宋体"/>
          <w:sz w:val="24"/>
        </w:rPr>
        <w:t>，甲方验收合格之后，乙方开具全额增值税发票给甲方，甲方支付</w:t>
      </w:r>
      <w:r>
        <w:rPr>
          <w:rFonts w:hint="eastAsia" w:ascii="宋体" w:hAnsi="宋体" w:eastAsia="宋体" w:cs="宋体"/>
          <w:sz w:val="24"/>
          <w:lang w:eastAsia="zh-CN"/>
        </w:rPr>
        <w:t>本季度修复加工</w:t>
      </w:r>
      <w:r>
        <w:rPr>
          <w:rFonts w:hint="eastAsia" w:ascii="宋体" w:hAnsi="宋体" w:eastAsia="宋体" w:cs="宋体"/>
          <w:sz w:val="24"/>
        </w:rPr>
        <w:t>款项。</w:t>
      </w:r>
    </w:p>
    <w:p>
      <w:pPr>
        <w:pStyle w:val="10"/>
        <w:tabs>
          <w:tab w:val="left" w:pos="0"/>
        </w:tabs>
        <w:spacing w:line="360" w:lineRule="auto"/>
        <w:ind w:firstLine="480"/>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、报价人应</w:t>
      </w:r>
      <w:r>
        <w:rPr>
          <w:rFonts w:hint="eastAsia" w:ascii="宋体" w:hAnsi="宋体" w:eastAsia="宋体" w:cs="宋体"/>
          <w:sz w:val="24"/>
          <w:lang w:eastAsia="zh-CN"/>
        </w:rPr>
        <w:t>按项目内容</w:t>
      </w:r>
      <w:r>
        <w:rPr>
          <w:rFonts w:hint="eastAsia" w:ascii="宋体" w:hAnsi="宋体" w:eastAsia="宋体" w:cs="宋体"/>
          <w:sz w:val="24"/>
        </w:rPr>
        <w:t>报</w:t>
      </w:r>
      <w:r>
        <w:rPr>
          <w:rFonts w:hint="eastAsia" w:ascii="宋体" w:hAnsi="宋体" w:eastAsia="宋体" w:cs="宋体"/>
          <w:sz w:val="24"/>
          <w:lang w:eastAsia="zh-CN"/>
        </w:rPr>
        <w:t>各项</w:t>
      </w:r>
      <w:r>
        <w:rPr>
          <w:rFonts w:hint="eastAsia" w:ascii="宋体" w:hAnsi="宋体" w:eastAsia="宋体" w:cs="宋体"/>
          <w:sz w:val="24"/>
        </w:rPr>
        <w:t>单价，最终以实际</w:t>
      </w:r>
      <w:r>
        <w:rPr>
          <w:rFonts w:hint="eastAsia" w:ascii="宋体" w:hAnsi="宋体" w:eastAsia="宋体" w:cs="宋体"/>
          <w:sz w:val="24"/>
          <w:lang w:eastAsia="zh-CN"/>
        </w:rPr>
        <w:t>服务项目数量</w:t>
      </w:r>
      <w:r>
        <w:rPr>
          <w:rFonts w:hint="eastAsia" w:ascii="宋体" w:hAnsi="宋体" w:eastAsia="宋体" w:cs="宋体"/>
          <w:sz w:val="24"/>
        </w:rPr>
        <w:t>结算为准</w:t>
      </w:r>
      <w:r>
        <w:rPr>
          <w:rFonts w:hint="eastAsia" w:ascii="宋体" w:hAnsi="宋体" w:eastAsia="宋体" w:cs="宋体"/>
          <w:sz w:val="24"/>
          <w:lang w:eastAsia="zh-CN"/>
        </w:rPr>
        <w:t>，年度总费用不超出</w:t>
      </w:r>
      <w:r>
        <w:rPr>
          <w:rFonts w:hint="eastAsia" w:ascii="宋体" w:hAnsi="宋体" w:eastAsia="宋体" w:cs="宋体"/>
          <w:sz w:val="24"/>
          <w:lang w:val="en-US" w:eastAsia="zh-CN"/>
        </w:rPr>
        <w:t>160000元</w:t>
      </w:r>
      <w:r>
        <w:rPr>
          <w:rFonts w:hint="eastAsia" w:ascii="宋体" w:hAnsi="宋体" w:eastAsia="宋体" w:cs="宋体"/>
          <w:sz w:val="24"/>
        </w:rPr>
        <w:t>（人民币</w:t>
      </w:r>
      <w:r>
        <w:rPr>
          <w:rFonts w:hint="eastAsia" w:ascii="宋体" w:hAnsi="宋体" w:eastAsia="宋体" w:cs="宋体"/>
          <w:sz w:val="24"/>
          <w:lang w:eastAsia="zh-CN"/>
        </w:rPr>
        <w:t>壹拾陆</w:t>
      </w:r>
      <w:r>
        <w:rPr>
          <w:rFonts w:hint="eastAsia" w:ascii="宋体" w:hAnsi="宋体" w:eastAsia="宋体" w:cs="宋体"/>
          <w:sz w:val="24"/>
        </w:rPr>
        <w:t>万元整），</w:t>
      </w:r>
      <w:r>
        <w:rPr>
          <w:rFonts w:hint="eastAsia" w:ascii="宋体" w:hAnsi="宋体" w:eastAsia="宋体" w:cs="宋体"/>
          <w:b w:val="0"/>
          <w:bCs w:val="0"/>
          <w:color w:val="auto"/>
          <w:kern w:val="0"/>
          <w:sz w:val="24"/>
          <w:szCs w:val="20"/>
          <w:lang w:val="en-US" w:eastAsia="zh-CN" w:bidi="ar-SA"/>
        </w:rPr>
        <w:t>LG250-1250-F</w:t>
      </w:r>
      <w:r>
        <w:rPr>
          <w:rFonts w:hint="eastAsia" w:ascii="宋体" w:hAnsi="宋体" w:eastAsia="宋体" w:cs="宋体"/>
          <w:sz w:val="24"/>
        </w:rPr>
        <w:t>报价高于</w:t>
      </w:r>
      <w:r>
        <w:rPr>
          <w:rFonts w:hint="eastAsia" w:ascii="宋体" w:hAnsi="宋体" w:eastAsia="宋体" w:cs="宋体"/>
          <w:sz w:val="24"/>
          <w:lang w:val="en-US" w:eastAsia="zh-CN"/>
        </w:rPr>
        <w:t>880元/支、</w:t>
      </w:r>
      <w:r>
        <w:rPr>
          <w:rFonts w:hint="eastAsia" w:ascii="宋体" w:hAnsi="宋体" w:eastAsia="宋体" w:cs="宋体"/>
          <w:b w:val="0"/>
          <w:bCs w:val="0"/>
          <w:color w:val="auto"/>
          <w:kern w:val="0"/>
          <w:sz w:val="24"/>
          <w:szCs w:val="20"/>
          <w:lang w:val="en-US" w:eastAsia="zh-CN" w:bidi="ar-SA"/>
        </w:rPr>
        <w:t>LG250-1000-F</w:t>
      </w:r>
      <w:r>
        <w:rPr>
          <w:rFonts w:hint="eastAsia" w:ascii="宋体" w:hAnsi="宋体" w:eastAsia="宋体" w:cs="宋体"/>
          <w:sz w:val="24"/>
        </w:rPr>
        <w:t>报价高于</w:t>
      </w:r>
      <w:r>
        <w:rPr>
          <w:rFonts w:hint="eastAsia" w:ascii="宋体" w:hAnsi="宋体" w:eastAsia="宋体" w:cs="宋体"/>
          <w:sz w:val="24"/>
          <w:lang w:val="en-US" w:eastAsia="zh-CN"/>
        </w:rPr>
        <w:t>680元/支均</w:t>
      </w:r>
      <w:r>
        <w:rPr>
          <w:rFonts w:hint="eastAsia" w:ascii="宋体" w:hAnsi="宋体" w:eastAsia="宋体" w:cs="宋体"/>
          <w:sz w:val="24"/>
        </w:rPr>
        <w:t>视为无效报价。</w:t>
      </w:r>
    </w:p>
    <w:p>
      <w:pPr>
        <w:pStyle w:val="10"/>
        <w:tabs>
          <w:tab w:val="left" w:pos="0"/>
        </w:tabs>
        <w:spacing w:line="360" w:lineRule="auto"/>
        <w:ind w:firstLine="480"/>
        <w:rPr>
          <w:rFonts w:hint="eastAsia" w:ascii="宋体" w:hAnsi="宋体" w:eastAsia="宋体" w:cs="宋体"/>
          <w:sz w:val="24"/>
          <w:lang w:val="en-US" w:eastAsia="zh-CN"/>
        </w:rPr>
      </w:pPr>
      <w:r>
        <w:rPr>
          <w:rFonts w:hint="eastAsia" w:ascii="宋体" w:hAnsi="宋体" w:eastAsia="宋体" w:cs="宋体"/>
          <w:sz w:val="24"/>
          <w:lang w:val="en-US" w:eastAsia="zh-CN"/>
        </w:rPr>
        <w:t>3、报价为含税总价包干，包含食宿、培训、差旅、人工、税费等全部费用。</w:t>
      </w:r>
    </w:p>
    <w:p>
      <w:pPr>
        <w:pStyle w:val="10"/>
        <w:tabs>
          <w:tab w:val="left" w:pos="0"/>
        </w:tabs>
        <w:spacing w:line="360" w:lineRule="auto"/>
        <w:ind w:firstLine="480"/>
        <w:rPr>
          <w:rFonts w:hint="default" w:ascii="宋体" w:hAnsi="宋体" w:eastAsia="宋体" w:cs="宋体"/>
          <w:sz w:val="24"/>
          <w:lang w:val="en-US" w:eastAsia="zh-CN"/>
        </w:rPr>
      </w:pPr>
    </w:p>
    <w:p>
      <w:pPr>
        <w:pStyle w:val="3"/>
        <w:spacing w:before="156" w:after="156"/>
        <w:rPr>
          <w:b/>
          <w:bCs/>
          <w:szCs w:val="21"/>
        </w:rPr>
      </w:pPr>
      <w:r>
        <w:rPr>
          <w:rFonts w:hint="eastAsia"/>
          <w:b/>
          <w:bCs/>
          <w:szCs w:val="21"/>
          <w:lang w:eastAsia="zh-CN"/>
        </w:rPr>
        <w:t>八</w:t>
      </w:r>
      <w:r>
        <w:rPr>
          <w:rFonts w:hint="eastAsia"/>
          <w:b/>
          <w:bCs/>
          <w:szCs w:val="21"/>
        </w:rPr>
        <w:t>、中选原则：</w:t>
      </w:r>
    </w:p>
    <w:p>
      <w:pPr>
        <w:tabs>
          <w:tab w:val="left" w:pos="7560"/>
        </w:tabs>
        <w:spacing w:line="360" w:lineRule="auto"/>
        <w:ind w:firstLine="480" w:firstLineChars="200"/>
        <w:rPr>
          <w:rFonts w:hint="eastAsia" w:ascii="宋体" w:hAnsi="宋体" w:eastAsia="宋体" w:cs="宋体"/>
          <w:sz w:val="24"/>
        </w:rPr>
      </w:pPr>
      <w:r>
        <w:rPr>
          <w:rFonts w:hint="eastAsia" w:ascii="宋体" w:hAnsi="宋体" w:eastAsia="宋体" w:cs="宋体"/>
          <w:sz w:val="24"/>
        </w:rPr>
        <w:t>采购人组建采购小组在报价截止后组织评审，符合资格条件、投标报价在上限价以内、满足不可偏离条款的报价人为有效投标人，对有效投标人的价格、服务、业绩</w:t>
      </w:r>
      <w:r>
        <w:rPr>
          <w:rFonts w:hint="eastAsia" w:ascii="宋体" w:hAnsi="宋体" w:eastAsia="宋体" w:cs="宋体"/>
          <w:sz w:val="24"/>
          <w:lang w:eastAsia="zh-CN"/>
        </w:rPr>
        <w:t>、加工工艺等</w:t>
      </w:r>
      <w:r>
        <w:rPr>
          <w:rFonts w:hint="eastAsia" w:ascii="宋体" w:hAnsi="宋体" w:eastAsia="宋体" w:cs="宋体"/>
          <w:sz w:val="24"/>
        </w:rPr>
        <w:t>进行综合比选并排序，排名第一的确定为中标人。</w:t>
      </w:r>
    </w:p>
    <w:p>
      <w:pPr>
        <w:pStyle w:val="2"/>
        <w:rPr>
          <w:rFonts w:hint="eastAsia" w:ascii="宋体" w:hAnsi="宋体" w:eastAsia="宋体" w:cs="宋体"/>
          <w:sz w:val="24"/>
        </w:rPr>
      </w:pPr>
    </w:p>
    <w:p>
      <w:pPr>
        <w:widowControl w:val="0"/>
        <w:autoSpaceDE w:val="0"/>
        <w:autoSpaceDN w:val="0"/>
        <w:adjustRightInd w:val="0"/>
        <w:spacing w:line="360" w:lineRule="auto"/>
        <w:rPr>
          <w:rFonts w:ascii="宋体" w:hAnsi="宋体" w:eastAsia="宋体" w:cs="宋体"/>
          <w:b/>
          <w:bCs/>
          <w:sz w:val="24"/>
        </w:rPr>
      </w:pPr>
      <w:r>
        <w:rPr>
          <w:rFonts w:hint="eastAsia" w:ascii="宋体" w:hAnsi="宋体" w:eastAsia="宋体" w:cs="宋体"/>
          <w:b/>
          <w:bCs/>
          <w:sz w:val="24"/>
          <w:lang w:val="en-US" w:eastAsia="zh-CN"/>
        </w:rPr>
        <w:t>九</w:t>
      </w:r>
      <w:r>
        <w:rPr>
          <w:rFonts w:hint="eastAsia" w:ascii="宋体" w:hAnsi="宋体" w:eastAsia="宋体" w:cs="宋体"/>
          <w:b/>
          <w:bCs/>
          <w:sz w:val="24"/>
        </w:rPr>
        <w:t>、递交</w:t>
      </w:r>
      <w:r>
        <w:rPr>
          <w:rFonts w:hint="eastAsia" w:ascii="宋体" w:hAnsi="宋体" w:eastAsia="宋体" w:cs="宋体"/>
          <w:b/>
          <w:bCs/>
          <w:sz w:val="24"/>
          <w:lang w:val="en-US" w:eastAsia="zh-CN"/>
        </w:rPr>
        <w:t>投标</w:t>
      </w:r>
      <w:r>
        <w:rPr>
          <w:rFonts w:hint="eastAsia" w:ascii="宋体" w:hAnsi="宋体" w:eastAsia="宋体" w:cs="宋体"/>
          <w:b/>
          <w:bCs/>
          <w:sz w:val="24"/>
        </w:rPr>
        <w:t>文件时间：</w:t>
      </w:r>
    </w:p>
    <w:p>
      <w:pPr>
        <w:tabs>
          <w:tab w:val="left" w:pos="0"/>
        </w:tabs>
        <w:spacing w:line="360" w:lineRule="auto"/>
        <w:ind w:firstLine="480" w:firstLineChars="200"/>
        <w:rPr>
          <w:rFonts w:hint="eastAsia" w:ascii="宋体" w:hAnsi="宋体" w:eastAsia="宋体" w:cs="宋体"/>
          <w:sz w:val="24"/>
          <w:lang w:val="en-US"/>
        </w:rPr>
      </w:pPr>
      <w:r>
        <w:rPr>
          <w:rFonts w:hint="eastAsia" w:ascii="宋体" w:hAnsi="宋体" w:eastAsia="宋体" w:cs="宋体"/>
          <w:sz w:val="24"/>
        </w:rPr>
        <w:t>递交</w:t>
      </w:r>
      <w:r>
        <w:rPr>
          <w:rFonts w:hint="eastAsia" w:ascii="宋体" w:hAnsi="宋体" w:eastAsia="宋体" w:cs="宋体"/>
          <w:sz w:val="24"/>
          <w:lang w:val="en-US" w:eastAsia="zh-CN"/>
        </w:rPr>
        <w:t>投标</w:t>
      </w:r>
      <w:r>
        <w:rPr>
          <w:rFonts w:hint="eastAsia" w:ascii="宋体" w:hAnsi="宋体" w:eastAsia="宋体" w:cs="宋体"/>
          <w:sz w:val="24"/>
        </w:rPr>
        <w:t>文件截止时间：</w:t>
      </w:r>
      <w:r>
        <w:rPr>
          <w:rFonts w:hint="eastAsia" w:ascii="宋体" w:hAnsi="宋体" w:eastAsia="宋体" w:cs="宋体"/>
          <w:sz w:val="24"/>
          <w:lang w:val="en-US" w:eastAsia="zh-CN"/>
        </w:rPr>
        <w:t>2026</w:t>
      </w:r>
      <w:r>
        <w:rPr>
          <w:rFonts w:hint="eastAsia" w:ascii="宋体" w:hAnsi="宋体" w:eastAsia="宋体" w:cs="宋体"/>
          <w:sz w:val="24"/>
        </w:rPr>
        <w:t>年</w:t>
      </w:r>
      <w:r>
        <w:rPr>
          <w:rFonts w:hint="eastAsia" w:ascii="宋体" w:hAnsi="宋体" w:eastAsia="宋体" w:cs="宋体"/>
          <w:sz w:val="24"/>
          <w:lang w:val="en-US" w:eastAsia="zh-CN"/>
        </w:rPr>
        <w:t>05</w:t>
      </w:r>
      <w:r>
        <w:rPr>
          <w:rFonts w:hint="eastAsia" w:ascii="宋体" w:hAnsi="宋体" w:eastAsia="宋体" w:cs="宋体"/>
          <w:sz w:val="24"/>
        </w:rPr>
        <w:t>月</w:t>
      </w:r>
      <w:r>
        <w:rPr>
          <w:rFonts w:hint="eastAsia" w:ascii="宋体" w:hAnsi="宋体" w:eastAsia="宋体" w:cs="宋体"/>
          <w:sz w:val="24"/>
          <w:lang w:val="en-US" w:eastAsia="zh-CN"/>
        </w:rPr>
        <w:t>28</w:t>
      </w:r>
      <w:r>
        <w:rPr>
          <w:rFonts w:hint="eastAsia" w:ascii="宋体" w:hAnsi="宋体" w:eastAsia="宋体" w:cs="宋体"/>
          <w:sz w:val="24"/>
        </w:rPr>
        <w:t>日</w:t>
      </w:r>
      <w:r>
        <w:rPr>
          <w:rFonts w:hint="eastAsia" w:ascii="宋体" w:hAnsi="宋体" w:eastAsia="宋体" w:cs="宋体"/>
          <w:sz w:val="24"/>
          <w:lang w:val="en-US" w:eastAsia="zh-CN"/>
        </w:rPr>
        <w:t>17:30</w:t>
      </w:r>
    </w:p>
    <w:p>
      <w:pPr>
        <w:pStyle w:val="2"/>
        <w:rPr>
          <w:rFonts w:hint="eastAsia" w:ascii="宋体" w:hAnsi="宋体" w:eastAsia="宋体" w:cs="宋体"/>
          <w:sz w:val="24"/>
        </w:rPr>
      </w:pPr>
    </w:p>
    <w:p>
      <w:pPr>
        <w:pStyle w:val="3"/>
        <w:spacing w:before="156" w:after="156"/>
        <w:rPr>
          <w:rFonts w:asciiTheme="minorEastAsia" w:hAnsiTheme="minorEastAsia" w:eastAsiaTheme="minorEastAsia"/>
          <w:b/>
          <w:bCs/>
          <w:color w:val="000000" w:themeColor="text1"/>
          <w14:textFill>
            <w14:solidFill>
              <w14:schemeClr w14:val="tx1"/>
            </w14:solidFill>
          </w14:textFill>
        </w:rPr>
      </w:pPr>
      <w:r>
        <w:rPr>
          <w:rFonts w:hint="eastAsia" w:cs="宋体" w:asciiTheme="minorEastAsia" w:hAnsiTheme="minorEastAsia" w:eastAsiaTheme="minorEastAsia"/>
          <w:b/>
          <w:bCs/>
          <w:color w:val="000000" w:themeColor="text1"/>
          <w:lang w:val="en-US" w:eastAsia="zh-CN"/>
          <w14:textFill>
            <w14:solidFill>
              <w14:schemeClr w14:val="tx1"/>
            </w14:solidFill>
          </w14:textFill>
        </w:rPr>
        <w:t>十</w:t>
      </w:r>
      <w:r>
        <w:rPr>
          <w:rFonts w:hint="eastAsia" w:cs="宋体" w:asciiTheme="minorEastAsia" w:hAnsiTheme="minorEastAsia" w:eastAsiaTheme="minorEastAsia"/>
          <w:b/>
          <w:bCs/>
          <w:color w:val="000000" w:themeColor="text1"/>
          <w14:textFill>
            <w14:solidFill>
              <w14:schemeClr w14:val="tx1"/>
            </w14:solidFill>
          </w14:textFill>
        </w:rPr>
        <w:t>、</w:t>
      </w:r>
      <w:r>
        <w:rPr>
          <w:rFonts w:hint="eastAsia" w:asciiTheme="minorEastAsia" w:hAnsiTheme="minorEastAsia" w:eastAsiaTheme="minorEastAsia"/>
          <w:b/>
          <w:bCs/>
          <w:color w:val="000000" w:themeColor="text1"/>
          <w14:textFill>
            <w14:solidFill>
              <w14:schemeClr w14:val="tx1"/>
            </w14:solidFill>
          </w14:textFill>
        </w:rPr>
        <w:t>报价</w:t>
      </w:r>
      <w:r>
        <w:rPr>
          <w:rFonts w:hint="eastAsia" w:asciiTheme="minorEastAsia" w:hAnsiTheme="minorEastAsia" w:eastAsiaTheme="minorEastAsia"/>
          <w:b/>
          <w:bCs/>
          <w:color w:val="000000" w:themeColor="text1"/>
          <w:szCs w:val="21"/>
          <w14:textFill>
            <w14:solidFill>
              <w14:schemeClr w14:val="tx1"/>
            </w14:solidFill>
          </w14:textFill>
        </w:rPr>
        <w:t>文件</w:t>
      </w:r>
      <w:r>
        <w:rPr>
          <w:rFonts w:hint="eastAsia" w:asciiTheme="minorEastAsia" w:hAnsiTheme="minorEastAsia" w:eastAsiaTheme="minorEastAsia"/>
          <w:b/>
          <w:bCs/>
          <w:color w:val="000000" w:themeColor="text1"/>
          <w14:textFill>
            <w14:solidFill>
              <w14:schemeClr w14:val="tx1"/>
            </w14:solidFill>
          </w14:textFill>
        </w:rPr>
        <w:t>格式（包括但不限于以下内容）：</w:t>
      </w:r>
    </w:p>
    <w:p>
      <w:pPr>
        <w:pStyle w:val="10"/>
        <w:tabs>
          <w:tab w:val="left" w:pos="7560"/>
        </w:tabs>
        <w:spacing w:line="360" w:lineRule="auto"/>
        <w:ind w:right="-51" w:firstLine="240" w:firstLineChars="100"/>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1、</w:t>
      </w:r>
      <w:r>
        <w:rPr>
          <w:rFonts w:hint="eastAsia" w:asciiTheme="minorEastAsia" w:hAnsiTheme="minorEastAsia" w:eastAsiaTheme="minorEastAsia"/>
          <w:color w:val="000000" w:themeColor="text1"/>
          <w:sz w:val="24"/>
          <w:lang w:val="en-US" w:eastAsia="zh-CN"/>
          <w14:textFill>
            <w14:solidFill>
              <w14:schemeClr w14:val="tx1"/>
            </w14:solidFill>
          </w14:textFill>
        </w:rPr>
        <w:t>加盖公司公章的授权报名表</w:t>
      </w:r>
      <w:r>
        <w:rPr>
          <w:rFonts w:hint="eastAsia" w:asciiTheme="minorEastAsia" w:hAnsiTheme="minorEastAsia" w:eastAsiaTheme="minorEastAsia"/>
          <w:color w:val="000000" w:themeColor="text1"/>
          <w:sz w:val="24"/>
          <w:lang w:eastAsia="zh-CN"/>
          <w14:textFill>
            <w14:solidFill>
              <w14:schemeClr w14:val="tx1"/>
            </w14:solidFill>
          </w14:textFill>
        </w:rPr>
        <w:t>（</w:t>
      </w:r>
      <w:r>
        <w:rPr>
          <w:rFonts w:hint="eastAsia" w:asciiTheme="minorEastAsia" w:hAnsiTheme="minorEastAsia" w:eastAsiaTheme="minorEastAsia"/>
          <w:color w:val="000000" w:themeColor="text1"/>
          <w:sz w:val="24"/>
          <w:lang w:val="en-US" w:eastAsia="zh-CN"/>
          <w14:textFill>
            <w14:solidFill>
              <w14:schemeClr w14:val="tx1"/>
            </w14:solidFill>
          </w14:textFill>
        </w:rPr>
        <w:t>见附件1，</w:t>
      </w:r>
      <w:r>
        <w:rPr>
          <w:rFonts w:hint="eastAsia" w:asciiTheme="minorEastAsia" w:hAnsiTheme="minorEastAsia" w:eastAsiaTheme="minorEastAsia"/>
          <w:color w:val="000000" w:themeColor="text1"/>
          <w:sz w:val="24"/>
          <w:lang w:eastAsia="zh-CN"/>
          <w14:textFill>
            <w14:solidFill>
              <w14:schemeClr w14:val="tx1"/>
            </w14:solidFill>
          </w14:textFill>
        </w:rPr>
        <w:t>）</w:t>
      </w:r>
    </w:p>
    <w:p>
      <w:pPr>
        <w:pStyle w:val="10"/>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2、具有明细的报价单（按公告文件要求的格式提供报价单</w:t>
      </w:r>
      <w:r>
        <w:rPr>
          <w:rFonts w:hint="eastAsia" w:asciiTheme="minorEastAsia" w:hAnsiTheme="minorEastAsia" w:eastAsiaTheme="minorEastAsia"/>
          <w:color w:val="000000" w:themeColor="text1"/>
          <w:sz w:val="22"/>
          <w:szCs w:val="22"/>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w:t>
      </w:r>
    </w:p>
    <w:p>
      <w:pPr>
        <w:pStyle w:val="10"/>
        <w:tabs>
          <w:tab w:val="left" w:pos="7560"/>
        </w:tabs>
        <w:spacing w:line="360" w:lineRule="auto"/>
        <w:ind w:right="-51" w:firstLine="240" w:firstLineChars="10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3、本公告第四项“报价人资格要求”要求提供的所有资料（营业执照复印件</w:t>
      </w:r>
      <w:r>
        <w:rPr>
          <w:rFonts w:hint="eastAsia" w:ascii="宋体" w:hAnsi="宋体" w:eastAsia="宋体" w:cs="宋体"/>
          <w:spacing w:val="14"/>
          <w:kern w:val="0"/>
          <w:sz w:val="24"/>
        </w:rPr>
        <w:t>等</w:t>
      </w:r>
      <w:r>
        <w:rPr>
          <w:rFonts w:hint="eastAsia" w:asciiTheme="minorEastAsia" w:hAnsiTheme="minorEastAsia" w:eastAsiaTheme="minorEastAsia"/>
          <w:color w:val="000000" w:themeColor="text1"/>
          <w:sz w:val="24"/>
          <w14:textFill>
            <w14:solidFill>
              <w14:schemeClr w14:val="tx1"/>
            </w14:solidFill>
          </w14:textFill>
        </w:rPr>
        <w:t>）。</w:t>
      </w:r>
    </w:p>
    <w:p>
      <w:pPr>
        <w:pStyle w:val="10"/>
        <w:tabs>
          <w:tab w:val="left" w:pos="7560"/>
        </w:tabs>
        <w:spacing w:line="360" w:lineRule="auto"/>
        <w:ind w:right="-51" w:firstLine="240" w:firstLineChars="10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4、业绩证明材料。</w:t>
      </w:r>
    </w:p>
    <w:p>
      <w:pPr>
        <w:widowControl w:val="0"/>
        <w:autoSpaceDE w:val="0"/>
        <w:autoSpaceDN w:val="0"/>
        <w:adjustRightInd w:val="0"/>
        <w:spacing w:line="360" w:lineRule="auto"/>
        <w:ind w:firstLine="240" w:firstLineChars="100"/>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5、加盖公司公章的供应商基本情况表（见附件2）</w:t>
      </w:r>
    </w:p>
    <w:p>
      <w:pPr>
        <w:pStyle w:val="2"/>
        <w:rPr>
          <w:rFonts w:hint="eastAsia" w:asciiTheme="minorEastAsia" w:hAnsiTheme="minorEastAsia" w:eastAsiaTheme="minorEastAsia"/>
          <w:color w:val="000000" w:themeColor="text1"/>
          <w:sz w:val="24"/>
          <w:lang w:val="en-US" w:eastAsia="zh-CN"/>
          <w14:textFill>
            <w14:solidFill>
              <w14:schemeClr w14:val="tx1"/>
            </w14:solidFill>
          </w14:textFill>
        </w:rPr>
      </w:pPr>
    </w:p>
    <w:p>
      <w:pPr>
        <w:pStyle w:val="10"/>
        <w:tabs>
          <w:tab w:val="left" w:pos="7560"/>
        </w:tabs>
        <w:spacing w:line="360" w:lineRule="auto"/>
        <w:ind w:left="0" w:leftChars="0" w:right="-51" w:firstLine="0" w:firstLineChars="0"/>
        <w:rPr>
          <w:rFonts w:hint="eastAsia" w:asciiTheme="minorEastAsia" w:hAnsiTheme="minorEastAsia" w:eastAsiaTheme="minorEastAsia"/>
          <w:b/>
          <w:bCs/>
          <w:color w:val="000000" w:themeColor="text1"/>
          <w:sz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lang w:val="en-US" w:eastAsia="zh-CN"/>
          <w14:textFill>
            <w14:solidFill>
              <w14:schemeClr w14:val="tx1"/>
            </w14:solidFill>
          </w14:textFill>
        </w:rPr>
        <w:t>十一、合同续期：</w:t>
      </w:r>
    </w:p>
    <w:p>
      <w:pPr>
        <w:pStyle w:val="10"/>
        <w:tabs>
          <w:tab w:val="left" w:pos="7560"/>
        </w:tabs>
        <w:spacing w:line="360" w:lineRule="auto"/>
        <w:ind w:right="-51" w:firstLine="240" w:firstLineChars="100"/>
        <w:rPr>
          <w:rFonts w:hint="default" w:cs="Times New Roman"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1.续期的条件：中标后签订的合同有效期届满前60日，招标人对中标单位提供的服务进行履约评价。若履约评价结果为优秀，且双方</w:t>
      </w:r>
      <w:r>
        <w:rPr>
          <w:rFonts w:hint="eastAsia" w:cs="Times New Roman" w:asciiTheme="minorEastAsia" w:hAnsiTheme="minorEastAsia" w:eastAsiaTheme="minorEastAsia"/>
          <w:color w:val="000000" w:themeColor="text1"/>
          <w:sz w:val="24"/>
          <w:lang w:val="en-US" w:eastAsia="zh-CN"/>
          <w14:textFill>
            <w14:solidFill>
              <w14:schemeClr w14:val="tx1"/>
            </w14:solidFill>
          </w14:textFill>
        </w:rPr>
        <w:t>协商一致，可对服务合同进行续期。</w:t>
      </w:r>
    </w:p>
    <w:p>
      <w:pPr>
        <w:pStyle w:val="10"/>
        <w:tabs>
          <w:tab w:val="left" w:pos="7560"/>
        </w:tabs>
        <w:spacing w:line="360" w:lineRule="auto"/>
        <w:ind w:right="-51" w:firstLine="240" w:firstLineChars="100"/>
        <w:rPr>
          <w:rFonts w:hint="default"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2.续期时长：续期总时长不超过不超过二十四个月，项目总计时长不超过三十六个月，续期合同实质性内容不得改变。</w:t>
      </w:r>
    </w:p>
    <w:p>
      <w:pPr>
        <w:pStyle w:val="2"/>
        <w:rPr>
          <w:rFonts w:hint="eastAsia" w:asciiTheme="minorEastAsia" w:hAnsiTheme="minorEastAsia" w:eastAsiaTheme="minorEastAsia"/>
          <w:color w:val="000000" w:themeColor="text1"/>
          <w:sz w:val="24"/>
          <w:lang w:val="en-US" w:eastAsia="zh-CN"/>
          <w14:textFill>
            <w14:solidFill>
              <w14:schemeClr w14:val="tx1"/>
            </w14:solidFill>
          </w14:textFill>
        </w:rPr>
      </w:pPr>
    </w:p>
    <w:p>
      <w:pPr>
        <w:pStyle w:val="3"/>
        <w:spacing w:before="156" w:after="156"/>
        <w:ind w:left="0" w:leftChars="0" w:firstLine="0" w:firstLineChars="0"/>
        <w:rPr>
          <w:rFonts w:ascii="宋体" w:hAnsi="宋体" w:cs="宋体"/>
          <w:b/>
          <w:bCs/>
        </w:rPr>
      </w:pPr>
      <w:r>
        <w:rPr>
          <w:rFonts w:hint="eastAsia" w:ascii="宋体" w:hAnsi="宋体" w:cs="宋体"/>
          <w:b/>
          <w:bCs/>
          <w:lang w:eastAsia="zh-CN"/>
        </w:rPr>
        <w:t>十二</w:t>
      </w:r>
      <w:r>
        <w:rPr>
          <w:rFonts w:hint="eastAsia" w:ascii="宋体" w:hAnsi="宋体" w:cs="宋体"/>
          <w:b/>
          <w:bCs/>
        </w:rPr>
        <w:t>、其他注意事项：</w:t>
      </w:r>
    </w:p>
    <w:p>
      <w:pPr>
        <w:pStyle w:val="3"/>
        <w:spacing w:before="156" w:after="156"/>
        <w:ind w:firstLine="480" w:firstLineChars="200"/>
        <w:rPr>
          <w:rFonts w:ascii="宋体" w:hAnsi="宋体" w:cs="宋体"/>
        </w:rPr>
      </w:pPr>
      <w:r>
        <w:rPr>
          <w:rFonts w:hint="eastAsia" w:ascii="宋体" w:hAnsi="宋体" w:cs="宋体"/>
        </w:rPr>
        <w:t>1、已经报名的报价人，如不递交报价文件，应在递交报价文件截止日期前2 日向需求方作出书面说明，否则，需求方有权拒绝该报价人以后参加需求方其它任何项目的报价或投标。</w:t>
      </w:r>
    </w:p>
    <w:p>
      <w:pPr>
        <w:pStyle w:val="10"/>
        <w:tabs>
          <w:tab w:val="left" w:pos="7560"/>
        </w:tabs>
        <w:spacing w:line="360" w:lineRule="auto"/>
        <w:ind w:firstLine="480"/>
        <w:rPr>
          <w:rFonts w:ascii="宋体" w:hAnsi="宋体" w:eastAsia="宋体" w:cs="宋体"/>
          <w:sz w:val="24"/>
        </w:rPr>
      </w:pPr>
      <w:r>
        <w:rPr>
          <w:rFonts w:hint="eastAsia" w:ascii="宋体" w:hAnsi="宋体" w:eastAsia="宋体" w:cs="宋体"/>
          <w:sz w:val="24"/>
        </w:rPr>
        <w:t>2、凡两家或以上公司同一法人代表或其中一家公司为另一家公司单一最大股东的，不能同时参与同一项目的报价，一经发现，将视同串标处理。</w:t>
      </w:r>
    </w:p>
    <w:p>
      <w:pPr>
        <w:pStyle w:val="10"/>
        <w:tabs>
          <w:tab w:val="left" w:pos="7560"/>
        </w:tabs>
        <w:spacing w:line="360" w:lineRule="auto"/>
        <w:ind w:firstLine="480"/>
        <w:rPr>
          <w:rFonts w:ascii="宋体" w:hAnsi="宋体" w:eastAsia="宋体" w:cs="宋体"/>
          <w:sz w:val="24"/>
        </w:rPr>
      </w:pPr>
      <w:r>
        <w:rPr>
          <w:rFonts w:hint="eastAsia" w:ascii="宋体" w:hAnsi="宋体" w:eastAsia="宋体" w:cs="宋体"/>
          <w:sz w:val="24"/>
        </w:rPr>
        <w:t>3、需求方不承担报价人准备报价文件和递交报价文件以及参加本次报价活动所发生的任何成本或费用。</w:t>
      </w:r>
    </w:p>
    <w:p>
      <w:pPr>
        <w:pStyle w:val="10"/>
        <w:tabs>
          <w:tab w:val="left" w:pos="7560"/>
        </w:tabs>
        <w:spacing w:line="360" w:lineRule="auto"/>
        <w:ind w:firstLine="480"/>
        <w:rPr>
          <w:rFonts w:hint="eastAsia" w:ascii="宋体" w:hAnsi="宋体" w:eastAsia="宋体" w:cs="宋体"/>
          <w:sz w:val="24"/>
        </w:rPr>
      </w:pPr>
      <w:r>
        <w:rPr>
          <w:rFonts w:hint="eastAsia" w:ascii="宋体" w:hAnsi="宋体" w:eastAsia="宋体" w:cs="宋体"/>
          <w:sz w:val="24"/>
        </w:rPr>
        <w:t>4、需求方在签订合同之前任何时候均有权接受或拒绝报价、宣布竞价程序无效或拒绝所有报价。对受影响的报价人不承担任何责任，也无义务向受影响的报价人作出解释。</w:t>
      </w:r>
    </w:p>
    <w:p>
      <w:pPr>
        <w:pStyle w:val="10"/>
        <w:tabs>
          <w:tab w:val="left" w:pos="7560"/>
        </w:tabs>
        <w:spacing w:line="360" w:lineRule="auto"/>
        <w:ind w:firstLine="480"/>
        <w:rPr>
          <w:rFonts w:hint="eastAsia" w:ascii="宋体" w:hAnsi="宋体" w:eastAsia="宋体" w:cs="宋体"/>
          <w:sz w:val="24"/>
        </w:rPr>
      </w:pPr>
    </w:p>
    <w:p>
      <w:pPr>
        <w:pStyle w:val="10"/>
        <w:tabs>
          <w:tab w:val="left" w:pos="7560"/>
        </w:tabs>
        <w:spacing w:line="360" w:lineRule="auto"/>
        <w:ind w:firstLine="480"/>
        <w:rPr>
          <w:rFonts w:hint="eastAsia" w:ascii="宋体" w:hAnsi="宋体" w:eastAsia="宋体" w:cs="宋体"/>
          <w:sz w:val="24"/>
        </w:rPr>
      </w:pPr>
    </w:p>
    <w:p>
      <w:pPr>
        <w:tabs>
          <w:tab w:val="left" w:pos="0"/>
        </w:tabs>
        <w:spacing w:line="360" w:lineRule="auto"/>
        <w:ind w:right="-51" w:firstLine="4560" w:firstLineChars="1900"/>
        <w:jc w:val="both"/>
        <w:rPr>
          <w:rFonts w:ascii="宋体" w:hAnsi="宋体" w:eastAsia="宋体" w:cs="宋体"/>
          <w:sz w:val="24"/>
        </w:rPr>
      </w:pPr>
      <w:r>
        <w:rPr>
          <w:rFonts w:hint="eastAsia" w:ascii="宋体" w:hAnsi="宋体" w:eastAsia="宋体" w:cs="宋体"/>
          <w:sz w:val="24"/>
        </w:rPr>
        <w:t xml:space="preserve"> 东莞市深粮粮油食品工贸有限公司    </w:t>
      </w:r>
    </w:p>
    <w:p>
      <w:pPr>
        <w:jc w:val="center"/>
        <w:rPr>
          <w:rFonts w:ascii="宋体" w:hAnsi="宋体" w:eastAsia="宋体" w:cs="宋体"/>
          <w:sz w:val="24"/>
        </w:rPr>
      </w:pPr>
      <w:r>
        <w:rPr>
          <w:rFonts w:hint="eastAsia" w:ascii="宋体" w:hAnsi="宋体" w:eastAsia="宋体" w:cs="宋体"/>
          <w:sz w:val="24"/>
          <w:lang w:val="en-US" w:eastAsia="zh-CN"/>
        </w:rPr>
        <w:t xml:space="preserve">                         </w:t>
      </w: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5</w:t>
      </w:r>
      <w:r>
        <w:rPr>
          <w:rFonts w:hint="eastAsia" w:ascii="宋体" w:hAnsi="宋体" w:eastAsia="宋体" w:cs="宋体"/>
          <w:sz w:val="24"/>
        </w:rPr>
        <w:t>月</w:t>
      </w:r>
      <w:r>
        <w:rPr>
          <w:rFonts w:hint="eastAsia" w:ascii="宋体" w:hAnsi="宋体" w:eastAsia="宋体" w:cs="宋体"/>
          <w:sz w:val="24"/>
          <w:lang w:val="en-US" w:eastAsia="zh-CN"/>
        </w:rPr>
        <w:t>8</w:t>
      </w:r>
      <w:r>
        <w:rPr>
          <w:rFonts w:hint="eastAsia" w:ascii="宋体" w:hAnsi="宋体" w:eastAsia="宋体" w:cs="宋体"/>
          <w:sz w:val="24"/>
        </w:rPr>
        <w:t xml:space="preserve">日  </w:t>
      </w:r>
    </w:p>
    <w:p>
      <w:pPr>
        <w:pStyle w:val="2"/>
        <w:rPr>
          <w:rFonts w:ascii="宋体" w:hAnsi="宋体" w:eastAsia="宋体" w:cs="宋体"/>
          <w:sz w:val="24"/>
        </w:rPr>
      </w:pPr>
    </w:p>
    <w:p>
      <w:pPr>
        <w:jc w:val="center"/>
      </w:pPr>
    </w:p>
    <w:p>
      <w:pPr>
        <w:bidi w:val="0"/>
        <w:rPr>
          <w:rFonts w:ascii="仿宋_GB2312" w:hAnsi="Times New Roman" w:eastAsia="仿宋_GB2312" w:cs="Times New Roman"/>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jc w:val="right"/>
        <w:rPr>
          <w:lang w:val="en-US" w:eastAsia="zh-CN"/>
        </w:rPr>
      </w:pPr>
    </w:p>
    <w:p>
      <w:pPr>
        <w:shd w:val="clear" w:color="auto" w:fill="FFFFFF"/>
        <w:spacing w:line="495" w:lineRule="atLeast"/>
        <w:outlineLvl w:val="2"/>
        <w:rPr>
          <w:rFonts w:hint="eastAsia" w:ascii="PingFangSC" w:hAnsi="PingFangSC" w:eastAsia="宋体" w:cs="宋体"/>
          <w:color w:val="222222"/>
          <w:kern w:val="0"/>
          <w:sz w:val="28"/>
          <w:szCs w:val="28"/>
        </w:rPr>
      </w:pPr>
      <w:r>
        <w:rPr>
          <w:rFonts w:hint="eastAsia" w:ascii="PingFangSC" w:hAnsi="PingFangSC" w:eastAsia="宋体" w:cs="宋体"/>
          <w:color w:val="222222"/>
          <w:kern w:val="0"/>
          <w:sz w:val="28"/>
          <w:szCs w:val="28"/>
        </w:rPr>
        <w:t>附件1</w:t>
      </w:r>
    </w:p>
    <w:p>
      <w:pPr>
        <w:shd w:val="clear" w:color="auto" w:fill="FFFFFF"/>
        <w:spacing w:line="495" w:lineRule="atLeast"/>
        <w:jc w:val="center"/>
        <w:outlineLvl w:val="2"/>
        <w:rPr>
          <w:rFonts w:cs="宋体" w:asciiTheme="minorEastAsia" w:hAnsiTheme="minorEastAsia" w:eastAsiaTheme="minorEastAsia"/>
          <w:color w:val="222222"/>
          <w:kern w:val="0"/>
          <w:sz w:val="36"/>
          <w:szCs w:val="36"/>
        </w:rPr>
      </w:pPr>
      <w:r>
        <w:rPr>
          <w:rFonts w:hint="eastAsia" w:cs="宋体" w:asciiTheme="minorEastAsia" w:hAnsiTheme="minorEastAsia" w:eastAsiaTheme="minorEastAsia"/>
          <w:color w:val="222222"/>
          <w:kern w:val="0"/>
          <w:sz w:val="36"/>
          <w:szCs w:val="36"/>
        </w:rPr>
        <w:t>参加（</w:t>
      </w:r>
      <w:r>
        <w:rPr>
          <w:rFonts w:hint="eastAsia" w:cs="宋体" w:asciiTheme="minorEastAsia" w:hAnsiTheme="minorEastAsia"/>
          <w:color w:val="222222"/>
          <w:kern w:val="0"/>
          <w:sz w:val="36"/>
          <w:szCs w:val="36"/>
        </w:rPr>
        <w:t>报价</w:t>
      </w:r>
      <w:r>
        <w:rPr>
          <w:rFonts w:hint="eastAsia" w:cs="宋体" w:asciiTheme="minorEastAsia" w:hAnsiTheme="minorEastAsia" w:eastAsiaTheme="minorEastAsia"/>
          <w:color w:val="222222"/>
          <w:kern w:val="0"/>
          <w:sz w:val="36"/>
          <w:szCs w:val="36"/>
        </w:rPr>
        <w:t>响应）</w:t>
      </w:r>
      <w:r>
        <w:rPr>
          <w:rFonts w:cs="宋体" w:asciiTheme="minorEastAsia" w:hAnsiTheme="minorEastAsia" w:eastAsiaTheme="minorEastAsia"/>
          <w:color w:val="222222"/>
          <w:kern w:val="0"/>
          <w:sz w:val="36"/>
          <w:szCs w:val="36"/>
        </w:rPr>
        <w:t>授权报名表</w:t>
      </w:r>
    </w:p>
    <w:p/>
    <w:p>
      <w:pPr>
        <w:ind w:firstLine="1120" w:firstLineChars="400"/>
        <w:rPr>
          <w:sz w:val="28"/>
          <w:szCs w:val="28"/>
        </w:rPr>
      </w:pPr>
      <w:r>
        <w:rPr>
          <w:rFonts w:hint="eastAsia"/>
          <w:sz w:val="28"/>
          <w:szCs w:val="28"/>
        </w:rPr>
        <w:t>本人</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）系</w:t>
      </w:r>
      <w:r>
        <w:rPr>
          <w:rFonts w:hint="eastAsia"/>
          <w:sz w:val="28"/>
          <w:szCs w:val="28"/>
          <w:u w:val="single"/>
        </w:rPr>
        <w:t xml:space="preserve"> </w:t>
      </w:r>
      <w:r>
        <w:rPr>
          <w:sz w:val="28"/>
          <w:szCs w:val="28"/>
          <w:u w:val="single"/>
        </w:rPr>
        <w:t xml:space="preserve">                   </w:t>
      </w:r>
      <w:r>
        <w:rPr>
          <w:rFonts w:hint="eastAsia"/>
          <w:sz w:val="28"/>
          <w:szCs w:val="28"/>
          <w:u w:val="single"/>
        </w:rPr>
        <w:t>公司</w:t>
      </w:r>
      <w:r>
        <w:rPr>
          <w:rFonts w:hint="eastAsia"/>
          <w:sz w:val="28"/>
          <w:szCs w:val="28"/>
        </w:rPr>
        <w:t>的法定代表人，现委托</w:t>
      </w:r>
      <w:r>
        <w:rPr>
          <w:rFonts w:hint="eastAsia"/>
          <w:sz w:val="28"/>
          <w:szCs w:val="28"/>
          <w:u w:val="single"/>
        </w:rPr>
        <w:t xml:space="preserve"> </w:t>
      </w:r>
      <w:r>
        <w:rPr>
          <w:sz w:val="28"/>
          <w:szCs w:val="28"/>
          <w:u w:val="single"/>
        </w:rPr>
        <w:t xml:space="preserve">        </w:t>
      </w:r>
      <w:r>
        <w:rPr>
          <w:rFonts w:hint="eastAsia"/>
          <w:sz w:val="28"/>
          <w:szCs w:val="28"/>
        </w:rPr>
        <w:t>（身份证号</w:t>
      </w:r>
      <w:r>
        <w:rPr>
          <w:rFonts w:hint="eastAsia"/>
          <w:sz w:val="28"/>
          <w:szCs w:val="28"/>
          <w:u w:val="single"/>
        </w:rPr>
        <w:t xml:space="preserve"> </w:t>
      </w:r>
      <w:r>
        <w:rPr>
          <w:sz w:val="28"/>
          <w:szCs w:val="28"/>
          <w:u w:val="single"/>
        </w:rPr>
        <w:t xml:space="preserve">                         </w:t>
      </w:r>
      <w:r>
        <w:rPr>
          <w:rFonts w:hint="eastAsia"/>
          <w:sz w:val="28"/>
          <w:szCs w:val="28"/>
        </w:rPr>
        <w:t>）为我方代理人。代理人根据授权，以我方名义参加</w:t>
      </w:r>
      <w:r>
        <w:rPr>
          <w:sz w:val="28"/>
          <w:szCs w:val="28"/>
          <w:u w:val="single"/>
        </w:rPr>
        <w:t xml:space="preserve">                                       </w:t>
      </w:r>
      <w:r>
        <w:rPr>
          <w:rFonts w:hint="eastAsia"/>
          <w:sz w:val="28"/>
          <w:szCs w:val="28"/>
        </w:rPr>
        <w:t>开展采购活动中的响应文件的签署、澄清、说明、补正、递交、撤回、修改处理有关事宜，其法律后果由我方承担。我公司针对贵公司采购编号为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rPr>
        <w:t>的采购公告，郑重声明：我公司提供（工程、货物或服务）质量标准符合采购公告要求，完全能满足采购方要求，如若无法满足采购方要求，我公司将对此负全部责任。</w:t>
      </w:r>
    </w:p>
    <w:p>
      <w:pPr>
        <w:rPr>
          <w:sz w:val="28"/>
          <w:szCs w:val="28"/>
        </w:rPr>
      </w:pPr>
    </w:p>
    <w:p>
      <w:pPr>
        <w:jc w:val="center"/>
        <w:rPr>
          <w:sz w:val="28"/>
          <w:szCs w:val="28"/>
        </w:rPr>
      </w:pPr>
    </w:p>
    <w:p>
      <w:pPr>
        <w:jc w:val="center"/>
        <w:rPr>
          <w:sz w:val="28"/>
          <w:szCs w:val="28"/>
        </w:rPr>
      </w:pPr>
      <w:r>
        <w:rPr>
          <w:rFonts w:hint="eastAsia"/>
          <w:sz w:val="28"/>
          <w:szCs w:val="28"/>
        </w:rPr>
        <w:t>供应商全称（加盖公章）：</w:t>
      </w:r>
    </w:p>
    <w:p>
      <w:pPr>
        <w:ind w:firstLine="2520" w:firstLineChars="900"/>
        <w:jc w:val="both"/>
        <w:rPr>
          <w:sz w:val="28"/>
          <w:szCs w:val="28"/>
        </w:rPr>
      </w:pPr>
      <w:bookmarkStart w:id="0" w:name="_GoBack"/>
      <w:bookmarkEnd w:id="0"/>
      <w:r>
        <w:rPr>
          <w:rFonts w:hint="eastAsia"/>
          <w:sz w:val="28"/>
          <w:szCs w:val="28"/>
        </w:rPr>
        <w:t>法定代表人签字：</w:t>
      </w:r>
    </w:p>
    <w:p>
      <w:pPr>
        <w:rPr>
          <w:rFonts w:hint="eastAsia" w:ascii="PingFangSC" w:hAnsi="PingFangSC" w:eastAsia="宋体" w:cs="宋体"/>
          <w:color w:val="222222"/>
          <w:kern w:val="0"/>
          <w:sz w:val="28"/>
          <w:szCs w:val="28"/>
        </w:rPr>
        <w:sectPr>
          <w:pgSz w:w="11906" w:h="16838"/>
          <w:pgMar w:top="1440" w:right="1800" w:bottom="1440" w:left="1800" w:header="851" w:footer="992" w:gutter="0"/>
          <w:cols w:space="425" w:num="1"/>
          <w:docGrid w:type="lines" w:linePitch="312" w:charSpace="0"/>
        </w:sectPr>
      </w:pPr>
    </w:p>
    <w:p>
      <w:pP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28"/>
          <w:szCs w:val="28"/>
        </w:rPr>
        <w:t>附件</w:t>
      </w:r>
      <w:r>
        <w:rPr>
          <w:rFonts w:ascii="方正小标宋_GBK" w:hAnsi="方正小标宋_GBK" w:eastAsia="方正小标宋_GBK" w:cs="方正小标宋_GBK"/>
          <w:sz w:val="28"/>
          <w:szCs w:val="28"/>
        </w:rPr>
        <w:t>2</w:t>
      </w:r>
      <w:r>
        <w:rPr>
          <w:rFonts w:hint="eastAsia" w:ascii="方正小标宋_GBK" w:hAnsi="方正小标宋_GBK" w:eastAsia="方正小标宋_GBK" w:cs="方正小标宋_GBK"/>
          <w:sz w:val="28"/>
          <w:szCs w:val="28"/>
        </w:rPr>
        <w:t>：</w:t>
      </w:r>
    </w:p>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项目名称</w:t>
            </w:r>
          </w:p>
        </w:tc>
        <w:tc>
          <w:tcPr>
            <w:tcW w:w="6859" w:type="dxa"/>
            <w:gridSpan w:val="9"/>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投标（响应）供应商</w:t>
            </w:r>
          </w:p>
        </w:tc>
        <w:tc>
          <w:tcPr>
            <w:tcW w:w="2328" w:type="dxa"/>
            <w:gridSpan w:val="3"/>
            <w:vAlign w:val="center"/>
          </w:tcPr>
          <w:p>
            <w:pPr>
              <w:widowControl w:val="0"/>
              <w:spacing w:line="420" w:lineRule="exact"/>
              <w:jc w:val="center"/>
              <w:rPr>
                <w:rFonts w:hAnsi="仿宋_GB2312" w:cs="仿宋_GB2312"/>
                <w:sz w:val="28"/>
                <w:szCs w:val="28"/>
              </w:rPr>
            </w:pPr>
          </w:p>
        </w:tc>
        <w:tc>
          <w:tcPr>
            <w:tcW w:w="1980"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供应商统一社会信用代码</w:t>
            </w:r>
          </w:p>
        </w:tc>
        <w:tc>
          <w:tcPr>
            <w:tcW w:w="2551" w:type="dxa"/>
            <w:gridSpan w:val="2"/>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2268"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职务</w:t>
            </w:r>
          </w:p>
        </w:tc>
        <w:tc>
          <w:tcPr>
            <w:tcW w:w="1008"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姓名</w:t>
            </w:r>
          </w:p>
        </w:tc>
        <w:tc>
          <w:tcPr>
            <w:tcW w:w="1632"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身份证号码</w:t>
            </w:r>
          </w:p>
        </w:tc>
        <w:tc>
          <w:tcPr>
            <w:tcW w:w="1464"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劳动合同关系单位</w:t>
            </w:r>
          </w:p>
        </w:tc>
        <w:tc>
          <w:tcPr>
            <w:tcW w:w="1351"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2268" w:type="dxa"/>
            <w:gridSpan w:val="4"/>
            <w:vAlign w:val="center"/>
          </w:tcPr>
          <w:p>
            <w:pPr>
              <w:widowControl w:val="0"/>
              <w:spacing w:line="420" w:lineRule="exact"/>
              <w:jc w:val="center"/>
              <w:rPr>
                <w:rFonts w:hAnsi="仿宋_GB2312" w:cs="仿宋_GB2312"/>
                <w:szCs w:val="21"/>
              </w:rPr>
            </w:pPr>
            <w:r>
              <w:rPr>
                <w:rFonts w:hint="eastAsia" w:hAnsi="仿宋_GB2312" w:cs="仿宋_GB2312"/>
                <w:szCs w:val="21"/>
              </w:rPr>
              <w:t>法定代表人/单位负责人/主要经营负责人</w:t>
            </w:r>
          </w:p>
        </w:tc>
        <w:tc>
          <w:tcPr>
            <w:tcW w:w="1008" w:type="dxa"/>
            <w:gridSpan w:val="2"/>
            <w:vAlign w:val="center"/>
          </w:tcPr>
          <w:p>
            <w:pPr>
              <w:widowControl w:val="0"/>
              <w:spacing w:line="420" w:lineRule="exact"/>
              <w:jc w:val="center"/>
              <w:rPr>
                <w:rFonts w:hAnsi="仿宋_GB2312" w:cs="仿宋_GB2312"/>
                <w:sz w:val="28"/>
                <w:szCs w:val="28"/>
              </w:rPr>
            </w:pPr>
          </w:p>
        </w:tc>
        <w:tc>
          <w:tcPr>
            <w:tcW w:w="1632" w:type="dxa"/>
            <w:gridSpan w:val="2"/>
            <w:vAlign w:val="center"/>
          </w:tcPr>
          <w:p>
            <w:pPr>
              <w:widowControl w:val="0"/>
              <w:spacing w:line="420" w:lineRule="exact"/>
              <w:jc w:val="center"/>
              <w:rPr>
                <w:rFonts w:hAnsi="仿宋_GB2312" w:cs="仿宋_GB2312"/>
                <w:sz w:val="28"/>
                <w:szCs w:val="28"/>
              </w:rPr>
            </w:pPr>
          </w:p>
        </w:tc>
        <w:tc>
          <w:tcPr>
            <w:tcW w:w="1464" w:type="dxa"/>
            <w:gridSpan w:val="2"/>
            <w:vAlign w:val="center"/>
          </w:tcPr>
          <w:p>
            <w:pPr>
              <w:widowControl w:val="0"/>
              <w:spacing w:line="420" w:lineRule="exact"/>
              <w:jc w:val="center"/>
              <w:rPr>
                <w:rFonts w:hAnsi="仿宋_GB2312" w:cs="仿宋_GB2312"/>
                <w:sz w:val="28"/>
                <w:szCs w:val="28"/>
              </w:rPr>
            </w:pPr>
          </w:p>
        </w:tc>
        <w:tc>
          <w:tcPr>
            <w:tcW w:w="1351" w:type="dxa"/>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2268" w:type="dxa"/>
            <w:gridSpan w:val="4"/>
            <w:vAlign w:val="center"/>
          </w:tcPr>
          <w:p>
            <w:pPr>
              <w:widowControl w:val="0"/>
              <w:spacing w:line="420" w:lineRule="exact"/>
              <w:jc w:val="center"/>
              <w:rPr>
                <w:rFonts w:hAnsi="仿宋_GB2312" w:cs="仿宋_GB2312"/>
                <w:szCs w:val="21"/>
              </w:rPr>
            </w:pPr>
            <w:r>
              <w:rPr>
                <w:rFonts w:hint="eastAsia" w:hAnsi="仿宋_GB2312" w:cs="仿宋_GB2312"/>
                <w:szCs w:val="21"/>
              </w:rPr>
              <w:t>项目投标授权代表人</w:t>
            </w:r>
          </w:p>
        </w:tc>
        <w:tc>
          <w:tcPr>
            <w:tcW w:w="1008" w:type="dxa"/>
            <w:gridSpan w:val="2"/>
            <w:vAlign w:val="center"/>
          </w:tcPr>
          <w:p>
            <w:pPr>
              <w:widowControl w:val="0"/>
              <w:spacing w:line="420" w:lineRule="exact"/>
              <w:jc w:val="center"/>
              <w:rPr>
                <w:rFonts w:hAnsi="仿宋_GB2312" w:cs="仿宋_GB2312"/>
                <w:sz w:val="28"/>
                <w:szCs w:val="28"/>
              </w:rPr>
            </w:pPr>
          </w:p>
        </w:tc>
        <w:tc>
          <w:tcPr>
            <w:tcW w:w="1632" w:type="dxa"/>
            <w:gridSpan w:val="2"/>
            <w:vAlign w:val="center"/>
          </w:tcPr>
          <w:p>
            <w:pPr>
              <w:widowControl w:val="0"/>
              <w:spacing w:line="420" w:lineRule="exact"/>
              <w:jc w:val="center"/>
              <w:rPr>
                <w:rFonts w:hAnsi="仿宋_GB2312" w:cs="仿宋_GB2312"/>
                <w:sz w:val="28"/>
                <w:szCs w:val="28"/>
              </w:rPr>
            </w:pPr>
          </w:p>
        </w:tc>
        <w:tc>
          <w:tcPr>
            <w:tcW w:w="1464" w:type="dxa"/>
            <w:gridSpan w:val="2"/>
            <w:vAlign w:val="center"/>
          </w:tcPr>
          <w:p>
            <w:pPr>
              <w:widowControl w:val="0"/>
              <w:spacing w:line="420" w:lineRule="exact"/>
              <w:jc w:val="center"/>
              <w:rPr>
                <w:rFonts w:hAnsi="仿宋_GB2312" w:cs="仿宋_GB2312"/>
                <w:sz w:val="28"/>
                <w:szCs w:val="28"/>
              </w:rPr>
            </w:pPr>
          </w:p>
        </w:tc>
        <w:tc>
          <w:tcPr>
            <w:tcW w:w="1351" w:type="dxa"/>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3</w:t>
            </w:r>
          </w:p>
        </w:tc>
        <w:tc>
          <w:tcPr>
            <w:tcW w:w="2268" w:type="dxa"/>
            <w:gridSpan w:val="4"/>
            <w:vAlign w:val="center"/>
          </w:tcPr>
          <w:p>
            <w:pPr>
              <w:widowControl w:val="0"/>
              <w:spacing w:line="420" w:lineRule="exact"/>
              <w:jc w:val="center"/>
              <w:rPr>
                <w:rFonts w:hAnsi="仿宋_GB2312" w:cs="仿宋_GB2312"/>
                <w:szCs w:val="21"/>
              </w:rPr>
            </w:pPr>
            <w:r>
              <w:rPr>
                <w:rFonts w:hint="eastAsia" w:hAnsi="仿宋_GB2312" w:cs="仿宋_GB2312"/>
                <w:szCs w:val="21"/>
              </w:rPr>
              <w:t>项目负责人</w:t>
            </w:r>
          </w:p>
        </w:tc>
        <w:tc>
          <w:tcPr>
            <w:tcW w:w="1008" w:type="dxa"/>
            <w:gridSpan w:val="2"/>
            <w:vAlign w:val="center"/>
          </w:tcPr>
          <w:p>
            <w:pPr>
              <w:widowControl w:val="0"/>
              <w:spacing w:line="420" w:lineRule="exact"/>
              <w:jc w:val="center"/>
              <w:rPr>
                <w:rFonts w:hAnsi="仿宋_GB2312" w:cs="仿宋_GB2312"/>
                <w:sz w:val="28"/>
                <w:szCs w:val="28"/>
              </w:rPr>
            </w:pPr>
          </w:p>
        </w:tc>
        <w:tc>
          <w:tcPr>
            <w:tcW w:w="1632" w:type="dxa"/>
            <w:gridSpan w:val="2"/>
            <w:vAlign w:val="center"/>
          </w:tcPr>
          <w:p>
            <w:pPr>
              <w:widowControl w:val="0"/>
              <w:spacing w:line="420" w:lineRule="exact"/>
              <w:jc w:val="center"/>
              <w:rPr>
                <w:rFonts w:hAnsi="仿宋_GB2312" w:cs="仿宋_GB2312"/>
                <w:sz w:val="28"/>
                <w:szCs w:val="28"/>
              </w:rPr>
            </w:pPr>
          </w:p>
        </w:tc>
        <w:tc>
          <w:tcPr>
            <w:tcW w:w="1464" w:type="dxa"/>
            <w:gridSpan w:val="2"/>
            <w:vAlign w:val="center"/>
          </w:tcPr>
          <w:p>
            <w:pPr>
              <w:widowControl w:val="0"/>
              <w:spacing w:line="420" w:lineRule="exact"/>
              <w:jc w:val="center"/>
              <w:rPr>
                <w:rFonts w:hAnsi="仿宋_GB2312" w:cs="仿宋_GB2312"/>
                <w:sz w:val="28"/>
                <w:szCs w:val="28"/>
              </w:rPr>
            </w:pPr>
          </w:p>
        </w:tc>
        <w:tc>
          <w:tcPr>
            <w:tcW w:w="1351" w:type="dxa"/>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4</w:t>
            </w:r>
          </w:p>
        </w:tc>
        <w:tc>
          <w:tcPr>
            <w:tcW w:w="2268" w:type="dxa"/>
            <w:gridSpan w:val="4"/>
            <w:vAlign w:val="center"/>
          </w:tcPr>
          <w:p>
            <w:pPr>
              <w:widowControl w:val="0"/>
              <w:spacing w:line="420" w:lineRule="exact"/>
              <w:jc w:val="center"/>
              <w:rPr>
                <w:rFonts w:hAnsi="仿宋_GB2312" w:cs="仿宋_GB2312"/>
                <w:szCs w:val="21"/>
              </w:rPr>
            </w:pPr>
            <w:r>
              <w:rPr>
                <w:rFonts w:hint="eastAsia" w:hAnsi="仿宋_GB2312" w:cs="仿宋_GB2312"/>
                <w:szCs w:val="21"/>
              </w:rPr>
              <w:t>主要技术人员</w:t>
            </w:r>
          </w:p>
        </w:tc>
        <w:tc>
          <w:tcPr>
            <w:tcW w:w="1008" w:type="dxa"/>
            <w:gridSpan w:val="2"/>
            <w:vAlign w:val="center"/>
          </w:tcPr>
          <w:p>
            <w:pPr>
              <w:widowControl w:val="0"/>
              <w:spacing w:line="420" w:lineRule="exact"/>
              <w:jc w:val="center"/>
              <w:rPr>
                <w:rFonts w:hAnsi="仿宋_GB2312" w:cs="仿宋_GB2312"/>
                <w:sz w:val="28"/>
                <w:szCs w:val="28"/>
              </w:rPr>
            </w:pPr>
          </w:p>
        </w:tc>
        <w:tc>
          <w:tcPr>
            <w:tcW w:w="1632" w:type="dxa"/>
            <w:gridSpan w:val="2"/>
            <w:vAlign w:val="center"/>
          </w:tcPr>
          <w:p>
            <w:pPr>
              <w:widowControl w:val="0"/>
              <w:spacing w:line="420" w:lineRule="exact"/>
              <w:jc w:val="center"/>
              <w:rPr>
                <w:rFonts w:hAnsi="仿宋_GB2312" w:cs="仿宋_GB2312"/>
                <w:sz w:val="28"/>
                <w:szCs w:val="28"/>
              </w:rPr>
            </w:pPr>
          </w:p>
        </w:tc>
        <w:tc>
          <w:tcPr>
            <w:tcW w:w="1464" w:type="dxa"/>
            <w:gridSpan w:val="2"/>
            <w:vAlign w:val="center"/>
          </w:tcPr>
          <w:p>
            <w:pPr>
              <w:widowControl w:val="0"/>
              <w:spacing w:line="420" w:lineRule="exact"/>
              <w:jc w:val="center"/>
              <w:rPr>
                <w:rFonts w:hAnsi="仿宋_GB2312" w:cs="仿宋_GB2312"/>
                <w:sz w:val="28"/>
                <w:szCs w:val="28"/>
              </w:rPr>
            </w:pPr>
          </w:p>
        </w:tc>
        <w:tc>
          <w:tcPr>
            <w:tcW w:w="1351" w:type="dxa"/>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5</w:t>
            </w:r>
          </w:p>
        </w:tc>
        <w:tc>
          <w:tcPr>
            <w:tcW w:w="2268" w:type="dxa"/>
            <w:gridSpan w:val="4"/>
            <w:vAlign w:val="center"/>
          </w:tcPr>
          <w:p>
            <w:pPr>
              <w:widowControl w:val="0"/>
              <w:spacing w:line="420" w:lineRule="exact"/>
              <w:jc w:val="center"/>
              <w:rPr>
                <w:rFonts w:hAnsi="仿宋_GB2312" w:cs="仿宋_GB2312"/>
                <w:szCs w:val="21"/>
              </w:rPr>
            </w:pPr>
            <w:r>
              <w:rPr>
                <w:rFonts w:hint="eastAsia" w:hAnsi="仿宋_GB2312" w:cs="仿宋_GB2312"/>
                <w:szCs w:val="21"/>
              </w:rPr>
              <w:t>投标文件编制人员</w:t>
            </w:r>
          </w:p>
        </w:tc>
        <w:tc>
          <w:tcPr>
            <w:tcW w:w="1008" w:type="dxa"/>
            <w:gridSpan w:val="2"/>
            <w:vAlign w:val="center"/>
          </w:tcPr>
          <w:p>
            <w:pPr>
              <w:widowControl w:val="0"/>
              <w:spacing w:line="420" w:lineRule="exact"/>
              <w:jc w:val="center"/>
              <w:rPr>
                <w:rFonts w:hAnsi="仿宋_GB2312" w:cs="仿宋_GB2312"/>
                <w:sz w:val="28"/>
                <w:szCs w:val="28"/>
              </w:rPr>
            </w:pPr>
          </w:p>
        </w:tc>
        <w:tc>
          <w:tcPr>
            <w:tcW w:w="1632" w:type="dxa"/>
            <w:gridSpan w:val="2"/>
            <w:vAlign w:val="center"/>
          </w:tcPr>
          <w:p>
            <w:pPr>
              <w:widowControl w:val="0"/>
              <w:spacing w:line="420" w:lineRule="exact"/>
              <w:jc w:val="center"/>
              <w:rPr>
                <w:rFonts w:hAnsi="仿宋_GB2312" w:cs="仿宋_GB2312"/>
                <w:sz w:val="28"/>
                <w:szCs w:val="28"/>
              </w:rPr>
            </w:pPr>
          </w:p>
        </w:tc>
        <w:tc>
          <w:tcPr>
            <w:tcW w:w="1464" w:type="dxa"/>
            <w:gridSpan w:val="2"/>
            <w:vAlign w:val="center"/>
          </w:tcPr>
          <w:p>
            <w:pPr>
              <w:widowControl w:val="0"/>
              <w:spacing w:line="420" w:lineRule="exact"/>
              <w:jc w:val="center"/>
              <w:rPr>
                <w:rFonts w:hAnsi="仿宋_GB2312" w:cs="仿宋_GB2312"/>
                <w:sz w:val="28"/>
                <w:szCs w:val="28"/>
              </w:rPr>
            </w:pPr>
          </w:p>
        </w:tc>
        <w:tc>
          <w:tcPr>
            <w:tcW w:w="1351" w:type="dxa"/>
            <w:vAlign w:val="center"/>
          </w:tcPr>
          <w:p>
            <w:pPr>
              <w:widowControl w:val="0"/>
              <w:spacing w:line="420" w:lineRule="exact"/>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widowControl w:val="0"/>
              <w:spacing w:line="420" w:lineRule="exact"/>
              <w:rPr>
                <w:rFonts w:hAnsi="仿宋_GB2312" w:cs="仿宋_GB2312"/>
                <w:sz w:val="28"/>
                <w:szCs w:val="28"/>
              </w:rPr>
            </w:pPr>
            <w:r>
              <w:rPr>
                <w:rFonts w:hint="eastAsia" w:hAnsi="仿宋_GB2312" w:cs="仿宋_GB2312"/>
                <w:b/>
                <w:bCs/>
                <w:sz w:val="28"/>
                <w:szCs w:val="28"/>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widowControl w:val="0"/>
              <w:spacing w:line="420" w:lineRule="exact"/>
              <w:jc w:val="center"/>
              <w:rPr>
                <w:rFonts w:hAnsi="仿宋_GB2312" w:cs="仿宋_GB2312"/>
                <w:sz w:val="28"/>
                <w:szCs w:val="28"/>
              </w:rPr>
            </w:pPr>
            <w:r>
              <w:rPr>
                <w:rFonts w:hint="eastAsia" w:hAnsi="仿宋_GB2312" w:cs="仿宋_GB2312"/>
                <w:b/>
                <w:bCs/>
                <w:sz w:val="28"/>
                <w:szCs w:val="28"/>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序号</w:t>
            </w:r>
          </w:p>
        </w:tc>
        <w:tc>
          <w:tcPr>
            <w:tcW w:w="1897"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关联关系类型</w:t>
            </w:r>
          </w:p>
        </w:tc>
        <w:tc>
          <w:tcPr>
            <w:tcW w:w="2351"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关联主体名称</w:t>
            </w:r>
          </w:p>
        </w:tc>
        <w:tc>
          <w:tcPr>
            <w:tcW w:w="3331"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1</w:t>
            </w:r>
          </w:p>
        </w:tc>
        <w:tc>
          <w:tcPr>
            <w:tcW w:w="1897"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控股股东</w:t>
            </w:r>
          </w:p>
        </w:tc>
        <w:tc>
          <w:tcPr>
            <w:tcW w:w="2351" w:type="dxa"/>
            <w:gridSpan w:val="4"/>
            <w:vAlign w:val="center"/>
          </w:tcPr>
          <w:p>
            <w:pPr>
              <w:widowControl w:val="0"/>
              <w:spacing w:line="420" w:lineRule="exact"/>
              <w:jc w:val="center"/>
              <w:rPr>
                <w:rFonts w:hAnsi="仿宋_GB2312" w:cs="仿宋_GB2312"/>
                <w:sz w:val="28"/>
                <w:szCs w:val="28"/>
              </w:rPr>
            </w:pPr>
          </w:p>
        </w:tc>
        <w:tc>
          <w:tcPr>
            <w:tcW w:w="3331"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2</w:t>
            </w:r>
          </w:p>
        </w:tc>
        <w:tc>
          <w:tcPr>
            <w:tcW w:w="1897" w:type="dxa"/>
            <w:gridSpan w:val="2"/>
            <w:vAlign w:val="center"/>
          </w:tcPr>
          <w:p>
            <w:pPr>
              <w:widowControl w:val="0"/>
              <w:spacing w:line="420" w:lineRule="exact"/>
              <w:jc w:val="center"/>
              <w:rPr>
                <w:rFonts w:hAnsi="仿宋_GB2312" w:cs="仿宋_GB2312"/>
                <w:sz w:val="28"/>
                <w:szCs w:val="28"/>
              </w:rPr>
            </w:pPr>
            <w:r>
              <w:rPr>
                <w:rFonts w:hint="eastAsia" w:hAnsi="仿宋_GB2312" w:cs="仿宋_GB2312"/>
                <w:sz w:val="28"/>
                <w:szCs w:val="28"/>
              </w:rPr>
              <w:t>管理关系</w:t>
            </w:r>
          </w:p>
        </w:tc>
        <w:tc>
          <w:tcPr>
            <w:tcW w:w="2351" w:type="dxa"/>
            <w:gridSpan w:val="4"/>
            <w:vAlign w:val="center"/>
          </w:tcPr>
          <w:p>
            <w:pPr>
              <w:widowControl w:val="0"/>
              <w:spacing w:line="420" w:lineRule="exact"/>
              <w:jc w:val="center"/>
              <w:rPr>
                <w:rFonts w:hAnsi="仿宋_GB2312" w:cs="仿宋_GB2312"/>
                <w:sz w:val="28"/>
                <w:szCs w:val="28"/>
              </w:rPr>
            </w:pPr>
          </w:p>
        </w:tc>
        <w:tc>
          <w:tcPr>
            <w:tcW w:w="3331" w:type="dxa"/>
            <w:gridSpan w:val="4"/>
            <w:vAlign w:val="center"/>
          </w:tcPr>
          <w:p>
            <w:pPr>
              <w:widowControl w:val="0"/>
              <w:spacing w:line="420" w:lineRule="exact"/>
              <w:jc w:val="center"/>
              <w:rPr>
                <w:rFonts w:hAnsi="仿宋_GB2312" w:cs="仿宋_GB2312"/>
                <w:sz w:val="28"/>
                <w:szCs w:val="28"/>
              </w:rPr>
            </w:pPr>
            <w:r>
              <w:rPr>
                <w:rFonts w:hint="eastAsia" w:hAnsi="仿宋_GB2312" w:cs="仿宋_GB2312"/>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widowControl w:val="0"/>
              <w:spacing w:line="420" w:lineRule="exact"/>
              <w:rPr>
                <w:rFonts w:hAnsi="仿宋_GB2312" w:cs="仿宋_GB2312"/>
                <w:sz w:val="28"/>
                <w:szCs w:val="28"/>
              </w:rPr>
            </w:pPr>
            <w:r>
              <w:rPr>
                <w:rFonts w:hint="eastAsia" w:hAnsi="仿宋_GB2312" w:cs="仿宋_GB2312"/>
                <w:b/>
                <w:bCs/>
                <w:sz w:val="28"/>
                <w:szCs w:val="28"/>
              </w:rPr>
              <w:t>说明：同一关联关系类型有多个主体的，应分行填写。</w:t>
            </w:r>
          </w:p>
        </w:tc>
      </w:tr>
    </w:tbl>
    <w:p>
      <w:pPr>
        <w:rPr>
          <w:rFonts w:hAnsi="仿宋_GB2312" w:cs="仿宋_GB2312"/>
          <w:b/>
          <w:bCs/>
          <w:sz w:val="32"/>
          <w:szCs w:val="32"/>
        </w:rPr>
      </w:pPr>
      <w:r>
        <w:rPr>
          <w:rFonts w:hint="eastAsia" w:hAnsi="仿宋_GB2312" w:cs="仿宋_GB2312"/>
          <w:b/>
          <w:bCs/>
          <w:sz w:val="32"/>
          <w:szCs w:val="32"/>
        </w:rPr>
        <w:t>注：</w:t>
      </w:r>
      <w:r>
        <w:rPr>
          <w:rFonts w:hint="eastAsia" w:hAnsi="仿宋_GB2312" w:cs="仿宋_GB2312"/>
          <w:sz w:val="32"/>
          <w:szCs w:val="32"/>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Ansi="仿宋_GB2312" w:cs="仿宋_GB2312"/>
          <w:b/>
          <w:bCs/>
          <w:sz w:val="32"/>
          <w:szCs w:val="32"/>
        </w:rPr>
      </w:pPr>
      <w:r>
        <w:rPr>
          <w:rFonts w:hint="eastAsia" w:hAnsi="仿宋_GB2312" w:cs="仿宋_GB2312"/>
          <w:b/>
          <w:bCs/>
          <w:sz w:val="32"/>
          <w:szCs w:val="32"/>
        </w:rPr>
        <w:t>投标（响应）供应商声明：</w:t>
      </w:r>
    </w:p>
    <w:p>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1.投标（响应）供应商填写内容与事实不符的，招标人有权取消其投标资格、否决投标或解除合同，并依法追究其法律责任。</w:t>
      </w:r>
    </w:p>
    <w:p>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2.投标（响应）供应商存在围标串标行为的，将被列入招标人采购失信名单。</w:t>
      </w:r>
    </w:p>
    <w:p>
      <w:pPr>
        <w:rPr>
          <w:rFonts w:hAnsi="仿宋_GB2312" w:cs="仿宋_GB2312"/>
          <w:color w:val="404040"/>
          <w:sz w:val="32"/>
          <w:szCs w:val="32"/>
          <w:shd w:val="clear" w:color="auto" w:fill="FFFFFF"/>
        </w:rPr>
      </w:pPr>
      <w:r>
        <w:rPr>
          <w:rFonts w:hint="eastAsia" w:hAnsi="仿宋_GB2312" w:cs="仿宋_GB2312"/>
          <w:color w:val="404040"/>
          <w:sz w:val="32"/>
          <w:szCs w:val="32"/>
          <w:shd w:val="clear" w:color="auto" w:fill="FFFFFF"/>
        </w:rPr>
        <w:t>3.本情况表自签署之日起生效，适用于本次招采活动及后续合同履行阶段。</w:t>
      </w:r>
    </w:p>
    <w:p>
      <w:pPr>
        <w:rPr>
          <w:rFonts w:hAnsi="仿宋_GB2312" w:cs="仿宋_GB2312"/>
          <w:color w:val="404040"/>
          <w:sz w:val="32"/>
          <w:szCs w:val="32"/>
          <w:shd w:val="clear" w:color="auto" w:fill="FFFFFF"/>
        </w:rPr>
      </w:pPr>
    </w:p>
    <w:p>
      <w:pPr>
        <w:rPr>
          <w:rFonts w:hAnsi="仿宋_GB2312" w:cs="仿宋_GB2312"/>
          <w:color w:val="404040"/>
          <w:sz w:val="32"/>
          <w:szCs w:val="32"/>
          <w:shd w:val="clear" w:color="auto" w:fill="FFFFFF"/>
        </w:rPr>
      </w:pPr>
    </w:p>
    <w:p>
      <w:pPr>
        <w:ind w:left="5760" w:hanging="5760" w:hangingChars="1800"/>
        <w:rPr>
          <w:rFonts w:hAnsi="仿宋_GB2312" w:cs="仿宋_GB2312"/>
          <w:sz w:val="32"/>
          <w:szCs w:val="32"/>
        </w:rPr>
      </w:pPr>
      <w:r>
        <w:rPr>
          <w:rFonts w:hint="eastAsia" w:hAnsi="仿宋_GB2312" w:cs="仿宋_GB2312"/>
          <w:color w:val="404040"/>
          <w:sz w:val="32"/>
          <w:szCs w:val="32"/>
          <w:shd w:val="clear" w:color="auto" w:fill="FFFFFF"/>
        </w:rPr>
        <w:t xml:space="preserve">                           </w:t>
      </w:r>
      <w:r>
        <w:rPr>
          <w:rFonts w:hint="eastAsia" w:hAnsi="仿宋_GB2312" w:cs="仿宋_GB2312"/>
          <w:sz w:val="32"/>
          <w:szCs w:val="32"/>
        </w:rPr>
        <w:t>填表单位：（加盖单位公章）      年   月   日</w:t>
      </w:r>
    </w:p>
    <w:p>
      <w:pPr>
        <w:jc w:val="center"/>
        <w:sectPr>
          <w:pgSz w:w="11906" w:h="16838"/>
          <w:pgMar w:top="1440" w:right="1800" w:bottom="1440" w:left="1800" w:header="851" w:footer="992" w:gutter="0"/>
          <w:cols w:space="425" w:num="1"/>
          <w:docGrid w:type="lines" w:linePitch="312" w:charSpace="0"/>
        </w:sectPr>
      </w:pPr>
    </w:p>
    <w:p>
      <w:pPr>
        <w:pStyle w:val="2"/>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Dotum">
    <w:panose1 w:val="020B0600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TechnicLite">
    <w:panose1 w:val="00000400000000000000"/>
    <w:charset w:val="00"/>
    <w:family w:val="auto"/>
    <w:pitch w:val="default"/>
    <w:sig w:usb0="00000000" w:usb1="00000000" w:usb2="00000000" w:usb3="00000000" w:csb0="00000000" w:csb1="00000000"/>
  </w:font>
  <w:font w:name="Calibri Light">
    <w:panose1 w:val="020F0302020204030204"/>
    <w:charset w:val="00"/>
    <w:family w:val="auto"/>
    <w:pitch w:val="default"/>
    <w:sig w:usb0="A00002EF" w:usb1="4000207B" w:usb2="00000000" w:usb3="00000000" w:csb0="2000019F" w:csb1="00000000"/>
  </w:font>
  <w:font w:name="华文彩云">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Bookshelf Symbol 7">
    <w:panose1 w:val="05010101010101010101"/>
    <w:charset w:val="00"/>
    <w:family w:val="auto"/>
    <w:pitch w:val="default"/>
    <w:sig w:usb0="00000000" w:usb1="00000000" w:usb2="00000000" w:usb3="00000000" w:csb0="80000000" w:csb1="00000000"/>
  </w:font>
  <w:font w:name="BR Face J4">
    <w:panose1 w:val="05000000000000000000"/>
    <w:charset w:val="00"/>
    <w:family w:val="auto"/>
    <w:pitch w:val="default"/>
    <w:sig w:usb0="00000000" w:usb1="00000000" w:usb2="00000000" w:usb3="00000000" w:csb0="80000000" w:csb1="00000000"/>
  </w:font>
  <w:font w:name="CityBlueprint">
    <w:panose1 w:val="000004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MS Reference Specialty">
    <w:panose1 w:val="05000500000000000000"/>
    <w:charset w:val="00"/>
    <w:family w:val="auto"/>
    <w:pitch w:val="default"/>
    <w:sig w:usb0="00000000" w:usb1="00000000" w:usb2="00000000" w:usb3="00000000" w:csb0="80000000" w:csb1="00000000"/>
  </w:font>
  <w:font w:name="Verdana">
    <w:panose1 w:val="020B0604030504040204"/>
    <w:charset w:val="00"/>
    <w:family w:val="auto"/>
    <w:pitch w:val="default"/>
    <w:sig w:usb0="A10006FF" w:usb1="4000205B" w:usb2="00000010" w:usb3="00000000" w:csb0="2000019F" w:csb1="00000000"/>
  </w:font>
  <w:font w:name="PingFangSC">
    <w:altName w:val="Cambria"/>
    <w:panose1 w:val="00000000000000000000"/>
    <w:charset w:val="00"/>
    <w:family w:val="roman"/>
    <w:pitch w:val="default"/>
    <w:sig w:usb0="00000000" w:usb1="00000000" w:usb2="00000000" w:usb3="00000000" w:csb0="00000000" w:csb1="00000000"/>
  </w:font>
  <w:font w:name="方正小标宋_GBK">
    <w:altName w:val="Arial Unicode MS"/>
    <w:panose1 w:val="00000000000000000000"/>
    <w:charset w:val="86"/>
    <w:family w:val="auto"/>
    <w:pitch w:val="default"/>
    <w:sig w:usb0="00000000" w:usb1="00000000" w:usb2="00000000" w:usb3="00000000" w:csb0="00040000" w:csb1="00000000"/>
  </w:font>
  <w:font w:name="Cambria">
    <w:panose1 w:val="02040503050406030204"/>
    <w:charset w:val="00"/>
    <w:family w:val="auto"/>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33942"/>
    <w:multiLevelType w:val="singleLevel"/>
    <w:tmpl w:val="23133942"/>
    <w:lvl w:ilvl="0" w:tentative="0">
      <w:start w:val="1"/>
      <w:numFmt w:val="chineseCounting"/>
      <w:suff w:val="nothing"/>
      <w:lvlText w:val="%1、"/>
      <w:lvlJc w:val="left"/>
      <w:pPr>
        <w:ind w:left="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d1ae6e15-84f7-407f-8182-faec66ac4c6c"/>
  </w:docVars>
  <w:rsids>
    <w:rsidRoot w:val="00CF5507"/>
    <w:rsid w:val="000E29CA"/>
    <w:rsid w:val="00264CEB"/>
    <w:rsid w:val="00285063"/>
    <w:rsid w:val="00303BA9"/>
    <w:rsid w:val="00464CB6"/>
    <w:rsid w:val="00486781"/>
    <w:rsid w:val="00544685"/>
    <w:rsid w:val="00562A70"/>
    <w:rsid w:val="006A4BFE"/>
    <w:rsid w:val="0072789D"/>
    <w:rsid w:val="00741C97"/>
    <w:rsid w:val="00905FF1"/>
    <w:rsid w:val="00911104"/>
    <w:rsid w:val="00930EB3"/>
    <w:rsid w:val="00AD7FCD"/>
    <w:rsid w:val="00B870E6"/>
    <w:rsid w:val="00C06FD8"/>
    <w:rsid w:val="00C6516C"/>
    <w:rsid w:val="00CF5507"/>
    <w:rsid w:val="00D17303"/>
    <w:rsid w:val="00E0668C"/>
    <w:rsid w:val="00EA4CB9"/>
    <w:rsid w:val="00EE0548"/>
    <w:rsid w:val="00F87F8E"/>
    <w:rsid w:val="03CF75C5"/>
    <w:rsid w:val="07593675"/>
    <w:rsid w:val="07A019A5"/>
    <w:rsid w:val="07BE73F9"/>
    <w:rsid w:val="0860252E"/>
    <w:rsid w:val="08746273"/>
    <w:rsid w:val="088A394B"/>
    <w:rsid w:val="09034319"/>
    <w:rsid w:val="097478E7"/>
    <w:rsid w:val="09B27A4A"/>
    <w:rsid w:val="0A0C5C9B"/>
    <w:rsid w:val="0B5A4560"/>
    <w:rsid w:val="0BA4561B"/>
    <w:rsid w:val="0BE73A64"/>
    <w:rsid w:val="0E5D3D0E"/>
    <w:rsid w:val="14A359F5"/>
    <w:rsid w:val="18DB59F8"/>
    <w:rsid w:val="1AF43C64"/>
    <w:rsid w:val="1BD91532"/>
    <w:rsid w:val="1E2851F8"/>
    <w:rsid w:val="1F003265"/>
    <w:rsid w:val="1F415F68"/>
    <w:rsid w:val="21495825"/>
    <w:rsid w:val="272A3703"/>
    <w:rsid w:val="28B2052F"/>
    <w:rsid w:val="2B690A5A"/>
    <w:rsid w:val="2D33090F"/>
    <w:rsid w:val="325F74DA"/>
    <w:rsid w:val="34D22531"/>
    <w:rsid w:val="35727C2D"/>
    <w:rsid w:val="3B3D719E"/>
    <w:rsid w:val="3C165B86"/>
    <w:rsid w:val="3F1D716E"/>
    <w:rsid w:val="4713602D"/>
    <w:rsid w:val="4BE53F88"/>
    <w:rsid w:val="4C520F1C"/>
    <w:rsid w:val="4DE613FA"/>
    <w:rsid w:val="4FC450D1"/>
    <w:rsid w:val="50081462"/>
    <w:rsid w:val="50636858"/>
    <w:rsid w:val="50F814D6"/>
    <w:rsid w:val="54917C4E"/>
    <w:rsid w:val="56BC5DFE"/>
    <w:rsid w:val="57327A88"/>
    <w:rsid w:val="5D8B6045"/>
    <w:rsid w:val="5EB3459A"/>
    <w:rsid w:val="60B06019"/>
    <w:rsid w:val="6170330B"/>
    <w:rsid w:val="62092E18"/>
    <w:rsid w:val="622C48D3"/>
    <w:rsid w:val="655C4D5F"/>
    <w:rsid w:val="67B17C7F"/>
    <w:rsid w:val="67E60DD1"/>
    <w:rsid w:val="6A333019"/>
    <w:rsid w:val="6BEA35B6"/>
    <w:rsid w:val="76B37034"/>
    <w:rsid w:val="77DE6B31"/>
    <w:rsid w:val="785B2618"/>
    <w:rsid w:val="7BB12C18"/>
    <w:rsid w:val="7E3F7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仿宋_GB2312" w:hAnsi="Times New Roman" w:eastAsia="仿宋_GB2312" w:cs="Times New Roman"/>
      <w:kern w:val="2"/>
      <w:sz w:val="21"/>
      <w:szCs w:val="24"/>
      <w:lang w:val="en-US" w:eastAsia="zh-CN" w:bidi="ar-SA"/>
    </w:rPr>
  </w:style>
  <w:style w:type="paragraph" w:styleId="3">
    <w:name w:val="heading 1"/>
    <w:basedOn w:val="1"/>
    <w:next w:val="1"/>
    <w:qFormat/>
    <w:uiPriority w:val="0"/>
    <w:pPr>
      <w:spacing w:beforeLines="50" w:afterLines="50" w:line="360" w:lineRule="auto"/>
      <w:outlineLvl w:val="0"/>
    </w:pPr>
    <w:rPr>
      <w:rFonts w:ascii="Times New Roman" w:eastAsia="宋体"/>
      <w:kern w:val="0"/>
      <w:sz w:val="24"/>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1"/>
    <w:pPr>
      <w:spacing w:after="120"/>
    </w:pPr>
  </w:style>
  <w:style w:type="paragraph" w:styleId="4">
    <w:name w:val="Body Text Indent"/>
    <w:basedOn w:val="1"/>
    <w:semiHidden/>
    <w:unhideWhenUsed/>
    <w:qFormat/>
    <w:uiPriority w:val="99"/>
    <w:pPr>
      <w:spacing w:after="120"/>
      <w:ind w:left="420" w:leftChars="200"/>
    </w:pPr>
  </w:style>
  <w:style w:type="paragraph" w:styleId="5">
    <w:name w:val="Body Text First Indent 2"/>
    <w:basedOn w:val="4"/>
    <w:semiHidden/>
    <w:unhideWhenUsed/>
    <w:qFormat/>
    <w:uiPriority w:val="0"/>
    <w:pPr>
      <w:adjustRightInd w:val="0"/>
      <w:spacing w:line="312" w:lineRule="atLeast"/>
      <w:ind w:firstLine="420" w:firstLineChars="200"/>
    </w:pPr>
    <w:rPr>
      <w:rFonts w:ascii="等线" w:hAnsi="等线" w:eastAsia="等线"/>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paragraph" w:customStyle="1" w:styleId="11">
    <w:name w:val="Body text|31"/>
    <w:basedOn w:val="1"/>
    <w:qFormat/>
    <w:uiPriority w:val="0"/>
    <w:pPr>
      <w:shd w:val="clear" w:color="auto" w:fill="FFFFFF"/>
      <w:spacing w:before="240" w:line="312" w:lineRule="exact"/>
      <w:ind w:hanging="180"/>
      <w:jc w:val="left"/>
    </w:pPr>
    <w:rPr>
      <w:rFonts w:ascii="PMingLiU" w:hAnsi="PMingLiU" w:eastAsia="PMingLiU" w:cs="PMingLiU"/>
      <w:b/>
      <w:bCs/>
      <w:color w:val="000000"/>
      <w:sz w:val="20"/>
      <w:szCs w:val="20"/>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1588</Words>
  <Characters>1733</Characters>
  <Lines>11</Lines>
  <Paragraphs>3</Paragraphs>
  <TotalTime>11</TotalTime>
  <ScaleCrop>false</ScaleCrop>
  <LinksUpToDate>false</LinksUpToDate>
  <CharactersWithSpaces>1763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2021-07-19T02:22:00Z</dcterms:created>
  <dc:creator>江加强</dc:creator>
  <cp:lastModifiedBy>天明</cp:lastModifiedBy>
  <dcterms:modified xsi:type="dcterms:W3CDTF">2026-05-08T08:11:29Z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0EC0E23131A240DE9B71F5051EF04768</vt:lpwstr>
  </property>
</Properties>
</file>