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东部公交采购管理系统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说明</w:t>
      </w:r>
    </w:p>
    <w:p>
      <w:pPr>
        <w:pageBreakBefore w:val="0"/>
        <w:kinsoku/>
        <w:overflowPunct/>
        <w:topLinePunct w:val="0"/>
        <w:bidi w:val="0"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请参与我公司采购项目的供应商进入东部公交采购管理系统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完成供应商注册、报名、保证金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转账凭证上传</w:t>
      </w:r>
      <w:r>
        <w:rPr>
          <w:rFonts w:hint="eastAsia" w:ascii="仿宋_GB2312" w:hAnsi="仿宋_GB2312" w:eastAsia="仿宋_GB2312" w:cs="仿宋_GB2312"/>
          <w:sz w:val="28"/>
          <w:szCs w:val="28"/>
        </w:rPr>
        <w:t>、投标等流程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操作步骤</w:t>
      </w:r>
      <w:r>
        <w:rPr>
          <w:rFonts w:hint="eastAsia" w:ascii="仿宋_GB2312" w:hAnsi="仿宋_GB2312" w:eastAsia="仿宋_GB2312" w:cs="仿宋_GB2312"/>
          <w:sz w:val="28"/>
          <w:szCs w:val="28"/>
        </w:rPr>
        <w:t>简述如下：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</w:rPr>
        <w:t>:进入东部公交采购管理系统网址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https://cg.ebuscloud.com:18076</w:t>
      </w:r>
      <w:r>
        <w:rPr>
          <w:rFonts w:hint="eastAsia" w:ascii="仿宋_GB2312" w:hAnsi="仿宋_GB2312" w:eastAsia="仿宋_GB2312" w:cs="仿宋_GB2312"/>
          <w:sz w:val="28"/>
          <w:szCs w:val="28"/>
        </w:rPr>
        <w:t>，选择【用户身份注册-投标人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供应商）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1.2信息完善</w:t>
      </w:r>
      <w:r>
        <w:rPr>
          <w:rFonts w:hint="eastAsia" w:ascii="仿宋_GB2312" w:hAnsi="仿宋_GB2312" w:eastAsia="仿宋_GB2312" w:cs="仿宋_GB2312"/>
          <w:sz w:val="28"/>
          <w:szCs w:val="28"/>
        </w:rPr>
        <w:t>：【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注册信息-信息完善-提交审批</w:t>
      </w:r>
      <w:r>
        <w:rPr>
          <w:rFonts w:hint="eastAsia" w:ascii="仿宋_GB2312" w:hAnsi="仿宋_GB2312" w:eastAsia="仿宋_GB2312" w:cs="仿宋_GB2312"/>
          <w:sz w:val="28"/>
          <w:szCs w:val="28"/>
        </w:rPr>
        <w:t>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信息录入，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完善基本信息、资质信息、联系人信息、银行账户、主体业绩等内容，完成后提交审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28"/>
          <w:szCs w:val="28"/>
        </w:rPr>
        <w:t>；若需信息变更，则请变更后再次提交审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1.3审批</w:t>
      </w:r>
      <w:r>
        <w:rPr>
          <w:rFonts w:hint="eastAsia" w:ascii="仿宋_GB2312" w:hAnsi="仿宋_GB2312" w:eastAsia="仿宋_GB2312" w:cs="仿宋_GB2312"/>
          <w:sz w:val="28"/>
          <w:szCs w:val="28"/>
        </w:rPr>
        <w:t>：审核通过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为注册成功，供应商可进入报名环节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如提交后一直未审批，可及时联系项目负责人。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供应商报名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2.1进入</w:t>
      </w:r>
      <w:r>
        <w:rPr>
          <w:rFonts w:hint="eastAsia" w:ascii="仿宋_GB2312" w:hAnsi="仿宋_GB2312" w:eastAsia="仿宋_GB2312" w:cs="仿宋_GB2312"/>
          <w:sz w:val="28"/>
          <w:szCs w:val="28"/>
        </w:rPr>
        <w:t>【项目管理】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sz w:val="28"/>
          <w:szCs w:val="28"/>
        </w:rPr>
        <w:t>【我要报名】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，选择要报名的采购项目进行报名，</w:t>
      </w:r>
      <w:r>
        <w:rPr>
          <w:rFonts w:hint="eastAsia" w:ascii="仿宋_GB2312" w:hAnsi="仿宋_GB2312" w:eastAsia="仿宋_GB2312" w:cs="仿宋_GB2312"/>
          <w:sz w:val="28"/>
          <w:szCs w:val="28"/>
        </w:rPr>
        <w:t>设置投标联系人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上传项目报名材料提交审核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2.2审批</w:t>
      </w:r>
      <w:r>
        <w:rPr>
          <w:rFonts w:hint="eastAsia" w:ascii="仿宋_GB2312" w:hAnsi="仿宋_GB2312" w:eastAsia="仿宋_GB2312" w:cs="仿宋_GB2312"/>
          <w:sz w:val="28"/>
          <w:szCs w:val="28"/>
        </w:rPr>
        <w:t>：审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为报名成功，供应商可进入投标环节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如提交后一直未审批，可及时联系项目负责人。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3.投标/响应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保证金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转账凭证上传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人应在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文件规定的时间内完成保证金的递交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28"/>
          <w:szCs w:val="28"/>
        </w:rPr>
        <w:t>递交操作：在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文件中查看保证金收款账户信息，并及时将保证金款项汇至指定账户中。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由于财务审核需要一定时间，建议投标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人尽量提前完成保证金递交。保证金递交完成后，请在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东部公交采购管理系统上传投标保证金转账凭证，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未在指定时间缴纳响应保证金导致影响投标/响应不成功的由投标/响应人自行负责。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供应商投标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/响应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报名成功后，供应商登录之后，在左侧的菜单中找到【项目管理-我参与的项目】菜单并点击，右侧操作窗口展示该供应商报名审核通过的项目信息。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sz w:val="28"/>
          <w:szCs w:val="28"/>
        </w:rPr>
        <w:t>在项目信息列表，点击【参与项目】按钮，切换到投标界面，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输入报价、上传盖章版的标书扫描pdf附件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，点击【提交】按钮可以提交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4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sz w:val="28"/>
          <w:szCs w:val="28"/>
        </w:rPr>
        <w:t>请尽快咨询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以保证正常投标。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招标结果的发布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深圳阳光采购平台（www.szygcgpt.com）及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东部公交采购管理系统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sz w:val="28"/>
          <w:szCs w:val="28"/>
        </w:rPr>
        <w:t>等相关网站发布招标结果公告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人登陆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后，在供应商向导中点击【结果公告】，打开查看结果公告界面，展示项目结果公告信息。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人注意事项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人需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递交投标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递交投标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文件时，电子投标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文件必须在投标截止时间前上传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并及时联系项目负责人，确认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/响应文件已成功上传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为防止网络阻塞，建议在投标截止时间之日前一天上传文件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6.2因我公司目前还未实施线上评审，评审当天还需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/响应人携带纸质投标文件，具体份数以采购文件要求为主，当线上线下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/响应文件内容出现不一致的，以线下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/响应文件的内容为准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7.其他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详细操作可在</w:t>
      </w:r>
      <w:r>
        <w:rPr>
          <w:rFonts w:hint="eastAsia" w:ascii="仿宋_GB2312" w:hAnsi="仿宋_GB2312" w:eastAsia="仿宋_GB2312" w:cs="仿宋_GB2312"/>
          <w:sz w:val="28"/>
          <w:szCs w:val="28"/>
        </w:rPr>
        <w:t>东部公交采购管理系统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首页右下角的“帮助中心”</w:t>
      </w:r>
      <w:r>
        <w:rPr>
          <w:rFonts w:hint="eastAsia" w:ascii="仿宋_GB2312" w:hAnsi="仿宋_GB2312" w:eastAsia="仿宋_GB2312" w:cs="仿宋_GB2312"/>
          <w:sz w:val="28"/>
          <w:szCs w:val="28"/>
        </w:rPr>
        <w:t>下载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sz w:val="28"/>
          <w:szCs w:val="28"/>
        </w:rPr>
        <w:t>《采购管理系统操作指引--供应商角色登记备案》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sz w:val="28"/>
          <w:szCs w:val="28"/>
        </w:rPr>
        <w:t>《采购管理系统操作指引--供应商角色参与招标采购》。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项目联系人：陈贤毅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流程操作咨询电话：89988192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F79B6"/>
    <w:rsid w:val="228F79B6"/>
    <w:rsid w:val="6ED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topLinePunct/>
      <w:spacing w:line="0" w:lineRule="atLeast"/>
      <w:ind w:firstLine="562" w:firstLineChars="200"/>
      <w:contextualSpacing/>
      <w:outlineLvl w:val="1"/>
    </w:pPr>
    <w:rPr>
      <w:rFonts w:ascii="仿宋_GB2312" w:hAnsi="Times New Roman" w:eastAsia="仿宋_GB2312" w:cs="Times New Roman"/>
      <w:b/>
      <w:color w:val="0D0D0D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2023-01-04T07:33:00Z</dcterms:created>
  <dc:creator>黄锦</dc:creator>
  <cp:lastModifiedBy>陈贤毅</cp:lastModifiedBy>
  <dcterms:modified xsi:type="dcterms:W3CDTF">2023-08-23T09:24:15Z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