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F121C">
      <w:pPr>
        <w:widowControl w:val="0"/>
        <w:jc w:val="center"/>
        <w:rPr>
          <w:rFonts w:hAnsi="宋体" w:cs="Times New Roman"/>
          <w:b/>
          <w:color w:val="auto"/>
          <w:kern w:val="2"/>
          <w:sz w:val="28"/>
          <w:szCs w:val="28"/>
          <w:lang w:eastAsia="zh-CN"/>
        </w:rPr>
      </w:pPr>
      <w:r>
        <w:rPr>
          <w:rFonts w:hAnsi="宋体" w:cs="Times New Roman"/>
          <w:b/>
          <w:color w:val="auto"/>
          <w:kern w:val="2"/>
          <w:sz w:val="28"/>
          <w:szCs w:val="28"/>
          <w:lang w:eastAsia="zh-CN"/>
        </w:rPr>
        <w:t>关于安防无人车自主导航控制系统及多节点巡逻预警系统研制的询价要求</w:t>
      </w:r>
    </w:p>
    <w:p w14:paraId="3B57567C">
      <w:pPr>
        <w:widowControl w:val="0"/>
        <w:rPr>
          <w:rFonts w:hAnsi="宋体" w:cs="Times New Roman"/>
          <w:b/>
          <w:color w:val="auto"/>
          <w:kern w:val="2"/>
          <w:sz w:val="28"/>
          <w:szCs w:val="28"/>
          <w:lang w:eastAsia="zh-CN"/>
        </w:rPr>
      </w:pPr>
    </w:p>
    <w:p w14:paraId="1A567293">
      <w:pPr>
        <w:widowControl w:val="0"/>
        <w:adjustRightInd w:val="0"/>
        <w:snapToGrid w:val="0"/>
        <w:spacing w:line="500" w:lineRule="exact"/>
        <w:jc w:val="both"/>
      </w:pPr>
      <w:r>
        <w:rPr>
          <w:rFonts w:ascii="宋体" w:hAnsi="宋体" w:cs="宋体"/>
          <w:color w:val="auto"/>
          <w:kern w:val="2"/>
          <w:szCs w:val="24"/>
          <w:lang w:eastAsia="zh-CN"/>
        </w:rPr>
        <w:t>各报价方</w:t>
      </w:r>
      <w:r>
        <w:rPr>
          <w:rFonts w:cs="Times New Roman"/>
        </w:rPr>
        <w:t>：</w:t>
      </w:r>
    </w:p>
    <w:p w14:paraId="01761FF0">
      <w:pPr>
        <w:widowControl w:val="0"/>
        <w:adjustRightInd w:val="0"/>
        <w:snapToGrid w:val="0"/>
        <w:spacing w:line="500" w:lineRule="exact"/>
        <w:ind w:firstLine="480" w:firstLineChars="200"/>
        <w:jc w:val="both"/>
      </w:pPr>
      <w:r>
        <w:rPr>
          <w:rFonts w:cs="Times New Roman"/>
          <w:lang w:eastAsia="zh-CN"/>
        </w:rPr>
        <w:t>本次询价采用方案报价</w:t>
      </w:r>
      <w:r>
        <w:rPr>
          <w:rFonts w:hint="eastAsia" w:cs="Times New Roman"/>
          <w:lang w:eastAsia="zh-CN"/>
        </w:rPr>
        <w:t>模式</w:t>
      </w:r>
      <w:r>
        <w:rPr>
          <w:rFonts w:cs="Times New Roman"/>
          <w:lang w:eastAsia="zh-CN"/>
        </w:rPr>
        <w:t>。报价方应在充分理解项目应用场景、车辆接口条件和本文件全部约束的基础上，提交完整的技术响应方案、实施计划及分项报价。询价方将结合技术符合性、质量保障能力、项目团队、交付风险、测试证据、售后服务及价格等因素进行综合评审。请报价方根据如下具体工作要求，</w:t>
      </w:r>
      <w:r>
        <w:rPr>
          <w:rFonts w:ascii="宋体" w:hAnsi="宋体" w:cs="宋体"/>
          <w:color w:val="auto"/>
          <w:kern w:val="2"/>
          <w:szCs w:val="24"/>
          <w:lang w:eastAsia="zh-CN"/>
        </w:rPr>
        <w:t>于询价交易规定时间内报送总价</w:t>
      </w:r>
      <w:r>
        <w:rPr>
          <w:rFonts w:cs="Times New Roman"/>
          <w:lang w:eastAsia="zh-CN"/>
        </w:rPr>
        <w:t>，并以</w:t>
      </w:r>
      <w:r>
        <w:rPr>
          <w:rFonts w:hint="eastAsia" w:cs="Times New Roman"/>
          <w:lang w:eastAsia="zh-CN"/>
        </w:rPr>
        <w:t>“</w:t>
      </w:r>
      <w:r>
        <w:rPr>
          <w:rFonts w:cs="Times New Roman"/>
          <w:lang w:eastAsia="zh-CN"/>
        </w:rPr>
        <w:t>邮寄</w:t>
      </w:r>
      <w:r>
        <w:rPr>
          <w:rFonts w:hint="eastAsia" w:cs="Times New Roman"/>
          <w:lang w:eastAsia="zh-CN"/>
        </w:rPr>
        <w:t>”</w:t>
      </w:r>
      <w:r>
        <w:rPr>
          <w:rFonts w:cs="Times New Roman"/>
          <w:lang w:eastAsia="zh-CN"/>
        </w:rPr>
        <w:t>形式加盖公章的报价方案。</w:t>
      </w:r>
      <w:r>
        <w:rPr>
          <w:rFonts w:cs="Times New Roman"/>
        </w:rPr>
        <w:t>询价交易结束后，我方将进行综合评判，择优确定成交供应商。</w:t>
      </w:r>
    </w:p>
    <w:p w14:paraId="2F8951C1">
      <w:pPr>
        <w:widowControl w:val="0"/>
        <w:adjustRightInd w:val="0"/>
        <w:snapToGrid w:val="0"/>
        <w:spacing w:line="500" w:lineRule="exact"/>
        <w:ind w:firstLine="480" w:firstLineChars="200"/>
        <w:jc w:val="both"/>
        <w:rPr>
          <w:rFonts w:ascii="宋体" w:hAnsi="宋体" w:cs="宋体"/>
          <w:b/>
          <w:bCs/>
          <w:color w:val="auto"/>
          <w:kern w:val="2"/>
          <w:szCs w:val="24"/>
          <w:lang w:eastAsia="zh-CN"/>
        </w:rPr>
      </w:pPr>
      <w:r>
        <w:rPr>
          <w:rFonts w:ascii="宋体" w:hAnsi="宋体" w:cs="宋体"/>
          <w:b/>
          <w:bCs/>
          <w:color w:val="auto"/>
          <w:kern w:val="2"/>
          <w:szCs w:val="24"/>
          <w:lang w:eastAsia="zh-CN"/>
        </w:rPr>
        <w:t>一、项目概况</w:t>
      </w:r>
    </w:p>
    <w:p w14:paraId="42121A1D">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（一）项目名称</w:t>
      </w:r>
    </w:p>
    <w:p w14:paraId="4B80A72F">
      <w:pPr>
        <w:widowControl w:val="0"/>
        <w:adjustRightInd w:val="0"/>
        <w:snapToGrid w:val="0"/>
        <w:spacing w:line="500" w:lineRule="exact"/>
        <w:ind w:firstLine="480" w:firstLineChars="200"/>
        <w:jc w:val="both"/>
      </w:pPr>
      <w:r>
        <w:rPr>
          <w:rFonts w:ascii="宋体" w:hAnsi="宋体" w:cs="宋体"/>
          <w:color w:val="auto"/>
          <w:kern w:val="2"/>
          <w:szCs w:val="24"/>
          <w:lang w:eastAsia="zh-CN"/>
        </w:rPr>
        <w:t>安防无人车自主导航控制系统及多节点巡逻预警系统研制</w:t>
      </w:r>
      <w:r>
        <w:rPr>
          <w:rFonts w:cs="Times New Roman"/>
        </w:rPr>
        <w:t>。</w:t>
      </w:r>
    </w:p>
    <w:p w14:paraId="219A93BD">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（二）项目背景</w:t>
      </w:r>
    </w:p>
    <w:p w14:paraId="1650ABD3">
      <w:pPr>
        <w:widowControl w:val="0"/>
        <w:adjustRightInd w:val="0"/>
        <w:snapToGrid w:val="0"/>
        <w:spacing w:line="500" w:lineRule="exact"/>
        <w:ind w:firstLine="480" w:firstLineChars="200"/>
        <w:jc w:val="both"/>
        <w:rPr>
          <w:rFonts w:cs="Times New Roman"/>
          <w:lang w:eastAsia="zh-CN"/>
        </w:rPr>
      </w:pPr>
      <w:r>
        <w:rPr>
          <w:rFonts w:ascii="宋体" w:hAnsi="宋体" w:cs="宋体"/>
          <w:color w:val="auto"/>
          <w:kern w:val="2"/>
          <w:szCs w:val="24"/>
          <w:lang w:eastAsia="zh-CN"/>
        </w:rPr>
        <w:t>我司拟研制一款低成本安防无人车自主导航控制系统及多节点巡逻预警系统，该系统主要面向矿区、林区防火、园区周界等复杂道路和开放区域。系统作为安防无人车的自动驾驶控制与巡逻预警平台，</w:t>
      </w:r>
      <w:r>
        <w:rPr>
          <w:rFonts w:cs="Times New Roman"/>
          <w:lang w:eastAsia="zh-CN"/>
        </w:rPr>
        <w:t>应具备环境感知、目标检测、组合定位、地图与路线管理、轨迹规划、运动控制、障碍物避让、安全停车、人工接管、底盘控制指令下发、多节点接入、任务协同、状态监控、告警汇聚和事件记录等能力，并满足长期运行、现场维护、后续扩展和二次集成需要，</w:t>
      </w:r>
      <w:r>
        <w:rPr>
          <w:rFonts w:ascii="宋体" w:hAnsi="宋体" w:cs="宋体"/>
          <w:color w:val="auto"/>
          <w:kern w:val="2"/>
          <w:szCs w:val="24"/>
          <w:lang w:eastAsia="zh-CN"/>
        </w:rPr>
        <w:t>用于支撑整车自主行驶、脱困避让、多节点巡逻预警、无人车协同作业及系统集成验证。</w:t>
      </w:r>
    </w:p>
    <w:p w14:paraId="570ED099">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（三）询价货物名称及数量</w:t>
      </w:r>
    </w:p>
    <w:tbl>
      <w:tblPr>
        <w:tblStyle w:val="33"/>
        <w:tblW w:w="4780" w:type="pct"/>
        <w:jc w:val="center"/>
        <w:tblLayout w:type="autofit"/>
        <w:tblCellMar>
          <w:top w:w="0" w:type="dxa"/>
          <w:left w:w="108" w:type="dxa"/>
          <w:bottom w:w="0" w:type="dxa"/>
          <w:right w:w="108" w:type="dxa"/>
        </w:tblCellMar>
      </w:tblPr>
      <w:tblGrid>
        <w:gridCol w:w="392"/>
        <w:gridCol w:w="2643"/>
        <w:gridCol w:w="1503"/>
        <w:gridCol w:w="3575"/>
      </w:tblGrid>
      <w:tr w14:paraId="6D5E86C2">
        <w:trPr>
          <w:cantSplit/>
          <w:tblHeader/>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49EF451F">
            <w:pPr>
              <w:spacing w:line="276" w:lineRule="auto"/>
              <w:jc w:val="center"/>
            </w:pPr>
            <w:r>
              <w:rPr>
                <w:rFonts w:cs="Times New Roman"/>
                <w:b/>
                <w:sz w:val="21"/>
              </w:rPr>
              <w:t>序号</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B3B884E">
            <w:pPr>
              <w:spacing w:line="276" w:lineRule="auto"/>
              <w:jc w:val="center"/>
            </w:pPr>
            <w:r>
              <w:rPr>
                <w:rFonts w:cs="Times New Roman"/>
                <w:b/>
                <w:sz w:val="21"/>
              </w:rPr>
              <w:t>名称</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5E91491">
            <w:pPr>
              <w:spacing w:line="276" w:lineRule="auto"/>
              <w:jc w:val="center"/>
            </w:pPr>
            <w:r>
              <w:rPr>
                <w:rFonts w:cs="Times New Roman"/>
                <w:b/>
                <w:sz w:val="21"/>
              </w:rPr>
              <w:t>数量</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49C6DECF">
            <w:pPr>
              <w:spacing w:line="276" w:lineRule="auto"/>
              <w:jc w:val="center"/>
            </w:pPr>
            <w:r>
              <w:rPr>
                <w:rFonts w:hint="eastAsia" w:cs="Times New Roman"/>
                <w:b/>
                <w:sz w:val="21"/>
                <w:lang w:eastAsia="zh-CN"/>
              </w:rPr>
              <w:t>备注</w:t>
            </w:r>
          </w:p>
        </w:tc>
      </w:tr>
      <w:tr w14:paraId="02D8CA51">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E64BF54">
            <w:pPr>
              <w:spacing w:line="276" w:lineRule="auto"/>
              <w:jc w:val="center"/>
            </w:pPr>
            <w:r>
              <w:rPr>
                <w:rFonts w:cs="Times New Roman"/>
                <w:sz w:val="21"/>
              </w:rPr>
              <w:t>1</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A0CE749">
            <w:pPr>
              <w:spacing w:line="276" w:lineRule="auto"/>
            </w:pPr>
            <w:r>
              <w:rPr>
                <w:rFonts w:cs="Times New Roman"/>
                <w:sz w:val="21"/>
              </w:rPr>
              <w:t>无人车自主导航控制系统</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C11B955">
            <w:pPr>
              <w:spacing w:line="276" w:lineRule="auto"/>
            </w:pPr>
            <w:r>
              <w:rPr>
                <w:rFonts w:cs="Times New Roman"/>
                <w:sz w:val="21"/>
              </w:rPr>
              <w:t>1套</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EFFB53E">
            <w:pPr>
              <w:spacing w:line="276" w:lineRule="auto"/>
            </w:pPr>
            <w:r>
              <w:rPr>
                <w:rFonts w:cs="Times New Roman"/>
                <w:sz w:val="21"/>
              </w:rPr>
              <w:t>含感知、定位、规划、控制、诊断、日志及安全机制</w:t>
            </w:r>
          </w:p>
        </w:tc>
      </w:tr>
      <w:tr w14:paraId="710B3B4F">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1D64125">
            <w:pPr>
              <w:spacing w:line="276" w:lineRule="auto"/>
              <w:jc w:val="center"/>
            </w:pPr>
            <w:r>
              <w:rPr>
                <w:rFonts w:cs="Times New Roman"/>
                <w:sz w:val="21"/>
              </w:rPr>
              <w:t>2</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38DF95E">
            <w:pPr>
              <w:spacing w:line="276" w:lineRule="auto"/>
            </w:pPr>
            <w:r>
              <w:rPr>
                <w:rFonts w:cs="Times New Roman"/>
                <w:sz w:val="21"/>
              </w:rPr>
              <w:t>域控制器</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18A45C39">
            <w:pPr>
              <w:spacing w:line="276" w:lineRule="auto"/>
            </w:pPr>
            <w:r>
              <w:rPr>
                <w:rFonts w:cs="Times New Roman"/>
                <w:sz w:val="21"/>
              </w:rPr>
              <w:t>1套</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472BEB6">
            <w:pPr>
              <w:spacing w:line="276" w:lineRule="auto"/>
            </w:pPr>
            <w:r>
              <w:rPr>
                <w:rFonts w:cs="Times New Roman"/>
                <w:sz w:val="21"/>
              </w:rPr>
              <w:t>如采用双机方案，应按实际方案完整配置</w:t>
            </w:r>
          </w:p>
        </w:tc>
      </w:tr>
      <w:tr w14:paraId="5338D15C">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6EF34D1">
            <w:pPr>
              <w:spacing w:line="276" w:lineRule="auto"/>
              <w:jc w:val="center"/>
            </w:pPr>
            <w:r>
              <w:rPr>
                <w:rFonts w:cs="Times New Roman"/>
                <w:sz w:val="21"/>
              </w:rPr>
              <w:t>3</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1CA1E27">
            <w:pPr>
              <w:spacing w:line="276" w:lineRule="auto"/>
            </w:pPr>
            <w:r>
              <w:rPr>
                <w:rFonts w:cs="Times New Roman"/>
                <w:sz w:val="21"/>
              </w:rPr>
              <w:t>主激光雷达及配套线束、支架</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1F38B0C">
            <w:pPr>
              <w:spacing w:line="276" w:lineRule="auto"/>
            </w:pPr>
            <w:r>
              <w:rPr>
                <w:rFonts w:cs="Times New Roman"/>
                <w:sz w:val="21"/>
              </w:rPr>
              <w:t>1套</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72A0CC5">
            <w:pPr>
              <w:spacing w:line="276" w:lineRule="auto"/>
            </w:pPr>
            <w:r>
              <w:rPr>
                <w:rFonts w:cs="Times New Roman"/>
                <w:sz w:val="21"/>
              </w:rPr>
              <w:t>含安装、标定及防护附件</w:t>
            </w:r>
          </w:p>
        </w:tc>
      </w:tr>
      <w:tr w14:paraId="383C67E0">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45C49090">
            <w:pPr>
              <w:spacing w:line="276" w:lineRule="auto"/>
              <w:jc w:val="center"/>
            </w:pPr>
            <w:r>
              <w:rPr>
                <w:rFonts w:cs="Times New Roman"/>
                <w:sz w:val="21"/>
              </w:rPr>
              <w:t>4</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0EAAB7F">
            <w:pPr>
              <w:spacing w:line="276" w:lineRule="auto"/>
            </w:pPr>
            <w:r>
              <w:rPr>
                <w:rFonts w:cs="Times New Roman"/>
                <w:sz w:val="21"/>
              </w:rPr>
              <w:t>补盲雷达及配套线束、支架</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5C1F00A">
            <w:pPr>
              <w:spacing w:line="276" w:lineRule="auto"/>
            </w:pPr>
            <w:r>
              <w:rPr>
                <w:rFonts w:cs="Times New Roman"/>
                <w:sz w:val="21"/>
              </w:rPr>
              <w:t>4套或按确认方案</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C22A5B8">
            <w:pPr>
              <w:spacing w:line="276" w:lineRule="auto"/>
            </w:pPr>
            <w:r>
              <w:rPr>
                <w:rFonts w:cs="Times New Roman"/>
                <w:sz w:val="21"/>
              </w:rPr>
              <w:t>数量调整不得降低车周盲区覆盖能力</w:t>
            </w:r>
          </w:p>
        </w:tc>
      </w:tr>
      <w:tr w14:paraId="5678A676">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069C2A9">
            <w:pPr>
              <w:spacing w:line="276" w:lineRule="auto"/>
              <w:jc w:val="center"/>
            </w:pPr>
            <w:r>
              <w:rPr>
                <w:rFonts w:cs="Times New Roman"/>
                <w:sz w:val="21"/>
              </w:rPr>
              <w:t>5</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45D8F67">
            <w:pPr>
              <w:spacing w:line="276" w:lineRule="auto"/>
            </w:pPr>
            <w:r>
              <w:rPr>
                <w:rFonts w:cs="Times New Roman"/>
                <w:sz w:val="21"/>
              </w:rPr>
              <w:t>车载万兆交换机及配件</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44536399">
            <w:pPr>
              <w:spacing w:line="276" w:lineRule="auto"/>
            </w:pPr>
            <w:r>
              <w:rPr>
                <w:rFonts w:hint="eastAsia" w:cs="Times New Roman"/>
                <w:sz w:val="21"/>
                <w:lang w:eastAsia="zh-CN"/>
              </w:rPr>
              <w:t>2</w:t>
            </w:r>
            <w:r>
              <w:rPr>
                <w:rFonts w:cs="Times New Roman"/>
                <w:sz w:val="21"/>
              </w:rPr>
              <w:t>套或按确认方案</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4E20AC23">
            <w:pPr>
              <w:spacing w:line="276" w:lineRule="auto"/>
            </w:pPr>
            <w:r>
              <w:rPr>
                <w:rFonts w:cs="Times New Roman"/>
                <w:sz w:val="21"/>
              </w:rPr>
              <w:t>含电源、连接器和必要的网络附件</w:t>
            </w:r>
            <w:r>
              <w:rPr>
                <w:rFonts w:hint="eastAsia" w:cs="Times New Roman"/>
                <w:sz w:val="21"/>
                <w:lang w:eastAsia="zh-CN"/>
              </w:rPr>
              <w:t>，数量调整需满足车身分域</w:t>
            </w:r>
          </w:p>
        </w:tc>
      </w:tr>
      <w:tr w14:paraId="16123B1C">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D96DE59">
            <w:pPr>
              <w:spacing w:line="276" w:lineRule="auto"/>
              <w:jc w:val="center"/>
            </w:pPr>
            <w:r>
              <w:rPr>
                <w:rFonts w:cs="Times New Roman"/>
                <w:sz w:val="21"/>
              </w:rPr>
              <w:t>6</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4FDCE23C">
            <w:pPr>
              <w:spacing w:line="276" w:lineRule="auto"/>
            </w:pPr>
            <w:r>
              <w:rPr>
                <w:rFonts w:cs="Times New Roman"/>
                <w:sz w:val="21"/>
              </w:rPr>
              <w:t>周视相机及配套线束、支架</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7DFF2D5">
            <w:pPr>
              <w:spacing w:line="276" w:lineRule="auto"/>
            </w:pPr>
            <w:r>
              <w:rPr>
                <w:rFonts w:cs="Times New Roman"/>
                <w:sz w:val="21"/>
              </w:rPr>
              <w:t>11套或按确认方案</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1573C9D2">
            <w:pPr>
              <w:spacing w:line="276" w:lineRule="auto"/>
            </w:pPr>
            <w:r>
              <w:rPr>
                <w:rFonts w:cs="Times New Roman"/>
                <w:sz w:val="21"/>
              </w:rPr>
              <w:t>数量调整不得降低360°及近距补盲能力</w:t>
            </w:r>
          </w:p>
        </w:tc>
      </w:tr>
      <w:tr w14:paraId="185B1B8D">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4724F07">
            <w:pPr>
              <w:spacing w:line="276" w:lineRule="auto"/>
              <w:jc w:val="center"/>
            </w:pPr>
            <w:r>
              <w:rPr>
                <w:rFonts w:cs="Times New Roman"/>
                <w:sz w:val="21"/>
              </w:rPr>
              <w:t>7</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404E9FAD">
            <w:pPr>
              <w:spacing w:line="276" w:lineRule="auto"/>
            </w:pPr>
            <w:r>
              <w:rPr>
                <w:rFonts w:cs="Times New Roman"/>
                <w:sz w:val="21"/>
              </w:rPr>
              <w:t>组合惯导设备及差分服务</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3508B69">
            <w:pPr>
              <w:spacing w:line="276" w:lineRule="auto"/>
            </w:pPr>
            <w:r>
              <w:rPr>
                <w:rFonts w:cs="Times New Roman"/>
                <w:sz w:val="21"/>
              </w:rPr>
              <w:t>1套/不少于1年</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40113A2">
            <w:pPr>
              <w:spacing w:line="276" w:lineRule="auto"/>
            </w:pPr>
            <w:r>
              <w:rPr>
                <w:rFonts w:cs="Times New Roman"/>
                <w:sz w:val="21"/>
              </w:rPr>
              <w:t>含天线、线束、服务账号及标定</w:t>
            </w:r>
          </w:p>
        </w:tc>
      </w:tr>
      <w:tr w14:paraId="3CFE3CEF">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A3CA0B3">
            <w:pPr>
              <w:spacing w:line="276" w:lineRule="auto"/>
              <w:jc w:val="center"/>
            </w:pPr>
            <w:r>
              <w:rPr>
                <w:rFonts w:cs="Times New Roman"/>
                <w:sz w:val="21"/>
              </w:rPr>
              <w:t>8</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2EDE0E0">
            <w:pPr>
              <w:spacing w:line="276" w:lineRule="auto"/>
            </w:pPr>
            <w:r>
              <w:rPr>
                <w:rFonts w:cs="Times New Roman"/>
                <w:sz w:val="21"/>
              </w:rPr>
              <w:t>车载4G/5G</w:t>
            </w:r>
            <w:r>
              <w:rPr>
                <w:rFonts w:hint="eastAsia" w:cs="Times New Roman"/>
                <w:sz w:val="21"/>
                <w:lang w:eastAsia="zh-CN"/>
              </w:rPr>
              <w:t>+WiFi</w:t>
            </w:r>
            <w:r>
              <w:rPr>
                <w:rFonts w:cs="Times New Roman"/>
                <w:sz w:val="21"/>
              </w:rPr>
              <w:t>路由器及天线</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AD8AFF0">
            <w:pPr>
              <w:spacing w:line="276" w:lineRule="auto"/>
            </w:pPr>
            <w:r>
              <w:rPr>
                <w:rFonts w:cs="Times New Roman"/>
                <w:sz w:val="21"/>
              </w:rPr>
              <w:t>1套</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5E27DBA">
            <w:pPr>
              <w:spacing w:line="276" w:lineRule="auto"/>
            </w:pPr>
            <w:r>
              <w:rPr>
                <w:rFonts w:cs="Times New Roman"/>
                <w:sz w:val="21"/>
              </w:rPr>
              <w:t>支持远程视频、状态、告警和控制链路</w:t>
            </w:r>
          </w:p>
        </w:tc>
      </w:tr>
      <w:tr w14:paraId="2166AD48">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0747A0A">
            <w:pPr>
              <w:spacing w:line="276" w:lineRule="auto"/>
              <w:jc w:val="center"/>
            </w:pPr>
            <w:r>
              <w:rPr>
                <w:rFonts w:cs="Times New Roman"/>
                <w:sz w:val="21"/>
              </w:rPr>
              <w:t>9</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F7A839D">
            <w:pPr>
              <w:spacing w:line="276" w:lineRule="auto"/>
            </w:pPr>
            <w:r>
              <w:rPr>
                <w:rFonts w:cs="Times New Roman"/>
                <w:sz w:val="21"/>
              </w:rPr>
              <w:t>座舱式远程控制设备及配件</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A17D76E">
            <w:pPr>
              <w:spacing w:line="276" w:lineRule="auto"/>
            </w:pPr>
            <w:r>
              <w:rPr>
                <w:rFonts w:cs="Times New Roman"/>
                <w:sz w:val="21"/>
              </w:rPr>
              <w:t>1套</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FB0818C">
            <w:pPr>
              <w:spacing w:line="276" w:lineRule="auto"/>
            </w:pPr>
            <w:r>
              <w:rPr>
                <w:rFonts w:cs="Times New Roman"/>
                <w:sz w:val="21"/>
              </w:rPr>
              <w:t>含方向、加速、制动、急停及显示设备</w:t>
            </w:r>
          </w:p>
        </w:tc>
      </w:tr>
      <w:tr w14:paraId="1B935406">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B125953">
            <w:pPr>
              <w:spacing w:line="276" w:lineRule="auto"/>
              <w:jc w:val="center"/>
            </w:pPr>
            <w:r>
              <w:rPr>
                <w:rFonts w:cs="Times New Roman"/>
                <w:sz w:val="21"/>
              </w:rPr>
              <w:t>10</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9F9D1DF">
            <w:pPr>
              <w:spacing w:line="276" w:lineRule="auto"/>
            </w:pPr>
            <w:r>
              <w:rPr>
                <w:rFonts w:cs="Times New Roman"/>
                <w:sz w:val="21"/>
              </w:rPr>
              <w:t>自主系统配套线材及连接器</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4FF51048">
            <w:pPr>
              <w:spacing w:line="276" w:lineRule="auto"/>
            </w:pPr>
            <w:r>
              <w:rPr>
                <w:rFonts w:cs="Times New Roman"/>
                <w:sz w:val="21"/>
              </w:rPr>
              <w:t>1套</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77E83CF">
            <w:pPr>
              <w:spacing w:line="276" w:lineRule="auto"/>
            </w:pPr>
            <w:r>
              <w:rPr>
                <w:rFonts w:cs="Times New Roman"/>
                <w:sz w:val="21"/>
              </w:rPr>
              <w:t>含配电、通信、屏蔽、过流短路保护</w:t>
            </w:r>
            <w:r>
              <w:rPr>
                <w:rFonts w:hint="eastAsia" w:cs="Times New Roman"/>
                <w:sz w:val="21"/>
                <w:lang w:eastAsia="zh-CN"/>
              </w:rPr>
              <w:t>、</w:t>
            </w:r>
            <w:r>
              <w:rPr>
                <w:rFonts w:cs="Times New Roman"/>
                <w:sz w:val="21"/>
              </w:rPr>
              <w:t>接地、保险</w:t>
            </w:r>
            <w:r>
              <w:rPr>
                <w:rFonts w:hint="eastAsia" w:cs="Times New Roman"/>
                <w:sz w:val="21"/>
                <w:lang w:eastAsia="zh-CN"/>
              </w:rPr>
              <w:t>、</w:t>
            </w:r>
            <w:r>
              <w:rPr>
                <w:rFonts w:cs="Times New Roman"/>
                <w:sz w:val="21"/>
              </w:rPr>
              <w:t>标签及安装附件</w:t>
            </w:r>
          </w:p>
        </w:tc>
      </w:tr>
      <w:tr w14:paraId="41D3CB76">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4D8F91E">
            <w:pPr>
              <w:spacing w:line="276" w:lineRule="auto"/>
              <w:jc w:val="center"/>
              <w:rPr>
                <w:lang w:eastAsia="zh-CN"/>
              </w:rPr>
            </w:pPr>
            <w:r>
              <w:rPr>
                <w:rFonts w:cs="Times New Roman"/>
                <w:sz w:val="21"/>
              </w:rPr>
              <w:t>1</w:t>
            </w:r>
            <w:r>
              <w:rPr>
                <w:rFonts w:hint="eastAsia" w:cs="Times New Roman"/>
                <w:sz w:val="21"/>
                <w:lang w:eastAsia="zh-CN"/>
              </w:rPr>
              <w:t>1</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2D9D23D">
            <w:pPr>
              <w:spacing w:line="276" w:lineRule="auto"/>
            </w:pPr>
            <w:r>
              <w:rPr>
                <w:rFonts w:cs="Times New Roman"/>
                <w:sz w:val="21"/>
              </w:rPr>
              <w:t>多节点巡逻预警系统</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9631592">
            <w:pPr>
              <w:spacing w:line="276" w:lineRule="auto"/>
            </w:pPr>
            <w:r>
              <w:rPr>
                <w:rFonts w:cs="Times New Roman"/>
                <w:sz w:val="21"/>
              </w:rPr>
              <w:t>1套</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93F70B5">
            <w:pPr>
              <w:spacing w:line="276" w:lineRule="auto"/>
            </w:pPr>
            <w:r>
              <w:rPr>
                <w:rFonts w:cs="Times New Roman"/>
                <w:sz w:val="21"/>
              </w:rPr>
              <w:t>含任务管理、状态监控、告警联动、数据记录及协同模块</w:t>
            </w:r>
          </w:p>
        </w:tc>
      </w:tr>
      <w:tr w14:paraId="5F030232">
        <w:trPr>
          <w:cantSplit/>
          <w:jc w:val="center"/>
        </w:trPr>
        <w:tc>
          <w:tcPr>
            <w:tcW w:w="242"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531436F">
            <w:pPr>
              <w:spacing w:line="276" w:lineRule="auto"/>
              <w:jc w:val="center"/>
              <w:rPr>
                <w:lang w:eastAsia="zh-CN"/>
              </w:rPr>
            </w:pPr>
            <w:r>
              <w:rPr>
                <w:rFonts w:cs="Times New Roman"/>
                <w:sz w:val="21"/>
              </w:rPr>
              <w:t>1</w:t>
            </w:r>
            <w:r>
              <w:rPr>
                <w:rFonts w:hint="eastAsia" w:cs="Times New Roman"/>
                <w:sz w:val="21"/>
                <w:lang w:eastAsia="zh-CN"/>
              </w:rPr>
              <w:t>2</w:t>
            </w:r>
          </w:p>
        </w:tc>
        <w:tc>
          <w:tcPr>
            <w:tcW w:w="1629"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DF4E3CB">
            <w:pPr>
              <w:spacing w:line="276" w:lineRule="auto"/>
            </w:pPr>
            <w:r>
              <w:rPr>
                <w:rFonts w:cs="Times New Roman"/>
                <w:sz w:val="21"/>
              </w:rPr>
              <w:t>安装、调试、标定、培训及技术资料</w:t>
            </w:r>
          </w:p>
        </w:tc>
        <w:tc>
          <w:tcPr>
            <w:tcW w:w="926"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6D3E74C">
            <w:pPr>
              <w:spacing w:line="276" w:lineRule="auto"/>
            </w:pPr>
            <w:r>
              <w:rPr>
                <w:rFonts w:cs="Times New Roman"/>
                <w:sz w:val="21"/>
              </w:rPr>
              <w:t>1项</w:t>
            </w:r>
          </w:p>
        </w:tc>
        <w:tc>
          <w:tcPr>
            <w:tcW w:w="2203" w:type="pct"/>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A5D0E85">
            <w:pPr>
              <w:spacing w:line="276" w:lineRule="auto"/>
            </w:pPr>
            <w:r>
              <w:rPr>
                <w:rFonts w:cs="Times New Roman"/>
                <w:sz w:val="21"/>
              </w:rPr>
              <w:t>包含完成最终验收所需全部工作和资料</w:t>
            </w:r>
          </w:p>
        </w:tc>
      </w:tr>
    </w:tbl>
    <w:p w14:paraId="1B8D3F42">
      <w:pPr>
        <w:widowControl w:val="0"/>
        <w:adjustRightInd w:val="0"/>
        <w:snapToGrid w:val="0"/>
        <w:spacing w:line="500" w:lineRule="exact"/>
        <w:ind w:firstLine="480" w:firstLineChars="200"/>
        <w:jc w:val="both"/>
        <w:rPr>
          <w:rFonts w:ascii="宋体" w:hAnsi="宋体" w:cs="宋体"/>
          <w:b/>
          <w:bCs/>
          <w:color w:val="auto"/>
          <w:kern w:val="2"/>
          <w:szCs w:val="24"/>
          <w:lang w:eastAsia="zh-CN"/>
        </w:rPr>
      </w:pPr>
      <w:r>
        <w:rPr>
          <w:rFonts w:ascii="宋体" w:hAnsi="宋体" w:cs="宋体"/>
          <w:b/>
          <w:bCs/>
          <w:color w:val="auto"/>
          <w:kern w:val="2"/>
          <w:szCs w:val="24"/>
          <w:lang w:eastAsia="zh-CN"/>
        </w:rPr>
        <w:t>二、报价要求</w:t>
      </w:r>
    </w:p>
    <w:p w14:paraId="14C08073">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（一）报价说明</w:t>
      </w:r>
    </w:p>
    <w:p w14:paraId="380C7B78">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1.报价人须仔细阅读本询价文件的全部条款，并对各项内容做出明确响应。</w:t>
      </w:r>
    </w:p>
    <w:p w14:paraId="51E96D34">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2.报价文件应完整、准确，数据真实有效，内容清晰，签章齐全。</w:t>
      </w:r>
    </w:p>
    <w:p w14:paraId="28671739">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hint="eastAsia" w:ascii="宋体" w:hAnsi="宋体" w:cs="宋体"/>
          <w:color w:val="auto"/>
          <w:kern w:val="2"/>
          <w:szCs w:val="24"/>
          <w:lang w:val="en-US" w:eastAsia="zh-CN"/>
        </w:rPr>
        <w:t>3</w:t>
      </w:r>
      <w:r>
        <w:rPr>
          <w:rFonts w:ascii="宋体" w:hAnsi="宋体" w:cs="宋体"/>
          <w:color w:val="auto"/>
          <w:kern w:val="2"/>
          <w:szCs w:val="24"/>
          <w:lang w:eastAsia="zh-CN"/>
        </w:rPr>
        <w:t>.询价文件本部分中带有“*”号的条款为关键项，为报价方必须满足项，若有一项不满足将导致废标，报价时应提供充分的材料证据以证明其技术满足性，必要时可进行现场演示；其它非“*”号项为非关键项。</w:t>
      </w:r>
    </w:p>
    <w:p w14:paraId="030F5017">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（二）报价内容</w:t>
      </w:r>
    </w:p>
    <w:p w14:paraId="7D8040EB">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1.对无人车自主导航控制系统及多节点巡逻预警系统进行报价，并填写《报价单》。</w:t>
      </w:r>
    </w:p>
    <w:p w14:paraId="3C476AEA">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2.报价应包含设备到询价方的全部费用（包括运保费、安装、调试、测试、服务、培训及税费等）。</w:t>
      </w:r>
    </w:p>
    <w:p w14:paraId="1ADD6103">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3.报价货币为人民币。</w:t>
      </w:r>
    </w:p>
    <w:p w14:paraId="39DF66F0">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（三）资质要求</w:t>
      </w:r>
    </w:p>
    <w:p w14:paraId="4A7CDD87">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*1.提供企业工商注册相关资质证明、授权委托书（注明联系人及联系方式），并加盖单位公章。</w:t>
      </w:r>
    </w:p>
    <w:p w14:paraId="334B63CD">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2.供货单位应具备与本项目相关的研发及交付能力，提供类似产品相关业绩资料。</w:t>
      </w:r>
    </w:p>
    <w:p w14:paraId="6E408E8E">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3.供货单位应能够满足售后服务的相关要求。</w:t>
      </w:r>
    </w:p>
    <w:p w14:paraId="3DA9CAAF">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4.比质比价参与方认为有必要的其他证明文件。</w:t>
      </w:r>
    </w:p>
    <w:p w14:paraId="35D16109">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（四）响应文件</w:t>
      </w:r>
    </w:p>
    <w:p w14:paraId="3C84585B">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1.报价清单</w:t>
      </w:r>
      <w:r>
        <w:rPr>
          <w:rFonts w:hint="eastAsia" w:ascii="宋体" w:hAnsi="宋体" w:cs="宋体"/>
          <w:color w:val="auto"/>
          <w:kern w:val="2"/>
          <w:szCs w:val="24"/>
          <w:lang w:eastAsia="zh-CN"/>
        </w:rPr>
        <w:t>、</w:t>
      </w:r>
      <w:r>
        <w:rPr>
          <w:rFonts w:ascii="宋体" w:hAnsi="宋体" w:cs="宋体"/>
          <w:color w:val="auto"/>
          <w:kern w:val="2"/>
          <w:szCs w:val="24"/>
          <w:lang w:eastAsia="zh-CN"/>
        </w:rPr>
        <w:t>响应方案；</w:t>
      </w:r>
    </w:p>
    <w:p w14:paraId="3C3E7CD7">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2.营业执照副本扫描件；</w:t>
      </w:r>
    </w:p>
    <w:p w14:paraId="44481F85">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3.开户信息；</w:t>
      </w:r>
    </w:p>
    <w:p w14:paraId="1DEDFBDF">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4.法定代表人身份证扫描件；</w:t>
      </w:r>
    </w:p>
    <w:p w14:paraId="4DE46996">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5.项目负责人身份证及授权委托书扫描件；</w:t>
      </w:r>
    </w:p>
    <w:p w14:paraId="4EB37596">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6.比质比价参与方认为有必要的其他证明文件。</w:t>
      </w:r>
    </w:p>
    <w:p w14:paraId="55B2CA04">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上述资料均须</w:t>
      </w:r>
      <w:r>
        <w:rPr>
          <w:rFonts w:ascii="宋体" w:hAnsi="宋体" w:cs="宋体"/>
          <w:color w:val="auto"/>
          <w:kern w:val="2"/>
          <w:szCs w:val="24"/>
          <w:u w:val="single"/>
          <w:lang w:eastAsia="zh-CN"/>
        </w:rPr>
        <w:t>加盖公章</w:t>
      </w:r>
      <w:r>
        <w:rPr>
          <w:rFonts w:ascii="宋体" w:hAnsi="宋体" w:cs="宋体"/>
          <w:color w:val="auto"/>
          <w:kern w:val="2"/>
          <w:szCs w:val="24"/>
          <w:lang w:eastAsia="zh-CN"/>
        </w:rPr>
        <w:t>。</w:t>
      </w:r>
    </w:p>
    <w:p w14:paraId="46FCE314">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（五）文件递交</w:t>
      </w:r>
    </w:p>
    <w:p w14:paraId="6EA0581F">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请各报价单位于2026年</w:t>
      </w:r>
      <w:r>
        <w:rPr>
          <w:rFonts w:hint="eastAsia" w:ascii="宋体" w:hAnsi="宋体" w:cs="宋体"/>
          <w:color w:val="auto"/>
          <w:kern w:val="2"/>
          <w:szCs w:val="24"/>
          <w:lang w:eastAsia="zh-CN"/>
        </w:rPr>
        <w:t>7</w:t>
      </w:r>
      <w:r>
        <w:rPr>
          <w:rFonts w:ascii="宋体" w:hAnsi="宋体" w:cs="宋体"/>
          <w:color w:val="auto"/>
          <w:kern w:val="2"/>
          <w:szCs w:val="24"/>
          <w:lang w:eastAsia="zh-CN"/>
        </w:rPr>
        <w:t>月</w:t>
      </w:r>
      <w:r>
        <w:rPr>
          <w:rFonts w:hint="eastAsia" w:ascii="宋体" w:hAnsi="宋体" w:cs="宋体"/>
          <w:color w:val="auto"/>
          <w:kern w:val="2"/>
          <w:szCs w:val="24"/>
          <w:lang w:val="en-US" w:eastAsia="zh-CN"/>
        </w:rPr>
        <w:t>13</w:t>
      </w:r>
      <w:r>
        <w:rPr>
          <w:rFonts w:ascii="宋体" w:hAnsi="宋体" w:cs="宋体"/>
          <w:color w:val="auto"/>
          <w:kern w:val="2"/>
          <w:szCs w:val="24"/>
          <w:lang w:eastAsia="zh-CN"/>
        </w:rPr>
        <w:t>日前将纸质报价文件寄送至以下地址：</w:t>
      </w:r>
    </w:p>
    <w:p w14:paraId="18617FA5">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地址：</w:t>
      </w:r>
      <w:r>
        <w:rPr>
          <w:rFonts w:ascii="宋体" w:hAnsi="宋体" w:cs="宋体"/>
          <w:color w:val="auto"/>
          <w:kern w:val="2"/>
          <w:szCs w:val="24"/>
          <w:lang w:val="en-US" w:eastAsia="zh-CN"/>
        </w:rPr>
        <w:t>深圳市光明区凤凰街道塘尾社区光明大道380号尚智科技园3C栋</w:t>
      </w:r>
    </w:p>
    <w:p w14:paraId="6F6AA372">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联系人：洪超宇</w:t>
      </w:r>
    </w:p>
    <w:p w14:paraId="690D49B1">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联系电话：13450258899</w:t>
      </w:r>
    </w:p>
    <w:p w14:paraId="6F40B856">
      <w:pPr>
        <w:widowControl w:val="0"/>
        <w:adjustRightInd w:val="0"/>
        <w:snapToGrid w:val="0"/>
        <w:spacing w:line="500" w:lineRule="exact"/>
        <w:ind w:firstLine="480" w:firstLineChars="200"/>
        <w:jc w:val="both"/>
        <w:rPr>
          <w:rFonts w:ascii="宋体" w:hAnsi="宋体" w:cs="宋体"/>
          <w:b/>
          <w:bCs/>
          <w:color w:val="auto"/>
          <w:kern w:val="2"/>
          <w:szCs w:val="24"/>
          <w:lang w:eastAsia="zh-CN"/>
        </w:rPr>
      </w:pPr>
      <w:r>
        <w:rPr>
          <w:rFonts w:hint="eastAsia" w:ascii="宋体" w:hAnsi="宋体" w:cs="宋体"/>
          <w:b/>
          <w:bCs/>
          <w:color w:val="auto"/>
          <w:kern w:val="2"/>
          <w:szCs w:val="24"/>
          <w:lang w:eastAsia="zh-CN"/>
        </w:rPr>
        <w:t>三</w:t>
      </w:r>
      <w:r>
        <w:rPr>
          <w:rFonts w:ascii="宋体" w:hAnsi="宋体" w:cs="宋体"/>
          <w:b/>
          <w:bCs/>
          <w:color w:val="auto"/>
          <w:kern w:val="2"/>
          <w:szCs w:val="24"/>
          <w:lang w:eastAsia="zh-CN"/>
        </w:rPr>
        <w:t>、技术规格及主要参数</w:t>
      </w:r>
    </w:p>
    <w:p w14:paraId="147CC99E">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（一）硬件、电气及安装技术要求</w:t>
      </w:r>
    </w:p>
    <w:tbl>
      <w:tblPr>
        <w:tblStyle w:val="33"/>
        <w:tblW w:w="478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90"/>
        <w:gridCol w:w="1623"/>
        <w:gridCol w:w="6100"/>
      </w:tblGrid>
      <w:tr w14:paraId="2673A33F">
        <w:trPr>
          <w:tblHeader/>
          <w:jc w:val="center"/>
        </w:trPr>
        <w:tc>
          <w:tcPr>
            <w:tcW w:w="165" w:type="pct"/>
            <w:tcMar>
              <w:top w:w="70" w:type="dxa"/>
              <w:left w:w="90" w:type="dxa"/>
              <w:bottom w:w="70" w:type="dxa"/>
              <w:right w:w="90" w:type="dxa"/>
            </w:tcMar>
            <w:vAlign w:val="center"/>
          </w:tcPr>
          <w:p w14:paraId="2C7E7CC9">
            <w:pPr>
              <w:spacing w:line="276" w:lineRule="auto"/>
              <w:jc w:val="center"/>
            </w:pPr>
            <w:r>
              <w:rPr>
                <w:rFonts w:eastAsia="黑体"/>
                <w:sz w:val="21"/>
              </w:rPr>
              <w:t>序号</w:t>
            </w:r>
          </w:p>
        </w:tc>
        <w:tc>
          <w:tcPr>
            <w:tcW w:w="1038" w:type="pct"/>
            <w:tcMar>
              <w:top w:w="70" w:type="dxa"/>
              <w:left w:w="90" w:type="dxa"/>
              <w:bottom w:w="70" w:type="dxa"/>
              <w:right w:w="90" w:type="dxa"/>
            </w:tcMar>
            <w:vAlign w:val="center"/>
          </w:tcPr>
          <w:p w14:paraId="0B85FA26">
            <w:pPr>
              <w:spacing w:line="276" w:lineRule="auto"/>
              <w:jc w:val="center"/>
            </w:pPr>
            <w:r>
              <w:rPr>
                <w:rFonts w:eastAsia="黑体"/>
                <w:sz w:val="21"/>
              </w:rPr>
              <w:t>项目</w:t>
            </w:r>
          </w:p>
        </w:tc>
        <w:tc>
          <w:tcPr>
            <w:tcW w:w="3797" w:type="pct"/>
            <w:tcMar>
              <w:top w:w="70" w:type="dxa"/>
              <w:left w:w="90" w:type="dxa"/>
              <w:bottom w:w="70" w:type="dxa"/>
              <w:right w:w="90" w:type="dxa"/>
            </w:tcMar>
            <w:vAlign w:val="center"/>
          </w:tcPr>
          <w:p w14:paraId="2DDA3017">
            <w:pPr>
              <w:spacing w:line="276" w:lineRule="auto"/>
              <w:jc w:val="center"/>
            </w:pPr>
            <w:r>
              <w:rPr>
                <w:rFonts w:eastAsia="黑体"/>
                <w:sz w:val="21"/>
              </w:rPr>
              <w:t>技术指标与约束</w:t>
            </w:r>
          </w:p>
        </w:tc>
      </w:tr>
      <w:tr w14:paraId="4590EBA4">
        <w:trPr>
          <w:cantSplit/>
          <w:jc w:val="center"/>
        </w:trPr>
        <w:tc>
          <w:tcPr>
            <w:tcW w:w="165" w:type="pct"/>
            <w:tcMar>
              <w:top w:w="70" w:type="dxa"/>
              <w:left w:w="90" w:type="dxa"/>
              <w:bottom w:w="70" w:type="dxa"/>
              <w:right w:w="90" w:type="dxa"/>
            </w:tcMar>
            <w:vAlign w:val="center"/>
          </w:tcPr>
          <w:p w14:paraId="3D4A66E7">
            <w:pPr>
              <w:spacing w:line="276" w:lineRule="auto"/>
              <w:jc w:val="center"/>
            </w:pPr>
            <w:r>
              <w:rPr>
                <w:sz w:val="21"/>
              </w:rPr>
              <w:t>1</w:t>
            </w:r>
          </w:p>
        </w:tc>
        <w:tc>
          <w:tcPr>
            <w:tcW w:w="1038" w:type="pct"/>
            <w:tcMar>
              <w:top w:w="70" w:type="dxa"/>
              <w:left w:w="90" w:type="dxa"/>
              <w:bottom w:w="70" w:type="dxa"/>
              <w:right w:w="90" w:type="dxa"/>
            </w:tcMar>
            <w:vAlign w:val="center"/>
          </w:tcPr>
          <w:p w14:paraId="6A5A7C8A">
            <w:pPr>
              <w:spacing w:line="276" w:lineRule="auto"/>
              <w:jc w:val="center"/>
            </w:pPr>
            <w:r>
              <w:rPr>
                <w:sz w:val="21"/>
              </w:rPr>
              <w:t>硬件完整性</w:t>
            </w:r>
          </w:p>
        </w:tc>
        <w:tc>
          <w:tcPr>
            <w:tcW w:w="3797" w:type="pct"/>
            <w:tcMar>
              <w:top w:w="70" w:type="dxa"/>
              <w:left w:w="90" w:type="dxa"/>
              <w:bottom w:w="70" w:type="dxa"/>
              <w:right w:w="90" w:type="dxa"/>
            </w:tcMar>
            <w:vAlign w:val="center"/>
          </w:tcPr>
          <w:p w14:paraId="2C68A50F">
            <w:pPr>
              <w:spacing w:line="276" w:lineRule="auto"/>
              <w:rPr>
                <w:lang w:eastAsia="zh-CN"/>
              </w:rPr>
            </w:pPr>
            <w:r>
              <w:rPr>
                <w:sz w:val="21"/>
                <w:lang w:eastAsia="zh-CN"/>
              </w:rPr>
              <w:t>设备及配套</w:t>
            </w:r>
            <w:r>
              <w:rPr>
                <w:rFonts w:hint="eastAsia"/>
                <w:sz w:val="21"/>
                <w:lang w:eastAsia="zh-CN"/>
              </w:rPr>
              <w:t>结构件、</w:t>
            </w:r>
            <w:r>
              <w:rPr>
                <w:sz w:val="21"/>
                <w:lang w:eastAsia="zh-CN"/>
              </w:rPr>
              <w:t>散热件和紧固件应齐全完好；设备应有可追溯铭牌，标明制造商、型号、序列号、额定电压和生产日期。</w:t>
            </w:r>
          </w:p>
        </w:tc>
      </w:tr>
      <w:tr w14:paraId="0E296545">
        <w:trPr>
          <w:cantSplit/>
          <w:jc w:val="center"/>
        </w:trPr>
        <w:tc>
          <w:tcPr>
            <w:tcW w:w="165" w:type="pct"/>
            <w:tcMar>
              <w:top w:w="70" w:type="dxa"/>
              <w:left w:w="90" w:type="dxa"/>
              <w:bottom w:w="70" w:type="dxa"/>
              <w:right w:w="90" w:type="dxa"/>
            </w:tcMar>
            <w:vAlign w:val="center"/>
          </w:tcPr>
          <w:p w14:paraId="63ACDF72">
            <w:pPr>
              <w:spacing w:line="276" w:lineRule="auto"/>
              <w:jc w:val="center"/>
            </w:pPr>
            <w:r>
              <w:rPr>
                <w:sz w:val="21"/>
              </w:rPr>
              <w:t>2</w:t>
            </w:r>
          </w:p>
        </w:tc>
        <w:tc>
          <w:tcPr>
            <w:tcW w:w="1038" w:type="pct"/>
            <w:tcMar>
              <w:top w:w="70" w:type="dxa"/>
              <w:left w:w="90" w:type="dxa"/>
              <w:bottom w:w="70" w:type="dxa"/>
              <w:right w:w="90" w:type="dxa"/>
            </w:tcMar>
            <w:vAlign w:val="center"/>
          </w:tcPr>
          <w:p w14:paraId="16498D96">
            <w:pPr>
              <w:spacing w:line="276" w:lineRule="auto"/>
              <w:jc w:val="center"/>
              <w:rPr>
                <w:sz w:val="21"/>
                <w:lang w:eastAsia="zh-CN"/>
              </w:rPr>
            </w:pPr>
            <w:r>
              <w:rPr>
                <w:sz w:val="21"/>
              </w:rPr>
              <w:t>域控制器及</w:t>
            </w:r>
          </w:p>
          <w:p w14:paraId="7A0515B1">
            <w:pPr>
              <w:spacing w:line="276" w:lineRule="auto"/>
              <w:jc w:val="center"/>
            </w:pPr>
            <w:r>
              <w:rPr>
                <w:sz w:val="21"/>
              </w:rPr>
              <w:t>计算平台</w:t>
            </w:r>
          </w:p>
        </w:tc>
        <w:tc>
          <w:tcPr>
            <w:tcW w:w="3797" w:type="pct"/>
            <w:tcMar>
              <w:top w:w="70" w:type="dxa"/>
              <w:left w:w="90" w:type="dxa"/>
              <w:bottom w:w="70" w:type="dxa"/>
              <w:right w:w="90" w:type="dxa"/>
            </w:tcMar>
            <w:vAlign w:val="center"/>
          </w:tcPr>
          <w:p w14:paraId="301E1C1E">
            <w:pPr>
              <w:spacing w:line="276" w:lineRule="auto"/>
              <w:rPr>
                <w:lang w:eastAsia="zh-CN"/>
              </w:rPr>
            </w:pPr>
            <w:r>
              <w:rPr>
                <w:sz w:val="21"/>
                <w:lang w:eastAsia="zh-CN"/>
              </w:rPr>
              <w:t>采用车</w:t>
            </w:r>
            <w:r>
              <w:rPr>
                <w:rFonts w:hint="eastAsia"/>
                <w:sz w:val="21"/>
                <w:lang w:eastAsia="zh-CN"/>
              </w:rPr>
              <w:t>规</w:t>
            </w:r>
            <w:r>
              <w:rPr>
                <w:sz w:val="21"/>
                <w:lang w:eastAsia="zh-CN"/>
              </w:rPr>
              <w:t>计算平台，满足</w:t>
            </w:r>
            <w:r>
              <w:rPr>
                <w:rFonts w:hint="eastAsia"/>
                <w:sz w:val="21"/>
                <w:lang w:eastAsia="zh-CN"/>
              </w:rPr>
              <w:t>自主系统各模块</w:t>
            </w:r>
            <w:r>
              <w:rPr>
                <w:sz w:val="21"/>
                <w:lang w:eastAsia="zh-CN"/>
              </w:rPr>
              <w:t>并行运行。验收工况下CPU、GPU平均占用率≤60%、峰值≤85%，内存占用率≤75%，磁盘可用空间≥20%；配置工业级存储及以太网</w:t>
            </w:r>
            <w:r>
              <w:rPr>
                <w:rFonts w:hint="eastAsia"/>
                <w:sz w:val="21"/>
                <w:lang w:eastAsia="zh-CN"/>
              </w:rPr>
              <w:t>/车载以太网</w:t>
            </w:r>
            <w:r>
              <w:rPr>
                <w:sz w:val="21"/>
                <w:lang w:eastAsia="zh-CN"/>
              </w:rPr>
              <w:t>、CAN/CAN FD、串口、USB、数字量接口，具备容量告警、循环覆盖和散热保护。</w:t>
            </w:r>
          </w:p>
        </w:tc>
      </w:tr>
      <w:tr w14:paraId="32E06106">
        <w:trPr>
          <w:cantSplit/>
          <w:jc w:val="center"/>
        </w:trPr>
        <w:tc>
          <w:tcPr>
            <w:tcW w:w="165" w:type="pct"/>
            <w:tcMar>
              <w:top w:w="70" w:type="dxa"/>
              <w:left w:w="90" w:type="dxa"/>
              <w:bottom w:w="70" w:type="dxa"/>
              <w:right w:w="90" w:type="dxa"/>
            </w:tcMar>
            <w:vAlign w:val="center"/>
          </w:tcPr>
          <w:p w14:paraId="651ECEA6">
            <w:pPr>
              <w:spacing w:line="276" w:lineRule="auto"/>
              <w:jc w:val="center"/>
            </w:pPr>
            <w:r>
              <w:rPr>
                <w:sz w:val="21"/>
              </w:rPr>
              <w:t>3</w:t>
            </w:r>
          </w:p>
        </w:tc>
        <w:tc>
          <w:tcPr>
            <w:tcW w:w="1038" w:type="pct"/>
            <w:tcMar>
              <w:top w:w="70" w:type="dxa"/>
              <w:left w:w="90" w:type="dxa"/>
              <w:bottom w:w="70" w:type="dxa"/>
              <w:right w:w="90" w:type="dxa"/>
            </w:tcMar>
            <w:vAlign w:val="center"/>
          </w:tcPr>
          <w:p w14:paraId="2B391C89">
            <w:pPr>
              <w:spacing w:line="276" w:lineRule="auto"/>
              <w:jc w:val="center"/>
              <w:rPr>
                <w:sz w:val="21"/>
                <w:lang w:eastAsia="zh-CN"/>
              </w:rPr>
            </w:pPr>
            <w:r>
              <w:rPr>
                <w:sz w:val="21"/>
              </w:rPr>
              <w:t>感知与定位</w:t>
            </w:r>
          </w:p>
          <w:p w14:paraId="69EA9430">
            <w:pPr>
              <w:spacing w:line="276" w:lineRule="auto"/>
              <w:jc w:val="center"/>
            </w:pPr>
            <w:r>
              <w:rPr>
                <w:sz w:val="21"/>
              </w:rPr>
              <w:t>设备</w:t>
            </w:r>
          </w:p>
        </w:tc>
        <w:tc>
          <w:tcPr>
            <w:tcW w:w="3797" w:type="pct"/>
            <w:tcMar>
              <w:top w:w="70" w:type="dxa"/>
              <w:left w:w="90" w:type="dxa"/>
              <w:bottom w:w="70" w:type="dxa"/>
              <w:right w:w="90" w:type="dxa"/>
            </w:tcMar>
            <w:vAlign w:val="center"/>
          </w:tcPr>
          <w:p w14:paraId="6743E621">
            <w:pPr>
              <w:spacing w:line="276" w:lineRule="auto"/>
              <w:rPr>
                <w:lang w:eastAsia="zh-CN"/>
              </w:rPr>
            </w:pPr>
            <w:r>
              <w:rPr>
                <w:sz w:val="21"/>
                <w:lang w:eastAsia="zh-CN"/>
              </w:rPr>
              <w:t>应满足感知、补盲、接管、建图及差分定位需求；明确视场、距离、精度、帧率和防护参数，无影响安全行驶的连续盲区，并适应夜间、逆光工况。</w:t>
            </w:r>
          </w:p>
        </w:tc>
      </w:tr>
      <w:tr w14:paraId="6E72B432">
        <w:trPr>
          <w:cantSplit/>
          <w:jc w:val="center"/>
        </w:trPr>
        <w:tc>
          <w:tcPr>
            <w:tcW w:w="165" w:type="pct"/>
            <w:tcMar>
              <w:top w:w="70" w:type="dxa"/>
              <w:left w:w="90" w:type="dxa"/>
              <w:bottom w:w="70" w:type="dxa"/>
              <w:right w:w="90" w:type="dxa"/>
            </w:tcMar>
            <w:vAlign w:val="center"/>
          </w:tcPr>
          <w:p w14:paraId="64F6DF45">
            <w:pPr>
              <w:spacing w:line="276" w:lineRule="auto"/>
              <w:jc w:val="center"/>
            </w:pPr>
            <w:r>
              <w:rPr>
                <w:sz w:val="21"/>
              </w:rPr>
              <w:t>4</w:t>
            </w:r>
          </w:p>
        </w:tc>
        <w:tc>
          <w:tcPr>
            <w:tcW w:w="1038" w:type="pct"/>
            <w:tcMar>
              <w:top w:w="70" w:type="dxa"/>
              <w:left w:w="90" w:type="dxa"/>
              <w:bottom w:w="70" w:type="dxa"/>
              <w:right w:w="90" w:type="dxa"/>
            </w:tcMar>
            <w:vAlign w:val="center"/>
          </w:tcPr>
          <w:p w14:paraId="6DE04DD4">
            <w:pPr>
              <w:spacing w:line="276" w:lineRule="auto"/>
              <w:jc w:val="center"/>
            </w:pPr>
            <w:r>
              <w:rPr>
                <w:sz w:val="21"/>
              </w:rPr>
              <w:t>时间同步</w:t>
            </w:r>
          </w:p>
        </w:tc>
        <w:tc>
          <w:tcPr>
            <w:tcW w:w="3797" w:type="pct"/>
            <w:tcMar>
              <w:top w:w="70" w:type="dxa"/>
              <w:left w:w="90" w:type="dxa"/>
              <w:bottom w:w="70" w:type="dxa"/>
              <w:right w:w="90" w:type="dxa"/>
            </w:tcMar>
            <w:vAlign w:val="center"/>
          </w:tcPr>
          <w:p w14:paraId="5116B035">
            <w:pPr>
              <w:spacing w:line="276" w:lineRule="auto"/>
              <w:rPr>
                <w:lang w:eastAsia="zh-CN"/>
              </w:rPr>
            </w:pPr>
            <w:r>
              <w:rPr>
                <w:sz w:val="21"/>
                <w:lang w:eastAsia="zh-CN"/>
              </w:rPr>
              <w:t>激光雷达、</w:t>
            </w:r>
            <w:r>
              <w:rPr>
                <w:rFonts w:hint="eastAsia"/>
                <w:sz w:val="21"/>
                <w:lang w:eastAsia="zh-CN"/>
              </w:rPr>
              <w:t>毫米波雷达、</w:t>
            </w:r>
            <w:r>
              <w:rPr>
                <w:sz w:val="21"/>
                <w:lang w:eastAsia="zh-CN"/>
              </w:rPr>
              <w:t>相机、组合惯导、域控制器和记录系统采用统一时钟，支持PTP、PPS或等效硬件同步；时间戳对齐误差≤5 ms。</w:t>
            </w:r>
          </w:p>
        </w:tc>
      </w:tr>
      <w:tr w14:paraId="1F052321">
        <w:trPr>
          <w:cantSplit/>
          <w:jc w:val="center"/>
        </w:trPr>
        <w:tc>
          <w:tcPr>
            <w:tcW w:w="165" w:type="pct"/>
            <w:tcMar>
              <w:top w:w="70" w:type="dxa"/>
              <w:left w:w="90" w:type="dxa"/>
              <w:bottom w:w="70" w:type="dxa"/>
              <w:right w:w="90" w:type="dxa"/>
            </w:tcMar>
            <w:vAlign w:val="center"/>
          </w:tcPr>
          <w:p w14:paraId="4177E54A">
            <w:pPr>
              <w:spacing w:line="276" w:lineRule="auto"/>
              <w:jc w:val="center"/>
            </w:pPr>
            <w:r>
              <w:rPr>
                <w:sz w:val="21"/>
              </w:rPr>
              <w:t>5</w:t>
            </w:r>
          </w:p>
        </w:tc>
        <w:tc>
          <w:tcPr>
            <w:tcW w:w="1038" w:type="pct"/>
            <w:tcMar>
              <w:top w:w="70" w:type="dxa"/>
              <w:left w:w="90" w:type="dxa"/>
              <w:bottom w:w="70" w:type="dxa"/>
              <w:right w:w="90" w:type="dxa"/>
            </w:tcMar>
            <w:vAlign w:val="center"/>
          </w:tcPr>
          <w:p w14:paraId="2FA41CEE">
            <w:pPr>
              <w:spacing w:line="276" w:lineRule="auto"/>
              <w:jc w:val="center"/>
            </w:pPr>
            <w:r>
              <w:rPr>
                <w:sz w:val="21"/>
              </w:rPr>
              <w:t>车载交换机</w:t>
            </w:r>
          </w:p>
        </w:tc>
        <w:tc>
          <w:tcPr>
            <w:tcW w:w="3797" w:type="pct"/>
            <w:tcMar>
              <w:top w:w="70" w:type="dxa"/>
              <w:left w:w="90" w:type="dxa"/>
              <w:bottom w:w="70" w:type="dxa"/>
              <w:right w:w="90" w:type="dxa"/>
            </w:tcMar>
            <w:vAlign w:val="center"/>
          </w:tcPr>
          <w:p w14:paraId="45F69028">
            <w:pPr>
              <w:spacing w:line="276" w:lineRule="auto"/>
              <w:rPr>
                <w:lang w:eastAsia="zh-CN"/>
              </w:rPr>
            </w:pPr>
            <w:r>
              <w:rPr>
                <w:sz w:val="21"/>
                <w:lang w:eastAsia="zh-CN"/>
              </w:rPr>
              <w:t>支持千兆</w:t>
            </w:r>
            <w:r>
              <w:rPr>
                <w:rFonts w:hint="eastAsia"/>
                <w:sz w:val="21"/>
                <w:lang w:eastAsia="zh-CN"/>
              </w:rPr>
              <w:t>（线速转发）</w:t>
            </w:r>
            <w:r>
              <w:rPr>
                <w:sz w:val="21"/>
                <w:lang w:eastAsia="zh-CN"/>
              </w:rPr>
              <w:t>/万兆、VLAN、QoS、链路监测及必要的PTP；满负荷运行无拥塞、异常丢包或端口掉线。</w:t>
            </w:r>
          </w:p>
        </w:tc>
      </w:tr>
      <w:tr w14:paraId="5A2D996D">
        <w:trPr>
          <w:cantSplit/>
          <w:jc w:val="center"/>
        </w:trPr>
        <w:tc>
          <w:tcPr>
            <w:tcW w:w="165" w:type="pct"/>
            <w:tcMar>
              <w:top w:w="70" w:type="dxa"/>
              <w:left w:w="90" w:type="dxa"/>
              <w:bottom w:w="70" w:type="dxa"/>
              <w:right w:w="90" w:type="dxa"/>
            </w:tcMar>
            <w:vAlign w:val="center"/>
          </w:tcPr>
          <w:p w14:paraId="23215F3D">
            <w:pPr>
              <w:spacing w:line="276" w:lineRule="auto"/>
              <w:jc w:val="center"/>
            </w:pPr>
            <w:r>
              <w:rPr>
                <w:sz w:val="21"/>
              </w:rPr>
              <w:t>6</w:t>
            </w:r>
          </w:p>
        </w:tc>
        <w:tc>
          <w:tcPr>
            <w:tcW w:w="1038" w:type="pct"/>
            <w:tcMar>
              <w:top w:w="70" w:type="dxa"/>
              <w:left w:w="90" w:type="dxa"/>
              <w:bottom w:w="70" w:type="dxa"/>
              <w:right w:w="90" w:type="dxa"/>
            </w:tcMar>
            <w:vAlign w:val="center"/>
          </w:tcPr>
          <w:p w14:paraId="524F6E1E">
            <w:pPr>
              <w:spacing w:line="276" w:lineRule="auto"/>
              <w:jc w:val="center"/>
            </w:pPr>
            <w:r>
              <w:rPr>
                <w:sz w:val="21"/>
              </w:rPr>
              <w:t>车载无线通信</w:t>
            </w:r>
          </w:p>
        </w:tc>
        <w:tc>
          <w:tcPr>
            <w:tcW w:w="3797" w:type="pct"/>
            <w:tcMar>
              <w:top w:w="70" w:type="dxa"/>
              <w:left w:w="90" w:type="dxa"/>
              <w:bottom w:w="70" w:type="dxa"/>
              <w:right w:w="90" w:type="dxa"/>
            </w:tcMar>
            <w:vAlign w:val="center"/>
          </w:tcPr>
          <w:p w14:paraId="4C404F43">
            <w:pPr>
              <w:spacing w:line="276" w:lineRule="auto"/>
              <w:rPr>
                <w:lang w:eastAsia="zh-CN"/>
              </w:rPr>
            </w:pPr>
            <w:r>
              <w:rPr>
                <w:sz w:val="21"/>
                <w:lang w:eastAsia="zh-CN"/>
              </w:rPr>
              <w:t>支持4G/5G和WiFi，具备链路、信号、流量及掉线监测；</w:t>
            </w:r>
            <w:r>
              <w:rPr>
                <w:rFonts w:hint="eastAsia"/>
                <w:sz w:val="21"/>
                <w:lang w:eastAsia="zh-CN"/>
              </w:rPr>
              <w:t>天线需选用底部出线，多合一款型。</w:t>
            </w:r>
          </w:p>
        </w:tc>
      </w:tr>
      <w:tr w14:paraId="2AF97A53">
        <w:trPr>
          <w:cantSplit/>
          <w:jc w:val="center"/>
        </w:trPr>
        <w:tc>
          <w:tcPr>
            <w:tcW w:w="165" w:type="pct"/>
            <w:tcMar>
              <w:top w:w="70" w:type="dxa"/>
              <w:left w:w="90" w:type="dxa"/>
              <w:bottom w:w="70" w:type="dxa"/>
              <w:right w:w="90" w:type="dxa"/>
            </w:tcMar>
            <w:vAlign w:val="center"/>
          </w:tcPr>
          <w:p w14:paraId="2263CD81">
            <w:pPr>
              <w:spacing w:line="276" w:lineRule="auto"/>
              <w:jc w:val="center"/>
            </w:pPr>
            <w:r>
              <w:rPr>
                <w:sz w:val="21"/>
              </w:rPr>
              <w:t>7</w:t>
            </w:r>
          </w:p>
        </w:tc>
        <w:tc>
          <w:tcPr>
            <w:tcW w:w="1038" w:type="pct"/>
            <w:tcMar>
              <w:top w:w="70" w:type="dxa"/>
              <w:left w:w="90" w:type="dxa"/>
              <w:bottom w:w="70" w:type="dxa"/>
              <w:right w:w="90" w:type="dxa"/>
            </w:tcMar>
            <w:vAlign w:val="center"/>
          </w:tcPr>
          <w:p w14:paraId="69CF9EB5">
            <w:pPr>
              <w:spacing w:line="276" w:lineRule="auto"/>
              <w:jc w:val="center"/>
            </w:pPr>
            <w:r>
              <w:rPr>
                <w:sz w:val="21"/>
              </w:rPr>
              <w:t>远控座舱</w:t>
            </w:r>
          </w:p>
        </w:tc>
        <w:tc>
          <w:tcPr>
            <w:tcW w:w="3797" w:type="pct"/>
            <w:tcMar>
              <w:top w:w="70" w:type="dxa"/>
              <w:left w:w="90" w:type="dxa"/>
              <w:bottom w:w="70" w:type="dxa"/>
              <w:right w:w="90" w:type="dxa"/>
            </w:tcMar>
            <w:vAlign w:val="center"/>
          </w:tcPr>
          <w:p w14:paraId="5D088595">
            <w:pPr>
              <w:spacing w:line="276" w:lineRule="auto"/>
              <w:rPr>
                <w:lang w:eastAsia="zh-CN"/>
              </w:rPr>
            </w:pPr>
            <w:r>
              <w:rPr>
                <w:sz w:val="21"/>
                <w:lang w:eastAsia="zh-CN"/>
              </w:rPr>
              <w:t>具备方向、加速、制动、档位、急停、模式切换及零位、行程和故障检测；</w:t>
            </w:r>
            <w:r>
              <w:rPr>
                <w:rFonts w:hint="eastAsia"/>
                <w:sz w:val="21"/>
                <w:lang w:eastAsia="zh-CN"/>
              </w:rPr>
              <w:t>方向盘建议直驱传动；</w:t>
            </w:r>
            <w:r>
              <w:rPr>
                <w:sz w:val="21"/>
                <w:lang w:eastAsia="zh-CN"/>
              </w:rPr>
              <w:t>人工接管优先于自主控制，急停优先级最高，模式切换应有反馈和防误操作机制。</w:t>
            </w:r>
          </w:p>
        </w:tc>
      </w:tr>
      <w:tr w14:paraId="1826964B">
        <w:trPr>
          <w:cantSplit/>
          <w:jc w:val="center"/>
        </w:trPr>
        <w:tc>
          <w:tcPr>
            <w:tcW w:w="165" w:type="pct"/>
            <w:tcMar>
              <w:top w:w="70" w:type="dxa"/>
              <w:left w:w="90" w:type="dxa"/>
              <w:bottom w:w="70" w:type="dxa"/>
              <w:right w:w="90" w:type="dxa"/>
            </w:tcMar>
            <w:vAlign w:val="center"/>
          </w:tcPr>
          <w:p w14:paraId="3FD689C9">
            <w:pPr>
              <w:spacing w:line="276" w:lineRule="auto"/>
              <w:jc w:val="center"/>
            </w:pPr>
            <w:r>
              <w:rPr>
                <w:sz w:val="21"/>
              </w:rPr>
              <w:t>8</w:t>
            </w:r>
          </w:p>
        </w:tc>
        <w:tc>
          <w:tcPr>
            <w:tcW w:w="1038" w:type="pct"/>
            <w:tcMar>
              <w:top w:w="70" w:type="dxa"/>
              <w:left w:w="90" w:type="dxa"/>
              <w:bottom w:w="70" w:type="dxa"/>
              <w:right w:w="90" w:type="dxa"/>
            </w:tcMar>
            <w:vAlign w:val="center"/>
          </w:tcPr>
          <w:p w14:paraId="2470B060">
            <w:pPr>
              <w:spacing w:line="276" w:lineRule="auto"/>
              <w:jc w:val="center"/>
            </w:pPr>
            <w:r>
              <w:rPr>
                <w:sz w:val="21"/>
              </w:rPr>
              <w:t>电气架构</w:t>
            </w:r>
          </w:p>
        </w:tc>
        <w:tc>
          <w:tcPr>
            <w:tcW w:w="3797" w:type="pct"/>
            <w:tcMar>
              <w:top w:w="70" w:type="dxa"/>
              <w:left w:w="90" w:type="dxa"/>
              <w:bottom w:w="70" w:type="dxa"/>
              <w:right w:w="90" w:type="dxa"/>
            </w:tcMar>
            <w:vAlign w:val="center"/>
          </w:tcPr>
          <w:p w14:paraId="122B09E0">
            <w:pPr>
              <w:spacing w:line="276" w:lineRule="auto"/>
              <w:rPr>
                <w:lang w:eastAsia="zh-CN"/>
              </w:rPr>
            </w:pPr>
            <w:r>
              <w:rPr>
                <w:sz w:val="21"/>
                <w:lang w:eastAsia="zh-CN"/>
              </w:rPr>
              <w:t>提供电气原理图、配电图、功耗预算和接地拓扑，设备合理分路，关键回路独立保护。电源具备反接、过欠压、浪涌、过流和短路保护，满负荷运行不得出现冒烟、起火、器件爆裂、异常动作、批量掉线或无告警重启。</w:t>
            </w:r>
          </w:p>
        </w:tc>
      </w:tr>
      <w:tr w14:paraId="3DCD36EE">
        <w:trPr>
          <w:cantSplit/>
          <w:jc w:val="center"/>
        </w:trPr>
        <w:tc>
          <w:tcPr>
            <w:tcW w:w="165" w:type="pct"/>
            <w:tcMar>
              <w:top w:w="70" w:type="dxa"/>
              <w:left w:w="90" w:type="dxa"/>
              <w:bottom w:w="70" w:type="dxa"/>
              <w:right w:w="90" w:type="dxa"/>
            </w:tcMar>
            <w:vAlign w:val="center"/>
          </w:tcPr>
          <w:p w14:paraId="1B606C67">
            <w:pPr>
              <w:spacing w:line="276" w:lineRule="auto"/>
              <w:jc w:val="center"/>
            </w:pPr>
            <w:r>
              <w:rPr>
                <w:sz w:val="21"/>
              </w:rPr>
              <w:t>9</w:t>
            </w:r>
          </w:p>
        </w:tc>
        <w:tc>
          <w:tcPr>
            <w:tcW w:w="1038" w:type="pct"/>
            <w:tcMar>
              <w:top w:w="70" w:type="dxa"/>
              <w:left w:w="90" w:type="dxa"/>
              <w:bottom w:w="70" w:type="dxa"/>
              <w:right w:w="90" w:type="dxa"/>
            </w:tcMar>
            <w:vAlign w:val="center"/>
          </w:tcPr>
          <w:p w14:paraId="5D2B64E3">
            <w:pPr>
              <w:spacing w:line="276" w:lineRule="auto"/>
              <w:jc w:val="center"/>
            </w:pPr>
            <w:r>
              <w:rPr>
                <w:sz w:val="21"/>
              </w:rPr>
              <w:t>线束与连接器</w:t>
            </w:r>
          </w:p>
        </w:tc>
        <w:tc>
          <w:tcPr>
            <w:tcW w:w="3797" w:type="pct"/>
            <w:tcMar>
              <w:top w:w="70" w:type="dxa"/>
              <w:left w:w="90" w:type="dxa"/>
              <w:bottom w:w="70" w:type="dxa"/>
              <w:right w:w="90" w:type="dxa"/>
            </w:tcMar>
            <w:vAlign w:val="center"/>
          </w:tcPr>
          <w:p w14:paraId="64CA3E84">
            <w:pPr>
              <w:spacing w:line="276" w:lineRule="auto"/>
            </w:pPr>
            <w:r>
              <w:rPr>
                <w:sz w:val="21"/>
                <w:lang w:eastAsia="zh-CN"/>
              </w:rPr>
              <w:t>线束应满足车载温度、振动和阻燃要求，按需采用双绞、屏蔽及360°端接，不得非设计拼接、裸露接线或胶带缠绕；车外、车内连接器</w:t>
            </w:r>
            <w:r>
              <w:rPr>
                <w:rFonts w:hint="eastAsia"/>
                <w:sz w:val="21"/>
                <w:lang w:eastAsia="zh-CN"/>
              </w:rPr>
              <w:t>需具备一定防水能力</w:t>
            </w:r>
            <w:r>
              <w:rPr>
                <w:sz w:val="21"/>
                <w:lang w:eastAsia="zh-CN"/>
              </w:rPr>
              <w:t>，并具备防错插、锁止和应力释放。</w:t>
            </w:r>
            <w:r>
              <w:rPr>
                <w:sz w:val="21"/>
              </w:rPr>
              <w:t>线缆及接口标识应与图纸、BOM一致。</w:t>
            </w:r>
          </w:p>
        </w:tc>
      </w:tr>
      <w:tr w14:paraId="419E691E">
        <w:trPr>
          <w:cantSplit/>
          <w:jc w:val="center"/>
        </w:trPr>
        <w:tc>
          <w:tcPr>
            <w:tcW w:w="165" w:type="pct"/>
            <w:tcMar>
              <w:top w:w="70" w:type="dxa"/>
              <w:left w:w="90" w:type="dxa"/>
              <w:bottom w:w="70" w:type="dxa"/>
              <w:right w:w="90" w:type="dxa"/>
            </w:tcMar>
            <w:vAlign w:val="center"/>
          </w:tcPr>
          <w:p w14:paraId="04C10E4C">
            <w:pPr>
              <w:spacing w:line="276" w:lineRule="auto"/>
              <w:jc w:val="center"/>
            </w:pPr>
            <w:r>
              <w:rPr>
                <w:sz w:val="21"/>
              </w:rPr>
              <w:t>10</w:t>
            </w:r>
          </w:p>
        </w:tc>
        <w:tc>
          <w:tcPr>
            <w:tcW w:w="1038" w:type="pct"/>
            <w:tcMar>
              <w:top w:w="70" w:type="dxa"/>
              <w:left w:w="90" w:type="dxa"/>
              <w:bottom w:w="70" w:type="dxa"/>
              <w:right w:w="90" w:type="dxa"/>
            </w:tcMar>
            <w:vAlign w:val="center"/>
          </w:tcPr>
          <w:p w14:paraId="7D4E382C">
            <w:pPr>
              <w:spacing w:line="276" w:lineRule="auto"/>
              <w:jc w:val="center"/>
            </w:pPr>
            <w:r>
              <w:rPr>
                <w:sz w:val="21"/>
              </w:rPr>
              <w:t>环境温度</w:t>
            </w:r>
          </w:p>
        </w:tc>
        <w:tc>
          <w:tcPr>
            <w:tcW w:w="3797" w:type="pct"/>
            <w:tcMar>
              <w:top w:w="70" w:type="dxa"/>
              <w:left w:w="90" w:type="dxa"/>
              <w:bottom w:w="70" w:type="dxa"/>
              <w:right w:w="90" w:type="dxa"/>
            </w:tcMar>
            <w:vAlign w:val="center"/>
          </w:tcPr>
          <w:p w14:paraId="3CCDE386">
            <w:pPr>
              <w:spacing w:line="276" w:lineRule="auto"/>
            </w:pPr>
            <w:r>
              <w:rPr>
                <w:sz w:val="21"/>
              </w:rPr>
              <w:t>核心设备工作温度原则上不低于−20 ℃～+</w:t>
            </w:r>
            <w:r>
              <w:rPr>
                <w:rFonts w:hint="eastAsia"/>
                <w:sz w:val="21"/>
                <w:lang w:eastAsia="zh-CN"/>
              </w:rPr>
              <w:t>55</w:t>
            </w:r>
            <w:r>
              <w:rPr>
                <w:sz w:val="21"/>
              </w:rPr>
              <w:t xml:space="preserve"> ℃，存储温度原则上不低于−40 ℃～+70 ℃；更窄范围须经询价方书面确认。</w:t>
            </w:r>
          </w:p>
        </w:tc>
      </w:tr>
      <w:tr w14:paraId="16C8F4DD">
        <w:trPr>
          <w:cantSplit/>
          <w:jc w:val="center"/>
        </w:trPr>
        <w:tc>
          <w:tcPr>
            <w:tcW w:w="165" w:type="pct"/>
            <w:tcMar>
              <w:top w:w="70" w:type="dxa"/>
              <w:left w:w="90" w:type="dxa"/>
              <w:bottom w:w="70" w:type="dxa"/>
              <w:right w:w="90" w:type="dxa"/>
            </w:tcMar>
            <w:vAlign w:val="center"/>
          </w:tcPr>
          <w:p w14:paraId="75336AC7">
            <w:pPr>
              <w:spacing w:line="276" w:lineRule="auto"/>
              <w:jc w:val="center"/>
            </w:pPr>
            <w:r>
              <w:rPr>
                <w:sz w:val="21"/>
              </w:rPr>
              <w:t>11</w:t>
            </w:r>
          </w:p>
        </w:tc>
        <w:tc>
          <w:tcPr>
            <w:tcW w:w="1038" w:type="pct"/>
            <w:tcMar>
              <w:top w:w="70" w:type="dxa"/>
              <w:left w:w="90" w:type="dxa"/>
              <w:bottom w:w="70" w:type="dxa"/>
              <w:right w:w="90" w:type="dxa"/>
            </w:tcMar>
            <w:vAlign w:val="center"/>
          </w:tcPr>
          <w:p w14:paraId="50944E0D">
            <w:pPr>
              <w:spacing w:line="276" w:lineRule="auto"/>
              <w:jc w:val="center"/>
            </w:pPr>
            <w:r>
              <w:rPr>
                <w:sz w:val="21"/>
              </w:rPr>
              <w:t>防护与安装</w:t>
            </w:r>
          </w:p>
        </w:tc>
        <w:tc>
          <w:tcPr>
            <w:tcW w:w="3797" w:type="pct"/>
            <w:tcMar>
              <w:top w:w="70" w:type="dxa"/>
              <w:left w:w="90" w:type="dxa"/>
              <w:bottom w:w="70" w:type="dxa"/>
              <w:right w:w="90" w:type="dxa"/>
            </w:tcMar>
            <w:vAlign w:val="center"/>
          </w:tcPr>
          <w:p w14:paraId="64832901">
            <w:pPr>
              <w:spacing w:line="276" w:lineRule="auto"/>
              <w:rPr>
                <w:lang w:eastAsia="zh-CN"/>
              </w:rPr>
            </w:pPr>
            <w:r>
              <w:rPr>
                <w:sz w:val="21"/>
                <w:lang w:eastAsia="zh-CN"/>
              </w:rPr>
              <w:t>车外设备及连接器防护等级原则上不低于IP67；设备及安装件应满足振动、冲击、雨淋、粉尘和腐蚀要求</w:t>
            </w:r>
            <w:r>
              <w:rPr>
                <w:rFonts w:hint="eastAsia"/>
                <w:sz w:val="21"/>
                <w:lang w:eastAsia="zh-CN"/>
              </w:rPr>
              <w:t>；</w:t>
            </w:r>
            <w:r>
              <w:rPr>
                <w:sz w:val="21"/>
                <w:lang w:eastAsia="zh-CN"/>
              </w:rPr>
              <w:t>传感器统一标定，道路测试后无松动、磨损、进水或标定失效。</w:t>
            </w:r>
          </w:p>
        </w:tc>
      </w:tr>
      <w:tr w14:paraId="185F2E46">
        <w:trPr>
          <w:cantSplit/>
          <w:jc w:val="center"/>
        </w:trPr>
        <w:tc>
          <w:tcPr>
            <w:tcW w:w="165" w:type="pct"/>
            <w:tcMar>
              <w:top w:w="70" w:type="dxa"/>
              <w:left w:w="90" w:type="dxa"/>
              <w:bottom w:w="70" w:type="dxa"/>
              <w:right w:w="90" w:type="dxa"/>
            </w:tcMar>
            <w:vAlign w:val="center"/>
          </w:tcPr>
          <w:p w14:paraId="36669289">
            <w:pPr>
              <w:spacing w:line="276" w:lineRule="auto"/>
              <w:jc w:val="center"/>
            </w:pPr>
            <w:r>
              <w:rPr>
                <w:sz w:val="21"/>
              </w:rPr>
              <w:t>12</w:t>
            </w:r>
          </w:p>
        </w:tc>
        <w:tc>
          <w:tcPr>
            <w:tcW w:w="1038" w:type="pct"/>
            <w:tcMar>
              <w:top w:w="70" w:type="dxa"/>
              <w:left w:w="90" w:type="dxa"/>
              <w:bottom w:w="70" w:type="dxa"/>
              <w:right w:w="90" w:type="dxa"/>
            </w:tcMar>
            <w:vAlign w:val="center"/>
          </w:tcPr>
          <w:p w14:paraId="181059DA">
            <w:pPr>
              <w:spacing w:line="276" w:lineRule="auto"/>
              <w:jc w:val="center"/>
            </w:pPr>
            <w:r>
              <w:rPr>
                <w:sz w:val="21"/>
              </w:rPr>
              <w:t>故障诊断</w:t>
            </w:r>
          </w:p>
        </w:tc>
        <w:tc>
          <w:tcPr>
            <w:tcW w:w="3797" w:type="pct"/>
            <w:tcMar>
              <w:top w:w="70" w:type="dxa"/>
              <w:left w:w="90" w:type="dxa"/>
              <w:bottom w:w="70" w:type="dxa"/>
              <w:right w:w="90" w:type="dxa"/>
            </w:tcMar>
            <w:vAlign w:val="center"/>
          </w:tcPr>
          <w:p w14:paraId="4653CFFE">
            <w:pPr>
              <w:spacing w:line="276" w:lineRule="auto"/>
              <w:rPr>
                <w:lang w:eastAsia="zh-CN"/>
              </w:rPr>
            </w:pPr>
            <w:r>
              <w:rPr>
                <w:sz w:val="21"/>
                <w:lang w:eastAsia="zh-CN"/>
              </w:rPr>
              <w:t>支持供电、温度、网络、传感器在线及关键故障监测，设备离线、过温、欠压、数据或同步异常应告警并记录；关键设备应便于更换、标定和复测，并提供备件清单。</w:t>
            </w:r>
          </w:p>
        </w:tc>
      </w:tr>
    </w:tbl>
    <w:p w14:paraId="6F54B178">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（二）软件系统功能与性能要求</w:t>
      </w:r>
    </w:p>
    <w:tbl>
      <w:tblPr>
        <w:tblStyle w:val="33"/>
        <w:tblW w:w="4800" w:type="pct"/>
        <w:jc w:val="center"/>
        <w:tblLayout w:type="autofit"/>
        <w:tblCellMar>
          <w:top w:w="0" w:type="dxa"/>
          <w:left w:w="108" w:type="dxa"/>
          <w:bottom w:w="0" w:type="dxa"/>
          <w:right w:w="108" w:type="dxa"/>
        </w:tblCellMar>
      </w:tblPr>
      <w:tblGrid>
        <w:gridCol w:w="390"/>
        <w:gridCol w:w="1675"/>
        <w:gridCol w:w="6082"/>
      </w:tblGrid>
      <w:tr w14:paraId="2BA1AE2F">
        <w:trPr>
          <w:cantSplit/>
          <w:tblHeader/>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88F0D1E">
            <w:pPr>
              <w:spacing w:line="276" w:lineRule="auto"/>
              <w:jc w:val="center"/>
              <w:rPr>
                <w:rFonts w:eastAsia="黑体"/>
                <w:sz w:val="21"/>
              </w:rPr>
            </w:pPr>
            <w:r>
              <w:rPr>
                <w:rFonts w:hint="eastAsia" w:eastAsia="黑体"/>
                <w:sz w:val="21"/>
              </w:rPr>
              <w:t>序号</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2F73CF9">
            <w:pPr>
              <w:spacing w:line="276" w:lineRule="auto"/>
              <w:jc w:val="center"/>
              <w:rPr>
                <w:rFonts w:eastAsia="黑体"/>
                <w:sz w:val="21"/>
              </w:rPr>
            </w:pPr>
            <w:r>
              <w:rPr>
                <w:rFonts w:hint="eastAsia" w:eastAsia="黑体"/>
                <w:sz w:val="21"/>
              </w:rPr>
              <w:t>项目</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1EAE6B7">
            <w:pPr>
              <w:spacing w:line="276" w:lineRule="auto"/>
              <w:jc w:val="center"/>
              <w:rPr>
                <w:rFonts w:eastAsia="黑体"/>
                <w:sz w:val="21"/>
              </w:rPr>
            </w:pPr>
            <w:r>
              <w:rPr>
                <w:rFonts w:hint="eastAsia" w:eastAsia="黑体"/>
                <w:sz w:val="21"/>
              </w:rPr>
              <w:t>技术指标与要求</w:t>
            </w:r>
          </w:p>
        </w:tc>
      </w:tr>
      <w:tr w14:paraId="4FC74921">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4A4014A">
            <w:pPr>
              <w:spacing w:line="276" w:lineRule="auto"/>
              <w:jc w:val="center"/>
              <w:rPr>
                <w:sz w:val="21"/>
              </w:rPr>
            </w:pPr>
            <w:r>
              <w:rPr>
                <w:rFonts w:hint="eastAsia"/>
                <w:sz w:val="21"/>
              </w:rPr>
              <w:t>1</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2D257E9">
            <w:pPr>
              <w:spacing w:line="276" w:lineRule="auto"/>
              <w:jc w:val="center"/>
              <w:rPr>
                <w:sz w:val="21"/>
              </w:rPr>
            </w:pPr>
            <w:r>
              <w:rPr>
                <w:rFonts w:hint="eastAsia"/>
                <w:sz w:val="21"/>
              </w:rPr>
              <w:t>系统功能</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A83725D">
            <w:pPr>
              <w:spacing w:line="276" w:lineRule="auto"/>
              <w:rPr>
                <w:sz w:val="21"/>
                <w:lang w:eastAsia="zh-CN"/>
              </w:rPr>
            </w:pPr>
            <w:r>
              <w:rPr>
                <w:rFonts w:hint="eastAsia"/>
                <w:sz w:val="21"/>
                <w:lang w:eastAsia="zh-CN"/>
              </w:rPr>
              <w:t>具备环境感知、目标检测、轨迹规划、控制指令下发等功能，支持结合建图结果或导航线生成行驶轨迹，并驱动底盘执行。</w:t>
            </w:r>
          </w:p>
        </w:tc>
      </w:tr>
      <w:tr w14:paraId="50A6DC07">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4154247">
            <w:pPr>
              <w:spacing w:line="276" w:lineRule="auto"/>
              <w:jc w:val="center"/>
              <w:rPr>
                <w:sz w:val="21"/>
                <w:lang w:eastAsia="zh-CN"/>
              </w:rPr>
            </w:pPr>
            <w:r>
              <w:rPr>
                <w:rFonts w:hint="eastAsia"/>
                <w:sz w:val="21"/>
                <w:lang w:eastAsia="zh-CN"/>
              </w:rPr>
              <w:t>2</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1E9C7F34">
            <w:pPr>
              <w:spacing w:line="276" w:lineRule="auto"/>
              <w:jc w:val="center"/>
              <w:rPr>
                <w:sz w:val="21"/>
              </w:rPr>
            </w:pPr>
            <w:r>
              <w:rPr>
                <w:sz w:val="21"/>
              </w:rPr>
              <w:t>目标检测</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FDA5F6B">
            <w:pPr>
              <w:spacing w:line="276" w:lineRule="auto"/>
              <w:rPr>
                <w:sz w:val="21"/>
                <w:lang w:eastAsia="zh-CN"/>
              </w:rPr>
            </w:pPr>
            <w:r>
              <w:rPr>
                <w:sz w:val="21"/>
                <w:lang w:eastAsia="zh-CN"/>
              </w:rPr>
              <w:t>融合激光雷达、相机等信息，检测行人、VRU和车辆。三类目标检测范围</w:t>
            </w:r>
            <w:r>
              <w:rPr>
                <w:rFonts w:hint="eastAsia"/>
                <w:sz w:val="21"/>
                <w:lang w:eastAsia="zh-CN"/>
              </w:rPr>
              <w:t>：</w:t>
            </w:r>
          </w:p>
          <w:p w14:paraId="0FFD2682">
            <w:pPr>
              <w:spacing w:line="276" w:lineRule="auto"/>
              <w:ind w:firstLine="420" w:firstLineChars="200"/>
              <w:rPr>
                <w:sz w:val="21"/>
                <w:lang w:eastAsia="zh-CN"/>
              </w:rPr>
            </w:pPr>
            <w:r>
              <w:rPr>
                <w:sz w:val="21"/>
                <w:lang w:eastAsia="zh-CN"/>
              </w:rPr>
              <w:t>x:[0,100]m、y:[-50,50]m；</w:t>
            </w:r>
          </w:p>
          <w:p w14:paraId="60DA0520">
            <w:pPr>
              <w:spacing w:line="276" w:lineRule="auto"/>
              <w:rPr>
                <w:sz w:val="21"/>
                <w:lang w:eastAsia="zh-CN"/>
              </w:rPr>
            </w:pPr>
            <w:r>
              <w:rPr>
                <w:sz w:val="21"/>
                <w:lang w:eastAsia="zh-CN"/>
              </w:rPr>
              <w:t>准确率/召回率</w:t>
            </w:r>
            <w:r>
              <w:rPr>
                <w:rFonts w:hint="eastAsia"/>
                <w:sz w:val="21"/>
                <w:lang w:eastAsia="zh-CN"/>
              </w:rPr>
              <w:t>：</w:t>
            </w:r>
          </w:p>
          <w:p w14:paraId="3DC59E35">
            <w:pPr>
              <w:spacing w:line="276" w:lineRule="auto"/>
              <w:ind w:firstLine="420" w:firstLineChars="200"/>
              <w:rPr>
                <w:sz w:val="21"/>
                <w:lang w:eastAsia="zh-CN"/>
              </w:rPr>
            </w:pPr>
            <w:r>
              <w:rPr>
                <w:sz w:val="21"/>
                <w:lang w:eastAsia="zh-CN"/>
              </w:rPr>
              <w:t>行人≥0.65/0.50，</w:t>
            </w:r>
          </w:p>
          <w:p w14:paraId="4DE00ACA">
            <w:pPr>
              <w:spacing w:line="276" w:lineRule="auto"/>
              <w:ind w:firstLine="420" w:firstLineChars="200"/>
              <w:rPr>
                <w:sz w:val="21"/>
                <w:lang w:eastAsia="zh-CN"/>
              </w:rPr>
            </w:pPr>
            <w:r>
              <w:rPr>
                <w:sz w:val="21"/>
                <w:lang w:eastAsia="zh-CN"/>
              </w:rPr>
              <w:t>VRU≥0.75/0.60，</w:t>
            </w:r>
          </w:p>
          <w:p w14:paraId="3FC02444">
            <w:pPr>
              <w:spacing w:line="276" w:lineRule="auto"/>
              <w:ind w:firstLine="420" w:firstLineChars="200"/>
              <w:rPr>
                <w:sz w:val="21"/>
                <w:lang w:eastAsia="zh-CN"/>
              </w:rPr>
            </w:pPr>
            <w:r>
              <w:rPr>
                <w:sz w:val="21"/>
                <w:lang w:eastAsia="zh-CN"/>
              </w:rPr>
              <w:t>车辆≥0.75/0.75。</w:t>
            </w:r>
          </w:p>
          <w:p w14:paraId="74C8A675">
            <w:pPr>
              <w:spacing w:line="276" w:lineRule="auto"/>
              <w:rPr>
                <w:sz w:val="21"/>
                <w:lang w:eastAsia="zh-CN"/>
              </w:rPr>
            </w:pPr>
            <w:r>
              <w:rPr>
                <w:sz w:val="21"/>
                <w:lang w:eastAsia="zh-CN"/>
              </w:rPr>
              <w:t>夜间辅助照明条件下，检测准确率和召回率原则上不低于白天指标的85%，不得因连续漏检影响安全停车。</w:t>
            </w:r>
          </w:p>
        </w:tc>
      </w:tr>
      <w:tr w14:paraId="1F40C713">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C53C665">
            <w:pPr>
              <w:spacing w:line="276" w:lineRule="auto"/>
              <w:jc w:val="center"/>
              <w:rPr>
                <w:sz w:val="21"/>
                <w:lang w:eastAsia="zh-CN"/>
              </w:rPr>
            </w:pPr>
            <w:r>
              <w:rPr>
                <w:rFonts w:hint="eastAsia"/>
                <w:sz w:val="21"/>
                <w:lang w:eastAsia="zh-CN"/>
              </w:rPr>
              <w:t>3</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4EEDFF8">
            <w:pPr>
              <w:spacing w:line="276" w:lineRule="auto"/>
              <w:jc w:val="center"/>
              <w:rPr>
                <w:sz w:val="21"/>
              </w:rPr>
            </w:pPr>
            <w:r>
              <w:rPr>
                <w:sz w:val="21"/>
              </w:rPr>
              <w:t>组合定位</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A117050">
            <w:pPr>
              <w:spacing w:line="276" w:lineRule="auto"/>
              <w:rPr>
                <w:sz w:val="21"/>
                <w:lang w:eastAsia="zh-CN"/>
              </w:rPr>
            </w:pPr>
            <w:r>
              <w:rPr>
                <w:sz w:val="21"/>
                <w:lang w:eastAsia="zh-CN"/>
              </w:rPr>
              <w:t>RTK固定解及良好卫星条件下</w:t>
            </w:r>
            <w:r>
              <w:rPr>
                <w:rFonts w:hint="eastAsia"/>
                <w:sz w:val="21"/>
                <w:lang w:eastAsia="zh-CN"/>
              </w:rPr>
              <w:t>：</w:t>
            </w:r>
            <w:r>
              <w:rPr>
                <w:sz w:val="21"/>
                <w:lang w:eastAsia="zh-CN"/>
              </w:rPr>
              <w:t>水平定位误差95%分位≤0.20m，航向误差≤0.3°；应输出定位质量状态，质量不足时采取降级措施。</w:t>
            </w:r>
          </w:p>
          <w:p w14:paraId="7B12E74F">
            <w:pPr>
              <w:spacing w:line="276" w:lineRule="auto"/>
              <w:rPr>
                <w:sz w:val="21"/>
                <w:lang w:eastAsia="zh-CN"/>
              </w:rPr>
            </w:pPr>
            <w:r>
              <w:rPr>
                <w:rFonts w:hint="eastAsia"/>
                <w:sz w:val="21"/>
                <w:lang w:eastAsia="zh-CN"/>
              </w:rPr>
              <w:t>弱卫星定位：</w:t>
            </w:r>
            <w:r>
              <w:rPr>
                <w:sz w:val="21"/>
                <w:lang w:eastAsia="zh-CN"/>
              </w:rPr>
              <w:t>短时遮挡或弱GNSS条件下应保持连续定位；60秒失锁期间，位置漂移不大于行驶距离的1%且≤1.0m，否则应降速或安全停车。</w:t>
            </w:r>
          </w:p>
        </w:tc>
      </w:tr>
      <w:tr w14:paraId="53F099BF">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1321E3AB">
            <w:pPr>
              <w:spacing w:line="276" w:lineRule="auto"/>
              <w:jc w:val="center"/>
              <w:rPr>
                <w:sz w:val="21"/>
                <w:lang w:eastAsia="zh-CN"/>
              </w:rPr>
            </w:pPr>
            <w:r>
              <w:rPr>
                <w:rFonts w:hint="eastAsia" w:cs="Times New Roman"/>
                <w:sz w:val="21"/>
                <w:lang w:eastAsia="zh-CN"/>
              </w:rPr>
              <w:t>4</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1627E0B4">
            <w:pPr>
              <w:spacing w:line="276" w:lineRule="auto"/>
              <w:jc w:val="center"/>
              <w:rPr>
                <w:sz w:val="21"/>
              </w:rPr>
            </w:pPr>
            <w:r>
              <w:rPr>
                <w:rFonts w:cs="Times New Roman"/>
                <w:sz w:val="21"/>
              </w:rPr>
              <w:t>地图管理</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12E41B1B">
            <w:pPr>
              <w:spacing w:line="276" w:lineRule="auto"/>
              <w:rPr>
                <w:sz w:val="21"/>
                <w:lang w:eastAsia="zh-CN"/>
              </w:rPr>
            </w:pPr>
            <w:r>
              <w:rPr>
                <w:rFonts w:cs="Times New Roman"/>
                <w:sz w:val="21"/>
                <w:lang w:eastAsia="zh-CN"/>
              </w:rPr>
              <w:t>支持地图创建、导入、导出、坐标转换、区域及禁行区配置，地图、路线和标定文件应具备版本、校验及回滚能力。</w:t>
            </w:r>
          </w:p>
        </w:tc>
      </w:tr>
      <w:tr w14:paraId="2CB88EC1">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0472467">
            <w:pPr>
              <w:spacing w:line="276" w:lineRule="auto"/>
              <w:jc w:val="center"/>
              <w:rPr>
                <w:sz w:val="21"/>
                <w:lang w:eastAsia="zh-CN"/>
              </w:rPr>
            </w:pPr>
            <w:r>
              <w:rPr>
                <w:rFonts w:hint="eastAsia" w:cs="Times New Roman"/>
                <w:sz w:val="21"/>
                <w:lang w:eastAsia="zh-CN"/>
              </w:rPr>
              <w:t>5</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44C7276">
            <w:pPr>
              <w:spacing w:line="276" w:lineRule="auto"/>
              <w:jc w:val="center"/>
              <w:rPr>
                <w:sz w:val="21"/>
              </w:rPr>
            </w:pPr>
            <w:r>
              <w:rPr>
                <w:rFonts w:cs="Times New Roman"/>
                <w:sz w:val="21"/>
              </w:rPr>
              <w:t>路线与任务</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13CFFA0D">
            <w:pPr>
              <w:spacing w:line="276" w:lineRule="auto"/>
              <w:rPr>
                <w:sz w:val="21"/>
                <w:lang w:eastAsia="zh-CN"/>
              </w:rPr>
            </w:pPr>
            <w:r>
              <w:rPr>
                <w:rFonts w:cs="Times New Roman"/>
                <w:sz w:val="21"/>
                <w:lang w:eastAsia="zh-CN"/>
              </w:rPr>
              <w:t>支持按点、路线、区域、重点点位和时间策略配置巡逻任务，并具备暂停、继续、取消、重发和状态查询功能。</w:t>
            </w:r>
          </w:p>
        </w:tc>
      </w:tr>
      <w:tr w14:paraId="0E482F7B">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F494746">
            <w:pPr>
              <w:spacing w:line="276" w:lineRule="auto"/>
              <w:jc w:val="center"/>
              <w:rPr>
                <w:sz w:val="21"/>
                <w:lang w:eastAsia="zh-CN"/>
              </w:rPr>
            </w:pPr>
            <w:r>
              <w:rPr>
                <w:rFonts w:hint="eastAsia" w:cs="Times New Roman"/>
                <w:sz w:val="21"/>
                <w:lang w:eastAsia="zh-CN"/>
              </w:rPr>
              <w:t>6</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9401501">
            <w:pPr>
              <w:spacing w:line="276" w:lineRule="auto"/>
              <w:jc w:val="center"/>
              <w:rPr>
                <w:sz w:val="21"/>
              </w:rPr>
            </w:pPr>
            <w:r>
              <w:rPr>
                <w:rFonts w:cs="Times New Roman"/>
                <w:sz w:val="21"/>
              </w:rPr>
              <w:t>全局与局部规划</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A72B9A1">
            <w:pPr>
              <w:spacing w:line="276" w:lineRule="auto"/>
              <w:rPr>
                <w:sz w:val="21"/>
                <w:lang w:eastAsia="zh-CN"/>
              </w:rPr>
            </w:pPr>
            <w:r>
              <w:rPr>
                <w:rFonts w:cs="Times New Roman"/>
                <w:sz w:val="21"/>
                <w:lang w:eastAsia="zh-CN"/>
              </w:rPr>
              <w:t>依据地图、导航线、车辆运动约束、禁行区及动态障碍物生成可执行轨迹，避免越界、明显振荡和不可执行曲率。</w:t>
            </w:r>
          </w:p>
        </w:tc>
      </w:tr>
      <w:tr w14:paraId="560F8404">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2523AEF">
            <w:pPr>
              <w:spacing w:line="276" w:lineRule="auto"/>
              <w:jc w:val="center"/>
              <w:rPr>
                <w:sz w:val="21"/>
                <w:lang w:eastAsia="zh-CN"/>
              </w:rPr>
            </w:pPr>
            <w:r>
              <w:rPr>
                <w:rFonts w:hint="eastAsia" w:cs="Times New Roman"/>
                <w:sz w:val="21"/>
                <w:lang w:eastAsia="zh-CN"/>
              </w:rPr>
              <w:t>7</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7AB8D9C">
            <w:pPr>
              <w:spacing w:line="276" w:lineRule="auto"/>
              <w:jc w:val="center"/>
              <w:rPr>
                <w:sz w:val="21"/>
              </w:rPr>
            </w:pPr>
            <w:r>
              <w:rPr>
                <w:rFonts w:cs="Times New Roman"/>
                <w:sz w:val="21"/>
              </w:rPr>
              <w:t>行驶控制与避障</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B6468A5">
            <w:pPr>
              <w:spacing w:line="276" w:lineRule="auto"/>
              <w:rPr>
                <w:sz w:val="21"/>
                <w:lang w:eastAsia="zh-CN"/>
              </w:rPr>
            </w:pPr>
            <w:r>
              <w:rPr>
                <w:rFonts w:cs="Times New Roman"/>
                <w:sz w:val="21"/>
                <w:lang w:eastAsia="zh-CN"/>
              </w:rPr>
              <w:t>具备静、动态障碍物减速、绕行和停车能力。速度≤</w:t>
            </w:r>
            <w:r>
              <w:rPr>
                <w:rFonts w:hint="eastAsia" w:cs="Times New Roman"/>
                <w:sz w:val="21"/>
                <w:lang w:eastAsia="zh-CN"/>
              </w:rPr>
              <w:t>2</w:t>
            </w:r>
            <w:r>
              <w:rPr>
                <w:rFonts w:cs="Times New Roman"/>
                <w:sz w:val="21"/>
                <w:lang w:eastAsia="zh-CN"/>
              </w:rPr>
              <w:t>0km/h时，结构化道路横向误差95%分位≤0.20m，非结构化道路≤0.35m，停车误差≤0.30m；典型任务和避障试验成功率均≥95%，不得发生碰撞。</w:t>
            </w:r>
          </w:p>
        </w:tc>
      </w:tr>
      <w:tr w14:paraId="152F7A35">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C4873E2">
            <w:pPr>
              <w:spacing w:line="276" w:lineRule="auto"/>
              <w:jc w:val="center"/>
              <w:rPr>
                <w:sz w:val="21"/>
                <w:lang w:eastAsia="zh-CN"/>
              </w:rPr>
            </w:pPr>
            <w:r>
              <w:rPr>
                <w:rFonts w:hint="eastAsia" w:cs="Times New Roman"/>
                <w:sz w:val="21"/>
                <w:lang w:eastAsia="zh-CN"/>
              </w:rPr>
              <w:t>8</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52BD278">
            <w:pPr>
              <w:spacing w:line="276" w:lineRule="auto"/>
              <w:jc w:val="center"/>
              <w:rPr>
                <w:rFonts w:cs="Times New Roman"/>
                <w:sz w:val="21"/>
                <w:lang w:eastAsia="zh-CN"/>
              </w:rPr>
            </w:pPr>
            <w:r>
              <w:rPr>
                <w:rFonts w:cs="Times New Roman"/>
                <w:sz w:val="21"/>
              </w:rPr>
              <w:t>远程接管与</w:t>
            </w:r>
          </w:p>
          <w:p w14:paraId="72926430">
            <w:pPr>
              <w:spacing w:line="276" w:lineRule="auto"/>
              <w:jc w:val="center"/>
              <w:rPr>
                <w:sz w:val="21"/>
              </w:rPr>
            </w:pPr>
            <w:r>
              <w:rPr>
                <w:rFonts w:cs="Times New Roman"/>
                <w:sz w:val="21"/>
              </w:rPr>
              <w:t>链路性能</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51A8364">
            <w:pPr>
              <w:spacing w:line="276" w:lineRule="auto"/>
              <w:rPr>
                <w:sz w:val="21"/>
              </w:rPr>
            </w:pPr>
            <w:r>
              <w:rPr>
                <w:rFonts w:cs="Times New Roman"/>
                <w:sz w:val="21"/>
              </w:rPr>
              <w:t>支持转向、加速、制动等人工接管。图像传输最大时延≤450ms、稳定帧率≥25Hz；控制指令端到端最大时延≤100ms，车端执行链路≤50ms。</w:t>
            </w:r>
          </w:p>
        </w:tc>
      </w:tr>
      <w:tr w14:paraId="48776E36">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97005DD">
            <w:pPr>
              <w:spacing w:line="276" w:lineRule="auto"/>
              <w:jc w:val="center"/>
              <w:rPr>
                <w:sz w:val="21"/>
                <w:lang w:eastAsia="zh-CN"/>
              </w:rPr>
            </w:pPr>
            <w:r>
              <w:rPr>
                <w:rFonts w:hint="eastAsia" w:cs="Times New Roman"/>
                <w:sz w:val="21"/>
                <w:lang w:eastAsia="zh-CN"/>
              </w:rPr>
              <w:t>9</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99DDB7B">
            <w:pPr>
              <w:spacing w:line="276" w:lineRule="auto"/>
              <w:jc w:val="center"/>
              <w:rPr>
                <w:sz w:val="21"/>
              </w:rPr>
            </w:pPr>
            <w:r>
              <w:rPr>
                <w:rFonts w:cs="Times New Roman"/>
                <w:sz w:val="21"/>
              </w:rPr>
              <w:t>控制优先级</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7F9E29C">
            <w:pPr>
              <w:spacing w:line="276" w:lineRule="auto"/>
              <w:rPr>
                <w:sz w:val="21"/>
              </w:rPr>
            </w:pPr>
            <w:r>
              <w:rPr>
                <w:rFonts w:cs="Times New Roman"/>
                <w:sz w:val="21"/>
              </w:rPr>
              <w:t>控制优先级应为：本地硬急停＞安全保护控制＞本地人工控制＞远程人工接管＞自主控制；模式切换不得产生控制突变或多控制源并存。</w:t>
            </w:r>
          </w:p>
        </w:tc>
      </w:tr>
      <w:tr w14:paraId="4EBA329E">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8CBEB0E">
            <w:pPr>
              <w:spacing w:line="276" w:lineRule="auto"/>
              <w:jc w:val="center"/>
              <w:rPr>
                <w:sz w:val="21"/>
                <w:lang w:eastAsia="zh-CN"/>
              </w:rPr>
            </w:pPr>
            <w:r>
              <w:rPr>
                <w:rFonts w:cs="Times New Roman"/>
                <w:sz w:val="21"/>
              </w:rPr>
              <w:t>1</w:t>
            </w:r>
            <w:r>
              <w:rPr>
                <w:rFonts w:hint="eastAsia" w:cs="Times New Roman"/>
                <w:sz w:val="21"/>
                <w:lang w:eastAsia="zh-CN"/>
              </w:rPr>
              <w:t>0</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2053EF8">
            <w:pPr>
              <w:spacing w:line="276" w:lineRule="auto"/>
              <w:jc w:val="center"/>
              <w:rPr>
                <w:sz w:val="21"/>
              </w:rPr>
            </w:pPr>
            <w:r>
              <w:rPr>
                <w:rFonts w:cs="Times New Roman"/>
                <w:sz w:val="21"/>
              </w:rPr>
              <w:t>通信中断策略</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E4D837E">
            <w:pPr>
              <w:spacing w:line="276" w:lineRule="auto"/>
              <w:rPr>
                <w:sz w:val="21"/>
              </w:rPr>
            </w:pPr>
            <w:r>
              <w:rPr>
                <w:rFonts w:cs="Times New Roman"/>
                <w:sz w:val="21"/>
              </w:rPr>
              <w:t>远控链路超时、视频失效或网络质量不足时，应撤销远控权限并减速停车；自主任务通信中断时，按配置执行停车、返回或驶至安全点。</w:t>
            </w:r>
          </w:p>
        </w:tc>
      </w:tr>
      <w:tr w14:paraId="2987B164">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834B9EE">
            <w:pPr>
              <w:spacing w:line="276" w:lineRule="auto"/>
              <w:jc w:val="center"/>
              <w:rPr>
                <w:sz w:val="21"/>
                <w:lang w:eastAsia="zh-CN"/>
              </w:rPr>
            </w:pPr>
            <w:r>
              <w:rPr>
                <w:rFonts w:cs="Times New Roman"/>
                <w:sz w:val="21"/>
              </w:rPr>
              <w:t>1</w:t>
            </w:r>
            <w:r>
              <w:rPr>
                <w:rFonts w:hint="eastAsia" w:cs="Times New Roman"/>
                <w:sz w:val="21"/>
                <w:lang w:eastAsia="zh-CN"/>
              </w:rPr>
              <w:t>1</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BC086DF">
            <w:pPr>
              <w:spacing w:line="276" w:lineRule="auto"/>
              <w:jc w:val="center"/>
              <w:rPr>
                <w:rFonts w:cs="Times New Roman"/>
                <w:sz w:val="21"/>
                <w:lang w:eastAsia="zh-CN"/>
              </w:rPr>
            </w:pPr>
            <w:r>
              <w:rPr>
                <w:rFonts w:cs="Times New Roman"/>
                <w:sz w:val="21"/>
              </w:rPr>
              <w:t>故障安全与</w:t>
            </w:r>
          </w:p>
          <w:p w14:paraId="79CDB3D4">
            <w:pPr>
              <w:spacing w:line="276" w:lineRule="auto"/>
              <w:jc w:val="center"/>
              <w:rPr>
                <w:sz w:val="21"/>
              </w:rPr>
            </w:pPr>
            <w:r>
              <w:rPr>
                <w:rFonts w:cs="Times New Roman"/>
                <w:sz w:val="21"/>
              </w:rPr>
              <w:t>运行记录</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378BA15">
            <w:pPr>
              <w:spacing w:line="276" w:lineRule="auto"/>
              <w:rPr>
                <w:sz w:val="21"/>
              </w:rPr>
            </w:pPr>
            <w:r>
              <w:rPr>
                <w:rFonts w:cs="Times New Roman"/>
                <w:sz w:val="21"/>
              </w:rPr>
              <w:t>支持车载硬急停、远程急停和软件安全停车；定位、传感器、计算、通信、供电、存储或底盘异常时，应告警并限速、停车或请求人工介入。记录任务、模式、定位、规划、控制、反馈和告警，严重事件保留事前≥60秒、事后≥30秒数据。</w:t>
            </w:r>
          </w:p>
        </w:tc>
      </w:tr>
      <w:tr w14:paraId="462FBCDC">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55AD032C">
            <w:pPr>
              <w:spacing w:line="276" w:lineRule="auto"/>
              <w:jc w:val="center"/>
              <w:rPr>
                <w:sz w:val="21"/>
                <w:lang w:eastAsia="zh-CN"/>
              </w:rPr>
            </w:pPr>
            <w:r>
              <w:rPr>
                <w:rFonts w:cs="Times New Roman"/>
                <w:sz w:val="21"/>
              </w:rPr>
              <w:t>1</w:t>
            </w:r>
            <w:r>
              <w:rPr>
                <w:rFonts w:hint="eastAsia" w:cs="Times New Roman"/>
                <w:sz w:val="21"/>
                <w:lang w:eastAsia="zh-CN"/>
              </w:rPr>
              <w:t>2</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95F9183">
            <w:pPr>
              <w:spacing w:line="276" w:lineRule="auto"/>
              <w:jc w:val="center"/>
              <w:rPr>
                <w:sz w:val="21"/>
              </w:rPr>
            </w:pPr>
            <w:r>
              <w:rPr>
                <w:rFonts w:cs="Times New Roman"/>
                <w:sz w:val="21"/>
              </w:rPr>
              <w:t>多节点接入</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125E4953">
            <w:pPr>
              <w:spacing w:line="276" w:lineRule="auto"/>
              <w:rPr>
                <w:sz w:val="21"/>
              </w:rPr>
            </w:pPr>
            <w:r>
              <w:rPr>
                <w:rFonts w:cs="Times New Roman"/>
                <w:sz w:val="21"/>
              </w:rPr>
              <w:t>统一接入无人车、固定/移动监测节点和远程管控端，原则上支持≥8个节点同时在线；支持任务、路线、区域、重点点位和预警规则配置，以及状态监控、告警汇聚和事件记录。</w:t>
            </w:r>
          </w:p>
        </w:tc>
      </w:tr>
      <w:tr w14:paraId="1458E6C5">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06D173E">
            <w:pPr>
              <w:spacing w:line="276" w:lineRule="auto"/>
              <w:jc w:val="center"/>
              <w:rPr>
                <w:sz w:val="21"/>
                <w:lang w:eastAsia="zh-CN"/>
              </w:rPr>
            </w:pPr>
            <w:r>
              <w:rPr>
                <w:rFonts w:cs="Times New Roman"/>
                <w:sz w:val="21"/>
              </w:rPr>
              <w:t>1</w:t>
            </w:r>
            <w:r>
              <w:rPr>
                <w:rFonts w:hint="eastAsia" w:cs="Times New Roman"/>
                <w:sz w:val="21"/>
                <w:lang w:eastAsia="zh-CN"/>
              </w:rPr>
              <w:t>3</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64217EC3">
            <w:pPr>
              <w:spacing w:line="276" w:lineRule="auto"/>
              <w:jc w:val="center"/>
              <w:rPr>
                <w:sz w:val="21"/>
              </w:rPr>
            </w:pPr>
            <w:r>
              <w:rPr>
                <w:rFonts w:cs="Times New Roman"/>
                <w:sz w:val="21"/>
              </w:rPr>
              <w:t>协同作业</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7408E57D">
            <w:pPr>
              <w:spacing w:line="276" w:lineRule="auto"/>
              <w:rPr>
                <w:sz w:val="21"/>
              </w:rPr>
            </w:pPr>
            <w:r>
              <w:rPr>
                <w:rFonts w:cs="Times New Roman"/>
                <w:sz w:val="21"/>
              </w:rPr>
              <w:t>支持任务下发、路径/点位协同、状态同步、告警联动和冲突提示；完成协同作业功能与性能试验，形成具备协同能力的无人巡逻预警系统。</w:t>
            </w:r>
          </w:p>
        </w:tc>
      </w:tr>
      <w:tr w14:paraId="1C8B575F">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3199DEDF">
            <w:pPr>
              <w:spacing w:line="276" w:lineRule="auto"/>
              <w:jc w:val="center"/>
              <w:rPr>
                <w:sz w:val="21"/>
                <w:lang w:eastAsia="zh-CN"/>
              </w:rPr>
            </w:pPr>
            <w:r>
              <w:rPr>
                <w:rFonts w:hint="eastAsia"/>
                <w:sz w:val="21"/>
                <w:lang w:eastAsia="zh-CN"/>
              </w:rPr>
              <w:t>14</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1ED4298">
            <w:pPr>
              <w:spacing w:line="276" w:lineRule="auto"/>
              <w:jc w:val="center"/>
              <w:rPr>
                <w:rFonts w:cs="Times New Roman"/>
                <w:sz w:val="21"/>
                <w:lang w:eastAsia="zh-CN"/>
              </w:rPr>
            </w:pPr>
            <w:r>
              <w:rPr>
                <w:rFonts w:cs="Times New Roman"/>
                <w:sz w:val="21"/>
              </w:rPr>
              <w:t>系统接口、</w:t>
            </w:r>
          </w:p>
          <w:p w14:paraId="7707D98A">
            <w:pPr>
              <w:spacing w:line="276" w:lineRule="auto"/>
              <w:jc w:val="center"/>
              <w:rPr>
                <w:sz w:val="21"/>
              </w:rPr>
            </w:pPr>
            <w:r>
              <w:rPr>
                <w:rFonts w:cs="Times New Roman"/>
                <w:sz w:val="21"/>
              </w:rPr>
              <w:t>配置与安全</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3317CBF">
            <w:pPr>
              <w:spacing w:line="276" w:lineRule="auto"/>
              <w:rPr>
                <w:sz w:val="21"/>
              </w:rPr>
            </w:pPr>
            <w:r>
              <w:rPr>
                <w:rFonts w:cs="Times New Roman"/>
                <w:sz w:val="21"/>
              </w:rPr>
              <w:t>提供车端、边缘/管控端及多节点系统接口，支持状态、检测结果、告警、控制指令和日志交互，接口应明确版本、字段及异常处理并保持兼容。关键参数集中配置，实施分级权限管理，不得保留未披露账号、后门或擅自外传数据。</w:t>
            </w:r>
          </w:p>
        </w:tc>
      </w:tr>
      <w:tr w14:paraId="2B0487A9">
        <w:trPr>
          <w:cantSplit/>
          <w:jc w:val="center"/>
        </w:trPr>
        <w:tc>
          <w:tcPr>
            <w:tcW w:w="390"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8A3A2E5">
            <w:pPr>
              <w:spacing w:line="276" w:lineRule="auto"/>
              <w:jc w:val="center"/>
              <w:rPr>
                <w:sz w:val="21"/>
                <w:lang w:eastAsia="zh-CN"/>
              </w:rPr>
            </w:pPr>
            <w:r>
              <w:rPr>
                <w:rFonts w:cs="Times New Roman"/>
                <w:sz w:val="21"/>
              </w:rPr>
              <w:t>1</w:t>
            </w:r>
            <w:r>
              <w:rPr>
                <w:rFonts w:hint="eastAsia" w:cs="Times New Roman"/>
                <w:sz w:val="21"/>
                <w:lang w:eastAsia="zh-CN"/>
              </w:rPr>
              <w:t>5</w:t>
            </w:r>
          </w:p>
        </w:tc>
        <w:tc>
          <w:tcPr>
            <w:tcW w:w="1675"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28ACEB55">
            <w:pPr>
              <w:spacing w:line="276" w:lineRule="auto"/>
              <w:jc w:val="center"/>
              <w:rPr>
                <w:sz w:val="21"/>
              </w:rPr>
            </w:pPr>
            <w:r>
              <w:rPr>
                <w:rFonts w:cs="Times New Roman"/>
                <w:sz w:val="21"/>
              </w:rPr>
              <w:t>软件交付与可靠性</w:t>
            </w:r>
          </w:p>
        </w:tc>
        <w:tc>
          <w:tcPr>
            <w:tcW w:w="6082" w:type="dxa"/>
            <w:tcBorders>
              <w:top w:val="single" w:color="000000" w:sz="6" w:space="0"/>
              <w:left w:val="single" w:color="000000" w:sz="6" w:space="0"/>
              <w:bottom w:val="single" w:color="000000" w:sz="6" w:space="0"/>
              <w:right w:val="single" w:color="000000" w:sz="6" w:space="0"/>
            </w:tcBorders>
            <w:tcMar>
              <w:top w:w="70" w:type="dxa"/>
              <w:left w:w="90" w:type="dxa"/>
              <w:bottom w:w="70" w:type="dxa"/>
              <w:right w:w="90" w:type="dxa"/>
            </w:tcMar>
            <w:vAlign w:val="center"/>
          </w:tcPr>
          <w:p w14:paraId="0CCCE1F1">
            <w:pPr>
              <w:spacing w:line="276" w:lineRule="auto"/>
              <w:rPr>
                <w:sz w:val="21"/>
              </w:rPr>
            </w:pPr>
            <w:r>
              <w:rPr>
                <w:rFonts w:cs="Times New Roman"/>
                <w:sz w:val="21"/>
              </w:rPr>
              <w:t>交付定制源代码、可执行程序、配置、构建说明、依赖和授权清单，支持离线升级、回滚及异常断电恢复。完成≥72小时台架、≥8小时整车连续运行及≥30km或20小时累计自主行驶验证，配置、地图、标定和日志不得丢失。</w:t>
            </w:r>
          </w:p>
        </w:tc>
      </w:tr>
    </w:tbl>
    <w:p w14:paraId="24F2DFAF">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hint="eastAsia" w:ascii="宋体" w:hAnsi="宋体" w:cs="宋体"/>
          <w:color w:val="auto"/>
          <w:kern w:val="2"/>
          <w:szCs w:val="24"/>
          <w:lang w:eastAsia="zh-CN"/>
        </w:rPr>
        <w:t>（三）技术资料要求</w:t>
      </w:r>
    </w:p>
    <w:p w14:paraId="729AEA0C">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hint="eastAsia" w:ascii="宋体" w:hAnsi="宋体" w:cs="宋体"/>
          <w:color w:val="auto"/>
          <w:kern w:val="2"/>
          <w:szCs w:val="24"/>
          <w:lang w:eastAsia="zh-CN"/>
        </w:rPr>
        <w:t>1.提供无人车自主导航控制系统及多节点巡逻预警系统总体设计方案、系统架构图、节点部署拓扑、协同作业方案、技术说明书、软件部署说明、接口协议、使用维护说明书（含常见故障清单）及自测试报告；同时提供与最终交付实物一致的设备清单、电气原理图、线束及接口定义等资料。</w:t>
      </w:r>
    </w:p>
    <w:p w14:paraId="0EB32427">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hint="eastAsia" w:ascii="宋体" w:hAnsi="宋体" w:cs="宋体"/>
          <w:color w:val="auto"/>
          <w:kern w:val="2"/>
          <w:szCs w:val="24"/>
          <w:lang w:eastAsia="zh-CN"/>
        </w:rPr>
        <w:t>2.提供自主导航控制系统及多节点巡逻预警系统可执行程序、部署安装包或运行镜像、模型文件、配置及标定文件、启动脚本、本项目定制开发部分源代码及构建说明、外部接口定义、通信协议、消息格式、二次开发接口规格、接口调用示例、日志及故障码说明、运行维护说明、协同作业测试记录及联调测试所需资料。除双方另有约定外，应保证甲方具备系统独立部署、启动配置、接口调用、故障诊断、联调测试、运行维护及后续二次集成开发能力。</w:t>
      </w:r>
    </w:p>
    <w:p w14:paraId="6F8DEF04">
      <w:pPr>
        <w:widowControl w:val="0"/>
        <w:adjustRightInd w:val="0"/>
        <w:snapToGrid w:val="0"/>
        <w:spacing w:line="500" w:lineRule="exact"/>
        <w:ind w:firstLine="480" w:firstLineChars="200"/>
        <w:jc w:val="both"/>
        <w:rPr>
          <w:lang w:eastAsia="zh-CN"/>
        </w:rPr>
      </w:pPr>
      <w:r>
        <w:rPr>
          <w:rFonts w:hint="eastAsia" w:ascii="宋体" w:hAnsi="宋体" w:cs="宋体"/>
          <w:color w:val="auto"/>
          <w:kern w:val="2"/>
          <w:szCs w:val="24"/>
          <w:lang w:eastAsia="zh-CN"/>
        </w:rPr>
        <w:t>3.提供自主导航、目标检测、远程接管、多节点巡逻预警及无人车协同作业等功能与性能试验测试报告。所有资料应与最终交付的软硬件型号、版本及配置保持一致，并提供可编辑、可检索的电子版文件。</w:t>
      </w:r>
    </w:p>
    <w:p w14:paraId="0C70B58E">
      <w:pPr>
        <w:widowControl w:val="0"/>
        <w:adjustRightInd w:val="0"/>
        <w:snapToGrid w:val="0"/>
        <w:spacing w:line="500" w:lineRule="exact"/>
        <w:ind w:firstLine="480" w:firstLineChars="200"/>
        <w:jc w:val="both"/>
        <w:rPr>
          <w:rFonts w:ascii="宋体" w:hAnsi="宋体" w:cs="宋体"/>
          <w:b/>
          <w:bCs/>
          <w:color w:val="auto"/>
          <w:kern w:val="2"/>
          <w:szCs w:val="24"/>
          <w:lang w:eastAsia="zh-CN"/>
        </w:rPr>
      </w:pPr>
      <w:r>
        <w:rPr>
          <w:rFonts w:ascii="宋体" w:hAnsi="宋体" w:cs="宋体"/>
          <w:b/>
          <w:bCs/>
          <w:color w:val="auto"/>
          <w:kern w:val="2"/>
          <w:szCs w:val="24"/>
          <w:lang w:eastAsia="zh-CN"/>
        </w:rPr>
        <w:t>四、设备验收</w:t>
      </w:r>
    </w:p>
    <w:p w14:paraId="5AF1B8C3">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（一）验收地点</w:t>
      </w:r>
    </w:p>
    <w:p w14:paraId="064A092E">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val="en-US" w:eastAsia="zh-CN"/>
        </w:rPr>
        <w:t>深圳市光明区凤凰街道塘尾社区光明大道380号尚智科技园3C栋</w:t>
      </w:r>
      <w:r>
        <w:rPr>
          <w:rFonts w:ascii="宋体" w:hAnsi="宋体" w:cs="宋体"/>
          <w:color w:val="auto"/>
          <w:kern w:val="2"/>
          <w:szCs w:val="24"/>
          <w:lang w:eastAsia="zh-CN"/>
        </w:rPr>
        <w:t>。</w:t>
      </w:r>
    </w:p>
    <w:p w14:paraId="614ED23F">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（二）验收依据</w:t>
      </w:r>
    </w:p>
    <w:p w14:paraId="27E49EFE">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设备验收以买卖双方签订的《技术协议》及双方确认的其他技术资料为依据。</w:t>
      </w:r>
    </w:p>
    <w:p w14:paraId="08B44387">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（三）验收内容与程序</w:t>
      </w:r>
    </w:p>
    <w:p w14:paraId="068F4FF0">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1.核查设备及配件的完整性，确认随附技术文件资料齐全、无遗漏。</w:t>
      </w:r>
    </w:p>
    <w:p w14:paraId="42FA5F03">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2.按设备设定功能项目进行实际操作运行，考核其能否完成预定功能，设备运转是否安全、稳定；重点完成无人车协同作业的功能与性能试验测试，验证多节点巡逻预警系统任务下发、状态同步、告警联动、事件记录等能力。</w:t>
      </w:r>
    </w:p>
    <w:p w14:paraId="1A1BD21B">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3.检查设备的操作控制、参数显示、安全保护等功能是否达到设计要求。</w:t>
      </w:r>
    </w:p>
    <w:p w14:paraId="38580B62">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4.验收合格后，双方签署验收报告。</w:t>
      </w:r>
    </w:p>
    <w:p w14:paraId="24B98392">
      <w:pPr>
        <w:widowControl w:val="0"/>
        <w:adjustRightInd w:val="0"/>
        <w:snapToGrid w:val="0"/>
        <w:spacing w:line="500" w:lineRule="exact"/>
        <w:ind w:firstLine="480" w:firstLineChars="200"/>
        <w:jc w:val="both"/>
        <w:rPr>
          <w:rFonts w:ascii="宋体" w:hAnsi="宋体" w:cs="宋体"/>
          <w:b/>
          <w:bCs/>
          <w:color w:val="auto"/>
          <w:kern w:val="2"/>
          <w:szCs w:val="24"/>
          <w:lang w:eastAsia="zh-CN"/>
        </w:rPr>
      </w:pPr>
      <w:r>
        <w:rPr>
          <w:rFonts w:ascii="宋体" w:hAnsi="宋体" w:cs="宋体"/>
          <w:b/>
          <w:bCs/>
          <w:color w:val="auto"/>
          <w:kern w:val="2"/>
          <w:szCs w:val="24"/>
          <w:lang w:eastAsia="zh-CN"/>
        </w:rPr>
        <w:t>五、运输、安装与调试</w:t>
      </w:r>
    </w:p>
    <w:p w14:paraId="7BF95120">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1.无论在何种运输方式下，卖方应保证货物包装完好无锈蚀，安全运抵目的地。卖方应对由于包装不适当所招致的任何损坏和费用负责，包括卖方在包装时使用的不良包装或所采取的防护性措施不适当所造成的锈蚀。</w:t>
      </w:r>
    </w:p>
    <w:p w14:paraId="26AA37B5">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2.设备到位后，卖方派专人对设备进行开箱，买方人员根据装箱单对设备进行开箱验收，如有部件不符、损坏或缺失，由此引起的一切经济损失由卖方承担。</w:t>
      </w:r>
    </w:p>
    <w:p w14:paraId="6B27D0A0">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3.卖方承担设备安装，并派专人用专用工具到买方现场安装、调试（买方配合、协助），直到设备进入正常工作状态。</w:t>
      </w:r>
    </w:p>
    <w:p w14:paraId="717B7AF7">
      <w:pPr>
        <w:widowControl w:val="0"/>
        <w:adjustRightInd w:val="0"/>
        <w:snapToGrid w:val="0"/>
        <w:spacing w:line="500" w:lineRule="exact"/>
        <w:ind w:firstLine="480" w:firstLineChars="200"/>
        <w:jc w:val="both"/>
        <w:rPr>
          <w:rFonts w:ascii="宋体" w:hAnsi="宋体" w:cs="宋体"/>
          <w:b/>
          <w:bCs/>
          <w:color w:val="auto"/>
          <w:kern w:val="2"/>
          <w:szCs w:val="24"/>
          <w:lang w:eastAsia="zh-CN"/>
        </w:rPr>
      </w:pPr>
      <w:r>
        <w:rPr>
          <w:rFonts w:ascii="宋体" w:hAnsi="宋体" w:cs="宋体"/>
          <w:b/>
          <w:bCs/>
          <w:color w:val="auto"/>
          <w:kern w:val="2"/>
          <w:szCs w:val="24"/>
          <w:lang w:eastAsia="zh-CN"/>
        </w:rPr>
        <w:t>六、付款方式</w:t>
      </w:r>
    </w:p>
    <w:p w14:paraId="292944DA">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合同采用银行转账方式付款，具体安排如下：合同签订后，买方支付卖方合同总价的</w:t>
      </w:r>
      <w:r>
        <w:rPr>
          <w:rFonts w:hint="eastAsia" w:ascii="宋体" w:hAnsi="宋体" w:cs="宋体"/>
          <w:color w:val="auto"/>
          <w:kern w:val="2"/>
          <w:szCs w:val="24"/>
          <w:lang w:val="en-US" w:eastAsia="zh-CN"/>
        </w:rPr>
        <w:t>4</w:t>
      </w:r>
      <w:r>
        <w:rPr>
          <w:rFonts w:ascii="宋体" w:hAnsi="宋体" w:cs="宋体"/>
          <w:color w:val="auto"/>
          <w:kern w:val="2"/>
          <w:szCs w:val="24"/>
          <w:lang w:eastAsia="zh-CN"/>
        </w:rPr>
        <w:t>0%；卖方完成项目，送抵买方并验收合格后，卖方为买方开具增值税专用发票，买方支付卖方合同总价的</w:t>
      </w:r>
      <w:r>
        <w:rPr>
          <w:rFonts w:hint="eastAsia" w:ascii="宋体" w:hAnsi="宋体" w:cs="宋体"/>
          <w:color w:val="auto"/>
          <w:kern w:val="2"/>
          <w:szCs w:val="24"/>
          <w:lang w:val="en-US" w:eastAsia="zh-CN"/>
        </w:rPr>
        <w:t>5</w:t>
      </w:r>
      <w:r>
        <w:rPr>
          <w:rFonts w:ascii="宋体" w:hAnsi="宋体" w:cs="宋体"/>
          <w:color w:val="auto"/>
          <w:kern w:val="2"/>
          <w:szCs w:val="24"/>
          <w:lang w:eastAsia="zh-CN"/>
        </w:rPr>
        <w:t>0%；验收合格</w:t>
      </w:r>
      <w:r>
        <w:rPr>
          <w:rFonts w:hint="eastAsia" w:ascii="宋体" w:hAnsi="宋体" w:cs="宋体"/>
          <w:color w:val="auto"/>
          <w:kern w:val="2"/>
          <w:szCs w:val="24"/>
          <w:lang w:val="en-US" w:eastAsia="zh-CN"/>
        </w:rPr>
        <w:t>满12</w:t>
      </w:r>
      <w:r>
        <w:rPr>
          <w:rFonts w:ascii="宋体" w:hAnsi="宋体" w:cs="宋体"/>
          <w:color w:val="auto"/>
          <w:kern w:val="2"/>
          <w:szCs w:val="24"/>
          <w:lang w:eastAsia="zh-CN"/>
        </w:rPr>
        <w:t>个月</w:t>
      </w:r>
      <w:r>
        <w:rPr>
          <w:rFonts w:hint="eastAsia" w:ascii="宋体" w:hAnsi="宋体" w:cs="宋体"/>
          <w:color w:val="auto"/>
          <w:kern w:val="2"/>
          <w:szCs w:val="24"/>
          <w:lang w:val="en-US" w:eastAsia="zh-CN"/>
        </w:rPr>
        <w:t>，</w:t>
      </w:r>
      <w:r>
        <w:rPr>
          <w:rFonts w:ascii="宋体" w:hAnsi="宋体" w:cs="宋体"/>
          <w:color w:val="auto"/>
          <w:kern w:val="2"/>
          <w:szCs w:val="24"/>
          <w:lang w:eastAsia="zh-CN"/>
        </w:rPr>
        <w:t>买方支付卖方合同总价的</w:t>
      </w:r>
      <w:r>
        <w:rPr>
          <w:rFonts w:hint="eastAsia" w:ascii="宋体" w:hAnsi="宋体" w:cs="宋体"/>
          <w:color w:val="auto"/>
          <w:kern w:val="2"/>
          <w:szCs w:val="24"/>
          <w:lang w:val="en-US" w:eastAsia="zh-CN"/>
        </w:rPr>
        <w:t>1</w:t>
      </w:r>
      <w:r>
        <w:rPr>
          <w:rFonts w:ascii="宋体" w:hAnsi="宋体" w:cs="宋体"/>
          <w:color w:val="auto"/>
          <w:kern w:val="2"/>
          <w:szCs w:val="24"/>
          <w:lang w:eastAsia="zh-CN"/>
        </w:rPr>
        <w:t>0%。</w:t>
      </w:r>
    </w:p>
    <w:p w14:paraId="2F43210F">
      <w:pPr>
        <w:widowControl w:val="0"/>
        <w:adjustRightInd w:val="0"/>
        <w:snapToGrid w:val="0"/>
        <w:spacing w:line="500" w:lineRule="exact"/>
        <w:ind w:firstLine="480" w:firstLineChars="200"/>
        <w:jc w:val="both"/>
        <w:rPr>
          <w:rFonts w:ascii="宋体" w:hAnsi="宋体" w:cs="宋体"/>
          <w:b/>
          <w:bCs/>
          <w:color w:val="auto"/>
          <w:kern w:val="2"/>
          <w:szCs w:val="24"/>
          <w:lang w:eastAsia="zh-CN"/>
        </w:rPr>
      </w:pPr>
      <w:r>
        <w:rPr>
          <w:rFonts w:ascii="宋体" w:hAnsi="宋体" w:cs="宋体"/>
          <w:b/>
          <w:bCs/>
          <w:color w:val="auto"/>
          <w:kern w:val="2"/>
          <w:szCs w:val="24"/>
          <w:lang w:eastAsia="zh-CN"/>
        </w:rPr>
        <w:t>七、售后服务</w:t>
      </w:r>
    </w:p>
    <w:p w14:paraId="3D580953">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报价方须满足以下技术支持与售后服务要求：</w:t>
      </w:r>
      <w:bookmarkStart w:id="0" w:name="_GoBack"/>
      <w:bookmarkEnd w:id="0"/>
    </w:p>
    <w:p w14:paraId="756A9CED">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1.设备质保期不少于</w:t>
      </w:r>
      <w:r>
        <w:rPr>
          <w:rFonts w:hint="eastAsia" w:ascii="宋体" w:hAnsi="宋体" w:cs="宋体"/>
          <w:color w:val="auto"/>
          <w:kern w:val="2"/>
          <w:szCs w:val="24"/>
          <w:lang w:val="en-US" w:eastAsia="zh-CN"/>
        </w:rPr>
        <w:t>12</w:t>
      </w:r>
      <w:r>
        <w:rPr>
          <w:rFonts w:ascii="宋体" w:hAnsi="宋体" w:cs="宋体"/>
          <w:color w:val="auto"/>
          <w:kern w:val="2"/>
          <w:szCs w:val="24"/>
          <w:lang w:eastAsia="zh-CN"/>
        </w:rPr>
        <w:t>个月，质保期内，除外力如磕碰和人为因素外，因产品质量问题等造成的系统故障及功能失效，供方提供免费服务（如维修、更换零部件等）。</w:t>
      </w:r>
    </w:p>
    <w:p w14:paraId="16131FE5">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2.出现功能故障后，卖方应在接到通知内12小时内响应，并应在48小时内完成处理或到达现场进行处理。</w:t>
      </w:r>
    </w:p>
    <w:p w14:paraId="76BB47F7">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3.更换部件的保修期自更换之日，延续原有质保期剩余期限。若原产品质保期剩余期限不足 30 天的，统一延长至更换完成后 30 天，确保买方享有合理的售后保障。</w:t>
      </w:r>
    </w:p>
    <w:p w14:paraId="09C4BC47">
      <w:pPr>
        <w:widowControl w:val="0"/>
        <w:adjustRightInd w:val="0"/>
        <w:snapToGrid w:val="0"/>
        <w:spacing w:line="50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4.若具备软件升级条件，卖方应为买方提供免费软件升级服务。</w:t>
      </w:r>
    </w:p>
    <w:p w14:paraId="5B77B8D9">
      <w:pPr>
        <w:widowControl w:val="0"/>
        <w:adjustRightInd w:val="0"/>
        <w:snapToGrid w:val="0"/>
        <w:spacing w:line="500" w:lineRule="exact"/>
        <w:ind w:firstLine="480" w:firstLineChars="200"/>
        <w:jc w:val="both"/>
        <w:rPr>
          <w:rFonts w:ascii="宋体" w:hAnsi="宋体" w:cs="宋体"/>
          <w:b/>
          <w:bCs/>
          <w:color w:val="auto"/>
          <w:kern w:val="2"/>
          <w:szCs w:val="24"/>
          <w:lang w:eastAsia="zh-CN"/>
        </w:rPr>
      </w:pPr>
      <w:r>
        <w:rPr>
          <w:rFonts w:ascii="宋体" w:hAnsi="宋体" w:cs="宋体"/>
          <w:b/>
          <w:bCs/>
          <w:color w:val="auto"/>
          <w:kern w:val="2"/>
          <w:szCs w:val="24"/>
          <w:lang w:eastAsia="zh-CN"/>
        </w:rPr>
        <w:t>八、交货期及交货地点</w:t>
      </w:r>
    </w:p>
    <w:p w14:paraId="1AFB3A7F">
      <w:pPr>
        <w:widowControl w:val="0"/>
        <w:adjustRightInd w:val="0"/>
        <w:snapToGrid w:val="0"/>
        <w:spacing w:line="56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（一）交货期</w:t>
      </w:r>
    </w:p>
    <w:p w14:paraId="32FFCF90">
      <w:pPr>
        <w:widowControl w:val="0"/>
        <w:adjustRightInd w:val="0"/>
        <w:snapToGrid w:val="0"/>
        <w:spacing w:line="56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合同生效后30个工作日内完成交付。</w:t>
      </w:r>
    </w:p>
    <w:p w14:paraId="1ACA8E59">
      <w:pPr>
        <w:widowControl w:val="0"/>
        <w:adjustRightInd w:val="0"/>
        <w:snapToGrid w:val="0"/>
        <w:spacing w:line="560" w:lineRule="exact"/>
        <w:ind w:firstLine="480" w:firstLineChars="200"/>
        <w:jc w:val="both"/>
        <w:rPr>
          <w:rFonts w:ascii="宋体" w:hAnsi="宋体" w:cs="宋体"/>
          <w:color w:val="auto"/>
          <w:kern w:val="2"/>
          <w:szCs w:val="24"/>
          <w:lang w:eastAsia="zh-CN"/>
        </w:rPr>
      </w:pPr>
      <w:r>
        <w:rPr>
          <w:rFonts w:ascii="宋体" w:hAnsi="宋体" w:cs="宋体"/>
          <w:color w:val="auto"/>
          <w:kern w:val="2"/>
          <w:szCs w:val="24"/>
          <w:lang w:eastAsia="zh-CN"/>
        </w:rPr>
        <w:t>（二）交货地点</w:t>
      </w:r>
    </w:p>
    <w:p w14:paraId="5DC53F4B">
      <w:pPr>
        <w:widowControl w:val="0"/>
        <w:adjustRightInd w:val="0"/>
        <w:snapToGrid w:val="0"/>
        <w:spacing w:line="560" w:lineRule="exact"/>
        <w:ind w:firstLine="480" w:firstLineChars="200"/>
        <w:jc w:val="both"/>
      </w:pPr>
      <w:r>
        <w:rPr>
          <w:rFonts w:ascii="宋体" w:hAnsi="宋体" w:cs="宋体"/>
          <w:color w:val="auto"/>
          <w:kern w:val="2"/>
          <w:szCs w:val="24"/>
          <w:lang w:eastAsia="zh-CN"/>
        </w:rPr>
        <w:t>中兵智能创新研究院（深圳）有限公司。</w:t>
      </w:r>
    </w:p>
    <w:sectPr>
      <w:footerReference r:id="rId5" w:type="default"/>
      <w:pgSz w:w="11906" w:h="16838"/>
      <w:pgMar w:top="1440" w:right="1800" w:bottom="1440" w:left="1800" w:header="567" w:footer="56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2000000" w:usb3="00000000" w:csb0="0000019F"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Courier">
    <w:altName w:val="苹方-简"/>
    <w:panose1 w:val="02070309020205020404"/>
    <w:charset w:val="00"/>
    <w:family w:val="auto"/>
    <w:pitch w:val="default"/>
    <w:sig w:usb0="00000000" w:usb1="00000000" w:usb2="00000000" w:usb3="00000000" w:csb0="00000001" w:csb1="00000000"/>
  </w:font>
  <w:font w:name="黑体">
    <w:altName w:val="汉仪中黑KW"/>
    <w:panose1 w:val="00000000000000000000"/>
    <w:charset w:val="00"/>
    <w:family w:val="auto"/>
    <w:pitch w:val="default"/>
    <w:sig w:usb0="00000000" w:usb1="00000000" w:usb2="00000000" w:usb3="00000000" w:csb0="00000000"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BCA66">
    <w:pPr>
      <w:pStyle w:val="24"/>
      <w:jc w:val="center"/>
    </w:pPr>
    <w:r>
      <w:rPr>
        <w:rFonts w:cs="Times New Roman"/>
        <w:sz w:val="18"/>
      </w:rPr>
      <w:fldChar w:fldCharType="begin"/>
    </w:r>
    <w:r>
      <w:rPr>
        <w:rFonts w:cs="Times New Roman"/>
        <w:sz w:val="18"/>
      </w:rPr>
      <w:instrText xml:space="preserve"> PAGE </w:instrText>
    </w:r>
    <w:r>
      <w:rPr>
        <w:rFonts w:cs="Times New Roman"/>
        <w:sz w:val="18"/>
      </w:rPr>
      <w:fldChar w:fldCharType="separate"/>
    </w:r>
    <w:r>
      <w:rPr>
        <w:rFonts w:cs="Times New Roman"/>
        <w:sz w:val="18"/>
      </w:rPr>
      <w:t>1</w:t>
    </w:r>
    <w:r>
      <w:rPr>
        <w:rFonts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51F4"/>
    <w:rsid w:val="00034616"/>
    <w:rsid w:val="0005094F"/>
    <w:rsid w:val="0006063C"/>
    <w:rsid w:val="00065948"/>
    <w:rsid w:val="00091C6F"/>
    <w:rsid w:val="00144191"/>
    <w:rsid w:val="0015074B"/>
    <w:rsid w:val="00243467"/>
    <w:rsid w:val="0029639D"/>
    <w:rsid w:val="00326F90"/>
    <w:rsid w:val="00381E9D"/>
    <w:rsid w:val="003B354A"/>
    <w:rsid w:val="004077F5"/>
    <w:rsid w:val="00450853"/>
    <w:rsid w:val="004E760B"/>
    <w:rsid w:val="00506B8D"/>
    <w:rsid w:val="0052178F"/>
    <w:rsid w:val="005753DE"/>
    <w:rsid w:val="00596E5B"/>
    <w:rsid w:val="005A2FBE"/>
    <w:rsid w:val="005B03C7"/>
    <w:rsid w:val="0065247A"/>
    <w:rsid w:val="00707049"/>
    <w:rsid w:val="00767614"/>
    <w:rsid w:val="007B51D5"/>
    <w:rsid w:val="007F00EA"/>
    <w:rsid w:val="008077AA"/>
    <w:rsid w:val="008D7D6B"/>
    <w:rsid w:val="0090414A"/>
    <w:rsid w:val="00AA1D8D"/>
    <w:rsid w:val="00B47730"/>
    <w:rsid w:val="00CB0664"/>
    <w:rsid w:val="00FC693F"/>
    <w:rsid w:val="00FE385D"/>
    <w:rsid w:val="164FFBA9"/>
    <w:rsid w:val="2BFDF37F"/>
    <w:rsid w:val="2F9FD21F"/>
    <w:rsid w:val="36FB7F34"/>
    <w:rsid w:val="39F5F69E"/>
    <w:rsid w:val="39FBE0F5"/>
    <w:rsid w:val="3DFD81C3"/>
    <w:rsid w:val="43FF3446"/>
    <w:rsid w:val="57CFB1C6"/>
    <w:rsid w:val="5D3DF355"/>
    <w:rsid w:val="773CDDF2"/>
    <w:rsid w:val="7B479C21"/>
    <w:rsid w:val="7E71D19F"/>
    <w:rsid w:val="8F7B8989"/>
    <w:rsid w:val="9BB90E3C"/>
    <w:rsid w:val="9E9D6C10"/>
    <w:rsid w:val="A3F383E6"/>
    <w:rsid w:val="AF7E1236"/>
    <w:rsid w:val="B6FC3FAD"/>
    <w:rsid w:val="B73FC47C"/>
    <w:rsid w:val="BD9BA598"/>
    <w:rsid w:val="BFFFBE31"/>
    <w:rsid w:val="D7DB6EAA"/>
    <w:rsid w:val="DAEE4560"/>
    <w:rsid w:val="DBF972CB"/>
    <w:rsid w:val="EB794150"/>
    <w:rsid w:val="EFE995FF"/>
    <w:rsid w:val="F0775009"/>
    <w:rsid w:val="F4568CF6"/>
    <w:rsid w:val="F76FBACC"/>
    <w:rsid w:val="F7EA67D9"/>
    <w:rsid w:val="F7FFD1C4"/>
    <w:rsid w:val="FAFB2ADB"/>
    <w:rsid w:val="FBFD1306"/>
    <w:rsid w:val="FBFFE7B0"/>
    <w:rsid w:val="FBFFFA22"/>
    <w:rsid w:val="FFBDE26D"/>
    <w:rsid w:val="FFE8605A"/>
    <w:rsid w:val="FFFB33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360" w:lineRule="auto"/>
    </w:pPr>
    <w:rPr>
      <w:rFonts w:ascii="Times New Roman" w:hAnsi="Times New Roman" w:eastAsia="宋体" w:cstheme="minorBidi"/>
      <w:color w:val="000000"/>
      <w:sz w:val="24"/>
      <w:szCs w:val="22"/>
      <w:lang w:val="en-US" w:eastAsia="en-US" w:bidi="ar-SA"/>
    </w:rPr>
  </w:style>
  <w:style w:type="paragraph" w:styleId="3">
    <w:name w:val="heading 1"/>
    <w:basedOn w:val="1"/>
    <w:next w:val="1"/>
    <w:link w:val="139"/>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7"/>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5"/>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7"/>
    <w:unhideWhenUsed/>
    <w:uiPriority w:val="99"/>
    <w:pPr>
      <w:tabs>
        <w:tab w:val="center" w:pos="4680"/>
        <w:tab w:val="right" w:pos="9360"/>
      </w:tabs>
      <w:spacing w:line="240" w:lineRule="auto"/>
    </w:pPr>
  </w:style>
  <w:style w:type="paragraph" w:styleId="25">
    <w:name w:val="header"/>
    <w:basedOn w:val="1"/>
    <w:link w:val="136"/>
    <w:unhideWhenUsed/>
    <w:uiPriority w:val="99"/>
    <w:pPr>
      <w:tabs>
        <w:tab w:val="center" w:pos="4680"/>
        <w:tab w:val="right" w:pos="9360"/>
      </w:tabs>
      <w:spacing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6"/>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Normal (Web)"/>
    <w:basedOn w:val="1"/>
    <w:semiHidden/>
    <w:unhideWhenUsed/>
    <w:uiPriority w:val="99"/>
    <w:rPr>
      <w:sz w:val="24"/>
    </w:rPr>
  </w:style>
  <w:style w:type="paragraph" w:styleId="31">
    <w:name w:val="List Continue 3"/>
    <w:basedOn w:val="1"/>
    <w:unhideWhenUsed/>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Shading"/>
    <w:basedOn w:val="33"/>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页眉 字符"/>
    <w:basedOn w:val="133"/>
    <w:link w:val="25"/>
    <w:uiPriority w:val="99"/>
  </w:style>
  <w:style w:type="character" w:customStyle="1" w:styleId="137">
    <w:name w:val="页脚 字符"/>
    <w:basedOn w:val="133"/>
    <w:link w:val="24"/>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标题 1 字符"/>
    <w:basedOn w:val="133"/>
    <w:link w:val="3"/>
    <w:uiPriority w:val="9"/>
    <w:rPr>
      <w:rFonts w:asciiTheme="majorHAnsi" w:hAnsiTheme="majorHAnsi" w:eastAsiaTheme="majorEastAsia" w:cstheme="majorBidi"/>
      <w:b/>
      <w:bCs/>
      <w:color w:val="376092" w:themeColor="accent1" w:themeShade="BF"/>
      <w:sz w:val="28"/>
      <w:szCs w:val="28"/>
    </w:rPr>
  </w:style>
  <w:style w:type="character" w:customStyle="1" w:styleId="140">
    <w:name w:val="标题 2 字符"/>
    <w:basedOn w:val="133"/>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标题 3 字符"/>
    <w:basedOn w:val="133"/>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标题 字符"/>
    <w:basedOn w:val="133"/>
    <w:link w:val="32"/>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副标题 字符"/>
    <w:basedOn w:val="133"/>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正文文本 字符"/>
    <w:basedOn w:val="133"/>
    <w:link w:val="19"/>
    <w:uiPriority w:val="99"/>
  </w:style>
  <w:style w:type="character" w:customStyle="1" w:styleId="146">
    <w:name w:val="正文文本 2 字符"/>
    <w:basedOn w:val="133"/>
    <w:link w:val="28"/>
    <w:uiPriority w:val="99"/>
  </w:style>
  <w:style w:type="character" w:customStyle="1" w:styleId="147">
    <w:name w:val="正文文本 3 字符"/>
    <w:basedOn w:val="133"/>
    <w:link w:val="17"/>
    <w:uiPriority w:val="99"/>
    <w:rPr>
      <w:sz w:val="16"/>
      <w:szCs w:val="16"/>
    </w:rPr>
  </w:style>
  <w:style w:type="character" w:customStyle="1" w:styleId="148">
    <w:name w:val="宏文本 字符"/>
    <w:basedOn w:val="133"/>
    <w:link w:val="2"/>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引用 字符"/>
    <w:basedOn w:val="133"/>
    <w:link w:val="149"/>
    <w:uiPriority w:val="29"/>
    <w:rPr>
      <w:i/>
      <w:iCs/>
      <w:color w:val="000000" w:themeColor="text1"/>
      <w14:textFill>
        <w14:solidFill>
          <w14:schemeClr w14:val="tx1"/>
        </w14:solidFill>
      </w14:textFill>
    </w:rPr>
  </w:style>
  <w:style w:type="character" w:customStyle="1" w:styleId="151">
    <w:name w:val="标题 4 字符"/>
    <w:basedOn w:val="133"/>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标题 5 字符"/>
    <w:basedOn w:val="133"/>
    <w:link w:val="7"/>
    <w:semiHidden/>
    <w:uiPriority w:val="9"/>
    <w:rPr>
      <w:rFonts w:asciiTheme="majorHAnsi" w:hAnsiTheme="majorHAnsi" w:eastAsiaTheme="majorEastAsia" w:cstheme="majorBidi"/>
      <w:color w:val="254061" w:themeColor="accent1" w:themeShade="80"/>
    </w:rPr>
  </w:style>
  <w:style w:type="character" w:customStyle="1" w:styleId="153">
    <w:name w:val="标题 6 字符"/>
    <w:basedOn w:val="133"/>
    <w:link w:val="8"/>
    <w:semiHidden/>
    <w:uiPriority w:val="9"/>
    <w:rPr>
      <w:rFonts w:asciiTheme="majorHAnsi" w:hAnsiTheme="majorHAnsi" w:eastAsiaTheme="majorEastAsia" w:cstheme="majorBidi"/>
      <w:i/>
      <w:iCs/>
      <w:color w:val="254061" w:themeColor="accent1" w:themeShade="80"/>
    </w:rPr>
  </w:style>
  <w:style w:type="character" w:customStyle="1" w:styleId="154">
    <w:name w:val="标题 7 字符"/>
    <w:basedOn w:val="133"/>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标题 8 字符"/>
    <w:basedOn w:val="133"/>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标题 9 字符"/>
    <w:basedOn w:val="133"/>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明显引用 字符"/>
    <w:basedOn w:val="133"/>
    <w:link w:val="157"/>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 w:type="paragraph" w:customStyle="1" w:styleId="165">
    <w:name w:val="p1"/>
    <w:basedOn w:val="1"/>
    <w:uiPriority w:val="0"/>
    <w:pPr>
      <w:spacing w:before="0" w:beforeAutospacing="0" w:after="0" w:afterAutospacing="0"/>
      <w:ind w:left="0" w:right="0"/>
      <w:jc w:val="left"/>
    </w:pPr>
    <w:rPr>
      <w:rFonts w:ascii="pingfang sc" w:hAnsi="pingfang sc" w:eastAsia="pingfang sc" w:cs="pingfang sc"/>
      <w:kern w:val="0"/>
      <w:sz w:val="26"/>
      <w:szCs w:val="26"/>
      <w:lang w:val="en-US" w:eastAsia="zh-CN" w:bidi="ar"/>
    </w:rPr>
  </w:style>
  <w:style w:type="character" w:customStyle="1" w:styleId="166">
    <w:name w:val="s1"/>
    <w:basedOn w:val="133"/>
    <w:uiPriority w:val="0"/>
    <w:rPr>
      <w:rFonts w:ascii="Helvetica Neue" w:hAnsi="Helvetica Neue" w:eastAsia="Helvetica Neue" w:cs="Helvetica Neue"/>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815</Words>
  <Characters>4646</Characters>
  <Lines>38</Lines>
  <Paragraphs>10</Paragraphs>
  <TotalTime>0</TotalTime>
  <ScaleCrop>false</ScaleCrop>
  <LinksUpToDate>false</LinksUpToDate>
  <CharactersWithSpaces>5451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2026-07-03T08:44:00Z</dcterms:created>
  <dc:creator>中兵智能创新研究院（深圳）有限公司</dc:creator>
  <dc:description>generated by python-docx</dc:description>
  <cp:keywords>无人车,自主导航,电磁兼容,电气,验收,询价</cp:keywords>
  <cp:lastModifiedBy>超宇</cp:lastModifiedBy>
  <dcterms:modified xsi:type="dcterms:W3CDTF">2026-07-06T17:12:29Z</dcterms:modified>
  <dc:subject>自主导航相关软硬件、电气、质量、验收及售后约束</dc:subject>
  <dc:title>安防无人车自主导航控制系统及多节点巡逻预警系统研制询价要求（全面约束修订版）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549FEF3B48184DDCCD6D4B6A4140F3AA_42</vt:lpwstr>
  </property>
</Properties>
</file>