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D4B9CF">
      <w:pPr>
        <w:jc w:val="center"/>
        <w:rPr>
          <w:b/>
          <w:sz w:val="84"/>
          <w:szCs w:val="84"/>
        </w:rPr>
      </w:pPr>
      <w:bookmarkStart w:id="0" w:name="_Hlk71456902"/>
    </w:p>
    <w:p w14:paraId="1B24E6B2">
      <w:pPr>
        <w:jc w:val="center"/>
        <w:rPr>
          <w:b/>
          <w:sz w:val="120"/>
          <w:szCs w:val="120"/>
        </w:rPr>
      </w:pPr>
    </w:p>
    <w:p w14:paraId="0D150984">
      <w:pPr>
        <w:pStyle w:val="7"/>
      </w:pPr>
    </w:p>
    <w:p w14:paraId="2C24183D">
      <w:pPr>
        <w:jc w:val="center"/>
        <w:rPr>
          <w:b/>
          <w:sz w:val="120"/>
          <w:szCs w:val="120"/>
        </w:rPr>
      </w:pPr>
      <w:r>
        <w:rPr>
          <w:rFonts w:hint="eastAsia"/>
          <w:b/>
          <w:sz w:val="120"/>
          <w:szCs w:val="120"/>
        </w:rPr>
        <w:t>招标文件</w:t>
      </w:r>
    </w:p>
    <w:p w14:paraId="6DC0E724">
      <w:pPr>
        <w:jc w:val="center"/>
        <w:rPr>
          <w:b/>
          <w:sz w:val="52"/>
          <w:szCs w:val="52"/>
        </w:rPr>
      </w:pPr>
      <w:r>
        <w:rPr>
          <w:rFonts w:hint="eastAsia"/>
          <w:b/>
          <w:sz w:val="52"/>
          <w:szCs w:val="52"/>
        </w:rPr>
        <w:t>（货物类）</w:t>
      </w:r>
    </w:p>
    <w:p w14:paraId="64712705"/>
    <w:p w14:paraId="530E5A46"/>
    <w:p w14:paraId="0A0C7D36"/>
    <w:p w14:paraId="15FCCDF4"/>
    <w:p w14:paraId="4365153E"/>
    <w:p w14:paraId="6ED65324"/>
    <w:p w14:paraId="03547649"/>
    <w:p w14:paraId="101776EE"/>
    <w:p w14:paraId="6DC6FB9D"/>
    <w:p w14:paraId="40DAACDA"/>
    <w:p w14:paraId="61258D9E">
      <w:pPr>
        <w:jc w:val="both"/>
        <w:rPr>
          <w:rFonts w:hint="default" w:ascii="宋体" w:hAnsi="宋体" w:eastAsia="宋体" w:cs="Times New Roman"/>
          <w:color w:val="0000FF"/>
          <w:lang w:val="en-US" w:eastAsia="zh-CN"/>
        </w:rPr>
      </w:pPr>
      <w:r>
        <w:rPr>
          <w:rFonts w:hint="eastAsia" w:ascii="Times New Roman" w:hAnsi="Times New Roman" w:eastAsia="宋体" w:cs="Times New Roman"/>
          <w:b/>
          <w:sz w:val="24"/>
          <w:szCs w:val="24"/>
          <w:lang w:val="en-US" w:eastAsia="zh-CN"/>
        </w:rPr>
        <w:t>项目名称：中国人民银行深圳市分行网络设备采购项目</w:t>
      </w:r>
    </w:p>
    <w:p w14:paraId="6559BB7D">
      <w:pPr>
        <w:jc w:val="both"/>
        <w:rPr>
          <w:rFonts w:hint="default" w:ascii="宋体" w:hAnsi="宋体" w:eastAsia="宋体" w:cs="Times New Roman"/>
          <w:color w:val="0000FF"/>
          <w:lang w:val="en-US" w:eastAsia="zh-CN"/>
        </w:rPr>
      </w:pPr>
      <w:r>
        <w:rPr>
          <w:rFonts w:hint="eastAsia" w:ascii="Times New Roman" w:hAnsi="Times New Roman" w:eastAsia="宋体" w:cs="Times New Roman"/>
          <w:b/>
          <w:sz w:val="24"/>
          <w:szCs w:val="24"/>
          <w:lang w:val="en-US" w:eastAsia="zh-CN"/>
        </w:rPr>
        <w:t>项目编号：LHZXCG-2025-00016</w:t>
      </w:r>
    </w:p>
    <w:p w14:paraId="35410AC4">
      <w:pPr>
        <w:jc w:val="both"/>
        <w:rPr>
          <w:rFonts w:hint="default"/>
          <w:b/>
          <w:sz w:val="24"/>
          <w:szCs w:val="24"/>
          <w:lang w:val="en-US" w:eastAsia="zh-CN"/>
        </w:rPr>
      </w:pPr>
      <w:bookmarkStart w:id="1" w:name="_Hlk71465316"/>
      <w:r>
        <w:rPr>
          <w:rFonts w:hint="eastAsia"/>
          <w:b/>
          <w:sz w:val="24"/>
          <w:szCs w:val="24"/>
          <w:lang w:val="en-US" w:eastAsia="zh-CN"/>
        </w:rPr>
        <w:t>包    号：包1</w:t>
      </w:r>
    </w:p>
    <w:p w14:paraId="741B342C">
      <w:pPr>
        <w:jc w:val="both"/>
        <w:rPr>
          <w:rFonts w:hint="eastAsia" w:ascii="宋体" w:hAnsi="宋体" w:eastAsia="宋体" w:cs="Times New Roman"/>
          <w:color w:val="0000FF"/>
          <w:lang w:val="en-US" w:eastAsia="zh-CN"/>
        </w:rPr>
      </w:pPr>
      <w:r>
        <w:rPr>
          <w:rFonts w:hint="eastAsia"/>
          <w:b/>
          <w:sz w:val="24"/>
          <w:szCs w:val="24"/>
          <w:lang w:val="en-US" w:eastAsia="zh-CN"/>
        </w:rPr>
        <w:t>采 购 人：</w:t>
      </w:r>
      <w:r>
        <w:rPr>
          <w:rFonts w:hint="eastAsia" w:ascii="Times New Roman" w:hAnsi="Times New Roman" w:eastAsia="宋体" w:cs="Times New Roman"/>
          <w:b/>
          <w:sz w:val="24"/>
          <w:szCs w:val="24"/>
          <w:lang w:val="en-US" w:eastAsia="zh-CN"/>
        </w:rPr>
        <w:t>中国人民银行深圳市分行</w:t>
      </w:r>
    </w:p>
    <w:p w14:paraId="35959064">
      <w:pPr>
        <w:jc w:val="both"/>
        <w:rPr>
          <w:rFonts w:hint="eastAsia" w:eastAsia="宋体"/>
          <w:b/>
          <w:sz w:val="24"/>
          <w:szCs w:val="24"/>
          <w:lang w:eastAsia="zh-CN"/>
        </w:rPr>
      </w:pPr>
      <w:r>
        <w:rPr>
          <w:rFonts w:hint="eastAsia"/>
          <w:b/>
          <w:sz w:val="24"/>
          <w:szCs w:val="24"/>
          <w:lang w:val="en-US" w:eastAsia="zh-CN"/>
        </w:rPr>
        <w:t>招标代理机构：深圳公共资源交易中心（深圳交易集团有限公司罗湖分公司）</w:t>
      </w:r>
    </w:p>
    <w:p w14:paraId="634EE51D">
      <w:pPr>
        <w:jc w:val="center"/>
        <w:rPr>
          <w:rFonts w:hint="eastAsia"/>
          <w:b/>
          <w:sz w:val="44"/>
          <w:szCs w:val="44"/>
        </w:rPr>
      </w:pPr>
    </w:p>
    <w:p w14:paraId="5841C5F7">
      <w:pPr>
        <w:jc w:val="center"/>
        <w:rPr>
          <w:rFonts w:hint="eastAsia"/>
          <w:b/>
          <w:sz w:val="44"/>
          <w:szCs w:val="44"/>
        </w:rPr>
      </w:pPr>
    </w:p>
    <w:p w14:paraId="4AB1FD3E">
      <w:pPr>
        <w:jc w:val="center"/>
        <w:rPr>
          <w:rFonts w:hint="eastAsia"/>
          <w:b/>
          <w:sz w:val="44"/>
          <w:szCs w:val="44"/>
        </w:rPr>
      </w:pPr>
    </w:p>
    <w:p w14:paraId="48710308">
      <w:pPr>
        <w:jc w:val="center"/>
        <w:rPr>
          <w:rFonts w:hint="eastAsia"/>
          <w:b/>
          <w:sz w:val="44"/>
          <w:szCs w:val="44"/>
        </w:rPr>
      </w:pPr>
    </w:p>
    <w:p w14:paraId="101B3AE4">
      <w:pPr>
        <w:jc w:val="center"/>
        <w:rPr>
          <w:b/>
          <w:sz w:val="44"/>
          <w:szCs w:val="44"/>
        </w:rPr>
      </w:pPr>
      <w:r>
        <w:rPr>
          <w:rFonts w:hint="eastAsia"/>
          <w:b/>
          <w:sz w:val="44"/>
          <w:szCs w:val="44"/>
        </w:rPr>
        <w:t>（</w:t>
      </w:r>
      <w:r>
        <w:rPr>
          <w:b/>
          <w:sz w:val="44"/>
          <w:szCs w:val="44"/>
        </w:rPr>
        <w:t>20</w:t>
      </w:r>
      <w:r>
        <w:rPr>
          <w:rFonts w:hint="eastAsia"/>
          <w:b/>
          <w:sz w:val="44"/>
          <w:szCs w:val="44"/>
        </w:rPr>
        <w:t>25</w:t>
      </w:r>
      <w:r>
        <w:rPr>
          <w:rFonts w:hint="eastAsia"/>
          <w:b/>
          <w:sz w:val="44"/>
          <w:szCs w:val="44"/>
          <w:lang w:val="en-US" w:eastAsia="zh-CN"/>
        </w:rPr>
        <w:t>年</w:t>
      </w:r>
      <w:r>
        <w:rPr>
          <w:rFonts w:hint="eastAsia"/>
          <w:b/>
          <w:sz w:val="44"/>
          <w:szCs w:val="44"/>
        </w:rPr>
        <w:t>）</w:t>
      </w:r>
    </w:p>
    <w:bookmarkEnd w:id="1"/>
    <w:p w14:paraId="4A308176">
      <w:pPr>
        <w:widowControl/>
        <w:jc w:val="center"/>
      </w:pPr>
    </w:p>
    <w:p w14:paraId="6F6979FB">
      <w:pPr>
        <w:widowControl/>
        <w:jc w:val="center"/>
      </w:pPr>
      <w:r>
        <w:br w:type="page"/>
      </w:r>
    </w:p>
    <w:p w14:paraId="73EDBDE1"/>
    <w:p w14:paraId="3096C179">
      <w:pPr>
        <w:pStyle w:val="7"/>
      </w:pPr>
    </w:p>
    <w:p w14:paraId="3DF76C9F"/>
    <w:p w14:paraId="3F54F5AC"/>
    <w:p w14:paraId="62FB8DA5">
      <w:pPr>
        <w:pStyle w:val="38"/>
        <w:widowControl/>
        <w:jc w:val="center"/>
        <w:outlineLvl w:val="1"/>
        <w:rPr>
          <w:rFonts w:ascii="黑体" w:hAnsi="宋体" w:eastAsia="黑体" w:cs="黑体"/>
          <w:sz w:val="40"/>
          <w:szCs w:val="40"/>
        </w:rPr>
      </w:pPr>
      <w:r>
        <w:rPr>
          <w:rFonts w:hint="eastAsia" w:ascii="黑体" w:hAnsi="宋体" w:eastAsia="黑体" w:cs="黑体"/>
          <w:sz w:val="40"/>
          <w:szCs w:val="40"/>
        </w:rPr>
        <w:t>招标文件信息</w:t>
      </w:r>
    </w:p>
    <w:tbl>
      <w:tblPr>
        <w:tblStyle w:val="43"/>
        <w:tblW w:w="7943" w:type="dxa"/>
        <w:jc w:val="center"/>
        <w:tblCellSpacing w:w="0" w:type="dxa"/>
        <w:tblLayout w:type="fixed"/>
        <w:tblCellMar>
          <w:top w:w="45" w:type="dxa"/>
          <w:left w:w="45" w:type="dxa"/>
          <w:bottom w:w="45" w:type="dxa"/>
          <w:right w:w="45" w:type="dxa"/>
        </w:tblCellMar>
      </w:tblPr>
      <w:tblGrid>
        <w:gridCol w:w="2723"/>
        <w:gridCol w:w="5220"/>
      </w:tblGrid>
      <w:tr w14:paraId="2ABA79DE">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632B2798">
            <w:pPr>
              <w:keepNext w:val="0"/>
              <w:keepLines w:val="0"/>
              <w:widowControl/>
              <w:suppressLineNumbers w:val="0"/>
              <w:spacing w:before="0" w:beforeAutospacing="0" w:after="0" w:afterAutospacing="0"/>
              <w:ind w:left="0" w:right="0"/>
              <w:jc w:val="right"/>
              <w:rPr>
                <w:rFonts w:hint="default"/>
                <w:sz w:val="30"/>
                <w:szCs w:val="30"/>
              </w:rPr>
            </w:pPr>
            <w:r>
              <w:rPr>
                <w:rFonts w:hint="default" w:ascii="宋体" w:hAnsi="宋体" w:cs="宋体"/>
                <w:kern w:val="0"/>
                <w:sz w:val="30"/>
                <w:szCs w:val="30"/>
                <w:lang w:bidi="ar"/>
              </w:rPr>
              <w:t>项目编号：</w:t>
            </w:r>
          </w:p>
        </w:tc>
        <w:tc>
          <w:tcPr>
            <w:tcW w:w="5220" w:type="dxa"/>
            <w:shd w:val="clear" w:color="auto" w:fill="auto"/>
            <w:vAlign w:val="center"/>
          </w:tcPr>
          <w:p w14:paraId="1993D035">
            <w:pPr>
              <w:keepNext w:val="0"/>
              <w:keepLines w:val="0"/>
              <w:widowControl/>
              <w:suppressLineNumbers w:val="0"/>
              <w:spacing w:before="0" w:beforeAutospacing="0" w:after="0" w:afterAutospacing="0"/>
              <w:ind w:left="0" w:right="0"/>
              <w:jc w:val="left"/>
              <w:rPr>
                <w:rFonts w:hint="default"/>
                <w:sz w:val="30"/>
                <w:szCs w:val="30"/>
              </w:rPr>
            </w:pPr>
            <w:r>
              <w:rPr>
                <w:rFonts w:hint="default"/>
                <w:sz w:val="30"/>
                <w:szCs w:val="30"/>
              </w:rPr>
              <w:t>LHZXCG-2025-00016</w:t>
            </w:r>
          </w:p>
        </w:tc>
      </w:tr>
      <w:tr w14:paraId="12301C45">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79ABCF0F">
            <w:pPr>
              <w:keepNext w:val="0"/>
              <w:keepLines w:val="0"/>
              <w:widowControl/>
              <w:suppressLineNumbers w:val="0"/>
              <w:spacing w:before="0" w:beforeAutospacing="0" w:after="0" w:afterAutospacing="0"/>
              <w:ind w:left="0" w:right="0"/>
              <w:jc w:val="right"/>
              <w:rPr>
                <w:rFonts w:hint="default"/>
                <w:sz w:val="30"/>
                <w:szCs w:val="30"/>
              </w:rPr>
            </w:pPr>
            <w:r>
              <w:rPr>
                <w:rFonts w:hint="default" w:ascii="宋体" w:hAnsi="宋体" w:cs="宋体"/>
                <w:kern w:val="0"/>
                <w:sz w:val="30"/>
                <w:szCs w:val="30"/>
                <w:lang w:bidi="ar"/>
              </w:rPr>
              <w:t>项目名称：</w:t>
            </w:r>
          </w:p>
        </w:tc>
        <w:tc>
          <w:tcPr>
            <w:tcW w:w="5220" w:type="dxa"/>
            <w:shd w:val="clear" w:color="auto" w:fill="auto"/>
            <w:vAlign w:val="center"/>
          </w:tcPr>
          <w:p w14:paraId="5F6295DA">
            <w:pPr>
              <w:keepNext w:val="0"/>
              <w:keepLines w:val="0"/>
              <w:widowControl/>
              <w:suppressLineNumbers w:val="0"/>
              <w:spacing w:before="0" w:beforeAutospacing="0" w:after="0" w:afterAutospacing="0"/>
              <w:ind w:left="0" w:right="0"/>
              <w:jc w:val="left"/>
              <w:rPr>
                <w:rFonts w:hint="default"/>
                <w:sz w:val="30"/>
                <w:szCs w:val="30"/>
              </w:rPr>
            </w:pPr>
            <w:r>
              <w:rPr>
                <w:rFonts w:hint="default"/>
                <w:sz w:val="30"/>
                <w:szCs w:val="30"/>
              </w:rPr>
              <w:t>中国人民银行深圳市分行网络设备采购项目</w:t>
            </w:r>
          </w:p>
        </w:tc>
      </w:tr>
      <w:tr w14:paraId="68BA3ECE">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1B32DC9D">
            <w:pPr>
              <w:keepNext w:val="0"/>
              <w:keepLines w:val="0"/>
              <w:widowControl/>
              <w:suppressLineNumbers w:val="0"/>
              <w:spacing w:before="0" w:beforeAutospacing="0" w:after="0" w:afterAutospacing="0"/>
              <w:ind w:left="0" w:right="0"/>
              <w:jc w:val="right"/>
              <w:rPr>
                <w:rFonts w:hint="default"/>
                <w:sz w:val="30"/>
                <w:szCs w:val="30"/>
              </w:rPr>
            </w:pPr>
            <w:r>
              <w:rPr>
                <w:rFonts w:hint="default" w:ascii="宋体" w:hAnsi="宋体" w:cs="宋体"/>
                <w:kern w:val="0"/>
                <w:sz w:val="30"/>
                <w:szCs w:val="30"/>
                <w:lang w:bidi="ar"/>
              </w:rPr>
              <w:t xml:space="preserve">包 </w:t>
            </w:r>
            <w:r>
              <w:rPr>
                <w:rFonts w:hint="eastAsia" w:ascii="宋体" w:hAnsi="宋体" w:cs="宋体"/>
                <w:kern w:val="0"/>
                <w:sz w:val="30"/>
                <w:szCs w:val="30"/>
                <w:lang w:bidi="ar"/>
              </w:rPr>
              <w:t xml:space="preserve">   </w:t>
            </w:r>
            <w:r>
              <w:rPr>
                <w:rFonts w:hint="default" w:ascii="宋体" w:hAnsi="宋体" w:cs="宋体"/>
                <w:kern w:val="0"/>
                <w:sz w:val="30"/>
                <w:szCs w:val="30"/>
                <w:lang w:bidi="ar"/>
              </w:rPr>
              <w:t>号：</w:t>
            </w:r>
          </w:p>
        </w:tc>
        <w:tc>
          <w:tcPr>
            <w:tcW w:w="5220" w:type="dxa"/>
            <w:shd w:val="clear" w:color="auto" w:fill="auto"/>
            <w:vAlign w:val="center"/>
          </w:tcPr>
          <w:p w14:paraId="08222999">
            <w:pPr>
              <w:keepNext w:val="0"/>
              <w:keepLines w:val="0"/>
              <w:widowControl/>
              <w:suppressLineNumbers w:val="0"/>
              <w:spacing w:before="0" w:beforeAutospacing="0" w:after="0" w:afterAutospacing="0"/>
              <w:ind w:left="0" w:right="0"/>
              <w:jc w:val="left"/>
              <w:rPr>
                <w:rFonts w:hint="default"/>
                <w:sz w:val="30"/>
                <w:szCs w:val="30"/>
              </w:rPr>
            </w:pPr>
            <w:r>
              <w:rPr>
                <w:rFonts w:hint="eastAsia" w:ascii="宋体" w:hAnsi="宋体" w:cs="宋体"/>
                <w:kern w:val="0"/>
                <w:sz w:val="30"/>
                <w:szCs w:val="30"/>
                <w:lang w:val="en-US" w:eastAsia="zh-CN" w:bidi="ar"/>
              </w:rPr>
              <w:t>包1</w:t>
            </w:r>
          </w:p>
        </w:tc>
      </w:tr>
      <w:tr w14:paraId="6A8558E5">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18BFAF85">
            <w:pPr>
              <w:keepNext w:val="0"/>
              <w:keepLines w:val="0"/>
              <w:widowControl/>
              <w:suppressLineNumbers w:val="0"/>
              <w:spacing w:before="0" w:beforeAutospacing="0" w:after="0" w:afterAutospacing="0"/>
              <w:ind w:left="0" w:right="0"/>
              <w:jc w:val="right"/>
              <w:rPr>
                <w:rFonts w:hint="default"/>
                <w:sz w:val="30"/>
                <w:szCs w:val="30"/>
              </w:rPr>
            </w:pPr>
            <w:r>
              <w:rPr>
                <w:rFonts w:hint="default" w:ascii="宋体" w:hAnsi="宋体" w:cs="宋体"/>
                <w:kern w:val="0"/>
                <w:sz w:val="30"/>
                <w:szCs w:val="30"/>
                <w:lang w:bidi="ar"/>
              </w:rPr>
              <w:t>项目类型：</w:t>
            </w:r>
          </w:p>
        </w:tc>
        <w:tc>
          <w:tcPr>
            <w:tcW w:w="5220" w:type="dxa"/>
            <w:shd w:val="clear" w:color="auto" w:fill="auto"/>
            <w:vAlign w:val="center"/>
          </w:tcPr>
          <w:p w14:paraId="501D14C4">
            <w:pPr>
              <w:keepNext w:val="0"/>
              <w:keepLines w:val="0"/>
              <w:widowControl/>
              <w:suppressLineNumbers w:val="0"/>
              <w:spacing w:before="0" w:beforeAutospacing="0" w:after="0" w:afterAutospacing="0"/>
              <w:ind w:left="0" w:right="0"/>
              <w:jc w:val="left"/>
              <w:rPr>
                <w:rFonts w:hint="default"/>
                <w:sz w:val="30"/>
                <w:szCs w:val="30"/>
              </w:rPr>
            </w:pPr>
            <w:r>
              <w:rPr>
                <w:rFonts w:hint="default" w:ascii="宋体" w:hAnsi="宋体" w:cs="宋体"/>
                <w:kern w:val="0"/>
                <w:sz w:val="30"/>
                <w:szCs w:val="30"/>
                <w:lang w:bidi="ar"/>
              </w:rPr>
              <w:t>货物类</w:t>
            </w:r>
          </w:p>
        </w:tc>
      </w:tr>
      <w:tr w14:paraId="3C4A12D8">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7EA60AE7">
            <w:pPr>
              <w:keepNext w:val="0"/>
              <w:keepLines w:val="0"/>
              <w:widowControl/>
              <w:suppressLineNumbers w:val="0"/>
              <w:spacing w:before="0" w:beforeAutospacing="0" w:after="0" w:afterAutospacing="0"/>
              <w:ind w:left="0" w:right="0"/>
              <w:jc w:val="right"/>
              <w:rPr>
                <w:rFonts w:hint="default"/>
                <w:sz w:val="30"/>
                <w:szCs w:val="30"/>
              </w:rPr>
            </w:pPr>
            <w:r>
              <w:rPr>
                <w:rFonts w:hint="default" w:ascii="宋体" w:hAnsi="宋体" w:cs="宋体"/>
                <w:kern w:val="0"/>
                <w:sz w:val="30"/>
                <w:szCs w:val="30"/>
                <w:lang w:bidi="ar"/>
              </w:rPr>
              <w:t>采购方式：</w:t>
            </w:r>
          </w:p>
        </w:tc>
        <w:tc>
          <w:tcPr>
            <w:tcW w:w="5220" w:type="dxa"/>
            <w:shd w:val="clear" w:color="auto" w:fill="auto"/>
            <w:vAlign w:val="center"/>
          </w:tcPr>
          <w:p w14:paraId="1B9E2607">
            <w:pPr>
              <w:keepNext w:val="0"/>
              <w:keepLines w:val="0"/>
              <w:widowControl/>
              <w:suppressLineNumbers w:val="0"/>
              <w:spacing w:before="0" w:beforeAutospacing="0" w:after="0" w:afterAutospacing="0"/>
              <w:ind w:left="0" w:right="0"/>
              <w:jc w:val="left"/>
              <w:rPr>
                <w:rFonts w:hint="default"/>
                <w:sz w:val="30"/>
                <w:szCs w:val="30"/>
              </w:rPr>
            </w:pPr>
            <w:r>
              <w:rPr>
                <w:rFonts w:hint="default" w:ascii="宋体" w:hAnsi="宋体" w:cs="宋体"/>
                <w:kern w:val="0"/>
                <w:sz w:val="30"/>
                <w:szCs w:val="30"/>
                <w:lang w:bidi="ar"/>
              </w:rPr>
              <w:t>公开招标</w:t>
            </w:r>
          </w:p>
        </w:tc>
      </w:tr>
      <w:tr w14:paraId="549827CB">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036559FC">
            <w:pPr>
              <w:keepNext w:val="0"/>
              <w:keepLines w:val="0"/>
              <w:widowControl/>
              <w:suppressLineNumbers w:val="0"/>
              <w:spacing w:before="0" w:beforeAutospacing="0" w:after="0" w:afterAutospacing="0"/>
              <w:ind w:left="0" w:right="0"/>
              <w:jc w:val="right"/>
              <w:rPr>
                <w:rFonts w:hint="default"/>
                <w:sz w:val="30"/>
                <w:szCs w:val="30"/>
              </w:rPr>
            </w:pPr>
            <w:r>
              <w:rPr>
                <w:rFonts w:hint="default" w:ascii="宋体" w:hAnsi="宋体" w:cs="宋体"/>
                <w:kern w:val="0"/>
                <w:sz w:val="30"/>
                <w:szCs w:val="30"/>
                <w:lang w:bidi="ar"/>
              </w:rPr>
              <w:t>货币类型：</w:t>
            </w:r>
          </w:p>
        </w:tc>
        <w:tc>
          <w:tcPr>
            <w:tcW w:w="5220" w:type="dxa"/>
            <w:shd w:val="clear" w:color="auto" w:fill="auto"/>
            <w:vAlign w:val="center"/>
          </w:tcPr>
          <w:p w14:paraId="622E8AF7">
            <w:pPr>
              <w:keepNext w:val="0"/>
              <w:keepLines w:val="0"/>
              <w:widowControl/>
              <w:suppressLineNumbers w:val="0"/>
              <w:spacing w:before="0" w:beforeAutospacing="0" w:after="0" w:afterAutospacing="0"/>
              <w:ind w:left="0" w:right="0"/>
              <w:jc w:val="left"/>
              <w:rPr>
                <w:rFonts w:hint="default"/>
                <w:sz w:val="30"/>
                <w:szCs w:val="30"/>
              </w:rPr>
            </w:pPr>
            <w:r>
              <w:rPr>
                <w:rFonts w:hint="default" w:ascii="宋体" w:hAnsi="宋体" w:cs="宋体"/>
                <w:kern w:val="0"/>
                <w:sz w:val="30"/>
                <w:szCs w:val="30"/>
                <w:lang w:bidi="ar"/>
              </w:rPr>
              <w:t>人民币</w:t>
            </w:r>
          </w:p>
        </w:tc>
      </w:tr>
      <w:tr w14:paraId="24F3D865">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5C028EB0">
            <w:pPr>
              <w:keepNext w:val="0"/>
              <w:keepLines w:val="0"/>
              <w:widowControl/>
              <w:suppressLineNumbers w:val="0"/>
              <w:spacing w:before="0" w:beforeAutospacing="0" w:after="0" w:afterAutospacing="0"/>
              <w:ind w:left="0" w:right="0"/>
              <w:jc w:val="right"/>
              <w:rPr>
                <w:rFonts w:hint="default"/>
                <w:sz w:val="30"/>
                <w:szCs w:val="30"/>
              </w:rPr>
            </w:pPr>
            <w:r>
              <w:rPr>
                <w:rFonts w:hint="default" w:ascii="宋体" w:hAnsi="宋体" w:cs="宋体"/>
                <w:kern w:val="0"/>
                <w:sz w:val="30"/>
                <w:szCs w:val="30"/>
                <w:lang w:bidi="ar"/>
              </w:rPr>
              <w:t>评标方法：</w:t>
            </w:r>
          </w:p>
        </w:tc>
        <w:tc>
          <w:tcPr>
            <w:tcW w:w="5220" w:type="dxa"/>
            <w:shd w:val="clear" w:color="auto" w:fill="auto"/>
            <w:vAlign w:val="center"/>
          </w:tcPr>
          <w:p w14:paraId="5D7C38E3">
            <w:pPr>
              <w:keepNext w:val="0"/>
              <w:keepLines w:val="0"/>
              <w:widowControl/>
              <w:suppressLineNumbers w:val="0"/>
              <w:spacing w:before="0" w:beforeAutospacing="0" w:after="0" w:afterAutospacing="0"/>
              <w:ind w:left="0" w:right="0"/>
              <w:jc w:val="left"/>
              <w:rPr>
                <w:rFonts w:hint="default"/>
                <w:sz w:val="30"/>
                <w:szCs w:val="30"/>
              </w:rPr>
            </w:pPr>
            <w:r>
              <w:rPr>
                <w:rFonts w:hint="default" w:ascii="宋体" w:hAnsi="宋体" w:cs="宋体"/>
                <w:kern w:val="0"/>
                <w:sz w:val="30"/>
                <w:szCs w:val="30"/>
                <w:lang w:bidi="ar"/>
              </w:rPr>
              <w:t>综合评分法</w:t>
            </w:r>
          </w:p>
        </w:tc>
      </w:tr>
      <w:bookmarkEnd w:id="0"/>
    </w:tbl>
    <w:p w14:paraId="59C4996A">
      <w:pPr>
        <w:pStyle w:val="38"/>
        <w:widowControl/>
        <w:jc w:val="center"/>
        <w:outlineLvl w:val="1"/>
        <w:rPr>
          <w:rFonts w:ascii="黑体" w:hAnsi="宋体" w:eastAsia="黑体" w:cs="黑体"/>
          <w:sz w:val="40"/>
          <w:szCs w:val="40"/>
        </w:rPr>
        <w:sectPr>
          <w:headerReference r:id="rId3" w:type="first"/>
          <w:footerReference r:id="rId6" w:type="first"/>
          <w:footerReference r:id="rId4" w:type="default"/>
          <w:footerReference r:id="rId5" w:type="even"/>
          <w:pgSz w:w="11907" w:h="16840"/>
          <w:pgMar w:top="1440" w:right="1418" w:bottom="1440" w:left="1418" w:header="851" w:footer="992" w:gutter="0"/>
          <w:pgNumType w:fmt="decimal"/>
          <w:cols w:space="425" w:num="1"/>
          <w:titlePg/>
          <w:docGrid w:linePitch="462" w:charSpace="0"/>
        </w:sectPr>
      </w:pPr>
    </w:p>
    <w:p w14:paraId="39BAB861">
      <w:pPr>
        <w:pStyle w:val="38"/>
        <w:widowControl/>
        <w:jc w:val="center"/>
        <w:outlineLvl w:val="1"/>
        <w:rPr>
          <w:rFonts w:ascii="黑体" w:hAnsi="宋体" w:eastAsia="黑体" w:cs="黑体"/>
          <w:sz w:val="40"/>
          <w:szCs w:val="40"/>
        </w:rPr>
      </w:pPr>
      <w:r>
        <w:rPr>
          <w:rFonts w:hint="eastAsia" w:ascii="黑体" w:hAnsi="宋体" w:eastAsia="黑体" w:cs="黑体"/>
          <w:sz w:val="40"/>
          <w:szCs w:val="40"/>
        </w:rPr>
        <w:t>资格性审查表</w:t>
      </w:r>
    </w:p>
    <w:tbl>
      <w:tblPr>
        <w:tblStyle w:val="43"/>
        <w:tblW w:w="907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20" w:type="dxa"/>
          <w:left w:w="108" w:type="dxa"/>
          <w:bottom w:w="20" w:type="dxa"/>
          <w:right w:w="108" w:type="dxa"/>
        </w:tblCellMar>
      </w:tblPr>
      <w:tblGrid>
        <w:gridCol w:w="794"/>
        <w:gridCol w:w="8284"/>
      </w:tblGrid>
      <w:tr w14:paraId="54FDC54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77056139">
            <w:pPr>
              <w:keepNext w:val="0"/>
              <w:keepLines w:val="0"/>
              <w:widowControl/>
              <w:suppressLineNumbers w:val="0"/>
              <w:spacing w:before="0" w:beforeAutospacing="0" w:after="0" w:afterAutospacing="0"/>
              <w:ind w:left="0" w:right="0"/>
              <w:jc w:val="center"/>
              <w:rPr>
                <w:rFonts w:hint="default"/>
                <w:sz w:val="28"/>
                <w:szCs w:val="28"/>
              </w:rPr>
            </w:pPr>
            <w:r>
              <w:rPr>
                <w:rFonts w:hint="default" w:ascii="宋体" w:hAnsi="宋体" w:cs="宋体"/>
                <w:kern w:val="0"/>
                <w:sz w:val="28"/>
                <w:szCs w:val="28"/>
                <w:lang w:bidi="ar"/>
              </w:rPr>
              <w:t>序号</w:t>
            </w:r>
          </w:p>
        </w:tc>
        <w:tc>
          <w:tcPr>
            <w:tcW w:w="828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2A687D06">
            <w:pPr>
              <w:keepNext w:val="0"/>
              <w:keepLines w:val="0"/>
              <w:widowControl/>
              <w:suppressLineNumbers w:val="0"/>
              <w:spacing w:before="0" w:beforeAutospacing="0" w:after="0" w:afterAutospacing="0"/>
              <w:ind w:left="0" w:right="0"/>
              <w:jc w:val="center"/>
              <w:rPr>
                <w:rFonts w:hint="default"/>
                <w:sz w:val="28"/>
                <w:szCs w:val="28"/>
              </w:rPr>
            </w:pPr>
            <w:r>
              <w:rPr>
                <w:rFonts w:hint="default" w:ascii="宋体" w:hAnsi="宋体" w:cs="宋体"/>
                <w:kern w:val="0"/>
                <w:sz w:val="28"/>
                <w:szCs w:val="28"/>
                <w:lang w:bidi="ar"/>
              </w:rPr>
              <w:t>内容</w:t>
            </w:r>
          </w:p>
        </w:tc>
      </w:tr>
      <w:tr w14:paraId="1CB884F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tcPr>
          <w:p w14:paraId="1DDBAF54">
            <w:pPr>
              <w:keepNext w:val="0"/>
              <w:keepLines w:val="0"/>
              <w:widowControl/>
              <w:suppressLineNumbers w:val="0"/>
              <w:spacing w:before="0" w:beforeAutospacing="0" w:after="0" w:afterAutospacing="0"/>
              <w:ind w:left="0" w:right="0"/>
              <w:jc w:val="center"/>
              <w:textAlignment w:val="top"/>
              <w:rPr>
                <w:rFonts w:hint="default"/>
                <w:szCs w:val="21"/>
              </w:rPr>
            </w:pPr>
            <w:r>
              <w:rPr>
                <w:rFonts w:hint="default" w:ascii="宋体" w:hAnsi="宋体" w:cs="宋体"/>
                <w:kern w:val="0"/>
                <w:szCs w:val="21"/>
                <w:lang w:bidi="ar"/>
              </w:rPr>
              <w:t>1</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51BD109B">
            <w:pPr>
              <w:keepNext w:val="0"/>
              <w:keepLines w:val="0"/>
              <w:widowControl/>
              <w:suppressLineNumbers w:val="0"/>
              <w:spacing w:before="0" w:beforeAutospacing="0" w:after="0" w:afterAutospacing="0"/>
              <w:ind w:left="0" w:right="0"/>
              <w:jc w:val="left"/>
              <w:textAlignment w:val="top"/>
              <w:rPr>
                <w:rFonts w:hint="default"/>
                <w:szCs w:val="21"/>
              </w:rPr>
            </w:pPr>
            <w:r>
              <w:rPr>
                <w:rFonts w:hint="default" w:ascii="宋体" w:hAnsi="宋体" w:cs="宋体"/>
                <w:kern w:val="0"/>
                <w:szCs w:val="21"/>
                <w:lang w:bidi="ar"/>
              </w:rPr>
              <w:t>投标人不</w:t>
            </w:r>
            <w:r>
              <w:rPr>
                <w:rFonts w:hint="eastAsia" w:ascii="宋体" w:hAnsi="宋体" w:cs="宋体"/>
                <w:kern w:val="0"/>
                <w:szCs w:val="21"/>
                <w:lang w:bidi="ar"/>
              </w:rPr>
              <w:t>符合</w:t>
            </w:r>
            <w:r>
              <w:rPr>
                <w:rFonts w:hint="default" w:ascii="宋体" w:hAnsi="宋体" w:cs="宋体"/>
                <w:kern w:val="0"/>
                <w:szCs w:val="21"/>
                <w:lang w:bidi="ar"/>
              </w:rPr>
              <w:t>资格要求，或未提交相应的资格证明资料（详见招标公告</w:t>
            </w:r>
            <w:r>
              <w:rPr>
                <w:rFonts w:hint="eastAsia" w:ascii="宋体" w:hAnsi="宋体"/>
                <w:szCs w:val="21"/>
              </w:rPr>
              <w:t>投标人资格要求，即申请人的资格要求</w:t>
            </w:r>
            <w:r>
              <w:rPr>
                <w:rFonts w:hint="default" w:ascii="宋体" w:hAnsi="宋体" w:cs="宋体"/>
                <w:kern w:val="0"/>
                <w:szCs w:val="21"/>
                <w:lang w:bidi="ar"/>
              </w:rPr>
              <w:t>）</w:t>
            </w:r>
          </w:p>
        </w:tc>
      </w:tr>
    </w:tbl>
    <w:p w14:paraId="45BD9090">
      <w:pPr>
        <w:pStyle w:val="38"/>
        <w:widowControl/>
        <w:spacing w:before="280" w:beforeAutospacing="0"/>
        <w:jc w:val="center"/>
        <w:outlineLvl w:val="1"/>
        <w:rPr>
          <w:rFonts w:ascii="黑体" w:hAnsi="宋体" w:eastAsia="黑体" w:cs="黑体"/>
          <w:sz w:val="40"/>
          <w:szCs w:val="40"/>
        </w:rPr>
      </w:pPr>
      <w:r>
        <w:rPr>
          <w:rFonts w:hint="eastAsia" w:ascii="黑体" w:hAnsi="宋体" w:eastAsia="黑体" w:cs="黑体"/>
          <w:sz w:val="40"/>
          <w:szCs w:val="40"/>
        </w:rPr>
        <w:t>符合性审查表</w:t>
      </w:r>
    </w:p>
    <w:tbl>
      <w:tblPr>
        <w:tblStyle w:val="43"/>
        <w:tblW w:w="907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20" w:type="dxa"/>
          <w:left w:w="108" w:type="dxa"/>
          <w:bottom w:w="20" w:type="dxa"/>
          <w:right w:w="108" w:type="dxa"/>
        </w:tblCellMar>
      </w:tblPr>
      <w:tblGrid>
        <w:gridCol w:w="794"/>
        <w:gridCol w:w="8284"/>
      </w:tblGrid>
      <w:tr w14:paraId="36E1CF0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6049AC54">
            <w:pPr>
              <w:keepNext w:val="0"/>
              <w:keepLines w:val="0"/>
              <w:widowControl/>
              <w:suppressLineNumbers w:val="0"/>
              <w:spacing w:before="0" w:beforeAutospacing="0" w:after="0" w:afterAutospacing="0"/>
              <w:ind w:left="0" w:right="0"/>
              <w:jc w:val="center"/>
              <w:rPr>
                <w:rFonts w:hint="default"/>
                <w:sz w:val="28"/>
                <w:szCs w:val="28"/>
              </w:rPr>
            </w:pPr>
            <w:r>
              <w:rPr>
                <w:rFonts w:hint="default" w:ascii="宋体" w:hAnsi="宋体" w:cs="宋体"/>
                <w:kern w:val="0"/>
                <w:sz w:val="28"/>
                <w:szCs w:val="28"/>
                <w:lang w:bidi="ar"/>
              </w:rPr>
              <w:t>序号</w:t>
            </w:r>
          </w:p>
        </w:tc>
        <w:tc>
          <w:tcPr>
            <w:tcW w:w="828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4E220C3E">
            <w:pPr>
              <w:keepNext w:val="0"/>
              <w:keepLines w:val="0"/>
              <w:widowControl/>
              <w:suppressLineNumbers w:val="0"/>
              <w:spacing w:before="0" w:beforeAutospacing="0" w:after="0" w:afterAutospacing="0"/>
              <w:ind w:left="0" w:right="0"/>
              <w:jc w:val="center"/>
              <w:rPr>
                <w:rFonts w:hint="default"/>
                <w:sz w:val="28"/>
                <w:szCs w:val="28"/>
              </w:rPr>
            </w:pPr>
            <w:r>
              <w:rPr>
                <w:rFonts w:hint="default" w:ascii="宋体" w:hAnsi="宋体" w:cs="宋体"/>
                <w:kern w:val="0"/>
                <w:sz w:val="28"/>
                <w:szCs w:val="28"/>
                <w:lang w:bidi="ar"/>
              </w:rPr>
              <w:t>内容</w:t>
            </w:r>
          </w:p>
        </w:tc>
      </w:tr>
      <w:tr w14:paraId="7C8854E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A8B8CA5">
            <w:pPr>
              <w:keepNext w:val="0"/>
              <w:keepLines w:val="0"/>
              <w:widowControl/>
              <w:suppressLineNumbers w:val="0"/>
              <w:spacing w:before="0" w:beforeAutospacing="0" w:after="0" w:afterAutospacing="0"/>
              <w:ind w:left="0" w:right="0"/>
              <w:jc w:val="center"/>
              <w:textAlignment w:val="top"/>
              <w:rPr>
                <w:rFonts w:hint="default"/>
                <w:szCs w:val="21"/>
              </w:rPr>
            </w:pPr>
            <w:r>
              <w:rPr>
                <w:rFonts w:hint="default" w:ascii="宋体" w:hAnsi="宋体" w:cs="宋体"/>
                <w:kern w:val="0"/>
                <w:szCs w:val="21"/>
                <w:lang w:bidi="ar"/>
              </w:rPr>
              <w:t>1</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30FAE869">
            <w:pPr>
              <w:keepNext w:val="0"/>
              <w:keepLines w:val="0"/>
              <w:widowControl/>
              <w:suppressLineNumbers w:val="0"/>
              <w:spacing w:before="0" w:beforeAutospacing="0" w:after="0" w:afterAutospacing="0"/>
              <w:ind w:left="0" w:right="0"/>
              <w:jc w:val="left"/>
              <w:textAlignment w:val="top"/>
              <w:rPr>
                <w:rFonts w:hint="default"/>
                <w:szCs w:val="21"/>
              </w:rPr>
            </w:pPr>
            <w:r>
              <w:rPr>
                <w:rFonts w:hint="eastAsia"/>
              </w:rPr>
              <w:t>不得将一个包的内容拆开投标；</w:t>
            </w:r>
          </w:p>
        </w:tc>
      </w:tr>
      <w:tr w14:paraId="63033CD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5AA34F">
            <w:pPr>
              <w:keepNext w:val="0"/>
              <w:keepLines w:val="0"/>
              <w:widowControl/>
              <w:suppressLineNumbers w:val="0"/>
              <w:spacing w:before="0" w:beforeAutospacing="0" w:after="0" w:afterAutospacing="0"/>
              <w:ind w:left="0" w:right="0"/>
              <w:jc w:val="center"/>
              <w:textAlignment w:val="top"/>
              <w:rPr>
                <w:rFonts w:hint="default"/>
                <w:szCs w:val="21"/>
              </w:rPr>
            </w:pPr>
            <w:r>
              <w:rPr>
                <w:rFonts w:hint="default" w:ascii="宋体" w:hAnsi="宋体" w:cs="宋体"/>
                <w:kern w:val="0"/>
                <w:szCs w:val="21"/>
                <w:lang w:bidi="ar"/>
              </w:rPr>
              <w:t>2</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39E042DF">
            <w:pPr>
              <w:keepNext w:val="0"/>
              <w:keepLines w:val="0"/>
              <w:widowControl/>
              <w:suppressLineNumbers w:val="0"/>
              <w:spacing w:before="0" w:beforeAutospacing="0" w:after="0" w:afterAutospacing="0"/>
              <w:ind w:left="0" w:right="0"/>
              <w:jc w:val="left"/>
              <w:textAlignment w:val="top"/>
              <w:rPr>
                <w:rFonts w:hint="default"/>
                <w:szCs w:val="21"/>
              </w:rPr>
            </w:pPr>
            <w:r>
              <w:rPr>
                <w:rFonts w:hint="eastAsia"/>
              </w:rPr>
              <w:t>对同一项目投标时，不得提供两套以上的投标方案（招标文件另有规定的除外）；</w:t>
            </w:r>
          </w:p>
        </w:tc>
      </w:tr>
      <w:tr w14:paraId="7EDD1B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BF5FB07">
            <w:pPr>
              <w:keepNext w:val="0"/>
              <w:keepLines w:val="0"/>
              <w:widowControl/>
              <w:suppressLineNumbers w:val="0"/>
              <w:spacing w:before="0" w:beforeAutospacing="0" w:after="0" w:afterAutospacing="0"/>
              <w:ind w:left="0" w:right="0"/>
              <w:jc w:val="center"/>
              <w:textAlignment w:val="top"/>
              <w:rPr>
                <w:rFonts w:hint="default"/>
                <w:szCs w:val="21"/>
              </w:rPr>
            </w:pPr>
            <w:r>
              <w:rPr>
                <w:rFonts w:hint="default" w:ascii="宋体" w:hAnsi="宋体" w:cs="宋体"/>
                <w:kern w:val="0"/>
                <w:szCs w:val="21"/>
                <w:lang w:bidi="ar"/>
              </w:rPr>
              <w:t>3</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788B91CE">
            <w:pPr>
              <w:keepNext w:val="0"/>
              <w:keepLines w:val="0"/>
              <w:widowControl/>
              <w:suppressLineNumbers w:val="0"/>
              <w:spacing w:before="0" w:beforeAutospacing="0" w:after="0" w:afterAutospacing="0"/>
              <w:ind w:left="0" w:right="0"/>
              <w:jc w:val="left"/>
              <w:textAlignment w:val="top"/>
              <w:rPr>
                <w:rFonts w:hint="default"/>
                <w:szCs w:val="21"/>
              </w:rPr>
            </w:pPr>
            <w:r>
              <w:rPr>
                <w:rFonts w:hint="eastAsia"/>
              </w:rPr>
              <w:t>分项报价或投标总价不得高于</w:t>
            </w:r>
            <w:bookmarkStart w:id="2" w:name="_Hlk71832186"/>
            <w:r>
              <w:rPr>
                <w:rFonts w:hint="eastAsia"/>
              </w:rPr>
              <w:t>相应预算金额（或设定的预算金额下的最高限价）</w:t>
            </w:r>
            <w:bookmarkEnd w:id="2"/>
            <w:r>
              <w:rPr>
                <w:rFonts w:hint="eastAsia"/>
              </w:rPr>
              <w:t>；</w:t>
            </w:r>
          </w:p>
        </w:tc>
      </w:tr>
      <w:tr w14:paraId="124026E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CE17FD9">
            <w:pPr>
              <w:keepNext w:val="0"/>
              <w:keepLines w:val="0"/>
              <w:widowControl/>
              <w:suppressLineNumbers w:val="0"/>
              <w:spacing w:before="0" w:beforeAutospacing="0" w:after="0" w:afterAutospacing="0"/>
              <w:ind w:left="0" w:right="0"/>
              <w:jc w:val="center"/>
              <w:textAlignment w:val="top"/>
              <w:rPr>
                <w:rFonts w:hint="default"/>
                <w:szCs w:val="21"/>
              </w:rPr>
            </w:pPr>
            <w:r>
              <w:rPr>
                <w:rFonts w:hint="default" w:ascii="宋体" w:hAnsi="宋体" w:cs="宋体"/>
                <w:kern w:val="0"/>
                <w:szCs w:val="21"/>
                <w:lang w:bidi="ar"/>
              </w:rPr>
              <w:t>4</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4EB9F920">
            <w:pPr>
              <w:keepNext w:val="0"/>
              <w:keepLines w:val="0"/>
              <w:widowControl/>
              <w:suppressLineNumbers w:val="0"/>
              <w:spacing w:before="0" w:beforeAutospacing="0" w:after="0" w:afterAutospacing="0"/>
              <w:ind w:left="0" w:right="0"/>
              <w:jc w:val="left"/>
              <w:textAlignment w:val="top"/>
              <w:rPr>
                <w:rFonts w:hint="default"/>
                <w:szCs w:val="21"/>
              </w:rPr>
            </w:pPr>
            <w:r>
              <w:rPr>
                <w:rFonts w:hint="eastAsia"/>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14:paraId="73EEAE9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95E539">
            <w:pPr>
              <w:keepNext w:val="0"/>
              <w:keepLines w:val="0"/>
              <w:widowControl/>
              <w:suppressLineNumbers w:val="0"/>
              <w:spacing w:before="0" w:beforeAutospacing="0" w:after="0" w:afterAutospacing="0"/>
              <w:ind w:left="0" w:right="0"/>
              <w:jc w:val="center"/>
              <w:textAlignment w:val="top"/>
              <w:rPr>
                <w:rFonts w:hint="default"/>
                <w:szCs w:val="21"/>
              </w:rPr>
            </w:pPr>
            <w:r>
              <w:rPr>
                <w:rFonts w:hint="default" w:ascii="宋体" w:hAnsi="宋体" w:cs="宋体"/>
                <w:kern w:val="0"/>
                <w:szCs w:val="21"/>
                <w:lang w:bidi="ar"/>
              </w:rPr>
              <w:t>5</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10A893CA">
            <w:pPr>
              <w:keepNext w:val="0"/>
              <w:keepLines w:val="0"/>
              <w:widowControl/>
              <w:suppressLineNumbers w:val="0"/>
              <w:spacing w:before="0" w:beforeAutospacing="0" w:after="0" w:afterAutospacing="0"/>
              <w:ind w:left="0" w:right="0"/>
              <w:jc w:val="left"/>
              <w:textAlignment w:val="top"/>
              <w:rPr>
                <w:rFonts w:hint="default"/>
                <w:szCs w:val="21"/>
              </w:rPr>
            </w:pPr>
            <w:r>
              <w:rPr>
                <w:rFonts w:hint="eastAsia"/>
              </w:rPr>
              <w:t>所投货物、服务在技术、商务等方面没有实质性满足招标文件要求的（是否实质性满足招标文件要求，由评审委员会根据实质性条款响应情况做出评判；</w:t>
            </w:r>
            <w:r>
              <w:rPr>
                <w:rFonts w:hint="eastAsia"/>
                <w:b/>
              </w:rPr>
              <w:t>若招标文件未设置实质性条款，不得据此做投标无效处理）；</w:t>
            </w:r>
          </w:p>
        </w:tc>
      </w:tr>
      <w:tr w14:paraId="32F8CEB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1246E4">
            <w:pPr>
              <w:keepNext w:val="0"/>
              <w:keepLines w:val="0"/>
              <w:widowControl/>
              <w:suppressLineNumbers w:val="0"/>
              <w:spacing w:before="0" w:beforeAutospacing="0" w:after="0" w:afterAutospacing="0"/>
              <w:ind w:left="0" w:right="0"/>
              <w:jc w:val="center"/>
              <w:textAlignment w:val="top"/>
              <w:rPr>
                <w:rFonts w:hint="default"/>
                <w:szCs w:val="21"/>
              </w:rPr>
            </w:pPr>
            <w:r>
              <w:rPr>
                <w:rFonts w:hint="default" w:ascii="宋体" w:hAnsi="宋体" w:cs="宋体"/>
                <w:kern w:val="0"/>
                <w:szCs w:val="21"/>
                <w:lang w:bidi="ar"/>
              </w:rPr>
              <w:t>6</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7E517196">
            <w:pPr>
              <w:keepNext w:val="0"/>
              <w:keepLines w:val="0"/>
              <w:widowControl/>
              <w:suppressLineNumbers w:val="0"/>
              <w:spacing w:before="0" w:beforeAutospacing="0" w:after="0" w:afterAutospacing="0"/>
              <w:ind w:left="0" w:right="0"/>
              <w:jc w:val="left"/>
              <w:textAlignment w:val="top"/>
              <w:rPr>
                <w:rFonts w:hint="default"/>
                <w:szCs w:val="21"/>
              </w:rPr>
            </w:pPr>
            <w:r>
              <w:rPr>
                <w:rFonts w:hint="eastAsia"/>
              </w:rPr>
              <w:t>未按招标文件所提供的样式填写《投标函》；未按招标文件所提供的《政府采购投标及履约承诺函》进行承诺；未按招标文件对投标文件组成的要求提供投标文件；</w:t>
            </w:r>
          </w:p>
        </w:tc>
      </w:tr>
      <w:tr w14:paraId="2A25D4B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517F13">
            <w:pPr>
              <w:keepNext w:val="0"/>
              <w:keepLines w:val="0"/>
              <w:widowControl/>
              <w:suppressLineNumbers w:val="0"/>
              <w:spacing w:before="0" w:beforeAutospacing="0" w:after="0" w:afterAutospacing="0"/>
              <w:ind w:left="0" w:right="0"/>
              <w:jc w:val="center"/>
              <w:textAlignment w:val="top"/>
              <w:rPr>
                <w:rFonts w:hint="default"/>
              </w:rPr>
            </w:pPr>
            <w:r>
              <w:rPr>
                <w:rFonts w:hint="eastAsia"/>
              </w:rPr>
              <w:t>7</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266F08D0">
            <w:pPr>
              <w:keepNext w:val="0"/>
              <w:keepLines w:val="0"/>
              <w:widowControl/>
              <w:suppressLineNumbers w:val="0"/>
              <w:spacing w:before="0" w:beforeAutospacing="0" w:after="0" w:afterAutospacing="0"/>
              <w:ind w:left="0" w:right="0"/>
              <w:jc w:val="left"/>
              <w:textAlignment w:val="top"/>
              <w:rPr>
                <w:rFonts w:hint="default"/>
              </w:rPr>
            </w:pPr>
            <w:r>
              <w:rPr>
                <w:rFonts w:hint="eastAsia"/>
                <w:b/>
              </w:rPr>
              <w:t>采购标的/所投产品/货物清单/报价等任意一类有缺漏项或响应不全</w:t>
            </w:r>
            <w:r>
              <w:rPr>
                <w:rFonts w:hint="eastAsia"/>
              </w:rPr>
              <w:t>，或者对招标文件规定的项目需求内容或者需求数量进行修改，评审委员会判定投标响应不满足采购需求；</w:t>
            </w:r>
          </w:p>
        </w:tc>
      </w:tr>
      <w:tr w14:paraId="1E139E4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475493">
            <w:pPr>
              <w:keepNext w:val="0"/>
              <w:keepLines w:val="0"/>
              <w:widowControl/>
              <w:suppressLineNumbers w:val="0"/>
              <w:spacing w:before="0" w:beforeAutospacing="0" w:after="0" w:afterAutospacing="0"/>
              <w:ind w:left="0" w:right="0"/>
              <w:jc w:val="center"/>
              <w:textAlignment w:val="top"/>
              <w:rPr>
                <w:rFonts w:hint="eastAsia" w:eastAsia="宋体"/>
                <w:szCs w:val="21"/>
                <w:lang w:eastAsia="zh-CN"/>
              </w:rPr>
            </w:pPr>
            <w:r>
              <w:rPr>
                <w:rFonts w:hint="eastAsia" w:ascii="宋体" w:hAnsi="宋体" w:cs="宋体"/>
                <w:kern w:val="0"/>
                <w:szCs w:val="21"/>
                <w:lang w:val="en-US" w:eastAsia="zh-CN" w:bidi="ar"/>
              </w:rPr>
              <w:t>8</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7C59BCE4">
            <w:pPr>
              <w:keepNext w:val="0"/>
              <w:keepLines w:val="0"/>
              <w:widowControl/>
              <w:suppressLineNumbers w:val="0"/>
              <w:spacing w:before="0" w:beforeAutospacing="0" w:after="0" w:afterAutospacing="0"/>
              <w:ind w:left="0" w:right="0"/>
              <w:jc w:val="left"/>
              <w:textAlignment w:val="top"/>
              <w:rPr>
                <w:rFonts w:hint="default"/>
                <w:szCs w:val="21"/>
              </w:rPr>
            </w:pPr>
            <w:r>
              <w:rPr>
                <w:rFonts w:hint="eastAsia"/>
              </w:rPr>
              <w:t>法律、法规、规章、规范性文件规定的其他情形。</w:t>
            </w:r>
          </w:p>
        </w:tc>
      </w:tr>
      <w:tr w14:paraId="44EF36C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1E975D">
            <w:pPr>
              <w:keepNext w:val="0"/>
              <w:keepLines w:val="0"/>
              <w:widowControl/>
              <w:suppressLineNumbers w:val="0"/>
              <w:spacing w:before="0" w:beforeAutospacing="0" w:after="0" w:afterAutospacing="0"/>
              <w:ind w:left="0" w:right="0"/>
              <w:jc w:val="center"/>
              <w:textAlignment w:val="top"/>
              <w:rPr>
                <w:rFonts w:hint="default" w:ascii="宋体" w:hAnsi="宋体" w:cs="宋体"/>
                <w:kern w:val="0"/>
                <w:szCs w:val="21"/>
                <w:lang w:val="en-US" w:eastAsia="zh-CN" w:bidi="ar"/>
              </w:rPr>
            </w:pPr>
            <w:r>
              <w:rPr>
                <w:rFonts w:hint="eastAsia" w:ascii="宋体" w:hAnsi="宋体" w:cs="宋体"/>
                <w:kern w:val="0"/>
                <w:szCs w:val="21"/>
                <w:lang w:val="en-US" w:eastAsia="zh-CN" w:bidi="ar"/>
              </w:rPr>
              <w:t>9</w:t>
            </w:r>
          </w:p>
        </w:tc>
        <w:tc>
          <w:tcPr>
            <w:tcW w:w="8284" w:type="dxa"/>
            <w:tcBorders>
              <w:top w:val="single" w:color="000000" w:sz="8" w:space="0"/>
              <w:left w:val="single" w:color="000000" w:sz="8" w:space="0"/>
              <w:bottom w:val="single" w:color="000000" w:sz="8" w:space="0"/>
              <w:right w:val="single" w:color="000000" w:sz="8" w:space="0"/>
            </w:tcBorders>
            <w:shd w:val="clear" w:color="auto" w:fill="auto"/>
          </w:tcPr>
          <w:p w14:paraId="642C7753">
            <w:pPr>
              <w:keepNext w:val="0"/>
              <w:keepLines w:val="0"/>
              <w:widowControl/>
              <w:suppressLineNumbers w:val="0"/>
              <w:spacing w:before="0" w:beforeAutospacing="0" w:after="0" w:afterAutospacing="0"/>
              <w:ind w:left="0" w:right="0"/>
              <w:jc w:val="left"/>
              <w:textAlignment w:val="top"/>
              <w:rPr>
                <w:rFonts w:hint="eastAsia"/>
              </w:rPr>
            </w:pPr>
            <w:r>
              <w:rPr>
                <w:rFonts w:hint="default" w:ascii="宋体" w:hAnsi="宋体" w:cs="宋体"/>
                <w:b/>
                <w:bCs/>
                <w:color w:val="FF0000"/>
                <w:kern w:val="0"/>
                <w:szCs w:val="21"/>
                <w:highlight w:val="none"/>
                <w:lang w:bidi="ar"/>
              </w:rPr>
              <w:t>未按招标文件要求提供</w:t>
            </w:r>
            <w:r>
              <w:rPr>
                <w:rFonts w:hint="eastAsia" w:ascii="宋体" w:hAnsi="宋体" w:cs="宋体"/>
                <w:b/>
                <w:bCs/>
                <w:color w:val="FF0000"/>
                <w:kern w:val="0"/>
                <w:szCs w:val="21"/>
                <w:highlight w:val="none"/>
                <w:lang w:bidi="ar"/>
              </w:rPr>
              <w:t>一份正本、</w:t>
            </w:r>
            <w:r>
              <w:rPr>
                <w:rFonts w:hint="eastAsia" w:ascii="宋体" w:hAnsi="宋体" w:cs="宋体"/>
                <w:b/>
                <w:bCs/>
                <w:color w:val="FF0000"/>
                <w:kern w:val="0"/>
                <w:szCs w:val="21"/>
                <w:highlight w:val="none"/>
                <w:lang w:val="en-US" w:eastAsia="zh-CN" w:bidi="ar"/>
              </w:rPr>
              <w:t>五</w:t>
            </w:r>
            <w:r>
              <w:rPr>
                <w:rFonts w:hint="eastAsia" w:ascii="宋体" w:hAnsi="宋体" w:cs="宋体"/>
                <w:b/>
                <w:bCs/>
                <w:color w:val="FF0000"/>
                <w:kern w:val="0"/>
                <w:szCs w:val="21"/>
                <w:highlight w:val="none"/>
                <w:lang w:bidi="ar"/>
              </w:rPr>
              <w:t>份副本、一份唱标信封、一份电子文档（U盘储存）的</w:t>
            </w:r>
            <w:r>
              <w:rPr>
                <w:rFonts w:hint="default" w:ascii="宋体" w:hAnsi="宋体" w:cs="宋体"/>
                <w:b/>
                <w:bCs/>
                <w:color w:val="FF0000"/>
                <w:kern w:val="0"/>
                <w:szCs w:val="21"/>
                <w:highlight w:val="none"/>
                <w:lang w:bidi="ar"/>
              </w:rPr>
              <w:t>；</w:t>
            </w:r>
          </w:p>
        </w:tc>
      </w:tr>
    </w:tbl>
    <w:p w14:paraId="7D5420E1">
      <w:pPr>
        <w:pStyle w:val="38"/>
        <w:widowControl/>
        <w:jc w:val="center"/>
        <w:outlineLvl w:val="1"/>
        <w:rPr>
          <w:rFonts w:ascii="黑体" w:hAnsi="宋体" w:eastAsia="黑体" w:cs="黑体"/>
          <w:sz w:val="40"/>
          <w:szCs w:val="40"/>
        </w:rPr>
        <w:sectPr>
          <w:pgSz w:w="11907" w:h="16840"/>
          <w:pgMar w:top="1440" w:right="1418" w:bottom="1440" w:left="1418" w:header="851" w:footer="992" w:gutter="0"/>
          <w:pgNumType w:fmt="decimal"/>
          <w:cols w:space="425" w:num="1"/>
          <w:titlePg/>
          <w:docGrid w:linePitch="462" w:charSpace="0"/>
        </w:sectPr>
      </w:pPr>
    </w:p>
    <w:p w14:paraId="25E416AC">
      <w:pPr>
        <w:pStyle w:val="38"/>
        <w:widowControl/>
        <w:jc w:val="center"/>
        <w:outlineLvl w:val="1"/>
        <w:rPr>
          <w:rFonts w:ascii="黑体" w:hAnsi="宋体" w:eastAsia="黑体" w:cs="黑体"/>
          <w:sz w:val="40"/>
          <w:szCs w:val="40"/>
        </w:rPr>
      </w:pPr>
      <w:r>
        <w:rPr>
          <w:rFonts w:hint="eastAsia" w:ascii="黑体" w:hAnsi="宋体" w:eastAsia="黑体" w:cs="黑体"/>
          <w:sz w:val="40"/>
          <w:szCs w:val="40"/>
        </w:rPr>
        <w:t>评标信息</w:t>
      </w:r>
    </w:p>
    <w:tbl>
      <w:tblPr>
        <w:tblStyle w:val="43"/>
        <w:tblW w:w="9078" w:type="dxa"/>
        <w:jc w:val="center"/>
        <w:tblCellSpacing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45" w:type="dxa"/>
          <w:left w:w="45" w:type="dxa"/>
          <w:bottom w:w="45" w:type="dxa"/>
          <w:right w:w="45" w:type="dxa"/>
        </w:tblCellMar>
      </w:tblPr>
      <w:tblGrid>
        <w:gridCol w:w="63"/>
        <w:gridCol w:w="618"/>
        <w:gridCol w:w="719"/>
        <w:gridCol w:w="1748"/>
        <w:gridCol w:w="851"/>
        <w:gridCol w:w="5079"/>
      </w:tblGrid>
      <w:tr w14:paraId="408DD94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45" w:type="dxa"/>
            <w:left w:w="45" w:type="dxa"/>
            <w:bottom w:w="45" w:type="dxa"/>
            <w:right w:w="45" w:type="dxa"/>
          </w:tblCellMar>
        </w:tblPrEx>
        <w:trPr>
          <w:gridBefore w:val="1"/>
          <w:wBefore w:w="63" w:type="dxa"/>
          <w:tblCellSpacing w:w="0" w:type="dxa"/>
          <w:jc w:val="center"/>
        </w:trPr>
        <w:tc>
          <w:tcPr>
            <w:tcW w:w="9015" w:type="dxa"/>
            <w:gridSpan w:val="5"/>
            <w:shd w:val="clear" w:color="auto" w:fill="auto"/>
            <w:vAlign w:val="center"/>
          </w:tcPr>
          <w:p w14:paraId="7AD43353">
            <w:pPr>
              <w:keepNext w:val="0"/>
              <w:keepLines w:val="0"/>
              <w:suppressLineNumbers w:val="0"/>
              <w:spacing w:before="0" w:beforeAutospacing="0" w:after="0" w:afterAutospacing="0"/>
              <w:ind w:left="0" w:right="0"/>
              <w:jc w:val="left"/>
              <w:rPr>
                <w:rFonts w:hint="default" w:ascii="宋体"/>
                <w:b/>
                <w:bCs/>
                <w:sz w:val="24"/>
              </w:rPr>
            </w:pPr>
            <w:r>
              <w:rPr>
                <w:rFonts w:hint="default"/>
                <w:b/>
                <w:bCs/>
              </w:rPr>
              <w:t>评标方法：综合评分法</w:t>
            </w:r>
          </w:p>
        </w:tc>
      </w:tr>
      <w:tr w14:paraId="51B250A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45" w:type="dxa"/>
            <w:left w:w="45" w:type="dxa"/>
            <w:bottom w:w="45" w:type="dxa"/>
            <w:right w:w="45" w:type="dxa"/>
          </w:tblCellMar>
        </w:tblPrEx>
        <w:trPr>
          <w:gridBefore w:val="1"/>
          <w:wBefore w:w="63" w:type="dxa"/>
          <w:trHeight w:val="3557" w:hRule="atLeast"/>
          <w:tblCellSpacing w:w="0" w:type="dxa"/>
          <w:jc w:val="center"/>
        </w:trPr>
        <w:tc>
          <w:tcPr>
            <w:tcW w:w="9015" w:type="dxa"/>
            <w:gridSpan w:val="5"/>
            <w:shd w:val="clear" w:color="auto" w:fill="auto"/>
            <w:vAlign w:val="center"/>
          </w:tcPr>
          <w:p w14:paraId="7274FC3A">
            <w:pPr>
              <w:keepNext w:val="0"/>
              <w:keepLines w:val="0"/>
              <w:suppressLineNumbers w:val="0"/>
              <w:spacing w:before="0" w:beforeAutospacing="0" w:after="0" w:afterAutospacing="0"/>
              <w:ind w:left="0" w:right="0" w:firstLine="420"/>
              <w:rPr>
                <w:rFonts w:hint="default"/>
                <w:szCs w:val="21"/>
              </w:rPr>
            </w:pPr>
            <w:r>
              <w:rPr>
                <w:rFonts w:hint="default"/>
                <w:szCs w:val="21"/>
              </w:rPr>
              <w:t>综合评分法，</w:t>
            </w:r>
            <w:r>
              <w:rPr>
                <w:rFonts w:hint="eastAsia"/>
                <w:szCs w:val="21"/>
              </w:rPr>
              <w:t>是指投标文件满足招标文件全部实质性要求，且按照评审因素的量化指标评审得分排名前列</w:t>
            </w:r>
            <w:r>
              <w:rPr>
                <w:rFonts w:hint="default"/>
                <w:szCs w:val="21"/>
              </w:rPr>
              <w:t>的投标人为中标候选人的评标方法。</w:t>
            </w:r>
            <w:r>
              <w:rPr>
                <w:rFonts w:hint="eastAsia"/>
                <w:szCs w:val="21"/>
              </w:rPr>
              <w:t>（适用于中标候选人为2家或以上的情形）</w:t>
            </w:r>
          </w:p>
          <w:p w14:paraId="4332B468">
            <w:pPr>
              <w:keepNext w:val="0"/>
              <w:keepLines w:val="0"/>
              <w:suppressLineNumbers w:val="0"/>
              <w:spacing w:before="0" w:beforeAutospacing="0" w:after="0" w:afterAutospacing="0"/>
              <w:ind w:left="0" w:right="0" w:firstLine="420"/>
              <w:rPr>
                <w:rFonts w:hint="default"/>
                <w:color w:val="0000FF"/>
              </w:rPr>
            </w:pPr>
          </w:p>
          <w:p w14:paraId="01BB1541">
            <w:pPr>
              <w:keepNext w:val="0"/>
              <w:keepLines w:val="0"/>
              <w:suppressLineNumbers w:val="0"/>
              <w:spacing w:before="0" w:beforeAutospacing="0" w:after="0" w:afterAutospacing="0"/>
              <w:ind w:left="0" w:right="0" w:firstLine="420"/>
              <w:rPr>
                <w:rFonts w:hint="default"/>
                <w:szCs w:val="21"/>
              </w:rPr>
            </w:pPr>
            <w:r>
              <w:rPr>
                <w:rFonts w:hint="default"/>
                <w:szCs w:val="21"/>
              </w:rPr>
              <w:t>价格分计算方法：</w:t>
            </w:r>
          </w:p>
          <w:p w14:paraId="32D8AD65">
            <w:pPr>
              <w:pStyle w:val="38"/>
              <w:keepNext w:val="0"/>
              <w:keepLines w:val="0"/>
              <w:widowControl/>
              <w:suppressLineNumbers w:val="0"/>
              <w:spacing w:before="0" w:beforeAutospacing="0" w:after="0" w:afterAutospacing="0"/>
              <w:ind w:left="420" w:right="0"/>
              <w:rPr>
                <w:rFonts w:hint="default"/>
                <w:kern w:val="2"/>
                <w:sz w:val="21"/>
                <w:szCs w:val="21"/>
              </w:rPr>
            </w:pPr>
            <w:r>
              <w:rPr>
                <w:rFonts w:hint="default"/>
                <w:kern w:val="2"/>
                <w:sz w:val="21"/>
                <w:szCs w:val="21"/>
              </w:rPr>
              <w:t xml:space="preserve">采用低价优先法计算，即满足招标文件要求且投标价格最低的投标报价为评标基准价，其价格分为满分。其他投标人的价格分统一按照下列公式计算： </w:t>
            </w:r>
          </w:p>
          <w:p w14:paraId="1D9FAC4C">
            <w:pPr>
              <w:pStyle w:val="38"/>
              <w:keepNext w:val="0"/>
              <w:keepLines w:val="0"/>
              <w:widowControl/>
              <w:suppressLineNumbers w:val="0"/>
              <w:spacing w:before="0" w:beforeAutospacing="0" w:after="0" w:afterAutospacing="0"/>
              <w:ind w:left="420" w:right="0"/>
              <w:rPr>
                <w:rFonts w:hint="default"/>
                <w:kern w:val="2"/>
                <w:sz w:val="21"/>
                <w:szCs w:val="21"/>
              </w:rPr>
            </w:pPr>
            <w:r>
              <w:rPr>
                <w:rFonts w:hint="default"/>
                <w:kern w:val="2"/>
                <w:sz w:val="21"/>
                <w:szCs w:val="21"/>
              </w:rPr>
              <w:t>投标报价得分=(评标基准价／投标报价)×</w:t>
            </w:r>
            <w:r>
              <w:rPr>
                <w:rFonts w:hint="eastAsia"/>
                <w:kern w:val="2"/>
                <w:sz w:val="21"/>
                <w:szCs w:val="21"/>
                <w:lang w:val="en-US" w:eastAsia="zh-CN"/>
              </w:rPr>
              <w:t>30</w:t>
            </w:r>
            <w:r>
              <w:rPr>
                <w:rFonts w:hint="default"/>
                <w:kern w:val="2"/>
                <w:sz w:val="21"/>
                <w:szCs w:val="21"/>
              </w:rPr>
              <w:t xml:space="preserve"> </w:t>
            </w:r>
          </w:p>
          <w:p w14:paraId="556083F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420" w:right="0"/>
              <w:jc w:val="left"/>
              <w:textAlignment w:val="auto"/>
              <w:rPr>
                <w:rFonts w:hint="default" w:ascii="Times New Roman" w:hAnsi="Times New Roman" w:eastAsia="宋体" w:cs="Times New Roman"/>
                <w:kern w:val="2"/>
                <w:sz w:val="21"/>
                <w:szCs w:val="21"/>
                <w:highlight w:val="none"/>
                <w:lang w:val="en-US" w:eastAsia="zh-CN" w:bidi="ar-SA"/>
              </w:rPr>
            </w:pPr>
            <w:r>
              <w:rPr>
                <w:rFonts w:hint="default"/>
                <w:kern w:val="2"/>
                <w:sz w:val="21"/>
                <w:szCs w:val="21"/>
              </w:rPr>
              <w:t>评标总得分</w:t>
            </w:r>
            <w:r>
              <w:rPr>
                <w:rFonts w:hint="eastAsia"/>
                <w:kern w:val="2"/>
                <w:sz w:val="21"/>
                <w:szCs w:val="21"/>
                <w:lang w:eastAsia="zh-CN"/>
              </w:rPr>
              <w:t>（</w:t>
            </w:r>
            <w:r>
              <w:rPr>
                <w:rFonts w:hint="eastAsia"/>
                <w:kern w:val="2"/>
                <w:sz w:val="21"/>
                <w:szCs w:val="21"/>
                <w:lang w:val="en-US" w:eastAsia="zh-CN"/>
              </w:rPr>
              <w:t>100分</w:t>
            </w:r>
            <w:r>
              <w:rPr>
                <w:rFonts w:hint="eastAsia"/>
                <w:kern w:val="2"/>
                <w:sz w:val="21"/>
                <w:szCs w:val="21"/>
                <w:lang w:eastAsia="zh-CN"/>
              </w:rPr>
              <w:t>）</w:t>
            </w:r>
            <w:r>
              <w:rPr>
                <w:rFonts w:hint="default"/>
                <w:kern w:val="2"/>
                <w:sz w:val="21"/>
                <w:szCs w:val="21"/>
              </w:rPr>
              <w:t>＝</w:t>
            </w:r>
            <w:r>
              <w:rPr>
                <w:rFonts w:hint="eastAsia" w:cs="Times New Roman"/>
                <w:kern w:val="2"/>
                <w:sz w:val="21"/>
                <w:szCs w:val="21"/>
                <w:highlight w:val="none"/>
                <w:lang w:val="en-US" w:eastAsia="zh-CN" w:bidi="ar-SA"/>
              </w:rPr>
              <w:t>价格分+商务分+技术分</w:t>
            </w:r>
            <w:r>
              <w:rPr>
                <w:rFonts w:hint="default" w:ascii="Times New Roman" w:hAnsi="Times New Roman" w:eastAsia="宋体" w:cs="Times New Roman"/>
                <w:kern w:val="2"/>
                <w:sz w:val="21"/>
                <w:szCs w:val="21"/>
                <w:highlight w:val="none"/>
                <w:lang w:val="en-US" w:eastAsia="zh-CN" w:bidi="ar-SA"/>
              </w:rPr>
              <w:t xml:space="preserve"> </w:t>
            </w:r>
          </w:p>
          <w:p w14:paraId="2AD48C60">
            <w:pPr>
              <w:pStyle w:val="38"/>
              <w:keepNext w:val="0"/>
              <w:keepLines w:val="0"/>
              <w:widowControl/>
              <w:suppressLineNumbers w:val="0"/>
              <w:spacing w:before="0" w:beforeAutospacing="0" w:after="0" w:afterAutospacing="0"/>
              <w:ind w:left="420" w:right="0"/>
              <w:rPr>
                <w:rFonts w:hint="default"/>
                <w:kern w:val="2"/>
                <w:sz w:val="21"/>
                <w:szCs w:val="21"/>
              </w:rPr>
            </w:pPr>
          </w:p>
          <w:p w14:paraId="19845FE3">
            <w:pPr>
              <w:pStyle w:val="38"/>
              <w:keepNext w:val="0"/>
              <w:keepLines w:val="0"/>
              <w:widowControl/>
              <w:suppressLineNumbers w:val="0"/>
              <w:spacing w:before="0" w:beforeAutospacing="0" w:after="0" w:afterAutospacing="0"/>
              <w:ind w:left="420" w:right="0"/>
              <w:rPr>
                <w:rFonts w:hint="default"/>
                <w:kern w:val="2"/>
                <w:sz w:val="21"/>
                <w:szCs w:val="21"/>
              </w:rPr>
            </w:pPr>
            <w:r>
              <w:rPr>
                <w:rFonts w:hint="default"/>
                <w:kern w:val="2"/>
                <w:sz w:val="21"/>
                <w:szCs w:val="21"/>
              </w:rPr>
              <w:t>评标过程中，不得去掉报价中的最高报价和最低报价。</w:t>
            </w:r>
          </w:p>
          <w:p w14:paraId="7BFB3FF1">
            <w:pPr>
              <w:pStyle w:val="38"/>
              <w:keepNext w:val="0"/>
              <w:keepLines w:val="0"/>
              <w:widowControl/>
              <w:suppressLineNumbers w:val="0"/>
              <w:spacing w:before="0" w:beforeAutospacing="0" w:after="0" w:afterAutospacing="0"/>
              <w:ind w:left="420" w:right="0"/>
              <w:rPr>
                <w:rFonts w:hint="default"/>
                <w:kern w:val="2"/>
                <w:sz w:val="21"/>
                <w:szCs w:val="21"/>
              </w:rPr>
            </w:pPr>
            <w:r>
              <w:rPr>
                <w:rFonts w:hint="eastAsia"/>
                <w:kern w:val="2"/>
                <w:sz w:val="21"/>
                <w:szCs w:val="21"/>
              </w:rPr>
              <w:t>因落实政府采购政策进行价格调整的，以调整后的价格计算评标基准价和投标报价。</w:t>
            </w:r>
          </w:p>
          <w:p w14:paraId="151CDD7C">
            <w:pPr>
              <w:keepNext w:val="0"/>
              <w:keepLines w:val="0"/>
              <w:suppressLineNumbers w:val="0"/>
              <w:spacing w:before="0" w:beforeAutospacing="0" w:after="0" w:afterAutospacing="0"/>
              <w:ind w:left="0" w:right="0" w:firstLine="422" w:firstLineChars="200"/>
              <w:rPr>
                <w:rFonts w:hint="default" w:asciiTheme="minorHAnsi" w:hAnsiTheme="minorHAnsi" w:eastAsiaTheme="minorEastAsia" w:cstheme="minorBidi"/>
                <w:szCs w:val="22"/>
              </w:rPr>
            </w:pPr>
            <w:r>
              <w:rPr>
                <w:rFonts w:hint="eastAsia" w:asciiTheme="minorHAnsi" w:hAnsiTheme="minorHAnsi" w:eastAsiaTheme="minorEastAsia" w:cstheme="minorBidi"/>
                <w:b/>
                <w:bCs/>
                <w:color w:val="FF0000"/>
                <w:szCs w:val="22"/>
              </w:rPr>
              <w:t>注：投标人的“投标技术响应”“技术要求偏离表中偏离情况”等必须与客观实际保持一致，响应不实且情节严重的，经查实，将依法记入供应商诚信档案或受到行政处罚。</w:t>
            </w:r>
          </w:p>
        </w:tc>
      </w:tr>
      <w:tr w14:paraId="2BA705E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tcBorders>
              <w:top w:val="single" w:color="000000" w:sz="8" w:space="0"/>
              <w:left w:val="single" w:color="000000" w:sz="8" w:space="0"/>
              <w:bottom w:val="single" w:color="000000" w:sz="8" w:space="0"/>
              <w:right w:val="single" w:color="000000" w:sz="8" w:space="0"/>
            </w:tcBorders>
            <w:shd w:val="clear" w:color="auto" w:fill="E6EFFA"/>
            <w:vAlign w:val="center"/>
          </w:tcPr>
          <w:p w14:paraId="5C1ADCBB">
            <w:pPr>
              <w:keepNext w:val="0"/>
              <w:keepLines w:val="0"/>
              <w:widowControl/>
              <w:suppressLineNumbers w:val="0"/>
              <w:wordWrap w:val="0"/>
              <w:spacing w:before="0" w:beforeAutospacing="0" w:after="0" w:afterAutospacing="0"/>
              <w:ind w:left="0" w:right="0"/>
              <w:jc w:val="center"/>
              <w:rPr>
                <w:rFonts w:hint="default"/>
                <w:b/>
                <w:bCs/>
                <w:sz w:val="24"/>
              </w:rPr>
            </w:pPr>
            <w:bookmarkStart w:id="3" w:name="_Hlk72360569"/>
            <w:r>
              <w:rPr>
                <w:rFonts w:hint="default" w:ascii="宋体" w:hAnsi="宋体" w:cs="宋体"/>
                <w:b/>
                <w:bCs/>
                <w:kern w:val="0"/>
                <w:sz w:val="24"/>
                <w:lang w:bidi="ar"/>
              </w:rPr>
              <w:t>序号</w:t>
            </w:r>
          </w:p>
        </w:tc>
        <w:tc>
          <w:tcPr>
            <w:tcW w:w="3318" w:type="dxa"/>
            <w:gridSpan w:val="3"/>
            <w:tcBorders>
              <w:top w:val="single" w:color="000000" w:sz="8" w:space="0"/>
              <w:left w:val="single" w:color="000000" w:sz="8" w:space="0"/>
              <w:bottom w:val="single" w:color="000000" w:sz="8" w:space="0"/>
              <w:right w:val="single" w:color="000000" w:sz="8" w:space="0"/>
            </w:tcBorders>
            <w:shd w:val="clear" w:color="auto" w:fill="E6EFFA"/>
            <w:vAlign w:val="center"/>
          </w:tcPr>
          <w:p w14:paraId="7EDBFC81">
            <w:pPr>
              <w:keepNext w:val="0"/>
              <w:keepLines w:val="0"/>
              <w:widowControl/>
              <w:suppressLineNumbers w:val="0"/>
              <w:wordWrap w:val="0"/>
              <w:spacing w:before="0" w:beforeAutospacing="0" w:after="0" w:afterAutospacing="0"/>
              <w:ind w:left="0" w:right="0"/>
              <w:jc w:val="center"/>
              <w:rPr>
                <w:rFonts w:hint="default"/>
                <w:b/>
                <w:bCs/>
                <w:sz w:val="24"/>
              </w:rPr>
            </w:pPr>
            <w:r>
              <w:rPr>
                <w:rFonts w:hint="default" w:ascii="宋体" w:hAnsi="宋体" w:cs="宋体"/>
                <w:b/>
                <w:bCs/>
                <w:kern w:val="0"/>
                <w:sz w:val="24"/>
                <w:lang w:bidi="ar"/>
              </w:rPr>
              <w:t>评分项</w:t>
            </w:r>
          </w:p>
        </w:tc>
        <w:tc>
          <w:tcPr>
            <w:tcW w:w="5079"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145A9666">
            <w:pPr>
              <w:keepNext w:val="0"/>
              <w:keepLines w:val="0"/>
              <w:widowControl/>
              <w:suppressLineNumbers w:val="0"/>
              <w:wordWrap w:val="0"/>
              <w:spacing w:before="0" w:beforeAutospacing="0" w:after="0" w:afterAutospacing="0"/>
              <w:ind w:left="0" w:right="0"/>
              <w:jc w:val="center"/>
              <w:rPr>
                <w:rFonts w:hint="default" w:eastAsia="宋体"/>
                <w:b/>
                <w:bCs/>
                <w:sz w:val="24"/>
                <w:lang w:val="en-US" w:eastAsia="zh-CN"/>
              </w:rPr>
            </w:pPr>
            <w:r>
              <w:rPr>
                <w:rFonts w:hint="eastAsia" w:ascii="宋体" w:hAnsi="宋体" w:eastAsia="宋体" w:cs="宋体"/>
                <w:kern w:val="0"/>
                <w:szCs w:val="21"/>
                <w:lang w:val="en-US" w:eastAsia="zh-CN" w:bidi="ar"/>
              </w:rPr>
              <w:t>权重</w:t>
            </w:r>
          </w:p>
        </w:tc>
      </w:tr>
      <w:tr w14:paraId="32A5447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blCellSpacing w:w="0" w:type="dxa"/>
          <w:jc w:val="center"/>
        </w:trPr>
        <w:tc>
          <w:tcPr>
            <w:tcW w:w="681"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59392D8D">
            <w:pPr>
              <w:keepNext w:val="0"/>
              <w:keepLines w:val="0"/>
              <w:widowControl/>
              <w:suppressLineNumbers w:val="0"/>
              <w:wordWrap w:val="0"/>
              <w:spacing w:before="0" w:beforeAutospacing="0" w:after="0" w:afterAutospacing="0"/>
              <w:ind w:left="0" w:right="0"/>
              <w:jc w:val="center"/>
              <w:rPr>
                <w:rFonts w:hint="default"/>
                <w:b/>
                <w:bCs/>
                <w:color w:val="0000FF"/>
                <w:sz w:val="24"/>
              </w:rPr>
            </w:pPr>
            <w:r>
              <w:rPr>
                <w:rFonts w:hint="default" w:ascii="宋体" w:hAnsi="宋体" w:cs="宋体"/>
                <w:b/>
                <w:bCs/>
                <w:color w:val="0000FF"/>
                <w:kern w:val="0"/>
                <w:sz w:val="24"/>
                <w:lang w:bidi="ar"/>
              </w:rPr>
              <w:t>1</w:t>
            </w:r>
          </w:p>
        </w:tc>
        <w:tc>
          <w:tcPr>
            <w:tcW w:w="3318" w:type="dxa"/>
            <w:gridSpan w:val="3"/>
            <w:tcBorders>
              <w:top w:val="single" w:color="000000" w:sz="8" w:space="0"/>
              <w:left w:val="single" w:color="000000" w:sz="8" w:space="0"/>
              <w:bottom w:val="single" w:color="000000" w:sz="8" w:space="0"/>
              <w:right w:val="single" w:color="000000" w:sz="8" w:space="0"/>
            </w:tcBorders>
            <w:shd w:val="clear" w:color="auto" w:fill="auto"/>
            <w:vAlign w:val="center"/>
          </w:tcPr>
          <w:p w14:paraId="3D99C3EB">
            <w:pPr>
              <w:keepNext w:val="0"/>
              <w:keepLines w:val="0"/>
              <w:widowControl/>
              <w:suppressLineNumbers w:val="0"/>
              <w:wordWrap w:val="0"/>
              <w:spacing w:before="0" w:beforeAutospacing="0" w:after="0" w:afterAutospacing="0"/>
              <w:ind w:left="0" w:right="0"/>
              <w:jc w:val="center"/>
              <w:rPr>
                <w:rFonts w:hint="default"/>
                <w:b/>
                <w:bCs/>
                <w:color w:val="0000FF"/>
                <w:sz w:val="24"/>
              </w:rPr>
            </w:pPr>
            <w:r>
              <w:rPr>
                <w:rFonts w:hint="default" w:ascii="宋体" w:hAnsi="宋体" w:cs="宋体"/>
                <w:b/>
                <w:bCs/>
                <w:color w:val="0000FF"/>
                <w:kern w:val="0"/>
                <w:sz w:val="24"/>
                <w:lang w:bidi="ar"/>
              </w:rPr>
              <w:t>价格</w:t>
            </w:r>
          </w:p>
        </w:tc>
        <w:tc>
          <w:tcPr>
            <w:tcW w:w="50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99A4330">
            <w:pPr>
              <w:keepNext w:val="0"/>
              <w:keepLines w:val="0"/>
              <w:widowControl/>
              <w:suppressLineNumbers w:val="0"/>
              <w:wordWrap w:val="0"/>
              <w:spacing w:before="0" w:beforeAutospacing="0" w:after="0" w:afterAutospacing="0"/>
              <w:ind w:left="0" w:right="0"/>
              <w:jc w:val="center"/>
              <w:rPr>
                <w:rFonts w:hint="default" w:eastAsia="宋体"/>
                <w:b/>
                <w:bCs/>
                <w:color w:val="0000FF"/>
                <w:sz w:val="24"/>
                <w:lang w:val="en-US" w:eastAsia="zh-CN"/>
              </w:rPr>
            </w:pPr>
            <w:r>
              <w:rPr>
                <w:rFonts w:hint="eastAsia" w:ascii="宋体" w:hAnsi="宋体" w:cs="宋体"/>
                <w:b/>
                <w:bCs/>
                <w:color w:val="0000FF"/>
                <w:kern w:val="0"/>
                <w:sz w:val="24"/>
                <w:lang w:val="en-US" w:eastAsia="zh-CN" w:bidi="ar"/>
              </w:rPr>
              <w:t>30</w:t>
            </w:r>
          </w:p>
        </w:tc>
      </w:tr>
      <w:tr w14:paraId="2CA11B6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blCellSpacing w:w="0" w:type="dxa"/>
          <w:jc w:val="center"/>
        </w:trPr>
        <w:tc>
          <w:tcPr>
            <w:tcW w:w="681" w:type="dxa"/>
            <w:gridSpan w:val="2"/>
            <w:vMerge w:val="restart"/>
            <w:tcBorders>
              <w:top w:val="single" w:color="000000" w:sz="8" w:space="0"/>
              <w:left w:val="single" w:color="000000" w:sz="8" w:space="0"/>
              <w:right w:val="single" w:color="000000" w:sz="8" w:space="0"/>
            </w:tcBorders>
            <w:shd w:val="clear" w:color="auto" w:fill="auto"/>
            <w:vAlign w:val="center"/>
          </w:tcPr>
          <w:p w14:paraId="6369A4B9">
            <w:pPr>
              <w:keepNext w:val="0"/>
              <w:keepLines w:val="0"/>
              <w:widowControl/>
              <w:suppressLineNumbers w:val="0"/>
              <w:wordWrap w:val="0"/>
              <w:spacing w:before="0" w:beforeAutospacing="0" w:after="0" w:afterAutospacing="0"/>
              <w:ind w:left="0" w:right="0"/>
              <w:jc w:val="center"/>
              <w:rPr>
                <w:rFonts w:hint="default"/>
                <w:b/>
                <w:bCs/>
                <w:color w:val="0000FF"/>
                <w:sz w:val="24"/>
              </w:rPr>
            </w:pPr>
            <w:r>
              <w:rPr>
                <w:rFonts w:hint="default" w:ascii="宋体" w:hAnsi="宋体" w:cs="宋体"/>
                <w:b/>
                <w:bCs/>
                <w:color w:val="0000FF"/>
                <w:kern w:val="0"/>
                <w:sz w:val="24"/>
                <w:lang w:bidi="ar"/>
              </w:rPr>
              <w:t>2</w:t>
            </w:r>
          </w:p>
        </w:tc>
        <w:tc>
          <w:tcPr>
            <w:tcW w:w="3318" w:type="dxa"/>
            <w:gridSpan w:val="3"/>
            <w:tcBorders>
              <w:top w:val="single" w:color="000000" w:sz="8" w:space="0"/>
              <w:left w:val="single" w:color="000000" w:sz="8" w:space="0"/>
              <w:bottom w:val="single" w:color="000000" w:sz="8" w:space="0"/>
              <w:right w:val="single" w:color="000000" w:sz="8" w:space="0"/>
            </w:tcBorders>
            <w:shd w:val="clear" w:color="auto" w:fill="auto"/>
            <w:vAlign w:val="center"/>
          </w:tcPr>
          <w:p w14:paraId="52721EDC">
            <w:pPr>
              <w:keepNext w:val="0"/>
              <w:keepLines w:val="0"/>
              <w:widowControl/>
              <w:suppressLineNumbers w:val="0"/>
              <w:wordWrap w:val="0"/>
              <w:spacing w:before="0" w:beforeAutospacing="0" w:after="0" w:afterAutospacing="0"/>
              <w:ind w:left="0" w:right="0"/>
              <w:jc w:val="center"/>
              <w:rPr>
                <w:rFonts w:hint="default"/>
                <w:b/>
                <w:bCs/>
                <w:color w:val="0000FF"/>
                <w:sz w:val="24"/>
              </w:rPr>
            </w:pPr>
            <w:r>
              <w:rPr>
                <w:rFonts w:hint="default" w:ascii="宋体" w:hAnsi="宋体" w:cs="宋体"/>
                <w:b/>
                <w:bCs/>
                <w:color w:val="0000FF"/>
                <w:kern w:val="0"/>
                <w:sz w:val="24"/>
                <w:lang w:bidi="ar"/>
              </w:rPr>
              <w:t>技术部分</w:t>
            </w:r>
          </w:p>
        </w:tc>
        <w:tc>
          <w:tcPr>
            <w:tcW w:w="50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7F13F0D">
            <w:pPr>
              <w:keepNext w:val="0"/>
              <w:keepLines w:val="0"/>
              <w:widowControl/>
              <w:suppressLineNumbers w:val="0"/>
              <w:wordWrap w:val="0"/>
              <w:spacing w:before="0" w:beforeAutospacing="0" w:after="0" w:afterAutospacing="0"/>
              <w:ind w:left="0" w:right="0"/>
              <w:jc w:val="center"/>
              <w:rPr>
                <w:rFonts w:hint="default" w:eastAsia="宋体"/>
                <w:b/>
                <w:bCs/>
                <w:color w:val="0000FF"/>
                <w:sz w:val="24"/>
                <w:lang w:val="en-US" w:eastAsia="zh-CN"/>
              </w:rPr>
            </w:pPr>
            <w:r>
              <w:rPr>
                <w:rFonts w:hint="eastAsia" w:ascii="宋体" w:hAnsi="宋体" w:cs="宋体"/>
                <w:b/>
                <w:bCs/>
                <w:color w:val="0000FF"/>
                <w:kern w:val="0"/>
                <w:sz w:val="24"/>
                <w:lang w:val="en-US" w:eastAsia="zh-CN" w:bidi="ar"/>
              </w:rPr>
              <w:t>30</w:t>
            </w:r>
          </w:p>
        </w:tc>
      </w:tr>
      <w:tr w14:paraId="1C44264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blCellSpacing w:w="0" w:type="dxa"/>
          <w:jc w:val="center"/>
        </w:trPr>
        <w:tc>
          <w:tcPr>
            <w:tcW w:w="681" w:type="dxa"/>
            <w:gridSpan w:val="2"/>
            <w:vMerge w:val="continue"/>
            <w:tcBorders>
              <w:left w:val="single" w:color="000000" w:sz="8" w:space="0"/>
              <w:right w:val="single" w:color="000000" w:sz="8" w:space="0"/>
            </w:tcBorders>
            <w:shd w:val="clear" w:color="auto" w:fill="E6EFFA"/>
            <w:vAlign w:val="center"/>
          </w:tcPr>
          <w:p w14:paraId="564784B8">
            <w:pPr>
              <w:keepNext w:val="0"/>
              <w:keepLines w:val="0"/>
              <w:suppressLineNumbers w:val="0"/>
              <w:spacing w:before="0" w:beforeAutospacing="0" w:after="0" w:afterAutospacing="0"/>
              <w:ind w:left="0" w:right="0"/>
              <w:jc w:val="center"/>
              <w:rPr>
                <w:rFonts w:hint="default" w:ascii="宋体"/>
                <w:b/>
                <w:bCs/>
                <w:color w:val="0000FF"/>
                <w:sz w:val="24"/>
              </w:rPr>
            </w:pPr>
          </w:p>
        </w:tc>
        <w:tc>
          <w:tcPr>
            <w:tcW w:w="719" w:type="dxa"/>
            <w:tcBorders>
              <w:top w:val="outset" w:color="000000" w:sz="6" w:space="0"/>
              <w:left w:val="outset" w:color="000000" w:sz="6" w:space="0"/>
              <w:bottom w:val="outset" w:color="000000" w:sz="6" w:space="0"/>
              <w:right w:val="outset" w:color="000000" w:sz="6" w:space="0"/>
            </w:tcBorders>
            <w:shd w:val="clear" w:color="auto" w:fill="E6EFFA"/>
            <w:vAlign w:val="center"/>
          </w:tcPr>
          <w:p w14:paraId="5A0AECC9">
            <w:pPr>
              <w:keepNext w:val="0"/>
              <w:keepLines w:val="0"/>
              <w:widowControl/>
              <w:suppressLineNumbers w:val="0"/>
              <w:wordWrap w:val="0"/>
              <w:spacing w:before="0" w:beforeAutospacing="0" w:after="0" w:afterAutospacing="0"/>
              <w:ind w:left="0" w:right="0"/>
              <w:jc w:val="center"/>
              <w:rPr>
                <w:rFonts w:hint="default"/>
                <w:szCs w:val="21"/>
              </w:rPr>
            </w:pPr>
            <w:r>
              <w:rPr>
                <w:rFonts w:hint="default" w:ascii="宋体" w:hAnsi="宋体" w:cs="宋体"/>
                <w:kern w:val="0"/>
                <w:szCs w:val="21"/>
                <w:lang w:bidi="ar"/>
              </w:rPr>
              <w:t>序号</w:t>
            </w:r>
          </w:p>
        </w:tc>
        <w:tc>
          <w:tcPr>
            <w:tcW w:w="1748" w:type="dxa"/>
            <w:tcBorders>
              <w:top w:val="outset" w:color="000000" w:sz="6" w:space="0"/>
              <w:left w:val="outset" w:color="000000" w:sz="6" w:space="0"/>
              <w:bottom w:val="outset" w:color="000000" w:sz="6" w:space="0"/>
              <w:right w:val="outset" w:color="000000" w:sz="6" w:space="0"/>
            </w:tcBorders>
            <w:shd w:val="clear" w:color="auto" w:fill="E6EFFA"/>
            <w:vAlign w:val="center"/>
          </w:tcPr>
          <w:p w14:paraId="59C7F203">
            <w:pPr>
              <w:keepNext w:val="0"/>
              <w:keepLines w:val="0"/>
              <w:widowControl/>
              <w:suppressLineNumbers w:val="0"/>
              <w:wordWrap w:val="0"/>
              <w:spacing w:before="0" w:beforeAutospacing="0" w:after="0" w:afterAutospacing="0"/>
              <w:ind w:left="0" w:right="0"/>
              <w:jc w:val="center"/>
              <w:rPr>
                <w:rFonts w:hint="default"/>
                <w:szCs w:val="21"/>
              </w:rPr>
            </w:pPr>
            <w:r>
              <w:rPr>
                <w:rFonts w:hint="default" w:ascii="宋体" w:hAnsi="宋体" w:cs="宋体"/>
                <w:kern w:val="0"/>
                <w:szCs w:val="21"/>
                <w:lang w:bidi="ar"/>
              </w:rPr>
              <w:t>评分因素</w:t>
            </w:r>
          </w:p>
        </w:tc>
        <w:tc>
          <w:tcPr>
            <w:tcW w:w="851" w:type="dxa"/>
            <w:tcBorders>
              <w:top w:val="outset" w:color="000000" w:sz="6" w:space="0"/>
              <w:left w:val="outset" w:color="000000" w:sz="6" w:space="0"/>
              <w:bottom w:val="outset" w:color="000000" w:sz="6" w:space="0"/>
              <w:right w:val="outset" w:color="000000" w:sz="6" w:space="0"/>
            </w:tcBorders>
            <w:shd w:val="clear" w:color="auto" w:fill="E6EFFA"/>
            <w:vAlign w:val="center"/>
          </w:tcPr>
          <w:p w14:paraId="173B8976">
            <w:pPr>
              <w:keepNext w:val="0"/>
              <w:keepLines w:val="0"/>
              <w:widowControl/>
              <w:suppressLineNumbers w:val="0"/>
              <w:wordWrap w:val="0"/>
              <w:spacing w:before="0" w:beforeAutospacing="0" w:after="0" w:afterAutospacing="0"/>
              <w:ind w:left="0" w:right="0"/>
              <w:jc w:val="center"/>
              <w:rPr>
                <w:rFonts w:hint="default"/>
                <w:szCs w:val="21"/>
              </w:rPr>
            </w:pPr>
            <w:bookmarkStart w:id="4" w:name="OLE_LINK1"/>
            <w:r>
              <w:rPr>
                <w:rFonts w:hint="eastAsia" w:ascii="宋体" w:hAnsi="宋体" w:eastAsia="宋体" w:cs="宋体"/>
                <w:kern w:val="0"/>
                <w:szCs w:val="21"/>
                <w:lang w:val="en-US" w:eastAsia="zh-CN" w:bidi="ar"/>
              </w:rPr>
              <w:t>权重</w:t>
            </w:r>
            <w:bookmarkEnd w:id="4"/>
          </w:p>
        </w:tc>
        <w:tc>
          <w:tcPr>
            <w:tcW w:w="5079" w:type="dxa"/>
            <w:tcBorders>
              <w:top w:val="outset" w:color="000000" w:sz="6" w:space="0"/>
              <w:left w:val="outset" w:color="000000" w:sz="6" w:space="0"/>
              <w:bottom w:val="outset" w:color="000000" w:sz="6" w:space="0"/>
              <w:right w:val="outset" w:color="000000" w:sz="6" w:space="0"/>
            </w:tcBorders>
            <w:shd w:val="clear" w:color="auto" w:fill="E6EFFA"/>
            <w:vAlign w:val="center"/>
          </w:tcPr>
          <w:p w14:paraId="4BE7073A">
            <w:pPr>
              <w:keepNext w:val="0"/>
              <w:keepLines w:val="0"/>
              <w:widowControl/>
              <w:suppressLineNumbers w:val="0"/>
              <w:wordWrap w:val="0"/>
              <w:spacing w:before="0" w:beforeAutospacing="0" w:after="0" w:afterAutospacing="0"/>
              <w:ind w:left="0" w:right="0"/>
              <w:jc w:val="center"/>
              <w:rPr>
                <w:rFonts w:hint="default"/>
                <w:szCs w:val="21"/>
              </w:rPr>
            </w:pPr>
            <w:r>
              <w:rPr>
                <w:rFonts w:hint="default" w:ascii="宋体" w:hAnsi="宋体" w:cs="宋体"/>
                <w:kern w:val="0"/>
                <w:szCs w:val="21"/>
                <w:lang w:bidi="ar"/>
              </w:rPr>
              <w:t>评分准则</w:t>
            </w:r>
          </w:p>
        </w:tc>
      </w:tr>
      <w:tr w14:paraId="533B467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blCellSpacing w:w="0" w:type="dxa"/>
          <w:jc w:val="center"/>
        </w:trPr>
        <w:tc>
          <w:tcPr>
            <w:tcW w:w="681" w:type="dxa"/>
            <w:gridSpan w:val="2"/>
            <w:vMerge w:val="continue"/>
            <w:tcBorders>
              <w:left w:val="single" w:color="000000" w:sz="8" w:space="0"/>
              <w:right w:val="single" w:color="000000" w:sz="8" w:space="0"/>
            </w:tcBorders>
            <w:shd w:val="clear" w:color="auto" w:fill="auto"/>
            <w:vAlign w:val="center"/>
          </w:tcPr>
          <w:p w14:paraId="1354818B">
            <w:pPr>
              <w:keepNext w:val="0"/>
              <w:keepLines w:val="0"/>
              <w:suppressLineNumbers w:val="0"/>
              <w:spacing w:before="0" w:beforeAutospacing="0" w:after="0" w:afterAutospacing="0"/>
              <w:ind w:left="0" w:right="0"/>
              <w:jc w:val="center"/>
              <w:rPr>
                <w:rFonts w:hint="default" w:ascii="宋体"/>
                <w:b/>
                <w:bCs/>
                <w:color w:val="0000FF"/>
                <w:sz w:val="24"/>
              </w:rPr>
            </w:pPr>
          </w:p>
        </w:tc>
        <w:tc>
          <w:tcPr>
            <w:tcW w:w="7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3B32A3">
            <w:pPr>
              <w:keepNext w:val="0"/>
              <w:keepLines w:val="0"/>
              <w:widowControl/>
              <w:suppressLineNumbers w:val="0"/>
              <w:wordWrap w:val="0"/>
              <w:spacing w:before="0" w:beforeAutospacing="0" w:after="0" w:afterAutospacing="0"/>
              <w:ind w:left="0" w:right="0"/>
              <w:jc w:val="center"/>
              <w:textAlignment w:val="top"/>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w:t>
            </w:r>
          </w:p>
        </w:tc>
        <w:tc>
          <w:tcPr>
            <w:tcW w:w="174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61A0A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i w:val="0"/>
                <w:color w:val="000000"/>
                <w:kern w:val="0"/>
                <w:sz w:val="21"/>
                <w:szCs w:val="21"/>
                <w:u w:val="none"/>
                <w:lang w:val="en-US" w:eastAsia="zh-CN" w:bidi="ar"/>
              </w:rPr>
              <w:t>实施方案</w:t>
            </w:r>
          </w:p>
        </w:tc>
        <w:tc>
          <w:tcPr>
            <w:tcW w:w="8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908FE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i w:val="0"/>
                <w:color w:val="000000"/>
                <w:kern w:val="0"/>
                <w:sz w:val="21"/>
                <w:szCs w:val="21"/>
                <w:u w:val="none"/>
                <w:lang w:val="en-US" w:eastAsia="zh-CN" w:bidi="ar"/>
              </w:rPr>
              <w:t>18</w:t>
            </w:r>
          </w:p>
        </w:tc>
        <w:tc>
          <w:tcPr>
            <w:tcW w:w="50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BD44A3">
            <w:pPr>
              <w:keepNext w:val="0"/>
              <w:keepLines w:val="0"/>
              <w:widowControl/>
              <w:numPr>
                <w:ilvl w:val="0"/>
                <w:numId w:val="0"/>
              </w:numPr>
              <w:suppressLineNumbers w:val="0"/>
              <w:spacing w:before="0" w:beforeAutospacing="0" w:after="0" w:afterAutospacing="0"/>
              <w:ind w:left="0" w:right="0"/>
              <w:jc w:val="both"/>
              <w:textAlignment w:val="center"/>
              <w:rPr>
                <w:rFonts w:hint="eastAsia" w:ascii="宋体" w:hAnsi="宋体" w:eastAsia="宋体" w:cs="宋体"/>
                <w:b/>
                <w:bCs/>
                <w:i w:val="0"/>
                <w:color w:val="000000"/>
                <w:kern w:val="0"/>
                <w:sz w:val="21"/>
                <w:szCs w:val="21"/>
                <w:u w:val="none"/>
                <w:lang w:val="en-US" w:eastAsia="zh-CN" w:bidi="ar"/>
              </w:rPr>
            </w:pPr>
            <w:r>
              <w:rPr>
                <w:rFonts w:hint="eastAsia" w:ascii="宋体" w:hAnsi="宋体" w:eastAsia="宋体" w:cs="宋体"/>
                <w:b/>
                <w:bCs/>
                <w:i w:val="0"/>
                <w:color w:val="000000"/>
                <w:kern w:val="0"/>
                <w:sz w:val="21"/>
                <w:szCs w:val="21"/>
                <w:lang w:val="en-US" w:eastAsia="zh-CN" w:bidi="ar"/>
              </w:rPr>
              <w:t>（一）</w:t>
            </w:r>
            <w:r>
              <w:rPr>
                <w:rFonts w:hint="eastAsia" w:ascii="宋体" w:hAnsi="宋体" w:eastAsia="宋体" w:cs="宋体"/>
                <w:b/>
                <w:bCs/>
                <w:i w:val="0"/>
                <w:color w:val="000000"/>
                <w:kern w:val="0"/>
                <w:sz w:val="21"/>
                <w:szCs w:val="21"/>
                <w:u w:val="none"/>
                <w:lang w:val="en-US" w:eastAsia="zh-CN" w:bidi="ar"/>
              </w:rPr>
              <w:t>评审内容：</w:t>
            </w:r>
          </w:p>
          <w:p w14:paraId="325DF042">
            <w:pPr>
              <w:keepNext w:val="0"/>
              <w:keepLines w:val="0"/>
              <w:widowControl/>
              <w:numPr>
                <w:ilvl w:val="0"/>
                <w:numId w:val="0"/>
              </w:numPr>
              <w:suppressLineNumbers w:val="0"/>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考察针对本项目提供的具体项目实施方案，方案应包括： </w:t>
            </w:r>
          </w:p>
          <w:p w14:paraId="3CF9E107">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（1）技术服务方案；</w:t>
            </w:r>
          </w:p>
          <w:p w14:paraId="3D0A529F">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（2）人员配置管理方案；</w:t>
            </w:r>
          </w:p>
          <w:p w14:paraId="1D6C3075">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（3）应急管理方案；</w:t>
            </w:r>
          </w:p>
          <w:p w14:paraId="2A185856">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（4）保密管理方案；</w:t>
            </w:r>
          </w:p>
          <w:p w14:paraId="716DCFA6">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
                <w:bCs/>
                <w:i w:val="0"/>
                <w:color w:val="000000"/>
                <w:kern w:val="0"/>
                <w:sz w:val="21"/>
                <w:szCs w:val="21"/>
                <w:u w:val="none"/>
                <w:lang w:val="en-US" w:eastAsia="zh-CN" w:bidi="ar"/>
              </w:rPr>
            </w:pPr>
            <w:r>
              <w:rPr>
                <w:rFonts w:hint="eastAsia" w:ascii="宋体" w:hAnsi="宋体" w:eastAsia="宋体" w:cs="宋体"/>
                <w:b/>
                <w:bCs/>
                <w:i w:val="0"/>
                <w:color w:val="000000"/>
                <w:kern w:val="0"/>
                <w:sz w:val="21"/>
                <w:szCs w:val="21"/>
                <w:u w:val="none"/>
                <w:lang w:val="en-US" w:eastAsia="zh-CN" w:bidi="ar"/>
              </w:rPr>
              <w:t>（二）评审标准：</w:t>
            </w:r>
          </w:p>
          <w:p w14:paraId="77E2FD5A">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提供以上4点内容得10分，缺项不得分；</w:t>
            </w:r>
          </w:p>
          <w:p w14:paraId="5BD44108">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在此基础上再考察方案内容的具体性和可行性：</w:t>
            </w:r>
          </w:p>
          <w:p w14:paraId="6676E2F9">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（1）方案内容具体、可行性强的，得8分；</w:t>
            </w:r>
          </w:p>
          <w:p w14:paraId="792C718C">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（2）方案内容较为具体，可行性较强的，得5分；</w:t>
            </w:r>
          </w:p>
          <w:p w14:paraId="0F916086">
            <w:pPr>
              <w:keepNext w:val="0"/>
              <w:keepLines w:val="0"/>
              <w:widowControl/>
              <w:suppressLineNumbers w:val="0"/>
              <w:spacing w:before="0" w:beforeAutospacing="0" w:after="0" w:afterAutospacing="0"/>
              <w:ind w:left="0" w:right="0"/>
              <w:jc w:val="both"/>
              <w:textAlignment w:val="center"/>
              <w:rPr>
                <w:rFonts w:hint="default"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（3）方案内容不够具体，可行性不强的，得2分；</w:t>
            </w:r>
          </w:p>
          <w:p w14:paraId="48002169">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（4）方案内容严重缺失、可行性较差的，不得分。</w:t>
            </w:r>
          </w:p>
          <w:p w14:paraId="0A42B2CE">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评审为第4档较差的，评审专家须书面说明理由，并记录在档。</w:t>
            </w:r>
          </w:p>
          <w:p w14:paraId="00B84108">
            <w:pPr>
              <w:keepNext w:val="0"/>
              <w:keepLines w:val="0"/>
              <w:widowControl/>
              <w:suppressLineNumbers w:val="0"/>
              <w:spacing w:before="0" w:beforeAutospacing="0" w:after="0" w:afterAutospacing="0"/>
              <w:ind w:left="0" w:right="0"/>
              <w:jc w:val="both"/>
              <w:textAlignment w:val="center"/>
              <w:rPr>
                <w:rFonts w:hint="eastAsia" w:asciiTheme="minorEastAsia" w:hAnsiTheme="minorEastAsia" w:eastAsiaTheme="minorEastAsia" w:cstheme="minorEastAsia"/>
                <w:color w:val="auto"/>
                <w:kern w:val="2"/>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备注：提供相关实施方案并加盖投标人公章。以上项目合计最高得18分，出现未按要求提供（含未提供）上述资料或专家无法凭所提供资料判断是否得分的情况，一律作不得分处理。</w:t>
            </w:r>
          </w:p>
        </w:tc>
      </w:tr>
      <w:tr w14:paraId="50ACF0A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shd w:val="clear" w:color="auto" w:fill="auto"/>
            <w:vAlign w:val="center"/>
          </w:tcPr>
          <w:p w14:paraId="61516C15">
            <w:pPr>
              <w:keepNext w:val="0"/>
              <w:keepLines w:val="0"/>
              <w:suppressLineNumbers w:val="0"/>
              <w:spacing w:before="0" w:beforeAutospacing="0" w:after="0" w:afterAutospacing="0"/>
              <w:ind w:left="0" w:right="0"/>
              <w:jc w:val="center"/>
              <w:rPr>
                <w:rFonts w:hint="default" w:ascii="宋体"/>
                <w:b/>
                <w:bCs/>
                <w:color w:val="0000FF"/>
                <w:sz w:val="24"/>
              </w:rPr>
            </w:pPr>
          </w:p>
        </w:tc>
        <w:tc>
          <w:tcPr>
            <w:tcW w:w="7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BA2C90">
            <w:pPr>
              <w:keepNext w:val="0"/>
              <w:keepLines w:val="0"/>
              <w:widowControl/>
              <w:suppressLineNumbers w:val="0"/>
              <w:wordWrap w:val="0"/>
              <w:spacing w:before="0" w:beforeAutospacing="0" w:after="0" w:afterAutospacing="0"/>
              <w:ind w:left="0" w:right="0"/>
              <w:jc w:val="center"/>
              <w:textAlignment w:val="top"/>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w:t>
            </w:r>
          </w:p>
        </w:tc>
        <w:tc>
          <w:tcPr>
            <w:tcW w:w="174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F0EAD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技术需求响应</w:t>
            </w:r>
          </w:p>
        </w:tc>
        <w:tc>
          <w:tcPr>
            <w:tcW w:w="8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F66B05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12</w:t>
            </w:r>
          </w:p>
        </w:tc>
        <w:tc>
          <w:tcPr>
            <w:tcW w:w="50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0B75452">
            <w:pPr>
              <w:keepNext w:val="0"/>
              <w:keepLines w:val="0"/>
              <w:widowControl/>
              <w:numPr>
                <w:ilvl w:val="0"/>
                <w:numId w:val="0"/>
              </w:numPr>
              <w:suppressLineNumbers w:val="0"/>
              <w:spacing w:before="0" w:beforeAutospacing="0" w:after="0" w:afterAutospacing="0"/>
              <w:ind w:left="0" w:right="0"/>
              <w:jc w:val="both"/>
              <w:textAlignment w:val="center"/>
              <w:rPr>
                <w:rFonts w:hint="eastAsia" w:ascii="Times New Roman" w:hAnsi="Times New Roman" w:eastAsia="宋体" w:cs="Times New Roman"/>
                <w:b w:val="0"/>
                <w:bCs w:val="0"/>
                <w:kern w:val="2"/>
                <w:sz w:val="24"/>
                <w:szCs w:val="24"/>
                <w:lang w:val="en-US" w:eastAsia="zh-CN" w:bidi="ar-SA"/>
              </w:rPr>
            </w:pPr>
            <w:r>
              <w:rPr>
                <w:rFonts w:hint="default" w:ascii="宋体" w:hAnsi="宋体" w:eastAsia="宋体" w:cs="宋体"/>
                <w:b w:val="0"/>
                <w:bCs w:val="0"/>
                <w:i w:val="0"/>
                <w:color w:val="000000"/>
                <w:kern w:val="0"/>
                <w:sz w:val="21"/>
                <w:szCs w:val="21"/>
                <w:lang w:val="en-US" w:eastAsia="zh-CN" w:bidi="ar"/>
              </w:rPr>
              <w:t>投标人应按照技术要求如实填写《技术要求偏离表》</w:t>
            </w:r>
            <w:r>
              <w:rPr>
                <w:rFonts w:hint="eastAsia" w:ascii="宋体" w:hAnsi="宋体" w:eastAsia="宋体" w:cs="宋体"/>
                <w:b w:val="0"/>
                <w:bCs w:val="0"/>
                <w:i w:val="0"/>
                <w:color w:val="000000"/>
                <w:kern w:val="0"/>
                <w:sz w:val="21"/>
                <w:szCs w:val="21"/>
                <w:lang w:val="en-US" w:eastAsia="zh-CN" w:bidi="ar"/>
              </w:rPr>
              <w:t>，</w:t>
            </w:r>
            <w:r>
              <w:rPr>
                <w:rFonts w:hint="default" w:ascii="宋体" w:hAnsi="宋体" w:eastAsia="宋体" w:cs="宋体"/>
                <w:b w:val="0"/>
                <w:bCs w:val="0"/>
                <w:i w:val="0"/>
                <w:color w:val="000000"/>
                <w:kern w:val="0"/>
                <w:sz w:val="21"/>
                <w:szCs w:val="21"/>
                <w:lang w:val="en-US" w:eastAsia="zh-CN" w:bidi="ar"/>
              </w:rPr>
              <w:t>评审委员会根据技术参数响应情况进行打分。各项技术参数指标及要求全部满足的得</w:t>
            </w:r>
            <w:r>
              <w:rPr>
                <w:rFonts w:hint="eastAsia" w:ascii="宋体" w:hAnsi="宋体" w:cs="宋体"/>
                <w:b w:val="0"/>
                <w:bCs w:val="0"/>
                <w:i w:val="0"/>
                <w:color w:val="000000"/>
                <w:kern w:val="0"/>
                <w:sz w:val="21"/>
                <w:szCs w:val="21"/>
                <w:lang w:val="en-US" w:eastAsia="zh-CN" w:bidi="ar"/>
              </w:rPr>
              <w:t>12</w:t>
            </w:r>
            <w:r>
              <w:rPr>
                <w:rFonts w:hint="default" w:ascii="宋体" w:hAnsi="宋体" w:eastAsia="宋体" w:cs="宋体"/>
                <w:b w:val="0"/>
                <w:bCs w:val="0"/>
                <w:i w:val="0"/>
                <w:color w:val="000000"/>
                <w:kern w:val="0"/>
                <w:sz w:val="21"/>
                <w:szCs w:val="21"/>
                <w:lang w:val="en-US" w:eastAsia="zh-CN" w:bidi="ar"/>
              </w:rPr>
              <w:t>分，</w:t>
            </w:r>
            <w:r>
              <w:rPr>
                <w:rFonts w:hint="default" w:ascii="宋体" w:hAnsi="宋体" w:eastAsia="宋体" w:cs="宋体"/>
                <w:b/>
                <w:bCs/>
                <w:i w:val="0"/>
                <w:color w:val="000000"/>
                <w:kern w:val="0"/>
                <w:sz w:val="21"/>
                <w:szCs w:val="21"/>
                <w:lang w:val="en-US" w:eastAsia="zh-CN" w:bidi="ar"/>
              </w:rPr>
              <w:t>“#”重要技术参数</w:t>
            </w:r>
            <w:r>
              <w:rPr>
                <w:rFonts w:hint="default" w:ascii="宋体" w:hAnsi="宋体" w:eastAsia="宋体" w:cs="宋体"/>
                <w:b w:val="0"/>
                <w:bCs w:val="0"/>
                <w:i w:val="0"/>
                <w:color w:val="000000"/>
                <w:kern w:val="0"/>
                <w:sz w:val="21"/>
                <w:szCs w:val="21"/>
                <w:lang w:val="en-US" w:eastAsia="zh-CN" w:bidi="ar"/>
              </w:rPr>
              <w:t>每项</w:t>
            </w:r>
            <w:r>
              <w:rPr>
                <w:rFonts w:hint="eastAsia" w:ascii="宋体" w:hAnsi="宋体" w:eastAsia="宋体" w:cs="宋体"/>
                <w:b w:val="0"/>
                <w:bCs w:val="0"/>
                <w:i w:val="0"/>
                <w:color w:val="000000"/>
                <w:kern w:val="0"/>
                <w:sz w:val="21"/>
                <w:szCs w:val="21"/>
                <w:lang w:val="en-US" w:eastAsia="zh-CN" w:bidi="ar"/>
              </w:rPr>
              <w:t>满足加0.5</w:t>
            </w:r>
            <w:r>
              <w:rPr>
                <w:rFonts w:hint="eastAsia" w:ascii="宋体" w:hAnsi="宋体" w:cs="宋体"/>
                <w:b w:val="0"/>
                <w:bCs w:val="0"/>
                <w:i w:val="0"/>
                <w:color w:val="000000"/>
                <w:kern w:val="0"/>
                <w:sz w:val="21"/>
                <w:szCs w:val="21"/>
                <w:lang w:val="en-US" w:eastAsia="zh-CN" w:bidi="ar"/>
              </w:rPr>
              <w:t>7</w:t>
            </w:r>
            <w:r>
              <w:rPr>
                <w:rFonts w:hint="default" w:ascii="宋体" w:hAnsi="宋体" w:eastAsia="宋体" w:cs="宋体"/>
                <w:b w:val="0"/>
                <w:bCs w:val="0"/>
                <w:i w:val="0"/>
                <w:color w:val="000000"/>
                <w:kern w:val="0"/>
                <w:sz w:val="21"/>
                <w:szCs w:val="21"/>
                <w:lang w:val="en-US" w:eastAsia="zh-CN" w:bidi="ar"/>
              </w:rPr>
              <w:t>分，最高</w:t>
            </w:r>
            <w:r>
              <w:rPr>
                <w:rFonts w:hint="eastAsia" w:ascii="宋体" w:hAnsi="宋体" w:eastAsia="宋体" w:cs="宋体"/>
                <w:b w:val="0"/>
                <w:bCs w:val="0"/>
                <w:i w:val="0"/>
                <w:color w:val="000000"/>
                <w:kern w:val="0"/>
                <w:sz w:val="21"/>
                <w:szCs w:val="21"/>
                <w:lang w:val="en-US" w:eastAsia="zh-CN" w:bidi="ar"/>
              </w:rPr>
              <w:t>加</w:t>
            </w:r>
            <w:r>
              <w:rPr>
                <w:rFonts w:hint="eastAsia" w:ascii="宋体" w:hAnsi="宋体" w:cs="宋体"/>
                <w:b w:val="0"/>
                <w:bCs w:val="0"/>
                <w:i w:val="0"/>
                <w:color w:val="000000"/>
                <w:kern w:val="0"/>
                <w:sz w:val="21"/>
                <w:szCs w:val="21"/>
                <w:lang w:val="en-US" w:eastAsia="zh-CN" w:bidi="ar"/>
              </w:rPr>
              <w:t>9.69</w:t>
            </w:r>
            <w:r>
              <w:rPr>
                <w:rFonts w:hint="default" w:ascii="宋体" w:hAnsi="宋体" w:eastAsia="宋体" w:cs="宋体"/>
                <w:b w:val="0"/>
                <w:bCs w:val="0"/>
                <w:i w:val="0"/>
                <w:color w:val="000000"/>
                <w:kern w:val="0"/>
                <w:sz w:val="21"/>
                <w:szCs w:val="21"/>
                <w:lang w:val="en-US" w:eastAsia="zh-CN" w:bidi="ar"/>
              </w:rPr>
              <w:t>分，</w:t>
            </w:r>
            <w:r>
              <w:rPr>
                <w:rFonts w:hint="eastAsia" w:ascii="宋体" w:hAnsi="宋体" w:eastAsia="宋体" w:cs="宋体"/>
                <w:b/>
                <w:bCs/>
                <w:i w:val="0"/>
                <w:color w:val="auto"/>
                <w:kern w:val="0"/>
                <w:sz w:val="21"/>
                <w:szCs w:val="21"/>
                <w:lang w:val="en-US" w:eastAsia="zh-CN" w:bidi="ar"/>
              </w:rPr>
              <w:t>“</w:t>
            </w:r>
            <w:r>
              <w:rPr>
                <w:rFonts w:hint="default" w:ascii="宋体" w:hAnsi="宋体" w:eastAsia="宋体" w:cs="宋体"/>
                <w:b/>
                <w:bCs/>
                <w:i w:val="0"/>
                <w:color w:val="auto"/>
                <w:kern w:val="0"/>
                <w:sz w:val="21"/>
                <w:szCs w:val="21"/>
                <w:lang w:val="en-US" w:eastAsia="zh-CN" w:bidi="ar"/>
              </w:rPr>
              <w:t>△</w:t>
            </w:r>
            <w:r>
              <w:rPr>
                <w:rFonts w:hint="eastAsia" w:ascii="宋体" w:hAnsi="宋体" w:eastAsia="宋体" w:cs="宋体"/>
                <w:b/>
                <w:bCs/>
                <w:i w:val="0"/>
                <w:color w:val="auto"/>
                <w:kern w:val="0"/>
                <w:sz w:val="21"/>
                <w:szCs w:val="21"/>
                <w:lang w:val="en-US" w:eastAsia="zh-CN" w:bidi="ar"/>
              </w:rPr>
              <w:t>”</w:t>
            </w:r>
            <w:r>
              <w:rPr>
                <w:rFonts w:hint="default" w:ascii="宋体" w:hAnsi="宋体" w:eastAsia="宋体" w:cs="宋体"/>
                <w:b/>
                <w:bCs/>
                <w:i w:val="0"/>
                <w:color w:val="auto"/>
                <w:kern w:val="0"/>
                <w:sz w:val="21"/>
                <w:szCs w:val="21"/>
                <w:lang w:val="en-US" w:eastAsia="zh-CN" w:bidi="ar"/>
              </w:rPr>
              <w:t>表示一般技术参数</w:t>
            </w:r>
            <w:r>
              <w:rPr>
                <w:rFonts w:hint="default" w:ascii="宋体" w:hAnsi="宋体" w:eastAsia="宋体" w:cs="宋体"/>
                <w:b w:val="0"/>
                <w:bCs w:val="0"/>
                <w:i w:val="0"/>
                <w:color w:val="000000"/>
                <w:kern w:val="0"/>
                <w:sz w:val="21"/>
                <w:szCs w:val="21"/>
                <w:lang w:val="en-US" w:eastAsia="zh-CN" w:bidi="ar"/>
              </w:rPr>
              <w:t>每项</w:t>
            </w:r>
            <w:r>
              <w:rPr>
                <w:rFonts w:hint="eastAsia" w:ascii="宋体" w:hAnsi="宋体" w:eastAsia="宋体" w:cs="宋体"/>
                <w:b w:val="0"/>
                <w:bCs w:val="0"/>
                <w:i w:val="0"/>
                <w:color w:val="000000"/>
                <w:kern w:val="0"/>
                <w:sz w:val="21"/>
                <w:szCs w:val="21"/>
                <w:lang w:val="en-US" w:eastAsia="zh-CN" w:bidi="ar"/>
              </w:rPr>
              <w:t>满足加0.</w:t>
            </w:r>
            <w:r>
              <w:rPr>
                <w:rFonts w:hint="eastAsia" w:ascii="宋体" w:hAnsi="宋体" w:cs="宋体"/>
                <w:b w:val="0"/>
                <w:bCs w:val="0"/>
                <w:i w:val="0"/>
                <w:color w:val="000000"/>
                <w:kern w:val="0"/>
                <w:sz w:val="21"/>
                <w:szCs w:val="21"/>
                <w:lang w:val="en-US" w:eastAsia="zh-CN" w:bidi="ar"/>
              </w:rPr>
              <w:t>33</w:t>
            </w:r>
            <w:r>
              <w:rPr>
                <w:rFonts w:hint="default" w:ascii="宋体" w:hAnsi="宋体" w:eastAsia="宋体" w:cs="宋体"/>
                <w:b w:val="0"/>
                <w:bCs w:val="0"/>
                <w:i w:val="0"/>
                <w:color w:val="000000"/>
                <w:kern w:val="0"/>
                <w:sz w:val="21"/>
                <w:szCs w:val="21"/>
                <w:lang w:val="en-US" w:eastAsia="zh-CN" w:bidi="ar"/>
              </w:rPr>
              <w:t>分，最高</w:t>
            </w:r>
            <w:r>
              <w:rPr>
                <w:rFonts w:hint="eastAsia" w:ascii="宋体" w:hAnsi="宋体" w:eastAsia="宋体" w:cs="宋体"/>
                <w:b w:val="0"/>
                <w:bCs w:val="0"/>
                <w:i w:val="0"/>
                <w:color w:val="000000"/>
                <w:kern w:val="0"/>
                <w:sz w:val="21"/>
                <w:szCs w:val="21"/>
                <w:lang w:val="en-US" w:eastAsia="zh-CN" w:bidi="ar"/>
              </w:rPr>
              <w:t>加</w:t>
            </w:r>
            <w:r>
              <w:rPr>
                <w:rFonts w:hint="eastAsia" w:ascii="宋体" w:hAnsi="宋体" w:cs="宋体"/>
                <w:b w:val="0"/>
                <w:bCs w:val="0"/>
                <w:i w:val="0"/>
                <w:color w:val="000000"/>
                <w:kern w:val="0"/>
                <w:sz w:val="21"/>
                <w:szCs w:val="21"/>
                <w:lang w:val="en-US" w:eastAsia="zh-CN" w:bidi="ar"/>
              </w:rPr>
              <w:t>2.31</w:t>
            </w:r>
            <w:r>
              <w:rPr>
                <w:rFonts w:hint="default" w:ascii="宋体" w:hAnsi="宋体" w:eastAsia="宋体" w:cs="宋体"/>
                <w:b w:val="0"/>
                <w:bCs w:val="0"/>
                <w:i w:val="0"/>
                <w:color w:val="000000"/>
                <w:kern w:val="0"/>
                <w:sz w:val="21"/>
                <w:szCs w:val="21"/>
                <w:lang w:val="en-US" w:eastAsia="zh-CN" w:bidi="ar"/>
              </w:rPr>
              <w:t>分</w:t>
            </w:r>
            <w:r>
              <w:rPr>
                <w:rFonts w:hint="eastAsia" w:ascii="宋体" w:hAnsi="宋体" w:cs="宋体"/>
                <w:b w:val="0"/>
                <w:bCs w:val="0"/>
                <w:i w:val="0"/>
                <w:color w:val="000000"/>
                <w:kern w:val="0"/>
                <w:sz w:val="21"/>
                <w:szCs w:val="21"/>
                <w:lang w:val="en-US" w:eastAsia="zh-CN" w:bidi="ar"/>
              </w:rPr>
              <w:t>。</w:t>
            </w:r>
          </w:p>
        </w:tc>
      </w:tr>
      <w:tr w14:paraId="2ED139D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restart"/>
            <w:tcBorders>
              <w:left w:val="single" w:color="000000" w:sz="8" w:space="0"/>
              <w:right w:val="single" w:color="000000" w:sz="8" w:space="0"/>
            </w:tcBorders>
            <w:shd w:val="clear" w:color="auto" w:fill="auto"/>
            <w:vAlign w:val="center"/>
          </w:tcPr>
          <w:p w14:paraId="38DDBDCE">
            <w:pPr>
              <w:keepNext w:val="0"/>
              <w:keepLines w:val="0"/>
              <w:suppressLineNumbers w:val="0"/>
              <w:spacing w:before="0" w:beforeAutospacing="0" w:after="0" w:afterAutospacing="0"/>
              <w:ind w:left="0" w:right="0"/>
              <w:jc w:val="center"/>
              <w:rPr>
                <w:rFonts w:hint="eastAsia" w:ascii="宋体" w:eastAsia="宋体"/>
                <w:b/>
                <w:bCs/>
                <w:color w:val="0000FF"/>
                <w:sz w:val="24"/>
                <w:lang w:val="en-US" w:eastAsia="zh-CN"/>
              </w:rPr>
            </w:pPr>
            <w:r>
              <w:rPr>
                <w:rFonts w:hint="eastAsia" w:ascii="宋体"/>
                <w:b/>
                <w:bCs/>
                <w:color w:val="0000FF"/>
                <w:sz w:val="24"/>
                <w:lang w:val="en-US" w:eastAsia="zh-CN"/>
              </w:rPr>
              <w:t>3</w:t>
            </w:r>
          </w:p>
        </w:tc>
        <w:tc>
          <w:tcPr>
            <w:tcW w:w="3318" w:type="dxa"/>
            <w:gridSpan w:val="3"/>
            <w:tcBorders>
              <w:top w:val="single" w:color="000000" w:sz="8" w:space="0"/>
              <w:left w:val="single" w:color="000000" w:sz="8" w:space="0"/>
              <w:bottom w:val="single" w:color="000000" w:sz="8" w:space="0"/>
              <w:right w:val="single" w:color="000000" w:sz="8" w:space="0"/>
            </w:tcBorders>
            <w:shd w:val="clear" w:color="auto" w:fill="auto"/>
            <w:vAlign w:val="center"/>
          </w:tcPr>
          <w:p w14:paraId="03A59CB6">
            <w:pPr>
              <w:keepNext w:val="0"/>
              <w:keepLines w:val="0"/>
              <w:widowControl/>
              <w:suppressLineNumbers w:val="0"/>
              <w:spacing w:before="0" w:beforeAutospacing="0" w:after="0" w:afterAutospacing="0"/>
              <w:ind w:left="0" w:right="0"/>
              <w:jc w:val="center"/>
              <w:rPr>
                <w:rFonts w:hint="eastAsia" w:ascii="宋体" w:hAnsi="宋体" w:eastAsia="宋体" w:cs="宋体"/>
                <w:b/>
                <w:bCs/>
                <w:color w:val="0000FF"/>
                <w:kern w:val="0"/>
                <w:sz w:val="24"/>
                <w:lang w:val="en-US" w:eastAsia="zh-CN" w:bidi="ar"/>
              </w:rPr>
            </w:pPr>
            <w:bookmarkStart w:id="5" w:name="OLE_LINK13"/>
            <w:r>
              <w:rPr>
                <w:rFonts w:hint="default" w:ascii="宋体" w:hAnsi="宋体" w:eastAsia="宋体" w:cs="宋体"/>
                <w:b/>
                <w:bCs/>
                <w:color w:val="0000FF"/>
                <w:kern w:val="0"/>
                <w:sz w:val="24"/>
                <w:lang w:val="en-US" w:eastAsia="zh-CN" w:bidi="ar"/>
              </w:rPr>
              <w:t>商务</w:t>
            </w:r>
            <w:bookmarkEnd w:id="5"/>
            <w:r>
              <w:rPr>
                <w:rFonts w:hint="eastAsia" w:ascii="宋体" w:hAnsi="宋体" w:eastAsia="宋体" w:cs="宋体"/>
                <w:b/>
                <w:bCs/>
                <w:color w:val="0000FF"/>
                <w:kern w:val="0"/>
                <w:sz w:val="24"/>
                <w:lang w:val="en-US" w:eastAsia="zh-CN" w:bidi="ar"/>
              </w:rPr>
              <w:t>部分</w:t>
            </w:r>
          </w:p>
        </w:tc>
        <w:tc>
          <w:tcPr>
            <w:tcW w:w="5079" w:type="dxa"/>
            <w:tcBorders>
              <w:top w:val="single" w:color="000000" w:sz="8" w:space="0"/>
              <w:left w:val="single" w:color="000000" w:sz="8" w:space="0"/>
              <w:bottom w:val="single" w:color="000000" w:sz="8" w:space="0"/>
              <w:right w:val="single" w:color="000000" w:sz="8" w:space="0"/>
            </w:tcBorders>
            <w:shd w:val="clear" w:color="auto" w:fill="auto"/>
            <w:vAlign w:val="top"/>
          </w:tcPr>
          <w:p w14:paraId="1C47B128">
            <w:pPr>
              <w:keepNext w:val="0"/>
              <w:keepLines w:val="0"/>
              <w:widowControl/>
              <w:suppressLineNumbers w:val="0"/>
              <w:spacing w:before="0" w:beforeAutospacing="0" w:after="0" w:afterAutospacing="0"/>
              <w:ind w:left="0" w:right="0"/>
              <w:jc w:val="center"/>
              <w:rPr>
                <w:rFonts w:hint="default" w:ascii="宋体" w:hAnsi="宋体" w:eastAsia="宋体" w:cs="宋体"/>
                <w:b/>
                <w:bCs/>
                <w:color w:val="0000FF"/>
                <w:kern w:val="0"/>
                <w:sz w:val="24"/>
                <w:lang w:val="en-US" w:eastAsia="zh-CN" w:bidi="ar"/>
              </w:rPr>
            </w:pPr>
            <w:r>
              <w:rPr>
                <w:rFonts w:hint="eastAsia" w:ascii="宋体" w:hAnsi="宋体" w:eastAsia="宋体" w:cs="宋体"/>
                <w:b/>
                <w:bCs/>
                <w:color w:val="0000FF"/>
                <w:kern w:val="0"/>
                <w:sz w:val="24"/>
                <w:lang w:val="en-US" w:eastAsia="zh-CN" w:bidi="ar"/>
              </w:rPr>
              <w:t>40</w:t>
            </w:r>
          </w:p>
        </w:tc>
      </w:tr>
      <w:tr w14:paraId="20E9EAD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shd w:val="clear" w:color="auto" w:fill="auto"/>
            <w:vAlign w:val="center"/>
          </w:tcPr>
          <w:p w14:paraId="0B1C037C">
            <w:pPr>
              <w:keepNext w:val="0"/>
              <w:keepLines w:val="0"/>
              <w:suppressLineNumbers w:val="0"/>
              <w:spacing w:before="0" w:beforeAutospacing="0" w:after="0" w:afterAutospacing="0"/>
              <w:ind w:left="0" w:right="0"/>
              <w:jc w:val="center"/>
              <w:rPr>
                <w:rFonts w:hint="eastAsia" w:ascii="宋体"/>
                <w:b/>
                <w:bCs/>
                <w:color w:val="0000FF"/>
                <w:sz w:val="24"/>
                <w:lang w:val="en-US" w:eastAsia="zh-CN"/>
              </w:rPr>
            </w:pPr>
          </w:p>
        </w:tc>
        <w:tc>
          <w:tcPr>
            <w:tcW w:w="719" w:type="dxa"/>
            <w:tcBorders>
              <w:top w:val="single" w:color="000000" w:sz="8" w:space="0"/>
              <w:left w:val="single" w:color="000000" w:sz="8" w:space="0"/>
              <w:bottom w:val="single" w:color="000000" w:sz="8" w:space="0"/>
              <w:right w:val="single" w:color="000000" w:sz="8" w:space="0"/>
            </w:tcBorders>
            <w:shd w:val="clear" w:color="auto" w:fill="DCE6F2" w:themeFill="accent1" w:themeFillTint="32"/>
            <w:vAlign w:val="center"/>
          </w:tcPr>
          <w:p w14:paraId="24296714">
            <w:pPr>
              <w:keepNext w:val="0"/>
              <w:keepLines w:val="0"/>
              <w:widowControl/>
              <w:suppressLineNumbers w:val="0"/>
              <w:wordWrap w:val="0"/>
              <w:spacing w:before="0" w:beforeAutospacing="0" w:after="0" w:afterAutospacing="0"/>
              <w:ind w:left="0" w:leftChars="0" w:right="0" w:rightChars="0"/>
              <w:jc w:val="center"/>
              <w:rPr>
                <w:rFonts w:hint="eastAsia" w:ascii="宋体" w:hAnsi="宋体" w:cs="宋体"/>
                <w:b/>
                <w:bCs/>
                <w:color w:val="0000FF"/>
                <w:kern w:val="0"/>
                <w:sz w:val="24"/>
                <w:lang w:val="en-US" w:eastAsia="zh-CN" w:bidi="ar"/>
              </w:rPr>
            </w:pPr>
            <w:r>
              <w:rPr>
                <w:rFonts w:hint="default" w:ascii="宋体" w:hAnsi="宋体" w:cs="宋体"/>
                <w:kern w:val="0"/>
                <w:szCs w:val="21"/>
                <w:lang w:bidi="ar"/>
              </w:rPr>
              <w:t>序号</w:t>
            </w:r>
          </w:p>
        </w:tc>
        <w:tc>
          <w:tcPr>
            <w:tcW w:w="1748" w:type="dxa"/>
            <w:tcBorders>
              <w:top w:val="single" w:color="000000" w:sz="8" w:space="0"/>
              <w:left w:val="single" w:color="000000" w:sz="8" w:space="0"/>
              <w:bottom w:val="single" w:color="000000" w:sz="8" w:space="0"/>
              <w:right w:val="single" w:color="000000" w:sz="8" w:space="0"/>
            </w:tcBorders>
            <w:shd w:val="clear" w:color="auto" w:fill="DCE6F2" w:themeFill="accent1" w:themeFillTint="32"/>
            <w:vAlign w:val="center"/>
          </w:tcPr>
          <w:p w14:paraId="1ED43257">
            <w:pPr>
              <w:keepNext w:val="0"/>
              <w:keepLines w:val="0"/>
              <w:widowControl/>
              <w:suppressLineNumbers w:val="0"/>
              <w:wordWrap w:val="0"/>
              <w:spacing w:before="0" w:beforeAutospacing="0" w:after="0" w:afterAutospacing="0"/>
              <w:ind w:left="0" w:leftChars="0" w:right="0" w:rightChars="0"/>
              <w:jc w:val="center"/>
              <w:rPr>
                <w:rFonts w:hint="eastAsia" w:ascii="宋体" w:hAnsi="宋体" w:cs="宋体"/>
                <w:b/>
                <w:bCs/>
                <w:color w:val="0000FF"/>
                <w:kern w:val="0"/>
                <w:sz w:val="24"/>
                <w:lang w:val="en-US" w:eastAsia="zh-CN" w:bidi="ar"/>
              </w:rPr>
            </w:pPr>
            <w:r>
              <w:rPr>
                <w:rFonts w:hint="default" w:ascii="宋体" w:hAnsi="宋体" w:cs="宋体"/>
                <w:kern w:val="0"/>
                <w:szCs w:val="21"/>
                <w:lang w:bidi="ar"/>
              </w:rPr>
              <w:t>评分因素</w:t>
            </w:r>
          </w:p>
        </w:tc>
        <w:tc>
          <w:tcPr>
            <w:tcW w:w="851" w:type="dxa"/>
            <w:tcBorders>
              <w:top w:val="single" w:color="000000" w:sz="8" w:space="0"/>
              <w:left w:val="single" w:color="000000" w:sz="8" w:space="0"/>
              <w:bottom w:val="single" w:color="000000" w:sz="8" w:space="0"/>
              <w:right w:val="single" w:color="000000" w:sz="8" w:space="0"/>
            </w:tcBorders>
            <w:shd w:val="clear" w:color="auto" w:fill="DCE6F2" w:themeFill="accent1" w:themeFillTint="32"/>
            <w:vAlign w:val="center"/>
          </w:tcPr>
          <w:p w14:paraId="0D4BFEEC">
            <w:pPr>
              <w:keepNext w:val="0"/>
              <w:keepLines w:val="0"/>
              <w:widowControl/>
              <w:suppressLineNumbers w:val="0"/>
              <w:wordWrap w:val="0"/>
              <w:spacing w:before="0" w:beforeAutospacing="0" w:after="0" w:afterAutospacing="0"/>
              <w:ind w:left="0" w:leftChars="0" w:right="0" w:rightChars="0"/>
              <w:jc w:val="center"/>
              <w:rPr>
                <w:rFonts w:hint="default" w:ascii="宋体" w:hAnsi="宋体" w:cs="宋体"/>
                <w:kern w:val="0"/>
                <w:szCs w:val="21"/>
                <w:lang w:bidi="ar"/>
              </w:rPr>
            </w:pPr>
            <w:r>
              <w:rPr>
                <w:rFonts w:hint="eastAsia" w:ascii="宋体" w:hAnsi="宋体" w:eastAsia="宋体" w:cs="宋体"/>
                <w:kern w:val="0"/>
                <w:szCs w:val="21"/>
                <w:lang w:val="en-US" w:eastAsia="zh-CN" w:bidi="ar"/>
              </w:rPr>
              <w:t>分值</w:t>
            </w:r>
          </w:p>
        </w:tc>
        <w:tc>
          <w:tcPr>
            <w:tcW w:w="5079" w:type="dxa"/>
            <w:tcBorders>
              <w:top w:val="single" w:color="000000" w:sz="8" w:space="0"/>
              <w:left w:val="single" w:color="000000" w:sz="8" w:space="0"/>
              <w:bottom w:val="single" w:color="000000" w:sz="8" w:space="0"/>
              <w:right w:val="single" w:color="000000" w:sz="8" w:space="0"/>
            </w:tcBorders>
            <w:shd w:val="clear" w:color="auto" w:fill="DCE6F2" w:themeFill="accent1" w:themeFillTint="32"/>
            <w:vAlign w:val="center"/>
          </w:tcPr>
          <w:p w14:paraId="3C6FFC39">
            <w:pPr>
              <w:keepNext w:val="0"/>
              <w:keepLines w:val="0"/>
              <w:widowControl/>
              <w:suppressLineNumbers w:val="0"/>
              <w:wordWrap w:val="0"/>
              <w:spacing w:before="0" w:beforeAutospacing="0" w:after="0" w:afterAutospacing="0"/>
              <w:ind w:left="0" w:leftChars="0" w:right="0" w:rightChars="0"/>
              <w:jc w:val="center"/>
              <w:rPr>
                <w:rFonts w:hint="eastAsia" w:ascii="宋体" w:hAnsi="宋体" w:cs="宋体"/>
                <w:b/>
                <w:bCs/>
                <w:color w:val="0000FF"/>
                <w:kern w:val="0"/>
                <w:sz w:val="24"/>
                <w:lang w:val="en-US" w:eastAsia="zh-CN" w:bidi="ar"/>
              </w:rPr>
            </w:pPr>
            <w:r>
              <w:rPr>
                <w:rFonts w:hint="default" w:ascii="宋体" w:hAnsi="宋体" w:cs="宋体"/>
                <w:kern w:val="0"/>
                <w:szCs w:val="21"/>
                <w:lang w:bidi="ar"/>
              </w:rPr>
              <w:t>评分准则</w:t>
            </w:r>
          </w:p>
        </w:tc>
      </w:tr>
      <w:tr w14:paraId="0363204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shd w:val="clear" w:color="auto" w:fill="auto"/>
            <w:vAlign w:val="center"/>
          </w:tcPr>
          <w:p w14:paraId="739B77F6">
            <w:pPr>
              <w:keepNext w:val="0"/>
              <w:keepLines w:val="0"/>
              <w:suppressLineNumbers w:val="0"/>
              <w:spacing w:before="0" w:beforeAutospacing="0" w:after="0" w:afterAutospacing="0"/>
              <w:ind w:left="0" w:right="0"/>
              <w:jc w:val="center"/>
              <w:rPr>
                <w:rFonts w:hint="default" w:ascii="宋体"/>
                <w:b/>
                <w:bCs/>
                <w:color w:val="0000FF"/>
                <w:sz w:val="24"/>
              </w:rPr>
            </w:pPr>
          </w:p>
        </w:tc>
        <w:tc>
          <w:tcPr>
            <w:tcW w:w="7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B1AAA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74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7F52D2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配件更换</w:t>
            </w:r>
          </w:p>
        </w:tc>
        <w:tc>
          <w:tcPr>
            <w:tcW w:w="8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AF6AD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w:t>
            </w:r>
          </w:p>
        </w:tc>
        <w:tc>
          <w:tcPr>
            <w:tcW w:w="50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AE35F2">
            <w:pPr>
              <w:keepNext w:val="0"/>
              <w:keepLines w:val="0"/>
              <w:widowControl/>
              <w:suppressLineNumbers w:val="0"/>
              <w:spacing w:before="0" w:beforeAutospacing="0" w:after="0" w:afterAutospacing="0"/>
              <w:ind w:left="0" w:right="0"/>
              <w:jc w:val="both"/>
              <w:textAlignment w:val="center"/>
              <w:rPr>
                <w:rStyle w:val="196"/>
                <w:rFonts w:hint="eastAsia" w:asciiTheme="minorEastAsia" w:hAnsiTheme="minorEastAsia" w:eastAsiaTheme="minorEastAsia" w:cstheme="minorEastAsia"/>
                <w:b/>
                <w:bCs/>
                <w:color w:val="auto"/>
                <w:sz w:val="21"/>
                <w:szCs w:val="21"/>
                <w:lang w:bidi="ar"/>
              </w:rPr>
            </w:pPr>
            <w:r>
              <w:rPr>
                <w:rStyle w:val="196"/>
                <w:rFonts w:hint="eastAsia" w:asciiTheme="minorEastAsia" w:hAnsiTheme="minorEastAsia" w:eastAsiaTheme="minorEastAsia" w:cstheme="minorEastAsia"/>
                <w:b/>
                <w:bCs/>
                <w:color w:val="auto"/>
                <w:sz w:val="21"/>
                <w:szCs w:val="21"/>
                <w:lang w:bidi="ar"/>
              </w:rPr>
              <w:t>（一）评审</w:t>
            </w:r>
            <w:r>
              <w:rPr>
                <w:rStyle w:val="196"/>
                <w:rFonts w:hint="eastAsia" w:asciiTheme="minorEastAsia" w:hAnsiTheme="minorEastAsia" w:eastAsiaTheme="minorEastAsia" w:cstheme="minorEastAsia"/>
                <w:b/>
                <w:bCs/>
                <w:color w:val="auto"/>
                <w:sz w:val="21"/>
                <w:szCs w:val="21"/>
                <w:lang w:val="en-US" w:eastAsia="zh-CN" w:bidi="ar"/>
              </w:rPr>
              <w:t>内容</w:t>
            </w:r>
            <w:r>
              <w:rPr>
                <w:rStyle w:val="196"/>
                <w:rFonts w:hint="eastAsia" w:asciiTheme="minorEastAsia" w:hAnsiTheme="minorEastAsia" w:eastAsiaTheme="minorEastAsia" w:cstheme="minorEastAsia"/>
                <w:b/>
                <w:bCs/>
                <w:color w:val="auto"/>
                <w:sz w:val="21"/>
                <w:szCs w:val="21"/>
                <w:lang w:bidi="ar"/>
              </w:rPr>
              <w:t>：</w:t>
            </w:r>
          </w:p>
          <w:p w14:paraId="5E2CFC6A">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kern w:val="0"/>
                <w:sz w:val="21"/>
                <w:szCs w:val="21"/>
                <w:u w:val="none"/>
                <w:lang w:eastAsia="zh-CN" w:bidi="ar"/>
              </w:rPr>
              <w:t>在要求的原厂</w:t>
            </w:r>
            <w:r>
              <w:rPr>
                <w:rFonts w:hint="eastAsia" w:ascii="宋体" w:hAnsi="宋体" w:eastAsia="宋体" w:cs="宋体"/>
                <w:color w:val="000000"/>
                <w:kern w:val="0"/>
                <w:sz w:val="21"/>
                <w:szCs w:val="21"/>
                <w:u w:val="none"/>
                <w:lang w:val="en-US" w:eastAsia="zh-CN" w:bidi="ar"/>
              </w:rPr>
              <w:t>基础</w:t>
            </w:r>
            <w:r>
              <w:rPr>
                <w:rFonts w:hint="eastAsia" w:ascii="宋体" w:hAnsi="宋体" w:eastAsia="宋体" w:cs="宋体"/>
                <w:color w:val="000000"/>
                <w:kern w:val="0"/>
                <w:sz w:val="21"/>
                <w:szCs w:val="21"/>
                <w:u w:val="none"/>
                <w:lang w:eastAsia="zh-CN" w:bidi="ar"/>
              </w:rPr>
              <w:t>维保服务基础上，</w:t>
            </w:r>
            <w:r>
              <w:rPr>
                <w:rFonts w:hint="eastAsia" w:ascii="宋体" w:hAnsi="宋体" w:eastAsia="宋体" w:cs="宋体"/>
                <w:i w:val="0"/>
                <w:color w:val="000000"/>
                <w:kern w:val="0"/>
                <w:sz w:val="21"/>
                <w:szCs w:val="21"/>
                <w:u w:val="none"/>
                <w:lang w:val="en-US" w:eastAsia="zh-CN" w:bidi="ar"/>
              </w:rPr>
              <w:t>考察投标人额外配件更换响应速度：</w:t>
            </w:r>
          </w:p>
          <w:p w14:paraId="51A225D8">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维保期内涉及本项目的设备发生硬件故障的，投标人承诺</w:t>
            </w:r>
            <w:r>
              <w:rPr>
                <w:rFonts w:hint="eastAsia" w:ascii="宋体" w:hAnsi="宋体" w:eastAsia="宋体" w:cs="宋体"/>
                <w:color w:val="000000"/>
                <w:kern w:val="0"/>
                <w:sz w:val="21"/>
                <w:szCs w:val="21"/>
                <w:lang w:val="en-US" w:eastAsia="zh-CN" w:bidi="ar"/>
              </w:rPr>
              <w:t>4</w:t>
            </w:r>
            <w:r>
              <w:rPr>
                <w:rFonts w:hint="eastAsia" w:ascii="宋体" w:hAnsi="宋体" w:eastAsia="宋体" w:cs="宋体"/>
                <w:i w:val="0"/>
                <w:color w:val="000000"/>
                <w:kern w:val="0"/>
                <w:sz w:val="21"/>
                <w:szCs w:val="21"/>
                <w:u w:val="none"/>
                <w:lang w:val="en-US" w:eastAsia="zh-CN" w:bidi="ar"/>
              </w:rPr>
              <w:t>小时内到达现场及更换配件的，得5分；</w:t>
            </w:r>
          </w:p>
          <w:p w14:paraId="54551EE4">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投标人承诺第二天内到达现场及更换配件的，得3分；</w:t>
            </w:r>
          </w:p>
          <w:p w14:paraId="0232B1A9">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投标人承诺第二天配件发出的，得1分；</w:t>
            </w:r>
          </w:p>
          <w:p w14:paraId="13D00C40">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其余情况不得分。</w:t>
            </w:r>
          </w:p>
          <w:p w14:paraId="64F0D067">
            <w:pPr>
              <w:keepNext w:val="0"/>
              <w:keepLines w:val="0"/>
              <w:widowControl/>
              <w:suppressLineNumbers w:val="0"/>
              <w:spacing w:before="0" w:beforeAutospacing="0" w:after="0" w:afterAutospacing="0"/>
              <w:ind w:left="0" w:right="0"/>
              <w:jc w:val="both"/>
              <w:textAlignment w:val="center"/>
              <w:rPr>
                <w:rStyle w:val="196"/>
                <w:rFonts w:hint="eastAsia" w:asciiTheme="minorEastAsia" w:hAnsiTheme="minorEastAsia" w:eastAsiaTheme="minorEastAsia" w:cstheme="minorEastAsia"/>
                <w:b/>
                <w:bCs/>
                <w:color w:val="auto"/>
                <w:sz w:val="21"/>
                <w:szCs w:val="21"/>
                <w:lang w:bidi="ar"/>
              </w:rPr>
            </w:pPr>
            <w:r>
              <w:rPr>
                <w:rStyle w:val="196"/>
                <w:rFonts w:hint="eastAsia" w:asciiTheme="minorEastAsia" w:hAnsiTheme="minorEastAsia" w:eastAsiaTheme="minorEastAsia" w:cstheme="minorEastAsia"/>
                <w:b/>
                <w:bCs/>
                <w:color w:val="auto"/>
                <w:sz w:val="21"/>
                <w:szCs w:val="21"/>
                <w:lang w:bidi="ar"/>
              </w:rPr>
              <w:t>（</w:t>
            </w:r>
            <w:r>
              <w:rPr>
                <w:rStyle w:val="196"/>
                <w:rFonts w:hint="eastAsia" w:asciiTheme="minorEastAsia" w:hAnsiTheme="minorEastAsia" w:eastAsiaTheme="minorEastAsia" w:cstheme="minorEastAsia"/>
                <w:b/>
                <w:bCs/>
                <w:color w:val="auto"/>
                <w:sz w:val="21"/>
                <w:szCs w:val="21"/>
                <w:lang w:val="en-US" w:eastAsia="zh-CN" w:bidi="ar"/>
              </w:rPr>
              <w:t>二</w:t>
            </w:r>
            <w:r>
              <w:rPr>
                <w:rStyle w:val="196"/>
                <w:rFonts w:hint="eastAsia" w:asciiTheme="minorEastAsia" w:hAnsiTheme="minorEastAsia" w:eastAsiaTheme="minorEastAsia" w:cstheme="minorEastAsia"/>
                <w:b/>
                <w:bCs/>
                <w:color w:val="auto"/>
                <w:sz w:val="21"/>
                <w:szCs w:val="21"/>
                <w:lang w:bidi="ar"/>
              </w:rPr>
              <w:t>）证明文件：</w:t>
            </w:r>
          </w:p>
          <w:p w14:paraId="005AE0E9">
            <w:pPr>
              <w:keepNext w:val="0"/>
              <w:keepLines w:val="0"/>
              <w:widowControl/>
              <w:suppressLineNumbers w:val="0"/>
              <w:spacing w:before="0" w:beforeAutospacing="0" w:after="0" w:afterAutospacing="0"/>
              <w:ind w:left="0" w:right="0"/>
              <w:jc w:val="both"/>
              <w:textAlignment w:val="center"/>
              <w:rPr>
                <w:rFonts w:hint="eastAsia"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r>
              <w:rPr>
                <w:rFonts w:hint="eastAsia" w:ascii="宋体" w:hAnsi="宋体" w:eastAsia="宋体" w:cs="宋体"/>
                <w:i w:val="0"/>
                <w:color w:val="000000"/>
                <w:kern w:val="0"/>
                <w:sz w:val="21"/>
                <w:szCs w:val="21"/>
                <w:u w:val="none"/>
                <w:lang w:val="en-US" w:eastAsia="zh-CN" w:bidi="ar"/>
              </w:rPr>
              <w:t>提供承诺函（格式自拟）并加</w:t>
            </w:r>
            <w:r>
              <w:rPr>
                <w:rFonts w:hint="eastAsia" w:ascii="宋体" w:hAnsi="宋体" w:cs="宋体"/>
                <w:i w:val="0"/>
                <w:color w:val="000000"/>
                <w:kern w:val="0"/>
                <w:sz w:val="21"/>
                <w:szCs w:val="21"/>
                <w:u w:val="none"/>
                <w:lang w:val="en-US" w:eastAsia="zh-CN" w:bidi="ar"/>
              </w:rPr>
              <w:t>盖</w:t>
            </w:r>
            <w:r>
              <w:rPr>
                <w:rFonts w:hint="eastAsia" w:ascii="宋体" w:hAnsi="宋体" w:eastAsia="宋体" w:cs="宋体"/>
                <w:i w:val="0"/>
                <w:color w:val="000000"/>
                <w:kern w:val="0"/>
                <w:sz w:val="21"/>
                <w:szCs w:val="21"/>
                <w:u w:val="none"/>
                <w:lang w:val="en-US" w:eastAsia="zh-CN" w:bidi="ar"/>
              </w:rPr>
              <w:t>原厂公章</w:t>
            </w:r>
            <w:r>
              <w:rPr>
                <w:rFonts w:hint="eastAsia" w:ascii="宋体" w:hAnsi="宋体" w:cs="宋体"/>
                <w:i w:val="0"/>
                <w:color w:val="000000"/>
                <w:kern w:val="0"/>
                <w:sz w:val="21"/>
                <w:szCs w:val="21"/>
                <w:u w:val="none"/>
                <w:lang w:val="en-US" w:eastAsia="zh-CN" w:bidi="ar"/>
              </w:rPr>
              <w:t>；</w:t>
            </w:r>
          </w:p>
          <w:p w14:paraId="20688645">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2.</w:t>
            </w:r>
            <w:r>
              <w:rPr>
                <w:rStyle w:val="196"/>
                <w:rFonts w:hint="eastAsia" w:asciiTheme="minorEastAsia" w:hAnsiTheme="minorEastAsia" w:eastAsiaTheme="minorEastAsia" w:cstheme="minorEastAsia"/>
                <w:b w:val="0"/>
                <w:bCs w:val="0"/>
                <w:color w:val="auto"/>
                <w:sz w:val="21"/>
                <w:szCs w:val="21"/>
                <w:lang w:eastAsia="zh-CN" w:bidi="ar"/>
              </w:rPr>
              <w:t>未提供</w:t>
            </w:r>
            <w:r>
              <w:rPr>
                <w:rFonts w:hint="eastAsia" w:asciiTheme="minorEastAsia" w:hAnsiTheme="minorEastAsia" w:eastAsiaTheme="minorEastAsia" w:cstheme="minorEastAsia"/>
                <w:sz w:val="21"/>
                <w:szCs w:val="21"/>
              </w:rPr>
              <w:t>证明资料</w:t>
            </w:r>
            <w:r>
              <w:rPr>
                <w:rStyle w:val="196"/>
                <w:rFonts w:hint="eastAsia" w:asciiTheme="minorEastAsia" w:hAnsiTheme="minorEastAsia" w:eastAsiaTheme="minorEastAsia" w:cstheme="minorEastAsia"/>
                <w:b w:val="0"/>
                <w:bCs w:val="0"/>
                <w:color w:val="auto"/>
                <w:sz w:val="21"/>
                <w:szCs w:val="21"/>
                <w:lang w:eastAsia="zh-CN" w:bidi="ar"/>
              </w:rPr>
              <w:t>、</w:t>
            </w:r>
            <w:r>
              <w:rPr>
                <w:rFonts w:hint="eastAsia" w:asciiTheme="minorEastAsia" w:hAnsiTheme="minorEastAsia" w:eastAsiaTheme="minorEastAsia" w:cstheme="minorEastAsia"/>
                <w:sz w:val="21"/>
                <w:szCs w:val="21"/>
              </w:rPr>
              <w:t>证明资料</w:t>
            </w:r>
            <w:r>
              <w:rPr>
                <w:rStyle w:val="196"/>
                <w:rFonts w:hint="eastAsia" w:asciiTheme="minorEastAsia" w:hAnsiTheme="minorEastAsia" w:eastAsiaTheme="minorEastAsia" w:cstheme="minorEastAsia"/>
                <w:b w:val="0"/>
                <w:bCs w:val="0"/>
                <w:color w:val="auto"/>
                <w:sz w:val="21"/>
                <w:szCs w:val="21"/>
                <w:lang w:eastAsia="zh-CN" w:bidi="ar"/>
              </w:rPr>
              <w:t>不清晰</w:t>
            </w:r>
            <w:r>
              <w:rPr>
                <w:rStyle w:val="196"/>
                <w:rFonts w:hint="eastAsia" w:asciiTheme="minorEastAsia" w:hAnsiTheme="minorEastAsia" w:eastAsiaTheme="minorEastAsia" w:cstheme="minorEastAsia"/>
                <w:b w:val="0"/>
                <w:bCs w:val="0"/>
                <w:color w:val="auto"/>
                <w:sz w:val="21"/>
                <w:szCs w:val="21"/>
                <w:lang w:val="en-US" w:eastAsia="zh-CN" w:bidi="ar"/>
              </w:rPr>
              <w:t>或</w:t>
            </w:r>
            <w:r>
              <w:rPr>
                <w:rFonts w:hint="eastAsia" w:ascii="宋体" w:hAnsi="宋体" w:eastAsia="宋体" w:cs="宋体"/>
                <w:i w:val="0"/>
                <w:color w:val="000000"/>
                <w:kern w:val="0"/>
                <w:sz w:val="21"/>
                <w:szCs w:val="21"/>
                <w:u w:val="none"/>
                <w:lang w:val="en-US" w:eastAsia="zh-CN" w:bidi="ar"/>
              </w:rPr>
              <w:t>未加盖原厂公章、内容有歧义导致评委无法判断的均不得分。</w:t>
            </w:r>
          </w:p>
        </w:tc>
      </w:tr>
      <w:tr w14:paraId="7C8568D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shd w:val="clear" w:color="auto" w:fill="auto"/>
            <w:vAlign w:val="center"/>
          </w:tcPr>
          <w:p w14:paraId="7B7A88D8">
            <w:pPr>
              <w:keepNext w:val="0"/>
              <w:keepLines w:val="0"/>
              <w:suppressLineNumbers w:val="0"/>
              <w:spacing w:before="0" w:beforeAutospacing="0" w:after="0" w:afterAutospacing="0"/>
              <w:ind w:left="0" w:right="0"/>
              <w:jc w:val="center"/>
              <w:rPr>
                <w:rFonts w:hint="default" w:ascii="宋体"/>
                <w:b/>
                <w:bCs/>
                <w:color w:val="0000FF"/>
                <w:sz w:val="24"/>
              </w:rPr>
            </w:pPr>
          </w:p>
        </w:tc>
        <w:tc>
          <w:tcPr>
            <w:tcW w:w="7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9D41DC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2</w:t>
            </w:r>
          </w:p>
        </w:tc>
        <w:tc>
          <w:tcPr>
            <w:tcW w:w="174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0AE91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维保服务</w:t>
            </w:r>
          </w:p>
        </w:tc>
        <w:tc>
          <w:tcPr>
            <w:tcW w:w="8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B1836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15</w:t>
            </w:r>
          </w:p>
        </w:tc>
        <w:tc>
          <w:tcPr>
            <w:tcW w:w="50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B709A5">
            <w:pPr>
              <w:keepNext w:val="0"/>
              <w:keepLines w:val="0"/>
              <w:widowControl/>
              <w:suppressLineNumbers w:val="0"/>
              <w:spacing w:before="0" w:beforeAutospacing="0" w:after="0" w:afterAutospacing="0"/>
              <w:ind w:left="0" w:right="0"/>
              <w:jc w:val="both"/>
              <w:textAlignment w:val="center"/>
              <w:rPr>
                <w:rStyle w:val="196"/>
                <w:rFonts w:hint="eastAsia" w:asciiTheme="minorEastAsia" w:hAnsiTheme="minorEastAsia" w:eastAsiaTheme="minorEastAsia" w:cstheme="minorEastAsia"/>
                <w:b/>
                <w:bCs/>
                <w:color w:val="auto"/>
                <w:sz w:val="21"/>
                <w:szCs w:val="21"/>
                <w:lang w:bidi="ar"/>
              </w:rPr>
            </w:pPr>
            <w:r>
              <w:rPr>
                <w:rStyle w:val="196"/>
                <w:rFonts w:hint="eastAsia" w:asciiTheme="minorEastAsia" w:hAnsiTheme="minorEastAsia" w:eastAsiaTheme="minorEastAsia" w:cstheme="minorEastAsia"/>
                <w:b/>
                <w:bCs/>
                <w:color w:val="auto"/>
                <w:sz w:val="21"/>
                <w:szCs w:val="21"/>
                <w:lang w:bidi="ar"/>
              </w:rPr>
              <w:t>（一）评审</w:t>
            </w:r>
            <w:r>
              <w:rPr>
                <w:rStyle w:val="196"/>
                <w:rFonts w:hint="eastAsia" w:asciiTheme="minorEastAsia" w:hAnsiTheme="minorEastAsia" w:eastAsiaTheme="minorEastAsia" w:cstheme="minorEastAsia"/>
                <w:b/>
                <w:bCs/>
                <w:color w:val="auto"/>
                <w:sz w:val="21"/>
                <w:szCs w:val="21"/>
                <w:lang w:val="en-US" w:eastAsia="zh-CN" w:bidi="ar"/>
              </w:rPr>
              <w:t>内容</w:t>
            </w:r>
            <w:r>
              <w:rPr>
                <w:rStyle w:val="196"/>
                <w:rFonts w:hint="eastAsia" w:asciiTheme="minorEastAsia" w:hAnsiTheme="minorEastAsia" w:eastAsiaTheme="minorEastAsia" w:cstheme="minorEastAsia"/>
                <w:b/>
                <w:bCs/>
                <w:color w:val="auto"/>
                <w:sz w:val="21"/>
                <w:szCs w:val="21"/>
                <w:lang w:bidi="ar"/>
              </w:rPr>
              <w:t>：</w:t>
            </w:r>
          </w:p>
          <w:p w14:paraId="06D327F1">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kern w:val="0"/>
                <w:sz w:val="21"/>
                <w:szCs w:val="21"/>
                <w:lang w:eastAsia="zh-CN" w:bidi="ar"/>
              </w:rPr>
              <w:t>在要求的原厂</w:t>
            </w:r>
            <w:r>
              <w:rPr>
                <w:rFonts w:hint="eastAsia" w:ascii="宋体" w:hAnsi="宋体" w:eastAsia="宋体" w:cs="宋体"/>
                <w:color w:val="000000"/>
                <w:kern w:val="0"/>
                <w:sz w:val="21"/>
                <w:szCs w:val="21"/>
                <w:lang w:val="en-US" w:eastAsia="zh-CN" w:bidi="ar"/>
              </w:rPr>
              <w:t>基础</w:t>
            </w:r>
            <w:r>
              <w:rPr>
                <w:rFonts w:hint="eastAsia" w:ascii="宋体" w:hAnsi="宋体" w:eastAsia="宋体" w:cs="宋体"/>
                <w:color w:val="000000"/>
                <w:kern w:val="0"/>
                <w:sz w:val="21"/>
                <w:szCs w:val="21"/>
                <w:lang w:eastAsia="zh-CN" w:bidi="ar"/>
              </w:rPr>
              <w:t>维保服务基础上，</w:t>
            </w:r>
            <w:r>
              <w:rPr>
                <w:rFonts w:hint="eastAsia" w:ascii="宋体" w:hAnsi="宋体" w:eastAsia="宋体" w:cs="宋体"/>
                <w:i w:val="0"/>
                <w:color w:val="000000"/>
                <w:kern w:val="0"/>
                <w:sz w:val="21"/>
                <w:szCs w:val="21"/>
                <w:u w:val="none"/>
                <w:lang w:val="en-US" w:eastAsia="zh-CN" w:bidi="ar"/>
              </w:rPr>
              <w:t>考察投标人额外维保服务</w:t>
            </w:r>
            <w:r>
              <w:rPr>
                <w:rFonts w:hint="eastAsia" w:ascii="宋体" w:hAnsi="宋体" w:cs="宋体"/>
                <w:i w:val="0"/>
                <w:color w:val="000000"/>
                <w:kern w:val="0"/>
                <w:sz w:val="21"/>
                <w:szCs w:val="21"/>
                <w:u w:val="none"/>
                <w:lang w:val="en-US" w:eastAsia="zh-CN" w:bidi="ar"/>
              </w:rPr>
              <w:t>：</w:t>
            </w:r>
          </w:p>
          <w:p w14:paraId="76946728">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在三年原厂维保基础上额外提供原厂维保服务，每增加一年得3.75分，最高</w:t>
            </w:r>
            <w:r>
              <w:rPr>
                <w:rFonts w:hint="eastAsia" w:ascii="宋体" w:hAnsi="宋体" w:eastAsia="宋体" w:cs="宋体"/>
                <w:i w:val="0"/>
                <w:color w:val="000000"/>
                <w:kern w:val="0"/>
                <w:sz w:val="21"/>
                <w:szCs w:val="21"/>
                <w:highlight w:val="none"/>
                <w:u w:val="none"/>
                <w:lang w:val="en-US" w:eastAsia="zh-CN" w:bidi="ar"/>
              </w:rPr>
              <w:t>得15分。</w:t>
            </w:r>
          </w:p>
          <w:p w14:paraId="49295904">
            <w:pPr>
              <w:keepNext w:val="0"/>
              <w:keepLines w:val="0"/>
              <w:widowControl/>
              <w:suppressLineNumbers w:val="0"/>
              <w:spacing w:before="0" w:beforeAutospacing="0" w:after="0" w:afterAutospacing="0"/>
              <w:ind w:left="0" w:right="0"/>
              <w:jc w:val="both"/>
              <w:textAlignment w:val="center"/>
              <w:rPr>
                <w:rStyle w:val="196"/>
                <w:rFonts w:hint="eastAsia" w:asciiTheme="minorEastAsia" w:hAnsiTheme="minorEastAsia" w:eastAsiaTheme="minorEastAsia" w:cstheme="minorEastAsia"/>
                <w:b/>
                <w:bCs/>
                <w:color w:val="auto"/>
                <w:sz w:val="21"/>
                <w:szCs w:val="21"/>
                <w:lang w:bidi="ar"/>
              </w:rPr>
            </w:pPr>
            <w:r>
              <w:rPr>
                <w:rStyle w:val="196"/>
                <w:rFonts w:hint="eastAsia" w:asciiTheme="minorEastAsia" w:hAnsiTheme="minorEastAsia" w:eastAsiaTheme="minorEastAsia" w:cstheme="minorEastAsia"/>
                <w:b/>
                <w:bCs/>
                <w:color w:val="auto"/>
                <w:sz w:val="21"/>
                <w:szCs w:val="21"/>
                <w:lang w:bidi="ar"/>
              </w:rPr>
              <w:t>（</w:t>
            </w:r>
            <w:r>
              <w:rPr>
                <w:rStyle w:val="196"/>
                <w:rFonts w:hint="eastAsia" w:asciiTheme="minorEastAsia" w:hAnsiTheme="minorEastAsia" w:eastAsiaTheme="minorEastAsia" w:cstheme="minorEastAsia"/>
                <w:b/>
                <w:bCs/>
                <w:color w:val="auto"/>
                <w:sz w:val="21"/>
                <w:szCs w:val="21"/>
                <w:lang w:val="en-US" w:eastAsia="zh-CN" w:bidi="ar"/>
              </w:rPr>
              <w:t>二</w:t>
            </w:r>
            <w:r>
              <w:rPr>
                <w:rStyle w:val="196"/>
                <w:rFonts w:hint="eastAsia" w:asciiTheme="minorEastAsia" w:hAnsiTheme="minorEastAsia" w:eastAsiaTheme="minorEastAsia" w:cstheme="minorEastAsia"/>
                <w:b/>
                <w:bCs/>
                <w:color w:val="auto"/>
                <w:sz w:val="21"/>
                <w:szCs w:val="21"/>
                <w:lang w:bidi="ar"/>
              </w:rPr>
              <w:t>）证明文件：</w:t>
            </w:r>
          </w:p>
          <w:p w14:paraId="10842085">
            <w:pPr>
              <w:keepNext w:val="0"/>
              <w:keepLines w:val="0"/>
              <w:widowControl/>
              <w:suppressLineNumbers w:val="0"/>
              <w:spacing w:before="0" w:beforeAutospacing="0" w:after="0" w:afterAutospacing="0"/>
              <w:ind w:left="0" w:right="0"/>
              <w:jc w:val="both"/>
              <w:textAlignment w:val="center"/>
              <w:rPr>
                <w:rFonts w:hint="eastAsia"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r>
              <w:rPr>
                <w:rFonts w:hint="eastAsia" w:ascii="宋体" w:hAnsi="宋体" w:eastAsia="宋体" w:cs="宋体"/>
                <w:i w:val="0"/>
                <w:color w:val="000000"/>
                <w:kern w:val="0"/>
                <w:sz w:val="21"/>
                <w:szCs w:val="21"/>
                <w:u w:val="none"/>
                <w:lang w:val="en-US" w:eastAsia="zh-CN" w:bidi="ar"/>
              </w:rPr>
              <w:t>提供承诺书（格式自拟）并加盖原厂公章</w:t>
            </w:r>
            <w:r>
              <w:rPr>
                <w:rFonts w:hint="eastAsia" w:ascii="宋体" w:hAnsi="宋体" w:cs="宋体"/>
                <w:i w:val="0"/>
                <w:color w:val="000000"/>
                <w:kern w:val="0"/>
                <w:sz w:val="21"/>
                <w:szCs w:val="21"/>
                <w:u w:val="none"/>
                <w:lang w:val="en-US" w:eastAsia="zh-CN" w:bidi="ar"/>
              </w:rPr>
              <w:t>；</w:t>
            </w:r>
          </w:p>
          <w:p w14:paraId="2965277A">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2.</w:t>
            </w:r>
            <w:r>
              <w:rPr>
                <w:rStyle w:val="196"/>
                <w:rFonts w:hint="eastAsia" w:asciiTheme="minorEastAsia" w:hAnsiTheme="minorEastAsia" w:eastAsiaTheme="minorEastAsia" w:cstheme="minorEastAsia"/>
                <w:b w:val="0"/>
                <w:bCs w:val="0"/>
                <w:color w:val="auto"/>
                <w:sz w:val="21"/>
                <w:szCs w:val="21"/>
                <w:lang w:eastAsia="zh-CN" w:bidi="ar"/>
              </w:rPr>
              <w:t>未提供</w:t>
            </w:r>
            <w:r>
              <w:rPr>
                <w:rFonts w:hint="eastAsia" w:asciiTheme="minorEastAsia" w:hAnsiTheme="minorEastAsia" w:eastAsiaTheme="minorEastAsia" w:cstheme="minorEastAsia"/>
                <w:sz w:val="21"/>
                <w:szCs w:val="21"/>
              </w:rPr>
              <w:t>证明资料</w:t>
            </w:r>
            <w:r>
              <w:rPr>
                <w:rStyle w:val="196"/>
                <w:rFonts w:hint="eastAsia" w:asciiTheme="minorEastAsia" w:hAnsiTheme="minorEastAsia" w:eastAsiaTheme="minorEastAsia" w:cstheme="minorEastAsia"/>
                <w:b w:val="0"/>
                <w:bCs w:val="0"/>
                <w:color w:val="auto"/>
                <w:sz w:val="21"/>
                <w:szCs w:val="21"/>
                <w:lang w:eastAsia="zh-CN" w:bidi="ar"/>
              </w:rPr>
              <w:t>、</w:t>
            </w:r>
            <w:r>
              <w:rPr>
                <w:rFonts w:hint="eastAsia" w:asciiTheme="minorEastAsia" w:hAnsiTheme="minorEastAsia" w:eastAsiaTheme="minorEastAsia" w:cstheme="minorEastAsia"/>
                <w:sz w:val="21"/>
                <w:szCs w:val="21"/>
              </w:rPr>
              <w:t>证明资料</w:t>
            </w:r>
            <w:r>
              <w:rPr>
                <w:rStyle w:val="196"/>
                <w:rFonts w:hint="eastAsia" w:asciiTheme="minorEastAsia" w:hAnsiTheme="minorEastAsia" w:eastAsiaTheme="minorEastAsia" w:cstheme="minorEastAsia"/>
                <w:b w:val="0"/>
                <w:bCs w:val="0"/>
                <w:color w:val="auto"/>
                <w:sz w:val="21"/>
                <w:szCs w:val="21"/>
                <w:lang w:eastAsia="zh-CN" w:bidi="ar"/>
              </w:rPr>
              <w:t>不清晰</w:t>
            </w:r>
            <w:r>
              <w:rPr>
                <w:rStyle w:val="196"/>
                <w:rFonts w:hint="eastAsia" w:asciiTheme="minorEastAsia" w:hAnsiTheme="minorEastAsia" w:eastAsiaTheme="minorEastAsia" w:cstheme="minorEastAsia"/>
                <w:b w:val="0"/>
                <w:bCs w:val="0"/>
                <w:color w:val="auto"/>
                <w:sz w:val="21"/>
                <w:szCs w:val="21"/>
                <w:lang w:val="en-US" w:eastAsia="zh-CN" w:bidi="ar"/>
              </w:rPr>
              <w:t>或</w:t>
            </w:r>
            <w:r>
              <w:rPr>
                <w:rFonts w:hint="eastAsia" w:ascii="宋体" w:hAnsi="宋体" w:eastAsia="宋体" w:cs="宋体"/>
                <w:i w:val="0"/>
                <w:color w:val="000000"/>
                <w:kern w:val="0"/>
                <w:sz w:val="21"/>
                <w:szCs w:val="21"/>
                <w:u w:val="none"/>
                <w:lang w:val="en-US" w:eastAsia="zh-CN" w:bidi="ar"/>
              </w:rPr>
              <w:t>未加盖原厂公章、内容有歧义导致评委无法判断的均不得分。</w:t>
            </w:r>
          </w:p>
        </w:tc>
      </w:tr>
      <w:tr w14:paraId="7BC4DB2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shd w:val="clear" w:color="auto" w:fill="auto"/>
            <w:vAlign w:val="center"/>
          </w:tcPr>
          <w:p w14:paraId="576833FB">
            <w:pPr>
              <w:keepNext w:val="0"/>
              <w:keepLines w:val="0"/>
              <w:suppressLineNumbers w:val="0"/>
              <w:spacing w:before="0" w:beforeAutospacing="0" w:after="0" w:afterAutospacing="0"/>
              <w:ind w:left="0" w:right="0"/>
              <w:jc w:val="center"/>
              <w:rPr>
                <w:rFonts w:hint="default" w:ascii="宋体"/>
                <w:b/>
                <w:bCs/>
                <w:color w:val="0000FF"/>
                <w:sz w:val="24"/>
              </w:rPr>
            </w:pPr>
          </w:p>
        </w:tc>
        <w:tc>
          <w:tcPr>
            <w:tcW w:w="7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353E0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cs="宋体"/>
                <w:i w:val="0"/>
                <w:color w:val="000000"/>
                <w:sz w:val="21"/>
                <w:szCs w:val="21"/>
                <w:u w:val="none"/>
                <w:lang w:val="en-US" w:eastAsia="zh-CN"/>
              </w:rPr>
              <w:t>3</w:t>
            </w:r>
          </w:p>
        </w:tc>
        <w:tc>
          <w:tcPr>
            <w:tcW w:w="174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3F72A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设备巡检</w:t>
            </w:r>
          </w:p>
        </w:tc>
        <w:tc>
          <w:tcPr>
            <w:tcW w:w="8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C3527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w:t>
            </w:r>
          </w:p>
        </w:tc>
        <w:tc>
          <w:tcPr>
            <w:tcW w:w="50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C99F46">
            <w:pPr>
              <w:keepNext w:val="0"/>
              <w:keepLines w:val="0"/>
              <w:widowControl/>
              <w:suppressLineNumbers w:val="0"/>
              <w:spacing w:before="0" w:beforeAutospacing="0" w:after="0" w:afterAutospacing="0"/>
              <w:ind w:left="0" w:right="0"/>
              <w:jc w:val="both"/>
              <w:textAlignment w:val="center"/>
              <w:rPr>
                <w:rStyle w:val="196"/>
                <w:rFonts w:hint="eastAsia" w:asciiTheme="minorEastAsia" w:hAnsiTheme="minorEastAsia" w:eastAsiaTheme="minorEastAsia" w:cstheme="minorEastAsia"/>
                <w:b/>
                <w:bCs/>
                <w:color w:val="auto"/>
                <w:sz w:val="21"/>
                <w:szCs w:val="21"/>
                <w:lang w:bidi="ar"/>
              </w:rPr>
            </w:pPr>
            <w:r>
              <w:rPr>
                <w:rStyle w:val="196"/>
                <w:rFonts w:hint="eastAsia" w:asciiTheme="minorEastAsia" w:hAnsiTheme="minorEastAsia" w:eastAsiaTheme="minorEastAsia" w:cstheme="minorEastAsia"/>
                <w:b/>
                <w:bCs/>
                <w:color w:val="auto"/>
                <w:sz w:val="21"/>
                <w:szCs w:val="21"/>
                <w:lang w:bidi="ar"/>
              </w:rPr>
              <w:t>（一）评审</w:t>
            </w:r>
            <w:r>
              <w:rPr>
                <w:rStyle w:val="196"/>
                <w:rFonts w:hint="eastAsia" w:asciiTheme="minorEastAsia" w:hAnsiTheme="minorEastAsia" w:eastAsiaTheme="minorEastAsia" w:cstheme="minorEastAsia"/>
                <w:b/>
                <w:bCs/>
                <w:color w:val="auto"/>
                <w:sz w:val="21"/>
                <w:szCs w:val="21"/>
                <w:lang w:val="en-US" w:eastAsia="zh-CN" w:bidi="ar"/>
              </w:rPr>
              <w:t>内容</w:t>
            </w:r>
            <w:r>
              <w:rPr>
                <w:rStyle w:val="196"/>
                <w:rFonts w:hint="eastAsia" w:asciiTheme="minorEastAsia" w:hAnsiTheme="minorEastAsia" w:eastAsiaTheme="minorEastAsia" w:cstheme="minorEastAsia"/>
                <w:b/>
                <w:bCs/>
                <w:color w:val="auto"/>
                <w:sz w:val="21"/>
                <w:szCs w:val="21"/>
                <w:lang w:bidi="ar"/>
              </w:rPr>
              <w:t>：</w:t>
            </w:r>
          </w:p>
          <w:p w14:paraId="6CD2C239">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color w:val="000000"/>
                <w:kern w:val="0"/>
                <w:sz w:val="21"/>
                <w:szCs w:val="21"/>
                <w:lang w:eastAsia="zh-CN" w:bidi="ar"/>
              </w:rPr>
            </w:pPr>
            <w:r>
              <w:rPr>
                <w:rFonts w:hint="eastAsia" w:ascii="宋体" w:hAnsi="宋体" w:eastAsia="宋体" w:cs="宋体"/>
                <w:i w:val="0"/>
                <w:color w:val="000000"/>
                <w:kern w:val="0"/>
                <w:sz w:val="21"/>
                <w:szCs w:val="21"/>
                <w:u w:val="none"/>
                <w:lang w:val="en-US" w:eastAsia="zh-CN" w:bidi="ar"/>
              </w:rPr>
              <w:t>投标人承诺</w:t>
            </w:r>
            <w:r>
              <w:rPr>
                <w:rFonts w:hint="eastAsia" w:ascii="宋体" w:hAnsi="宋体" w:eastAsia="宋体" w:cs="宋体"/>
                <w:color w:val="000000"/>
                <w:kern w:val="0"/>
                <w:sz w:val="21"/>
                <w:szCs w:val="21"/>
                <w:lang w:eastAsia="zh-CN" w:bidi="ar"/>
              </w:rPr>
              <w:t>提供每季度设备巡检及重要时期设备巡检服务，加</w:t>
            </w:r>
            <w:r>
              <w:rPr>
                <w:rFonts w:hint="eastAsia" w:ascii="宋体" w:hAnsi="宋体" w:eastAsia="宋体" w:cs="宋体"/>
                <w:color w:val="000000"/>
                <w:kern w:val="0"/>
                <w:sz w:val="21"/>
                <w:szCs w:val="21"/>
                <w:lang w:val="en-US" w:eastAsia="zh-CN" w:bidi="ar"/>
              </w:rPr>
              <w:t>5分</w:t>
            </w:r>
            <w:r>
              <w:rPr>
                <w:rFonts w:hint="eastAsia" w:ascii="宋体" w:hAnsi="宋体" w:eastAsia="宋体" w:cs="宋体"/>
                <w:color w:val="000000"/>
                <w:kern w:val="0"/>
                <w:sz w:val="21"/>
                <w:szCs w:val="21"/>
                <w:lang w:eastAsia="zh-CN" w:bidi="ar"/>
              </w:rPr>
              <w:t>。</w:t>
            </w:r>
          </w:p>
          <w:p w14:paraId="43E91252">
            <w:pPr>
              <w:keepNext w:val="0"/>
              <w:keepLines w:val="0"/>
              <w:widowControl/>
              <w:suppressLineNumbers w:val="0"/>
              <w:spacing w:before="0" w:beforeAutospacing="0" w:after="0" w:afterAutospacing="0"/>
              <w:ind w:left="0" w:right="0"/>
              <w:jc w:val="both"/>
              <w:textAlignment w:val="center"/>
              <w:rPr>
                <w:rStyle w:val="196"/>
                <w:rFonts w:hint="eastAsia" w:asciiTheme="minorEastAsia" w:hAnsiTheme="minorEastAsia" w:eastAsiaTheme="minorEastAsia" w:cstheme="minorEastAsia"/>
                <w:b/>
                <w:bCs/>
                <w:color w:val="auto"/>
                <w:sz w:val="21"/>
                <w:szCs w:val="21"/>
                <w:lang w:bidi="ar"/>
              </w:rPr>
            </w:pPr>
            <w:r>
              <w:rPr>
                <w:rStyle w:val="196"/>
                <w:rFonts w:hint="eastAsia" w:asciiTheme="minorEastAsia" w:hAnsiTheme="minorEastAsia" w:eastAsiaTheme="minorEastAsia" w:cstheme="minorEastAsia"/>
                <w:b/>
                <w:bCs/>
                <w:color w:val="auto"/>
                <w:sz w:val="21"/>
                <w:szCs w:val="21"/>
                <w:lang w:bidi="ar"/>
              </w:rPr>
              <w:t>（</w:t>
            </w:r>
            <w:r>
              <w:rPr>
                <w:rStyle w:val="196"/>
                <w:rFonts w:hint="eastAsia" w:asciiTheme="minorEastAsia" w:hAnsiTheme="minorEastAsia" w:eastAsiaTheme="minorEastAsia" w:cstheme="minorEastAsia"/>
                <w:b/>
                <w:bCs/>
                <w:color w:val="auto"/>
                <w:sz w:val="21"/>
                <w:szCs w:val="21"/>
                <w:lang w:val="en-US" w:eastAsia="zh-CN" w:bidi="ar"/>
              </w:rPr>
              <w:t>二</w:t>
            </w:r>
            <w:r>
              <w:rPr>
                <w:rStyle w:val="196"/>
                <w:rFonts w:hint="eastAsia" w:asciiTheme="minorEastAsia" w:hAnsiTheme="minorEastAsia" w:eastAsiaTheme="minorEastAsia" w:cstheme="minorEastAsia"/>
                <w:b/>
                <w:bCs/>
                <w:color w:val="auto"/>
                <w:sz w:val="21"/>
                <w:szCs w:val="21"/>
                <w:lang w:bidi="ar"/>
              </w:rPr>
              <w:t>）证明文件：</w:t>
            </w:r>
          </w:p>
          <w:p w14:paraId="61F4ADD6">
            <w:pPr>
              <w:keepNext w:val="0"/>
              <w:keepLines w:val="0"/>
              <w:widowControl/>
              <w:suppressLineNumbers w:val="0"/>
              <w:spacing w:before="0" w:beforeAutospacing="0" w:after="0" w:afterAutospacing="0"/>
              <w:ind w:left="0" w:right="0"/>
              <w:jc w:val="both"/>
              <w:textAlignment w:val="center"/>
              <w:rPr>
                <w:rFonts w:hint="eastAsia"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r>
              <w:rPr>
                <w:rFonts w:hint="eastAsia" w:ascii="宋体" w:hAnsi="宋体" w:eastAsia="宋体" w:cs="宋体"/>
                <w:i w:val="0"/>
                <w:color w:val="000000"/>
                <w:kern w:val="0"/>
                <w:sz w:val="21"/>
                <w:szCs w:val="21"/>
                <w:u w:val="none"/>
                <w:lang w:val="en-US" w:eastAsia="zh-CN" w:bidi="ar"/>
              </w:rPr>
              <w:t>提供承诺函（格式自拟）并加盖原厂公章</w:t>
            </w:r>
            <w:r>
              <w:rPr>
                <w:rFonts w:hint="eastAsia" w:ascii="宋体" w:hAnsi="宋体" w:cs="宋体"/>
                <w:i w:val="0"/>
                <w:color w:val="000000"/>
                <w:kern w:val="0"/>
                <w:sz w:val="21"/>
                <w:szCs w:val="21"/>
                <w:u w:val="none"/>
                <w:lang w:val="en-US" w:eastAsia="zh-CN" w:bidi="ar"/>
              </w:rPr>
              <w:t>；</w:t>
            </w:r>
          </w:p>
          <w:p w14:paraId="7102D1BF">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宋体" w:cs="Times New Roman"/>
                <w:kern w:val="2"/>
                <w:sz w:val="21"/>
                <w:szCs w:val="24"/>
                <w:lang w:val="en-US" w:eastAsia="zh-CN" w:bidi="ar-SA"/>
              </w:rPr>
            </w:pPr>
            <w:r>
              <w:rPr>
                <w:rFonts w:hint="eastAsia" w:ascii="宋体" w:hAnsi="宋体" w:cs="宋体"/>
                <w:i w:val="0"/>
                <w:color w:val="000000"/>
                <w:kern w:val="0"/>
                <w:sz w:val="21"/>
                <w:szCs w:val="21"/>
                <w:u w:val="none"/>
                <w:lang w:val="en-US" w:eastAsia="zh-CN" w:bidi="ar"/>
              </w:rPr>
              <w:t>2.</w:t>
            </w:r>
            <w:r>
              <w:rPr>
                <w:rStyle w:val="196"/>
                <w:rFonts w:hint="eastAsia" w:asciiTheme="minorEastAsia" w:hAnsiTheme="minorEastAsia" w:eastAsiaTheme="minorEastAsia" w:cstheme="minorEastAsia"/>
                <w:b w:val="0"/>
                <w:bCs w:val="0"/>
                <w:color w:val="auto"/>
                <w:sz w:val="21"/>
                <w:szCs w:val="21"/>
                <w:lang w:eastAsia="zh-CN" w:bidi="ar"/>
              </w:rPr>
              <w:t>未提供</w:t>
            </w:r>
            <w:r>
              <w:rPr>
                <w:rFonts w:hint="eastAsia" w:asciiTheme="minorEastAsia" w:hAnsiTheme="minorEastAsia" w:eastAsiaTheme="minorEastAsia" w:cstheme="minorEastAsia"/>
                <w:sz w:val="21"/>
                <w:szCs w:val="21"/>
              </w:rPr>
              <w:t>证明资料</w:t>
            </w:r>
            <w:r>
              <w:rPr>
                <w:rStyle w:val="196"/>
                <w:rFonts w:hint="eastAsia" w:asciiTheme="minorEastAsia" w:hAnsiTheme="minorEastAsia" w:eastAsiaTheme="minorEastAsia" w:cstheme="minorEastAsia"/>
                <w:b w:val="0"/>
                <w:bCs w:val="0"/>
                <w:color w:val="auto"/>
                <w:sz w:val="21"/>
                <w:szCs w:val="21"/>
                <w:lang w:eastAsia="zh-CN" w:bidi="ar"/>
              </w:rPr>
              <w:t>、</w:t>
            </w:r>
            <w:r>
              <w:rPr>
                <w:rFonts w:hint="eastAsia" w:asciiTheme="minorEastAsia" w:hAnsiTheme="minorEastAsia" w:eastAsiaTheme="minorEastAsia" w:cstheme="minorEastAsia"/>
                <w:sz w:val="21"/>
                <w:szCs w:val="21"/>
              </w:rPr>
              <w:t>证明资料</w:t>
            </w:r>
            <w:r>
              <w:rPr>
                <w:rStyle w:val="196"/>
                <w:rFonts w:hint="eastAsia" w:asciiTheme="minorEastAsia" w:hAnsiTheme="minorEastAsia" w:eastAsiaTheme="minorEastAsia" w:cstheme="minorEastAsia"/>
                <w:b w:val="0"/>
                <w:bCs w:val="0"/>
                <w:color w:val="auto"/>
                <w:sz w:val="21"/>
                <w:szCs w:val="21"/>
                <w:lang w:eastAsia="zh-CN" w:bidi="ar"/>
              </w:rPr>
              <w:t>不清晰</w:t>
            </w:r>
            <w:r>
              <w:rPr>
                <w:rStyle w:val="196"/>
                <w:rFonts w:hint="eastAsia" w:asciiTheme="minorEastAsia" w:hAnsiTheme="minorEastAsia" w:eastAsiaTheme="minorEastAsia" w:cstheme="minorEastAsia"/>
                <w:b w:val="0"/>
                <w:bCs w:val="0"/>
                <w:color w:val="auto"/>
                <w:sz w:val="21"/>
                <w:szCs w:val="21"/>
                <w:lang w:val="en-US" w:eastAsia="zh-CN" w:bidi="ar"/>
              </w:rPr>
              <w:t>或</w:t>
            </w:r>
            <w:r>
              <w:rPr>
                <w:rFonts w:hint="eastAsia" w:ascii="宋体" w:hAnsi="宋体" w:eastAsia="宋体" w:cs="宋体"/>
                <w:i w:val="0"/>
                <w:color w:val="000000"/>
                <w:kern w:val="0"/>
                <w:sz w:val="21"/>
                <w:szCs w:val="21"/>
                <w:u w:val="none"/>
                <w:lang w:val="en-US" w:eastAsia="zh-CN" w:bidi="ar"/>
              </w:rPr>
              <w:t>未加盖原厂公章、内容有歧义导致评委无法判断的均不得分。</w:t>
            </w:r>
          </w:p>
        </w:tc>
      </w:tr>
      <w:tr w14:paraId="565032E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shd w:val="clear" w:color="auto" w:fill="auto"/>
            <w:vAlign w:val="center"/>
          </w:tcPr>
          <w:p w14:paraId="7F38D45D">
            <w:pPr>
              <w:keepNext w:val="0"/>
              <w:keepLines w:val="0"/>
              <w:suppressLineNumbers w:val="0"/>
              <w:spacing w:before="0" w:beforeAutospacing="0" w:after="0" w:afterAutospacing="0"/>
              <w:ind w:left="0" w:right="0"/>
              <w:jc w:val="center"/>
              <w:rPr>
                <w:rFonts w:hint="default" w:ascii="宋体"/>
                <w:b/>
                <w:bCs/>
                <w:color w:val="0000FF"/>
                <w:sz w:val="24"/>
              </w:rPr>
            </w:pPr>
          </w:p>
        </w:tc>
        <w:tc>
          <w:tcPr>
            <w:tcW w:w="7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CF608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cs="宋体"/>
                <w:i w:val="0"/>
                <w:color w:val="000000"/>
                <w:sz w:val="21"/>
                <w:szCs w:val="21"/>
                <w:u w:val="none"/>
                <w:lang w:val="en-US" w:eastAsia="zh-CN"/>
              </w:rPr>
              <w:t>4</w:t>
            </w:r>
          </w:p>
        </w:tc>
        <w:tc>
          <w:tcPr>
            <w:tcW w:w="174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A1B234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产品业绩</w:t>
            </w:r>
          </w:p>
        </w:tc>
        <w:tc>
          <w:tcPr>
            <w:tcW w:w="8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5A985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w:t>
            </w:r>
          </w:p>
        </w:tc>
        <w:tc>
          <w:tcPr>
            <w:tcW w:w="50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C35E0C">
            <w:pPr>
              <w:pStyle w:val="16"/>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lang w:eastAsia="zh-CN"/>
              </w:rPr>
              <w:t>（</w:t>
            </w:r>
            <w:r>
              <w:rPr>
                <w:rFonts w:hint="eastAsia" w:ascii="宋体" w:hAnsi="宋体" w:eastAsia="宋体" w:cs="宋体"/>
                <w:b/>
                <w:bCs w:val="0"/>
                <w:color w:val="000000"/>
                <w:sz w:val="21"/>
                <w:szCs w:val="21"/>
                <w:lang w:val="en-US" w:eastAsia="zh-CN"/>
              </w:rPr>
              <w:t>一</w:t>
            </w:r>
            <w:r>
              <w:rPr>
                <w:rFonts w:hint="eastAsia" w:ascii="宋体" w:hAnsi="宋体" w:eastAsia="宋体" w:cs="宋体"/>
                <w:b/>
                <w:bCs w:val="0"/>
                <w:color w:val="000000"/>
                <w:sz w:val="21"/>
                <w:szCs w:val="21"/>
                <w:lang w:eastAsia="zh-CN"/>
              </w:rPr>
              <w:t>）</w:t>
            </w:r>
            <w:r>
              <w:rPr>
                <w:rFonts w:hint="eastAsia" w:ascii="宋体" w:hAnsi="宋体" w:eastAsia="宋体" w:cs="宋体"/>
                <w:b/>
                <w:bCs w:val="0"/>
                <w:color w:val="000000"/>
                <w:sz w:val="21"/>
                <w:szCs w:val="21"/>
              </w:rPr>
              <w:t>评分内容：</w:t>
            </w:r>
          </w:p>
          <w:p w14:paraId="539D7E94">
            <w:pPr>
              <w:pStyle w:val="16"/>
              <w:keepNext w:val="0"/>
              <w:keepLines w:val="0"/>
              <w:suppressLineNumbers w:val="0"/>
              <w:spacing w:before="0" w:beforeAutospacing="0" w:after="0" w:afterAutospacing="0"/>
              <w:ind w:left="0" w:right="0"/>
              <w:jc w:val="both"/>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投标产品（包含一项或多项产品均可）在指定期间内（2024年1月1日至</w:t>
            </w:r>
            <w:r>
              <w:rPr>
                <w:rFonts w:hint="eastAsia" w:asciiTheme="minorEastAsia" w:hAnsiTheme="minorEastAsia" w:eastAsiaTheme="minorEastAsia" w:cstheme="minorEastAsia"/>
                <w:color w:val="000000"/>
                <w:kern w:val="0"/>
                <w:sz w:val="21"/>
                <w:szCs w:val="21"/>
                <w:lang w:bidi="ar"/>
              </w:rPr>
              <w:t>本项目截标</w:t>
            </w:r>
            <w:r>
              <w:rPr>
                <w:rFonts w:hint="eastAsia" w:ascii="宋体" w:hAnsi="宋体" w:eastAsia="宋体" w:cs="宋体"/>
                <w:i w:val="0"/>
                <w:color w:val="000000"/>
                <w:kern w:val="0"/>
                <w:sz w:val="21"/>
                <w:szCs w:val="21"/>
                <w:u w:val="none"/>
                <w:lang w:val="en-US" w:eastAsia="zh-CN" w:bidi="ar"/>
              </w:rPr>
              <w:t>之日</w:t>
            </w:r>
            <w:r>
              <w:rPr>
                <w:rFonts w:hint="eastAsia" w:asciiTheme="minorEastAsia" w:hAnsiTheme="minorEastAsia" w:eastAsiaTheme="minorEastAsia" w:cstheme="minorEastAsia"/>
                <w:color w:val="000000"/>
                <w:kern w:val="0"/>
                <w:sz w:val="21"/>
                <w:szCs w:val="21"/>
                <w:lang w:bidi="ar"/>
              </w:rPr>
              <w:t>内</w:t>
            </w:r>
            <w:r>
              <w:rPr>
                <w:rFonts w:hint="eastAsia" w:ascii="宋体" w:hAnsi="宋体" w:eastAsia="宋体" w:cs="宋体"/>
                <w:i w:val="0"/>
                <w:color w:val="000000"/>
                <w:kern w:val="0"/>
                <w:sz w:val="21"/>
                <w:szCs w:val="21"/>
                <w:u w:val="none"/>
                <w:lang w:val="en-US" w:eastAsia="zh-CN" w:bidi="ar"/>
              </w:rPr>
              <w:t>，以合同签订时间为准）</w:t>
            </w:r>
            <w:r>
              <w:rPr>
                <w:rFonts w:hint="eastAsia" w:asciiTheme="minorEastAsia" w:hAnsiTheme="minorEastAsia" w:eastAsiaTheme="minorEastAsia" w:cstheme="minorEastAsia"/>
                <w:color w:val="000000"/>
                <w:kern w:val="0"/>
                <w:sz w:val="21"/>
                <w:szCs w:val="21"/>
                <w:lang w:bidi="ar"/>
              </w:rPr>
              <w:t>具</w:t>
            </w:r>
            <w:r>
              <w:rPr>
                <w:rFonts w:hint="eastAsia" w:ascii="宋体" w:hAnsi="宋体" w:eastAsia="宋体" w:cs="宋体"/>
                <w:i w:val="0"/>
                <w:color w:val="000000"/>
                <w:kern w:val="0"/>
                <w:sz w:val="21"/>
                <w:szCs w:val="21"/>
                <w:u w:val="none"/>
                <w:lang w:val="en-US" w:eastAsia="zh-CN" w:bidi="ar"/>
              </w:rPr>
              <w:t>有应用案例</w:t>
            </w:r>
            <w:r>
              <w:rPr>
                <w:rFonts w:hint="default" w:ascii="Arial" w:hAnsi="Arial" w:eastAsia="宋体" w:cs="Arial"/>
                <w:i w:val="0"/>
                <w:color w:val="000000"/>
                <w:kern w:val="0"/>
                <w:sz w:val="21"/>
                <w:szCs w:val="21"/>
                <w:u w:val="none"/>
                <w:lang w:val="en-US" w:eastAsia="zh-CN" w:bidi="ar"/>
              </w:rPr>
              <w:t>≥</w:t>
            </w:r>
            <w:r>
              <w:rPr>
                <w:rFonts w:hint="eastAsia" w:ascii="宋体" w:hAnsi="宋体" w:eastAsia="宋体" w:cs="宋体"/>
                <w:i w:val="0"/>
                <w:color w:val="auto"/>
                <w:kern w:val="0"/>
                <w:sz w:val="21"/>
                <w:szCs w:val="21"/>
                <w:u w:val="none"/>
                <w:lang w:val="en-US" w:eastAsia="zh-CN" w:bidi="ar"/>
              </w:rPr>
              <w:t>2</w:t>
            </w:r>
            <w:r>
              <w:rPr>
                <w:rFonts w:hint="eastAsia" w:ascii="宋体" w:hAnsi="宋体" w:eastAsia="宋体" w:cs="宋体"/>
                <w:i w:val="0"/>
                <w:color w:val="000000"/>
                <w:kern w:val="0"/>
                <w:sz w:val="21"/>
                <w:szCs w:val="21"/>
                <w:u w:val="none"/>
                <w:lang w:val="en-US" w:eastAsia="zh-CN" w:bidi="ar"/>
              </w:rPr>
              <w:t>个，得1分；</w:t>
            </w:r>
            <w:r>
              <w:rPr>
                <w:rFonts w:hint="default" w:ascii="Arial" w:hAnsi="Arial" w:eastAsia="宋体" w:cs="Arial"/>
                <w:i w:val="0"/>
                <w:color w:val="000000"/>
                <w:kern w:val="0"/>
                <w:sz w:val="21"/>
                <w:szCs w:val="21"/>
                <w:u w:val="none"/>
                <w:lang w:val="en-US" w:eastAsia="zh-CN" w:bidi="ar"/>
              </w:rPr>
              <w:t>≥</w:t>
            </w:r>
            <w:r>
              <w:rPr>
                <w:rFonts w:hint="eastAsia" w:ascii="宋体" w:hAnsi="宋体" w:eastAsia="宋体" w:cs="宋体"/>
                <w:i w:val="0"/>
                <w:color w:val="000000"/>
                <w:kern w:val="0"/>
                <w:sz w:val="21"/>
                <w:szCs w:val="21"/>
                <w:u w:val="none"/>
                <w:lang w:val="en-US" w:eastAsia="zh-CN" w:bidi="ar"/>
              </w:rPr>
              <w:t>6个得3分；</w:t>
            </w:r>
            <w:r>
              <w:rPr>
                <w:rFonts w:hint="default" w:ascii="Arial" w:hAnsi="Arial" w:eastAsia="宋体" w:cs="Arial"/>
                <w:i w:val="0"/>
                <w:color w:val="000000"/>
                <w:kern w:val="0"/>
                <w:sz w:val="21"/>
                <w:szCs w:val="21"/>
                <w:u w:val="none"/>
                <w:lang w:val="en-US" w:eastAsia="zh-CN" w:bidi="ar"/>
              </w:rPr>
              <w:t>≥</w:t>
            </w:r>
            <w:r>
              <w:rPr>
                <w:rFonts w:hint="eastAsia" w:ascii="宋体" w:hAnsi="宋体" w:eastAsia="宋体" w:cs="宋体"/>
                <w:i w:val="0"/>
                <w:color w:val="000000"/>
                <w:kern w:val="0"/>
                <w:sz w:val="21"/>
                <w:szCs w:val="21"/>
                <w:u w:val="none"/>
                <w:lang w:val="en-US" w:eastAsia="zh-CN" w:bidi="ar"/>
              </w:rPr>
              <w:t>10个得5分。</w:t>
            </w:r>
          </w:p>
          <w:p w14:paraId="7726D086">
            <w:pPr>
              <w:pStyle w:val="16"/>
              <w:keepNext w:val="0"/>
              <w:keepLines w:val="0"/>
              <w:suppressLineNumbers w:val="0"/>
              <w:spacing w:before="0" w:beforeAutospacing="0" w:after="0" w:afterAutospacing="0"/>
              <w:ind w:left="0" w:right="0"/>
              <w:jc w:val="both"/>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注：同一应用案例包含投标产品路由器或交换机一种或两种产品均可计分，但只计算1次。同一单位的应用案例不重复计算。</w:t>
            </w:r>
          </w:p>
          <w:p w14:paraId="64CC813B">
            <w:pPr>
              <w:pStyle w:val="16"/>
              <w:keepNext w:val="0"/>
              <w:keepLines w:val="0"/>
              <w:suppressLineNumbers w:val="0"/>
              <w:spacing w:before="0" w:beforeAutospacing="0" w:after="0" w:afterAutospacing="0"/>
              <w:ind w:left="0" w:right="0"/>
              <w:jc w:val="both"/>
              <w:rPr>
                <w:rFonts w:hint="eastAsia" w:ascii="宋体" w:hAnsi="宋体" w:eastAsia="宋体" w:cs="宋体"/>
                <w:b/>
                <w:bCs/>
                <w:i w:val="0"/>
                <w:color w:val="000000"/>
                <w:kern w:val="0"/>
                <w:sz w:val="21"/>
                <w:szCs w:val="21"/>
                <w:u w:val="none"/>
                <w:lang w:val="en-US" w:eastAsia="zh-CN" w:bidi="ar"/>
              </w:rPr>
            </w:pPr>
            <w:r>
              <w:rPr>
                <w:rFonts w:hint="eastAsia" w:ascii="宋体" w:hAnsi="宋体" w:eastAsia="宋体" w:cs="宋体"/>
                <w:b/>
                <w:bCs/>
                <w:i w:val="0"/>
                <w:color w:val="000000"/>
                <w:kern w:val="0"/>
                <w:sz w:val="21"/>
                <w:szCs w:val="21"/>
                <w:u w:val="none"/>
                <w:lang w:val="en-US" w:eastAsia="zh-CN" w:bidi="ar"/>
              </w:rPr>
              <w:t>（二）评审标准：</w:t>
            </w:r>
          </w:p>
          <w:p w14:paraId="1BBB1F42">
            <w:pPr>
              <w:pStyle w:val="16"/>
              <w:keepNext w:val="0"/>
              <w:keepLines w:val="0"/>
              <w:suppressLineNumbers w:val="0"/>
              <w:spacing w:before="0" w:beforeAutospacing="0" w:after="0" w:afterAutospacing="0"/>
              <w:ind w:left="0" w:right="0"/>
              <w:jc w:val="both"/>
              <w:rPr>
                <w:rFonts w:hint="eastAsia" w:hAnsi="宋体" w:cs="宋体"/>
                <w:i w:val="0"/>
                <w:color w:val="000000"/>
                <w:kern w:val="0"/>
                <w:sz w:val="21"/>
                <w:szCs w:val="21"/>
                <w:u w:val="none"/>
                <w:lang w:val="en-US" w:eastAsia="zh-CN" w:bidi="ar"/>
              </w:rPr>
            </w:pPr>
            <w:r>
              <w:rPr>
                <w:rFonts w:hint="eastAsia" w:hAnsi="宋体" w:cs="宋体"/>
                <w:i w:val="0"/>
                <w:color w:val="000000"/>
                <w:kern w:val="0"/>
                <w:sz w:val="21"/>
                <w:szCs w:val="21"/>
                <w:u w:val="none"/>
                <w:lang w:val="en-US" w:eastAsia="zh-CN" w:bidi="ar"/>
              </w:rPr>
              <w:t>1.</w:t>
            </w:r>
            <w:r>
              <w:rPr>
                <w:rFonts w:hint="eastAsia" w:ascii="宋体" w:hAnsi="宋体" w:eastAsia="宋体" w:cs="宋体"/>
                <w:i w:val="0"/>
                <w:color w:val="000000"/>
                <w:kern w:val="0"/>
                <w:sz w:val="21"/>
                <w:szCs w:val="21"/>
                <w:u w:val="none"/>
                <w:lang w:val="en-US" w:eastAsia="zh-CN" w:bidi="ar"/>
              </w:rPr>
              <w:t>提供合同关键页复印件并加盖产品厂商公章，</w:t>
            </w:r>
            <w:r>
              <w:rPr>
                <w:rFonts w:hint="eastAsia" w:ascii="宋体" w:hAnsi="宋体" w:eastAsia="宋体" w:cs="宋体"/>
                <w:color w:val="000000"/>
                <w:kern w:val="0"/>
                <w:sz w:val="21"/>
                <w:szCs w:val="21"/>
                <w:lang w:bidi="ar"/>
              </w:rPr>
              <w:t>对于所投产品的应用案例，合同乙方不限定必须为投标人</w:t>
            </w:r>
            <w:r>
              <w:rPr>
                <w:rFonts w:hint="eastAsia" w:hAnsi="宋体" w:cs="宋体"/>
                <w:color w:val="000000"/>
                <w:kern w:val="0"/>
                <w:sz w:val="21"/>
                <w:szCs w:val="21"/>
                <w:lang w:eastAsia="zh-CN" w:bidi="ar"/>
              </w:rPr>
              <w:t>，</w:t>
            </w:r>
            <w:r>
              <w:rPr>
                <w:rFonts w:hint="eastAsia" w:ascii="宋体" w:hAnsi="宋体" w:eastAsia="宋体" w:cs="宋体"/>
                <w:i w:val="0"/>
                <w:color w:val="000000"/>
                <w:kern w:val="0"/>
                <w:sz w:val="21"/>
                <w:szCs w:val="21"/>
                <w:u w:val="none"/>
                <w:lang w:val="en-US" w:eastAsia="zh-CN" w:bidi="ar"/>
              </w:rPr>
              <w:t>原件备查</w:t>
            </w:r>
            <w:r>
              <w:rPr>
                <w:rFonts w:hint="eastAsia" w:hAnsi="宋体" w:cs="宋体"/>
                <w:i w:val="0"/>
                <w:color w:val="000000"/>
                <w:kern w:val="0"/>
                <w:sz w:val="21"/>
                <w:szCs w:val="21"/>
                <w:u w:val="none"/>
                <w:lang w:val="en-US" w:eastAsia="zh-CN" w:bidi="ar"/>
              </w:rPr>
              <w:t>。</w:t>
            </w:r>
          </w:p>
          <w:p w14:paraId="1D86B834">
            <w:pPr>
              <w:pStyle w:val="16"/>
              <w:keepNext w:val="0"/>
              <w:keepLines w:val="0"/>
              <w:suppressLineNumbers w:val="0"/>
              <w:spacing w:before="0" w:beforeAutospacing="0" w:after="0" w:afterAutospacing="0"/>
              <w:ind w:left="0" w:right="0"/>
              <w:jc w:val="both"/>
              <w:rPr>
                <w:rFonts w:hint="eastAsia" w:ascii="宋体" w:hAnsi="宋体" w:eastAsia="宋体" w:cs="宋体"/>
                <w:i w:val="0"/>
                <w:color w:val="000000"/>
                <w:kern w:val="0"/>
                <w:sz w:val="21"/>
                <w:szCs w:val="21"/>
                <w:u w:val="none"/>
                <w:lang w:val="en-US" w:eastAsia="zh-CN" w:bidi="ar"/>
              </w:rPr>
            </w:pPr>
            <w:r>
              <w:rPr>
                <w:rFonts w:hint="eastAsia" w:hAnsi="宋体" w:cs="宋体"/>
                <w:i w:val="0"/>
                <w:color w:val="000000"/>
                <w:kern w:val="0"/>
                <w:sz w:val="21"/>
                <w:szCs w:val="21"/>
                <w:u w:val="none"/>
                <w:lang w:val="en-US" w:eastAsia="zh-CN" w:bidi="ar"/>
              </w:rPr>
              <w:t>2.</w:t>
            </w:r>
            <w:r>
              <w:rPr>
                <w:rStyle w:val="196"/>
                <w:rFonts w:hint="eastAsia" w:asciiTheme="minorEastAsia" w:hAnsiTheme="minorEastAsia" w:eastAsiaTheme="minorEastAsia" w:cstheme="minorEastAsia"/>
                <w:b w:val="0"/>
                <w:bCs w:val="0"/>
                <w:color w:val="auto"/>
                <w:sz w:val="21"/>
                <w:szCs w:val="21"/>
                <w:lang w:eastAsia="zh-CN" w:bidi="ar"/>
              </w:rPr>
              <w:t>未提供</w:t>
            </w:r>
            <w:r>
              <w:rPr>
                <w:rFonts w:hint="eastAsia" w:asciiTheme="minorEastAsia" w:hAnsiTheme="minorEastAsia" w:eastAsiaTheme="minorEastAsia" w:cstheme="minorEastAsia"/>
                <w:sz w:val="21"/>
                <w:szCs w:val="21"/>
              </w:rPr>
              <w:t>证明资料</w:t>
            </w:r>
            <w:r>
              <w:rPr>
                <w:rStyle w:val="196"/>
                <w:rFonts w:hint="eastAsia" w:asciiTheme="minorEastAsia" w:hAnsiTheme="minorEastAsia" w:eastAsiaTheme="minorEastAsia" w:cstheme="minorEastAsia"/>
                <w:b w:val="0"/>
                <w:bCs w:val="0"/>
                <w:color w:val="auto"/>
                <w:sz w:val="21"/>
                <w:szCs w:val="21"/>
                <w:lang w:eastAsia="zh-CN" w:bidi="ar"/>
              </w:rPr>
              <w:t>、</w:t>
            </w:r>
            <w:r>
              <w:rPr>
                <w:rFonts w:hint="eastAsia" w:asciiTheme="minorEastAsia" w:hAnsiTheme="minorEastAsia" w:eastAsiaTheme="minorEastAsia" w:cstheme="minorEastAsia"/>
                <w:sz w:val="21"/>
                <w:szCs w:val="21"/>
              </w:rPr>
              <w:t>证明资料</w:t>
            </w:r>
            <w:r>
              <w:rPr>
                <w:rStyle w:val="196"/>
                <w:rFonts w:hint="eastAsia" w:asciiTheme="minorEastAsia" w:hAnsiTheme="minorEastAsia" w:eastAsiaTheme="minorEastAsia" w:cstheme="minorEastAsia"/>
                <w:b w:val="0"/>
                <w:bCs w:val="0"/>
                <w:color w:val="auto"/>
                <w:sz w:val="21"/>
                <w:szCs w:val="21"/>
                <w:lang w:eastAsia="zh-CN" w:bidi="ar"/>
              </w:rPr>
              <w:t>不清晰</w:t>
            </w:r>
            <w:r>
              <w:rPr>
                <w:rStyle w:val="196"/>
                <w:rFonts w:hint="eastAsia" w:asciiTheme="minorEastAsia" w:hAnsiTheme="minorEastAsia" w:eastAsiaTheme="minorEastAsia" w:cstheme="minorEastAsia"/>
                <w:b w:val="0"/>
                <w:bCs w:val="0"/>
                <w:color w:val="auto"/>
                <w:sz w:val="21"/>
                <w:szCs w:val="21"/>
                <w:lang w:val="en-US" w:eastAsia="zh-CN" w:bidi="ar"/>
              </w:rPr>
              <w:t>或</w:t>
            </w:r>
            <w:r>
              <w:rPr>
                <w:rFonts w:hint="eastAsia" w:ascii="宋体" w:hAnsi="宋体" w:eastAsia="宋体" w:cs="宋体"/>
                <w:i w:val="0"/>
                <w:color w:val="000000"/>
                <w:kern w:val="0"/>
                <w:sz w:val="21"/>
                <w:szCs w:val="21"/>
                <w:u w:val="none"/>
                <w:lang w:val="en-US" w:eastAsia="zh-CN" w:bidi="ar"/>
              </w:rPr>
              <w:t>未加盖产品厂商公章、内容不完整导致评委无法判断的均不得分。</w:t>
            </w:r>
          </w:p>
        </w:tc>
      </w:tr>
      <w:tr w14:paraId="37F7DA9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shd w:val="clear" w:color="auto" w:fill="auto"/>
            <w:vAlign w:val="center"/>
          </w:tcPr>
          <w:p w14:paraId="359E652F">
            <w:pPr>
              <w:keepNext w:val="0"/>
              <w:keepLines w:val="0"/>
              <w:suppressLineNumbers w:val="0"/>
              <w:spacing w:before="0" w:beforeAutospacing="0" w:after="0" w:afterAutospacing="0"/>
              <w:ind w:left="0" w:right="0"/>
              <w:jc w:val="center"/>
              <w:rPr>
                <w:rFonts w:hint="default" w:ascii="宋体"/>
                <w:b/>
                <w:bCs/>
                <w:color w:val="0000FF"/>
                <w:sz w:val="24"/>
              </w:rPr>
            </w:pPr>
          </w:p>
        </w:tc>
        <w:tc>
          <w:tcPr>
            <w:tcW w:w="71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8375C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cs="宋体"/>
                <w:i w:val="0"/>
                <w:color w:val="000000"/>
                <w:sz w:val="21"/>
                <w:szCs w:val="21"/>
                <w:u w:val="none"/>
                <w:lang w:val="en-US" w:eastAsia="zh-CN"/>
              </w:rPr>
              <w:t>5</w:t>
            </w:r>
          </w:p>
        </w:tc>
        <w:tc>
          <w:tcPr>
            <w:tcW w:w="174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7F574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kern w:val="0"/>
                <w:sz w:val="21"/>
                <w:szCs w:val="21"/>
                <w:lang w:eastAsia="zh-CN" w:bidi="ar"/>
              </w:rPr>
              <w:t>服务能力</w:t>
            </w:r>
          </w:p>
        </w:tc>
        <w:tc>
          <w:tcPr>
            <w:tcW w:w="85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5830B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10</w:t>
            </w:r>
          </w:p>
        </w:tc>
        <w:tc>
          <w:tcPr>
            <w:tcW w:w="507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92BD54">
            <w:pPr>
              <w:keepNext w:val="0"/>
              <w:keepLines w:val="0"/>
              <w:widowControl/>
              <w:numPr>
                <w:ilvl w:val="0"/>
                <w:numId w:val="0"/>
              </w:numPr>
              <w:suppressLineNumbers w:val="0"/>
              <w:spacing w:before="0" w:beforeAutospacing="0" w:after="0" w:afterAutospacing="0"/>
              <w:ind w:left="0" w:right="0"/>
              <w:jc w:val="left"/>
              <w:textAlignment w:val="center"/>
              <w:rPr>
                <w:rFonts w:hint="eastAsia" w:ascii="宋体" w:hAnsi="宋体" w:eastAsia="宋体" w:cs="宋体"/>
                <w:b/>
                <w:bCs/>
                <w:color w:val="000000"/>
                <w:kern w:val="0"/>
                <w:sz w:val="21"/>
                <w:szCs w:val="21"/>
                <w:lang w:bidi="ar"/>
              </w:rPr>
            </w:pPr>
            <w:r>
              <w:rPr>
                <w:rFonts w:hint="eastAsia" w:ascii="宋体" w:hAnsi="宋体" w:cs="宋体"/>
                <w:b/>
                <w:bCs/>
                <w:color w:val="000000"/>
                <w:kern w:val="0"/>
                <w:sz w:val="21"/>
                <w:szCs w:val="21"/>
                <w:lang w:val="en-US" w:eastAsia="zh-CN" w:bidi="ar"/>
              </w:rPr>
              <w:t>一</w:t>
            </w:r>
            <w:r>
              <w:rPr>
                <w:rFonts w:hint="eastAsia" w:ascii="宋体" w:hAnsi="宋体" w:eastAsia="宋体" w:cs="宋体"/>
                <w:b/>
                <w:bCs/>
                <w:color w:val="000000"/>
                <w:kern w:val="0"/>
                <w:sz w:val="21"/>
                <w:szCs w:val="21"/>
                <w:lang w:val="en-US" w:eastAsia="zh-CN" w:bidi="ar"/>
              </w:rPr>
              <w:t>、</w:t>
            </w:r>
            <w:r>
              <w:rPr>
                <w:rFonts w:hint="eastAsia" w:ascii="宋体" w:hAnsi="宋体" w:eastAsia="宋体" w:cs="宋体"/>
                <w:b/>
                <w:bCs/>
                <w:i w:val="0"/>
                <w:color w:val="000000"/>
                <w:kern w:val="0"/>
                <w:sz w:val="21"/>
                <w:szCs w:val="21"/>
                <w:u w:val="none"/>
                <w:lang w:val="en-US" w:eastAsia="zh-CN" w:bidi="ar"/>
              </w:rPr>
              <w:t>本地化售后服务（</w:t>
            </w:r>
            <w:r>
              <w:rPr>
                <w:rFonts w:hint="eastAsia" w:ascii="宋体" w:hAnsi="宋体" w:eastAsia="宋体" w:cs="宋体"/>
                <w:b/>
                <w:bCs/>
                <w:color w:val="000000"/>
                <w:kern w:val="0"/>
                <w:sz w:val="21"/>
                <w:szCs w:val="21"/>
                <w:lang w:val="en-US" w:eastAsia="zh-CN" w:bidi="ar"/>
              </w:rPr>
              <w:t>5分</w:t>
            </w:r>
            <w:r>
              <w:rPr>
                <w:rFonts w:hint="eastAsia" w:ascii="宋体" w:hAnsi="宋体" w:eastAsia="宋体" w:cs="宋体"/>
                <w:b/>
                <w:bCs/>
                <w:i w:val="0"/>
                <w:color w:val="000000"/>
                <w:kern w:val="0"/>
                <w:sz w:val="21"/>
                <w:szCs w:val="21"/>
                <w:u w:val="none"/>
                <w:lang w:val="en-US" w:eastAsia="zh-CN" w:bidi="ar"/>
              </w:rPr>
              <w:t>）</w:t>
            </w:r>
          </w:p>
          <w:p w14:paraId="61CC1D84">
            <w:pPr>
              <w:pStyle w:val="16"/>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lang w:eastAsia="zh-CN"/>
              </w:rPr>
              <w:t>（</w:t>
            </w:r>
            <w:r>
              <w:rPr>
                <w:rFonts w:hint="eastAsia" w:ascii="宋体" w:hAnsi="宋体" w:eastAsia="宋体" w:cs="宋体"/>
                <w:b/>
                <w:bCs w:val="0"/>
                <w:color w:val="000000"/>
                <w:sz w:val="21"/>
                <w:szCs w:val="21"/>
                <w:lang w:val="en-US" w:eastAsia="zh-CN"/>
              </w:rPr>
              <w:t>一</w:t>
            </w:r>
            <w:r>
              <w:rPr>
                <w:rFonts w:hint="eastAsia" w:ascii="宋体" w:hAnsi="宋体" w:eastAsia="宋体" w:cs="宋体"/>
                <w:b/>
                <w:bCs w:val="0"/>
                <w:color w:val="000000"/>
                <w:sz w:val="21"/>
                <w:szCs w:val="21"/>
                <w:lang w:eastAsia="zh-CN"/>
              </w:rPr>
              <w:t>）</w:t>
            </w:r>
            <w:r>
              <w:rPr>
                <w:rFonts w:hint="eastAsia" w:ascii="宋体" w:hAnsi="宋体" w:eastAsia="宋体" w:cs="宋体"/>
                <w:b/>
                <w:bCs w:val="0"/>
                <w:color w:val="000000"/>
                <w:sz w:val="21"/>
                <w:szCs w:val="21"/>
              </w:rPr>
              <w:t>评分内容：</w:t>
            </w:r>
          </w:p>
          <w:p w14:paraId="0767AFD9">
            <w:pPr>
              <w:pStyle w:val="16"/>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 w:val="0"/>
                <w:bCs/>
                <w:color w:val="000000"/>
                <w:sz w:val="21"/>
                <w:szCs w:val="21"/>
                <w:lang w:val="en-US" w:eastAsia="zh-CN"/>
              </w:rPr>
            </w:pPr>
            <w:r>
              <w:rPr>
                <w:rFonts w:hint="eastAsia" w:ascii="宋体" w:hAnsi="宋体" w:eastAsia="宋体" w:cs="宋体"/>
                <w:b w:val="0"/>
                <w:bCs/>
                <w:color w:val="000000"/>
                <w:sz w:val="21"/>
                <w:szCs w:val="21"/>
                <w:lang w:val="en-US" w:eastAsia="zh-CN"/>
              </w:rPr>
              <w:t>考察投标人本地化服务能力，满足以下任意1项条件，得5分：</w:t>
            </w:r>
          </w:p>
          <w:p w14:paraId="453121EA">
            <w:pPr>
              <w:pStyle w:val="16"/>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rPr>
              <w:t>1.投标人在本地设立分公司或售后机构、服务网点、项目部、办公室、办事处等情形；</w:t>
            </w:r>
          </w:p>
          <w:p w14:paraId="01D57D52">
            <w:pPr>
              <w:pStyle w:val="16"/>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rPr>
              <w:t>2.投标人承诺中标后提供本地化服务。</w:t>
            </w:r>
          </w:p>
          <w:p w14:paraId="0D82DC22">
            <w:pPr>
              <w:keepNext w:val="0"/>
              <w:keepLines w:val="0"/>
              <w:widowControl/>
              <w:suppressLineNumbers w:val="0"/>
              <w:spacing w:before="0" w:beforeAutospacing="0" w:after="0" w:afterAutospacing="0"/>
              <w:ind w:left="0" w:right="0"/>
              <w:jc w:val="both"/>
              <w:textAlignment w:val="center"/>
              <w:rPr>
                <w:rStyle w:val="196"/>
                <w:rFonts w:hint="eastAsia" w:asciiTheme="minorEastAsia" w:hAnsiTheme="minorEastAsia" w:eastAsiaTheme="minorEastAsia" w:cstheme="minorEastAsia"/>
                <w:b/>
                <w:bCs/>
                <w:color w:val="auto"/>
                <w:sz w:val="21"/>
                <w:szCs w:val="21"/>
                <w:lang w:bidi="ar"/>
              </w:rPr>
            </w:pPr>
            <w:r>
              <w:rPr>
                <w:rStyle w:val="196"/>
                <w:rFonts w:hint="eastAsia" w:asciiTheme="minorEastAsia" w:hAnsiTheme="minorEastAsia" w:eastAsiaTheme="minorEastAsia" w:cstheme="minorEastAsia"/>
                <w:b/>
                <w:bCs/>
                <w:color w:val="auto"/>
                <w:sz w:val="21"/>
                <w:szCs w:val="21"/>
                <w:lang w:bidi="ar"/>
              </w:rPr>
              <w:t>（</w:t>
            </w:r>
            <w:r>
              <w:rPr>
                <w:rStyle w:val="196"/>
                <w:rFonts w:hint="eastAsia" w:asciiTheme="minorEastAsia" w:hAnsiTheme="minorEastAsia" w:eastAsiaTheme="minorEastAsia" w:cstheme="minorEastAsia"/>
                <w:b/>
                <w:bCs/>
                <w:color w:val="auto"/>
                <w:sz w:val="21"/>
                <w:szCs w:val="21"/>
                <w:lang w:val="en-US" w:eastAsia="zh-CN" w:bidi="ar"/>
              </w:rPr>
              <w:t>二</w:t>
            </w:r>
            <w:r>
              <w:rPr>
                <w:rStyle w:val="196"/>
                <w:rFonts w:hint="eastAsia" w:asciiTheme="minorEastAsia" w:hAnsiTheme="minorEastAsia" w:eastAsiaTheme="minorEastAsia" w:cstheme="minorEastAsia"/>
                <w:b/>
                <w:bCs/>
                <w:color w:val="auto"/>
                <w:sz w:val="21"/>
                <w:szCs w:val="21"/>
                <w:lang w:bidi="ar"/>
              </w:rPr>
              <w:t>）证明文件：</w:t>
            </w:r>
          </w:p>
          <w:p w14:paraId="3A619570">
            <w:pPr>
              <w:pStyle w:val="16"/>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rPr>
              <w:t>1.第</w:t>
            </w:r>
            <w:r>
              <w:rPr>
                <w:rFonts w:hint="eastAsia" w:ascii="宋体" w:hAnsi="宋体" w:eastAsia="宋体" w:cs="宋体"/>
                <w:b w:val="0"/>
                <w:bCs/>
                <w:color w:val="000000"/>
                <w:sz w:val="21"/>
                <w:szCs w:val="21"/>
                <w:lang w:val="en-US" w:eastAsia="zh-CN"/>
              </w:rPr>
              <w:t>1</w:t>
            </w:r>
            <w:r>
              <w:rPr>
                <w:rFonts w:hint="eastAsia" w:ascii="宋体" w:hAnsi="宋体" w:eastAsia="宋体" w:cs="宋体"/>
                <w:b w:val="0"/>
                <w:bCs/>
                <w:color w:val="000000"/>
                <w:sz w:val="21"/>
                <w:szCs w:val="21"/>
              </w:rPr>
              <w:t>项投标人需提供合作单位或者自身机构的营业执照，或者投标人在本地设立的项目部、办公室、办事处等证明文件复印件；</w:t>
            </w:r>
            <w:r>
              <w:rPr>
                <w:rFonts w:hint="eastAsia" w:ascii="宋体" w:hAnsi="宋体" w:eastAsia="宋体" w:cs="宋体"/>
                <w:b w:val="0"/>
                <w:bCs/>
                <w:color w:val="000000"/>
                <w:sz w:val="21"/>
                <w:szCs w:val="21"/>
                <w:highlight w:val="none"/>
                <w:lang w:val="en-US" w:eastAsia="zh-CN"/>
              </w:rPr>
              <w:t>投标人与合作</w:t>
            </w:r>
            <w:r>
              <w:rPr>
                <w:rFonts w:hint="eastAsia" w:ascii="宋体" w:hAnsi="宋体" w:eastAsia="宋体" w:cs="宋体"/>
                <w:b w:val="0"/>
                <w:bCs/>
                <w:color w:val="000000"/>
                <w:sz w:val="21"/>
                <w:szCs w:val="21"/>
                <w:highlight w:val="none"/>
              </w:rPr>
              <w:t>单位</w:t>
            </w:r>
            <w:r>
              <w:rPr>
                <w:rFonts w:hint="eastAsia" w:ascii="宋体" w:hAnsi="宋体" w:eastAsia="宋体" w:cs="宋体"/>
                <w:b w:val="0"/>
                <w:bCs/>
                <w:color w:val="000000"/>
                <w:sz w:val="21"/>
                <w:szCs w:val="21"/>
                <w:highlight w:val="none"/>
                <w:lang w:val="en-US" w:eastAsia="zh-CN"/>
              </w:rPr>
              <w:t>合作的，还需提供合作关系的证明文件。</w:t>
            </w:r>
          </w:p>
          <w:p w14:paraId="7454D82B">
            <w:pPr>
              <w:pStyle w:val="16"/>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rPr>
              <w:t>2.第</w:t>
            </w:r>
            <w:r>
              <w:rPr>
                <w:rFonts w:hint="eastAsia" w:ascii="宋体" w:hAnsi="宋体" w:eastAsia="宋体" w:cs="宋体"/>
                <w:b w:val="0"/>
                <w:bCs/>
                <w:color w:val="000000"/>
                <w:sz w:val="21"/>
                <w:szCs w:val="21"/>
                <w:lang w:val="en-US" w:eastAsia="zh-CN"/>
              </w:rPr>
              <w:t>2</w:t>
            </w:r>
            <w:r>
              <w:rPr>
                <w:rFonts w:hint="eastAsia" w:ascii="宋体" w:hAnsi="宋体" w:eastAsia="宋体" w:cs="宋体"/>
                <w:b w:val="0"/>
                <w:bCs/>
                <w:color w:val="000000"/>
                <w:sz w:val="21"/>
                <w:szCs w:val="21"/>
              </w:rPr>
              <w:t>项投标人需提供承诺函（格式自拟</w:t>
            </w:r>
            <w:r>
              <w:rPr>
                <w:rFonts w:hint="eastAsia" w:ascii="宋体" w:hAnsi="宋体" w:eastAsia="宋体" w:cs="宋体"/>
                <w:i w:val="0"/>
                <w:color w:val="000000"/>
                <w:kern w:val="0"/>
                <w:sz w:val="21"/>
                <w:szCs w:val="21"/>
                <w:u w:val="none"/>
                <w:lang w:val="en-US" w:eastAsia="zh-CN" w:bidi="ar"/>
              </w:rPr>
              <w:t>并加盖投标人公章</w:t>
            </w:r>
            <w:r>
              <w:rPr>
                <w:rFonts w:hint="eastAsia" w:ascii="宋体" w:hAnsi="宋体" w:eastAsia="宋体" w:cs="宋体"/>
                <w:b w:val="0"/>
                <w:bCs/>
                <w:color w:val="000000"/>
                <w:sz w:val="21"/>
                <w:szCs w:val="21"/>
              </w:rPr>
              <w:t>）。</w:t>
            </w:r>
          </w:p>
          <w:p w14:paraId="4C24764D">
            <w:pPr>
              <w:pStyle w:val="16"/>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lang w:val="en-US" w:eastAsia="zh-CN"/>
              </w:rPr>
              <w:t>3.</w:t>
            </w:r>
            <w:r>
              <w:rPr>
                <w:rFonts w:hint="eastAsia" w:ascii="宋体" w:hAnsi="宋体" w:eastAsia="宋体" w:cs="宋体"/>
                <w:b w:val="0"/>
                <w:bCs/>
                <w:color w:val="000000"/>
                <w:sz w:val="21"/>
                <w:szCs w:val="21"/>
              </w:rPr>
              <w:t>评分中出现无证明资料或</w:t>
            </w:r>
            <w:r>
              <w:rPr>
                <w:rFonts w:hint="eastAsia" w:hAnsi="宋体" w:cs="宋体"/>
                <w:b w:val="0"/>
                <w:bCs/>
                <w:color w:val="000000"/>
                <w:sz w:val="21"/>
                <w:szCs w:val="21"/>
                <w:lang w:eastAsia="zh-CN"/>
              </w:rPr>
              <w:t>材料</w:t>
            </w:r>
            <w:r>
              <w:rPr>
                <w:rFonts w:hint="eastAsia" w:ascii="宋体" w:hAnsi="宋体" w:eastAsia="宋体" w:cs="宋体"/>
                <w:b w:val="0"/>
                <w:bCs/>
                <w:color w:val="000000"/>
                <w:sz w:val="21"/>
                <w:szCs w:val="21"/>
              </w:rPr>
              <w:t>过期或专家无法凭所提供资料判断是否得分的情况，一律作不得分处理。</w:t>
            </w:r>
          </w:p>
          <w:p w14:paraId="62A9D813">
            <w:pPr>
              <w:pStyle w:val="16"/>
              <w:keepNext w:val="0"/>
              <w:keepLines w:val="0"/>
              <w:widowControl/>
              <w:suppressLineNumbers w:val="0"/>
              <w:spacing w:before="0" w:beforeAutospacing="0" w:after="0" w:afterAutospacing="0"/>
              <w:ind w:left="0" w:right="0"/>
              <w:jc w:val="both"/>
              <w:textAlignment w:val="center"/>
              <w:rPr>
                <w:rFonts w:hint="default" w:ascii="宋体" w:hAnsi="宋体" w:eastAsia="宋体" w:cs="宋体"/>
                <w:b w:val="0"/>
                <w:bCs/>
                <w:color w:val="000000"/>
                <w:sz w:val="21"/>
                <w:szCs w:val="21"/>
                <w:lang w:val="en-US" w:eastAsia="zh-CN"/>
              </w:rPr>
            </w:pPr>
          </w:p>
          <w:p w14:paraId="4308425F">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
                <w:bCs/>
                <w:color w:val="000000"/>
                <w:kern w:val="0"/>
                <w:sz w:val="21"/>
                <w:szCs w:val="21"/>
                <w:lang w:bidi="ar"/>
              </w:rPr>
            </w:pPr>
            <w:r>
              <w:rPr>
                <w:rFonts w:hint="eastAsia" w:ascii="宋体" w:hAnsi="宋体" w:cs="宋体"/>
                <w:b/>
                <w:bCs/>
                <w:color w:val="000000"/>
                <w:kern w:val="0"/>
                <w:sz w:val="21"/>
                <w:szCs w:val="21"/>
                <w:lang w:val="en-US" w:eastAsia="zh-CN" w:bidi="ar"/>
              </w:rPr>
              <w:t>二</w:t>
            </w:r>
            <w:r>
              <w:rPr>
                <w:rFonts w:hint="eastAsia" w:ascii="宋体" w:hAnsi="宋体" w:eastAsia="宋体" w:cs="宋体"/>
                <w:b/>
                <w:bCs/>
                <w:color w:val="000000"/>
                <w:kern w:val="0"/>
                <w:sz w:val="21"/>
                <w:szCs w:val="21"/>
                <w:lang w:val="en-US" w:eastAsia="zh-CN" w:bidi="ar"/>
              </w:rPr>
              <w:t>、驻场服务</w:t>
            </w:r>
            <w:r>
              <w:rPr>
                <w:rFonts w:hint="eastAsia" w:ascii="宋体" w:hAnsi="宋体" w:eastAsia="宋体" w:cs="宋体"/>
                <w:b/>
                <w:bCs/>
                <w:i w:val="0"/>
                <w:color w:val="000000"/>
                <w:kern w:val="0"/>
                <w:sz w:val="21"/>
                <w:szCs w:val="21"/>
                <w:u w:val="none"/>
                <w:lang w:val="en-US" w:eastAsia="zh-CN" w:bidi="ar"/>
              </w:rPr>
              <w:t>（</w:t>
            </w:r>
            <w:r>
              <w:rPr>
                <w:rFonts w:hint="eastAsia" w:ascii="宋体" w:hAnsi="宋体" w:eastAsia="宋体" w:cs="宋体"/>
                <w:b/>
                <w:bCs/>
                <w:color w:val="000000"/>
                <w:kern w:val="0"/>
                <w:sz w:val="21"/>
                <w:szCs w:val="21"/>
                <w:lang w:val="en-US" w:eastAsia="zh-CN" w:bidi="ar"/>
              </w:rPr>
              <w:t>5分</w:t>
            </w:r>
            <w:r>
              <w:rPr>
                <w:rFonts w:hint="eastAsia" w:ascii="宋体" w:hAnsi="宋体" w:eastAsia="宋体" w:cs="宋体"/>
                <w:b/>
                <w:bCs/>
                <w:i w:val="0"/>
                <w:color w:val="000000"/>
                <w:kern w:val="0"/>
                <w:sz w:val="21"/>
                <w:szCs w:val="21"/>
                <w:u w:val="none"/>
                <w:lang w:val="en-US" w:eastAsia="zh-CN" w:bidi="ar"/>
              </w:rPr>
              <w:t>）</w:t>
            </w:r>
          </w:p>
          <w:p w14:paraId="13272923">
            <w:pPr>
              <w:pStyle w:val="16"/>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lang w:eastAsia="zh-CN"/>
              </w:rPr>
              <w:t>（</w:t>
            </w:r>
            <w:r>
              <w:rPr>
                <w:rFonts w:hint="eastAsia" w:ascii="宋体" w:hAnsi="宋体" w:eastAsia="宋体" w:cs="宋体"/>
                <w:b/>
                <w:bCs w:val="0"/>
                <w:color w:val="000000"/>
                <w:sz w:val="21"/>
                <w:szCs w:val="21"/>
                <w:lang w:val="en-US" w:eastAsia="zh-CN"/>
              </w:rPr>
              <w:t>一</w:t>
            </w:r>
            <w:r>
              <w:rPr>
                <w:rFonts w:hint="eastAsia" w:ascii="宋体" w:hAnsi="宋体" w:eastAsia="宋体" w:cs="宋体"/>
                <w:b/>
                <w:bCs w:val="0"/>
                <w:color w:val="000000"/>
                <w:sz w:val="21"/>
                <w:szCs w:val="21"/>
                <w:lang w:eastAsia="zh-CN"/>
              </w:rPr>
              <w:t>）</w:t>
            </w:r>
            <w:r>
              <w:rPr>
                <w:rFonts w:hint="eastAsia" w:ascii="宋体" w:hAnsi="宋体" w:eastAsia="宋体" w:cs="宋体"/>
                <w:b/>
                <w:bCs w:val="0"/>
                <w:color w:val="000000"/>
                <w:sz w:val="21"/>
                <w:szCs w:val="21"/>
              </w:rPr>
              <w:t>评分内容：</w:t>
            </w:r>
          </w:p>
          <w:p w14:paraId="6730371F">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b w:val="0"/>
                <w:bCs/>
                <w:color w:val="000000"/>
                <w:sz w:val="21"/>
                <w:szCs w:val="21"/>
              </w:rPr>
              <w:t>投标人</w:t>
            </w:r>
            <w:r>
              <w:rPr>
                <w:rFonts w:hint="eastAsia" w:ascii="宋体" w:hAnsi="宋体" w:eastAsia="宋体" w:cs="宋体"/>
                <w:i w:val="0"/>
                <w:color w:val="000000"/>
                <w:kern w:val="0"/>
                <w:sz w:val="21"/>
                <w:szCs w:val="21"/>
                <w:u w:val="none"/>
                <w:lang w:val="en-US" w:eastAsia="zh-CN" w:bidi="ar"/>
              </w:rPr>
              <w:t>承诺提供1名驻场服务工程师，服务期限≥1年</w:t>
            </w:r>
            <w:r>
              <w:rPr>
                <w:rFonts w:hint="eastAsia" w:ascii="宋体" w:hAnsi="宋体" w:eastAsia="宋体" w:cs="宋体"/>
                <w:i w:val="0"/>
                <w:color w:val="000000"/>
                <w:kern w:val="0"/>
                <w:sz w:val="21"/>
                <w:szCs w:val="21"/>
                <w:highlight w:val="none"/>
                <w:u w:val="none"/>
                <w:lang w:val="en-US" w:eastAsia="zh-CN" w:bidi="ar"/>
              </w:rPr>
              <w:t>，工程师相关工作年限不低于2年，</w:t>
            </w:r>
            <w:r>
              <w:rPr>
                <w:rFonts w:hint="eastAsia" w:ascii="宋体" w:hAnsi="宋体" w:eastAsia="宋体" w:cs="宋体"/>
                <w:i w:val="0"/>
                <w:color w:val="000000"/>
                <w:kern w:val="0"/>
                <w:sz w:val="21"/>
                <w:szCs w:val="21"/>
                <w:u w:val="none"/>
                <w:lang w:val="en-US" w:eastAsia="zh-CN" w:bidi="ar"/>
              </w:rPr>
              <w:t>加5分。</w:t>
            </w:r>
          </w:p>
          <w:p w14:paraId="316EB3DB">
            <w:pPr>
              <w:keepNext w:val="0"/>
              <w:keepLines w:val="0"/>
              <w:widowControl/>
              <w:suppressLineNumbers w:val="0"/>
              <w:spacing w:before="0" w:beforeAutospacing="0" w:after="0" w:afterAutospacing="0"/>
              <w:ind w:left="0" w:right="0"/>
              <w:jc w:val="both"/>
              <w:textAlignment w:val="center"/>
              <w:rPr>
                <w:rStyle w:val="196"/>
                <w:rFonts w:hint="eastAsia" w:asciiTheme="minorEastAsia" w:hAnsiTheme="minorEastAsia" w:eastAsiaTheme="minorEastAsia" w:cstheme="minorEastAsia"/>
                <w:b/>
                <w:bCs/>
                <w:color w:val="auto"/>
                <w:sz w:val="21"/>
                <w:szCs w:val="21"/>
                <w:lang w:bidi="ar"/>
              </w:rPr>
            </w:pPr>
            <w:r>
              <w:rPr>
                <w:rStyle w:val="196"/>
                <w:rFonts w:hint="eastAsia" w:asciiTheme="minorEastAsia" w:hAnsiTheme="minorEastAsia" w:eastAsiaTheme="minorEastAsia" w:cstheme="minorEastAsia"/>
                <w:b/>
                <w:bCs/>
                <w:color w:val="auto"/>
                <w:sz w:val="21"/>
                <w:szCs w:val="21"/>
                <w:lang w:bidi="ar"/>
              </w:rPr>
              <w:t>（</w:t>
            </w:r>
            <w:r>
              <w:rPr>
                <w:rStyle w:val="196"/>
                <w:rFonts w:hint="eastAsia" w:asciiTheme="minorEastAsia" w:hAnsiTheme="minorEastAsia" w:eastAsiaTheme="minorEastAsia" w:cstheme="minorEastAsia"/>
                <w:b/>
                <w:bCs/>
                <w:color w:val="auto"/>
                <w:sz w:val="21"/>
                <w:szCs w:val="21"/>
                <w:lang w:val="en-US" w:eastAsia="zh-CN" w:bidi="ar"/>
              </w:rPr>
              <w:t>二</w:t>
            </w:r>
            <w:r>
              <w:rPr>
                <w:rStyle w:val="196"/>
                <w:rFonts w:hint="eastAsia" w:asciiTheme="minorEastAsia" w:hAnsiTheme="minorEastAsia" w:eastAsiaTheme="minorEastAsia" w:cstheme="minorEastAsia"/>
                <w:b/>
                <w:bCs/>
                <w:color w:val="auto"/>
                <w:sz w:val="21"/>
                <w:szCs w:val="21"/>
                <w:lang w:bidi="ar"/>
              </w:rPr>
              <w:t>）证明文件：</w:t>
            </w:r>
          </w:p>
          <w:p w14:paraId="12906886">
            <w:pPr>
              <w:keepNext w:val="0"/>
              <w:keepLines w:val="0"/>
              <w:widowControl/>
              <w:suppressLineNumbers w:val="0"/>
              <w:spacing w:before="0" w:beforeAutospacing="0" w:after="0" w:afterAutospacing="0"/>
              <w:ind w:left="0" w:right="0"/>
              <w:jc w:val="both"/>
              <w:textAlignment w:val="center"/>
              <w:rPr>
                <w:rFonts w:hint="eastAsia"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r>
              <w:rPr>
                <w:rFonts w:hint="eastAsia" w:ascii="宋体" w:hAnsi="宋体" w:eastAsia="宋体" w:cs="宋体"/>
                <w:i w:val="0"/>
                <w:color w:val="000000"/>
                <w:kern w:val="0"/>
                <w:sz w:val="21"/>
                <w:szCs w:val="21"/>
                <w:u w:val="none"/>
                <w:lang w:val="en-US" w:eastAsia="zh-CN" w:bidi="ar"/>
              </w:rPr>
              <w:t>提供承诺书（格式自拟并加盖投标人公章）</w:t>
            </w:r>
            <w:r>
              <w:rPr>
                <w:rFonts w:hint="eastAsia" w:ascii="宋体" w:hAnsi="宋体" w:cs="宋体"/>
                <w:i w:val="0"/>
                <w:color w:val="000000"/>
                <w:kern w:val="0"/>
                <w:sz w:val="21"/>
                <w:szCs w:val="21"/>
                <w:u w:val="none"/>
                <w:lang w:val="en-US" w:eastAsia="zh-CN" w:bidi="ar"/>
              </w:rPr>
              <w:t>；</w:t>
            </w:r>
          </w:p>
          <w:p w14:paraId="2854FFF9">
            <w:pPr>
              <w:pStyle w:val="16"/>
              <w:keepNext w:val="0"/>
              <w:keepLines w:val="0"/>
              <w:widowControl/>
              <w:suppressLineNumbers w:val="0"/>
              <w:spacing w:before="0" w:beforeAutospacing="0" w:after="0" w:afterAutospacing="0"/>
              <w:ind w:left="0" w:right="0"/>
              <w:jc w:val="both"/>
              <w:textAlignment w:val="center"/>
              <w:rPr>
                <w:rFonts w:hint="eastAsia" w:ascii="宋体" w:hAnsi="宋体" w:cs="宋体"/>
                <w:i w:val="0"/>
                <w:color w:val="000000"/>
                <w:kern w:val="0"/>
                <w:sz w:val="21"/>
                <w:szCs w:val="21"/>
                <w:u w:val="none"/>
                <w:lang w:val="en-US" w:eastAsia="zh-CN" w:bidi="ar"/>
              </w:rPr>
            </w:pPr>
            <w:r>
              <w:rPr>
                <w:rFonts w:hint="eastAsia" w:hAnsi="宋体" w:cs="宋体"/>
                <w:b w:val="0"/>
                <w:bCs/>
                <w:color w:val="000000"/>
                <w:sz w:val="21"/>
                <w:szCs w:val="21"/>
                <w:lang w:val="en-US" w:eastAsia="zh-CN"/>
              </w:rPr>
              <w:t>2</w:t>
            </w:r>
            <w:r>
              <w:rPr>
                <w:rFonts w:hint="eastAsia" w:ascii="宋体" w:hAnsi="宋体" w:eastAsia="宋体" w:cs="宋体"/>
                <w:b w:val="0"/>
                <w:bCs/>
                <w:color w:val="000000"/>
                <w:sz w:val="21"/>
                <w:szCs w:val="21"/>
                <w:lang w:val="en-US" w:eastAsia="zh-CN"/>
              </w:rPr>
              <w:t>.</w:t>
            </w:r>
            <w:r>
              <w:rPr>
                <w:rFonts w:hint="eastAsia" w:ascii="宋体" w:hAnsi="宋体" w:eastAsia="宋体" w:cs="宋体"/>
                <w:b w:val="0"/>
                <w:bCs/>
                <w:color w:val="000000"/>
                <w:sz w:val="21"/>
                <w:szCs w:val="21"/>
              </w:rPr>
              <w:t>评分中出现无证明资料或</w:t>
            </w:r>
            <w:r>
              <w:rPr>
                <w:rFonts w:hint="eastAsia" w:hAnsi="宋体" w:cs="宋体"/>
                <w:b w:val="0"/>
                <w:bCs/>
                <w:color w:val="000000"/>
                <w:sz w:val="21"/>
                <w:szCs w:val="21"/>
                <w:lang w:eastAsia="zh-CN"/>
              </w:rPr>
              <w:t>材料</w:t>
            </w:r>
            <w:r>
              <w:rPr>
                <w:rFonts w:hint="eastAsia" w:ascii="宋体" w:hAnsi="宋体" w:eastAsia="宋体" w:cs="宋体"/>
                <w:b w:val="0"/>
                <w:bCs/>
                <w:color w:val="000000"/>
                <w:sz w:val="21"/>
                <w:szCs w:val="21"/>
              </w:rPr>
              <w:t>过期或专家无法凭所提供资料判断是否得分的情况，一律作不得分处理。</w:t>
            </w:r>
          </w:p>
        </w:tc>
      </w:tr>
      <w:bookmarkEnd w:id="3"/>
    </w:tbl>
    <w:p w14:paraId="4B2821A9"/>
    <w:p w14:paraId="15454A14">
      <w:pPr>
        <w:sectPr>
          <w:pgSz w:w="11907" w:h="16840"/>
          <w:pgMar w:top="1440" w:right="1418" w:bottom="1440" w:left="1418" w:header="851" w:footer="992" w:gutter="0"/>
          <w:pgNumType w:fmt="decimal"/>
          <w:cols w:space="425" w:num="1"/>
          <w:titlePg/>
          <w:docGrid w:linePitch="462" w:charSpace="0"/>
        </w:sectPr>
      </w:pPr>
    </w:p>
    <w:p w14:paraId="10A6E369">
      <w:pPr>
        <w:spacing w:before="240" w:beforeLines="100" w:after="240" w:afterLines="100"/>
        <w:jc w:val="center"/>
        <w:rPr>
          <w:rFonts w:ascii="黑体" w:hAnsi="黑体" w:eastAsia="黑体" w:cs="黑体"/>
          <w:b/>
          <w:bCs/>
          <w:sz w:val="28"/>
          <w:szCs w:val="36"/>
        </w:rPr>
      </w:pPr>
      <w:bookmarkStart w:id="6" w:name="_Hlk72218009"/>
      <w:r>
        <w:rPr>
          <w:rFonts w:hint="eastAsia" w:ascii="黑体" w:hAnsi="黑体" w:eastAsia="黑体" w:cs="黑体"/>
          <w:b/>
          <w:bCs/>
          <w:sz w:val="28"/>
          <w:szCs w:val="36"/>
        </w:rPr>
        <w:t>目   录</w:t>
      </w:r>
    </w:p>
    <w:p w14:paraId="33CD634A">
      <w:pPr>
        <w:rPr>
          <w:b/>
          <w:bCs/>
        </w:rPr>
      </w:pPr>
      <w:r>
        <w:rPr>
          <w:rFonts w:hint="eastAsia"/>
          <w:b/>
          <w:bCs/>
        </w:rPr>
        <w:t>第一册  专用条款</w:t>
      </w:r>
    </w:p>
    <w:p w14:paraId="11083187">
      <w:pPr>
        <w:ind w:firstLine="960" w:firstLineChars="400"/>
        <w:rPr>
          <w:sz w:val="24"/>
        </w:rPr>
      </w:pPr>
      <w:r>
        <w:rPr>
          <w:rFonts w:hint="eastAsia"/>
          <w:sz w:val="24"/>
        </w:rPr>
        <w:t>关键信息</w:t>
      </w:r>
    </w:p>
    <w:p w14:paraId="70768583">
      <w:pPr>
        <w:ind w:left="630" w:leftChars="300" w:firstLine="630" w:firstLineChars="300"/>
        <w:rPr>
          <w:rFonts w:ascii="宋体" w:hAnsi="宋体"/>
          <w:szCs w:val="21"/>
        </w:rPr>
      </w:pPr>
      <w:r>
        <w:rPr>
          <w:rFonts w:hint="eastAsia" w:ascii="宋体" w:hAnsi="宋体"/>
          <w:szCs w:val="21"/>
        </w:rPr>
        <w:t>第一章  招标公告</w:t>
      </w:r>
    </w:p>
    <w:p w14:paraId="431C95FA">
      <w:pPr>
        <w:ind w:left="630" w:leftChars="300" w:firstLine="630" w:firstLineChars="300"/>
        <w:rPr>
          <w:rFonts w:ascii="宋体" w:hAnsi="宋体"/>
          <w:szCs w:val="21"/>
        </w:rPr>
      </w:pPr>
      <w:r>
        <w:rPr>
          <w:rFonts w:hint="eastAsia" w:ascii="宋体" w:hAnsi="宋体"/>
          <w:szCs w:val="21"/>
        </w:rPr>
        <w:t xml:space="preserve">第二章  </w:t>
      </w:r>
      <w:bookmarkStart w:id="7" w:name="_Hlk71994379"/>
      <w:r>
        <w:rPr>
          <w:rFonts w:hint="eastAsia" w:ascii="宋体" w:hAnsi="宋体"/>
          <w:szCs w:val="21"/>
        </w:rPr>
        <w:t>对通用条款的补充内容及其他关键信息</w:t>
      </w:r>
      <w:bookmarkEnd w:id="7"/>
    </w:p>
    <w:p w14:paraId="744F4248">
      <w:pPr>
        <w:ind w:left="630" w:leftChars="300" w:firstLine="630" w:firstLineChars="300"/>
        <w:rPr>
          <w:rFonts w:ascii="宋体" w:hAnsi="宋体"/>
          <w:szCs w:val="21"/>
        </w:rPr>
      </w:pPr>
      <w:r>
        <w:rPr>
          <w:rFonts w:hint="eastAsia" w:ascii="宋体" w:hAnsi="宋体"/>
          <w:szCs w:val="21"/>
        </w:rPr>
        <w:t xml:space="preserve">第三章 </w:t>
      </w:r>
      <w:r>
        <w:rPr>
          <w:rFonts w:ascii="宋体" w:hAnsi="宋体"/>
          <w:szCs w:val="21"/>
        </w:rPr>
        <w:t xml:space="preserve"> </w:t>
      </w:r>
      <w:r>
        <w:rPr>
          <w:rFonts w:hint="eastAsia" w:ascii="宋体" w:hAnsi="宋体"/>
          <w:szCs w:val="21"/>
        </w:rPr>
        <w:t>用户需求书</w:t>
      </w:r>
    </w:p>
    <w:p w14:paraId="5C2E92FF">
      <w:pPr>
        <w:ind w:left="630" w:leftChars="300" w:firstLine="630" w:firstLineChars="300"/>
        <w:rPr>
          <w:rFonts w:ascii="宋体" w:hAnsi="宋体"/>
          <w:szCs w:val="21"/>
        </w:rPr>
      </w:pPr>
      <w:r>
        <w:rPr>
          <w:rFonts w:hint="eastAsia" w:ascii="宋体" w:hAnsi="宋体"/>
          <w:szCs w:val="21"/>
        </w:rPr>
        <w:t xml:space="preserve">第四章 </w:t>
      </w:r>
      <w:r>
        <w:rPr>
          <w:rFonts w:ascii="宋体" w:hAnsi="宋体"/>
          <w:szCs w:val="21"/>
        </w:rPr>
        <w:t xml:space="preserve"> </w:t>
      </w:r>
      <w:r>
        <w:rPr>
          <w:rFonts w:hint="eastAsia" w:ascii="宋体" w:hAnsi="宋体"/>
          <w:szCs w:val="21"/>
        </w:rPr>
        <w:t>投标文件组成要求及格式</w:t>
      </w:r>
    </w:p>
    <w:p w14:paraId="0A2E8B47">
      <w:pPr>
        <w:ind w:left="630" w:leftChars="300" w:firstLine="630" w:firstLineChars="300"/>
        <w:rPr>
          <w:rFonts w:ascii="宋体" w:hAnsi="宋体"/>
          <w:szCs w:val="21"/>
        </w:rPr>
      </w:pPr>
      <w:r>
        <w:rPr>
          <w:rFonts w:hint="eastAsia" w:ascii="宋体" w:hAnsi="宋体"/>
          <w:szCs w:val="21"/>
        </w:rPr>
        <w:t>第五章  合同条款及格式</w:t>
      </w:r>
    </w:p>
    <w:p w14:paraId="24E4CEB9">
      <w:pPr>
        <w:rPr>
          <w:b/>
          <w:sz w:val="24"/>
        </w:rPr>
      </w:pPr>
    </w:p>
    <w:p w14:paraId="27289081">
      <w:pPr>
        <w:rPr>
          <w:b/>
          <w:bCs/>
        </w:rPr>
      </w:pPr>
      <w:r>
        <w:rPr>
          <w:rFonts w:hint="eastAsia"/>
          <w:b/>
          <w:bCs/>
        </w:rPr>
        <w:t>第二册  通用条款</w:t>
      </w:r>
    </w:p>
    <w:p w14:paraId="4A69D02E">
      <w:pPr>
        <w:ind w:left="630" w:leftChars="300" w:firstLine="411" w:firstLineChars="196"/>
        <w:rPr>
          <w:rFonts w:ascii="宋体" w:hAnsi="宋体"/>
          <w:szCs w:val="21"/>
        </w:rPr>
      </w:pPr>
      <w:r>
        <w:rPr>
          <w:rFonts w:hint="eastAsia" w:ascii="宋体" w:hAnsi="宋体"/>
          <w:szCs w:val="21"/>
        </w:rPr>
        <w:t>第一章  总则</w:t>
      </w:r>
    </w:p>
    <w:p w14:paraId="6C83EEEA">
      <w:pPr>
        <w:ind w:left="630" w:leftChars="300" w:firstLine="411" w:firstLineChars="196"/>
        <w:rPr>
          <w:rFonts w:ascii="宋体" w:hAnsi="宋体"/>
          <w:szCs w:val="21"/>
        </w:rPr>
      </w:pPr>
      <w:r>
        <w:rPr>
          <w:rFonts w:hint="eastAsia" w:ascii="宋体" w:hAnsi="宋体"/>
          <w:szCs w:val="21"/>
        </w:rPr>
        <w:t>第二章  招标文件</w:t>
      </w:r>
    </w:p>
    <w:p w14:paraId="523A8309">
      <w:pPr>
        <w:ind w:left="630" w:leftChars="300" w:firstLine="411" w:firstLineChars="196"/>
        <w:rPr>
          <w:rFonts w:ascii="宋体" w:hAnsi="宋体"/>
          <w:szCs w:val="21"/>
        </w:rPr>
      </w:pPr>
      <w:r>
        <w:rPr>
          <w:rFonts w:hint="eastAsia" w:ascii="宋体" w:hAnsi="宋体"/>
          <w:szCs w:val="21"/>
        </w:rPr>
        <w:t>第三章  投标文件的编制</w:t>
      </w:r>
    </w:p>
    <w:p w14:paraId="62F85D5C">
      <w:pPr>
        <w:ind w:left="630" w:leftChars="300" w:firstLine="411" w:firstLineChars="196"/>
        <w:rPr>
          <w:rFonts w:ascii="宋体" w:hAnsi="宋体"/>
          <w:szCs w:val="21"/>
        </w:rPr>
      </w:pPr>
      <w:r>
        <w:rPr>
          <w:rFonts w:hint="eastAsia" w:ascii="宋体" w:hAnsi="宋体"/>
          <w:szCs w:val="21"/>
        </w:rPr>
        <w:t>第四章  投标文件的递交</w:t>
      </w:r>
    </w:p>
    <w:p w14:paraId="4DFEFF88">
      <w:pPr>
        <w:ind w:left="630" w:leftChars="300" w:firstLine="411" w:firstLineChars="196"/>
        <w:rPr>
          <w:rFonts w:ascii="宋体" w:hAnsi="宋体"/>
          <w:szCs w:val="21"/>
        </w:rPr>
      </w:pPr>
      <w:r>
        <w:rPr>
          <w:rFonts w:hint="eastAsia" w:ascii="宋体" w:hAnsi="宋体"/>
          <w:szCs w:val="21"/>
        </w:rPr>
        <w:t>第五章  开标</w:t>
      </w:r>
    </w:p>
    <w:p w14:paraId="6ECE7E02">
      <w:pPr>
        <w:ind w:left="630" w:leftChars="300" w:firstLine="411" w:firstLineChars="196"/>
        <w:rPr>
          <w:rFonts w:ascii="宋体" w:hAnsi="宋体"/>
          <w:szCs w:val="21"/>
        </w:rPr>
      </w:pPr>
      <w:r>
        <w:rPr>
          <w:rFonts w:hint="eastAsia" w:ascii="宋体" w:hAnsi="宋体"/>
          <w:szCs w:val="21"/>
        </w:rPr>
        <w:t>第六章  评审要求</w:t>
      </w:r>
    </w:p>
    <w:p w14:paraId="313ED5AC">
      <w:pPr>
        <w:ind w:left="630" w:leftChars="300" w:firstLine="411" w:firstLineChars="196"/>
        <w:rPr>
          <w:rFonts w:ascii="宋体" w:hAnsi="宋体"/>
          <w:szCs w:val="21"/>
        </w:rPr>
      </w:pPr>
      <w:r>
        <w:rPr>
          <w:rFonts w:hint="eastAsia" w:ascii="宋体" w:hAnsi="宋体"/>
          <w:szCs w:val="21"/>
        </w:rPr>
        <w:t>第七章  评审程序及评审方法</w:t>
      </w:r>
    </w:p>
    <w:p w14:paraId="4ECA1029">
      <w:pPr>
        <w:ind w:left="630" w:leftChars="300" w:firstLine="411" w:firstLineChars="196"/>
        <w:rPr>
          <w:rFonts w:ascii="宋体" w:hAnsi="宋体"/>
          <w:szCs w:val="21"/>
        </w:rPr>
      </w:pPr>
      <w:r>
        <w:rPr>
          <w:rFonts w:hint="eastAsia" w:ascii="宋体" w:hAnsi="宋体"/>
          <w:szCs w:val="21"/>
        </w:rPr>
        <w:t>第八章  定标及公示</w:t>
      </w:r>
    </w:p>
    <w:p w14:paraId="73C4A21B">
      <w:pPr>
        <w:ind w:left="630" w:leftChars="300" w:firstLine="411" w:firstLineChars="196"/>
        <w:rPr>
          <w:rFonts w:ascii="宋体" w:hAnsi="宋体"/>
          <w:szCs w:val="21"/>
        </w:rPr>
      </w:pPr>
      <w:r>
        <w:rPr>
          <w:rFonts w:hint="eastAsia" w:ascii="宋体" w:hAnsi="宋体"/>
          <w:szCs w:val="21"/>
        </w:rPr>
        <w:t>第九章  公开招标失败的后续处理</w:t>
      </w:r>
    </w:p>
    <w:p w14:paraId="5A6963CA">
      <w:pPr>
        <w:ind w:left="630" w:leftChars="300" w:firstLine="411" w:firstLineChars="196"/>
        <w:rPr>
          <w:rFonts w:ascii="宋体" w:hAnsi="宋体"/>
          <w:szCs w:val="21"/>
        </w:rPr>
      </w:pPr>
      <w:r>
        <w:rPr>
          <w:rFonts w:hint="eastAsia" w:ascii="宋体" w:hAnsi="宋体"/>
          <w:szCs w:val="21"/>
        </w:rPr>
        <w:t>第十章  合同的授予与备案</w:t>
      </w:r>
    </w:p>
    <w:p w14:paraId="72AC7FA4">
      <w:pPr>
        <w:ind w:firstLine="1050" w:firstLineChars="500"/>
      </w:pPr>
      <w:r>
        <w:rPr>
          <w:rFonts w:hint="eastAsia"/>
        </w:rPr>
        <w:t>第十一章  质疑处理</w:t>
      </w:r>
    </w:p>
    <w:p w14:paraId="637B06B5">
      <w:pPr>
        <w:pStyle w:val="18"/>
      </w:pPr>
    </w:p>
    <w:p w14:paraId="32ABA700">
      <w:pPr>
        <w:pStyle w:val="36"/>
      </w:pPr>
    </w:p>
    <w:p w14:paraId="516C3320">
      <w:pPr>
        <w:pStyle w:val="36"/>
      </w:pPr>
    </w:p>
    <w:p w14:paraId="751F6A5A">
      <w:pPr>
        <w:pStyle w:val="18"/>
        <w:sectPr>
          <w:pgSz w:w="11907" w:h="16840"/>
          <w:pgMar w:top="1440" w:right="1797" w:bottom="1440" w:left="1797" w:header="851" w:footer="992" w:gutter="0"/>
          <w:pgNumType w:fmt="decimal"/>
          <w:cols w:space="425" w:num="1"/>
          <w:titlePg/>
          <w:docGrid w:linePitch="462" w:charSpace="0"/>
        </w:sectPr>
      </w:pPr>
    </w:p>
    <w:bookmarkEnd w:id="6"/>
    <w:p w14:paraId="6B6639F4">
      <w:pPr>
        <w:pStyle w:val="2"/>
        <w:rPr>
          <w:color w:val="FF0000"/>
          <w:sz w:val="24"/>
        </w:rPr>
      </w:pPr>
      <w:bookmarkStart w:id="8" w:name="bt投标人须知"/>
      <w:bookmarkEnd w:id="8"/>
      <w:bookmarkStart w:id="9" w:name="bt说明"/>
      <w:bookmarkEnd w:id="9"/>
      <w:bookmarkStart w:id="10" w:name="bt合同条款"/>
      <w:bookmarkEnd w:id="10"/>
      <w:bookmarkStart w:id="11" w:name="bt投标人情况介绍"/>
      <w:bookmarkEnd w:id="11"/>
      <w:bookmarkStart w:id="12" w:name="bt项目管理班子配备情况"/>
      <w:bookmarkEnd w:id="12"/>
      <w:bookmarkStart w:id="13" w:name="bt技术标投标文件格式"/>
      <w:bookmarkEnd w:id="13"/>
      <w:bookmarkStart w:id="14" w:name="bt商务标投标文件格式"/>
      <w:bookmarkEnd w:id="14"/>
      <w:bookmarkStart w:id="15" w:name="bt合同条款及格式"/>
      <w:bookmarkEnd w:id="15"/>
      <w:bookmarkStart w:id="16" w:name="bt投标文件签署授权委托书"/>
      <w:bookmarkEnd w:id="16"/>
      <w:bookmarkStart w:id="17" w:name="bt投标报价汇总表"/>
      <w:bookmarkEnd w:id="17"/>
      <w:bookmarkStart w:id="18" w:name="bt其他资料2"/>
      <w:bookmarkEnd w:id="18"/>
      <w:bookmarkStart w:id="19" w:name="bt开标一览表"/>
      <w:bookmarkEnd w:id="19"/>
      <w:bookmarkStart w:id="20" w:name="合同格式"/>
      <w:bookmarkEnd w:id="20"/>
      <w:bookmarkStart w:id="21" w:name="bt本工程承诺书"/>
      <w:bookmarkEnd w:id="21"/>
      <w:bookmarkStart w:id="22" w:name="bt其他资料由投标人自定"/>
      <w:bookmarkEnd w:id="22"/>
      <w:bookmarkStart w:id="23" w:name="bt合同格式"/>
      <w:bookmarkEnd w:id="23"/>
      <w:bookmarkStart w:id="24" w:name="bt投标函"/>
      <w:bookmarkEnd w:id="24"/>
      <w:r>
        <w:rPr>
          <w:rFonts w:hint="eastAsia"/>
        </w:rPr>
        <w:t>第一册  专用条款</w:t>
      </w:r>
    </w:p>
    <w:p w14:paraId="41E6EC15">
      <w:pPr>
        <w:pStyle w:val="5"/>
        <w:rPr>
          <w:sz w:val="28"/>
          <w:szCs w:val="28"/>
        </w:rPr>
      </w:pPr>
      <w:r>
        <w:rPr>
          <w:rFonts w:hint="eastAsia"/>
          <w:sz w:val="28"/>
          <w:szCs w:val="28"/>
        </w:rPr>
        <w:t>第一章  招标公告</w:t>
      </w:r>
    </w:p>
    <w:p w14:paraId="43F6DFCD">
      <w:pPr>
        <w:spacing w:line="360" w:lineRule="auto"/>
        <w:rPr>
          <w:rFonts w:ascii="宋体" w:hAnsi="宋体" w:cs="宋体"/>
          <w:b/>
          <w:bCs/>
          <w:kern w:val="0"/>
          <w:szCs w:val="21"/>
        </w:rPr>
      </w:pPr>
      <w:r>
        <w:rPr>
          <w:rFonts w:hint="eastAsia" w:ascii="宋体" w:hAnsi="宋体" w:cs="宋体"/>
          <w:b/>
          <w:bCs/>
          <w:kern w:val="0"/>
          <w:szCs w:val="21"/>
        </w:rPr>
        <w:t>申请人的资格要求：</w:t>
      </w:r>
    </w:p>
    <w:p w14:paraId="6B302977">
      <w:pPr>
        <w:ind w:firstLine="630" w:firstLineChars="300"/>
        <w:rPr>
          <w:rFonts w:ascii="宋体" w:hAnsi="宋体" w:cs="宋体"/>
          <w:color w:val="auto"/>
          <w:kern w:val="0"/>
          <w:szCs w:val="21"/>
        </w:rPr>
      </w:pPr>
      <w:r>
        <w:rPr>
          <w:rFonts w:hint="eastAsia" w:ascii="宋体" w:hAnsi="宋体" w:cs="宋体"/>
          <w:color w:val="auto"/>
          <w:kern w:val="0"/>
          <w:szCs w:val="21"/>
        </w:rPr>
        <w:t>1</w:t>
      </w:r>
      <w:r>
        <w:rPr>
          <w:rFonts w:ascii="宋体" w:hAnsi="宋体" w:cs="宋体"/>
          <w:color w:val="auto"/>
          <w:kern w:val="0"/>
          <w:szCs w:val="21"/>
        </w:rPr>
        <w:t>.</w:t>
      </w:r>
      <w:bookmarkStart w:id="25" w:name="_Hlk72162904"/>
      <w:r>
        <w:rPr>
          <w:rFonts w:hint="eastAsia" w:ascii="宋体" w:hAnsi="宋体" w:cs="宋体"/>
          <w:color w:val="auto"/>
          <w:kern w:val="0"/>
          <w:szCs w:val="21"/>
        </w:rPr>
        <w:t>具有独立承担民事责任的能力（提供营业执照或事业单位法人证书等证明资料扫描件，分支机构参与投标的，须同时提供总公司授权文件且授权书载明其民事责任由总公司承担）</w:t>
      </w:r>
      <w:bookmarkEnd w:id="25"/>
      <w:r>
        <w:rPr>
          <w:rFonts w:hint="eastAsia"/>
          <w:color w:val="auto"/>
        </w:rPr>
        <w:t>；</w:t>
      </w:r>
    </w:p>
    <w:p w14:paraId="5A76824E">
      <w:pPr>
        <w:ind w:firstLine="630" w:firstLineChars="300"/>
        <w:rPr>
          <w:rFonts w:ascii="宋体" w:hAnsi="宋体" w:cs="宋体"/>
          <w:color w:val="auto"/>
          <w:kern w:val="0"/>
          <w:szCs w:val="21"/>
        </w:rPr>
      </w:pPr>
      <w:r>
        <w:rPr>
          <w:rFonts w:hint="eastAsia" w:ascii="宋体" w:hAnsi="宋体" w:cs="宋体"/>
          <w:color w:val="auto"/>
          <w:kern w:val="0"/>
          <w:szCs w:val="21"/>
        </w:rPr>
        <w:t>2.本项目不接受联合体投标，不接受投标人选用进口产品参与投标，详见招标文件“第三章 用户需求书”；</w:t>
      </w:r>
    </w:p>
    <w:p w14:paraId="2F2DE1B4">
      <w:pPr>
        <w:ind w:firstLine="630" w:firstLineChars="300"/>
        <w:rPr>
          <w:rFonts w:ascii="宋体" w:hAnsi="宋体" w:cs="宋体"/>
          <w:color w:val="auto"/>
          <w:kern w:val="0"/>
          <w:szCs w:val="21"/>
        </w:rPr>
      </w:pPr>
      <w:r>
        <w:rPr>
          <w:rFonts w:hint="eastAsia" w:ascii="宋体" w:hAnsi="宋体" w:cs="宋体"/>
          <w:color w:val="auto"/>
          <w:kern w:val="0"/>
          <w:szCs w:val="21"/>
        </w:rPr>
        <w:t>3</w:t>
      </w:r>
      <w:r>
        <w:rPr>
          <w:rFonts w:ascii="宋体" w:hAnsi="宋体" w:cs="宋体"/>
          <w:color w:val="auto"/>
          <w:kern w:val="0"/>
          <w:szCs w:val="21"/>
        </w:rPr>
        <w:t>.</w:t>
      </w:r>
      <w:r>
        <w:rPr>
          <w:rFonts w:hint="eastAsia" w:ascii="宋体" w:hAnsi="宋体" w:cs="宋体"/>
          <w:color w:val="auto"/>
          <w:kern w:val="0"/>
          <w:szCs w:val="21"/>
        </w:rPr>
        <w:t>参与本项目政府采购活动时不存在被有关部门禁止参与政府采购活动且在有效期内的情况（由供应商在《政府采购投标及履约承诺函》中作出声明）；</w:t>
      </w:r>
    </w:p>
    <w:p w14:paraId="64419DED">
      <w:pPr>
        <w:ind w:firstLine="630" w:firstLineChars="300"/>
        <w:rPr>
          <w:rFonts w:ascii="宋体" w:hAnsi="宋体" w:cs="宋体"/>
          <w:color w:val="auto"/>
          <w:kern w:val="0"/>
          <w:szCs w:val="21"/>
        </w:rPr>
      </w:pPr>
      <w:r>
        <w:rPr>
          <w:rFonts w:hint="eastAsia" w:ascii="宋体" w:hAnsi="宋体" w:cs="宋体"/>
          <w:color w:val="auto"/>
          <w:kern w:val="0"/>
          <w:szCs w:val="21"/>
        </w:rPr>
        <w:t>4</w:t>
      </w:r>
      <w:r>
        <w:rPr>
          <w:rFonts w:ascii="宋体" w:hAnsi="宋体" w:cs="宋体"/>
          <w:color w:val="auto"/>
          <w:kern w:val="0"/>
          <w:szCs w:val="21"/>
        </w:rPr>
        <w:t>.</w:t>
      </w:r>
      <w:r>
        <w:rPr>
          <w:rFonts w:hint="eastAsia" w:ascii="宋体" w:hAnsi="宋体" w:cs="宋体"/>
          <w:color w:val="auto"/>
          <w:kern w:val="0"/>
          <w:szCs w:val="21"/>
        </w:rPr>
        <w:t>具备《中华人民共和国政府采购法》第二十二条第一款的条件（由供应商在《政府采购投标及履约承诺函》中作出声明）；</w:t>
      </w:r>
    </w:p>
    <w:p w14:paraId="7A770263">
      <w:pPr>
        <w:ind w:firstLine="630" w:firstLineChars="300"/>
        <w:rPr>
          <w:rFonts w:ascii="宋体" w:hAnsi="宋体" w:cs="宋体"/>
          <w:color w:val="auto"/>
          <w:kern w:val="0"/>
          <w:szCs w:val="21"/>
        </w:rPr>
      </w:pPr>
      <w:r>
        <w:rPr>
          <w:rFonts w:hint="eastAsia" w:ascii="宋体" w:hAnsi="宋体" w:cs="宋体"/>
          <w:color w:val="auto"/>
          <w:kern w:val="0"/>
          <w:szCs w:val="21"/>
        </w:rPr>
        <w:t>5</w:t>
      </w:r>
      <w:r>
        <w:rPr>
          <w:rFonts w:ascii="宋体" w:hAnsi="宋体" w:cs="宋体"/>
          <w:color w:val="auto"/>
          <w:kern w:val="0"/>
          <w:szCs w:val="21"/>
        </w:rPr>
        <w:t>.</w:t>
      </w:r>
      <w:r>
        <w:rPr>
          <w:rFonts w:hint="eastAsia" w:ascii="宋体" w:hAnsi="宋体" w:cs="宋体"/>
          <w:color w:val="auto"/>
          <w:kern w:val="0"/>
          <w:szCs w:val="21"/>
        </w:rPr>
        <w:t>未被列入失信被执行人、重大税收违法案件当事人名单、政府采购严重违法失信行为记录名单（由供应商在《政府采购投标及履约承诺函》中作出声明）；</w:t>
      </w:r>
    </w:p>
    <w:p w14:paraId="739E0D37">
      <w:pPr>
        <w:ind w:firstLine="630" w:firstLineChars="300"/>
        <w:rPr>
          <w:rFonts w:ascii="宋体" w:hAnsi="宋体" w:cs="宋体"/>
          <w:color w:val="auto"/>
          <w:kern w:val="0"/>
          <w:szCs w:val="21"/>
        </w:rPr>
      </w:pPr>
      <w:r>
        <w:rPr>
          <w:rFonts w:hint="eastAsia" w:ascii="宋体" w:hAnsi="宋体" w:cs="宋体"/>
          <w:color w:val="auto"/>
          <w:kern w:val="0"/>
          <w:szCs w:val="21"/>
        </w:rPr>
        <w:t>6.为采购项目提供整体设计、规范编制或者项目管理、监理、检测等服务的供应商，不得再参加该采购项目的其他采购活动（由供应商在《政府采购投标及履约承诺函》中作出声明）；</w:t>
      </w:r>
    </w:p>
    <w:p w14:paraId="0E8C54DF">
      <w:pPr>
        <w:ind w:firstLine="630" w:firstLineChars="300"/>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7</w:t>
      </w:r>
      <w:r>
        <w:rPr>
          <w:rFonts w:hint="eastAsia" w:ascii="宋体" w:hAnsi="宋体" w:cs="宋体"/>
          <w:color w:val="auto"/>
          <w:kern w:val="0"/>
          <w:szCs w:val="21"/>
          <w:highlight w:val="none"/>
        </w:rPr>
        <w:t>.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政府采购活动</w:t>
      </w:r>
      <w:bookmarkStart w:id="26" w:name="OLE_LINK23"/>
      <w:r>
        <w:rPr>
          <w:rFonts w:hint="eastAsia" w:ascii="宋体" w:hAnsi="宋体" w:cs="宋体"/>
          <w:color w:val="auto"/>
          <w:kern w:val="0"/>
          <w:szCs w:val="21"/>
          <w:highlight w:val="none"/>
        </w:rPr>
        <w:t>（由供应商填写《供应商基本情况表》相关信息）；</w:t>
      </w:r>
      <w:bookmarkEnd w:id="26"/>
    </w:p>
    <w:p w14:paraId="657F700F">
      <w:pPr>
        <w:pStyle w:val="53"/>
        <w:rPr>
          <w:rFonts w:hint="default" w:eastAsia="宋体"/>
          <w:lang w:val="en-US" w:eastAsia="zh-CN"/>
        </w:rPr>
      </w:pPr>
      <w:r>
        <w:rPr>
          <w:rFonts w:hint="eastAsia" w:ascii="宋体" w:hAnsi="宋体" w:cs="宋体"/>
          <w:color w:val="auto"/>
          <w:kern w:val="0"/>
          <w:szCs w:val="21"/>
          <w:highlight w:val="none"/>
          <w:lang w:val="en-US" w:eastAsia="zh-CN"/>
        </w:rPr>
        <w:t xml:space="preserve">      8.</w:t>
      </w:r>
      <w:r>
        <w:rPr>
          <w:rFonts w:hint="eastAsia" w:ascii="宋体" w:hAnsi="宋体" w:cs="宋体"/>
          <w:color w:val="auto"/>
          <w:kern w:val="0"/>
          <w:szCs w:val="21"/>
          <w:highlight w:val="none"/>
        </w:rPr>
        <w:t>供应商</w:t>
      </w:r>
      <w:r>
        <w:rPr>
          <w:rFonts w:hint="eastAsia" w:ascii="宋体" w:hAnsi="宋体" w:cs="宋体"/>
          <w:color w:val="auto"/>
          <w:kern w:val="0"/>
          <w:szCs w:val="21"/>
          <w:highlight w:val="none"/>
          <w:lang w:val="en-US" w:eastAsia="zh-CN"/>
        </w:rPr>
        <w:t>在本项目招投标期间，不以任何形式与招标单位工作人员进行非必要接触或沟通，不存在影响招标公平性、公正性的不当行为。若违反上述承诺，自愿放弃竞标资格，并承担相应法律责任。</w:t>
      </w:r>
      <w:r>
        <w:rPr>
          <w:rFonts w:hint="eastAsia" w:ascii="宋体" w:hAnsi="宋体" w:cs="宋体"/>
          <w:color w:val="auto"/>
          <w:kern w:val="0"/>
          <w:szCs w:val="21"/>
          <w:highlight w:val="none"/>
        </w:rPr>
        <w:t>（</w:t>
      </w:r>
      <w:r>
        <w:rPr>
          <w:rFonts w:hint="eastAsia" w:ascii="宋体" w:hAnsi="宋体" w:cs="宋体"/>
          <w:color w:val="auto"/>
          <w:kern w:val="0"/>
          <w:szCs w:val="21"/>
        </w:rPr>
        <w:t>由供应商在</w:t>
      </w:r>
      <w:r>
        <w:rPr>
          <w:rFonts w:hint="eastAsia" w:ascii="宋体" w:hAnsi="宋体" w:cs="宋体"/>
          <w:color w:val="auto"/>
          <w:kern w:val="0"/>
          <w:szCs w:val="21"/>
          <w:highlight w:val="none"/>
        </w:rPr>
        <w:t>《供应商合规承诺函》</w:t>
      </w:r>
      <w:r>
        <w:rPr>
          <w:rFonts w:hint="eastAsia" w:ascii="宋体" w:hAnsi="宋体" w:cs="宋体"/>
          <w:color w:val="auto"/>
          <w:kern w:val="0"/>
          <w:szCs w:val="21"/>
        </w:rPr>
        <w:t>中作出声明</w:t>
      </w:r>
      <w:r>
        <w:rPr>
          <w:rFonts w:hint="eastAsia" w:ascii="宋体" w:hAnsi="宋体" w:cs="宋体"/>
          <w:color w:val="auto"/>
          <w:kern w:val="0"/>
          <w:szCs w:val="21"/>
          <w:highlight w:val="none"/>
        </w:rPr>
        <w:t>）；</w:t>
      </w:r>
    </w:p>
    <w:p w14:paraId="02D81AE3">
      <w:pPr>
        <w:ind w:firstLine="630" w:firstLineChars="300"/>
        <w:rPr>
          <w:rFonts w:ascii="宋体" w:hAnsi="宋体" w:cs="宋体"/>
          <w:b/>
          <w:bCs/>
          <w:color w:val="auto"/>
          <w:kern w:val="0"/>
          <w:szCs w:val="21"/>
        </w:rPr>
      </w:pPr>
      <w:r>
        <w:rPr>
          <w:rFonts w:hint="eastAsia" w:ascii="宋体" w:hAnsi="宋体" w:cs="宋体"/>
          <w:color w:val="auto"/>
          <w:kern w:val="0"/>
          <w:szCs w:val="21"/>
        </w:rPr>
        <w:t>9.本项目是（否）专门面向中小企业采购：否。</w:t>
      </w:r>
    </w:p>
    <w:p w14:paraId="0D4FED3D">
      <w:pPr>
        <w:ind w:firstLine="630" w:firstLineChars="300"/>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10.</w:t>
      </w:r>
      <w:r>
        <w:rPr>
          <w:rFonts w:hint="eastAsia" w:ascii="宋体" w:hAnsi="宋体" w:eastAsia="宋体" w:cs="宋体"/>
          <w:color w:val="auto"/>
          <w:szCs w:val="21"/>
          <w:highlight w:val="none"/>
          <w:lang w:val="en-US" w:eastAsia="zh-CN"/>
        </w:rPr>
        <w:t>按招标公告要求领取招标文件的；</w:t>
      </w:r>
    </w:p>
    <w:p w14:paraId="6795AF88">
      <w:pPr>
        <w:wordWrap w:val="0"/>
        <w:ind w:firstLine="420" w:firstLineChars="200"/>
        <w:rPr>
          <w:rFonts w:hint="eastAsia" w:ascii="宋体" w:hAnsi="宋体" w:cs="宋体"/>
          <w:kern w:val="0"/>
          <w:szCs w:val="21"/>
        </w:rPr>
      </w:pPr>
    </w:p>
    <w:p w14:paraId="7906C944">
      <w:pPr>
        <w:wordWrap w:val="0"/>
        <w:ind w:firstLine="420" w:firstLineChars="200"/>
        <w:rPr>
          <w:rFonts w:ascii="宋体" w:hAnsi="宋体" w:cs="宋体"/>
          <w:kern w:val="0"/>
          <w:szCs w:val="21"/>
        </w:rPr>
      </w:pPr>
      <w:r>
        <w:rPr>
          <w:rFonts w:hint="eastAsia" w:ascii="宋体" w:hAnsi="宋体" w:cs="宋体"/>
          <w:kern w:val="0"/>
          <w:szCs w:val="21"/>
        </w:rPr>
        <w:t>注：“信用中国”（www.creditchina.gov.cn，查询“信用服务”栏的“重大税收违法失信主体”“失信被执行人”或者下载信用信息报告），“中国政府采购网”（www.ccgp.gov.cn）中的“政府采购严重违法失信行为记录名单”，为供应商信用信息的查询渠道，相关信息以开标当日的查询结果为准；</w:t>
      </w:r>
    </w:p>
    <w:p w14:paraId="4E0F44B5">
      <w:pPr>
        <w:ind w:firstLine="420" w:firstLineChars="200"/>
        <w:rPr>
          <w:rFonts w:ascii="宋体" w:hAnsi="宋体"/>
        </w:rPr>
      </w:pPr>
    </w:p>
    <w:p w14:paraId="30C79871">
      <w:pPr>
        <w:pStyle w:val="7"/>
      </w:pPr>
    </w:p>
    <w:p w14:paraId="1552250E">
      <w:pPr>
        <w:jc w:val="left"/>
        <w:outlineLvl w:val="9"/>
        <w:rPr>
          <w:b/>
          <w:bCs/>
          <w:sz w:val="22"/>
          <w:szCs w:val="18"/>
        </w:rPr>
      </w:pPr>
      <w:r>
        <w:rPr>
          <w:rFonts w:hint="eastAsia"/>
          <w:b/>
          <w:bCs/>
          <w:sz w:val="22"/>
          <w:szCs w:val="18"/>
        </w:rPr>
        <w:t>完整公告内容详见：</w:t>
      </w:r>
      <w:bookmarkStart w:id="27" w:name="OLE_LINK5"/>
      <w:r>
        <w:rPr>
          <w:rFonts w:hint="eastAsia"/>
          <w:b/>
          <w:bCs/>
          <w:sz w:val="22"/>
          <w:szCs w:val="18"/>
        </w:rPr>
        <w:t>深圳</w:t>
      </w:r>
      <w:r>
        <w:rPr>
          <w:rFonts w:hint="eastAsia"/>
          <w:b/>
          <w:bCs/>
          <w:sz w:val="22"/>
          <w:szCs w:val="18"/>
          <w:lang w:val="en-US" w:eastAsia="zh-CN"/>
        </w:rPr>
        <w:t>交易集团官网</w:t>
      </w:r>
      <w:r>
        <w:rPr>
          <w:rFonts w:hint="eastAsia"/>
          <w:b/>
          <w:bCs/>
          <w:sz w:val="22"/>
          <w:szCs w:val="18"/>
        </w:rPr>
        <w:t>（https://www.szexgrp.com/home/index.html）</w:t>
      </w:r>
      <w:r>
        <w:rPr>
          <w:rFonts w:hint="eastAsia"/>
          <w:b/>
          <w:bCs/>
          <w:sz w:val="22"/>
          <w:szCs w:val="18"/>
          <w:lang w:eastAsia="zh-CN"/>
        </w:rPr>
        <w:t>、</w:t>
      </w:r>
      <w:r>
        <w:rPr>
          <w:rFonts w:hint="eastAsia"/>
          <w:b/>
          <w:bCs/>
          <w:szCs w:val="24"/>
        </w:rPr>
        <w:t>中国政府采购网（http://www.ccgp.gov.cn/）</w:t>
      </w:r>
      <w:bookmarkEnd w:id="27"/>
    </w:p>
    <w:p w14:paraId="5A63B037">
      <w:pPr>
        <w:ind w:firstLine="422" w:firstLineChars="200"/>
        <w:rPr>
          <w:b/>
          <w:highlight w:val="magenta"/>
        </w:rPr>
      </w:pPr>
    </w:p>
    <w:p w14:paraId="70589778">
      <w:pPr>
        <w:ind w:firstLine="422" w:firstLineChars="200"/>
        <w:rPr>
          <w:b/>
        </w:rPr>
      </w:pPr>
    </w:p>
    <w:p w14:paraId="08B77D2E">
      <w:pPr>
        <w:rPr>
          <w:sz w:val="24"/>
        </w:rPr>
        <w:sectPr>
          <w:pgSz w:w="11907" w:h="16840"/>
          <w:pgMar w:top="1440" w:right="1797" w:bottom="1440" w:left="1797" w:header="851" w:footer="992" w:gutter="0"/>
          <w:pgNumType w:fmt="decimal"/>
          <w:cols w:space="425" w:num="1"/>
          <w:titlePg/>
          <w:docGrid w:linePitch="462" w:charSpace="0"/>
        </w:sectPr>
      </w:pPr>
    </w:p>
    <w:p w14:paraId="73D9CC18">
      <w:pPr>
        <w:pStyle w:val="5"/>
        <w:rPr>
          <w:sz w:val="28"/>
          <w:szCs w:val="28"/>
        </w:rPr>
      </w:pPr>
      <w:r>
        <w:rPr>
          <w:rFonts w:hint="eastAsia"/>
          <w:sz w:val="28"/>
          <w:szCs w:val="28"/>
        </w:rPr>
        <w:t xml:space="preserve">第二章 </w:t>
      </w:r>
      <w:bookmarkStart w:id="28" w:name="_Hlk71926094"/>
      <w:r>
        <w:rPr>
          <w:rFonts w:hint="eastAsia"/>
          <w:sz w:val="28"/>
          <w:szCs w:val="28"/>
        </w:rPr>
        <w:t xml:space="preserve"> 对通用条款的补充内容及其他关键信息</w:t>
      </w:r>
      <w:bookmarkEnd w:id="28"/>
    </w:p>
    <w:p w14:paraId="55DB2576">
      <w:pPr>
        <w:pStyle w:val="3"/>
        <w:spacing w:before="120" w:beforeLines="50" w:after="120" w:afterLines="50"/>
        <w:jc w:val="center"/>
        <w:rPr>
          <w:szCs w:val="24"/>
        </w:rPr>
      </w:pPr>
      <w:bookmarkStart w:id="29" w:name="_Toc100052364"/>
      <w:bookmarkStart w:id="30" w:name="_Toc73518117"/>
      <w:bookmarkStart w:id="31" w:name="_Toc60631620"/>
      <w:bookmarkStart w:id="32" w:name="_Toc101074876"/>
      <w:bookmarkStart w:id="33" w:name="_Toc73521635"/>
      <w:bookmarkStart w:id="34" w:name="_Toc73521547"/>
      <w:bookmarkStart w:id="35" w:name="_Toc60560625"/>
      <w:bookmarkStart w:id="36" w:name="_Toc73517639"/>
      <w:r>
        <w:rPr>
          <w:rFonts w:hint="eastAsia"/>
          <w:szCs w:val="24"/>
        </w:rPr>
        <w:t>一、对通用条款的补充内容</w:t>
      </w:r>
    </w:p>
    <w:bookmarkEnd w:id="29"/>
    <w:bookmarkEnd w:id="30"/>
    <w:bookmarkEnd w:id="31"/>
    <w:bookmarkEnd w:id="32"/>
    <w:bookmarkEnd w:id="33"/>
    <w:bookmarkEnd w:id="34"/>
    <w:bookmarkEnd w:id="35"/>
    <w:bookmarkEnd w:id="36"/>
    <w:tbl>
      <w:tblPr>
        <w:tblStyle w:val="43"/>
        <w:tblW w:w="836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78"/>
        <w:gridCol w:w="2409"/>
        <w:gridCol w:w="4980"/>
      </w:tblGrid>
      <w:tr w14:paraId="3BAB5B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cantSplit/>
          <w:trHeight w:val="20" w:hRule="atLeast"/>
          <w:jc w:val="center"/>
        </w:trPr>
        <w:tc>
          <w:tcPr>
            <w:tcW w:w="978" w:type="dxa"/>
            <w:vAlign w:val="center"/>
          </w:tcPr>
          <w:p w14:paraId="53CBAB8E">
            <w:pPr>
              <w:keepNext w:val="0"/>
              <w:keepLines w:val="0"/>
              <w:suppressLineNumbers w:val="0"/>
              <w:spacing w:before="0" w:beforeAutospacing="0" w:after="0" w:afterAutospacing="0"/>
              <w:ind w:left="0" w:right="0"/>
              <w:jc w:val="center"/>
              <w:rPr>
                <w:rFonts w:hint="default" w:ascii="宋体" w:hAnsi="宋体"/>
                <w:b/>
                <w:bCs/>
              </w:rPr>
            </w:pPr>
            <w:bookmarkStart w:id="37" w:name="_Hlk72218097"/>
            <w:r>
              <w:rPr>
                <w:rFonts w:hint="eastAsia" w:ascii="宋体" w:hAnsi="宋体"/>
                <w:b/>
                <w:bCs/>
              </w:rPr>
              <w:t>通用条款序号</w:t>
            </w:r>
          </w:p>
        </w:tc>
        <w:tc>
          <w:tcPr>
            <w:tcW w:w="2409" w:type="dxa"/>
            <w:vAlign w:val="center"/>
          </w:tcPr>
          <w:p w14:paraId="741D5869">
            <w:pPr>
              <w:keepNext w:val="0"/>
              <w:keepLines w:val="0"/>
              <w:suppressLineNumbers w:val="0"/>
              <w:spacing w:before="0" w:beforeAutospacing="0" w:after="0" w:afterAutospacing="0"/>
              <w:ind w:left="0" w:right="0"/>
              <w:jc w:val="center"/>
              <w:rPr>
                <w:rFonts w:hint="default" w:ascii="宋体" w:hAnsi="宋体"/>
                <w:b/>
                <w:bCs/>
              </w:rPr>
            </w:pPr>
            <w:r>
              <w:rPr>
                <w:rFonts w:hint="eastAsia" w:ascii="宋体" w:hAnsi="宋体"/>
                <w:b/>
                <w:bCs/>
              </w:rPr>
              <w:t>涉及事项</w:t>
            </w:r>
          </w:p>
        </w:tc>
        <w:tc>
          <w:tcPr>
            <w:tcW w:w="4980" w:type="dxa"/>
            <w:vAlign w:val="center"/>
          </w:tcPr>
          <w:p w14:paraId="78E4AF86">
            <w:pPr>
              <w:keepNext w:val="0"/>
              <w:keepLines w:val="0"/>
              <w:suppressLineNumbers w:val="0"/>
              <w:spacing w:before="0" w:beforeAutospacing="0" w:after="0" w:afterAutospacing="0"/>
              <w:ind w:left="0" w:right="0"/>
              <w:jc w:val="center"/>
              <w:rPr>
                <w:rFonts w:hint="default" w:ascii="宋体" w:hAnsi="宋体"/>
                <w:b/>
                <w:bCs/>
              </w:rPr>
            </w:pPr>
            <w:r>
              <w:rPr>
                <w:rFonts w:hint="eastAsia" w:ascii="宋体" w:hAnsi="宋体"/>
                <w:b/>
                <w:bCs/>
              </w:rPr>
              <w:t xml:space="preserve">具 </w:t>
            </w:r>
            <w:r>
              <w:rPr>
                <w:rFonts w:hint="default" w:ascii="宋体" w:hAnsi="宋体"/>
                <w:b/>
                <w:bCs/>
              </w:rPr>
              <w:t xml:space="preserve"> </w:t>
            </w:r>
            <w:r>
              <w:rPr>
                <w:rFonts w:hint="eastAsia" w:ascii="宋体" w:hAnsi="宋体"/>
                <w:b/>
                <w:bCs/>
              </w:rPr>
              <w:t xml:space="preserve">体 </w:t>
            </w:r>
            <w:r>
              <w:rPr>
                <w:rFonts w:hint="default" w:ascii="宋体" w:hAnsi="宋体"/>
                <w:b/>
                <w:bCs/>
              </w:rPr>
              <w:t xml:space="preserve"> </w:t>
            </w:r>
            <w:r>
              <w:rPr>
                <w:rFonts w:hint="eastAsia" w:ascii="宋体" w:hAnsi="宋体"/>
                <w:b/>
                <w:bCs/>
              </w:rPr>
              <w:t xml:space="preserve">补 </w:t>
            </w:r>
            <w:r>
              <w:rPr>
                <w:rFonts w:hint="default" w:ascii="宋体" w:hAnsi="宋体"/>
                <w:b/>
                <w:bCs/>
              </w:rPr>
              <w:t xml:space="preserve"> </w:t>
            </w:r>
            <w:r>
              <w:rPr>
                <w:rFonts w:hint="eastAsia" w:ascii="宋体" w:hAnsi="宋体"/>
                <w:b/>
                <w:bCs/>
              </w:rPr>
              <w:t xml:space="preserve">充 </w:t>
            </w:r>
            <w:r>
              <w:rPr>
                <w:rFonts w:hint="default" w:ascii="宋体" w:hAnsi="宋体"/>
                <w:b/>
                <w:bCs/>
              </w:rPr>
              <w:t xml:space="preserve"> </w:t>
            </w:r>
            <w:r>
              <w:rPr>
                <w:rFonts w:hint="eastAsia" w:ascii="宋体" w:hAnsi="宋体"/>
                <w:b/>
                <w:bCs/>
              </w:rPr>
              <w:t xml:space="preserve">内 </w:t>
            </w:r>
            <w:r>
              <w:rPr>
                <w:rFonts w:hint="default" w:ascii="宋体" w:hAnsi="宋体"/>
                <w:b/>
                <w:bCs/>
              </w:rPr>
              <w:t xml:space="preserve"> </w:t>
            </w:r>
            <w:r>
              <w:rPr>
                <w:rFonts w:hint="eastAsia" w:ascii="宋体" w:hAnsi="宋体"/>
                <w:b/>
                <w:bCs/>
              </w:rPr>
              <w:t>容</w:t>
            </w:r>
          </w:p>
        </w:tc>
      </w:tr>
      <w:tr w14:paraId="6B38502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5E8DA44E">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3</w:t>
            </w:r>
            <w:r>
              <w:rPr>
                <w:rFonts w:hint="default" w:ascii="宋体" w:hAnsi="宋体"/>
              </w:rPr>
              <w:t>.1</w:t>
            </w:r>
          </w:p>
        </w:tc>
        <w:tc>
          <w:tcPr>
            <w:tcW w:w="2409" w:type="dxa"/>
            <w:vAlign w:val="center"/>
          </w:tcPr>
          <w:p w14:paraId="1D23C549">
            <w:pPr>
              <w:keepNext w:val="0"/>
              <w:keepLines w:val="0"/>
              <w:suppressLineNumbers w:val="0"/>
              <w:spacing w:before="0" w:beforeAutospacing="0" w:after="0" w:afterAutospacing="0"/>
              <w:ind w:left="0" w:right="0"/>
              <w:jc w:val="center"/>
              <w:rPr>
                <w:rFonts w:hint="default"/>
              </w:rPr>
            </w:pPr>
            <w:r>
              <w:rPr>
                <w:rFonts w:hint="eastAsia"/>
              </w:rPr>
              <w:t>采购人</w:t>
            </w:r>
          </w:p>
        </w:tc>
        <w:tc>
          <w:tcPr>
            <w:tcW w:w="4980" w:type="dxa"/>
            <w:vAlign w:val="center"/>
          </w:tcPr>
          <w:p w14:paraId="5AEB8395">
            <w:pPr>
              <w:keepNext w:val="0"/>
              <w:keepLines w:val="0"/>
              <w:suppressLineNumbers w:val="0"/>
              <w:spacing w:before="0" w:beforeAutospacing="0" w:after="0" w:afterAutospacing="0"/>
              <w:ind w:left="0" w:right="0"/>
              <w:jc w:val="left"/>
              <w:rPr>
                <w:rFonts w:hint="default" w:ascii="宋体" w:hAnsi="宋体"/>
              </w:rPr>
            </w:pPr>
            <w:r>
              <w:rPr>
                <w:rFonts w:hint="default" w:ascii="宋体" w:hAnsi="宋体"/>
                <w:color w:val="0000FF"/>
              </w:rPr>
              <w:t>中国人民银行深圳市分行</w:t>
            </w:r>
          </w:p>
        </w:tc>
      </w:tr>
      <w:tr w14:paraId="71DEF8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674EC025">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3</w:t>
            </w:r>
            <w:r>
              <w:rPr>
                <w:rFonts w:hint="default" w:ascii="宋体" w:hAnsi="宋体"/>
              </w:rPr>
              <w:t>.2</w:t>
            </w:r>
          </w:p>
        </w:tc>
        <w:tc>
          <w:tcPr>
            <w:tcW w:w="2409" w:type="dxa"/>
            <w:vAlign w:val="center"/>
          </w:tcPr>
          <w:p w14:paraId="0857F715">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lang w:val="en-US" w:eastAsia="zh-CN"/>
              </w:rPr>
              <w:t>招标代理</w:t>
            </w:r>
            <w:r>
              <w:rPr>
                <w:rFonts w:hint="eastAsia" w:ascii="宋体" w:hAnsi="宋体"/>
              </w:rPr>
              <w:t>机构</w:t>
            </w:r>
          </w:p>
        </w:tc>
        <w:tc>
          <w:tcPr>
            <w:tcW w:w="4980" w:type="dxa"/>
            <w:vAlign w:val="center"/>
          </w:tcPr>
          <w:p w14:paraId="3B227EDC">
            <w:pPr>
              <w:keepNext w:val="0"/>
              <w:keepLines w:val="0"/>
              <w:suppressLineNumbers w:val="0"/>
              <w:spacing w:before="0" w:beforeAutospacing="0" w:after="0" w:afterAutospacing="0"/>
              <w:ind w:left="0" w:right="0"/>
              <w:jc w:val="left"/>
              <w:rPr>
                <w:rFonts w:hint="default" w:ascii="宋体" w:hAnsi="宋体" w:cs="宋体"/>
                <w:kern w:val="0"/>
                <w:szCs w:val="21"/>
              </w:rPr>
            </w:pPr>
            <w:r>
              <w:rPr>
                <w:rFonts w:hint="eastAsia" w:ascii="宋体" w:hAnsi="宋体" w:cs="宋体"/>
                <w:kern w:val="0"/>
                <w:szCs w:val="21"/>
              </w:rPr>
              <w:t>深圳公共资源交易中心</w:t>
            </w:r>
          </w:p>
          <w:p w14:paraId="1688512F">
            <w:pPr>
              <w:keepNext w:val="0"/>
              <w:keepLines w:val="0"/>
              <w:suppressLineNumbers w:val="0"/>
              <w:spacing w:before="0" w:beforeAutospacing="0" w:after="0" w:afterAutospacing="0"/>
              <w:ind w:left="0" w:right="0"/>
              <w:jc w:val="left"/>
              <w:rPr>
                <w:rFonts w:hint="default" w:ascii="宋体" w:hAnsi="宋体"/>
              </w:rPr>
            </w:pPr>
            <w:r>
              <w:rPr>
                <w:rFonts w:hint="eastAsia" w:ascii="宋体" w:hAnsi="宋体" w:cs="宋体"/>
                <w:kern w:val="0"/>
                <w:szCs w:val="21"/>
              </w:rPr>
              <w:t>（深圳交易集团有限公司罗湖分公司）</w:t>
            </w:r>
          </w:p>
        </w:tc>
      </w:tr>
      <w:tr w14:paraId="690E3E9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4CD7B605">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9</w:t>
            </w:r>
          </w:p>
        </w:tc>
        <w:tc>
          <w:tcPr>
            <w:tcW w:w="2409" w:type="dxa"/>
            <w:vAlign w:val="center"/>
          </w:tcPr>
          <w:p w14:paraId="74C496BD">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踏勘现场</w:t>
            </w:r>
          </w:p>
        </w:tc>
        <w:tc>
          <w:tcPr>
            <w:tcW w:w="4980" w:type="dxa"/>
            <w:vAlign w:val="center"/>
          </w:tcPr>
          <w:p w14:paraId="4FEB925D">
            <w:pPr>
              <w:keepNext w:val="0"/>
              <w:keepLines w:val="0"/>
              <w:suppressLineNumbers w:val="0"/>
              <w:spacing w:before="0" w:beforeAutospacing="0" w:after="0" w:afterAutospacing="0"/>
              <w:ind w:left="0" w:right="0"/>
              <w:jc w:val="left"/>
              <w:rPr>
                <w:rFonts w:hint="default" w:ascii="宋体" w:hAnsi="宋体"/>
              </w:rPr>
            </w:pPr>
            <w:r>
              <w:rPr>
                <w:rFonts w:hint="default" w:ascii="宋体" w:hAnsi="宋体"/>
              </w:rPr>
              <w:t>不组织</w:t>
            </w:r>
          </w:p>
        </w:tc>
      </w:tr>
      <w:tr w14:paraId="6D9D2A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24A0D187">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1</w:t>
            </w:r>
            <w:r>
              <w:rPr>
                <w:rFonts w:hint="default" w:ascii="宋体" w:hAnsi="宋体"/>
              </w:rPr>
              <w:t>0</w:t>
            </w:r>
          </w:p>
        </w:tc>
        <w:tc>
          <w:tcPr>
            <w:tcW w:w="2409" w:type="dxa"/>
            <w:vAlign w:val="center"/>
          </w:tcPr>
          <w:p w14:paraId="78B16770">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标前会议</w:t>
            </w:r>
          </w:p>
        </w:tc>
        <w:tc>
          <w:tcPr>
            <w:tcW w:w="4980" w:type="dxa"/>
            <w:vAlign w:val="center"/>
          </w:tcPr>
          <w:p w14:paraId="2ECD9619">
            <w:pPr>
              <w:keepNext w:val="0"/>
              <w:keepLines w:val="0"/>
              <w:suppressLineNumbers w:val="0"/>
              <w:spacing w:before="0" w:beforeAutospacing="0" w:after="0" w:afterAutospacing="0"/>
              <w:ind w:left="0" w:right="0"/>
              <w:jc w:val="left"/>
              <w:rPr>
                <w:rFonts w:hint="default" w:ascii="宋体" w:hAnsi="宋体"/>
              </w:rPr>
            </w:pPr>
            <w:r>
              <w:rPr>
                <w:rFonts w:hint="default" w:ascii="宋体" w:hAnsi="宋体"/>
              </w:rPr>
              <w:t>不组织</w:t>
            </w:r>
          </w:p>
        </w:tc>
      </w:tr>
      <w:tr w14:paraId="2CD049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978" w:type="dxa"/>
            <w:vAlign w:val="center"/>
          </w:tcPr>
          <w:p w14:paraId="246404C5">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1</w:t>
            </w:r>
            <w:r>
              <w:rPr>
                <w:rFonts w:hint="default" w:ascii="宋体" w:hAnsi="宋体"/>
              </w:rPr>
              <w:t>2</w:t>
            </w:r>
            <w:r>
              <w:rPr>
                <w:rFonts w:hint="eastAsia" w:ascii="宋体" w:hAnsi="宋体"/>
              </w:rPr>
              <w:t>/1</w:t>
            </w:r>
            <w:r>
              <w:rPr>
                <w:rFonts w:hint="default" w:ascii="宋体" w:hAnsi="宋体"/>
              </w:rPr>
              <w:t>3</w:t>
            </w:r>
          </w:p>
        </w:tc>
        <w:tc>
          <w:tcPr>
            <w:tcW w:w="2409" w:type="dxa"/>
            <w:vAlign w:val="center"/>
          </w:tcPr>
          <w:p w14:paraId="5B9218A6">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招标文件的澄清和修改</w:t>
            </w:r>
          </w:p>
        </w:tc>
        <w:tc>
          <w:tcPr>
            <w:tcW w:w="4980" w:type="dxa"/>
            <w:vAlign w:val="center"/>
          </w:tcPr>
          <w:p w14:paraId="1B112842">
            <w:pPr>
              <w:keepNext w:val="0"/>
              <w:keepLines w:val="0"/>
              <w:suppressLineNumbers w:val="0"/>
              <w:spacing w:before="0" w:beforeAutospacing="0" w:after="0" w:afterAutospacing="0"/>
              <w:ind w:left="0" w:right="0"/>
              <w:jc w:val="left"/>
              <w:rPr>
                <w:rFonts w:hint="default" w:ascii="宋体" w:hAnsi="宋体"/>
              </w:rPr>
            </w:pPr>
            <w:r>
              <w:rPr>
                <w:rFonts w:hint="eastAsia" w:ascii="宋体" w:hAnsi="宋体"/>
              </w:rPr>
              <w:t>投标截止日</w:t>
            </w:r>
            <w:r>
              <w:rPr>
                <w:rFonts w:hint="eastAsia" w:ascii="宋体" w:hAnsi="宋体"/>
                <w:lang w:val="en-US" w:eastAsia="zh-CN"/>
              </w:rPr>
              <w:t>十五</w:t>
            </w:r>
            <w:r>
              <w:rPr>
                <w:rFonts w:hint="eastAsia" w:ascii="宋体" w:hAnsi="宋体"/>
              </w:rPr>
              <w:t>日前（详见招标公告），投标人有义务在招标期间在</w:t>
            </w:r>
            <w:r>
              <w:rPr>
                <w:rFonts w:hint="eastAsia" w:ascii="宋体" w:hAnsi="宋体" w:cs="宋体"/>
                <w:lang w:val="en-US" w:eastAsia="zh-CN"/>
              </w:rPr>
              <w:t>招标代理机构</w:t>
            </w:r>
            <w:r>
              <w:rPr>
                <w:rFonts w:hint="eastAsia" w:ascii="宋体" w:hAnsi="宋体"/>
              </w:rPr>
              <w:t>网站浏览与本项目有关的澄清和修改信息</w:t>
            </w:r>
          </w:p>
        </w:tc>
      </w:tr>
      <w:tr w14:paraId="64FBD5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68CC907D">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2</w:t>
            </w:r>
            <w:r>
              <w:rPr>
                <w:rFonts w:hint="default" w:ascii="宋体" w:hAnsi="宋体"/>
              </w:rPr>
              <w:t>0</w:t>
            </w:r>
          </w:p>
        </w:tc>
        <w:tc>
          <w:tcPr>
            <w:tcW w:w="2409" w:type="dxa"/>
            <w:vAlign w:val="center"/>
          </w:tcPr>
          <w:p w14:paraId="07067714">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投标有效期</w:t>
            </w:r>
          </w:p>
        </w:tc>
        <w:tc>
          <w:tcPr>
            <w:tcW w:w="4980" w:type="dxa"/>
            <w:vAlign w:val="center"/>
          </w:tcPr>
          <w:p w14:paraId="6541C11C">
            <w:pPr>
              <w:keepNext w:val="0"/>
              <w:keepLines w:val="0"/>
              <w:suppressLineNumbers w:val="0"/>
              <w:spacing w:before="0" w:beforeAutospacing="0" w:after="0" w:afterAutospacing="0"/>
              <w:ind w:left="0" w:right="0"/>
              <w:jc w:val="left"/>
              <w:rPr>
                <w:rFonts w:hint="default" w:ascii="宋体" w:hAnsi="宋体"/>
              </w:rPr>
            </w:pPr>
            <w:r>
              <w:rPr>
                <w:rFonts w:hint="eastAsia" w:ascii="宋体" w:hAnsi="宋体"/>
              </w:rPr>
              <w:t>120个日历日</w:t>
            </w:r>
          </w:p>
        </w:tc>
      </w:tr>
      <w:tr w14:paraId="5658549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7863D6EE">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2</w:t>
            </w:r>
            <w:r>
              <w:rPr>
                <w:rFonts w:hint="default" w:ascii="宋体" w:hAnsi="宋体"/>
              </w:rPr>
              <w:t>2</w:t>
            </w:r>
          </w:p>
        </w:tc>
        <w:tc>
          <w:tcPr>
            <w:tcW w:w="2409" w:type="dxa"/>
            <w:vAlign w:val="center"/>
          </w:tcPr>
          <w:p w14:paraId="49FBACBA">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投标人的替代方案</w:t>
            </w:r>
          </w:p>
        </w:tc>
        <w:tc>
          <w:tcPr>
            <w:tcW w:w="4980" w:type="dxa"/>
            <w:vAlign w:val="center"/>
          </w:tcPr>
          <w:p w14:paraId="636799D1">
            <w:pPr>
              <w:keepNext w:val="0"/>
              <w:keepLines w:val="0"/>
              <w:suppressLineNumbers w:val="0"/>
              <w:spacing w:before="0" w:beforeAutospacing="0" w:after="0" w:afterAutospacing="0"/>
              <w:ind w:left="0" w:right="0"/>
              <w:jc w:val="left"/>
              <w:rPr>
                <w:rFonts w:hint="default" w:ascii="宋体" w:hAnsi="宋体"/>
              </w:rPr>
            </w:pPr>
            <w:r>
              <w:rPr>
                <w:rFonts w:hint="eastAsia" w:ascii="宋体" w:hAnsi="宋体"/>
              </w:rPr>
              <w:t>不接受</w:t>
            </w:r>
          </w:p>
        </w:tc>
      </w:tr>
      <w:tr w14:paraId="52CECCF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48D67735">
            <w:pPr>
              <w:keepNext w:val="0"/>
              <w:keepLines w:val="0"/>
              <w:suppressLineNumbers w:val="0"/>
              <w:spacing w:before="0" w:beforeAutospacing="0" w:after="0" w:afterAutospacing="0"/>
              <w:ind w:left="0" w:right="0"/>
              <w:jc w:val="center"/>
              <w:rPr>
                <w:rFonts w:hint="eastAsia" w:ascii="宋体" w:hAnsi="宋体" w:eastAsia="宋体"/>
                <w:lang w:eastAsia="zh-CN"/>
              </w:rPr>
            </w:pPr>
            <w:bookmarkStart w:id="38" w:name="OLE_LINK6"/>
            <w:r>
              <w:rPr>
                <w:rFonts w:hint="eastAsia" w:ascii="宋体" w:hAnsi="宋体"/>
              </w:rPr>
              <w:t>2</w:t>
            </w:r>
            <w:bookmarkEnd w:id="38"/>
            <w:r>
              <w:rPr>
                <w:rFonts w:hint="eastAsia" w:ascii="宋体" w:hAnsi="宋体"/>
                <w:lang w:val="en-US" w:eastAsia="zh-CN"/>
              </w:rPr>
              <w:t>3</w:t>
            </w:r>
          </w:p>
        </w:tc>
        <w:tc>
          <w:tcPr>
            <w:tcW w:w="2409" w:type="dxa"/>
            <w:vAlign w:val="center"/>
          </w:tcPr>
          <w:p w14:paraId="480ED6AC">
            <w:pPr>
              <w:keepNext w:val="0"/>
              <w:keepLines w:val="0"/>
              <w:suppressLineNumbers w:val="0"/>
              <w:spacing w:before="0" w:beforeAutospacing="0" w:after="0" w:afterAutospacing="0"/>
              <w:ind w:left="0" w:right="0"/>
              <w:jc w:val="center"/>
              <w:rPr>
                <w:rFonts w:hint="eastAsia" w:ascii="宋体" w:hAnsi="宋体" w:eastAsia="宋体"/>
                <w:lang w:val="en-US" w:eastAsia="zh-CN"/>
              </w:rPr>
            </w:pPr>
            <w:r>
              <w:rPr>
                <w:rFonts w:hint="eastAsia" w:ascii="宋体" w:hAnsi="宋体"/>
              </w:rPr>
              <w:t>投标文件的制作要求</w:t>
            </w:r>
          </w:p>
        </w:tc>
        <w:tc>
          <w:tcPr>
            <w:tcW w:w="4980" w:type="dxa"/>
            <w:vAlign w:val="center"/>
          </w:tcPr>
          <w:p w14:paraId="4BEDDB05">
            <w:pPr>
              <w:keepNext w:val="0"/>
              <w:keepLines w:val="0"/>
              <w:suppressLineNumbers w:val="0"/>
              <w:spacing w:before="0" w:beforeAutospacing="0" w:after="0" w:afterAutospacing="0"/>
              <w:ind w:left="0" w:right="0"/>
              <w:jc w:val="left"/>
              <w:rPr>
                <w:rFonts w:hint="default"/>
                <w:highlight w:val="none"/>
              </w:rPr>
            </w:pPr>
            <w:r>
              <w:rPr>
                <w:rFonts w:hint="eastAsia"/>
                <w:b/>
                <w:bCs/>
                <w:highlight w:val="none"/>
                <w:lang w:val="en-US" w:eastAsia="zh-CN"/>
              </w:rPr>
              <w:t>1、</w:t>
            </w:r>
            <w:r>
              <w:rPr>
                <w:rFonts w:hint="eastAsia"/>
                <w:b/>
                <w:bCs/>
                <w:highlight w:val="none"/>
              </w:rPr>
              <w:t>投标文件份数：</w:t>
            </w:r>
            <w:r>
              <w:rPr>
                <w:rFonts w:hint="eastAsia"/>
                <w:b w:val="0"/>
                <w:bCs w:val="0"/>
                <w:highlight w:val="none"/>
              </w:rPr>
              <w:t>一份正本、五份副本、一份唱标信封、一份电子文档（U盘储存）</w:t>
            </w:r>
          </w:p>
          <w:p w14:paraId="706454AC">
            <w:pPr>
              <w:keepNext w:val="0"/>
              <w:keepLines w:val="0"/>
              <w:suppressLineNumbers w:val="0"/>
              <w:spacing w:before="0" w:beforeAutospacing="0" w:after="0" w:afterAutospacing="0"/>
              <w:ind w:left="0" w:right="0"/>
              <w:jc w:val="left"/>
              <w:rPr>
                <w:rFonts w:hint="eastAsia"/>
                <w:b/>
                <w:bCs/>
                <w:highlight w:val="none"/>
              </w:rPr>
            </w:pPr>
            <w:r>
              <w:rPr>
                <w:rFonts w:hint="eastAsia" w:ascii="宋体" w:hAnsi="宋体"/>
                <w:b/>
                <w:bCs/>
                <w:lang w:val="en-US" w:eastAsia="zh-CN"/>
              </w:rPr>
              <w:t>2.</w:t>
            </w:r>
            <w:r>
              <w:rPr>
                <w:rFonts w:hint="eastAsia" w:ascii="宋体" w:hAnsi="宋体"/>
                <w:b/>
                <w:bCs/>
              </w:rPr>
              <w:t>投标文件正本和副本</w:t>
            </w:r>
            <w:r>
              <w:rPr>
                <w:rFonts w:hint="eastAsia"/>
                <w:b/>
                <w:bCs/>
                <w:highlight w:val="none"/>
              </w:rPr>
              <w:t>要求：</w:t>
            </w:r>
          </w:p>
          <w:p w14:paraId="3ACCA873">
            <w:pPr>
              <w:keepNext w:val="0"/>
              <w:keepLines w:val="0"/>
              <w:suppressLineNumbers w:val="0"/>
              <w:spacing w:before="0" w:beforeAutospacing="0" w:after="0" w:afterAutospacing="0"/>
              <w:ind w:left="0" w:right="0"/>
              <w:rPr>
                <w:rFonts w:hint="eastAsia" w:ascii="宋体" w:hAnsi="宋体"/>
              </w:rPr>
            </w:pPr>
            <w:r>
              <w:rPr>
                <w:rFonts w:hint="eastAsia"/>
                <w:highlight w:val="none"/>
              </w:rPr>
              <w:t>①</w:t>
            </w:r>
            <w:r>
              <w:rPr>
                <w:rFonts w:hint="eastAsia" w:ascii="宋体" w:hAnsi="宋体"/>
              </w:rPr>
              <w:t>投标文件正本和副本须使用不褪色墨水打印，由投标人法定代表人或其授权代表在对应位置签字，后者须将“法定代表人授权书”以书面形式附在投标文件中。副本文件可由正本文件复印而成。</w:t>
            </w:r>
          </w:p>
          <w:p w14:paraId="3DCA852C">
            <w:pPr>
              <w:keepNext w:val="0"/>
              <w:keepLines w:val="0"/>
              <w:suppressLineNumbers w:val="0"/>
              <w:spacing w:before="0" w:beforeAutospacing="0" w:after="0" w:afterAutospacing="0"/>
              <w:ind w:left="0" w:right="0"/>
              <w:rPr>
                <w:rFonts w:hint="eastAsia" w:ascii="宋体" w:hAnsi="宋体"/>
              </w:rPr>
            </w:pPr>
            <w:r>
              <w:rPr>
                <w:rFonts w:hint="eastAsia"/>
                <w:highlight w:val="none"/>
                <w:lang w:val="en-US" w:eastAsia="zh-CN"/>
              </w:rPr>
              <w:t>②</w:t>
            </w:r>
            <w:r>
              <w:rPr>
                <w:rFonts w:hint="eastAsia" w:ascii="宋体" w:hAnsi="宋体"/>
              </w:rPr>
              <w:t>除投标人对错处作必要修改外，投标文件中不许有加行、涂抹或改写。若有修改须由投标人法定代表人或其授权代表进行签字，并加盖投标人公章。</w:t>
            </w:r>
          </w:p>
          <w:p w14:paraId="749DEB0F">
            <w:pPr>
              <w:keepNext w:val="0"/>
              <w:keepLines w:val="0"/>
              <w:suppressLineNumbers w:val="0"/>
              <w:spacing w:before="0" w:beforeAutospacing="0" w:after="0" w:afterAutospacing="0"/>
              <w:ind w:left="0" w:right="0"/>
              <w:rPr>
                <w:rFonts w:hint="eastAsia" w:ascii="宋体" w:hAnsi="宋体"/>
                <w:b w:val="0"/>
                <w:bCs w:val="0"/>
              </w:rPr>
            </w:pPr>
            <w:r>
              <w:rPr>
                <w:rFonts w:hint="eastAsia" w:ascii="宋体" w:hAnsi="宋体"/>
                <w:b w:val="0"/>
                <w:bCs w:val="0"/>
                <w:lang w:val="en-US" w:eastAsia="zh-CN"/>
              </w:rPr>
              <w:t>③</w:t>
            </w:r>
            <w:r>
              <w:rPr>
                <w:rFonts w:hint="eastAsia" w:ascii="宋体" w:hAnsi="宋体"/>
                <w:b w:val="0"/>
                <w:bCs w:val="0"/>
              </w:rPr>
              <w:t>投标文件的[正本]及所有[副本]的封面均须加盖投标人公章。</w:t>
            </w:r>
          </w:p>
          <w:p w14:paraId="288EF466">
            <w:pPr>
              <w:keepNext w:val="0"/>
              <w:keepLines w:val="0"/>
              <w:suppressLineNumbers w:val="0"/>
              <w:spacing w:before="0" w:beforeAutospacing="0" w:after="0" w:afterAutospacing="0"/>
              <w:ind w:left="0" w:right="0"/>
              <w:rPr>
                <w:rFonts w:hint="eastAsia" w:ascii="宋体" w:hAnsi="宋体"/>
              </w:rPr>
            </w:pPr>
            <w:r>
              <w:rPr>
                <w:rFonts w:hint="eastAsia" w:ascii="宋体" w:hAnsi="宋体"/>
                <w:lang w:val="en-US" w:eastAsia="zh-CN"/>
              </w:rPr>
              <w:t>④</w:t>
            </w:r>
            <w:r>
              <w:rPr>
                <w:rFonts w:hint="eastAsia" w:ascii="宋体" w:hAnsi="宋体"/>
              </w:rPr>
              <w:t>投标文件的封面应注明“采购项目名称、项目编号、</w:t>
            </w:r>
            <w:r>
              <w:rPr>
                <w:rFonts w:hint="eastAsia" w:ascii="宋体" w:hAnsi="宋体"/>
                <w:lang w:val="en-US" w:eastAsia="zh-CN"/>
              </w:rPr>
              <w:t>包号、</w:t>
            </w:r>
            <w:r>
              <w:rPr>
                <w:rFonts w:hint="eastAsia" w:ascii="宋体" w:hAnsi="宋体"/>
              </w:rPr>
              <w:t>投标人名称、投标日期等”。</w:t>
            </w:r>
          </w:p>
          <w:p w14:paraId="73EAD98A">
            <w:pPr>
              <w:keepNext w:val="0"/>
              <w:keepLines w:val="0"/>
              <w:suppressLineNumbers w:val="0"/>
              <w:spacing w:before="0" w:beforeAutospacing="0" w:after="0" w:afterAutospacing="0"/>
              <w:ind w:left="0" w:right="0"/>
              <w:jc w:val="left"/>
              <w:rPr>
                <w:rFonts w:hint="default"/>
                <w:b/>
                <w:bCs/>
                <w:highlight w:val="none"/>
              </w:rPr>
            </w:pPr>
            <w:r>
              <w:rPr>
                <w:rFonts w:hint="eastAsia" w:ascii="宋体" w:hAnsi="宋体"/>
                <w:b/>
                <w:bCs/>
                <w:lang w:val="en-US" w:eastAsia="zh-CN"/>
              </w:rPr>
              <w:t>3.</w:t>
            </w:r>
            <w:r>
              <w:rPr>
                <w:rFonts w:hint="eastAsia"/>
                <w:b/>
                <w:bCs/>
                <w:highlight w:val="none"/>
              </w:rPr>
              <w:t>电子文档要求：</w:t>
            </w:r>
          </w:p>
          <w:p w14:paraId="4AB9A2A3">
            <w:pPr>
              <w:keepNext w:val="0"/>
              <w:keepLines w:val="0"/>
              <w:suppressLineNumbers w:val="0"/>
              <w:spacing w:before="0" w:beforeAutospacing="0" w:after="0" w:afterAutospacing="0"/>
              <w:ind w:left="0" w:right="0"/>
              <w:jc w:val="left"/>
              <w:rPr>
                <w:rFonts w:hint="default"/>
                <w:highlight w:val="none"/>
              </w:rPr>
            </w:pPr>
            <w:r>
              <w:rPr>
                <w:rFonts w:hint="eastAsia"/>
                <w:highlight w:val="none"/>
              </w:rPr>
              <w:t>①投标文件完整的Word版本（DOC或者DOCX格式）；</w:t>
            </w:r>
          </w:p>
          <w:p w14:paraId="45C996DB">
            <w:pPr>
              <w:keepNext w:val="0"/>
              <w:keepLines w:val="0"/>
              <w:suppressLineNumbers w:val="0"/>
              <w:spacing w:before="0" w:beforeAutospacing="0" w:after="0" w:afterAutospacing="0"/>
              <w:ind w:left="0" w:right="0"/>
              <w:jc w:val="left"/>
              <w:rPr>
                <w:rFonts w:hint="eastAsia"/>
                <w:highlight w:val="none"/>
                <w:lang w:eastAsia="zh-CN"/>
              </w:rPr>
            </w:pPr>
            <w:r>
              <w:rPr>
                <w:rFonts w:hint="eastAsia"/>
                <w:highlight w:val="none"/>
              </w:rPr>
              <w:t>②投标文件正本</w:t>
            </w:r>
            <w:r>
              <w:rPr>
                <w:rFonts w:hint="eastAsia"/>
                <w:highlight w:val="none"/>
                <w:lang w:val="en-US" w:eastAsia="zh-CN"/>
              </w:rPr>
              <w:t>扫描件</w:t>
            </w:r>
            <w:r>
              <w:rPr>
                <w:rFonts w:hint="eastAsia"/>
                <w:highlight w:val="none"/>
              </w:rPr>
              <w:t>（PDF要求彩色扫描，扫描页面清晰、完整），内容包括：由投标人自行制作的与投标文件正本一致的所有文件；电子文件用U盘储存，并密封于“唱标信封”内</w:t>
            </w:r>
            <w:r>
              <w:rPr>
                <w:rFonts w:hint="eastAsia"/>
                <w:highlight w:val="none"/>
                <w:lang w:eastAsia="zh-CN"/>
              </w:rPr>
              <w:t>。</w:t>
            </w:r>
          </w:p>
          <w:p w14:paraId="3EED4CDD">
            <w:pPr>
              <w:keepNext w:val="0"/>
              <w:keepLines w:val="0"/>
              <w:suppressLineNumbers w:val="0"/>
              <w:spacing w:before="0" w:beforeAutospacing="0" w:after="0" w:afterAutospacing="0"/>
              <w:ind w:left="0" w:right="0"/>
              <w:jc w:val="left"/>
              <w:rPr>
                <w:rFonts w:hint="eastAsia"/>
                <w:b/>
                <w:bCs/>
                <w:highlight w:val="none"/>
                <w:lang w:val="en-US" w:eastAsia="zh-CN"/>
              </w:rPr>
            </w:pPr>
            <w:r>
              <w:rPr>
                <w:rFonts w:hint="eastAsia"/>
                <w:b/>
                <w:bCs/>
                <w:highlight w:val="none"/>
                <w:lang w:val="en-US" w:eastAsia="zh-CN"/>
              </w:rPr>
              <w:t>4.唱标信封</w:t>
            </w:r>
            <w:r>
              <w:rPr>
                <w:rFonts w:hint="eastAsia"/>
                <w:b/>
                <w:bCs/>
                <w:highlight w:val="none"/>
              </w:rPr>
              <w:t>要求：</w:t>
            </w:r>
          </w:p>
          <w:p w14:paraId="106D100E">
            <w:pPr>
              <w:keepNext w:val="0"/>
              <w:keepLines w:val="0"/>
              <w:suppressLineNumbers w:val="0"/>
              <w:spacing w:before="0" w:beforeAutospacing="0" w:after="0" w:afterAutospacing="0"/>
              <w:ind w:left="0" w:right="0"/>
              <w:jc w:val="left"/>
              <w:rPr>
                <w:rFonts w:hint="eastAsia"/>
                <w:highlight w:val="none"/>
                <w:lang w:val="en-US" w:eastAsia="zh-CN"/>
              </w:rPr>
            </w:pPr>
            <w:r>
              <w:rPr>
                <w:rFonts w:hint="eastAsia"/>
                <w:highlight w:val="none"/>
                <w:lang w:val="en-US" w:eastAsia="zh-CN"/>
              </w:rPr>
              <w:t>唱标信封须单独密封并加盖投标人公章。</w:t>
            </w:r>
          </w:p>
          <w:p w14:paraId="21BD6AFA">
            <w:pPr>
              <w:keepNext w:val="0"/>
              <w:keepLines w:val="0"/>
              <w:numPr>
                <w:ilvl w:val="0"/>
                <w:numId w:val="0"/>
              </w:numPr>
              <w:suppressLineNumbers w:val="0"/>
              <w:spacing w:before="0" w:beforeAutospacing="0" w:after="0" w:afterAutospacing="0"/>
              <w:ind w:left="0" w:leftChars="0" w:right="0" w:rightChars="0"/>
              <w:jc w:val="left"/>
              <w:rPr>
                <w:rFonts w:hint="eastAsia"/>
                <w:b/>
                <w:bCs/>
                <w:highlight w:val="none"/>
                <w:lang w:val="en-US" w:eastAsia="zh-CN"/>
              </w:rPr>
            </w:pPr>
            <w:r>
              <w:rPr>
                <w:rFonts w:hint="eastAsia" w:ascii="Times New Roman" w:hAnsi="Times New Roman" w:eastAsia="宋体" w:cs="Times New Roman"/>
                <w:b/>
                <w:bCs/>
                <w:kern w:val="2"/>
                <w:sz w:val="21"/>
                <w:szCs w:val="24"/>
                <w:lang w:val="en-US" w:eastAsia="zh-CN" w:bidi="ar-SA"/>
              </w:rPr>
              <w:t>5.</w:t>
            </w:r>
            <w:r>
              <w:rPr>
                <w:rFonts w:hint="eastAsia"/>
                <w:b/>
                <w:bCs/>
                <w:highlight w:val="none"/>
                <w:lang w:val="en-US" w:eastAsia="zh-CN"/>
              </w:rPr>
              <w:t>其他要求：</w:t>
            </w:r>
          </w:p>
          <w:p w14:paraId="73A919B7">
            <w:pPr>
              <w:keepNext w:val="0"/>
              <w:keepLines w:val="0"/>
              <w:suppressLineNumbers w:val="0"/>
              <w:spacing w:before="0" w:beforeAutospacing="0" w:after="0" w:afterAutospacing="0"/>
              <w:ind w:left="0" w:right="0"/>
              <w:jc w:val="left"/>
              <w:rPr>
                <w:rFonts w:hint="eastAsia" w:ascii="宋体" w:hAnsi="宋体" w:eastAsia="宋体"/>
                <w:lang w:eastAsia="zh-CN"/>
              </w:rPr>
            </w:pPr>
            <w:r>
              <w:rPr>
                <w:rFonts w:hint="eastAsia"/>
                <w:highlight w:val="none"/>
                <w:lang w:val="en-US" w:eastAsia="zh-CN"/>
              </w:rPr>
              <w:t>投标文件应加盖骑缝章，若采用散装或者活页夹编制投标文件，则有可能导致投标文件无效。</w:t>
            </w:r>
          </w:p>
        </w:tc>
      </w:tr>
      <w:tr w14:paraId="092606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5C3AE9E7">
            <w:pPr>
              <w:keepNext w:val="0"/>
              <w:keepLines w:val="0"/>
              <w:suppressLineNumbers w:val="0"/>
              <w:spacing w:before="0" w:beforeAutospacing="0" w:after="0" w:afterAutospacing="0"/>
              <w:ind w:left="0" w:right="0"/>
              <w:jc w:val="center"/>
              <w:rPr>
                <w:rFonts w:hint="eastAsia" w:ascii="宋体" w:hAnsi="宋体"/>
              </w:rPr>
            </w:pPr>
            <w:r>
              <w:rPr>
                <w:rFonts w:hint="eastAsia" w:ascii="宋体" w:hAnsi="宋体"/>
              </w:rPr>
              <w:t>2</w:t>
            </w:r>
            <w:r>
              <w:rPr>
                <w:rFonts w:hint="default" w:ascii="宋体" w:hAnsi="宋体"/>
              </w:rPr>
              <w:t>5</w:t>
            </w:r>
          </w:p>
        </w:tc>
        <w:tc>
          <w:tcPr>
            <w:tcW w:w="2409" w:type="dxa"/>
            <w:vAlign w:val="center"/>
          </w:tcPr>
          <w:p w14:paraId="7A893F93">
            <w:pPr>
              <w:keepNext w:val="0"/>
              <w:keepLines w:val="0"/>
              <w:suppressLineNumbers w:val="0"/>
              <w:spacing w:before="0" w:beforeAutospacing="0" w:after="0" w:afterAutospacing="0"/>
              <w:ind w:left="0" w:right="0"/>
              <w:jc w:val="center"/>
              <w:rPr>
                <w:rFonts w:hint="eastAsia" w:ascii="宋体" w:hAnsi="宋体"/>
              </w:rPr>
            </w:pPr>
            <w:r>
              <w:rPr>
                <w:rFonts w:hint="eastAsia"/>
                <w:highlight w:val="none"/>
              </w:rPr>
              <w:t>投标文件将递交地址</w:t>
            </w:r>
          </w:p>
        </w:tc>
        <w:tc>
          <w:tcPr>
            <w:tcW w:w="4980" w:type="dxa"/>
            <w:vAlign w:val="center"/>
          </w:tcPr>
          <w:p w14:paraId="6C002B44">
            <w:pPr>
              <w:keepNext w:val="0"/>
              <w:keepLines w:val="0"/>
              <w:suppressLineNumbers w:val="0"/>
              <w:spacing w:before="0" w:beforeAutospacing="0" w:after="0" w:afterAutospacing="0"/>
              <w:ind w:left="0" w:right="0"/>
              <w:jc w:val="left"/>
              <w:rPr>
                <w:rFonts w:hint="eastAsia"/>
                <w:highlight w:val="none"/>
              </w:rPr>
            </w:pPr>
            <w:r>
              <w:rPr>
                <w:rFonts w:hint="eastAsia"/>
                <w:highlight w:val="none"/>
              </w:rPr>
              <w:t>深圳公共资源交易中心（深圳交易集团有限公司罗湖分公司）（地址：深圳市罗湖区黄贝街道凤凰社区深南东路1076号罗湖区党群服务中心4层）</w:t>
            </w:r>
          </w:p>
        </w:tc>
      </w:tr>
      <w:tr w14:paraId="02BD0E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31E1810A">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2</w:t>
            </w:r>
            <w:r>
              <w:rPr>
                <w:rFonts w:hint="default" w:ascii="宋体" w:hAnsi="宋体"/>
              </w:rPr>
              <w:t>6</w:t>
            </w:r>
          </w:p>
        </w:tc>
        <w:tc>
          <w:tcPr>
            <w:tcW w:w="2409" w:type="dxa"/>
            <w:vAlign w:val="center"/>
          </w:tcPr>
          <w:p w14:paraId="661170FE">
            <w:pPr>
              <w:keepNext w:val="0"/>
              <w:keepLines w:val="0"/>
              <w:suppressLineNumbers w:val="0"/>
              <w:spacing w:before="0" w:beforeAutospacing="0" w:after="0" w:afterAutospacing="0"/>
              <w:ind w:left="0" w:right="0"/>
              <w:jc w:val="center"/>
              <w:rPr>
                <w:rFonts w:hint="default" w:ascii="宋体" w:hAnsi="宋体"/>
              </w:rPr>
            </w:pPr>
            <w:bookmarkStart w:id="39" w:name="_Hlk71664860"/>
            <w:r>
              <w:rPr>
                <w:rFonts w:hint="eastAsia" w:ascii="宋体" w:hAnsi="宋体"/>
              </w:rPr>
              <w:t>样品、现场演示、方案讲解</w:t>
            </w:r>
            <w:bookmarkEnd w:id="39"/>
          </w:p>
        </w:tc>
        <w:tc>
          <w:tcPr>
            <w:tcW w:w="4980" w:type="dxa"/>
            <w:vAlign w:val="center"/>
          </w:tcPr>
          <w:p w14:paraId="06D55DC4">
            <w:pPr>
              <w:keepNext w:val="0"/>
              <w:keepLines w:val="0"/>
              <w:suppressLineNumbers w:val="0"/>
              <w:spacing w:before="0" w:beforeAutospacing="0" w:after="0" w:afterAutospacing="0"/>
              <w:ind w:left="0" w:right="0"/>
              <w:jc w:val="left"/>
              <w:rPr>
                <w:rFonts w:hint="default" w:ascii="宋体" w:hAnsi="宋体"/>
              </w:rPr>
            </w:pPr>
            <w:r>
              <w:rPr>
                <w:rFonts w:hint="eastAsia" w:ascii="宋体" w:hAnsi="宋体"/>
              </w:rPr>
              <w:t>无</w:t>
            </w:r>
          </w:p>
        </w:tc>
      </w:tr>
      <w:tr w14:paraId="2A819E5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6573A97D">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3</w:t>
            </w:r>
            <w:r>
              <w:rPr>
                <w:rFonts w:hint="default" w:ascii="宋体" w:hAnsi="宋体"/>
              </w:rPr>
              <w:t>7</w:t>
            </w:r>
          </w:p>
        </w:tc>
        <w:tc>
          <w:tcPr>
            <w:tcW w:w="2409" w:type="dxa"/>
            <w:vAlign w:val="center"/>
          </w:tcPr>
          <w:p w14:paraId="53F3407E">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评审方法</w:t>
            </w:r>
          </w:p>
        </w:tc>
        <w:tc>
          <w:tcPr>
            <w:tcW w:w="4980" w:type="dxa"/>
            <w:vAlign w:val="center"/>
          </w:tcPr>
          <w:p w14:paraId="63A4561B">
            <w:pPr>
              <w:keepNext w:val="0"/>
              <w:keepLines w:val="0"/>
              <w:suppressLineNumbers w:val="0"/>
              <w:spacing w:before="0" w:beforeAutospacing="0" w:after="0" w:afterAutospacing="0"/>
              <w:ind w:left="0" w:right="0"/>
              <w:jc w:val="left"/>
              <w:rPr>
                <w:rFonts w:hint="default" w:ascii="宋体" w:hAnsi="宋体"/>
              </w:rPr>
            </w:pPr>
            <w:r>
              <w:rPr>
                <w:rFonts w:hint="default" w:ascii="宋体" w:hAnsi="宋体"/>
              </w:rPr>
              <w:t>综合评分法</w:t>
            </w:r>
          </w:p>
        </w:tc>
      </w:tr>
      <w:tr w14:paraId="631E85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0E920C30">
            <w:pPr>
              <w:keepNext w:val="0"/>
              <w:keepLines w:val="0"/>
              <w:suppressLineNumbers w:val="0"/>
              <w:spacing w:before="0" w:beforeAutospacing="0" w:after="0" w:afterAutospacing="0"/>
              <w:ind w:left="0" w:right="0"/>
              <w:jc w:val="center"/>
              <w:rPr>
                <w:rFonts w:hint="eastAsia" w:ascii="宋体" w:hAnsi="宋体"/>
              </w:rPr>
            </w:pPr>
            <w:r>
              <w:rPr>
                <w:rFonts w:hint="eastAsia" w:ascii="宋体" w:hAnsi="宋体"/>
              </w:rPr>
              <w:t>3</w:t>
            </w:r>
            <w:r>
              <w:rPr>
                <w:rFonts w:hint="default" w:ascii="宋体" w:hAnsi="宋体"/>
              </w:rPr>
              <w:t>8</w:t>
            </w:r>
          </w:p>
        </w:tc>
        <w:tc>
          <w:tcPr>
            <w:tcW w:w="2409" w:type="dxa"/>
            <w:vAlign w:val="center"/>
          </w:tcPr>
          <w:p w14:paraId="683DE371">
            <w:pPr>
              <w:keepNext w:val="0"/>
              <w:keepLines w:val="0"/>
              <w:suppressLineNumbers w:val="0"/>
              <w:spacing w:before="0" w:beforeAutospacing="0" w:after="0" w:afterAutospacing="0"/>
              <w:ind w:left="0" w:right="0"/>
              <w:jc w:val="center"/>
              <w:rPr>
                <w:rFonts w:hint="eastAsia" w:ascii="宋体" w:hAnsi="宋体"/>
              </w:rPr>
            </w:pPr>
            <w:r>
              <w:rPr>
                <w:rFonts w:hint="default" w:ascii="宋体" w:hAnsi="宋体"/>
              </w:rPr>
              <w:t>评定分离</w:t>
            </w:r>
          </w:p>
        </w:tc>
        <w:tc>
          <w:tcPr>
            <w:tcW w:w="4980" w:type="dxa"/>
            <w:vAlign w:val="center"/>
          </w:tcPr>
          <w:p w14:paraId="1BED8FA7">
            <w:pPr>
              <w:keepNext w:val="0"/>
              <w:keepLines w:val="0"/>
              <w:suppressLineNumbers w:val="0"/>
              <w:spacing w:before="0" w:beforeAutospacing="0" w:after="0" w:afterAutospacing="0"/>
              <w:ind w:left="0" w:right="0"/>
              <w:jc w:val="left"/>
              <w:rPr>
                <w:rFonts w:hint="default" w:ascii="宋体" w:hAnsi="宋体" w:eastAsia="宋体"/>
                <w:lang w:val="en-US" w:eastAsia="zh-CN"/>
              </w:rPr>
            </w:pPr>
            <w:r>
              <w:rPr>
                <w:rFonts w:hint="eastAsia" w:ascii="宋体" w:hAnsi="宋体"/>
                <w:lang w:val="en-US" w:eastAsia="zh-CN"/>
              </w:rPr>
              <w:t>否</w:t>
            </w:r>
          </w:p>
        </w:tc>
      </w:tr>
      <w:tr w14:paraId="519F044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19E57C1D">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4</w:t>
            </w:r>
            <w:r>
              <w:rPr>
                <w:rFonts w:hint="default" w:ascii="宋体" w:hAnsi="宋体"/>
              </w:rPr>
              <w:t>6</w:t>
            </w:r>
          </w:p>
        </w:tc>
        <w:tc>
          <w:tcPr>
            <w:tcW w:w="2409" w:type="dxa"/>
            <w:vAlign w:val="center"/>
          </w:tcPr>
          <w:p w14:paraId="2E3144A5">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履约担保</w:t>
            </w:r>
          </w:p>
        </w:tc>
        <w:tc>
          <w:tcPr>
            <w:tcW w:w="4980" w:type="dxa"/>
            <w:vAlign w:val="center"/>
          </w:tcPr>
          <w:p w14:paraId="0838D883">
            <w:pPr>
              <w:keepNext w:val="0"/>
              <w:keepLines w:val="0"/>
              <w:suppressLineNumbers w:val="0"/>
              <w:spacing w:before="0" w:beforeAutospacing="0" w:after="0" w:afterAutospacing="0"/>
              <w:ind w:left="0" w:right="0"/>
              <w:jc w:val="left"/>
              <w:rPr>
                <w:rFonts w:hint="default" w:ascii="宋体" w:hAnsi="宋体"/>
              </w:rPr>
            </w:pPr>
            <w:r>
              <w:rPr>
                <w:rFonts w:hint="eastAsia" w:ascii="宋体" w:hAnsi="宋体"/>
                <w:color w:val="0000FF"/>
              </w:rPr>
              <w:t>本项目无需提供履约保证金。</w:t>
            </w:r>
          </w:p>
        </w:tc>
      </w:tr>
    </w:tbl>
    <w:p w14:paraId="246945B7">
      <w:pPr>
        <w:rPr>
          <w:b/>
        </w:rPr>
      </w:pPr>
      <w:r>
        <w:rPr>
          <w:rFonts w:hint="eastAsia"/>
          <w:szCs w:val="21"/>
        </w:rPr>
        <w:t>备注：本表是通用条款相关条款的补充和明确，如与通用条款内容相冲突的，以本表为准。</w:t>
      </w:r>
    </w:p>
    <w:bookmarkEnd w:id="37"/>
    <w:p w14:paraId="33AF847B">
      <w:pPr>
        <w:pStyle w:val="3"/>
        <w:spacing w:before="120" w:beforeLines="50" w:after="120" w:afterLines="50"/>
        <w:jc w:val="center"/>
        <w:rPr>
          <w:szCs w:val="24"/>
        </w:rPr>
      </w:pPr>
      <w:bookmarkStart w:id="40" w:name="_Hlk72218117"/>
      <w:r>
        <w:rPr>
          <w:rFonts w:hint="eastAsia"/>
          <w:szCs w:val="24"/>
        </w:rPr>
        <w:t>二、其他关键信息</w:t>
      </w:r>
    </w:p>
    <w:p w14:paraId="5B82F8DE">
      <w:pPr>
        <w:ind w:firstLine="422" w:firstLineChars="200"/>
        <w:rPr>
          <w:b/>
          <w:bCs/>
        </w:rPr>
      </w:pPr>
      <w:bookmarkStart w:id="41" w:name="_Hlk72579427"/>
      <w:r>
        <w:rPr>
          <w:rFonts w:hint="eastAsia"/>
          <w:b/>
          <w:bCs/>
        </w:rPr>
        <w:t>（一）与“对通用条款的补充内容”章节相关的事项</w:t>
      </w:r>
    </w:p>
    <w:p w14:paraId="6EB4A904">
      <w:pPr>
        <w:spacing w:line="276" w:lineRule="auto"/>
        <w:ind w:firstLine="422" w:firstLineChars="200"/>
        <w:jc w:val="left"/>
        <w:rPr>
          <w:rFonts w:asciiTheme="minorEastAsia" w:hAnsiTheme="minorEastAsia" w:eastAsiaTheme="minorEastAsia"/>
          <w:b/>
          <w:kern w:val="0"/>
          <w:szCs w:val="20"/>
        </w:rPr>
      </w:pPr>
      <w:r>
        <w:rPr>
          <w:rFonts w:hint="eastAsia" w:asciiTheme="minorEastAsia" w:hAnsiTheme="minorEastAsia" w:eastAsiaTheme="minorEastAsia"/>
          <w:b/>
          <w:kern w:val="0"/>
          <w:szCs w:val="20"/>
        </w:rPr>
        <w:t>1、评标定标信息</w:t>
      </w:r>
    </w:p>
    <w:p w14:paraId="129D5C43">
      <w:pPr>
        <w:jc w:val="center"/>
      </w:pPr>
      <w:r>
        <w:rPr>
          <w:rFonts w:hint="eastAsia"/>
          <w:b/>
        </w:rPr>
        <w:t>非评定分离项目</w:t>
      </w:r>
    </w:p>
    <w:tbl>
      <w:tblPr>
        <w:tblStyle w:val="44"/>
        <w:tblW w:w="8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4"/>
        <w:gridCol w:w="5652"/>
      </w:tblGrid>
      <w:tr w14:paraId="7D0FC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4" w:type="dxa"/>
          </w:tcPr>
          <w:p w14:paraId="1EA23ED4">
            <w:pPr>
              <w:keepNext w:val="0"/>
              <w:keepLines w:val="0"/>
              <w:suppressLineNumbers w:val="0"/>
              <w:spacing w:before="0" w:beforeAutospacing="0" w:after="0" w:afterAutospacing="0"/>
              <w:ind w:left="0" w:right="0"/>
              <w:jc w:val="center"/>
              <w:rPr>
                <w:rFonts w:hint="default"/>
              </w:rPr>
            </w:pPr>
            <w:r>
              <w:rPr>
                <w:rFonts w:hint="eastAsia"/>
              </w:rPr>
              <w:t>评标方法</w:t>
            </w:r>
          </w:p>
        </w:tc>
        <w:tc>
          <w:tcPr>
            <w:tcW w:w="5652" w:type="dxa"/>
          </w:tcPr>
          <w:p w14:paraId="70E3C1CC">
            <w:pPr>
              <w:keepNext w:val="0"/>
              <w:keepLines w:val="0"/>
              <w:suppressLineNumbers w:val="0"/>
              <w:spacing w:before="0" w:beforeAutospacing="0" w:after="0" w:afterAutospacing="0"/>
              <w:ind w:left="0" w:right="0"/>
              <w:jc w:val="center"/>
              <w:rPr>
                <w:rFonts w:hint="default"/>
              </w:rPr>
            </w:pPr>
            <w:r>
              <w:rPr>
                <w:rFonts w:hint="eastAsia"/>
              </w:rPr>
              <w:t>综合评分法</w:t>
            </w:r>
          </w:p>
        </w:tc>
      </w:tr>
      <w:tr w14:paraId="6D4EB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4" w:type="dxa"/>
          </w:tcPr>
          <w:p w14:paraId="46990DDE">
            <w:pPr>
              <w:keepNext w:val="0"/>
              <w:keepLines w:val="0"/>
              <w:suppressLineNumbers w:val="0"/>
              <w:spacing w:before="0" w:beforeAutospacing="0" w:after="0" w:afterAutospacing="0"/>
              <w:ind w:left="0" w:right="0"/>
              <w:jc w:val="center"/>
              <w:rPr>
                <w:rFonts w:hint="default"/>
              </w:rPr>
            </w:pPr>
            <w:r>
              <w:rPr>
                <w:rFonts w:hint="eastAsia"/>
              </w:rPr>
              <w:t>候选中标供应商家数</w:t>
            </w:r>
          </w:p>
        </w:tc>
        <w:tc>
          <w:tcPr>
            <w:tcW w:w="5652" w:type="dxa"/>
          </w:tcPr>
          <w:p w14:paraId="34D43428">
            <w:pPr>
              <w:keepNext w:val="0"/>
              <w:keepLines w:val="0"/>
              <w:suppressLineNumbers w:val="0"/>
              <w:spacing w:before="0" w:beforeAutospacing="0" w:after="0" w:afterAutospacing="0"/>
              <w:ind w:left="0" w:right="0"/>
              <w:jc w:val="center"/>
              <w:rPr>
                <w:rFonts w:hint="eastAsia" w:eastAsia="宋体"/>
                <w:lang w:eastAsia="zh-CN"/>
              </w:rPr>
            </w:pPr>
            <w:r>
              <w:rPr>
                <w:rFonts w:hint="eastAsia"/>
                <w:lang w:val="en-US" w:eastAsia="zh-CN"/>
              </w:rPr>
              <w:t>3</w:t>
            </w:r>
          </w:p>
        </w:tc>
      </w:tr>
      <w:tr w14:paraId="76A27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4" w:type="dxa"/>
          </w:tcPr>
          <w:p w14:paraId="4A49B55C">
            <w:pPr>
              <w:keepNext w:val="0"/>
              <w:keepLines w:val="0"/>
              <w:suppressLineNumbers w:val="0"/>
              <w:spacing w:before="0" w:beforeAutospacing="0" w:after="0" w:afterAutospacing="0"/>
              <w:ind w:left="0" w:right="0"/>
              <w:jc w:val="center"/>
              <w:rPr>
                <w:rFonts w:hint="default"/>
              </w:rPr>
            </w:pPr>
            <w:r>
              <w:rPr>
                <w:rFonts w:hint="eastAsia"/>
              </w:rPr>
              <w:t>中标供应商家数</w:t>
            </w:r>
          </w:p>
        </w:tc>
        <w:tc>
          <w:tcPr>
            <w:tcW w:w="5652" w:type="dxa"/>
          </w:tcPr>
          <w:p w14:paraId="60F44F50">
            <w:pPr>
              <w:keepNext w:val="0"/>
              <w:keepLines w:val="0"/>
              <w:suppressLineNumbers w:val="0"/>
              <w:spacing w:before="0" w:beforeAutospacing="0" w:after="0" w:afterAutospacing="0"/>
              <w:ind w:left="0" w:right="0"/>
              <w:jc w:val="center"/>
              <w:rPr>
                <w:rFonts w:hint="default"/>
              </w:rPr>
            </w:pPr>
            <w:r>
              <w:rPr>
                <w:rFonts w:hint="eastAsia"/>
              </w:rPr>
              <w:t>1</w:t>
            </w:r>
          </w:p>
        </w:tc>
      </w:tr>
    </w:tbl>
    <w:p w14:paraId="556B580A">
      <w:pPr>
        <w:ind w:firstLine="422" w:firstLineChars="200"/>
        <w:rPr>
          <w:rFonts w:hint="eastAsia"/>
          <w:b/>
          <w:highlight w:val="magenta"/>
        </w:rPr>
      </w:pPr>
    </w:p>
    <w:p w14:paraId="624FC030">
      <w:pPr>
        <w:ind w:firstLine="422" w:firstLineChars="200"/>
        <w:rPr>
          <w:b/>
          <w:highlight w:val="none"/>
        </w:rPr>
      </w:pPr>
      <w:r>
        <w:rPr>
          <w:rFonts w:hint="eastAsia"/>
          <w:b/>
          <w:highlight w:val="none"/>
        </w:rPr>
        <w:t>（二）其他事项</w:t>
      </w:r>
      <w:bookmarkEnd w:id="41"/>
    </w:p>
    <w:p w14:paraId="2F82BC55">
      <w:pPr>
        <w:ind w:firstLine="422" w:firstLineChars="200"/>
        <w:rPr>
          <w:b/>
          <w:bCs/>
        </w:rPr>
      </w:pPr>
      <w:r>
        <w:rPr>
          <w:b/>
          <w:bCs/>
        </w:rPr>
        <w:t>1</w:t>
      </w:r>
      <w:r>
        <w:rPr>
          <w:rFonts w:hint="eastAsia"/>
          <w:b/>
          <w:bCs/>
        </w:rPr>
        <w:t>、关于享受优惠政策的主体、价格扣除比例及采购标的所属行业</w:t>
      </w:r>
    </w:p>
    <w:p w14:paraId="0470C566">
      <w:pPr>
        <w:ind w:firstLine="420" w:firstLineChars="200"/>
      </w:pPr>
      <w:r>
        <w:rPr>
          <w:rFonts w:hint="eastAsia"/>
        </w:rPr>
        <w:t>（1）专门面向中小企业采购的项目，不再执行价格扣除比例。</w:t>
      </w:r>
    </w:p>
    <w:p w14:paraId="4BF1F330">
      <w:pPr>
        <w:ind w:firstLine="420" w:firstLineChars="200"/>
      </w:pPr>
      <w:r>
        <w:rPr>
          <w:rFonts w:hint="eastAsia"/>
        </w:rPr>
        <w:t>（2）非专门面向中小企业采购的项目，应执行价格扣除比例：投标人提供的货物（以招标文件用户需求书“货物清单明细”的“货物名称”一栏为准）全部均由优惠主体制造，则对其投标总价给予</w:t>
      </w:r>
      <w:r>
        <w:rPr>
          <w:color w:val="FF0000"/>
          <w:u w:val="single"/>
        </w:rPr>
        <w:t xml:space="preserve">  </w:t>
      </w:r>
      <w:r>
        <w:rPr>
          <w:rFonts w:hint="eastAsia"/>
          <w:color w:val="FF0000"/>
          <w:u w:val="single"/>
        </w:rPr>
        <w:t xml:space="preserve">  </w:t>
      </w:r>
      <w:r>
        <w:rPr>
          <w:rFonts w:hint="eastAsia"/>
          <w:color w:val="FF0000"/>
          <w:u w:val="single"/>
          <w:lang w:val="en-US" w:eastAsia="zh-CN"/>
        </w:rPr>
        <w:t>10</w:t>
      </w:r>
      <w:r>
        <w:rPr>
          <w:rFonts w:hint="eastAsia"/>
          <w:color w:val="FF0000"/>
          <w:u w:val="single"/>
        </w:rPr>
        <w:t xml:space="preserve"> </w:t>
      </w:r>
      <w:r>
        <w:rPr>
          <w:color w:val="FF0000"/>
          <w:u w:val="single"/>
        </w:rPr>
        <w:t xml:space="preserve">  </w:t>
      </w:r>
      <w:r>
        <w:rPr>
          <w:rFonts w:hint="eastAsia"/>
          <w:color w:val="FF0000"/>
          <w:u w:val="single"/>
        </w:rPr>
        <w:t xml:space="preserve"> </w:t>
      </w:r>
      <w:r>
        <w:rPr>
          <w:rFonts w:hint="eastAsia"/>
          <w:color w:val="FF0000"/>
        </w:rPr>
        <w:t xml:space="preserve"> </w:t>
      </w:r>
      <w:r>
        <w:rPr>
          <w:color w:val="FF0000"/>
        </w:rPr>
        <w:t>%</w:t>
      </w:r>
      <w:r>
        <w:rPr>
          <w:rFonts w:hint="eastAsia"/>
        </w:rPr>
        <w:t>的扣除，用扣除后的价格参与评审。满足多项优惠政策的供应商，不重复享受多项价格扣除政策。</w:t>
      </w:r>
    </w:p>
    <w:p w14:paraId="308426C4">
      <w:pPr>
        <w:ind w:firstLine="420" w:firstLineChars="200"/>
      </w:pPr>
      <w:r>
        <w:rPr>
          <w:rFonts w:hint="eastAsia"/>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w:t>
      </w:r>
      <w:r>
        <w:t>b)</w:t>
      </w:r>
      <w:r>
        <w:rPr>
          <w:rFonts w:hint="eastAsia"/>
        </w:rPr>
        <w:t>优惠主体制造是指货物由优惠主体生产且使用该优惠主体商号或者注册商标；投标人提供的货物既有优惠主体制造货物，又有非优惠主体制造货物的，不给予价格扣除。</w:t>
      </w:r>
    </w:p>
    <w:p w14:paraId="2A1EBFE9">
      <w:pPr>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bookmarkStart w:id="42" w:name="_Hlk71970739"/>
      <w:r>
        <w:rPr>
          <w:rFonts w:hint="eastAsia" w:asciiTheme="minorEastAsia" w:hAnsiTheme="minorEastAsia" w:eastAsiaTheme="minorEastAsia" w:cstheme="minorEastAsia"/>
          <w:szCs w:val="21"/>
        </w:rPr>
        <w:t>中小企业参加政府采购活动，应当按照国务院批准的《中小企业划型标准规定》（工信部联企业〔2011〕300号）、《金融业企业划型标准规定》（银发〔2015〕309号）和《财政部 工业和信息化部关于印发〈政府采购促进中小企业发展管理办法〉的通知》（财库〔2020〕46号）的规定，出具《中小企业声明函》，</w:t>
      </w:r>
      <w:bookmarkEnd w:id="42"/>
      <w:r>
        <w:rPr>
          <w:rFonts w:hint="eastAsia" w:asciiTheme="minorEastAsia" w:hAnsiTheme="minorEastAsia" w:eastAsiaTheme="minorEastAsia" w:cstheme="minorEastAsia"/>
          <w:b/>
          <w:bCs/>
          <w:color w:val="FF0000"/>
          <w:szCs w:val="21"/>
        </w:rPr>
        <w:t>《中小企业声明函》中相关企业（货物制造商）所属行业应当与采购标的所属行业相一致，</w:t>
      </w:r>
      <w:r>
        <w:rPr>
          <w:rFonts w:hint="eastAsia"/>
          <w:b/>
          <w:bCs/>
          <w:color w:val="FF0000"/>
        </w:rPr>
        <w:t>标的所属行业以招标文件第一册第三章用户需求书“货物清单明细”的“标的所属行业”一栏为准</w:t>
      </w:r>
      <w:r>
        <w:rPr>
          <w:rFonts w:hint="eastAsia" w:asciiTheme="minorEastAsia" w:hAnsiTheme="minorEastAsia" w:eastAsiaTheme="minorEastAsia" w:cstheme="minorEastAsia"/>
          <w:b/>
          <w:bCs/>
          <w:color w:val="FF0000"/>
          <w:szCs w:val="21"/>
        </w:rPr>
        <w:t>。</w:t>
      </w:r>
    </w:p>
    <w:p w14:paraId="706A7332">
      <w:pPr>
        <w:ind w:firstLine="420" w:firstLineChars="200"/>
      </w:pPr>
      <w:r>
        <w:rPr>
          <w:rFonts w:hint="eastAsia" w:asciiTheme="minorEastAsia" w:hAnsiTheme="minorEastAsia" w:eastAsiaTheme="minorEastAsia" w:cstheme="minorEastAsia"/>
          <w:szCs w:val="21"/>
        </w:rPr>
        <w:t>（4）小型企业、微型企业、残疾人福利性单位作为优惠主体的认定资料为《中小企业声明函》、《残疾人福利性单</w:t>
      </w:r>
      <w:r>
        <w:rPr>
          <w:rFonts w:hint="eastAsia"/>
        </w:rPr>
        <w:t>位声明函》；监狱企业作为优惠主体的认定资料为省级以上监狱管理局、戒毒管理局出具的监狱企业证明文件。声明函样式见本招标文件第一册专用条款第三章“投标文件格式、附件”中“四、投标人情况及资格证明文件”章节提供的格式）。</w:t>
      </w:r>
    </w:p>
    <w:p w14:paraId="7766145F">
      <w:pPr>
        <w:ind w:firstLine="420" w:firstLineChars="200"/>
      </w:pPr>
      <w:r>
        <w:rPr>
          <w:rFonts w:hint="eastAsia"/>
        </w:rPr>
        <w:t>（5）享受价格扣除获得政府采购合同的，小微企业不得将合同分包给大中型企业。</w:t>
      </w:r>
    </w:p>
    <w:p w14:paraId="16BB41FB">
      <w:pPr>
        <w:ind w:firstLine="422" w:firstLineChars="200"/>
        <w:rPr>
          <w:b/>
        </w:rPr>
      </w:pPr>
      <w:r>
        <w:rPr>
          <w:rFonts w:hint="eastAsia"/>
          <w:b/>
        </w:rPr>
        <w:t>2、</w:t>
      </w:r>
      <w:bookmarkStart w:id="43" w:name="_Hlk76855768"/>
      <w:bookmarkStart w:id="44" w:name="_Hlk72594729"/>
      <w:r>
        <w:rPr>
          <w:rFonts w:hint="eastAsia"/>
          <w:b/>
        </w:rPr>
        <w:t>本项目</w:t>
      </w:r>
      <w:r>
        <w:rPr>
          <w:rFonts w:hint="eastAsia"/>
          <w:b/>
          <w:lang w:val="en-US" w:eastAsia="zh-CN"/>
        </w:rPr>
        <w:t>及包组</w:t>
      </w:r>
      <w:r>
        <w:rPr>
          <w:rFonts w:hint="eastAsia"/>
          <w:b/>
        </w:rPr>
        <w:t>为代理服务项目，将向中标（成交）供应商收取代理服务费。</w:t>
      </w:r>
    </w:p>
    <w:bookmarkEnd w:id="43"/>
    <w:bookmarkEnd w:id="44"/>
    <w:p w14:paraId="46D614FA">
      <w:pPr>
        <w:ind w:firstLine="420" w:firstLineChars="200"/>
      </w:pPr>
      <w:r>
        <w:rPr>
          <w:rFonts w:hint="eastAsia"/>
        </w:rPr>
        <w:t>中标（成交）供应商在领取《中标（成交）通知书》之前须向深圳公共资源交易中心（深圳交易集团有限公司罗湖分公司）交纳代理服务费。若因中标（成交）供应商交纳代理服务费所产生的时间影响到合同签订的，由中标（成交）供应商自行承担责任。代理服务费标准参照下列标准收取。</w:t>
      </w:r>
      <w:r>
        <w:rPr>
          <w:rFonts w:hint="eastAsia"/>
          <w:b/>
          <w:color w:val="FF0000"/>
        </w:rPr>
        <w:t>本项目类型为货物采购：</w:t>
      </w:r>
    </w:p>
    <w:p w14:paraId="7C1BEFD0">
      <w:pPr>
        <w:ind w:firstLine="420" w:firstLineChars="200"/>
      </w:pPr>
      <w:r>
        <w:rPr>
          <w:rFonts w:hint="eastAsia"/>
        </w:rPr>
        <w:t>（1）代理服务费以《中标（成交）通知书》确定的中标（成交）金额作为计算基数，按差额定率累进法计算。</w:t>
      </w:r>
    </w:p>
    <w:p w14:paraId="7D6CC776">
      <w:pPr>
        <w:ind w:firstLine="420" w:firstLineChars="200"/>
      </w:pPr>
      <w:r>
        <w:rPr>
          <w:rFonts w:hint="eastAsia"/>
        </w:rPr>
        <w:t>（2）中标（成交）金额的各部分费率如下表：</w:t>
      </w:r>
    </w:p>
    <w:tbl>
      <w:tblPr>
        <w:tblStyle w:val="4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5"/>
        <w:gridCol w:w="1799"/>
        <w:gridCol w:w="1799"/>
        <w:gridCol w:w="1799"/>
      </w:tblGrid>
      <w:tr w14:paraId="76E86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3125" w:type="dxa"/>
            <w:vAlign w:val="center"/>
          </w:tcPr>
          <w:p w14:paraId="3D584E6B">
            <w:pPr>
              <w:keepNext w:val="0"/>
              <w:keepLines w:val="0"/>
              <w:widowControl/>
              <w:suppressLineNumbers w:val="0"/>
              <w:spacing w:before="0" w:beforeAutospacing="0" w:after="0" w:afterAutospacing="0" w:line="360" w:lineRule="auto"/>
              <w:ind w:left="0" w:right="0"/>
              <w:jc w:val="center"/>
              <w:rPr>
                <w:rFonts w:hint="default"/>
              </w:rPr>
            </w:pPr>
            <w:r>
              <w:rPr>
                <w:rFonts w:hint="eastAsia"/>
              </w:rPr>
              <w:t>中标（成交）金额</w:t>
            </w:r>
          </w:p>
        </w:tc>
        <w:tc>
          <w:tcPr>
            <w:tcW w:w="1799" w:type="dxa"/>
            <w:vAlign w:val="center"/>
          </w:tcPr>
          <w:p w14:paraId="5A4B946F">
            <w:pPr>
              <w:keepNext w:val="0"/>
              <w:keepLines w:val="0"/>
              <w:widowControl/>
              <w:suppressLineNumbers w:val="0"/>
              <w:spacing w:before="0" w:beforeAutospacing="0" w:after="0" w:afterAutospacing="0" w:line="360" w:lineRule="auto"/>
              <w:ind w:left="0" w:right="0"/>
              <w:jc w:val="center"/>
              <w:rPr>
                <w:rFonts w:hint="default"/>
              </w:rPr>
            </w:pPr>
            <w:r>
              <w:rPr>
                <w:rFonts w:hint="eastAsia"/>
              </w:rPr>
              <w:t>货物采购</w:t>
            </w:r>
          </w:p>
        </w:tc>
        <w:tc>
          <w:tcPr>
            <w:tcW w:w="1799" w:type="dxa"/>
            <w:vAlign w:val="center"/>
          </w:tcPr>
          <w:p w14:paraId="2B02E39B">
            <w:pPr>
              <w:keepNext w:val="0"/>
              <w:keepLines w:val="0"/>
              <w:widowControl/>
              <w:suppressLineNumbers w:val="0"/>
              <w:spacing w:before="0" w:beforeAutospacing="0" w:after="0" w:afterAutospacing="0" w:line="360" w:lineRule="auto"/>
              <w:ind w:left="0" w:right="0"/>
              <w:jc w:val="center"/>
              <w:rPr>
                <w:rFonts w:hint="default"/>
              </w:rPr>
            </w:pPr>
            <w:r>
              <w:rPr>
                <w:rFonts w:hint="eastAsia"/>
              </w:rPr>
              <w:t>服务采购</w:t>
            </w:r>
          </w:p>
        </w:tc>
        <w:tc>
          <w:tcPr>
            <w:tcW w:w="1799" w:type="dxa"/>
            <w:vAlign w:val="center"/>
          </w:tcPr>
          <w:p w14:paraId="467F7A75">
            <w:pPr>
              <w:keepNext w:val="0"/>
              <w:keepLines w:val="0"/>
              <w:widowControl/>
              <w:suppressLineNumbers w:val="0"/>
              <w:spacing w:before="0" w:beforeAutospacing="0" w:after="0" w:afterAutospacing="0" w:line="360" w:lineRule="auto"/>
              <w:ind w:left="0" w:right="0"/>
              <w:jc w:val="center"/>
              <w:rPr>
                <w:rFonts w:hint="default"/>
              </w:rPr>
            </w:pPr>
            <w:r>
              <w:rPr>
                <w:rFonts w:hint="eastAsia"/>
              </w:rPr>
              <w:t>工程采购</w:t>
            </w:r>
          </w:p>
        </w:tc>
      </w:tr>
      <w:tr w14:paraId="062E8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78E15243">
            <w:pPr>
              <w:keepNext w:val="0"/>
              <w:keepLines w:val="0"/>
              <w:widowControl/>
              <w:suppressLineNumbers w:val="0"/>
              <w:spacing w:before="0" w:beforeAutospacing="0" w:after="0" w:afterAutospacing="0" w:line="360" w:lineRule="auto"/>
              <w:ind w:left="0" w:right="0"/>
              <w:jc w:val="center"/>
              <w:rPr>
                <w:rFonts w:hint="default"/>
              </w:rPr>
            </w:pPr>
            <w:r>
              <w:rPr>
                <w:rFonts w:hint="eastAsia"/>
              </w:rPr>
              <w:t>100万元以下</w:t>
            </w:r>
          </w:p>
        </w:tc>
        <w:tc>
          <w:tcPr>
            <w:tcW w:w="1799" w:type="dxa"/>
            <w:vAlign w:val="center"/>
          </w:tcPr>
          <w:p w14:paraId="212AF079">
            <w:pPr>
              <w:keepNext w:val="0"/>
              <w:keepLines w:val="0"/>
              <w:widowControl/>
              <w:suppressLineNumbers w:val="0"/>
              <w:spacing w:before="0" w:beforeAutospacing="0" w:after="0" w:afterAutospacing="0" w:line="360" w:lineRule="auto"/>
              <w:ind w:left="0" w:right="0"/>
              <w:jc w:val="center"/>
              <w:rPr>
                <w:rFonts w:hint="default"/>
              </w:rPr>
            </w:pPr>
            <w:r>
              <w:rPr>
                <w:rFonts w:hint="eastAsia"/>
              </w:rPr>
              <w:t>1.5%</w:t>
            </w:r>
          </w:p>
        </w:tc>
        <w:tc>
          <w:tcPr>
            <w:tcW w:w="1799" w:type="dxa"/>
            <w:vAlign w:val="center"/>
          </w:tcPr>
          <w:p w14:paraId="678990C8">
            <w:pPr>
              <w:keepNext w:val="0"/>
              <w:keepLines w:val="0"/>
              <w:widowControl/>
              <w:suppressLineNumbers w:val="0"/>
              <w:spacing w:before="0" w:beforeAutospacing="0" w:after="0" w:afterAutospacing="0" w:line="360" w:lineRule="auto"/>
              <w:ind w:left="0" w:right="0"/>
              <w:jc w:val="center"/>
              <w:rPr>
                <w:rFonts w:hint="default"/>
              </w:rPr>
            </w:pPr>
            <w:r>
              <w:rPr>
                <w:rFonts w:hint="eastAsia"/>
              </w:rPr>
              <w:t>1.5%</w:t>
            </w:r>
          </w:p>
        </w:tc>
        <w:tc>
          <w:tcPr>
            <w:tcW w:w="1799" w:type="dxa"/>
            <w:vAlign w:val="center"/>
          </w:tcPr>
          <w:p w14:paraId="16764863">
            <w:pPr>
              <w:keepNext w:val="0"/>
              <w:keepLines w:val="0"/>
              <w:widowControl/>
              <w:suppressLineNumbers w:val="0"/>
              <w:spacing w:before="0" w:beforeAutospacing="0" w:after="0" w:afterAutospacing="0" w:line="360" w:lineRule="auto"/>
              <w:ind w:left="0" w:right="0"/>
              <w:jc w:val="center"/>
              <w:rPr>
                <w:rFonts w:hint="default"/>
              </w:rPr>
            </w:pPr>
            <w:r>
              <w:rPr>
                <w:rFonts w:hint="eastAsia"/>
              </w:rPr>
              <w:t>1.0%</w:t>
            </w:r>
          </w:p>
        </w:tc>
      </w:tr>
      <w:tr w14:paraId="70CEE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3B204C33">
            <w:pPr>
              <w:keepNext w:val="0"/>
              <w:keepLines w:val="0"/>
              <w:widowControl/>
              <w:suppressLineNumbers w:val="0"/>
              <w:spacing w:before="0" w:beforeAutospacing="0" w:after="0" w:afterAutospacing="0" w:line="360" w:lineRule="auto"/>
              <w:ind w:left="0" w:right="0"/>
              <w:jc w:val="center"/>
              <w:rPr>
                <w:rFonts w:hint="default"/>
              </w:rPr>
            </w:pPr>
            <w:r>
              <w:rPr>
                <w:rFonts w:hint="eastAsia"/>
              </w:rPr>
              <w:t>100万元（含）-500万元</w:t>
            </w:r>
          </w:p>
        </w:tc>
        <w:tc>
          <w:tcPr>
            <w:tcW w:w="1799" w:type="dxa"/>
            <w:vAlign w:val="center"/>
          </w:tcPr>
          <w:p w14:paraId="62BB439F">
            <w:pPr>
              <w:keepNext w:val="0"/>
              <w:keepLines w:val="0"/>
              <w:widowControl/>
              <w:suppressLineNumbers w:val="0"/>
              <w:spacing w:before="0" w:beforeAutospacing="0" w:after="0" w:afterAutospacing="0" w:line="360" w:lineRule="auto"/>
              <w:ind w:left="0" w:right="0"/>
              <w:jc w:val="center"/>
              <w:rPr>
                <w:rFonts w:hint="default"/>
              </w:rPr>
            </w:pPr>
            <w:r>
              <w:rPr>
                <w:rFonts w:hint="eastAsia"/>
              </w:rPr>
              <w:t>1.1%</w:t>
            </w:r>
          </w:p>
        </w:tc>
        <w:tc>
          <w:tcPr>
            <w:tcW w:w="1799" w:type="dxa"/>
            <w:vAlign w:val="center"/>
          </w:tcPr>
          <w:p w14:paraId="5FA60A3D">
            <w:pPr>
              <w:keepNext w:val="0"/>
              <w:keepLines w:val="0"/>
              <w:widowControl/>
              <w:suppressLineNumbers w:val="0"/>
              <w:spacing w:before="0" w:beforeAutospacing="0" w:after="0" w:afterAutospacing="0" w:line="360" w:lineRule="auto"/>
              <w:ind w:left="0" w:right="0"/>
              <w:jc w:val="center"/>
              <w:rPr>
                <w:rFonts w:hint="default"/>
              </w:rPr>
            </w:pPr>
            <w:r>
              <w:rPr>
                <w:rFonts w:hint="eastAsia"/>
              </w:rPr>
              <w:t>0.8%</w:t>
            </w:r>
          </w:p>
        </w:tc>
        <w:tc>
          <w:tcPr>
            <w:tcW w:w="1799" w:type="dxa"/>
            <w:vAlign w:val="center"/>
          </w:tcPr>
          <w:p w14:paraId="1657431E">
            <w:pPr>
              <w:keepNext w:val="0"/>
              <w:keepLines w:val="0"/>
              <w:widowControl/>
              <w:suppressLineNumbers w:val="0"/>
              <w:spacing w:before="0" w:beforeAutospacing="0" w:after="0" w:afterAutospacing="0" w:line="360" w:lineRule="auto"/>
              <w:ind w:left="0" w:right="0"/>
              <w:jc w:val="center"/>
              <w:rPr>
                <w:rFonts w:hint="default"/>
              </w:rPr>
            </w:pPr>
            <w:r>
              <w:rPr>
                <w:rFonts w:hint="eastAsia"/>
              </w:rPr>
              <w:t>0.7%</w:t>
            </w:r>
          </w:p>
        </w:tc>
      </w:tr>
      <w:tr w14:paraId="58D85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0052839D">
            <w:pPr>
              <w:keepNext w:val="0"/>
              <w:keepLines w:val="0"/>
              <w:widowControl/>
              <w:suppressLineNumbers w:val="0"/>
              <w:spacing w:before="0" w:beforeAutospacing="0" w:after="0" w:afterAutospacing="0" w:line="360" w:lineRule="auto"/>
              <w:ind w:left="0" w:right="0"/>
              <w:jc w:val="center"/>
              <w:rPr>
                <w:rFonts w:hint="default"/>
              </w:rPr>
            </w:pPr>
            <w:r>
              <w:rPr>
                <w:rFonts w:hint="eastAsia"/>
              </w:rPr>
              <w:t>500万元（含）-1000万元</w:t>
            </w:r>
          </w:p>
        </w:tc>
        <w:tc>
          <w:tcPr>
            <w:tcW w:w="1799" w:type="dxa"/>
            <w:vAlign w:val="center"/>
          </w:tcPr>
          <w:p w14:paraId="5DE3C219">
            <w:pPr>
              <w:keepNext w:val="0"/>
              <w:keepLines w:val="0"/>
              <w:widowControl/>
              <w:suppressLineNumbers w:val="0"/>
              <w:spacing w:before="0" w:beforeAutospacing="0" w:after="0" w:afterAutospacing="0" w:line="360" w:lineRule="auto"/>
              <w:ind w:left="0" w:right="0"/>
              <w:jc w:val="center"/>
              <w:rPr>
                <w:rFonts w:hint="default"/>
              </w:rPr>
            </w:pPr>
            <w:r>
              <w:rPr>
                <w:rFonts w:hint="eastAsia"/>
              </w:rPr>
              <w:t>0.8%</w:t>
            </w:r>
          </w:p>
        </w:tc>
        <w:tc>
          <w:tcPr>
            <w:tcW w:w="1799" w:type="dxa"/>
            <w:vAlign w:val="center"/>
          </w:tcPr>
          <w:p w14:paraId="07BD81A9">
            <w:pPr>
              <w:keepNext w:val="0"/>
              <w:keepLines w:val="0"/>
              <w:widowControl/>
              <w:suppressLineNumbers w:val="0"/>
              <w:spacing w:before="0" w:beforeAutospacing="0" w:after="0" w:afterAutospacing="0" w:line="360" w:lineRule="auto"/>
              <w:ind w:left="0" w:right="0"/>
              <w:jc w:val="center"/>
              <w:rPr>
                <w:rFonts w:hint="default"/>
              </w:rPr>
            </w:pPr>
            <w:r>
              <w:rPr>
                <w:rFonts w:hint="eastAsia"/>
              </w:rPr>
              <w:t>0.45%</w:t>
            </w:r>
          </w:p>
        </w:tc>
        <w:tc>
          <w:tcPr>
            <w:tcW w:w="1799" w:type="dxa"/>
            <w:vAlign w:val="center"/>
          </w:tcPr>
          <w:p w14:paraId="3CAC3B65">
            <w:pPr>
              <w:keepNext w:val="0"/>
              <w:keepLines w:val="0"/>
              <w:widowControl/>
              <w:suppressLineNumbers w:val="0"/>
              <w:spacing w:before="0" w:beforeAutospacing="0" w:after="0" w:afterAutospacing="0" w:line="360" w:lineRule="auto"/>
              <w:ind w:left="0" w:right="0"/>
              <w:jc w:val="center"/>
              <w:rPr>
                <w:rFonts w:hint="default"/>
              </w:rPr>
            </w:pPr>
            <w:r>
              <w:rPr>
                <w:rFonts w:hint="eastAsia"/>
              </w:rPr>
              <w:t>0.55%</w:t>
            </w:r>
          </w:p>
        </w:tc>
      </w:tr>
      <w:tr w14:paraId="06B04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1FF273D9">
            <w:pPr>
              <w:keepNext w:val="0"/>
              <w:keepLines w:val="0"/>
              <w:widowControl/>
              <w:suppressLineNumbers w:val="0"/>
              <w:spacing w:before="0" w:beforeAutospacing="0" w:after="0" w:afterAutospacing="0" w:line="360" w:lineRule="auto"/>
              <w:ind w:left="0" w:right="0"/>
              <w:jc w:val="center"/>
              <w:rPr>
                <w:rFonts w:hint="default"/>
              </w:rPr>
            </w:pPr>
            <w:r>
              <w:rPr>
                <w:rFonts w:hint="eastAsia"/>
              </w:rPr>
              <w:t>1000万元（含）-5000万元</w:t>
            </w:r>
          </w:p>
        </w:tc>
        <w:tc>
          <w:tcPr>
            <w:tcW w:w="1799" w:type="dxa"/>
            <w:vAlign w:val="center"/>
          </w:tcPr>
          <w:p w14:paraId="06E07864">
            <w:pPr>
              <w:keepNext w:val="0"/>
              <w:keepLines w:val="0"/>
              <w:widowControl/>
              <w:suppressLineNumbers w:val="0"/>
              <w:spacing w:before="0" w:beforeAutospacing="0" w:after="0" w:afterAutospacing="0" w:line="360" w:lineRule="auto"/>
              <w:ind w:left="0" w:right="0"/>
              <w:jc w:val="center"/>
              <w:rPr>
                <w:rFonts w:hint="default"/>
              </w:rPr>
            </w:pPr>
            <w:r>
              <w:rPr>
                <w:rFonts w:hint="eastAsia"/>
              </w:rPr>
              <w:t>0.5%</w:t>
            </w:r>
          </w:p>
        </w:tc>
        <w:tc>
          <w:tcPr>
            <w:tcW w:w="1799" w:type="dxa"/>
            <w:vAlign w:val="center"/>
          </w:tcPr>
          <w:p w14:paraId="0A33C30E">
            <w:pPr>
              <w:keepNext w:val="0"/>
              <w:keepLines w:val="0"/>
              <w:widowControl/>
              <w:suppressLineNumbers w:val="0"/>
              <w:spacing w:before="0" w:beforeAutospacing="0" w:after="0" w:afterAutospacing="0" w:line="360" w:lineRule="auto"/>
              <w:ind w:left="0" w:right="0"/>
              <w:jc w:val="center"/>
              <w:rPr>
                <w:rFonts w:hint="default"/>
              </w:rPr>
            </w:pPr>
            <w:r>
              <w:rPr>
                <w:rFonts w:hint="eastAsia"/>
              </w:rPr>
              <w:t>0.25%</w:t>
            </w:r>
          </w:p>
        </w:tc>
        <w:tc>
          <w:tcPr>
            <w:tcW w:w="1799" w:type="dxa"/>
            <w:vAlign w:val="center"/>
          </w:tcPr>
          <w:p w14:paraId="3534E9D5">
            <w:pPr>
              <w:keepNext w:val="0"/>
              <w:keepLines w:val="0"/>
              <w:widowControl/>
              <w:suppressLineNumbers w:val="0"/>
              <w:spacing w:before="0" w:beforeAutospacing="0" w:after="0" w:afterAutospacing="0" w:line="360" w:lineRule="auto"/>
              <w:ind w:left="0" w:right="0"/>
              <w:jc w:val="center"/>
              <w:rPr>
                <w:rFonts w:hint="default"/>
              </w:rPr>
            </w:pPr>
            <w:r>
              <w:rPr>
                <w:rFonts w:hint="eastAsia"/>
              </w:rPr>
              <w:t>0.35%</w:t>
            </w:r>
          </w:p>
        </w:tc>
      </w:tr>
      <w:tr w14:paraId="26DA6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15BB3158">
            <w:pPr>
              <w:keepNext w:val="0"/>
              <w:keepLines w:val="0"/>
              <w:widowControl/>
              <w:suppressLineNumbers w:val="0"/>
              <w:spacing w:before="0" w:beforeAutospacing="0" w:after="0" w:afterAutospacing="0" w:line="360" w:lineRule="auto"/>
              <w:ind w:left="0" w:right="0"/>
              <w:jc w:val="center"/>
              <w:rPr>
                <w:rFonts w:hint="default"/>
              </w:rPr>
            </w:pPr>
            <w:r>
              <w:rPr>
                <w:rFonts w:hint="eastAsia"/>
              </w:rPr>
              <w:t>5000万元（含）-1亿元</w:t>
            </w:r>
          </w:p>
        </w:tc>
        <w:tc>
          <w:tcPr>
            <w:tcW w:w="1799" w:type="dxa"/>
            <w:vAlign w:val="center"/>
          </w:tcPr>
          <w:p w14:paraId="55C3605C">
            <w:pPr>
              <w:keepNext w:val="0"/>
              <w:keepLines w:val="0"/>
              <w:widowControl/>
              <w:suppressLineNumbers w:val="0"/>
              <w:spacing w:before="0" w:beforeAutospacing="0" w:after="0" w:afterAutospacing="0" w:line="360" w:lineRule="auto"/>
              <w:ind w:left="0" w:right="0"/>
              <w:jc w:val="center"/>
              <w:rPr>
                <w:rFonts w:hint="default"/>
              </w:rPr>
            </w:pPr>
            <w:r>
              <w:rPr>
                <w:rFonts w:hint="eastAsia"/>
              </w:rPr>
              <w:t>0.25%</w:t>
            </w:r>
          </w:p>
        </w:tc>
        <w:tc>
          <w:tcPr>
            <w:tcW w:w="1799" w:type="dxa"/>
            <w:vAlign w:val="center"/>
          </w:tcPr>
          <w:p w14:paraId="3DA3AF12">
            <w:pPr>
              <w:keepNext w:val="0"/>
              <w:keepLines w:val="0"/>
              <w:widowControl/>
              <w:suppressLineNumbers w:val="0"/>
              <w:spacing w:before="0" w:beforeAutospacing="0" w:after="0" w:afterAutospacing="0" w:line="360" w:lineRule="auto"/>
              <w:ind w:left="0" w:right="0"/>
              <w:jc w:val="center"/>
              <w:rPr>
                <w:rFonts w:hint="default"/>
              </w:rPr>
            </w:pPr>
            <w:r>
              <w:rPr>
                <w:rFonts w:hint="eastAsia"/>
              </w:rPr>
              <w:t>0.1%</w:t>
            </w:r>
          </w:p>
        </w:tc>
        <w:tc>
          <w:tcPr>
            <w:tcW w:w="1799" w:type="dxa"/>
            <w:vAlign w:val="center"/>
          </w:tcPr>
          <w:p w14:paraId="5E0CC016">
            <w:pPr>
              <w:keepNext w:val="0"/>
              <w:keepLines w:val="0"/>
              <w:widowControl/>
              <w:suppressLineNumbers w:val="0"/>
              <w:spacing w:before="0" w:beforeAutospacing="0" w:after="0" w:afterAutospacing="0" w:line="360" w:lineRule="auto"/>
              <w:ind w:left="0" w:right="0"/>
              <w:jc w:val="center"/>
              <w:rPr>
                <w:rFonts w:hint="default"/>
              </w:rPr>
            </w:pPr>
            <w:r>
              <w:rPr>
                <w:rFonts w:hint="eastAsia"/>
              </w:rPr>
              <w:t>0.2%</w:t>
            </w:r>
          </w:p>
        </w:tc>
      </w:tr>
      <w:tr w14:paraId="1EF40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2AAD0C22">
            <w:pPr>
              <w:keepNext w:val="0"/>
              <w:keepLines w:val="0"/>
              <w:widowControl/>
              <w:suppressLineNumbers w:val="0"/>
              <w:spacing w:before="0" w:beforeAutospacing="0" w:after="0" w:afterAutospacing="0" w:line="360" w:lineRule="auto"/>
              <w:ind w:left="0" w:right="0"/>
              <w:jc w:val="center"/>
              <w:rPr>
                <w:rFonts w:hint="default"/>
              </w:rPr>
            </w:pPr>
            <w:r>
              <w:rPr>
                <w:rFonts w:hint="eastAsia"/>
              </w:rPr>
              <w:t>1亿元（含）-5亿元</w:t>
            </w:r>
          </w:p>
        </w:tc>
        <w:tc>
          <w:tcPr>
            <w:tcW w:w="1799" w:type="dxa"/>
            <w:vAlign w:val="center"/>
          </w:tcPr>
          <w:p w14:paraId="43C67D1E">
            <w:pPr>
              <w:keepNext w:val="0"/>
              <w:keepLines w:val="0"/>
              <w:widowControl/>
              <w:suppressLineNumbers w:val="0"/>
              <w:spacing w:before="0" w:beforeAutospacing="0" w:after="0" w:afterAutospacing="0" w:line="360" w:lineRule="auto"/>
              <w:ind w:left="0" w:right="0"/>
              <w:jc w:val="center"/>
              <w:rPr>
                <w:rFonts w:hint="default"/>
              </w:rPr>
            </w:pPr>
            <w:r>
              <w:rPr>
                <w:rFonts w:hint="eastAsia"/>
              </w:rPr>
              <w:t>0.05%</w:t>
            </w:r>
          </w:p>
        </w:tc>
        <w:tc>
          <w:tcPr>
            <w:tcW w:w="1799" w:type="dxa"/>
            <w:vAlign w:val="center"/>
          </w:tcPr>
          <w:p w14:paraId="64286012">
            <w:pPr>
              <w:keepNext w:val="0"/>
              <w:keepLines w:val="0"/>
              <w:widowControl/>
              <w:suppressLineNumbers w:val="0"/>
              <w:spacing w:before="0" w:beforeAutospacing="0" w:after="0" w:afterAutospacing="0" w:line="360" w:lineRule="auto"/>
              <w:ind w:left="0" w:right="0"/>
              <w:jc w:val="center"/>
              <w:rPr>
                <w:rFonts w:hint="default"/>
              </w:rPr>
            </w:pPr>
            <w:r>
              <w:rPr>
                <w:rFonts w:hint="eastAsia"/>
              </w:rPr>
              <w:t>0.05%</w:t>
            </w:r>
          </w:p>
        </w:tc>
        <w:tc>
          <w:tcPr>
            <w:tcW w:w="1799" w:type="dxa"/>
            <w:vAlign w:val="center"/>
          </w:tcPr>
          <w:p w14:paraId="7C7E7359">
            <w:pPr>
              <w:keepNext w:val="0"/>
              <w:keepLines w:val="0"/>
              <w:widowControl/>
              <w:suppressLineNumbers w:val="0"/>
              <w:spacing w:before="0" w:beforeAutospacing="0" w:after="0" w:afterAutospacing="0" w:line="360" w:lineRule="auto"/>
              <w:ind w:left="0" w:right="0"/>
              <w:jc w:val="center"/>
              <w:rPr>
                <w:rFonts w:hint="default"/>
              </w:rPr>
            </w:pPr>
            <w:r>
              <w:rPr>
                <w:rFonts w:hint="eastAsia"/>
              </w:rPr>
              <w:t>0.05%</w:t>
            </w:r>
          </w:p>
        </w:tc>
      </w:tr>
      <w:tr w14:paraId="5C132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07119A08">
            <w:pPr>
              <w:keepNext w:val="0"/>
              <w:keepLines w:val="0"/>
              <w:widowControl/>
              <w:suppressLineNumbers w:val="0"/>
              <w:spacing w:before="0" w:beforeAutospacing="0" w:after="0" w:afterAutospacing="0" w:line="360" w:lineRule="auto"/>
              <w:ind w:left="0" w:right="0"/>
              <w:jc w:val="center"/>
              <w:rPr>
                <w:rFonts w:hint="default"/>
              </w:rPr>
            </w:pPr>
            <w:r>
              <w:rPr>
                <w:rFonts w:hint="eastAsia"/>
              </w:rPr>
              <w:t>5亿元（含）-10亿元</w:t>
            </w:r>
          </w:p>
        </w:tc>
        <w:tc>
          <w:tcPr>
            <w:tcW w:w="1799" w:type="dxa"/>
            <w:vAlign w:val="center"/>
          </w:tcPr>
          <w:p w14:paraId="0F9835AE">
            <w:pPr>
              <w:keepNext w:val="0"/>
              <w:keepLines w:val="0"/>
              <w:widowControl/>
              <w:suppressLineNumbers w:val="0"/>
              <w:spacing w:before="0" w:beforeAutospacing="0" w:after="0" w:afterAutospacing="0" w:line="360" w:lineRule="auto"/>
              <w:ind w:left="0" w:right="0"/>
              <w:jc w:val="center"/>
              <w:rPr>
                <w:rFonts w:hint="default"/>
              </w:rPr>
            </w:pPr>
            <w:r>
              <w:rPr>
                <w:rFonts w:hint="eastAsia"/>
              </w:rPr>
              <w:t>0.035%</w:t>
            </w:r>
          </w:p>
        </w:tc>
        <w:tc>
          <w:tcPr>
            <w:tcW w:w="1799" w:type="dxa"/>
            <w:vAlign w:val="center"/>
          </w:tcPr>
          <w:p w14:paraId="587ECCD1">
            <w:pPr>
              <w:keepNext w:val="0"/>
              <w:keepLines w:val="0"/>
              <w:widowControl/>
              <w:suppressLineNumbers w:val="0"/>
              <w:spacing w:before="0" w:beforeAutospacing="0" w:after="0" w:afterAutospacing="0" w:line="360" w:lineRule="auto"/>
              <w:ind w:left="0" w:right="0"/>
              <w:jc w:val="center"/>
              <w:rPr>
                <w:rFonts w:hint="default"/>
              </w:rPr>
            </w:pPr>
            <w:r>
              <w:rPr>
                <w:rFonts w:hint="eastAsia"/>
              </w:rPr>
              <w:t>0.035%</w:t>
            </w:r>
          </w:p>
        </w:tc>
        <w:tc>
          <w:tcPr>
            <w:tcW w:w="1799" w:type="dxa"/>
            <w:vAlign w:val="center"/>
          </w:tcPr>
          <w:p w14:paraId="7783243A">
            <w:pPr>
              <w:keepNext w:val="0"/>
              <w:keepLines w:val="0"/>
              <w:widowControl/>
              <w:suppressLineNumbers w:val="0"/>
              <w:spacing w:before="0" w:beforeAutospacing="0" w:after="0" w:afterAutospacing="0" w:line="360" w:lineRule="auto"/>
              <w:ind w:left="0" w:right="0"/>
              <w:jc w:val="center"/>
              <w:rPr>
                <w:rFonts w:hint="default"/>
              </w:rPr>
            </w:pPr>
            <w:r>
              <w:rPr>
                <w:rFonts w:hint="eastAsia"/>
              </w:rPr>
              <w:t>0.035%</w:t>
            </w:r>
          </w:p>
        </w:tc>
      </w:tr>
      <w:tr w14:paraId="2364E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125" w:type="dxa"/>
            <w:vAlign w:val="center"/>
          </w:tcPr>
          <w:p w14:paraId="0DD448E2">
            <w:pPr>
              <w:keepNext w:val="0"/>
              <w:keepLines w:val="0"/>
              <w:widowControl/>
              <w:suppressLineNumbers w:val="0"/>
              <w:spacing w:before="0" w:beforeAutospacing="0" w:after="0" w:afterAutospacing="0" w:line="360" w:lineRule="auto"/>
              <w:ind w:left="0" w:right="0"/>
              <w:jc w:val="center"/>
              <w:rPr>
                <w:rFonts w:hint="default"/>
              </w:rPr>
            </w:pPr>
            <w:r>
              <w:rPr>
                <w:rFonts w:hint="eastAsia"/>
              </w:rPr>
              <w:t>10亿元（含）-50亿元</w:t>
            </w:r>
          </w:p>
        </w:tc>
        <w:tc>
          <w:tcPr>
            <w:tcW w:w="1799" w:type="dxa"/>
            <w:vAlign w:val="center"/>
          </w:tcPr>
          <w:p w14:paraId="384BA723">
            <w:pPr>
              <w:keepNext w:val="0"/>
              <w:keepLines w:val="0"/>
              <w:widowControl/>
              <w:suppressLineNumbers w:val="0"/>
              <w:spacing w:before="0" w:beforeAutospacing="0" w:after="0" w:afterAutospacing="0" w:line="360" w:lineRule="auto"/>
              <w:ind w:left="0" w:right="0"/>
              <w:jc w:val="center"/>
              <w:rPr>
                <w:rFonts w:hint="default"/>
              </w:rPr>
            </w:pPr>
            <w:r>
              <w:rPr>
                <w:rFonts w:hint="eastAsia"/>
              </w:rPr>
              <w:t>0.008%</w:t>
            </w:r>
          </w:p>
        </w:tc>
        <w:tc>
          <w:tcPr>
            <w:tcW w:w="1799" w:type="dxa"/>
            <w:vAlign w:val="center"/>
          </w:tcPr>
          <w:p w14:paraId="0D5AF733">
            <w:pPr>
              <w:keepNext w:val="0"/>
              <w:keepLines w:val="0"/>
              <w:widowControl/>
              <w:suppressLineNumbers w:val="0"/>
              <w:spacing w:before="0" w:beforeAutospacing="0" w:after="0" w:afterAutospacing="0" w:line="360" w:lineRule="auto"/>
              <w:ind w:left="0" w:right="0"/>
              <w:jc w:val="center"/>
              <w:rPr>
                <w:rFonts w:hint="default"/>
              </w:rPr>
            </w:pPr>
            <w:r>
              <w:rPr>
                <w:rFonts w:hint="eastAsia"/>
              </w:rPr>
              <w:t>0.008%</w:t>
            </w:r>
          </w:p>
        </w:tc>
        <w:tc>
          <w:tcPr>
            <w:tcW w:w="1799" w:type="dxa"/>
            <w:vAlign w:val="center"/>
          </w:tcPr>
          <w:p w14:paraId="687D2D76">
            <w:pPr>
              <w:keepNext w:val="0"/>
              <w:keepLines w:val="0"/>
              <w:widowControl/>
              <w:suppressLineNumbers w:val="0"/>
              <w:spacing w:before="0" w:beforeAutospacing="0" w:after="0" w:afterAutospacing="0" w:line="360" w:lineRule="auto"/>
              <w:ind w:left="0" w:right="0"/>
              <w:jc w:val="center"/>
              <w:rPr>
                <w:rFonts w:hint="default"/>
              </w:rPr>
            </w:pPr>
            <w:r>
              <w:rPr>
                <w:rFonts w:hint="eastAsia"/>
              </w:rPr>
              <w:t>0.008%</w:t>
            </w:r>
          </w:p>
        </w:tc>
      </w:tr>
      <w:tr w14:paraId="1F7E3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220CCE88">
            <w:pPr>
              <w:keepNext w:val="0"/>
              <w:keepLines w:val="0"/>
              <w:widowControl/>
              <w:suppressLineNumbers w:val="0"/>
              <w:spacing w:before="0" w:beforeAutospacing="0" w:after="0" w:afterAutospacing="0" w:line="360" w:lineRule="auto"/>
              <w:ind w:left="0" w:right="0"/>
              <w:jc w:val="center"/>
              <w:rPr>
                <w:rFonts w:hint="default"/>
              </w:rPr>
            </w:pPr>
            <w:r>
              <w:rPr>
                <w:rFonts w:hint="eastAsia"/>
              </w:rPr>
              <w:t>50亿元（含）-100亿元</w:t>
            </w:r>
          </w:p>
        </w:tc>
        <w:tc>
          <w:tcPr>
            <w:tcW w:w="1799" w:type="dxa"/>
            <w:vAlign w:val="center"/>
          </w:tcPr>
          <w:p w14:paraId="6EBFA9A1">
            <w:pPr>
              <w:keepNext w:val="0"/>
              <w:keepLines w:val="0"/>
              <w:widowControl/>
              <w:suppressLineNumbers w:val="0"/>
              <w:spacing w:before="0" w:beforeAutospacing="0" w:after="0" w:afterAutospacing="0" w:line="360" w:lineRule="auto"/>
              <w:ind w:left="0" w:right="0"/>
              <w:jc w:val="center"/>
              <w:rPr>
                <w:rFonts w:hint="default"/>
              </w:rPr>
            </w:pPr>
            <w:r>
              <w:rPr>
                <w:rFonts w:hint="eastAsia"/>
              </w:rPr>
              <w:t>0.006%</w:t>
            </w:r>
          </w:p>
        </w:tc>
        <w:tc>
          <w:tcPr>
            <w:tcW w:w="1799" w:type="dxa"/>
            <w:vAlign w:val="center"/>
          </w:tcPr>
          <w:p w14:paraId="24D523E2">
            <w:pPr>
              <w:keepNext w:val="0"/>
              <w:keepLines w:val="0"/>
              <w:widowControl/>
              <w:suppressLineNumbers w:val="0"/>
              <w:spacing w:before="0" w:beforeAutospacing="0" w:after="0" w:afterAutospacing="0" w:line="360" w:lineRule="auto"/>
              <w:ind w:left="0" w:right="0"/>
              <w:jc w:val="center"/>
              <w:rPr>
                <w:rFonts w:hint="default"/>
              </w:rPr>
            </w:pPr>
            <w:r>
              <w:rPr>
                <w:rFonts w:hint="eastAsia"/>
              </w:rPr>
              <w:t>0.006%</w:t>
            </w:r>
          </w:p>
        </w:tc>
        <w:tc>
          <w:tcPr>
            <w:tcW w:w="1799" w:type="dxa"/>
            <w:vAlign w:val="center"/>
          </w:tcPr>
          <w:p w14:paraId="03239BAC">
            <w:pPr>
              <w:keepNext w:val="0"/>
              <w:keepLines w:val="0"/>
              <w:widowControl/>
              <w:suppressLineNumbers w:val="0"/>
              <w:spacing w:before="0" w:beforeAutospacing="0" w:after="0" w:afterAutospacing="0" w:line="360" w:lineRule="auto"/>
              <w:ind w:left="0" w:right="0"/>
              <w:jc w:val="center"/>
              <w:rPr>
                <w:rFonts w:hint="default"/>
              </w:rPr>
            </w:pPr>
            <w:r>
              <w:rPr>
                <w:rFonts w:hint="eastAsia"/>
              </w:rPr>
              <w:t>0.006%</w:t>
            </w:r>
          </w:p>
        </w:tc>
      </w:tr>
      <w:tr w14:paraId="6E46F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6FFB1EE4">
            <w:pPr>
              <w:keepNext w:val="0"/>
              <w:keepLines w:val="0"/>
              <w:widowControl/>
              <w:suppressLineNumbers w:val="0"/>
              <w:spacing w:before="0" w:beforeAutospacing="0" w:after="0" w:afterAutospacing="0" w:line="360" w:lineRule="auto"/>
              <w:ind w:left="0" w:right="0"/>
              <w:jc w:val="center"/>
              <w:rPr>
                <w:rFonts w:hint="default"/>
              </w:rPr>
            </w:pPr>
            <w:r>
              <w:rPr>
                <w:rFonts w:hint="eastAsia"/>
              </w:rPr>
              <w:t>100亿元（含）以上</w:t>
            </w:r>
          </w:p>
        </w:tc>
        <w:tc>
          <w:tcPr>
            <w:tcW w:w="1799" w:type="dxa"/>
            <w:vAlign w:val="center"/>
          </w:tcPr>
          <w:p w14:paraId="2503BA3E">
            <w:pPr>
              <w:keepNext w:val="0"/>
              <w:keepLines w:val="0"/>
              <w:widowControl/>
              <w:suppressLineNumbers w:val="0"/>
              <w:spacing w:before="0" w:beforeAutospacing="0" w:after="0" w:afterAutospacing="0" w:line="360" w:lineRule="auto"/>
              <w:ind w:left="0" w:right="0"/>
              <w:jc w:val="center"/>
              <w:rPr>
                <w:rFonts w:hint="default"/>
              </w:rPr>
            </w:pPr>
            <w:r>
              <w:rPr>
                <w:rFonts w:hint="eastAsia"/>
              </w:rPr>
              <w:t>0.004%</w:t>
            </w:r>
          </w:p>
        </w:tc>
        <w:tc>
          <w:tcPr>
            <w:tcW w:w="1799" w:type="dxa"/>
            <w:vAlign w:val="center"/>
          </w:tcPr>
          <w:p w14:paraId="6548BE4C">
            <w:pPr>
              <w:keepNext w:val="0"/>
              <w:keepLines w:val="0"/>
              <w:widowControl/>
              <w:suppressLineNumbers w:val="0"/>
              <w:spacing w:before="0" w:beforeAutospacing="0" w:after="0" w:afterAutospacing="0" w:line="360" w:lineRule="auto"/>
              <w:ind w:left="0" w:right="0"/>
              <w:jc w:val="center"/>
              <w:rPr>
                <w:rFonts w:hint="default"/>
              </w:rPr>
            </w:pPr>
            <w:r>
              <w:rPr>
                <w:rFonts w:hint="eastAsia"/>
              </w:rPr>
              <w:t>0.004%</w:t>
            </w:r>
          </w:p>
        </w:tc>
        <w:tc>
          <w:tcPr>
            <w:tcW w:w="1799" w:type="dxa"/>
            <w:vAlign w:val="center"/>
          </w:tcPr>
          <w:p w14:paraId="35144BBB">
            <w:pPr>
              <w:keepNext w:val="0"/>
              <w:keepLines w:val="0"/>
              <w:widowControl/>
              <w:suppressLineNumbers w:val="0"/>
              <w:spacing w:before="0" w:beforeAutospacing="0" w:after="0" w:afterAutospacing="0" w:line="360" w:lineRule="auto"/>
              <w:ind w:left="0" w:right="0"/>
              <w:jc w:val="center"/>
              <w:rPr>
                <w:rFonts w:hint="default"/>
              </w:rPr>
            </w:pPr>
            <w:r>
              <w:rPr>
                <w:rFonts w:hint="eastAsia"/>
              </w:rPr>
              <w:t>0.004%</w:t>
            </w:r>
          </w:p>
        </w:tc>
      </w:tr>
    </w:tbl>
    <w:p w14:paraId="72046860">
      <w:pPr>
        <w:ind w:firstLine="420" w:firstLineChars="200"/>
      </w:pPr>
      <w:r>
        <w:rPr>
          <w:rFonts w:hint="eastAsia"/>
        </w:rPr>
        <w:t>备注：1.每宗交易代理服务费不低于 5000 元；</w:t>
      </w:r>
    </w:p>
    <w:p w14:paraId="4DA762E4">
      <w:pPr>
        <w:ind w:firstLine="420" w:firstLineChars="200"/>
      </w:pPr>
      <w:r>
        <w:rPr>
          <w:rFonts w:hint="eastAsia"/>
        </w:rPr>
        <w:t>2.对于报总价的采购类项目，中标（成交）价为中标（成交）金额；对于报单价、折扣或费率的采购类项目，中标（成交）价为预算上限金额或经委托方与代理方确定的支付上限金额；</w:t>
      </w:r>
    </w:p>
    <w:p w14:paraId="118C59B0">
      <w:pPr>
        <w:ind w:firstLine="420" w:firstLineChars="200"/>
      </w:pPr>
    </w:p>
    <w:p w14:paraId="3A7BB45A">
      <w:pPr>
        <w:ind w:firstLine="420" w:firstLineChars="200"/>
      </w:pPr>
      <w:r>
        <w:rPr>
          <w:rFonts w:hint="eastAsia"/>
        </w:rPr>
        <w:t>如某货物采购项目，中标（成交）金额为600万元，总共交纳的代理服务费的具体计算过程如下：</w:t>
      </w:r>
    </w:p>
    <w:p w14:paraId="3049EB18">
      <w:pPr>
        <w:ind w:firstLine="420" w:firstLineChars="200"/>
      </w:pPr>
      <w:r>
        <w:rPr>
          <w:rFonts w:hint="eastAsia"/>
        </w:rPr>
        <w:t>标准代理服务费＝（100万以下部分的代理服务费）+（100万～500万部分的代理服务费）+（500万～600万部分的代理服务费）＝100万元×1.5%+（500-100）万元×1.1%+（600-500）万元×0.8%=1.5万元+4.4万元+0.8万元＝6.7万元</w:t>
      </w:r>
    </w:p>
    <w:p w14:paraId="79F6F0CD">
      <w:pPr>
        <w:ind w:firstLine="420" w:firstLineChars="200"/>
      </w:pPr>
      <w:r>
        <w:rPr>
          <w:rFonts w:hint="eastAsia"/>
        </w:rPr>
        <w:t>（3）中标（成交）供应商中标（成交）后，必须按规定采用银行对公转账方式向深圳交易集团有限公司直接交纳代理服务费，交纳信息及要求按照缴款（付款）通知书执行。</w:t>
      </w:r>
    </w:p>
    <w:p w14:paraId="239C6459">
      <w:pPr>
        <w:pStyle w:val="36"/>
        <w:rPr>
          <w:b/>
        </w:rPr>
      </w:pPr>
    </w:p>
    <w:p w14:paraId="5E6426A6">
      <w:pPr>
        <w:ind w:firstLine="422" w:firstLineChars="200"/>
        <w:rPr>
          <w:b/>
          <w:bCs/>
        </w:rPr>
      </w:pPr>
      <w:r>
        <w:rPr>
          <w:rFonts w:hint="eastAsia"/>
          <w:b/>
          <w:bCs/>
        </w:rPr>
        <w:t>（三）包组规则</w:t>
      </w:r>
    </w:p>
    <w:p w14:paraId="08B3DB67">
      <w:pPr>
        <w:pStyle w:val="36"/>
        <w:ind w:firstLine="420" w:firstLineChars="200"/>
        <w:rPr>
          <w:rFonts w:hint="eastAsia"/>
          <w:sz w:val="21"/>
        </w:rPr>
      </w:pPr>
      <w:r>
        <w:rPr>
          <w:rFonts w:hint="eastAsia"/>
          <w:sz w:val="21"/>
        </w:rPr>
        <w:t>本项目分为包</w:t>
      </w:r>
      <w:r>
        <w:rPr>
          <w:rFonts w:hint="eastAsia"/>
          <w:sz w:val="21"/>
          <w:lang w:val="en-US" w:eastAsia="zh-CN"/>
        </w:rPr>
        <w:t>1</w:t>
      </w:r>
      <w:r>
        <w:rPr>
          <w:rFonts w:hint="eastAsia"/>
          <w:sz w:val="21"/>
        </w:rPr>
        <w:t>、</w:t>
      </w:r>
      <w:r>
        <w:rPr>
          <w:rFonts w:hint="eastAsia"/>
          <w:sz w:val="21"/>
          <w:lang w:val="en-US" w:eastAsia="zh-CN"/>
        </w:rPr>
        <w:t>2、3、4，</w:t>
      </w:r>
      <w:r>
        <w:rPr>
          <w:rFonts w:hint="eastAsia"/>
          <w:sz w:val="21"/>
        </w:rPr>
        <w:t>共</w:t>
      </w:r>
      <w:bookmarkStart w:id="45" w:name="OLE_LINK25"/>
      <w:r>
        <w:rPr>
          <w:rFonts w:hint="eastAsia"/>
          <w:sz w:val="21"/>
          <w:lang w:val="en-US" w:eastAsia="zh-CN"/>
        </w:rPr>
        <w:t>4</w:t>
      </w:r>
      <w:r>
        <w:rPr>
          <w:rFonts w:hint="eastAsia"/>
          <w:sz w:val="21"/>
        </w:rPr>
        <w:t>个包</w:t>
      </w:r>
      <w:bookmarkEnd w:id="45"/>
      <w:r>
        <w:rPr>
          <w:rFonts w:hint="eastAsia"/>
          <w:sz w:val="21"/>
        </w:rPr>
        <w:t>。</w:t>
      </w:r>
    </w:p>
    <w:p w14:paraId="7A86D28D">
      <w:pPr>
        <w:pStyle w:val="36"/>
        <w:ind w:firstLine="422" w:firstLineChars="200"/>
        <w:rPr>
          <w:b/>
          <w:bCs/>
          <w:sz w:val="21"/>
        </w:rPr>
      </w:pPr>
      <w:r>
        <w:rPr>
          <w:rFonts w:hint="eastAsia"/>
          <w:b/>
          <w:bCs/>
          <w:sz w:val="21"/>
        </w:rPr>
        <w:t>（1）本包为包</w:t>
      </w:r>
      <w:r>
        <w:rPr>
          <w:rFonts w:hint="eastAsia"/>
          <w:b/>
          <w:bCs/>
          <w:sz w:val="21"/>
          <w:lang w:val="en-US" w:eastAsia="zh-CN"/>
        </w:rPr>
        <w:t>1。</w:t>
      </w:r>
    </w:p>
    <w:p w14:paraId="7AB4AAE5">
      <w:pPr>
        <w:pStyle w:val="36"/>
        <w:ind w:firstLine="420" w:firstLineChars="200"/>
        <w:rPr>
          <w:sz w:val="21"/>
        </w:rPr>
      </w:pPr>
      <w:r>
        <w:rPr>
          <w:rFonts w:hint="eastAsia"/>
          <w:sz w:val="21"/>
        </w:rPr>
        <w:t>（2）投标原则：投标人可以选择投其中1个包或多个包，</w:t>
      </w:r>
      <w:r>
        <w:rPr>
          <w:rFonts w:hint="eastAsia"/>
          <w:sz w:val="21"/>
          <w:lang w:val="en-US" w:eastAsia="zh-CN"/>
        </w:rPr>
        <w:t>每</w:t>
      </w:r>
      <w:r>
        <w:rPr>
          <w:rFonts w:hint="eastAsia"/>
          <w:sz w:val="21"/>
        </w:rPr>
        <w:t>个包需要</w:t>
      </w:r>
      <w:r>
        <w:rPr>
          <w:rFonts w:hint="eastAsia"/>
          <w:sz w:val="21"/>
          <w:lang w:val="en-US" w:eastAsia="zh-CN"/>
        </w:rPr>
        <w:t>按招标文件要求</w:t>
      </w:r>
      <w:r>
        <w:rPr>
          <w:rFonts w:hint="eastAsia"/>
          <w:sz w:val="21"/>
        </w:rPr>
        <w:t>独立制作投标文件，并按所投包号</w:t>
      </w:r>
      <w:r>
        <w:rPr>
          <w:rFonts w:hint="eastAsia"/>
          <w:sz w:val="21"/>
          <w:lang w:val="en-US" w:eastAsia="zh-CN"/>
        </w:rPr>
        <w:t>递交</w:t>
      </w:r>
      <w:r>
        <w:rPr>
          <w:rFonts w:hint="eastAsia"/>
          <w:sz w:val="21"/>
        </w:rPr>
        <w:t>投标文件。</w:t>
      </w:r>
    </w:p>
    <w:p w14:paraId="4FEE7462">
      <w:pPr>
        <w:pStyle w:val="36"/>
        <w:ind w:firstLine="420" w:firstLineChars="200"/>
        <w:rPr>
          <w:sz w:val="21"/>
        </w:rPr>
      </w:pPr>
      <w:r>
        <w:rPr>
          <w:rFonts w:hint="eastAsia"/>
          <w:sz w:val="21"/>
        </w:rPr>
        <w:t>（3）中标原则：本项目</w:t>
      </w:r>
      <w:r>
        <w:rPr>
          <w:rFonts w:hint="eastAsia"/>
          <w:sz w:val="21"/>
          <w:lang w:val="en-US" w:eastAsia="zh-CN"/>
        </w:rPr>
        <w:t>4</w:t>
      </w:r>
      <w:r>
        <w:rPr>
          <w:rFonts w:hint="eastAsia"/>
          <w:sz w:val="21"/>
        </w:rPr>
        <w:t>个包将根据综合评分法，</w:t>
      </w:r>
      <w:r>
        <w:rPr>
          <w:rFonts w:hint="eastAsia"/>
          <w:sz w:val="21"/>
          <w:lang w:val="en-US" w:eastAsia="zh-CN"/>
        </w:rPr>
        <w:t>分别</w:t>
      </w:r>
      <w:r>
        <w:rPr>
          <w:rFonts w:hint="eastAsia"/>
          <w:sz w:val="21"/>
        </w:rPr>
        <w:t>选择出</w:t>
      </w:r>
      <w:r>
        <w:rPr>
          <w:rFonts w:hint="eastAsia"/>
          <w:sz w:val="21"/>
          <w:lang w:val="en-US" w:eastAsia="zh-CN"/>
        </w:rPr>
        <w:t>1个</w:t>
      </w:r>
      <w:r>
        <w:rPr>
          <w:rFonts w:hint="eastAsia"/>
          <w:sz w:val="21"/>
        </w:rPr>
        <w:t>中标供应商。本项目按包</w:t>
      </w:r>
      <w:r>
        <w:rPr>
          <w:rFonts w:hint="eastAsia"/>
          <w:sz w:val="21"/>
          <w:lang w:val="en-US" w:eastAsia="zh-CN"/>
        </w:rPr>
        <w:t>1</w:t>
      </w:r>
      <w:r>
        <w:rPr>
          <w:rFonts w:hint="eastAsia"/>
          <w:sz w:val="21"/>
        </w:rPr>
        <w:t>、</w:t>
      </w:r>
      <w:r>
        <w:rPr>
          <w:rFonts w:hint="eastAsia"/>
          <w:sz w:val="21"/>
          <w:lang w:val="en-US" w:eastAsia="zh-CN"/>
        </w:rPr>
        <w:t>2、3、4</w:t>
      </w:r>
      <w:r>
        <w:rPr>
          <w:rFonts w:hint="eastAsia"/>
          <w:sz w:val="21"/>
        </w:rPr>
        <w:t>顺序分包进行评审</w:t>
      </w:r>
      <w:r>
        <w:rPr>
          <w:rFonts w:hint="eastAsia"/>
          <w:sz w:val="21"/>
          <w:lang w:eastAsia="zh-CN"/>
        </w:rPr>
        <w:t>。</w:t>
      </w:r>
      <w:r>
        <w:rPr>
          <w:rFonts w:hint="eastAsia"/>
          <w:sz w:val="21"/>
        </w:rPr>
        <w:t>各投标人可同时对一个或多个包号进行投标，</w:t>
      </w:r>
      <w:r>
        <w:rPr>
          <w:rFonts w:hint="eastAsia"/>
          <w:sz w:val="21"/>
          <w:lang w:val="en-US" w:eastAsia="zh-CN"/>
        </w:rPr>
        <w:t>4</w:t>
      </w:r>
      <w:r>
        <w:rPr>
          <w:rFonts w:hint="eastAsia"/>
          <w:sz w:val="21"/>
        </w:rPr>
        <w:t>个包兼投兼中。所有包</w:t>
      </w:r>
      <w:r>
        <w:rPr>
          <w:rFonts w:hint="eastAsia"/>
          <w:sz w:val="21"/>
          <w:lang w:val="en-US" w:eastAsia="zh-CN"/>
        </w:rPr>
        <w:t>组</w:t>
      </w:r>
      <w:r>
        <w:rPr>
          <w:rFonts w:hint="eastAsia"/>
          <w:sz w:val="21"/>
        </w:rPr>
        <w:t>有效投标人均必须达到法定数量，有效投标人未达到法定数量的包组作废标处理。</w:t>
      </w:r>
    </w:p>
    <w:p w14:paraId="16CA5539">
      <w:pPr>
        <w:pStyle w:val="36"/>
        <w:ind w:firstLine="420" w:firstLineChars="200"/>
        <w:rPr>
          <w:sz w:val="21"/>
        </w:rPr>
      </w:pPr>
      <w:r>
        <w:rPr>
          <w:rFonts w:hint="eastAsia"/>
          <w:sz w:val="21"/>
        </w:rPr>
        <w:t>举例：甲单位同时投标</w:t>
      </w:r>
      <w:r>
        <w:rPr>
          <w:rFonts w:hint="eastAsia"/>
          <w:sz w:val="21"/>
          <w:lang w:val="en-US" w:eastAsia="zh-CN"/>
        </w:rPr>
        <w:t>四</w:t>
      </w:r>
      <w:r>
        <w:rPr>
          <w:rFonts w:hint="eastAsia"/>
          <w:sz w:val="21"/>
        </w:rPr>
        <w:t>个包（</w:t>
      </w:r>
      <w:r>
        <w:rPr>
          <w:rFonts w:hint="eastAsia"/>
          <w:sz w:val="21"/>
          <w:lang w:val="en-US" w:eastAsia="zh-CN"/>
        </w:rPr>
        <w:t>1</w:t>
      </w:r>
      <w:r>
        <w:rPr>
          <w:rFonts w:hint="eastAsia"/>
          <w:sz w:val="21"/>
        </w:rPr>
        <w:t>、</w:t>
      </w:r>
      <w:r>
        <w:rPr>
          <w:rFonts w:hint="eastAsia"/>
          <w:sz w:val="21"/>
          <w:lang w:val="en-US" w:eastAsia="zh-CN"/>
        </w:rPr>
        <w:t>2、3、4</w:t>
      </w:r>
      <w:r>
        <w:rPr>
          <w:rFonts w:hint="eastAsia"/>
          <w:sz w:val="21"/>
        </w:rPr>
        <w:t>），且通过综合评分，在包</w:t>
      </w:r>
      <w:r>
        <w:rPr>
          <w:rFonts w:hint="eastAsia"/>
          <w:sz w:val="21"/>
          <w:lang w:val="en-US" w:eastAsia="zh-CN"/>
        </w:rPr>
        <w:t>1</w:t>
      </w:r>
      <w:r>
        <w:rPr>
          <w:rFonts w:hint="eastAsia"/>
          <w:sz w:val="21"/>
        </w:rPr>
        <w:t>评审中综合得分排名第一时，可再参与包</w:t>
      </w:r>
      <w:r>
        <w:rPr>
          <w:rFonts w:hint="eastAsia"/>
          <w:sz w:val="21"/>
          <w:lang w:val="en-US" w:eastAsia="zh-CN"/>
        </w:rPr>
        <w:t>2、3、4</w:t>
      </w:r>
      <w:r>
        <w:rPr>
          <w:rFonts w:hint="eastAsia"/>
          <w:sz w:val="21"/>
        </w:rPr>
        <w:t>的评审。</w:t>
      </w:r>
    </w:p>
    <w:p w14:paraId="62C6EB61">
      <w:pPr>
        <w:pStyle w:val="36"/>
        <w:ind w:firstLine="420" w:firstLineChars="200"/>
        <w:rPr>
          <w:sz w:val="21"/>
        </w:rPr>
      </w:pPr>
      <w:r>
        <w:rPr>
          <w:rFonts w:hint="eastAsia"/>
          <w:sz w:val="21"/>
        </w:rPr>
        <w:t>（4）截至开标时</w:t>
      </w:r>
      <w:r>
        <w:rPr>
          <w:rFonts w:hint="eastAsia"/>
          <w:sz w:val="21"/>
          <w:lang w:val="en-US" w:eastAsia="zh-CN"/>
        </w:rPr>
        <w:t>间</w:t>
      </w:r>
      <w:r>
        <w:rPr>
          <w:rFonts w:hint="eastAsia"/>
          <w:sz w:val="21"/>
        </w:rPr>
        <w:t>任一包</w:t>
      </w:r>
      <w:r>
        <w:rPr>
          <w:rFonts w:hint="eastAsia"/>
          <w:sz w:val="21"/>
          <w:lang w:val="en-US" w:eastAsia="zh-CN"/>
        </w:rPr>
        <w:t>组</w:t>
      </w:r>
      <w:r>
        <w:rPr>
          <w:rFonts w:hint="eastAsia"/>
          <w:sz w:val="21"/>
        </w:rPr>
        <w:t>投标数量不足法定数量的，则该包</w:t>
      </w:r>
      <w:r>
        <w:rPr>
          <w:rFonts w:hint="eastAsia"/>
          <w:sz w:val="21"/>
          <w:lang w:val="en-US" w:eastAsia="zh-CN"/>
        </w:rPr>
        <w:t>组</w:t>
      </w:r>
      <w:r>
        <w:rPr>
          <w:rFonts w:hint="eastAsia"/>
          <w:sz w:val="21"/>
        </w:rPr>
        <w:t>招标作流标处理，其他尚未</w:t>
      </w:r>
      <w:r>
        <w:rPr>
          <w:rFonts w:hint="eastAsia"/>
          <w:sz w:val="21"/>
          <w:lang w:val="en-US" w:eastAsia="zh-CN"/>
        </w:rPr>
        <w:t>开</w:t>
      </w:r>
      <w:r>
        <w:rPr>
          <w:rFonts w:hint="eastAsia"/>
          <w:sz w:val="21"/>
        </w:rPr>
        <w:t>标的</w:t>
      </w:r>
      <w:r>
        <w:rPr>
          <w:rFonts w:hint="eastAsia"/>
          <w:sz w:val="21"/>
          <w:lang w:val="en-US" w:eastAsia="zh-CN"/>
        </w:rPr>
        <w:t>或</w:t>
      </w:r>
      <w:r>
        <w:rPr>
          <w:rFonts w:hint="eastAsia"/>
          <w:sz w:val="21"/>
        </w:rPr>
        <w:t>已完成评标</w:t>
      </w:r>
      <w:r>
        <w:rPr>
          <w:rFonts w:hint="eastAsia"/>
          <w:sz w:val="21"/>
          <w:lang w:val="en-US" w:eastAsia="zh-CN"/>
        </w:rPr>
        <w:t>的</w:t>
      </w:r>
      <w:r>
        <w:rPr>
          <w:rFonts w:hint="eastAsia"/>
          <w:sz w:val="21"/>
        </w:rPr>
        <w:t>包</w:t>
      </w:r>
      <w:r>
        <w:rPr>
          <w:rFonts w:hint="eastAsia"/>
          <w:sz w:val="21"/>
          <w:lang w:val="en-US" w:eastAsia="zh-CN"/>
        </w:rPr>
        <w:t>组</w:t>
      </w:r>
      <w:r>
        <w:rPr>
          <w:rFonts w:hint="eastAsia"/>
          <w:sz w:val="21"/>
        </w:rPr>
        <w:t>不受影响。采购人对流标</w:t>
      </w:r>
      <w:r>
        <w:rPr>
          <w:rFonts w:hint="eastAsia"/>
          <w:sz w:val="21"/>
          <w:lang w:val="en-US" w:eastAsia="zh-CN"/>
        </w:rPr>
        <w:t>或废标</w:t>
      </w:r>
      <w:r>
        <w:rPr>
          <w:rFonts w:hint="eastAsia"/>
          <w:sz w:val="21"/>
        </w:rPr>
        <w:t>包</w:t>
      </w:r>
      <w:r>
        <w:rPr>
          <w:rFonts w:hint="eastAsia"/>
          <w:sz w:val="21"/>
          <w:lang w:val="en-US" w:eastAsia="zh-CN"/>
        </w:rPr>
        <w:t>组作</w:t>
      </w:r>
      <w:r>
        <w:rPr>
          <w:rFonts w:hint="eastAsia"/>
          <w:sz w:val="21"/>
        </w:rPr>
        <w:t>另行招标。</w:t>
      </w:r>
    </w:p>
    <w:p w14:paraId="7FD23713">
      <w:pPr>
        <w:pStyle w:val="36"/>
        <w:ind w:firstLine="420" w:firstLineChars="200"/>
        <w:rPr>
          <w:sz w:val="21"/>
        </w:rPr>
      </w:pPr>
      <w:r>
        <w:rPr>
          <w:rFonts w:hint="eastAsia"/>
          <w:sz w:val="21"/>
        </w:rPr>
        <w:t>（5）所有投标人一旦提交投标文件，视为认同本项目包组设置原则。</w:t>
      </w:r>
    </w:p>
    <w:p w14:paraId="58420CF9">
      <w:pPr>
        <w:pStyle w:val="36"/>
        <w:rPr>
          <w:b/>
        </w:rPr>
        <w:sectPr>
          <w:pgSz w:w="11907" w:h="16840"/>
          <w:pgMar w:top="1440" w:right="1797" w:bottom="1440" w:left="1797" w:header="851" w:footer="992" w:gutter="0"/>
          <w:pgNumType w:fmt="decimal"/>
          <w:cols w:space="425" w:num="1"/>
          <w:titlePg/>
          <w:docGrid w:linePitch="462" w:charSpace="0"/>
        </w:sectPr>
      </w:pPr>
    </w:p>
    <w:bookmarkEnd w:id="40"/>
    <w:p w14:paraId="73467485">
      <w:pPr>
        <w:pStyle w:val="5"/>
        <w:rPr>
          <w:sz w:val="28"/>
          <w:szCs w:val="28"/>
        </w:rPr>
      </w:pPr>
      <w:r>
        <w:rPr>
          <w:rFonts w:hint="eastAsia"/>
          <w:sz w:val="28"/>
          <w:szCs w:val="28"/>
        </w:rPr>
        <w:t>第三章 用户需求书</w:t>
      </w:r>
    </w:p>
    <w:p w14:paraId="6493610C">
      <w:pPr>
        <w:pStyle w:val="3"/>
        <w:spacing w:before="120" w:beforeLines="50" w:after="120" w:afterLines="50"/>
        <w:jc w:val="center"/>
        <w:rPr>
          <w:szCs w:val="24"/>
        </w:rPr>
      </w:pPr>
      <w:r>
        <w:rPr>
          <w:rFonts w:hint="eastAsia"/>
          <w:szCs w:val="24"/>
        </w:rPr>
        <w:t>一、项目基本信息</w:t>
      </w:r>
    </w:p>
    <w:p w14:paraId="6D9473C7">
      <w:pPr>
        <w:rPr>
          <w:rFonts w:ascii="宋体" w:hAnsi="宋体"/>
          <w:b/>
          <w:color w:val="FF0000"/>
          <w:szCs w:val="21"/>
        </w:rPr>
      </w:pPr>
    </w:p>
    <w:tbl>
      <w:tblPr>
        <w:tblStyle w:val="43"/>
        <w:tblpPr w:leftFromText="180" w:rightFromText="180" w:vertAnchor="text" w:horzAnchor="margin" w:tblpX="-131" w:tblpY="173"/>
        <w:tblW w:w="85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
        <w:gridCol w:w="3218"/>
        <w:gridCol w:w="1970"/>
        <w:gridCol w:w="2911"/>
      </w:tblGrid>
      <w:tr w14:paraId="750CA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40" w:type="dxa"/>
            <w:vAlign w:val="center"/>
          </w:tcPr>
          <w:p w14:paraId="22BB0EF3">
            <w:pPr>
              <w:keepNext w:val="0"/>
              <w:keepLines w:val="0"/>
              <w:suppressLineNumbers w:val="0"/>
              <w:spacing w:before="0" w:beforeAutospacing="0" w:after="0" w:afterAutospacing="0"/>
              <w:ind w:left="0" w:right="0"/>
              <w:jc w:val="center"/>
              <w:rPr>
                <w:rFonts w:hint="default"/>
                <w:bCs/>
                <w:szCs w:val="21"/>
              </w:rPr>
            </w:pPr>
            <w:r>
              <w:rPr>
                <w:rFonts w:hint="eastAsia"/>
                <w:bCs/>
                <w:szCs w:val="21"/>
              </w:rPr>
              <w:t>序号</w:t>
            </w:r>
          </w:p>
        </w:tc>
        <w:tc>
          <w:tcPr>
            <w:tcW w:w="3218" w:type="dxa"/>
            <w:vAlign w:val="center"/>
          </w:tcPr>
          <w:p w14:paraId="13223CAE">
            <w:pPr>
              <w:keepNext w:val="0"/>
              <w:keepLines w:val="0"/>
              <w:suppressLineNumbers w:val="0"/>
              <w:spacing w:before="0" w:beforeAutospacing="0" w:after="0" w:afterAutospacing="0"/>
              <w:ind w:left="0" w:right="0"/>
              <w:jc w:val="center"/>
              <w:rPr>
                <w:rFonts w:hint="default"/>
                <w:bCs/>
                <w:szCs w:val="21"/>
              </w:rPr>
            </w:pPr>
            <w:r>
              <w:rPr>
                <w:rFonts w:hint="eastAsia"/>
                <w:bCs/>
                <w:szCs w:val="21"/>
              </w:rPr>
              <w:t>采购项目名称</w:t>
            </w:r>
          </w:p>
        </w:tc>
        <w:tc>
          <w:tcPr>
            <w:tcW w:w="1970" w:type="dxa"/>
            <w:vAlign w:val="center"/>
          </w:tcPr>
          <w:p w14:paraId="5EB39B24">
            <w:pPr>
              <w:keepNext w:val="0"/>
              <w:keepLines w:val="0"/>
              <w:suppressLineNumbers w:val="0"/>
              <w:spacing w:before="0" w:beforeAutospacing="0" w:after="0" w:afterAutospacing="0"/>
              <w:ind w:left="0" w:right="0"/>
              <w:jc w:val="center"/>
              <w:rPr>
                <w:rFonts w:hint="eastAsia" w:eastAsia="宋体"/>
                <w:b/>
                <w:bCs/>
                <w:color w:val="FF0000"/>
                <w:szCs w:val="21"/>
                <w:lang w:val="en-US" w:eastAsia="zh-CN"/>
              </w:rPr>
            </w:pPr>
            <w:r>
              <w:rPr>
                <w:rFonts w:hint="eastAsia"/>
                <w:b/>
                <w:bCs/>
                <w:color w:val="FF0000"/>
                <w:szCs w:val="21"/>
                <w:lang w:val="en-US" w:eastAsia="zh-CN"/>
              </w:rPr>
              <w:t>包号</w:t>
            </w:r>
          </w:p>
        </w:tc>
        <w:tc>
          <w:tcPr>
            <w:tcW w:w="2911" w:type="dxa"/>
            <w:vAlign w:val="center"/>
          </w:tcPr>
          <w:p w14:paraId="1CD21850">
            <w:pPr>
              <w:keepNext w:val="0"/>
              <w:keepLines w:val="0"/>
              <w:suppressLineNumbers w:val="0"/>
              <w:spacing w:before="0" w:beforeAutospacing="0" w:after="0" w:afterAutospacing="0"/>
              <w:ind w:left="0" w:right="0"/>
              <w:jc w:val="center"/>
              <w:rPr>
                <w:rFonts w:hint="default"/>
                <w:b/>
                <w:bCs/>
                <w:color w:val="FF0000"/>
                <w:szCs w:val="21"/>
              </w:rPr>
            </w:pPr>
            <w:r>
              <w:rPr>
                <w:rFonts w:hint="eastAsia"/>
                <w:b/>
                <w:bCs/>
                <w:color w:val="FF0000"/>
                <w:szCs w:val="21"/>
              </w:rPr>
              <w:t>预算金额（元）</w:t>
            </w:r>
          </w:p>
        </w:tc>
      </w:tr>
      <w:tr w14:paraId="7BEEA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40" w:type="dxa"/>
            <w:vAlign w:val="center"/>
          </w:tcPr>
          <w:p w14:paraId="66A9E0F0">
            <w:pPr>
              <w:keepNext w:val="0"/>
              <w:keepLines w:val="0"/>
              <w:suppressLineNumbers w:val="0"/>
              <w:spacing w:before="0" w:beforeAutospacing="0" w:after="0" w:afterAutospacing="0"/>
              <w:ind w:left="0" w:right="0"/>
              <w:jc w:val="center"/>
              <w:rPr>
                <w:rFonts w:hint="default"/>
                <w:bCs/>
                <w:color w:val="auto"/>
                <w:szCs w:val="21"/>
              </w:rPr>
            </w:pPr>
            <w:r>
              <w:rPr>
                <w:rFonts w:hint="eastAsia"/>
                <w:bCs/>
                <w:color w:val="auto"/>
                <w:szCs w:val="21"/>
              </w:rPr>
              <w:t>1</w:t>
            </w:r>
          </w:p>
        </w:tc>
        <w:tc>
          <w:tcPr>
            <w:tcW w:w="3218" w:type="dxa"/>
            <w:vAlign w:val="center"/>
          </w:tcPr>
          <w:p w14:paraId="3251B368">
            <w:pPr>
              <w:keepNext w:val="0"/>
              <w:keepLines w:val="0"/>
              <w:suppressLineNumbers w:val="0"/>
              <w:spacing w:before="0" w:beforeAutospacing="0" w:after="0" w:afterAutospacing="0"/>
              <w:ind w:left="0" w:right="0"/>
              <w:jc w:val="center"/>
              <w:rPr>
                <w:rFonts w:hint="default"/>
                <w:b/>
                <w:bCs/>
                <w:color w:val="auto"/>
                <w:szCs w:val="21"/>
              </w:rPr>
            </w:pPr>
            <w:r>
              <w:rPr>
                <w:rFonts w:hint="default"/>
                <w:b/>
                <w:bCs/>
                <w:color w:val="auto"/>
                <w:szCs w:val="21"/>
              </w:rPr>
              <w:t>中国人民银行深圳市分行网络设备采购项目</w:t>
            </w:r>
          </w:p>
        </w:tc>
        <w:tc>
          <w:tcPr>
            <w:tcW w:w="1970" w:type="dxa"/>
            <w:vAlign w:val="center"/>
          </w:tcPr>
          <w:p w14:paraId="44AC8419">
            <w:pPr>
              <w:keepNext w:val="0"/>
              <w:keepLines w:val="0"/>
              <w:suppressLineNumbers w:val="0"/>
              <w:spacing w:before="0" w:beforeAutospacing="0" w:after="0" w:afterAutospacing="0"/>
              <w:ind w:left="0" w:right="0"/>
              <w:jc w:val="center"/>
              <w:rPr>
                <w:rFonts w:hint="default"/>
                <w:bCs/>
                <w:color w:val="FF0000"/>
                <w:szCs w:val="21"/>
                <w:lang w:val="en-US" w:eastAsia="zh-CN"/>
              </w:rPr>
            </w:pPr>
            <w:r>
              <w:rPr>
                <w:rFonts w:hint="eastAsia"/>
                <w:bCs/>
                <w:color w:val="FF0000"/>
                <w:szCs w:val="21"/>
                <w:lang w:val="en-US" w:eastAsia="zh-CN"/>
              </w:rPr>
              <w:t>包1</w:t>
            </w:r>
          </w:p>
        </w:tc>
        <w:tc>
          <w:tcPr>
            <w:tcW w:w="2911" w:type="dxa"/>
            <w:vAlign w:val="center"/>
          </w:tcPr>
          <w:p w14:paraId="45425D4D">
            <w:pPr>
              <w:keepNext w:val="0"/>
              <w:keepLines w:val="0"/>
              <w:suppressLineNumbers w:val="0"/>
              <w:spacing w:before="0" w:beforeAutospacing="0" w:after="0" w:afterAutospacing="0"/>
              <w:ind w:left="0" w:right="0"/>
              <w:jc w:val="center"/>
              <w:rPr>
                <w:rFonts w:hint="default"/>
                <w:bCs/>
                <w:color w:val="FF0000"/>
                <w:szCs w:val="21"/>
                <w:lang w:val="en-US" w:eastAsia="zh-CN"/>
              </w:rPr>
            </w:pPr>
            <w:r>
              <w:rPr>
                <w:rFonts w:hint="eastAsia"/>
                <w:bCs/>
                <w:color w:val="FF0000"/>
                <w:szCs w:val="21"/>
                <w:lang w:val="en-US" w:eastAsia="zh-CN"/>
              </w:rPr>
              <w:t>1,057,400.00</w:t>
            </w:r>
          </w:p>
        </w:tc>
      </w:tr>
    </w:tbl>
    <w:p w14:paraId="09849B80">
      <w:pPr>
        <w:rPr>
          <w:rFonts w:ascii="宋体" w:hAnsi="宋体"/>
          <w:b/>
          <w:color w:val="FF0000"/>
          <w:szCs w:val="21"/>
        </w:rPr>
      </w:pPr>
    </w:p>
    <w:p w14:paraId="5313BFEA">
      <w:pPr>
        <w:rPr>
          <w:rFonts w:hint="eastAsia" w:ascii="宋体" w:hAnsi="宋体"/>
          <w:b/>
          <w:color w:val="FF0000"/>
          <w:szCs w:val="21"/>
        </w:rPr>
      </w:pPr>
      <w:r>
        <w:rPr>
          <w:rFonts w:hint="eastAsia" w:ascii="宋体" w:hAnsi="宋体"/>
          <w:b/>
          <w:color w:val="FF0000"/>
          <w:szCs w:val="21"/>
          <w:lang w:val="en-US" w:eastAsia="zh-CN"/>
        </w:rPr>
        <w:t>1.</w:t>
      </w:r>
      <w:r>
        <w:rPr>
          <w:rFonts w:hint="eastAsia" w:ascii="宋体" w:hAnsi="宋体"/>
          <w:b/>
          <w:color w:val="FF0000"/>
          <w:szCs w:val="21"/>
        </w:rPr>
        <w:t>本项目分为包1、2、3、4，共4个包。每个包预算金额分别</w:t>
      </w:r>
      <w:r>
        <w:rPr>
          <w:rFonts w:hint="eastAsia" w:ascii="宋体" w:hAnsi="宋体"/>
          <w:b/>
          <w:color w:val="FF0000"/>
          <w:szCs w:val="21"/>
          <w:lang w:val="en-US" w:eastAsia="zh-CN"/>
        </w:rPr>
        <w:t>为</w:t>
      </w:r>
      <w:r>
        <w:rPr>
          <w:rFonts w:hint="eastAsia" w:ascii="宋体" w:hAnsi="宋体"/>
          <w:b/>
          <w:color w:val="FF0000"/>
          <w:szCs w:val="21"/>
        </w:rPr>
        <w:t>：</w:t>
      </w:r>
    </w:p>
    <w:p w14:paraId="5FDB398B">
      <w:pPr>
        <w:rPr>
          <w:rFonts w:hint="eastAsia" w:ascii="宋体" w:hAnsi="宋体"/>
          <w:b/>
          <w:color w:val="FF0000"/>
          <w:szCs w:val="21"/>
        </w:rPr>
      </w:pPr>
      <w:r>
        <w:rPr>
          <w:rFonts w:hint="eastAsia" w:ascii="宋体" w:hAnsi="宋体"/>
          <w:b/>
          <w:color w:val="FF0000"/>
          <w:szCs w:val="21"/>
        </w:rPr>
        <w:t>包</w:t>
      </w:r>
      <w:r>
        <w:rPr>
          <w:rFonts w:hint="eastAsia" w:ascii="宋体" w:hAnsi="宋体"/>
          <w:b/>
          <w:color w:val="FF0000"/>
          <w:szCs w:val="21"/>
          <w:lang w:val="en-US" w:eastAsia="zh-CN"/>
        </w:rPr>
        <w:t>1：</w:t>
      </w:r>
      <w:r>
        <w:rPr>
          <w:rFonts w:hint="eastAsia"/>
          <w:bCs/>
          <w:color w:val="FF0000"/>
          <w:szCs w:val="21"/>
          <w:lang w:val="en-US" w:eastAsia="zh-CN"/>
        </w:rPr>
        <w:t>1,057,400.00</w:t>
      </w:r>
      <w:r>
        <w:rPr>
          <w:rFonts w:hint="eastAsia" w:ascii="宋体" w:hAnsi="宋体"/>
          <w:b/>
          <w:color w:val="FF0000"/>
          <w:szCs w:val="21"/>
        </w:rPr>
        <w:t>元；</w:t>
      </w:r>
    </w:p>
    <w:p w14:paraId="0CAADE54">
      <w:pPr>
        <w:rPr>
          <w:rFonts w:hint="eastAsia" w:ascii="宋体" w:hAnsi="宋体"/>
          <w:b/>
          <w:color w:val="FF0000"/>
          <w:szCs w:val="21"/>
        </w:rPr>
      </w:pPr>
      <w:r>
        <w:rPr>
          <w:rFonts w:hint="eastAsia" w:ascii="宋体" w:hAnsi="宋体"/>
          <w:b/>
          <w:color w:val="FF0000"/>
          <w:szCs w:val="21"/>
        </w:rPr>
        <w:t>包</w:t>
      </w:r>
      <w:r>
        <w:rPr>
          <w:rFonts w:hint="eastAsia" w:ascii="宋体" w:hAnsi="宋体"/>
          <w:b/>
          <w:color w:val="FF0000"/>
          <w:szCs w:val="21"/>
          <w:lang w:val="en-US" w:eastAsia="zh-CN"/>
        </w:rPr>
        <w:t>2：</w:t>
      </w:r>
      <w:r>
        <w:rPr>
          <w:rFonts w:hint="eastAsia" w:ascii="Times New Roman" w:hAnsi="Times New Roman" w:cs="Times New Roman"/>
          <w:b w:val="0"/>
          <w:bCs w:val="0"/>
          <w:color w:val="FF0000"/>
          <w:sz w:val="20"/>
          <w:szCs w:val="21"/>
          <w:lang w:val="en-US" w:eastAsia="zh-CN"/>
        </w:rPr>
        <w:t>180,500.00</w:t>
      </w:r>
      <w:r>
        <w:rPr>
          <w:rFonts w:hint="eastAsia" w:ascii="宋体" w:hAnsi="宋体"/>
          <w:b/>
          <w:color w:val="FF0000"/>
          <w:szCs w:val="21"/>
        </w:rPr>
        <w:t>元；</w:t>
      </w:r>
    </w:p>
    <w:p w14:paraId="51FDF330">
      <w:pPr>
        <w:rPr>
          <w:rFonts w:hint="eastAsia" w:ascii="宋体" w:hAnsi="宋体"/>
          <w:b/>
          <w:color w:val="FF0000"/>
          <w:szCs w:val="21"/>
        </w:rPr>
      </w:pPr>
      <w:r>
        <w:rPr>
          <w:rFonts w:hint="eastAsia" w:ascii="宋体" w:hAnsi="宋体"/>
          <w:b/>
          <w:color w:val="FF0000"/>
          <w:szCs w:val="21"/>
        </w:rPr>
        <w:t>包</w:t>
      </w:r>
      <w:r>
        <w:rPr>
          <w:rFonts w:hint="eastAsia" w:ascii="宋体" w:hAnsi="宋体"/>
          <w:b/>
          <w:color w:val="FF0000"/>
          <w:szCs w:val="21"/>
          <w:lang w:val="en-US" w:eastAsia="zh-CN"/>
        </w:rPr>
        <w:t>3：</w:t>
      </w:r>
      <w:r>
        <w:rPr>
          <w:rFonts w:hint="default" w:ascii="Times New Roman" w:hAnsi="Times New Roman" w:cs="Times New Roman"/>
          <w:bCs/>
          <w:color w:val="FF0000"/>
          <w:sz w:val="20"/>
          <w:szCs w:val="21"/>
          <w:lang w:val="en-US" w:eastAsia="zh-CN"/>
        </w:rPr>
        <w:t>237</w:t>
      </w:r>
      <w:r>
        <w:rPr>
          <w:rFonts w:hint="eastAsia" w:ascii="Times New Roman" w:hAnsi="Times New Roman" w:cs="Times New Roman"/>
          <w:bCs/>
          <w:color w:val="FF0000"/>
          <w:sz w:val="20"/>
          <w:szCs w:val="21"/>
          <w:lang w:val="en-US" w:eastAsia="zh-CN"/>
        </w:rPr>
        <w:t>,</w:t>
      </w:r>
      <w:r>
        <w:rPr>
          <w:rFonts w:hint="default" w:ascii="Times New Roman" w:hAnsi="Times New Roman" w:cs="Times New Roman"/>
          <w:bCs/>
          <w:color w:val="FF0000"/>
          <w:sz w:val="20"/>
          <w:szCs w:val="21"/>
          <w:lang w:val="en-US" w:eastAsia="zh-CN"/>
        </w:rPr>
        <w:t>4</w:t>
      </w:r>
      <w:r>
        <w:rPr>
          <w:rFonts w:hint="eastAsia" w:ascii="Times New Roman" w:hAnsi="Times New Roman" w:cs="Times New Roman"/>
          <w:bCs/>
          <w:color w:val="FF0000"/>
          <w:sz w:val="20"/>
          <w:szCs w:val="21"/>
          <w:lang w:val="en-US" w:eastAsia="zh-CN"/>
        </w:rPr>
        <w:t>00.00</w:t>
      </w:r>
      <w:r>
        <w:rPr>
          <w:rFonts w:hint="eastAsia" w:ascii="宋体" w:hAnsi="宋体"/>
          <w:b/>
          <w:color w:val="FF0000"/>
          <w:szCs w:val="21"/>
        </w:rPr>
        <w:t>元；</w:t>
      </w:r>
    </w:p>
    <w:p w14:paraId="77FCBFEE">
      <w:pPr>
        <w:rPr>
          <w:rFonts w:hint="eastAsia" w:ascii="宋体" w:hAnsi="宋体"/>
          <w:b/>
          <w:color w:val="FF0000"/>
          <w:szCs w:val="21"/>
          <w:lang w:eastAsia="zh-CN"/>
        </w:rPr>
      </w:pPr>
      <w:r>
        <w:rPr>
          <w:rFonts w:hint="eastAsia" w:ascii="宋体" w:hAnsi="宋体"/>
          <w:b/>
          <w:color w:val="FF0000"/>
          <w:szCs w:val="21"/>
        </w:rPr>
        <w:t>包</w:t>
      </w:r>
      <w:r>
        <w:rPr>
          <w:rFonts w:hint="eastAsia" w:ascii="宋体" w:hAnsi="宋体"/>
          <w:b/>
          <w:color w:val="FF0000"/>
          <w:szCs w:val="21"/>
          <w:lang w:val="en-US" w:eastAsia="zh-CN"/>
        </w:rPr>
        <w:t>4：</w:t>
      </w:r>
      <w:r>
        <w:rPr>
          <w:rFonts w:hint="eastAsia" w:ascii="Times New Roman" w:hAnsi="Times New Roman" w:cs="Times New Roman"/>
          <w:bCs/>
          <w:color w:val="FF0000"/>
          <w:sz w:val="20"/>
          <w:szCs w:val="21"/>
          <w:lang w:val="en-US" w:eastAsia="zh-CN"/>
        </w:rPr>
        <w:t>2,208,500.00</w:t>
      </w:r>
      <w:r>
        <w:rPr>
          <w:rFonts w:hint="eastAsia" w:ascii="宋体" w:hAnsi="宋体"/>
          <w:b/>
          <w:color w:val="FF0000"/>
          <w:szCs w:val="21"/>
        </w:rPr>
        <w:t>元</w:t>
      </w:r>
      <w:r>
        <w:rPr>
          <w:rFonts w:hint="eastAsia" w:ascii="宋体" w:hAnsi="宋体"/>
          <w:b/>
          <w:color w:val="FF0000"/>
          <w:szCs w:val="21"/>
          <w:lang w:eastAsia="zh-CN"/>
        </w:rPr>
        <w:t>。</w:t>
      </w:r>
    </w:p>
    <w:p w14:paraId="6C2467B9">
      <w:pPr>
        <w:rPr>
          <w:rFonts w:hint="eastAsia" w:ascii="宋体" w:hAnsi="宋体"/>
          <w:b/>
          <w:color w:val="FF0000"/>
          <w:szCs w:val="21"/>
        </w:rPr>
      </w:pPr>
    </w:p>
    <w:p w14:paraId="6EFEDFEF">
      <w:pPr>
        <w:rPr>
          <w:rFonts w:ascii="宋体" w:hAnsi="宋体"/>
          <w:b/>
          <w:color w:val="FF0000"/>
          <w:szCs w:val="21"/>
        </w:rPr>
      </w:pPr>
      <w:r>
        <w:rPr>
          <w:rFonts w:hint="eastAsia" w:ascii="宋体" w:hAnsi="宋体"/>
          <w:b/>
          <w:color w:val="FF0000"/>
          <w:szCs w:val="21"/>
          <w:lang w:val="en-US" w:eastAsia="zh-CN"/>
        </w:rPr>
        <w:t>2.</w:t>
      </w:r>
      <w:r>
        <w:rPr>
          <w:rFonts w:hint="eastAsia" w:ascii="宋体" w:hAnsi="宋体"/>
          <w:b/>
          <w:color w:val="FF0000"/>
          <w:szCs w:val="21"/>
        </w:rPr>
        <w:t>本包为包</w:t>
      </w:r>
      <w:r>
        <w:rPr>
          <w:rFonts w:hint="eastAsia" w:ascii="宋体" w:hAnsi="宋体"/>
          <w:b/>
          <w:color w:val="FF0000"/>
          <w:szCs w:val="21"/>
          <w:lang w:val="en-US" w:eastAsia="zh-CN"/>
        </w:rPr>
        <w:t>1</w:t>
      </w:r>
      <w:r>
        <w:rPr>
          <w:rFonts w:hint="eastAsia" w:ascii="宋体" w:hAnsi="宋体"/>
          <w:b/>
          <w:color w:val="FF0000"/>
          <w:szCs w:val="21"/>
        </w:rPr>
        <w:t>。</w:t>
      </w:r>
    </w:p>
    <w:p w14:paraId="0731EEE8">
      <w:pPr>
        <w:pStyle w:val="3"/>
        <w:spacing w:before="120" w:beforeLines="50" w:after="120" w:afterLines="50"/>
        <w:jc w:val="center"/>
        <w:rPr>
          <w:szCs w:val="24"/>
        </w:rPr>
      </w:pPr>
      <w:bookmarkStart w:id="46" w:name="_Hlk72258617"/>
      <w:r>
        <w:rPr>
          <w:rFonts w:hint="eastAsia"/>
          <w:szCs w:val="24"/>
        </w:rPr>
        <w:t>二、</w:t>
      </w:r>
      <w:bookmarkStart w:id="47" w:name="_Hlk72073432"/>
      <w:r>
        <w:rPr>
          <w:rFonts w:hint="eastAsia"/>
          <w:szCs w:val="24"/>
        </w:rPr>
        <w:t>货物需求明细</w:t>
      </w:r>
      <w:bookmarkEnd w:id="47"/>
    </w:p>
    <w:tbl>
      <w:tblPr>
        <w:tblStyle w:val="43"/>
        <w:tblW w:w="8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3"/>
        <w:gridCol w:w="1923"/>
        <w:gridCol w:w="756"/>
        <w:gridCol w:w="670"/>
        <w:gridCol w:w="1571"/>
        <w:gridCol w:w="1236"/>
        <w:gridCol w:w="1243"/>
        <w:gridCol w:w="787"/>
      </w:tblGrid>
      <w:tr w14:paraId="5D9FA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573" w:type="dxa"/>
            <w:vAlign w:val="center"/>
          </w:tcPr>
          <w:p w14:paraId="0B9AA981">
            <w:pPr>
              <w:keepNext w:val="0"/>
              <w:keepLines w:val="0"/>
              <w:suppressLineNumbers w:val="0"/>
              <w:spacing w:before="0" w:beforeAutospacing="0" w:after="0" w:afterAutospacing="0"/>
              <w:ind w:left="0" w:right="0"/>
              <w:jc w:val="center"/>
              <w:rPr>
                <w:rFonts w:hint="default"/>
                <w:b/>
                <w:bCs w:val="0"/>
                <w:szCs w:val="21"/>
              </w:rPr>
            </w:pPr>
            <w:r>
              <w:rPr>
                <w:rFonts w:hint="eastAsia"/>
                <w:b/>
                <w:bCs w:val="0"/>
                <w:szCs w:val="21"/>
              </w:rPr>
              <w:t>序号</w:t>
            </w:r>
          </w:p>
        </w:tc>
        <w:tc>
          <w:tcPr>
            <w:tcW w:w="1923" w:type="dxa"/>
            <w:vAlign w:val="center"/>
          </w:tcPr>
          <w:p w14:paraId="6C353A6A">
            <w:pPr>
              <w:keepNext w:val="0"/>
              <w:keepLines w:val="0"/>
              <w:suppressLineNumbers w:val="0"/>
              <w:spacing w:before="0" w:beforeAutospacing="0" w:after="0" w:afterAutospacing="0"/>
              <w:ind w:left="0" w:right="0"/>
              <w:jc w:val="center"/>
              <w:rPr>
                <w:rFonts w:hint="eastAsia"/>
                <w:b/>
                <w:bCs w:val="0"/>
                <w:szCs w:val="21"/>
              </w:rPr>
            </w:pPr>
            <w:r>
              <w:rPr>
                <w:rFonts w:hint="eastAsia"/>
                <w:b/>
                <w:bCs w:val="0"/>
                <w:szCs w:val="21"/>
              </w:rPr>
              <w:t>货物名称</w:t>
            </w:r>
          </w:p>
          <w:p w14:paraId="3FD1E88A">
            <w:pPr>
              <w:keepNext w:val="0"/>
              <w:keepLines w:val="0"/>
              <w:suppressLineNumbers w:val="0"/>
              <w:spacing w:before="0" w:beforeAutospacing="0" w:after="0" w:afterAutospacing="0"/>
              <w:ind w:left="0" w:right="0"/>
              <w:jc w:val="center"/>
              <w:rPr>
                <w:rFonts w:hint="default"/>
                <w:b/>
                <w:bCs w:val="0"/>
                <w:szCs w:val="21"/>
              </w:rPr>
            </w:pPr>
            <w:r>
              <w:rPr>
                <w:rFonts w:hint="eastAsia"/>
                <w:b/>
                <w:bCs w:val="0"/>
                <w:szCs w:val="21"/>
              </w:rPr>
              <w:t>（标的名称）</w:t>
            </w:r>
          </w:p>
        </w:tc>
        <w:tc>
          <w:tcPr>
            <w:tcW w:w="756" w:type="dxa"/>
            <w:vAlign w:val="center"/>
          </w:tcPr>
          <w:p w14:paraId="68E1862B">
            <w:pPr>
              <w:keepNext w:val="0"/>
              <w:keepLines w:val="0"/>
              <w:suppressLineNumbers w:val="0"/>
              <w:spacing w:before="0" w:beforeAutospacing="0" w:after="0" w:afterAutospacing="0"/>
              <w:ind w:left="0" w:right="0"/>
              <w:jc w:val="center"/>
              <w:rPr>
                <w:rFonts w:hint="default"/>
                <w:b/>
                <w:bCs w:val="0"/>
                <w:szCs w:val="21"/>
              </w:rPr>
            </w:pPr>
            <w:r>
              <w:rPr>
                <w:rFonts w:hint="eastAsia"/>
                <w:b/>
                <w:bCs w:val="0"/>
                <w:szCs w:val="21"/>
              </w:rPr>
              <w:t>数量</w:t>
            </w:r>
          </w:p>
        </w:tc>
        <w:tc>
          <w:tcPr>
            <w:tcW w:w="670" w:type="dxa"/>
            <w:vAlign w:val="center"/>
          </w:tcPr>
          <w:p w14:paraId="553523D1">
            <w:pPr>
              <w:keepNext w:val="0"/>
              <w:keepLines w:val="0"/>
              <w:suppressLineNumbers w:val="0"/>
              <w:spacing w:before="0" w:beforeAutospacing="0" w:after="0" w:afterAutospacing="0"/>
              <w:ind w:left="0" w:right="0"/>
              <w:jc w:val="center"/>
              <w:rPr>
                <w:rFonts w:hint="default"/>
                <w:b/>
                <w:bCs w:val="0"/>
                <w:szCs w:val="21"/>
              </w:rPr>
            </w:pPr>
            <w:r>
              <w:rPr>
                <w:rFonts w:hint="eastAsia"/>
                <w:b/>
                <w:bCs w:val="0"/>
                <w:szCs w:val="21"/>
              </w:rPr>
              <w:t>单位</w:t>
            </w:r>
          </w:p>
        </w:tc>
        <w:tc>
          <w:tcPr>
            <w:tcW w:w="1571" w:type="dxa"/>
            <w:vAlign w:val="center"/>
          </w:tcPr>
          <w:p w14:paraId="14D0D5B9">
            <w:pPr>
              <w:keepNext w:val="0"/>
              <w:keepLines w:val="0"/>
              <w:suppressLineNumbers w:val="0"/>
              <w:spacing w:before="0" w:beforeAutospacing="0" w:after="0" w:afterAutospacing="0"/>
              <w:ind w:left="0" w:right="0"/>
              <w:jc w:val="center"/>
              <w:rPr>
                <w:rFonts w:hint="default"/>
                <w:b/>
                <w:bCs/>
                <w:color w:val="FF0000"/>
                <w:szCs w:val="21"/>
              </w:rPr>
            </w:pPr>
            <w:r>
              <w:rPr>
                <w:rFonts w:hint="eastAsia"/>
                <w:b/>
                <w:bCs/>
                <w:color w:val="FF0000"/>
                <w:szCs w:val="21"/>
              </w:rPr>
              <w:t>是否接受进口</w:t>
            </w:r>
          </w:p>
        </w:tc>
        <w:tc>
          <w:tcPr>
            <w:tcW w:w="1236" w:type="dxa"/>
            <w:vAlign w:val="center"/>
          </w:tcPr>
          <w:p w14:paraId="2F77B8BC">
            <w:pPr>
              <w:keepNext w:val="0"/>
              <w:keepLines w:val="0"/>
              <w:suppressLineNumbers w:val="0"/>
              <w:spacing w:before="0" w:beforeAutospacing="0" w:after="0" w:afterAutospacing="0"/>
              <w:ind w:left="0" w:right="0"/>
              <w:jc w:val="center"/>
              <w:rPr>
                <w:rFonts w:hint="eastAsia" w:eastAsia="宋体"/>
                <w:b/>
                <w:bCs/>
                <w:color w:val="FF0000"/>
                <w:szCs w:val="21"/>
                <w:lang w:eastAsia="zh-CN"/>
              </w:rPr>
            </w:pPr>
            <w:r>
              <w:rPr>
                <w:rFonts w:hint="eastAsia"/>
                <w:b/>
                <w:bCs/>
                <w:color w:val="FF0000"/>
                <w:szCs w:val="21"/>
              </w:rPr>
              <w:t>是否</w:t>
            </w:r>
            <w:r>
              <w:rPr>
                <w:rFonts w:hint="eastAsia"/>
                <w:b/>
                <w:bCs/>
                <w:color w:val="FF0000"/>
                <w:szCs w:val="21"/>
                <w:lang w:val="en-US" w:eastAsia="zh-CN"/>
              </w:rPr>
              <w:t>分包</w:t>
            </w:r>
          </w:p>
        </w:tc>
        <w:tc>
          <w:tcPr>
            <w:tcW w:w="1243" w:type="dxa"/>
          </w:tcPr>
          <w:p w14:paraId="64C90C5F">
            <w:pPr>
              <w:keepNext w:val="0"/>
              <w:keepLines w:val="0"/>
              <w:suppressLineNumbers w:val="0"/>
              <w:spacing w:before="0" w:beforeAutospacing="0" w:after="0" w:afterAutospacing="0"/>
              <w:ind w:left="0" w:right="0"/>
              <w:jc w:val="center"/>
              <w:rPr>
                <w:rFonts w:hint="eastAsia"/>
                <w:b/>
                <w:bCs/>
                <w:color w:val="FF0000"/>
                <w:szCs w:val="21"/>
              </w:rPr>
            </w:pPr>
            <w:r>
              <w:rPr>
                <w:rFonts w:hint="eastAsia"/>
                <w:b/>
                <w:bCs/>
                <w:color w:val="FF0000"/>
                <w:szCs w:val="21"/>
              </w:rPr>
              <w:t>是否专门面向中小企业</w:t>
            </w:r>
          </w:p>
        </w:tc>
        <w:tc>
          <w:tcPr>
            <w:tcW w:w="787" w:type="dxa"/>
          </w:tcPr>
          <w:p w14:paraId="7ED6F68D">
            <w:pPr>
              <w:keepNext w:val="0"/>
              <w:keepLines w:val="0"/>
              <w:suppressLineNumbers w:val="0"/>
              <w:spacing w:before="0" w:beforeAutospacing="0" w:after="0" w:afterAutospacing="0"/>
              <w:ind w:left="0" w:right="0"/>
              <w:jc w:val="center"/>
              <w:rPr>
                <w:rFonts w:hint="eastAsia"/>
                <w:b/>
                <w:bCs/>
                <w:color w:val="FF0000"/>
                <w:szCs w:val="21"/>
              </w:rPr>
            </w:pPr>
            <w:r>
              <w:rPr>
                <w:rFonts w:hint="eastAsia"/>
                <w:b/>
                <w:bCs/>
                <w:color w:val="FF0000"/>
                <w:szCs w:val="21"/>
              </w:rPr>
              <w:t>标的所属行业</w:t>
            </w:r>
          </w:p>
        </w:tc>
      </w:tr>
      <w:tr w14:paraId="29597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573" w:type="dxa"/>
            <w:vAlign w:val="center"/>
          </w:tcPr>
          <w:p w14:paraId="3D8CC00F">
            <w:pPr>
              <w:keepNext w:val="0"/>
              <w:keepLines w:val="0"/>
              <w:suppressLineNumbers w:val="0"/>
              <w:spacing w:before="0" w:beforeAutospacing="0" w:after="0" w:afterAutospacing="0"/>
              <w:ind w:left="0" w:right="0"/>
              <w:jc w:val="center"/>
              <w:rPr>
                <w:rFonts w:hint="default"/>
                <w:b w:val="0"/>
                <w:bCs/>
                <w:szCs w:val="21"/>
              </w:rPr>
            </w:pPr>
            <w:r>
              <w:rPr>
                <w:rFonts w:hint="eastAsia"/>
                <w:b w:val="0"/>
                <w:bCs/>
                <w:szCs w:val="21"/>
              </w:rPr>
              <w:t>1</w:t>
            </w:r>
          </w:p>
        </w:tc>
        <w:tc>
          <w:tcPr>
            <w:tcW w:w="1923" w:type="dxa"/>
            <w:vAlign w:val="center"/>
          </w:tcPr>
          <w:p w14:paraId="397C032D">
            <w:pPr>
              <w:keepNext w:val="0"/>
              <w:keepLines w:val="0"/>
              <w:suppressLineNumbers w:val="0"/>
              <w:spacing w:before="0" w:beforeAutospacing="0" w:after="0" w:afterAutospacing="0"/>
              <w:ind w:left="0" w:right="0"/>
              <w:jc w:val="center"/>
              <w:rPr>
                <w:rFonts w:hint="default"/>
                <w:b w:val="0"/>
                <w:bCs/>
                <w:szCs w:val="21"/>
              </w:rPr>
            </w:pPr>
            <w:bookmarkStart w:id="48" w:name="OLE_LINK7"/>
            <w:r>
              <w:rPr>
                <w:rFonts w:hint="eastAsia"/>
                <w:b w:val="0"/>
                <w:bCs/>
                <w:szCs w:val="21"/>
                <w:lang w:eastAsia="zh-CN"/>
              </w:rPr>
              <w:t>路由器（下联路由器）</w:t>
            </w:r>
            <w:bookmarkEnd w:id="48"/>
          </w:p>
        </w:tc>
        <w:tc>
          <w:tcPr>
            <w:tcW w:w="756" w:type="dxa"/>
            <w:vAlign w:val="center"/>
          </w:tcPr>
          <w:p w14:paraId="17A22175">
            <w:pPr>
              <w:keepNext w:val="0"/>
              <w:keepLines w:val="0"/>
              <w:suppressLineNumbers w:val="0"/>
              <w:spacing w:before="0" w:beforeAutospacing="0" w:after="0" w:afterAutospacing="0"/>
              <w:ind w:left="0" w:right="0"/>
              <w:jc w:val="center"/>
              <w:rPr>
                <w:rFonts w:hint="default"/>
                <w:b w:val="0"/>
                <w:bCs/>
                <w:szCs w:val="21"/>
                <w:lang w:val="en-US" w:eastAsia="zh-CN"/>
              </w:rPr>
            </w:pPr>
            <w:r>
              <w:rPr>
                <w:rFonts w:hint="eastAsia"/>
                <w:b w:val="0"/>
                <w:bCs/>
                <w:szCs w:val="21"/>
                <w:lang w:val="en-US" w:eastAsia="zh-CN"/>
              </w:rPr>
              <w:t>2</w:t>
            </w:r>
          </w:p>
        </w:tc>
        <w:tc>
          <w:tcPr>
            <w:tcW w:w="670" w:type="dxa"/>
            <w:vAlign w:val="center"/>
          </w:tcPr>
          <w:p w14:paraId="7A526DDC">
            <w:pPr>
              <w:keepNext w:val="0"/>
              <w:keepLines w:val="0"/>
              <w:suppressLineNumbers w:val="0"/>
              <w:spacing w:before="0" w:beforeAutospacing="0" w:after="0" w:afterAutospacing="0"/>
              <w:ind w:left="0" w:right="0"/>
              <w:jc w:val="center"/>
              <w:rPr>
                <w:rFonts w:hint="default"/>
                <w:b w:val="0"/>
                <w:bCs/>
                <w:szCs w:val="21"/>
              </w:rPr>
            </w:pPr>
            <w:r>
              <w:rPr>
                <w:rFonts w:hint="eastAsia"/>
                <w:b w:val="0"/>
                <w:bCs/>
                <w:szCs w:val="21"/>
              </w:rPr>
              <w:t>台</w:t>
            </w:r>
          </w:p>
        </w:tc>
        <w:tc>
          <w:tcPr>
            <w:tcW w:w="1571" w:type="dxa"/>
            <w:vAlign w:val="center"/>
          </w:tcPr>
          <w:p w14:paraId="7D0769FC">
            <w:pPr>
              <w:keepNext w:val="0"/>
              <w:keepLines w:val="0"/>
              <w:suppressLineNumbers w:val="0"/>
              <w:spacing w:before="0" w:beforeAutospacing="0" w:after="0" w:afterAutospacing="0"/>
              <w:ind w:left="0" w:right="0"/>
              <w:jc w:val="center"/>
              <w:rPr>
                <w:rFonts w:hint="default"/>
                <w:b w:val="0"/>
                <w:bCs/>
                <w:color w:val="FF0000"/>
                <w:szCs w:val="21"/>
              </w:rPr>
            </w:pPr>
            <w:r>
              <w:rPr>
                <w:rFonts w:hint="eastAsia"/>
                <w:b w:val="0"/>
                <w:bCs/>
                <w:szCs w:val="21"/>
              </w:rPr>
              <w:t>拒绝进口</w:t>
            </w:r>
          </w:p>
        </w:tc>
        <w:tc>
          <w:tcPr>
            <w:tcW w:w="1236" w:type="dxa"/>
            <w:vAlign w:val="center"/>
          </w:tcPr>
          <w:p w14:paraId="0D71E104">
            <w:pPr>
              <w:keepNext w:val="0"/>
              <w:keepLines w:val="0"/>
              <w:suppressLineNumbers w:val="0"/>
              <w:spacing w:before="0" w:beforeAutospacing="0" w:after="0" w:afterAutospacing="0"/>
              <w:ind w:left="0" w:right="0"/>
              <w:jc w:val="center"/>
              <w:rPr>
                <w:rFonts w:hint="eastAsia"/>
                <w:b w:val="0"/>
                <w:bCs/>
                <w:szCs w:val="21"/>
              </w:rPr>
            </w:pPr>
            <w:r>
              <w:rPr>
                <w:rFonts w:hint="eastAsia"/>
                <w:b w:val="0"/>
                <w:bCs/>
                <w:color w:val="auto"/>
                <w:szCs w:val="21"/>
                <w:lang w:val="en-US" w:eastAsia="zh-CN"/>
              </w:rPr>
              <w:t>否</w:t>
            </w:r>
          </w:p>
        </w:tc>
        <w:tc>
          <w:tcPr>
            <w:tcW w:w="1243" w:type="dxa"/>
            <w:vAlign w:val="center"/>
          </w:tcPr>
          <w:p w14:paraId="3BC84AE1">
            <w:pPr>
              <w:keepNext w:val="0"/>
              <w:keepLines w:val="0"/>
              <w:suppressLineNumbers w:val="0"/>
              <w:spacing w:before="0" w:beforeAutospacing="0" w:after="0" w:afterAutospacing="0"/>
              <w:ind w:left="0" w:right="0"/>
              <w:jc w:val="center"/>
              <w:rPr>
                <w:rFonts w:hint="eastAsia" w:eastAsia="宋体"/>
                <w:b w:val="0"/>
                <w:bCs/>
                <w:color w:val="FF0000"/>
                <w:szCs w:val="21"/>
                <w:lang w:val="en-US" w:eastAsia="zh-CN"/>
              </w:rPr>
            </w:pPr>
            <w:r>
              <w:rPr>
                <w:rFonts w:hint="eastAsia"/>
                <w:b w:val="0"/>
                <w:bCs/>
                <w:color w:val="auto"/>
                <w:szCs w:val="21"/>
                <w:lang w:val="en-US" w:eastAsia="zh-CN"/>
              </w:rPr>
              <w:t>否</w:t>
            </w:r>
          </w:p>
        </w:tc>
        <w:tc>
          <w:tcPr>
            <w:tcW w:w="787" w:type="dxa"/>
            <w:vAlign w:val="center"/>
          </w:tcPr>
          <w:p w14:paraId="4A63A065">
            <w:pPr>
              <w:keepNext w:val="0"/>
              <w:keepLines w:val="0"/>
              <w:suppressLineNumbers w:val="0"/>
              <w:spacing w:before="0" w:beforeAutospacing="0" w:after="0" w:afterAutospacing="0"/>
              <w:ind w:left="0" w:right="0"/>
              <w:jc w:val="center"/>
              <w:rPr>
                <w:rFonts w:hint="default"/>
                <w:b w:val="0"/>
                <w:bCs/>
                <w:color w:val="FF0000"/>
                <w:szCs w:val="21"/>
              </w:rPr>
            </w:pPr>
            <w:r>
              <w:rPr>
                <w:rFonts w:hint="default"/>
                <w:b w:val="0"/>
                <w:bCs/>
                <w:color w:val="auto"/>
                <w:szCs w:val="21"/>
              </w:rPr>
              <w:t>工业</w:t>
            </w:r>
          </w:p>
        </w:tc>
      </w:tr>
      <w:tr w14:paraId="35F60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573" w:type="dxa"/>
            <w:vAlign w:val="center"/>
          </w:tcPr>
          <w:p w14:paraId="02010258">
            <w:pPr>
              <w:keepNext w:val="0"/>
              <w:keepLines w:val="0"/>
              <w:suppressLineNumbers w:val="0"/>
              <w:spacing w:before="0" w:beforeAutospacing="0" w:after="0" w:afterAutospacing="0"/>
              <w:ind w:left="0" w:right="0"/>
              <w:jc w:val="center"/>
              <w:rPr>
                <w:rFonts w:hint="eastAsia" w:eastAsia="宋体"/>
                <w:b w:val="0"/>
                <w:bCs/>
                <w:szCs w:val="21"/>
                <w:lang w:val="en-US" w:eastAsia="zh-CN"/>
              </w:rPr>
            </w:pPr>
            <w:r>
              <w:rPr>
                <w:rFonts w:hint="eastAsia"/>
                <w:b w:val="0"/>
                <w:bCs/>
                <w:szCs w:val="21"/>
                <w:lang w:val="en-US" w:eastAsia="zh-CN"/>
              </w:rPr>
              <w:t>2</w:t>
            </w:r>
          </w:p>
        </w:tc>
        <w:tc>
          <w:tcPr>
            <w:tcW w:w="1923" w:type="dxa"/>
            <w:vAlign w:val="center"/>
          </w:tcPr>
          <w:p w14:paraId="4A307F2D">
            <w:pPr>
              <w:keepNext w:val="0"/>
              <w:keepLines w:val="0"/>
              <w:suppressLineNumbers w:val="0"/>
              <w:spacing w:before="0" w:beforeAutospacing="0" w:after="0" w:afterAutospacing="0"/>
              <w:ind w:left="0" w:right="0"/>
              <w:jc w:val="center"/>
              <w:rPr>
                <w:rFonts w:hint="default"/>
                <w:b w:val="0"/>
                <w:bCs/>
                <w:szCs w:val="21"/>
              </w:rPr>
            </w:pPr>
            <w:r>
              <w:rPr>
                <w:rFonts w:hint="eastAsia"/>
                <w:b w:val="0"/>
                <w:bCs/>
                <w:szCs w:val="21"/>
                <w:lang w:eastAsia="zh-CN"/>
              </w:rPr>
              <w:t>交换机（</w:t>
            </w:r>
            <w:r>
              <w:rPr>
                <w:rFonts w:hint="eastAsia"/>
                <w:b w:val="0"/>
                <w:bCs/>
                <w:szCs w:val="21"/>
                <w:lang w:val="en-US" w:eastAsia="zh-CN"/>
              </w:rPr>
              <w:t>接入</w:t>
            </w:r>
            <w:r>
              <w:rPr>
                <w:rFonts w:hint="eastAsia"/>
                <w:b w:val="0"/>
                <w:bCs/>
                <w:szCs w:val="21"/>
              </w:rPr>
              <w:t>交换机</w:t>
            </w:r>
            <w:r>
              <w:rPr>
                <w:rFonts w:hint="eastAsia"/>
                <w:b w:val="0"/>
                <w:bCs/>
                <w:szCs w:val="21"/>
                <w:lang w:eastAsia="zh-CN"/>
              </w:rPr>
              <w:t>）</w:t>
            </w:r>
          </w:p>
        </w:tc>
        <w:tc>
          <w:tcPr>
            <w:tcW w:w="756" w:type="dxa"/>
            <w:vAlign w:val="center"/>
          </w:tcPr>
          <w:p w14:paraId="0BF35A75">
            <w:pPr>
              <w:keepNext w:val="0"/>
              <w:keepLines w:val="0"/>
              <w:suppressLineNumbers w:val="0"/>
              <w:spacing w:before="0" w:beforeAutospacing="0" w:after="0" w:afterAutospacing="0"/>
              <w:ind w:left="0" w:right="0"/>
              <w:jc w:val="center"/>
              <w:rPr>
                <w:rFonts w:hint="eastAsia"/>
                <w:b w:val="0"/>
                <w:bCs/>
                <w:szCs w:val="21"/>
                <w:lang w:val="en-US" w:eastAsia="zh-CN"/>
              </w:rPr>
            </w:pPr>
            <w:r>
              <w:rPr>
                <w:rFonts w:hint="eastAsia"/>
                <w:b w:val="0"/>
                <w:bCs/>
                <w:szCs w:val="21"/>
                <w:lang w:val="en-US" w:eastAsia="zh-CN"/>
              </w:rPr>
              <w:t>6</w:t>
            </w:r>
          </w:p>
        </w:tc>
        <w:tc>
          <w:tcPr>
            <w:tcW w:w="670" w:type="dxa"/>
            <w:vAlign w:val="center"/>
          </w:tcPr>
          <w:p w14:paraId="11E725D6">
            <w:pPr>
              <w:keepNext w:val="0"/>
              <w:keepLines w:val="0"/>
              <w:suppressLineNumbers w:val="0"/>
              <w:spacing w:before="0" w:beforeAutospacing="0" w:after="0" w:afterAutospacing="0"/>
              <w:ind w:left="0" w:right="0"/>
              <w:jc w:val="center"/>
              <w:rPr>
                <w:rFonts w:hint="eastAsia"/>
                <w:b w:val="0"/>
                <w:bCs/>
                <w:szCs w:val="21"/>
              </w:rPr>
            </w:pPr>
            <w:r>
              <w:rPr>
                <w:rFonts w:hint="eastAsia"/>
                <w:b w:val="0"/>
                <w:bCs/>
                <w:szCs w:val="21"/>
              </w:rPr>
              <w:t>台</w:t>
            </w:r>
          </w:p>
        </w:tc>
        <w:tc>
          <w:tcPr>
            <w:tcW w:w="1571" w:type="dxa"/>
            <w:vAlign w:val="center"/>
          </w:tcPr>
          <w:p w14:paraId="1074AA8D">
            <w:pPr>
              <w:keepNext w:val="0"/>
              <w:keepLines w:val="0"/>
              <w:suppressLineNumbers w:val="0"/>
              <w:spacing w:before="0" w:beforeAutospacing="0" w:after="0" w:afterAutospacing="0"/>
              <w:ind w:left="0" w:right="0"/>
              <w:jc w:val="center"/>
              <w:rPr>
                <w:rFonts w:hint="eastAsia"/>
                <w:b w:val="0"/>
                <w:bCs/>
                <w:szCs w:val="21"/>
              </w:rPr>
            </w:pPr>
            <w:r>
              <w:rPr>
                <w:rFonts w:hint="eastAsia"/>
                <w:b w:val="0"/>
                <w:bCs/>
                <w:szCs w:val="21"/>
              </w:rPr>
              <w:t>拒绝进口</w:t>
            </w:r>
          </w:p>
        </w:tc>
        <w:tc>
          <w:tcPr>
            <w:tcW w:w="1236" w:type="dxa"/>
            <w:vAlign w:val="center"/>
          </w:tcPr>
          <w:p w14:paraId="77BD2834">
            <w:pPr>
              <w:keepNext w:val="0"/>
              <w:keepLines w:val="0"/>
              <w:suppressLineNumbers w:val="0"/>
              <w:spacing w:before="0" w:beforeAutospacing="0" w:after="0" w:afterAutospacing="0"/>
              <w:ind w:left="0" w:right="0"/>
              <w:jc w:val="center"/>
              <w:rPr>
                <w:rFonts w:hint="eastAsia"/>
                <w:b w:val="0"/>
                <w:bCs/>
                <w:szCs w:val="21"/>
              </w:rPr>
            </w:pPr>
            <w:r>
              <w:rPr>
                <w:rFonts w:hint="eastAsia"/>
                <w:b w:val="0"/>
                <w:bCs/>
                <w:color w:val="auto"/>
                <w:szCs w:val="21"/>
                <w:lang w:val="en-US" w:eastAsia="zh-CN"/>
              </w:rPr>
              <w:t>否</w:t>
            </w:r>
          </w:p>
        </w:tc>
        <w:tc>
          <w:tcPr>
            <w:tcW w:w="1243" w:type="dxa"/>
            <w:vAlign w:val="center"/>
          </w:tcPr>
          <w:p w14:paraId="1AA5083E">
            <w:pPr>
              <w:keepNext w:val="0"/>
              <w:keepLines w:val="0"/>
              <w:suppressLineNumbers w:val="0"/>
              <w:spacing w:before="0" w:beforeAutospacing="0" w:after="0" w:afterAutospacing="0"/>
              <w:ind w:left="0" w:right="0"/>
              <w:jc w:val="center"/>
              <w:rPr>
                <w:rFonts w:hint="eastAsia"/>
                <w:b w:val="0"/>
                <w:bCs/>
                <w:color w:val="auto"/>
                <w:szCs w:val="21"/>
                <w:lang w:val="en-US" w:eastAsia="zh-CN"/>
              </w:rPr>
            </w:pPr>
            <w:r>
              <w:rPr>
                <w:rFonts w:hint="eastAsia"/>
                <w:b w:val="0"/>
                <w:bCs/>
                <w:color w:val="auto"/>
                <w:szCs w:val="21"/>
                <w:lang w:val="en-US" w:eastAsia="zh-CN"/>
              </w:rPr>
              <w:t>否</w:t>
            </w:r>
          </w:p>
        </w:tc>
        <w:tc>
          <w:tcPr>
            <w:tcW w:w="787" w:type="dxa"/>
            <w:vAlign w:val="center"/>
          </w:tcPr>
          <w:p w14:paraId="6A99524A">
            <w:pPr>
              <w:keepNext w:val="0"/>
              <w:keepLines w:val="0"/>
              <w:suppressLineNumbers w:val="0"/>
              <w:spacing w:before="0" w:beforeAutospacing="0" w:after="0" w:afterAutospacing="0"/>
              <w:ind w:left="0" w:right="0"/>
              <w:jc w:val="center"/>
              <w:rPr>
                <w:rFonts w:hint="default"/>
                <w:b w:val="0"/>
                <w:bCs/>
                <w:color w:val="auto"/>
                <w:szCs w:val="21"/>
              </w:rPr>
            </w:pPr>
            <w:r>
              <w:rPr>
                <w:rFonts w:hint="default"/>
                <w:b w:val="0"/>
                <w:bCs/>
                <w:color w:val="auto"/>
                <w:szCs w:val="21"/>
              </w:rPr>
              <w:t>工业</w:t>
            </w:r>
          </w:p>
        </w:tc>
      </w:tr>
      <w:tr w14:paraId="5ABF9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573" w:type="dxa"/>
            <w:vAlign w:val="center"/>
          </w:tcPr>
          <w:p w14:paraId="2E437E9B">
            <w:pPr>
              <w:keepNext w:val="0"/>
              <w:keepLines w:val="0"/>
              <w:suppressLineNumbers w:val="0"/>
              <w:spacing w:before="0" w:beforeAutospacing="0" w:after="0" w:afterAutospacing="0"/>
              <w:ind w:left="0" w:right="0"/>
              <w:jc w:val="center"/>
              <w:rPr>
                <w:rFonts w:hint="eastAsia" w:eastAsia="宋体"/>
                <w:b w:val="0"/>
                <w:bCs/>
                <w:szCs w:val="21"/>
                <w:lang w:val="en-US" w:eastAsia="zh-CN"/>
              </w:rPr>
            </w:pPr>
            <w:r>
              <w:rPr>
                <w:rFonts w:hint="eastAsia"/>
                <w:b w:val="0"/>
                <w:bCs/>
                <w:szCs w:val="21"/>
                <w:lang w:val="en-US" w:eastAsia="zh-CN"/>
              </w:rPr>
              <w:t>3</w:t>
            </w:r>
          </w:p>
        </w:tc>
        <w:tc>
          <w:tcPr>
            <w:tcW w:w="1923" w:type="dxa"/>
            <w:vAlign w:val="center"/>
          </w:tcPr>
          <w:p w14:paraId="68E57D2C">
            <w:pPr>
              <w:keepNext w:val="0"/>
              <w:keepLines w:val="0"/>
              <w:suppressLineNumbers w:val="0"/>
              <w:spacing w:before="0" w:beforeAutospacing="0" w:after="0" w:afterAutospacing="0"/>
              <w:ind w:left="0" w:right="0"/>
              <w:jc w:val="center"/>
              <w:rPr>
                <w:rFonts w:hint="default"/>
                <w:b w:val="0"/>
                <w:bCs/>
                <w:szCs w:val="21"/>
              </w:rPr>
            </w:pPr>
            <w:r>
              <w:rPr>
                <w:rFonts w:hint="eastAsia"/>
                <w:b w:val="0"/>
                <w:bCs/>
                <w:szCs w:val="21"/>
                <w:lang w:eastAsia="zh-CN"/>
              </w:rPr>
              <w:t>交换机（</w:t>
            </w:r>
            <w:r>
              <w:rPr>
                <w:rFonts w:hint="eastAsia"/>
                <w:b w:val="0"/>
                <w:bCs/>
                <w:szCs w:val="21"/>
                <w:lang w:val="en-US" w:eastAsia="zh-CN"/>
              </w:rPr>
              <w:t>外联</w:t>
            </w:r>
            <w:r>
              <w:rPr>
                <w:rFonts w:hint="eastAsia"/>
                <w:b w:val="0"/>
                <w:bCs/>
                <w:szCs w:val="21"/>
              </w:rPr>
              <w:t>交换机</w:t>
            </w:r>
            <w:r>
              <w:rPr>
                <w:rFonts w:hint="eastAsia"/>
                <w:b w:val="0"/>
                <w:bCs/>
                <w:szCs w:val="21"/>
                <w:lang w:eastAsia="zh-CN"/>
              </w:rPr>
              <w:t>）</w:t>
            </w:r>
          </w:p>
        </w:tc>
        <w:tc>
          <w:tcPr>
            <w:tcW w:w="756" w:type="dxa"/>
            <w:vAlign w:val="center"/>
          </w:tcPr>
          <w:p w14:paraId="537A1203">
            <w:pPr>
              <w:keepNext w:val="0"/>
              <w:keepLines w:val="0"/>
              <w:suppressLineNumbers w:val="0"/>
              <w:spacing w:before="0" w:beforeAutospacing="0" w:after="0" w:afterAutospacing="0"/>
              <w:ind w:left="0" w:right="0"/>
              <w:jc w:val="center"/>
              <w:rPr>
                <w:rFonts w:hint="eastAsia"/>
                <w:b w:val="0"/>
                <w:bCs/>
                <w:szCs w:val="21"/>
                <w:lang w:val="en-US" w:eastAsia="zh-CN"/>
              </w:rPr>
            </w:pPr>
            <w:r>
              <w:rPr>
                <w:rFonts w:hint="eastAsia"/>
                <w:b w:val="0"/>
                <w:bCs/>
                <w:szCs w:val="21"/>
                <w:lang w:val="en-US" w:eastAsia="zh-CN"/>
              </w:rPr>
              <w:t>4</w:t>
            </w:r>
          </w:p>
        </w:tc>
        <w:tc>
          <w:tcPr>
            <w:tcW w:w="670" w:type="dxa"/>
            <w:vAlign w:val="center"/>
          </w:tcPr>
          <w:p w14:paraId="37E72867">
            <w:pPr>
              <w:keepNext w:val="0"/>
              <w:keepLines w:val="0"/>
              <w:suppressLineNumbers w:val="0"/>
              <w:spacing w:before="0" w:beforeAutospacing="0" w:after="0" w:afterAutospacing="0"/>
              <w:ind w:left="0" w:right="0"/>
              <w:jc w:val="center"/>
              <w:rPr>
                <w:rFonts w:hint="eastAsia"/>
                <w:b w:val="0"/>
                <w:bCs/>
                <w:szCs w:val="21"/>
              </w:rPr>
            </w:pPr>
            <w:r>
              <w:rPr>
                <w:rFonts w:hint="eastAsia"/>
                <w:b w:val="0"/>
                <w:bCs/>
                <w:szCs w:val="21"/>
              </w:rPr>
              <w:t>台</w:t>
            </w:r>
          </w:p>
        </w:tc>
        <w:tc>
          <w:tcPr>
            <w:tcW w:w="1571" w:type="dxa"/>
            <w:vAlign w:val="center"/>
          </w:tcPr>
          <w:p w14:paraId="5E453741">
            <w:pPr>
              <w:keepNext w:val="0"/>
              <w:keepLines w:val="0"/>
              <w:suppressLineNumbers w:val="0"/>
              <w:spacing w:before="0" w:beforeAutospacing="0" w:after="0" w:afterAutospacing="0"/>
              <w:ind w:left="0" w:right="0"/>
              <w:jc w:val="center"/>
              <w:rPr>
                <w:rFonts w:hint="eastAsia"/>
                <w:b w:val="0"/>
                <w:bCs/>
                <w:szCs w:val="21"/>
              </w:rPr>
            </w:pPr>
            <w:r>
              <w:rPr>
                <w:rFonts w:hint="eastAsia"/>
                <w:b w:val="0"/>
                <w:bCs/>
                <w:szCs w:val="21"/>
              </w:rPr>
              <w:t>拒绝进口</w:t>
            </w:r>
          </w:p>
        </w:tc>
        <w:tc>
          <w:tcPr>
            <w:tcW w:w="1236" w:type="dxa"/>
            <w:vAlign w:val="center"/>
          </w:tcPr>
          <w:p w14:paraId="6A9BC02E">
            <w:pPr>
              <w:keepNext w:val="0"/>
              <w:keepLines w:val="0"/>
              <w:suppressLineNumbers w:val="0"/>
              <w:spacing w:before="0" w:beforeAutospacing="0" w:after="0" w:afterAutospacing="0"/>
              <w:ind w:left="0" w:right="0"/>
              <w:jc w:val="center"/>
              <w:rPr>
                <w:rFonts w:hint="eastAsia"/>
                <w:b w:val="0"/>
                <w:bCs/>
                <w:szCs w:val="21"/>
              </w:rPr>
            </w:pPr>
            <w:r>
              <w:rPr>
                <w:rFonts w:hint="eastAsia"/>
                <w:b w:val="0"/>
                <w:bCs/>
                <w:color w:val="auto"/>
                <w:szCs w:val="21"/>
                <w:lang w:val="en-US" w:eastAsia="zh-CN"/>
              </w:rPr>
              <w:t>否</w:t>
            </w:r>
          </w:p>
        </w:tc>
        <w:tc>
          <w:tcPr>
            <w:tcW w:w="1243" w:type="dxa"/>
            <w:vAlign w:val="center"/>
          </w:tcPr>
          <w:p w14:paraId="502DE14C">
            <w:pPr>
              <w:keepNext w:val="0"/>
              <w:keepLines w:val="0"/>
              <w:suppressLineNumbers w:val="0"/>
              <w:spacing w:before="0" w:beforeAutospacing="0" w:after="0" w:afterAutospacing="0"/>
              <w:ind w:left="0" w:right="0"/>
              <w:jc w:val="center"/>
              <w:rPr>
                <w:rFonts w:hint="eastAsia"/>
                <w:b w:val="0"/>
                <w:bCs/>
                <w:color w:val="auto"/>
                <w:szCs w:val="21"/>
                <w:lang w:val="en-US" w:eastAsia="zh-CN"/>
              </w:rPr>
            </w:pPr>
            <w:r>
              <w:rPr>
                <w:rFonts w:hint="eastAsia"/>
                <w:b w:val="0"/>
                <w:bCs/>
                <w:color w:val="auto"/>
                <w:szCs w:val="21"/>
                <w:lang w:val="en-US" w:eastAsia="zh-CN"/>
              </w:rPr>
              <w:t>否</w:t>
            </w:r>
          </w:p>
        </w:tc>
        <w:tc>
          <w:tcPr>
            <w:tcW w:w="787" w:type="dxa"/>
            <w:vAlign w:val="center"/>
          </w:tcPr>
          <w:p w14:paraId="2D018123">
            <w:pPr>
              <w:keepNext w:val="0"/>
              <w:keepLines w:val="0"/>
              <w:suppressLineNumbers w:val="0"/>
              <w:spacing w:before="0" w:beforeAutospacing="0" w:after="0" w:afterAutospacing="0"/>
              <w:ind w:left="0" w:right="0"/>
              <w:jc w:val="center"/>
              <w:rPr>
                <w:rFonts w:hint="default"/>
                <w:b w:val="0"/>
                <w:bCs/>
                <w:color w:val="auto"/>
                <w:szCs w:val="21"/>
              </w:rPr>
            </w:pPr>
            <w:r>
              <w:rPr>
                <w:rFonts w:hint="default"/>
                <w:b w:val="0"/>
                <w:bCs/>
                <w:color w:val="auto"/>
                <w:szCs w:val="21"/>
              </w:rPr>
              <w:t>工业</w:t>
            </w:r>
          </w:p>
        </w:tc>
      </w:tr>
      <w:tr w14:paraId="608E3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573" w:type="dxa"/>
            <w:vAlign w:val="center"/>
          </w:tcPr>
          <w:p w14:paraId="259DB3A0">
            <w:pPr>
              <w:keepNext w:val="0"/>
              <w:keepLines w:val="0"/>
              <w:suppressLineNumbers w:val="0"/>
              <w:spacing w:before="0" w:beforeAutospacing="0" w:after="0" w:afterAutospacing="0"/>
              <w:ind w:left="0" w:right="0"/>
              <w:jc w:val="center"/>
              <w:rPr>
                <w:rFonts w:hint="eastAsia" w:eastAsia="宋体"/>
                <w:b w:val="0"/>
                <w:bCs/>
                <w:szCs w:val="21"/>
                <w:lang w:val="en-US" w:eastAsia="zh-CN"/>
              </w:rPr>
            </w:pPr>
            <w:r>
              <w:rPr>
                <w:rFonts w:hint="eastAsia"/>
                <w:b w:val="0"/>
                <w:bCs/>
                <w:szCs w:val="21"/>
                <w:lang w:val="en-US" w:eastAsia="zh-CN"/>
              </w:rPr>
              <w:t>4</w:t>
            </w:r>
          </w:p>
        </w:tc>
        <w:tc>
          <w:tcPr>
            <w:tcW w:w="1923" w:type="dxa"/>
            <w:vAlign w:val="center"/>
          </w:tcPr>
          <w:p w14:paraId="21E03600">
            <w:pPr>
              <w:keepNext w:val="0"/>
              <w:keepLines w:val="0"/>
              <w:suppressLineNumbers w:val="0"/>
              <w:spacing w:before="0" w:beforeAutospacing="0" w:after="0" w:afterAutospacing="0"/>
              <w:ind w:left="0" w:right="0"/>
              <w:jc w:val="center"/>
              <w:rPr>
                <w:rFonts w:hint="default"/>
                <w:b w:val="0"/>
                <w:bCs/>
                <w:szCs w:val="21"/>
              </w:rPr>
            </w:pPr>
            <w:r>
              <w:rPr>
                <w:rFonts w:hint="eastAsia"/>
                <w:b w:val="0"/>
                <w:bCs/>
                <w:szCs w:val="21"/>
                <w:lang w:eastAsia="zh-CN"/>
              </w:rPr>
              <w:t>交换机（</w:t>
            </w:r>
            <w:r>
              <w:rPr>
                <w:rFonts w:hint="eastAsia"/>
                <w:b w:val="0"/>
                <w:bCs/>
                <w:szCs w:val="21"/>
                <w:lang w:val="en-US" w:eastAsia="zh-CN"/>
              </w:rPr>
              <w:t>生产区万兆接入交换机</w:t>
            </w:r>
            <w:r>
              <w:rPr>
                <w:rFonts w:hint="eastAsia"/>
                <w:b w:val="0"/>
                <w:bCs/>
                <w:szCs w:val="21"/>
                <w:lang w:eastAsia="zh-CN"/>
              </w:rPr>
              <w:t>）</w:t>
            </w:r>
          </w:p>
        </w:tc>
        <w:tc>
          <w:tcPr>
            <w:tcW w:w="756" w:type="dxa"/>
            <w:vAlign w:val="center"/>
          </w:tcPr>
          <w:p w14:paraId="0B472DF5">
            <w:pPr>
              <w:keepNext w:val="0"/>
              <w:keepLines w:val="0"/>
              <w:suppressLineNumbers w:val="0"/>
              <w:spacing w:before="0" w:beforeAutospacing="0" w:after="0" w:afterAutospacing="0"/>
              <w:ind w:left="0" w:right="0"/>
              <w:jc w:val="center"/>
              <w:rPr>
                <w:rFonts w:hint="eastAsia"/>
                <w:b w:val="0"/>
                <w:bCs/>
                <w:szCs w:val="21"/>
                <w:lang w:val="en-US" w:eastAsia="zh-CN"/>
              </w:rPr>
            </w:pPr>
            <w:r>
              <w:rPr>
                <w:rFonts w:hint="eastAsia"/>
                <w:b w:val="0"/>
                <w:bCs/>
                <w:szCs w:val="21"/>
                <w:lang w:val="en-US" w:eastAsia="zh-CN"/>
              </w:rPr>
              <w:t>4</w:t>
            </w:r>
          </w:p>
        </w:tc>
        <w:tc>
          <w:tcPr>
            <w:tcW w:w="670" w:type="dxa"/>
            <w:vAlign w:val="center"/>
          </w:tcPr>
          <w:p w14:paraId="7CE0E5F2">
            <w:pPr>
              <w:keepNext w:val="0"/>
              <w:keepLines w:val="0"/>
              <w:suppressLineNumbers w:val="0"/>
              <w:spacing w:before="0" w:beforeAutospacing="0" w:after="0" w:afterAutospacing="0"/>
              <w:ind w:left="0" w:right="0"/>
              <w:jc w:val="center"/>
              <w:rPr>
                <w:rFonts w:hint="eastAsia"/>
                <w:b w:val="0"/>
                <w:bCs/>
                <w:szCs w:val="21"/>
              </w:rPr>
            </w:pPr>
            <w:r>
              <w:rPr>
                <w:rFonts w:hint="eastAsia"/>
                <w:b w:val="0"/>
                <w:bCs/>
                <w:szCs w:val="21"/>
              </w:rPr>
              <w:t>台</w:t>
            </w:r>
          </w:p>
        </w:tc>
        <w:tc>
          <w:tcPr>
            <w:tcW w:w="1571" w:type="dxa"/>
            <w:vAlign w:val="center"/>
          </w:tcPr>
          <w:p w14:paraId="1B1984F2">
            <w:pPr>
              <w:keepNext w:val="0"/>
              <w:keepLines w:val="0"/>
              <w:suppressLineNumbers w:val="0"/>
              <w:spacing w:before="0" w:beforeAutospacing="0" w:after="0" w:afterAutospacing="0"/>
              <w:ind w:left="0" w:right="0"/>
              <w:jc w:val="center"/>
              <w:rPr>
                <w:rFonts w:hint="eastAsia"/>
                <w:b w:val="0"/>
                <w:bCs/>
                <w:szCs w:val="21"/>
              </w:rPr>
            </w:pPr>
            <w:r>
              <w:rPr>
                <w:rFonts w:hint="eastAsia"/>
                <w:b w:val="0"/>
                <w:bCs/>
                <w:szCs w:val="21"/>
              </w:rPr>
              <w:t>拒绝进口</w:t>
            </w:r>
          </w:p>
        </w:tc>
        <w:tc>
          <w:tcPr>
            <w:tcW w:w="1236" w:type="dxa"/>
            <w:vAlign w:val="center"/>
          </w:tcPr>
          <w:p w14:paraId="05FCE73B">
            <w:pPr>
              <w:keepNext w:val="0"/>
              <w:keepLines w:val="0"/>
              <w:suppressLineNumbers w:val="0"/>
              <w:spacing w:before="0" w:beforeAutospacing="0" w:after="0" w:afterAutospacing="0"/>
              <w:ind w:left="0" w:right="0"/>
              <w:jc w:val="center"/>
              <w:rPr>
                <w:rFonts w:hint="eastAsia"/>
                <w:b w:val="0"/>
                <w:bCs/>
                <w:szCs w:val="21"/>
              </w:rPr>
            </w:pPr>
            <w:r>
              <w:rPr>
                <w:rFonts w:hint="eastAsia"/>
                <w:b w:val="0"/>
                <w:bCs/>
                <w:color w:val="auto"/>
                <w:szCs w:val="21"/>
                <w:lang w:val="en-US" w:eastAsia="zh-CN"/>
              </w:rPr>
              <w:t>否</w:t>
            </w:r>
          </w:p>
        </w:tc>
        <w:tc>
          <w:tcPr>
            <w:tcW w:w="1243" w:type="dxa"/>
            <w:vAlign w:val="center"/>
          </w:tcPr>
          <w:p w14:paraId="245D53C9">
            <w:pPr>
              <w:keepNext w:val="0"/>
              <w:keepLines w:val="0"/>
              <w:suppressLineNumbers w:val="0"/>
              <w:spacing w:before="0" w:beforeAutospacing="0" w:after="0" w:afterAutospacing="0"/>
              <w:ind w:left="0" w:right="0"/>
              <w:jc w:val="center"/>
              <w:rPr>
                <w:rFonts w:hint="eastAsia"/>
                <w:b w:val="0"/>
                <w:bCs/>
                <w:color w:val="auto"/>
                <w:szCs w:val="21"/>
                <w:lang w:val="en-US" w:eastAsia="zh-CN"/>
              </w:rPr>
            </w:pPr>
            <w:r>
              <w:rPr>
                <w:rFonts w:hint="eastAsia"/>
                <w:b w:val="0"/>
                <w:bCs/>
                <w:color w:val="auto"/>
                <w:szCs w:val="21"/>
                <w:lang w:val="en-US" w:eastAsia="zh-CN"/>
              </w:rPr>
              <w:t>否</w:t>
            </w:r>
          </w:p>
        </w:tc>
        <w:tc>
          <w:tcPr>
            <w:tcW w:w="787" w:type="dxa"/>
            <w:vAlign w:val="center"/>
          </w:tcPr>
          <w:p w14:paraId="4A9AA466">
            <w:pPr>
              <w:keepNext w:val="0"/>
              <w:keepLines w:val="0"/>
              <w:suppressLineNumbers w:val="0"/>
              <w:spacing w:before="0" w:beforeAutospacing="0" w:after="0" w:afterAutospacing="0"/>
              <w:ind w:left="0" w:right="0"/>
              <w:jc w:val="center"/>
              <w:rPr>
                <w:rFonts w:hint="default"/>
                <w:b w:val="0"/>
                <w:bCs/>
                <w:color w:val="auto"/>
                <w:szCs w:val="21"/>
              </w:rPr>
            </w:pPr>
            <w:r>
              <w:rPr>
                <w:rFonts w:hint="default"/>
                <w:b w:val="0"/>
                <w:bCs/>
                <w:color w:val="auto"/>
                <w:szCs w:val="21"/>
              </w:rPr>
              <w:t>工业</w:t>
            </w:r>
          </w:p>
        </w:tc>
      </w:tr>
    </w:tbl>
    <w:p w14:paraId="4E15BBFE">
      <w:pPr>
        <w:ind w:firstLine="422" w:firstLineChars="200"/>
        <w:rPr>
          <w:rFonts w:ascii="宋体" w:hAnsi="宋体"/>
          <w:b/>
          <w:color w:val="FF0000"/>
          <w:szCs w:val="21"/>
        </w:rPr>
      </w:pPr>
      <w:r>
        <w:rPr>
          <w:rFonts w:hint="eastAsia" w:ascii="宋体" w:hAnsi="宋体"/>
          <w:b/>
          <w:color w:val="FF0000"/>
          <w:szCs w:val="21"/>
        </w:rPr>
        <w:t xml:space="preserve">备注：1.备注栏注明“拒绝进口”的产品不接受投标人选用进口产品参与投标；注明“接受进口”的产品允许投标人选用进口产品参与投标，但不排斥国内产品。 </w:t>
      </w:r>
    </w:p>
    <w:p w14:paraId="2E93A7C2">
      <w:pPr>
        <w:numPr>
          <w:ilvl w:val="0"/>
          <w:numId w:val="7"/>
        </w:numPr>
        <w:ind w:firstLine="422" w:firstLineChars="200"/>
        <w:rPr>
          <w:rFonts w:ascii="宋体" w:hAnsi="宋体"/>
          <w:b/>
          <w:color w:val="FF0000"/>
          <w:szCs w:val="21"/>
        </w:rPr>
      </w:pPr>
      <w:r>
        <w:rPr>
          <w:rFonts w:hint="eastAsia" w:ascii="宋体" w:hAnsi="宋体"/>
          <w:b/>
          <w:color w:val="FF0000"/>
          <w:szCs w:val="21"/>
        </w:rPr>
        <w:t>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p w14:paraId="4CEDF01B">
      <w:pPr>
        <w:ind w:firstLine="413" w:firstLineChars="196"/>
        <w:rPr>
          <w:rFonts w:ascii="宋体" w:hAnsi="宋体"/>
          <w:color w:val="FF0000"/>
          <w:szCs w:val="21"/>
        </w:rPr>
      </w:pPr>
      <w:r>
        <w:rPr>
          <w:rFonts w:hint="eastAsia" w:ascii="宋体" w:hAnsi="宋体"/>
          <w:b/>
          <w:color w:val="FF0000"/>
          <w:szCs w:val="21"/>
        </w:rPr>
        <w:t>3、</w:t>
      </w:r>
      <w:r>
        <w:rPr>
          <w:rFonts w:hint="eastAsia" w:ascii="宋体" w:hAnsi="宋体"/>
          <w:b/>
          <w:color w:val="FF0000"/>
          <w:szCs w:val="21"/>
          <w:highlight w:val="yellow"/>
        </w:rPr>
        <w:t>本项目核心产品为：</w:t>
      </w:r>
      <w:r>
        <w:rPr>
          <w:rFonts w:hint="eastAsia" w:ascii="宋体" w:hAnsi="宋体"/>
          <w:b/>
          <w:color w:val="FF0000"/>
          <w:szCs w:val="21"/>
          <w:highlight w:val="yellow"/>
          <w:u w:val="single"/>
        </w:rPr>
        <w:t xml:space="preserve">  </w:t>
      </w:r>
      <w:r>
        <w:rPr>
          <w:rFonts w:hint="eastAsia" w:ascii="宋体" w:hAnsi="宋体"/>
          <w:b/>
          <w:color w:val="FF0000"/>
          <w:szCs w:val="21"/>
          <w:highlight w:val="yellow"/>
          <w:u w:val="single"/>
          <w:lang w:val="en-US" w:eastAsia="zh-CN"/>
        </w:rPr>
        <w:t>序号1 路由器</w:t>
      </w:r>
      <w:r>
        <w:rPr>
          <w:rFonts w:hint="eastAsia" w:ascii="宋体" w:hAnsi="宋体"/>
          <w:b/>
          <w:color w:val="FF0000"/>
          <w:szCs w:val="21"/>
          <w:highlight w:val="yellow"/>
          <w:u w:val="single"/>
        </w:rPr>
        <w:t xml:space="preserve"> </w:t>
      </w:r>
      <w:r>
        <w:rPr>
          <w:rFonts w:hint="eastAsia" w:ascii="宋体" w:hAnsi="宋体"/>
          <w:b/>
          <w:color w:val="FF0000"/>
          <w:szCs w:val="21"/>
          <w:highlight w:val="yellow"/>
          <w:u w:val="single"/>
          <w:lang w:val="en-US" w:eastAsia="zh-CN"/>
        </w:rPr>
        <w:t>（下联路由器）</w:t>
      </w:r>
      <w:r>
        <w:rPr>
          <w:rFonts w:hint="eastAsia" w:ascii="宋体" w:hAnsi="宋体"/>
          <w:b/>
          <w:color w:val="FF0000"/>
          <w:szCs w:val="21"/>
        </w:rPr>
        <w:t>。</w:t>
      </w:r>
      <w:r>
        <w:rPr>
          <w:rFonts w:hint="eastAsia" w:ascii="宋体" w:hAnsi="宋体"/>
          <w:szCs w:val="21"/>
        </w:rPr>
        <w:t>如出现</w:t>
      </w:r>
      <w:r>
        <w:rPr>
          <w:rFonts w:ascii="宋体" w:hAnsi="宋体"/>
          <w:szCs w:val="21"/>
        </w:rPr>
        <w:t>多家投标人提供的核心产品品牌相同</w:t>
      </w:r>
      <w:r>
        <w:rPr>
          <w:rFonts w:hint="eastAsia" w:ascii="宋体" w:hAnsi="宋体"/>
          <w:szCs w:val="21"/>
        </w:rPr>
        <w:t>的情况，将由评审委员会根据《政府采购货物和服务招标投标管理办法》（财政部令第87号）第三十一条的规定进行处理。</w:t>
      </w:r>
    </w:p>
    <w:bookmarkEnd w:id="46"/>
    <w:p w14:paraId="1F6F0FD0">
      <w:pPr>
        <w:pStyle w:val="18"/>
      </w:pPr>
    </w:p>
    <w:p w14:paraId="4F6A41F3">
      <w:pPr>
        <w:widowControl/>
        <w:jc w:val="left"/>
        <w:rPr>
          <w:rFonts w:ascii="宋体" w:hAnsi="宋体"/>
          <w:b/>
          <w:bCs/>
          <w:kern w:val="0"/>
          <w:sz w:val="28"/>
          <w:szCs w:val="28"/>
        </w:rPr>
      </w:pPr>
      <w:bookmarkStart w:id="49" w:name="_Toc128884461"/>
      <w:r>
        <w:rPr>
          <w:sz w:val="28"/>
          <w:szCs w:val="28"/>
        </w:rPr>
        <w:br w:type="page"/>
      </w:r>
    </w:p>
    <w:p w14:paraId="744906A6">
      <w:pPr>
        <w:pStyle w:val="3"/>
        <w:spacing w:before="120" w:beforeLines="50" w:after="120" w:afterLines="50"/>
        <w:jc w:val="center"/>
        <w:rPr>
          <w:sz w:val="28"/>
          <w:szCs w:val="28"/>
        </w:rPr>
      </w:pPr>
      <w:r>
        <w:rPr>
          <w:rFonts w:hint="eastAsia"/>
          <w:sz w:val="28"/>
          <w:szCs w:val="28"/>
        </w:rPr>
        <w:t>三、实质性条款</w:t>
      </w:r>
    </w:p>
    <w:tbl>
      <w:tblPr>
        <w:tblStyle w:val="43"/>
        <w:tblW w:w="82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958"/>
        <w:gridCol w:w="6837"/>
      </w:tblGrid>
      <w:tr w14:paraId="4D299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trPr>
        <w:tc>
          <w:tcPr>
            <w:tcW w:w="484" w:type="dxa"/>
            <w:vAlign w:val="center"/>
          </w:tcPr>
          <w:p w14:paraId="0BBCF753">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b/>
                <w:bCs/>
                <w:kern w:val="0"/>
                <w:sz w:val="24"/>
                <w:szCs w:val="24"/>
              </w:rPr>
            </w:pPr>
            <w:bookmarkStart w:id="50" w:name="OLE_LINK18"/>
            <w:r>
              <w:rPr>
                <w:rFonts w:hint="eastAsia" w:ascii="宋体" w:hAnsi="宋体"/>
                <w:b/>
                <w:bCs/>
                <w:kern w:val="0"/>
                <w:sz w:val="24"/>
                <w:szCs w:val="24"/>
              </w:rPr>
              <w:t>序号</w:t>
            </w:r>
          </w:p>
        </w:tc>
        <w:tc>
          <w:tcPr>
            <w:tcW w:w="958" w:type="dxa"/>
            <w:vAlign w:val="center"/>
          </w:tcPr>
          <w:p w14:paraId="6554B9A2">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b/>
                <w:bCs/>
                <w:kern w:val="0"/>
                <w:sz w:val="24"/>
                <w:szCs w:val="24"/>
                <w:lang w:val="en-US" w:eastAsia="zh-CN"/>
              </w:rPr>
            </w:pPr>
            <w:r>
              <w:rPr>
                <w:rFonts w:hint="eastAsia" w:ascii="宋体" w:hAnsi="宋体" w:eastAsia="宋体"/>
                <w:b/>
                <w:bCs/>
                <w:kern w:val="0"/>
                <w:sz w:val="24"/>
                <w:szCs w:val="24"/>
                <w:lang w:val="en-US" w:eastAsia="zh-CN"/>
              </w:rPr>
              <w:t>需求项</w:t>
            </w:r>
          </w:p>
        </w:tc>
        <w:tc>
          <w:tcPr>
            <w:tcW w:w="6837" w:type="dxa"/>
            <w:vAlign w:val="center"/>
          </w:tcPr>
          <w:p w14:paraId="2D8B5347">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b/>
                <w:bCs/>
                <w:kern w:val="0"/>
                <w:sz w:val="24"/>
                <w:szCs w:val="24"/>
              </w:rPr>
            </w:pPr>
            <w:r>
              <w:rPr>
                <w:rFonts w:hint="eastAsia" w:ascii="宋体" w:hAnsi="宋体"/>
                <w:b/>
                <w:bCs/>
                <w:kern w:val="0"/>
                <w:sz w:val="24"/>
                <w:szCs w:val="24"/>
              </w:rPr>
              <w:t>实质性条款具体内容</w:t>
            </w:r>
          </w:p>
        </w:tc>
      </w:tr>
      <w:tr w14:paraId="2D21C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84" w:type="dxa"/>
            <w:vAlign w:val="center"/>
          </w:tcPr>
          <w:p w14:paraId="1611739B">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rPr>
            </w:pPr>
            <w:r>
              <w:rPr>
                <w:rFonts w:hint="eastAsia" w:ascii="宋体" w:hAnsi="宋体"/>
                <w:color w:val="FF0000"/>
                <w:kern w:val="0"/>
                <w:szCs w:val="21"/>
              </w:rPr>
              <w:t>1</w:t>
            </w:r>
          </w:p>
        </w:tc>
        <w:tc>
          <w:tcPr>
            <w:tcW w:w="958" w:type="dxa"/>
            <w:vMerge w:val="restart"/>
            <w:shd w:val="clear" w:color="auto" w:fill="auto"/>
            <w:vAlign w:val="center"/>
          </w:tcPr>
          <w:p w14:paraId="2D1E0560">
            <w:pPr>
              <w:keepNext w:val="0"/>
              <w:keepLines w:val="0"/>
              <w:suppressLineNumbers w:val="0"/>
              <w:spacing w:before="0" w:beforeAutospacing="0" w:after="0" w:afterAutospacing="0"/>
              <w:ind w:left="0" w:right="0"/>
              <w:jc w:val="center"/>
              <w:rPr>
                <w:rFonts w:hint="eastAsia" w:eastAsia="宋体"/>
                <w:color w:val="FF0000"/>
                <w:szCs w:val="21"/>
                <w:lang w:val="en-US" w:eastAsia="zh-CN"/>
              </w:rPr>
            </w:pPr>
            <w:r>
              <w:rPr>
                <w:rFonts w:hint="eastAsia"/>
                <w:b w:val="0"/>
                <w:bCs/>
                <w:color w:val="FF0000"/>
                <w:szCs w:val="21"/>
                <w:lang w:eastAsia="zh-CN"/>
              </w:rPr>
              <w:t>路由器（下联路由器）</w:t>
            </w:r>
          </w:p>
        </w:tc>
        <w:tc>
          <w:tcPr>
            <w:tcW w:w="6837" w:type="dxa"/>
            <w:shd w:val="clear" w:color="auto" w:fill="auto"/>
            <w:vAlign w:val="top"/>
          </w:tcPr>
          <w:p w14:paraId="6903F800">
            <w:pPr>
              <w:keepNext w:val="0"/>
              <w:keepLines w:val="0"/>
              <w:suppressLineNumbers w:val="0"/>
              <w:spacing w:before="0" w:beforeAutospacing="0" w:after="0" w:afterAutospacing="0"/>
              <w:ind w:left="0" w:right="0"/>
              <w:rPr>
                <w:rFonts w:hint="default" w:ascii="Times New Roman" w:hAnsi="Times New Roman" w:eastAsia="宋体" w:cs="Times New Roman"/>
                <w:color w:val="FF0000"/>
                <w:kern w:val="2"/>
                <w:sz w:val="21"/>
                <w:szCs w:val="21"/>
                <w:lang w:val="en-US" w:eastAsia="zh-CN" w:bidi="ar-SA"/>
              </w:rPr>
            </w:pPr>
            <w:r>
              <w:rPr>
                <w:rFonts w:hint="eastAsia" w:eastAsia="宋体"/>
                <w:color w:val="FF0000"/>
                <w:szCs w:val="21"/>
                <w:lang w:val="en-US" w:eastAsia="zh-CN"/>
              </w:rPr>
              <w:t>★1.1物理接口：</w:t>
            </w:r>
            <w:r>
              <w:rPr>
                <w:rFonts w:hint="eastAsia" w:ascii="Times New Roman" w:hAnsi="Times New Roman" w:eastAsia="宋体" w:cs="Times New Roman"/>
                <w:color w:val="FF0000"/>
                <w:kern w:val="2"/>
                <w:sz w:val="21"/>
                <w:szCs w:val="21"/>
                <w:lang w:val="en-US" w:eastAsia="zh-CN" w:bidi="ar-SA"/>
              </w:rPr>
              <w:t>1.</w:t>
            </w:r>
            <w:r>
              <w:rPr>
                <w:rFonts w:hint="eastAsia" w:eastAsia="宋体"/>
                <w:color w:val="FF0000"/>
                <w:szCs w:val="21"/>
                <w:lang w:val="en-US" w:eastAsia="zh-CN"/>
              </w:rPr>
              <w:t>≥8个GE。</w:t>
            </w:r>
            <w:r>
              <w:rPr>
                <w:rFonts w:hint="eastAsia" w:ascii="Times New Roman" w:hAnsi="Times New Roman" w:eastAsia="宋体" w:cs="Times New Roman"/>
                <w:color w:val="FF0000"/>
                <w:kern w:val="2"/>
                <w:sz w:val="21"/>
                <w:szCs w:val="21"/>
                <w:lang w:val="en-US" w:eastAsia="zh-CN" w:bidi="ar-SA"/>
              </w:rPr>
              <w:t>2.</w:t>
            </w:r>
            <w:r>
              <w:rPr>
                <w:rFonts w:hint="eastAsia" w:eastAsia="宋体"/>
                <w:color w:val="FF0000"/>
                <w:szCs w:val="21"/>
                <w:lang w:val="en-US" w:eastAsia="zh-CN"/>
              </w:rPr>
              <w:t>≥8个SFP+端口。</w:t>
            </w:r>
          </w:p>
        </w:tc>
      </w:tr>
      <w:tr w14:paraId="1C82B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trPr>
        <w:tc>
          <w:tcPr>
            <w:tcW w:w="484" w:type="dxa"/>
            <w:vAlign w:val="center"/>
          </w:tcPr>
          <w:p w14:paraId="4A0439C6">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olor w:val="FF0000"/>
                <w:kern w:val="0"/>
                <w:szCs w:val="21"/>
                <w:lang w:val="en-US" w:eastAsia="zh-CN"/>
              </w:rPr>
            </w:pPr>
            <w:r>
              <w:rPr>
                <w:rFonts w:hint="eastAsia" w:ascii="宋体" w:hAnsi="宋体"/>
                <w:color w:val="FF0000"/>
                <w:kern w:val="0"/>
                <w:szCs w:val="21"/>
                <w:lang w:val="en-US" w:eastAsia="zh-CN"/>
              </w:rPr>
              <w:t>2</w:t>
            </w:r>
          </w:p>
        </w:tc>
        <w:tc>
          <w:tcPr>
            <w:tcW w:w="958" w:type="dxa"/>
            <w:vMerge w:val="continue"/>
            <w:shd w:val="clear" w:color="auto" w:fill="auto"/>
            <w:vAlign w:val="center"/>
          </w:tcPr>
          <w:p w14:paraId="1589ECF9">
            <w:pPr>
              <w:keepNext w:val="0"/>
              <w:keepLines w:val="0"/>
              <w:suppressLineNumbers w:val="0"/>
              <w:spacing w:before="0" w:beforeAutospacing="0" w:after="0" w:afterAutospacing="0"/>
              <w:ind w:left="0" w:right="0"/>
              <w:jc w:val="center"/>
              <w:rPr>
                <w:rFonts w:hint="eastAsia" w:eastAsia="宋体"/>
                <w:color w:val="FF0000"/>
                <w:szCs w:val="21"/>
                <w:lang w:val="en-US" w:eastAsia="zh-CN"/>
              </w:rPr>
            </w:pPr>
          </w:p>
        </w:tc>
        <w:tc>
          <w:tcPr>
            <w:tcW w:w="6837" w:type="dxa"/>
            <w:shd w:val="clear" w:color="auto" w:fill="auto"/>
            <w:vAlign w:val="top"/>
          </w:tcPr>
          <w:p w14:paraId="42A80E7B">
            <w:pPr>
              <w:keepNext w:val="0"/>
              <w:keepLines w:val="0"/>
              <w:suppressLineNumbers w:val="0"/>
              <w:spacing w:before="0" w:beforeAutospacing="0" w:after="0" w:afterAutospacing="0"/>
              <w:ind w:left="0" w:right="0"/>
              <w:rPr>
                <w:rFonts w:hint="default" w:ascii="Times New Roman" w:hAnsi="Times New Roman" w:eastAsia="宋体" w:cs="Times New Roman"/>
                <w:color w:val="FF0000"/>
                <w:kern w:val="2"/>
                <w:sz w:val="21"/>
                <w:szCs w:val="21"/>
                <w:lang w:val="en-US" w:eastAsia="zh-CN" w:bidi="ar-SA"/>
              </w:rPr>
            </w:pPr>
            <w:r>
              <w:rPr>
                <w:rFonts w:hint="eastAsia" w:eastAsia="宋体"/>
                <w:color w:val="FF0000"/>
                <w:szCs w:val="21"/>
                <w:lang w:val="en-US" w:eastAsia="zh-CN"/>
              </w:rPr>
              <w:t>★1.2技术要求：1.交换容量≥85Tbps。2.包转发率≥12000Mpps。3.支持RADIUS/Tacacs+方式进行AAA认证。4.支持NTP时间同步。5.支持SSH登录方式。6.支持本地端口镜像和远程端口镜像。7.支持syslog。</w:t>
            </w:r>
          </w:p>
        </w:tc>
      </w:tr>
      <w:tr w14:paraId="6E005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484" w:type="dxa"/>
            <w:vAlign w:val="center"/>
          </w:tcPr>
          <w:p w14:paraId="519322FF">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3</w:t>
            </w:r>
          </w:p>
        </w:tc>
        <w:tc>
          <w:tcPr>
            <w:tcW w:w="958" w:type="dxa"/>
            <w:vMerge w:val="continue"/>
            <w:shd w:val="clear" w:color="auto" w:fill="auto"/>
            <w:vAlign w:val="center"/>
          </w:tcPr>
          <w:p w14:paraId="2E1CB146">
            <w:pPr>
              <w:keepNext w:val="0"/>
              <w:keepLines w:val="0"/>
              <w:suppressLineNumbers w:val="0"/>
              <w:spacing w:before="0" w:beforeAutospacing="0" w:after="0" w:afterAutospacing="0"/>
              <w:ind w:left="0" w:leftChars="0" w:right="0" w:rightChars="0"/>
              <w:jc w:val="center"/>
              <w:rPr>
                <w:rFonts w:hint="eastAsia" w:eastAsia="宋体"/>
                <w:b/>
                <w:bCs/>
                <w:color w:val="FF0000"/>
                <w:szCs w:val="21"/>
                <w:highlight w:val="yellow"/>
                <w:lang w:val="en-US" w:eastAsia="zh-CN"/>
              </w:rPr>
            </w:pPr>
          </w:p>
        </w:tc>
        <w:tc>
          <w:tcPr>
            <w:tcW w:w="6837" w:type="dxa"/>
            <w:shd w:val="clear" w:color="auto" w:fill="auto"/>
            <w:vAlign w:val="top"/>
          </w:tcPr>
          <w:p w14:paraId="32BB3D4E">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★1.3入网许可：具有《电信设备进网许可证》，设备及其型号需与入网证一致。</w:t>
            </w:r>
          </w:p>
          <w:p w14:paraId="2BA3600B">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color w:val="FF0000"/>
                <w:kern w:val="2"/>
                <w:sz w:val="21"/>
                <w:szCs w:val="21"/>
                <w:lang w:val="en-US" w:eastAsia="zh-CN" w:bidi="ar-SA"/>
              </w:rPr>
            </w:pPr>
            <w:r>
              <w:rPr>
                <w:rFonts w:hint="eastAsia" w:eastAsia="宋体"/>
                <w:b/>
                <w:bCs/>
                <w:color w:val="FF0000"/>
                <w:szCs w:val="21"/>
                <w:highlight w:val="yellow"/>
                <w:lang w:val="en-US" w:eastAsia="zh-CN"/>
              </w:rPr>
              <w:t>投标人还需</w:t>
            </w:r>
            <w:r>
              <w:rPr>
                <w:rFonts w:hint="eastAsia"/>
                <w:b/>
                <w:bCs/>
                <w:color w:val="FF0000"/>
                <w:szCs w:val="21"/>
                <w:highlight w:val="yellow"/>
                <w:lang w:val="en-US" w:eastAsia="zh-CN"/>
              </w:rPr>
              <w:t>提供</w:t>
            </w:r>
            <w:r>
              <w:rPr>
                <w:rFonts w:hint="eastAsia" w:eastAsia="宋体"/>
                <w:b/>
                <w:bCs/>
                <w:color w:val="FF0000"/>
                <w:szCs w:val="21"/>
                <w:highlight w:val="yellow"/>
                <w:lang w:val="en-US" w:eastAsia="zh-CN"/>
              </w:rPr>
              <w:t>承诺函（格式自拟加盖公章），承诺中标后提供《电信设备进网许可证》且设备及其型号需与入网证一致。</w:t>
            </w:r>
          </w:p>
        </w:tc>
      </w:tr>
      <w:tr w14:paraId="441A8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484" w:type="dxa"/>
            <w:vAlign w:val="center"/>
          </w:tcPr>
          <w:p w14:paraId="7A3C6C8D">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4</w:t>
            </w:r>
          </w:p>
        </w:tc>
        <w:tc>
          <w:tcPr>
            <w:tcW w:w="958" w:type="dxa"/>
            <w:vMerge w:val="continue"/>
            <w:shd w:val="clear" w:color="auto" w:fill="auto"/>
            <w:vAlign w:val="center"/>
          </w:tcPr>
          <w:p w14:paraId="62E7D544">
            <w:pPr>
              <w:keepNext w:val="0"/>
              <w:keepLines w:val="0"/>
              <w:suppressLineNumbers w:val="0"/>
              <w:spacing w:before="0" w:beforeAutospacing="0" w:after="0" w:afterAutospacing="0"/>
              <w:ind w:left="0" w:leftChars="0" w:right="0" w:rightChars="0"/>
              <w:jc w:val="center"/>
              <w:rPr>
                <w:rFonts w:hint="eastAsia" w:eastAsia="宋体"/>
                <w:color w:val="FF0000"/>
                <w:szCs w:val="21"/>
                <w:lang w:val="en-US" w:eastAsia="zh-CN"/>
              </w:rPr>
            </w:pPr>
          </w:p>
        </w:tc>
        <w:tc>
          <w:tcPr>
            <w:tcW w:w="6837" w:type="dxa"/>
            <w:shd w:val="clear" w:color="auto" w:fill="auto"/>
            <w:vAlign w:val="top"/>
          </w:tcPr>
          <w:p w14:paraId="55716DFE">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color w:val="FF0000"/>
                <w:kern w:val="2"/>
                <w:sz w:val="21"/>
                <w:szCs w:val="21"/>
                <w:lang w:val="en-US" w:eastAsia="zh-CN" w:bidi="ar-SA"/>
              </w:rPr>
            </w:pPr>
            <w:r>
              <w:rPr>
                <w:rFonts w:hint="eastAsia" w:eastAsia="宋体"/>
                <w:color w:val="FF0000"/>
                <w:szCs w:val="21"/>
                <w:lang w:val="en-US" w:eastAsia="zh-CN"/>
              </w:rPr>
              <w:t>★1.4 网络关键设备要求：在《网络关键设备和网络安全专用产品目录》中的设备，按照《信息安全技术 网络安全专用产品安全技术要求》等相关国家标准强制性要求，由具备资格的机构安全认证合格或安全检测符合性要求，或者此前已获得《计算机信息系统安全专用产品销售许可证》且在有效期内。</w:t>
            </w:r>
          </w:p>
        </w:tc>
      </w:tr>
      <w:tr w14:paraId="33951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84" w:type="dxa"/>
            <w:vAlign w:val="center"/>
          </w:tcPr>
          <w:p w14:paraId="666AEDEF">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5</w:t>
            </w:r>
          </w:p>
        </w:tc>
        <w:tc>
          <w:tcPr>
            <w:tcW w:w="958" w:type="dxa"/>
            <w:vMerge w:val="continue"/>
            <w:shd w:val="clear" w:color="auto" w:fill="auto"/>
            <w:vAlign w:val="center"/>
          </w:tcPr>
          <w:p w14:paraId="724A8B6E">
            <w:pPr>
              <w:keepNext w:val="0"/>
              <w:keepLines w:val="0"/>
              <w:suppressLineNumbers w:val="0"/>
              <w:spacing w:before="0" w:beforeAutospacing="0" w:after="0" w:afterAutospacing="0"/>
              <w:ind w:left="0" w:leftChars="0" w:right="0" w:rightChars="0"/>
              <w:jc w:val="center"/>
              <w:rPr>
                <w:rFonts w:hint="eastAsia" w:eastAsia="宋体"/>
                <w:color w:val="FF0000"/>
                <w:szCs w:val="21"/>
                <w:lang w:val="en-US" w:eastAsia="zh-CN"/>
              </w:rPr>
            </w:pPr>
          </w:p>
        </w:tc>
        <w:tc>
          <w:tcPr>
            <w:tcW w:w="6837" w:type="dxa"/>
            <w:shd w:val="clear" w:color="auto" w:fill="auto"/>
            <w:vAlign w:val="top"/>
          </w:tcPr>
          <w:p w14:paraId="185B296B">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color w:val="FF0000"/>
                <w:kern w:val="2"/>
                <w:sz w:val="21"/>
                <w:szCs w:val="21"/>
                <w:lang w:val="en-US" w:eastAsia="zh-CN" w:bidi="ar-SA"/>
              </w:rPr>
            </w:pPr>
            <w:r>
              <w:rPr>
                <w:rFonts w:hint="eastAsia" w:eastAsia="宋体"/>
                <w:color w:val="FF0000"/>
                <w:szCs w:val="21"/>
                <w:lang w:val="en-US" w:eastAsia="zh-CN"/>
              </w:rPr>
              <w:t>★1.5 硬件规格：满配冗余主控，满配冗余电源，满配冗余风扇。</w:t>
            </w:r>
          </w:p>
        </w:tc>
      </w:tr>
      <w:tr w14:paraId="635F2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84" w:type="dxa"/>
            <w:vAlign w:val="center"/>
          </w:tcPr>
          <w:p w14:paraId="569EC228">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6</w:t>
            </w:r>
          </w:p>
        </w:tc>
        <w:tc>
          <w:tcPr>
            <w:tcW w:w="958" w:type="dxa"/>
            <w:vMerge w:val="continue"/>
            <w:shd w:val="clear" w:color="auto" w:fill="auto"/>
            <w:vAlign w:val="center"/>
          </w:tcPr>
          <w:p w14:paraId="6D829869">
            <w:pPr>
              <w:keepNext w:val="0"/>
              <w:keepLines w:val="0"/>
              <w:suppressLineNumbers w:val="0"/>
              <w:spacing w:before="0" w:beforeAutospacing="0" w:after="0" w:afterAutospacing="0"/>
              <w:ind w:left="0" w:leftChars="0" w:right="0" w:rightChars="0"/>
              <w:jc w:val="center"/>
              <w:rPr>
                <w:rFonts w:hint="eastAsia" w:eastAsia="宋体"/>
                <w:color w:val="FF0000"/>
                <w:szCs w:val="21"/>
                <w:lang w:val="en-US" w:eastAsia="zh-CN"/>
              </w:rPr>
            </w:pPr>
          </w:p>
        </w:tc>
        <w:tc>
          <w:tcPr>
            <w:tcW w:w="6837" w:type="dxa"/>
            <w:shd w:val="clear" w:color="auto" w:fill="auto"/>
            <w:vAlign w:val="top"/>
          </w:tcPr>
          <w:p w14:paraId="178D8F4B">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color w:val="FF0000"/>
                <w:kern w:val="2"/>
                <w:sz w:val="21"/>
                <w:szCs w:val="21"/>
                <w:lang w:val="en-US" w:eastAsia="zh-CN" w:bidi="ar-SA"/>
              </w:rPr>
            </w:pPr>
            <w:r>
              <w:rPr>
                <w:rFonts w:hint="eastAsia" w:eastAsia="宋体"/>
                <w:color w:val="FF0000"/>
                <w:szCs w:val="21"/>
                <w:lang w:val="en-US" w:eastAsia="zh-CN"/>
              </w:rPr>
              <w:t>★1.6芯片：所涉及芯片均为信创芯片。</w:t>
            </w:r>
          </w:p>
        </w:tc>
      </w:tr>
      <w:tr w14:paraId="14AF8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84" w:type="dxa"/>
            <w:vAlign w:val="center"/>
          </w:tcPr>
          <w:p w14:paraId="409B0CA1">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7</w:t>
            </w:r>
          </w:p>
        </w:tc>
        <w:tc>
          <w:tcPr>
            <w:tcW w:w="958" w:type="dxa"/>
            <w:vMerge w:val="restart"/>
            <w:shd w:val="clear" w:color="auto" w:fill="auto"/>
            <w:vAlign w:val="center"/>
          </w:tcPr>
          <w:p w14:paraId="2F3E0885">
            <w:pPr>
              <w:keepNext w:val="0"/>
              <w:keepLines w:val="0"/>
              <w:suppressLineNumbers w:val="0"/>
              <w:spacing w:before="0" w:beforeAutospacing="0" w:after="0" w:afterAutospacing="0"/>
              <w:ind w:left="0" w:leftChars="0" w:right="0" w:rightChars="0"/>
              <w:jc w:val="center"/>
              <w:rPr>
                <w:rFonts w:hint="eastAsia" w:eastAsia="宋体"/>
                <w:color w:val="FF0000"/>
                <w:szCs w:val="21"/>
                <w:lang w:val="en-US" w:eastAsia="zh-CN"/>
              </w:rPr>
            </w:pPr>
            <w:r>
              <w:rPr>
                <w:rFonts w:hint="eastAsia"/>
                <w:b w:val="0"/>
                <w:bCs/>
                <w:color w:val="FF0000"/>
                <w:szCs w:val="21"/>
                <w:lang w:eastAsia="zh-CN"/>
              </w:rPr>
              <w:t>交换机（</w:t>
            </w:r>
            <w:r>
              <w:rPr>
                <w:rFonts w:hint="eastAsia"/>
                <w:b w:val="0"/>
                <w:bCs/>
                <w:color w:val="FF0000"/>
                <w:szCs w:val="21"/>
                <w:lang w:val="en-US" w:eastAsia="zh-CN"/>
              </w:rPr>
              <w:t>接入</w:t>
            </w:r>
            <w:r>
              <w:rPr>
                <w:rFonts w:hint="eastAsia"/>
                <w:b w:val="0"/>
                <w:bCs/>
                <w:color w:val="FF0000"/>
                <w:szCs w:val="21"/>
              </w:rPr>
              <w:t>交换机</w:t>
            </w:r>
            <w:r>
              <w:rPr>
                <w:rFonts w:hint="eastAsia"/>
                <w:b w:val="0"/>
                <w:bCs/>
                <w:color w:val="FF0000"/>
                <w:szCs w:val="21"/>
                <w:lang w:eastAsia="zh-CN"/>
              </w:rPr>
              <w:t>）</w:t>
            </w:r>
          </w:p>
        </w:tc>
        <w:tc>
          <w:tcPr>
            <w:tcW w:w="6837" w:type="dxa"/>
            <w:shd w:val="clear" w:color="auto" w:fill="auto"/>
            <w:vAlign w:val="top"/>
          </w:tcPr>
          <w:p w14:paraId="3B1DDC70">
            <w:pPr>
              <w:keepNext w:val="0"/>
              <w:keepLines w:val="0"/>
              <w:suppressLineNumbers w:val="0"/>
              <w:spacing w:before="0" w:beforeAutospacing="0" w:after="0" w:afterAutospacing="0"/>
              <w:ind w:left="0" w:right="0"/>
              <w:rPr>
                <w:rFonts w:hint="eastAsia" w:ascii="Times New Roman" w:hAnsi="Times New Roman" w:eastAsia="宋体" w:cs="Times New Roman"/>
                <w:color w:val="FF0000"/>
                <w:kern w:val="2"/>
                <w:sz w:val="21"/>
                <w:szCs w:val="21"/>
                <w:lang w:val="en-US" w:eastAsia="zh-CN" w:bidi="ar-SA"/>
              </w:rPr>
            </w:pPr>
            <w:r>
              <w:rPr>
                <w:rFonts w:hint="eastAsia" w:eastAsia="宋体"/>
                <w:color w:val="FF0000"/>
                <w:szCs w:val="21"/>
                <w:lang w:val="en-US" w:eastAsia="zh-CN"/>
              </w:rPr>
              <w:t>★</w:t>
            </w:r>
            <w:r>
              <w:rPr>
                <w:rFonts w:hint="eastAsia"/>
                <w:color w:val="FF0000"/>
                <w:szCs w:val="21"/>
                <w:lang w:val="en-US" w:eastAsia="zh-CN"/>
              </w:rPr>
              <w:t>2</w:t>
            </w:r>
            <w:r>
              <w:rPr>
                <w:rFonts w:hint="eastAsia" w:eastAsia="宋体"/>
                <w:color w:val="FF0000"/>
                <w:szCs w:val="21"/>
                <w:lang w:val="en-US" w:eastAsia="zh-CN"/>
              </w:rPr>
              <w:t>.1物理接口：1.≥48个GE端口。2.≥4个万兆光，实配4个万兆多模光模块。3.每台实配1条3米堆叠线。</w:t>
            </w:r>
          </w:p>
        </w:tc>
      </w:tr>
      <w:tr w14:paraId="7BB05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484" w:type="dxa"/>
            <w:vAlign w:val="center"/>
          </w:tcPr>
          <w:p w14:paraId="0B59B856">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8</w:t>
            </w:r>
          </w:p>
        </w:tc>
        <w:tc>
          <w:tcPr>
            <w:tcW w:w="958" w:type="dxa"/>
            <w:vMerge w:val="continue"/>
            <w:shd w:val="clear" w:color="auto" w:fill="auto"/>
            <w:vAlign w:val="center"/>
          </w:tcPr>
          <w:p w14:paraId="358A45CC">
            <w:pPr>
              <w:keepNext w:val="0"/>
              <w:keepLines w:val="0"/>
              <w:suppressLineNumbers w:val="0"/>
              <w:spacing w:before="0" w:beforeAutospacing="0" w:after="0" w:afterAutospacing="0"/>
              <w:ind w:left="0" w:right="0"/>
              <w:jc w:val="center"/>
              <w:rPr>
                <w:rFonts w:hint="eastAsia" w:eastAsia="宋体"/>
                <w:color w:val="FF0000"/>
                <w:szCs w:val="21"/>
                <w:lang w:val="en-US" w:eastAsia="zh-CN"/>
              </w:rPr>
            </w:pPr>
          </w:p>
        </w:tc>
        <w:tc>
          <w:tcPr>
            <w:tcW w:w="6837" w:type="dxa"/>
            <w:shd w:val="clear" w:color="auto" w:fill="auto"/>
            <w:vAlign w:val="top"/>
          </w:tcPr>
          <w:p w14:paraId="6DEAC9B6">
            <w:pPr>
              <w:keepNext w:val="0"/>
              <w:keepLines w:val="0"/>
              <w:suppressLineNumbers w:val="0"/>
              <w:spacing w:before="0" w:beforeAutospacing="0" w:after="0" w:afterAutospacing="0"/>
              <w:ind w:left="0" w:right="0"/>
              <w:rPr>
                <w:rFonts w:hint="eastAsia" w:ascii="Times New Roman" w:hAnsi="Times New Roman" w:eastAsia="宋体" w:cs="Times New Roman"/>
                <w:color w:val="FF0000"/>
                <w:kern w:val="2"/>
                <w:sz w:val="21"/>
                <w:szCs w:val="21"/>
                <w:lang w:val="en-US" w:eastAsia="zh-CN" w:bidi="ar-SA"/>
              </w:rPr>
            </w:pPr>
            <w:r>
              <w:rPr>
                <w:rFonts w:hint="eastAsia" w:eastAsia="宋体"/>
                <w:color w:val="FF0000"/>
                <w:szCs w:val="21"/>
                <w:lang w:val="en-US" w:eastAsia="zh-CN"/>
              </w:rPr>
              <w:t>★</w:t>
            </w:r>
            <w:r>
              <w:rPr>
                <w:rFonts w:hint="eastAsia"/>
                <w:color w:val="FF0000"/>
                <w:szCs w:val="21"/>
                <w:lang w:val="en-US" w:eastAsia="zh-CN"/>
              </w:rPr>
              <w:t>2</w:t>
            </w:r>
            <w:r>
              <w:rPr>
                <w:rFonts w:hint="eastAsia" w:eastAsia="宋体"/>
                <w:color w:val="FF0000"/>
                <w:szCs w:val="21"/>
                <w:lang w:val="en-US" w:eastAsia="zh-CN"/>
              </w:rPr>
              <w:t>.2技术要求：1.背板带宽≥2Tbps。2.包转发率≥600Mpps。3.支持IPv6。4.支持堆叠。5.支持RADIUS/Tacacs+方式进行AAA认证。6.支持NTP时间同步。7.支持SSH登录方式。8.支持本地端口镜像和远程端口镜像。9.支持syslog。</w:t>
            </w:r>
          </w:p>
        </w:tc>
      </w:tr>
      <w:tr w14:paraId="206DF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484" w:type="dxa"/>
            <w:vAlign w:val="center"/>
          </w:tcPr>
          <w:p w14:paraId="35C5EF56">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9</w:t>
            </w:r>
          </w:p>
        </w:tc>
        <w:tc>
          <w:tcPr>
            <w:tcW w:w="958" w:type="dxa"/>
            <w:vMerge w:val="continue"/>
            <w:shd w:val="clear" w:color="auto" w:fill="auto"/>
            <w:vAlign w:val="center"/>
          </w:tcPr>
          <w:p w14:paraId="7974C76C">
            <w:pPr>
              <w:keepNext w:val="0"/>
              <w:keepLines w:val="0"/>
              <w:suppressLineNumbers w:val="0"/>
              <w:spacing w:before="0" w:beforeAutospacing="0" w:after="0" w:afterAutospacing="0"/>
              <w:ind w:left="0" w:leftChars="0" w:right="0" w:rightChars="0"/>
              <w:jc w:val="center"/>
              <w:rPr>
                <w:rFonts w:hint="eastAsia" w:eastAsia="宋体"/>
                <w:b/>
                <w:bCs/>
                <w:color w:val="FF0000"/>
                <w:szCs w:val="21"/>
                <w:highlight w:val="yellow"/>
                <w:lang w:val="en-US" w:eastAsia="zh-CN"/>
              </w:rPr>
            </w:pPr>
          </w:p>
        </w:tc>
        <w:tc>
          <w:tcPr>
            <w:tcW w:w="6837" w:type="dxa"/>
            <w:shd w:val="clear" w:color="auto" w:fill="auto"/>
            <w:vAlign w:val="top"/>
          </w:tcPr>
          <w:p w14:paraId="173B813F">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2</w:t>
            </w:r>
            <w:r>
              <w:rPr>
                <w:rFonts w:hint="eastAsia" w:eastAsia="宋体"/>
                <w:color w:val="FF0000"/>
                <w:szCs w:val="21"/>
                <w:lang w:val="en-US" w:eastAsia="zh-CN"/>
              </w:rPr>
              <w:t>.3入网许可：具有《电信设备进网许可证》，设备及其型号需与入网证一致。</w:t>
            </w:r>
          </w:p>
          <w:p w14:paraId="412BA735">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color w:val="FF0000"/>
                <w:kern w:val="2"/>
                <w:sz w:val="21"/>
                <w:szCs w:val="21"/>
                <w:lang w:val="en-US" w:eastAsia="zh-CN" w:bidi="ar-SA"/>
              </w:rPr>
            </w:pPr>
            <w:r>
              <w:rPr>
                <w:rFonts w:hint="eastAsia" w:eastAsia="宋体"/>
                <w:b/>
                <w:bCs/>
                <w:color w:val="FF0000"/>
                <w:szCs w:val="21"/>
                <w:highlight w:val="yellow"/>
                <w:lang w:val="en-US" w:eastAsia="zh-CN"/>
              </w:rPr>
              <w:t>投标人还需提供承诺函（格式自拟加盖公章），承诺中标后提供《电信设备进网许可证》且设备及其型号需与入网证一致。</w:t>
            </w:r>
          </w:p>
        </w:tc>
      </w:tr>
      <w:tr w14:paraId="44DA8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84" w:type="dxa"/>
            <w:vAlign w:val="center"/>
          </w:tcPr>
          <w:p w14:paraId="58DA5DE3">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10</w:t>
            </w:r>
          </w:p>
        </w:tc>
        <w:tc>
          <w:tcPr>
            <w:tcW w:w="958" w:type="dxa"/>
            <w:vMerge w:val="continue"/>
            <w:shd w:val="clear" w:color="auto" w:fill="auto"/>
            <w:vAlign w:val="center"/>
          </w:tcPr>
          <w:p w14:paraId="19BDCEFB">
            <w:pPr>
              <w:keepNext w:val="0"/>
              <w:keepLines w:val="0"/>
              <w:suppressLineNumbers w:val="0"/>
              <w:spacing w:before="0" w:beforeAutospacing="0" w:after="0" w:afterAutospacing="0"/>
              <w:ind w:left="0" w:leftChars="0" w:right="0" w:rightChars="0"/>
              <w:jc w:val="center"/>
              <w:rPr>
                <w:rFonts w:hint="eastAsia" w:eastAsia="宋体"/>
                <w:color w:val="FF0000"/>
                <w:szCs w:val="21"/>
                <w:lang w:val="en-US" w:eastAsia="zh-CN"/>
              </w:rPr>
            </w:pPr>
          </w:p>
        </w:tc>
        <w:tc>
          <w:tcPr>
            <w:tcW w:w="6837" w:type="dxa"/>
            <w:shd w:val="clear" w:color="auto" w:fill="auto"/>
            <w:vAlign w:val="top"/>
          </w:tcPr>
          <w:p w14:paraId="17285496">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color w:val="FF0000"/>
                <w:kern w:val="2"/>
                <w:sz w:val="21"/>
                <w:szCs w:val="21"/>
                <w:lang w:val="en-US" w:eastAsia="zh-CN" w:bidi="ar-SA"/>
              </w:rPr>
            </w:pPr>
            <w:r>
              <w:rPr>
                <w:rFonts w:hint="eastAsia" w:eastAsia="宋体"/>
                <w:color w:val="FF0000"/>
                <w:szCs w:val="21"/>
                <w:lang w:val="en-US" w:eastAsia="zh-CN"/>
              </w:rPr>
              <w:t>★</w:t>
            </w:r>
            <w:r>
              <w:rPr>
                <w:rFonts w:hint="eastAsia"/>
                <w:color w:val="FF0000"/>
                <w:szCs w:val="21"/>
                <w:lang w:val="en-US" w:eastAsia="zh-CN"/>
              </w:rPr>
              <w:t>2</w:t>
            </w:r>
            <w:r>
              <w:rPr>
                <w:rFonts w:hint="eastAsia" w:eastAsia="宋体"/>
                <w:color w:val="FF0000"/>
                <w:szCs w:val="21"/>
                <w:lang w:val="en-US" w:eastAsia="zh-CN"/>
              </w:rPr>
              <w:t>.</w:t>
            </w:r>
            <w:r>
              <w:rPr>
                <w:rFonts w:hint="eastAsia"/>
                <w:color w:val="FF0000"/>
                <w:szCs w:val="21"/>
                <w:lang w:val="en-US" w:eastAsia="zh-CN"/>
              </w:rPr>
              <w:t>4</w:t>
            </w:r>
            <w:r>
              <w:rPr>
                <w:rFonts w:hint="eastAsia" w:eastAsia="宋体"/>
                <w:color w:val="FF0000"/>
                <w:szCs w:val="21"/>
                <w:lang w:val="en-US" w:eastAsia="zh-CN"/>
              </w:rPr>
              <w:t xml:space="preserve"> 硬件规格：满配冗余电源，满配冗余风扇。</w:t>
            </w:r>
          </w:p>
        </w:tc>
      </w:tr>
      <w:tr w14:paraId="40EEB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84" w:type="dxa"/>
            <w:vAlign w:val="center"/>
          </w:tcPr>
          <w:p w14:paraId="6071DC02">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11</w:t>
            </w:r>
          </w:p>
        </w:tc>
        <w:tc>
          <w:tcPr>
            <w:tcW w:w="958" w:type="dxa"/>
            <w:vMerge w:val="continue"/>
            <w:shd w:val="clear" w:color="auto" w:fill="auto"/>
            <w:vAlign w:val="center"/>
          </w:tcPr>
          <w:p w14:paraId="01241FA3">
            <w:pPr>
              <w:keepNext w:val="0"/>
              <w:keepLines w:val="0"/>
              <w:suppressLineNumbers w:val="0"/>
              <w:spacing w:before="0" w:beforeAutospacing="0" w:after="0" w:afterAutospacing="0"/>
              <w:ind w:left="0" w:leftChars="0" w:right="0" w:rightChars="0"/>
              <w:jc w:val="center"/>
              <w:rPr>
                <w:rFonts w:hint="eastAsia" w:eastAsia="宋体"/>
                <w:color w:val="FF0000"/>
                <w:szCs w:val="21"/>
                <w:lang w:val="en-US" w:eastAsia="zh-CN"/>
              </w:rPr>
            </w:pPr>
          </w:p>
        </w:tc>
        <w:tc>
          <w:tcPr>
            <w:tcW w:w="6837" w:type="dxa"/>
            <w:shd w:val="clear" w:color="auto" w:fill="auto"/>
            <w:vAlign w:val="top"/>
          </w:tcPr>
          <w:p w14:paraId="709173B2">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color w:val="FF0000"/>
                <w:kern w:val="2"/>
                <w:sz w:val="21"/>
                <w:szCs w:val="21"/>
                <w:lang w:val="en-US" w:eastAsia="zh-CN" w:bidi="ar-SA"/>
              </w:rPr>
            </w:pPr>
            <w:r>
              <w:rPr>
                <w:rFonts w:hint="eastAsia" w:eastAsia="宋体"/>
                <w:color w:val="FF0000"/>
                <w:szCs w:val="21"/>
                <w:lang w:val="en-US" w:eastAsia="zh-CN"/>
              </w:rPr>
              <w:t>★</w:t>
            </w:r>
            <w:r>
              <w:rPr>
                <w:rFonts w:hint="eastAsia"/>
                <w:color w:val="FF0000"/>
                <w:szCs w:val="21"/>
                <w:lang w:val="en-US" w:eastAsia="zh-CN"/>
              </w:rPr>
              <w:t>2</w:t>
            </w:r>
            <w:r>
              <w:rPr>
                <w:rFonts w:hint="eastAsia" w:eastAsia="宋体"/>
                <w:color w:val="FF0000"/>
                <w:szCs w:val="21"/>
                <w:lang w:val="en-US" w:eastAsia="zh-CN"/>
              </w:rPr>
              <w:t>.</w:t>
            </w:r>
            <w:r>
              <w:rPr>
                <w:rFonts w:hint="eastAsia"/>
                <w:color w:val="FF0000"/>
                <w:szCs w:val="21"/>
                <w:lang w:val="en-US" w:eastAsia="zh-CN"/>
              </w:rPr>
              <w:t>5</w:t>
            </w:r>
            <w:r>
              <w:rPr>
                <w:rFonts w:hint="eastAsia" w:eastAsia="宋体"/>
                <w:color w:val="FF0000"/>
                <w:szCs w:val="21"/>
                <w:lang w:val="en-US" w:eastAsia="zh-CN"/>
              </w:rPr>
              <w:t>芯片：所涉及芯片均为信创芯片。</w:t>
            </w:r>
          </w:p>
        </w:tc>
      </w:tr>
      <w:tr w14:paraId="5F416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84" w:type="dxa"/>
            <w:vAlign w:val="center"/>
          </w:tcPr>
          <w:p w14:paraId="6E171165">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12</w:t>
            </w:r>
          </w:p>
        </w:tc>
        <w:tc>
          <w:tcPr>
            <w:tcW w:w="958" w:type="dxa"/>
            <w:vMerge w:val="restart"/>
            <w:shd w:val="clear" w:color="auto" w:fill="auto"/>
            <w:vAlign w:val="center"/>
          </w:tcPr>
          <w:p w14:paraId="03A138C3">
            <w:pPr>
              <w:keepNext w:val="0"/>
              <w:keepLines w:val="0"/>
              <w:suppressLineNumbers w:val="0"/>
              <w:spacing w:before="0" w:beforeAutospacing="0" w:after="0" w:afterAutospacing="0"/>
              <w:ind w:left="0" w:leftChars="0" w:right="0" w:rightChars="0"/>
              <w:jc w:val="center"/>
              <w:rPr>
                <w:rFonts w:hint="eastAsia" w:eastAsia="宋体"/>
                <w:color w:val="FF0000"/>
                <w:szCs w:val="21"/>
                <w:lang w:val="en-US" w:eastAsia="zh-CN"/>
              </w:rPr>
            </w:pPr>
            <w:r>
              <w:rPr>
                <w:rFonts w:hint="eastAsia"/>
                <w:b w:val="0"/>
                <w:bCs/>
                <w:color w:val="FF0000"/>
                <w:szCs w:val="21"/>
                <w:lang w:eastAsia="zh-CN"/>
              </w:rPr>
              <w:t>交换机（</w:t>
            </w:r>
            <w:r>
              <w:rPr>
                <w:rFonts w:hint="eastAsia"/>
                <w:b w:val="0"/>
                <w:bCs/>
                <w:color w:val="FF0000"/>
                <w:szCs w:val="21"/>
                <w:lang w:val="en-US" w:eastAsia="zh-CN"/>
              </w:rPr>
              <w:t>外联</w:t>
            </w:r>
            <w:r>
              <w:rPr>
                <w:rFonts w:hint="eastAsia"/>
                <w:b w:val="0"/>
                <w:bCs/>
                <w:color w:val="FF0000"/>
                <w:szCs w:val="21"/>
              </w:rPr>
              <w:t>交换机</w:t>
            </w:r>
            <w:r>
              <w:rPr>
                <w:rFonts w:hint="eastAsia"/>
                <w:b w:val="0"/>
                <w:bCs/>
                <w:color w:val="FF0000"/>
                <w:szCs w:val="21"/>
                <w:lang w:eastAsia="zh-CN"/>
              </w:rPr>
              <w:t>）</w:t>
            </w:r>
          </w:p>
        </w:tc>
        <w:tc>
          <w:tcPr>
            <w:tcW w:w="6837" w:type="dxa"/>
            <w:shd w:val="clear" w:color="auto" w:fill="auto"/>
            <w:vAlign w:val="top"/>
          </w:tcPr>
          <w:p w14:paraId="54B5C99D">
            <w:pPr>
              <w:keepNext w:val="0"/>
              <w:keepLines w:val="0"/>
              <w:suppressLineNumbers w:val="0"/>
              <w:spacing w:before="0" w:beforeAutospacing="0" w:after="0" w:afterAutospacing="0"/>
              <w:ind w:left="0" w:right="0"/>
              <w:rPr>
                <w:rFonts w:hint="eastAsia" w:ascii="Times New Roman" w:hAnsi="Times New Roman" w:eastAsia="宋体" w:cs="Times New Roman"/>
                <w:color w:val="FF0000"/>
                <w:kern w:val="2"/>
                <w:sz w:val="21"/>
                <w:szCs w:val="21"/>
                <w:lang w:val="en-US" w:eastAsia="zh-CN" w:bidi="ar-SA"/>
              </w:rPr>
            </w:pPr>
            <w:r>
              <w:rPr>
                <w:rFonts w:hint="eastAsia" w:eastAsia="宋体"/>
                <w:color w:val="FF0000"/>
                <w:szCs w:val="21"/>
                <w:lang w:val="en-US" w:eastAsia="zh-CN"/>
              </w:rPr>
              <w:t>★</w:t>
            </w:r>
            <w:r>
              <w:rPr>
                <w:rFonts w:hint="eastAsia"/>
                <w:color w:val="FF0000"/>
                <w:szCs w:val="21"/>
                <w:lang w:val="en-US" w:eastAsia="zh-CN"/>
              </w:rPr>
              <w:t>3</w:t>
            </w:r>
            <w:r>
              <w:rPr>
                <w:rFonts w:hint="eastAsia" w:eastAsia="宋体"/>
                <w:color w:val="FF0000"/>
                <w:szCs w:val="21"/>
                <w:lang w:val="en-US" w:eastAsia="zh-CN"/>
              </w:rPr>
              <w:t>.1物理接口：1.≥24个GE端口。2.≥4个万兆光口端口，实配4个万兆多模光模块。3.每台实配1条3米堆叠线。</w:t>
            </w:r>
          </w:p>
        </w:tc>
      </w:tr>
      <w:tr w14:paraId="6CC1B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484" w:type="dxa"/>
            <w:vAlign w:val="center"/>
          </w:tcPr>
          <w:p w14:paraId="10F8CB93">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13</w:t>
            </w:r>
          </w:p>
        </w:tc>
        <w:tc>
          <w:tcPr>
            <w:tcW w:w="958" w:type="dxa"/>
            <w:vMerge w:val="continue"/>
            <w:shd w:val="clear" w:color="auto" w:fill="auto"/>
            <w:vAlign w:val="center"/>
          </w:tcPr>
          <w:p w14:paraId="0C3310BE">
            <w:pPr>
              <w:keepNext w:val="0"/>
              <w:keepLines w:val="0"/>
              <w:suppressLineNumbers w:val="0"/>
              <w:spacing w:before="0" w:beforeAutospacing="0" w:after="0" w:afterAutospacing="0"/>
              <w:ind w:left="0" w:right="0"/>
              <w:jc w:val="center"/>
              <w:rPr>
                <w:rFonts w:hint="eastAsia" w:eastAsia="宋体"/>
                <w:color w:val="FF0000"/>
                <w:szCs w:val="21"/>
                <w:lang w:val="en-US" w:eastAsia="zh-CN"/>
              </w:rPr>
            </w:pPr>
          </w:p>
        </w:tc>
        <w:tc>
          <w:tcPr>
            <w:tcW w:w="6837" w:type="dxa"/>
            <w:shd w:val="clear" w:color="auto" w:fill="auto"/>
            <w:vAlign w:val="top"/>
          </w:tcPr>
          <w:p w14:paraId="012BF3A7">
            <w:pPr>
              <w:keepNext w:val="0"/>
              <w:keepLines w:val="0"/>
              <w:suppressLineNumbers w:val="0"/>
              <w:spacing w:before="0" w:beforeAutospacing="0" w:after="0" w:afterAutospacing="0"/>
              <w:ind w:left="0" w:right="0"/>
              <w:rPr>
                <w:rFonts w:hint="eastAsia" w:ascii="Times New Roman" w:hAnsi="Times New Roman" w:eastAsia="宋体" w:cs="Times New Roman"/>
                <w:color w:val="FF0000"/>
                <w:kern w:val="2"/>
                <w:sz w:val="21"/>
                <w:szCs w:val="21"/>
                <w:lang w:val="en-US" w:eastAsia="zh-CN" w:bidi="ar-SA"/>
              </w:rPr>
            </w:pPr>
            <w:r>
              <w:rPr>
                <w:rFonts w:hint="eastAsia" w:eastAsia="宋体"/>
                <w:color w:val="FF0000"/>
                <w:szCs w:val="21"/>
                <w:lang w:val="en-US" w:eastAsia="zh-CN"/>
              </w:rPr>
              <w:t>★</w:t>
            </w:r>
            <w:r>
              <w:rPr>
                <w:rFonts w:hint="eastAsia"/>
                <w:color w:val="FF0000"/>
                <w:szCs w:val="21"/>
                <w:lang w:val="en-US" w:eastAsia="zh-CN"/>
              </w:rPr>
              <w:t>3</w:t>
            </w:r>
            <w:r>
              <w:rPr>
                <w:rFonts w:hint="eastAsia" w:eastAsia="宋体"/>
                <w:color w:val="FF0000"/>
                <w:szCs w:val="21"/>
                <w:lang w:val="en-US" w:eastAsia="zh-CN"/>
              </w:rPr>
              <w:t>.2技术要求：1.背板带宽≥2Tbps。2.包转发率≥600Mpps。3.支持IPv6。4.支持堆叠。5.支持RADIUS/Tacacs+方式进行AAA认证。6.支持NTP时间同步。7.支持SSH登录方式。8.支持本地端口镜像和远程端口镜像。9.支持syslog。</w:t>
            </w:r>
          </w:p>
        </w:tc>
      </w:tr>
      <w:tr w14:paraId="16449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484" w:type="dxa"/>
            <w:vAlign w:val="center"/>
          </w:tcPr>
          <w:p w14:paraId="706593D1">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14</w:t>
            </w:r>
          </w:p>
        </w:tc>
        <w:tc>
          <w:tcPr>
            <w:tcW w:w="958" w:type="dxa"/>
            <w:vMerge w:val="continue"/>
            <w:shd w:val="clear" w:color="auto" w:fill="auto"/>
            <w:vAlign w:val="center"/>
          </w:tcPr>
          <w:p w14:paraId="4355D10E">
            <w:pPr>
              <w:keepNext w:val="0"/>
              <w:keepLines w:val="0"/>
              <w:suppressLineNumbers w:val="0"/>
              <w:spacing w:before="0" w:beforeAutospacing="0" w:after="0" w:afterAutospacing="0"/>
              <w:ind w:left="0" w:leftChars="0" w:right="0" w:rightChars="0"/>
              <w:jc w:val="center"/>
              <w:rPr>
                <w:rFonts w:hint="eastAsia" w:eastAsia="宋体"/>
                <w:b/>
                <w:bCs/>
                <w:color w:val="FF0000"/>
                <w:szCs w:val="21"/>
                <w:highlight w:val="yellow"/>
                <w:lang w:val="en-US" w:eastAsia="zh-CN"/>
              </w:rPr>
            </w:pPr>
          </w:p>
        </w:tc>
        <w:tc>
          <w:tcPr>
            <w:tcW w:w="6837" w:type="dxa"/>
            <w:shd w:val="clear" w:color="auto" w:fill="auto"/>
            <w:vAlign w:val="top"/>
          </w:tcPr>
          <w:p w14:paraId="4929DA25">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3</w:t>
            </w:r>
            <w:r>
              <w:rPr>
                <w:rFonts w:hint="eastAsia" w:eastAsia="宋体"/>
                <w:color w:val="FF0000"/>
                <w:szCs w:val="21"/>
                <w:lang w:val="en-US" w:eastAsia="zh-CN"/>
              </w:rPr>
              <w:t>.3入网许可：具有《电信设备进网许可证》，设备及其型号需与入网证一致。</w:t>
            </w:r>
          </w:p>
          <w:p w14:paraId="0252869A">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color w:val="FF0000"/>
                <w:kern w:val="2"/>
                <w:sz w:val="21"/>
                <w:szCs w:val="21"/>
                <w:lang w:val="en-US" w:eastAsia="zh-CN" w:bidi="ar-SA"/>
              </w:rPr>
            </w:pPr>
            <w:r>
              <w:rPr>
                <w:rFonts w:hint="eastAsia" w:eastAsia="宋体"/>
                <w:b/>
                <w:bCs/>
                <w:color w:val="FF0000"/>
                <w:szCs w:val="21"/>
                <w:highlight w:val="yellow"/>
                <w:lang w:val="en-US" w:eastAsia="zh-CN"/>
              </w:rPr>
              <w:t>投标人还需</w:t>
            </w:r>
            <w:r>
              <w:rPr>
                <w:rFonts w:hint="eastAsia"/>
                <w:b/>
                <w:bCs/>
                <w:color w:val="FF0000"/>
                <w:szCs w:val="21"/>
                <w:highlight w:val="yellow"/>
                <w:lang w:val="en-US" w:eastAsia="zh-CN"/>
              </w:rPr>
              <w:t>提供承诺函（格式自拟加盖公章），承诺中标后提供《电信设备进网许可证》且设备及其型号需与入网证一致。</w:t>
            </w:r>
          </w:p>
        </w:tc>
      </w:tr>
      <w:tr w14:paraId="70632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84" w:type="dxa"/>
            <w:vAlign w:val="center"/>
          </w:tcPr>
          <w:p w14:paraId="24A4E701">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15</w:t>
            </w:r>
          </w:p>
        </w:tc>
        <w:tc>
          <w:tcPr>
            <w:tcW w:w="958" w:type="dxa"/>
            <w:vMerge w:val="continue"/>
            <w:shd w:val="clear" w:color="auto" w:fill="auto"/>
            <w:vAlign w:val="center"/>
          </w:tcPr>
          <w:p w14:paraId="60E2071C">
            <w:pPr>
              <w:keepNext w:val="0"/>
              <w:keepLines w:val="0"/>
              <w:suppressLineNumbers w:val="0"/>
              <w:spacing w:before="0" w:beforeAutospacing="0" w:after="0" w:afterAutospacing="0"/>
              <w:ind w:left="0" w:leftChars="0" w:right="0" w:rightChars="0"/>
              <w:jc w:val="center"/>
              <w:rPr>
                <w:rFonts w:hint="eastAsia" w:eastAsia="宋体"/>
                <w:color w:val="FF0000"/>
                <w:szCs w:val="21"/>
                <w:lang w:val="en-US" w:eastAsia="zh-CN"/>
              </w:rPr>
            </w:pPr>
          </w:p>
        </w:tc>
        <w:tc>
          <w:tcPr>
            <w:tcW w:w="6837" w:type="dxa"/>
            <w:shd w:val="clear" w:color="auto" w:fill="auto"/>
            <w:vAlign w:val="top"/>
          </w:tcPr>
          <w:p w14:paraId="01C30853">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b/>
                <w:bCs/>
                <w:color w:val="FF0000"/>
                <w:kern w:val="2"/>
                <w:sz w:val="21"/>
                <w:szCs w:val="21"/>
                <w:highlight w:val="yellow"/>
                <w:lang w:val="en-US" w:eastAsia="zh-CN" w:bidi="ar-SA"/>
              </w:rPr>
            </w:pPr>
            <w:r>
              <w:rPr>
                <w:rFonts w:hint="eastAsia" w:eastAsia="宋体"/>
                <w:color w:val="FF0000"/>
                <w:szCs w:val="21"/>
                <w:lang w:val="en-US" w:eastAsia="zh-CN"/>
              </w:rPr>
              <w:t>★</w:t>
            </w:r>
            <w:r>
              <w:rPr>
                <w:rFonts w:hint="eastAsia"/>
                <w:color w:val="FF0000"/>
                <w:szCs w:val="21"/>
                <w:lang w:val="en-US" w:eastAsia="zh-CN"/>
              </w:rPr>
              <w:t>3</w:t>
            </w:r>
            <w:r>
              <w:rPr>
                <w:rFonts w:hint="eastAsia" w:eastAsia="宋体"/>
                <w:color w:val="FF0000"/>
                <w:szCs w:val="21"/>
                <w:lang w:val="en-US" w:eastAsia="zh-CN"/>
              </w:rPr>
              <w:t>.</w:t>
            </w:r>
            <w:r>
              <w:rPr>
                <w:rFonts w:hint="eastAsia"/>
                <w:color w:val="FF0000"/>
                <w:szCs w:val="21"/>
                <w:lang w:val="en-US" w:eastAsia="zh-CN"/>
              </w:rPr>
              <w:t>4 硬件规格：满配冗余电源，满配冗余风扇。</w:t>
            </w:r>
          </w:p>
        </w:tc>
      </w:tr>
      <w:tr w14:paraId="14425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84" w:type="dxa"/>
            <w:vAlign w:val="center"/>
          </w:tcPr>
          <w:p w14:paraId="64FF0985">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16</w:t>
            </w:r>
          </w:p>
        </w:tc>
        <w:tc>
          <w:tcPr>
            <w:tcW w:w="958" w:type="dxa"/>
            <w:vMerge w:val="continue"/>
            <w:shd w:val="clear" w:color="auto" w:fill="auto"/>
            <w:vAlign w:val="center"/>
          </w:tcPr>
          <w:p w14:paraId="2D7093AE">
            <w:pPr>
              <w:keepNext w:val="0"/>
              <w:keepLines w:val="0"/>
              <w:suppressLineNumbers w:val="0"/>
              <w:spacing w:before="0" w:beforeAutospacing="0" w:after="0" w:afterAutospacing="0"/>
              <w:ind w:left="0" w:leftChars="0" w:right="0" w:rightChars="0"/>
              <w:jc w:val="center"/>
              <w:rPr>
                <w:rFonts w:hint="eastAsia" w:eastAsia="宋体"/>
                <w:color w:val="FF0000"/>
                <w:szCs w:val="21"/>
                <w:lang w:val="en-US" w:eastAsia="zh-CN"/>
              </w:rPr>
            </w:pPr>
          </w:p>
        </w:tc>
        <w:tc>
          <w:tcPr>
            <w:tcW w:w="6837" w:type="dxa"/>
            <w:shd w:val="clear" w:color="auto" w:fill="auto"/>
            <w:vAlign w:val="top"/>
          </w:tcPr>
          <w:p w14:paraId="2A02468E">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b/>
                <w:bCs/>
                <w:color w:val="FF0000"/>
                <w:kern w:val="2"/>
                <w:sz w:val="21"/>
                <w:szCs w:val="21"/>
                <w:highlight w:val="yellow"/>
                <w:lang w:val="en-US" w:eastAsia="zh-CN" w:bidi="ar-SA"/>
              </w:rPr>
            </w:pPr>
            <w:r>
              <w:rPr>
                <w:rFonts w:hint="eastAsia" w:eastAsia="宋体"/>
                <w:color w:val="FF0000"/>
                <w:szCs w:val="21"/>
                <w:lang w:val="en-US" w:eastAsia="zh-CN"/>
              </w:rPr>
              <w:t>★</w:t>
            </w:r>
            <w:r>
              <w:rPr>
                <w:rFonts w:hint="eastAsia"/>
                <w:color w:val="FF0000"/>
                <w:szCs w:val="21"/>
                <w:lang w:val="en-US" w:eastAsia="zh-CN"/>
              </w:rPr>
              <w:t>3</w:t>
            </w:r>
            <w:r>
              <w:rPr>
                <w:rFonts w:hint="eastAsia" w:eastAsia="宋体"/>
                <w:color w:val="FF0000"/>
                <w:szCs w:val="21"/>
                <w:lang w:val="en-US" w:eastAsia="zh-CN"/>
              </w:rPr>
              <w:t>.</w:t>
            </w:r>
            <w:r>
              <w:rPr>
                <w:rFonts w:hint="eastAsia"/>
                <w:color w:val="FF0000"/>
                <w:szCs w:val="21"/>
                <w:lang w:val="en-US" w:eastAsia="zh-CN"/>
              </w:rPr>
              <w:t>5 芯片：所涉及芯片均为信创芯片。</w:t>
            </w:r>
          </w:p>
        </w:tc>
      </w:tr>
      <w:tr w14:paraId="59E8C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484" w:type="dxa"/>
            <w:vAlign w:val="center"/>
          </w:tcPr>
          <w:p w14:paraId="30B148B2">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17</w:t>
            </w:r>
          </w:p>
        </w:tc>
        <w:tc>
          <w:tcPr>
            <w:tcW w:w="958" w:type="dxa"/>
            <w:vMerge w:val="restart"/>
            <w:shd w:val="clear" w:color="auto" w:fill="auto"/>
            <w:vAlign w:val="center"/>
          </w:tcPr>
          <w:p w14:paraId="75CA7F28">
            <w:pPr>
              <w:keepNext w:val="0"/>
              <w:keepLines w:val="0"/>
              <w:suppressLineNumbers w:val="0"/>
              <w:spacing w:before="0" w:beforeAutospacing="0" w:after="0" w:afterAutospacing="0"/>
              <w:ind w:left="0" w:leftChars="0" w:right="0" w:rightChars="0"/>
              <w:jc w:val="center"/>
              <w:rPr>
                <w:rFonts w:hint="eastAsia" w:eastAsia="宋体"/>
                <w:b w:val="0"/>
                <w:bCs w:val="0"/>
                <w:color w:val="FF0000"/>
                <w:szCs w:val="21"/>
                <w:highlight w:val="none"/>
                <w:lang w:val="en-US" w:eastAsia="zh-CN"/>
              </w:rPr>
            </w:pPr>
            <w:r>
              <w:rPr>
                <w:rFonts w:hint="eastAsia"/>
                <w:b w:val="0"/>
                <w:bCs/>
                <w:color w:val="FF0000"/>
                <w:szCs w:val="21"/>
                <w:lang w:eastAsia="zh-CN"/>
              </w:rPr>
              <w:t>交换机（</w:t>
            </w:r>
            <w:r>
              <w:rPr>
                <w:rFonts w:hint="eastAsia"/>
                <w:b w:val="0"/>
                <w:bCs/>
                <w:color w:val="FF0000"/>
                <w:szCs w:val="21"/>
                <w:lang w:val="en-US" w:eastAsia="zh-CN"/>
              </w:rPr>
              <w:t>生产区万兆接入交换机</w:t>
            </w:r>
            <w:r>
              <w:rPr>
                <w:rFonts w:hint="eastAsia"/>
                <w:b w:val="0"/>
                <w:bCs/>
                <w:color w:val="FF0000"/>
                <w:szCs w:val="21"/>
                <w:lang w:eastAsia="zh-CN"/>
              </w:rPr>
              <w:t>）</w:t>
            </w:r>
          </w:p>
        </w:tc>
        <w:tc>
          <w:tcPr>
            <w:tcW w:w="6837" w:type="dxa"/>
            <w:shd w:val="clear" w:color="auto" w:fill="auto"/>
            <w:vAlign w:val="top"/>
          </w:tcPr>
          <w:p w14:paraId="04A6C381">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4</w:t>
            </w:r>
            <w:r>
              <w:rPr>
                <w:rFonts w:hint="eastAsia" w:eastAsia="宋体"/>
                <w:color w:val="FF0000"/>
                <w:szCs w:val="21"/>
                <w:lang w:val="en-US" w:eastAsia="zh-CN"/>
              </w:rPr>
              <w:t>.1物理接口：</w:t>
            </w:r>
          </w:p>
          <w:p w14:paraId="029BE696">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1.≥24个10G/1G BASE-X SFP+端口，实配24个万兆光转电模块。</w:t>
            </w:r>
          </w:p>
          <w:p w14:paraId="7FF41818">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2.≥4个40G QSFP+端口。</w:t>
            </w:r>
          </w:p>
          <w:p w14:paraId="35246D59">
            <w:pPr>
              <w:keepNext w:val="0"/>
              <w:keepLines w:val="0"/>
              <w:numPr>
                <w:ilvl w:val="0"/>
                <w:numId w:val="0"/>
              </w:numPr>
              <w:suppressLineNumbers w:val="0"/>
              <w:spacing w:before="0" w:beforeAutospacing="0" w:after="0" w:afterAutospacing="0"/>
              <w:ind w:left="0" w:leftChars="0" w:right="0" w:rightChars="0" w:firstLine="0" w:firstLineChars="0"/>
              <w:rPr>
                <w:rFonts w:hint="eastAsia" w:ascii="Times New Roman" w:hAnsi="Times New Roman" w:eastAsia="宋体" w:cs="Times New Roman"/>
                <w:b/>
                <w:bCs/>
                <w:color w:val="FF0000"/>
                <w:kern w:val="2"/>
                <w:sz w:val="21"/>
                <w:szCs w:val="21"/>
                <w:highlight w:val="yellow"/>
                <w:lang w:val="en-US" w:eastAsia="zh-CN" w:bidi="ar-SA"/>
              </w:rPr>
            </w:pPr>
            <w:r>
              <w:rPr>
                <w:rFonts w:hint="eastAsia" w:eastAsia="宋体"/>
                <w:b w:val="0"/>
                <w:bCs w:val="0"/>
                <w:color w:val="FF0000"/>
                <w:szCs w:val="21"/>
                <w:highlight w:val="none"/>
                <w:lang w:val="en-US" w:eastAsia="zh-CN"/>
              </w:rPr>
              <w:t>3.每台实配1条3米堆叠线。</w:t>
            </w:r>
          </w:p>
        </w:tc>
      </w:tr>
      <w:tr w14:paraId="7DA8F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8" w:hRule="atLeast"/>
        </w:trPr>
        <w:tc>
          <w:tcPr>
            <w:tcW w:w="484" w:type="dxa"/>
            <w:vAlign w:val="center"/>
          </w:tcPr>
          <w:p w14:paraId="7FA19208">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18</w:t>
            </w:r>
          </w:p>
        </w:tc>
        <w:tc>
          <w:tcPr>
            <w:tcW w:w="958" w:type="dxa"/>
            <w:vMerge w:val="continue"/>
            <w:shd w:val="clear" w:color="auto" w:fill="auto"/>
            <w:vAlign w:val="center"/>
          </w:tcPr>
          <w:p w14:paraId="6351CEAC">
            <w:pPr>
              <w:keepNext w:val="0"/>
              <w:keepLines w:val="0"/>
              <w:suppressLineNumbers w:val="0"/>
              <w:spacing w:before="0" w:beforeAutospacing="0" w:after="0" w:afterAutospacing="0"/>
              <w:ind w:left="0" w:leftChars="0" w:right="0" w:rightChars="0"/>
              <w:jc w:val="center"/>
              <w:rPr>
                <w:rFonts w:hint="eastAsia" w:eastAsia="宋体"/>
                <w:b w:val="0"/>
                <w:bCs w:val="0"/>
                <w:color w:val="FF0000"/>
                <w:szCs w:val="21"/>
                <w:highlight w:val="none"/>
                <w:lang w:val="en-US" w:eastAsia="zh-CN"/>
              </w:rPr>
            </w:pPr>
          </w:p>
        </w:tc>
        <w:tc>
          <w:tcPr>
            <w:tcW w:w="6837" w:type="dxa"/>
            <w:shd w:val="clear" w:color="auto" w:fill="auto"/>
            <w:vAlign w:val="top"/>
          </w:tcPr>
          <w:p w14:paraId="26464192">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4</w:t>
            </w:r>
            <w:r>
              <w:rPr>
                <w:rFonts w:hint="eastAsia" w:eastAsia="宋体"/>
                <w:color w:val="FF0000"/>
                <w:szCs w:val="21"/>
                <w:lang w:val="en-US" w:eastAsia="zh-CN"/>
              </w:rPr>
              <w:t>.2技术要求：</w:t>
            </w:r>
          </w:p>
          <w:p w14:paraId="7D08B0A4">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1.背板带宽≥4Tbps。</w:t>
            </w:r>
          </w:p>
          <w:p w14:paraId="1E81261E">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2.包转发率≥1600Mpps。</w:t>
            </w:r>
          </w:p>
          <w:p w14:paraId="7B9287F0">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3.支持IPv6。</w:t>
            </w:r>
          </w:p>
          <w:p w14:paraId="602F0A90">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4.支持堆叠。</w:t>
            </w:r>
          </w:p>
          <w:p w14:paraId="39281D2F">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5.支持RADIUS/Tacacs+方式进行AAA认证。</w:t>
            </w:r>
          </w:p>
          <w:p w14:paraId="784CE998">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6.支持NTP时间同步。</w:t>
            </w:r>
          </w:p>
          <w:p w14:paraId="694A3B46">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7.支持SSH登录方式。</w:t>
            </w:r>
          </w:p>
          <w:p w14:paraId="1BFD2805">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8.支持本地端口镜像和远程端口镜像。</w:t>
            </w:r>
          </w:p>
          <w:p w14:paraId="6475995E">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b/>
                <w:bCs/>
                <w:color w:val="FF0000"/>
                <w:kern w:val="2"/>
                <w:sz w:val="21"/>
                <w:szCs w:val="21"/>
                <w:highlight w:val="yellow"/>
                <w:lang w:val="en-US" w:eastAsia="zh-CN" w:bidi="ar-SA"/>
              </w:rPr>
            </w:pPr>
            <w:r>
              <w:rPr>
                <w:rFonts w:hint="eastAsia" w:eastAsia="宋体"/>
                <w:b w:val="0"/>
                <w:bCs w:val="0"/>
                <w:color w:val="FF0000"/>
                <w:szCs w:val="21"/>
                <w:highlight w:val="none"/>
                <w:lang w:val="en-US" w:eastAsia="zh-CN"/>
              </w:rPr>
              <w:t>9.支持syslog。</w:t>
            </w:r>
          </w:p>
        </w:tc>
      </w:tr>
      <w:tr w14:paraId="5E2BA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484" w:type="dxa"/>
            <w:vAlign w:val="center"/>
          </w:tcPr>
          <w:p w14:paraId="07BDA74E">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19</w:t>
            </w:r>
          </w:p>
        </w:tc>
        <w:tc>
          <w:tcPr>
            <w:tcW w:w="958" w:type="dxa"/>
            <w:vMerge w:val="continue"/>
            <w:shd w:val="clear" w:color="auto" w:fill="auto"/>
            <w:vAlign w:val="center"/>
          </w:tcPr>
          <w:p w14:paraId="31FC3E9C">
            <w:pPr>
              <w:keepNext w:val="0"/>
              <w:keepLines w:val="0"/>
              <w:suppressLineNumbers w:val="0"/>
              <w:spacing w:before="0" w:beforeAutospacing="0" w:after="0" w:afterAutospacing="0"/>
              <w:ind w:left="0" w:leftChars="0" w:right="0" w:rightChars="0"/>
              <w:jc w:val="center"/>
              <w:rPr>
                <w:rFonts w:hint="eastAsia" w:eastAsia="宋体"/>
                <w:b/>
                <w:bCs/>
                <w:color w:val="FF0000"/>
                <w:szCs w:val="21"/>
                <w:highlight w:val="yellow"/>
                <w:lang w:val="en-US" w:eastAsia="zh-CN"/>
              </w:rPr>
            </w:pPr>
          </w:p>
        </w:tc>
        <w:tc>
          <w:tcPr>
            <w:tcW w:w="6837" w:type="dxa"/>
            <w:shd w:val="clear" w:color="auto" w:fill="auto"/>
            <w:vAlign w:val="top"/>
          </w:tcPr>
          <w:p w14:paraId="300B34D1">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4</w:t>
            </w:r>
            <w:r>
              <w:rPr>
                <w:rFonts w:hint="eastAsia" w:eastAsia="宋体"/>
                <w:color w:val="FF0000"/>
                <w:szCs w:val="21"/>
                <w:lang w:val="en-US" w:eastAsia="zh-CN"/>
              </w:rPr>
              <w:t>.3入网许可：具有《电信设备进网许可证》，设备及其型号需与入网证一致。</w:t>
            </w:r>
          </w:p>
          <w:p w14:paraId="4B415AA0">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b/>
                <w:bCs/>
                <w:color w:val="FF0000"/>
                <w:kern w:val="2"/>
                <w:sz w:val="21"/>
                <w:szCs w:val="21"/>
                <w:highlight w:val="yellow"/>
                <w:lang w:val="en-US" w:eastAsia="zh-CN" w:bidi="ar-SA"/>
              </w:rPr>
            </w:pPr>
            <w:r>
              <w:rPr>
                <w:rFonts w:hint="eastAsia" w:eastAsia="宋体"/>
                <w:b/>
                <w:bCs/>
                <w:color w:val="FF0000"/>
                <w:szCs w:val="21"/>
                <w:highlight w:val="yellow"/>
                <w:lang w:val="en-US" w:eastAsia="zh-CN"/>
              </w:rPr>
              <w:t>投标人还需提供承诺函（格式自拟加盖公章），承诺中标后提供《电信设备进网许可证》且设备及其型号需与入网证一致。</w:t>
            </w:r>
          </w:p>
        </w:tc>
      </w:tr>
      <w:tr w14:paraId="22233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84" w:type="dxa"/>
            <w:vAlign w:val="center"/>
          </w:tcPr>
          <w:p w14:paraId="5FE415F1">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20</w:t>
            </w:r>
          </w:p>
        </w:tc>
        <w:tc>
          <w:tcPr>
            <w:tcW w:w="958" w:type="dxa"/>
            <w:vMerge w:val="continue"/>
            <w:shd w:val="clear" w:color="auto" w:fill="auto"/>
            <w:vAlign w:val="center"/>
          </w:tcPr>
          <w:p w14:paraId="5A425B80">
            <w:pPr>
              <w:keepNext w:val="0"/>
              <w:keepLines w:val="0"/>
              <w:suppressLineNumbers w:val="0"/>
              <w:spacing w:before="0" w:beforeAutospacing="0" w:after="0" w:afterAutospacing="0"/>
              <w:ind w:left="0" w:leftChars="0" w:right="0" w:rightChars="0"/>
              <w:jc w:val="center"/>
              <w:rPr>
                <w:rFonts w:hint="eastAsia" w:eastAsia="宋体"/>
                <w:color w:val="FF0000"/>
                <w:szCs w:val="21"/>
                <w:lang w:val="en-US" w:eastAsia="zh-CN"/>
              </w:rPr>
            </w:pPr>
          </w:p>
        </w:tc>
        <w:tc>
          <w:tcPr>
            <w:tcW w:w="6837" w:type="dxa"/>
            <w:shd w:val="clear" w:color="auto" w:fill="auto"/>
            <w:vAlign w:val="top"/>
          </w:tcPr>
          <w:p w14:paraId="04CD5D7E">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b/>
                <w:bCs/>
                <w:color w:val="FF0000"/>
                <w:kern w:val="2"/>
                <w:sz w:val="21"/>
                <w:szCs w:val="21"/>
                <w:highlight w:val="yellow"/>
                <w:lang w:val="en-US" w:eastAsia="zh-CN" w:bidi="ar-SA"/>
              </w:rPr>
            </w:pPr>
            <w:r>
              <w:rPr>
                <w:rFonts w:hint="eastAsia" w:eastAsia="宋体"/>
                <w:color w:val="FF0000"/>
                <w:szCs w:val="21"/>
                <w:lang w:val="en-US" w:eastAsia="zh-CN"/>
              </w:rPr>
              <w:t>★</w:t>
            </w:r>
            <w:r>
              <w:rPr>
                <w:rFonts w:hint="eastAsia"/>
                <w:color w:val="FF0000"/>
                <w:szCs w:val="21"/>
                <w:lang w:val="en-US" w:eastAsia="zh-CN"/>
              </w:rPr>
              <w:t>4</w:t>
            </w:r>
            <w:r>
              <w:rPr>
                <w:rFonts w:hint="eastAsia" w:eastAsia="宋体"/>
                <w:color w:val="FF0000"/>
                <w:szCs w:val="21"/>
                <w:lang w:val="en-US" w:eastAsia="zh-CN"/>
              </w:rPr>
              <w:t>.</w:t>
            </w:r>
            <w:r>
              <w:rPr>
                <w:rFonts w:hint="eastAsia"/>
                <w:color w:val="FF0000"/>
                <w:szCs w:val="21"/>
                <w:lang w:val="en-US" w:eastAsia="zh-CN"/>
              </w:rPr>
              <w:t>4 硬件规格：满配冗余电源，满配冗余风扇。</w:t>
            </w:r>
          </w:p>
        </w:tc>
      </w:tr>
      <w:tr w14:paraId="23E75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84" w:type="dxa"/>
            <w:vAlign w:val="center"/>
          </w:tcPr>
          <w:p w14:paraId="48600F0A">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21</w:t>
            </w:r>
          </w:p>
        </w:tc>
        <w:tc>
          <w:tcPr>
            <w:tcW w:w="958" w:type="dxa"/>
            <w:vMerge w:val="continue"/>
            <w:shd w:val="clear" w:color="auto" w:fill="auto"/>
            <w:vAlign w:val="center"/>
          </w:tcPr>
          <w:p w14:paraId="3B0D3303">
            <w:pPr>
              <w:keepNext w:val="0"/>
              <w:keepLines w:val="0"/>
              <w:suppressLineNumbers w:val="0"/>
              <w:spacing w:before="0" w:beforeAutospacing="0" w:after="0" w:afterAutospacing="0"/>
              <w:ind w:left="0" w:leftChars="0" w:right="0" w:rightChars="0"/>
              <w:jc w:val="center"/>
              <w:rPr>
                <w:rFonts w:hint="eastAsia" w:eastAsia="宋体"/>
                <w:color w:val="FF0000"/>
                <w:szCs w:val="21"/>
                <w:lang w:val="en-US" w:eastAsia="zh-CN"/>
              </w:rPr>
            </w:pPr>
          </w:p>
        </w:tc>
        <w:tc>
          <w:tcPr>
            <w:tcW w:w="6837" w:type="dxa"/>
            <w:shd w:val="clear" w:color="auto" w:fill="auto"/>
            <w:vAlign w:val="top"/>
          </w:tcPr>
          <w:p w14:paraId="70C9BC5D">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b/>
                <w:bCs/>
                <w:color w:val="FF0000"/>
                <w:kern w:val="2"/>
                <w:sz w:val="21"/>
                <w:szCs w:val="21"/>
                <w:highlight w:val="yellow"/>
                <w:lang w:val="en-US" w:eastAsia="zh-CN" w:bidi="ar-SA"/>
              </w:rPr>
            </w:pPr>
            <w:r>
              <w:rPr>
                <w:rFonts w:hint="eastAsia" w:eastAsia="宋体"/>
                <w:color w:val="FF0000"/>
                <w:szCs w:val="21"/>
                <w:lang w:val="en-US" w:eastAsia="zh-CN"/>
              </w:rPr>
              <w:t>★</w:t>
            </w:r>
            <w:r>
              <w:rPr>
                <w:rFonts w:hint="eastAsia"/>
                <w:color w:val="FF0000"/>
                <w:szCs w:val="21"/>
                <w:lang w:val="en-US" w:eastAsia="zh-CN"/>
              </w:rPr>
              <w:t>4</w:t>
            </w:r>
            <w:r>
              <w:rPr>
                <w:rFonts w:hint="eastAsia" w:eastAsia="宋体"/>
                <w:color w:val="FF0000"/>
                <w:szCs w:val="21"/>
                <w:lang w:val="en-US" w:eastAsia="zh-CN"/>
              </w:rPr>
              <w:t>.</w:t>
            </w:r>
            <w:r>
              <w:rPr>
                <w:rFonts w:hint="eastAsia"/>
                <w:color w:val="FF0000"/>
                <w:szCs w:val="21"/>
                <w:lang w:val="en-US" w:eastAsia="zh-CN"/>
              </w:rPr>
              <w:t>5 芯片：所涉及芯片均为信创芯片。</w:t>
            </w:r>
          </w:p>
        </w:tc>
      </w:tr>
      <w:tr w14:paraId="0F0C4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484" w:type="dxa"/>
            <w:vAlign w:val="center"/>
          </w:tcPr>
          <w:p w14:paraId="75CA7F29">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22</w:t>
            </w:r>
          </w:p>
        </w:tc>
        <w:tc>
          <w:tcPr>
            <w:tcW w:w="958" w:type="dxa"/>
            <w:shd w:val="clear" w:color="auto" w:fill="auto"/>
            <w:vAlign w:val="center"/>
          </w:tcPr>
          <w:p w14:paraId="63B8C4B8">
            <w:pPr>
              <w:keepNext w:val="0"/>
              <w:keepLines w:val="0"/>
              <w:suppressLineNumbers w:val="0"/>
              <w:spacing w:before="0" w:beforeAutospacing="0" w:after="0" w:afterAutospacing="0"/>
              <w:ind w:left="0" w:leftChars="0" w:right="0" w:rightChars="0"/>
              <w:jc w:val="center"/>
              <w:rPr>
                <w:rFonts w:hint="eastAsia" w:cs="Times New Roman" w:asciiTheme="minorEastAsia" w:hAnsiTheme="minorEastAsia" w:eastAsiaTheme="minorEastAsia"/>
                <w:b w:val="0"/>
                <w:bCs w:val="0"/>
                <w:color w:val="FF0000"/>
                <w:kern w:val="2"/>
                <w:sz w:val="21"/>
                <w:szCs w:val="24"/>
                <w:lang w:val="en-US" w:eastAsia="zh-CN" w:bidi="ar-SA"/>
              </w:rPr>
            </w:pPr>
            <w:r>
              <w:rPr>
                <w:rFonts w:hint="eastAsia" w:asciiTheme="minorEastAsia" w:hAnsiTheme="minorEastAsia" w:eastAsiaTheme="minorEastAsia"/>
                <w:b w:val="0"/>
                <w:bCs w:val="0"/>
                <w:color w:val="FF0000"/>
              </w:rPr>
              <w:t>基础售后服务</w:t>
            </w:r>
          </w:p>
        </w:tc>
        <w:tc>
          <w:tcPr>
            <w:tcW w:w="6837" w:type="dxa"/>
            <w:shd w:val="clear" w:color="auto" w:fill="auto"/>
            <w:vAlign w:val="center"/>
          </w:tcPr>
          <w:p w14:paraId="26C93358">
            <w:pPr>
              <w:keepNext w:val="0"/>
              <w:keepLines w:val="0"/>
              <w:suppressLineNumbers w:val="0"/>
              <w:spacing w:before="0" w:beforeAutospacing="0" w:after="0" w:afterAutospacing="0"/>
              <w:ind w:left="0" w:leftChars="0" w:right="0" w:rightChars="0"/>
              <w:rPr>
                <w:rFonts w:hint="eastAsia"/>
                <w:color w:val="FF0000"/>
                <w:szCs w:val="21"/>
                <w:lang w:val="en-US" w:eastAsia="zh-CN"/>
              </w:rPr>
            </w:pPr>
            <w:r>
              <w:rPr>
                <w:rFonts w:hint="eastAsia"/>
                <w:color w:val="FF0000"/>
                <w:szCs w:val="21"/>
                <w:lang w:val="en-US" w:eastAsia="zh-CN"/>
              </w:rPr>
              <w:t>（★1.1）提供三年免费原厂售后服务，包括：整机及其包含的所有配件三年免费维修和免费换件；7*24小时技术支持服务；2小时内电话响应，故障报修后第二个工作日内提供现场服务；两个工作日内解决问题，否则在三个工作日内提供备机；送货到采购单位指定地点。提供设备拆箱、配置导入、设备安装及上架等服务。</w:t>
            </w:r>
          </w:p>
        </w:tc>
      </w:tr>
      <w:tr w14:paraId="2F6B8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484" w:type="dxa"/>
            <w:vAlign w:val="center"/>
          </w:tcPr>
          <w:p w14:paraId="394DB9DB">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23</w:t>
            </w:r>
          </w:p>
        </w:tc>
        <w:tc>
          <w:tcPr>
            <w:tcW w:w="958" w:type="dxa"/>
            <w:shd w:val="clear" w:color="auto" w:fill="auto"/>
            <w:vAlign w:val="center"/>
          </w:tcPr>
          <w:p w14:paraId="4739BC61">
            <w:pPr>
              <w:keepNext w:val="0"/>
              <w:keepLines w:val="0"/>
              <w:suppressLineNumbers w:val="0"/>
              <w:spacing w:before="0" w:beforeAutospacing="0" w:after="0" w:afterAutospacing="0"/>
              <w:ind w:left="0" w:leftChars="0" w:right="0" w:rightChars="0"/>
              <w:jc w:val="center"/>
              <w:rPr>
                <w:rFonts w:hint="eastAsia" w:cs="Times New Roman" w:asciiTheme="minorEastAsia" w:hAnsiTheme="minorEastAsia" w:eastAsiaTheme="minorEastAsia"/>
                <w:b w:val="0"/>
                <w:bCs w:val="0"/>
                <w:color w:val="FF0000"/>
                <w:kern w:val="2"/>
                <w:sz w:val="21"/>
                <w:szCs w:val="24"/>
                <w:lang w:val="en-US" w:eastAsia="zh-CN" w:bidi="ar-SA"/>
              </w:rPr>
            </w:pPr>
            <w:r>
              <w:rPr>
                <w:rFonts w:hint="eastAsia" w:asciiTheme="minorEastAsia" w:hAnsiTheme="minorEastAsia" w:eastAsiaTheme="minorEastAsia"/>
                <w:b w:val="0"/>
                <w:bCs w:val="0"/>
                <w:color w:val="FF0000"/>
              </w:rPr>
              <w:t>交货及付款要求</w:t>
            </w:r>
          </w:p>
        </w:tc>
        <w:tc>
          <w:tcPr>
            <w:tcW w:w="6837" w:type="dxa"/>
            <w:shd w:val="clear" w:color="auto" w:fill="auto"/>
            <w:vAlign w:val="center"/>
          </w:tcPr>
          <w:p w14:paraId="7CECB33B">
            <w:pPr>
              <w:keepNext w:val="0"/>
              <w:keepLines w:val="0"/>
              <w:suppressLineNumbers w:val="0"/>
              <w:spacing w:before="0" w:beforeAutospacing="0" w:after="0" w:afterAutospacing="0"/>
              <w:ind w:left="0" w:leftChars="0" w:right="0" w:rightChars="0"/>
              <w:rPr>
                <w:rFonts w:hint="eastAsia"/>
                <w:color w:val="FF0000"/>
                <w:szCs w:val="21"/>
                <w:lang w:val="en-US" w:eastAsia="zh-CN"/>
              </w:rPr>
            </w:pPr>
            <w:r>
              <w:rPr>
                <w:rFonts w:hint="eastAsia"/>
                <w:color w:val="FF0000"/>
                <w:szCs w:val="21"/>
                <w:lang w:val="en-US" w:eastAsia="zh-CN"/>
              </w:rPr>
              <w:t>★5.1交货时间和地点：合同签订后30日内交货（最终以合同约定时间为准）。中标人负责将货物安全无损运抵采购人指定地点（ 广东省深圳市罗湖区深南东路5006号人民银行大厦）。</w:t>
            </w:r>
          </w:p>
        </w:tc>
      </w:tr>
      <w:bookmarkEnd w:id="50"/>
    </w:tbl>
    <w:p w14:paraId="1CB0553C">
      <w:pPr>
        <w:rPr>
          <w:b/>
        </w:rPr>
      </w:pPr>
      <w:r>
        <w:rPr>
          <w:rFonts w:hint="eastAsia"/>
          <w:b/>
        </w:rPr>
        <w:t>注：上表所列内容为不可负偏离条款</w:t>
      </w:r>
      <w:bookmarkEnd w:id="49"/>
      <w:r>
        <w:rPr>
          <w:rFonts w:hint="eastAsia"/>
          <w:b/>
        </w:rPr>
        <w:t>，负偏离将视为未实质性满足招标文件要求作投标无效处理。</w:t>
      </w:r>
    </w:p>
    <w:p w14:paraId="70022B88">
      <w:pPr>
        <w:rPr>
          <w:b/>
          <w:szCs w:val="21"/>
        </w:rPr>
      </w:pPr>
    </w:p>
    <w:p w14:paraId="11D446DF">
      <w:pPr>
        <w:pStyle w:val="18"/>
      </w:pPr>
    </w:p>
    <w:p w14:paraId="0CAE9B6D">
      <w:pPr>
        <w:widowControl/>
        <w:jc w:val="left"/>
        <w:rPr>
          <w:rFonts w:ascii="宋体" w:hAnsi="宋体"/>
          <w:b/>
          <w:bCs/>
          <w:kern w:val="0"/>
          <w:sz w:val="28"/>
          <w:szCs w:val="28"/>
        </w:rPr>
      </w:pPr>
      <w:r>
        <w:rPr>
          <w:sz w:val="28"/>
          <w:szCs w:val="28"/>
        </w:rPr>
        <w:br w:type="page"/>
      </w:r>
    </w:p>
    <w:p w14:paraId="74AF4609">
      <w:pPr>
        <w:pStyle w:val="3"/>
        <w:spacing w:before="120" w:beforeLines="50" w:after="120" w:afterLines="50"/>
        <w:jc w:val="center"/>
        <w:rPr>
          <w:sz w:val="28"/>
          <w:szCs w:val="28"/>
        </w:rPr>
      </w:pPr>
      <w:r>
        <w:rPr>
          <w:rFonts w:hint="eastAsia"/>
          <w:sz w:val="28"/>
          <w:szCs w:val="28"/>
        </w:rPr>
        <w:t>四、技术要求</w:t>
      </w:r>
    </w:p>
    <w:p w14:paraId="6EB721A3">
      <w:pPr>
        <w:ind w:firstLine="422" w:firstLineChars="200"/>
        <w:rPr>
          <w:rFonts w:hint="eastAsia"/>
          <w:b/>
          <w:szCs w:val="21"/>
        </w:rPr>
      </w:pPr>
      <w:r>
        <w:rPr>
          <w:rFonts w:hint="eastAsia"/>
          <w:b/>
          <w:szCs w:val="21"/>
        </w:rPr>
        <w:t>说明：</w:t>
      </w:r>
      <w:r>
        <w:rPr>
          <w:b/>
          <w:szCs w:val="21"/>
        </w:rPr>
        <w:t xml:space="preserve"> </w:t>
      </w:r>
    </w:p>
    <w:p w14:paraId="7516E513">
      <w:pPr>
        <w:numPr>
          <w:ilvl w:val="0"/>
          <w:numId w:val="8"/>
        </w:numPr>
        <w:ind w:firstLine="422" w:firstLineChars="200"/>
        <w:rPr>
          <w:rFonts w:hint="eastAsia"/>
          <w:b/>
        </w:rPr>
      </w:pPr>
      <w:bookmarkStart w:id="51" w:name="OLE_LINK8"/>
      <w:r>
        <w:rPr>
          <w:rFonts w:hint="eastAsia"/>
          <w:b/>
        </w:rPr>
        <w:t>评分时，对一项招标技术要求（以划分框为准）中的</w:t>
      </w:r>
      <w:r>
        <w:rPr>
          <w:rFonts w:hint="eastAsia"/>
          <w:b/>
          <w:lang w:eastAsia="zh-CN"/>
        </w:rPr>
        <w:t>任一</w:t>
      </w:r>
      <w:r>
        <w:rPr>
          <w:rFonts w:hint="eastAsia"/>
          <w:b/>
        </w:rPr>
        <w:t>内容存在负偏离的，在评分时</w:t>
      </w:r>
      <w:r>
        <w:rPr>
          <w:rFonts w:hint="eastAsia"/>
          <w:b/>
          <w:lang w:eastAsia="zh-CN"/>
        </w:rPr>
        <w:t>该项均不得分。</w:t>
      </w:r>
    </w:p>
    <w:p w14:paraId="6AC9CD89">
      <w:pPr>
        <w:numPr>
          <w:ilvl w:val="0"/>
          <w:numId w:val="8"/>
        </w:numPr>
        <w:ind w:firstLine="422" w:firstLineChars="200"/>
        <w:rPr>
          <w:rFonts w:hint="eastAsia"/>
          <w:b/>
          <w:color w:val="FF0000"/>
          <w:szCs w:val="21"/>
        </w:rPr>
      </w:pPr>
      <w:r>
        <w:rPr>
          <w:rFonts w:hint="eastAsia"/>
          <w:b/>
          <w:color w:val="FF0000"/>
          <w:szCs w:val="21"/>
        </w:rPr>
        <w:t>带★号条款为不可负偏离条款，不作为评分准则中的评分内容，如未响应或出现负偏离的，将作投标无效处理；带“#”指标项为重要参数条款，</w:t>
      </w:r>
      <w:r>
        <w:rPr>
          <w:rFonts w:hint="eastAsia"/>
          <w:b/>
          <w:color w:val="FF0000"/>
          <w:szCs w:val="21"/>
          <w:lang w:val="en-US" w:eastAsia="zh-CN"/>
        </w:rPr>
        <w:t>无</w:t>
      </w:r>
      <w:r>
        <w:rPr>
          <w:rFonts w:hint="eastAsia"/>
          <w:b/>
          <w:color w:val="FF0000"/>
          <w:szCs w:val="21"/>
        </w:rPr>
        <w:t>负偏离时依相关评分准则内容作重点</w:t>
      </w:r>
      <w:r>
        <w:rPr>
          <w:rFonts w:hint="eastAsia"/>
          <w:b/>
          <w:color w:val="FF0000"/>
          <w:szCs w:val="21"/>
          <w:lang w:val="en-US" w:eastAsia="zh-CN"/>
        </w:rPr>
        <w:t>加</w:t>
      </w:r>
      <w:r>
        <w:rPr>
          <w:rFonts w:hint="eastAsia"/>
          <w:b/>
          <w:color w:val="FF0000"/>
          <w:szCs w:val="21"/>
        </w:rPr>
        <w:t>分处理。</w:t>
      </w:r>
      <w:bookmarkEnd w:id="51"/>
      <w:bookmarkStart w:id="52" w:name="_Hlk72585069"/>
      <w:r>
        <w:rPr>
          <w:rFonts w:hint="eastAsia"/>
          <w:b/>
          <w:color w:val="FF0000"/>
          <w:szCs w:val="21"/>
        </w:rPr>
        <w:t>带“△”指标项为</w:t>
      </w:r>
      <w:r>
        <w:rPr>
          <w:rFonts w:hint="eastAsia"/>
          <w:b/>
          <w:color w:val="FF0000"/>
          <w:szCs w:val="21"/>
          <w:lang w:val="en-US" w:eastAsia="zh-CN"/>
        </w:rPr>
        <w:t>一般</w:t>
      </w:r>
      <w:r>
        <w:rPr>
          <w:rFonts w:hint="eastAsia"/>
          <w:b/>
          <w:color w:val="FF0000"/>
          <w:szCs w:val="21"/>
        </w:rPr>
        <w:t>参数条款，</w:t>
      </w:r>
      <w:r>
        <w:rPr>
          <w:rFonts w:hint="eastAsia"/>
          <w:b/>
          <w:color w:val="FF0000"/>
          <w:szCs w:val="21"/>
          <w:lang w:val="en-US" w:eastAsia="zh-CN"/>
        </w:rPr>
        <w:t>无</w:t>
      </w:r>
      <w:r>
        <w:rPr>
          <w:rFonts w:hint="eastAsia"/>
          <w:b/>
          <w:color w:val="FF0000"/>
          <w:szCs w:val="21"/>
        </w:rPr>
        <w:t>负偏离时依相关评分准则内容作</w:t>
      </w:r>
      <w:r>
        <w:rPr>
          <w:rFonts w:hint="eastAsia"/>
          <w:b/>
          <w:color w:val="FF0000"/>
          <w:szCs w:val="21"/>
          <w:lang w:val="en-US" w:eastAsia="zh-CN"/>
        </w:rPr>
        <w:t>一般加</w:t>
      </w:r>
      <w:r>
        <w:rPr>
          <w:rFonts w:hint="eastAsia"/>
          <w:b/>
          <w:color w:val="FF0000"/>
          <w:szCs w:val="21"/>
        </w:rPr>
        <w:t>分处理。</w:t>
      </w:r>
    </w:p>
    <w:p w14:paraId="25B7EC27">
      <w:pPr>
        <w:ind w:firstLine="422" w:firstLineChars="200"/>
        <w:rPr>
          <w:b/>
          <w:szCs w:val="21"/>
        </w:rPr>
      </w:pPr>
      <w:r>
        <w:rPr>
          <w:rFonts w:hint="eastAsia"/>
          <w:b/>
          <w:szCs w:val="21"/>
          <w:lang w:val="en-US" w:eastAsia="zh-CN"/>
        </w:rPr>
        <w:t>3</w:t>
      </w:r>
      <w:r>
        <w:rPr>
          <w:rFonts w:hint="eastAsia"/>
          <w:b/>
        </w:rPr>
        <w:t>、</w:t>
      </w:r>
      <w:r>
        <w:rPr>
          <w:rFonts w:hint="eastAsia"/>
          <w:b/>
          <w:szCs w:val="21"/>
        </w:rPr>
        <w:t>招标技术要求中，用红色加粗字体标注的指标项均要求提供证明资料，</w:t>
      </w:r>
      <w:r>
        <w:rPr>
          <w:rFonts w:hint="eastAsia"/>
          <w:b/>
          <w:color w:val="FF0000"/>
          <w:szCs w:val="21"/>
        </w:rPr>
        <w:t>共</w:t>
      </w:r>
      <w:r>
        <w:rPr>
          <w:rFonts w:hint="eastAsia"/>
          <w:b/>
          <w:color w:val="FF0000"/>
          <w:szCs w:val="21"/>
          <w:lang w:val="en-US" w:eastAsia="zh-CN"/>
        </w:rPr>
        <w:t>4</w:t>
      </w:r>
      <w:r>
        <w:rPr>
          <w:rFonts w:hint="eastAsia"/>
          <w:b/>
          <w:color w:val="FF0000"/>
          <w:szCs w:val="21"/>
        </w:rPr>
        <w:t>项</w:t>
      </w:r>
      <w:r>
        <w:rPr>
          <w:rFonts w:hint="eastAsia"/>
          <w:b/>
          <w:szCs w:val="21"/>
        </w:rPr>
        <w:t>；其余指标项未要求提供证明资料，无需提供相关证明资料。</w:t>
      </w:r>
    </w:p>
    <w:p w14:paraId="64EDE514">
      <w:pPr>
        <w:ind w:firstLine="422" w:firstLineChars="200"/>
        <w:rPr>
          <w:b/>
          <w:szCs w:val="21"/>
        </w:rPr>
      </w:pPr>
      <w:r>
        <w:rPr>
          <w:rFonts w:hint="eastAsia"/>
          <w:b/>
          <w:szCs w:val="21"/>
          <w:lang w:val="en-US" w:eastAsia="zh-CN"/>
        </w:rPr>
        <w:t>4</w:t>
      </w:r>
      <w:r>
        <w:rPr>
          <w:rFonts w:hint="eastAsia"/>
          <w:b/>
          <w:szCs w:val="21"/>
        </w:rPr>
        <w:t>、涉及区间的参数，除特别注明以外，产品参数区间与招标要求不一致的均视为负偏离。例：区间要求为 0-20ML,只要响应的不是“0-20ML”，如投标文件响应为 0-15ML 、0-21ML 、1-12ML 、 9-20ML 、6-21ML 、9ML 等情形均视为负偏离。</w:t>
      </w:r>
      <w:r>
        <w:rPr>
          <w:b/>
          <w:szCs w:val="21"/>
        </w:rPr>
        <w:cr/>
      </w:r>
      <w:r>
        <w:rPr>
          <w:rFonts w:hint="eastAsia"/>
          <w:b/>
          <w:szCs w:val="21"/>
        </w:rPr>
        <w:t xml:space="preserve">    </w:t>
      </w:r>
      <w:r>
        <w:rPr>
          <w:rFonts w:hint="eastAsia"/>
          <w:b/>
          <w:szCs w:val="21"/>
          <w:lang w:val="en-US" w:eastAsia="zh-CN"/>
        </w:rPr>
        <w:t>5</w:t>
      </w:r>
      <w:r>
        <w:rPr>
          <w:rFonts w:hint="eastAsia"/>
          <w:b/>
          <w:szCs w:val="21"/>
        </w:rPr>
        <w:t>、招标技术要求出现“不少于”“不低于”“不大于”“不超过”“至少”“至多”要求的，均包含本数，“大于”“小于”“低于”“超过”不含本数。</w:t>
      </w:r>
    </w:p>
    <w:bookmarkEnd w:id="52"/>
    <w:tbl>
      <w:tblPr>
        <w:tblStyle w:val="43"/>
        <w:tblW w:w="8457" w:type="dxa"/>
        <w:tblInd w:w="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
        <w:gridCol w:w="1200"/>
        <w:gridCol w:w="6657"/>
      </w:tblGrid>
      <w:tr w14:paraId="33A45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00" w:type="dxa"/>
            <w:vAlign w:val="center"/>
          </w:tcPr>
          <w:p w14:paraId="57584DBE">
            <w:pPr>
              <w:keepNext w:val="0"/>
              <w:keepLines w:val="0"/>
              <w:suppressLineNumbers w:val="0"/>
              <w:spacing w:before="0" w:beforeAutospacing="0" w:after="0" w:afterAutospacing="0"/>
              <w:ind w:left="0" w:right="0"/>
              <w:jc w:val="center"/>
              <w:rPr>
                <w:rFonts w:hint="eastAsia" w:eastAsia="宋体"/>
                <w:color w:val="000000" w:themeColor="text1"/>
                <w:szCs w:val="21"/>
                <w:lang w:val="en-US" w:eastAsia="zh-CN"/>
                <w14:textFill>
                  <w14:solidFill>
                    <w14:schemeClr w14:val="tx1"/>
                  </w14:solidFill>
                </w14:textFill>
              </w:rPr>
            </w:pPr>
            <w:bookmarkStart w:id="53" w:name="_Hlk70236148"/>
            <w:bookmarkStart w:id="54" w:name="OLE_LINK24"/>
            <w:r>
              <w:rPr>
                <w:rFonts w:hint="eastAsia"/>
                <w:color w:val="000000" w:themeColor="text1"/>
                <w:szCs w:val="21"/>
                <w:lang w:val="en-US" w:eastAsia="zh-CN"/>
                <w14:textFill>
                  <w14:solidFill>
                    <w14:schemeClr w14:val="tx1"/>
                  </w14:solidFill>
                </w14:textFill>
              </w:rPr>
              <w:t>序号</w:t>
            </w:r>
          </w:p>
        </w:tc>
        <w:tc>
          <w:tcPr>
            <w:tcW w:w="1200" w:type="dxa"/>
            <w:vAlign w:val="center"/>
          </w:tcPr>
          <w:p w14:paraId="48CBD52C">
            <w:pPr>
              <w:keepNext w:val="0"/>
              <w:keepLines w:val="0"/>
              <w:suppressLineNumbers w:val="0"/>
              <w:spacing w:before="0" w:beforeAutospacing="0" w:after="0" w:afterAutospacing="0"/>
              <w:ind w:left="0" w:right="0"/>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货物名称</w:t>
            </w:r>
          </w:p>
        </w:tc>
        <w:tc>
          <w:tcPr>
            <w:tcW w:w="6657" w:type="dxa"/>
            <w:vAlign w:val="center"/>
          </w:tcPr>
          <w:p w14:paraId="5F60021A">
            <w:pPr>
              <w:keepNext w:val="0"/>
              <w:keepLines w:val="0"/>
              <w:suppressLineNumbers w:val="0"/>
              <w:spacing w:before="0" w:beforeAutospacing="0" w:after="0" w:afterAutospacing="0"/>
              <w:ind w:left="0" w:right="0"/>
              <w:jc w:val="center"/>
              <w:rPr>
                <w:rFonts w:hint="default"/>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招标</w:t>
            </w:r>
            <w:r>
              <w:rPr>
                <w:rFonts w:hint="default"/>
                <w:color w:val="000000" w:themeColor="text1"/>
                <w:szCs w:val="21"/>
                <w14:textFill>
                  <w14:solidFill>
                    <w14:schemeClr w14:val="tx1"/>
                  </w14:solidFill>
                </w14:textFill>
              </w:rPr>
              <w:t>技术要求</w:t>
            </w:r>
          </w:p>
        </w:tc>
      </w:tr>
      <w:tr w14:paraId="68946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600" w:type="dxa"/>
            <w:vMerge w:val="restart"/>
            <w:vAlign w:val="center"/>
          </w:tcPr>
          <w:p w14:paraId="057DEB26">
            <w:pPr>
              <w:keepNext w:val="0"/>
              <w:keepLines w:val="0"/>
              <w:suppressLineNumbers w:val="0"/>
              <w:spacing w:before="0" w:beforeAutospacing="0" w:after="0" w:afterAutospacing="0"/>
              <w:ind w:left="0" w:right="0"/>
              <w:jc w:val="center"/>
              <w:rPr>
                <w:rFonts w:hint="default" w:eastAsia="宋体"/>
                <w:color w:val="auto"/>
                <w:szCs w:val="21"/>
                <w:lang w:val="en-US" w:eastAsia="zh-CN"/>
              </w:rPr>
            </w:pPr>
            <w:bookmarkStart w:id="55" w:name="OLE_LINK14" w:colFirst="2" w:colLast="2"/>
            <w:r>
              <w:rPr>
                <w:rFonts w:hint="eastAsia" w:eastAsia="宋体"/>
                <w:color w:val="auto"/>
                <w:szCs w:val="21"/>
                <w:lang w:val="en-US" w:eastAsia="zh-CN"/>
              </w:rPr>
              <w:t>1</w:t>
            </w:r>
          </w:p>
        </w:tc>
        <w:tc>
          <w:tcPr>
            <w:tcW w:w="1200" w:type="dxa"/>
            <w:vMerge w:val="restart"/>
            <w:vAlign w:val="center"/>
          </w:tcPr>
          <w:p w14:paraId="25F379CC">
            <w:pPr>
              <w:keepNext w:val="0"/>
              <w:keepLines w:val="0"/>
              <w:suppressLineNumbers w:val="0"/>
              <w:spacing w:before="0" w:beforeAutospacing="0" w:after="0" w:afterAutospacing="0"/>
              <w:ind w:left="0" w:right="0"/>
              <w:jc w:val="center"/>
              <w:rPr>
                <w:rFonts w:hint="default" w:eastAsia="宋体"/>
                <w:color w:val="auto"/>
                <w:szCs w:val="21"/>
                <w:lang w:val="en-US" w:eastAsia="zh-CN"/>
              </w:rPr>
            </w:pPr>
            <w:r>
              <w:rPr>
                <w:rFonts w:hint="eastAsia"/>
                <w:b w:val="0"/>
                <w:bCs/>
                <w:szCs w:val="21"/>
                <w:lang w:eastAsia="zh-CN"/>
              </w:rPr>
              <w:t>路由器（下联路由器）</w:t>
            </w:r>
          </w:p>
        </w:tc>
        <w:tc>
          <w:tcPr>
            <w:tcW w:w="6657" w:type="dxa"/>
          </w:tcPr>
          <w:p w14:paraId="3885768C">
            <w:pPr>
              <w:keepNext w:val="0"/>
              <w:keepLines w:val="0"/>
              <w:suppressLineNumbers w:val="0"/>
              <w:spacing w:before="0" w:beforeAutospacing="0" w:after="0" w:afterAutospacing="0"/>
              <w:ind w:left="0" w:right="0"/>
              <w:rPr>
                <w:rFonts w:hint="eastAsia" w:eastAsia="宋体"/>
                <w:color w:val="FF0000"/>
                <w:szCs w:val="21"/>
                <w:lang w:val="en-US" w:eastAsia="zh-CN"/>
              </w:rPr>
            </w:pPr>
            <w:bookmarkStart w:id="56" w:name="OLE_LINK15"/>
            <w:r>
              <w:rPr>
                <w:rFonts w:hint="eastAsia" w:eastAsia="宋体"/>
                <w:color w:val="FF0000"/>
                <w:szCs w:val="21"/>
                <w:lang w:val="en-US" w:eastAsia="zh-CN"/>
              </w:rPr>
              <w:t>★1.1物理接口：</w:t>
            </w:r>
            <w:bookmarkEnd w:id="56"/>
          </w:p>
          <w:p w14:paraId="5D84EC71">
            <w:pPr>
              <w:keepNext w:val="0"/>
              <w:keepLines w:val="0"/>
              <w:numPr>
                <w:ilvl w:val="0"/>
                <w:numId w:val="0"/>
              </w:numPr>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ascii="Times New Roman" w:hAnsi="Times New Roman" w:eastAsia="宋体" w:cs="Times New Roman"/>
                <w:color w:val="FF0000"/>
                <w:kern w:val="2"/>
                <w:sz w:val="21"/>
                <w:szCs w:val="21"/>
                <w:lang w:val="en-US" w:eastAsia="zh-CN" w:bidi="ar-SA"/>
              </w:rPr>
              <w:t>1.</w:t>
            </w:r>
            <w:r>
              <w:rPr>
                <w:rFonts w:hint="eastAsia" w:eastAsia="宋体"/>
                <w:color w:val="FF0000"/>
                <w:szCs w:val="21"/>
                <w:lang w:val="en-US" w:eastAsia="zh-CN"/>
              </w:rPr>
              <w:t>≥8个GE。</w:t>
            </w:r>
          </w:p>
          <w:p w14:paraId="3AE85C55">
            <w:pPr>
              <w:keepNext w:val="0"/>
              <w:keepLines w:val="0"/>
              <w:numPr>
                <w:ilvl w:val="0"/>
                <w:numId w:val="0"/>
              </w:numPr>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ascii="Times New Roman" w:hAnsi="Times New Roman" w:eastAsia="宋体" w:cs="Times New Roman"/>
                <w:color w:val="FF0000"/>
                <w:kern w:val="2"/>
                <w:sz w:val="21"/>
                <w:szCs w:val="21"/>
                <w:lang w:val="en-US" w:eastAsia="zh-CN" w:bidi="ar-SA"/>
              </w:rPr>
              <w:t>2.</w:t>
            </w:r>
            <w:r>
              <w:rPr>
                <w:rFonts w:hint="eastAsia" w:eastAsia="宋体"/>
                <w:color w:val="FF0000"/>
                <w:szCs w:val="21"/>
                <w:lang w:val="en-US" w:eastAsia="zh-CN"/>
              </w:rPr>
              <w:t>≥8个SFP+端口。</w:t>
            </w:r>
          </w:p>
        </w:tc>
      </w:tr>
      <w:tr w14:paraId="4BAEB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tcPr>
          <w:p w14:paraId="6C860931">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tcPr>
          <w:p w14:paraId="65E37EB3">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tcPr>
          <w:p w14:paraId="77335CC0">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★1.2技术要求：</w:t>
            </w:r>
          </w:p>
          <w:p w14:paraId="2A7CE02E">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1.交换容量≥85Tbps。</w:t>
            </w:r>
          </w:p>
          <w:p w14:paraId="31827C47">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2.包转发率≥12000Mpps。</w:t>
            </w:r>
          </w:p>
          <w:p w14:paraId="0049F9A5">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3.支持RADIUS/Tacacs+方式进行AAA认证。</w:t>
            </w:r>
          </w:p>
          <w:p w14:paraId="44238ED6">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4.支持NTP时间同步。</w:t>
            </w:r>
          </w:p>
          <w:p w14:paraId="4B60FEEA">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5.支持SSH登录方式。</w:t>
            </w:r>
          </w:p>
          <w:p w14:paraId="44A6CB60">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6.支持本地端口镜像和远程端口镜像。</w:t>
            </w:r>
          </w:p>
          <w:p w14:paraId="725B4EA9">
            <w:pPr>
              <w:keepNext w:val="0"/>
              <w:keepLines w:val="0"/>
              <w:suppressLineNumbers w:val="0"/>
              <w:spacing w:before="0" w:beforeAutospacing="0" w:after="0" w:afterAutospacing="0"/>
              <w:ind w:left="0" w:right="0"/>
              <w:rPr>
                <w:rFonts w:hint="default" w:eastAsia="宋体"/>
                <w:color w:val="FF0000"/>
                <w:szCs w:val="21"/>
                <w:lang w:val="en-US" w:eastAsia="zh-CN"/>
              </w:rPr>
            </w:pPr>
            <w:r>
              <w:rPr>
                <w:rFonts w:hint="eastAsia" w:eastAsia="宋体"/>
                <w:color w:val="FF0000"/>
                <w:szCs w:val="21"/>
                <w:lang w:val="en-US" w:eastAsia="zh-CN"/>
              </w:rPr>
              <w:t>7.支持syslog。</w:t>
            </w:r>
          </w:p>
        </w:tc>
      </w:tr>
      <w:tr w14:paraId="1C9EE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00" w:type="dxa"/>
            <w:vMerge w:val="continue"/>
            <w:vAlign w:val="top"/>
          </w:tcPr>
          <w:p w14:paraId="60DC70C5">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27E6E72C">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70DED032">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★1.3入网许可：具有《电信设备进网许可证》，设备及其型号需与入网证一致。</w:t>
            </w:r>
          </w:p>
          <w:p w14:paraId="25AB1197">
            <w:pPr>
              <w:keepNext w:val="0"/>
              <w:keepLines w:val="0"/>
              <w:suppressLineNumbers w:val="0"/>
              <w:spacing w:before="0" w:beforeAutospacing="0" w:after="0" w:afterAutospacing="0"/>
              <w:ind w:left="0" w:right="0"/>
              <w:rPr>
                <w:rFonts w:hint="default" w:eastAsia="宋体"/>
                <w:color w:val="FF0000"/>
                <w:szCs w:val="21"/>
                <w:lang w:val="en-US" w:eastAsia="zh-CN"/>
              </w:rPr>
            </w:pPr>
            <w:r>
              <w:rPr>
                <w:rFonts w:hint="eastAsia" w:eastAsia="宋体"/>
                <w:b/>
                <w:bCs/>
                <w:color w:val="FF0000"/>
                <w:szCs w:val="21"/>
                <w:highlight w:val="yellow"/>
                <w:lang w:val="en-US" w:eastAsia="zh-CN"/>
              </w:rPr>
              <w:t>投标人还需</w:t>
            </w:r>
            <w:r>
              <w:rPr>
                <w:rFonts w:hint="eastAsia"/>
                <w:b/>
                <w:bCs/>
                <w:color w:val="FF0000"/>
                <w:szCs w:val="21"/>
                <w:highlight w:val="yellow"/>
                <w:lang w:val="en-US" w:eastAsia="zh-CN"/>
              </w:rPr>
              <w:t>提供</w:t>
            </w:r>
            <w:r>
              <w:rPr>
                <w:rFonts w:hint="eastAsia" w:eastAsia="宋体"/>
                <w:b/>
                <w:bCs/>
                <w:color w:val="FF0000"/>
                <w:szCs w:val="21"/>
                <w:highlight w:val="yellow"/>
                <w:lang w:val="en-US" w:eastAsia="zh-CN"/>
              </w:rPr>
              <w:t>承诺函（格式自拟加盖公章），承诺中标后提供《电信设备进网许可证》且设备及其型号需与入网证一致。</w:t>
            </w:r>
          </w:p>
        </w:tc>
      </w:tr>
      <w:tr w14:paraId="16AFA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621076E9">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5529A812">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20FA3AEC">
            <w:pPr>
              <w:keepNext w:val="0"/>
              <w:keepLines w:val="0"/>
              <w:suppressLineNumbers w:val="0"/>
              <w:spacing w:before="0" w:beforeAutospacing="0" w:after="0" w:afterAutospacing="0"/>
              <w:ind w:left="0" w:right="0"/>
              <w:rPr>
                <w:rFonts w:hint="default" w:eastAsia="宋体"/>
                <w:color w:val="FF0000"/>
                <w:szCs w:val="21"/>
                <w:lang w:val="en-US" w:eastAsia="zh-CN"/>
              </w:rPr>
            </w:pPr>
            <w:r>
              <w:rPr>
                <w:rFonts w:hint="eastAsia" w:eastAsia="宋体"/>
                <w:color w:val="FF0000"/>
                <w:szCs w:val="21"/>
                <w:highlight w:val="none"/>
                <w:lang w:val="en-US" w:eastAsia="zh-CN"/>
              </w:rPr>
              <w:t>★1.4 网络关键设备要求：在《网络关键设备和网络安全专用产品目录》中的设备，按照《信息安全技术 网络安全专用产品安全技术要求》等相关国家标准强制性要求，由具备资格的机构安全认证合格或安全检测符合性要求，或者此前已获得《计算机信息系统安全专用产品销售许可证》且在有效期内。</w:t>
            </w:r>
          </w:p>
        </w:tc>
      </w:tr>
      <w:tr w14:paraId="61941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600" w:type="dxa"/>
            <w:vMerge w:val="continue"/>
            <w:vAlign w:val="top"/>
          </w:tcPr>
          <w:p w14:paraId="15AB05E3">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41D6BF87">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3BB6814C">
            <w:pPr>
              <w:keepNext w:val="0"/>
              <w:keepLines w:val="0"/>
              <w:suppressLineNumbers w:val="0"/>
              <w:spacing w:before="0" w:beforeAutospacing="0" w:after="0" w:afterAutospacing="0"/>
              <w:ind w:left="0" w:right="0"/>
              <w:rPr>
                <w:rFonts w:hint="default" w:eastAsia="宋体"/>
                <w:color w:val="FF0000"/>
                <w:szCs w:val="21"/>
                <w:lang w:val="en-US" w:eastAsia="zh-CN"/>
              </w:rPr>
            </w:pPr>
            <w:r>
              <w:rPr>
                <w:rFonts w:hint="eastAsia" w:eastAsia="宋体"/>
                <w:color w:val="FF0000"/>
                <w:szCs w:val="21"/>
                <w:lang w:val="en-US" w:eastAsia="zh-CN"/>
              </w:rPr>
              <w:t>★1.5 硬件规格：满配冗余主控，满配冗余电源，满配冗余风扇。</w:t>
            </w:r>
          </w:p>
        </w:tc>
      </w:tr>
      <w:tr w14:paraId="2A805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600" w:type="dxa"/>
            <w:vMerge w:val="continue"/>
            <w:vAlign w:val="top"/>
          </w:tcPr>
          <w:p w14:paraId="7FCE5814">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5503386B">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008DCF85">
            <w:pPr>
              <w:keepNext w:val="0"/>
              <w:keepLines w:val="0"/>
              <w:suppressLineNumbers w:val="0"/>
              <w:spacing w:before="0" w:beforeAutospacing="0" w:after="0" w:afterAutospacing="0"/>
              <w:ind w:left="0" w:right="0"/>
              <w:rPr>
                <w:rFonts w:hint="default" w:eastAsia="宋体"/>
                <w:color w:val="FF0000"/>
                <w:szCs w:val="21"/>
                <w:lang w:val="en-US" w:eastAsia="zh-CN"/>
              </w:rPr>
            </w:pPr>
            <w:r>
              <w:rPr>
                <w:rFonts w:hint="eastAsia" w:eastAsia="宋体"/>
                <w:color w:val="FF0000"/>
                <w:szCs w:val="21"/>
                <w:lang w:val="en-US" w:eastAsia="zh-CN"/>
              </w:rPr>
              <w:t>★1.6芯片：所涉及芯片均为信创芯片。</w:t>
            </w:r>
          </w:p>
        </w:tc>
      </w:tr>
      <w:bookmarkEnd w:id="55"/>
      <w:tr w14:paraId="4639B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600" w:type="dxa"/>
            <w:vMerge w:val="continue"/>
            <w:vAlign w:val="top"/>
          </w:tcPr>
          <w:p w14:paraId="37F539CB">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6F993F32">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4C89ACFB">
            <w:pPr>
              <w:keepNext w:val="0"/>
              <w:keepLines w:val="0"/>
              <w:suppressLineNumbers w:val="0"/>
              <w:spacing w:before="0" w:beforeAutospacing="0" w:after="0" w:afterAutospacing="0"/>
              <w:ind w:left="0" w:right="0"/>
              <w:rPr>
                <w:rFonts w:hint="default" w:eastAsia="宋体"/>
                <w:color w:val="auto"/>
                <w:szCs w:val="21"/>
                <w:lang w:val="en-US" w:eastAsia="zh-CN"/>
              </w:rPr>
            </w:pPr>
            <w:r>
              <w:rPr>
                <w:rFonts w:hint="eastAsia" w:eastAsia="宋体"/>
                <w:color w:val="auto"/>
                <w:szCs w:val="21"/>
                <w:lang w:val="en-US" w:eastAsia="zh-CN"/>
              </w:rPr>
              <w:t>#1.7 IPv4单播路由：支持静态路由，RIP，OSPF，IS-IS，BGP</w:t>
            </w:r>
          </w:p>
        </w:tc>
      </w:tr>
      <w:tr w14:paraId="601C1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342119BE">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2D95465C">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645CD56F">
            <w:pPr>
              <w:keepNext w:val="0"/>
              <w:keepLines w:val="0"/>
              <w:suppressLineNumbers w:val="0"/>
              <w:spacing w:before="0" w:beforeAutospacing="0" w:after="0" w:afterAutospacing="0"/>
              <w:ind w:left="0" w:right="0"/>
              <w:rPr>
                <w:rFonts w:hint="eastAsia" w:eastAsia="宋体"/>
                <w:color w:val="auto"/>
                <w:szCs w:val="21"/>
                <w:lang w:val="en-US" w:eastAsia="zh-CN"/>
              </w:rPr>
            </w:pPr>
            <w:r>
              <w:rPr>
                <w:rFonts w:hint="eastAsia" w:eastAsia="宋体"/>
                <w:color w:val="auto"/>
                <w:szCs w:val="21"/>
                <w:lang w:val="en-US" w:eastAsia="zh-CN"/>
              </w:rPr>
              <w:t>#1.8 IPv6单播路由：静态路由，路由策略，RIPng，OSPFv3，IS-ISv6，BGP4+。</w:t>
            </w:r>
          </w:p>
        </w:tc>
      </w:tr>
      <w:tr w14:paraId="0D64C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4AD766C0">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5FE4467E">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2923F78C">
            <w:pPr>
              <w:keepNext w:val="0"/>
              <w:keepLines w:val="0"/>
              <w:suppressLineNumbers w:val="0"/>
              <w:spacing w:before="0" w:beforeAutospacing="0" w:after="0" w:afterAutospacing="0"/>
              <w:ind w:left="0" w:right="0"/>
              <w:rPr>
                <w:rFonts w:hint="eastAsia" w:eastAsia="宋体"/>
                <w:color w:val="auto"/>
                <w:szCs w:val="21"/>
                <w:lang w:val="en-US" w:eastAsia="zh-CN"/>
              </w:rPr>
            </w:pPr>
            <w:r>
              <w:rPr>
                <w:rFonts w:hint="eastAsia" w:eastAsia="宋体"/>
                <w:color w:val="auto"/>
                <w:szCs w:val="21"/>
                <w:lang w:val="en-US" w:eastAsia="zh-CN"/>
              </w:rPr>
              <w:t>#1.9 FlexE功能：支持1Gbps/10Mbps小颗粒FlexE切片。</w:t>
            </w:r>
          </w:p>
        </w:tc>
      </w:tr>
      <w:tr w14:paraId="18F25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31A5D567">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1842FFDC">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5800903C">
            <w:pPr>
              <w:keepNext w:val="0"/>
              <w:keepLines w:val="0"/>
              <w:suppressLineNumbers w:val="0"/>
              <w:spacing w:before="0" w:beforeAutospacing="0" w:after="0" w:afterAutospacing="0"/>
              <w:ind w:left="0" w:right="0"/>
              <w:rPr>
                <w:rFonts w:hint="eastAsia" w:eastAsia="宋体"/>
                <w:color w:val="auto"/>
                <w:szCs w:val="21"/>
                <w:lang w:val="en-US" w:eastAsia="zh-CN"/>
              </w:rPr>
            </w:pPr>
            <w:r>
              <w:rPr>
                <w:rFonts w:hint="eastAsia" w:eastAsia="宋体"/>
                <w:color w:val="auto"/>
                <w:szCs w:val="21"/>
                <w:lang w:val="en-US" w:eastAsia="zh-CN"/>
              </w:rPr>
              <w:t>#1.10SRv6特性：支持G-SRv6。</w:t>
            </w:r>
          </w:p>
        </w:tc>
      </w:tr>
      <w:tr w14:paraId="06020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17B13056">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5A7EA67E">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44869989">
            <w:pPr>
              <w:keepNext w:val="0"/>
              <w:keepLines w:val="0"/>
              <w:suppressLineNumbers w:val="0"/>
              <w:spacing w:before="0" w:beforeAutospacing="0" w:after="0" w:afterAutospacing="0"/>
              <w:ind w:left="0" w:right="0"/>
              <w:rPr>
                <w:rFonts w:hint="eastAsia" w:eastAsia="宋体"/>
                <w:color w:val="auto"/>
                <w:szCs w:val="21"/>
                <w:lang w:val="en-US" w:eastAsia="zh-CN"/>
              </w:rPr>
            </w:pPr>
            <w:r>
              <w:rPr>
                <w:rFonts w:hint="eastAsia" w:eastAsia="宋体"/>
                <w:color w:val="auto"/>
                <w:szCs w:val="21"/>
                <w:lang w:val="en-US" w:eastAsia="zh-CN"/>
              </w:rPr>
              <w:t>#1.11管理维护：支持SNMP V1/V2c/V3、SYSLOG、RMON、Telnet等管理功能。</w:t>
            </w:r>
          </w:p>
        </w:tc>
      </w:tr>
      <w:tr w14:paraId="19CC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6AC809EA">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0327D332">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05F83975">
            <w:pPr>
              <w:keepNext w:val="0"/>
              <w:keepLines w:val="0"/>
              <w:suppressLineNumbers w:val="0"/>
              <w:spacing w:before="0" w:beforeAutospacing="0" w:after="0" w:afterAutospacing="0"/>
              <w:ind w:left="0" w:right="0"/>
              <w:rPr>
                <w:rFonts w:hint="eastAsia" w:eastAsia="宋体"/>
                <w:color w:val="auto"/>
                <w:szCs w:val="21"/>
                <w:lang w:val="en-US" w:eastAsia="zh-CN"/>
              </w:rPr>
            </w:pPr>
            <w:bookmarkStart w:id="57" w:name="OLE_LINK9"/>
            <w:r>
              <w:rPr>
                <w:rFonts w:hint="eastAsia" w:eastAsia="宋体"/>
                <w:color w:val="auto"/>
                <w:szCs w:val="21"/>
                <w:lang w:val="en-US" w:eastAsia="zh-CN"/>
              </w:rPr>
              <w:t>△</w:t>
            </w:r>
            <w:bookmarkEnd w:id="57"/>
            <w:r>
              <w:rPr>
                <w:rFonts w:hint="eastAsia" w:eastAsia="宋体"/>
                <w:color w:val="auto"/>
                <w:szCs w:val="21"/>
                <w:lang w:val="en-US" w:eastAsia="zh-CN"/>
              </w:rPr>
              <w:t>1.12 IPv6+：满足IPv6+技术演进需求，所投主机具备IPv6+能力。</w:t>
            </w:r>
          </w:p>
          <w:p w14:paraId="6522678A">
            <w:pPr>
              <w:pStyle w:val="53"/>
              <w:keepNext w:val="0"/>
              <w:keepLines w:val="0"/>
              <w:suppressLineNumbers w:val="0"/>
              <w:spacing w:before="0" w:beforeAutospacing="0" w:after="0" w:afterAutospacing="0"/>
              <w:ind w:left="0" w:right="0"/>
              <w:rPr>
                <w:rFonts w:hint="default"/>
                <w:lang w:val="en-US" w:eastAsia="zh-CN"/>
              </w:rPr>
            </w:pPr>
          </w:p>
        </w:tc>
      </w:tr>
      <w:tr w14:paraId="07D5F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restart"/>
            <w:vAlign w:val="center"/>
          </w:tcPr>
          <w:p w14:paraId="3CC64C66">
            <w:pPr>
              <w:keepNext w:val="0"/>
              <w:keepLines w:val="0"/>
              <w:suppressLineNumbers w:val="0"/>
              <w:spacing w:before="0" w:beforeAutospacing="0" w:after="0" w:afterAutospacing="0"/>
              <w:ind w:left="0" w:right="0"/>
              <w:jc w:val="center"/>
              <w:rPr>
                <w:rFonts w:hint="default" w:eastAsia="宋体"/>
                <w:color w:val="auto"/>
                <w:szCs w:val="21"/>
                <w:lang w:val="en-US" w:eastAsia="zh-CN"/>
              </w:rPr>
            </w:pPr>
            <w:r>
              <w:rPr>
                <w:rFonts w:hint="eastAsia"/>
                <w:color w:val="auto"/>
                <w:szCs w:val="21"/>
                <w:lang w:val="en-US" w:eastAsia="zh-CN"/>
              </w:rPr>
              <w:t>2</w:t>
            </w:r>
          </w:p>
        </w:tc>
        <w:tc>
          <w:tcPr>
            <w:tcW w:w="1200" w:type="dxa"/>
            <w:vMerge w:val="restart"/>
            <w:vAlign w:val="center"/>
          </w:tcPr>
          <w:p w14:paraId="28C86E0D">
            <w:pPr>
              <w:keepNext w:val="0"/>
              <w:keepLines w:val="0"/>
              <w:suppressLineNumbers w:val="0"/>
              <w:spacing w:before="0" w:beforeAutospacing="0" w:after="0" w:afterAutospacing="0"/>
              <w:ind w:left="0" w:right="0"/>
              <w:jc w:val="center"/>
              <w:rPr>
                <w:rFonts w:hint="eastAsia" w:eastAsia="宋体"/>
                <w:color w:val="auto"/>
                <w:szCs w:val="21"/>
                <w:lang w:val="en-US" w:eastAsia="zh-CN"/>
              </w:rPr>
            </w:pPr>
            <w:r>
              <w:rPr>
                <w:rFonts w:hint="eastAsia"/>
                <w:b w:val="0"/>
                <w:bCs/>
                <w:color w:val="auto"/>
                <w:szCs w:val="21"/>
                <w:lang w:eastAsia="zh-CN"/>
              </w:rPr>
              <w:t>交换机（</w:t>
            </w:r>
            <w:r>
              <w:rPr>
                <w:rFonts w:hint="eastAsia"/>
                <w:b w:val="0"/>
                <w:bCs/>
                <w:color w:val="auto"/>
                <w:szCs w:val="21"/>
                <w:lang w:val="en-US" w:eastAsia="zh-CN"/>
              </w:rPr>
              <w:t>接入</w:t>
            </w:r>
            <w:r>
              <w:rPr>
                <w:rFonts w:hint="eastAsia"/>
                <w:b w:val="0"/>
                <w:bCs/>
                <w:color w:val="auto"/>
                <w:szCs w:val="21"/>
              </w:rPr>
              <w:t>交换机</w:t>
            </w:r>
            <w:r>
              <w:rPr>
                <w:rFonts w:hint="eastAsia"/>
                <w:b w:val="0"/>
                <w:bCs/>
                <w:color w:val="auto"/>
                <w:szCs w:val="21"/>
                <w:lang w:eastAsia="zh-CN"/>
              </w:rPr>
              <w:t>）</w:t>
            </w:r>
          </w:p>
        </w:tc>
        <w:tc>
          <w:tcPr>
            <w:tcW w:w="6657" w:type="dxa"/>
            <w:vAlign w:val="top"/>
          </w:tcPr>
          <w:p w14:paraId="5660E31D">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2</w:t>
            </w:r>
            <w:r>
              <w:rPr>
                <w:rFonts w:hint="eastAsia" w:eastAsia="宋体"/>
                <w:color w:val="FF0000"/>
                <w:szCs w:val="21"/>
                <w:lang w:val="en-US" w:eastAsia="zh-CN"/>
              </w:rPr>
              <w:t>.1物理接口：</w:t>
            </w:r>
          </w:p>
          <w:p w14:paraId="1EEE3C75">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color w:val="FF0000"/>
                <w:szCs w:val="21"/>
                <w:lang w:val="en-US" w:eastAsia="zh-CN"/>
              </w:rPr>
            </w:pPr>
            <w:r>
              <w:rPr>
                <w:rFonts w:hint="eastAsia" w:eastAsia="宋体"/>
                <w:color w:val="FF0000"/>
                <w:szCs w:val="21"/>
                <w:lang w:val="en-US" w:eastAsia="zh-CN"/>
              </w:rPr>
              <w:t>1.≥48个GE端口。</w:t>
            </w:r>
          </w:p>
          <w:p w14:paraId="18777B26">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color w:val="FF0000"/>
                <w:szCs w:val="21"/>
                <w:lang w:val="en-US" w:eastAsia="zh-CN"/>
              </w:rPr>
            </w:pPr>
            <w:r>
              <w:rPr>
                <w:rFonts w:hint="eastAsia" w:eastAsia="宋体"/>
                <w:color w:val="FF0000"/>
                <w:szCs w:val="21"/>
                <w:lang w:val="en-US" w:eastAsia="zh-CN"/>
              </w:rPr>
              <w:t>2.≥4个万兆光，实配4个万兆多模光模块。</w:t>
            </w:r>
          </w:p>
          <w:p w14:paraId="301525AC">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color w:val="FF0000"/>
                <w:szCs w:val="21"/>
                <w:lang w:val="en-US" w:eastAsia="zh-CN"/>
              </w:rPr>
            </w:pPr>
            <w:r>
              <w:rPr>
                <w:rFonts w:hint="eastAsia" w:eastAsia="宋体"/>
                <w:color w:val="FF0000"/>
                <w:szCs w:val="21"/>
                <w:lang w:val="en-US" w:eastAsia="zh-CN"/>
              </w:rPr>
              <w:t>3.每台实配1条3米堆叠线。</w:t>
            </w:r>
          </w:p>
        </w:tc>
      </w:tr>
      <w:tr w14:paraId="07CB1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600C8BD6">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13797A9D">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25248A0D">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2</w:t>
            </w:r>
            <w:r>
              <w:rPr>
                <w:rFonts w:hint="eastAsia" w:eastAsia="宋体"/>
                <w:color w:val="FF0000"/>
                <w:szCs w:val="21"/>
                <w:lang w:val="en-US" w:eastAsia="zh-CN"/>
              </w:rPr>
              <w:t>.2技术要求：</w:t>
            </w:r>
          </w:p>
          <w:p w14:paraId="107197D7">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1.背板带宽≥2Tbps。</w:t>
            </w:r>
          </w:p>
          <w:p w14:paraId="3A5FF392">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2.包转发率≥600Mpps。</w:t>
            </w:r>
          </w:p>
          <w:p w14:paraId="5A5015EF">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3.支持IPv6。</w:t>
            </w:r>
          </w:p>
          <w:p w14:paraId="58DFB4DB">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4.支持堆叠。</w:t>
            </w:r>
          </w:p>
          <w:p w14:paraId="32E1CD48">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5.支持RADIUS/Tacacs+方式进行AAA认证。</w:t>
            </w:r>
          </w:p>
          <w:p w14:paraId="7E72A657">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6.支持NTP时间同步。</w:t>
            </w:r>
          </w:p>
          <w:p w14:paraId="76C614C4">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7.支持SSH登录方式。</w:t>
            </w:r>
          </w:p>
          <w:p w14:paraId="68A5E00E">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8.支持本地端口镜像和远程端口镜像。</w:t>
            </w:r>
          </w:p>
          <w:p w14:paraId="4F161C4C">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9.支持syslog。</w:t>
            </w:r>
          </w:p>
        </w:tc>
      </w:tr>
      <w:tr w14:paraId="613BA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607792A5">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045BCE66">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05FE0503">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2</w:t>
            </w:r>
            <w:r>
              <w:rPr>
                <w:rFonts w:hint="eastAsia" w:eastAsia="宋体"/>
                <w:color w:val="FF0000"/>
                <w:szCs w:val="21"/>
                <w:lang w:val="en-US" w:eastAsia="zh-CN"/>
              </w:rPr>
              <w:t>.3入网许可：具有《电信设备进网许可证》，设备及其型号需与入网证一致。</w:t>
            </w:r>
          </w:p>
          <w:p w14:paraId="1EB1A77E">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b/>
                <w:bCs/>
                <w:color w:val="FF0000"/>
                <w:szCs w:val="21"/>
                <w:highlight w:val="yellow"/>
                <w:lang w:val="en-US" w:eastAsia="zh-CN"/>
              </w:rPr>
              <w:t>投标人还需提供承诺函（格式自拟加盖公章），承诺中标后提供《电信设备进网许可证》且设备及其型号需与入网证一致。</w:t>
            </w:r>
          </w:p>
        </w:tc>
      </w:tr>
      <w:tr w14:paraId="3116F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434240E3">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3BAB90BA">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2F7CEF3D">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r>
              <w:rPr>
                <w:rFonts w:hint="eastAsia" w:eastAsia="宋体"/>
                <w:color w:val="FF0000"/>
                <w:szCs w:val="21"/>
                <w:lang w:val="en-US" w:eastAsia="zh-CN"/>
              </w:rPr>
              <w:t>★</w:t>
            </w:r>
            <w:r>
              <w:rPr>
                <w:rFonts w:hint="eastAsia"/>
                <w:color w:val="FF0000"/>
                <w:szCs w:val="21"/>
                <w:lang w:val="en-US" w:eastAsia="zh-CN"/>
              </w:rPr>
              <w:t>2</w:t>
            </w:r>
            <w:r>
              <w:rPr>
                <w:rFonts w:hint="eastAsia" w:eastAsia="宋体"/>
                <w:color w:val="FF0000"/>
                <w:szCs w:val="21"/>
                <w:lang w:val="en-US" w:eastAsia="zh-CN"/>
              </w:rPr>
              <w:t>.</w:t>
            </w:r>
            <w:r>
              <w:rPr>
                <w:rFonts w:hint="eastAsia"/>
                <w:color w:val="FF0000"/>
                <w:szCs w:val="21"/>
                <w:lang w:val="en-US" w:eastAsia="zh-CN"/>
              </w:rPr>
              <w:t>4</w:t>
            </w:r>
            <w:r>
              <w:rPr>
                <w:rFonts w:hint="eastAsia" w:eastAsia="宋体"/>
                <w:color w:val="FF0000"/>
                <w:szCs w:val="21"/>
                <w:lang w:val="en-US" w:eastAsia="zh-CN"/>
              </w:rPr>
              <w:t xml:space="preserve"> 硬件规格：满配冗余电源，满配冗余风扇。</w:t>
            </w:r>
          </w:p>
        </w:tc>
      </w:tr>
      <w:tr w14:paraId="03D1F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602B78D7">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0AA96BDC">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6ED1A740">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r>
              <w:rPr>
                <w:rFonts w:hint="eastAsia" w:eastAsia="宋体"/>
                <w:color w:val="FF0000"/>
                <w:szCs w:val="21"/>
                <w:lang w:val="en-US" w:eastAsia="zh-CN"/>
              </w:rPr>
              <w:t>★</w:t>
            </w:r>
            <w:r>
              <w:rPr>
                <w:rFonts w:hint="eastAsia"/>
                <w:color w:val="FF0000"/>
                <w:szCs w:val="21"/>
                <w:lang w:val="en-US" w:eastAsia="zh-CN"/>
              </w:rPr>
              <w:t>2</w:t>
            </w:r>
            <w:r>
              <w:rPr>
                <w:rFonts w:hint="eastAsia" w:eastAsia="宋体"/>
                <w:color w:val="FF0000"/>
                <w:szCs w:val="21"/>
                <w:lang w:val="en-US" w:eastAsia="zh-CN"/>
              </w:rPr>
              <w:t>.</w:t>
            </w:r>
            <w:r>
              <w:rPr>
                <w:rFonts w:hint="eastAsia"/>
                <w:color w:val="FF0000"/>
                <w:szCs w:val="21"/>
                <w:lang w:val="en-US" w:eastAsia="zh-CN"/>
              </w:rPr>
              <w:t>5</w:t>
            </w:r>
            <w:r>
              <w:rPr>
                <w:rFonts w:hint="eastAsia" w:eastAsia="宋体"/>
                <w:color w:val="FF0000"/>
                <w:szCs w:val="21"/>
                <w:lang w:val="en-US" w:eastAsia="zh-CN"/>
              </w:rPr>
              <w:t>芯片：所涉及芯片均为信创芯片。</w:t>
            </w:r>
          </w:p>
        </w:tc>
      </w:tr>
      <w:tr w14:paraId="68031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5A8F74BC">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5FBA15AE">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181BAC52">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r>
              <w:rPr>
                <w:rFonts w:hint="eastAsia" w:eastAsia="宋体"/>
                <w:color w:val="auto"/>
                <w:szCs w:val="21"/>
                <w:lang w:val="en-US" w:eastAsia="zh-CN"/>
              </w:rPr>
              <w:t>#</w:t>
            </w:r>
            <w:r>
              <w:rPr>
                <w:rFonts w:hint="eastAsia"/>
                <w:color w:val="auto"/>
                <w:szCs w:val="21"/>
                <w:lang w:val="en-US" w:eastAsia="zh-CN"/>
              </w:rPr>
              <w:t>2</w:t>
            </w:r>
            <w:r>
              <w:rPr>
                <w:rFonts w:hint="eastAsia" w:eastAsia="宋体"/>
                <w:color w:val="auto"/>
                <w:szCs w:val="21"/>
                <w:lang w:val="en-US" w:eastAsia="zh-CN"/>
              </w:rPr>
              <w:t>.</w:t>
            </w:r>
            <w:r>
              <w:rPr>
                <w:rFonts w:hint="eastAsia"/>
                <w:color w:val="auto"/>
                <w:szCs w:val="21"/>
                <w:lang w:val="en-US" w:eastAsia="zh-CN"/>
              </w:rPr>
              <w:t>6</w:t>
            </w:r>
            <w:r>
              <w:rPr>
                <w:rFonts w:hint="eastAsia" w:eastAsia="宋体"/>
                <w:color w:val="auto"/>
                <w:szCs w:val="21"/>
                <w:lang w:val="en-US" w:eastAsia="zh-CN"/>
              </w:rPr>
              <w:t xml:space="preserve"> </w:t>
            </w:r>
            <w:r>
              <w:rPr>
                <w:rFonts w:hint="eastAsia" w:ascii="仿宋_GB2312" w:hAnsi="仿宋_GB2312" w:cs="仿宋_GB2312"/>
                <w:kern w:val="0"/>
                <w:sz w:val="21"/>
                <w:szCs w:val="21"/>
              </w:rPr>
              <w:t>管理维护</w:t>
            </w:r>
            <w:r>
              <w:rPr>
                <w:rFonts w:hint="eastAsia" w:ascii="仿宋_GB2312" w:hAnsi="仿宋_GB2312" w:cs="仿宋_GB2312"/>
                <w:kern w:val="0"/>
                <w:sz w:val="21"/>
                <w:szCs w:val="21"/>
                <w:lang w:eastAsia="zh-CN"/>
              </w:rPr>
              <w:t>：支持SNMP V1/V2c/V3、SYSLOG、RMON、Telnet等管理功能。</w:t>
            </w:r>
          </w:p>
        </w:tc>
      </w:tr>
      <w:tr w14:paraId="78F05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1F8068AF">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30F484D0">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2BA218A2">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r>
              <w:rPr>
                <w:rFonts w:hint="eastAsia" w:eastAsia="宋体"/>
                <w:color w:val="auto"/>
                <w:szCs w:val="21"/>
                <w:lang w:val="en-US" w:eastAsia="zh-CN"/>
              </w:rPr>
              <w:t>#</w:t>
            </w:r>
            <w:r>
              <w:rPr>
                <w:rFonts w:hint="eastAsia"/>
                <w:color w:val="auto"/>
                <w:szCs w:val="21"/>
                <w:lang w:val="en-US" w:eastAsia="zh-CN"/>
              </w:rPr>
              <w:t>2</w:t>
            </w:r>
            <w:r>
              <w:rPr>
                <w:rFonts w:hint="eastAsia" w:eastAsia="宋体"/>
                <w:color w:val="auto"/>
                <w:szCs w:val="21"/>
                <w:lang w:val="en-US" w:eastAsia="zh-CN"/>
              </w:rPr>
              <w:t>.</w:t>
            </w:r>
            <w:r>
              <w:rPr>
                <w:rFonts w:hint="eastAsia"/>
                <w:color w:val="auto"/>
                <w:szCs w:val="21"/>
                <w:lang w:val="en-US" w:eastAsia="zh-CN"/>
              </w:rPr>
              <w:t>7</w:t>
            </w:r>
            <w:r>
              <w:rPr>
                <w:rFonts w:hint="eastAsia" w:eastAsia="宋体"/>
                <w:color w:val="auto"/>
                <w:szCs w:val="21"/>
                <w:lang w:val="en-US" w:eastAsia="zh-CN"/>
              </w:rPr>
              <w:t xml:space="preserve"> </w:t>
            </w:r>
            <w:r>
              <w:rPr>
                <w:rFonts w:hint="eastAsia" w:ascii="仿宋_GB2312" w:hAnsi="仿宋_GB2312" w:cs="仿宋_GB2312"/>
                <w:kern w:val="0"/>
                <w:sz w:val="21"/>
                <w:szCs w:val="21"/>
              </w:rPr>
              <w:t>虚拟化</w:t>
            </w:r>
            <w:r>
              <w:rPr>
                <w:rFonts w:hint="eastAsia" w:ascii="仿宋_GB2312" w:hAnsi="仿宋_GB2312" w:cs="仿宋_GB2312"/>
                <w:kern w:val="0"/>
                <w:sz w:val="21"/>
                <w:szCs w:val="21"/>
                <w:lang w:eastAsia="zh-CN"/>
              </w:rPr>
              <w:t>：支持跨框链路聚合（M-LAG)、集群或堆叠多虚拟化技术。</w:t>
            </w:r>
          </w:p>
        </w:tc>
      </w:tr>
      <w:tr w14:paraId="62201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4D2659FF">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5F3942C9">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14C46480">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r>
              <w:rPr>
                <w:rFonts w:hint="eastAsia" w:eastAsia="宋体"/>
                <w:color w:val="auto"/>
                <w:szCs w:val="21"/>
                <w:lang w:val="en-US" w:eastAsia="zh-CN"/>
              </w:rPr>
              <w:t>#</w:t>
            </w:r>
            <w:r>
              <w:rPr>
                <w:rFonts w:hint="eastAsia"/>
                <w:color w:val="auto"/>
                <w:szCs w:val="21"/>
                <w:lang w:val="en-US" w:eastAsia="zh-CN"/>
              </w:rPr>
              <w:t>2</w:t>
            </w:r>
            <w:r>
              <w:rPr>
                <w:rFonts w:hint="eastAsia" w:eastAsia="宋体"/>
                <w:color w:val="auto"/>
                <w:szCs w:val="21"/>
                <w:lang w:val="en-US" w:eastAsia="zh-CN"/>
              </w:rPr>
              <w:t>.</w:t>
            </w:r>
            <w:r>
              <w:rPr>
                <w:rFonts w:hint="eastAsia"/>
                <w:color w:val="auto"/>
                <w:szCs w:val="21"/>
                <w:lang w:val="en-US" w:eastAsia="zh-CN"/>
              </w:rPr>
              <w:t>8</w:t>
            </w:r>
            <w:r>
              <w:rPr>
                <w:rFonts w:hint="eastAsia" w:ascii="仿宋_GB2312" w:hAnsi="仿宋_GB2312" w:cs="仿宋_GB2312"/>
                <w:kern w:val="0"/>
                <w:sz w:val="21"/>
                <w:szCs w:val="21"/>
              </w:rPr>
              <w:t>安全特性</w:t>
            </w:r>
            <w:r>
              <w:rPr>
                <w:rFonts w:hint="eastAsia" w:ascii="仿宋_GB2312" w:hAnsi="仿宋_GB2312" w:cs="仿宋_GB2312"/>
                <w:kern w:val="0"/>
                <w:sz w:val="21"/>
                <w:szCs w:val="21"/>
                <w:lang w:eastAsia="zh-CN"/>
              </w:rPr>
              <w:t>：支持全端口256bits MACsec加密。</w:t>
            </w:r>
          </w:p>
        </w:tc>
      </w:tr>
      <w:tr w14:paraId="3FEE8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2C01A9B1">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035A1BF5">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4A940803">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r>
              <w:rPr>
                <w:rFonts w:hint="eastAsia" w:eastAsia="宋体"/>
                <w:color w:val="auto"/>
                <w:szCs w:val="21"/>
                <w:lang w:val="en-US" w:eastAsia="zh-CN"/>
              </w:rPr>
              <w:t>#</w:t>
            </w:r>
            <w:r>
              <w:rPr>
                <w:rFonts w:hint="eastAsia"/>
                <w:color w:val="auto"/>
                <w:szCs w:val="21"/>
                <w:lang w:val="en-US" w:eastAsia="zh-CN"/>
              </w:rPr>
              <w:t>2</w:t>
            </w:r>
            <w:r>
              <w:rPr>
                <w:rFonts w:hint="eastAsia" w:eastAsia="宋体"/>
                <w:color w:val="auto"/>
                <w:szCs w:val="21"/>
                <w:lang w:val="en-US" w:eastAsia="zh-CN"/>
              </w:rPr>
              <w:t>.</w:t>
            </w:r>
            <w:r>
              <w:rPr>
                <w:rFonts w:hint="eastAsia"/>
                <w:color w:val="auto"/>
                <w:szCs w:val="21"/>
                <w:lang w:val="en-US" w:eastAsia="zh-CN"/>
              </w:rPr>
              <w:t>9</w:t>
            </w:r>
            <w:r>
              <w:rPr>
                <w:rFonts w:hint="eastAsia" w:ascii="仿宋_GB2312" w:hAnsi="仿宋_GB2312" w:cs="仿宋_GB2312"/>
                <w:kern w:val="0"/>
                <w:sz w:val="21"/>
                <w:szCs w:val="21"/>
              </w:rPr>
              <w:t>管理和监控</w:t>
            </w:r>
            <w:r>
              <w:rPr>
                <w:rFonts w:hint="eastAsia" w:ascii="仿宋_GB2312" w:hAnsi="仿宋_GB2312" w:cs="仿宋_GB2312"/>
                <w:kern w:val="0"/>
                <w:sz w:val="21"/>
                <w:szCs w:val="21"/>
                <w:lang w:eastAsia="zh-CN"/>
              </w:rPr>
              <w:t>：支持Telemetry可视化。</w:t>
            </w:r>
          </w:p>
        </w:tc>
      </w:tr>
      <w:tr w14:paraId="7DEB2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195E7F8C">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699E24BB">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75161D82">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r>
              <w:rPr>
                <w:rFonts w:hint="eastAsia" w:eastAsia="宋体"/>
                <w:color w:val="auto"/>
                <w:szCs w:val="21"/>
                <w:lang w:val="en-US" w:eastAsia="zh-CN"/>
              </w:rPr>
              <w:t>△</w:t>
            </w:r>
            <w:r>
              <w:rPr>
                <w:rFonts w:hint="eastAsia"/>
                <w:color w:val="auto"/>
                <w:szCs w:val="21"/>
                <w:lang w:val="en-US" w:eastAsia="zh-CN"/>
              </w:rPr>
              <w:t>2</w:t>
            </w:r>
            <w:r>
              <w:rPr>
                <w:rFonts w:hint="eastAsia" w:eastAsia="宋体"/>
                <w:color w:val="auto"/>
                <w:szCs w:val="21"/>
                <w:lang w:val="en-US" w:eastAsia="zh-CN"/>
              </w:rPr>
              <w:t>.1</w:t>
            </w:r>
            <w:r>
              <w:rPr>
                <w:rFonts w:hint="eastAsia"/>
                <w:color w:val="auto"/>
                <w:szCs w:val="21"/>
                <w:lang w:val="en-US" w:eastAsia="zh-CN"/>
              </w:rPr>
              <w:t xml:space="preserve">0 </w:t>
            </w:r>
            <w:r>
              <w:rPr>
                <w:rFonts w:hint="eastAsia" w:ascii="仿宋_GB2312" w:hAnsi="仿宋_GB2312" w:cs="仿宋_GB2312"/>
                <w:kern w:val="0"/>
                <w:sz w:val="21"/>
                <w:szCs w:val="21"/>
                <w:lang w:val="en-US" w:eastAsia="zh-CN"/>
              </w:rPr>
              <w:t>SDN：</w:t>
            </w:r>
            <w:r>
              <w:rPr>
                <w:rFonts w:hint="eastAsia" w:ascii="仿宋_GB2312" w:hAnsi="仿宋_GB2312" w:cs="仿宋_GB2312"/>
                <w:kern w:val="0"/>
                <w:sz w:val="21"/>
                <w:szCs w:val="21"/>
              </w:rPr>
              <w:t>支持适配SDN组网</w:t>
            </w:r>
            <w:r>
              <w:rPr>
                <w:rFonts w:hint="eastAsia" w:ascii="仿宋_GB2312" w:hAnsi="仿宋_GB2312" w:cs="仿宋_GB2312"/>
                <w:kern w:val="0"/>
                <w:sz w:val="21"/>
                <w:szCs w:val="21"/>
                <w:lang w:eastAsia="zh-CN"/>
              </w:rPr>
              <w:t>。</w:t>
            </w:r>
          </w:p>
        </w:tc>
      </w:tr>
      <w:tr w14:paraId="5C639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00" w:type="dxa"/>
            <w:vMerge w:val="continue"/>
            <w:vAlign w:val="top"/>
          </w:tcPr>
          <w:p w14:paraId="3A80A26D">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45F28B0B">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30398318">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r>
              <w:rPr>
                <w:rFonts w:hint="eastAsia" w:eastAsia="宋体"/>
                <w:color w:val="auto"/>
                <w:szCs w:val="21"/>
                <w:lang w:val="en-US" w:eastAsia="zh-CN"/>
              </w:rPr>
              <w:t>△</w:t>
            </w:r>
            <w:r>
              <w:rPr>
                <w:rFonts w:hint="eastAsia"/>
                <w:color w:val="auto"/>
                <w:szCs w:val="21"/>
                <w:lang w:val="en-US" w:eastAsia="zh-CN"/>
              </w:rPr>
              <w:t>2.</w:t>
            </w:r>
            <w:r>
              <w:rPr>
                <w:rFonts w:hint="eastAsia" w:eastAsia="宋体"/>
                <w:color w:val="auto"/>
                <w:szCs w:val="21"/>
                <w:lang w:val="en-US" w:eastAsia="zh-CN"/>
              </w:rPr>
              <w:t>1</w:t>
            </w:r>
            <w:r>
              <w:rPr>
                <w:rFonts w:hint="eastAsia"/>
                <w:color w:val="auto"/>
                <w:szCs w:val="21"/>
                <w:lang w:val="en-US" w:eastAsia="zh-CN"/>
              </w:rPr>
              <w:t>1</w:t>
            </w:r>
            <w:r>
              <w:rPr>
                <w:rFonts w:hint="eastAsia" w:eastAsia="宋体"/>
                <w:color w:val="auto"/>
                <w:szCs w:val="21"/>
                <w:lang w:val="en-US" w:eastAsia="zh-CN"/>
              </w:rPr>
              <w:t xml:space="preserve"> </w:t>
            </w:r>
            <w:r>
              <w:rPr>
                <w:rFonts w:hint="eastAsia" w:ascii="仿宋_GB2312" w:hAnsi="仿宋_GB2312" w:cs="仿宋_GB2312"/>
                <w:kern w:val="0"/>
                <w:sz w:val="21"/>
                <w:szCs w:val="21"/>
              </w:rPr>
              <w:t>三层功能</w:t>
            </w:r>
            <w:r>
              <w:rPr>
                <w:rFonts w:hint="eastAsia" w:ascii="仿宋_GB2312" w:hAnsi="仿宋_GB2312" w:cs="仿宋_GB2312"/>
                <w:kern w:val="0"/>
                <w:sz w:val="21"/>
                <w:szCs w:val="21"/>
                <w:lang w:eastAsia="zh-CN"/>
              </w:rPr>
              <w:t>：支持RIP、OSPF、BGP、ISIS等IPv4动态路由协议，支持RIPng、OSPFv3、BGP4+、ISISv6等IPv6动态路由协议。</w:t>
            </w:r>
          </w:p>
        </w:tc>
      </w:tr>
      <w:tr w14:paraId="1D9BA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restart"/>
            <w:vAlign w:val="center"/>
          </w:tcPr>
          <w:p w14:paraId="57E9E341">
            <w:pPr>
              <w:keepNext w:val="0"/>
              <w:keepLines w:val="0"/>
              <w:suppressLineNumbers w:val="0"/>
              <w:spacing w:before="0" w:beforeAutospacing="0" w:after="0" w:afterAutospacing="0"/>
              <w:ind w:left="0" w:right="0"/>
              <w:jc w:val="center"/>
              <w:rPr>
                <w:rFonts w:hint="default" w:eastAsia="宋体"/>
                <w:color w:val="auto"/>
                <w:szCs w:val="21"/>
                <w:lang w:val="en-US" w:eastAsia="zh-CN"/>
              </w:rPr>
            </w:pPr>
            <w:r>
              <w:rPr>
                <w:rFonts w:hint="eastAsia"/>
                <w:color w:val="auto"/>
                <w:szCs w:val="21"/>
                <w:lang w:val="en-US" w:eastAsia="zh-CN"/>
              </w:rPr>
              <w:t>3</w:t>
            </w:r>
          </w:p>
        </w:tc>
        <w:tc>
          <w:tcPr>
            <w:tcW w:w="1200" w:type="dxa"/>
            <w:vMerge w:val="restart"/>
            <w:vAlign w:val="center"/>
          </w:tcPr>
          <w:p w14:paraId="7CDE5551">
            <w:pPr>
              <w:keepNext w:val="0"/>
              <w:keepLines w:val="0"/>
              <w:suppressLineNumbers w:val="0"/>
              <w:spacing w:before="0" w:beforeAutospacing="0" w:after="0" w:afterAutospacing="0"/>
              <w:ind w:left="0" w:leftChars="0" w:right="0" w:rightChars="0"/>
              <w:jc w:val="center"/>
              <w:rPr>
                <w:rFonts w:hint="default" w:eastAsia="宋体"/>
                <w:color w:val="auto"/>
                <w:szCs w:val="21"/>
                <w:lang w:val="en-US" w:eastAsia="zh-CN"/>
              </w:rPr>
            </w:pPr>
            <w:r>
              <w:rPr>
                <w:rFonts w:hint="eastAsia"/>
                <w:b w:val="0"/>
                <w:bCs/>
                <w:color w:val="auto"/>
                <w:szCs w:val="21"/>
                <w:lang w:eastAsia="zh-CN"/>
              </w:rPr>
              <w:t>交换机（</w:t>
            </w:r>
            <w:r>
              <w:rPr>
                <w:rFonts w:hint="eastAsia"/>
                <w:b w:val="0"/>
                <w:bCs/>
                <w:color w:val="auto"/>
                <w:szCs w:val="21"/>
                <w:lang w:val="en-US" w:eastAsia="zh-CN"/>
              </w:rPr>
              <w:t>外联</w:t>
            </w:r>
            <w:r>
              <w:rPr>
                <w:rFonts w:hint="eastAsia"/>
                <w:b w:val="0"/>
                <w:bCs/>
                <w:color w:val="auto"/>
                <w:szCs w:val="21"/>
              </w:rPr>
              <w:t>交换机</w:t>
            </w:r>
            <w:r>
              <w:rPr>
                <w:rFonts w:hint="eastAsia"/>
                <w:b w:val="0"/>
                <w:bCs/>
                <w:color w:val="auto"/>
                <w:szCs w:val="21"/>
                <w:lang w:eastAsia="zh-CN"/>
              </w:rPr>
              <w:t>）</w:t>
            </w:r>
          </w:p>
        </w:tc>
        <w:tc>
          <w:tcPr>
            <w:tcW w:w="6657" w:type="dxa"/>
            <w:vAlign w:val="top"/>
          </w:tcPr>
          <w:p w14:paraId="76CDA4B0">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3</w:t>
            </w:r>
            <w:r>
              <w:rPr>
                <w:rFonts w:hint="eastAsia" w:eastAsia="宋体"/>
                <w:color w:val="FF0000"/>
                <w:szCs w:val="21"/>
                <w:lang w:val="en-US" w:eastAsia="zh-CN"/>
              </w:rPr>
              <w:t>.1物理接口：</w:t>
            </w:r>
          </w:p>
          <w:p w14:paraId="15D1E909">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color w:val="FF0000"/>
                <w:szCs w:val="21"/>
                <w:lang w:val="en-US" w:eastAsia="zh-CN"/>
              </w:rPr>
            </w:pPr>
            <w:r>
              <w:rPr>
                <w:rFonts w:hint="eastAsia" w:eastAsia="宋体"/>
                <w:color w:val="FF0000"/>
                <w:szCs w:val="21"/>
                <w:lang w:val="en-US" w:eastAsia="zh-CN"/>
              </w:rPr>
              <w:t>1.≥24个GE端口。</w:t>
            </w:r>
          </w:p>
          <w:p w14:paraId="5C682C2A">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color w:val="FF0000"/>
                <w:szCs w:val="21"/>
                <w:lang w:val="en-US" w:eastAsia="zh-CN"/>
              </w:rPr>
            </w:pPr>
            <w:r>
              <w:rPr>
                <w:rFonts w:hint="eastAsia" w:eastAsia="宋体"/>
                <w:color w:val="FF0000"/>
                <w:szCs w:val="21"/>
                <w:lang w:val="en-US" w:eastAsia="zh-CN"/>
              </w:rPr>
              <w:t>2.≥4个万兆光口端口，实配4个万兆多模光模块。</w:t>
            </w:r>
          </w:p>
          <w:p w14:paraId="484B6788">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color w:val="FF0000"/>
                <w:szCs w:val="21"/>
                <w:lang w:val="en-US" w:eastAsia="zh-CN"/>
              </w:rPr>
            </w:pPr>
            <w:r>
              <w:rPr>
                <w:rFonts w:hint="eastAsia" w:eastAsia="宋体"/>
                <w:color w:val="FF0000"/>
                <w:szCs w:val="21"/>
                <w:lang w:val="en-US" w:eastAsia="zh-CN"/>
              </w:rPr>
              <w:t>3.每台实配1条3米堆叠线。</w:t>
            </w:r>
          </w:p>
        </w:tc>
      </w:tr>
      <w:tr w14:paraId="39DC4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58192934">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center"/>
          </w:tcPr>
          <w:p w14:paraId="557F1028">
            <w:pPr>
              <w:keepNext w:val="0"/>
              <w:keepLines w:val="0"/>
              <w:suppressLineNumbers w:val="0"/>
              <w:spacing w:before="0" w:beforeAutospacing="0" w:after="0" w:afterAutospacing="0"/>
              <w:ind w:left="0" w:leftChars="0" w:right="0" w:rightChars="0"/>
              <w:jc w:val="center"/>
              <w:rPr>
                <w:rFonts w:hint="eastAsia" w:eastAsia="宋体"/>
                <w:color w:val="FF0000"/>
                <w:szCs w:val="21"/>
                <w:lang w:val="en-US" w:eastAsia="zh-CN"/>
              </w:rPr>
            </w:pPr>
          </w:p>
        </w:tc>
        <w:tc>
          <w:tcPr>
            <w:tcW w:w="6657" w:type="dxa"/>
            <w:vAlign w:val="top"/>
          </w:tcPr>
          <w:p w14:paraId="4C5D6FBF">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3</w:t>
            </w:r>
            <w:r>
              <w:rPr>
                <w:rFonts w:hint="eastAsia" w:eastAsia="宋体"/>
                <w:color w:val="FF0000"/>
                <w:szCs w:val="21"/>
                <w:lang w:val="en-US" w:eastAsia="zh-CN"/>
              </w:rPr>
              <w:t>.2技术要求：</w:t>
            </w:r>
          </w:p>
          <w:p w14:paraId="4A56B98E">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1.背板带宽≥2Tbps。</w:t>
            </w:r>
          </w:p>
          <w:p w14:paraId="7576276E">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2.包转发率≥600Mpps。</w:t>
            </w:r>
          </w:p>
          <w:p w14:paraId="1D9345CF">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3.支持IPv6。</w:t>
            </w:r>
          </w:p>
          <w:p w14:paraId="0B2AEF03">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4.支持堆叠。</w:t>
            </w:r>
          </w:p>
          <w:p w14:paraId="2A898021">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5.支持RADIUS/Tacacs+方式进行AAA认证。</w:t>
            </w:r>
          </w:p>
          <w:p w14:paraId="239E05FE">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6.支持NTP时间同步。</w:t>
            </w:r>
          </w:p>
          <w:p w14:paraId="0B366A3F">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7.支持SSH登录方式。</w:t>
            </w:r>
          </w:p>
          <w:p w14:paraId="110F1B22">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8.支持本地端口镜像和远程端口镜像。</w:t>
            </w:r>
          </w:p>
          <w:p w14:paraId="5A8A838B">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9.支持syslog。</w:t>
            </w:r>
          </w:p>
        </w:tc>
      </w:tr>
      <w:tr w14:paraId="62D18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2F748604">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0EDB9DE4">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550A3F2C">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3</w:t>
            </w:r>
            <w:r>
              <w:rPr>
                <w:rFonts w:hint="eastAsia" w:eastAsia="宋体"/>
                <w:color w:val="FF0000"/>
                <w:szCs w:val="21"/>
                <w:lang w:val="en-US" w:eastAsia="zh-CN"/>
              </w:rPr>
              <w:t>.3入网许可：具有《电信设备进网许可证》，设备及其型号需与入网证一致。</w:t>
            </w:r>
          </w:p>
          <w:p w14:paraId="6AF0C527">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r>
              <w:rPr>
                <w:rFonts w:hint="eastAsia" w:eastAsia="宋体"/>
                <w:b/>
                <w:bCs/>
                <w:color w:val="FF0000"/>
                <w:szCs w:val="21"/>
                <w:highlight w:val="yellow"/>
                <w:lang w:val="en-US" w:eastAsia="zh-CN"/>
              </w:rPr>
              <w:t>投标人还需</w:t>
            </w:r>
            <w:r>
              <w:rPr>
                <w:rFonts w:hint="eastAsia"/>
                <w:b/>
                <w:bCs/>
                <w:color w:val="FF0000"/>
                <w:szCs w:val="21"/>
                <w:highlight w:val="yellow"/>
                <w:lang w:val="en-US" w:eastAsia="zh-CN"/>
              </w:rPr>
              <w:t>提供承诺函（格式自拟加盖公章），承诺中标后提供《电信设备进网许可证》且设备及其型号需与入网证一致。</w:t>
            </w:r>
          </w:p>
        </w:tc>
      </w:tr>
      <w:tr w14:paraId="733A1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6D66A6F1">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0C6C5670">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2D86A9CC">
            <w:pPr>
              <w:keepNext w:val="0"/>
              <w:keepLines w:val="0"/>
              <w:suppressLineNumbers w:val="0"/>
              <w:spacing w:before="0" w:beforeAutospacing="0" w:after="0" w:afterAutospacing="0"/>
              <w:ind w:left="0" w:leftChars="0" w:right="0" w:rightChars="0"/>
              <w:rPr>
                <w:rFonts w:hint="default" w:eastAsia="宋体"/>
                <w:b/>
                <w:bCs/>
                <w:color w:val="FF0000"/>
                <w:szCs w:val="21"/>
                <w:highlight w:val="yellow"/>
                <w:lang w:val="en-US" w:eastAsia="zh-CN"/>
              </w:rPr>
            </w:pPr>
            <w:r>
              <w:rPr>
                <w:rFonts w:hint="eastAsia" w:eastAsia="宋体"/>
                <w:color w:val="FF0000"/>
                <w:szCs w:val="21"/>
                <w:lang w:val="en-US" w:eastAsia="zh-CN"/>
              </w:rPr>
              <w:t>★</w:t>
            </w:r>
            <w:r>
              <w:rPr>
                <w:rFonts w:hint="eastAsia"/>
                <w:color w:val="FF0000"/>
                <w:szCs w:val="21"/>
                <w:lang w:val="en-US" w:eastAsia="zh-CN"/>
              </w:rPr>
              <w:t>3</w:t>
            </w:r>
            <w:r>
              <w:rPr>
                <w:rFonts w:hint="eastAsia" w:eastAsia="宋体"/>
                <w:color w:val="FF0000"/>
                <w:szCs w:val="21"/>
                <w:lang w:val="en-US" w:eastAsia="zh-CN"/>
              </w:rPr>
              <w:t>.</w:t>
            </w:r>
            <w:r>
              <w:rPr>
                <w:rFonts w:hint="eastAsia"/>
                <w:color w:val="FF0000"/>
                <w:szCs w:val="21"/>
                <w:lang w:val="en-US" w:eastAsia="zh-CN"/>
              </w:rPr>
              <w:t>4 硬件规格：满配冗余电源，满配冗余风扇。</w:t>
            </w:r>
          </w:p>
        </w:tc>
      </w:tr>
      <w:tr w14:paraId="697BA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600" w:type="dxa"/>
            <w:vMerge w:val="continue"/>
            <w:vAlign w:val="top"/>
          </w:tcPr>
          <w:p w14:paraId="1B128CE8">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56CDE4B5">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54797FEE">
            <w:pPr>
              <w:keepNext w:val="0"/>
              <w:keepLines w:val="0"/>
              <w:suppressLineNumbers w:val="0"/>
              <w:spacing w:before="0" w:beforeAutospacing="0" w:after="0" w:afterAutospacing="0"/>
              <w:ind w:left="0" w:leftChars="0" w:right="0" w:rightChars="0"/>
              <w:rPr>
                <w:rFonts w:hint="default" w:eastAsia="宋体"/>
                <w:b/>
                <w:bCs/>
                <w:color w:val="FF0000"/>
                <w:szCs w:val="21"/>
                <w:highlight w:val="yellow"/>
                <w:lang w:val="en-US" w:eastAsia="zh-CN"/>
              </w:rPr>
            </w:pPr>
            <w:r>
              <w:rPr>
                <w:rFonts w:hint="eastAsia" w:eastAsia="宋体"/>
                <w:color w:val="FF0000"/>
                <w:szCs w:val="21"/>
                <w:lang w:val="en-US" w:eastAsia="zh-CN"/>
              </w:rPr>
              <w:t>★</w:t>
            </w:r>
            <w:r>
              <w:rPr>
                <w:rFonts w:hint="eastAsia"/>
                <w:color w:val="FF0000"/>
                <w:szCs w:val="21"/>
                <w:lang w:val="en-US" w:eastAsia="zh-CN"/>
              </w:rPr>
              <w:t>3</w:t>
            </w:r>
            <w:r>
              <w:rPr>
                <w:rFonts w:hint="eastAsia" w:eastAsia="宋体"/>
                <w:color w:val="FF0000"/>
                <w:szCs w:val="21"/>
                <w:lang w:val="en-US" w:eastAsia="zh-CN"/>
              </w:rPr>
              <w:t>.</w:t>
            </w:r>
            <w:r>
              <w:rPr>
                <w:rFonts w:hint="eastAsia"/>
                <w:color w:val="FF0000"/>
                <w:szCs w:val="21"/>
                <w:lang w:val="en-US" w:eastAsia="zh-CN"/>
              </w:rPr>
              <w:t>5 芯片：所涉及芯片均为信创芯片。</w:t>
            </w:r>
          </w:p>
        </w:tc>
      </w:tr>
      <w:tr w14:paraId="51BA0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546DFCBE">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7C1F643F">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32519DC9">
            <w:pPr>
              <w:keepNext w:val="0"/>
              <w:keepLines w:val="0"/>
              <w:suppressLineNumbers w:val="0"/>
              <w:spacing w:before="0" w:beforeAutospacing="0" w:after="0" w:afterAutospacing="0"/>
              <w:ind w:left="0" w:leftChars="0" w:right="0" w:rightChars="0"/>
              <w:rPr>
                <w:rFonts w:hint="default" w:eastAsia="宋体"/>
                <w:b/>
                <w:bCs/>
                <w:color w:val="auto"/>
                <w:szCs w:val="21"/>
                <w:highlight w:val="yellow"/>
                <w:lang w:val="en-US" w:eastAsia="zh-CN"/>
              </w:rPr>
            </w:pPr>
            <w:r>
              <w:rPr>
                <w:rFonts w:hint="eastAsia" w:eastAsia="宋体"/>
                <w:color w:val="auto"/>
                <w:szCs w:val="21"/>
                <w:lang w:val="en-US" w:eastAsia="zh-CN"/>
              </w:rPr>
              <w:t>#</w:t>
            </w:r>
            <w:r>
              <w:rPr>
                <w:rFonts w:hint="eastAsia"/>
                <w:color w:val="auto"/>
                <w:szCs w:val="21"/>
                <w:lang w:val="en-US" w:eastAsia="zh-CN"/>
              </w:rPr>
              <w:t>3</w:t>
            </w:r>
            <w:r>
              <w:rPr>
                <w:rFonts w:hint="eastAsia" w:eastAsia="宋体"/>
                <w:color w:val="auto"/>
                <w:szCs w:val="21"/>
                <w:lang w:val="en-US" w:eastAsia="zh-CN"/>
              </w:rPr>
              <w:t>.</w:t>
            </w:r>
            <w:r>
              <w:rPr>
                <w:rFonts w:hint="eastAsia"/>
                <w:color w:val="auto"/>
                <w:szCs w:val="21"/>
                <w:lang w:val="en-US" w:eastAsia="zh-CN"/>
              </w:rPr>
              <w:t>6 管理维护：支持SNMP V1/V2c/V3、SYSLOG、RMON、Telnet等管理功能。</w:t>
            </w:r>
          </w:p>
        </w:tc>
      </w:tr>
      <w:tr w14:paraId="78C2E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0D81FB63">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517083B7">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3F33C21E">
            <w:pPr>
              <w:keepNext w:val="0"/>
              <w:keepLines w:val="0"/>
              <w:suppressLineNumbers w:val="0"/>
              <w:spacing w:before="0" w:beforeAutospacing="0" w:after="0" w:afterAutospacing="0"/>
              <w:ind w:left="0" w:leftChars="0" w:right="0" w:rightChars="0"/>
              <w:rPr>
                <w:rFonts w:hint="eastAsia" w:eastAsia="宋体"/>
                <w:b/>
                <w:bCs/>
                <w:color w:val="auto"/>
                <w:szCs w:val="21"/>
                <w:highlight w:val="yellow"/>
                <w:lang w:val="en-US" w:eastAsia="zh-CN"/>
              </w:rPr>
            </w:pPr>
            <w:r>
              <w:rPr>
                <w:rFonts w:hint="eastAsia" w:eastAsia="宋体"/>
                <w:color w:val="auto"/>
                <w:szCs w:val="21"/>
                <w:lang w:val="en-US" w:eastAsia="zh-CN"/>
              </w:rPr>
              <w:t>#</w:t>
            </w:r>
            <w:r>
              <w:rPr>
                <w:rFonts w:hint="eastAsia"/>
                <w:color w:val="auto"/>
                <w:szCs w:val="21"/>
                <w:lang w:val="en-US" w:eastAsia="zh-CN"/>
              </w:rPr>
              <w:t>3</w:t>
            </w:r>
            <w:r>
              <w:rPr>
                <w:rFonts w:hint="eastAsia" w:eastAsia="宋体"/>
                <w:color w:val="auto"/>
                <w:szCs w:val="21"/>
                <w:lang w:val="en-US" w:eastAsia="zh-CN"/>
              </w:rPr>
              <w:t>.</w:t>
            </w:r>
            <w:r>
              <w:rPr>
                <w:rFonts w:hint="eastAsia"/>
                <w:color w:val="auto"/>
                <w:szCs w:val="21"/>
                <w:lang w:val="en-US" w:eastAsia="zh-CN"/>
              </w:rPr>
              <w:t>7虚拟化：支持跨框链路聚合（M-LAG)、集群或堆叠多虚一技术。</w:t>
            </w:r>
          </w:p>
        </w:tc>
      </w:tr>
      <w:tr w14:paraId="4DD58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0043F95B">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79D5473D">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08E1DDEE">
            <w:pPr>
              <w:keepNext w:val="0"/>
              <w:keepLines w:val="0"/>
              <w:suppressLineNumbers w:val="0"/>
              <w:spacing w:before="0" w:beforeAutospacing="0" w:after="0" w:afterAutospacing="0"/>
              <w:ind w:left="0" w:leftChars="0" w:right="0" w:rightChars="0"/>
              <w:rPr>
                <w:rFonts w:hint="eastAsia" w:eastAsia="宋体"/>
                <w:b/>
                <w:bCs/>
                <w:color w:val="auto"/>
                <w:szCs w:val="21"/>
                <w:highlight w:val="yellow"/>
                <w:lang w:val="en-US" w:eastAsia="zh-CN"/>
              </w:rPr>
            </w:pPr>
            <w:r>
              <w:rPr>
                <w:rFonts w:hint="eastAsia" w:eastAsia="宋体"/>
                <w:color w:val="auto"/>
                <w:szCs w:val="21"/>
                <w:lang w:val="en-US" w:eastAsia="zh-CN"/>
              </w:rPr>
              <w:t>#</w:t>
            </w:r>
            <w:r>
              <w:rPr>
                <w:rFonts w:hint="eastAsia"/>
                <w:color w:val="auto"/>
                <w:szCs w:val="21"/>
                <w:lang w:val="en-US" w:eastAsia="zh-CN"/>
              </w:rPr>
              <w:t>3</w:t>
            </w:r>
            <w:r>
              <w:rPr>
                <w:rFonts w:hint="eastAsia" w:eastAsia="宋体"/>
                <w:color w:val="auto"/>
                <w:szCs w:val="21"/>
                <w:lang w:val="en-US" w:eastAsia="zh-CN"/>
              </w:rPr>
              <w:t>.</w:t>
            </w:r>
            <w:r>
              <w:rPr>
                <w:rFonts w:hint="eastAsia"/>
                <w:color w:val="auto"/>
                <w:szCs w:val="21"/>
                <w:lang w:val="en-US" w:eastAsia="zh-CN"/>
              </w:rPr>
              <w:t>8安全特性：支持全端口256bits MACsec加密。</w:t>
            </w:r>
          </w:p>
        </w:tc>
      </w:tr>
      <w:tr w14:paraId="4E9A1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2E06D70E">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7ED7C1A7">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320963A5">
            <w:pPr>
              <w:keepNext w:val="0"/>
              <w:keepLines w:val="0"/>
              <w:suppressLineNumbers w:val="0"/>
              <w:spacing w:before="0" w:beforeAutospacing="0" w:after="0" w:afterAutospacing="0"/>
              <w:ind w:left="0" w:leftChars="0" w:right="0" w:rightChars="0"/>
              <w:rPr>
                <w:rFonts w:hint="default" w:eastAsia="宋体"/>
                <w:b/>
                <w:bCs/>
                <w:color w:val="auto"/>
                <w:szCs w:val="21"/>
                <w:highlight w:val="yellow"/>
                <w:lang w:val="en-US" w:eastAsia="zh-CN"/>
              </w:rPr>
            </w:pPr>
            <w:r>
              <w:rPr>
                <w:rFonts w:hint="eastAsia" w:eastAsia="宋体"/>
                <w:color w:val="auto"/>
                <w:szCs w:val="21"/>
                <w:lang w:val="en-US" w:eastAsia="zh-CN"/>
              </w:rPr>
              <w:t>#</w:t>
            </w:r>
            <w:r>
              <w:rPr>
                <w:rFonts w:hint="eastAsia"/>
                <w:color w:val="auto"/>
                <w:szCs w:val="21"/>
                <w:lang w:val="en-US" w:eastAsia="zh-CN"/>
              </w:rPr>
              <w:t>3</w:t>
            </w:r>
            <w:r>
              <w:rPr>
                <w:rFonts w:hint="eastAsia" w:eastAsia="宋体"/>
                <w:color w:val="auto"/>
                <w:szCs w:val="21"/>
                <w:lang w:val="en-US" w:eastAsia="zh-CN"/>
              </w:rPr>
              <w:t>.</w:t>
            </w:r>
            <w:r>
              <w:rPr>
                <w:rFonts w:hint="eastAsia"/>
                <w:color w:val="auto"/>
                <w:szCs w:val="21"/>
                <w:lang w:val="en-US" w:eastAsia="zh-CN"/>
              </w:rPr>
              <w:t>9 管理和监控：支持Telemetry可视化。</w:t>
            </w:r>
          </w:p>
        </w:tc>
      </w:tr>
      <w:tr w14:paraId="22FF4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745D9C2B">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0DAABCEC">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1ED16D04">
            <w:pPr>
              <w:keepNext w:val="0"/>
              <w:keepLines w:val="0"/>
              <w:suppressLineNumbers w:val="0"/>
              <w:spacing w:before="0" w:beforeAutospacing="0" w:after="0" w:afterAutospacing="0"/>
              <w:ind w:left="0" w:leftChars="0" w:right="0" w:rightChars="0"/>
              <w:rPr>
                <w:rFonts w:hint="default" w:eastAsia="宋体"/>
                <w:b/>
                <w:bCs/>
                <w:color w:val="auto"/>
                <w:szCs w:val="21"/>
                <w:highlight w:val="yellow"/>
                <w:lang w:val="en-US" w:eastAsia="zh-CN"/>
              </w:rPr>
            </w:pPr>
            <w:r>
              <w:rPr>
                <w:rFonts w:hint="eastAsia" w:eastAsia="宋体"/>
                <w:color w:val="auto"/>
                <w:szCs w:val="21"/>
                <w:lang w:val="en-US" w:eastAsia="zh-CN"/>
              </w:rPr>
              <w:t>△</w:t>
            </w:r>
            <w:r>
              <w:rPr>
                <w:rFonts w:hint="eastAsia"/>
                <w:color w:val="auto"/>
                <w:szCs w:val="21"/>
                <w:lang w:val="en-US" w:eastAsia="zh-CN"/>
              </w:rPr>
              <w:t>3</w:t>
            </w:r>
            <w:r>
              <w:rPr>
                <w:rFonts w:hint="eastAsia" w:eastAsia="宋体"/>
                <w:color w:val="auto"/>
                <w:szCs w:val="21"/>
                <w:lang w:val="en-US" w:eastAsia="zh-CN"/>
              </w:rPr>
              <w:t>.</w:t>
            </w:r>
            <w:r>
              <w:rPr>
                <w:rFonts w:hint="eastAsia"/>
                <w:color w:val="auto"/>
                <w:szCs w:val="21"/>
                <w:lang w:val="en-US" w:eastAsia="zh-CN"/>
              </w:rPr>
              <w:t>10 SDN：支持适配SDN组网。</w:t>
            </w:r>
          </w:p>
        </w:tc>
      </w:tr>
      <w:tr w14:paraId="6CC1E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166F46EB">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79DBC705">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0B475FBC">
            <w:pPr>
              <w:keepNext w:val="0"/>
              <w:keepLines w:val="0"/>
              <w:suppressLineNumbers w:val="0"/>
              <w:spacing w:before="0" w:beforeAutospacing="0" w:after="0" w:afterAutospacing="0"/>
              <w:ind w:left="0" w:leftChars="0" w:right="0" w:rightChars="0"/>
              <w:rPr>
                <w:rFonts w:hint="default" w:eastAsia="宋体"/>
                <w:b/>
                <w:bCs/>
                <w:color w:val="auto"/>
                <w:szCs w:val="21"/>
                <w:highlight w:val="yellow"/>
                <w:lang w:val="en-US" w:eastAsia="zh-CN"/>
              </w:rPr>
            </w:pPr>
            <w:r>
              <w:rPr>
                <w:rFonts w:hint="eastAsia" w:eastAsia="宋体"/>
                <w:color w:val="auto"/>
                <w:szCs w:val="21"/>
                <w:lang w:val="en-US" w:eastAsia="zh-CN"/>
              </w:rPr>
              <w:t>△</w:t>
            </w:r>
            <w:r>
              <w:rPr>
                <w:rFonts w:hint="eastAsia"/>
                <w:color w:val="auto"/>
                <w:szCs w:val="21"/>
                <w:lang w:val="en-US" w:eastAsia="zh-CN"/>
              </w:rPr>
              <w:t>3</w:t>
            </w:r>
            <w:r>
              <w:rPr>
                <w:rFonts w:hint="eastAsia" w:eastAsia="宋体"/>
                <w:color w:val="auto"/>
                <w:szCs w:val="21"/>
                <w:lang w:val="en-US" w:eastAsia="zh-CN"/>
              </w:rPr>
              <w:t>.</w:t>
            </w:r>
            <w:r>
              <w:rPr>
                <w:rFonts w:hint="eastAsia"/>
                <w:color w:val="auto"/>
                <w:szCs w:val="21"/>
                <w:lang w:val="en-US" w:eastAsia="zh-CN"/>
              </w:rPr>
              <w:t>11 三层功能：支持RIP、OSPF、BGP、ISIS等IPv4动态路由协议，支持RIPng、OSPFv3、BGP4+、ISISv6等IPv6动态路由协议。</w:t>
            </w:r>
          </w:p>
        </w:tc>
      </w:tr>
      <w:bookmarkEnd w:id="53"/>
      <w:tr w14:paraId="446EF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restart"/>
            <w:vAlign w:val="center"/>
          </w:tcPr>
          <w:p w14:paraId="75A10923">
            <w:pPr>
              <w:keepNext w:val="0"/>
              <w:keepLines w:val="0"/>
              <w:suppressLineNumbers w:val="0"/>
              <w:spacing w:before="0" w:beforeAutospacing="0" w:after="0" w:afterAutospacing="0"/>
              <w:ind w:left="0" w:right="0"/>
              <w:jc w:val="center"/>
              <w:rPr>
                <w:rFonts w:hint="default" w:eastAsia="宋体"/>
                <w:color w:val="auto"/>
                <w:szCs w:val="21"/>
                <w:lang w:val="en-US" w:eastAsia="zh-CN"/>
              </w:rPr>
            </w:pPr>
            <w:bookmarkStart w:id="58" w:name="OLE_LINK16" w:colFirst="2" w:colLast="2"/>
            <w:r>
              <w:rPr>
                <w:rFonts w:hint="eastAsia"/>
                <w:color w:val="auto"/>
                <w:szCs w:val="21"/>
                <w:lang w:val="en-US" w:eastAsia="zh-CN"/>
              </w:rPr>
              <w:t>4</w:t>
            </w:r>
          </w:p>
        </w:tc>
        <w:tc>
          <w:tcPr>
            <w:tcW w:w="1200" w:type="dxa"/>
            <w:vMerge w:val="restart"/>
            <w:vAlign w:val="center"/>
          </w:tcPr>
          <w:p w14:paraId="4F48B6DB">
            <w:pPr>
              <w:keepNext w:val="0"/>
              <w:keepLines w:val="0"/>
              <w:suppressLineNumbers w:val="0"/>
              <w:spacing w:before="0" w:beforeAutospacing="0" w:after="0" w:afterAutospacing="0"/>
              <w:ind w:left="0" w:right="0"/>
              <w:jc w:val="center"/>
              <w:rPr>
                <w:rFonts w:hint="eastAsia" w:eastAsia="宋体"/>
                <w:color w:val="auto"/>
                <w:szCs w:val="21"/>
                <w:lang w:val="en-US" w:eastAsia="zh-CN"/>
              </w:rPr>
            </w:pPr>
            <w:r>
              <w:rPr>
                <w:rFonts w:hint="eastAsia"/>
                <w:b w:val="0"/>
                <w:bCs/>
                <w:color w:val="auto"/>
                <w:szCs w:val="21"/>
                <w:lang w:eastAsia="zh-CN"/>
              </w:rPr>
              <w:t>交换机（</w:t>
            </w:r>
            <w:r>
              <w:rPr>
                <w:rFonts w:hint="eastAsia"/>
                <w:b w:val="0"/>
                <w:bCs/>
                <w:color w:val="auto"/>
                <w:szCs w:val="21"/>
                <w:lang w:val="en-US" w:eastAsia="zh-CN"/>
              </w:rPr>
              <w:t>生产区万兆接入交换机</w:t>
            </w:r>
            <w:r>
              <w:rPr>
                <w:rFonts w:hint="eastAsia"/>
                <w:b w:val="0"/>
                <w:bCs/>
                <w:color w:val="auto"/>
                <w:szCs w:val="21"/>
                <w:lang w:eastAsia="zh-CN"/>
              </w:rPr>
              <w:t>）</w:t>
            </w:r>
          </w:p>
        </w:tc>
        <w:tc>
          <w:tcPr>
            <w:tcW w:w="6657" w:type="dxa"/>
            <w:vAlign w:val="top"/>
          </w:tcPr>
          <w:p w14:paraId="52278D7D">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4</w:t>
            </w:r>
            <w:r>
              <w:rPr>
                <w:rFonts w:hint="eastAsia" w:eastAsia="宋体"/>
                <w:color w:val="FF0000"/>
                <w:szCs w:val="21"/>
                <w:lang w:val="en-US" w:eastAsia="zh-CN"/>
              </w:rPr>
              <w:t>.1物理接口：</w:t>
            </w:r>
          </w:p>
          <w:p w14:paraId="5DCAF1C3">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1.≥24个10G/1G BASE-X SFP+端口，实配24个万兆光转电模块。</w:t>
            </w:r>
          </w:p>
          <w:p w14:paraId="49C29FBC">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2.≥4个40G QSFP+端口。</w:t>
            </w:r>
          </w:p>
          <w:p w14:paraId="40D40AC7">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b/>
                <w:bCs/>
                <w:color w:val="FF0000"/>
                <w:szCs w:val="21"/>
                <w:highlight w:val="yellow"/>
                <w:lang w:val="en-US" w:eastAsia="zh-CN"/>
              </w:rPr>
            </w:pPr>
            <w:r>
              <w:rPr>
                <w:rFonts w:hint="eastAsia" w:eastAsia="宋体"/>
                <w:b w:val="0"/>
                <w:bCs w:val="0"/>
                <w:color w:val="FF0000"/>
                <w:szCs w:val="21"/>
                <w:highlight w:val="none"/>
                <w:lang w:val="en-US" w:eastAsia="zh-CN"/>
              </w:rPr>
              <w:t>3.每台实配1条3米堆叠线。</w:t>
            </w:r>
          </w:p>
        </w:tc>
      </w:tr>
      <w:tr w14:paraId="2C435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3D31C764">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4A9F83A7">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453E79C6">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4</w:t>
            </w:r>
            <w:r>
              <w:rPr>
                <w:rFonts w:hint="eastAsia" w:eastAsia="宋体"/>
                <w:color w:val="FF0000"/>
                <w:szCs w:val="21"/>
                <w:lang w:val="en-US" w:eastAsia="zh-CN"/>
              </w:rPr>
              <w:t>.2技术要求：</w:t>
            </w:r>
          </w:p>
          <w:p w14:paraId="036C5688">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1.背板带宽≥4Tbps。</w:t>
            </w:r>
          </w:p>
          <w:p w14:paraId="11D007BB">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2.包转发率≥1600Mpps。</w:t>
            </w:r>
          </w:p>
          <w:p w14:paraId="1B9FE402">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3.支持IPv6。</w:t>
            </w:r>
          </w:p>
          <w:p w14:paraId="13FBBBE6">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4.支持堆叠。</w:t>
            </w:r>
          </w:p>
          <w:p w14:paraId="74A77D76">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5.支持RADIUS/Tacacs+方式进行AAA认证。</w:t>
            </w:r>
          </w:p>
          <w:p w14:paraId="03A35831">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6.支持NTP时间同步。</w:t>
            </w:r>
          </w:p>
          <w:p w14:paraId="400B47DE">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7.支持SSH登录方式。</w:t>
            </w:r>
          </w:p>
          <w:p w14:paraId="2CF68A27">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8.支持本地端口镜像和远程端口镜像。</w:t>
            </w:r>
          </w:p>
          <w:p w14:paraId="4534B8D5">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r>
              <w:rPr>
                <w:rFonts w:hint="eastAsia" w:eastAsia="宋体"/>
                <w:b w:val="0"/>
                <w:bCs w:val="0"/>
                <w:color w:val="FF0000"/>
                <w:szCs w:val="21"/>
                <w:highlight w:val="none"/>
                <w:lang w:val="en-US" w:eastAsia="zh-CN"/>
              </w:rPr>
              <w:t>9.支持syslog。</w:t>
            </w:r>
          </w:p>
        </w:tc>
      </w:tr>
      <w:tr w14:paraId="34813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7CA7336B">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34626A99">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6FBA2941">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4</w:t>
            </w:r>
            <w:r>
              <w:rPr>
                <w:rFonts w:hint="eastAsia" w:eastAsia="宋体"/>
                <w:color w:val="FF0000"/>
                <w:szCs w:val="21"/>
                <w:lang w:val="en-US" w:eastAsia="zh-CN"/>
              </w:rPr>
              <w:t>.3入网许可：具有《电信设备进网许可证》，设备及其型号需与入网证一致。</w:t>
            </w:r>
          </w:p>
          <w:p w14:paraId="799535D7">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r>
              <w:rPr>
                <w:rFonts w:hint="eastAsia" w:eastAsia="宋体"/>
                <w:b/>
                <w:bCs/>
                <w:color w:val="FF0000"/>
                <w:szCs w:val="21"/>
                <w:highlight w:val="yellow"/>
                <w:lang w:val="en-US" w:eastAsia="zh-CN"/>
              </w:rPr>
              <w:t>投标人还需提供承诺函（格式自拟加盖公章），承诺中标后提供《电信设备进网许可证》且设备及其型号需与入网证一致。</w:t>
            </w:r>
          </w:p>
        </w:tc>
      </w:tr>
      <w:tr w14:paraId="6AF24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61A961FF">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01799213">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36AEDF54">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r>
              <w:rPr>
                <w:rFonts w:hint="eastAsia" w:eastAsia="宋体"/>
                <w:color w:val="FF0000"/>
                <w:szCs w:val="21"/>
                <w:lang w:val="en-US" w:eastAsia="zh-CN"/>
              </w:rPr>
              <w:t>★</w:t>
            </w:r>
            <w:r>
              <w:rPr>
                <w:rFonts w:hint="eastAsia"/>
                <w:color w:val="FF0000"/>
                <w:szCs w:val="21"/>
                <w:lang w:val="en-US" w:eastAsia="zh-CN"/>
              </w:rPr>
              <w:t>4</w:t>
            </w:r>
            <w:r>
              <w:rPr>
                <w:rFonts w:hint="eastAsia" w:eastAsia="宋体"/>
                <w:color w:val="FF0000"/>
                <w:szCs w:val="21"/>
                <w:lang w:val="en-US" w:eastAsia="zh-CN"/>
              </w:rPr>
              <w:t>.</w:t>
            </w:r>
            <w:r>
              <w:rPr>
                <w:rFonts w:hint="eastAsia"/>
                <w:color w:val="FF0000"/>
                <w:szCs w:val="21"/>
                <w:lang w:val="en-US" w:eastAsia="zh-CN"/>
              </w:rPr>
              <w:t>4 硬件规格：满配冗余电源，满配冗余风扇。</w:t>
            </w:r>
          </w:p>
        </w:tc>
      </w:tr>
      <w:tr w14:paraId="5AF88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72B8EF4C">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6BFFBE01">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707E0EB3">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r>
              <w:rPr>
                <w:rFonts w:hint="eastAsia" w:eastAsia="宋体"/>
                <w:color w:val="FF0000"/>
                <w:szCs w:val="21"/>
                <w:lang w:val="en-US" w:eastAsia="zh-CN"/>
              </w:rPr>
              <w:t>★</w:t>
            </w:r>
            <w:r>
              <w:rPr>
                <w:rFonts w:hint="eastAsia"/>
                <w:color w:val="FF0000"/>
                <w:szCs w:val="21"/>
                <w:lang w:val="en-US" w:eastAsia="zh-CN"/>
              </w:rPr>
              <w:t>4</w:t>
            </w:r>
            <w:r>
              <w:rPr>
                <w:rFonts w:hint="eastAsia" w:eastAsia="宋体"/>
                <w:color w:val="FF0000"/>
                <w:szCs w:val="21"/>
                <w:lang w:val="en-US" w:eastAsia="zh-CN"/>
              </w:rPr>
              <w:t>.</w:t>
            </w:r>
            <w:r>
              <w:rPr>
                <w:rFonts w:hint="eastAsia"/>
                <w:color w:val="FF0000"/>
                <w:szCs w:val="21"/>
                <w:lang w:val="en-US" w:eastAsia="zh-CN"/>
              </w:rPr>
              <w:t>5 芯片：所涉及芯片均为信创芯片。</w:t>
            </w:r>
          </w:p>
        </w:tc>
      </w:tr>
      <w:bookmarkEnd w:id="58"/>
      <w:tr w14:paraId="4DF0C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7DAE6E12">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5A3E25CA">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3FD12E2A">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r>
              <w:rPr>
                <w:rFonts w:hint="eastAsia" w:eastAsia="宋体"/>
                <w:color w:val="auto"/>
                <w:szCs w:val="21"/>
                <w:lang w:val="en-US" w:eastAsia="zh-CN"/>
              </w:rPr>
              <w:t>#</w:t>
            </w:r>
            <w:r>
              <w:rPr>
                <w:rFonts w:hint="eastAsia"/>
                <w:color w:val="auto"/>
                <w:szCs w:val="21"/>
                <w:lang w:val="en-US" w:eastAsia="zh-CN"/>
              </w:rPr>
              <w:t>4.6 管理维护：支持SNMP V1/V2c/V3、SYSLOG、RMON、Telnet等管理功能。</w:t>
            </w:r>
          </w:p>
        </w:tc>
      </w:tr>
      <w:tr w14:paraId="211DA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21BAF332">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0FEC1130">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7A56A956">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r>
              <w:rPr>
                <w:rFonts w:hint="eastAsia" w:eastAsia="宋体"/>
                <w:color w:val="auto"/>
                <w:szCs w:val="21"/>
                <w:lang w:val="en-US" w:eastAsia="zh-CN"/>
              </w:rPr>
              <w:t>#</w:t>
            </w:r>
            <w:r>
              <w:rPr>
                <w:rFonts w:hint="eastAsia"/>
                <w:color w:val="auto"/>
                <w:szCs w:val="21"/>
                <w:lang w:val="en-US" w:eastAsia="zh-CN"/>
              </w:rPr>
              <w:t>4.7虚拟化：支持跨框链路聚合（M-LAG)、集群或堆叠多虚一技术。</w:t>
            </w:r>
          </w:p>
        </w:tc>
      </w:tr>
      <w:tr w14:paraId="4DE92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40E62BA3">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09120A81">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61B61767">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r>
              <w:rPr>
                <w:rFonts w:hint="eastAsia" w:eastAsia="宋体"/>
                <w:color w:val="auto"/>
                <w:szCs w:val="21"/>
                <w:lang w:val="en-US" w:eastAsia="zh-CN"/>
              </w:rPr>
              <w:t>#</w:t>
            </w:r>
            <w:r>
              <w:rPr>
                <w:rFonts w:hint="eastAsia"/>
                <w:color w:val="auto"/>
                <w:szCs w:val="21"/>
                <w:lang w:val="en-US" w:eastAsia="zh-CN"/>
              </w:rPr>
              <w:t>4.8安全特性：支持全端口256bits MACsec加密。</w:t>
            </w:r>
          </w:p>
        </w:tc>
      </w:tr>
      <w:tr w14:paraId="4A2EB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12A1AE7A">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2A0C67F9">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60FCF825">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r>
              <w:rPr>
                <w:rFonts w:hint="eastAsia" w:eastAsia="宋体"/>
                <w:color w:val="auto"/>
                <w:szCs w:val="21"/>
                <w:lang w:val="en-US" w:eastAsia="zh-CN"/>
              </w:rPr>
              <w:t>#</w:t>
            </w:r>
            <w:r>
              <w:rPr>
                <w:rFonts w:hint="eastAsia"/>
                <w:color w:val="auto"/>
                <w:szCs w:val="21"/>
                <w:lang w:val="en-US" w:eastAsia="zh-CN"/>
              </w:rPr>
              <w:t>4.9 管理和监控：支持Telemetry可视化。</w:t>
            </w:r>
          </w:p>
        </w:tc>
      </w:tr>
      <w:tr w14:paraId="49DFE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1DFC5CF5">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48F0CA04">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4B6F3DA9">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r>
              <w:rPr>
                <w:rFonts w:hint="eastAsia" w:eastAsia="宋体"/>
                <w:color w:val="auto"/>
                <w:szCs w:val="21"/>
                <w:lang w:val="en-US" w:eastAsia="zh-CN"/>
              </w:rPr>
              <w:t>△</w:t>
            </w:r>
            <w:r>
              <w:rPr>
                <w:rFonts w:hint="eastAsia"/>
                <w:color w:val="auto"/>
                <w:szCs w:val="21"/>
                <w:lang w:val="en-US" w:eastAsia="zh-CN"/>
              </w:rPr>
              <w:t>4.10 SDN：支持适配SDN组网。</w:t>
            </w:r>
          </w:p>
        </w:tc>
      </w:tr>
      <w:tr w14:paraId="7A106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018CDD2C">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00" w:type="dxa"/>
            <w:vMerge w:val="continue"/>
            <w:vAlign w:val="top"/>
          </w:tcPr>
          <w:p w14:paraId="34D59917">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6657" w:type="dxa"/>
            <w:vAlign w:val="top"/>
          </w:tcPr>
          <w:p w14:paraId="0A95090E">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r>
              <w:rPr>
                <w:rFonts w:hint="eastAsia" w:eastAsia="宋体"/>
                <w:color w:val="auto"/>
                <w:szCs w:val="21"/>
                <w:lang w:val="en-US" w:eastAsia="zh-CN"/>
              </w:rPr>
              <w:t>△</w:t>
            </w:r>
            <w:r>
              <w:rPr>
                <w:rFonts w:hint="eastAsia"/>
                <w:color w:val="auto"/>
                <w:szCs w:val="21"/>
                <w:lang w:val="en-US" w:eastAsia="zh-CN"/>
              </w:rPr>
              <w:t>4.11 三层功能：支持RIP、OSPF、BGP、ISIS等IPv4动态路由协议，支持RIPng、OSPFv3、BGP4+、ISISv6等IPv6动态路由协议。</w:t>
            </w:r>
          </w:p>
        </w:tc>
      </w:tr>
      <w:bookmarkEnd w:id="54"/>
    </w:tbl>
    <w:p w14:paraId="0E6C4AF4">
      <w:pPr>
        <w:rPr>
          <w:b/>
          <w:szCs w:val="21"/>
        </w:rPr>
      </w:pPr>
    </w:p>
    <w:p w14:paraId="7170D61B">
      <w:pPr>
        <w:rPr>
          <w:b/>
          <w:szCs w:val="21"/>
        </w:rPr>
      </w:pPr>
    </w:p>
    <w:p w14:paraId="50B2C8E9">
      <w:pPr>
        <w:widowControl/>
        <w:jc w:val="left"/>
        <w:rPr>
          <w:rFonts w:ascii="宋体" w:hAnsi="宋体"/>
          <w:b/>
          <w:bCs/>
          <w:kern w:val="0"/>
          <w:sz w:val="28"/>
          <w:szCs w:val="28"/>
        </w:rPr>
      </w:pPr>
      <w:r>
        <w:rPr>
          <w:sz w:val="28"/>
          <w:szCs w:val="28"/>
        </w:rPr>
        <w:br w:type="page"/>
      </w:r>
    </w:p>
    <w:p w14:paraId="6AA1AFCC">
      <w:pPr>
        <w:pStyle w:val="3"/>
        <w:spacing w:before="120" w:beforeLines="50" w:after="120" w:afterLines="50"/>
        <w:jc w:val="center"/>
        <w:rPr>
          <w:sz w:val="28"/>
          <w:szCs w:val="28"/>
        </w:rPr>
      </w:pPr>
      <w:r>
        <w:rPr>
          <w:rFonts w:hint="eastAsia"/>
          <w:sz w:val="28"/>
          <w:szCs w:val="28"/>
        </w:rPr>
        <w:t>五、商务要求</w:t>
      </w:r>
    </w:p>
    <w:tbl>
      <w:tblPr>
        <w:tblStyle w:val="43"/>
        <w:tblW w:w="85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1428"/>
        <w:gridCol w:w="6403"/>
      </w:tblGrid>
      <w:tr w14:paraId="7F7A2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728" w:type="dxa"/>
            <w:vAlign w:val="center"/>
          </w:tcPr>
          <w:p w14:paraId="094F2075">
            <w:pPr>
              <w:keepNext w:val="0"/>
              <w:keepLines w:val="0"/>
              <w:suppressLineNumbers w:val="0"/>
              <w:spacing w:before="0" w:beforeAutospacing="0" w:after="0" w:afterAutospacing="0"/>
              <w:ind w:left="0" w:right="0"/>
              <w:jc w:val="center"/>
              <w:rPr>
                <w:rFonts w:hint="default"/>
                <w:b/>
              </w:rPr>
            </w:pPr>
            <w:r>
              <w:rPr>
                <w:rFonts w:hint="eastAsia"/>
                <w:b/>
              </w:rPr>
              <w:t>序号</w:t>
            </w:r>
          </w:p>
        </w:tc>
        <w:tc>
          <w:tcPr>
            <w:tcW w:w="1428" w:type="dxa"/>
            <w:vAlign w:val="center"/>
          </w:tcPr>
          <w:p w14:paraId="5B87E4FD">
            <w:pPr>
              <w:keepNext w:val="0"/>
              <w:keepLines w:val="0"/>
              <w:suppressLineNumbers w:val="0"/>
              <w:spacing w:before="0" w:beforeAutospacing="0" w:after="0" w:afterAutospacing="0"/>
              <w:ind w:left="0" w:right="0"/>
              <w:jc w:val="center"/>
              <w:rPr>
                <w:rFonts w:hint="default"/>
                <w:b/>
              </w:rPr>
            </w:pPr>
            <w:r>
              <w:rPr>
                <w:rFonts w:hint="eastAsia"/>
                <w:b/>
              </w:rPr>
              <w:t>商务</w:t>
            </w:r>
            <w:bookmarkStart w:id="59" w:name="OLE_LINK17"/>
            <w:r>
              <w:rPr>
                <w:rFonts w:hint="eastAsia"/>
                <w:b/>
              </w:rPr>
              <w:t>需求项</w:t>
            </w:r>
            <w:bookmarkEnd w:id="59"/>
          </w:p>
        </w:tc>
        <w:tc>
          <w:tcPr>
            <w:tcW w:w="6403" w:type="dxa"/>
            <w:vAlign w:val="center"/>
          </w:tcPr>
          <w:p w14:paraId="1EACBB4A">
            <w:pPr>
              <w:keepNext w:val="0"/>
              <w:keepLines w:val="0"/>
              <w:suppressLineNumbers w:val="0"/>
              <w:spacing w:before="0" w:beforeAutospacing="0" w:after="0" w:afterAutospacing="0"/>
              <w:ind w:left="0" w:right="0"/>
              <w:jc w:val="center"/>
              <w:rPr>
                <w:rFonts w:hint="default"/>
                <w:b/>
              </w:rPr>
            </w:pPr>
            <w:r>
              <w:rPr>
                <w:rFonts w:hint="eastAsia"/>
                <w:b/>
              </w:rPr>
              <w:t>招标商务要求</w:t>
            </w:r>
          </w:p>
        </w:tc>
      </w:tr>
      <w:tr w14:paraId="7706A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4" w:hRule="atLeast"/>
          <w:jc w:val="center"/>
        </w:trPr>
        <w:tc>
          <w:tcPr>
            <w:tcW w:w="728" w:type="dxa"/>
            <w:vAlign w:val="center"/>
          </w:tcPr>
          <w:p w14:paraId="4B613DC4">
            <w:pPr>
              <w:keepNext w:val="0"/>
              <w:keepLines w:val="0"/>
              <w:suppressLineNumbers w:val="0"/>
              <w:spacing w:before="0" w:beforeAutospacing="0" w:after="0" w:afterAutospacing="0"/>
              <w:ind w:left="0" w:right="0"/>
              <w:jc w:val="center"/>
              <w:rPr>
                <w:rFonts w:hint="eastAsia" w:asciiTheme="minorEastAsia" w:hAnsiTheme="minorEastAsia" w:eastAsiaTheme="minorEastAsia"/>
                <w:b w:val="0"/>
                <w:bCs w:val="0"/>
                <w:lang w:val="en-US" w:eastAsia="zh-CN"/>
              </w:rPr>
            </w:pPr>
            <w:r>
              <w:rPr>
                <w:rFonts w:hint="eastAsia" w:asciiTheme="minorEastAsia" w:hAnsiTheme="minorEastAsia" w:eastAsiaTheme="minorEastAsia"/>
                <w:b w:val="0"/>
                <w:bCs w:val="0"/>
                <w:lang w:val="en-US" w:eastAsia="zh-CN"/>
              </w:rPr>
              <w:t>1</w:t>
            </w:r>
          </w:p>
        </w:tc>
        <w:tc>
          <w:tcPr>
            <w:tcW w:w="1428" w:type="dxa"/>
            <w:vAlign w:val="center"/>
          </w:tcPr>
          <w:p w14:paraId="4D32D436">
            <w:pPr>
              <w:keepNext w:val="0"/>
              <w:keepLines w:val="0"/>
              <w:suppressLineNumbers w:val="0"/>
              <w:spacing w:before="0" w:beforeAutospacing="0" w:after="0" w:afterAutospacing="0"/>
              <w:ind w:left="0" w:right="0"/>
              <w:jc w:val="center"/>
              <w:rPr>
                <w:rFonts w:hint="eastAsia" w:asciiTheme="minorEastAsia" w:hAnsiTheme="minorEastAsia" w:eastAsiaTheme="minorEastAsia"/>
                <w:b w:val="0"/>
                <w:bCs w:val="0"/>
              </w:rPr>
            </w:pPr>
            <w:r>
              <w:rPr>
                <w:rFonts w:hint="eastAsia" w:asciiTheme="minorEastAsia" w:hAnsiTheme="minorEastAsia" w:eastAsiaTheme="minorEastAsia"/>
                <w:b w:val="0"/>
                <w:bCs w:val="0"/>
              </w:rPr>
              <w:t>基础售后服务</w:t>
            </w:r>
          </w:p>
        </w:tc>
        <w:tc>
          <w:tcPr>
            <w:tcW w:w="6403" w:type="dxa"/>
            <w:vAlign w:val="center"/>
          </w:tcPr>
          <w:p w14:paraId="4D6AA748">
            <w:pPr>
              <w:keepNext w:val="0"/>
              <w:keepLines w:val="0"/>
              <w:suppressLineNumbers w:val="0"/>
              <w:spacing w:before="0" w:beforeAutospacing="0" w:after="0" w:afterAutospacing="0" w:line="240" w:lineRule="auto"/>
              <w:ind w:left="0" w:right="0"/>
              <w:rPr>
                <w:rFonts w:hint="eastAsia" w:ascii="宋体" w:hAnsi="宋体" w:eastAsia="宋体" w:cs="宋体"/>
                <w:b w:val="0"/>
                <w:bCs w:val="0"/>
                <w:color w:val="FF0000"/>
                <w:sz w:val="21"/>
                <w:szCs w:val="21"/>
              </w:rPr>
            </w:pPr>
            <w:r>
              <w:rPr>
                <w:rFonts w:hint="eastAsia" w:ascii="宋体" w:hAnsi="宋体" w:eastAsia="宋体" w:cs="宋体"/>
                <w:b w:val="0"/>
                <w:bCs w:val="0"/>
                <w:color w:val="FF0000"/>
                <w:sz w:val="21"/>
                <w:szCs w:val="21"/>
                <w:lang w:val="en-US" w:eastAsia="zh-CN"/>
              </w:rPr>
              <w:t>（</w:t>
            </w:r>
            <w:r>
              <w:rPr>
                <w:rFonts w:hint="eastAsia" w:ascii="宋体" w:hAnsi="宋体" w:cs="宋体"/>
                <w:b w:val="0"/>
                <w:bCs w:val="0"/>
                <w:color w:val="FF0000"/>
                <w:sz w:val="21"/>
                <w:szCs w:val="21"/>
              </w:rPr>
              <w:t>★</w:t>
            </w:r>
            <w:r>
              <w:rPr>
                <w:rFonts w:hint="eastAsia" w:ascii="宋体" w:hAnsi="宋体" w:eastAsia="宋体" w:cs="宋体"/>
                <w:b w:val="0"/>
                <w:bCs w:val="0"/>
                <w:color w:val="FF0000"/>
                <w:sz w:val="21"/>
                <w:szCs w:val="21"/>
                <w:lang w:val="en-US" w:eastAsia="zh-CN"/>
              </w:rPr>
              <w:t>1.1）提供三年免费原厂售后服务，包括：整机及其包含的所有配件三年免费维修和免费换件；7*24小时技术支持服务；2小时内电话响应，故障报修后第二个工作日内提供现场服务；两个工作日内解决问题，否则在三个工作日内提供备机；送货到采购单位指定地点。提供设备拆箱、配置导入、设备安装及上架等服务。</w:t>
            </w:r>
          </w:p>
        </w:tc>
      </w:tr>
      <w:tr w14:paraId="07EB5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728" w:type="dxa"/>
            <w:vAlign w:val="center"/>
          </w:tcPr>
          <w:p w14:paraId="77780C36">
            <w:pPr>
              <w:keepNext w:val="0"/>
              <w:keepLines w:val="0"/>
              <w:suppressLineNumbers w:val="0"/>
              <w:spacing w:before="0" w:beforeAutospacing="0" w:after="0" w:afterAutospacing="0"/>
              <w:ind w:left="0" w:right="0"/>
              <w:jc w:val="center"/>
              <w:rPr>
                <w:rFonts w:hint="eastAsia" w:asciiTheme="minorEastAsia" w:hAnsiTheme="minorEastAsia" w:eastAsiaTheme="minorEastAsia"/>
                <w:b w:val="0"/>
                <w:bCs w:val="0"/>
                <w:lang w:eastAsia="zh-CN"/>
              </w:rPr>
            </w:pPr>
            <w:r>
              <w:rPr>
                <w:rFonts w:hint="eastAsia" w:asciiTheme="minorEastAsia" w:hAnsiTheme="minorEastAsia" w:eastAsiaTheme="minorEastAsia"/>
                <w:b w:val="0"/>
                <w:bCs w:val="0"/>
                <w:lang w:val="en-US" w:eastAsia="zh-CN"/>
              </w:rPr>
              <w:t>2</w:t>
            </w:r>
          </w:p>
        </w:tc>
        <w:tc>
          <w:tcPr>
            <w:tcW w:w="1428" w:type="dxa"/>
            <w:vAlign w:val="center"/>
          </w:tcPr>
          <w:p w14:paraId="17D6D339">
            <w:pPr>
              <w:keepNext w:val="0"/>
              <w:keepLines w:val="0"/>
              <w:suppressLineNumbers w:val="0"/>
              <w:spacing w:before="0" w:beforeAutospacing="0" w:after="0" w:afterAutospacing="0"/>
              <w:ind w:left="0" w:right="0"/>
              <w:jc w:val="center"/>
              <w:rPr>
                <w:rFonts w:hint="default" w:asciiTheme="minorEastAsia" w:hAnsiTheme="minorEastAsia" w:eastAsiaTheme="minorEastAsia"/>
                <w:b w:val="0"/>
                <w:bCs w:val="0"/>
              </w:rPr>
            </w:pPr>
            <w:r>
              <w:rPr>
                <w:rFonts w:hint="eastAsia" w:asciiTheme="minorEastAsia" w:hAnsiTheme="minorEastAsia" w:eastAsiaTheme="minorEastAsia"/>
                <w:b w:val="0"/>
                <w:bCs w:val="0"/>
              </w:rPr>
              <w:t>安装调试</w:t>
            </w:r>
          </w:p>
        </w:tc>
        <w:tc>
          <w:tcPr>
            <w:tcW w:w="6403" w:type="dxa"/>
            <w:vAlign w:val="center"/>
          </w:tcPr>
          <w:p w14:paraId="33DAD890">
            <w:pPr>
              <w:keepNext w:val="0"/>
              <w:keepLines w:val="0"/>
              <w:suppressLineNumbers w:val="0"/>
              <w:spacing w:before="0" w:beforeAutospacing="0" w:after="0" w:afterAutospacing="0" w:line="240" w:lineRule="auto"/>
              <w:ind w:left="0" w:right="0"/>
              <w:rPr>
                <w:rFonts w:hint="default" w:ascii="宋体" w:hAnsi="宋体" w:cs="宋体"/>
                <w:b w:val="0"/>
                <w:bCs w:val="0"/>
                <w:sz w:val="21"/>
                <w:szCs w:val="21"/>
              </w:rPr>
            </w:pPr>
            <w:r>
              <w:rPr>
                <w:rFonts w:hint="eastAsia" w:ascii="宋体" w:hAnsi="宋体" w:eastAsia="宋体" w:cs="宋体"/>
                <w:b w:val="0"/>
                <w:bCs w:val="0"/>
                <w:color w:val="auto"/>
                <w:sz w:val="21"/>
                <w:szCs w:val="21"/>
                <w:lang w:val="en-US" w:eastAsia="zh-CN"/>
              </w:rPr>
              <w:t>（</w:t>
            </w:r>
            <w:r>
              <w:rPr>
                <w:rFonts w:hint="eastAsia" w:ascii="宋体" w:hAnsi="宋体" w:cs="宋体"/>
                <w:b w:val="0"/>
                <w:bCs w:val="0"/>
                <w:color w:val="auto"/>
                <w:sz w:val="21"/>
                <w:szCs w:val="21"/>
                <w:lang w:val="en-US" w:eastAsia="zh-CN"/>
              </w:rPr>
              <w:t>2</w:t>
            </w:r>
            <w:r>
              <w:rPr>
                <w:rFonts w:hint="eastAsia" w:ascii="宋体" w:hAnsi="宋体" w:eastAsia="宋体" w:cs="宋体"/>
                <w:b w:val="0"/>
                <w:bCs w:val="0"/>
                <w:color w:val="auto"/>
                <w:sz w:val="21"/>
                <w:szCs w:val="21"/>
                <w:lang w:val="en-US" w:eastAsia="zh-CN"/>
              </w:rPr>
              <w:t>.1）中标人在合同生效后应向采购人（用户）提供详细的安装要求并提供技术咨询；</w:t>
            </w:r>
          </w:p>
        </w:tc>
      </w:tr>
      <w:tr w14:paraId="1D00B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728" w:type="dxa"/>
            <w:vAlign w:val="center"/>
          </w:tcPr>
          <w:p w14:paraId="22B97886">
            <w:pPr>
              <w:keepNext w:val="0"/>
              <w:keepLines w:val="0"/>
              <w:suppressLineNumbers w:val="0"/>
              <w:spacing w:before="0" w:beforeAutospacing="0" w:after="0" w:afterAutospacing="0"/>
              <w:ind w:left="0" w:right="0"/>
              <w:jc w:val="center"/>
              <w:rPr>
                <w:rFonts w:hint="default" w:asciiTheme="minorEastAsia" w:hAnsiTheme="minorEastAsia" w:eastAsiaTheme="minorEastAsia"/>
                <w:b w:val="0"/>
                <w:bCs w:val="0"/>
                <w:lang w:val="en-US" w:eastAsia="zh-CN"/>
              </w:rPr>
            </w:pPr>
            <w:r>
              <w:rPr>
                <w:rFonts w:hint="eastAsia" w:asciiTheme="minorEastAsia" w:hAnsiTheme="minorEastAsia" w:eastAsiaTheme="minorEastAsia"/>
                <w:b w:val="0"/>
                <w:bCs w:val="0"/>
                <w:lang w:val="en-US" w:eastAsia="zh-CN"/>
              </w:rPr>
              <w:t>3</w:t>
            </w:r>
          </w:p>
        </w:tc>
        <w:tc>
          <w:tcPr>
            <w:tcW w:w="1428" w:type="dxa"/>
            <w:vAlign w:val="center"/>
          </w:tcPr>
          <w:p w14:paraId="34F0EA5F">
            <w:pPr>
              <w:keepNext w:val="0"/>
              <w:keepLines w:val="0"/>
              <w:suppressLineNumbers w:val="0"/>
              <w:spacing w:before="0" w:beforeAutospacing="0" w:after="0" w:afterAutospacing="0"/>
              <w:ind w:left="0" w:right="0"/>
              <w:jc w:val="center"/>
              <w:rPr>
                <w:rFonts w:hint="default" w:asciiTheme="minorEastAsia" w:hAnsiTheme="minorEastAsia" w:eastAsiaTheme="minorEastAsia"/>
                <w:b w:val="0"/>
                <w:bCs w:val="0"/>
                <w:lang w:val="en-US" w:eastAsia="zh-CN"/>
              </w:rPr>
            </w:pPr>
            <w:r>
              <w:rPr>
                <w:rFonts w:hint="eastAsia" w:asciiTheme="minorEastAsia" w:hAnsiTheme="minorEastAsia" w:eastAsiaTheme="minorEastAsia"/>
                <w:b w:val="0"/>
                <w:bCs w:val="0"/>
                <w:lang w:val="en-US" w:eastAsia="zh-CN"/>
              </w:rPr>
              <w:t>综合实力</w:t>
            </w:r>
          </w:p>
        </w:tc>
        <w:tc>
          <w:tcPr>
            <w:tcW w:w="6403" w:type="dxa"/>
            <w:vAlign w:val="center"/>
          </w:tcPr>
          <w:p w14:paraId="09FBB797">
            <w:pPr>
              <w:keepNext w:val="0"/>
              <w:keepLines w:val="0"/>
              <w:suppressLineNumbers w:val="0"/>
              <w:spacing w:before="0" w:beforeAutospacing="0" w:after="0" w:afterAutospacing="0" w:line="240" w:lineRule="auto"/>
              <w:ind w:left="0" w:right="0"/>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w:t>
            </w:r>
            <w:r>
              <w:rPr>
                <w:rFonts w:hint="eastAsia" w:ascii="宋体" w:hAnsi="宋体" w:cs="宋体"/>
                <w:b w:val="0"/>
                <w:bCs w:val="0"/>
                <w:color w:val="auto"/>
                <w:sz w:val="21"/>
                <w:szCs w:val="21"/>
                <w:lang w:val="en-US" w:eastAsia="zh-CN"/>
              </w:rPr>
              <w:t>3</w:t>
            </w:r>
            <w:r>
              <w:rPr>
                <w:rFonts w:hint="eastAsia" w:ascii="宋体" w:hAnsi="宋体" w:eastAsia="宋体" w:cs="宋体"/>
                <w:b w:val="0"/>
                <w:bCs w:val="0"/>
                <w:color w:val="auto"/>
                <w:sz w:val="21"/>
                <w:szCs w:val="21"/>
                <w:lang w:val="en-US" w:eastAsia="zh-CN"/>
              </w:rPr>
              <w:t>.1）供应商或产品制造商需具备一定综合实力，具备本项目标的同类型项目案例。</w:t>
            </w:r>
          </w:p>
        </w:tc>
      </w:tr>
      <w:tr w14:paraId="02B44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8" w:hRule="atLeast"/>
          <w:jc w:val="center"/>
        </w:trPr>
        <w:tc>
          <w:tcPr>
            <w:tcW w:w="728" w:type="dxa"/>
            <w:vAlign w:val="center"/>
          </w:tcPr>
          <w:p w14:paraId="0142A4E3">
            <w:pPr>
              <w:keepNext w:val="0"/>
              <w:keepLines w:val="0"/>
              <w:suppressLineNumbers w:val="0"/>
              <w:spacing w:before="0" w:beforeAutospacing="0" w:after="0" w:afterAutospacing="0"/>
              <w:ind w:left="0" w:right="0"/>
              <w:jc w:val="center"/>
              <w:rPr>
                <w:rFonts w:hint="default" w:asciiTheme="minorEastAsia" w:hAnsiTheme="minorEastAsia" w:eastAsiaTheme="minorEastAsia"/>
                <w:b w:val="0"/>
                <w:bCs w:val="0"/>
                <w:lang w:val="en-US" w:eastAsia="zh-CN"/>
              </w:rPr>
            </w:pPr>
            <w:r>
              <w:rPr>
                <w:rFonts w:hint="eastAsia" w:asciiTheme="minorEastAsia" w:hAnsiTheme="minorEastAsia" w:eastAsiaTheme="minorEastAsia"/>
                <w:b w:val="0"/>
                <w:bCs w:val="0"/>
                <w:lang w:val="en-US" w:eastAsia="zh-CN"/>
              </w:rPr>
              <w:t>4</w:t>
            </w:r>
          </w:p>
        </w:tc>
        <w:tc>
          <w:tcPr>
            <w:tcW w:w="1428" w:type="dxa"/>
            <w:shd w:val="clear" w:color="auto" w:fill="auto"/>
            <w:vAlign w:val="center"/>
          </w:tcPr>
          <w:p w14:paraId="6473136D">
            <w:pPr>
              <w:keepNext w:val="0"/>
              <w:keepLines w:val="0"/>
              <w:suppressLineNumbers w:val="0"/>
              <w:spacing w:before="0" w:beforeAutospacing="0" w:after="0" w:afterAutospacing="0"/>
              <w:ind w:left="0" w:right="0"/>
              <w:jc w:val="center"/>
              <w:rPr>
                <w:rFonts w:hint="eastAsia" w:asciiTheme="minorEastAsia" w:hAnsiTheme="minorEastAsia" w:eastAsiaTheme="minorEastAsia"/>
                <w:b w:val="0"/>
                <w:bCs w:val="0"/>
                <w:lang w:val="en-US" w:eastAsia="zh-CN"/>
              </w:rPr>
            </w:pPr>
            <w:r>
              <w:rPr>
                <w:rFonts w:hint="eastAsia" w:asciiTheme="minorEastAsia" w:hAnsiTheme="minorEastAsia" w:eastAsiaTheme="minorEastAsia"/>
                <w:b w:val="0"/>
                <w:bCs w:val="0"/>
                <w:lang w:val="en-US" w:eastAsia="zh-CN"/>
              </w:rPr>
              <w:t>履约验收</w:t>
            </w:r>
          </w:p>
        </w:tc>
        <w:tc>
          <w:tcPr>
            <w:tcW w:w="6403" w:type="dxa"/>
            <w:shd w:val="clear" w:color="auto" w:fill="auto"/>
            <w:vAlign w:val="center"/>
          </w:tcPr>
          <w:p w14:paraId="2D5F1FFB">
            <w:pPr>
              <w:keepNext w:val="0"/>
              <w:keepLines w:val="0"/>
              <w:suppressLineNumbers w:val="0"/>
              <w:spacing w:before="0" w:beforeAutospacing="0" w:after="0" w:afterAutospacing="0" w:line="240" w:lineRule="auto"/>
              <w:ind w:left="0" w:right="0"/>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val="en-US" w:eastAsia="zh-CN"/>
              </w:rPr>
              <w:t>（</w:t>
            </w:r>
            <w:r>
              <w:rPr>
                <w:rFonts w:hint="eastAsia" w:asciiTheme="minorEastAsia" w:hAnsiTheme="minorEastAsia" w:eastAsiaTheme="minorEastAsia"/>
                <w:b w:val="0"/>
                <w:bCs w:val="0"/>
                <w:sz w:val="21"/>
                <w:szCs w:val="21"/>
                <w:lang w:val="en-US" w:eastAsia="zh-CN"/>
              </w:rPr>
              <w:t>4</w:t>
            </w:r>
            <w:r>
              <w:rPr>
                <w:rFonts w:hint="default" w:ascii="宋体" w:hAnsi="宋体" w:cs="宋体"/>
                <w:b w:val="0"/>
                <w:bCs w:val="0"/>
                <w:color w:val="auto"/>
                <w:sz w:val="21"/>
                <w:szCs w:val="21"/>
              </w:rPr>
              <w:t>.1</w:t>
            </w:r>
            <w:r>
              <w:rPr>
                <w:rFonts w:hint="eastAsia" w:ascii="宋体" w:hAnsi="宋体" w:cs="宋体"/>
                <w:b w:val="0"/>
                <w:bCs w:val="0"/>
                <w:color w:val="auto"/>
                <w:sz w:val="21"/>
                <w:szCs w:val="21"/>
                <w:lang w:val="en-US" w:eastAsia="zh-CN"/>
              </w:rPr>
              <w:t>）验收时间</w:t>
            </w:r>
            <w:r>
              <w:rPr>
                <w:rFonts w:hint="default" w:ascii="宋体" w:hAnsi="宋体" w:cs="宋体"/>
                <w:b w:val="0"/>
                <w:bCs w:val="0"/>
                <w:color w:val="auto"/>
                <w:sz w:val="21"/>
                <w:szCs w:val="21"/>
              </w:rPr>
              <w:t>：到货15个工作日内</w:t>
            </w:r>
            <w:r>
              <w:rPr>
                <w:rFonts w:hint="eastAsia" w:ascii="宋体" w:hAnsi="宋体" w:cs="宋体"/>
                <w:b w:val="0"/>
                <w:bCs w:val="0"/>
                <w:color w:val="auto"/>
                <w:sz w:val="21"/>
                <w:szCs w:val="21"/>
                <w:lang w:eastAsia="zh-CN"/>
              </w:rPr>
              <w:t>；</w:t>
            </w:r>
          </w:p>
          <w:p w14:paraId="77AABB25">
            <w:pPr>
              <w:keepNext w:val="0"/>
              <w:keepLines w:val="0"/>
              <w:suppressLineNumbers w:val="0"/>
              <w:spacing w:before="0" w:beforeAutospacing="0" w:after="0" w:afterAutospacing="0" w:line="240" w:lineRule="auto"/>
              <w:ind w:left="0" w:leftChars="0" w:right="0" w:rightChars="0"/>
              <w:rPr>
                <w:rFonts w:hint="default" w:ascii="宋体" w:hAnsi="宋体" w:cs="宋体"/>
                <w:b w:val="0"/>
                <w:bCs w:val="0"/>
                <w:color w:val="auto"/>
                <w:sz w:val="21"/>
                <w:szCs w:val="21"/>
              </w:rPr>
            </w:pPr>
            <w:r>
              <w:rPr>
                <w:rFonts w:hint="eastAsia" w:ascii="宋体" w:hAnsi="宋体" w:cs="宋体"/>
                <w:b w:val="0"/>
                <w:bCs w:val="0"/>
                <w:color w:val="auto"/>
                <w:sz w:val="21"/>
                <w:szCs w:val="21"/>
                <w:lang w:val="en-US" w:eastAsia="zh-CN"/>
              </w:rPr>
              <w:t>（</w:t>
            </w:r>
            <w:r>
              <w:rPr>
                <w:rFonts w:hint="eastAsia" w:asciiTheme="minorEastAsia" w:hAnsiTheme="minorEastAsia" w:eastAsiaTheme="minorEastAsia"/>
                <w:b w:val="0"/>
                <w:bCs w:val="0"/>
                <w:sz w:val="21"/>
                <w:szCs w:val="21"/>
                <w:lang w:val="en-US" w:eastAsia="zh-CN"/>
              </w:rPr>
              <w:t>4</w:t>
            </w:r>
            <w:r>
              <w:rPr>
                <w:rFonts w:hint="default" w:ascii="宋体" w:hAnsi="宋体" w:cs="宋体"/>
                <w:b w:val="0"/>
                <w:bCs w:val="0"/>
                <w:color w:val="auto"/>
                <w:sz w:val="21"/>
                <w:szCs w:val="21"/>
              </w:rPr>
              <w:t>.</w:t>
            </w:r>
            <w:r>
              <w:rPr>
                <w:rFonts w:hint="eastAsia" w:ascii="宋体" w:hAnsi="宋体" w:cs="宋体"/>
                <w:b w:val="0"/>
                <w:bCs w:val="0"/>
                <w:color w:val="auto"/>
                <w:sz w:val="21"/>
                <w:szCs w:val="21"/>
                <w:lang w:val="en-US" w:eastAsia="zh-CN"/>
              </w:rPr>
              <w:t>2）</w:t>
            </w:r>
            <w:r>
              <w:rPr>
                <w:rFonts w:hint="default" w:ascii="宋体" w:hAnsi="宋体" w:cs="宋体"/>
                <w:b w:val="0"/>
                <w:bCs w:val="0"/>
                <w:color w:val="auto"/>
                <w:sz w:val="21"/>
                <w:szCs w:val="21"/>
              </w:rPr>
              <w:t>验收方式：</w:t>
            </w:r>
            <w:r>
              <w:rPr>
                <w:rFonts w:hint="default" w:ascii="宋体" w:hAnsi="宋体" w:cs="宋体"/>
                <w:b w:val="0"/>
                <w:bCs w:val="0"/>
                <w:color w:val="auto"/>
                <w:sz w:val="21"/>
                <w:szCs w:val="21"/>
                <w:lang w:eastAsia="zh-CN"/>
              </w:rPr>
              <w:t>实地通电验收</w:t>
            </w:r>
            <w:r>
              <w:rPr>
                <w:rFonts w:hint="eastAsia" w:ascii="宋体" w:hAnsi="宋体" w:cs="宋体"/>
                <w:b w:val="0"/>
                <w:bCs w:val="0"/>
                <w:color w:val="auto"/>
                <w:sz w:val="21"/>
                <w:szCs w:val="21"/>
                <w:lang w:eastAsia="zh-CN"/>
              </w:rPr>
              <w:t>；</w:t>
            </w:r>
            <w:r>
              <w:rPr>
                <w:rFonts w:hint="default" w:ascii="宋体" w:hAnsi="宋体" w:cs="宋体"/>
                <w:b w:val="0"/>
                <w:bCs w:val="0"/>
                <w:color w:val="auto"/>
                <w:sz w:val="21"/>
                <w:szCs w:val="21"/>
              </w:rPr>
              <w:t xml:space="preserve">  </w:t>
            </w:r>
          </w:p>
          <w:p w14:paraId="7A7AE0E4">
            <w:pPr>
              <w:keepNext w:val="0"/>
              <w:keepLines w:val="0"/>
              <w:suppressLineNumbers w:val="0"/>
              <w:spacing w:before="0" w:beforeAutospacing="0" w:after="0" w:afterAutospacing="0" w:line="240" w:lineRule="auto"/>
              <w:ind w:left="0" w:leftChars="0" w:right="0" w:rightChars="0"/>
              <w:rPr>
                <w:rFonts w:hint="default" w:ascii="宋体" w:hAnsi="宋体" w:cs="宋体"/>
                <w:b w:val="0"/>
                <w:bCs w:val="0"/>
                <w:color w:val="auto"/>
                <w:sz w:val="21"/>
                <w:szCs w:val="21"/>
              </w:rPr>
            </w:pPr>
            <w:r>
              <w:rPr>
                <w:rFonts w:hint="eastAsia" w:ascii="宋体" w:hAnsi="宋体" w:cs="宋体"/>
                <w:b w:val="0"/>
                <w:bCs w:val="0"/>
                <w:color w:val="auto"/>
                <w:sz w:val="21"/>
                <w:szCs w:val="21"/>
                <w:lang w:val="en-US" w:eastAsia="zh-CN"/>
              </w:rPr>
              <w:t>（</w:t>
            </w:r>
            <w:r>
              <w:rPr>
                <w:rFonts w:hint="eastAsia" w:asciiTheme="minorEastAsia" w:hAnsiTheme="minorEastAsia" w:eastAsiaTheme="minorEastAsia"/>
                <w:b w:val="0"/>
                <w:bCs w:val="0"/>
                <w:sz w:val="21"/>
                <w:szCs w:val="21"/>
                <w:lang w:val="en-US" w:eastAsia="zh-CN"/>
              </w:rPr>
              <w:t>4</w:t>
            </w:r>
            <w:r>
              <w:rPr>
                <w:rFonts w:hint="default" w:ascii="宋体" w:hAnsi="宋体" w:cs="宋体"/>
                <w:b w:val="0"/>
                <w:bCs w:val="0"/>
                <w:color w:val="auto"/>
                <w:sz w:val="21"/>
                <w:szCs w:val="21"/>
              </w:rPr>
              <w:t>.</w:t>
            </w:r>
            <w:r>
              <w:rPr>
                <w:rFonts w:hint="eastAsia" w:ascii="宋体" w:hAnsi="宋体" w:cs="宋体"/>
                <w:b w:val="0"/>
                <w:bCs w:val="0"/>
                <w:color w:val="auto"/>
                <w:sz w:val="21"/>
                <w:szCs w:val="21"/>
                <w:lang w:val="en-US" w:eastAsia="zh-CN"/>
              </w:rPr>
              <w:t>3）</w:t>
            </w:r>
            <w:r>
              <w:rPr>
                <w:rFonts w:hint="default" w:ascii="宋体" w:hAnsi="宋体" w:cs="宋体"/>
                <w:b w:val="0"/>
                <w:bCs w:val="0"/>
                <w:color w:val="auto"/>
                <w:sz w:val="21"/>
                <w:szCs w:val="21"/>
              </w:rPr>
              <w:t>验收程序</w:t>
            </w:r>
            <w:r>
              <w:rPr>
                <w:rFonts w:hint="eastAsia" w:ascii="宋体" w:hAnsi="宋体" w:cs="宋体"/>
                <w:b w:val="0"/>
                <w:bCs w:val="0"/>
                <w:color w:val="auto"/>
                <w:sz w:val="21"/>
                <w:szCs w:val="21"/>
                <w:lang w:eastAsia="zh-CN"/>
              </w:rPr>
              <w:t>：按照《中国人民银行深圳市分行履约验收管理实施细则》开展简易程序验收；</w:t>
            </w:r>
            <w:r>
              <w:rPr>
                <w:rFonts w:hint="default" w:ascii="宋体" w:hAnsi="宋体" w:cs="宋体"/>
                <w:b w:val="0"/>
                <w:bCs w:val="0"/>
                <w:color w:val="auto"/>
                <w:sz w:val="21"/>
                <w:szCs w:val="21"/>
              </w:rPr>
              <w:t xml:space="preserve">  </w:t>
            </w:r>
          </w:p>
          <w:p w14:paraId="2A8687EE">
            <w:pPr>
              <w:keepNext w:val="0"/>
              <w:keepLines w:val="0"/>
              <w:suppressLineNumbers w:val="0"/>
              <w:spacing w:before="0" w:beforeAutospacing="0" w:after="0" w:afterAutospacing="0" w:line="240" w:lineRule="auto"/>
              <w:ind w:left="0" w:leftChars="0" w:right="0" w:rightChars="0"/>
              <w:rPr>
                <w:rFonts w:hint="default" w:ascii="宋体" w:hAnsi="宋体" w:cs="宋体"/>
                <w:b w:val="0"/>
                <w:bCs w:val="0"/>
                <w:color w:val="auto"/>
                <w:sz w:val="21"/>
                <w:szCs w:val="21"/>
              </w:rPr>
            </w:pPr>
            <w:r>
              <w:rPr>
                <w:rFonts w:hint="eastAsia" w:ascii="宋体" w:hAnsi="宋体" w:cs="宋体"/>
                <w:b w:val="0"/>
                <w:bCs w:val="0"/>
                <w:color w:val="auto"/>
                <w:sz w:val="21"/>
                <w:szCs w:val="21"/>
                <w:lang w:val="en-US" w:eastAsia="zh-CN"/>
              </w:rPr>
              <w:t>（</w:t>
            </w:r>
            <w:r>
              <w:rPr>
                <w:rFonts w:hint="eastAsia" w:asciiTheme="minorEastAsia" w:hAnsiTheme="minorEastAsia" w:eastAsiaTheme="minorEastAsia"/>
                <w:b w:val="0"/>
                <w:bCs w:val="0"/>
                <w:sz w:val="21"/>
                <w:szCs w:val="21"/>
                <w:lang w:val="en-US" w:eastAsia="zh-CN"/>
              </w:rPr>
              <w:t>4</w:t>
            </w:r>
            <w:r>
              <w:rPr>
                <w:rFonts w:hint="default" w:ascii="宋体" w:hAnsi="宋体" w:cs="宋体"/>
                <w:b w:val="0"/>
                <w:bCs w:val="0"/>
                <w:color w:val="auto"/>
                <w:sz w:val="21"/>
                <w:szCs w:val="21"/>
              </w:rPr>
              <w:t>.</w:t>
            </w:r>
            <w:r>
              <w:rPr>
                <w:rFonts w:hint="eastAsia" w:ascii="宋体" w:hAnsi="宋体" w:cs="宋体"/>
                <w:b w:val="0"/>
                <w:bCs w:val="0"/>
                <w:color w:val="auto"/>
                <w:sz w:val="21"/>
                <w:szCs w:val="21"/>
                <w:lang w:val="en-US" w:eastAsia="zh-CN"/>
              </w:rPr>
              <w:t>4）</w:t>
            </w:r>
            <w:r>
              <w:rPr>
                <w:rFonts w:hint="default" w:ascii="宋体" w:hAnsi="宋体" w:cs="宋体"/>
                <w:b w:val="0"/>
                <w:bCs w:val="0"/>
                <w:color w:val="auto"/>
                <w:sz w:val="21"/>
                <w:szCs w:val="21"/>
              </w:rPr>
              <w:t>验收内容</w:t>
            </w:r>
            <w:r>
              <w:rPr>
                <w:rFonts w:hint="eastAsia" w:ascii="宋体" w:hAnsi="宋体" w:cs="宋体"/>
                <w:b w:val="0"/>
                <w:bCs w:val="0"/>
                <w:color w:val="auto"/>
                <w:sz w:val="21"/>
                <w:szCs w:val="21"/>
                <w:lang w:eastAsia="zh-CN"/>
              </w:rPr>
              <w:t>：</w:t>
            </w:r>
            <w:r>
              <w:rPr>
                <w:rFonts w:hint="default" w:ascii="宋体" w:hAnsi="宋体" w:cs="宋体"/>
                <w:b w:val="0"/>
                <w:bCs w:val="0"/>
                <w:color w:val="auto"/>
                <w:sz w:val="21"/>
                <w:szCs w:val="21"/>
              </w:rPr>
              <w:t>设备配置是否符合合同要求</w:t>
            </w:r>
            <w:r>
              <w:rPr>
                <w:rFonts w:hint="eastAsia" w:ascii="宋体" w:hAnsi="宋体" w:cs="宋体"/>
                <w:b w:val="0"/>
                <w:bCs w:val="0"/>
                <w:color w:val="auto"/>
                <w:sz w:val="21"/>
                <w:szCs w:val="21"/>
                <w:lang w:eastAsia="zh-CN"/>
              </w:rPr>
              <w:t>；</w:t>
            </w:r>
          </w:p>
          <w:p w14:paraId="539E4088">
            <w:pPr>
              <w:keepNext w:val="0"/>
              <w:keepLines w:val="0"/>
              <w:suppressLineNumbers w:val="0"/>
              <w:spacing w:before="0" w:beforeAutospacing="0" w:after="0" w:afterAutospacing="0" w:line="240" w:lineRule="auto"/>
              <w:ind w:left="0" w:leftChars="0" w:right="0" w:rightChars="0"/>
              <w:rPr>
                <w:rFonts w:hint="eastAsia" w:ascii="宋体" w:hAnsi="宋体" w:cs="宋体"/>
                <w:b w:val="0"/>
                <w:bCs w:val="0"/>
                <w:color w:val="auto"/>
                <w:sz w:val="21"/>
                <w:szCs w:val="21"/>
                <w:lang w:eastAsia="zh-CN"/>
              </w:rPr>
            </w:pPr>
            <w:r>
              <w:rPr>
                <w:rFonts w:hint="eastAsia" w:ascii="宋体" w:hAnsi="宋体" w:cs="宋体"/>
                <w:b w:val="0"/>
                <w:bCs w:val="0"/>
                <w:color w:val="auto"/>
                <w:sz w:val="21"/>
                <w:szCs w:val="21"/>
                <w:lang w:val="en-US" w:eastAsia="zh-CN"/>
              </w:rPr>
              <w:t>（</w:t>
            </w:r>
            <w:r>
              <w:rPr>
                <w:rFonts w:hint="eastAsia" w:asciiTheme="minorEastAsia" w:hAnsiTheme="minorEastAsia" w:eastAsiaTheme="minorEastAsia"/>
                <w:b w:val="0"/>
                <w:bCs w:val="0"/>
                <w:sz w:val="21"/>
                <w:szCs w:val="21"/>
                <w:lang w:val="en-US" w:eastAsia="zh-CN"/>
              </w:rPr>
              <w:t>4</w:t>
            </w:r>
            <w:r>
              <w:rPr>
                <w:rFonts w:hint="default" w:ascii="宋体" w:hAnsi="宋体" w:cs="宋体"/>
                <w:b w:val="0"/>
                <w:bCs w:val="0"/>
                <w:color w:val="auto"/>
                <w:sz w:val="21"/>
                <w:szCs w:val="21"/>
              </w:rPr>
              <w:t>.</w:t>
            </w:r>
            <w:r>
              <w:rPr>
                <w:rFonts w:hint="eastAsia" w:ascii="宋体" w:hAnsi="宋体" w:cs="宋体"/>
                <w:b w:val="0"/>
                <w:bCs w:val="0"/>
                <w:color w:val="auto"/>
                <w:sz w:val="21"/>
                <w:szCs w:val="21"/>
                <w:lang w:val="en-US" w:eastAsia="zh-CN"/>
              </w:rPr>
              <w:t>5）</w:t>
            </w:r>
            <w:r>
              <w:rPr>
                <w:rFonts w:hint="default" w:ascii="宋体" w:hAnsi="宋体" w:cs="宋体"/>
                <w:b w:val="0"/>
                <w:bCs w:val="0"/>
                <w:color w:val="auto"/>
                <w:sz w:val="21"/>
                <w:szCs w:val="21"/>
              </w:rPr>
              <w:t>验收标准</w:t>
            </w:r>
            <w:r>
              <w:rPr>
                <w:rFonts w:hint="eastAsia" w:ascii="宋体" w:hAnsi="宋体" w:cs="宋体"/>
                <w:b w:val="0"/>
                <w:bCs w:val="0"/>
                <w:color w:val="auto"/>
                <w:sz w:val="21"/>
                <w:szCs w:val="21"/>
                <w:lang w:eastAsia="zh-CN"/>
              </w:rPr>
              <w:t>：</w:t>
            </w:r>
            <w:r>
              <w:rPr>
                <w:rFonts w:hint="default" w:ascii="宋体" w:hAnsi="宋体" w:cs="宋体"/>
                <w:b w:val="0"/>
                <w:bCs w:val="0"/>
                <w:color w:val="auto"/>
                <w:sz w:val="21"/>
                <w:szCs w:val="21"/>
              </w:rPr>
              <w:t>设备配置是否符合合同要求</w:t>
            </w:r>
            <w:r>
              <w:rPr>
                <w:rFonts w:hint="eastAsia" w:ascii="宋体" w:hAnsi="宋体" w:cs="宋体"/>
                <w:b w:val="0"/>
                <w:bCs w:val="0"/>
                <w:color w:val="auto"/>
                <w:sz w:val="21"/>
                <w:szCs w:val="21"/>
                <w:lang w:eastAsia="zh-CN"/>
              </w:rPr>
              <w:t>；</w:t>
            </w:r>
          </w:p>
          <w:p w14:paraId="3E5F91AA">
            <w:pPr>
              <w:keepNext w:val="0"/>
              <w:keepLines w:val="0"/>
              <w:suppressLineNumbers w:val="0"/>
              <w:spacing w:before="0" w:beforeAutospacing="0" w:after="0" w:afterAutospacing="0" w:line="240" w:lineRule="auto"/>
              <w:ind w:left="0" w:leftChars="0" w:right="0" w:rightChars="0"/>
              <w:rPr>
                <w:rFonts w:hint="eastAsia" w:ascii="宋体" w:hAnsi="宋体" w:eastAsia="宋体" w:cs="宋体"/>
                <w:b w:val="0"/>
                <w:bCs w:val="0"/>
                <w:color w:val="auto"/>
                <w:kern w:val="2"/>
                <w:sz w:val="21"/>
                <w:szCs w:val="21"/>
                <w:lang w:val="en-US" w:eastAsia="zh-CN" w:bidi="ar-SA"/>
              </w:rPr>
            </w:pPr>
            <w:r>
              <w:rPr>
                <w:rFonts w:hint="default" w:ascii="宋体" w:hAnsi="宋体" w:cs="宋体"/>
                <w:b w:val="0"/>
                <w:bCs w:val="0"/>
                <w:color w:val="auto"/>
                <w:sz w:val="21"/>
                <w:szCs w:val="21"/>
              </w:rPr>
              <w:t xml:space="preserve">验收过程中发现部分配置不符合合同要求：中标后提醒供应商严格按照合同配置要求下单。    </w:t>
            </w:r>
          </w:p>
        </w:tc>
      </w:tr>
      <w:tr w14:paraId="7DA95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728" w:type="dxa"/>
            <w:vMerge w:val="restart"/>
            <w:vAlign w:val="center"/>
          </w:tcPr>
          <w:p w14:paraId="5B43579B">
            <w:pPr>
              <w:keepNext w:val="0"/>
              <w:keepLines w:val="0"/>
              <w:suppressLineNumbers w:val="0"/>
              <w:spacing w:before="0" w:beforeAutospacing="0" w:after="0" w:afterAutospacing="0"/>
              <w:ind w:left="0" w:right="0"/>
              <w:jc w:val="center"/>
              <w:rPr>
                <w:rFonts w:hint="eastAsia" w:asciiTheme="minorEastAsia" w:hAnsiTheme="minorEastAsia" w:eastAsiaTheme="minorEastAsia"/>
                <w:b w:val="0"/>
                <w:bCs w:val="0"/>
                <w:lang w:val="en-US" w:eastAsia="zh-CN"/>
              </w:rPr>
            </w:pPr>
            <w:r>
              <w:rPr>
                <w:rFonts w:hint="eastAsia" w:asciiTheme="minorEastAsia" w:hAnsiTheme="minorEastAsia" w:eastAsiaTheme="minorEastAsia"/>
                <w:b w:val="0"/>
                <w:bCs w:val="0"/>
                <w:lang w:val="en-US" w:eastAsia="zh-CN"/>
              </w:rPr>
              <w:t>5</w:t>
            </w:r>
          </w:p>
        </w:tc>
        <w:tc>
          <w:tcPr>
            <w:tcW w:w="1428" w:type="dxa"/>
            <w:vMerge w:val="restart"/>
            <w:vAlign w:val="center"/>
          </w:tcPr>
          <w:p w14:paraId="735DAABF">
            <w:pPr>
              <w:keepNext w:val="0"/>
              <w:keepLines w:val="0"/>
              <w:suppressLineNumbers w:val="0"/>
              <w:spacing w:before="0" w:beforeAutospacing="0" w:after="0" w:afterAutospacing="0"/>
              <w:ind w:left="0" w:right="0"/>
              <w:jc w:val="center"/>
              <w:rPr>
                <w:rFonts w:hint="default" w:asciiTheme="minorEastAsia" w:hAnsiTheme="minorEastAsia" w:eastAsiaTheme="minorEastAsia"/>
                <w:b w:val="0"/>
                <w:bCs w:val="0"/>
              </w:rPr>
            </w:pPr>
            <w:r>
              <w:rPr>
                <w:rFonts w:hint="eastAsia" w:asciiTheme="minorEastAsia" w:hAnsiTheme="minorEastAsia" w:eastAsiaTheme="minorEastAsia"/>
                <w:b w:val="0"/>
                <w:bCs w:val="0"/>
              </w:rPr>
              <w:t>交货及付款要求</w:t>
            </w:r>
          </w:p>
        </w:tc>
        <w:tc>
          <w:tcPr>
            <w:tcW w:w="6403" w:type="dxa"/>
            <w:shd w:val="clear" w:color="auto" w:fill="auto"/>
            <w:vAlign w:val="center"/>
          </w:tcPr>
          <w:p w14:paraId="145703F5">
            <w:pPr>
              <w:keepNext w:val="0"/>
              <w:keepLines w:val="0"/>
              <w:suppressLineNumbers w:val="0"/>
              <w:spacing w:before="0" w:beforeAutospacing="0" w:after="0" w:afterAutospacing="0" w:line="240" w:lineRule="auto"/>
              <w:ind w:left="0" w:leftChars="0" w:right="0" w:rightChars="0"/>
              <w:rPr>
                <w:rFonts w:hint="eastAsia" w:ascii="宋体" w:hAnsi="宋体" w:eastAsia="宋体" w:cs="宋体"/>
                <w:b w:val="0"/>
                <w:bCs w:val="0"/>
                <w:color w:val="FF0000"/>
                <w:kern w:val="2"/>
                <w:sz w:val="21"/>
                <w:szCs w:val="21"/>
                <w:lang w:val="en-US" w:eastAsia="zh-CN" w:bidi="ar-SA"/>
              </w:rPr>
            </w:pPr>
            <w:r>
              <w:rPr>
                <w:rFonts w:hint="eastAsia" w:ascii="宋体" w:hAnsi="宋体" w:cs="宋体"/>
                <w:b w:val="0"/>
                <w:bCs w:val="0"/>
                <w:color w:val="FF0000"/>
                <w:sz w:val="21"/>
                <w:szCs w:val="21"/>
              </w:rPr>
              <w:t>★</w:t>
            </w:r>
            <w:r>
              <w:rPr>
                <w:rFonts w:hint="eastAsia" w:ascii="宋体" w:hAnsi="宋体" w:cs="宋体"/>
                <w:b w:val="0"/>
                <w:bCs w:val="0"/>
                <w:color w:val="FF0000"/>
                <w:sz w:val="21"/>
                <w:szCs w:val="21"/>
                <w:lang w:val="en-US" w:eastAsia="zh-CN"/>
              </w:rPr>
              <w:t>5</w:t>
            </w:r>
            <w:r>
              <w:rPr>
                <w:rFonts w:hint="eastAsia" w:ascii="宋体" w:hAnsi="宋体" w:cs="宋体"/>
                <w:b w:val="0"/>
                <w:bCs w:val="0"/>
                <w:color w:val="FF0000"/>
                <w:sz w:val="21"/>
                <w:szCs w:val="21"/>
              </w:rPr>
              <w:t>.1交货时间和地点：</w:t>
            </w:r>
            <w:r>
              <w:rPr>
                <w:rFonts w:hint="eastAsia"/>
                <w:color w:val="FF0000"/>
                <w:szCs w:val="21"/>
                <w:lang w:val="en-US" w:eastAsia="zh-CN"/>
              </w:rPr>
              <w:t>合同签订后30日内交货（最终以合同约定时间为准）。中标人负责将货物安全无损运抵采购人指定地点（ 广东省深圳市罗湖区深南东路5006号人民银行大厦）。</w:t>
            </w:r>
          </w:p>
        </w:tc>
      </w:tr>
      <w:tr w14:paraId="2A3A1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728" w:type="dxa"/>
            <w:vMerge w:val="continue"/>
            <w:vAlign w:val="center"/>
          </w:tcPr>
          <w:p w14:paraId="758CF77C">
            <w:pPr>
              <w:keepNext w:val="0"/>
              <w:keepLines w:val="0"/>
              <w:suppressLineNumbers w:val="0"/>
              <w:spacing w:before="0" w:beforeAutospacing="0" w:after="0" w:afterAutospacing="0" w:line="240" w:lineRule="auto"/>
              <w:ind w:left="0" w:right="0"/>
              <w:jc w:val="center"/>
              <w:rPr>
                <w:rFonts w:hint="eastAsia" w:ascii="宋体" w:hAnsi="宋体"/>
                <w:b w:val="0"/>
                <w:bCs w:val="0"/>
                <w:sz w:val="20"/>
                <w:szCs w:val="20"/>
                <w:lang w:val="en-US" w:eastAsia="zh-CN"/>
              </w:rPr>
            </w:pPr>
          </w:p>
        </w:tc>
        <w:tc>
          <w:tcPr>
            <w:tcW w:w="1428" w:type="dxa"/>
            <w:vMerge w:val="continue"/>
            <w:vAlign w:val="center"/>
          </w:tcPr>
          <w:p w14:paraId="59337050">
            <w:pPr>
              <w:keepNext w:val="0"/>
              <w:keepLines w:val="0"/>
              <w:suppressLineNumbers w:val="0"/>
              <w:spacing w:before="0" w:beforeAutospacing="0" w:after="0" w:afterAutospacing="0" w:line="240" w:lineRule="auto"/>
              <w:ind w:left="0" w:right="0"/>
              <w:jc w:val="center"/>
              <w:rPr>
                <w:rFonts w:hint="default" w:ascii="宋体" w:hAnsi="宋体"/>
                <w:b w:val="0"/>
                <w:bCs w:val="0"/>
                <w:sz w:val="20"/>
                <w:szCs w:val="20"/>
              </w:rPr>
            </w:pPr>
          </w:p>
        </w:tc>
        <w:tc>
          <w:tcPr>
            <w:tcW w:w="6403" w:type="dxa"/>
            <w:shd w:val="clear" w:color="auto" w:fill="auto"/>
            <w:vAlign w:val="center"/>
          </w:tcPr>
          <w:p w14:paraId="0E0726CB">
            <w:pPr>
              <w:keepNext w:val="0"/>
              <w:keepLines w:val="0"/>
              <w:suppressLineNumbers w:val="0"/>
              <w:spacing w:before="0" w:beforeAutospacing="0" w:after="0" w:afterAutospacing="0" w:line="240" w:lineRule="auto"/>
              <w:ind w:left="0" w:leftChars="0" w:right="0" w:rightChars="0"/>
              <w:rPr>
                <w:rFonts w:hint="eastAsia" w:ascii="宋体" w:hAnsi="宋体" w:cs="宋体"/>
                <w:b w:val="0"/>
                <w:bCs w:val="0"/>
                <w:color w:val="auto"/>
                <w:sz w:val="21"/>
                <w:szCs w:val="21"/>
                <w:lang w:val="en-US" w:eastAsia="zh-CN"/>
              </w:rPr>
            </w:pPr>
            <w:r>
              <w:rPr>
                <w:rFonts w:hint="eastAsia" w:ascii="宋体" w:hAnsi="宋体" w:cs="宋体"/>
                <w:b w:val="0"/>
                <w:bCs w:val="0"/>
                <w:color w:val="auto"/>
                <w:sz w:val="21"/>
                <w:szCs w:val="21"/>
                <w:lang w:val="en-US" w:eastAsia="zh-CN"/>
              </w:rPr>
              <w:t>5</w:t>
            </w:r>
            <w:r>
              <w:rPr>
                <w:rFonts w:hint="eastAsia" w:ascii="宋体" w:hAnsi="宋体" w:cs="宋体"/>
                <w:b w:val="0"/>
                <w:bCs w:val="0"/>
                <w:color w:val="auto"/>
                <w:sz w:val="21"/>
                <w:szCs w:val="21"/>
              </w:rPr>
              <w:t>.2付款期限和方式：一次性付款</w:t>
            </w:r>
            <w:r>
              <w:rPr>
                <w:rFonts w:hint="eastAsia" w:ascii="宋体" w:hAnsi="宋体" w:cs="宋体"/>
                <w:b w:val="0"/>
                <w:bCs w:val="0"/>
                <w:color w:val="auto"/>
                <w:sz w:val="21"/>
                <w:szCs w:val="21"/>
                <w:lang w:eastAsia="zh-CN"/>
              </w:rPr>
              <w:t>。</w:t>
            </w:r>
            <w:r>
              <w:rPr>
                <w:rFonts w:hint="eastAsia" w:ascii="宋体" w:hAnsi="宋体" w:cs="宋体"/>
                <w:b w:val="0"/>
                <w:bCs w:val="0"/>
                <w:color w:val="auto"/>
                <w:sz w:val="21"/>
                <w:szCs w:val="21"/>
              </w:rPr>
              <w:t>设备到货验收合格，并收到对方开具的等额发票后</w:t>
            </w:r>
            <w:r>
              <w:rPr>
                <w:rFonts w:hint="eastAsia" w:ascii="宋体" w:hAnsi="宋体" w:cs="宋体"/>
                <w:b w:val="0"/>
                <w:bCs w:val="0"/>
                <w:color w:val="auto"/>
                <w:sz w:val="21"/>
                <w:szCs w:val="21"/>
                <w:u w:val="single"/>
              </w:rPr>
              <w:t>30日</w:t>
            </w:r>
            <w:r>
              <w:rPr>
                <w:rFonts w:hint="eastAsia" w:ascii="宋体" w:hAnsi="宋体" w:cs="宋体"/>
                <w:b w:val="0"/>
                <w:bCs w:val="0"/>
                <w:color w:val="auto"/>
                <w:sz w:val="21"/>
                <w:szCs w:val="21"/>
              </w:rPr>
              <w:t>内付款。采购人向中标人对公转账支付合同总价</w:t>
            </w:r>
            <w:r>
              <w:rPr>
                <w:rFonts w:hint="eastAsia" w:ascii="宋体" w:hAnsi="宋体" w:cs="宋体"/>
                <w:b w:val="0"/>
                <w:bCs w:val="0"/>
                <w:color w:val="auto"/>
                <w:sz w:val="21"/>
                <w:szCs w:val="21"/>
                <w:u w:val="single"/>
                <w:lang w:val="en-US" w:eastAsia="zh-CN"/>
              </w:rPr>
              <w:t>100</w:t>
            </w:r>
            <w:r>
              <w:rPr>
                <w:rFonts w:hint="eastAsia" w:ascii="宋体" w:hAnsi="宋体" w:cs="宋体"/>
                <w:b w:val="0"/>
                <w:bCs w:val="0"/>
                <w:color w:val="auto"/>
                <w:sz w:val="21"/>
                <w:szCs w:val="21"/>
                <w:u w:val="single"/>
              </w:rPr>
              <w:t>%</w:t>
            </w:r>
            <w:r>
              <w:rPr>
                <w:rFonts w:hint="eastAsia" w:ascii="宋体" w:hAnsi="宋体" w:cs="宋体"/>
                <w:b w:val="0"/>
                <w:bCs w:val="0"/>
                <w:color w:val="auto"/>
                <w:sz w:val="21"/>
                <w:szCs w:val="21"/>
              </w:rPr>
              <w:t>的款项。</w:t>
            </w:r>
          </w:p>
        </w:tc>
      </w:tr>
    </w:tbl>
    <w:p w14:paraId="6DE1DB88">
      <w:pPr>
        <w:rPr>
          <w:b/>
        </w:rPr>
      </w:pPr>
    </w:p>
    <w:p w14:paraId="057E9DE1">
      <w:pPr>
        <w:pStyle w:val="7"/>
        <w:spacing w:before="60" w:beforeLines="25" w:after="60" w:afterLines="25"/>
        <w:ind w:firstLine="0"/>
        <w:rPr>
          <w:rFonts w:hint="eastAsia" w:ascii="宋体" w:hAnsi="宋体" w:eastAsia="宋体"/>
          <w:b/>
          <w:bCs/>
          <w:color w:val="FF0000"/>
          <w:szCs w:val="21"/>
          <w:lang w:eastAsia="zh-CN"/>
        </w:rPr>
      </w:pPr>
      <w:r>
        <w:rPr>
          <w:rFonts w:hint="eastAsia" w:ascii="宋体" w:hAnsi="宋体"/>
          <w:b/>
          <w:bCs/>
          <w:color w:val="FF0000"/>
          <w:szCs w:val="21"/>
          <w:lang w:val="en-US" w:eastAsia="zh-CN"/>
        </w:rPr>
        <w:t>备注：</w:t>
      </w:r>
      <w:r>
        <w:rPr>
          <w:rFonts w:hint="eastAsia" w:ascii="宋体" w:hAnsi="宋体"/>
          <w:b/>
          <w:bCs/>
          <w:color w:val="FF0000"/>
          <w:szCs w:val="21"/>
        </w:rPr>
        <w:t>带★号条款为不可负偏离条款，不作为评分准则中的评分内容，如未响应或出现负偏离的，将作投标无效处理</w:t>
      </w:r>
      <w:r>
        <w:rPr>
          <w:rFonts w:hint="eastAsia" w:ascii="宋体" w:hAnsi="宋体"/>
          <w:b/>
          <w:bCs/>
          <w:color w:val="FF0000"/>
          <w:szCs w:val="21"/>
          <w:lang w:eastAsia="zh-CN"/>
        </w:rPr>
        <w:t>。</w:t>
      </w:r>
    </w:p>
    <w:p w14:paraId="71CD6FA0">
      <w:pPr>
        <w:spacing w:before="0" w:beforeLines="-2147483648" w:after="0" w:afterLines="-2147483648"/>
        <w:ind w:firstLine="560" w:firstLineChars="200"/>
        <w:outlineLvl w:val="9"/>
        <w:rPr>
          <w:rFonts w:hint="eastAsia" w:eastAsia="宋体"/>
          <w:bCs/>
          <w:sz w:val="21"/>
          <w:szCs w:val="21"/>
          <w:lang w:val="en-US" w:eastAsia="zh-CN"/>
        </w:rPr>
      </w:pPr>
      <w:r>
        <w:rPr>
          <w:sz w:val="28"/>
          <w:szCs w:val="28"/>
        </w:rPr>
        <w:br w:type="page"/>
      </w:r>
    </w:p>
    <w:p w14:paraId="3208AB9B">
      <w:pPr>
        <w:spacing w:before="120" w:beforeLines="50" w:after="120" w:afterLines="50"/>
        <w:jc w:val="center"/>
        <w:outlineLvl w:val="9"/>
        <w:rPr>
          <w:rFonts w:hint="eastAsia"/>
          <w:sz w:val="28"/>
          <w:szCs w:val="28"/>
          <w:lang w:val="en-US" w:eastAsia="zh-CN"/>
        </w:rPr>
      </w:pPr>
    </w:p>
    <w:p w14:paraId="79BA1216">
      <w:pPr>
        <w:pStyle w:val="3"/>
        <w:spacing w:before="120" w:beforeLines="50" w:after="120" w:afterLines="50"/>
        <w:jc w:val="center"/>
        <w:rPr>
          <w:sz w:val="28"/>
          <w:szCs w:val="28"/>
        </w:rPr>
      </w:pPr>
      <w:r>
        <w:rPr>
          <w:rFonts w:hint="eastAsia"/>
          <w:sz w:val="28"/>
          <w:szCs w:val="28"/>
          <w:lang w:val="en-US" w:eastAsia="zh-CN"/>
        </w:rPr>
        <w:t>六</w:t>
      </w:r>
      <w:r>
        <w:rPr>
          <w:rFonts w:hint="eastAsia"/>
          <w:sz w:val="28"/>
          <w:szCs w:val="28"/>
        </w:rPr>
        <w:t>、</w:t>
      </w:r>
      <w:bookmarkStart w:id="60" w:name="OLE_LINK12"/>
      <w:r>
        <w:rPr>
          <w:rFonts w:hint="eastAsia"/>
          <w:sz w:val="28"/>
          <w:szCs w:val="28"/>
        </w:rPr>
        <w:t>其他</w:t>
      </w:r>
      <w:bookmarkEnd w:id="60"/>
      <w:r>
        <w:rPr>
          <w:rFonts w:hint="eastAsia"/>
          <w:sz w:val="28"/>
          <w:szCs w:val="28"/>
        </w:rPr>
        <w:t>重要条款</w:t>
      </w:r>
    </w:p>
    <w:p w14:paraId="56EA0CF2">
      <w:pPr>
        <w:ind w:firstLine="420" w:firstLineChars="200"/>
        <w:rPr>
          <w:bCs/>
          <w:szCs w:val="21"/>
        </w:rPr>
      </w:pPr>
      <w:r>
        <w:rPr>
          <w:rFonts w:hint="eastAsia"/>
          <w:bCs/>
          <w:szCs w:val="21"/>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14:paraId="4B4E7C1D">
      <w:pPr>
        <w:pStyle w:val="7"/>
        <w:spacing w:before="60" w:beforeLines="25" w:after="60" w:afterLines="25"/>
        <w:ind w:firstLine="392" w:firstLineChars="187"/>
        <w:rPr>
          <w:rFonts w:ascii="宋体" w:hAnsi="宋体"/>
          <w:szCs w:val="21"/>
        </w:rPr>
      </w:pPr>
      <w:r>
        <w:rPr>
          <w:bCs/>
          <w:szCs w:val="21"/>
        </w:rPr>
        <w:t>2</w:t>
      </w:r>
      <w:r>
        <w:rPr>
          <w:rFonts w:hint="eastAsia"/>
          <w:bCs/>
          <w:szCs w:val="21"/>
        </w:rPr>
        <w:t>、投标人应充分了解项目的位置、情况、道路及任何其它足以影响投标报价的情况，任何因忽视或误解项目情况而导致的索赔或服务期限延长申请将不获批准。</w:t>
      </w:r>
    </w:p>
    <w:p w14:paraId="5C70E2CC">
      <w:pPr>
        <w:ind w:firstLine="420" w:firstLineChars="200"/>
        <w:rPr>
          <w:bCs/>
          <w:szCs w:val="21"/>
        </w:rPr>
      </w:pPr>
      <w:r>
        <w:rPr>
          <w:bCs/>
          <w:szCs w:val="21"/>
        </w:rPr>
        <w:t>3</w:t>
      </w:r>
      <w:r>
        <w:rPr>
          <w:rFonts w:hint="eastAsia"/>
          <w:bCs/>
          <w:szCs w:val="21"/>
        </w:rPr>
        <w:t>、投标人不得期望通过索赔等方式获取补偿，否则，除可能遭到拒绝外，还可能将被作为不良行为记录在案，并可能影响其以后参加政府采购的项目投标。各投标人在投标报价时，应充分考虑投标报价的风险。</w:t>
      </w:r>
    </w:p>
    <w:p w14:paraId="4A63E9F2">
      <w:pPr>
        <w:ind w:firstLine="420" w:firstLineChars="200"/>
        <w:rPr>
          <w:bCs/>
          <w:szCs w:val="21"/>
        </w:rPr>
      </w:pPr>
      <w:r>
        <w:rPr>
          <w:rFonts w:hint="eastAsia"/>
          <w:bCs/>
          <w:szCs w:val="21"/>
        </w:rPr>
        <w:t>4、除政府采购合同继续履行将损害国家利益和社会公共利益外，双方当事人不得擅自变更、中止或者终止合同。</w:t>
      </w:r>
    </w:p>
    <w:p w14:paraId="283A5A96">
      <w:pPr>
        <w:ind w:firstLine="420" w:firstLineChars="200"/>
        <w:rPr>
          <w:bCs/>
          <w:szCs w:val="21"/>
        </w:rPr>
      </w:pPr>
      <w:r>
        <w:rPr>
          <w:rFonts w:hint="eastAsia"/>
          <w:bCs/>
          <w:szCs w:val="21"/>
        </w:rPr>
        <w:t>5、</w:t>
      </w:r>
      <w:r>
        <w:rPr>
          <w:rFonts w:hint="eastAsia" w:ascii="宋体" w:hAnsi="宋体" w:cs="宋体"/>
          <w:kern w:val="0"/>
          <w:szCs w:val="21"/>
        </w:rPr>
        <w:t>“信用中国”（www.creditchina.gov.cn，查询“信用服务”栏的“重大税收违法失信主体”“失信被执行人”或者下载信用信息报告），“中国政府采购网”（www.ccgp.gov.cn）中的“政府采购严重违法失信行为记录名单”，为供应商信用信息的查询渠道，相关信息以开标当日的查询结果为准；</w:t>
      </w:r>
      <w:r>
        <w:rPr>
          <w:rFonts w:hint="eastAsia"/>
          <w:bCs/>
          <w:szCs w:val="21"/>
        </w:rPr>
        <w:t>如开标当日网站出现网站无法打开的特殊情况，相关信息则以中标通知书发出前的查询结果为准。</w:t>
      </w:r>
    </w:p>
    <w:p w14:paraId="181B0CB3">
      <w:pPr>
        <w:ind w:firstLine="420" w:firstLineChars="200"/>
        <w:rPr>
          <w:bCs/>
          <w:szCs w:val="21"/>
        </w:rPr>
      </w:pPr>
      <w:r>
        <w:rPr>
          <w:rFonts w:hint="eastAsia"/>
          <w:bCs/>
          <w:szCs w:val="21"/>
        </w:rPr>
        <w:t>6、供应商提供报价合理性、澄清、说明、补正或者错误的修正的方式，包括但不限于现场提交（地址：深圳市罗湖区深南东路1076号党群服务中心4楼）、电邮提交（邮箱：szexlhfgs@szexgrp.com）等便捷方式。</w:t>
      </w:r>
    </w:p>
    <w:p w14:paraId="53DE63C6">
      <w:pPr>
        <w:ind w:firstLine="420" w:firstLineChars="200"/>
        <w:rPr>
          <w:bCs/>
          <w:szCs w:val="21"/>
        </w:rPr>
      </w:pPr>
    </w:p>
    <w:p w14:paraId="0728BCD6">
      <w:pPr>
        <w:rPr>
          <w:rFonts w:ascii="宋体" w:hAnsi="宋体"/>
        </w:rPr>
      </w:pPr>
    </w:p>
    <w:p w14:paraId="52AAF3F6">
      <w:pPr>
        <w:widowControl/>
        <w:jc w:val="left"/>
        <w:rPr>
          <w:b/>
          <w:szCs w:val="21"/>
        </w:rPr>
      </w:pPr>
      <w:r>
        <w:br w:type="page"/>
      </w:r>
    </w:p>
    <w:p w14:paraId="5EC358DF">
      <w:pPr>
        <w:pStyle w:val="18"/>
        <w:rPr>
          <w:rFonts w:ascii="宋体" w:hAnsi="宋体"/>
        </w:rPr>
        <w:sectPr>
          <w:pgSz w:w="11907" w:h="16840"/>
          <w:pgMar w:top="1440" w:right="1797" w:bottom="1440" w:left="1797" w:header="851" w:footer="992" w:gutter="0"/>
          <w:pgNumType w:fmt="decimal"/>
          <w:cols w:space="425" w:num="1"/>
          <w:titlePg/>
          <w:docGrid w:linePitch="462" w:charSpace="0"/>
        </w:sectPr>
      </w:pPr>
    </w:p>
    <w:p w14:paraId="77808B20">
      <w:pPr>
        <w:pStyle w:val="5"/>
        <w:rPr>
          <w:kern w:val="2"/>
        </w:rPr>
      </w:pPr>
      <w:r>
        <w:rPr>
          <w:rFonts w:hint="eastAsia"/>
          <w:kern w:val="2"/>
        </w:rPr>
        <w:t>第四章</w:t>
      </w:r>
      <w:r>
        <w:rPr>
          <w:kern w:val="2"/>
        </w:rPr>
        <w:t xml:space="preserve"> </w:t>
      </w:r>
      <w:r>
        <w:rPr>
          <w:rFonts w:hint="eastAsia"/>
          <w:kern w:val="2"/>
        </w:rPr>
        <w:t xml:space="preserve"> 投标文件组成要求及格式</w:t>
      </w:r>
    </w:p>
    <w:p w14:paraId="5D557CB6">
      <w:pPr>
        <w:ind w:firstLine="420" w:firstLineChars="200"/>
        <w:rPr>
          <w:rFonts w:ascii="宋体" w:hAnsi="宋体"/>
          <w:szCs w:val="21"/>
        </w:rPr>
      </w:pPr>
    </w:p>
    <w:p w14:paraId="4B7D912C">
      <w:pPr>
        <w:rPr>
          <w:rStyle w:val="59"/>
          <w:sz w:val="28"/>
          <w:szCs w:val="28"/>
        </w:rPr>
      </w:pPr>
      <w:bookmarkStart w:id="61" w:name="_Hlk72257253"/>
      <w:r>
        <w:rPr>
          <w:rStyle w:val="59"/>
          <w:rFonts w:hint="eastAsia"/>
          <w:sz w:val="28"/>
          <w:szCs w:val="28"/>
        </w:rPr>
        <w:t>投标文件组成：</w:t>
      </w:r>
    </w:p>
    <w:p w14:paraId="456D9FF9">
      <w:pPr>
        <w:rPr>
          <w:rFonts w:hint="eastAsia" w:ascii="Times New Roman" w:hAnsi="Times New Roman" w:eastAsia="宋体" w:cs="Times New Roman"/>
          <w:szCs w:val="21"/>
        </w:rPr>
      </w:pPr>
      <w:bookmarkStart w:id="62" w:name="OLE_LINK26"/>
      <w:r>
        <w:rPr>
          <w:rFonts w:hint="eastAsia" w:ascii="Times New Roman" w:hAnsi="Times New Roman" w:eastAsia="宋体" w:cs="Times New Roman"/>
          <w:szCs w:val="21"/>
        </w:rPr>
        <w:t>1.投标文件主要包括以下内容：</w:t>
      </w:r>
    </w:p>
    <w:p w14:paraId="112AE9D2">
      <w:pPr>
        <w:rPr>
          <w:rFonts w:hint="eastAsia" w:cs="宋体" w:asciiTheme="minorHAnsi" w:hAnsiTheme="minorHAnsi"/>
          <w:szCs w:val="22"/>
        </w:rPr>
      </w:pPr>
      <w:r>
        <w:rPr>
          <w:rFonts w:hint="eastAsia" w:cs="宋体" w:asciiTheme="minorHAnsi" w:hAnsiTheme="minorHAnsi"/>
          <w:szCs w:val="22"/>
        </w:rPr>
        <w:t>（1）</w:t>
      </w:r>
      <w:bookmarkStart w:id="63" w:name="_Hlk72070784"/>
      <w:r>
        <w:rPr>
          <w:rFonts w:hint="eastAsia" w:cs="宋体" w:asciiTheme="minorHAnsi" w:hAnsiTheme="minorHAnsi"/>
          <w:szCs w:val="22"/>
        </w:rPr>
        <w:t>投标函</w:t>
      </w:r>
      <w:bookmarkEnd w:id="63"/>
    </w:p>
    <w:p w14:paraId="0A9EF55B">
      <w:pPr>
        <w:rPr>
          <w:rFonts w:hint="eastAsia" w:cs="宋体" w:asciiTheme="minorHAnsi" w:hAnsiTheme="minorHAnsi"/>
          <w:szCs w:val="22"/>
        </w:rPr>
      </w:pPr>
      <w:r>
        <w:rPr>
          <w:rFonts w:hint="eastAsia" w:cs="宋体" w:asciiTheme="minorHAnsi" w:hAnsiTheme="minorHAnsi"/>
          <w:szCs w:val="22"/>
        </w:rPr>
        <w:t>（2）</w:t>
      </w:r>
      <w:bookmarkStart w:id="64" w:name="_Hlk72062521"/>
      <w:r>
        <w:rPr>
          <w:rFonts w:hint="eastAsia" w:cs="宋体" w:asciiTheme="minorHAnsi" w:hAnsiTheme="minorHAnsi"/>
          <w:szCs w:val="22"/>
        </w:rPr>
        <w:t>政府采购投标及履约承诺函</w:t>
      </w:r>
      <w:bookmarkEnd w:id="64"/>
    </w:p>
    <w:p w14:paraId="3F1DFE8A">
      <w:pPr>
        <w:rPr>
          <w:rFonts w:hint="eastAsia" w:cs="宋体" w:asciiTheme="minorHAnsi" w:hAnsiTheme="minorHAnsi"/>
          <w:szCs w:val="22"/>
        </w:rPr>
      </w:pPr>
      <w:r>
        <w:rPr>
          <w:rFonts w:hint="eastAsia" w:cs="宋体" w:asciiTheme="minorHAnsi" w:hAnsiTheme="minorHAnsi"/>
          <w:szCs w:val="22"/>
        </w:rPr>
        <w:t>（3）供应商合规承诺函</w:t>
      </w:r>
    </w:p>
    <w:p w14:paraId="48F313A8">
      <w:pPr>
        <w:rPr>
          <w:rFonts w:hint="eastAsia" w:cs="宋体" w:asciiTheme="minorHAnsi" w:hAnsiTheme="minorHAnsi"/>
          <w:szCs w:val="22"/>
        </w:rPr>
      </w:pPr>
      <w:r>
        <w:rPr>
          <w:rFonts w:hint="eastAsia" w:cs="宋体" w:asciiTheme="minorHAnsi" w:hAnsiTheme="minorHAnsi"/>
          <w:szCs w:val="22"/>
        </w:rPr>
        <w:t>（</w:t>
      </w:r>
      <w:r>
        <w:rPr>
          <w:rFonts w:hint="eastAsia" w:cs="宋体" w:asciiTheme="minorHAnsi" w:hAnsiTheme="minorHAnsi"/>
          <w:szCs w:val="22"/>
          <w:lang w:val="en-US" w:eastAsia="zh-CN"/>
        </w:rPr>
        <w:t>4</w:t>
      </w:r>
      <w:r>
        <w:rPr>
          <w:rFonts w:hint="eastAsia" w:cs="宋体" w:asciiTheme="minorHAnsi" w:hAnsiTheme="minorHAnsi"/>
          <w:szCs w:val="22"/>
        </w:rPr>
        <w:t>）投标人情况及资格证明文件</w:t>
      </w:r>
    </w:p>
    <w:p w14:paraId="18102EDB">
      <w:pPr>
        <w:rPr>
          <w:rFonts w:hint="eastAsia" w:cs="宋体" w:asciiTheme="minorHAnsi" w:hAnsiTheme="minorHAnsi"/>
          <w:szCs w:val="22"/>
        </w:rPr>
      </w:pPr>
      <w:bookmarkStart w:id="65" w:name="_Hlk72257201"/>
      <w:r>
        <w:rPr>
          <w:rFonts w:hint="eastAsia" w:cs="宋体" w:asciiTheme="minorHAnsi" w:hAnsiTheme="minorHAnsi"/>
          <w:szCs w:val="22"/>
        </w:rPr>
        <w:t>（</w:t>
      </w:r>
      <w:r>
        <w:rPr>
          <w:rFonts w:hint="eastAsia" w:cs="宋体" w:asciiTheme="minorHAnsi" w:hAnsiTheme="minorHAnsi"/>
          <w:szCs w:val="22"/>
          <w:lang w:val="en-US" w:eastAsia="zh-CN"/>
        </w:rPr>
        <w:t>5</w:t>
      </w:r>
      <w:r>
        <w:rPr>
          <w:rFonts w:hint="eastAsia" w:cs="宋体" w:asciiTheme="minorHAnsi" w:hAnsiTheme="minorHAnsi"/>
          <w:szCs w:val="22"/>
        </w:rPr>
        <w:t>）项目详细报价</w:t>
      </w:r>
    </w:p>
    <w:bookmarkEnd w:id="65"/>
    <w:p w14:paraId="0078CCE1">
      <w:pPr>
        <w:rPr>
          <w:rFonts w:hint="default" w:cs="宋体" w:asciiTheme="minorHAnsi" w:hAnsiTheme="minorHAnsi"/>
          <w:szCs w:val="22"/>
          <w:lang w:val="en-US" w:eastAsia="zh-CN"/>
        </w:rPr>
      </w:pPr>
      <w:r>
        <w:rPr>
          <w:rFonts w:hint="eastAsia" w:cs="宋体" w:asciiTheme="minorHAnsi" w:hAnsiTheme="minorHAnsi"/>
          <w:szCs w:val="22"/>
        </w:rPr>
        <w:t>（</w:t>
      </w:r>
      <w:r>
        <w:rPr>
          <w:rFonts w:hint="eastAsia" w:cs="宋体" w:asciiTheme="minorHAnsi" w:hAnsiTheme="minorHAnsi"/>
          <w:szCs w:val="22"/>
          <w:lang w:val="en-US" w:eastAsia="zh-CN"/>
        </w:rPr>
        <w:t>6</w:t>
      </w:r>
      <w:r>
        <w:rPr>
          <w:rFonts w:hint="eastAsia" w:cs="宋体" w:asciiTheme="minorHAnsi" w:hAnsiTheme="minorHAnsi"/>
          <w:szCs w:val="22"/>
        </w:rPr>
        <w:t>）</w:t>
      </w:r>
      <w:r>
        <w:rPr>
          <w:rFonts w:hint="eastAsia" w:cs="宋体" w:asciiTheme="minorHAnsi" w:hAnsiTheme="minorHAnsi"/>
          <w:szCs w:val="22"/>
          <w:lang w:val="en-US" w:eastAsia="zh-CN"/>
        </w:rPr>
        <w:t>供应商基本情况表</w:t>
      </w:r>
    </w:p>
    <w:p w14:paraId="30B5B9BA">
      <w:pPr>
        <w:rPr>
          <w:rFonts w:hint="eastAsia" w:cs="宋体" w:asciiTheme="minorHAnsi" w:hAnsiTheme="minorHAnsi"/>
          <w:szCs w:val="22"/>
        </w:rPr>
      </w:pPr>
      <w:r>
        <w:rPr>
          <w:rFonts w:hint="eastAsia" w:cs="宋体" w:asciiTheme="minorHAnsi" w:hAnsiTheme="minorHAnsi"/>
          <w:szCs w:val="22"/>
        </w:rPr>
        <w:t>（</w:t>
      </w:r>
      <w:r>
        <w:rPr>
          <w:rFonts w:hint="eastAsia" w:cs="宋体" w:asciiTheme="minorHAnsi" w:hAnsiTheme="minorHAnsi"/>
          <w:szCs w:val="22"/>
          <w:lang w:val="en-US" w:eastAsia="zh-CN"/>
        </w:rPr>
        <w:t>7</w:t>
      </w:r>
      <w:r>
        <w:rPr>
          <w:rFonts w:hint="eastAsia" w:cs="宋体" w:asciiTheme="minorHAnsi" w:hAnsiTheme="minorHAnsi"/>
          <w:szCs w:val="22"/>
        </w:rPr>
        <w:t>）法定代表人（负责人）证明书</w:t>
      </w:r>
    </w:p>
    <w:p w14:paraId="25B0FF8D">
      <w:pPr>
        <w:rPr>
          <w:rFonts w:hint="eastAsia" w:cs="宋体" w:asciiTheme="minorHAnsi" w:hAnsiTheme="minorHAnsi"/>
          <w:szCs w:val="22"/>
        </w:rPr>
      </w:pPr>
      <w:r>
        <w:rPr>
          <w:rFonts w:hint="eastAsia" w:cs="宋体" w:asciiTheme="minorHAnsi" w:hAnsiTheme="minorHAnsi"/>
          <w:szCs w:val="22"/>
        </w:rPr>
        <w:t>（</w:t>
      </w:r>
      <w:r>
        <w:rPr>
          <w:rFonts w:hint="eastAsia" w:cs="宋体" w:asciiTheme="minorHAnsi" w:hAnsiTheme="minorHAnsi"/>
          <w:szCs w:val="22"/>
          <w:lang w:val="en-US" w:eastAsia="zh-CN"/>
        </w:rPr>
        <w:t>8</w:t>
      </w:r>
      <w:r>
        <w:rPr>
          <w:rFonts w:hint="eastAsia" w:cs="宋体" w:asciiTheme="minorHAnsi" w:hAnsiTheme="minorHAnsi"/>
          <w:szCs w:val="22"/>
        </w:rPr>
        <w:t>）投标文件签署授权委托书</w:t>
      </w:r>
    </w:p>
    <w:p w14:paraId="76DA69DF">
      <w:pPr>
        <w:rPr>
          <w:rFonts w:hint="eastAsia" w:cs="宋体" w:asciiTheme="minorHAnsi" w:hAnsiTheme="minorHAnsi"/>
          <w:szCs w:val="22"/>
        </w:rPr>
      </w:pPr>
      <w:r>
        <w:rPr>
          <w:rFonts w:hint="eastAsia" w:cs="宋体" w:asciiTheme="minorHAnsi" w:hAnsiTheme="minorHAnsi"/>
          <w:szCs w:val="22"/>
        </w:rPr>
        <w:t>（</w:t>
      </w:r>
      <w:r>
        <w:rPr>
          <w:rFonts w:hint="eastAsia" w:cs="宋体" w:asciiTheme="minorHAnsi" w:hAnsiTheme="minorHAnsi"/>
          <w:szCs w:val="22"/>
          <w:lang w:val="en-US" w:eastAsia="zh-CN"/>
        </w:rPr>
        <w:t>9</w:t>
      </w:r>
      <w:r>
        <w:rPr>
          <w:rFonts w:hint="eastAsia" w:cs="宋体" w:asciiTheme="minorHAnsi" w:hAnsiTheme="minorHAnsi"/>
          <w:szCs w:val="22"/>
        </w:rPr>
        <w:t>）实质性条款响应情况表</w:t>
      </w:r>
    </w:p>
    <w:p w14:paraId="63F3DE1E">
      <w:pPr>
        <w:rPr>
          <w:rFonts w:hint="eastAsia" w:cs="宋体" w:asciiTheme="minorHAnsi" w:hAnsiTheme="minorHAnsi"/>
          <w:szCs w:val="22"/>
        </w:rPr>
      </w:pPr>
      <w:r>
        <w:rPr>
          <w:rFonts w:hint="eastAsia" w:cs="宋体" w:asciiTheme="minorHAnsi" w:hAnsiTheme="minorHAnsi"/>
          <w:szCs w:val="22"/>
        </w:rPr>
        <w:t>（</w:t>
      </w:r>
      <w:r>
        <w:rPr>
          <w:rFonts w:hint="eastAsia" w:cs="宋体" w:asciiTheme="minorHAnsi" w:hAnsiTheme="minorHAnsi"/>
          <w:szCs w:val="22"/>
          <w:lang w:val="en-US" w:eastAsia="zh-CN"/>
        </w:rPr>
        <w:t>10</w:t>
      </w:r>
      <w:r>
        <w:rPr>
          <w:rFonts w:hint="eastAsia" w:cs="宋体" w:asciiTheme="minorHAnsi" w:hAnsiTheme="minorHAnsi"/>
          <w:szCs w:val="22"/>
        </w:rPr>
        <w:t>）</w:t>
      </w:r>
      <w:r>
        <w:rPr>
          <w:rFonts w:hint="default" w:ascii="宋体" w:hAnsi="宋体" w:eastAsia="宋体" w:cs="宋体"/>
          <w:b w:val="0"/>
          <w:bCs w:val="0"/>
          <w:i w:val="0"/>
          <w:color w:val="000000"/>
          <w:kern w:val="0"/>
          <w:sz w:val="21"/>
          <w:szCs w:val="21"/>
          <w:lang w:val="en-US" w:eastAsia="zh-CN" w:bidi="ar"/>
        </w:rPr>
        <w:t>技术要求偏离表</w:t>
      </w:r>
    </w:p>
    <w:p w14:paraId="5DA81C21">
      <w:pPr>
        <w:rPr>
          <w:rFonts w:hint="eastAsia" w:cs="宋体" w:asciiTheme="minorHAnsi" w:hAnsiTheme="minorHAnsi"/>
          <w:szCs w:val="22"/>
        </w:rPr>
      </w:pPr>
      <w:r>
        <w:rPr>
          <w:rFonts w:hint="eastAsia" w:cs="宋体" w:asciiTheme="minorHAnsi" w:hAnsiTheme="minorHAnsi"/>
          <w:szCs w:val="22"/>
          <w:lang w:eastAsia="zh-CN"/>
        </w:rPr>
        <w:t>（</w:t>
      </w:r>
      <w:r>
        <w:rPr>
          <w:rFonts w:hint="eastAsia" w:cs="宋体" w:asciiTheme="minorHAnsi" w:hAnsiTheme="minorHAnsi"/>
          <w:szCs w:val="22"/>
          <w:lang w:val="en-US" w:eastAsia="zh-CN"/>
        </w:rPr>
        <w:t>11</w:t>
      </w:r>
      <w:r>
        <w:rPr>
          <w:rFonts w:hint="eastAsia" w:cs="宋体" w:asciiTheme="minorHAnsi" w:hAnsiTheme="minorHAnsi"/>
          <w:szCs w:val="22"/>
          <w:lang w:eastAsia="zh-CN"/>
        </w:rPr>
        <w:t>）</w:t>
      </w:r>
      <w:r>
        <w:rPr>
          <w:rFonts w:hint="eastAsia" w:ascii="宋体" w:hAnsi="宋体" w:eastAsia="宋体" w:cs="宋体"/>
          <w:i w:val="0"/>
          <w:color w:val="000000"/>
          <w:kern w:val="0"/>
          <w:sz w:val="21"/>
          <w:szCs w:val="21"/>
          <w:u w:val="none"/>
          <w:lang w:val="en-US" w:eastAsia="zh-CN" w:bidi="ar"/>
        </w:rPr>
        <w:t>实施方案</w:t>
      </w:r>
    </w:p>
    <w:p w14:paraId="6D10A139">
      <w:pPr>
        <w:rPr>
          <w:rFonts w:hint="eastAsia" w:cs="宋体" w:asciiTheme="minorHAnsi" w:hAnsiTheme="minorHAnsi"/>
          <w:szCs w:val="22"/>
        </w:rPr>
      </w:pPr>
      <w:r>
        <w:rPr>
          <w:rFonts w:hint="eastAsia" w:cs="宋体" w:asciiTheme="minorHAnsi" w:hAnsiTheme="minorHAnsi"/>
          <w:szCs w:val="22"/>
          <w:lang w:eastAsia="zh-CN"/>
        </w:rPr>
        <w:t>（</w:t>
      </w:r>
      <w:r>
        <w:rPr>
          <w:rFonts w:hint="eastAsia" w:cs="宋体" w:asciiTheme="minorHAnsi" w:hAnsiTheme="minorHAnsi"/>
          <w:szCs w:val="22"/>
          <w:lang w:val="en-US" w:eastAsia="zh-CN"/>
        </w:rPr>
        <w:t>12</w:t>
      </w:r>
      <w:r>
        <w:rPr>
          <w:rFonts w:hint="eastAsia" w:cs="宋体" w:asciiTheme="minorHAnsi" w:hAnsiTheme="minorHAnsi"/>
          <w:szCs w:val="22"/>
          <w:lang w:eastAsia="zh-CN"/>
        </w:rPr>
        <w:t>）</w:t>
      </w:r>
      <w:r>
        <w:rPr>
          <w:rFonts w:hint="eastAsia" w:ascii="宋体" w:hAnsi="宋体" w:eastAsia="宋体" w:cs="宋体"/>
          <w:i w:val="0"/>
          <w:color w:val="000000"/>
          <w:kern w:val="0"/>
          <w:sz w:val="21"/>
          <w:szCs w:val="21"/>
          <w:u w:val="none"/>
          <w:lang w:val="en-US" w:eastAsia="zh-CN" w:bidi="ar"/>
        </w:rPr>
        <w:t>配件更换</w:t>
      </w:r>
    </w:p>
    <w:p w14:paraId="49943960">
      <w:pPr>
        <w:rPr>
          <w:rFonts w:hint="eastAsia" w:ascii="宋体" w:hAnsi="宋体" w:eastAsia="宋体" w:cs="宋体"/>
          <w:i w:val="0"/>
          <w:color w:val="000000"/>
          <w:kern w:val="0"/>
          <w:sz w:val="21"/>
          <w:szCs w:val="21"/>
          <w:u w:val="none"/>
          <w:lang w:val="en-US" w:eastAsia="zh-CN" w:bidi="ar"/>
        </w:rPr>
      </w:pPr>
      <w:r>
        <w:rPr>
          <w:rFonts w:hint="eastAsia" w:cs="宋体" w:asciiTheme="minorHAnsi" w:hAnsiTheme="minorHAnsi"/>
          <w:szCs w:val="22"/>
          <w:lang w:eastAsia="zh-CN"/>
        </w:rPr>
        <w:t>（</w:t>
      </w:r>
      <w:r>
        <w:rPr>
          <w:rFonts w:hint="eastAsia" w:cs="宋体" w:asciiTheme="minorHAnsi" w:hAnsiTheme="minorHAnsi"/>
          <w:szCs w:val="22"/>
          <w:lang w:val="en-US" w:eastAsia="zh-CN"/>
        </w:rPr>
        <w:t>13</w:t>
      </w:r>
      <w:r>
        <w:rPr>
          <w:rFonts w:hint="eastAsia" w:cs="宋体" w:asciiTheme="minorHAnsi" w:hAnsiTheme="minorHAnsi"/>
          <w:szCs w:val="22"/>
          <w:lang w:eastAsia="zh-CN"/>
        </w:rPr>
        <w:t>）</w:t>
      </w:r>
      <w:r>
        <w:rPr>
          <w:rFonts w:hint="eastAsia" w:ascii="宋体" w:hAnsi="宋体" w:eastAsia="宋体" w:cs="宋体"/>
          <w:i w:val="0"/>
          <w:color w:val="000000"/>
          <w:kern w:val="0"/>
          <w:sz w:val="21"/>
          <w:szCs w:val="21"/>
          <w:u w:val="none"/>
          <w:lang w:val="en-US" w:eastAsia="zh-CN" w:bidi="ar"/>
        </w:rPr>
        <w:t>维保服务</w:t>
      </w:r>
    </w:p>
    <w:p w14:paraId="1844A852">
      <w:pPr>
        <w:rPr>
          <w:rFonts w:hint="eastAsia" w:ascii="宋体" w:hAnsi="宋体" w:eastAsia="宋体" w:cs="宋体"/>
          <w:i w:val="0"/>
          <w:color w:val="000000"/>
          <w:kern w:val="0"/>
          <w:sz w:val="21"/>
          <w:szCs w:val="21"/>
          <w:u w:val="none"/>
          <w:lang w:val="en-US" w:eastAsia="zh-CN" w:bidi="ar"/>
        </w:rPr>
      </w:pPr>
      <w:r>
        <w:rPr>
          <w:rFonts w:hint="eastAsia" w:cs="宋体" w:asciiTheme="minorHAnsi" w:hAnsiTheme="minorHAnsi"/>
          <w:szCs w:val="22"/>
          <w:lang w:eastAsia="zh-CN"/>
        </w:rPr>
        <w:t>（</w:t>
      </w:r>
      <w:r>
        <w:rPr>
          <w:rFonts w:hint="eastAsia" w:cs="宋体" w:asciiTheme="minorHAnsi" w:hAnsiTheme="minorHAnsi"/>
          <w:szCs w:val="22"/>
          <w:lang w:val="en-US" w:eastAsia="zh-CN"/>
        </w:rPr>
        <w:t>14</w:t>
      </w:r>
      <w:r>
        <w:rPr>
          <w:rFonts w:hint="eastAsia" w:cs="宋体" w:asciiTheme="minorHAnsi" w:hAnsiTheme="minorHAnsi"/>
          <w:szCs w:val="22"/>
          <w:lang w:eastAsia="zh-CN"/>
        </w:rPr>
        <w:t>）</w:t>
      </w:r>
      <w:r>
        <w:rPr>
          <w:rFonts w:hint="eastAsia" w:ascii="宋体" w:hAnsi="宋体" w:eastAsia="宋体" w:cs="宋体"/>
          <w:i w:val="0"/>
          <w:color w:val="000000"/>
          <w:kern w:val="0"/>
          <w:sz w:val="21"/>
          <w:szCs w:val="21"/>
          <w:u w:val="none"/>
          <w:lang w:val="en-US" w:eastAsia="zh-CN" w:bidi="ar"/>
        </w:rPr>
        <w:t>设备巡检</w:t>
      </w:r>
    </w:p>
    <w:p w14:paraId="7D92A4DD">
      <w:pPr>
        <w:rPr>
          <w:rFonts w:hint="eastAsia" w:cs="宋体" w:asciiTheme="minorHAnsi" w:hAnsiTheme="minorHAnsi"/>
          <w:szCs w:val="22"/>
        </w:rPr>
      </w:pPr>
      <w:r>
        <w:rPr>
          <w:rFonts w:hint="eastAsia" w:cs="宋体" w:asciiTheme="minorHAnsi" w:hAnsiTheme="minorHAnsi"/>
          <w:szCs w:val="22"/>
          <w:lang w:val="en-US" w:eastAsia="zh-CN"/>
        </w:rPr>
        <w:t>（15）</w:t>
      </w:r>
      <w:r>
        <w:rPr>
          <w:rFonts w:hint="eastAsia" w:ascii="宋体" w:hAnsi="宋体" w:eastAsia="宋体" w:cs="宋体"/>
          <w:i w:val="0"/>
          <w:color w:val="000000"/>
          <w:kern w:val="0"/>
          <w:sz w:val="21"/>
          <w:szCs w:val="21"/>
          <w:u w:val="none"/>
          <w:lang w:val="en-US" w:eastAsia="zh-CN" w:bidi="ar"/>
        </w:rPr>
        <w:t>产品业绩</w:t>
      </w:r>
    </w:p>
    <w:p w14:paraId="5EF30C3A">
      <w:pPr>
        <w:rPr>
          <w:rFonts w:hint="eastAsia" w:ascii="宋体" w:hAnsi="宋体" w:eastAsia="宋体" w:cs="宋体"/>
          <w:color w:val="000000"/>
          <w:sz w:val="21"/>
          <w:szCs w:val="21"/>
        </w:rPr>
      </w:pPr>
      <w:r>
        <w:rPr>
          <w:rFonts w:hint="eastAsia" w:cs="宋体" w:asciiTheme="minorHAnsi" w:hAnsiTheme="minorHAnsi"/>
          <w:szCs w:val="22"/>
          <w:lang w:eastAsia="zh-CN"/>
        </w:rPr>
        <w:t>（</w:t>
      </w:r>
      <w:bookmarkStart w:id="66" w:name="OLE_LINK2"/>
      <w:r>
        <w:rPr>
          <w:rFonts w:hint="eastAsia" w:cs="宋体" w:asciiTheme="minorHAnsi" w:hAnsiTheme="minorHAnsi"/>
          <w:szCs w:val="22"/>
          <w:lang w:val="en-US" w:eastAsia="zh-CN"/>
        </w:rPr>
        <w:t>1</w:t>
      </w:r>
      <w:bookmarkEnd w:id="66"/>
      <w:r>
        <w:rPr>
          <w:rFonts w:hint="eastAsia" w:cs="宋体" w:asciiTheme="minorHAnsi" w:hAnsiTheme="minorHAnsi"/>
          <w:szCs w:val="22"/>
          <w:lang w:val="en-US" w:eastAsia="zh-CN"/>
        </w:rPr>
        <w:t>6</w:t>
      </w:r>
      <w:r>
        <w:rPr>
          <w:rFonts w:hint="eastAsia" w:cs="宋体" w:asciiTheme="minorHAnsi" w:hAnsiTheme="minorHAnsi"/>
          <w:szCs w:val="22"/>
          <w:lang w:eastAsia="zh-CN"/>
        </w:rPr>
        <w:t>）</w:t>
      </w:r>
      <w:r>
        <w:rPr>
          <w:rFonts w:hint="eastAsia" w:ascii="宋体" w:hAnsi="宋体" w:eastAsia="宋体" w:cs="宋体"/>
          <w:color w:val="000000"/>
          <w:kern w:val="0"/>
          <w:sz w:val="21"/>
          <w:szCs w:val="21"/>
          <w:lang w:eastAsia="zh-CN" w:bidi="ar"/>
        </w:rPr>
        <w:t>服务能力</w:t>
      </w:r>
    </w:p>
    <w:p w14:paraId="2863F740">
      <w:pPr>
        <w:rPr>
          <w:rFonts w:hint="default" w:cs="宋体" w:asciiTheme="minorHAnsi" w:hAnsiTheme="minorHAnsi"/>
          <w:szCs w:val="22"/>
        </w:rPr>
      </w:pPr>
      <w:r>
        <w:rPr>
          <w:rFonts w:hint="eastAsia" w:cs="宋体" w:asciiTheme="minorHAnsi" w:hAnsiTheme="minorHAnsi"/>
          <w:szCs w:val="22"/>
          <w:lang w:eastAsia="zh-CN"/>
        </w:rPr>
        <w:t>（</w:t>
      </w:r>
      <w:r>
        <w:rPr>
          <w:rFonts w:hint="eastAsia" w:cs="宋体" w:asciiTheme="minorHAnsi" w:hAnsiTheme="minorHAnsi"/>
          <w:szCs w:val="22"/>
          <w:lang w:val="en-US" w:eastAsia="zh-CN"/>
        </w:rPr>
        <w:t>17</w:t>
      </w:r>
      <w:r>
        <w:rPr>
          <w:rFonts w:hint="eastAsia" w:cs="宋体" w:asciiTheme="minorHAnsi" w:hAnsiTheme="minorHAnsi"/>
          <w:szCs w:val="22"/>
          <w:lang w:eastAsia="zh-CN"/>
        </w:rPr>
        <w:t>）</w:t>
      </w:r>
      <w:r>
        <w:rPr>
          <w:rFonts w:hint="eastAsia" w:cs="宋体" w:asciiTheme="minorHAnsi" w:hAnsiTheme="minorHAnsi"/>
          <w:szCs w:val="22"/>
        </w:rPr>
        <w:t>投标人认为需要加以说明的其他内容</w:t>
      </w:r>
    </w:p>
    <w:p w14:paraId="3B34261C">
      <w:pPr>
        <w:rPr>
          <w:rFonts w:hint="eastAsia" w:ascii="Times New Roman" w:hAnsi="Times New Roman" w:eastAsia="宋体" w:cs="Times New Roman"/>
          <w:szCs w:val="21"/>
        </w:rPr>
      </w:pPr>
      <w:r>
        <w:rPr>
          <w:rFonts w:hint="eastAsia" w:ascii="Times New Roman" w:hAnsi="Times New Roman" w:eastAsia="宋体" w:cs="Times New Roman"/>
          <w:szCs w:val="21"/>
          <w:lang w:val="en-US" w:eastAsia="zh-CN"/>
        </w:rPr>
        <w:t>2</w:t>
      </w:r>
      <w:r>
        <w:rPr>
          <w:rFonts w:hint="eastAsia" w:ascii="Times New Roman" w:hAnsi="Times New Roman" w:eastAsia="宋体" w:cs="Times New Roman"/>
          <w:szCs w:val="21"/>
        </w:rPr>
        <w:t>.唱标信封的组成</w:t>
      </w:r>
    </w:p>
    <w:p w14:paraId="65DB493C">
      <w:pPr>
        <w:rPr>
          <w:rFonts w:hint="eastAsia" w:ascii="Times New Roman" w:hAnsi="Times New Roman" w:eastAsia="宋体" w:cs="Times New Roman"/>
          <w:szCs w:val="21"/>
        </w:rPr>
      </w:pPr>
      <w:r>
        <w:rPr>
          <w:rFonts w:hint="eastAsia" w:ascii="Times New Roman" w:hAnsi="Times New Roman" w:eastAsia="宋体" w:cs="Times New Roman"/>
          <w:szCs w:val="21"/>
        </w:rPr>
        <w:t>（1）开标一览表</w:t>
      </w:r>
    </w:p>
    <w:p w14:paraId="319C260D">
      <w:pPr>
        <w:rPr>
          <w:rFonts w:hint="eastAsia" w:ascii="Times New Roman" w:hAnsi="Times New Roman" w:eastAsia="宋体" w:cs="Times New Roman"/>
          <w:szCs w:val="21"/>
        </w:rPr>
      </w:pPr>
      <w:r>
        <w:rPr>
          <w:rFonts w:hint="eastAsia" w:ascii="Times New Roman" w:hAnsi="Times New Roman" w:eastAsia="宋体" w:cs="Times New Roman"/>
          <w:szCs w:val="21"/>
        </w:rPr>
        <w:t>（2）投标文件电子文档（具体要求详见“对通用条款的补充内容”）</w:t>
      </w:r>
    </w:p>
    <w:bookmarkEnd w:id="62"/>
    <w:p w14:paraId="513ECDAB">
      <w:pPr>
        <w:pStyle w:val="18"/>
      </w:pPr>
    </w:p>
    <w:bookmarkEnd w:id="61"/>
    <w:p w14:paraId="5CDC4BEC">
      <w:pPr>
        <w:rPr>
          <w:rFonts w:hint="eastAsia" w:ascii="Times New Roman" w:hAnsi="Times New Roman" w:eastAsia="宋体" w:cs="Times New Roman"/>
          <w:color w:val="FF0000"/>
          <w:szCs w:val="21"/>
        </w:rPr>
      </w:pPr>
    </w:p>
    <w:p w14:paraId="517248F7">
      <w:pPr>
        <w:rPr>
          <w:rFonts w:hint="eastAsia" w:ascii="Times New Roman" w:hAnsi="Times New Roman" w:eastAsia="宋体" w:cs="Times New Roman"/>
          <w:color w:val="FF0000"/>
          <w:szCs w:val="21"/>
        </w:rPr>
      </w:pPr>
      <w:r>
        <w:rPr>
          <w:rFonts w:hint="eastAsia" w:ascii="Times New Roman" w:hAnsi="Times New Roman" w:eastAsia="宋体" w:cs="Times New Roman"/>
          <w:color w:val="FF0000"/>
          <w:szCs w:val="21"/>
        </w:rPr>
        <w:t>注：</w:t>
      </w:r>
    </w:p>
    <w:p w14:paraId="07EDA2E6">
      <w:pPr>
        <w:rPr>
          <w:rFonts w:hint="eastAsia" w:ascii="Times New Roman" w:hAnsi="Times New Roman" w:eastAsia="宋体" w:cs="Times New Roman"/>
          <w:color w:val="FF0000"/>
          <w:szCs w:val="21"/>
        </w:rPr>
      </w:pPr>
      <w:r>
        <w:rPr>
          <w:rFonts w:hint="eastAsia" w:ascii="Times New Roman" w:hAnsi="Times New Roman" w:eastAsia="宋体" w:cs="Times New Roman"/>
          <w:color w:val="FF0000"/>
          <w:szCs w:val="21"/>
        </w:rPr>
        <w:t>1.投标人对应投标文件和唱标信封分别制作投标文件。</w:t>
      </w:r>
    </w:p>
    <w:p w14:paraId="372EC620">
      <w:pPr>
        <w:rPr>
          <w:rFonts w:hint="eastAsia" w:ascii="Times New Roman" w:hAnsi="Times New Roman" w:eastAsia="宋体" w:cs="Times New Roman"/>
          <w:color w:val="FF0000"/>
          <w:szCs w:val="21"/>
        </w:rPr>
      </w:pPr>
      <w:r>
        <w:rPr>
          <w:rFonts w:hint="eastAsia" w:ascii="Times New Roman" w:hAnsi="Times New Roman" w:eastAsia="宋体" w:cs="Times New Roman"/>
          <w:color w:val="FF0000"/>
          <w:szCs w:val="21"/>
        </w:rPr>
        <w:t>2.投标人编制投标文件须包括但不限于上述内容。所提供证明文件均真实有效且加盖投标人公章。</w:t>
      </w:r>
    </w:p>
    <w:p w14:paraId="4D363708">
      <w:pPr>
        <w:rPr>
          <w:rFonts w:hint="eastAsia" w:ascii="Times New Roman" w:hAnsi="Times New Roman" w:eastAsia="宋体" w:cs="Times New Roman"/>
          <w:color w:val="FF0000"/>
          <w:szCs w:val="21"/>
        </w:rPr>
      </w:pPr>
      <w:r>
        <w:rPr>
          <w:rFonts w:hint="eastAsia" w:ascii="Times New Roman" w:hAnsi="Times New Roman" w:eastAsia="宋体" w:cs="Times New Roman"/>
          <w:color w:val="FF0000"/>
          <w:szCs w:val="21"/>
        </w:rPr>
        <w:br w:type="page"/>
      </w:r>
    </w:p>
    <w:p w14:paraId="61C1B247">
      <w:pPr>
        <w:jc w:val="center"/>
        <w:rPr>
          <w:rFonts w:hint="eastAsia"/>
          <w:b/>
          <w:sz w:val="120"/>
          <w:szCs w:val="120"/>
          <w:lang w:val="en-US" w:eastAsia="zh-CN"/>
        </w:rPr>
      </w:pPr>
    </w:p>
    <w:p w14:paraId="571BA292">
      <w:pPr>
        <w:jc w:val="center"/>
        <w:rPr>
          <w:b/>
          <w:sz w:val="120"/>
          <w:szCs w:val="120"/>
        </w:rPr>
      </w:pPr>
      <w:r>
        <w:rPr>
          <w:rFonts w:hint="eastAsia"/>
          <w:b/>
          <w:sz w:val="120"/>
          <w:szCs w:val="120"/>
          <w:lang w:val="en-US" w:eastAsia="zh-CN"/>
        </w:rPr>
        <w:t>投标</w:t>
      </w:r>
      <w:r>
        <w:rPr>
          <w:rFonts w:hint="eastAsia"/>
          <w:b/>
          <w:sz w:val="120"/>
          <w:szCs w:val="120"/>
        </w:rPr>
        <w:t>文件</w:t>
      </w:r>
    </w:p>
    <w:p w14:paraId="1A9ED9AB">
      <w:pPr>
        <w:rPr>
          <w:sz w:val="32"/>
          <w:szCs w:val="40"/>
        </w:rPr>
      </w:pPr>
    </w:p>
    <w:p w14:paraId="21F2B41E">
      <w:pPr>
        <w:jc w:val="center"/>
        <w:rPr>
          <w:sz w:val="32"/>
          <w:szCs w:val="40"/>
        </w:rPr>
      </w:pPr>
      <w:r>
        <w:rPr>
          <w:rFonts w:hint="eastAsia"/>
          <w:sz w:val="32"/>
          <w:szCs w:val="40"/>
          <w:lang w:eastAsia="zh-CN"/>
        </w:rPr>
        <w:t>（</w:t>
      </w:r>
      <w:r>
        <w:rPr>
          <w:rFonts w:hint="eastAsia"/>
          <w:sz w:val="32"/>
          <w:szCs w:val="40"/>
          <w:lang w:val="en-US" w:eastAsia="zh-CN"/>
        </w:rPr>
        <w:t>正本/副本</w:t>
      </w:r>
      <w:r>
        <w:rPr>
          <w:rFonts w:hint="eastAsia"/>
          <w:sz w:val="32"/>
          <w:szCs w:val="40"/>
          <w:lang w:eastAsia="zh-CN"/>
        </w:rPr>
        <w:t>）</w:t>
      </w:r>
    </w:p>
    <w:p w14:paraId="017B39C8"/>
    <w:p w14:paraId="3B45CDF0"/>
    <w:p w14:paraId="42B1F317"/>
    <w:p w14:paraId="5F9ADC94"/>
    <w:p w14:paraId="4F2347E9"/>
    <w:p w14:paraId="34AB7868"/>
    <w:p w14:paraId="280D8B61"/>
    <w:p w14:paraId="386814BE">
      <w:pPr>
        <w:jc w:val="both"/>
        <w:rPr>
          <w:rFonts w:hint="eastAsia" w:ascii="Times New Roman" w:hAnsi="Times New Roman" w:eastAsia="宋体" w:cs="Times New Roman"/>
          <w:b/>
          <w:sz w:val="24"/>
          <w:szCs w:val="24"/>
          <w:lang w:val="en-US" w:eastAsia="zh-CN"/>
        </w:rPr>
      </w:pPr>
    </w:p>
    <w:p w14:paraId="3C13578C">
      <w:pPr>
        <w:jc w:val="both"/>
        <w:rPr>
          <w:rFonts w:hint="eastAsia" w:ascii="Times New Roman" w:hAnsi="Times New Roman" w:eastAsia="宋体" w:cs="Times New Roman"/>
          <w:b/>
          <w:sz w:val="24"/>
          <w:szCs w:val="24"/>
          <w:lang w:val="en-US" w:eastAsia="zh-CN"/>
        </w:rPr>
      </w:pPr>
    </w:p>
    <w:p w14:paraId="1967905E">
      <w:pPr>
        <w:jc w:val="both"/>
        <w:rPr>
          <w:rFonts w:hint="eastAsia" w:ascii="Times New Roman" w:hAnsi="Times New Roman" w:eastAsia="宋体" w:cs="Times New Roman"/>
          <w:b/>
          <w:sz w:val="24"/>
          <w:szCs w:val="24"/>
          <w:lang w:val="en-US" w:eastAsia="zh-CN"/>
        </w:rPr>
      </w:pPr>
    </w:p>
    <w:p w14:paraId="6AA5E28A">
      <w:pPr>
        <w:jc w:val="both"/>
        <w:rPr>
          <w:rFonts w:hint="eastAsia" w:ascii="Times New Roman" w:hAnsi="Times New Roman" w:eastAsia="宋体" w:cs="Times New Roman"/>
          <w:b/>
          <w:sz w:val="24"/>
          <w:szCs w:val="24"/>
          <w:lang w:val="en-US" w:eastAsia="zh-CN"/>
        </w:rPr>
      </w:pPr>
    </w:p>
    <w:p w14:paraId="29AA275C">
      <w:pPr>
        <w:jc w:val="both"/>
        <w:rPr>
          <w:rFonts w:hint="eastAsia" w:ascii="Times New Roman" w:hAnsi="Times New Roman" w:eastAsia="宋体" w:cs="Times New Roman"/>
          <w:b/>
          <w:sz w:val="24"/>
          <w:szCs w:val="24"/>
          <w:lang w:val="en-US" w:eastAsia="zh-CN"/>
        </w:rPr>
      </w:pPr>
    </w:p>
    <w:p w14:paraId="70D505B6">
      <w:pPr>
        <w:jc w:val="both"/>
        <w:rPr>
          <w:rFonts w:hint="eastAsia" w:ascii="Times New Roman" w:hAnsi="Times New Roman" w:eastAsia="宋体" w:cs="Times New Roman"/>
          <w:b/>
          <w:sz w:val="24"/>
          <w:szCs w:val="24"/>
          <w:lang w:val="en-US" w:eastAsia="zh-CN"/>
        </w:rPr>
      </w:pPr>
    </w:p>
    <w:p w14:paraId="60F08AE1">
      <w:pPr>
        <w:jc w:val="both"/>
        <w:rPr>
          <w:rFonts w:hint="eastAsia" w:ascii="Times New Roman" w:hAnsi="Times New Roman" w:eastAsia="宋体" w:cs="Times New Roman"/>
          <w:b/>
          <w:sz w:val="24"/>
          <w:szCs w:val="24"/>
          <w:lang w:val="en-US" w:eastAsia="zh-CN"/>
        </w:rPr>
      </w:pPr>
    </w:p>
    <w:p w14:paraId="3AFC1BCE">
      <w:pPr>
        <w:jc w:val="both"/>
        <w:rPr>
          <w:rFonts w:hint="eastAsia" w:ascii="Times New Roman" w:hAnsi="Times New Roman" w:eastAsia="宋体" w:cs="Times New Roman"/>
          <w:b/>
          <w:sz w:val="24"/>
          <w:szCs w:val="24"/>
          <w:lang w:val="en-US" w:eastAsia="zh-CN"/>
        </w:rPr>
      </w:pPr>
    </w:p>
    <w:p w14:paraId="72C07138">
      <w:pPr>
        <w:jc w:val="both"/>
        <w:rPr>
          <w:rFonts w:hint="eastAsia" w:ascii="Times New Roman" w:hAnsi="Times New Roman" w:eastAsia="宋体" w:cs="Times New Roman"/>
          <w:b/>
          <w:sz w:val="24"/>
          <w:szCs w:val="24"/>
          <w:lang w:val="en-US" w:eastAsia="zh-CN"/>
        </w:rPr>
      </w:pPr>
    </w:p>
    <w:p w14:paraId="0C51C74D">
      <w:pPr>
        <w:jc w:val="both"/>
        <w:rPr>
          <w:rFonts w:hint="eastAsia" w:ascii="Times New Roman" w:hAnsi="Times New Roman" w:eastAsia="宋体" w:cs="Times New Roman"/>
          <w:b/>
          <w:sz w:val="24"/>
          <w:szCs w:val="24"/>
          <w:lang w:val="en-US" w:eastAsia="zh-CN"/>
        </w:rPr>
      </w:pPr>
    </w:p>
    <w:p w14:paraId="04AFAD19">
      <w:pPr>
        <w:spacing w:line="600" w:lineRule="auto"/>
        <w:jc w:val="both"/>
        <w:rPr>
          <w:rFonts w:hint="eastAsia" w:ascii="Times New Roman" w:hAnsi="Times New Roman" w:eastAsia="宋体" w:cs="Times New Roman"/>
          <w:b/>
          <w:sz w:val="24"/>
          <w:szCs w:val="24"/>
          <w:lang w:val="en-US" w:eastAsia="zh-CN"/>
        </w:rPr>
      </w:pPr>
      <w:r>
        <w:rPr>
          <w:rFonts w:hint="eastAsia" w:ascii="Times New Roman" w:hAnsi="Times New Roman" w:eastAsia="宋体" w:cs="Times New Roman"/>
          <w:b/>
          <w:sz w:val="24"/>
          <w:szCs w:val="24"/>
          <w:lang w:val="en-US" w:eastAsia="zh-CN"/>
        </w:rPr>
        <w:t>项目名称：中国人民银行深圳市分行网络设备采购项目</w:t>
      </w:r>
    </w:p>
    <w:p w14:paraId="6C3F1AA9">
      <w:pPr>
        <w:spacing w:line="600" w:lineRule="auto"/>
        <w:jc w:val="both"/>
        <w:rPr>
          <w:rFonts w:hint="default" w:ascii="宋体" w:hAnsi="宋体" w:eastAsia="宋体" w:cs="Times New Roman"/>
          <w:color w:val="0000FF"/>
          <w:lang w:val="en-US" w:eastAsia="zh-CN"/>
        </w:rPr>
      </w:pPr>
      <w:r>
        <w:rPr>
          <w:rFonts w:hint="eastAsia" w:ascii="Times New Roman" w:hAnsi="Times New Roman" w:eastAsia="宋体" w:cs="Times New Roman"/>
          <w:b/>
          <w:sz w:val="24"/>
          <w:szCs w:val="24"/>
          <w:lang w:val="en-US" w:eastAsia="zh-CN"/>
        </w:rPr>
        <w:t>项目编号：</w:t>
      </w:r>
      <w:r>
        <w:rPr>
          <w:rFonts w:hint="eastAsia" w:cs="Times New Roman"/>
          <w:b/>
          <w:sz w:val="24"/>
          <w:szCs w:val="24"/>
          <w:lang w:val="en-US" w:eastAsia="zh-CN"/>
        </w:rPr>
        <w:t>LHZXCG-2025-00016</w:t>
      </w:r>
    </w:p>
    <w:p w14:paraId="0456FAB9">
      <w:pPr>
        <w:spacing w:line="600" w:lineRule="auto"/>
        <w:jc w:val="both"/>
        <w:rPr>
          <w:rFonts w:hint="default"/>
          <w:b/>
          <w:sz w:val="24"/>
          <w:szCs w:val="24"/>
          <w:lang w:val="en-US" w:eastAsia="zh-CN"/>
        </w:rPr>
      </w:pPr>
      <w:r>
        <w:rPr>
          <w:rFonts w:hint="eastAsia"/>
          <w:b/>
          <w:sz w:val="24"/>
          <w:szCs w:val="24"/>
          <w:lang w:val="en-US" w:eastAsia="zh-CN"/>
        </w:rPr>
        <w:t>包    号：包1</w:t>
      </w:r>
    </w:p>
    <w:p w14:paraId="3A05DF2E">
      <w:pPr>
        <w:spacing w:line="600" w:lineRule="auto"/>
        <w:jc w:val="both"/>
        <w:rPr>
          <w:rFonts w:hint="eastAsia" w:ascii="宋体" w:hAnsi="宋体" w:eastAsia="宋体" w:cs="Times New Roman"/>
          <w:color w:val="0000FF"/>
          <w:lang w:val="en-US" w:eastAsia="zh-CN"/>
        </w:rPr>
      </w:pPr>
      <w:r>
        <w:rPr>
          <w:rFonts w:hint="eastAsia"/>
          <w:b/>
          <w:sz w:val="24"/>
          <w:szCs w:val="24"/>
          <w:lang w:val="en-US" w:eastAsia="zh-CN"/>
        </w:rPr>
        <w:t>投标单位名称：</w:t>
      </w:r>
    </w:p>
    <w:p w14:paraId="39CFDCB4">
      <w:pPr>
        <w:spacing w:line="600" w:lineRule="auto"/>
        <w:jc w:val="both"/>
        <w:rPr>
          <w:rFonts w:hint="default" w:eastAsia="宋体"/>
          <w:b/>
          <w:sz w:val="24"/>
          <w:szCs w:val="24"/>
          <w:lang w:val="en-US" w:eastAsia="zh-CN"/>
        </w:rPr>
      </w:pPr>
      <w:r>
        <w:rPr>
          <w:rFonts w:hint="eastAsia"/>
          <w:b/>
          <w:sz w:val="24"/>
          <w:szCs w:val="24"/>
          <w:lang w:val="en-US" w:eastAsia="zh-CN"/>
        </w:rPr>
        <w:t>投标日期：      年     月     日</w:t>
      </w:r>
    </w:p>
    <w:p w14:paraId="0F92B841">
      <w:pPr>
        <w:spacing w:line="600" w:lineRule="auto"/>
        <w:rPr>
          <w:rFonts w:hint="eastAsia" w:ascii="Times New Roman" w:hAnsi="Times New Roman" w:eastAsia="宋体" w:cs="Times New Roman"/>
          <w:color w:val="FF0000"/>
          <w:szCs w:val="21"/>
        </w:rPr>
      </w:pPr>
    </w:p>
    <w:p w14:paraId="544B641A">
      <w:pPr>
        <w:rPr>
          <w:rFonts w:ascii="宋体" w:hAnsi="宋体"/>
          <w:color w:val="FF0000"/>
          <w:sz w:val="24"/>
        </w:rPr>
      </w:pPr>
    </w:p>
    <w:p w14:paraId="7737BDE3">
      <w:pPr>
        <w:rPr>
          <w:rFonts w:ascii="宋体" w:hAnsi="宋体"/>
          <w:color w:val="FF0000"/>
          <w:sz w:val="24"/>
        </w:rPr>
      </w:pPr>
    </w:p>
    <w:p w14:paraId="41915BCB">
      <w:pPr>
        <w:rPr>
          <w:rFonts w:ascii="宋体" w:hAnsi="宋体"/>
          <w:color w:val="FF0000"/>
          <w:sz w:val="24"/>
        </w:rPr>
        <w:sectPr>
          <w:pgSz w:w="11907" w:h="16840"/>
          <w:pgMar w:top="1440" w:right="1797" w:bottom="1440" w:left="1797" w:header="851" w:footer="992" w:gutter="0"/>
          <w:pgNumType w:fmt="decimal"/>
          <w:cols w:space="425" w:num="1"/>
          <w:titlePg/>
          <w:docGrid w:linePitch="462" w:charSpace="0"/>
        </w:sectPr>
      </w:pPr>
    </w:p>
    <w:p w14:paraId="1D501004">
      <w:pPr>
        <w:pStyle w:val="3"/>
        <w:jc w:val="center"/>
        <w:rPr>
          <w:rFonts w:ascii="黑体" w:eastAsia="黑体"/>
          <w:b w:val="0"/>
          <w:sz w:val="24"/>
        </w:rPr>
      </w:pPr>
      <w:r>
        <w:rPr>
          <w:rFonts w:hint="eastAsia" w:ascii="黑体" w:eastAsia="黑体"/>
          <w:b w:val="0"/>
          <w:sz w:val="24"/>
        </w:rPr>
        <w:t>一、投标函</w:t>
      </w:r>
    </w:p>
    <w:p w14:paraId="03D68D67">
      <w:pPr>
        <w:spacing w:line="360" w:lineRule="auto"/>
        <w:rPr>
          <w:rFonts w:ascii="宋体" w:hAnsi="宋体"/>
          <w:color w:val="auto"/>
          <w:szCs w:val="21"/>
        </w:rPr>
      </w:pPr>
      <w:bookmarkStart w:id="67" w:name="_Hlk72257506"/>
      <w:r>
        <w:rPr>
          <w:rFonts w:hint="eastAsia" w:ascii="宋体" w:hAnsi="宋体"/>
          <w:color w:val="auto"/>
          <w:szCs w:val="21"/>
        </w:rPr>
        <w:t>致：</w:t>
      </w:r>
      <w:r>
        <w:rPr>
          <w:rFonts w:hint="eastAsia" w:ascii="宋体" w:hAnsi="宋体"/>
          <w:color w:val="auto"/>
          <w:szCs w:val="21"/>
          <w:u w:val="single"/>
        </w:rPr>
        <w:t>深圳公共资源交易中心</w:t>
      </w:r>
      <w:r>
        <w:rPr>
          <w:rFonts w:hint="eastAsia" w:ascii="宋体" w:hAnsi="宋体"/>
          <w:color w:val="auto"/>
          <w:szCs w:val="21"/>
          <w:u w:val="single"/>
          <w:lang w:eastAsia="zh-CN"/>
        </w:rPr>
        <w:t>（</w:t>
      </w:r>
      <w:r>
        <w:rPr>
          <w:rFonts w:hint="eastAsia"/>
          <w:color w:val="auto"/>
          <w:u w:val="single"/>
        </w:rPr>
        <w:t>深圳交易集团有限公司罗湖分公司</w:t>
      </w:r>
      <w:r>
        <w:rPr>
          <w:rFonts w:hint="eastAsia" w:ascii="宋体" w:hAnsi="宋体"/>
          <w:color w:val="auto"/>
          <w:szCs w:val="21"/>
          <w:u w:val="single"/>
          <w:lang w:eastAsia="zh-CN"/>
        </w:rPr>
        <w:t>）</w:t>
      </w:r>
      <w:r>
        <w:rPr>
          <w:rFonts w:hint="eastAsia" w:ascii="宋体" w:hAnsi="宋体"/>
          <w:color w:val="auto"/>
          <w:szCs w:val="21"/>
          <w:u w:val="single"/>
        </w:rPr>
        <w:t xml:space="preserve">  </w:t>
      </w:r>
    </w:p>
    <w:p w14:paraId="673B5D65">
      <w:pPr>
        <w:ind w:firstLine="420" w:firstLineChars="200"/>
        <w:rPr>
          <w:rFonts w:ascii="宋体" w:hAnsi="宋体"/>
          <w:szCs w:val="21"/>
        </w:rPr>
      </w:pPr>
      <w:bookmarkStart w:id="68" w:name="_Hlk73818812"/>
      <w:r>
        <w:rPr>
          <w:rFonts w:hint="eastAsia"/>
          <w:color w:val="auto"/>
          <w:szCs w:val="21"/>
        </w:rPr>
        <w:t>1、根据已收到贵单位的项目编号为</w:t>
      </w:r>
      <w:r>
        <w:rPr>
          <w:rFonts w:hint="eastAsia"/>
          <w:b w:val="0"/>
          <w:bCs w:val="0"/>
          <w:color w:val="auto"/>
          <w:szCs w:val="21"/>
          <w:u w:val="single"/>
        </w:rPr>
        <w:t xml:space="preserve">  LHZXCG-2025-00016    </w:t>
      </w:r>
      <w:r>
        <w:rPr>
          <w:rFonts w:hint="eastAsia"/>
          <w:b w:val="0"/>
          <w:bCs w:val="0"/>
          <w:color w:val="auto"/>
          <w:szCs w:val="21"/>
        </w:rPr>
        <w:t>的</w:t>
      </w:r>
      <w:r>
        <w:rPr>
          <w:rFonts w:hint="eastAsia"/>
          <w:b w:val="0"/>
          <w:bCs w:val="0"/>
          <w:color w:val="auto"/>
          <w:szCs w:val="21"/>
          <w:u w:val="single"/>
        </w:rPr>
        <w:t>中国人民银行深圳市分行网络设备采购项目</w:t>
      </w:r>
      <w:r>
        <w:rPr>
          <w:rFonts w:hint="eastAsia"/>
          <w:b w:val="0"/>
          <w:bCs w:val="0"/>
          <w:color w:val="auto"/>
          <w:szCs w:val="21"/>
          <w:u w:val="single"/>
          <w:lang w:eastAsia="zh-CN"/>
        </w:rPr>
        <w:t>（</w:t>
      </w:r>
      <w:r>
        <w:rPr>
          <w:rFonts w:hint="eastAsia"/>
          <w:b w:val="0"/>
          <w:bCs w:val="0"/>
          <w:color w:val="auto"/>
          <w:szCs w:val="21"/>
          <w:u w:val="single"/>
          <w:lang w:val="en-US" w:eastAsia="zh-CN"/>
        </w:rPr>
        <w:t>包1</w:t>
      </w:r>
      <w:r>
        <w:rPr>
          <w:rFonts w:hint="eastAsia"/>
          <w:b w:val="0"/>
          <w:bCs w:val="0"/>
          <w:color w:val="auto"/>
          <w:szCs w:val="21"/>
          <w:u w:val="single"/>
          <w:lang w:eastAsia="zh-CN"/>
        </w:rPr>
        <w:t>）</w:t>
      </w:r>
      <w:r>
        <w:rPr>
          <w:rFonts w:hint="eastAsia"/>
          <w:color w:val="auto"/>
          <w:szCs w:val="21"/>
        </w:rPr>
        <w:t>的招标文件，遵照《中华人民共和国政府采购法》和《中华人民共和国政府采购法实施条例》等有关规定，我单位经研究上述招标文件的专用条款</w:t>
      </w:r>
      <w:r>
        <w:rPr>
          <w:rFonts w:hint="eastAsia"/>
          <w:szCs w:val="21"/>
        </w:rPr>
        <w:t>及通用条款后，</w:t>
      </w:r>
      <w:bookmarkStart w:id="69" w:name="_Hlk72263588"/>
      <w:r>
        <w:rPr>
          <w:rFonts w:hint="eastAsia"/>
          <w:szCs w:val="21"/>
        </w:rPr>
        <w:t>愿意按照招标文件要求承包上述项目并修补其任何缺陷。</w:t>
      </w:r>
      <w:bookmarkEnd w:id="69"/>
    </w:p>
    <w:p w14:paraId="69AF4C57">
      <w:pPr>
        <w:ind w:firstLine="420" w:firstLineChars="200"/>
        <w:rPr>
          <w:rFonts w:ascii="宋体" w:hAnsi="宋体"/>
          <w:szCs w:val="21"/>
        </w:rPr>
      </w:pPr>
      <w:r>
        <w:rPr>
          <w:rFonts w:ascii="宋体" w:hAnsi="宋体"/>
          <w:szCs w:val="21"/>
        </w:rPr>
        <w:t>2</w:t>
      </w:r>
      <w:r>
        <w:rPr>
          <w:rFonts w:hint="eastAsia" w:ascii="宋体" w:hAnsi="宋体"/>
          <w:szCs w:val="21"/>
        </w:rPr>
        <w:t>、</w:t>
      </w:r>
      <w:bookmarkStart w:id="70" w:name="_Hlk73819847"/>
      <w:r>
        <w:rPr>
          <w:rFonts w:hint="eastAsia" w:ascii="宋体" w:hAnsi="宋体"/>
          <w:szCs w:val="21"/>
        </w:rPr>
        <w:t>投标价格见投标书</w:t>
      </w:r>
      <w:r>
        <w:rPr>
          <w:rFonts w:hint="eastAsia"/>
          <w:szCs w:val="21"/>
        </w:rPr>
        <w:t>中《开标一览表》中填写的投标</w:t>
      </w:r>
      <w:r>
        <w:rPr>
          <w:rFonts w:hint="eastAsia" w:ascii="宋体" w:hAnsi="宋体"/>
          <w:szCs w:val="21"/>
        </w:rPr>
        <w:t>报价</w:t>
      </w:r>
      <w:r>
        <w:rPr>
          <w:rFonts w:hint="eastAsia"/>
          <w:szCs w:val="21"/>
        </w:rPr>
        <w:t>。</w:t>
      </w:r>
      <w:bookmarkEnd w:id="70"/>
    </w:p>
    <w:p w14:paraId="1F468234">
      <w:pPr>
        <w:ind w:firstLine="420" w:firstLineChars="200"/>
        <w:rPr>
          <w:rFonts w:ascii="宋体" w:hAnsi="宋体"/>
          <w:szCs w:val="21"/>
        </w:rPr>
      </w:pPr>
      <w:r>
        <w:rPr>
          <w:rFonts w:hint="eastAsia" w:ascii="宋体" w:hAnsi="宋体"/>
          <w:szCs w:val="21"/>
        </w:rPr>
        <w:t>3、如果我单位中标，我单位将按照招标文件的要求足额提交履约担保。</w:t>
      </w:r>
    </w:p>
    <w:p w14:paraId="7E926826">
      <w:pPr>
        <w:ind w:firstLine="420" w:firstLineChars="200"/>
        <w:rPr>
          <w:rFonts w:ascii="宋体" w:hAnsi="宋体"/>
          <w:szCs w:val="21"/>
        </w:rPr>
      </w:pPr>
      <w:r>
        <w:rPr>
          <w:rFonts w:hint="eastAsia" w:ascii="宋体" w:hAnsi="宋体"/>
          <w:szCs w:val="21"/>
        </w:rPr>
        <w:t>4、我单位同意所递交的投标文件在“对通用条款的补充内容”中明确的投标有效期内有效，在此期间内我单位的投标有可能中标，我方将受此约束。</w:t>
      </w:r>
    </w:p>
    <w:p w14:paraId="34FFC7AF">
      <w:pPr>
        <w:ind w:firstLine="420" w:firstLineChars="200"/>
        <w:rPr>
          <w:rFonts w:ascii="宋体" w:hAnsi="宋体"/>
          <w:szCs w:val="21"/>
        </w:rPr>
      </w:pPr>
      <w:r>
        <w:rPr>
          <w:rFonts w:hint="eastAsia" w:ascii="宋体" w:hAnsi="宋体"/>
          <w:szCs w:val="21"/>
        </w:rPr>
        <w:t>5、除非另外达成协议并生效，贵单位的中标通知书和本投标文件将构成合同的重要内容。</w:t>
      </w:r>
    </w:p>
    <w:p w14:paraId="45277262">
      <w:pPr>
        <w:ind w:left="420" w:leftChars="200"/>
        <w:rPr>
          <w:rFonts w:ascii="宋体" w:hAnsi="宋体"/>
          <w:b/>
          <w:szCs w:val="21"/>
        </w:rPr>
      </w:pPr>
      <w:r>
        <w:rPr>
          <w:rFonts w:hint="eastAsia" w:ascii="宋体" w:hAnsi="宋体"/>
          <w:szCs w:val="21"/>
        </w:rPr>
        <w:t>6、我单位理解贵单位将不受必须接受所收到的最低报价或其它任何投标文件的约束。</w:t>
      </w:r>
      <w:bookmarkEnd w:id="68"/>
      <w:r>
        <w:rPr>
          <w:rFonts w:hint="eastAsia" w:ascii="宋体" w:hAnsi="宋体"/>
          <w:b/>
          <w:szCs w:val="21"/>
        </w:rPr>
        <w:t>7</w:t>
      </w:r>
      <w:r>
        <w:rPr>
          <w:rFonts w:ascii="宋体" w:hAnsi="宋体"/>
          <w:b/>
          <w:szCs w:val="21"/>
        </w:rPr>
        <w:t>、如我单位提交样品，且未在规定时间内取回样品的，视同放弃取回，同意深圳公共资源交易中心</w:t>
      </w:r>
      <w:r>
        <w:rPr>
          <w:rFonts w:hint="eastAsia" w:ascii="宋体" w:hAnsi="宋体"/>
          <w:b/>
          <w:szCs w:val="21"/>
        </w:rPr>
        <w:t>（深圳交易集团有限公司罗湖分公司）</w:t>
      </w:r>
      <w:r>
        <w:rPr>
          <w:rFonts w:ascii="宋体" w:hAnsi="宋体"/>
          <w:b/>
          <w:szCs w:val="21"/>
        </w:rPr>
        <w:t>对我单位提交的样品进行清理。</w:t>
      </w:r>
    </w:p>
    <w:p w14:paraId="016E44B4">
      <w:pPr>
        <w:ind w:firstLine="422" w:firstLineChars="200"/>
        <w:rPr>
          <w:rFonts w:ascii="宋体" w:hAnsi="宋体"/>
          <w:b/>
          <w:szCs w:val="21"/>
        </w:rPr>
      </w:pPr>
      <w:r>
        <w:rPr>
          <w:rFonts w:hint="eastAsia" w:ascii="宋体" w:hAnsi="宋体"/>
          <w:b/>
          <w:szCs w:val="21"/>
        </w:rPr>
        <w:t>8、如果我方中标，我方保证在领取中标通知书之前按招标文件规定向深圳交易集团有限公司交纳代理服务费。</w:t>
      </w:r>
    </w:p>
    <w:p w14:paraId="02D2795E">
      <w:pPr>
        <w:ind w:left="420" w:leftChars="200" w:firstLine="210" w:firstLineChars="100"/>
        <w:rPr>
          <w:rFonts w:hint="eastAsia"/>
          <w:szCs w:val="21"/>
        </w:rPr>
      </w:pPr>
    </w:p>
    <w:p w14:paraId="49E1819E">
      <w:pPr>
        <w:ind w:left="420" w:leftChars="200" w:firstLine="210" w:firstLineChars="100"/>
        <w:rPr>
          <w:rFonts w:hint="eastAsia"/>
          <w:szCs w:val="21"/>
        </w:rPr>
      </w:pPr>
      <w:r>
        <w:rPr>
          <w:rFonts w:hint="eastAsia"/>
          <w:szCs w:val="21"/>
        </w:rPr>
        <w:t>投标人：</w:t>
      </w:r>
      <w:r>
        <w:rPr>
          <w:rFonts w:hint="eastAsia"/>
          <w:szCs w:val="21"/>
          <w:u w:val="thick"/>
        </w:rPr>
        <w:t xml:space="preserve">     </w:t>
      </w:r>
      <w:r>
        <w:rPr>
          <w:rFonts w:hint="eastAsia"/>
          <w:szCs w:val="21"/>
          <w:u w:val="thick"/>
          <w:lang w:val="en-US" w:eastAsia="zh-CN"/>
        </w:rPr>
        <w:t xml:space="preserve">              </w:t>
      </w:r>
      <w:r>
        <w:rPr>
          <w:rFonts w:hint="eastAsia"/>
          <w:szCs w:val="21"/>
          <w:u w:val="thick"/>
        </w:rPr>
        <w:t xml:space="preserve"> </w:t>
      </w:r>
      <w:r>
        <w:rPr>
          <w:rFonts w:hint="eastAsia"/>
          <w:szCs w:val="21"/>
          <w:u w:val="thick"/>
          <w:lang w:val="en-US" w:eastAsia="zh-CN"/>
        </w:rPr>
        <w:t xml:space="preserve"> </w:t>
      </w:r>
      <w:r>
        <w:rPr>
          <w:rFonts w:hint="eastAsia"/>
          <w:szCs w:val="21"/>
          <w:u w:val="thick"/>
        </w:rPr>
        <w:t xml:space="preserve"> </w:t>
      </w:r>
      <w:r>
        <w:rPr>
          <w:rFonts w:hint="eastAsia"/>
          <w:szCs w:val="21"/>
        </w:rPr>
        <w:t xml:space="preserve">；  </w:t>
      </w:r>
    </w:p>
    <w:p w14:paraId="08F6E7C4">
      <w:pPr>
        <w:ind w:left="420" w:leftChars="200" w:firstLine="210" w:firstLineChars="100"/>
        <w:rPr>
          <w:szCs w:val="21"/>
        </w:rPr>
      </w:pPr>
      <w:r>
        <w:rPr>
          <w:rFonts w:hint="eastAsia"/>
          <w:szCs w:val="21"/>
        </w:rPr>
        <w:t>单位地址：</w:t>
      </w:r>
      <w:r>
        <w:rPr>
          <w:rFonts w:hint="eastAsia"/>
          <w:szCs w:val="21"/>
          <w:u w:val="thick"/>
        </w:rPr>
        <w:t xml:space="preserve">                    </w:t>
      </w:r>
      <w:r>
        <w:rPr>
          <w:rFonts w:hint="eastAsia"/>
          <w:szCs w:val="21"/>
        </w:rPr>
        <w:t>；</w:t>
      </w:r>
    </w:p>
    <w:p w14:paraId="5A5ED4D0">
      <w:pPr>
        <w:ind w:left="420" w:leftChars="200" w:firstLine="210" w:firstLineChars="100"/>
        <w:rPr>
          <w:szCs w:val="21"/>
        </w:rPr>
      </w:pPr>
      <w:r>
        <w:rPr>
          <w:rFonts w:hint="eastAsia"/>
          <w:szCs w:val="21"/>
        </w:rPr>
        <w:t>法定代表人（负责人）或其授权委托代理人：</w:t>
      </w:r>
      <w:r>
        <w:rPr>
          <w:rFonts w:hint="eastAsia"/>
          <w:szCs w:val="21"/>
          <w:u w:val="thick"/>
        </w:rPr>
        <w:t xml:space="preserve">     </w:t>
      </w:r>
      <w:r>
        <w:rPr>
          <w:rFonts w:hint="eastAsia"/>
          <w:szCs w:val="21"/>
          <w:u w:val="thick"/>
          <w:lang w:val="en-US" w:eastAsia="zh-CN"/>
        </w:rPr>
        <w:t xml:space="preserve">     </w:t>
      </w:r>
      <w:r>
        <w:rPr>
          <w:rFonts w:hint="eastAsia"/>
          <w:szCs w:val="21"/>
          <w:u w:val="thick"/>
        </w:rPr>
        <w:t xml:space="preserve">    </w:t>
      </w:r>
      <w:r>
        <w:rPr>
          <w:rFonts w:hint="eastAsia"/>
          <w:szCs w:val="21"/>
        </w:rPr>
        <w:t>；</w:t>
      </w:r>
    </w:p>
    <w:p w14:paraId="641878BB">
      <w:pPr>
        <w:ind w:left="420" w:leftChars="200" w:firstLine="210" w:firstLineChars="100"/>
        <w:rPr>
          <w:rFonts w:hint="eastAsia"/>
          <w:szCs w:val="21"/>
        </w:rPr>
      </w:pPr>
      <w:r>
        <w:rPr>
          <w:rFonts w:hint="eastAsia"/>
          <w:szCs w:val="21"/>
        </w:rPr>
        <w:t>电话：</w:t>
      </w:r>
      <w:r>
        <w:rPr>
          <w:rFonts w:hint="eastAsia"/>
          <w:szCs w:val="21"/>
          <w:u w:val="thick"/>
        </w:rPr>
        <w:t xml:space="preserve">     </w:t>
      </w:r>
      <w:r>
        <w:rPr>
          <w:rFonts w:hint="eastAsia"/>
          <w:szCs w:val="21"/>
          <w:u w:val="thick"/>
          <w:lang w:val="en-US" w:eastAsia="zh-CN"/>
        </w:rPr>
        <w:t xml:space="preserve">               </w:t>
      </w:r>
      <w:r>
        <w:rPr>
          <w:rFonts w:hint="eastAsia"/>
          <w:szCs w:val="21"/>
          <w:u w:val="thick"/>
        </w:rPr>
        <w:t xml:space="preserve">    </w:t>
      </w:r>
      <w:r>
        <w:rPr>
          <w:rFonts w:hint="eastAsia"/>
          <w:szCs w:val="21"/>
        </w:rPr>
        <w:t>；</w:t>
      </w:r>
    </w:p>
    <w:p w14:paraId="5BFAAFC1">
      <w:pPr>
        <w:ind w:left="420" w:leftChars="200" w:firstLine="210" w:firstLineChars="100"/>
        <w:rPr>
          <w:sz w:val="24"/>
        </w:rPr>
      </w:pPr>
      <w:r>
        <w:rPr>
          <w:rFonts w:hint="eastAsia" w:ascii="宋体" w:hAnsi="宋体"/>
          <w:szCs w:val="21"/>
        </w:rPr>
        <w:t>日期：</w:t>
      </w:r>
      <w:r>
        <w:rPr>
          <w:rFonts w:hint="eastAsia" w:ascii="宋体" w:hAnsi="宋体"/>
          <w:szCs w:val="21"/>
          <w:u w:val="thick"/>
        </w:rPr>
        <w:t xml:space="preserve">       </w:t>
      </w:r>
      <w:r>
        <w:rPr>
          <w:rFonts w:hint="eastAsia" w:ascii="宋体" w:hAnsi="宋体"/>
          <w:szCs w:val="21"/>
        </w:rPr>
        <w:t>年</w:t>
      </w:r>
      <w:r>
        <w:rPr>
          <w:rFonts w:hint="eastAsia" w:ascii="宋体" w:hAnsi="宋体"/>
          <w:szCs w:val="21"/>
          <w:u w:val="thick"/>
        </w:rPr>
        <w:t xml:space="preserve">     </w:t>
      </w:r>
      <w:r>
        <w:rPr>
          <w:rFonts w:hint="eastAsia" w:ascii="宋体" w:hAnsi="宋体"/>
          <w:szCs w:val="21"/>
        </w:rPr>
        <w:t>月</w:t>
      </w:r>
      <w:r>
        <w:rPr>
          <w:rFonts w:hint="eastAsia" w:ascii="宋体" w:hAnsi="宋体"/>
          <w:szCs w:val="21"/>
          <w:u w:val="thick"/>
        </w:rPr>
        <w:t xml:space="preserve">  </w:t>
      </w:r>
      <w:r>
        <w:rPr>
          <w:rFonts w:hint="eastAsia" w:ascii="宋体" w:hAnsi="宋体"/>
          <w:szCs w:val="21"/>
          <w:u w:val="thick"/>
          <w:lang w:val="en-US" w:eastAsia="zh-CN"/>
        </w:rPr>
        <w:t xml:space="preserve">   </w:t>
      </w:r>
      <w:r>
        <w:rPr>
          <w:rFonts w:hint="eastAsia" w:ascii="宋体" w:hAnsi="宋体"/>
          <w:szCs w:val="21"/>
          <w:u w:val="thick"/>
        </w:rPr>
        <w:t xml:space="preserve">  </w:t>
      </w:r>
      <w:r>
        <w:rPr>
          <w:rFonts w:hint="eastAsia" w:ascii="宋体" w:hAnsi="宋体"/>
          <w:szCs w:val="21"/>
        </w:rPr>
        <w:t>日</w:t>
      </w:r>
      <w:r>
        <w:rPr>
          <w:rFonts w:hint="eastAsia" w:ascii="宋体" w:hAnsi="宋体"/>
          <w:szCs w:val="21"/>
          <w:lang w:eastAsia="zh-CN"/>
        </w:rPr>
        <w:t>；</w:t>
      </w:r>
      <w:r>
        <w:rPr>
          <w:rFonts w:hint="eastAsia"/>
          <w:sz w:val="24"/>
        </w:rPr>
        <w:t xml:space="preserve">                                </w:t>
      </w:r>
    </w:p>
    <w:p w14:paraId="2D9C389C">
      <w:pPr>
        <w:ind w:left="420" w:leftChars="200"/>
        <w:rPr>
          <w:rFonts w:hint="eastAsia" w:ascii="黑体" w:hAnsi="宋体" w:eastAsia="黑体"/>
        </w:rPr>
      </w:pPr>
      <w:r>
        <w:rPr>
          <w:rFonts w:hint="eastAsia"/>
          <w:sz w:val="24"/>
        </w:rPr>
        <w:t xml:space="preserve">        </w:t>
      </w:r>
      <w:r>
        <w:rPr>
          <w:rFonts w:hint="eastAsia" w:ascii="黑体" w:hAnsi="宋体" w:eastAsia="黑体"/>
        </w:rPr>
        <w:t xml:space="preserve"> </w:t>
      </w:r>
      <w:bookmarkEnd w:id="67"/>
    </w:p>
    <w:p w14:paraId="6E723EF7">
      <w:pPr>
        <w:ind w:left="420" w:leftChars="200" w:firstLine="210" w:firstLineChars="100"/>
        <w:rPr>
          <w:rFonts w:hint="eastAsia" w:ascii="Times New Roman" w:hAnsi="Times New Roman" w:eastAsia="宋体" w:cs="Times New Roman"/>
          <w:szCs w:val="21"/>
        </w:rPr>
      </w:pPr>
    </w:p>
    <w:p w14:paraId="64D0EE70">
      <w:pPr>
        <w:ind w:firstLine="4200" w:firstLineChars="2000"/>
        <w:rPr>
          <w:rFonts w:hint="eastAsia" w:ascii="Times New Roman" w:hAnsi="Times New Roman" w:eastAsia="宋体" w:cs="Times New Roman"/>
          <w:szCs w:val="21"/>
        </w:rPr>
      </w:pPr>
      <w:r>
        <w:rPr>
          <w:rFonts w:hint="eastAsia" w:ascii="Times New Roman" w:hAnsi="Times New Roman" w:eastAsia="宋体" w:cs="Times New Roman"/>
          <w:szCs w:val="21"/>
        </w:rPr>
        <w:t>投标人（公章）：</w:t>
      </w:r>
    </w:p>
    <w:p w14:paraId="0FBDF776">
      <w:pPr>
        <w:ind w:left="420" w:leftChars="200" w:firstLine="3780" w:firstLineChars="1800"/>
        <w:rPr>
          <w:rFonts w:hint="eastAsia" w:ascii="Times New Roman" w:hAnsi="Times New Roman" w:eastAsia="宋体" w:cs="Times New Roman"/>
          <w:szCs w:val="21"/>
        </w:rPr>
      </w:pPr>
      <w:r>
        <w:rPr>
          <w:rFonts w:hint="eastAsia" w:ascii="Times New Roman" w:hAnsi="Times New Roman" w:eastAsia="宋体" w:cs="Times New Roman"/>
          <w:szCs w:val="21"/>
        </w:rPr>
        <w:t>法定代表人或其授权代表签名：</w:t>
      </w:r>
    </w:p>
    <w:p w14:paraId="70DE5E33">
      <w:pPr>
        <w:ind w:firstLine="4200" w:firstLineChars="2000"/>
        <w:rPr>
          <w:rFonts w:hint="eastAsia" w:ascii="Times New Roman" w:hAnsi="Times New Roman" w:eastAsia="宋体" w:cs="Times New Roman"/>
          <w:szCs w:val="21"/>
        </w:rPr>
      </w:pPr>
      <w:r>
        <w:rPr>
          <w:rFonts w:hint="eastAsia" w:ascii="Times New Roman" w:hAnsi="Times New Roman" w:eastAsia="宋体" w:cs="Times New Roman"/>
          <w:szCs w:val="21"/>
        </w:rPr>
        <w:t>日期：      年    月    日</w:t>
      </w:r>
    </w:p>
    <w:p w14:paraId="7241D3C6">
      <w:pPr>
        <w:ind w:left="420" w:leftChars="200"/>
        <w:rPr>
          <w:rFonts w:hint="eastAsia" w:ascii="黑体" w:hAnsi="宋体" w:eastAsia="黑体"/>
        </w:rPr>
      </w:pPr>
    </w:p>
    <w:p w14:paraId="3403586A">
      <w:pPr>
        <w:ind w:left="420" w:leftChars="200"/>
        <w:rPr>
          <w:rFonts w:hint="eastAsia" w:ascii="黑体" w:hAnsi="宋体" w:eastAsia="黑体"/>
        </w:rPr>
      </w:pPr>
    </w:p>
    <w:p w14:paraId="78F91244">
      <w:pPr>
        <w:pStyle w:val="3"/>
        <w:jc w:val="center"/>
        <w:rPr>
          <w:rFonts w:hint="eastAsia" w:ascii="黑体" w:eastAsia="黑体"/>
          <w:b w:val="0"/>
          <w:sz w:val="24"/>
        </w:rPr>
      </w:pPr>
      <w:r>
        <w:rPr>
          <w:rFonts w:hint="eastAsia" w:ascii="黑体" w:eastAsia="黑体"/>
          <w:b w:val="0"/>
          <w:sz w:val="24"/>
        </w:rPr>
        <w:t>二、</w:t>
      </w:r>
      <w:bookmarkStart w:id="71" w:name="OLE_LINK20"/>
      <w:r>
        <w:rPr>
          <w:rFonts w:hint="eastAsia" w:ascii="黑体" w:eastAsia="黑体"/>
          <w:b w:val="0"/>
          <w:sz w:val="24"/>
        </w:rPr>
        <w:t>政府采购投标及履约承诺函</w:t>
      </w:r>
      <w:bookmarkEnd w:id="71"/>
    </w:p>
    <w:p w14:paraId="2A3FCD09">
      <w:pPr>
        <w:rPr>
          <w:rFonts w:ascii="宋体" w:hAnsi="宋体"/>
          <w:color w:val="auto"/>
          <w:szCs w:val="21"/>
        </w:rPr>
      </w:pPr>
      <w:bookmarkStart w:id="72" w:name="_Hlk72257530"/>
      <w:r>
        <w:rPr>
          <w:rFonts w:hint="eastAsia" w:ascii="宋体" w:hAnsi="宋体"/>
          <w:color w:val="auto"/>
          <w:szCs w:val="21"/>
        </w:rPr>
        <w:t>致：</w:t>
      </w:r>
      <w:r>
        <w:rPr>
          <w:rFonts w:hint="eastAsia" w:ascii="宋体" w:hAnsi="宋体"/>
          <w:color w:val="auto"/>
          <w:szCs w:val="21"/>
          <w:u w:val="single"/>
        </w:rPr>
        <w:t>深圳公共资源交易中心</w:t>
      </w:r>
      <w:r>
        <w:rPr>
          <w:rFonts w:hint="eastAsia" w:ascii="宋体" w:hAnsi="宋体"/>
          <w:color w:val="auto"/>
          <w:szCs w:val="21"/>
          <w:u w:val="single"/>
          <w:lang w:eastAsia="zh-CN"/>
        </w:rPr>
        <w:t>（</w:t>
      </w:r>
      <w:r>
        <w:rPr>
          <w:rFonts w:hint="eastAsia"/>
          <w:color w:val="auto"/>
          <w:u w:val="single"/>
        </w:rPr>
        <w:t>深圳交易集团有限公司罗湖分公司</w:t>
      </w:r>
      <w:r>
        <w:rPr>
          <w:rFonts w:hint="eastAsia" w:ascii="宋体" w:hAnsi="宋体"/>
          <w:color w:val="auto"/>
          <w:szCs w:val="21"/>
          <w:u w:val="single"/>
          <w:lang w:eastAsia="zh-CN"/>
        </w:rPr>
        <w:t>）</w:t>
      </w:r>
      <w:r>
        <w:rPr>
          <w:rFonts w:hint="eastAsia" w:ascii="宋体" w:hAnsi="宋体"/>
          <w:color w:val="auto"/>
          <w:szCs w:val="21"/>
          <w:u w:val="single"/>
        </w:rPr>
        <w:t xml:space="preserve">  </w:t>
      </w:r>
    </w:p>
    <w:p w14:paraId="25BE8F54">
      <w:pPr>
        <w:ind w:right="-815" w:firstLine="420" w:firstLineChars="200"/>
        <w:rPr>
          <w:rFonts w:ascii="宋体" w:hAnsi="宋体"/>
          <w:szCs w:val="21"/>
        </w:rPr>
      </w:pPr>
      <w:r>
        <w:rPr>
          <w:rFonts w:hint="eastAsia" w:ascii="宋体" w:hAnsi="宋体"/>
          <w:szCs w:val="21"/>
        </w:rPr>
        <w:t>我单位承诺：</w:t>
      </w:r>
    </w:p>
    <w:p w14:paraId="6A431F38">
      <w:pPr>
        <w:ind w:firstLine="420" w:firstLineChars="200"/>
        <w:rPr>
          <w:rFonts w:ascii="宋体" w:hAnsi="宋体"/>
          <w:b/>
          <w:szCs w:val="21"/>
        </w:rPr>
      </w:pPr>
      <w:r>
        <w:rPr>
          <w:rFonts w:hint="eastAsia" w:ascii="宋体" w:hAnsi="宋体"/>
          <w:bCs/>
          <w:szCs w:val="21"/>
        </w:rPr>
        <w:t>1.我单位参与本项目所投标（响应）的货物、工程或服务，不存在侵犯知识产权的情况。</w:t>
      </w:r>
    </w:p>
    <w:p w14:paraId="4F3898B2">
      <w:pPr>
        <w:ind w:firstLine="420" w:firstLineChars="200"/>
        <w:rPr>
          <w:rFonts w:ascii="宋体" w:hAnsi="宋体"/>
          <w:szCs w:val="21"/>
        </w:rPr>
      </w:pPr>
      <w:r>
        <w:rPr>
          <w:rFonts w:hint="eastAsia" w:ascii="宋体" w:hAnsi="宋体"/>
          <w:szCs w:val="21"/>
        </w:rPr>
        <w:t>2.我单位参与本项目</w:t>
      </w:r>
      <w:r>
        <w:rPr>
          <w:rFonts w:hint="eastAsia"/>
        </w:rPr>
        <w:t>政府采购活动时不存在被有关部门禁止参与政府采购活动且在有效期内的情况。</w:t>
      </w:r>
    </w:p>
    <w:p w14:paraId="3B849F50">
      <w:pPr>
        <w:ind w:firstLine="420" w:firstLineChars="200"/>
        <w:rPr>
          <w:rFonts w:ascii="宋体" w:hAnsi="宋体"/>
          <w:szCs w:val="21"/>
        </w:rPr>
      </w:pPr>
      <w:r>
        <w:rPr>
          <w:rFonts w:hint="eastAsia" w:ascii="宋体" w:hAnsi="宋体"/>
          <w:szCs w:val="21"/>
        </w:rPr>
        <w:t>3.我单位具备《中华人民共和国政府采购法》第二十二条第一款规定的六项条件。</w:t>
      </w:r>
    </w:p>
    <w:p w14:paraId="5244BE7A">
      <w:pPr>
        <w:ind w:firstLine="420" w:firstLineChars="200"/>
      </w:pPr>
      <w:r>
        <w:rPr>
          <w:rFonts w:hint="eastAsia" w:ascii="宋体" w:hAnsi="宋体"/>
          <w:szCs w:val="21"/>
        </w:rPr>
        <w:t>4.我单位</w:t>
      </w:r>
      <w:r>
        <w:rPr>
          <w:rFonts w:hint="eastAsia"/>
        </w:rPr>
        <w:t>未被列入失信被执行人、重大税收违法案件当事人名单、政府采购严重违法失信行为记录名单。</w:t>
      </w:r>
    </w:p>
    <w:p w14:paraId="57269747">
      <w:pPr>
        <w:ind w:firstLine="420" w:firstLineChars="200"/>
        <w:rPr>
          <w:rFonts w:ascii="宋体" w:hAnsi="宋体"/>
          <w:szCs w:val="21"/>
        </w:rPr>
      </w:pPr>
      <w:r>
        <w:rPr>
          <w:rFonts w:hint="eastAsia"/>
          <w:color w:val="auto"/>
        </w:rPr>
        <w:t>5.</w:t>
      </w:r>
      <w:bookmarkStart w:id="73" w:name="_Hlk72587269"/>
      <w:bookmarkStart w:id="74" w:name="_Hlk72587299"/>
      <w:r>
        <w:rPr>
          <w:rFonts w:hint="eastAsia" w:ascii="宋体" w:hAnsi="宋体"/>
          <w:color w:val="auto"/>
          <w:szCs w:val="21"/>
        </w:rPr>
        <w:t>我单</w:t>
      </w:r>
      <w:r>
        <w:rPr>
          <w:rFonts w:hint="eastAsia" w:ascii="宋体" w:hAnsi="宋体"/>
          <w:szCs w:val="21"/>
        </w:rPr>
        <w:t>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bookmarkEnd w:id="73"/>
      <w:r>
        <w:rPr>
          <w:rFonts w:hint="eastAsia" w:ascii="宋体" w:hAnsi="宋体"/>
          <w:szCs w:val="21"/>
        </w:rPr>
        <w:t>。</w:t>
      </w:r>
    </w:p>
    <w:bookmarkEnd w:id="74"/>
    <w:p w14:paraId="041D731A">
      <w:pPr>
        <w:ind w:firstLine="420" w:firstLineChars="200"/>
        <w:rPr>
          <w:rFonts w:ascii="宋体" w:hAnsi="宋体"/>
          <w:szCs w:val="21"/>
        </w:rPr>
      </w:pPr>
      <w:r>
        <w:rPr>
          <w:rFonts w:hint="eastAsia" w:ascii="宋体" w:hAnsi="宋体"/>
          <w:szCs w:val="21"/>
          <w:lang w:val="en-US" w:eastAsia="zh-CN"/>
        </w:rPr>
        <w:t>6</w:t>
      </w:r>
      <w:r>
        <w:rPr>
          <w:rFonts w:hint="eastAsia" w:ascii="宋体" w:hAnsi="宋体"/>
          <w:szCs w:val="21"/>
        </w:rPr>
        <w:t>.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14:paraId="2F084965">
      <w:pPr>
        <w:ind w:firstLine="420" w:firstLineChars="200"/>
        <w:rPr>
          <w:rFonts w:ascii="宋体" w:hAnsi="宋体"/>
          <w:szCs w:val="21"/>
        </w:rPr>
      </w:pPr>
      <w:r>
        <w:rPr>
          <w:rFonts w:hint="eastAsia" w:ascii="宋体" w:hAnsi="宋体"/>
          <w:szCs w:val="21"/>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14:paraId="50834AF6">
      <w:pPr>
        <w:ind w:firstLine="420" w:firstLineChars="200"/>
        <w:rPr>
          <w:rFonts w:ascii="宋体" w:hAnsi="宋体"/>
          <w:szCs w:val="21"/>
        </w:rPr>
      </w:pPr>
      <w:r>
        <w:rPr>
          <w:rFonts w:hint="eastAsia" w:ascii="宋体" w:hAnsi="宋体"/>
          <w:szCs w:val="21"/>
          <w:lang w:val="en-US" w:eastAsia="zh-CN"/>
        </w:rPr>
        <w:t>7</w:t>
      </w:r>
      <w:r>
        <w:rPr>
          <w:rFonts w:hint="eastAsia" w:ascii="宋体" w:hAnsi="宋体"/>
          <w:szCs w:val="21"/>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14:paraId="5AD2956F">
      <w:pPr>
        <w:ind w:firstLine="420" w:firstLineChars="200"/>
        <w:rPr>
          <w:rFonts w:ascii="宋体" w:hAnsi="宋体"/>
          <w:szCs w:val="21"/>
        </w:rPr>
      </w:pPr>
      <w:r>
        <w:rPr>
          <w:rFonts w:hint="eastAsia" w:ascii="宋体" w:hAnsi="宋体"/>
          <w:szCs w:val="21"/>
          <w:lang w:val="en-US" w:eastAsia="zh-CN"/>
        </w:rPr>
        <w:t>8</w:t>
      </w:r>
      <w:r>
        <w:rPr>
          <w:rFonts w:hint="eastAsia" w:ascii="宋体" w:hAnsi="宋体"/>
          <w:szCs w:val="21"/>
        </w:rPr>
        <w:t>.我单位承诺中标后项目不转包，未经采购人同意不进行分包。</w:t>
      </w:r>
    </w:p>
    <w:p w14:paraId="5ED7672E">
      <w:pPr>
        <w:ind w:firstLine="420" w:firstLineChars="200"/>
        <w:rPr>
          <w:rFonts w:ascii="宋体" w:hAnsi="宋体"/>
        </w:rPr>
      </w:pPr>
      <w:r>
        <w:rPr>
          <w:rFonts w:hint="eastAsia" w:ascii="宋体" w:hAnsi="宋体"/>
          <w:szCs w:val="21"/>
          <w:lang w:val="en-US" w:eastAsia="zh-CN"/>
        </w:rPr>
        <w:t>9</w:t>
      </w:r>
      <w:r>
        <w:rPr>
          <w:rFonts w:ascii="宋体" w:hAnsi="宋体"/>
          <w:szCs w:val="21"/>
        </w:rPr>
        <w:t>.</w:t>
      </w:r>
      <w:r>
        <w:rPr>
          <w:rFonts w:hint="eastAsia" w:ascii="宋体" w:hAnsi="宋体"/>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14:paraId="5C1225ED">
      <w:pPr>
        <w:ind w:firstLine="420" w:firstLineChars="200"/>
        <w:rPr>
          <w:rFonts w:ascii="宋体" w:hAnsi="宋体"/>
        </w:rPr>
      </w:pPr>
      <w:r>
        <w:rPr>
          <w:rFonts w:hint="eastAsia" w:ascii="宋体" w:hAnsi="宋体"/>
          <w:lang w:val="en-US" w:eastAsia="zh-CN"/>
        </w:rPr>
        <w:t>10</w:t>
      </w:r>
      <w:r>
        <w:rPr>
          <w:rFonts w:ascii="宋体" w:hAnsi="宋体"/>
        </w:rPr>
        <w:t>.</w:t>
      </w:r>
      <w:r>
        <w:rPr>
          <w:rFonts w:hint="eastAsia" w:ascii="宋体" w:hAnsi="宋体"/>
        </w:rPr>
        <w:t>我单位保证，若所投货物涉及</w:t>
      </w:r>
      <w:r>
        <w:rPr>
          <w:rFonts w:ascii="宋体" w:hAnsi="宋体"/>
        </w:rPr>
        <w:t>《</w:t>
      </w:r>
      <w:r>
        <w:rPr>
          <w:rFonts w:hint="eastAsia" w:ascii="宋体" w:hAnsi="宋体"/>
        </w:rPr>
        <w:t>财政部生态环境部关于印发节能产品政府采购品目清单的通知》（财库〔20</w:t>
      </w:r>
      <w:r>
        <w:rPr>
          <w:rFonts w:ascii="宋体" w:hAnsi="宋体"/>
        </w:rPr>
        <w:t>19</w:t>
      </w:r>
      <w:r>
        <w:rPr>
          <w:rFonts w:hint="eastAsia" w:ascii="宋体" w:hAnsi="宋体"/>
        </w:rPr>
        <w:t>〕</w:t>
      </w:r>
      <w:r>
        <w:rPr>
          <w:rFonts w:ascii="宋体" w:hAnsi="宋体"/>
        </w:rPr>
        <w:t>19</w:t>
      </w:r>
      <w:r>
        <w:rPr>
          <w:rFonts w:hint="eastAsia" w:ascii="宋体" w:hAnsi="宋体"/>
        </w:rPr>
        <w:t>号）列明的政府采购强制产品，则所投该产品符合节能产品的认证要求。若所投产品包括数据中心相关设备的，应满足</w:t>
      </w:r>
      <w:r>
        <w:rPr>
          <w:rFonts w:hint="eastAsia"/>
        </w:rPr>
        <w:t>《财政部 生态环境部 工业和信息化部关于印发&lt;绿色数据中心政府采购需求标准（试行）&gt;的通知》（财库〔2023〕7号）要求。若所投产品涉及国家强制性标准的，所投产品应符合国家强制性标准相关要求。</w:t>
      </w:r>
    </w:p>
    <w:p w14:paraId="757828F8">
      <w:pPr>
        <w:ind w:firstLine="420" w:firstLineChars="200"/>
        <w:rPr>
          <w:rFonts w:ascii="宋体" w:hAnsi="宋体"/>
          <w:bCs/>
        </w:rPr>
      </w:pPr>
      <w:r>
        <w:rPr>
          <w:rFonts w:hint="eastAsia" w:ascii="宋体" w:hAnsi="宋体" w:cs="宋体"/>
          <w:bCs/>
          <w:kern w:val="0"/>
          <w:szCs w:val="21"/>
          <w:lang w:val="en-US" w:eastAsia="zh-CN"/>
        </w:rPr>
        <w:t>11</w:t>
      </w:r>
      <w:r>
        <w:rPr>
          <w:rFonts w:hint="eastAsia" w:ascii="宋体" w:hAnsi="宋体" w:cs="宋体"/>
          <w:bCs/>
          <w:kern w:val="0"/>
          <w:szCs w:val="21"/>
        </w:rPr>
        <w:t>.</w:t>
      </w:r>
      <w:r>
        <w:rPr>
          <w:rFonts w:hint="eastAsia" w:ascii="宋体" w:hAnsi="宋体"/>
          <w:bCs/>
        </w:rPr>
        <w:t>我单位已知悉并同意中标（成交）结果信息公示（公开）的内容。</w:t>
      </w:r>
    </w:p>
    <w:p w14:paraId="2ED7E3A2">
      <w:pPr>
        <w:ind w:firstLine="420" w:firstLineChars="200"/>
        <w:rPr>
          <w:rFonts w:ascii="宋体" w:hAnsi="宋体"/>
          <w:b w:val="0"/>
          <w:bCs w:val="0"/>
        </w:rPr>
      </w:pPr>
      <w:r>
        <w:rPr>
          <w:rFonts w:hint="eastAsia" w:ascii="宋体" w:hAnsi="宋体"/>
          <w:bCs/>
          <w:lang w:val="en-US" w:eastAsia="zh-CN"/>
        </w:rPr>
        <w:t>12</w:t>
      </w:r>
      <w:r>
        <w:rPr>
          <w:rFonts w:hint="eastAsia" w:ascii="宋体" w:hAnsi="宋体"/>
          <w:bCs/>
        </w:rPr>
        <w:t>.我单位保证，符合《中华人民共和国政府采购法实施条例》第十八条规定，与其他投标供应商不存在单位负责人为同一人或者存在直接控股、管理关系；</w:t>
      </w:r>
      <w:r>
        <w:rPr>
          <w:rFonts w:hint="eastAsia" w:ascii="宋体" w:hAnsi="宋体"/>
          <w:b w:val="0"/>
          <w:bCs w:val="0"/>
        </w:rPr>
        <w:t>不存在为本次采购项目提供整体设计、规范编制或者项目管理、监理、检测等服务的情形。若存在“</w:t>
      </w:r>
      <w:bookmarkStart w:id="75" w:name="OLE_LINK10"/>
      <w:r>
        <w:rPr>
          <w:rFonts w:hint="eastAsia" w:ascii="宋体" w:hAnsi="宋体"/>
          <w:b w:val="0"/>
          <w:bCs w:val="0"/>
        </w:rPr>
        <w:t>不同供应商的董事、股东或其他高级管理人员为同一人</w:t>
      </w:r>
      <w:bookmarkEnd w:id="75"/>
      <w:r>
        <w:rPr>
          <w:rFonts w:hint="eastAsia" w:ascii="宋体" w:hAnsi="宋体"/>
          <w:b w:val="0"/>
          <w:bCs w:val="0"/>
        </w:rPr>
        <w:t>的”情形的，我单位保证不存在串通投标、恶意串通或者视为串通投标的情形。</w:t>
      </w:r>
    </w:p>
    <w:p w14:paraId="04F1FE44">
      <w:pPr>
        <w:ind w:firstLine="420" w:firstLineChars="200"/>
        <w:rPr>
          <w:rFonts w:ascii="宋体" w:hAnsi="宋体"/>
          <w:szCs w:val="21"/>
        </w:rPr>
      </w:pPr>
      <w:r>
        <w:rPr>
          <w:rFonts w:hint="eastAsia" w:ascii="宋体" w:hAnsi="宋体"/>
          <w:szCs w:val="21"/>
        </w:rPr>
        <w:t>以上承诺，如有违反，愿依照国家相关法律法规处理，并承担由此给采购人带来的损失。</w:t>
      </w:r>
    </w:p>
    <w:p w14:paraId="4B8B1587">
      <w:pPr>
        <w:spacing w:line="360" w:lineRule="auto"/>
        <w:ind w:left="5040" w:leftChars="2400" w:firstLine="0" w:firstLineChars="0"/>
        <w:jc w:val="left"/>
        <w:rPr>
          <w:rFonts w:ascii="宋体" w:hAnsi="宋体" w:eastAsia="宋体" w:cs="宋体"/>
          <w:szCs w:val="21"/>
        </w:rPr>
      </w:pPr>
      <w:r>
        <w:rPr>
          <w:rFonts w:hint="eastAsia" w:ascii="宋体" w:hAnsi="宋体"/>
          <w:szCs w:val="21"/>
        </w:rPr>
        <w:t xml:space="preserve">                                  </w:t>
      </w:r>
      <w:bookmarkEnd w:id="72"/>
      <w:r>
        <w:rPr>
          <w:rFonts w:hint="eastAsia" w:ascii="宋体" w:hAnsi="宋体" w:eastAsia="宋体" w:cs="宋体"/>
          <w:szCs w:val="21"/>
        </w:rPr>
        <w:t>投标人（公章）：</w:t>
      </w:r>
    </w:p>
    <w:p w14:paraId="51E04510">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法定代表人或其授权代表签名：</w:t>
      </w:r>
    </w:p>
    <w:p w14:paraId="102BB848">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日期：      年    月    日</w:t>
      </w:r>
    </w:p>
    <w:p w14:paraId="57D75397">
      <w:pPr>
        <w:ind w:firstLine="645"/>
        <w:jc w:val="right"/>
        <w:rPr>
          <w:rFonts w:ascii="宋体" w:hAnsi="宋体"/>
          <w:color w:val="FF0000"/>
          <w:szCs w:val="21"/>
        </w:rPr>
      </w:pPr>
    </w:p>
    <w:p w14:paraId="41DB1591">
      <w:pPr>
        <w:ind w:firstLine="645"/>
        <w:rPr>
          <w:rFonts w:ascii="宋体" w:hAnsi="宋体"/>
          <w:szCs w:val="21"/>
        </w:rPr>
      </w:pPr>
    </w:p>
    <w:p w14:paraId="332E8D96">
      <w:pPr>
        <w:rPr>
          <w:rFonts w:ascii="宋体"/>
          <w:b/>
          <w:szCs w:val="21"/>
        </w:rPr>
      </w:pPr>
    </w:p>
    <w:p w14:paraId="2E367A4C">
      <w:pPr>
        <w:ind w:firstLine="482" w:firstLineChars="200"/>
        <w:jc w:val="center"/>
        <w:rPr>
          <w:rFonts w:hAnsi="宋体"/>
          <w:b/>
          <w:bCs/>
          <w:sz w:val="24"/>
        </w:rPr>
      </w:pPr>
    </w:p>
    <w:p w14:paraId="2D5BB92E">
      <w:pPr>
        <w:widowControl/>
        <w:jc w:val="left"/>
        <w:rPr>
          <w:rFonts w:ascii="黑体" w:hAnsi="宋体" w:eastAsia="黑体"/>
          <w:bCs/>
          <w:sz w:val="24"/>
        </w:rPr>
      </w:pPr>
      <w:r>
        <w:rPr>
          <w:rFonts w:ascii="黑体" w:eastAsia="黑体"/>
          <w:b/>
          <w:sz w:val="24"/>
        </w:rPr>
        <w:br w:type="page"/>
      </w:r>
    </w:p>
    <w:p w14:paraId="58C9A075">
      <w:pPr>
        <w:pStyle w:val="3"/>
        <w:jc w:val="center"/>
        <w:rPr>
          <w:rFonts w:hint="eastAsia" w:ascii="仿宋" w:hAnsi="仿宋" w:eastAsia="仿宋" w:cs="仿宋"/>
          <w:sz w:val="32"/>
          <w:szCs w:val="32"/>
          <w:lang w:val="en-US" w:eastAsia="zh-CN"/>
        </w:rPr>
      </w:pPr>
      <w:r>
        <w:rPr>
          <w:rFonts w:hint="eastAsia" w:ascii="黑体" w:eastAsia="黑体"/>
          <w:b w:val="0"/>
          <w:sz w:val="24"/>
          <w:szCs w:val="24"/>
        </w:rPr>
        <w:t>三、</w:t>
      </w:r>
      <w:bookmarkStart w:id="76" w:name="OLE_LINK19"/>
      <w:r>
        <w:rPr>
          <w:rFonts w:hint="eastAsia" w:ascii="黑体" w:eastAsia="黑体"/>
          <w:b w:val="0"/>
          <w:sz w:val="24"/>
          <w:szCs w:val="24"/>
        </w:rPr>
        <w:t>供应商合规承诺函</w:t>
      </w:r>
      <w:bookmarkEnd w:id="76"/>
    </w:p>
    <w:p w14:paraId="412BE4DD">
      <w:pPr>
        <w:ind w:firstLine="420" w:firstLineChars="200"/>
        <w:rPr>
          <w:rFonts w:hint="eastAsia" w:ascii="宋体" w:hAnsi="宋体"/>
          <w:lang w:val="en-US" w:eastAsia="zh-CN"/>
        </w:rPr>
      </w:pPr>
      <w:bookmarkStart w:id="77" w:name="OLE_LINK22"/>
      <w:r>
        <w:rPr>
          <w:rFonts w:hint="eastAsia" w:ascii="宋体" w:hAnsi="宋体"/>
          <w:lang w:val="en-US" w:eastAsia="zh-CN"/>
        </w:rPr>
        <w:t>我司承诺：在本项目招投标期间，不以任何形式与招标单位工作人员进行非必要接触或沟通，不存在影响招标公平性、公正性的不当行为。若违反上述承诺，我司自愿放弃竞标资格，并承担相应法律责任。</w:t>
      </w:r>
    </w:p>
    <w:bookmarkEnd w:id="77"/>
    <w:p w14:paraId="6D561D14">
      <w:pPr>
        <w:ind w:firstLine="420" w:firstLineChars="200"/>
        <w:rPr>
          <w:rFonts w:hint="eastAsia" w:ascii="宋体" w:hAnsi="宋体"/>
          <w:lang w:val="en-US" w:eastAsia="zh-CN"/>
        </w:rPr>
      </w:pPr>
      <w:r>
        <w:rPr>
          <w:rFonts w:hint="eastAsia" w:ascii="宋体" w:hAnsi="宋体"/>
          <w:lang w:val="en-US" w:eastAsia="zh-CN"/>
        </w:rPr>
        <w:t xml:space="preserve">      </w:t>
      </w:r>
    </w:p>
    <w:p w14:paraId="6520403B">
      <w:pPr>
        <w:ind w:firstLine="420" w:firstLineChars="200"/>
        <w:rPr>
          <w:rFonts w:hint="eastAsia" w:ascii="宋体" w:hAnsi="宋体"/>
          <w:lang w:val="en-US" w:eastAsia="zh-CN"/>
        </w:rPr>
      </w:pPr>
    </w:p>
    <w:p w14:paraId="3000EBF7">
      <w:pPr>
        <w:ind w:firstLine="420" w:firstLineChars="200"/>
        <w:rPr>
          <w:rFonts w:hint="eastAsia" w:ascii="宋体" w:hAnsi="宋体"/>
          <w:lang w:val="en-US" w:eastAsia="zh-CN"/>
        </w:rPr>
      </w:pPr>
    </w:p>
    <w:p w14:paraId="022BB0EB">
      <w:pPr>
        <w:ind w:firstLine="420" w:firstLineChars="200"/>
        <w:rPr>
          <w:rFonts w:hint="eastAsia" w:ascii="宋体" w:hAnsi="宋体"/>
          <w:lang w:val="en-US" w:eastAsia="zh-CN"/>
        </w:rPr>
      </w:pPr>
      <w:r>
        <w:rPr>
          <w:rFonts w:hint="eastAsia" w:ascii="宋体" w:hAnsi="宋体"/>
          <w:lang w:val="en-US" w:eastAsia="zh-CN"/>
        </w:rPr>
        <w:t xml:space="preserve">                                                   承诺人（公章）</w:t>
      </w:r>
      <w:r>
        <w:rPr>
          <w:rFonts w:hint="eastAsia" w:ascii="宋体" w:hAnsi="宋体" w:eastAsia="宋体" w:cs="宋体"/>
          <w:szCs w:val="21"/>
        </w:rPr>
        <w:t>：</w:t>
      </w:r>
      <w:r>
        <w:rPr>
          <w:rFonts w:hint="eastAsia" w:ascii="宋体" w:hAnsi="宋体"/>
          <w:lang w:val="en-US" w:eastAsia="zh-CN"/>
        </w:rPr>
        <w:t xml:space="preserve"> </w:t>
      </w:r>
    </w:p>
    <w:p w14:paraId="4BD617A0">
      <w:pPr>
        <w:ind w:firstLine="420" w:firstLineChars="200"/>
        <w:rPr>
          <w:rFonts w:hint="eastAsia" w:ascii="宋体" w:hAnsi="宋体"/>
          <w:lang w:val="en-US" w:eastAsia="zh-CN"/>
        </w:rPr>
      </w:pPr>
      <w:r>
        <w:rPr>
          <w:rFonts w:hint="eastAsia" w:ascii="宋体" w:hAnsi="宋体"/>
          <w:lang w:val="en-US" w:eastAsia="zh-CN"/>
        </w:rPr>
        <w:t xml:space="preserve">                                                   </w:t>
      </w:r>
      <w:r>
        <w:rPr>
          <w:rFonts w:hint="eastAsia" w:ascii="宋体" w:hAnsi="宋体" w:eastAsia="宋体" w:cs="宋体"/>
          <w:szCs w:val="21"/>
        </w:rPr>
        <w:t>日期</w:t>
      </w:r>
      <w:bookmarkStart w:id="78" w:name="OLE_LINK11"/>
      <w:r>
        <w:rPr>
          <w:rFonts w:hint="eastAsia" w:ascii="宋体" w:hAnsi="宋体" w:eastAsia="宋体" w:cs="宋体"/>
          <w:szCs w:val="21"/>
        </w:rPr>
        <w:t>：</w:t>
      </w:r>
      <w:r>
        <w:rPr>
          <w:rFonts w:hint="eastAsia" w:ascii="宋体" w:hAnsi="宋体"/>
          <w:lang w:val="en-US" w:eastAsia="zh-CN"/>
        </w:rPr>
        <w:t xml:space="preserve"> </w:t>
      </w:r>
      <w:bookmarkEnd w:id="78"/>
      <w:r>
        <w:rPr>
          <w:rFonts w:hint="eastAsia" w:ascii="宋体" w:hAnsi="宋体"/>
          <w:lang w:val="en-US" w:eastAsia="zh-CN"/>
        </w:rPr>
        <w:t xml:space="preserve">  年    月     日</w:t>
      </w:r>
    </w:p>
    <w:p w14:paraId="0A40263E">
      <w:pPr>
        <w:jc w:val="center"/>
        <w:outlineLvl w:val="9"/>
        <w:rPr>
          <w:rFonts w:hint="eastAsia" w:ascii="黑体" w:eastAsia="黑体"/>
          <w:b w:val="0"/>
          <w:sz w:val="24"/>
          <w:szCs w:val="24"/>
        </w:rPr>
      </w:pPr>
    </w:p>
    <w:p w14:paraId="7C8650B9">
      <w:pPr>
        <w:jc w:val="center"/>
        <w:outlineLvl w:val="9"/>
        <w:rPr>
          <w:rFonts w:hint="eastAsia" w:ascii="黑体" w:eastAsia="黑体"/>
          <w:b w:val="0"/>
          <w:sz w:val="24"/>
          <w:szCs w:val="24"/>
          <w:lang w:val="en-US" w:eastAsia="zh-CN"/>
        </w:rPr>
      </w:pPr>
    </w:p>
    <w:p w14:paraId="67F672AB">
      <w:pPr>
        <w:pStyle w:val="3"/>
        <w:jc w:val="center"/>
        <w:rPr>
          <w:rFonts w:ascii="黑体" w:eastAsia="黑体"/>
          <w:b w:val="0"/>
          <w:sz w:val="24"/>
          <w:szCs w:val="24"/>
        </w:rPr>
      </w:pPr>
      <w:r>
        <w:rPr>
          <w:rFonts w:hint="eastAsia" w:ascii="黑体" w:eastAsia="黑体"/>
          <w:b w:val="0"/>
          <w:sz w:val="24"/>
          <w:szCs w:val="24"/>
          <w:lang w:val="en-US" w:eastAsia="zh-CN"/>
        </w:rPr>
        <w:t>四</w:t>
      </w:r>
      <w:r>
        <w:rPr>
          <w:rFonts w:hint="eastAsia" w:ascii="黑体" w:eastAsia="黑体"/>
          <w:b w:val="0"/>
          <w:sz w:val="24"/>
          <w:szCs w:val="24"/>
        </w:rPr>
        <w:t>、投标人情况及资格证明文件</w:t>
      </w:r>
    </w:p>
    <w:p w14:paraId="042CF50B">
      <w:pPr>
        <w:rPr>
          <w:b/>
          <w:bCs/>
          <w:sz w:val="24"/>
        </w:rPr>
      </w:pPr>
    </w:p>
    <w:p w14:paraId="044B8887">
      <w:pPr>
        <w:ind w:firstLine="2640" w:firstLineChars="1100"/>
        <w:outlineLvl w:val="3"/>
        <w:rPr>
          <w:rFonts w:ascii="黑体" w:hAnsi="宋体" w:eastAsia="黑体"/>
          <w:bCs/>
          <w:kern w:val="0"/>
          <w:sz w:val="24"/>
          <w:szCs w:val="32"/>
        </w:rPr>
      </w:pPr>
      <w:bookmarkStart w:id="79" w:name="_Hlk72257590"/>
      <w:r>
        <w:rPr>
          <w:rFonts w:hint="eastAsia" w:ascii="黑体" w:hAnsi="宋体" w:eastAsia="黑体"/>
          <w:bCs/>
          <w:kern w:val="0"/>
          <w:sz w:val="24"/>
          <w:szCs w:val="32"/>
        </w:rPr>
        <w:t>（一）投标人资格证明文件</w:t>
      </w:r>
    </w:p>
    <w:p w14:paraId="0FC9CA11">
      <w:pPr>
        <w:spacing w:before="120" w:beforeLines="50"/>
        <w:ind w:firstLine="422" w:firstLineChars="200"/>
        <w:rPr>
          <w:b/>
          <w:bCs/>
          <w:color w:val="FF0000"/>
        </w:rPr>
      </w:pPr>
      <w:r>
        <w:rPr>
          <w:rFonts w:hint="eastAsia"/>
          <w:b/>
          <w:bCs/>
          <w:color w:val="FF0000"/>
        </w:rPr>
        <w:t>（特别提示：投标人须按本招标文件第一册第一章招标公告 “申请人的资格要求”（即投标人资格要求）提供相关的资格证明资料，未提供或提供不完整、不符合要求的，将作投标无效处理，其中要求提供《政府采购投标及履约承诺函》《供应商基本情况表》且已在规定章节中提供的，此处不重复提供。）</w:t>
      </w:r>
    </w:p>
    <w:p w14:paraId="49EEEA13">
      <w:pPr>
        <w:spacing w:before="120" w:beforeLines="50"/>
        <w:ind w:firstLine="422" w:firstLineChars="200"/>
        <w:rPr>
          <w:bCs/>
        </w:rPr>
      </w:pPr>
      <w:r>
        <w:rPr>
          <w:rFonts w:hint="eastAsia"/>
          <w:b/>
          <w:bCs/>
          <w:color w:val="FF0000"/>
        </w:rPr>
        <w:t>1、资格证明材料：</w:t>
      </w:r>
      <w:r>
        <w:rPr>
          <w:bCs/>
        </w:rPr>
        <w:t xml:space="preserve"> </w:t>
      </w:r>
    </w:p>
    <w:p w14:paraId="716527F7">
      <w:pPr>
        <w:rPr>
          <w:b/>
          <w:bCs/>
          <w:sz w:val="24"/>
        </w:rPr>
      </w:pPr>
    </w:p>
    <w:p w14:paraId="7FE06558">
      <w:pPr>
        <w:rPr>
          <w:b/>
          <w:bCs/>
          <w:sz w:val="24"/>
        </w:rPr>
      </w:pPr>
    </w:p>
    <w:p w14:paraId="375353BF">
      <w:pPr>
        <w:rPr>
          <w:b/>
          <w:bCs/>
          <w:sz w:val="24"/>
        </w:rPr>
      </w:pPr>
    </w:p>
    <w:p w14:paraId="186381E7">
      <w:pPr>
        <w:rPr>
          <w:b/>
          <w:bCs/>
          <w:sz w:val="24"/>
        </w:rPr>
      </w:pPr>
    </w:p>
    <w:p w14:paraId="154F4CE5">
      <w:pPr>
        <w:ind w:firstLine="480" w:firstLineChars="200"/>
        <w:outlineLvl w:val="3"/>
        <w:rPr>
          <w:rFonts w:ascii="黑体" w:hAnsi="宋体" w:eastAsia="黑体"/>
          <w:bCs/>
          <w:kern w:val="0"/>
          <w:sz w:val="24"/>
          <w:szCs w:val="32"/>
        </w:rPr>
      </w:pPr>
      <w:bookmarkStart w:id="80" w:name="_Hlk72257908"/>
      <w:r>
        <w:rPr>
          <w:rFonts w:hint="eastAsia" w:ascii="黑体" w:hAnsi="宋体" w:eastAsia="黑体"/>
          <w:bCs/>
          <w:kern w:val="0"/>
          <w:sz w:val="24"/>
          <w:szCs w:val="32"/>
        </w:rPr>
        <w:t>（二）中小企业声明函、残疾人福利性单位声明函及监狱企业声明函</w:t>
      </w:r>
    </w:p>
    <w:bookmarkEnd w:id="79"/>
    <w:p w14:paraId="1356552E"/>
    <w:p w14:paraId="562A9930">
      <w:pPr>
        <w:ind w:firstLine="420" w:firstLineChars="200"/>
        <w:rPr>
          <w:rFonts w:ascii="黑体" w:hAnsi="黑体" w:eastAsia="黑体" w:cs="黑体"/>
          <w:color w:val="FF0000"/>
          <w:highlight w:val="yellow"/>
        </w:rPr>
      </w:pPr>
      <w:r>
        <w:rPr>
          <w:rFonts w:hint="eastAsia" w:ascii="黑体" w:hAnsi="黑体" w:eastAsia="黑体" w:cs="黑体"/>
          <w:color w:val="FF0000"/>
        </w:rPr>
        <w:t>请投标人依照招标文件提供的格式和内容填写声明函，不要随意变更格式；</w:t>
      </w:r>
      <w:r>
        <w:rPr>
          <w:rFonts w:hint="eastAsia" w:ascii="黑体" w:hAnsi="黑体" w:eastAsia="黑体" w:cs="黑体"/>
          <w:color w:val="FF0000"/>
          <w:highlight w:val="yellow"/>
        </w:rPr>
        <w:t>声明函需要盖章或签字；满足多项优惠政策的投标人，不重复享受多项价格扣除政策。</w:t>
      </w:r>
    </w:p>
    <w:p w14:paraId="25D48B5C">
      <w:pPr>
        <w:ind w:firstLine="420" w:firstLineChars="200"/>
        <w:rPr>
          <w:rFonts w:ascii="黑体" w:hAnsi="黑体" w:eastAsia="黑体" w:cs="黑体"/>
          <w:color w:val="FF0000"/>
        </w:rPr>
      </w:pPr>
    </w:p>
    <w:p w14:paraId="4602875B">
      <w:pPr>
        <w:ind w:firstLine="420" w:firstLineChars="200"/>
        <w:rPr>
          <w:rFonts w:ascii="黑体" w:hAnsi="黑体" w:eastAsia="黑体" w:cs="黑体"/>
          <w:color w:val="FF0000"/>
          <w:highlight w:val="yellow"/>
        </w:rPr>
      </w:pPr>
      <w:r>
        <w:rPr>
          <w:rFonts w:hint="eastAsia" w:ascii="黑体" w:hAnsi="黑体" w:eastAsia="黑体" w:cs="黑体"/>
          <w:color w:val="FF0000"/>
          <w:highlight w:val="yellow"/>
        </w:rPr>
        <w:t>（一）声明函的填写要求</w:t>
      </w:r>
    </w:p>
    <w:p w14:paraId="32CBA772">
      <w:pPr>
        <w:ind w:firstLine="420" w:firstLineChars="200"/>
        <w:rPr>
          <w:rFonts w:ascii="黑体" w:hAnsi="黑体" w:eastAsia="黑体" w:cs="黑体"/>
          <w:color w:val="FF0000"/>
        </w:rPr>
      </w:pPr>
      <w:r>
        <w:rPr>
          <w:rFonts w:hint="eastAsia" w:ascii="黑体" w:hAnsi="黑体" w:eastAsia="黑体" w:cs="黑体"/>
          <w:color w:val="FF0000"/>
        </w:rPr>
        <w:t>1.“单位名称”应填写采购人名称</w:t>
      </w:r>
      <w:r>
        <w:rPr>
          <w:rFonts w:hint="eastAsia" w:ascii="黑体" w:hAnsi="黑体" w:eastAsia="黑体" w:cs="黑体"/>
          <w:color w:val="FF0000"/>
          <w:lang w:eastAsia="zh-CN"/>
        </w:rPr>
        <w:t>【</w:t>
      </w:r>
      <w:r>
        <w:rPr>
          <w:rFonts w:hint="eastAsia" w:ascii="黑体" w:hAnsi="黑体" w:eastAsia="黑体" w:cs="黑体"/>
          <w:color w:val="FF0000"/>
        </w:rPr>
        <w:t>深圳公共资源交易中心</w:t>
      </w:r>
      <w:r>
        <w:rPr>
          <w:rFonts w:hint="eastAsia" w:ascii="黑体" w:hAnsi="黑体" w:eastAsia="黑体" w:cs="黑体"/>
          <w:color w:val="FF0000"/>
          <w:lang w:eastAsia="zh-CN"/>
        </w:rPr>
        <w:t>（深圳交易集团有限公司罗湖分公司）</w:t>
      </w:r>
      <w:r>
        <w:rPr>
          <w:rFonts w:hint="eastAsia" w:ascii="黑体" w:hAnsi="黑体" w:eastAsia="黑体" w:cs="黑体"/>
          <w:color w:val="FF0000"/>
        </w:rPr>
        <w:t>不是本项目的采购人，而是组织实施机构</w:t>
      </w:r>
      <w:r>
        <w:rPr>
          <w:rFonts w:hint="eastAsia" w:ascii="黑体" w:hAnsi="黑体" w:eastAsia="黑体" w:cs="黑体"/>
          <w:color w:val="FF0000"/>
          <w:lang w:eastAsia="zh-CN"/>
        </w:rPr>
        <w:t>】</w:t>
      </w:r>
      <w:r>
        <w:rPr>
          <w:rFonts w:hint="eastAsia" w:ascii="黑体" w:hAnsi="黑体" w:eastAsia="黑体" w:cs="黑体"/>
          <w:color w:val="FF0000"/>
        </w:rPr>
        <w:t>；</w:t>
      </w:r>
    </w:p>
    <w:p w14:paraId="7B1C3C03">
      <w:pPr>
        <w:ind w:firstLine="420" w:firstLineChars="200"/>
        <w:rPr>
          <w:rFonts w:ascii="黑体" w:hAnsi="黑体" w:eastAsia="黑体" w:cs="黑体"/>
          <w:color w:val="FF0000"/>
        </w:rPr>
      </w:pPr>
      <w:r>
        <w:rPr>
          <w:rFonts w:hint="eastAsia" w:ascii="黑体" w:hAnsi="黑体" w:eastAsia="黑体" w:cs="黑体"/>
          <w:color w:val="FF0000"/>
        </w:rPr>
        <w:t>2.“项目名称”应按照招标文件中确定的项目名称填写。对于分包方式面向中小企业采购的项目，应标明中小企业的具体分包内容；对于以联合体方式面向中小企业采购的项目，应标明联合体中中小企业所承担的具体内容。</w:t>
      </w:r>
    </w:p>
    <w:p w14:paraId="02239A33">
      <w:pPr>
        <w:ind w:firstLine="420" w:firstLineChars="200"/>
        <w:rPr>
          <w:rFonts w:ascii="黑体" w:hAnsi="黑体" w:eastAsia="黑体" w:cs="黑体"/>
          <w:color w:val="FF0000"/>
        </w:rPr>
      </w:pPr>
      <w:r>
        <w:rPr>
          <w:rFonts w:hint="eastAsia" w:ascii="黑体" w:hAnsi="黑体" w:eastAsia="黑体" w:cs="黑体"/>
          <w:color w:val="FF0000"/>
        </w:rPr>
        <w:t>3.“标的名称”应填写所采购货物（标的）的具体名称</w:t>
      </w:r>
      <w:r>
        <w:rPr>
          <w:rFonts w:hint="eastAsia" w:ascii="黑体" w:hAnsi="黑体" w:eastAsia="黑体" w:cs="黑体"/>
          <w:color w:val="0070C0"/>
        </w:rPr>
        <w:t>（以招标文件第一册第三章用户需求书“货物需求明细”的“货物名称”一栏为准）；</w:t>
      </w:r>
      <w:r>
        <w:rPr>
          <w:rFonts w:hint="eastAsia" w:ascii="黑体" w:hAnsi="黑体" w:eastAsia="黑体" w:cs="黑体"/>
          <w:color w:val="FF0000"/>
        </w:rPr>
        <w:t>如果涉及多项货物（标的）为同一企业制造，“标的名称”下划线处可以如实填写多项货物；对于分包方式面向中小企业采购的项目，“标的名称”应填写招标文件中注明的分包给中小企业的采购标的名称；对于以联合体方式面向中小企业采购的项目，“标的名称”应填写招标文件中注明的联合体中中小企业承担的采购标的名称。</w:t>
      </w:r>
    </w:p>
    <w:p w14:paraId="301A1E52">
      <w:pPr>
        <w:ind w:firstLine="420" w:firstLineChars="200"/>
        <w:rPr>
          <w:rFonts w:ascii="黑体" w:hAnsi="黑体" w:eastAsia="黑体" w:cs="黑体"/>
          <w:color w:val="FF0000"/>
        </w:rPr>
      </w:pPr>
      <w:r>
        <w:rPr>
          <w:rFonts w:hint="eastAsia" w:ascii="黑体" w:hAnsi="黑体" w:eastAsia="黑体" w:cs="黑体"/>
          <w:color w:val="FF0000"/>
        </w:rPr>
        <w:t>4.“采购文件中明确的所属行业”应填写采购标的对应的中小企业划分标准所属行业</w:t>
      </w:r>
      <w:r>
        <w:rPr>
          <w:rFonts w:hint="eastAsia" w:ascii="黑体" w:hAnsi="黑体" w:eastAsia="黑体" w:cs="黑体"/>
          <w:color w:val="0070C0"/>
        </w:rPr>
        <w:t>（所属行业以招标文件第一册第三章用户需求书“货物清单明细”的“标的所属行业”一栏为准）</w:t>
      </w:r>
      <w:r>
        <w:rPr>
          <w:rFonts w:hint="eastAsia" w:ascii="黑体" w:hAnsi="宋体" w:eastAsia="黑体" w:cs="Times New Roman"/>
          <w:bCs/>
          <w:color w:val="FF0000"/>
          <w:sz w:val="21"/>
          <w:szCs w:val="21"/>
          <w:lang w:val="en-US" w:eastAsia="zh-CN" w:bidi="ar"/>
        </w:rPr>
        <w:t>，并应确保与采购标的涉及的货物制造商本身的所属行业保持一致。</w:t>
      </w:r>
      <w:r>
        <w:rPr>
          <w:rFonts w:hint="eastAsia" w:ascii="黑体" w:hAnsi="黑体" w:eastAsia="黑体" w:cs="黑体"/>
          <w:color w:val="FF0000"/>
        </w:rPr>
        <w:t>对于分包方式面向中小企业采购的项目，“采购文件中明确的所属行业”应按照招标文件中注明的分包给中小企业的采购标的所属行业填写，并应确保与该分包部分采购标的涉及的货物制造商本身的所属行业保持一致。对于以联合体方式面向中小企业采购的项目，“采购文件中明确的所属行业”应按照招标文件中注明的联合体中中小企业承担的采购标的所属行业填写，并应确保与该承担部分采购标的涉及的货物制造商本身的所属行业保持一致。</w:t>
      </w:r>
    </w:p>
    <w:p w14:paraId="13CC00CB">
      <w:pPr>
        <w:ind w:firstLine="420" w:firstLineChars="200"/>
        <w:rPr>
          <w:rFonts w:ascii="黑体" w:hAnsi="黑体" w:eastAsia="黑体" w:cs="黑体"/>
          <w:color w:val="FF0000"/>
        </w:rPr>
      </w:pPr>
      <w:r>
        <w:rPr>
          <w:rFonts w:hint="eastAsia" w:ascii="黑体" w:hAnsi="黑体" w:eastAsia="黑体" w:cs="黑体"/>
          <w:color w:val="FF0000"/>
        </w:rPr>
        <w:t>5.“企业名称”应如实填写</w:t>
      </w:r>
      <w:r>
        <w:rPr>
          <w:rFonts w:hint="eastAsia" w:ascii="黑体" w:hAnsi="黑体" w:eastAsia="黑体" w:cs="黑体"/>
          <w:b/>
          <w:bCs/>
          <w:color w:val="FF0000"/>
        </w:rPr>
        <w:t>货物制造商名称</w:t>
      </w:r>
      <w:r>
        <w:rPr>
          <w:rFonts w:hint="eastAsia" w:ascii="黑体" w:hAnsi="黑体" w:eastAsia="黑体" w:cs="黑体"/>
          <w:color w:val="FF0000"/>
        </w:rPr>
        <w:t>。对于分包方式面向中小企业采购的项目，“企业名称”应填写分包部分采购标的对应的货物制造商</w:t>
      </w:r>
      <w:r>
        <w:rPr>
          <w:rFonts w:hint="eastAsia" w:ascii="黑体" w:hAnsi="黑体" w:eastAsia="黑体" w:cs="黑体"/>
          <w:color w:val="FF0000"/>
          <w:lang w:eastAsia="zh-CN"/>
        </w:rPr>
        <w:t>；</w:t>
      </w:r>
      <w:r>
        <w:rPr>
          <w:rFonts w:hint="eastAsia" w:ascii="黑体" w:hAnsi="黑体" w:eastAsia="黑体" w:cs="黑体"/>
          <w:color w:val="FF0000"/>
        </w:rPr>
        <w:t>对于以联合体方式面向中小企业采购的项目，“企业名称”应填写联合体中中小企业承担采购标的对应的货物制造商。</w:t>
      </w:r>
    </w:p>
    <w:p w14:paraId="074C12A4">
      <w:pPr>
        <w:ind w:firstLine="420" w:firstLineChars="200"/>
        <w:rPr>
          <w:rFonts w:ascii="黑体" w:hAnsi="黑体" w:eastAsia="黑体" w:cs="黑体"/>
          <w:color w:val="FF0000"/>
        </w:rPr>
      </w:pPr>
      <w:r>
        <w:rPr>
          <w:rFonts w:hint="eastAsia" w:ascii="黑体" w:hAnsi="黑体" w:eastAsia="黑体" w:cs="黑体"/>
          <w:color w:val="FF0000"/>
        </w:rPr>
        <w:t>6.从业人员、资产总额指标以上年度末数据为依据，营业收入指标以上年度累计数据为依据。无上年度数据的新成立企业可不填报。</w:t>
      </w:r>
    </w:p>
    <w:p w14:paraId="548AA9A6">
      <w:pPr>
        <w:ind w:firstLine="420" w:firstLineChars="200"/>
        <w:rPr>
          <w:rFonts w:ascii="黑体" w:hAnsi="黑体" w:eastAsia="黑体" w:cs="黑体"/>
          <w:color w:val="FF0000"/>
        </w:rPr>
      </w:pPr>
      <w:r>
        <w:rPr>
          <w:rFonts w:hint="eastAsia" w:ascii="黑体" w:hAnsi="黑体" w:eastAsia="黑体" w:cs="黑体"/>
          <w:color w:val="FF0000"/>
        </w:rPr>
        <w:t>7.“中型企业/小型企业/微型企业”部分，应依据企业上年度从业人员、营业收入、资产总额等指标，按照《中小企业划型标准规定》（工信部联企业〔2011〕300 号）、《金融业企业划型标准规定》（银发〔2015〕309 号），判断《中小企业声明函》载明的货物制造商是否属于招标文件所属行业的中型企业/小型企业/微型企业。</w:t>
      </w:r>
    </w:p>
    <w:p w14:paraId="41725F12">
      <w:pPr>
        <w:ind w:firstLine="420" w:firstLineChars="200"/>
        <w:rPr>
          <w:rFonts w:ascii="黑体" w:hAnsi="黑体" w:eastAsia="黑体" w:cs="黑体"/>
          <w:color w:val="FF0000"/>
        </w:rPr>
      </w:pPr>
      <w:r>
        <w:rPr>
          <w:rFonts w:hint="eastAsia" w:ascii="黑体" w:hAnsi="黑体" w:eastAsia="黑体" w:cs="黑体"/>
          <w:color w:val="FF0000"/>
        </w:rPr>
        <w:t>8.对于已纳入统计部门统计范围的企业，所属行业、从业人员、营业收入、资产总额、规模类型应与统计部门报表保持一致。对于未纳入统计部门统计范围的企业，应对照《国民经济行业分类》确定所属行业，当企业从事两种以上的经济活动时，按照企业从事的主要活动确定所属行业；从业人员、营业收入、资产总额应按照上年度末实际情况填报，并应确保在争议纠纷处理时，可提供相关数据的来源依据。</w:t>
      </w:r>
    </w:p>
    <w:p w14:paraId="663246CD">
      <w:pPr>
        <w:ind w:firstLine="420" w:firstLineChars="200"/>
        <w:rPr>
          <w:rFonts w:ascii="黑体" w:hAnsi="黑体" w:eastAsia="黑体" w:cs="黑体"/>
          <w:color w:val="FF0000"/>
        </w:rPr>
      </w:pPr>
      <w:r>
        <w:rPr>
          <w:rFonts w:hint="eastAsia" w:ascii="黑体" w:hAnsi="黑体" w:eastAsia="黑体" w:cs="黑体"/>
          <w:color w:val="FF0000"/>
        </w:rPr>
        <w:t>9.声明是残疾人福利性单位须填写《残疾人福利性单位声明函》的相关内容，具体参照以上《中小企业声明函》填写要求执行。</w:t>
      </w:r>
    </w:p>
    <w:p w14:paraId="086E7B12">
      <w:pPr>
        <w:ind w:firstLine="420" w:firstLineChars="200"/>
        <w:rPr>
          <w:rFonts w:ascii="黑体" w:hAnsi="黑体" w:eastAsia="黑体" w:cs="黑体"/>
          <w:color w:val="FF0000"/>
        </w:rPr>
      </w:pPr>
      <w:r>
        <w:rPr>
          <w:rFonts w:hint="eastAsia" w:ascii="黑体" w:hAnsi="黑体" w:eastAsia="黑体" w:cs="黑体"/>
          <w:color w:val="FF0000"/>
        </w:rPr>
        <w:t>10.声明是监狱企业须填写《监狱企业声明函》的三项内容（填写位置的字体已加粗），具体参照以上《中小企业声明函》填写要求执行。</w:t>
      </w:r>
    </w:p>
    <w:p w14:paraId="4BECA04B">
      <w:pPr>
        <w:ind w:firstLine="420" w:firstLineChars="200"/>
        <w:rPr>
          <w:rFonts w:ascii="黑体" w:hAnsi="黑体" w:eastAsia="黑体" w:cs="黑体"/>
          <w:color w:val="FF0000"/>
          <w:highlight w:val="yellow"/>
        </w:rPr>
      </w:pPr>
      <w:r>
        <w:rPr>
          <w:rFonts w:hint="eastAsia" w:ascii="黑体" w:hAnsi="黑体" w:eastAsia="黑体" w:cs="黑体"/>
          <w:color w:val="FF0000"/>
          <w:highlight w:val="yellow"/>
        </w:rPr>
        <w:t>（二）声明函的提交要求</w:t>
      </w:r>
    </w:p>
    <w:p w14:paraId="5B2B774A">
      <w:pPr>
        <w:ind w:firstLine="420" w:firstLineChars="200"/>
        <w:rPr>
          <w:rFonts w:ascii="黑体" w:hAnsi="黑体" w:eastAsia="黑体" w:cs="黑体"/>
          <w:color w:val="FF0000"/>
        </w:rPr>
      </w:pPr>
      <w:r>
        <w:rPr>
          <w:rFonts w:hint="eastAsia" w:ascii="黑体" w:hAnsi="黑体" w:eastAsia="黑体" w:cs="黑体"/>
          <w:color w:val="FF0000"/>
        </w:rPr>
        <w:t>1. 投标（响应）供应商对《中小企业声明函》的真实性负责。投标（响应）供应商应当核实投标（响应）的货物制造商的相关信息，如对相关信息了解不充分，或者不能确定相关信息真实、准确的，不建议出具《中小企业声明函》。</w:t>
      </w:r>
    </w:p>
    <w:p w14:paraId="6E6AE0F5">
      <w:pPr>
        <w:ind w:firstLine="420" w:firstLineChars="200"/>
        <w:rPr>
          <w:rFonts w:ascii="黑体" w:hAnsi="黑体" w:eastAsia="黑体" w:cs="黑体"/>
          <w:color w:val="FF0000"/>
        </w:rPr>
      </w:pPr>
      <w:r>
        <w:rPr>
          <w:rFonts w:hint="eastAsia" w:ascii="黑体" w:hAnsi="黑体" w:eastAsia="黑体" w:cs="黑体"/>
          <w:color w:val="FF0000"/>
        </w:rPr>
        <w:t>2.鼓励供应商在投标（响应）时一并提供对货物制造商相关信息的核实核验情况以及其他佐证材料。</w:t>
      </w:r>
    </w:p>
    <w:p w14:paraId="3FA9B288">
      <w:pPr>
        <w:ind w:firstLine="420" w:firstLineChars="200"/>
        <w:rPr>
          <w:rFonts w:hint="eastAsia" w:ascii="黑体" w:hAnsi="黑体" w:eastAsia="黑体" w:cs="黑体"/>
          <w:color w:val="FF0000"/>
        </w:rPr>
      </w:pPr>
      <w:r>
        <w:rPr>
          <w:rFonts w:hint="eastAsia" w:ascii="黑体" w:hAnsi="黑体" w:eastAsia="黑体" w:cs="黑体"/>
          <w:color w:val="FF0000"/>
        </w:rPr>
        <w:t>3.如供应商提供的《中小企业声明函》存在所属行业或划型不实的，属于提供虚假材料谋取中标、成交，依照《中华人民共和国政府采购法》第七十七条的规定，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035418B4">
      <w:pPr>
        <w:ind w:firstLine="420" w:firstLineChars="200"/>
        <w:rPr>
          <w:rFonts w:hint="default" w:ascii="黑体" w:hAnsi="黑体" w:eastAsia="黑体" w:cs="黑体"/>
          <w:color w:val="FF0000"/>
          <w:lang w:val="en-US" w:eastAsia="zh-CN"/>
        </w:rPr>
      </w:pPr>
      <w:r>
        <w:rPr>
          <w:rFonts w:hint="eastAsia" w:ascii="黑体" w:hAnsi="黑体" w:eastAsia="黑体" w:cs="黑体"/>
          <w:color w:val="FF0000"/>
          <w:lang w:val="en-US" w:eastAsia="zh-CN"/>
        </w:rPr>
        <w:t>4.</w:t>
      </w:r>
      <w:r>
        <w:rPr>
          <w:rFonts w:hint="eastAsia" w:ascii="黑体" w:hAnsi="黑体" w:eastAsia="黑体" w:cs="黑体"/>
          <w:color w:val="FF0000"/>
        </w:rPr>
        <w:t>声明函</w:t>
      </w:r>
      <w:r>
        <w:rPr>
          <w:rFonts w:hint="eastAsia" w:ascii="黑体" w:hAnsi="黑体" w:eastAsia="黑体" w:cs="黑体"/>
          <w:color w:val="FF0000"/>
          <w:lang w:val="en-US" w:eastAsia="zh-CN"/>
        </w:rPr>
        <w:t>内容由投标人根据自身实际情况填写，不符合要求的投标人可以不填写或直接删除相应的声明函。投标人提供的声明函不属实的，属于提供虚假资料谋取中标，依照《中华人民共和国政府采购法》等国家有关规定追究相应责任。</w:t>
      </w:r>
    </w:p>
    <w:p w14:paraId="55ACB6E9">
      <w:pPr>
        <w:ind w:firstLine="420" w:firstLineChars="200"/>
        <w:rPr>
          <w:rFonts w:ascii="黑体" w:hAnsi="黑体" w:eastAsia="黑体" w:cs="黑体"/>
          <w:color w:val="FF0000"/>
          <w:highlight w:val="yellow"/>
        </w:rPr>
      </w:pPr>
      <w:r>
        <w:rPr>
          <w:rFonts w:hint="eastAsia" w:ascii="黑体" w:hAnsi="黑体" w:eastAsia="黑体" w:cs="黑体"/>
          <w:color w:val="FF0000"/>
          <w:highlight w:val="yellow"/>
        </w:rPr>
        <w:t>（三）声明函相关规定文件</w:t>
      </w:r>
    </w:p>
    <w:p w14:paraId="44ABC166">
      <w:pPr>
        <w:ind w:firstLine="420" w:firstLineChars="200"/>
        <w:rPr>
          <w:rFonts w:ascii="黑体" w:hAnsi="黑体" w:eastAsia="黑体" w:cs="黑体"/>
          <w:color w:val="FF0000"/>
        </w:rPr>
      </w:pPr>
      <w:r>
        <w:rPr>
          <w:rFonts w:hint="eastAsia" w:ascii="黑体" w:hAnsi="黑体" w:eastAsia="黑体" w:cs="黑体"/>
          <w:color w:val="FF0000"/>
        </w:rPr>
        <w:t>1.财政部《政府采购促进中小企业发展管理办法》（财库〔2020〕46号）；</w:t>
      </w:r>
    </w:p>
    <w:p w14:paraId="63E7C829">
      <w:pPr>
        <w:ind w:firstLine="420" w:firstLineChars="200"/>
        <w:rPr>
          <w:rFonts w:ascii="黑体" w:hAnsi="黑体" w:eastAsia="黑体" w:cs="黑体"/>
          <w:color w:val="FF0000"/>
        </w:rPr>
      </w:pPr>
      <w:r>
        <w:rPr>
          <w:rFonts w:hint="eastAsia" w:ascii="黑体" w:hAnsi="黑体" w:eastAsia="黑体" w:cs="黑体"/>
          <w:color w:val="FF0000"/>
        </w:rPr>
        <w:t>2.《工业和信息化部、国家统计局、国家发展和改革委员会、财政部关于印发中小企业划型标准规定的通知》（工信部联企业〔2011〕300 号，以下简称300号文）；</w:t>
      </w:r>
    </w:p>
    <w:p w14:paraId="03F932B9">
      <w:pPr>
        <w:ind w:firstLine="420" w:firstLineChars="200"/>
        <w:rPr>
          <w:rFonts w:ascii="黑体" w:hAnsi="黑体" w:eastAsia="黑体" w:cs="黑体"/>
          <w:color w:val="FF0000"/>
        </w:rPr>
      </w:pPr>
      <w:r>
        <w:rPr>
          <w:rFonts w:hint="eastAsia" w:ascii="黑体" w:hAnsi="黑体" w:eastAsia="黑体" w:cs="黑体"/>
          <w:color w:val="FF0000"/>
        </w:rPr>
        <w:t>3.《统计上大中小微型企业划分办法(2017)》（国统字〔2017〕213 号）；</w:t>
      </w:r>
    </w:p>
    <w:p w14:paraId="5444EDD8">
      <w:pPr>
        <w:ind w:firstLine="420" w:firstLineChars="200"/>
        <w:rPr>
          <w:rFonts w:ascii="黑体" w:hAnsi="黑体" w:eastAsia="黑体" w:cs="黑体"/>
          <w:color w:val="FF0000"/>
        </w:rPr>
      </w:pPr>
      <w:r>
        <w:rPr>
          <w:rFonts w:hint="eastAsia" w:ascii="黑体" w:hAnsi="黑体" w:eastAsia="黑体" w:cs="黑体"/>
          <w:color w:val="FF0000"/>
        </w:rPr>
        <w:t>4.《关于促进残疾人就业政府采购政策的通知》（财库〔2017〕141号）；</w:t>
      </w:r>
    </w:p>
    <w:p w14:paraId="0ADE2703">
      <w:pPr>
        <w:ind w:firstLine="420" w:firstLineChars="200"/>
        <w:rPr>
          <w:rFonts w:ascii="黑体" w:hAnsi="黑体" w:eastAsia="黑体" w:cs="黑体"/>
          <w:color w:val="FF0000"/>
        </w:rPr>
      </w:pPr>
      <w:r>
        <w:rPr>
          <w:rFonts w:hint="eastAsia" w:ascii="黑体" w:hAnsi="黑体" w:eastAsia="黑体" w:cs="黑体"/>
          <w:color w:val="FF0000"/>
        </w:rPr>
        <w:t>5.《关于政府采购支持监狱企业发展有关问题的通知》（财库〔2014〕68号）。</w:t>
      </w:r>
    </w:p>
    <w:p w14:paraId="6D02C19C">
      <w:pPr>
        <w:ind w:firstLine="420" w:firstLineChars="200"/>
        <w:rPr>
          <w:rFonts w:ascii="黑体" w:hAnsi="黑体" w:eastAsia="黑体" w:cs="黑体"/>
          <w:color w:val="FF0000"/>
          <w:highlight w:val="yellow"/>
        </w:rPr>
      </w:pPr>
      <w:r>
        <w:rPr>
          <w:rFonts w:hint="eastAsia" w:ascii="黑体" w:hAnsi="黑体" w:eastAsia="黑体" w:cs="黑体"/>
          <w:color w:val="FF0000"/>
          <w:highlight w:val="yellow"/>
        </w:rPr>
        <w:t>（四）声明函的审查</w:t>
      </w:r>
    </w:p>
    <w:p w14:paraId="1624D414">
      <w:pPr>
        <w:ind w:firstLine="420" w:firstLineChars="200"/>
        <w:rPr>
          <w:rFonts w:ascii="黑体" w:hAnsi="黑体" w:eastAsia="黑体" w:cs="黑体"/>
          <w:color w:val="FF0000"/>
        </w:rPr>
      </w:pPr>
      <w:r>
        <w:rPr>
          <w:rFonts w:hint="eastAsia" w:ascii="黑体" w:hAnsi="黑体" w:eastAsia="黑体" w:cs="黑体"/>
          <w:color w:val="FF0000"/>
        </w:rPr>
        <w:t>1.事业单位、社会组织等非企业主体不享受中小企业扶持政策，但事业单位、社会组织等非企业主体提供全部由中小企业制造的货物参加货物采购项目的除外。</w:t>
      </w:r>
    </w:p>
    <w:p w14:paraId="7B63212D">
      <w:pPr>
        <w:ind w:firstLine="420" w:firstLineChars="200"/>
        <w:rPr>
          <w:rFonts w:ascii="黑体" w:hAnsi="黑体" w:eastAsia="黑体" w:cs="黑体"/>
          <w:color w:val="FF0000"/>
        </w:rPr>
      </w:pPr>
      <w:r>
        <w:rPr>
          <w:rFonts w:hint="eastAsia" w:ascii="黑体" w:hAnsi="黑体" w:eastAsia="黑体" w:cs="黑体"/>
          <w:color w:val="FF0000"/>
        </w:rPr>
        <w:t>2.若本项目属于专门面向中小企业、残疾人福利性单位或监狱企业（包括预留份额专门面向中小企业的），则声明函有效性由采购人或代理机构判定，对供应商是否按招标文件规定提交《中小企业声明函》一并进行审查，如判定声明函无效的，相关供应商将作资格审查不通过处理；</w:t>
      </w:r>
    </w:p>
    <w:p w14:paraId="7190B1C3">
      <w:pPr>
        <w:ind w:firstLine="420" w:firstLineChars="200"/>
        <w:rPr>
          <w:rFonts w:hint="eastAsia" w:ascii="黑体" w:hAnsi="黑体" w:eastAsia="黑体" w:cs="黑体"/>
          <w:color w:val="FF0000"/>
        </w:rPr>
      </w:pPr>
      <w:r>
        <w:rPr>
          <w:rFonts w:hint="eastAsia" w:ascii="黑体" w:hAnsi="黑体" w:eastAsia="黑体" w:cs="黑体"/>
          <w:color w:val="FF0000"/>
        </w:rPr>
        <w:t>若本项目非专门面向中小企业、残疾人福利性单位或监狱企业，由评审专家在评审过程中依法审查相关供应商是否满足条件并给予相应扶持政策，声明函的有效性由评审委员会判定，如评审委员会判定声明函无效，相关供应商不享受价格扣除（但不作投标无效处理）。</w:t>
      </w:r>
    </w:p>
    <w:p w14:paraId="314FE162">
      <w:pPr>
        <w:ind w:firstLine="420" w:firstLineChars="200"/>
        <w:rPr>
          <w:rFonts w:hint="default" w:ascii="黑体" w:hAnsi="黑体" w:eastAsia="黑体" w:cs="黑体"/>
          <w:color w:val="FF0000"/>
          <w:lang w:val="en-US" w:eastAsia="zh-CN"/>
        </w:rPr>
      </w:pPr>
      <w:r>
        <w:rPr>
          <w:rFonts w:hint="eastAsia" w:ascii="黑体" w:hAnsi="黑体" w:eastAsia="黑体" w:cs="黑体"/>
          <w:color w:val="FF0000"/>
          <w:lang w:val="en-US" w:eastAsia="zh-CN"/>
        </w:rPr>
        <w:t xml:space="preserve">3.采购人、代理机构、评审委员会在依法进行资格审查、评审过程中，发现《中小企业声明函》存在明显笔误或含义不明确的，应按规定要求供应商进行澄清、说明或补正。澄清修改后符合中小企业条件的供应商，可以享受中小企业扶持政策。 </w:t>
      </w:r>
    </w:p>
    <w:p w14:paraId="325F5160">
      <w:pPr>
        <w:ind w:firstLine="420" w:firstLineChars="200"/>
      </w:pPr>
    </w:p>
    <w:p w14:paraId="69CE7236"/>
    <w:p w14:paraId="02600E3E">
      <w:pPr>
        <w:jc w:val="center"/>
        <w:rPr>
          <w:b/>
          <w:bCs/>
        </w:rPr>
      </w:pPr>
      <w:r>
        <w:rPr>
          <w:rFonts w:hint="eastAsia"/>
          <w:b/>
          <w:bCs/>
        </w:rPr>
        <w:t>1、</w:t>
      </w:r>
      <w:r>
        <w:rPr>
          <w:b/>
          <w:bCs/>
        </w:rPr>
        <w:t>中小企业声明函（货物）</w:t>
      </w:r>
    </w:p>
    <w:p w14:paraId="4CB7F597"/>
    <w:p w14:paraId="5868D7AC">
      <w:pPr>
        <w:spacing w:line="360" w:lineRule="exact"/>
        <w:ind w:firstLine="420" w:firstLineChars="200"/>
      </w:pPr>
      <w:r>
        <w:rPr>
          <w:rFonts w:hint="eastAsia"/>
        </w:rPr>
        <w:t>本公司（联合体）郑重声明，根据《政府采购促进中小企业发展管理办法》（财库﹝2020﹞46号）的规定，本公司（联合体）参加</w:t>
      </w:r>
      <w:r>
        <w:rPr>
          <w:rFonts w:hint="eastAsia"/>
          <w:b/>
          <w:bCs/>
          <w:u w:val="single"/>
        </w:rPr>
        <w:t xml:space="preserve"> </w:t>
      </w:r>
      <w:r>
        <w:rPr>
          <w:rFonts w:hint="default" w:ascii="宋体" w:hAnsi="宋体"/>
          <w:color w:val="auto"/>
          <w:u w:val="single"/>
        </w:rPr>
        <w:t>中国人民银行深圳市分行</w:t>
      </w:r>
      <w:r>
        <w:rPr>
          <w:rFonts w:hint="eastAsia"/>
          <w:b/>
          <w:bCs/>
          <w:u w:val="single"/>
        </w:rPr>
        <w:t xml:space="preserve"> </w:t>
      </w:r>
      <w:r>
        <w:rPr>
          <w:rFonts w:hint="eastAsia"/>
        </w:rPr>
        <w:t xml:space="preserve"> 的</w:t>
      </w:r>
      <w:r>
        <w:rPr>
          <w:rFonts w:hint="eastAsia"/>
          <w:b/>
          <w:bCs/>
          <w:u w:val="single"/>
        </w:rPr>
        <w:t xml:space="preserve"> </w:t>
      </w:r>
      <w:r>
        <w:rPr>
          <w:rFonts w:hint="eastAsia"/>
          <w:b w:val="0"/>
          <w:bCs w:val="0"/>
          <w:u w:val="single"/>
        </w:rPr>
        <w:t>中国人民银行深圳市分行网络设备采购项目（包1）</w:t>
      </w:r>
      <w:r>
        <w:rPr>
          <w:rFonts w:hint="eastAsia"/>
        </w:rPr>
        <w:t xml:space="preserve"> 采购活动，提供的货物全部由符合政策要求的中小企业制造。相关企业（含联合体中的中小企业、签订分包意向协议的中小企业）的具体情况如下：</w:t>
      </w:r>
    </w:p>
    <w:p w14:paraId="674303F9">
      <w:pPr>
        <w:spacing w:line="360" w:lineRule="exact"/>
        <w:ind w:firstLine="420" w:firstLineChars="200"/>
      </w:pPr>
      <w:r>
        <w:rPr>
          <w:rFonts w:hint="eastAsia"/>
        </w:rPr>
        <w:t xml:space="preserve">1. </w:t>
      </w:r>
      <w:r>
        <w:rPr>
          <w:rFonts w:hint="eastAsia"/>
          <w:b/>
          <w:bCs/>
          <w:u w:val="single"/>
        </w:rPr>
        <w:t xml:space="preserve">   （标的名称）    </w:t>
      </w:r>
      <w:r>
        <w:rPr>
          <w:rFonts w:hint="eastAsia"/>
        </w:rPr>
        <w:t xml:space="preserve"> ，属于</w:t>
      </w:r>
      <w:r>
        <w:rPr>
          <w:rFonts w:hint="eastAsia"/>
          <w:b/>
          <w:bCs/>
          <w:u w:val="single"/>
        </w:rPr>
        <w:t xml:space="preserve">    （采购文件中明确的所属行业）   </w:t>
      </w:r>
      <w:r>
        <w:rPr>
          <w:rFonts w:hint="eastAsia"/>
        </w:rPr>
        <w:t xml:space="preserve"> 行业；制造商为</w:t>
      </w:r>
      <w:r>
        <w:rPr>
          <w:rFonts w:hint="eastAsia"/>
          <w:b/>
          <w:bCs/>
          <w:u w:val="single"/>
        </w:rPr>
        <w:t xml:space="preserve">    （企业名称，要求制造商本身所属行业应当与招标文件要求的行业相一致）    </w:t>
      </w:r>
      <w:r>
        <w:rPr>
          <w:rFonts w:hint="eastAsia"/>
        </w:rPr>
        <w:t>，从业人员</w:t>
      </w:r>
      <w:r>
        <w:rPr>
          <w:rFonts w:hint="eastAsia"/>
          <w:b/>
          <w:bCs/>
          <w:u w:val="single"/>
        </w:rPr>
        <w:t xml:space="preserve">        </w:t>
      </w:r>
      <w:r>
        <w:rPr>
          <w:rFonts w:hint="eastAsia"/>
        </w:rPr>
        <w:t>人，营业收入为</w:t>
      </w:r>
      <w:r>
        <w:rPr>
          <w:rFonts w:hint="eastAsia"/>
          <w:b/>
          <w:bCs/>
          <w:u w:val="single"/>
        </w:rPr>
        <w:t xml:space="preserve">         </w:t>
      </w:r>
      <w:r>
        <w:rPr>
          <w:rFonts w:hint="eastAsia"/>
        </w:rPr>
        <w:t>万元，资产总额为</w:t>
      </w:r>
      <w:r>
        <w:rPr>
          <w:rFonts w:hint="eastAsia"/>
          <w:b/>
          <w:bCs/>
          <w:u w:val="single"/>
        </w:rPr>
        <w:t xml:space="preserve">        </w:t>
      </w:r>
      <w:r>
        <w:rPr>
          <w:rFonts w:hint="eastAsia"/>
        </w:rPr>
        <w:t xml:space="preserve"> 万元，属于</w:t>
      </w:r>
      <w:r>
        <w:rPr>
          <w:rFonts w:hint="eastAsia"/>
          <w:b/>
          <w:bCs/>
          <w:u w:val="single"/>
        </w:rPr>
        <w:t xml:space="preserve">    （中型企业、小型企业、微型企业）   </w:t>
      </w:r>
      <w:r>
        <w:rPr>
          <w:rFonts w:hint="eastAsia"/>
        </w:rPr>
        <w:t xml:space="preserve"> ；</w:t>
      </w:r>
    </w:p>
    <w:p w14:paraId="38ADE57C">
      <w:pPr>
        <w:spacing w:line="360" w:lineRule="exact"/>
        <w:ind w:firstLine="420" w:firstLineChars="200"/>
      </w:pPr>
      <w:r>
        <w:rPr>
          <w:rFonts w:hint="eastAsia"/>
        </w:rPr>
        <w:t>2.</w:t>
      </w:r>
      <w:r>
        <w:rPr>
          <w:rFonts w:hint="eastAsia"/>
          <w:b/>
          <w:bCs/>
          <w:u w:val="single"/>
        </w:rPr>
        <w:t xml:space="preserve">    （标的名称）     </w:t>
      </w:r>
      <w:r>
        <w:rPr>
          <w:rFonts w:hint="eastAsia"/>
        </w:rPr>
        <w:t>，属于</w:t>
      </w:r>
      <w:r>
        <w:rPr>
          <w:rFonts w:hint="eastAsia"/>
          <w:b/>
          <w:bCs/>
          <w:u w:val="single"/>
        </w:rPr>
        <w:t xml:space="preserve">    （采购文件中明确的所属行业）    </w:t>
      </w:r>
      <w:r>
        <w:rPr>
          <w:rFonts w:hint="eastAsia"/>
        </w:rPr>
        <w:t>行业；制造商为</w:t>
      </w:r>
      <w:r>
        <w:rPr>
          <w:rFonts w:hint="eastAsia"/>
          <w:b/>
          <w:bCs/>
          <w:u w:val="single"/>
        </w:rPr>
        <w:t xml:space="preserve">    （企业名称，要求制造商本身所属行业应当与招标文件要求的行业相一致）    </w:t>
      </w:r>
      <w:r>
        <w:rPr>
          <w:rFonts w:hint="eastAsia"/>
        </w:rPr>
        <w:t>，从业人员</w:t>
      </w:r>
      <w:r>
        <w:rPr>
          <w:rFonts w:hint="eastAsia"/>
          <w:b/>
          <w:bCs/>
          <w:u w:val="single"/>
        </w:rPr>
        <w:t xml:space="preserve">        </w:t>
      </w:r>
      <w:r>
        <w:rPr>
          <w:rFonts w:hint="eastAsia"/>
        </w:rPr>
        <w:t>人，营业收入为</w:t>
      </w:r>
      <w:r>
        <w:rPr>
          <w:rFonts w:hint="eastAsia"/>
          <w:b/>
          <w:bCs/>
          <w:u w:val="single"/>
        </w:rPr>
        <w:t xml:space="preserve">         </w:t>
      </w:r>
      <w:r>
        <w:rPr>
          <w:rFonts w:hint="eastAsia"/>
        </w:rPr>
        <w:t>万元，资产总额为</w:t>
      </w:r>
      <w:r>
        <w:rPr>
          <w:rFonts w:hint="eastAsia"/>
          <w:b/>
          <w:bCs/>
          <w:u w:val="single"/>
        </w:rPr>
        <w:t xml:space="preserve">        </w:t>
      </w:r>
      <w:r>
        <w:rPr>
          <w:rFonts w:hint="eastAsia"/>
        </w:rPr>
        <w:t xml:space="preserve"> 万元，属于</w:t>
      </w:r>
      <w:r>
        <w:rPr>
          <w:rFonts w:hint="eastAsia"/>
          <w:b/>
          <w:bCs/>
          <w:u w:val="single"/>
        </w:rPr>
        <w:t xml:space="preserve">    （中型企业、小型企业、微型企业）   </w:t>
      </w:r>
      <w:r>
        <w:rPr>
          <w:rFonts w:hint="eastAsia"/>
        </w:rPr>
        <w:t xml:space="preserve"> ；</w:t>
      </w:r>
    </w:p>
    <w:p w14:paraId="1C47E0DA">
      <w:pPr>
        <w:spacing w:line="360" w:lineRule="exact"/>
        <w:ind w:firstLine="420" w:firstLineChars="200"/>
      </w:pPr>
      <w:r>
        <w:rPr>
          <w:rFonts w:hint="eastAsia"/>
        </w:rPr>
        <w:t>……</w:t>
      </w:r>
    </w:p>
    <w:p w14:paraId="4445140F">
      <w:pPr>
        <w:spacing w:line="360" w:lineRule="exact"/>
        <w:ind w:firstLine="420" w:firstLineChars="200"/>
      </w:pPr>
      <w:r>
        <w:rPr>
          <w:rFonts w:hint="eastAsia"/>
        </w:rPr>
        <w:t>以上企业，不属于大企业的分支机构，不存在控股股东为大企业的情形，也不存在与大企业的负责人为同一人的情形。</w:t>
      </w:r>
    </w:p>
    <w:p w14:paraId="24C2242E">
      <w:pPr>
        <w:spacing w:line="360" w:lineRule="exact"/>
        <w:ind w:firstLine="420" w:firstLineChars="200"/>
      </w:pPr>
      <w:bookmarkStart w:id="81" w:name="_Hlk73562203"/>
      <w:r>
        <w:rPr>
          <w:rFonts w:hint="eastAsia"/>
        </w:rPr>
        <w:t>本投标人对上述声明内容的真实性负责。如有虚假，将依法承担相应责任。</w:t>
      </w:r>
    </w:p>
    <w:p w14:paraId="50A41721">
      <w:pPr>
        <w:spacing w:line="360" w:lineRule="exact"/>
        <w:ind w:firstLine="420" w:firstLineChars="200"/>
        <w:rPr>
          <w:rFonts w:hint="eastAsia"/>
        </w:rPr>
      </w:pPr>
      <w:r>
        <w:rPr>
          <w:rFonts w:hint="eastAsia"/>
        </w:rPr>
        <w:t>本投标人已知悉《政府采购促进中小企业发展管理办法》（财库〔2020〕46号）、《中小企业划型标准规定》（工信部联企〔2011〕300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81"/>
    </w:p>
    <w:p w14:paraId="012E22FA">
      <w:pPr>
        <w:spacing w:line="360" w:lineRule="auto"/>
        <w:ind w:left="5040" w:leftChars="2400" w:firstLine="0" w:firstLineChars="0"/>
        <w:jc w:val="left"/>
        <w:rPr>
          <w:rFonts w:hint="eastAsia" w:ascii="宋体" w:hAnsi="宋体" w:eastAsia="宋体" w:cs="宋体"/>
          <w:szCs w:val="21"/>
        </w:rPr>
      </w:pPr>
    </w:p>
    <w:p w14:paraId="553C921D">
      <w:pPr>
        <w:spacing w:line="360" w:lineRule="auto"/>
        <w:ind w:left="5040" w:leftChars="2400" w:firstLine="0" w:firstLineChars="0"/>
        <w:jc w:val="left"/>
        <w:rPr>
          <w:rFonts w:hint="eastAsia" w:ascii="宋体" w:hAnsi="宋体" w:eastAsia="宋体" w:cs="宋体"/>
          <w:szCs w:val="21"/>
        </w:rPr>
      </w:pPr>
    </w:p>
    <w:p w14:paraId="5C0A3C59">
      <w:pPr>
        <w:spacing w:line="360" w:lineRule="auto"/>
        <w:ind w:left="5040" w:leftChars="2400" w:firstLine="0" w:firstLineChars="0"/>
        <w:jc w:val="left"/>
        <w:rPr>
          <w:rFonts w:ascii="宋体" w:hAnsi="宋体" w:eastAsia="宋体" w:cs="宋体"/>
          <w:szCs w:val="21"/>
        </w:rPr>
      </w:pPr>
      <w:r>
        <w:rPr>
          <w:rFonts w:hint="eastAsia" w:ascii="宋体" w:hAnsi="宋体" w:eastAsia="宋体" w:cs="宋体"/>
          <w:szCs w:val="21"/>
        </w:rPr>
        <w:t>投标人（公章）：</w:t>
      </w:r>
    </w:p>
    <w:p w14:paraId="29DA3E9F">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法定代表人或其授权代表签名：</w:t>
      </w:r>
    </w:p>
    <w:p w14:paraId="5015D0B1">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日期：      年    月    日</w:t>
      </w:r>
    </w:p>
    <w:p w14:paraId="092D5390"/>
    <w:p w14:paraId="58871D30"/>
    <w:p w14:paraId="634AA427">
      <w:pPr>
        <w:jc w:val="center"/>
        <w:rPr>
          <w:b/>
          <w:bCs/>
        </w:rPr>
      </w:pPr>
      <w:r>
        <w:rPr>
          <w:rFonts w:hint="eastAsia"/>
          <w:b/>
          <w:bCs/>
        </w:rPr>
        <w:t>2、残疾人福利性单位声明函（货物类）</w:t>
      </w:r>
    </w:p>
    <w:p w14:paraId="082FA501"/>
    <w:p w14:paraId="0E7462E1">
      <w:pPr>
        <w:spacing w:line="360" w:lineRule="exact"/>
        <w:ind w:firstLine="420" w:firstLineChars="200"/>
      </w:pPr>
      <w:bookmarkStart w:id="82" w:name="_Hlk73562245"/>
      <w:bookmarkStart w:id="83" w:name="_Hlk73562331"/>
      <w:r>
        <w:rPr>
          <w:rFonts w:hint="eastAsia"/>
        </w:rPr>
        <w:t>本单位郑重声明，根据《财政部 民政部 中国残疾人联合会关于促进残疾人就业政府采购政策的通知》（财库〔2017〕141号）的规定，本单位为符合条件的残疾人福利性单位，且本单位参加</w:t>
      </w:r>
      <w:r>
        <w:rPr>
          <w:rFonts w:hint="eastAsia"/>
          <w:b/>
          <w:bCs/>
          <w:u w:val="single"/>
        </w:rPr>
        <w:t xml:space="preserve">    （采购人名称）    </w:t>
      </w:r>
      <w:r>
        <w:rPr>
          <w:rFonts w:hint="eastAsia"/>
        </w:rPr>
        <w:t>的</w:t>
      </w:r>
      <w:r>
        <w:rPr>
          <w:rFonts w:hint="eastAsia"/>
          <w:b/>
          <w:bCs/>
          <w:u w:val="single"/>
        </w:rPr>
        <w:t xml:space="preserve">    （项目名称</w:t>
      </w:r>
      <w:r>
        <w:rPr>
          <w:rFonts w:hint="eastAsia"/>
          <w:b/>
          <w:bCs/>
          <w:u w:val="single"/>
          <w:lang w:eastAsia="zh-CN"/>
        </w:rPr>
        <w:t>、</w:t>
      </w:r>
      <w:r>
        <w:rPr>
          <w:rFonts w:hint="eastAsia"/>
          <w:b/>
          <w:bCs/>
          <w:u w:val="single"/>
          <w:lang w:val="en-US" w:eastAsia="zh-CN"/>
        </w:rPr>
        <w:t>包号</w:t>
      </w:r>
      <w:r>
        <w:rPr>
          <w:rFonts w:hint="eastAsia"/>
          <w:b/>
          <w:bCs/>
          <w:u w:val="single"/>
        </w:rPr>
        <w:t xml:space="preserve">）    </w:t>
      </w:r>
      <w:r>
        <w:rPr>
          <w:rFonts w:hint="eastAsia"/>
        </w:rPr>
        <w:t>采购活动提供本单位制造的货物（由本单位承担工程/提供服务），或者提供其他残疾人福利性单位制造的货物（不包括使用非残疾人福利性单位注册商标的货物）。</w:t>
      </w:r>
    </w:p>
    <w:p w14:paraId="2CC65F37">
      <w:pPr>
        <w:spacing w:line="360" w:lineRule="exact"/>
        <w:ind w:firstLine="420" w:firstLineChars="200"/>
      </w:pPr>
      <w:r>
        <w:rPr>
          <w:rFonts w:hint="eastAsia"/>
        </w:rPr>
        <w:t>本单位对上述声明的真实性负责。如有虚假，将依法承担相应责任。</w:t>
      </w:r>
    </w:p>
    <w:p w14:paraId="7BA88E43">
      <w:pPr>
        <w:spacing w:line="360" w:lineRule="exact"/>
        <w:ind w:firstLine="420" w:firstLineChars="200"/>
        <w:rPr>
          <w:rFonts w:hint="eastAsia"/>
        </w:rPr>
      </w:pPr>
      <w:r>
        <w:rPr>
          <w:rFonts w:hint="eastAsia"/>
        </w:rPr>
        <w:t>本投标人已知悉《财政部民政部中国残疾人联合会关于促进残疾人就业政府采购政策的通知》（财库〔2017〕141号）的规定，承诺提供的声明函内容是真实的，如提供声明函内容不实，则依法追究相关法律责任。</w:t>
      </w:r>
      <w:bookmarkEnd w:id="82"/>
      <w:bookmarkEnd w:id="83"/>
    </w:p>
    <w:p w14:paraId="602CFD5D">
      <w:pPr>
        <w:spacing w:line="360" w:lineRule="auto"/>
        <w:ind w:left="5040" w:leftChars="2400" w:firstLine="0" w:firstLineChars="0"/>
        <w:jc w:val="left"/>
        <w:rPr>
          <w:rFonts w:ascii="宋体" w:hAnsi="宋体" w:eastAsia="宋体" w:cs="宋体"/>
          <w:szCs w:val="21"/>
        </w:rPr>
      </w:pPr>
      <w:r>
        <w:rPr>
          <w:rFonts w:hint="eastAsia" w:ascii="宋体" w:hAnsi="宋体" w:eastAsia="宋体" w:cs="宋体"/>
          <w:szCs w:val="21"/>
        </w:rPr>
        <w:t>投标人（公章）：</w:t>
      </w:r>
    </w:p>
    <w:p w14:paraId="22E5962C">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法定代表人或其授权代表签名：</w:t>
      </w:r>
    </w:p>
    <w:p w14:paraId="50258F0A">
      <w:pPr>
        <w:spacing w:line="360" w:lineRule="auto"/>
        <w:ind w:firstLine="5040" w:firstLineChars="2400"/>
        <w:jc w:val="left"/>
      </w:pPr>
      <w:r>
        <w:rPr>
          <w:rFonts w:hint="eastAsia" w:ascii="宋体" w:hAnsi="宋体" w:eastAsia="宋体" w:cs="宋体"/>
          <w:szCs w:val="21"/>
        </w:rPr>
        <w:t>日期：      年    月    日</w:t>
      </w:r>
    </w:p>
    <w:p w14:paraId="683E88F3"/>
    <w:p w14:paraId="1E0E7981">
      <w:pPr>
        <w:spacing w:line="360" w:lineRule="exact"/>
        <w:ind w:firstLine="422" w:firstLineChars="200"/>
        <w:jc w:val="center"/>
        <w:rPr>
          <w:b/>
          <w:bCs/>
        </w:rPr>
      </w:pPr>
      <w:r>
        <w:rPr>
          <w:rFonts w:hint="eastAsia"/>
          <w:b/>
          <w:bCs/>
        </w:rPr>
        <w:t>3、监狱企业声明函</w:t>
      </w:r>
    </w:p>
    <w:p w14:paraId="45AD6F8A">
      <w:pPr>
        <w:spacing w:line="360" w:lineRule="exact"/>
        <w:ind w:firstLine="422" w:firstLineChars="200"/>
        <w:rPr>
          <w:b/>
          <w:bCs/>
        </w:rPr>
      </w:pPr>
      <w:r>
        <w:rPr>
          <w:rFonts w:hint="eastAsia"/>
          <w:b/>
          <w:bCs/>
        </w:rPr>
        <w:t>【货物类，提供监狱企业货物的供应商如需享受优惠政策，还须另行提供省级以上监狱管理局、戒毒管理局（含新疆生产建设兵团）出具的监狱企业证明文件】</w:t>
      </w:r>
    </w:p>
    <w:p w14:paraId="4E105051">
      <w:pPr>
        <w:spacing w:line="360" w:lineRule="exact"/>
        <w:ind w:firstLine="420" w:firstLineChars="200"/>
      </w:pPr>
      <w:r>
        <w:rPr>
          <w:rFonts w:hint="eastAsia"/>
        </w:rPr>
        <w:t>本投标人郑重声明，根据《财政部司法部关于政府采购支持监狱企业发展有关问题的通知》（财库〔</w:t>
      </w:r>
      <w:r>
        <w:t>2014</w:t>
      </w:r>
      <w:r>
        <w:rPr>
          <w:rFonts w:hint="eastAsia"/>
        </w:rPr>
        <w:t>〕</w:t>
      </w:r>
      <w:r>
        <w:t>68</w:t>
      </w:r>
      <w:r>
        <w:rPr>
          <w:rFonts w:hint="eastAsia"/>
        </w:rPr>
        <w:t>号）的规定，本投标人</w:t>
      </w:r>
      <w:r>
        <w:t>参加</w:t>
      </w:r>
      <w:r>
        <w:rPr>
          <w:b/>
          <w:bCs/>
          <w:u w:val="single"/>
        </w:rPr>
        <w:t>（</w:t>
      </w:r>
      <w:r>
        <w:rPr>
          <w:rFonts w:hint="eastAsia"/>
          <w:b/>
          <w:bCs/>
          <w:u w:val="single"/>
        </w:rPr>
        <w:t>采购人</w:t>
      </w:r>
      <w:r>
        <w:rPr>
          <w:b/>
          <w:bCs/>
          <w:u w:val="single"/>
        </w:rPr>
        <w:t>名称）</w:t>
      </w:r>
      <w:r>
        <w:t>的</w:t>
      </w:r>
      <w:r>
        <w:rPr>
          <w:b/>
          <w:bCs/>
          <w:u w:val="single"/>
        </w:rPr>
        <w:t>（项目名称</w:t>
      </w:r>
      <w:r>
        <w:rPr>
          <w:rFonts w:hint="eastAsia"/>
          <w:b/>
          <w:bCs/>
          <w:u w:val="single"/>
          <w:lang w:eastAsia="zh-CN"/>
        </w:rPr>
        <w:t>、</w:t>
      </w:r>
      <w:r>
        <w:rPr>
          <w:rFonts w:hint="eastAsia"/>
          <w:b/>
          <w:bCs/>
          <w:u w:val="single"/>
          <w:lang w:val="en-US" w:eastAsia="zh-CN"/>
        </w:rPr>
        <w:t>包号</w:t>
      </w:r>
      <w:r>
        <w:rPr>
          <w:b/>
          <w:bCs/>
          <w:u w:val="single"/>
        </w:rPr>
        <w:t>）</w:t>
      </w:r>
      <w:r>
        <w:t>采购活动，提供的货物全部由符合政策要求的</w:t>
      </w:r>
      <w:r>
        <w:rPr>
          <w:rFonts w:hint="eastAsia"/>
        </w:rPr>
        <w:t>监狱企业</w:t>
      </w:r>
      <w:r>
        <w:t>制造。相关</w:t>
      </w:r>
      <w:r>
        <w:rPr>
          <w:rFonts w:hint="eastAsia"/>
        </w:rPr>
        <w:t>监狱企业</w:t>
      </w:r>
      <w:r>
        <w:t>的具体情况如下：</w:t>
      </w:r>
    </w:p>
    <w:p w14:paraId="4DE19C65">
      <w:pPr>
        <w:spacing w:line="360" w:lineRule="exact"/>
        <w:ind w:firstLine="420" w:firstLineChars="200"/>
      </w:pPr>
      <w:r>
        <w:t>1.</w:t>
      </w:r>
      <w:r>
        <w:rPr>
          <w:b/>
          <w:bCs/>
          <w:u w:val="single"/>
        </w:rPr>
        <w:t xml:space="preserve"> </w:t>
      </w:r>
      <w:r>
        <w:rPr>
          <w:rFonts w:hint="eastAsia"/>
          <w:b/>
          <w:bCs/>
          <w:u w:val="single"/>
        </w:rPr>
        <w:t xml:space="preserve">   </w:t>
      </w:r>
      <w:r>
        <w:rPr>
          <w:b/>
          <w:bCs/>
          <w:u w:val="single"/>
        </w:rPr>
        <w:t>（标的名称）</w:t>
      </w:r>
      <w:r>
        <w:rPr>
          <w:rFonts w:hint="eastAsia"/>
          <w:b/>
          <w:bCs/>
          <w:u w:val="single"/>
        </w:rPr>
        <w:t xml:space="preserve">   </w:t>
      </w:r>
      <w:r>
        <w:rPr>
          <w:rFonts w:hint="eastAsia"/>
        </w:rPr>
        <w:t xml:space="preserve"> ，</w:t>
      </w:r>
      <w:r>
        <w:t>制造商为</w:t>
      </w:r>
      <w:r>
        <w:rPr>
          <w:rFonts w:hint="eastAsia"/>
          <w:b/>
          <w:bCs/>
          <w:u w:val="single"/>
        </w:rPr>
        <w:t xml:space="preserve">    </w:t>
      </w:r>
      <w:r>
        <w:rPr>
          <w:b/>
          <w:bCs/>
          <w:u w:val="single"/>
        </w:rPr>
        <w:t>（</w:t>
      </w:r>
      <w:r>
        <w:rPr>
          <w:rFonts w:hint="eastAsia"/>
          <w:b/>
          <w:bCs/>
          <w:u w:val="single"/>
        </w:rPr>
        <w:t>企业</w:t>
      </w:r>
      <w:r>
        <w:rPr>
          <w:b/>
          <w:bCs/>
          <w:u w:val="single"/>
        </w:rPr>
        <w:t>名称）</w:t>
      </w:r>
      <w:r>
        <w:rPr>
          <w:rFonts w:hint="eastAsia"/>
          <w:b/>
          <w:bCs/>
          <w:u w:val="single"/>
        </w:rPr>
        <w:t xml:space="preserve">   </w:t>
      </w:r>
      <w:r>
        <w:rPr>
          <w:rFonts w:hint="eastAsia"/>
        </w:rPr>
        <w:t xml:space="preserve"> </w:t>
      </w:r>
      <w:r>
        <w:t>，属于</w:t>
      </w:r>
      <w:r>
        <w:rPr>
          <w:rFonts w:hint="eastAsia"/>
          <w:b/>
          <w:bCs/>
          <w:u w:val="single"/>
        </w:rPr>
        <w:t xml:space="preserve">  监狱企业 </w:t>
      </w:r>
      <w:r>
        <w:rPr>
          <w:rFonts w:hint="eastAsia"/>
        </w:rPr>
        <w:t xml:space="preserve"> </w:t>
      </w:r>
      <w:r>
        <w:t>；</w:t>
      </w:r>
    </w:p>
    <w:p w14:paraId="1DB77CB4">
      <w:pPr>
        <w:spacing w:line="360" w:lineRule="exact"/>
        <w:ind w:firstLine="420" w:firstLineChars="200"/>
      </w:pPr>
      <w:r>
        <w:t>2..</w:t>
      </w:r>
      <w:r>
        <w:rPr>
          <w:b/>
          <w:bCs/>
          <w:u w:val="single"/>
        </w:rPr>
        <w:t xml:space="preserve"> </w:t>
      </w:r>
      <w:r>
        <w:rPr>
          <w:rFonts w:hint="eastAsia"/>
          <w:b/>
          <w:bCs/>
          <w:u w:val="single"/>
        </w:rPr>
        <w:t xml:space="preserve">   </w:t>
      </w:r>
      <w:r>
        <w:rPr>
          <w:b/>
          <w:bCs/>
          <w:u w:val="single"/>
        </w:rPr>
        <w:t>（标的名称）</w:t>
      </w:r>
      <w:r>
        <w:rPr>
          <w:rFonts w:hint="eastAsia"/>
          <w:b/>
          <w:bCs/>
          <w:u w:val="single"/>
        </w:rPr>
        <w:t xml:space="preserve">   </w:t>
      </w:r>
      <w:r>
        <w:rPr>
          <w:rFonts w:hint="eastAsia"/>
        </w:rPr>
        <w:t xml:space="preserve"> ，</w:t>
      </w:r>
      <w:r>
        <w:t>制造商为</w:t>
      </w:r>
      <w:r>
        <w:rPr>
          <w:rFonts w:hint="eastAsia"/>
          <w:b/>
          <w:bCs/>
          <w:u w:val="single"/>
        </w:rPr>
        <w:t xml:space="preserve">    </w:t>
      </w:r>
      <w:r>
        <w:rPr>
          <w:b/>
          <w:bCs/>
          <w:u w:val="single"/>
        </w:rPr>
        <w:t>（</w:t>
      </w:r>
      <w:r>
        <w:rPr>
          <w:rFonts w:hint="eastAsia"/>
          <w:b/>
          <w:bCs/>
          <w:u w:val="single"/>
        </w:rPr>
        <w:t>企业</w:t>
      </w:r>
      <w:r>
        <w:rPr>
          <w:b/>
          <w:bCs/>
          <w:u w:val="single"/>
        </w:rPr>
        <w:t>名称）</w:t>
      </w:r>
      <w:r>
        <w:rPr>
          <w:rFonts w:hint="eastAsia"/>
          <w:b/>
          <w:bCs/>
          <w:u w:val="single"/>
        </w:rPr>
        <w:t xml:space="preserve">   </w:t>
      </w:r>
      <w:r>
        <w:rPr>
          <w:rFonts w:hint="eastAsia"/>
        </w:rPr>
        <w:t xml:space="preserve"> </w:t>
      </w:r>
      <w:r>
        <w:t>，属于</w:t>
      </w:r>
      <w:r>
        <w:rPr>
          <w:rFonts w:hint="eastAsia"/>
          <w:b/>
          <w:bCs/>
          <w:u w:val="single"/>
        </w:rPr>
        <w:t xml:space="preserve">  监狱企业 </w:t>
      </w:r>
      <w:r>
        <w:rPr>
          <w:rFonts w:hint="eastAsia"/>
        </w:rPr>
        <w:t xml:space="preserve"> 。</w:t>
      </w:r>
    </w:p>
    <w:p w14:paraId="4BFDA837">
      <w:pPr>
        <w:spacing w:line="360" w:lineRule="exact"/>
        <w:ind w:firstLine="420" w:firstLineChars="200"/>
      </w:pPr>
      <w:r>
        <w:t xml:space="preserve">…… </w:t>
      </w:r>
    </w:p>
    <w:p w14:paraId="307A0208">
      <w:pPr>
        <w:spacing w:line="360" w:lineRule="exact"/>
        <w:ind w:firstLine="420" w:firstLineChars="200"/>
      </w:pPr>
      <w:r>
        <w:t>本</w:t>
      </w:r>
      <w:r>
        <w:rPr>
          <w:rFonts w:hint="eastAsia"/>
        </w:rPr>
        <w:t>投标人</w:t>
      </w:r>
      <w:r>
        <w:t>对上述声明内容的真实性负责。如有虚假，将依法承担相应责任。</w:t>
      </w:r>
    </w:p>
    <w:p w14:paraId="367094DA">
      <w:pPr>
        <w:spacing w:line="360" w:lineRule="exact"/>
        <w:ind w:firstLine="420" w:firstLineChars="200"/>
        <w:rPr>
          <w:rFonts w:hint="eastAsia"/>
        </w:rPr>
      </w:pPr>
      <w:r>
        <w:rPr>
          <w:rFonts w:hint="eastAsia"/>
        </w:rPr>
        <w:t>附：省级以上监狱管理局、戒毒管理局（含新疆生产建设兵团）出具的监狱企业证明文件。</w:t>
      </w:r>
      <w:bookmarkEnd w:id="80"/>
    </w:p>
    <w:p w14:paraId="5466544E">
      <w:pPr>
        <w:spacing w:line="360" w:lineRule="auto"/>
        <w:ind w:left="5040" w:leftChars="2400" w:firstLine="0" w:firstLineChars="0"/>
        <w:jc w:val="left"/>
        <w:rPr>
          <w:rFonts w:hint="eastAsia" w:ascii="宋体" w:hAnsi="宋体" w:eastAsia="宋体" w:cs="宋体"/>
          <w:szCs w:val="21"/>
        </w:rPr>
      </w:pPr>
    </w:p>
    <w:p w14:paraId="250CF403">
      <w:pPr>
        <w:spacing w:line="360" w:lineRule="auto"/>
        <w:ind w:left="5040" w:leftChars="2400" w:firstLine="0" w:firstLineChars="0"/>
        <w:jc w:val="left"/>
        <w:rPr>
          <w:rFonts w:hint="eastAsia" w:ascii="宋体" w:hAnsi="宋体" w:eastAsia="宋体" w:cs="宋体"/>
          <w:szCs w:val="21"/>
        </w:rPr>
      </w:pPr>
    </w:p>
    <w:p w14:paraId="67F0FC9E">
      <w:pPr>
        <w:spacing w:line="360" w:lineRule="auto"/>
        <w:ind w:left="5040" w:leftChars="2400" w:firstLine="0" w:firstLineChars="0"/>
        <w:jc w:val="left"/>
        <w:rPr>
          <w:rFonts w:ascii="宋体" w:hAnsi="宋体" w:eastAsia="宋体" w:cs="宋体"/>
          <w:szCs w:val="21"/>
        </w:rPr>
      </w:pPr>
      <w:r>
        <w:rPr>
          <w:rFonts w:hint="eastAsia" w:ascii="宋体" w:hAnsi="宋体" w:eastAsia="宋体" w:cs="宋体"/>
          <w:szCs w:val="21"/>
        </w:rPr>
        <w:t>投标人（公章）：</w:t>
      </w:r>
    </w:p>
    <w:p w14:paraId="64DF6267">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法定代表人或其授权代表签名：</w:t>
      </w:r>
    </w:p>
    <w:p w14:paraId="0D8DBA14">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日期：      年    月    日</w:t>
      </w:r>
    </w:p>
    <w:p w14:paraId="3A89840F">
      <w:pPr>
        <w:outlineLvl w:val="9"/>
      </w:pPr>
    </w:p>
    <w:p w14:paraId="1250DC6A">
      <w:pPr>
        <w:spacing w:line="360" w:lineRule="exact"/>
        <w:ind w:firstLine="420" w:firstLineChars="200"/>
      </w:pPr>
      <w:bookmarkStart w:id="84" w:name="_Hlk72259976"/>
      <w:r>
        <w:br w:type="page"/>
      </w:r>
    </w:p>
    <w:p w14:paraId="353DC6FA">
      <w:pPr>
        <w:pStyle w:val="3"/>
        <w:jc w:val="center"/>
        <w:rPr>
          <w:rFonts w:ascii="黑体" w:eastAsia="黑体"/>
          <w:b w:val="0"/>
          <w:sz w:val="24"/>
          <w:szCs w:val="24"/>
        </w:rPr>
      </w:pPr>
      <w:r>
        <w:rPr>
          <w:rFonts w:hint="eastAsia" w:ascii="黑体" w:eastAsia="黑体"/>
          <w:b w:val="0"/>
          <w:sz w:val="24"/>
          <w:szCs w:val="24"/>
          <w:lang w:val="en-US" w:eastAsia="zh-CN"/>
        </w:rPr>
        <w:t>五</w:t>
      </w:r>
      <w:r>
        <w:rPr>
          <w:rFonts w:hint="eastAsia" w:ascii="黑体" w:eastAsia="黑体"/>
          <w:b w:val="0"/>
          <w:sz w:val="24"/>
          <w:szCs w:val="24"/>
        </w:rPr>
        <w:t>、项目详细报价</w:t>
      </w:r>
    </w:p>
    <w:p w14:paraId="678F50EE">
      <w:pPr>
        <w:tabs>
          <w:tab w:val="left" w:pos="720"/>
        </w:tabs>
        <w:ind w:firstLine="3132" w:firstLineChars="1300"/>
        <w:rPr>
          <w:b/>
          <w:sz w:val="24"/>
        </w:rPr>
      </w:pPr>
      <w:r>
        <w:rPr>
          <w:rFonts w:hint="eastAsia"/>
          <w:b/>
          <w:sz w:val="24"/>
        </w:rPr>
        <w:t>（一）分项报价表</w:t>
      </w:r>
    </w:p>
    <w:tbl>
      <w:tblPr>
        <w:tblStyle w:val="43"/>
        <w:tblW w:w="87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0"/>
        <w:gridCol w:w="1147"/>
        <w:gridCol w:w="703"/>
        <w:gridCol w:w="703"/>
        <w:gridCol w:w="703"/>
        <w:gridCol w:w="612"/>
        <w:gridCol w:w="726"/>
        <w:gridCol w:w="462"/>
        <w:gridCol w:w="427"/>
        <w:gridCol w:w="571"/>
        <w:gridCol w:w="563"/>
        <w:gridCol w:w="1364"/>
      </w:tblGrid>
      <w:tr w14:paraId="154CA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14:paraId="1FD410B2">
            <w:pPr>
              <w:keepNext w:val="0"/>
              <w:keepLines w:val="0"/>
              <w:suppressLineNumbers w:val="0"/>
              <w:spacing w:before="0" w:beforeAutospacing="0" w:after="0" w:afterAutospacing="0"/>
              <w:ind w:left="0" w:right="0"/>
              <w:jc w:val="center"/>
              <w:rPr>
                <w:rFonts w:hint="default"/>
                <w:bCs/>
                <w:szCs w:val="21"/>
              </w:rPr>
            </w:pPr>
            <w:r>
              <w:rPr>
                <w:rFonts w:hint="eastAsia"/>
                <w:bCs/>
                <w:szCs w:val="21"/>
              </w:rPr>
              <w:t>序号</w:t>
            </w:r>
          </w:p>
        </w:tc>
        <w:tc>
          <w:tcPr>
            <w:tcW w:w="1147" w:type="dxa"/>
            <w:vAlign w:val="center"/>
          </w:tcPr>
          <w:p w14:paraId="51FC1520">
            <w:pPr>
              <w:keepNext w:val="0"/>
              <w:keepLines w:val="0"/>
              <w:suppressLineNumbers w:val="0"/>
              <w:spacing w:before="0" w:beforeAutospacing="0" w:after="0" w:afterAutospacing="0"/>
              <w:ind w:left="0" w:right="0"/>
              <w:jc w:val="center"/>
              <w:rPr>
                <w:rFonts w:hint="default"/>
                <w:bCs/>
                <w:szCs w:val="21"/>
              </w:rPr>
            </w:pPr>
            <w:r>
              <w:rPr>
                <w:rFonts w:hint="eastAsia"/>
                <w:bCs/>
                <w:szCs w:val="21"/>
              </w:rPr>
              <w:t>货物名称</w:t>
            </w:r>
          </w:p>
        </w:tc>
        <w:tc>
          <w:tcPr>
            <w:tcW w:w="703" w:type="dxa"/>
            <w:vAlign w:val="center"/>
          </w:tcPr>
          <w:p w14:paraId="0EB4328E">
            <w:pPr>
              <w:keepNext w:val="0"/>
              <w:keepLines w:val="0"/>
              <w:suppressLineNumbers w:val="0"/>
              <w:spacing w:before="0" w:beforeAutospacing="0" w:after="0" w:afterAutospacing="0"/>
              <w:ind w:left="0" w:right="0"/>
              <w:jc w:val="center"/>
              <w:rPr>
                <w:rFonts w:hint="default"/>
                <w:bCs/>
                <w:szCs w:val="21"/>
              </w:rPr>
            </w:pPr>
            <w:r>
              <w:rPr>
                <w:rFonts w:hint="eastAsia"/>
                <w:szCs w:val="21"/>
              </w:rPr>
              <w:t>品牌</w:t>
            </w:r>
          </w:p>
        </w:tc>
        <w:tc>
          <w:tcPr>
            <w:tcW w:w="703" w:type="dxa"/>
            <w:vAlign w:val="center"/>
          </w:tcPr>
          <w:p w14:paraId="72A0F1A8">
            <w:pPr>
              <w:keepNext w:val="0"/>
              <w:keepLines w:val="0"/>
              <w:suppressLineNumbers w:val="0"/>
              <w:spacing w:before="0" w:beforeAutospacing="0" w:after="0" w:afterAutospacing="0"/>
              <w:ind w:left="0" w:right="0"/>
              <w:jc w:val="center"/>
              <w:rPr>
                <w:rFonts w:hint="default"/>
                <w:szCs w:val="21"/>
              </w:rPr>
            </w:pPr>
            <w:r>
              <w:rPr>
                <w:rFonts w:hint="eastAsia"/>
                <w:szCs w:val="21"/>
              </w:rPr>
              <w:t>规格</w:t>
            </w:r>
          </w:p>
        </w:tc>
        <w:tc>
          <w:tcPr>
            <w:tcW w:w="703" w:type="dxa"/>
            <w:vAlign w:val="center"/>
          </w:tcPr>
          <w:p w14:paraId="7230ED4D">
            <w:pPr>
              <w:keepNext w:val="0"/>
              <w:keepLines w:val="0"/>
              <w:suppressLineNumbers w:val="0"/>
              <w:spacing w:before="0" w:beforeAutospacing="0" w:after="0" w:afterAutospacing="0"/>
              <w:ind w:left="0" w:right="0"/>
              <w:jc w:val="center"/>
              <w:rPr>
                <w:rFonts w:hint="default"/>
                <w:bCs/>
                <w:szCs w:val="21"/>
              </w:rPr>
            </w:pPr>
            <w:r>
              <w:rPr>
                <w:rFonts w:hint="eastAsia"/>
                <w:szCs w:val="21"/>
              </w:rPr>
              <w:t>型号</w:t>
            </w:r>
          </w:p>
        </w:tc>
        <w:tc>
          <w:tcPr>
            <w:tcW w:w="612" w:type="dxa"/>
            <w:vAlign w:val="center"/>
          </w:tcPr>
          <w:p w14:paraId="39300CC1">
            <w:pPr>
              <w:keepNext w:val="0"/>
              <w:keepLines w:val="0"/>
              <w:suppressLineNumbers w:val="0"/>
              <w:spacing w:before="0" w:beforeAutospacing="0" w:after="0" w:afterAutospacing="0"/>
              <w:ind w:left="0" w:right="0"/>
              <w:jc w:val="center"/>
              <w:rPr>
                <w:rFonts w:hint="default"/>
                <w:bCs/>
                <w:szCs w:val="21"/>
              </w:rPr>
            </w:pPr>
            <w:r>
              <w:rPr>
                <w:rFonts w:hint="eastAsia"/>
                <w:b/>
                <w:color w:val="FF0000"/>
                <w:szCs w:val="21"/>
              </w:rPr>
              <w:t>原产地</w:t>
            </w:r>
          </w:p>
        </w:tc>
        <w:tc>
          <w:tcPr>
            <w:tcW w:w="726" w:type="dxa"/>
            <w:vAlign w:val="center"/>
          </w:tcPr>
          <w:p w14:paraId="778F50B8">
            <w:pPr>
              <w:keepNext w:val="0"/>
              <w:keepLines w:val="0"/>
              <w:suppressLineNumbers w:val="0"/>
              <w:spacing w:before="0" w:beforeAutospacing="0" w:after="0" w:afterAutospacing="0"/>
              <w:ind w:left="0" w:right="0"/>
              <w:jc w:val="center"/>
              <w:rPr>
                <w:rFonts w:hint="default"/>
                <w:bCs/>
                <w:szCs w:val="21"/>
              </w:rPr>
            </w:pPr>
            <w:r>
              <w:rPr>
                <w:rFonts w:hint="eastAsia"/>
                <w:szCs w:val="21"/>
              </w:rPr>
              <w:t>制造商名称</w:t>
            </w:r>
          </w:p>
        </w:tc>
        <w:tc>
          <w:tcPr>
            <w:tcW w:w="462" w:type="dxa"/>
            <w:vAlign w:val="center"/>
          </w:tcPr>
          <w:p w14:paraId="034FB81E">
            <w:pPr>
              <w:keepNext w:val="0"/>
              <w:keepLines w:val="0"/>
              <w:suppressLineNumbers w:val="0"/>
              <w:spacing w:before="0" w:beforeAutospacing="0" w:after="0" w:afterAutospacing="0"/>
              <w:ind w:left="0" w:right="0"/>
              <w:jc w:val="center"/>
              <w:rPr>
                <w:rFonts w:hint="default"/>
                <w:bCs/>
                <w:szCs w:val="21"/>
              </w:rPr>
            </w:pPr>
            <w:r>
              <w:rPr>
                <w:rFonts w:hint="eastAsia"/>
                <w:bCs/>
                <w:szCs w:val="21"/>
              </w:rPr>
              <w:t>数量</w:t>
            </w:r>
          </w:p>
        </w:tc>
        <w:tc>
          <w:tcPr>
            <w:tcW w:w="427" w:type="dxa"/>
            <w:vAlign w:val="center"/>
          </w:tcPr>
          <w:p w14:paraId="54E288AA">
            <w:pPr>
              <w:keepNext w:val="0"/>
              <w:keepLines w:val="0"/>
              <w:suppressLineNumbers w:val="0"/>
              <w:spacing w:before="0" w:beforeAutospacing="0" w:after="0" w:afterAutospacing="0"/>
              <w:ind w:left="0" w:right="0"/>
              <w:jc w:val="center"/>
              <w:rPr>
                <w:rFonts w:hint="default"/>
                <w:bCs/>
                <w:szCs w:val="21"/>
              </w:rPr>
            </w:pPr>
            <w:r>
              <w:rPr>
                <w:rFonts w:hint="eastAsia"/>
                <w:bCs/>
                <w:szCs w:val="21"/>
              </w:rPr>
              <w:t>单位</w:t>
            </w:r>
          </w:p>
        </w:tc>
        <w:tc>
          <w:tcPr>
            <w:tcW w:w="571" w:type="dxa"/>
            <w:vAlign w:val="center"/>
          </w:tcPr>
          <w:p w14:paraId="3BB98CA7">
            <w:pPr>
              <w:keepNext w:val="0"/>
              <w:keepLines w:val="0"/>
              <w:suppressLineNumbers w:val="0"/>
              <w:spacing w:before="0" w:beforeAutospacing="0" w:after="0" w:afterAutospacing="0"/>
              <w:ind w:left="0" w:right="0"/>
              <w:jc w:val="center"/>
              <w:rPr>
                <w:rFonts w:hint="default"/>
                <w:bCs/>
                <w:szCs w:val="21"/>
              </w:rPr>
            </w:pPr>
            <w:r>
              <w:rPr>
                <w:rFonts w:hint="eastAsia"/>
                <w:szCs w:val="21"/>
              </w:rPr>
              <w:t>单价(元)</w:t>
            </w:r>
          </w:p>
        </w:tc>
        <w:tc>
          <w:tcPr>
            <w:tcW w:w="563" w:type="dxa"/>
            <w:vAlign w:val="center"/>
          </w:tcPr>
          <w:p w14:paraId="00FF9AF8">
            <w:pPr>
              <w:keepNext w:val="0"/>
              <w:keepLines w:val="0"/>
              <w:suppressLineNumbers w:val="0"/>
              <w:spacing w:before="0" w:beforeAutospacing="0" w:after="0" w:afterAutospacing="0"/>
              <w:ind w:left="0" w:right="0"/>
              <w:jc w:val="center"/>
              <w:rPr>
                <w:rFonts w:hint="default"/>
                <w:bCs/>
                <w:szCs w:val="21"/>
              </w:rPr>
            </w:pPr>
            <w:r>
              <w:rPr>
                <w:rFonts w:hint="eastAsia"/>
                <w:szCs w:val="21"/>
              </w:rPr>
              <w:t>合价(元)</w:t>
            </w:r>
          </w:p>
        </w:tc>
        <w:tc>
          <w:tcPr>
            <w:tcW w:w="1364" w:type="dxa"/>
            <w:vAlign w:val="center"/>
          </w:tcPr>
          <w:p w14:paraId="3A901566">
            <w:pPr>
              <w:keepNext w:val="0"/>
              <w:keepLines w:val="0"/>
              <w:suppressLineNumbers w:val="0"/>
              <w:spacing w:before="0" w:beforeAutospacing="0" w:after="0" w:afterAutospacing="0"/>
              <w:ind w:left="0" w:right="0"/>
              <w:jc w:val="center"/>
              <w:rPr>
                <w:rFonts w:hint="default"/>
                <w:szCs w:val="21"/>
              </w:rPr>
            </w:pPr>
            <w:r>
              <w:rPr>
                <w:rFonts w:hint="eastAsia"/>
                <w:szCs w:val="21"/>
              </w:rPr>
              <w:t>预算金额（元）</w:t>
            </w:r>
          </w:p>
        </w:tc>
      </w:tr>
      <w:tr w14:paraId="3BF5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14:paraId="1DB4F2DE">
            <w:pPr>
              <w:keepNext w:val="0"/>
              <w:keepLines w:val="0"/>
              <w:suppressLineNumbers w:val="0"/>
              <w:spacing w:before="0" w:beforeAutospacing="0" w:after="0" w:afterAutospacing="0"/>
              <w:ind w:left="0" w:right="0"/>
              <w:jc w:val="center"/>
              <w:rPr>
                <w:rFonts w:hint="default"/>
                <w:bCs/>
                <w:szCs w:val="21"/>
              </w:rPr>
            </w:pPr>
            <w:r>
              <w:rPr>
                <w:rFonts w:hint="eastAsia"/>
                <w:bCs/>
                <w:szCs w:val="21"/>
              </w:rPr>
              <w:t>1</w:t>
            </w:r>
          </w:p>
        </w:tc>
        <w:tc>
          <w:tcPr>
            <w:tcW w:w="1147" w:type="dxa"/>
            <w:vAlign w:val="center"/>
          </w:tcPr>
          <w:p w14:paraId="1D0AA9A5">
            <w:pPr>
              <w:keepNext w:val="0"/>
              <w:keepLines w:val="0"/>
              <w:suppressLineNumbers w:val="0"/>
              <w:spacing w:before="0" w:beforeAutospacing="0" w:after="0" w:afterAutospacing="0"/>
              <w:ind w:left="0" w:right="0"/>
              <w:jc w:val="center"/>
              <w:rPr>
                <w:rFonts w:hint="default"/>
                <w:bCs/>
                <w:szCs w:val="21"/>
              </w:rPr>
            </w:pPr>
            <w:r>
              <w:rPr>
                <w:rFonts w:hint="eastAsia"/>
                <w:bCs/>
                <w:szCs w:val="21"/>
              </w:rPr>
              <w:t>*</w:t>
            </w:r>
            <w:r>
              <w:rPr>
                <w:rFonts w:hint="default"/>
                <w:bCs/>
                <w:szCs w:val="21"/>
              </w:rPr>
              <w:t>**</w:t>
            </w:r>
            <w:r>
              <w:rPr>
                <w:rFonts w:hint="eastAsia"/>
                <w:bCs/>
                <w:szCs w:val="21"/>
              </w:rPr>
              <w:t>（填写相关内容）</w:t>
            </w:r>
          </w:p>
        </w:tc>
        <w:tc>
          <w:tcPr>
            <w:tcW w:w="703" w:type="dxa"/>
            <w:vAlign w:val="center"/>
          </w:tcPr>
          <w:p w14:paraId="0BAD0533">
            <w:pPr>
              <w:keepNext w:val="0"/>
              <w:keepLines w:val="0"/>
              <w:suppressLineNumbers w:val="0"/>
              <w:spacing w:before="0" w:beforeAutospacing="0" w:after="0" w:afterAutospacing="0"/>
              <w:ind w:left="0" w:right="0"/>
              <w:jc w:val="center"/>
              <w:rPr>
                <w:rFonts w:hint="default"/>
                <w:bCs/>
                <w:szCs w:val="21"/>
              </w:rPr>
            </w:pPr>
          </w:p>
        </w:tc>
        <w:tc>
          <w:tcPr>
            <w:tcW w:w="703" w:type="dxa"/>
            <w:vAlign w:val="center"/>
          </w:tcPr>
          <w:p w14:paraId="23AF4674">
            <w:pPr>
              <w:keepNext w:val="0"/>
              <w:keepLines w:val="0"/>
              <w:suppressLineNumbers w:val="0"/>
              <w:spacing w:before="0" w:beforeAutospacing="0" w:after="0" w:afterAutospacing="0"/>
              <w:ind w:left="0" w:right="0"/>
              <w:jc w:val="center"/>
              <w:rPr>
                <w:rFonts w:hint="default"/>
                <w:bCs/>
                <w:szCs w:val="21"/>
              </w:rPr>
            </w:pPr>
          </w:p>
        </w:tc>
        <w:tc>
          <w:tcPr>
            <w:tcW w:w="703" w:type="dxa"/>
            <w:vAlign w:val="center"/>
          </w:tcPr>
          <w:p w14:paraId="10723885">
            <w:pPr>
              <w:keepNext w:val="0"/>
              <w:keepLines w:val="0"/>
              <w:suppressLineNumbers w:val="0"/>
              <w:spacing w:before="0" w:beforeAutospacing="0" w:after="0" w:afterAutospacing="0"/>
              <w:ind w:left="0" w:right="0"/>
              <w:jc w:val="center"/>
              <w:rPr>
                <w:rFonts w:hint="default"/>
                <w:bCs/>
                <w:szCs w:val="21"/>
              </w:rPr>
            </w:pPr>
          </w:p>
        </w:tc>
        <w:tc>
          <w:tcPr>
            <w:tcW w:w="612" w:type="dxa"/>
            <w:vAlign w:val="center"/>
          </w:tcPr>
          <w:p w14:paraId="6C4662E9">
            <w:pPr>
              <w:keepNext w:val="0"/>
              <w:keepLines w:val="0"/>
              <w:suppressLineNumbers w:val="0"/>
              <w:spacing w:before="0" w:beforeAutospacing="0" w:after="0" w:afterAutospacing="0"/>
              <w:ind w:left="0" w:right="0"/>
              <w:jc w:val="center"/>
              <w:rPr>
                <w:rFonts w:hint="default"/>
                <w:bCs/>
                <w:szCs w:val="21"/>
              </w:rPr>
            </w:pPr>
          </w:p>
        </w:tc>
        <w:tc>
          <w:tcPr>
            <w:tcW w:w="726" w:type="dxa"/>
            <w:vAlign w:val="center"/>
          </w:tcPr>
          <w:p w14:paraId="368107A4">
            <w:pPr>
              <w:keepNext w:val="0"/>
              <w:keepLines w:val="0"/>
              <w:suppressLineNumbers w:val="0"/>
              <w:spacing w:before="0" w:beforeAutospacing="0" w:after="0" w:afterAutospacing="0"/>
              <w:ind w:left="0" w:right="0"/>
              <w:jc w:val="center"/>
              <w:rPr>
                <w:rFonts w:hint="default"/>
                <w:bCs/>
                <w:szCs w:val="21"/>
              </w:rPr>
            </w:pPr>
          </w:p>
        </w:tc>
        <w:tc>
          <w:tcPr>
            <w:tcW w:w="462" w:type="dxa"/>
            <w:vAlign w:val="center"/>
          </w:tcPr>
          <w:p w14:paraId="296F02A2">
            <w:pPr>
              <w:keepNext w:val="0"/>
              <w:keepLines w:val="0"/>
              <w:suppressLineNumbers w:val="0"/>
              <w:spacing w:before="0" w:beforeAutospacing="0" w:after="0" w:afterAutospacing="0"/>
              <w:ind w:left="0" w:right="0"/>
              <w:jc w:val="center"/>
              <w:rPr>
                <w:rFonts w:hint="default"/>
                <w:bCs/>
                <w:szCs w:val="21"/>
              </w:rPr>
            </w:pPr>
            <w:r>
              <w:rPr>
                <w:rFonts w:hint="eastAsia"/>
                <w:bCs/>
                <w:szCs w:val="21"/>
              </w:rPr>
              <w:t>*</w:t>
            </w:r>
          </w:p>
        </w:tc>
        <w:tc>
          <w:tcPr>
            <w:tcW w:w="427" w:type="dxa"/>
            <w:vAlign w:val="center"/>
          </w:tcPr>
          <w:p w14:paraId="332DD416">
            <w:pPr>
              <w:keepNext w:val="0"/>
              <w:keepLines w:val="0"/>
              <w:suppressLineNumbers w:val="0"/>
              <w:spacing w:before="0" w:beforeAutospacing="0" w:after="0" w:afterAutospacing="0"/>
              <w:ind w:left="0" w:right="0"/>
              <w:jc w:val="center"/>
              <w:rPr>
                <w:rFonts w:hint="default"/>
                <w:bCs/>
                <w:szCs w:val="21"/>
              </w:rPr>
            </w:pPr>
            <w:r>
              <w:rPr>
                <w:rFonts w:hint="eastAsia"/>
                <w:bCs/>
                <w:szCs w:val="21"/>
              </w:rPr>
              <w:t>*</w:t>
            </w:r>
          </w:p>
        </w:tc>
        <w:tc>
          <w:tcPr>
            <w:tcW w:w="571" w:type="dxa"/>
            <w:vAlign w:val="center"/>
          </w:tcPr>
          <w:p w14:paraId="40C7DA54">
            <w:pPr>
              <w:keepNext w:val="0"/>
              <w:keepLines w:val="0"/>
              <w:suppressLineNumbers w:val="0"/>
              <w:spacing w:before="0" w:beforeAutospacing="0" w:after="0" w:afterAutospacing="0"/>
              <w:ind w:left="0" w:right="0"/>
              <w:jc w:val="center"/>
              <w:rPr>
                <w:rFonts w:hint="default"/>
                <w:bCs/>
                <w:szCs w:val="21"/>
              </w:rPr>
            </w:pPr>
          </w:p>
        </w:tc>
        <w:tc>
          <w:tcPr>
            <w:tcW w:w="563" w:type="dxa"/>
            <w:vAlign w:val="center"/>
          </w:tcPr>
          <w:p w14:paraId="5C165552">
            <w:pPr>
              <w:keepNext w:val="0"/>
              <w:keepLines w:val="0"/>
              <w:suppressLineNumbers w:val="0"/>
              <w:spacing w:before="0" w:beforeAutospacing="0" w:after="0" w:afterAutospacing="0"/>
              <w:ind w:left="0" w:right="0"/>
              <w:jc w:val="center"/>
              <w:rPr>
                <w:rFonts w:hint="default"/>
                <w:bCs/>
                <w:szCs w:val="21"/>
              </w:rPr>
            </w:pPr>
          </w:p>
        </w:tc>
        <w:tc>
          <w:tcPr>
            <w:tcW w:w="1364" w:type="dxa"/>
            <w:vMerge w:val="restart"/>
            <w:vAlign w:val="center"/>
          </w:tcPr>
          <w:p w14:paraId="66E4F760">
            <w:pPr>
              <w:keepNext w:val="0"/>
              <w:keepLines w:val="0"/>
              <w:suppressLineNumbers w:val="0"/>
              <w:spacing w:before="0" w:beforeAutospacing="0" w:after="0" w:afterAutospacing="0"/>
              <w:ind w:left="0" w:right="0"/>
              <w:jc w:val="center"/>
              <w:rPr>
                <w:rFonts w:hint="default"/>
                <w:b/>
                <w:bCs/>
                <w:szCs w:val="21"/>
              </w:rPr>
            </w:pPr>
            <w:r>
              <w:rPr>
                <w:rFonts w:hint="default"/>
                <w:b/>
                <w:bCs/>
                <w:color w:val="FF0000"/>
                <w:szCs w:val="21"/>
              </w:rPr>
              <w:t>1,057,400.00</w:t>
            </w:r>
          </w:p>
        </w:tc>
      </w:tr>
      <w:tr w14:paraId="02C04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14:paraId="52A796B8">
            <w:pPr>
              <w:keepNext w:val="0"/>
              <w:keepLines w:val="0"/>
              <w:suppressLineNumbers w:val="0"/>
              <w:spacing w:before="0" w:beforeAutospacing="0" w:after="0" w:afterAutospacing="0"/>
              <w:ind w:left="0" w:right="0"/>
              <w:jc w:val="center"/>
              <w:rPr>
                <w:rFonts w:hint="default"/>
                <w:bCs/>
                <w:szCs w:val="21"/>
              </w:rPr>
            </w:pPr>
            <w:r>
              <w:rPr>
                <w:rFonts w:hint="eastAsia"/>
                <w:bCs/>
                <w:szCs w:val="21"/>
              </w:rPr>
              <w:t>2</w:t>
            </w:r>
          </w:p>
        </w:tc>
        <w:tc>
          <w:tcPr>
            <w:tcW w:w="1147" w:type="dxa"/>
            <w:vAlign w:val="center"/>
          </w:tcPr>
          <w:p w14:paraId="7053B049">
            <w:pPr>
              <w:keepNext w:val="0"/>
              <w:keepLines w:val="0"/>
              <w:suppressLineNumbers w:val="0"/>
              <w:spacing w:before="0" w:beforeAutospacing="0" w:after="0" w:afterAutospacing="0"/>
              <w:ind w:left="0" w:right="0"/>
              <w:jc w:val="center"/>
              <w:rPr>
                <w:rFonts w:hint="default"/>
                <w:bCs/>
                <w:szCs w:val="21"/>
              </w:rPr>
            </w:pPr>
            <w:r>
              <w:rPr>
                <w:rFonts w:hint="eastAsia"/>
                <w:bCs/>
                <w:szCs w:val="21"/>
              </w:rPr>
              <w:t>*</w:t>
            </w:r>
            <w:r>
              <w:rPr>
                <w:rFonts w:hint="default"/>
                <w:bCs/>
                <w:szCs w:val="21"/>
              </w:rPr>
              <w:t>**</w:t>
            </w:r>
          </w:p>
        </w:tc>
        <w:tc>
          <w:tcPr>
            <w:tcW w:w="703" w:type="dxa"/>
            <w:vAlign w:val="center"/>
          </w:tcPr>
          <w:p w14:paraId="1888C4E1">
            <w:pPr>
              <w:keepNext w:val="0"/>
              <w:keepLines w:val="0"/>
              <w:suppressLineNumbers w:val="0"/>
              <w:spacing w:before="0" w:beforeAutospacing="0" w:after="0" w:afterAutospacing="0"/>
              <w:ind w:left="0" w:right="0"/>
              <w:jc w:val="center"/>
              <w:rPr>
                <w:rFonts w:hint="default"/>
                <w:bCs/>
                <w:szCs w:val="21"/>
              </w:rPr>
            </w:pPr>
          </w:p>
        </w:tc>
        <w:tc>
          <w:tcPr>
            <w:tcW w:w="703" w:type="dxa"/>
            <w:vAlign w:val="center"/>
          </w:tcPr>
          <w:p w14:paraId="15E7306D">
            <w:pPr>
              <w:keepNext w:val="0"/>
              <w:keepLines w:val="0"/>
              <w:suppressLineNumbers w:val="0"/>
              <w:spacing w:before="0" w:beforeAutospacing="0" w:after="0" w:afterAutospacing="0"/>
              <w:ind w:left="0" w:right="0"/>
              <w:jc w:val="center"/>
              <w:rPr>
                <w:rFonts w:hint="default"/>
                <w:bCs/>
                <w:szCs w:val="21"/>
              </w:rPr>
            </w:pPr>
          </w:p>
        </w:tc>
        <w:tc>
          <w:tcPr>
            <w:tcW w:w="703" w:type="dxa"/>
            <w:vAlign w:val="center"/>
          </w:tcPr>
          <w:p w14:paraId="61545B49">
            <w:pPr>
              <w:keepNext w:val="0"/>
              <w:keepLines w:val="0"/>
              <w:suppressLineNumbers w:val="0"/>
              <w:spacing w:before="0" w:beforeAutospacing="0" w:after="0" w:afterAutospacing="0"/>
              <w:ind w:left="0" w:right="0"/>
              <w:jc w:val="center"/>
              <w:rPr>
                <w:rFonts w:hint="default"/>
                <w:bCs/>
                <w:szCs w:val="21"/>
              </w:rPr>
            </w:pPr>
          </w:p>
        </w:tc>
        <w:tc>
          <w:tcPr>
            <w:tcW w:w="612" w:type="dxa"/>
            <w:vAlign w:val="center"/>
          </w:tcPr>
          <w:p w14:paraId="32982780">
            <w:pPr>
              <w:keepNext w:val="0"/>
              <w:keepLines w:val="0"/>
              <w:suppressLineNumbers w:val="0"/>
              <w:spacing w:before="0" w:beforeAutospacing="0" w:after="0" w:afterAutospacing="0"/>
              <w:ind w:left="0" w:right="0"/>
              <w:jc w:val="center"/>
              <w:rPr>
                <w:rFonts w:hint="default"/>
                <w:bCs/>
                <w:szCs w:val="21"/>
              </w:rPr>
            </w:pPr>
          </w:p>
        </w:tc>
        <w:tc>
          <w:tcPr>
            <w:tcW w:w="726" w:type="dxa"/>
            <w:vAlign w:val="center"/>
          </w:tcPr>
          <w:p w14:paraId="17FF4A03">
            <w:pPr>
              <w:keepNext w:val="0"/>
              <w:keepLines w:val="0"/>
              <w:suppressLineNumbers w:val="0"/>
              <w:spacing w:before="0" w:beforeAutospacing="0" w:after="0" w:afterAutospacing="0"/>
              <w:ind w:left="0" w:right="0"/>
              <w:jc w:val="center"/>
              <w:rPr>
                <w:rFonts w:hint="default"/>
                <w:bCs/>
                <w:szCs w:val="21"/>
              </w:rPr>
            </w:pPr>
          </w:p>
        </w:tc>
        <w:tc>
          <w:tcPr>
            <w:tcW w:w="462" w:type="dxa"/>
            <w:vAlign w:val="center"/>
          </w:tcPr>
          <w:p w14:paraId="49A63E2A">
            <w:pPr>
              <w:keepNext w:val="0"/>
              <w:keepLines w:val="0"/>
              <w:suppressLineNumbers w:val="0"/>
              <w:spacing w:before="0" w:beforeAutospacing="0" w:after="0" w:afterAutospacing="0"/>
              <w:ind w:left="0" w:right="0"/>
              <w:jc w:val="center"/>
              <w:rPr>
                <w:rFonts w:hint="default"/>
                <w:bCs/>
                <w:szCs w:val="21"/>
              </w:rPr>
            </w:pPr>
            <w:r>
              <w:rPr>
                <w:rFonts w:hint="eastAsia"/>
                <w:bCs/>
                <w:szCs w:val="21"/>
              </w:rPr>
              <w:t>*</w:t>
            </w:r>
          </w:p>
        </w:tc>
        <w:tc>
          <w:tcPr>
            <w:tcW w:w="427" w:type="dxa"/>
            <w:vAlign w:val="center"/>
          </w:tcPr>
          <w:p w14:paraId="2D70E2D9">
            <w:pPr>
              <w:keepNext w:val="0"/>
              <w:keepLines w:val="0"/>
              <w:suppressLineNumbers w:val="0"/>
              <w:spacing w:before="0" w:beforeAutospacing="0" w:after="0" w:afterAutospacing="0"/>
              <w:ind w:left="0" w:right="0"/>
              <w:jc w:val="center"/>
              <w:rPr>
                <w:rFonts w:hint="default"/>
                <w:bCs/>
                <w:szCs w:val="21"/>
              </w:rPr>
            </w:pPr>
            <w:r>
              <w:rPr>
                <w:rFonts w:hint="eastAsia"/>
                <w:bCs/>
                <w:szCs w:val="21"/>
              </w:rPr>
              <w:t>*</w:t>
            </w:r>
          </w:p>
        </w:tc>
        <w:tc>
          <w:tcPr>
            <w:tcW w:w="571" w:type="dxa"/>
            <w:vAlign w:val="center"/>
          </w:tcPr>
          <w:p w14:paraId="634949EC">
            <w:pPr>
              <w:keepNext w:val="0"/>
              <w:keepLines w:val="0"/>
              <w:suppressLineNumbers w:val="0"/>
              <w:spacing w:before="0" w:beforeAutospacing="0" w:after="0" w:afterAutospacing="0"/>
              <w:ind w:left="0" w:right="0"/>
              <w:jc w:val="center"/>
              <w:rPr>
                <w:rFonts w:hint="default"/>
                <w:bCs/>
                <w:szCs w:val="21"/>
              </w:rPr>
            </w:pPr>
          </w:p>
        </w:tc>
        <w:tc>
          <w:tcPr>
            <w:tcW w:w="563" w:type="dxa"/>
            <w:vAlign w:val="center"/>
          </w:tcPr>
          <w:p w14:paraId="3AE58D05">
            <w:pPr>
              <w:keepNext w:val="0"/>
              <w:keepLines w:val="0"/>
              <w:suppressLineNumbers w:val="0"/>
              <w:spacing w:before="0" w:beforeAutospacing="0" w:after="0" w:afterAutospacing="0"/>
              <w:ind w:left="0" w:right="0"/>
              <w:jc w:val="center"/>
              <w:rPr>
                <w:rFonts w:hint="default"/>
                <w:bCs/>
                <w:szCs w:val="21"/>
              </w:rPr>
            </w:pPr>
          </w:p>
        </w:tc>
        <w:tc>
          <w:tcPr>
            <w:tcW w:w="1364" w:type="dxa"/>
            <w:vMerge w:val="continue"/>
            <w:vAlign w:val="center"/>
          </w:tcPr>
          <w:p w14:paraId="7C421B52">
            <w:pPr>
              <w:keepNext w:val="0"/>
              <w:keepLines w:val="0"/>
              <w:suppressLineNumbers w:val="0"/>
              <w:spacing w:before="0" w:beforeAutospacing="0" w:after="0" w:afterAutospacing="0"/>
              <w:ind w:left="0" w:right="0"/>
              <w:jc w:val="center"/>
              <w:rPr>
                <w:rFonts w:hint="default"/>
                <w:b/>
                <w:bCs/>
                <w:color w:val="FF0000"/>
                <w:szCs w:val="21"/>
              </w:rPr>
            </w:pPr>
          </w:p>
        </w:tc>
      </w:tr>
      <w:tr w14:paraId="0B212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14:paraId="669C3373">
            <w:pPr>
              <w:keepNext w:val="0"/>
              <w:keepLines w:val="0"/>
              <w:suppressLineNumbers w:val="0"/>
              <w:spacing w:before="0" w:beforeAutospacing="0" w:after="0" w:afterAutospacing="0"/>
              <w:ind w:left="0" w:right="0"/>
              <w:jc w:val="center"/>
              <w:rPr>
                <w:rFonts w:hint="default"/>
                <w:bCs/>
                <w:szCs w:val="21"/>
              </w:rPr>
            </w:pPr>
            <w:r>
              <w:rPr>
                <w:rFonts w:hint="eastAsia"/>
                <w:bCs/>
                <w:szCs w:val="21"/>
              </w:rPr>
              <w:t>3</w:t>
            </w:r>
          </w:p>
        </w:tc>
        <w:tc>
          <w:tcPr>
            <w:tcW w:w="1147" w:type="dxa"/>
            <w:vAlign w:val="center"/>
          </w:tcPr>
          <w:p w14:paraId="17224F40">
            <w:pPr>
              <w:keepNext w:val="0"/>
              <w:keepLines w:val="0"/>
              <w:suppressLineNumbers w:val="0"/>
              <w:spacing w:before="0" w:beforeAutospacing="0" w:after="0" w:afterAutospacing="0"/>
              <w:ind w:left="0" w:right="0"/>
              <w:jc w:val="center"/>
              <w:rPr>
                <w:rFonts w:hint="default"/>
                <w:bCs/>
                <w:szCs w:val="21"/>
              </w:rPr>
            </w:pPr>
            <w:r>
              <w:rPr>
                <w:rFonts w:hint="eastAsia"/>
                <w:bCs/>
                <w:szCs w:val="21"/>
              </w:rPr>
              <w:t>*</w:t>
            </w:r>
            <w:r>
              <w:rPr>
                <w:rFonts w:hint="default"/>
                <w:bCs/>
                <w:szCs w:val="21"/>
              </w:rPr>
              <w:t>**</w:t>
            </w:r>
          </w:p>
        </w:tc>
        <w:tc>
          <w:tcPr>
            <w:tcW w:w="703" w:type="dxa"/>
            <w:vAlign w:val="center"/>
          </w:tcPr>
          <w:p w14:paraId="39EEB192">
            <w:pPr>
              <w:keepNext w:val="0"/>
              <w:keepLines w:val="0"/>
              <w:suppressLineNumbers w:val="0"/>
              <w:spacing w:before="0" w:beforeAutospacing="0" w:after="0" w:afterAutospacing="0"/>
              <w:ind w:left="0" w:right="0"/>
              <w:jc w:val="center"/>
              <w:rPr>
                <w:rFonts w:hint="default"/>
                <w:bCs/>
                <w:szCs w:val="21"/>
              </w:rPr>
            </w:pPr>
          </w:p>
        </w:tc>
        <w:tc>
          <w:tcPr>
            <w:tcW w:w="703" w:type="dxa"/>
            <w:vAlign w:val="center"/>
          </w:tcPr>
          <w:p w14:paraId="6FF55951">
            <w:pPr>
              <w:keepNext w:val="0"/>
              <w:keepLines w:val="0"/>
              <w:suppressLineNumbers w:val="0"/>
              <w:spacing w:before="0" w:beforeAutospacing="0" w:after="0" w:afterAutospacing="0"/>
              <w:ind w:left="0" w:right="0"/>
              <w:jc w:val="center"/>
              <w:rPr>
                <w:rFonts w:hint="default"/>
                <w:bCs/>
                <w:szCs w:val="21"/>
              </w:rPr>
            </w:pPr>
          </w:p>
        </w:tc>
        <w:tc>
          <w:tcPr>
            <w:tcW w:w="703" w:type="dxa"/>
            <w:vAlign w:val="center"/>
          </w:tcPr>
          <w:p w14:paraId="54F635CD">
            <w:pPr>
              <w:keepNext w:val="0"/>
              <w:keepLines w:val="0"/>
              <w:suppressLineNumbers w:val="0"/>
              <w:spacing w:before="0" w:beforeAutospacing="0" w:after="0" w:afterAutospacing="0"/>
              <w:ind w:left="0" w:right="0"/>
              <w:jc w:val="center"/>
              <w:rPr>
                <w:rFonts w:hint="default"/>
                <w:bCs/>
                <w:szCs w:val="21"/>
              </w:rPr>
            </w:pPr>
          </w:p>
        </w:tc>
        <w:tc>
          <w:tcPr>
            <w:tcW w:w="612" w:type="dxa"/>
            <w:vAlign w:val="center"/>
          </w:tcPr>
          <w:p w14:paraId="0840B57B">
            <w:pPr>
              <w:keepNext w:val="0"/>
              <w:keepLines w:val="0"/>
              <w:suppressLineNumbers w:val="0"/>
              <w:spacing w:before="0" w:beforeAutospacing="0" w:after="0" w:afterAutospacing="0"/>
              <w:ind w:left="0" w:right="0"/>
              <w:jc w:val="center"/>
              <w:rPr>
                <w:rFonts w:hint="default"/>
                <w:bCs/>
                <w:szCs w:val="21"/>
              </w:rPr>
            </w:pPr>
          </w:p>
        </w:tc>
        <w:tc>
          <w:tcPr>
            <w:tcW w:w="726" w:type="dxa"/>
            <w:vAlign w:val="center"/>
          </w:tcPr>
          <w:p w14:paraId="07DDFF0A">
            <w:pPr>
              <w:keepNext w:val="0"/>
              <w:keepLines w:val="0"/>
              <w:suppressLineNumbers w:val="0"/>
              <w:spacing w:before="0" w:beforeAutospacing="0" w:after="0" w:afterAutospacing="0"/>
              <w:ind w:left="0" w:right="0"/>
              <w:jc w:val="center"/>
              <w:rPr>
                <w:rFonts w:hint="default"/>
                <w:bCs/>
                <w:szCs w:val="21"/>
              </w:rPr>
            </w:pPr>
          </w:p>
        </w:tc>
        <w:tc>
          <w:tcPr>
            <w:tcW w:w="462" w:type="dxa"/>
            <w:vAlign w:val="center"/>
          </w:tcPr>
          <w:p w14:paraId="2BDF68E4">
            <w:pPr>
              <w:keepNext w:val="0"/>
              <w:keepLines w:val="0"/>
              <w:suppressLineNumbers w:val="0"/>
              <w:spacing w:before="0" w:beforeAutospacing="0" w:after="0" w:afterAutospacing="0"/>
              <w:ind w:left="0" w:right="0"/>
              <w:jc w:val="center"/>
              <w:rPr>
                <w:rFonts w:hint="default"/>
                <w:bCs/>
                <w:szCs w:val="21"/>
              </w:rPr>
            </w:pPr>
            <w:r>
              <w:rPr>
                <w:rFonts w:hint="eastAsia"/>
                <w:bCs/>
                <w:szCs w:val="21"/>
              </w:rPr>
              <w:t>*</w:t>
            </w:r>
          </w:p>
        </w:tc>
        <w:tc>
          <w:tcPr>
            <w:tcW w:w="427" w:type="dxa"/>
            <w:vAlign w:val="center"/>
          </w:tcPr>
          <w:p w14:paraId="33F56B78">
            <w:pPr>
              <w:keepNext w:val="0"/>
              <w:keepLines w:val="0"/>
              <w:suppressLineNumbers w:val="0"/>
              <w:spacing w:before="0" w:beforeAutospacing="0" w:after="0" w:afterAutospacing="0"/>
              <w:ind w:left="0" w:right="0"/>
              <w:jc w:val="center"/>
              <w:rPr>
                <w:rFonts w:hint="default"/>
                <w:bCs/>
                <w:szCs w:val="21"/>
              </w:rPr>
            </w:pPr>
            <w:r>
              <w:rPr>
                <w:rFonts w:hint="eastAsia"/>
                <w:bCs/>
                <w:szCs w:val="21"/>
              </w:rPr>
              <w:t>*</w:t>
            </w:r>
          </w:p>
        </w:tc>
        <w:tc>
          <w:tcPr>
            <w:tcW w:w="571" w:type="dxa"/>
            <w:vAlign w:val="center"/>
          </w:tcPr>
          <w:p w14:paraId="22C6FFFF">
            <w:pPr>
              <w:keepNext w:val="0"/>
              <w:keepLines w:val="0"/>
              <w:suppressLineNumbers w:val="0"/>
              <w:spacing w:before="0" w:beforeAutospacing="0" w:after="0" w:afterAutospacing="0"/>
              <w:ind w:left="0" w:right="0"/>
              <w:jc w:val="center"/>
              <w:rPr>
                <w:rFonts w:hint="default"/>
                <w:bCs/>
                <w:szCs w:val="21"/>
              </w:rPr>
            </w:pPr>
          </w:p>
        </w:tc>
        <w:tc>
          <w:tcPr>
            <w:tcW w:w="563" w:type="dxa"/>
            <w:vAlign w:val="center"/>
          </w:tcPr>
          <w:p w14:paraId="6F34C3C6">
            <w:pPr>
              <w:keepNext w:val="0"/>
              <w:keepLines w:val="0"/>
              <w:suppressLineNumbers w:val="0"/>
              <w:spacing w:before="0" w:beforeAutospacing="0" w:after="0" w:afterAutospacing="0"/>
              <w:ind w:left="0" w:right="0"/>
              <w:jc w:val="center"/>
              <w:rPr>
                <w:rFonts w:hint="default"/>
                <w:bCs/>
                <w:szCs w:val="21"/>
              </w:rPr>
            </w:pPr>
          </w:p>
        </w:tc>
        <w:tc>
          <w:tcPr>
            <w:tcW w:w="1364" w:type="dxa"/>
            <w:vMerge w:val="continue"/>
            <w:vAlign w:val="center"/>
          </w:tcPr>
          <w:p w14:paraId="023DA8CB">
            <w:pPr>
              <w:keepNext w:val="0"/>
              <w:keepLines w:val="0"/>
              <w:suppressLineNumbers w:val="0"/>
              <w:spacing w:before="0" w:beforeAutospacing="0" w:after="0" w:afterAutospacing="0"/>
              <w:ind w:left="0" w:right="0"/>
              <w:jc w:val="center"/>
              <w:rPr>
                <w:rFonts w:hint="default"/>
                <w:b/>
                <w:bCs/>
                <w:szCs w:val="21"/>
              </w:rPr>
            </w:pPr>
          </w:p>
        </w:tc>
      </w:tr>
      <w:tr w14:paraId="1CA5B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14:paraId="70957ED5">
            <w:pPr>
              <w:keepNext w:val="0"/>
              <w:keepLines w:val="0"/>
              <w:suppressLineNumbers w:val="0"/>
              <w:spacing w:before="0" w:beforeAutospacing="0" w:after="0" w:afterAutospacing="0"/>
              <w:ind w:left="0" w:right="0"/>
              <w:jc w:val="center"/>
              <w:rPr>
                <w:rFonts w:hint="default"/>
                <w:bCs/>
                <w:szCs w:val="21"/>
              </w:rPr>
            </w:pPr>
            <w:r>
              <w:rPr>
                <w:rFonts w:hint="eastAsia"/>
                <w:bCs/>
                <w:szCs w:val="21"/>
              </w:rPr>
              <w:t>4</w:t>
            </w:r>
          </w:p>
        </w:tc>
        <w:tc>
          <w:tcPr>
            <w:tcW w:w="1147" w:type="dxa"/>
            <w:vAlign w:val="center"/>
          </w:tcPr>
          <w:p w14:paraId="71A7DAFA">
            <w:pPr>
              <w:keepNext w:val="0"/>
              <w:keepLines w:val="0"/>
              <w:suppressLineNumbers w:val="0"/>
              <w:spacing w:before="0" w:beforeAutospacing="0" w:after="0" w:afterAutospacing="0"/>
              <w:ind w:left="0" w:right="0"/>
              <w:jc w:val="center"/>
              <w:rPr>
                <w:rFonts w:hint="default"/>
                <w:bCs/>
                <w:szCs w:val="21"/>
              </w:rPr>
            </w:pPr>
            <w:r>
              <w:rPr>
                <w:rFonts w:hint="eastAsia"/>
                <w:bCs/>
                <w:szCs w:val="21"/>
              </w:rPr>
              <w:t>*</w:t>
            </w:r>
            <w:r>
              <w:rPr>
                <w:rFonts w:hint="default"/>
                <w:bCs/>
                <w:szCs w:val="21"/>
              </w:rPr>
              <w:t>**</w:t>
            </w:r>
          </w:p>
        </w:tc>
        <w:tc>
          <w:tcPr>
            <w:tcW w:w="703" w:type="dxa"/>
            <w:vAlign w:val="center"/>
          </w:tcPr>
          <w:p w14:paraId="4AD9D8A8">
            <w:pPr>
              <w:keepNext w:val="0"/>
              <w:keepLines w:val="0"/>
              <w:suppressLineNumbers w:val="0"/>
              <w:spacing w:before="0" w:beforeAutospacing="0" w:after="0" w:afterAutospacing="0"/>
              <w:ind w:left="0" w:right="0"/>
              <w:jc w:val="center"/>
              <w:rPr>
                <w:rFonts w:hint="default"/>
                <w:bCs/>
                <w:szCs w:val="21"/>
              </w:rPr>
            </w:pPr>
          </w:p>
        </w:tc>
        <w:tc>
          <w:tcPr>
            <w:tcW w:w="703" w:type="dxa"/>
            <w:vAlign w:val="center"/>
          </w:tcPr>
          <w:p w14:paraId="6B9368E7">
            <w:pPr>
              <w:keepNext w:val="0"/>
              <w:keepLines w:val="0"/>
              <w:suppressLineNumbers w:val="0"/>
              <w:spacing w:before="0" w:beforeAutospacing="0" w:after="0" w:afterAutospacing="0"/>
              <w:ind w:left="0" w:right="0"/>
              <w:jc w:val="center"/>
              <w:rPr>
                <w:rFonts w:hint="default"/>
                <w:bCs/>
                <w:szCs w:val="21"/>
              </w:rPr>
            </w:pPr>
          </w:p>
        </w:tc>
        <w:tc>
          <w:tcPr>
            <w:tcW w:w="703" w:type="dxa"/>
            <w:vAlign w:val="center"/>
          </w:tcPr>
          <w:p w14:paraId="0472CB46">
            <w:pPr>
              <w:keepNext w:val="0"/>
              <w:keepLines w:val="0"/>
              <w:suppressLineNumbers w:val="0"/>
              <w:spacing w:before="0" w:beforeAutospacing="0" w:after="0" w:afterAutospacing="0"/>
              <w:ind w:left="0" w:right="0"/>
              <w:jc w:val="center"/>
              <w:rPr>
                <w:rFonts w:hint="default"/>
                <w:bCs/>
                <w:szCs w:val="21"/>
              </w:rPr>
            </w:pPr>
          </w:p>
        </w:tc>
        <w:tc>
          <w:tcPr>
            <w:tcW w:w="612" w:type="dxa"/>
            <w:vAlign w:val="center"/>
          </w:tcPr>
          <w:p w14:paraId="58339513">
            <w:pPr>
              <w:keepNext w:val="0"/>
              <w:keepLines w:val="0"/>
              <w:suppressLineNumbers w:val="0"/>
              <w:spacing w:before="0" w:beforeAutospacing="0" w:after="0" w:afterAutospacing="0"/>
              <w:ind w:left="0" w:right="0"/>
              <w:jc w:val="center"/>
              <w:rPr>
                <w:rFonts w:hint="default"/>
                <w:bCs/>
                <w:szCs w:val="21"/>
              </w:rPr>
            </w:pPr>
          </w:p>
        </w:tc>
        <w:tc>
          <w:tcPr>
            <w:tcW w:w="726" w:type="dxa"/>
            <w:vAlign w:val="center"/>
          </w:tcPr>
          <w:p w14:paraId="6943980E">
            <w:pPr>
              <w:keepNext w:val="0"/>
              <w:keepLines w:val="0"/>
              <w:suppressLineNumbers w:val="0"/>
              <w:spacing w:before="0" w:beforeAutospacing="0" w:after="0" w:afterAutospacing="0"/>
              <w:ind w:left="0" w:right="0"/>
              <w:jc w:val="center"/>
              <w:rPr>
                <w:rFonts w:hint="default"/>
                <w:bCs/>
                <w:szCs w:val="21"/>
              </w:rPr>
            </w:pPr>
          </w:p>
        </w:tc>
        <w:tc>
          <w:tcPr>
            <w:tcW w:w="462" w:type="dxa"/>
            <w:vAlign w:val="center"/>
          </w:tcPr>
          <w:p w14:paraId="454E650C">
            <w:pPr>
              <w:keepNext w:val="0"/>
              <w:keepLines w:val="0"/>
              <w:suppressLineNumbers w:val="0"/>
              <w:spacing w:before="0" w:beforeAutospacing="0" w:after="0" w:afterAutospacing="0"/>
              <w:ind w:left="0" w:right="0"/>
              <w:jc w:val="center"/>
              <w:rPr>
                <w:rFonts w:hint="default"/>
                <w:bCs/>
                <w:szCs w:val="21"/>
              </w:rPr>
            </w:pPr>
            <w:r>
              <w:rPr>
                <w:rFonts w:hint="eastAsia"/>
                <w:bCs/>
                <w:szCs w:val="21"/>
              </w:rPr>
              <w:t>*</w:t>
            </w:r>
          </w:p>
        </w:tc>
        <w:tc>
          <w:tcPr>
            <w:tcW w:w="427" w:type="dxa"/>
            <w:vAlign w:val="center"/>
          </w:tcPr>
          <w:p w14:paraId="5E7317DC">
            <w:pPr>
              <w:keepNext w:val="0"/>
              <w:keepLines w:val="0"/>
              <w:suppressLineNumbers w:val="0"/>
              <w:spacing w:before="0" w:beforeAutospacing="0" w:after="0" w:afterAutospacing="0"/>
              <w:ind w:left="0" w:right="0"/>
              <w:jc w:val="center"/>
              <w:rPr>
                <w:rFonts w:hint="default"/>
                <w:bCs/>
                <w:szCs w:val="21"/>
              </w:rPr>
            </w:pPr>
            <w:r>
              <w:rPr>
                <w:rFonts w:hint="eastAsia"/>
                <w:bCs/>
                <w:szCs w:val="21"/>
              </w:rPr>
              <w:t>*</w:t>
            </w:r>
          </w:p>
        </w:tc>
        <w:tc>
          <w:tcPr>
            <w:tcW w:w="571" w:type="dxa"/>
            <w:vAlign w:val="center"/>
          </w:tcPr>
          <w:p w14:paraId="7E0B7794">
            <w:pPr>
              <w:keepNext w:val="0"/>
              <w:keepLines w:val="0"/>
              <w:suppressLineNumbers w:val="0"/>
              <w:spacing w:before="0" w:beforeAutospacing="0" w:after="0" w:afterAutospacing="0"/>
              <w:ind w:left="0" w:right="0"/>
              <w:jc w:val="center"/>
              <w:rPr>
                <w:rFonts w:hint="default"/>
                <w:bCs/>
                <w:szCs w:val="21"/>
              </w:rPr>
            </w:pPr>
          </w:p>
        </w:tc>
        <w:tc>
          <w:tcPr>
            <w:tcW w:w="563" w:type="dxa"/>
            <w:vAlign w:val="center"/>
          </w:tcPr>
          <w:p w14:paraId="3688DBA3">
            <w:pPr>
              <w:keepNext w:val="0"/>
              <w:keepLines w:val="0"/>
              <w:suppressLineNumbers w:val="0"/>
              <w:spacing w:before="0" w:beforeAutospacing="0" w:after="0" w:afterAutospacing="0"/>
              <w:ind w:left="0" w:right="0"/>
              <w:jc w:val="center"/>
              <w:rPr>
                <w:rFonts w:hint="default"/>
                <w:bCs/>
                <w:szCs w:val="21"/>
              </w:rPr>
            </w:pPr>
          </w:p>
        </w:tc>
        <w:tc>
          <w:tcPr>
            <w:tcW w:w="1364" w:type="dxa"/>
            <w:vMerge w:val="continue"/>
            <w:vAlign w:val="center"/>
          </w:tcPr>
          <w:p w14:paraId="0AA910A8">
            <w:pPr>
              <w:keepNext w:val="0"/>
              <w:keepLines w:val="0"/>
              <w:suppressLineNumbers w:val="0"/>
              <w:spacing w:before="0" w:beforeAutospacing="0" w:after="0" w:afterAutospacing="0"/>
              <w:ind w:left="0" w:right="0"/>
              <w:jc w:val="center"/>
              <w:rPr>
                <w:rFonts w:hint="default"/>
                <w:b/>
                <w:bCs/>
                <w:szCs w:val="21"/>
              </w:rPr>
            </w:pPr>
          </w:p>
        </w:tc>
      </w:tr>
      <w:tr w14:paraId="0FB72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14:paraId="1CB4A1D8">
            <w:pPr>
              <w:keepNext w:val="0"/>
              <w:keepLines w:val="0"/>
              <w:suppressLineNumbers w:val="0"/>
              <w:spacing w:before="0" w:beforeAutospacing="0" w:after="0" w:afterAutospacing="0"/>
              <w:ind w:left="0" w:right="0"/>
              <w:jc w:val="center"/>
              <w:rPr>
                <w:rFonts w:hint="default"/>
                <w:bCs/>
                <w:szCs w:val="21"/>
              </w:rPr>
            </w:pPr>
            <w:r>
              <w:rPr>
                <w:rFonts w:hint="default"/>
                <w:bCs/>
                <w:szCs w:val="21"/>
              </w:rPr>
              <w:t>5</w:t>
            </w:r>
          </w:p>
        </w:tc>
        <w:tc>
          <w:tcPr>
            <w:tcW w:w="1147" w:type="dxa"/>
            <w:vAlign w:val="center"/>
          </w:tcPr>
          <w:p w14:paraId="7DE02C8E">
            <w:pPr>
              <w:keepNext w:val="0"/>
              <w:keepLines w:val="0"/>
              <w:suppressLineNumbers w:val="0"/>
              <w:spacing w:before="0" w:beforeAutospacing="0" w:after="0" w:afterAutospacing="0"/>
              <w:ind w:left="0" w:right="0"/>
              <w:jc w:val="center"/>
              <w:rPr>
                <w:rFonts w:hint="default"/>
                <w:bCs/>
                <w:szCs w:val="21"/>
              </w:rPr>
            </w:pPr>
            <w:r>
              <w:rPr>
                <w:rFonts w:hint="eastAsia" w:ascii="宋体" w:hAnsi="宋体"/>
                <w:bCs/>
                <w:szCs w:val="21"/>
              </w:rPr>
              <w:t>……</w:t>
            </w:r>
          </w:p>
        </w:tc>
        <w:tc>
          <w:tcPr>
            <w:tcW w:w="703" w:type="dxa"/>
            <w:vAlign w:val="center"/>
          </w:tcPr>
          <w:p w14:paraId="56141C57">
            <w:pPr>
              <w:keepNext w:val="0"/>
              <w:keepLines w:val="0"/>
              <w:suppressLineNumbers w:val="0"/>
              <w:spacing w:before="0" w:beforeAutospacing="0" w:after="0" w:afterAutospacing="0"/>
              <w:ind w:left="0" w:right="0"/>
              <w:jc w:val="center"/>
              <w:rPr>
                <w:rFonts w:hint="default" w:ascii="宋体" w:hAnsi="宋体"/>
                <w:bCs/>
                <w:szCs w:val="21"/>
              </w:rPr>
            </w:pPr>
          </w:p>
        </w:tc>
        <w:tc>
          <w:tcPr>
            <w:tcW w:w="703" w:type="dxa"/>
            <w:vAlign w:val="center"/>
          </w:tcPr>
          <w:p w14:paraId="766E9CAD">
            <w:pPr>
              <w:keepNext w:val="0"/>
              <w:keepLines w:val="0"/>
              <w:suppressLineNumbers w:val="0"/>
              <w:spacing w:before="0" w:beforeAutospacing="0" w:after="0" w:afterAutospacing="0"/>
              <w:ind w:left="0" w:right="0"/>
              <w:jc w:val="center"/>
              <w:rPr>
                <w:rFonts w:hint="default"/>
                <w:bCs/>
                <w:szCs w:val="21"/>
              </w:rPr>
            </w:pPr>
          </w:p>
        </w:tc>
        <w:tc>
          <w:tcPr>
            <w:tcW w:w="703" w:type="dxa"/>
            <w:vAlign w:val="center"/>
          </w:tcPr>
          <w:p w14:paraId="4B8C1984">
            <w:pPr>
              <w:keepNext w:val="0"/>
              <w:keepLines w:val="0"/>
              <w:suppressLineNumbers w:val="0"/>
              <w:spacing w:before="0" w:beforeAutospacing="0" w:after="0" w:afterAutospacing="0"/>
              <w:ind w:left="0" w:right="0"/>
              <w:jc w:val="center"/>
              <w:rPr>
                <w:rFonts w:hint="default"/>
                <w:bCs/>
                <w:szCs w:val="21"/>
              </w:rPr>
            </w:pPr>
          </w:p>
        </w:tc>
        <w:tc>
          <w:tcPr>
            <w:tcW w:w="612" w:type="dxa"/>
            <w:vAlign w:val="center"/>
          </w:tcPr>
          <w:p w14:paraId="4AD33618">
            <w:pPr>
              <w:keepNext w:val="0"/>
              <w:keepLines w:val="0"/>
              <w:suppressLineNumbers w:val="0"/>
              <w:spacing w:before="0" w:beforeAutospacing="0" w:after="0" w:afterAutospacing="0"/>
              <w:ind w:left="0" w:right="0"/>
              <w:jc w:val="center"/>
              <w:rPr>
                <w:rFonts w:hint="default"/>
                <w:bCs/>
                <w:szCs w:val="21"/>
              </w:rPr>
            </w:pPr>
          </w:p>
        </w:tc>
        <w:tc>
          <w:tcPr>
            <w:tcW w:w="726" w:type="dxa"/>
            <w:vAlign w:val="center"/>
          </w:tcPr>
          <w:p w14:paraId="1CFE9D4D">
            <w:pPr>
              <w:keepNext w:val="0"/>
              <w:keepLines w:val="0"/>
              <w:suppressLineNumbers w:val="0"/>
              <w:spacing w:before="0" w:beforeAutospacing="0" w:after="0" w:afterAutospacing="0"/>
              <w:ind w:left="0" w:right="0"/>
              <w:jc w:val="center"/>
              <w:rPr>
                <w:rFonts w:hint="default"/>
                <w:bCs/>
                <w:szCs w:val="21"/>
              </w:rPr>
            </w:pPr>
          </w:p>
        </w:tc>
        <w:tc>
          <w:tcPr>
            <w:tcW w:w="462" w:type="dxa"/>
            <w:vAlign w:val="center"/>
          </w:tcPr>
          <w:p w14:paraId="04C44F1C">
            <w:pPr>
              <w:keepNext w:val="0"/>
              <w:keepLines w:val="0"/>
              <w:suppressLineNumbers w:val="0"/>
              <w:spacing w:before="0" w:beforeAutospacing="0" w:after="0" w:afterAutospacing="0"/>
              <w:ind w:left="0" w:right="0"/>
              <w:jc w:val="center"/>
              <w:rPr>
                <w:rFonts w:hint="default"/>
                <w:bCs/>
                <w:szCs w:val="21"/>
              </w:rPr>
            </w:pPr>
            <w:r>
              <w:rPr>
                <w:rFonts w:hint="eastAsia"/>
                <w:bCs/>
                <w:szCs w:val="21"/>
              </w:rPr>
              <w:t>*</w:t>
            </w:r>
          </w:p>
        </w:tc>
        <w:tc>
          <w:tcPr>
            <w:tcW w:w="427" w:type="dxa"/>
            <w:vAlign w:val="center"/>
          </w:tcPr>
          <w:p w14:paraId="597855B9">
            <w:pPr>
              <w:keepNext w:val="0"/>
              <w:keepLines w:val="0"/>
              <w:suppressLineNumbers w:val="0"/>
              <w:spacing w:before="0" w:beforeAutospacing="0" w:after="0" w:afterAutospacing="0"/>
              <w:ind w:left="0" w:right="0"/>
              <w:jc w:val="center"/>
              <w:rPr>
                <w:rFonts w:hint="default"/>
                <w:bCs/>
                <w:szCs w:val="21"/>
              </w:rPr>
            </w:pPr>
            <w:r>
              <w:rPr>
                <w:rFonts w:hint="eastAsia"/>
                <w:bCs/>
                <w:szCs w:val="21"/>
              </w:rPr>
              <w:t>*</w:t>
            </w:r>
          </w:p>
        </w:tc>
        <w:tc>
          <w:tcPr>
            <w:tcW w:w="571" w:type="dxa"/>
            <w:vAlign w:val="center"/>
          </w:tcPr>
          <w:p w14:paraId="0A7F6333">
            <w:pPr>
              <w:keepNext w:val="0"/>
              <w:keepLines w:val="0"/>
              <w:suppressLineNumbers w:val="0"/>
              <w:spacing w:before="0" w:beforeAutospacing="0" w:after="0" w:afterAutospacing="0"/>
              <w:ind w:left="0" w:right="0"/>
              <w:jc w:val="center"/>
              <w:rPr>
                <w:rFonts w:hint="default"/>
                <w:bCs/>
                <w:szCs w:val="21"/>
              </w:rPr>
            </w:pPr>
          </w:p>
        </w:tc>
        <w:tc>
          <w:tcPr>
            <w:tcW w:w="563" w:type="dxa"/>
            <w:vAlign w:val="center"/>
          </w:tcPr>
          <w:p w14:paraId="55E817B6">
            <w:pPr>
              <w:keepNext w:val="0"/>
              <w:keepLines w:val="0"/>
              <w:suppressLineNumbers w:val="0"/>
              <w:spacing w:before="0" w:beforeAutospacing="0" w:after="0" w:afterAutospacing="0"/>
              <w:ind w:left="0" w:right="0"/>
              <w:jc w:val="center"/>
              <w:rPr>
                <w:rFonts w:hint="default"/>
                <w:bCs/>
                <w:szCs w:val="21"/>
              </w:rPr>
            </w:pPr>
          </w:p>
        </w:tc>
        <w:tc>
          <w:tcPr>
            <w:tcW w:w="1364" w:type="dxa"/>
            <w:vMerge w:val="continue"/>
            <w:vAlign w:val="center"/>
          </w:tcPr>
          <w:p w14:paraId="737904F5">
            <w:pPr>
              <w:keepNext w:val="0"/>
              <w:keepLines w:val="0"/>
              <w:suppressLineNumbers w:val="0"/>
              <w:spacing w:before="0" w:beforeAutospacing="0" w:after="0" w:afterAutospacing="0"/>
              <w:ind w:left="0" w:right="0"/>
              <w:jc w:val="center"/>
              <w:rPr>
                <w:rFonts w:hint="default"/>
                <w:b/>
                <w:bCs/>
                <w:color w:val="FF0000"/>
                <w:szCs w:val="21"/>
              </w:rPr>
            </w:pPr>
          </w:p>
        </w:tc>
      </w:tr>
      <w:tr w14:paraId="18A1D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741" w:type="dxa"/>
            <w:gridSpan w:val="12"/>
            <w:vAlign w:val="center"/>
          </w:tcPr>
          <w:p w14:paraId="1E2F32D3">
            <w:pPr>
              <w:keepNext w:val="0"/>
              <w:keepLines w:val="0"/>
              <w:suppressLineNumbers w:val="0"/>
              <w:spacing w:before="0" w:beforeAutospacing="0" w:after="0" w:afterAutospacing="0"/>
              <w:ind w:left="0" w:right="0"/>
              <w:jc w:val="center"/>
              <w:rPr>
                <w:rFonts w:hint="default"/>
                <w:b/>
                <w:bCs/>
                <w:color w:val="FF0000"/>
                <w:szCs w:val="21"/>
              </w:rPr>
            </w:pPr>
            <w:r>
              <w:rPr>
                <w:rFonts w:hint="eastAsia"/>
                <w:bCs/>
                <w:szCs w:val="21"/>
              </w:rPr>
              <w:t>合计（即投标总价；币种：人民币；单位：元） 小写：         大写：</w:t>
            </w:r>
          </w:p>
        </w:tc>
      </w:tr>
    </w:tbl>
    <w:p w14:paraId="5D713811">
      <w:pPr>
        <w:rPr>
          <w:rFonts w:hint="eastAsia" w:ascii="宋体" w:hAnsi="宋体"/>
          <w:b/>
          <w:sz w:val="24"/>
        </w:rPr>
      </w:pPr>
    </w:p>
    <w:p w14:paraId="210E0F3B">
      <w:pPr>
        <w:ind w:firstLine="422" w:firstLineChars="200"/>
        <w:rPr>
          <w:rFonts w:hint="eastAsia" w:ascii="宋体" w:hAnsi="宋体"/>
          <w:b/>
          <w:sz w:val="21"/>
          <w:szCs w:val="21"/>
        </w:rPr>
      </w:pPr>
      <w:r>
        <w:rPr>
          <w:rFonts w:hint="eastAsia" w:ascii="宋体" w:hAnsi="宋体"/>
          <w:b/>
          <w:sz w:val="21"/>
          <w:szCs w:val="21"/>
        </w:rPr>
        <w:t>注：</w:t>
      </w:r>
    </w:p>
    <w:p w14:paraId="55DD9401">
      <w:pPr>
        <w:ind w:firstLine="422" w:firstLineChars="200"/>
        <w:rPr>
          <w:rFonts w:ascii="宋体" w:hAnsi="宋体"/>
          <w:b/>
          <w:sz w:val="21"/>
          <w:szCs w:val="21"/>
        </w:rPr>
      </w:pPr>
      <w:r>
        <w:rPr>
          <w:rFonts w:hint="eastAsia" w:ascii="宋体" w:hAnsi="宋体"/>
          <w:b/>
          <w:sz w:val="21"/>
          <w:szCs w:val="21"/>
        </w:rPr>
        <w:t>1.本表可按同样格式扩展。</w:t>
      </w:r>
    </w:p>
    <w:p w14:paraId="717C560F">
      <w:pPr>
        <w:ind w:firstLine="413" w:firstLineChars="196"/>
        <w:rPr>
          <w:rFonts w:ascii="宋体" w:hAnsi="宋体"/>
          <w:b/>
          <w:sz w:val="21"/>
          <w:szCs w:val="21"/>
        </w:rPr>
      </w:pPr>
      <w:r>
        <w:rPr>
          <w:rFonts w:hint="eastAsia" w:ascii="宋体" w:hAnsi="宋体"/>
          <w:b/>
          <w:sz w:val="21"/>
          <w:szCs w:val="21"/>
        </w:rPr>
        <w:t>2</w:t>
      </w:r>
      <w:r>
        <w:rPr>
          <w:rFonts w:ascii="宋体" w:hAnsi="宋体"/>
          <w:b/>
          <w:sz w:val="21"/>
          <w:szCs w:val="21"/>
        </w:rPr>
        <w:t>.</w:t>
      </w:r>
      <w:r>
        <w:rPr>
          <w:rFonts w:hint="eastAsia" w:ascii="宋体" w:hAnsi="宋体"/>
          <w:b/>
          <w:sz w:val="21"/>
          <w:szCs w:val="21"/>
        </w:rPr>
        <w:t>“品牌”可以与商标一致，也可以填写便于区分其他公司商品的制造商简称或者制造商认可的品牌名称。</w:t>
      </w:r>
    </w:p>
    <w:p w14:paraId="696FBADA">
      <w:pPr>
        <w:ind w:firstLine="413" w:firstLineChars="196"/>
        <w:rPr>
          <w:b/>
          <w:sz w:val="21"/>
          <w:szCs w:val="21"/>
        </w:rPr>
      </w:pPr>
      <w:r>
        <w:rPr>
          <w:rFonts w:hint="eastAsia" w:ascii="宋体" w:hAnsi="宋体"/>
          <w:b/>
          <w:sz w:val="21"/>
          <w:szCs w:val="21"/>
        </w:rPr>
        <w:t>3.如所投货物属于定制类的非量产货物或无具体型号的货物，可以在“规格/型号”栏目仅填写规格信息而不填型号信息（型号信息用“定制”描述即可）；</w:t>
      </w:r>
      <w:bookmarkStart w:id="85" w:name="_Hlk73646428"/>
      <w:r>
        <w:rPr>
          <w:rFonts w:hint="eastAsia" w:ascii="宋体" w:hAnsi="宋体"/>
          <w:b/>
          <w:sz w:val="21"/>
          <w:szCs w:val="21"/>
        </w:rPr>
        <w:t>此类填写错误或缺漏（所投货物为定制类的非量产货物但供应商却错误填报了型号）的不利后果</w:t>
      </w:r>
      <w:r>
        <w:rPr>
          <w:rFonts w:hint="eastAsia"/>
          <w:b/>
          <w:sz w:val="21"/>
          <w:szCs w:val="21"/>
        </w:rPr>
        <w:t>由供应商承担。经评审委员会认定，在使用综合评分法的项目中一项此类填写错误或缺漏将按照一项普通招标技术要求（一般参数/普通参数）负偏离扣分处理。</w:t>
      </w:r>
      <w:bookmarkEnd w:id="85"/>
    </w:p>
    <w:p w14:paraId="582F5233">
      <w:pPr>
        <w:ind w:firstLine="413" w:firstLineChars="196"/>
        <w:rPr>
          <w:rFonts w:hint="eastAsia" w:ascii="宋体" w:hAnsi="宋体" w:eastAsia="宋体"/>
          <w:b/>
          <w:sz w:val="21"/>
          <w:szCs w:val="21"/>
          <w:lang w:eastAsia="zh-CN"/>
        </w:rPr>
      </w:pPr>
      <w:r>
        <w:rPr>
          <w:rFonts w:ascii="宋体" w:hAnsi="宋体"/>
          <w:b/>
          <w:sz w:val="21"/>
          <w:szCs w:val="21"/>
        </w:rPr>
        <w:t>3</w:t>
      </w:r>
      <w:r>
        <w:rPr>
          <w:rFonts w:hint="eastAsia" w:ascii="宋体" w:hAnsi="宋体"/>
          <w:b/>
          <w:sz w:val="21"/>
          <w:szCs w:val="21"/>
        </w:rPr>
        <w:t>.“原产地”是指货物的实际生产加工地，非品牌所在地</w:t>
      </w:r>
      <w:r>
        <w:rPr>
          <w:rFonts w:hint="eastAsia" w:ascii="宋体" w:hAnsi="宋体"/>
          <w:b/>
          <w:sz w:val="21"/>
          <w:szCs w:val="21"/>
          <w:lang w:eastAsia="zh-CN"/>
        </w:rPr>
        <w:t>。</w:t>
      </w:r>
    </w:p>
    <w:p w14:paraId="2726965A">
      <w:pPr>
        <w:ind w:firstLine="413" w:firstLineChars="196"/>
        <w:rPr>
          <w:rFonts w:ascii="宋体" w:hAnsi="宋体"/>
          <w:b/>
          <w:sz w:val="21"/>
          <w:szCs w:val="21"/>
        </w:rPr>
      </w:pPr>
      <w:r>
        <w:rPr>
          <w:rFonts w:ascii="宋体" w:hAnsi="宋体"/>
          <w:b/>
          <w:sz w:val="21"/>
          <w:szCs w:val="21"/>
        </w:rPr>
        <w:t>4</w:t>
      </w:r>
      <w:r>
        <w:rPr>
          <w:rFonts w:hint="eastAsia" w:ascii="宋体" w:hAnsi="宋体"/>
          <w:b/>
          <w:sz w:val="21"/>
          <w:szCs w:val="21"/>
        </w:rPr>
        <w:t>.所投货物均应填写制造商名称，“制造商”是指产品品牌厂商，产品代工制造的，应填写接受委托生产制造的制造商。</w:t>
      </w:r>
    </w:p>
    <w:p w14:paraId="43BBD5D7">
      <w:pPr>
        <w:ind w:firstLine="422" w:firstLineChars="200"/>
        <w:rPr>
          <w:rFonts w:ascii="宋体" w:hAnsi="宋体"/>
          <w:b/>
          <w:sz w:val="21"/>
          <w:szCs w:val="21"/>
        </w:rPr>
      </w:pPr>
      <w:r>
        <w:rPr>
          <w:rFonts w:ascii="宋体" w:hAnsi="宋体"/>
          <w:b/>
          <w:sz w:val="21"/>
          <w:szCs w:val="21"/>
        </w:rPr>
        <w:t>5</w:t>
      </w:r>
      <w:r>
        <w:rPr>
          <w:rFonts w:hint="eastAsia" w:ascii="宋体" w:hAnsi="宋体"/>
          <w:b/>
          <w:sz w:val="21"/>
          <w:szCs w:val="21"/>
        </w:rPr>
        <w:t>.以上分项报价表的投标总价应当与开标一览表的投标</w:t>
      </w:r>
      <w:r>
        <w:rPr>
          <w:rFonts w:hint="eastAsia" w:ascii="宋体" w:hAnsi="宋体"/>
          <w:b/>
          <w:sz w:val="21"/>
          <w:szCs w:val="21"/>
          <w:lang w:val="en-US" w:eastAsia="zh-CN"/>
        </w:rPr>
        <w:t>报</w:t>
      </w:r>
      <w:r>
        <w:rPr>
          <w:rFonts w:hint="eastAsia" w:ascii="宋体" w:hAnsi="宋体"/>
          <w:b/>
          <w:sz w:val="21"/>
          <w:szCs w:val="21"/>
        </w:rPr>
        <w:t>价一致。</w:t>
      </w:r>
    </w:p>
    <w:p w14:paraId="07F36DC0">
      <w:pPr>
        <w:ind w:firstLine="422" w:firstLineChars="200"/>
        <w:rPr>
          <w:rFonts w:ascii="宋体" w:hAnsi="宋体"/>
          <w:b/>
          <w:sz w:val="21"/>
          <w:szCs w:val="21"/>
        </w:rPr>
      </w:pPr>
      <w:r>
        <w:rPr>
          <w:rFonts w:ascii="宋体" w:hAnsi="宋体"/>
          <w:b/>
          <w:sz w:val="21"/>
          <w:szCs w:val="21"/>
        </w:rPr>
        <w:t>6</w:t>
      </w:r>
      <w:r>
        <w:rPr>
          <w:rFonts w:hint="eastAsia" w:ascii="宋体" w:hAnsi="宋体"/>
          <w:b/>
          <w:sz w:val="21"/>
          <w:szCs w:val="21"/>
        </w:rPr>
        <w:t>.单价、合价和投标总价为包干价，即三者均应包含货物的价款、包装、运输、装卸、安装、调试、技术指导、培训、咨询、服务、保险、税费、检测、验收合格交付使用之前以及技术和售后服务等其他各项有关费用。</w:t>
      </w:r>
    </w:p>
    <w:p w14:paraId="4DC7DADA">
      <w:pPr>
        <w:ind w:firstLine="422" w:firstLineChars="200"/>
        <w:rPr>
          <w:rFonts w:hint="eastAsia" w:ascii="宋体" w:hAnsi="宋体"/>
          <w:b/>
          <w:sz w:val="21"/>
          <w:szCs w:val="21"/>
        </w:rPr>
      </w:pPr>
      <w:r>
        <w:rPr>
          <w:rFonts w:ascii="宋体" w:hAnsi="宋体"/>
          <w:b/>
          <w:sz w:val="21"/>
          <w:szCs w:val="21"/>
        </w:rPr>
        <w:t>7</w:t>
      </w:r>
      <w:r>
        <w:rPr>
          <w:rFonts w:hint="eastAsia" w:ascii="宋体" w:hAnsi="宋体"/>
          <w:b/>
          <w:sz w:val="21"/>
          <w:szCs w:val="21"/>
        </w:rPr>
        <w:t>.所有价格应按“招标文件”中规定的货币单位填写；投标总价应为以上各分项价格之和；投标总价和项目报价表中单个采购预算条目报价均不得超过对应的财政预算限额，否则将导致投标无效。</w:t>
      </w:r>
    </w:p>
    <w:p w14:paraId="248CC2B9">
      <w:pPr>
        <w:spacing w:line="360" w:lineRule="auto"/>
        <w:ind w:left="5040" w:leftChars="2400" w:firstLine="0" w:firstLineChars="0"/>
        <w:jc w:val="left"/>
        <w:rPr>
          <w:rFonts w:hint="eastAsia" w:ascii="宋体" w:hAnsi="宋体" w:eastAsia="宋体" w:cs="宋体"/>
          <w:szCs w:val="21"/>
        </w:rPr>
      </w:pPr>
      <w:bookmarkStart w:id="86" w:name="OLE_LINK3"/>
    </w:p>
    <w:p w14:paraId="0E41EE22">
      <w:pPr>
        <w:spacing w:line="360" w:lineRule="auto"/>
        <w:ind w:left="5040" w:leftChars="2400" w:firstLine="0" w:firstLineChars="0"/>
        <w:jc w:val="left"/>
        <w:rPr>
          <w:rFonts w:ascii="宋体" w:hAnsi="宋体" w:eastAsia="宋体" w:cs="宋体"/>
          <w:szCs w:val="21"/>
        </w:rPr>
      </w:pPr>
      <w:r>
        <w:rPr>
          <w:rFonts w:hint="eastAsia" w:ascii="宋体" w:hAnsi="宋体" w:eastAsia="宋体" w:cs="宋体"/>
          <w:szCs w:val="21"/>
        </w:rPr>
        <w:t>投标人（公章）：</w:t>
      </w:r>
    </w:p>
    <w:p w14:paraId="3E4CACF7">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法定代表人或其授权代表签名：</w:t>
      </w:r>
    </w:p>
    <w:p w14:paraId="4FFEB915">
      <w:pPr>
        <w:spacing w:line="360" w:lineRule="auto"/>
        <w:ind w:firstLine="5040" w:firstLineChars="2400"/>
        <w:jc w:val="left"/>
        <w:rPr>
          <w:rFonts w:hint="eastAsia" w:ascii="宋体" w:hAnsi="宋体"/>
          <w:b/>
          <w:sz w:val="24"/>
        </w:rPr>
      </w:pPr>
      <w:r>
        <w:rPr>
          <w:rFonts w:hint="eastAsia" w:ascii="宋体" w:hAnsi="宋体" w:eastAsia="宋体" w:cs="宋体"/>
          <w:szCs w:val="21"/>
        </w:rPr>
        <w:t>日期：      年    月    日</w:t>
      </w:r>
    </w:p>
    <w:bookmarkEnd w:id="86"/>
    <w:p w14:paraId="4742D3E2">
      <w:pPr>
        <w:outlineLvl w:val="9"/>
      </w:pPr>
    </w:p>
    <w:p w14:paraId="2A7DC487">
      <w:pPr>
        <w:ind w:firstLine="482" w:firstLineChars="200"/>
        <w:rPr>
          <w:rFonts w:ascii="宋体" w:hAnsi="宋体"/>
          <w:b/>
          <w:color w:val="FF0000"/>
          <w:sz w:val="24"/>
        </w:rPr>
      </w:pPr>
    </w:p>
    <w:p w14:paraId="10F253F8">
      <w:pPr>
        <w:ind w:firstLine="482" w:firstLineChars="200"/>
        <w:rPr>
          <w:rFonts w:ascii="宋体" w:hAnsi="宋体"/>
          <w:b/>
          <w:color w:val="FF0000"/>
          <w:sz w:val="24"/>
        </w:rPr>
      </w:pPr>
    </w:p>
    <w:p w14:paraId="4F12875C">
      <w:pPr>
        <w:tabs>
          <w:tab w:val="left" w:pos="720"/>
        </w:tabs>
        <w:jc w:val="center"/>
        <w:rPr>
          <w:rFonts w:hint="eastAsia"/>
          <w:b/>
          <w:sz w:val="24"/>
        </w:rPr>
      </w:pPr>
    </w:p>
    <w:p w14:paraId="74F4C9FB">
      <w:pPr>
        <w:tabs>
          <w:tab w:val="left" w:pos="720"/>
        </w:tabs>
        <w:jc w:val="center"/>
        <w:rPr>
          <w:rFonts w:hint="eastAsia"/>
          <w:b/>
          <w:sz w:val="24"/>
        </w:rPr>
      </w:pPr>
    </w:p>
    <w:p w14:paraId="123D87ED">
      <w:pPr>
        <w:tabs>
          <w:tab w:val="left" w:pos="720"/>
        </w:tabs>
        <w:jc w:val="center"/>
        <w:rPr>
          <w:rFonts w:hint="eastAsia"/>
          <w:b/>
          <w:sz w:val="24"/>
        </w:rPr>
      </w:pPr>
    </w:p>
    <w:p w14:paraId="5ACEDD22">
      <w:pPr>
        <w:tabs>
          <w:tab w:val="left" w:pos="720"/>
        </w:tabs>
        <w:jc w:val="center"/>
        <w:rPr>
          <w:rFonts w:hint="eastAsia"/>
          <w:b/>
          <w:sz w:val="24"/>
        </w:rPr>
      </w:pPr>
    </w:p>
    <w:p w14:paraId="2F9FF865">
      <w:pPr>
        <w:tabs>
          <w:tab w:val="left" w:pos="720"/>
        </w:tabs>
        <w:jc w:val="center"/>
        <w:rPr>
          <w:rFonts w:hint="eastAsia"/>
          <w:b/>
          <w:sz w:val="24"/>
        </w:rPr>
      </w:pPr>
    </w:p>
    <w:p w14:paraId="39C6FFA6">
      <w:pPr>
        <w:tabs>
          <w:tab w:val="left" w:pos="720"/>
        </w:tabs>
        <w:jc w:val="center"/>
        <w:rPr>
          <w:rFonts w:hint="eastAsia"/>
          <w:b/>
          <w:sz w:val="24"/>
        </w:rPr>
      </w:pPr>
    </w:p>
    <w:p w14:paraId="46478617">
      <w:pPr>
        <w:tabs>
          <w:tab w:val="left" w:pos="720"/>
        </w:tabs>
        <w:jc w:val="center"/>
        <w:rPr>
          <w:rFonts w:hint="eastAsia"/>
          <w:b/>
          <w:sz w:val="24"/>
        </w:rPr>
      </w:pPr>
    </w:p>
    <w:p w14:paraId="0928D94D">
      <w:pPr>
        <w:tabs>
          <w:tab w:val="left" w:pos="720"/>
        </w:tabs>
        <w:jc w:val="center"/>
        <w:rPr>
          <w:rFonts w:hint="eastAsia"/>
          <w:b/>
          <w:sz w:val="24"/>
        </w:rPr>
      </w:pPr>
    </w:p>
    <w:p w14:paraId="34BADE8C">
      <w:pPr>
        <w:tabs>
          <w:tab w:val="left" w:pos="720"/>
        </w:tabs>
        <w:jc w:val="center"/>
        <w:rPr>
          <w:rFonts w:hint="eastAsia"/>
          <w:b/>
          <w:sz w:val="24"/>
        </w:rPr>
      </w:pPr>
    </w:p>
    <w:p w14:paraId="54F208A7">
      <w:pPr>
        <w:tabs>
          <w:tab w:val="left" w:pos="720"/>
        </w:tabs>
        <w:jc w:val="center"/>
        <w:rPr>
          <w:rFonts w:hint="eastAsia"/>
          <w:b/>
          <w:sz w:val="24"/>
        </w:rPr>
      </w:pPr>
    </w:p>
    <w:p w14:paraId="28154DB6">
      <w:pPr>
        <w:tabs>
          <w:tab w:val="left" w:pos="720"/>
        </w:tabs>
        <w:jc w:val="center"/>
        <w:rPr>
          <w:b/>
          <w:sz w:val="24"/>
        </w:rPr>
      </w:pPr>
      <w:r>
        <w:rPr>
          <w:rFonts w:hint="eastAsia"/>
          <w:b/>
          <w:sz w:val="24"/>
        </w:rPr>
        <w:t>（二）核心产品品牌</w:t>
      </w:r>
    </w:p>
    <w:p w14:paraId="6C8CBA02">
      <w:pPr>
        <w:ind w:firstLine="482" w:firstLineChars="200"/>
        <w:rPr>
          <w:rFonts w:ascii="宋体" w:hAnsi="宋体"/>
          <w:b/>
          <w:color w:val="FF0000"/>
          <w:sz w:val="24"/>
        </w:rPr>
      </w:pPr>
    </w:p>
    <w:p w14:paraId="3486BCE2">
      <w:pPr>
        <w:ind w:firstLine="482" w:firstLineChars="200"/>
        <w:rPr>
          <w:rFonts w:ascii="宋体" w:hAnsi="宋体"/>
          <w:b/>
          <w:sz w:val="24"/>
        </w:rPr>
      </w:pPr>
      <w:r>
        <w:rPr>
          <w:rFonts w:hint="eastAsia"/>
          <w:b/>
          <w:sz w:val="24"/>
        </w:rPr>
        <w:t>我单位所投核心产品的品牌为：</w:t>
      </w:r>
      <w:r>
        <w:rPr>
          <w:rFonts w:hint="eastAsia"/>
          <w:b/>
          <w:sz w:val="24"/>
          <w:u w:val="single"/>
        </w:rPr>
        <w:t xml:space="preserve">               </w:t>
      </w:r>
      <w:r>
        <w:rPr>
          <w:rFonts w:hint="eastAsia"/>
          <w:b/>
          <w:sz w:val="24"/>
        </w:rPr>
        <w:t>。</w:t>
      </w:r>
    </w:p>
    <w:p w14:paraId="277EB633">
      <w:pPr>
        <w:ind w:firstLine="482" w:firstLineChars="200"/>
        <w:rPr>
          <w:rFonts w:ascii="宋体" w:hAnsi="宋体"/>
          <w:b/>
          <w:color w:val="FF0000"/>
          <w:sz w:val="24"/>
        </w:rPr>
      </w:pPr>
    </w:p>
    <w:p w14:paraId="11A4A69B">
      <w:pPr>
        <w:ind w:firstLine="480" w:firstLineChars="200"/>
        <w:rPr>
          <w:rFonts w:ascii="宋体" w:hAnsi="宋体"/>
          <w:sz w:val="24"/>
        </w:rPr>
      </w:pPr>
      <w:r>
        <w:rPr>
          <w:rFonts w:hint="eastAsia" w:ascii="宋体" w:hAnsi="宋体"/>
          <w:sz w:val="24"/>
        </w:rPr>
        <w:t>备注：单一产品采购项目，核心产品即为该单一产品。</w:t>
      </w:r>
    </w:p>
    <w:p w14:paraId="743BF1F5">
      <w:pPr>
        <w:ind w:firstLine="482" w:firstLineChars="200"/>
        <w:rPr>
          <w:rFonts w:ascii="宋体" w:hAnsi="宋体"/>
          <w:b/>
          <w:color w:val="FF0000"/>
          <w:sz w:val="24"/>
        </w:rPr>
      </w:pPr>
    </w:p>
    <w:p w14:paraId="1CA69A0B">
      <w:pPr>
        <w:spacing w:line="360" w:lineRule="auto"/>
        <w:ind w:left="5040" w:leftChars="2400" w:firstLine="0" w:firstLineChars="0"/>
        <w:jc w:val="left"/>
        <w:rPr>
          <w:rFonts w:ascii="宋体" w:hAnsi="宋体" w:eastAsia="宋体" w:cs="宋体"/>
          <w:szCs w:val="21"/>
        </w:rPr>
      </w:pPr>
      <w:r>
        <w:rPr>
          <w:rFonts w:hint="eastAsia" w:ascii="宋体" w:hAnsi="宋体" w:eastAsia="宋体" w:cs="宋体"/>
          <w:szCs w:val="21"/>
        </w:rPr>
        <w:t>投标人（公章）：</w:t>
      </w:r>
    </w:p>
    <w:p w14:paraId="428725AA">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法定代表人或其授权代表签名：</w:t>
      </w:r>
    </w:p>
    <w:p w14:paraId="063850F2">
      <w:pPr>
        <w:spacing w:line="360" w:lineRule="auto"/>
        <w:ind w:firstLine="5040" w:firstLineChars="2400"/>
        <w:jc w:val="left"/>
        <w:rPr>
          <w:rFonts w:hint="eastAsia" w:ascii="宋体" w:hAnsi="宋体"/>
          <w:b/>
          <w:sz w:val="24"/>
        </w:rPr>
      </w:pPr>
      <w:r>
        <w:rPr>
          <w:rFonts w:hint="eastAsia" w:ascii="宋体" w:hAnsi="宋体" w:eastAsia="宋体" w:cs="宋体"/>
          <w:szCs w:val="21"/>
        </w:rPr>
        <w:t>日期：      年    月    日</w:t>
      </w:r>
    </w:p>
    <w:p w14:paraId="402671B6">
      <w:pPr>
        <w:ind w:firstLine="482" w:firstLineChars="200"/>
        <w:rPr>
          <w:rFonts w:ascii="宋体" w:hAnsi="宋体"/>
          <w:b/>
          <w:color w:val="FF0000"/>
          <w:sz w:val="24"/>
        </w:rPr>
      </w:pPr>
    </w:p>
    <w:p w14:paraId="106699BC">
      <w:pPr>
        <w:rPr>
          <w:b/>
          <w:sz w:val="24"/>
        </w:rPr>
      </w:pPr>
    </w:p>
    <w:p w14:paraId="00EE3D3F">
      <w:pPr>
        <w:tabs>
          <w:tab w:val="left" w:pos="720"/>
        </w:tabs>
        <w:ind w:firstLine="1928" w:firstLineChars="800"/>
        <w:rPr>
          <w:b/>
          <w:sz w:val="24"/>
        </w:rPr>
      </w:pPr>
      <w:r>
        <w:rPr>
          <w:rFonts w:hint="eastAsia"/>
          <w:b/>
          <w:sz w:val="24"/>
        </w:rPr>
        <w:t>（三）可选配件报价清单（不包括在总报价内）</w:t>
      </w:r>
    </w:p>
    <w:p w14:paraId="62EC2D22">
      <w:pPr>
        <w:ind w:firstLine="422" w:firstLineChars="200"/>
        <w:rPr>
          <w:rFonts w:hAnsi="宋体"/>
          <w:b/>
          <w:bCs/>
          <w:szCs w:val="21"/>
        </w:rPr>
      </w:pPr>
      <w:r>
        <w:rPr>
          <w:rFonts w:hint="eastAsia" w:hAnsi="宋体"/>
          <w:b/>
          <w:bCs/>
          <w:szCs w:val="21"/>
        </w:rPr>
        <w:t>注：格式可以参照《（一）分项报价表》表格，并提供相应的品牌/规格/型号、原产地、制造商信息（没有品牌、型号的，用“定制”描述即可）、单价等详细信息</w:t>
      </w:r>
    </w:p>
    <w:p w14:paraId="0F5EA9CF">
      <w:pPr>
        <w:ind w:firstLine="482" w:firstLineChars="200"/>
        <w:rPr>
          <w:rFonts w:hAnsi="宋体"/>
          <w:b/>
          <w:bCs/>
          <w:sz w:val="24"/>
        </w:rPr>
      </w:pPr>
    </w:p>
    <w:p w14:paraId="74786C50">
      <w:pPr>
        <w:ind w:firstLine="482" w:firstLineChars="200"/>
        <w:rPr>
          <w:rFonts w:hAnsi="宋体"/>
          <w:b/>
          <w:bCs/>
          <w:sz w:val="24"/>
        </w:rPr>
      </w:pPr>
    </w:p>
    <w:p w14:paraId="1CA8EF08">
      <w:pPr>
        <w:tabs>
          <w:tab w:val="left" w:pos="720"/>
        </w:tabs>
        <w:jc w:val="center"/>
        <w:rPr>
          <w:b/>
          <w:sz w:val="24"/>
        </w:rPr>
      </w:pPr>
      <w:r>
        <w:rPr>
          <w:rFonts w:hint="eastAsia"/>
          <w:b/>
          <w:sz w:val="24"/>
        </w:rPr>
        <w:t>（四）</w:t>
      </w:r>
      <w:bookmarkStart w:id="87" w:name="_Hlk72073235"/>
      <w:r>
        <w:rPr>
          <w:rFonts w:hint="eastAsia"/>
          <w:b/>
          <w:sz w:val="24"/>
        </w:rPr>
        <w:t>投标人认为需要涉及的其他内容报价清单</w:t>
      </w:r>
      <w:bookmarkEnd w:id="87"/>
    </w:p>
    <w:p w14:paraId="5B3B7232">
      <w:pPr>
        <w:rPr>
          <w:b/>
          <w:bCs/>
        </w:rPr>
      </w:pPr>
    </w:p>
    <w:p w14:paraId="00ACFE1F"/>
    <w:p w14:paraId="33D54307">
      <w:r>
        <w:rPr>
          <w:rFonts w:hint="eastAsia"/>
        </w:rPr>
        <w:t xml:space="preserve"> </w:t>
      </w:r>
      <w:r>
        <w:t xml:space="preserve">       </w:t>
      </w:r>
    </w:p>
    <w:bookmarkEnd w:id="84"/>
    <w:p w14:paraId="444DA5F0">
      <w:r>
        <w:br w:type="page"/>
      </w:r>
    </w:p>
    <w:p w14:paraId="6718987D">
      <w:pPr>
        <w:pStyle w:val="3"/>
        <w:numPr>
          <w:ilvl w:val="0"/>
          <w:numId w:val="0"/>
        </w:numPr>
        <w:jc w:val="center"/>
        <w:rPr>
          <w:rFonts w:ascii="黑体" w:eastAsia="黑体"/>
          <w:b w:val="0"/>
          <w:sz w:val="24"/>
          <w:highlight w:val="none"/>
        </w:rPr>
      </w:pPr>
      <w:bookmarkStart w:id="88" w:name="_Hlk72260530"/>
      <w:r>
        <w:rPr>
          <w:rFonts w:hint="eastAsia" w:ascii="黑体" w:eastAsia="黑体" w:cs="Times New Roman"/>
          <w:b w:val="0"/>
          <w:bCs/>
          <w:kern w:val="2"/>
          <w:sz w:val="24"/>
          <w:szCs w:val="32"/>
          <w:lang w:val="en-US" w:eastAsia="zh-CN" w:bidi="ar-SA"/>
        </w:rPr>
        <w:t>六</w:t>
      </w:r>
      <w:r>
        <w:rPr>
          <w:rFonts w:hint="eastAsia" w:ascii="黑体" w:hAnsi="宋体" w:eastAsia="黑体" w:cs="Times New Roman"/>
          <w:b w:val="0"/>
          <w:bCs/>
          <w:kern w:val="2"/>
          <w:sz w:val="24"/>
          <w:szCs w:val="32"/>
          <w:lang w:val="en-US" w:eastAsia="zh-CN" w:bidi="ar-SA"/>
        </w:rPr>
        <w:t>、</w:t>
      </w:r>
      <w:r>
        <w:rPr>
          <w:rFonts w:hint="eastAsia" w:ascii="黑体" w:eastAsia="黑体"/>
          <w:b w:val="0"/>
          <w:sz w:val="24"/>
          <w:highlight w:val="none"/>
        </w:rPr>
        <w:t>供应商基本情况表</w:t>
      </w:r>
    </w:p>
    <w:p w14:paraId="2DBEB4BF">
      <w:pPr>
        <w:pStyle w:val="38"/>
        <w:snapToGrid w:val="0"/>
        <w:spacing w:beforeAutospacing="0" w:afterAutospacing="0"/>
        <w:jc w:val="center"/>
        <w:outlineLvl w:val="9"/>
        <w:rPr>
          <w:rFonts w:hint="eastAsia" w:ascii="黑体" w:hAnsi="宋体" w:eastAsia="黑体" w:cs="Times New Roman"/>
          <w:b w:val="0"/>
          <w:bCs/>
          <w:kern w:val="2"/>
          <w:sz w:val="24"/>
          <w:szCs w:val="32"/>
          <w:highlight w:val="none"/>
          <w:lang w:val="en-US" w:eastAsia="zh-CN" w:bidi="ar-SA"/>
        </w:rPr>
      </w:pPr>
      <w:r>
        <w:rPr>
          <w:rFonts w:hint="eastAsia" w:ascii="黑体" w:hAnsi="宋体" w:eastAsia="黑体" w:cs="Times New Roman"/>
          <w:b w:val="0"/>
          <w:bCs/>
          <w:kern w:val="2"/>
          <w:sz w:val="24"/>
          <w:szCs w:val="32"/>
          <w:highlight w:val="none"/>
          <w:lang w:val="en-US" w:eastAsia="zh-CN" w:bidi="ar-SA"/>
        </w:rPr>
        <w:t>供应商基本情况表</w:t>
      </w:r>
    </w:p>
    <w:tbl>
      <w:tblPr>
        <w:tblStyle w:val="44"/>
        <w:tblW w:w="8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670"/>
        <w:gridCol w:w="1591"/>
        <w:gridCol w:w="939"/>
        <w:gridCol w:w="783"/>
        <w:gridCol w:w="1189"/>
        <w:gridCol w:w="1486"/>
        <w:gridCol w:w="1472"/>
      </w:tblGrid>
      <w:tr w14:paraId="1DB4D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3" w:hRule="atLeast"/>
        </w:trPr>
        <w:tc>
          <w:tcPr>
            <w:tcW w:w="139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B55AAD">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lang w:bidi="ar"/>
              </w:rPr>
              <w:t>投标（响应）供应商</w:t>
            </w:r>
          </w:p>
        </w:tc>
        <w:tc>
          <w:tcPr>
            <w:tcW w:w="253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1C86E3">
            <w:pPr>
              <w:keepNext w:val="0"/>
              <w:keepLines w:val="0"/>
              <w:suppressLineNumbers w:val="0"/>
              <w:spacing w:before="0" w:beforeAutospacing="0" w:after="0" w:afterAutospacing="0"/>
              <w:ind w:left="0" w:right="0"/>
              <w:jc w:val="center"/>
              <w:rPr>
                <w:rFonts w:hint="default" w:ascii="宋体" w:hAnsi="宋体" w:cs="宋体"/>
                <w:szCs w:val="21"/>
              </w:rPr>
            </w:pPr>
          </w:p>
        </w:tc>
        <w:tc>
          <w:tcPr>
            <w:tcW w:w="197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EE0A24">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lang w:bidi="ar"/>
              </w:rPr>
              <w:t>项目名称</w:t>
            </w:r>
            <w:bookmarkStart w:id="89" w:name="OLE_LINK27"/>
            <w:r>
              <w:rPr>
                <w:rFonts w:hint="eastAsia" w:ascii="宋体" w:hAnsi="宋体" w:cs="宋体"/>
                <w:szCs w:val="21"/>
                <w:lang w:eastAsia="zh-CN" w:bidi="ar"/>
              </w:rPr>
              <w:t>、</w:t>
            </w:r>
            <w:r>
              <w:rPr>
                <w:rFonts w:hint="eastAsia" w:ascii="宋体" w:hAnsi="宋体" w:cs="宋体"/>
                <w:szCs w:val="21"/>
                <w:lang w:val="en-US" w:eastAsia="zh-CN" w:bidi="ar"/>
              </w:rPr>
              <w:t>包号</w:t>
            </w:r>
            <w:bookmarkEnd w:id="89"/>
            <w:r>
              <w:rPr>
                <w:rFonts w:hint="eastAsia" w:ascii="宋体" w:hAnsi="宋体" w:cs="宋体"/>
                <w:szCs w:val="21"/>
                <w:lang w:bidi="ar"/>
              </w:rPr>
              <w:t>及编号</w:t>
            </w:r>
          </w:p>
        </w:tc>
        <w:tc>
          <w:tcPr>
            <w:tcW w:w="29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7205AD">
            <w:pPr>
              <w:keepNext w:val="0"/>
              <w:keepLines w:val="0"/>
              <w:suppressLineNumbers w:val="0"/>
              <w:spacing w:before="0" w:beforeAutospacing="0" w:after="0" w:afterAutospacing="0"/>
              <w:ind w:left="0" w:right="0"/>
              <w:jc w:val="center"/>
              <w:rPr>
                <w:rFonts w:hint="eastAsia" w:ascii="宋体" w:hAnsi="宋体" w:eastAsia="宋体" w:cs="宋体"/>
                <w:szCs w:val="21"/>
                <w:lang w:val="en-US" w:eastAsia="zh-CN"/>
              </w:rPr>
            </w:pPr>
            <w:r>
              <w:rPr>
                <w:rFonts w:hint="eastAsia" w:ascii="宋体" w:hAnsi="宋体" w:eastAsia="宋体" w:cs="宋体"/>
                <w:szCs w:val="21"/>
                <w:lang w:val="en-US" w:eastAsia="zh-CN"/>
              </w:rPr>
              <w:t>中国人民银行深圳市分行网络设备采购项目</w:t>
            </w:r>
            <w:r>
              <w:rPr>
                <w:rFonts w:hint="eastAsia" w:ascii="宋体" w:hAnsi="宋体" w:cs="宋体"/>
                <w:szCs w:val="21"/>
                <w:lang w:val="en-US" w:eastAsia="zh-CN"/>
              </w:rPr>
              <w:t>（包1）、LHZXCG-2025-00016</w:t>
            </w:r>
          </w:p>
        </w:tc>
      </w:tr>
      <w:tr w14:paraId="25605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858"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1DD34185">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b/>
                <w:bCs/>
                <w:szCs w:val="21"/>
                <w:lang w:bidi="ar"/>
              </w:rPr>
              <w:t>投标（响应）供应商相关人员情况</w:t>
            </w:r>
          </w:p>
        </w:tc>
      </w:tr>
      <w:tr w14:paraId="79A1F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728" w:type="dxa"/>
            <w:tcBorders>
              <w:top w:val="single" w:color="auto" w:sz="4" w:space="0"/>
              <w:left w:val="single" w:color="auto" w:sz="4" w:space="0"/>
              <w:bottom w:val="single" w:color="auto" w:sz="4" w:space="0"/>
              <w:right w:val="single" w:color="auto" w:sz="4" w:space="0"/>
            </w:tcBorders>
            <w:shd w:val="clear" w:color="auto" w:fill="auto"/>
            <w:vAlign w:val="center"/>
          </w:tcPr>
          <w:p w14:paraId="75FEE81F">
            <w:pPr>
              <w:keepNext w:val="0"/>
              <w:keepLines w:val="0"/>
              <w:suppressLineNumbers w:val="0"/>
              <w:snapToGrid w:val="0"/>
              <w:spacing w:before="0" w:beforeAutospacing="0" w:after="0" w:afterAutospacing="0"/>
              <w:ind w:left="0" w:right="0"/>
              <w:jc w:val="center"/>
              <w:rPr>
                <w:rFonts w:hint="default" w:ascii="宋体" w:hAnsi="宋体" w:cs="宋体"/>
                <w:szCs w:val="21"/>
              </w:rPr>
            </w:pPr>
            <w:r>
              <w:rPr>
                <w:rFonts w:hint="eastAsia" w:ascii="宋体" w:hAnsi="宋体" w:cs="宋体"/>
                <w:szCs w:val="21"/>
                <w:lang w:bidi="ar"/>
              </w:rPr>
              <w:t>序号</w:t>
            </w:r>
          </w:p>
        </w:tc>
        <w:tc>
          <w:tcPr>
            <w:tcW w:w="22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D3083B">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lang w:bidi="ar"/>
              </w:rPr>
              <w:t>职务</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14:paraId="651DA3BA">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lang w:bidi="ar"/>
              </w:rPr>
              <w:t>姓名</w:t>
            </w:r>
          </w:p>
        </w:tc>
        <w:tc>
          <w:tcPr>
            <w:tcW w:w="197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BA16C6">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lang w:bidi="ar"/>
              </w:rPr>
              <w:t>身份证号码</w:t>
            </w:r>
          </w:p>
        </w:tc>
        <w:tc>
          <w:tcPr>
            <w:tcW w:w="1486" w:type="dxa"/>
            <w:tcBorders>
              <w:top w:val="single" w:color="auto" w:sz="4" w:space="0"/>
              <w:left w:val="single" w:color="auto" w:sz="4" w:space="0"/>
              <w:bottom w:val="single" w:color="auto" w:sz="4" w:space="0"/>
              <w:right w:val="single" w:color="auto" w:sz="4" w:space="0"/>
            </w:tcBorders>
            <w:shd w:val="clear" w:color="auto" w:fill="auto"/>
            <w:vAlign w:val="center"/>
          </w:tcPr>
          <w:p w14:paraId="401CB450">
            <w:pPr>
              <w:keepNext w:val="0"/>
              <w:keepLines w:val="0"/>
              <w:suppressLineNumbers w:val="0"/>
              <w:snapToGrid w:val="0"/>
              <w:spacing w:before="0" w:beforeAutospacing="0" w:after="0" w:afterAutospacing="0"/>
              <w:ind w:left="0" w:right="0"/>
              <w:jc w:val="center"/>
              <w:rPr>
                <w:rFonts w:hint="default" w:ascii="宋体" w:hAnsi="宋体" w:cs="宋体"/>
                <w:szCs w:val="21"/>
              </w:rPr>
            </w:pPr>
            <w:r>
              <w:rPr>
                <w:rFonts w:hint="eastAsia" w:ascii="宋体" w:hAnsi="宋体" w:cs="宋体"/>
                <w:szCs w:val="21"/>
                <w:lang w:bidi="ar"/>
              </w:rPr>
              <w:t>劳动合同</w:t>
            </w:r>
          </w:p>
          <w:p w14:paraId="255F0827">
            <w:pPr>
              <w:keepNext w:val="0"/>
              <w:keepLines w:val="0"/>
              <w:suppressLineNumbers w:val="0"/>
              <w:snapToGrid w:val="0"/>
              <w:spacing w:before="0" w:beforeAutospacing="0" w:after="0" w:afterAutospacing="0"/>
              <w:ind w:left="0" w:right="0"/>
              <w:jc w:val="center"/>
              <w:rPr>
                <w:rFonts w:hint="default" w:ascii="宋体" w:hAnsi="宋体" w:cs="宋体"/>
                <w:szCs w:val="21"/>
              </w:rPr>
            </w:pPr>
            <w:r>
              <w:rPr>
                <w:rFonts w:hint="eastAsia" w:ascii="宋体" w:hAnsi="宋体" w:cs="宋体"/>
                <w:szCs w:val="21"/>
                <w:lang w:bidi="ar"/>
              </w:rPr>
              <w:t>关系单位</w:t>
            </w:r>
          </w:p>
        </w:tc>
        <w:tc>
          <w:tcPr>
            <w:tcW w:w="1472" w:type="dxa"/>
            <w:tcBorders>
              <w:top w:val="single" w:color="auto" w:sz="4" w:space="0"/>
              <w:left w:val="single" w:color="auto" w:sz="4" w:space="0"/>
              <w:bottom w:val="single" w:color="auto" w:sz="4" w:space="0"/>
              <w:right w:val="single" w:color="auto" w:sz="4" w:space="0"/>
            </w:tcBorders>
            <w:shd w:val="clear" w:color="auto" w:fill="auto"/>
            <w:vAlign w:val="center"/>
          </w:tcPr>
          <w:p w14:paraId="63C48D29">
            <w:pPr>
              <w:keepNext w:val="0"/>
              <w:keepLines w:val="0"/>
              <w:suppressLineNumbers w:val="0"/>
              <w:snapToGrid w:val="0"/>
              <w:spacing w:before="0" w:beforeAutospacing="0" w:after="0" w:afterAutospacing="0"/>
              <w:ind w:left="0" w:right="0"/>
              <w:jc w:val="center"/>
              <w:rPr>
                <w:rFonts w:hint="default" w:ascii="宋体" w:hAnsi="宋体" w:cs="宋体"/>
                <w:szCs w:val="21"/>
              </w:rPr>
            </w:pPr>
            <w:r>
              <w:rPr>
                <w:rFonts w:hint="eastAsia" w:ascii="宋体" w:hAnsi="宋体" w:cs="宋体"/>
                <w:szCs w:val="21"/>
                <w:lang w:bidi="ar"/>
              </w:rPr>
              <w:t>缴纳社会</w:t>
            </w:r>
          </w:p>
          <w:p w14:paraId="7014BE73">
            <w:pPr>
              <w:keepNext w:val="0"/>
              <w:keepLines w:val="0"/>
              <w:suppressLineNumbers w:val="0"/>
              <w:snapToGrid w:val="0"/>
              <w:spacing w:before="0" w:beforeAutospacing="0" w:after="0" w:afterAutospacing="0"/>
              <w:ind w:left="0" w:right="0"/>
              <w:jc w:val="center"/>
              <w:rPr>
                <w:rFonts w:hint="default" w:ascii="宋体" w:hAnsi="宋体" w:cs="宋体"/>
                <w:szCs w:val="21"/>
              </w:rPr>
            </w:pPr>
            <w:r>
              <w:rPr>
                <w:rFonts w:hint="eastAsia" w:ascii="宋体" w:hAnsi="宋体" w:cs="宋体"/>
                <w:szCs w:val="21"/>
                <w:lang w:bidi="ar"/>
              </w:rPr>
              <w:t>保险单位</w:t>
            </w:r>
          </w:p>
        </w:tc>
      </w:tr>
      <w:tr w14:paraId="6DDFD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trPr>
        <w:tc>
          <w:tcPr>
            <w:tcW w:w="728" w:type="dxa"/>
            <w:tcBorders>
              <w:top w:val="single" w:color="auto" w:sz="4" w:space="0"/>
              <w:left w:val="single" w:color="auto" w:sz="4" w:space="0"/>
              <w:bottom w:val="single" w:color="auto" w:sz="4" w:space="0"/>
              <w:right w:val="single" w:color="auto" w:sz="4" w:space="0"/>
            </w:tcBorders>
            <w:shd w:val="clear" w:color="auto" w:fill="auto"/>
            <w:vAlign w:val="center"/>
          </w:tcPr>
          <w:p w14:paraId="0E6ED931">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lang w:bidi="ar"/>
              </w:rPr>
              <w:t>1</w:t>
            </w:r>
          </w:p>
        </w:tc>
        <w:tc>
          <w:tcPr>
            <w:tcW w:w="22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2A532D">
            <w:pPr>
              <w:keepNext w:val="0"/>
              <w:keepLines w:val="0"/>
              <w:suppressLineNumbers w:val="0"/>
              <w:spacing w:before="0" w:beforeAutospacing="0" w:after="0" w:afterAutospacing="0" w:line="460" w:lineRule="exact"/>
              <w:ind w:left="0" w:right="0"/>
              <w:jc w:val="center"/>
              <w:rPr>
                <w:rFonts w:hint="default" w:ascii="宋体" w:hAnsi="宋体" w:cs="宋体"/>
                <w:szCs w:val="21"/>
              </w:rPr>
            </w:pPr>
            <w:r>
              <w:rPr>
                <w:rFonts w:hint="eastAsia" w:ascii="宋体" w:hAnsi="宋体" w:cs="宋体"/>
                <w:szCs w:val="21"/>
                <w:lang w:bidi="ar"/>
              </w:rPr>
              <w:t>法定代表人/单位负责人/主要经营负责人</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14:paraId="7797BFD5">
            <w:pPr>
              <w:keepNext w:val="0"/>
              <w:keepLines w:val="0"/>
              <w:suppressLineNumbers w:val="0"/>
              <w:spacing w:before="0" w:beforeAutospacing="0" w:after="0" w:afterAutospacing="0"/>
              <w:ind w:left="0" w:right="0"/>
              <w:jc w:val="center"/>
              <w:rPr>
                <w:rFonts w:hint="default" w:ascii="宋体" w:hAnsi="宋体" w:cs="宋体"/>
                <w:szCs w:val="21"/>
              </w:rPr>
            </w:pPr>
          </w:p>
        </w:tc>
        <w:tc>
          <w:tcPr>
            <w:tcW w:w="197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B5AC02">
            <w:pPr>
              <w:keepNext w:val="0"/>
              <w:keepLines w:val="0"/>
              <w:suppressLineNumbers w:val="0"/>
              <w:spacing w:before="0" w:beforeAutospacing="0" w:after="0" w:afterAutospacing="0"/>
              <w:ind w:left="0" w:right="0"/>
              <w:jc w:val="center"/>
              <w:rPr>
                <w:rFonts w:hint="default" w:ascii="宋体" w:hAnsi="宋体" w:cs="宋体"/>
                <w:szCs w:val="21"/>
              </w:rPr>
            </w:pPr>
          </w:p>
        </w:tc>
        <w:tc>
          <w:tcPr>
            <w:tcW w:w="1486" w:type="dxa"/>
            <w:tcBorders>
              <w:top w:val="single" w:color="auto" w:sz="4" w:space="0"/>
              <w:left w:val="single" w:color="auto" w:sz="4" w:space="0"/>
              <w:bottom w:val="single" w:color="auto" w:sz="4" w:space="0"/>
              <w:right w:val="single" w:color="auto" w:sz="4" w:space="0"/>
            </w:tcBorders>
            <w:shd w:val="clear" w:color="auto" w:fill="auto"/>
            <w:vAlign w:val="center"/>
          </w:tcPr>
          <w:p w14:paraId="3715DD24">
            <w:pPr>
              <w:keepNext w:val="0"/>
              <w:keepLines w:val="0"/>
              <w:suppressLineNumbers w:val="0"/>
              <w:spacing w:before="0" w:beforeAutospacing="0" w:after="0" w:afterAutospacing="0"/>
              <w:ind w:left="0" w:right="0"/>
              <w:jc w:val="center"/>
              <w:rPr>
                <w:rFonts w:hint="default" w:ascii="宋体" w:hAnsi="宋体" w:cs="宋体"/>
                <w:szCs w:val="21"/>
              </w:rPr>
            </w:pPr>
          </w:p>
        </w:tc>
        <w:tc>
          <w:tcPr>
            <w:tcW w:w="1472" w:type="dxa"/>
            <w:tcBorders>
              <w:top w:val="single" w:color="auto" w:sz="4" w:space="0"/>
              <w:left w:val="single" w:color="auto" w:sz="4" w:space="0"/>
              <w:bottom w:val="single" w:color="auto" w:sz="4" w:space="0"/>
              <w:right w:val="single" w:color="auto" w:sz="4" w:space="0"/>
            </w:tcBorders>
            <w:shd w:val="clear" w:color="auto" w:fill="auto"/>
            <w:vAlign w:val="center"/>
          </w:tcPr>
          <w:p w14:paraId="33DD3ED7">
            <w:pPr>
              <w:keepNext w:val="0"/>
              <w:keepLines w:val="0"/>
              <w:suppressLineNumbers w:val="0"/>
              <w:spacing w:before="0" w:beforeAutospacing="0" w:after="0" w:afterAutospacing="0"/>
              <w:ind w:left="0" w:right="0"/>
              <w:jc w:val="center"/>
              <w:rPr>
                <w:rFonts w:hint="default" w:ascii="宋体" w:hAnsi="宋体" w:cs="宋体"/>
                <w:szCs w:val="21"/>
              </w:rPr>
            </w:pPr>
          </w:p>
        </w:tc>
      </w:tr>
      <w:tr w14:paraId="5D60D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28" w:type="dxa"/>
            <w:tcBorders>
              <w:top w:val="single" w:color="auto" w:sz="4" w:space="0"/>
              <w:left w:val="single" w:color="auto" w:sz="4" w:space="0"/>
              <w:bottom w:val="single" w:color="auto" w:sz="4" w:space="0"/>
              <w:right w:val="single" w:color="auto" w:sz="4" w:space="0"/>
            </w:tcBorders>
            <w:shd w:val="clear" w:color="auto" w:fill="auto"/>
            <w:vAlign w:val="center"/>
          </w:tcPr>
          <w:p w14:paraId="4E6E7A82">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lang w:bidi="ar"/>
              </w:rPr>
              <w:t>2</w:t>
            </w:r>
          </w:p>
        </w:tc>
        <w:tc>
          <w:tcPr>
            <w:tcW w:w="22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F15BD3">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lang w:bidi="ar"/>
              </w:rPr>
              <w:t>项目投标授权代表人</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14:paraId="674C6756">
            <w:pPr>
              <w:keepNext w:val="0"/>
              <w:keepLines w:val="0"/>
              <w:suppressLineNumbers w:val="0"/>
              <w:spacing w:before="0" w:beforeAutospacing="0" w:after="0" w:afterAutospacing="0"/>
              <w:ind w:left="0" w:right="0"/>
              <w:jc w:val="center"/>
              <w:rPr>
                <w:rFonts w:hint="default" w:ascii="宋体" w:hAnsi="宋体" w:cs="宋体"/>
                <w:szCs w:val="21"/>
              </w:rPr>
            </w:pPr>
          </w:p>
        </w:tc>
        <w:tc>
          <w:tcPr>
            <w:tcW w:w="197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A851CF">
            <w:pPr>
              <w:keepNext w:val="0"/>
              <w:keepLines w:val="0"/>
              <w:suppressLineNumbers w:val="0"/>
              <w:spacing w:before="0" w:beforeAutospacing="0" w:after="0" w:afterAutospacing="0"/>
              <w:ind w:left="0" w:right="0"/>
              <w:jc w:val="center"/>
              <w:rPr>
                <w:rFonts w:hint="default" w:ascii="宋体" w:hAnsi="宋体" w:cs="宋体"/>
                <w:szCs w:val="21"/>
              </w:rPr>
            </w:pPr>
          </w:p>
        </w:tc>
        <w:tc>
          <w:tcPr>
            <w:tcW w:w="1486" w:type="dxa"/>
            <w:tcBorders>
              <w:top w:val="single" w:color="auto" w:sz="4" w:space="0"/>
              <w:left w:val="single" w:color="auto" w:sz="4" w:space="0"/>
              <w:bottom w:val="single" w:color="auto" w:sz="4" w:space="0"/>
              <w:right w:val="single" w:color="auto" w:sz="4" w:space="0"/>
            </w:tcBorders>
            <w:shd w:val="clear" w:color="auto" w:fill="auto"/>
            <w:vAlign w:val="center"/>
          </w:tcPr>
          <w:p w14:paraId="0603C6EE">
            <w:pPr>
              <w:keepNext w:val="0"/>
              <w:keepLines w:val="0"/>
              <w:suppressLineNumbers w:val="0"/>
              <w:spacing w:before="0" w:beforeAutospacing="0" w:after="0" w:afterAutospacing="0"/>
              <w:ind w:left="0" w:right="0"/>
              <w:jc w:val="center"/>
              <w:rPr>
                <w:rFonts w:hint="default" w:ascii="宋体" w:hAnsi="宋体" w:cs="宋体"/>
                <w:szCs w:val="21"/>
              </w:rPr>
            </w:pPr>
          </w:p>
        </w:tc>
        <w:tc>
          <w:tcPr>
            <w:tcW w:w="1472" w:type="dxa"/>
            <w:tcBorders>
              <w:top w:val="single" w:color="auto" w:sz="4" w:space="0"/>
              <w:left w:val="single" w:color="auto" w:sz="4" w:space="0"/>
              <w:bottom w:val="single" w:color="auto" w:sz="4" w:space="0"/>
              <w:right w:val="single" w:color="auto" w:sz="4" w:space="0"/>
            </w:tcBorders>
            <w:shd w:val="clear" w:color="auto" w:fill="auto"/>
            <w:vAlign w:val="center"/>
          </w:tcPr>
          <w:p w14:paraId="105BF3DF">
            <w:pPr>
              <w:keepNext w:val="0"/>
              <w:keepLines w:val="0"/>
              <w:suppressLineNumbers w:val="0"/>
              <w:spacing w:before="0" w:beforeAutospacing="0" w:after="0" w:afterAutospacing="0"/>
              <w:ind w:left="0" w:right="0"/>
              <w:jc w:val="center"/>
              <w:rPr>
                <w:rFonts w:hint="default" w:ascii="宋体" w:hAnsi="宋体" w:cs="宋体"/>
                <w:szCs w:val="21"/>
              </w:rPr>
            </w:pPr>
          </w:p>
        </w:tc>
      </w:tr>
      <w:tr w14:paraId="55025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28" w:type="dxa"/>
            <w:tcBorders>
              <w:top w:val="single" w:color="auto" w:sz="4" w:space="0"/>
              <w:left w:val="single" w:color="auto" w:sz="4" w:space="0"/>
              <w:bottom w:val="single" w:color="auto" w:sz="4" w:space="0"/>
              <w:right w:val="single" w:color="auto" w:sz="4" w:space="0"/>
            </w:tcBorders>
            <w:shd w:val="clear" w:color="auto" w:fill="auto"/>
            <w:vAlign w:val="center"/>
          </w:tcPr>
          <w:p w14:paraId="4D9BBFA8">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lang w:bidi="ar"/>
              </w:rPr>
              <w:t>3</w:t>
            </w:r>
          </w:p>
        </w:tc>
        <w:tc>
          <w:tcPr>
            <w:tcW w:w="22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2F05B3">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lang w:bidi="ar"/>
              </w:rPr>
              <w:t>项目负责人</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14:paraId="7A75507A">
            <w:pPr>
              <w:keepNext w:val="0"/>
              <w:keepLines w:val="0"/>
              <w:suppressLineNumbers w:val="0"/>
              <w:spacing w:before="0" w:beforeAutospacing="0" w:after="0" w:afterAutospacing="0"/>
              <w:ind w:left="0" w:right="0"/>
              <w:jc w:val="center"/>
              <w:rPr>
                <w:rFonts w:hint="default" w:ascii="宋体" w:hAnsi="宋体" w:cs="宋体"/>
                <w:szCs w:val="21"/>
              </w:rPr>
            </w:pPr>
          </w:p>
        </w:tc>
        <w:tc>
          <w:tcPr>
            <w:tcW w:w="197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4B26B5">
            <w:pPr>
              <w:keepNext w:val="0"/>
              <w:keepLines w:val="0"/>
              <w:suppressLineNumbers w:val="0"/>
              <w:spacing w:before="0" w:beforeAutospacing="0" w:after="0" w:afterAutospacing="0"/>
              <w:ind w:left="0" w:right="0"/>
              <w:jc w:val="center"/>
              <w:rPr>
                <w:rFonts w:hint="default" w:ascii="宋体" w:hAnsi="宋体" w:cs="宋体"/>
                <w:szCs w:val="21"/>
              </w:rPr>
            </w:pPr>
          </w:p>
        </w:tc>
        <w:tc>
          <w:tcPr>
            <w:tcW w:w="1486" w:type="dxa"/>
            <w:tcBorders>
              <w:top w:val="single" w:color="auto" w:sz="4" w:space="0"/>
              <w:left w:val="single" w:color="auto" w:sz="4" w:space="0"/>
              <w:bottom w:val="single" w:color="auto" w:sz="4" w:space="0"/>
              <w:right w:val="single" w:color="auto" w:sz="4" w:space="0"/>
            </w:tcBorders>
            <w:shd w:val="clear" w:color="auto" w:fill="auto"/>
            <w:vAlign w:val="center"/>
          </w:tcPr>
          <w:p w14:paraId="4A7DF8C6">
            <w:pPr>
              <w:keepNext w:val="0"/>
              <w:keepLines w:val="0"/>
              <w:suppressLineNumbers w:val="0"/>
              <w:spacing w:before="0" w:beforeAutospacing="0" w:after="0" w:afterAutospacing="0"/>
              <w:ind w:left="0" w:right="0"/>
              <w:jc w:val="center"/>
              <w:rPr>
                <w:rFonts w:hint="default" w:ascii="宋体" w:hAnsi="宋体" w:cs="宋体"/>
                <w:szCs w:val="21"/>
              </w:rPr>
            </w:pPr>
          </w:p>
        </w:tc>
        <w:tc>
          <w:tcPr>
            <w:tcW w:w="1472" w:type="dxa"/>
            <w:tcBorders>
              <w:top w:val="single" w:color="auto" w:sz="4" w:space="0"/>
              <w:left w:val="single" w:color="auto" w:sz="4" w:space="0"/>
              <w:bottom w:val="single" w:color="auto" w:sz="4" w:space="0"/>
              <w:right w:val="single" w:color="auto" w:sz="4" w:space="0"/>
            </w:tcBorders>
            <w:shd w:val="clear" w:color="auto" w:fill="auto"/>
            <w:vAlign w:val="center"/>
          </w:tcPr>
          <w:p w14:paraId="008E1768">
            <w:pPr>
              <w:keepNext w:val="0"/>
              <w:keepLines w:val="0"/>
              <w:suppressLineNumbers w:val="0"/>
              <w:spacing w:before="0" w:beforeAutospacing="0" w:after="0" w:afterAutospacing="0"/>
              <w:ind w:left="0" w:right="0"/>
              <w:jc w:val="center"/>
              <w:rPr>
                <w:rFonts w:hint="default" w:ascii="宋体" w:hAnsi="宋体" w:cs="宋体"/>
                <w:szCs w:val="21"/>
              </w:rPr>
            </w:pPr>
          </w:p>
        </w:tc>
      </w:tr>
      <w:tr w14:paraId="3F028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28" w:type="dxa"/>
            <w:tcBorders>
              <w:top w:val="single" w:color="auto" w:sz="4" w:space="0"/>
              <w:left w:val="single" w:color="auto" w:sz="4" w:space="0"/>
              <w:bottom w:val="single" w:color="auto" w:sz="4" w:space="0"/>
              <w:right w:val="single" w:color="auto" w:sz="4" w:space="0"/>
            </w:tcBorders>
            <w:shd w:val="clear" w:color="auto" w:fill="auto"/>
            <w:vAlign w:val="center"/>
          </w:tcPr>
          <w:p w14:paraId="6581BE81">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lang w:bidi="ar"/>
              </w:rPr>
              <w:t>4</w:t>
            </w:r>
          </w:p>
        </w:tc>
        <w:tc>
          <w:tcPr>
            <w:tcW w:w="22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B1AB57">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lang w:bidi="ar"/>
              </w:rPr>
              <w:t>主要技术人员</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14:paraId="27F1EE48">
            <w:pPr>
              <w:keepNext w:val="0"/>
              <w:keepLines w:val="0"/>
              <w:suppressLineNumbers w:val="0"/>
              <w:spacing w:before="0" w:beforeAutospacing="0" w:after="0" w:afterAutospacing="0"/>
              <w:ind w:left="0" w:right="0"/>
              <w:jc w:val="center"/>
              <w:rPr>
                <w:rFonts w:hint="default" w:ascii="宋体" w:hAnsi="宋体" w:cs="宋体"/>
                <w:szCs w:val="21"/>
              </w:rPr>
            </w:pPr>
          </w:p>
        </w:tc>
        <w:tc>
          <w:tcPr>
            <w:tcW w:w="197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0ED035">
            <w:pPr>
              <w:keepNext w:val="0"/>
              <w:keepLines w:val="0"/>
              <w:suppressLineNumbers w:val="0"/>
              <w:spacing w:before="0" w:beforeAutospacing="0" w:after="0" w:afterAutospacing="0"/>
              <w:ind w:left="0" w:right="0"/>
              <w:jc w:val="center"/>
              <w:rPr>
                <w:rFonts w:hint="default" w:ascii="宋体" w:hAnsi="宋体" w:cs="宋体"/>
                <w:szCs w:val="21"/>
              </w:rPr>
            </w:pPr>
          </w:p>
        </w:tc>
        <w:tc>
          <w:tcPr>
            <w:tcW w:w="1486" w:type="dxa"/>
            <w:tcBorders>
              <w:top w:val="single" w:color="auto" w:sz="4" w:space="0"/>
              <w:left w:val="single" w:color="auto" w:sz="4" w:space="0"/>
              <w:bottom w:val="single" w:color="auto" w:sz="4" w:space="0"/>
              <w:right w:val="single" w:color="auto" w:sz="4" w:space="0"/>
            </w:tcBorders>
            <w:shd w:val="clear" w:color="auto" w:fill="auto"/>
            <w:vAlign w:val="center"/>
          </w:tcPr>
          <w:p w14:paraId="7D40863C">
            <w:pPr>
              <w:keepNext w:val="0"/>
              <w:keepLines w:val="0"/>
              <w:suppressLineNumbers w:val="0"/>
              <w:spacing w:before="0" w:beforeAutospacing="0" w:after="0" w:afterAutospacing="0"/>
              <w:ind w:left="0" w:right="0"/>
              <w:jc w:val="center"/>
              <w:rPr>
                <w:rFonts w:hint="default" w:ascii="宋体" w:hAnsi="宋体" w:cs="宋体"/>
                <w:szCs w:val="21"/>
              </w:rPr>
            </w:pPr>
          </w:p>
        </w:tc>
        <w:tc>
          <w:tcPr>
            <w:tcW w:w="1472" w:type="dxa"/>
            <w:tcBorders>
              <w:top w:val="single" w:color="auto" w:sz="4" w:space="0"/>
              <w:left w:val="single" w:color="auto" w:sz="4" w:space="0"/>
              <w:bottom w:val="single" w:color="auto" w:sz="4" w:space="0"/>
              <w:right w:val="single" w:color="auto" w:sz="4" w:space="0"/>
            </w:tcBorders>
            <w:shd w:val="clear" w:color="auto" w:fill="auto"/>
            <w:vAlign w:val="center"/>
          </w:tcPr>
          <w:p w14:paraId="390AAF89">
            <w:pPr>
              <w:keepNext w:val="0"/>
              <w:keepLines w:val="0"/>
              <w:suppressLineNumbers w:val="0"/>
              <w:spacing w:before="0" w:beforeAutospacing="0" w:after="0" w:afterAutospacing="0"/>
              <w:ind w:left="0" w:right="0"/>
              <w:jc w:val="center"/>
              <w:rPr>
                <w:rFonts w:hint="default" w:ascii="宋体" w:hAnsi="宋体" w:cs="宋体"/>
                <w:szCs w:val="21"/>
              </w:rPr>
            </w:pPr>
          </w:p>
        </w:tc>
      </w:tr>
      <w:tr w14:paraId="7E131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28" w:type="dxa"/>
            <w:tcBorders>
              <w:top w:val="single" w:color="auto" w:sz="4" w:space="0"/>
              <w:left w:val="single" w:color="auto" w:sz="4" w:space="0"/>
              <w:bottom w:val="single" w:color="auto" w:sz="4" w:space="0"/>
              <w:right w:val="single" w:color="auto" w:sz="4" w:space="0"/>
            </w:tcBorders>
            <w:shd w:val="clear" w:color="auto" w:fill="auto"/>
            <w:vAlign w:val="center"/>
          </w:tcPr>
          <w:p w14:paraId="1D596305">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lang w:bidi="ar"/>
              </w:rPr>
              <w:t>5</w:t>
            </w:r>
          </w:p>
        </w:tc>
        <w:tc>
          <w:tcPr>
            <w:tcW w:w="22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4B80D4">
            <w:pPr>
              <w:pStyle w:val="38"/>
              <w:keepNext w:val="0"/>
              <w:keepLines w:val="0"/>
              <w:suppressLineNumbers w:val="0"/>
              <w:snapToGrid w:val="0"/>
              <w:spacing w:before="0" w:beforeAutospacing="0" w:after="0" w:afterAutospacing="0"/>
              <w:ind w:left="0" w:right="0"/>
              <w:jc w:val="center"/>
              <w:rPr>
                <w:rFonts w:hint="default" w:ascii="宋体" w:hAnsi="宋体" w:cs="宋体"/>
                <w:sz w:val="21"/>
                <w:szCs w:val="21"/>
              </w:rPr>
            </w:pPr>
            <w:r>
              <w:rPr>
                <w:rFonts w:hint="eastAsia" w:ascii="宋体" w:hAnsi="宋体" w:cs="宋体"/>
                <w:kern w:val="2"/>
                <w:sz w:val="21"/>
                <w:szCs w:val="21"/>
                <w:lang w:bidi="ar"/>
              </w:rPr>
              <w:t>投标文件编制人员</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14:paraId="63EC28AB">
            <w:pPr>
              <w:keepNext w:val="0"/>
              <w:keepLines w:val="0"/>
              <w:suppressLineNumbers w:val="0"/>
              <w:spacing w:before="0" w:beforeAutospacing="0" w:after="0" w:afterAutospacing="0"/>
              <w:ind w:left="0" w:right="0"/>
              <w:jc w:val="center"/>
              <w:rPr>
                <w:rFonts w:hint="default" w:ascii="宋体" w:hAnsi="宋体" w:cs="宋体"/>
                <w:szCs w:val="21"/>
              </w:rPr>
            </w:pPr>
          </w:p>
        </w:tc>
        <w:tc>
          <w:tcPr>
            <w:tcW w:w="197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E82410">
            <w:pPr>
              <w:keepNext w:val="0"/>
              <w:keepLines w:val="0"/>
              <w:suppressLineNumbers w:val="0"/>
              <w:spacing w:before="0" w:beforeAutospacing="0" w:after="0" w:afterAutospacing="0"/>
              <w:ind w:left="0" w:right="0"/>
              <w:jc w:val="center"/>
              <w:rPr>
                <w:rFonts w:hint="default" w:ascii="宋体" w:hAnsi="宋体" w:cs="宋体"/>
                <w:szCs w:val="21"/>
              </w:rPr>
            </w:pPr>
          </w:p>
        </w:tc>
        <w:tc>
          <w:tcPr>
            <w:tcW w:w="1486" w:type="dxa"/>
            <w:tcBorders>
              <w:top w:val="single" w:color="auto" w:sz="4" w:space="0"/>
              <w:left w:val="single" w:color="auto" w:sz="4" w:space="0"/>
              <w:bottom w:val="single" w:color="auto" w:sz="4" w:space="0"/>
              <w:right w:val="single" w:color="auto" w:sz="4" w:space="0"/>
            </w:tcBorders>
            <w:shd w:val="clear" w:color="auto" w:fill="auto"/>
            <w:vAlign w:val="center"/>
          </w:tcPr>
          <w:p w14:paraId="54FA7068">
            <w:pPr>
              <w:keepNext w:val="0"/>
              <w:keepLines w:val="0"/>
              <w:suppressLineNumbers w:val="0"/>
              <w:spacing w:before="0" w:beforeAutospacing="0" w:after="0" w:afterAutospacing="0"/>
              <w:ind w:left="0" w:right="0"/>
              <w:jc w:val="center"/>
              <w:rPr>
                <w:rFonts w:hint="default" w:ascii="宋体" w:hAnsi="宋体" w:cs="宋体"/>
                <w:szCs w:val="21"/>
              </w:rPr>
            </w:pPr>
          </w:p>
        </w:tc>
        <w:tc>
          <w:tcPr>
            <w:tcW w:w="1472" w:type="dxa"/>
            <w:tcBorders>
              <w:top w:val="single" w:color="auto" w:sz="4" w:space="0"/>
              <w:left w:val="single" w:color="auto" w:sz="4" w:space="0"/>
              <w:bottom w:val="single" w:color="auto" w:sz="4" w:space="0"/>
              <w:right w:val="single" w:color="auto" w:sz="4" w:space="0"/>
            </w:tcBorders>
            <w:shd w:val="clear" w:color="auto" w:fill="auto"/>
            <w:vAlign w:val="center"/>
          </w:tcPr>
          <w:p w14:paraId="48DC0C0A">
            <w:pPr>
              <w:keepNext w:val="0"/>
              <w:keepLines w:val="0"/>
              <w:suppressLineNumbers w:val="0"/>
              <w:spacing w:before="0" w:beforeAutospacing="0" w:after="0" w:afterAutospacing="0"/>
              <w:ind w:left="0" w:right="0"/>
              <w:jc w:val="center"/>
              <w:rPr>
                <w:rFonts w:hint="default" w:ascii="宋体" w:hAnsi="宋体" w:cs="宋体"/>
                <w:szCs w:val="21"/>
              </w:rPr>
            </w:pPr>
          </w:p>
        </w:tc>
      </w:tr>
      <w:tr w14:paraId="25A5B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858"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8268BA2">
            <w:pPr>
              <w:keepNext w:val="0"/>
              <w:keepLines w:val="0"/>
              <w:suppressLineNumbers w:val="0"/>
              <w:spacing w:before="0" w:beforeAutospacing="0" w:after="0" w:afterAutospacing="0"/>
              <w:ind w:left="0" w:right="0"/>
              <w:jc w:val="left"/>
              <w:rPr>
                <w:rFonts w:hint="default" w:ascii="宋体" w:hAnsi="宋体" w:cs="宋体"/>
                <w:szCs w:val="21"/>
              </w:rPr>
            </w:pPr>
            <w:r>
              <w:rPr>
                <w:rFonts w:hint="eastAsia" w:ascii="宋体" w:hAnsi="宋体" w:cs="宋体"/>
                <w:b/>
                <w:bCs/>
                <w:szCs w:val="21"/>
                <w:lang w:bidi="ar"/>
              </w:rPr>
              <w:t>说明：同一职务有多人担任（如主要技术人员），应分行填写。</w:t>
            </w:r>
          </w:p>
        </w:tc>
      </w:tr>
      <w:tr w14:paraId="00EFD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8858"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5E56DE6">
            <w:pPr>
              <w:keepNext w:val="0"/>
              <w:keepLines w:val="0"/>
              <w:suppressLineNumbers w:val="0"/>
              <w:spacing w:before="0" w:beforeAutospacing="0" w:after="0" w:afterAutospacing="0"/>
              <w:ind w:left="0" w:right="0"/>
              <w:jc w:val="center"/>
              <w:rPr>
                <w:rFonts w:hint="default" w:ascii="宋体" w:hAnsi="宋体" w:cs="宋体"/>
                <w:b/>
                <w:bCs/>
                <w:szCs w:val="21"/>
              </w:rPr>
            </w:pPr>
            <w:r>
              <w:rPr>
                <w:rFonts w:hint="eastAsia" w:ascii="宋体" w:hAnsi="宋体" w:cs="宋体"/>
                <w:b/>
                <w:bCs/>
                <w:szCs w:val="21"/>
                <w:lang w:bidi="ar"/>
              </w:rPr>
              <w:t>投标（响应）供应商关联关系情况</w:t>
            </w:r>
          </w:p>
        </w:tc>
      </w:tr>
      <w:tr w14:paraId="1EDAD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28" w:type="dxa"/>
            <w:tcBorders>
              <w:top w:val="single" w:color="auto" w:sz="4" w:space="0"/>
              <w:left w:val="single" w:color="auto" w:sz="4" w:space="0"/>
              <w:bottom w:val="single" w:color="auto" w:sz="4" w:space="0"/>
              <w:right w:val="single" w:color="auto" w:sz="4" w:space="0"/>
            </w:tcBorders>
            <w:shd w:val="clear" w:color="auto" w:fill="auto"/>
            <w:vAlign w:val="center"/>
          </w:tcPr>
          <w:p w14:paraId="7296F478">
            <w:pPr>
              <w:keepNext w:val="0"/>
              <w:keepLines w:val="0"/>
              <w:suppressLineNumbers w:val="0"/>
              <w:spacing w:before="0" w:beforeAutospacing="0" w:after="0" w:afterAutospacing="0"/>
              <w:ind w:left="0" w:right="0"/>
              <w:jc w:val="center"/>
              <w:rPr>
                <w:rFonts w:hint="default" w:ascii="宋体" w:hAnsi="宋体" w:cs="宋体"/>
                <w:szCs w:val="21"/>
                <w:lang w:bidi="ar"/>
              </w:rPr>
            </w:pPr>
            <w:r>
              <w:rPr>
                <w:rFonts w:hint="eastAsia" w:ascii="宋体" w:hAnsi="宋体" w:cs="宋体"/>
                <w:szCs w:val="21"/>
                <w:lang w:bidi="ar"/>
              </w:rPr>
              <w:t>序号</w:t>
            </w:r>
          </w:p>
        </w:tc>
        <w:tc>
          <w:tcPr>
            <w:tcW w:w="22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D42415">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lang w:bidi="ar"/>
              </w:rPr>
              <w:t>关联关系类型</w:t>
            </w:r>
          </w:p>
        </w:tc>
        <w:tc>
          <w:tcPr>
            <w:tcW w:w="17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CBACCD">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lang w:bidi="ar"/>
              </w:rPr>
              <w:t>关联主体名称</w:t>
            </w:r>
          </w:p>
        </w:tc>
        <w:tc>
          <w:tcPr>
            <w:tcW w:w="414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2A142FF">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lang w:bidi="ar"/>
              </w:rPr>
              <w:t>备注</w:t>
            </w:r>
          </w:p>
        </w:tc>
      </w:tr>
      <w:tr w14:paraId="6466F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trPr>
        <w:tc>
          <w:tcPr>
            <w:tcW w:w="728" w:type="dxa"/>
            <w:tcBorders>
              <w:top w:val="single" w:color="auto" w:sz="4" w:space="0"/>
              <w:left w:val="single" w:color="auto" w:sz="4" w:space="0"/>
              <w:bottom w:val="single" w:color="auto" w:sz="4" w:space="0"/>
              <w:right w:val="single" w:color="auto" w:sz="4" w:space="0"/>
            </w:tcBorders>
            <w:shd w:val="clear" w:color="auto" w:fill="auto"/>
            <w:vAlign w:val="center"/>
          </w:tcPr>
          <w:p w14:paraId="19A58471">
            <w:pPr>
              <w:keepNext w:val="0"/>
              <w:keepLines w:val="0"/>
              <w:suppressLineNumbers w:val="0"/>
              <w:spacing w:before="0" w:beforeAutospacing="0" w:after="0" w:afterAutospacing="0"/>
              <w:ind w:left="0" w:right="0"/>
              <w:jc w:val="center"/>
              <w:rPr>
                <w:rFonts w:hint="default" w:ascii="宋体" w:hAnsi="宋体" w:cs="宋体"/>
                <w:szCs w:val="21"/>
                <w:lang w:bidi="ar"/>
              </w:rPr>
            </w:pPr>
            <w:r>
              <w:rPr>
                <w:rFonts w:hint="eastAsia" w:ascii="宋体" w:hAnsi="宋体" w:cs="宋体"/>
                <w:szCs w:val="21"/>
                <w:lang w:bidi="ar"/>
              </w:rPr>
              <w:t>1</w:t>
            </w:r>
          </w:p>
        </w:tc>
        <w:tc>
          <w:tcPr>
            <w:tcW w:w="22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1E6783">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lang w:bidi="ar"/>
              </w:rPr>
              <w:t>控股股东</w:t>
            </w:r>
          </w:p>
        </w:tc>
        <w:tc>
          <w:tcPr>
            <w:tcW w:w="17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A941AE">
            <w:pPr>
              <w:keepNext w:val="0"/>
              <w:keepLines w:val="0"/>
              <w:suppressLineNumbers w:val="0"/>
              <w:spacing w:before="0" w:beforeAutospacing="0" w:after="0" w:afterAutospacing="0"/>
              <w:ind w:left="0" w:right="0"/>
              <w:jc w:val="center"/>
              <w:rPr>
                <w:rFonts w:hint="default" w:ascii="宋体" w:hAnsi="宋体" w:cs="宋体"/>
                <w:szCs w:val="21"/>
              </w:rPr>
            </w:pPr>
          </w:p>
        </w:tc>
        <w:tc>
          <w:tcPr>
            <w:tcW w:w="414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F61BE8F">
            <w:pPr>
              <w:keepNext w:val="0"/>
              <w:keepLines w:val="0"/>
              <w:suppressLineNumbers w:val="0"/>
              <w:snapToGrid w:val="0"/>
              <w:spacing w:before="0" w:beforeAutospacing="0" w:after="0" w:afterAutospacing="0"/>
              <w:ind w:left="0" w:right="0"/>
              <w:jc w:val="left"/>
              <w:rPr>
                <w:rFonts w:hint="default" w:ascii="宋体" w:hAnsi="宋体" w:cs="宋体"/>
                <w:szCs w:val="21"/>
              </w:rPr>
            </w:pPr>
            <w:r>
              <w:rPr>
                <w:rFonts w:hint="eastAsia" w:ascii="宋体" w:hAnsi="宋体" w:cs="宋体"/>
                <w:szCs w:val="21"/>
                <w:lang w:bidi="ar"/>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14:paraId="5FBE5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3" w:hRule="atLeast"/>
        </w:trPr>
        <w:tc>
          <w:tcPr>
            <w:tcW w:w="728" w:type="dxa"/>
            <w:tcBorders>
              <w:top w:val="single" w:color="auto" w:sz="4" w:space="0"/>
              <w:left w:val="single" w:color="auto" w:sz="4" w:space="0"/>
              <w:bottom w:val="single" w:color="auto" w:sz="4" w:space="0"/>
              <w:right w:val="single" w:color="auto" w:sz="4" w:space="0"/>
            </w:tcBorders>
            <w:shd w:val="clear" w:color="auto" w:fill="auto"/>
            <w:vAlign w:val="center"/>
          </w:tcPr>
          <w:p w14:paraId="70A45CA1">
            <w:pPr>
              <w:keepNext w:val="0"/>
              <w:keepLines w:val="0"/>
              <w:suppressLineNumbers w:val="0"/>
              <w:spacing w:before="0" w:beforeAutospacing="0" w:after="0" w:afterAutospacing="0"/>
              <w:ind w:left="0" w:right="0"/>
              <w:jc w:val="center"/>
              <w:rPr>
                <w:rFonts w:hint="default" w:ascii="宋体" w:hAnsi="宋体" w:cs="宋体"/>
                <w:szCs w:val="21"/>
                <w:lang w:bidi="ar"/>
              </w:rPr>
            </w:pPr>
            <w:r>
              <w:rPr>
                <w:rFonts w:hint="eastAsia" w:ascii="宋体" w:hAnsi="宋体" w:cs="宋体"/>
                <w:szCs w:val="21"/>
                <w:lang w:bidi="ar"/>
              </w:rPr>
              <w:t>2</w:t>
            </w:r>
          </w:p>
        </w:tc>
        <w:tc>
          <w:tcPr>
            <w:tcW w:w="22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1A1A4F">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lang w:bidi="ar"/>
              </w:rPr>
              <w:t>管理关系</w:t>
            </w:r>
          </w:p>
        </w:tc>
        <w:tc>
          <w:tcPr>
            <w:tcW w:w="17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3AC966">
            <w:pPr>
              <w:keepNext w:val="0"/>
              <w:keepLines w:val="0"/>
              <w:suppressLineNumbers w:val="0"/>
              <w:spacing w:before="0" w:beforeAutospacing="0" w:after="0" w:afterAutospacing="0"/>
              <w:ind w:left="0" w:right="0"/>
              <w:jc w:val="center"/>
              <w:rPr>
                <w:rFonts w:hint="default" w:ascii="宋体" w:hAnsi="宋体" w:cs="宋体"/>
                <w:szCs w:val="21"/>
              </w:rPr>
            </w:pPr>
          </w:p>
        </w:tc>
        <w:tc>
          <w:tcPr>
            <w:tcW w:w="414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7061114">
            <w:pPr>
              <w:keepNext w:val="0"/>
              <w:keepLines w:val="0"/>
              <w:suppressLineNumbers w:val="0"/>
              <w:snapToGrid w:val="0"/>
              <w:spacing w:before="0" w:beforeAutospacing="0" w:after="0" w:afterAutospacing="0"/>
              <w:ind w:left="0" w:right="0"/>
              <w:jc w:val="left"/>
              <w:rPr>
                <w:rFonts w:hint="default" w:ascii="宋体" w:hAnsi="宋体" w:cs="宋体"/>
                <w:szCs w:val="21"/>
              </w:rPr>
            </w:pPr>
            <w:r>
              <w:rPr>
                <w:rFonts w:hint="eastAsia" w:ascii="宋体" w:hAnsi="宋体" w:cs="宋体"/>
                <w:szCs w:val="21"/>
                <w:lang w:bidi="ar"/>
              </w:rPr>
              <w:t>指对投标（响应）供应商不具有出资持股关系，但对其存在管理关系的主体。</w:t>
            </w:r>
          </w:p>
        </w:tc>
      </w:tr>
      <w:tr w14:paraId="79D33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8858"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EF15EA9">
            <w:pPr>
              <w:keepNext w:val="0"/>
              <w:keepLines w:val="0"/>
              <w:suppressLineNumbers w:val="0"/>
              <w:snapToGrid w:val="0"/>
              <w:spacing w:before="0" w:beforeAutospacing="0" w:after="0" w:afterAutospacing="0"/>
              <w:ind w:left="0" w:right="0"/>
              <w:jc w:val="left"/>
              <w:rPr>
                <w:rFonts w:hint="default" w:ascii="宋体" w:hAnsi="宋体" w:cs="宋体"/>
                <w:szCs w:val="21"/>
              </w:rPr>
            </w:pPr>
            <w:r>
              <w:rPr>
                <w:rFonts w:hint="eastAsia" w:ascii="宋体" w:hAnsi="宋体" w:cs="宋体"/>
                <w:b/>
                <w:bCs/>
                <w:szCs w:val="21"/>
                <w:lang w:bidi="ar"/>
              </w:rPr>
              <w:t>说明：同一关联关系类型有多个主体的，应分行填写。</w:t>
            </w:r>
          </w:p>
        </w:tc>
      </w:tr>
    </w:tbl>
    <w:p w14:paraId="088248BC"/>
    <w:p w14:paraId="0124B297">
      <w:pPr>
        <w:rPr>
          <w:rFonts w:ascii="黑体" w:eastAsia="黑体"/>
          <w:sz w:val="24"/>
        </w:rPr>
      </w:pPr>
      <w:r>
        <w:rPr>
          <w:rFonts w:hint="eastAsia" w:ascii="黑体" w:eastAsia="黑体"/>
          <w:sz w:val="24"/>
        </w:rPr>
        <w:br w:type="page"/>
      </w:r>
    </w:p>
    <w:p w14:paraId="6559F9D8">
      <w:pPr>
        <w:pStyle w:val="3"/>
        <w:jc w:val="center"/>
        <w:rPr>
          <w:rFonts w:ascii="黑体" w:eastAsia="黑体"/>
          <w:b w:val="0"/>
          <w:sz w:val="24"/>
        </w:rPr>
      </w:pPr>
      <w:r>
        <w:rPr>
          <w:rFonts w:hint="eastAsia" w:ascii="黑体" w:eastAsia="黑体"/>
          <w:b w:val="0"/>
          <w:sz w:val="24"/>
          <w:lang w:val="en-US" w:eastAsia="zh-CN"/>
        </w:rPr>
        <w:t>七</w:t>
      </w:r>
      <w:r>
        <w:rPr>
          <w:rFonts w:hint="eastAsia" w:ascii="黑体" w:eastAsia="黑体"/>
          <w:b w:val="0"/>
          <w:sz w:val="24"/>
        </w:rPr>
        <w:t>、</w:t>
      </w:r>
      <w:bookmarkStart w:id="90" w:name="_Hlk72092499"/>
      <w:r>
        <w:rPr>
          <w:rFonts w:hint="eastAsia" w:ascii="黑体" w:eastAsia="黑体"/>
          <w:b w:val="0"/>
          <w:sz w:val="24"/>
        </w:rPr>
        <w:t>法定代表人（负责人）证明书</w:t>
      </w:r>
      <w:bookmarkEnd w:id="90"/>
    </w:p>
    <w:p w14:paraId="0423D4E4">
      <w:pPr>
        <w:rPr>
          <w:sz w:val="24"/>
        </w:rPr>
      </w:pPr>
    </w:p>
    <w:p w14:paraId="440C0C87">
      <w:pPr>
        <w:spacing w:line="360" w:lineRule="auto"/>
        <w:ind w:firstLine="420" w:firstLineChars="200"/>
        <w:rPr>
          <w:szCs w:val="21"/>
        </w:rPr>
      </w:pPr>
      <w:r>
        <w:rPr>
          <w:rFonts w:hint="eastAsia"/>
          <w:szCs w:val="21"/>
          <w:u w:val="single"/>
        </w:rPr>
        <w:t xml:space="preserve">                 </w:t>
      </w:r>
      <w:r>
        <w:rPr>
          <w:rFonts w:hint="eastAsia"/>
          <w:szCs w:val="21"/>
        </w:rPr>
        <w:t>（姓名），现任我单位</w:t>
      </w:r>
      <w:r>
        <w:rPr>
          <w:rFonts w:hint="eastAsia"/>
          <w:szCs w:val="21"/>
          <w:u w:val="single"/>
        </w:rPr>
        <w:t xml:space="preserve">             </w:t>
      </w:r>
      <w:r>
        <w:rPr>
          <w:rFonts w:hint="eastAsia"/>
          <w:szCs w:val="21"/>
        </w:rPr>
        <w:t>职务，为法定代表人（负责人），身份证件号为：</w:t>
      </w:r>
      <w:r>
        <w:rPr>
          <w:rFonts w:hint="eastAsia"/>
          <w:szCs w:val="21"/>
          <w:u w:val="single"/>
        </w:rPr>
        <w:t xml:space="preserve">                                     </w:t>
      </w:r>
      <w:r>
        <w:rPr>
          <w:rFonts w:hint="eastAsia"/>
          <w:szCs w:val="21"/>
        </w:rPr>
        <w:t>，联系电话：</w:t>
      </w:r>
      <w:r>
        <w:rPr>
          <w:rFonts w:hint="eastAsia"/>
          <w:szCs w:val="21"/>
          <w:u w:val="single"/>
        </w:rPr>
        <w:t xml:space="preserve">                </w:t>
      </w:r>
      <w:r>
        <w:rPr>
          <w:rFonts w:hint="eastAsia"/>
          <w:szCs w:val="21"/>
        </w:rPr>
        <w:t>。</w:t>
      </w:r>
    </w:p>
    <w:p w14:paraId="4822450C">
      <w:pPr>
        <w:spacing w:line="360" w:lineRule="auto"/>
        <w:ind w:firstLine="420" w:firstLineChars="200"/>
        <w:rPr>
          <w:szCs w:val="21"/>
        </w:rPr>
      </w:pPr>
      <w:r>
        <w:rPr>
          <w:rFonts w:hint="eastAsia"/>
          <w:szCs w:val="21"/>
        </w:rPr>
        <w:t>特此证明。</w:t>
      </w:r>
    </w:p>
    <w:p w14:paraId="662AE259">
      <w:pPr>
        <w:spacing w:line="360" w:lineRule="auto"/>
        <w:ind w:firstLine="420" w:firstLineChars="200"/>
        <w:rPr>
          <w:szCs w:val="21"/>
        </w:rPr>
      </w:pPr>
      <w:r>
        <w:rPr>
          <w:rFonts w:hint="eastAsia"/>
          <w:szCs w:val="21"/>
        </w:rPr>
        <w:t>说明：1、法定代表人为投标人（企业事业单位、国家机关、社会团体）的主要行政负责人。</w:t>
      </w:r>
    </w:p>
    <w:p w14:paraId="3889E52B">
      <w:pPr>
        <w:numPr>
          <w:ilvl w:val="0"/>
          <w:numId w:val="9"/>
        </w:numPr>
        <w:spacing w:line="360" w:lineRule="auto"/>
        <w:ind w:firstLine="420" w:firstLineChars="200"/>
        <w:rPr>
          <w:szCs w:val="21"/>
        </w:rPr>
      </w:pPr>
      <w:r>
        <w:rPr>
          <w:rFonts w:hint="eastAsia"/>
          <w:szCs w:val="21"/>
          <w:lang w:eastAsia="zh-Hans"/>
        </w:rPr>
        <w:t>本证明书要供法定代表人（负责人）</w:t>
      </w:r>
      <w:r>
        <w:rPr>
          <w:rFonts w:hint="eastAsia"/>
          <w:szCs w:val="21"/>
        </w:rPr>
        <w:t>相关身份证明文件：身份证扫描件（正反两面）；港澳台居民可提供来往通行证扫描件；非中国国籍管辖范围人员，可提供公安部门认可的身份证明材料扫描件。</w:t>
      </w:r>
    </w:p>
    <w:p w14:paraId="68C4B743">
      <w:pPr>
        <w:numPr>
          <w:ilvl w:val="0"/>
          <w:numId w:val="9"/>
        </w:numPr>
        <w:spacing w:line="360" w:lineRule="auto"/>
        <w:ind w:firstLine="420" w:firstLineChars="200"/>
        <w:rPr>
          <w:szCs w:val="21"/>
        </w:rPr>
      </w:pPr>
      <w:r>
        <w:rPr>
          <w:rFonts w:hint="eastAsia"/>
          <w:szCs w:val="21"/>
          <w:lang w:eastAsia="zh-Hans"/>
        </w:rPr>
        <w:t>本项目投标授权代表为法定代表人（负责人）的，无需提供</w:t>
      </w:r>
      <w:r>
        <w:rPr>
          <w:rFonts w:hint="eastAsia"/>
          <w:szCs w:val="21"/>
        </w:rPr>
        <w:t>《投标文件签署授权委托书》</w:t>
      </w:r>
      <w:r>
        <w:rPr>
          <w:rFonts w:hint="eastAsia"/>
          <w:szCs w:val="21"/>
          <w:lang w:eastAsia="zh-Hans"/>
        </w:rPr>
        <w:t>。</w:t>
      </w:r>
    </w:p>
    <w:p w14:paraId="3A1EB567">
      <w:pPr>
        <w:numPr>
          <w:ilvl w:val="0"/>
          <w:numId w:val="9"/>
        </w:numPr>
        <w:spacing w:line="360" w:lineRule="auto"/>
        <w:ind w:firstLine="420" w:firstLineChars="200"/>
        <w:rPr>
          <w:szCs w:val="21"/>
        </w:rPr>
      </w:pPr>
      <w:r>
        <w:rPr>
          <w:rFonts w:hint="eastAsia"/>
          <w:szCs w:val="21"/>
        </w:rPr>
        <w:t>内容必须填写真实、清楚，涂改无效，不得转让、买卖。</w:t>
      </w:r>
    </w:p>
    <w:tbl>
      <w:tblPr>
        <w:tblStyle w:val="44"/>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5"/>
      </w:tblGrid>
      <w:tr w14:paraId="0DBC6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1" w:hRule="atLeast"/>
        </w:trPr>
        <w:tc>
          <w:tcPr>
            <w:tcW w:w="4264" w:type="dxa"/>
          </w:tcPr>
          <w:p w14:paraId="3E712301">
            <w:pPr>
              <w:keepNext w:val="0"/>
              <w:keepLines w:val="0"/>
              <w:suppressLineNumbers w:val="0"/>
              <w:spacing w:before="0" w:beforeAutospacing="0" w:after="0" w:afterAutospacing="0"/>
              <w:ind w:left="0" w:right="0"/>
              <w:jc w:val="center"/>
              <w:rPr>
                <w:rFonts w:hint="default"/>
              </w:rPr>
            </w:pPr>
            <w:r>
              <w:rPr>
                <w:rFonts w:hint="eastAsia"/>
              </w:rPr>
              <w:t>证件扫描件正面</w:t>
            </w:r>
          </w:p>
          <w:p w14:paraId="34B7F14C">
            <w:pPr>
              <w:pStyle w:val="18"/>
              <w:keepNext w:val="0"/>
              <w:keepLines w:val="0"/>
              <w:suppressLineNumbers w:val="0"/>
              <w:spacing w:before="0" w:beforeAutospacing="0" w:after="0" w:afterAutospacing="0"/>
              <w:ind w:left="0" w:right="0"/>
              <w:jc w:val="center"/>
              <w:rPr>
                <w:rFonts w:hint="default"/>
              </w:rPr>
            </w:pPr>
          </w:p>
          <w:p w14:paraId="61AB0090">
            <w:pPr>
              <w:pStyle w:val="36"/>
              <w:keepNext w:val="0"/>
              <w:keepLines w:val="0"/>
              <w:suppressLineNumbers w:val="0"/>
              <w:spacing w:before="0" w:beforeAutospacing="0" w:after="0" w:afterAutospacing="0"/>
              <w:ind w:left="0" w:right="0"/>
              <w:jc w:val="center"/>
              <w:rPr>
                <w:rFonts w:hint="default"/>
              </w:rPr>
            </w:pPr>
          </w:p>
        </w:tc>
        <w:tc>
          <w:tcPr>
            <w:tcW w:w="4265" w:type="dxa"/>
          </w:tcPr>
          <w:p w14:paraId="79F0A178">
            <w:pPr>
              <w:keepNext w:val="0"/>
              <w:keepLines w:val="0"/>
              <w:suppressLineNumbers w:val="0"/>
              <w:spacing w:before="0" w:beforeAutospacing="0" w:after="0" w:afterAutospacing="0"/>
              <w:ind w:left="0" w:right="0"/>
              <w:jc w:val="center"/>
              <w:rPr>
                <w:rFonts w:hint="default"/>
              </w:rPr>
            </w:pPr>
            <w:r>
              <w:rPr>
                <w:rFonts w:hint="eastAsia"/>
              </w:rPr>
              <w:t>证件扫描件反面</w:t>
            </w:r>
          </w:p>
          <w:p w14:paraId="121E354E">
            <w:pPr>
              <w:pStyle w:val="18"/>
              <w:keepNext w:val="0"/>
              <w:keepLines w:val="0"/>
              <w:suppressLineNumbers w:val="0"/>
              <w:spacing w:before="0" w:beforeAutospacing="0" w:after="0" w:afterAutospacing="0"/>
              <w:ind w:left="0" w:right="0"/>
              <w:jc w:val="center"/>
              <w:rPr>
                <w:rFonts w:hint="default"/>
              </w:rPr>
            </w:pPr>
          </w:p>
          <w:p w14:paraId="246CA578">
            <w:pPr>
              <w:pStyle w:val="36"/>
              <w:keepNext w:val="0"/>
              <w:keepLines w:val="0"/>
              <w:suppressLineNumbers w:val="0"/>
              <w:spacing w:before="0" w:beforeAutospacing="0" w:after="0" w:afterAutospacing="0"/>
              <w:ind w:left="0" w:right="0"/>
              <w:jc w:val="center"/>
              <w:rPr>
                <w:rFonts w:hint="default"/>
              </w:rPr>
            </w:pPr>
          </w:p>
        </w:tc>
      </w:tr>
    </w:tbl>
    <w:p w14:paraId="0DFDC2FD">
      <w:pPr>
        <w:rPr>
          <w:sz w:val="24"/>
        </w:rPr>
      </w:pPr>
    </w:p>
    <w:p w14:paraId="4DBFABCF">
      <w:pPr>
        <w:widowControl/>
        <w:jc w:val="left"/>
        <w:rPr>
          <w:rFonts w:hint="eastAsia"/>
          <w:b/>
          <w:bCs/>
          <w:color w:val="FF0000"/>
          <w:szCs w:val="21"/>
          <w:lang w:eastAsia="zh-Hans"/>
        </w:rPr>
      </w:pPr>
    </w:p>
    <w:p w14:paraId="3DC44E28">
      <w:pPr>
        <w:widowControl/>
        <w:jc w:val="left"/>
        <w:rPr>
          <w:rFonts w:hint="eastAsia"/>
          <w:b/>
          <w:bCs/>
          <w:color w:val="FF0000"/>
          <w:szCs w:val="21"/>
          <w:lang w:eastAsia="zh-Hans"/>
        </w:rPr>
      </w:pPr>
    </w:p>
    <w:p w14:paraId="225A04CE">
      <w:pPr>
        <w:spacing w:line="300" w:lineRule="auto"/>
        <w:ind w:firstLine="5040" w:firstLineChars="2400"/>
        <w:jc w:val="left"/>
        <w:rPr>
          <w:rFonts w:ascii="宋体" w:hAnsi="宋体" w:eastAsia="宋体" w:cs="宋体"/>
          <w:szCs w:val="21"/>
        </w:rPr>
      </w:pPr>
      <w:r>
        <w:rPr>
          <w:rFonts w:hint="eastAsia" w:ascii="宋体" w:hAnsi="宋体" w:eastAsia="宋体" w:cs="宋体"/>
          <w:szCs w:val="21"/>
        </w:rPr>
        <w:t>投标人（公章）：</w:t>
      </w:r>
    </w:p>
    <w:p w14:paraId="3B9418D4">
      <w:pPr>
        <w:spacing w:line="300" w:lineRule="auto"/>
        <w:ind w:firstLine="5040" w:firstLineChars="2400"/>
        <w:jc w:val="left"/>
        <w:rPr>
          <w:rFonts w:ascii="宋体" w:hAnsi="宋体" w:eastAsia="宋体" w:cs="宋体"/>
          <w:szCs w:val="21"/>
        </w:rPr>
      </w:pPr>
      <w:r>
        <w:rPr>
          <w:rFonts w:hint="eastAsia" w:ascii="宋体" w:hAnsi="宋体" w:eastAsia="宋体" w:cs="宋体"/>
          <w:szCs w:val="21"/>
        </w:rPr>
        <w:t>法定代表人签名或签章：</w:t>
      </w:r>
    </w:p>
    <w:p w14:paraId="1A1063AF">
      <w:pPr>
        <w:spacing w:line="300" w:lineRule="auto"/>
        <w:ind w:firstLine="5040" w:firstLineChars="2400"/>
        <w:rPr>
          <w:rFonts w:hint="eastAsia" w:ascii="宋体" w:hAnsi="宋体" w:eastAsia="宋体" w:cs="宋体"/>
          <w:szCs w:val="21"/>
        </w:rPr>
      </w:pPr>
      <w:r>
        <w:rPr>
          <w:rFonts w:hint="eastAsia" w:ascii="宋体" w:hAnsi="宋体" w:eastAsia="宋体" w:cs="宋体"/>
          <w:szCs w:val="21"/>
        </w:rPr>
        <w:t xml:space="preserve">日期：      年    月    日     </w:t>
      </w:r>
    </w:p>
    <w:p w14:paraId="7A73F3C2">
      <w:pPr>
        <w:widowControl/>
        <w:jc w:val="left"/>
        <w:rPr>
          <w:rFonts w:ascii="黑体" w:hAnsi="宋体" w:eastAsia="黑体"/>
          <w:bCs/>
          <w:sz w:val="24"/>
          <w:szCs w:val="32"/>
        </w:rPr>
      </w:pPr>
      <w:r>
        <w:rPr>
          <w:rFonts w:ascii="黑体" w:eastAsia="黑体"/>
          <w:b/>
          <w:sz w:val="24"/>
        </w:rPr>
        <w:br w:type="page"/>
      </w:r>
    </w:p>
    <w:p w14:paraId="54D3AA97">
      <w:pPr>
        <w:pStyle w:val="3"/>
        <w:spacing w:before="120" w:after="120"/>
        <w:jc w:val="center"/>
        <w:rPr>
          <w:rFonts w:ascii="黑体" w:eastAsia="黑体"/>
          <w:b w:val="0"/>
          <w:sz w:val="24"/>
        </w:rPr>
      </w:pPr>
      <w:r>
        <w:rPr>
          <w:rFonts w:hint="eastAsia" w:ascii="黑体" w:eastAsia="黑体"/>
          <w:b w:val="0"/>
          <w:sz w:val="24"/>
          <w:lang w:val="en-US" w:eastAsia="zh-CN"/>
        </w:rPr>
        <w:t>八</w:t>
      </w:r>
      <w:r>
        <w:rPr>
          <w:rFonts w:hint="eastAsia" w:ascii="黑体" w:eastAsia="黑体"/>
          <w:b w:val="0"/>
          <w:sz w:val="24"/>
        </w:rPr>
        <w:t>、投标文件签署授权委托书</w:t>
      </w:r>
    </w:p>
    <w:p w14:paraId="797D4FF5">
      <w:pPr>
        <w:spacing w:line="360" w:lineRule="auto"/>
        <w:ind w:firstLine="420" w:firstLineChars="200"/>
        <w:rPr>
          <w:szCs w:val="21"/>
        </w:rPr>
      </w:pPr>
      <w:r>
        <w:rPr>
          <w:rFonts w:hint="eastAsia"/>
          <w:szCs w:val="21"/>
        </w:rPr>
        <w:t>本授权委托书声明：我</w:t>
      </w:r>
      <w:r>
        <w:rPr>
          <w:rFonts w:hint="eastAsia"/>
          <w:szCs w:val="21"/>
          <w:u w:val="single"/>
        </w:rPr>
        <w:t xml:space="preserve">           </w:t>
      </w:r>
      <w:r>
        <w:rPr>
          <w:rFonts w:hint="eastAsia"/>
          <w:szCs w:val="21"/>
        </w:rPr>
        <w:t>（姓名）系</w:t>
      </w:r>
      <w:r>
        <w:rPr>
          <w:rFonts w:hint="eastAsia"/>
          <w:szCs w:val="21"/>
          <w:u w:val="single"/>
        </w:rPr>
        <w:t xml:space="preserve">             </w:t>
      </w:r>
      <w:r>
        <w:rPr>
          <w:rFonts w:hint="eastAsia"/>
          <w:szCs w:val="21"/>
        </w:rPr>
        <w:t>（投标人名称）的法定代表人（负责人），现授权委托</w:t>
      </w:r>
      <w:r>
        <w:rPr>
          <w:rFonts w:hint="eastAsia"/>
          <w:szCs w:val="21"/>
          <w:u w:val="single"/>
        </w:rPr>
        <w:t xml:space="preserve">            </w:t>
      </w:r>
      <w:r>
        <w:rPr>
          <w:rFonts w:hint="eastAsia"/>
          <w:szCs w:val="21"/>
        </w:rPr>
        <w:t>（姓名）为我单位签署本项目已递交的投标文件的法定代表人（负责人）的授权委托代理人，代理人全权代表我所签署的本项目已递交的投标文件内容我均承认。</w:t>
      </w:r>
    </w:p>
    <w:p w14:paraId="363E4C88">
      <w:pPr>
        <w:spacing w:line="360" w:lineRule="auto"/>
        <w:ind w:firstLine="420" w:firstLineChars="200"/>
        <w:rPr>
          <w:szCs w:val="21"/>
        </w:rPr>
      </w:pPr>
      <w:r>
        <w:rPr>
          <w:rFonts w:hint="eastAsia"/>
          <w:szCs w:val="21"/>
        </w:rPr>
        <w:t>代理人无转委托权，特此委托。</w:t>
      </w:r>
    </w:p>
    <w:p w14:paraId="3F9E8E28">
      <w:pPr>
        <w:spacing w:line="360" w:lineRule="auto"/>
        <w:ind w:firstLine="420" w:firstLineChars="200"/>
        <w:rPr>
          <w:szCs w:val="21"/>
        </w:rPr>
      </w:pPr>
    </w:p>
    <w:p w14:paraId="617144B6">
      <w:pPr>
        <w:spacing w:line="360" w:lineRule="auto"/>
        <w:ind w:firstLine="420" w:firstLineChars="200"/>
        <w:rPr>
          <w:szCs w:val="21"/>
        </w:rPr>
      </w:pPr>
      <w:r>
        <w:rPr>
          <w:rFonts w:hint="eastAsia"/>
          <w:szCs w:val="21"/>
        </w:rPr>
        <w:t>代理人：</w:t>
      </w:r>
      <w:r>
        <w:rPr>
          <w:rFonts w:hint="eastAsia"/>
          <w:szCs w:val="21"/>
          <w:u w:val="single"/>
        </w:rPr>
        <w:t xml:space="preserve">              </w:t>
      </w:r>
      <w:r>
        <w:rPr>
          <w:rFonts w:hint="eastAsia"/>
          <w:szCs w:val="21"/>
        </w:rPr>
        <w:t>；</w:t>
      </w:r>
    </w:p>
    <w:p w14:paraId="6C5B160F">
      <w:pPr>
        <w:spacing w:line="360" w:lineRule="auto"/>
        <w:ind w:firstLine="420" w:firstLineChars="200"/>
        <w:rPr>
          <w:szCs w:val="21"/>
        </w:rPr>
      </w:pPr>
      <w:r>
        <w:rPr>
          <w:rFonts w:hint="eastAsia"/>
          <w:szCs w:val="21"/>
        </w:rPr>
        <w:t>身份证件号：</w:t>
      </w:r>
      <w:r>
        <w:rPr>
          <w:rFonts w:hint="eastAsia"/>
          <w:szCs w:val="21"/>
          <w:u w:val="single"/>
        </w:rPr>
        <w:t xml:space="preserve">                        </w:t>
      </w:r>
      <w:r>
        <w:rPr>
          <w:rFonts w:hint="eastAsia"/>
          <w:szCs w:val="21"/>
        </w:rPr>
        <w:t>，职务：</w:t>
      </w:r>
      <w:r>
        <w:rPr>
          <w:rFonts w:hint="eastAsia"/>
          <w:szCs w:val="21"/>
          <w:u w:val="single"/>
        </w:rPr>
        <w:t xml:space="preserve">                </w:t>
      </w:r>
      <w:r>
        <w:rPr>
          <w:rFonts w:hint="eastAsia"/>
          <w:szCs w:val="21"/>
        </w:rPr>
        <w:t>；</w:t>
      </w:r>
    </w:p>
    <w:p w14:paraId="1E928B99">
      <w:pPr>
        <w:spacing w:line="360" w:lineRule="auto"/>
        <w:ind w:firstLine="420" w:firstLineChars="200"/>
        <w:rPr>
          <w:szCs w:val="21"/>
        </w:rPr>
      </w:pPr>
      <w:r>
        <w:rPr>
          <w:rFonts w:hint="eastAsia"/>
          <w:szCs w:val="21"/>
        </w:rPr>
        <w:t>联系电话：</w:t>
      </w:r>
      <w:r>
        <w:rPr>
          <w:rFonts w:hint="eastAsia"/>
          <w:szCs w:val="21"/>
          <w:u w:val="single"/>
        </w:rPr>
        <w:t xml:space="preserve">            </w:t>
      </w:r>
      <w:r>
        <w:rPr>
          <w:rFonts w:hint="eastAsia"/>
          <w:szCs w:val="21"/>
        </w:rPr>
        <w:t>，手机：</w:t>
      </w:r>
      <w:r>
        <w:rPr>
          <w:rFonts w:hint="eastAsia"/>
          <w:szCs w:val="21"/>
          <w:u w:val="single"/>
        </w:rPr>
        <w:t xml:space="preserve">                   </w:t>
      </w:r>
      <w:r>
        <w:rPr>
          <w:rFonts w:hint="eastAsia"/>
          <w:szCs w:val="21"/>
        </w:rPr>
        <w:t>，电子邮箱：</w:t>
      </w:r>
      <w:r>
        <w:rPr>
          <w:rFonts w:hint="eastAsia"/>
          <w:szCs w:val="21"/>
          <w:u w:val="single"/>
        </w:rPr>
        <w:t xml:space="preserve">                        </w:t>
      </w:r>
      <w:r>
        <w:rPr>
          <w:rFonts w:hint="eastAsia"/>
          <w:szCs w:val="21"/>
        </w:rPr>
        <w:t>；</w:t>
      </w:r>
    </w:p>
    <w:p w14:paraId="3E830C82">
      <w:pPr>
        <w:spacing w:line="360" w:lineRule="auto"/>
        <w:ind w:firstLine="420" w:firstLineChars="200"/>
        <w:rPr>
          <w:szCs w:val="21"/>
        </w:rPr>
      </w:pPr>
      <w:r>
        <w:rPr>
          <w:rFonts w:hint="eastAsia"/>
          <w:szCs w:val="21"/>
        </w:rPr>
        <w:t>授权委托日期：</w:t>
      </w: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 xml:space="preserve">月 </w:t>
      </w:r>
      <w:r>
        <w:rPr>
          <w:rFonts w:hint="eastAsia"/>
          <w:szCs w:val="21"/>
          <w:u w:val="single"/>
        </w:rPr>
        <w:t xml:space="preserve">      </w:t>
      </w:r>
      <w:r>
        <w:rPr>
          <w:rFonts w:hint="eastAsia"/>
          <w:szCs w:val="21"/>
        </w:rPr>
        <w:t>日。</w:t>
      </w:r>
    </w:p>
    <w:p w14:paraId="0C425523">
      <w:pPr>
        <w:spacing w:line="360" w:lineRule="auto"/>
        <w:ind w:firstLine="422" w:firstLineChars="200"/>
        <w:rPr>
          <w:b/>
          <w:color w:val="FF0000"/>
          <w:szCs w:val="21"/>
        </w:rPr>
      </w:pPr>
      <w:r>
        <w:rPr>
          <w:rFonts w:hint="eastAsia"/>
          <w:b/>
          <w:color w:val="FF0000"/>
          <w:szCs w:val="21"/>
        </w:rPr>
        <w:t>附：请提供代理人身份证扫描件（正反两面）；港澳台居民可提供来往通行证扫描件；非中国国籍管辖范围人员，可提供公安部门认可的身份证明材料扫描件。</w:t>
      </w:r>
    </w:p>
    <w:tbl>
      <w:tblPr>
        <w:tblStyle w:val="44"/>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5"/>
      </w:tblGrid>
      <w:tr w14:paraId="2D32E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2" w:hRule="atLeast"/>
        </w:trPr>
        <w:tc>
          <w:tcPr>
            <w:tcW w:w="4264" w:type="dxa"/>
          </w:tcPr>
          <w:p w14:paraId="54D12DB5">
            <w:pPr>
              <w:keepNext w:val="0"/>
              <w:keepLines w:val="0"/>
              <w:suppressLineNumbers w:val="0"/>
              <w:spacing w:before="0" w:beforeAutospacing="0" w:after="0" w:afterAutospacing="0"/>
              <w:ind w:left="0" w:right="0"/>
              <w:jc w:val="center"/>
              <w:rPr>
                <w:rFonts w:hint="default"/>
              </w:rPr>
            </w:pPr>
            <w:r>
              <w:rPr>
                <w:rFonts w:hint="eastAsia"/>
              </w:rPr>
              <w:t>证件扫描件正面</w:t>
            </w:r>
          </w:p>
          <w:p w14:paraId="353498C1">
            <w:pPr>
              <w:pStyle w:val="18"/>
              <w:keepNext w:val="0"/>
              <w:keepLines w:val="0"/>
              <w:suppressLineNumbers w:val="0"/>
              <w:spacing w:before="0" w:beforeAutospacing="0" w:after="0" w:afterAutospacing="0"/>
              <w:ind w:left="0" w:right="0"/>
              <w:jc w:val="center"/>
              <w:rPr>
                <w:rFonts w:hint="default"/>
              </w:rPr>
            </w:pPr>
          </w:p>
          <w:p w14:paraId="71862F0E">
            <w:pPr>
              <w:pStyle w:val="36"/>
              <w:keepNext w:val="0"/>
              <w:keepLines w:val="0"/>
              <w:suppressLineNumbers w:val="0"/>
              <w:spacing w:before="0" w:beforeAutospacing="0" w:after="0" w:afterAutospacing="0"/>
              <w:ind w:left="0" w:right="0"/>
              <w:jc w:val="center"/>
              <w:rPr>
                <w:rFonts w:hint="default"/>
              </w:rPr>
            </w:pPr>
          </w:p>
        </w:tc>
        <w:tc>
          <w:tcPr>
            <w:tcW w:w="4265" w:type="dxa"/>
          </w:tcPr>
          <w:p w14:paraId="71F3B3DF">
            <w:pPr>
              <w:keepNext w:val="0"/>
              <w:keepLines w:val="0"/>
              <w:suppressLineNumbers w:val="0"/>
              <w:spacing w:before="0" w:beforeAutospacing="0" w:after="0" w:afterAutospacing="0"/>
              <w:ind w:left="0" w:right="0"/>
              <w:jc w:val="center"/>
              <w:rPr>
                <w:rFonts w:hint="default"/>
              </w:rPr>
            </w:pPr>
            <w:r>
              <w:rPr>
                <w:rFonts w:hint="eastAsia"/>
              </w:rPr>
              <w:t>证件扫描件反面</w:t>
            </w:r>
          </w:p>
          <w:p w14:paraId="3D61705E">
            <w:pPr>
              <w:pStyle w:val="18"/>
              <w:keepNext w:val="0"/>
              <w:keepLines w:val="0"/>
              <w:suppressLineNumbers w:val="0"/>
              <w:spacing w:before="0" w:beforeAutospacing="0" w:after="0" w:afterAutospacing="0"/>
              <w:ind w:left="0" w:right="0"/>
              <w:jc w:val="center"/>
              <w:rPr>
                <w:rFonts w:hint="default"/>
              </w:rPr>
            </w:pPr>
          </w:p>
          <w:p w14:paraId="7B4ACDD5">
            <w:pPr>
              <w:pStyle w:val="36"/>
              <w:keepNext w:val="0"/>
              <w:keepLines w:val="0"/>
              <w:suppressLineNumbers w:val="0"/>
              <w:spacing w:before="0" w:beforeAutospacing="0" w:after="0" w:afterAutospacing="0"/>
              <w:ind w:left="0" w:right="0"/>
              <w:jc w:val="center"/>
              <w:rPr>
                <w:rFonts w:hint="default"/>
              </w:rPr>
            </w:pPr>
          </w:p>
        </w:tc>
      </w:tr>
    </w:tbl>
    <w:p w14:paraId="5A2E6B19"/>
    <w:p w14:paraId="63FCDEC0">
      <w:pPr>
        <w:spacing w:line="300" w:lineRule="auto"/>
        <w:ind w:firstLine="5040" w:firstLineChars="2400"/>
        <w:jc w:val="left"/>
        <w:rPr>
          <w:rFonts w:hint="eastAsia" w:ascii="宋体" w:hAnsi="宋体" w:eastAsia="宋体" w:cs="宋体"/>
          <w:szCs w:val="21"/>
        </w:rPr>
      </w:pPr>
    </w:p>
    <w:p w14:paraId="18DDA1F5">
      <w:pPr>
        <w:spacing w:line="300" w:lineRule="auto"/>
        <w:ind w:firstLine="5040" w:firstLineChars="2400"/>
        <w:jc w:val="left"/>
        <w:rPr>
          <w:rFonts w:ascii="宋体" w:hAnsi="宋体" w:eastAsia="宋体" w:cs="宋体"/>
          <w:szCs w:val="21"/>
        </w:rPr>
      </w:pPr>
      <w:r>
        <w:rPr>
          <w:rFonts w:hint="eastAsia" w:ascii="宋体" w:hAnsi="宋体" w:eastAsia="宋体" w:cs="宋体"/>
          <w:szCs w:val="21"/>
        </w:rPr>
        <w:t>投标人（公章）：</w:t>
      </w:r>
    </w:p>
    <w:p w14:paraId="34B58F95">
      <w:pPr>
        <w:spacing w:line="300" w:lineRule="auto"/>
        <w:ind w:firstLine="5040" w:firstLineChars="2400"/>
        <w:jc w:val="left"/>
        <w:rPr>
          <w:rFonts w:ascii="宋体" w:hAnsi="宋体" w:eastAsia="宋体" w:cs="宋体"/>
          <w:szCs w:val="21"/>
        </w:rPr>
      </w:pPr>
      <w:r>
        <w:rPr>
          <w:rFonts w:hint="eastAsia" w:ascii="宋体" w:hAnsi="宋体" w:eastAsia="宋体" w:cs="宋体"/>
          <w:szCs w:val="21"/>
        </w:rPr>
        <w:t>法定代表人签名或签章：</w:t>
      </w:r>
    </w:p>
    <w:p w14:paraId="3108375B">
      <w:pPr>
        <w:spacing w:line="300" w:lineRule="auto"/>
        <w:ind w:firstLine="5040" w:firstLineChars="2400"/>
        <w:rPr>
          <w:rFonts w:hint="eastAsia" w:ascii="宋体" w:hAnsi="宋体" w:eastAsia="宋体" w:cs="宋体"/>
          <w:szCs w:val="21"/>
        </w:rPr>
      </w:pPr>
      <w:r>
        <w:rPr>
          <w:rFonts w:hint="eastAsia" w:ascii="宋体" w:hAnsi="宋体" w:eastAsia="宋体" w:cs="宋体"/>
          <w:szCs w:val="21"/>
        </w:rPr>
        <w:t xml:space="preserve">日期：      年    月    日     </w:t>
      </w:r>
    </w:p>
    <w:p w14:paraId="75EF71CD">
      <w:pPr>
        <w:widowControl/>
        <w:jc w:val="left"/>
        <w:rPr>
          <w:rFonts w:ascii="黑体" w:hAnsi="宋体" w:eastAsia="黑体"/>
          <w:bCs/>
          <w:kern w:val="0"/>
          <w:sz w:val="24"/>
        </w:rPr>
      </w:pPr>
      <w:r>
        <w:rPr>
          <w:rFonts w:ascii="黑体" w:eastAsia="黑体"/>
          <w:b/>
          <w:kern w:val="0"/>
          <w:sz w:val="24"/>
        </w:rPr>
        <w:br w:type="page"/>
      </w:r>
    </w:p>
    <w:p w14:paraId="61D357E9">
      <w:pPr>
        <w:pStyle w:val="3"/>
        <w:jc w:val="center"/>
        <w:rPr>
          <w:rFonts w:ascii="黑体" w:eastAsia="黑体"/>
          <w:b w:val="0"/>
          <w:kern w:val="0"/>
          <w:sz w:val="24"/>
          <w:szCs w:val="24"/>
        </w:rPr>
      </w:pPr>
      <w:r>
        <w:rPr>
          <w:rFonts w:hint="eastAsia" w:ascii="黑体" w:eastAsia="黑体"/>
          <w:b w:val="0"/>
          <w:kern w:val="0"/>
          <w:sz w:val="24"/>
          <w:szCs w:val="24"/>
          <w:lang w:val="en-US" w:eastAsia="zh-CN"/>
        </w:rPr>
        <w:t>九</w:t>
      </w:r>
      <w:r>
        <w:rPr>
          <w:rFonts w:hint="eastAsia" w:ascii="黑体" w:eastAsia="黑体"/>
          <w:b w:val="0"/>
          <w:kern w:val="0"/>
          <w:sz w:val="24"/>
          <w:szCs w:val="24"/>
        </w:rPr>
        <w:t>、</w:t>
      </w:r>
      <w:bookmarkStart w:id="91" w:name="_Hlk72092634"/>
      <w:r>
        <w:rPr>
          <w:rFonts w:hint="eastAsia" w:ascii="黑体" w:eastAsia="黑体"/>
          <w:b w:val="0"/>
          <w:kern w:val="0"/>
          <w:sz w:val="24"/>
          <w:szCs w:val="24"/>
        </w:rPr>
        <w:t>实质性条款响应情况表</w:t>
      </w:r>
      <w:bookmarkEnd w:id="91"/>
    </w:p>
    <w:p w14:paraId="36B37DC8">
      <w:pPr>
        <w:rPr>
          <w:rFonts w:hint="eastAsia"/>
          <w:b/>
          <w:sz w:val="24"/>
          <w:szCs w:val="22"/>
        </w:rPr>
      </w:pPr>
    </w:p>
    <w:tbl>
      <w:tblPr>
        <w:tblStyle w:val="43"/>
        <w:tblW w:w="82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975"/>
        <w:gridCol w:w="3045"/>
        <w:gridCol w:w="1335"/>
        <w:gridCol w:w="1470"/>
        <w:gridCol w:w="720"/>
      </w:tblGrid>
      <w:tr w14:paraId="2907F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669" w:type="dxa"/>
            <w:vAlign w:val="center"/>
          </w:tcPr>
          <w:p w14:paraId="35C7F2B7">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b/>
                <w:bCs/>
                <w:kern w:val="0"/>
                <w:sz w:val="24"/>
                <w:szCs w:val="24"/>
              </w:rPr>
            </w:pPr>
            <w:r>
              <w:rPr>
                <w:rFonts w:hint="eastAsia" w:ascii="宋体" w:hAnsi="宋体"/>
                <w:b/>
                <w:bCs/>
                <w:kern w:val="0"/>
                <w:sz w:val="24"/>
                <w:szCs w:val="24"/>
              </w:rPr>
              <w:t>序号</w:t>
            </w:r>
          </w:p>
        </w:tc>
        <w:tc>
          <w:tcPr>
            <w:tcW w:w="975" w:type="dxa"/>
            <w:vAlign w:val="center"/>
          </w:tcPr>
          <w:p w14:paraId="42FF0873">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b/>
                <w:bCs/>
                <w:kern w:val="0"/>
                <w:sz w:val="24"/>
                <w:szCs w:val="24"/>
                <w:lang w:val="en-US" w:eastAsia="zh-CN"/>
              </w:rPr>
            </w:pPr>
            <w:r>
              <w:rPr>
                <w:rFonts w:hint="eastAsia" w:ascii="宋体" w:hAnsi="宋体" w:eastAsia="宋体"/>
                <w:b/>
                <w:bCs/>
                <w:kern w:val="0"/>
                <w:sz w:val="24"/>
                <w:szCs w:val="24"/>
                <w:lang w:val="en-US" w:eastAsia="zh-CN"/>
              </w:rPr>
              <w:t>需求项</w:t>
            </w:r>
          </w:p>
        </w:tc>
        <w:tc>
          <w:tcPr>
            <w:tcW w:w="3045" w:type="dxa"/>
            <w:vAlign w:val="center"/>
          </w:tcPr>
          <w:p w14:paraId="0E0A0916">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b/>
                <w:bCs/>
                <w:kern w:val="0"/>
                <w:sz w:val="24"/>
                <w:szCs w:val="24"/>
              </w:rPr>
            </w:pPr>
            <w:r>
              <w:rPr>
                <w:rFonts w:hint="eastAsia" w:ascii="宋体" w:hAnsi="宋体"/>
                <w:b/>
                <w:bCs/>
                <w:kern w:val="0"/>
                <w:sz w:val="24"/>
                <w:szCs w:val="24"/>
              </w:rPr>
              <w:t>实质性条款具体内容</w:t>
            </w:r>
          </w:p>
        </w:tc>
        <w:tc>
          <w:tcPr>
            <w:tcW w:w="1335" w:type="dxa"/>
            <w:shd w:val="clear" w:color="auto" w:fill="auto"/>
            <w:vAlign w:val="center"/>
          </w:tcPr>
          <w:p w14:paraId="7084BBB4">
            <w:pPr>
              <w:keepNext w:val="0"/>
              <w:keepLines w:val="0"/>
              <w:suppressLineNumbers w:val="0"/>
              <w:adjustRightInd w:val="0"/>
              <w:snapToGrid w:val="0"/>
              <w:spacing w:before="0" w:beforeAutospacing="0" w:after="0" w:afterAutospacing="0" w:line="360" w:lineRule="auto"/>
              <w:ind w:left="0" w:leftChars="0" w:right="0" w:rightChars="0"/>
              <w:jc w:val="center"/>
              <w:rPr>
                <w:rFonts w:hint="eastAsia" w:ascii="宋体" w:hAnsi="宋体" w:eastAsia="宋体" w:cs="Times New Roman"/>
                <w:b/>
                <w:bCs/>
                <w:kern w:val="0"/>
                <w:sz w:val="21"/>
                <w:szCs w:val="21"/>
                <w:lang w:val="en-US" w:eastAsia="zh-CN" w:bidi="ar-SA"/>
              </w:rPr>
            </w:pPr>
            <w:r>
              <w:rPr>
                <w:rFonts w:hint="eastAsia"/>
                <w:b/>
                <w:bCs/>
              </w:rPr>
              <w:t>投标响应</w:t>
            </w:r>
          </w:p>
        </w:tc>
        <w:tc>
          <w:tcPr>
            <w:tcW w:w="1470" w:type="dxa"/>
            <w:shd w:val="clear" w:color="auto" w:fill="auto"/>
            <w:vAlign w:val="center"/>
          </w:tcPr>
          <w:p w14:paraId="47D5C0A6">
            <w:pPr>
              <w:keepNext w:val="0"/>
              <w:keepLines w:val="0"/>
              <w:suppressLineNumbers w:val="0"/>
              <w:adjustRightInd w:val="0"/>
              <w:snapToGrid w:val="0"/>
              <w:spacing w:before="0" w:beforeAutospacing="0" w:after="0" w:afterAutospacing="0" w:line="360" w:lineRule="auto"/>
              <w:ind w:left="0" w:leftChars="0" w:right="0" w:rightChars="0"/>
              <w:jc w:val="center"/>
              <w:rPr>
                <w:rFonts w:hint="eastAsia" w:ascii="宋体" w:hAnsi="宋体" w:eastAsia="宋体" w:cs="Times New Roman"/>
                <w:b/>
                <w:bCs/>
                <w:kern w:val="0"/>
                <w:sz w:val="21"/>
                <w:szCs w:val="21"/>
                <w:lang w:val="en-US" w:eastAsia="zh-CN" w:bidi="ar-SA"/>
              </w:rPr>
            </w:pPr>
            <w:r>
              <w:rPr>
                <w:rFonts w:hint="eastAsia"/>
                <w:b/>
                <w:bCs/>
              </w:rPr>
              <w:t>偏离情况</w:t>
            </w:r>
          </w:p>
        </w:tc>
        <w:tc>
          <w:tcPr>
            <w:tcW w:w="720" w:type="dxa"/>
            <w:shd w:val="clear" w:color="auto" w:fill="auto"/>
            <w:vAlign w:val="center"/>
          </w:tcPr>
          <w:p w14:paraId="1FB53412">
            <w:pPr>
              <w:keepNext w:val="0"/>
              <w:keepLines w:val="0"/>
              <w:suppressLineNumbers w:val="0"/>
              <w:adjustRightInd w:val="0"/>
              <w:snapToGrid w:val="0"/>
              <w:spacing w:before="0" w:beforeAutospacing="0" w:after="0" w:afterAutospacing="0" w:line="360" w:lineRule="auto"/>
              <w:ind w:left="0" w:leftChars="0" w:right="0" w:rightChars="0"/>
              <w:jc w:val="center"/>
              <w:rPr>
                <w:rFonts w:hint="eastAsia" w:ascii="宋体" w:hAnsi="宋体" w:eastAsia="宋体" w:cs="Times New Roman"/>
                <w:b/>
                <w:bCs/>
                <w:kern w:val="0"/>
                <w:sz w:val="21"/>
                <w:szCs w:val="21"/>
                <w:lang w:val="en-US" w:eastAsia="zh-CN" w:bidi="ar-SA"/>
              </w:rPr>
            </w:pPr>
            <w:r>
              <w:rPr>
                <w:rFonts w:hint="eastAsia"/>
                <w:b/>
                <w:bCs/>
              </w:rPr>
              <w:t>说明</w:t>
            </w:r>
          </w:p>
        </w:tc>
      </w:tr>
      <w:tr w14:paraId="7D356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669" w:type="dxa"/>
            <w:vAlign w:val="center"/>
          </w:tcPr>
          <w:p w14:paraId="15675189">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rPr>
            </w:pPr>
            <w:r>
              <w:rPr>
                <w:rFonts w:hint="eastAsia" w:ascii="宋体" w:hAnsi="宋体"/>
                <w:color w:val="FF0000"/>
                <w:kern w:val="0"/>
                <w:szCs w:val="21"/>
              </w:rPr>
              <w:t>1</w:t>
            </w:r>
          </w:p>
        </w:tc>
        <w:tc>
          <w:tcPr>
            <w:tcW w:w="975" w:type="dxa"/>
            <w:vMerge w:val="restart"/>
            <w:shd w:val="clear" w:color="auto" w:fill="auto"/>
            <w:vAlign w:val="center"/>
          </w:tcPr>
          <w:p w14:paraId="03A0442B">
            <w:pPr>
              <w:keepNext w:val="0"/>
              <w:keepLines w:val="0"/>
              <w:suppressLineNumbers w:val="0"/>
              <w:spacing w:before="0" w:beforeAutospacing="0" w:after="0" w:afterAutospacing="0"/>
              <w:ind w:left="0" w:right="0"/>
              <w:jc w:val="center"/>
              <w:rPr>
                <w:rFonts w:hint="eastAsia" w:eastAsia="宋体"/>
                <w:color w:val="FF0000"/>
                <w:szCs w:val="21"/>
                <w:lang w:val="en-US" w:eastAsia="zh-CN"/>
              </w:rPr>
            </w:pPr>
            <w:r>
              <w:rPr>
                <w:rFonts w:hint="eastAsia"/>
                <w:b w:val="0"/>
                <w:bCs/>
                <w:color w:val="FF0000"/>
                <w:szCs w:val="21"/>
                <w:lang w:eastAsia="zh-CN"/>
              </w:rPr>
              <w:t>路由器（下联路由器）</w:t>
            </w:r>
          </w:p>
        </w:tc>
        <w:tc>
          <w:tcPr>
            <w:tcW w:w="3045" w:type="dxa"/>
            <w:shd w:val="clear" w:color="auto" w:fill="auto"/>
            <w:vAlign w:val="top"/>
          </w:tcPr>
          <w:p w14:paraId="168C7823">
            <w:pPr>
              <w:keepNext w:val="0"/>
              <w:keepLines w:val="0"/>
              <w:suppressLineNumbers w:val="0"/>
              <w:spacing w:before="0" w:beforeAutospacing="0" w:after="0" w:afterAutospacing="0"/>
              <w:ind w:left="0" w:right="0"/>
              <w:rPr>
                <w:rFonts w:hint="default" w:ascii="Times New Roman" w:hAnsi="Times New Roman" w:eastAsia="宋体" w:cs="Times New Roman"/>
                <w:color w:val="FF0000"/>
                <w:kern w:val="2"/>
                <w:sz w:val="21"/>
                <w:szCs w:val="21"/>
                <w:lang w:val="en-US" w:eastAsia="zh-CN" w:bidi="ar-SA"/>
              </w:rPr>
            </w:pPr>
            <w:r>
              <w:rPr>
                <w:rFonts w:hint="eastAsia" w:eastAsia="宋体"/>
                <w:color w:val="FF0000"/>
                <w:szCs w:val="21"/>
                <w:lang w:val="en-US" w:eastAsia="zh-CN"/>
              </w:rPr>
              <w:t>★1.1物理接口：</w:t>
            </w:r>
            <w:r>
              <w:rPr>
                <w:rFonts w:hint="eastAsia" w:ascii="Times New Roman" w:hAnsi="Times New Roman" w:eastAsia="宋体" w:cs="Times New Roman"/>
                <w:color w:val="FF0000"/>
                <w:kern w:val="2"/>
                <w:sz w:val="21"/>
                <w:szCs w:val="21"/>
                <w:lang w:val="en-US" w:eastAsia="zh-CN" w:bidi="ar-SA"/>
              </w:rPr>
              <w:t>1.</w:t>
            </w:r>
            <w:r>
              <w:rPr>
                <w:rFonts w:hint="eastAsia" w:eastAsia="宋体"/>
                <w:color w:val="FF0000"/>
                <w:szCs w:val="21"/>
                <w:lang w:val="en-US" w:eastAsia="zh-CN"/>
              </w:rPr>
              <w:t>≥8个GE。</w:t>
            </w:r>
            <w:r>
              <w:rPr>
                <w:rFonts w:hint="eastAsia" w:ascii="Times New Roman" w:hAnsi="Times New Roman" w:eastAsia="宋体" w:cs="Times New Roman"/>
                <w:color w:val="FF0000"/>
                <w:kern w:val="2"/>
                <w:sz w:val="21"/>
                <w:szCs w:val="21"/>
                <w:lang w:val="en-US" w:eastAsia="zh-CN" w:bidi="ar-SA"/>
              </w:rPr>
              <w:t>2.</w:t>
            </w:r>
            <w:r>
              <w:rPr>
                <w:rFonts w:hint="eastAsia" w:eastAsia="宋体"/>
                <w:color w:val="FF0000"/>
                <w:szCs w:val="21"/>
                <w:lang w:val="en-US" w:eastAsia="zh-CN"/>
              </w:rPr>
              <w:t>≥8个SFP+端口。</w:t>
            </w:r>
          </w:p>
        </w:tc>
        <w:tc>
          <w:tcPr>
            <w:tcW w:w="1335" w:type="dxa"/>
            <w:shd w:val="clear" w:color="auto" w:fill="auto"/>
            <w:vAlign w:val="top"/>
          </w:tcPr>
          <w:p w14:paraId="59C2CA40">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470" w:type="dxa"/>
            <w:shd w:val="clear" w:color="auto" w:fill="auto"/>
            <w:vAlign w:val="top"/>
          </w:tcPr>
          <w:p w14:paraId="12EFDE5B">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720" w:type="dxa"/>
            <w:shd w:val="clear" w:color="auto" w:fill="auto"/>
            <w:vAlign w:val="top"/>
          </w:tcPr>
          <w:p w14:paraId="06BCC77F">
            <w:pPr>
              <w:keepNext w:val="0"/>
              <w:keepLines w:val="0"/>
              <w:suppressLineNumbers w:val="0"/>
              <w:spacing w:before="0" w:beforeAutospacing="0" w:after="0" w:afterAutospacing="0"/>
              <w:ind w:left="0" w:right="0"/>
              <w:rPr>
                <w:rFonts w:hint="eastAsia" w:eastAsia="宋体"/>
                <w:color w:val="FF0000"/>
                <w:szCs w:val="21"/>
                <w:lang w:val="en-US" w:eastAsia="zh-CN"/>
              </w:rPr>
            </w:pPr>
          </w:p>
        </w:tc>
      </w:tr>
      <w:tr w14:paraId="1DE23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669" w:type="dxa"/>
            <w:vAlign w:val="center"/>
          </w:tcPr>
          <w:p w14:paraId="7FB878E5">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olor w:val="FF0000"/>
                <w:kern w:val="0"/>
                <w:szCs w:val="21"/>
                <w:lang w:val="en-US" w:eastAsia="zh-CN"/>
              </w:rPr>
            </w:pPr>
            <w:r>
              <w:rPr>
                <w:rFonts w:hint="eastAsia" w:ascii="宋体" w:hAnsi="宋体"/>
                <w:color w:val="FF0000"/>
                <w:kern w:val="0"/>
                <w:szCs w:val="21"/>
                <w:lang w:val="en-US" w:eastAsia="zh-CN"/>
              </w:rPr>
              <w:t>2</w:t>
            </w:r>
          </w:p>
        </w:tc>
        <w:tc>
          <w:tcPr>
            <w:tcW w:w="975" w:type="dxa"/>
            <w:vMerge w:val="continue"/>
            <w:shd w:val="clear" w:color="auto" w:fill="auto"/>
            <w:vAlign w:val="center"/>
          </w:tcPr>
          <w:p w14:paraId="3B6A37D1">
            <w:pPr>
              <w:keepNext w:val="0"/>
              <w:keepLines w:val="0"/>
              <w:suppressLineNumbers w:val="0"/>
              <w:spacing w:before="0" w:beforeAutospacing="0" w:after="0" w:afterAutospacing="0"/>
              <w:ind w:left="0" w:right="0"/>
              <w:jc w:val="center"/>
              <w:rPr>
                <w:rFonts w:hint="eastAsia" w:eastAsia="宋体"/>
                <w:color w:val="FF0000"/>
                <w:szCs w:val="21"/>
                <w:lang w:val="en-US" w:eastAsia="zh-CN"/>
              </w:rPr>
            </w:pPr>
          </w:p>
        </w:tc>
        <w:tc>
          <w:tcPr>
            <w:tcW w:w="3045" w:type="dxa"/>
            <w:shd w:val="clear" w:color="auto" w:fill="auto"/>
            <w:vAlign w:val="top"/>
          </w:tcPr>
          <w:p w14:paraId="30EACCBB">
            <w:pPr>
              <w:keepNext w:val="0"/>
              <w:keepLines w:val="0"/>
              <w:suppressLineNumbers w:val="0"/>
              <w:spacing w:before="0" w:beforeAutospacing="0" w:after="0" w:afterAutospacing="0"/>
              <w:ind w:left="0" w:right="0"/>
              <w:rPr>
                <w:rFonts w:hint="default" w:ascii="Times New Roman" w:hAnsi="Times New Roman" w:eastAsia="宋体" w:cs="Times New Roman"/>
                <w:color w:val="FF0000"/>
                <w:kern w:val="2"/>
                <w:sz w:val="21"/>
                <w:szCs w:val="21"/>
                <w:lang w:val="en-US" w:eastAsia="zh-CN" w:bidi="ar-SA"/>
              </w:rPr>
            </w:pPr>
            <w:r>
              <w:rPr>
                <w:rFonts w:hint="eastAsia" w:eastAsia="宋体"/>
                <w:color w:val="FF0000"/>
                <w:szCs w:val="21"/>
                <w:lang w:val="en-US" w:eastAsia="zh-CN"/>
              </w:rPr>
              <w:t>★1.2技术要求：1.交换容量≥85Tbps。2.包转发率≥12000Mpps。3.支持RADIUS/Tacacs+方式进行AAA认证。4.支持NTP时间同步。5.支持SSH登录方式。6.支持本地端口镜像和远程端口镜像。7.支持syslog。</w:t>
            </w:r>
          </w:p>
        </w:tc>
        <w:tc>
          <w:tcPr>
            <w:tcW w:w="1335" w:type="dxa"/>
            <w:shd w:val="clear" w:color="auto" w:fill="auto"/>
            <w:vAlign w:val="top"/>
          </w:tcPr>
          <w:p w14:paraId="6FCB52F6">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470" w:type="dxa"/>
            <w:shd w:val="clear" w:color="auto" w:fill="auto"/>
            <w:vAlign w:val="top"/>
          </w:tcPr>
          <w:p w14:paraId="5132B114">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720" w:type="dxa"/>
            <w:shd w:val="clear" w:color="auto" w:fill="auto"/>
            <w:vAlign w:val="top"/>
          </w:tcPr>
          <w:p w14:paraId="22CEC8BE">
            <w:pPr>
              <w:keepNext w:val="0"/>
              <w:keepLines w:val="0"/>
              <w:suppressLineNumbers w:val="0"/>
              <w:spacing w:before="0" w:beforeAutospacing="0" w:after="0" w:afterAutospacing="0"/>
              <w:ind w:left="0" w:right="0"/>
              <w:rPr>
                <w:rFonts w:hint="eastAsia" w:eastAsia="宋体"/>
                <w:color w:val="FF0000"/>
                <w:szCs w:val="21"/>
                <w:lang w:val="en-US" w:eastAsia="zh-CN"/>
              </w:rPr>
            </w:pPr>
          </w:p>
        </w:tc>
      </w:tr>
      <w:tr w14:paraId="5BDF4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atLeast"/>
        </w:trPr>
        <w:tc>
          <w:tcPr>
            <w:tcW w:w="669" w:type="dxa"/>
            <w:vAlign w:val="center"/>
          </w:tcPr>
          <w:p w14:paraId="2B115C7A">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3</w:t>
            </w:r>
          </w:p>
        </w:tc>
        <w:tc>
          <w:tcPr>
            <w:tcW w:w="975" w:type="dxa"/>
            <w:vMerge w:val="continue"/>
            <w:shd w:val="clear" w:color="auto" w:fill="auto"/>
            <w:vAlign w:val="center"/>
          </w:tcPr>
          <w:p w14:paraId="24CFBAD8">
            <w:pPr>
              <w:keepNext w:val="0"/>
              <w:keepLines w:val="0"/>
              <w:suppressLineNumbers w:val="0"/>
              <w:spacing w:before="0" w:beforeAutospacing="0" w:after="0" w:afterAutospacing="0"/>
              <w:ind w:left="0" w:leftChars="0" w:right="0" w:rightChars="0"/>
              <w:jc w:val="center"/>
              <w:rPr>
                <w:rFonts w:hint="eastAsia" w:eastAsia="宋体"/>
                <w:b/>
                <w:bCs/>
                <w:color w:val="FF0000"/>
                <w:szCs w:val="21"/>
                <w:highlight w:val="yellow"/>
                <w:lang w:val="en-US" w:eastAsia="zh-CN"/>
              </w:rPr>
            </w:pPr>
          </w:p>
        </w:tc>
        <w:tc>
          <w:tcPr>
            <w:tcW w:w="3045" w:type="dxa"/>
            <w:shd w:val="clear" w:color="auto" w:fill="auto"/>
            <w:vAlign w:val="top"/>
          </w:tcPr>
          <w:p w14:paraId="33A5B848">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★1.3入网许可：具有《电信设备进网许可证》，设备及其型号需与入网证一致。</w:t>
            </w:r>
          </w:p>
          <w:p w14:paraId="78D9C86D">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color w:val="FF0000"/>
                <w:kern w:val="2"/>
                <w:sz w:val="21"/>
                <w:szCs w:val="21"/>
                <w:lang w:val="en-US" w:eastAsia="zh-CN" w:bidi="ar-SA"/>
              </w:rPr>
            </w:pPr>
            <w:r>
              <w:rPr>
                <w:rFonts w:hint="eastAsia" w:eastAsia="宋体"/>
                <w:b/>
                <w:bCs/>
                <w:color w:val="FF0000"/>
                <w:szCs w:val="21"/>
                <w:highlight w:val="yellow"/>
                <w:lang w:val="en-US" w:eastAsia="zh-CN"/>
              </w:rPr>
              <w:t>投标人还需</w:t>
            </w:r>
            <w:r>
              <w:rPr>
                <w:rFonts w:hint="eastAsia"/>
                <w:b/>
                <w:bCs/>
                <w:color w:val="FF0000"/>
                <w:szCs w:val="21"/>
                <w:highlight w:val="yellow"/>
                <w:lang w:val="en-US" w:eastAsia="zh-CN"/>
              </w:rPr>
              <w:t>提供</w:t>
            </w:r>
            <w:r>
              <w:rPr>
                <w:rFonts w:hint="eastAsia" w:eastAsia="宋体"/>
                <w:b/>
                <w:bCs/>
                <w:color w:val="FF0000"/>
                <w:szCs w:val="21"/>
                <w:highlight w:val="yellow"/>
                <w:lang w:val="en-US" w:eastAsia="zh-CN"/>
              </w:rPr>
              <w:t>承诺函（格式自拟加盖公章），承诺中标后提供《电信设备进网许可证》且设备及其型号需与入网证一致。</w:t>
            </w:r>
          </w:p>
        </w:tc>
        <w:tc>
          <w:tcPr>
            <w:tcW w:w="1335" w:type="dxa"/>
            <w:shd w:val="clear" w:color="auto" w:fill="auto"/>
            <w:vAlign w:val="top"/>
          </w:tcPr>
          <w:p w14:paraId="689B7B4B">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p>
        </w:tc>
        <w:tc>
          <w:tcPr>
            <w:tcW w:w="1470" w:type="dxa"/>
            <w:shd w:val="clear" w:color="auto" w:fill="auto"/>
            <w:vAlign w:val="top"/>
          </w:tcPr>
          <w:p w14:paraId="6C031495">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p>
        </w:tc>
        <w:tc>
          <w:tcPr>
            <w:tcW w:w="720" w:type="dxa"/>
            <w:shd w:val="clear" w:color="auto" w:fill="auto"/>
            <w:vAlign w:val="top"/>
          </w:tcPr>
          <w:p w14:paraId="09354BEF">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p>
        </w:tc>
      </w:tr>
      <w:tr w14:paraId="6784A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atLeast"/>
        </w:trPr>
        <w:tc>
          <w:tcPr>
            <w:tcW w:w="669" w:type="dxa"/>
            <w:vAlign w:val="center"/>
          </w:tcPr>
          <w:p w14:paraId="45057BBB">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4</w:t>
            </w:r>
          </w:p>
        </w:tc>
        <w:tc>
          <w:tcPr>
            <w:tcW w:w="975" w:type="dxa"/>
            <w:vMerge w:val="continue"/>
            <w:shd w:val="clear" w:color="auto" w:fill="auto"/>
            <w:vAlign w:val="center"/>
          </w:tcPr>
          <w:p w14:paraId="330005C0">
            <w:pPr>
              <w:keepNext w:val="0"/>
              <w:keepLines w:val="0"/>
              <w:suppressLineNumbers w:val="0"/>
              <w:spacing w:before="0" w:beforeAutospacing="0" w:after="0" w:afterAutospacing="0"/>
              <w:ind w:left="0" w:leftChars="0" w:right="0" w:rightChars="0"/>
              <w:jc w:val="center"/>
              <w:rPr>
                <w:rFonts w:hint="eastAsia" w:eastAsia="宋体"/>
                <w:color w:val="FF0000"/>
                <w:szCs w:val="21"/>
                <w:lang w:val="en-US" w:eastAsia="zh-CN"/>
              </w:rPr>
            </w:pPr>
          </w:p>
        </w:tc>
        <w:tc>
          <w:tcPr>
            <w:tcW w:w="3045" w:type="dxa"/>
            <w:shd w:val="clear" w:color="auto" w:fill="auto"/>
            <w:vAlign w:val="top"/>
          </w:tcPr>
          <w:p w14:paraId="06FB6029">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color w:val="FF0000"/>
                <w:kern w:val="2"/>
                <w:sz w:val="21"/>
                <w:szCs w:val="21"/>
                <w:lang w:val="en-US" w:eastAsia="zh-CN" w:bidi="ar-SA"/>
              </w:rPr>
            </w:pPr>
            <w:r>
              <w:rPr>
                <w:rFonts w:hint="eastAsia" w:eastAsia="宋体"/>
                <w:color w:val="FF0000"/>
                <w:szCs w:val="21"/>
                <w:highlight w:val="none"/>
                <w:lang w:val="en-US" w:eastAsia="zh-CN"/>
              </w:rPr>
              <w:t>★1.4 网络关键设备要求：在《网络关键设备和网络安全专用产品目录》中的设备，按照《信息安全技术 网络安全专用产品安全技术要求》等相关国家标准强制性要求，由具备资格的机构安全认证合格或安全检测符合性要求，或者此前已获得《计算机信息系统安全专用产品销售许可证》且在有效期内。</w:t>
            </w:r>
          </w:p>
        </w:tc>
        <w:tc>
          <w:tcPr>
            <w:tcW w:w="1335" w:type="dxa"/>
            <w:shd w:val="clear" w:color="auto" w:fill="auto"/>
            <w:vAlign w:val="top"/>
          </w:tcPr>
          <w:p w14:paraId="106E3377">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1470" w:type="dxa"/>
            <w:shd w:val="clear" w:color="auto" w:fill="auto"/>
            <w:vAlign w:val="top"/>
          </w:tcPr>
          <w:p w14:paraId="7E208ED0">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720" w:type="dxa"/>
            <w:shd w:val="clear" w:color="auto" w:fill="auto"/>
            <w:vAlign w:val="top"/>
          </w:tcPr>
          <w:p w14:paraId="31974505">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r>
      <w:tr w14:paraId="309DB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69" w:type="dxa"/>
            <w:vAlign w:val="center"/>
          </w:tcPr>
          <w:p w14:paraId="7DFE4F06">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5</w:t>
            </w:r>
          </w:p>
        </w:tc>
        <w:tc>
          <w:tcPr>
            <w:tcW w:w="975" w:type="dxa"/>
            <w:vMerge w:val="continue"/>
            <w:shd w:val="clear" w:color="auto" w:fill="auto"/>
            <w:vAlign w:val="center"/>
          </w:tcPr>
          <w:p w14:paraId="0755F622">
            <w:pPr>
              <w:keepNext w:val="0"/>
              <w:keepLines w:val="0"/>
              <w:suppressLineNumbers w:val="0"/>
              <w:spacing w:before="0" w:beforeAutospacing="0" w:after="0" w:afterAutospacing="0"/>
              <w:ind w:left="0" w:leftChars="0" w:right="0" w:rightChars="0"/>
              <w:jc w:val="center"/>
              <w:rPr>
                <w:rFonts w:hint="eastAsia" w:eastAsia="宋体"/>
                <w:color w:val="FF0000"/>
                <w:szCs w:val="21"/>
                <w:lang w:val="en-US" w:eastAsia="zh-CN"/>
              </w:rPr>
            </w:pPr>
          </w:p>
        </w:tc>
        <w:tc>
          <w:tcPr>
            <w:tcW w:w="3045" w:type="dxa"/>
            <w:shd w:val="clear" w:color="auto" w:fill="auto"/>
            <w:vAlign w:val="top"/>
          </w:tcPr>
          <w:p w14:paraId="2BDAC26A">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color w:val="FF0000"/>
                <w:kern w:val="2"/>
                <w:sz w:val="21"/>
                <w:szCs w:val="21"/>
                <w:lang w:val="en-US" w:eastAsia="zh-CN" w:bidi="ar-SA"/>
              </w:rPr>
            </w:pPr>
            <w:r>
              <w:rPr>
                <w:rFonts w:hint="eastAsia" w:eastAsia="宋体"/>
                <w:color w:val="FF0000"/>
                <w:szCs w:val="21"/>
                <w:lang w:val="en-US" w:eastAsia="zh-CN"/>
              </w:rPr>
              <w:t>★1.5 硬件规格：满配冗余主控，满配冗余电源，满配冗余风扇。</w:t>
            </w:r>
          </w:p>
        </w:tc>
        <w:tc>
          <w:tcPr>
            <w:tcW w:w="1335" w:type="dxa"/>
            <w:shd w:val="clear" w:color="auto" w:fill="auto"/>
            <w:vAlign w:val="top"/>
          </w:tcPr>
          <w:p w14:paraId="5544285B">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1470" w:type="dxa"/>
            <w:shd w:val="clear" w:color="auto" w:fill="auto"/>
            <w:vAlign w:val="top"/>
          </w:tcPr>
          <w:p w14:paraId="16A929AA">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720" w:type="dxa"/>
            <w:shd w:val="clear" w:color="auto" w:fill="auto"/>
            <w:vAlign w:val="top"/>
          </w:tcPr>
          <w:p w14:paraId="3AFBD514">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r>
      <w:tr w14:paraId="3E87F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69" w:type="dxa"/>
            <w:vAlign w:val="center"/>
          </w:tcPr>
          <w:p w14:paraId="4951D206">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6</w:t>
            </w:r>
          </w:p>
        </w:tc>
        <w:tc>
          <w:tcPr>
            <w:tcW w:w="975" w:type="dxa"/>
            <w:vMerge w:val="continue"/>
            <w:shd w:val="clear" w:color="auto" w:fill="auto"/>
            <w:vAlign w:val="center"/>
          </w:tcPr>
          <w:p w14:paraId="487D9018">
            <w:pPr>
              <w:keepNext w:val="0"/>
              <w:keepLines w:val="0"/>
              <w:suppressLineNumbers w:val="0"/>
              <w:spacing w:before="0" w:beforeAutospacing="0" w:after="0" w:afterAutospacing="0"/>
              <w:ind w:left="0" w:leftChars="0" w:right="0" w:rightChars="0"/>
              <w:jc w:val="center"/>
              <w:rPr>
                <w:rFonts w:hint="eastAsia" w:eastAsia="宋体"/>
                <w:color w:val="FF0000"/>
                <w:szCs w:val="21"/>
                <w:lang w:val="en-US" w:eastAsia="zh-CN"/>
              </w:rPr>
            </w:pPr>
          </w:p>
        </w:tc>
        <w:tc>
          <w:tcPr>
            <w:tcW w:w="3045" w:type="dxa"/>
            <w:shd w:val="clear" w:color="auto" w:fill="auto"/>
            <w:vAlign w:val="top"/>
          </w:tcPr>
          <w:p w14:paraId="7CBB5CAB">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color w:val="FF0000"/>
                <w:kern w:val="2"/>
                <w:sz w:val="21"/>
                <w:szCs w:val="21"/>
                <w:lang w:val="en-US" w:eastAsia="zh-CN" w:bidi="ar-SA"/>
              </w:rPr>
            </w:pPr>
            <w:r>
              <w:rPr>
                <w:rFonts w:hint="eastAsia" w:eastAsia="宋体"/>
                <w:color w:val="FF0000"/>
                <w:szCs w:val="21"/>
                <w:lang w:val="en-US" w:eastAsia="zh-CN"/>
              </w:rPr>
              <w:t>★1.6芯片：所涉及芯片均为信创芯片。</w:t>
            </w:r>
          </w:p>
        </w:tc>
        <w:tc>
          <w:tcPr>
            <w:tcW w:w="1335" w:type="dxa"/>
            <w:shd w:val="clear" w:color="auto" w:fill="auto"/>
            <w:vAlign w:val="top"/>
          </w:tcPr>
          <w:p w14:paraId="40CA0CEC">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1470" w:type="dxa"/>
            <w:shd w:val="clear" w:color="auto" w:fill="auto"/>
            <w:vAlign w:val="top"/>
          </w:tcPr>
          <w:p w14:paraId="0892B874">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720" w:type="dxa"/>
            <w:shd w:val="clear" w:color="auto" w:fill="auto"/>
            <w:vAlign w:val="top"/>
          </w:tcPr>
          <w:p w14:paraId="6FF10A56">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r>
      <w:tr w14:paraId="3346E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669" w:type="dxa"/>
            <w:vAlign w:val="center"/>
          </w:tcPr>
          <w:p w14:paraId="19F8AF49">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7</w:t>
            </w:r>
          </w:p>
        </w:tc>
        <w:tc>
          <w:tcPr>
            <w:tcW w:w="975" w:type="dxa"/>
            <w:vMerge w:val="restart"/>
            <w:shd w:val="clear" w:color="auto" w:fill="auto"/>
            <w:vAlign w:val="center"/>
          </w:tcPr>
          <w:p w14:paraId="5ECABEC7">
            <w:pPr>
              <w:keepNext w:val="0"/>
              <w:keepLines w:val="0"/>
              <w:suppressLineNumbers w:val="0"/>
              <w:spacing w:before="0" w:beforeAutospacing="0" w:after="0" w:afterAutospacing="0"/>
              <w:ind w:left="0" w:leftChars="0" w:right="0" w:rightChars="0"/>
              <w:jc w:val="center"/>
              <w:rPr>
                <w:rFonts w:hint="eastAsia" w:eastAsia="宋体"/>
                <w:color w:val="FF0000"/>
                <w:szCs w:val="21"/>
                <w:lang w:val="en-US" w:eastAsia="zh-CN"/>
              </w:rPr>
            </w:pPr>
            <w:r>
              <w:rPr>
                <w:rFonts w:hint="eastAsia"/>
                <w:b w:val="0"/>
                <w:bCs/>
                <w:color w:val="FF0000"/>
                <w:szCs w:val="21"/>
                <w:lang w:eastAsia="zh-CN"/>
              </w:rPr>
              <w:t>交换机（</w:t>
            </w:r>
            <w:r>
              <w:rPr>
                <w:rFonts w:hint="eastAsia"/>
                <w:b w:val="0"/>
                <w:bCs/>
                <w:color w:val="FF0000"/>
                <w:szCs w:val="21"/>
                <w:lang w:val="en-US" w:eastAsia="zh-CN"/>
              </w:rPr>
              <w:t>接入</w:t>
            </w:r>
            <w:r>
              <w:rPr>
                <w:rFonts w:hint="eastAsia"/>
                <w:b w:val="0"/>
                <w:bCs/>
                <w:color w:val="FF0000"/>
                <w:szCs w:val="21"/>
              </w:rPr>
              <w:t>交换机</w:t>
            </w:r>
            <w:r>
              <w:rPr>
                <w:rFonts w:hint="eastAsia"/>
                <w:b w:val="0"/>
                <w:bCs/>
                <w:color w:val="FF0000"/>
                <w:szCs w:val="21"/>
                <w:lang w:eastAsia="zh-CN"/>
              </w:rPr>
              <w:t>）</w:t>
            </w:r>
          </w:p>
        </w:tc>
        <w:tc>
          <w:tcPr>
            <w:tcW w:w="3045" w:type="dxa"/>
            <w:shd w:val="clear" w:color="auto" w:fill="auto"/>
            <w:vAlign w:val="top"/>
          </w:tcPr>
          <w:p w14:paraId="17FD58E9">
            <w:pPr>
              <w:keepNext w:val="0"/>
              <w:keepLines w:val="0"/>
              <w:suppressLineNumbers w:val="0"/>
              <w:spacing w:before="0" w:beforeAutospacing="0" w:after="0" w:afterAutospacing="0"/>
              <w:ind w:left="0" w:right="0"/>
              <w:rPr>
                <w:rFonts w:hint="eastAsia" w:ascii="Times New Roman" w:hAnsi="Times New Roman" w:eastAsia="宋体" w:cs="Times New Roman"/>
                <w:color w:val="FF0000"/>
                <w:kern w:val="2"/>
                <w:sz w:val="21"/>
                <w:szCs w:val="21"/>
                <w:lang w:val="en-US" w:eastAsia="zh-CN" w:bidi="ar-SA"/>
              </w:rPr>
            </w:pPr>
            <w:r>
              <w:rPr>
                <w:rFonts w:hint="eastAsia" w:eastAsia="宋体"/>
                <w:color w:val="FF0000"/>
                <w:szCs w:val="21"/>
                <w:lang w:val="en-US" w:eastAsia="zh-CN"/>
              </w:rPr>
              <w:t>★</w:t>
            </w:r>
            <w:r>
              <w:rPr>
                <w:rFonts w:hint="eastAsia"/>
                <w:color w:val="FF0000"/>
                <w:szCs w:val="21"/>
                <w:lang w:val="en-US" w:eastAsia="zh-CN"/>
              </w:rPr>
              <w:t>2</w:t>
            </w:r>
            <w:r>
              <w:rPr>
                <w:rFonts w:hint="eastAsia" w:eastAsia="宋体"/>
                <w:color w:val="FF0000"/>
                <w:szCs w:val="21"/>
                <w:lang w:val="en-US" w:eastAsia="zh-CN"/>
              </w:rPr>
              <w:t>.1物理接口：1.≥48个GE端口。2.≥4个万兆光，实配4个万兆多模光模块。3.每台实配1条3米堆叠线。</w:t>
            </w:r>
          </w:p>
        </w:tc>
        <w:tc>
          <w:tcPr>
            <w:tcW w:w="1335" w:type="dxa"/>
            <w:shd w:val="clear" w:color="auto" w:fill="auto"/>
            <w:vAlign w:val="top"/>
          </w:tcPr>
          <w:p w14:paraId="1FE9912E">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470" w:type="dxa"/>
            <w:shd w:val="clear" w:color="auto" w:fill="auto"/>
            <w:vAlign w:val="top"/>
          </w:tcPr>
          <w:p w14:paraId="7EDD7CB9">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720" w:type="dxa"/>
            <w:shd w:val="clear" w:color="auto" w:fill="auto"/>
            <w:vAlign w:val="top"/>
          </w:tcPr>
          <w:p w14:paraId="2941E7F7">
            <w:pPr>
              <w:keepNext w:val="0"/>
              <w:keepLines w:val="0"/>
              <w:suppressLineNumbers w:val="0"/>
              <w:spacing w:before="0" w:beforeAutospacing="0" w:after="0" w:afterAutospacing="0"/>
              <w:ind w:left="0" w:right="0"/>
              <w:rPr>
                <w:rFonts w:hint="eastAsia" w:eastAsia="宋体"/>
                <w:color w:val="FF0000"/>
                <w:szCs w:val="21"/>
                <w:lang w:val="en-US" w:eastAsia="zh-CN"/>
              </w:rPr>
            </w:pPr>
          </w:p>
        </w:tc>
      </w:tr>
      <w:tr w14:paraId="0942C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atLeast"/>
        </w:trPr>
        <w:tc>
          <w:tcPr>
            <w:tcW w:w="669" w:type="dxa"/>
            <w:vAlign w:val="center"/>
          </w:tcPr>
          <w:p w14:paraId="55E94C25">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8</w:t>
            </w:r>
          </w:p>
        </w:tc>
        <w:tc>
          <w:tcPr>
            <w:tcW w:w="975" w:type="dxa"/>
            <w:vMerge w:val="continue"/>
            <w:shd w:val="clear" w:color="auto" w:fill="auto"/>
            <w:vAlign w:val="center"/>
          </w:tcPr>
          <w:p w14:paraId="5FCD1B0E">
            <w:pPr>
              <w:keepNext w:val="0"/>
              <w:keepLines w:val="0"/>
              <w:suppressLineNumbers w:val="0"/>
              <w:spacing w:before="0" w:beforeAutospacing="0" w:after="0" w:afterAutospacing="0"/>
              <w:ind w:left="0" w:right="0"/>
              <w:jc w:val="center"/>
              <w:rPr>
                <w:rFonts w:hint="eastAsia" w:eastAsia="宋体"/>
                <w:color w:val="FF0000"/>
                <w:szCs w:val="21"/>
                <w:lang w:val="en-US" w:eastAsia="zh-CN"/>
              </w:rPr>
            </w:pPr>
          </w:p>
        </w:tc>
        <w:tc>
          <w:tcPr>
            <w:tcW w:w="3045" w:type="dxa"/>
            <w:shd w:val="clear" w:color="auto" w:fill="auto"/>
            <w:vAlign w:val="top"/>
          </w:tcPr>
          <w:p w14:paraId="6E9A42FA">
            <w:pPr>
              <w:keepNext w:val="0"/>
              <w:keepLines w:val="0"/>
              <w:suppressLineNumbers w:val="0"/>
              <w:spacing w:before="0" w:beforeAutospacing="0" w:after="0" w:afterAutospacing="0"/>
              <w:ind w:left="0" w:right="0"/>
              <w:rPr>
                <w:rFonts w:hint="eastAsia" w:ascii="Times New Roman" w:hAnsi="Times New Roman" w:eastAsia="宋体" w:cs="Times New Roman"/>
                <w:color w:val="FF0000"/>
                <w:kern w:val="2"/>
                <w:sz w:val="21"/>
                <w:szCs w:val="21"/>
                <w:lang w:val="en-US" w:eastAsia="zh-CN" w:bidi="ar-SA"/>
              </w:rPr>
            </w:pPr>
            <w:r>
              <w:rPr>
                <w:rFonts w:hint="eastAsia" w:eastAsia="宋体"/>
                <w:color w:val="FF0000"/>
                <w:szCs w:val="21"/>
                <w:lang w:val="en-US" w:eastAsia="zh-CN"/>
              </w:rPr>
              <w:t>★</w:t>
            </w:r>
            <w:r>
              <w:rPr>
                <w:rFonts w:hint="eastAsia"/>
                <w:color w:val="FF0000"/>
                <w:szCs w:val="21"/>
                <w:lang w:val="en-US" w:eastAsia="zh-CN"/>
              </w:rPr>
              <w:t>2</w:t>
            </w:r>
            <w:r>
              <w:rPr>
                <w:rFonts w:hint="eastAsia" w:eastAsia="宋体"/>
                <w:color w:val="FF0000"/>
                <w:szCs w:val="21"/>
                <w:lang w:val="en-US" w:eastAsia="zh-CN"/>
              </w:rPr>
              <w:t>.2技术要求：1.背板带宽≥2Tbps。2.包转发率≥600Mpps。3.支持IPv6。4.支持堆叠。5.支持RADIUS/Tacacs+方式进行AAA认证。6.支持NTP时间同步。7.支持SSH登录方式。8.支持本地端口镜像和远程端口镜像。9.支持syslog。</w:t>
            </w:r>
          </w:p>
        </w:tc>
        <w:tc>
          <w:tcPr>
            <w:tcW w:w="1335" w:type="dxa"/>
            <w:shd w:val="clear" w:color="auto" w:fill="auto"/>
            <w:vAlign w:val="top"/>
          </w:tcPr>
          <w:p w14:paraId="536010AF">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470" w:type="dxa"/>
            <w:shd w:val="clear" w:color="auto" w:fill="auto"/>
            <w:vAlign w:val="top"/>
          </w:tcPr>
          <w:p w14:paraId="7716C776">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720" w:type="dxa"/>
            <w:shd w:val="clear" w:color="auto" w:fill="auto"/>
            <w:vAlign w:val="top"/>
          </w:tcPr>
          <w:p w14:paraId="0862A127">
            <w:pPr>
              <w:keepNext w:val="0"/>
              <w:keepLines w:val="0"/>
              <w:suppressLineNumbers w:val="0"/>
              <w:spacing w:before="0" w:beforeAutospacing="0" w:after="0" w:afterAutospacing="0"/>
              <w:ind w:left="0" w:right="0"/>
              <w:rPr>
                <w:rFonts w:hint="eastAsia" w:eastAsia="宋体"/>
                <w:color w:val="FF0000"/>
                <w:szCs w:val="21"/>
                <w:lang w:val="en-US" w:eastAsia="zh-CN"/>
              </w:rPr>
            </w:pPr>
          </w:p>
        </w:tc>
      </w:tr>
      <w:tr w14:paraId="728A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atLeast"/>
        </w:trPr>
        <w:tc>
          <w:tcPr>
            <w:tcW w:w="669" w:type="dxa"/>
            <w:vAlign w:val="center"/>
          </w:tcPr>
          <w:p w14:paraId="445096AF">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9</w:t>
            </w:r>
          </w:p>
        </w:tc>
        <w:tc>
          <w:tcPr>
            <w:tcW w:w="975" w:type="dxa"/>
            <w:vMerge w:val="continue"/>
            <w:shd w:val="clear" w:color="auto" w:fill="auto"/>
            <w:vAlign w:val="center"/>
          </w:tcPr>
          <w:p w14:paraId="0BF91064">
            <w:pPr>
              <w:keepNext w:val="0"/>
              <w:keepLines w:val="0"/>
              <w:suppressLineNumbers w:val="0"/>
              <w:spacing w:before="0" w:beforeAutospacing="0" w:after="0" w:afterAutospacing="0"/>
              <w:ind w:left="0" w:leftChars="0" w:right="0" w:rightChars="0"/>
              <w:jc w:val="center"/>
              <w:rPr>
                <w:rFonts w:hint="eastAsia" w:eastAsia="宋体"/>
                <w:b/>
                <w:bCs/>
                <w:color w:val="FF0000"/>
                <w:szCs w:val="21"/>
                <w:highlight w:val="yellow"/>
                <w:lang w:val="en-US" w:eastAsia="zh-CN"/>
              </w:rPr>
            </w:pPr>
          </w:p>
        </w:tc>
        <w:tc>
          <w:tcPr>
            <w:tcW w:w="3045" w:type="dxa"/>
            <w:shd w:val="clear" w:color="auto" w:fill="auto"/>
            <w:vAlign w:val="top"/>
          </w:tcPr>
          <w:p w14:paraId="654946B6">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2</w:t>
            </w:r>
            <w:r>
              <w:rPr>
                <w:rFonts w:hint="eastAsia" w:eastAsia="宋体"/>
                <w:color w:val="FF0000"/>
                <w:szCs w:val="21"/>
                <w:lang w:val="en-US" w:eastAsia="zh-CN"/>
              </w:rPr>
              <w:t>.3入网许可：具有《电信设备进网许可证》，设备及其型号需与入网证一致。</w:t>
            </w:r>
          </w:p>
          <w:p w14:paraId="50842AFB">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color w:val="FF0000"/>
                <w:kern w:val="2"/>
                <w:sz w:val="21"/>
                <w:szCs w:val="21"/>
                <w:lang w:val="en-US" w:eastAsia="zh-CN" w:bidi="ar-SA"/>
              </w:rPr>
            </w:pPr>
            <w:r>
              <w:rPr>
                <w:rFonts w:hint="eastAsia" w:eastAsia="宋体"/>
                <w:b/>
                <w:bCs/>
                <w:color w:val="FF0000"/>
                <w:szCs w:val="21"/>
                <w:highlight w:val="yellow"/>
                <w:lang w:val="en-US" w:eastAsia="zh-CN"/>
              </w:rPr>
              <w:t>投标人还需提供承诺函（格式自拟加盖公章），承诺中标后提供《电信设备进网许可证》且设备及其型号需与入网证一致。</w:t>
            </w:r>
          </w:p>
        </w:tc>
        <w:tc>
          <w:tcPr>
            <w:tcW w:w="1335" w:type="dxa"/>
            <w:shd w:val="clear" w:color="auto" w:fill="auto"/>
            <w:vAlign w:val="top"/>
          </w:tcPr>
          <w:p w14:paraId="19B9D1B6">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p>
        </w:tc>
        <w:tc>
          <w:tcPr>
            <w:tcW w:w="1470" w:type="dxa"/>
            <w:shd w:val="clear" w:color="auto" w:fill="auto"/>
            <w:vAlign w:val="top"/>
          </w:tcPr>
          <w:p w14:paraId="19C5203A">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p>
        </w:tc>
        <w:tc>
          <w:tcPr>
            <w:tcW w:w="720" w:type="dxa"/>
            <w:shd w:val="clear" w:color="auto" w:fill="auto"/>
            <w:vAlign w:val="top"/>
          </w:tcPr>
          <w:p w14:paraId="48388A34">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p>
        </w:tc>
      </w:tr>
      <w:tr w14:paraId="3BC82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69" w:type="dxa"/>
            <w:vAlign w:val="center"/>
          </w:tcPr>
          <w:p w14:paraId="1169F8C4">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10</w:t>
            </w:r>
          </w:p>
        </w:tc>
        <w:tc>
          <w:tcPr>
            <w:tcW w:w="975" w:type="dxa"/>
            <w:vMerge w:val="continue"/>
            <w:shd w:val="clear" w:color="auto" w:fill="auto"/>
            <w:vAlign w:val="center"/>
          </w:tcPr>
          <w:p w14:paraId="0F6AA75C">
            <w:pPr>
              <w:keepNext w:val="0"/>
              <w:keepLines w:val="0"/>
              <w:suppressLineNumbers w:val="0"/>
              <w:spacing w:before="0" w:beforeAutospacing="0" w:after="0" w:afterAutospacing="0"/>
              <w:ind w:left="0" w:leftChars="0" w:right="0" w:rightChars="0"/>
              <w:jc w:val="center"/>
              <w:rPr>
                <w:rFonts w:hint="eastAsia" w:eastAsia="宋体"/>
                <w:color w:val="FF0000"/>
                <w:szCs w:val="21"/>
                <w:lang w:val="en-US" w:eastAsia="zh-CN"/>
              </w:rPr>
            </w:pPr>
          </w:p>
        </w:tc>
        <w:tc>
          <w:tcPr>
            <w:tcW w:w="3045" w:type="dxa"/>
            <w:shd w:val="clear" w:color="auto" w:fill="auto"/>
            <w:vAlign w:val="top"/>
          </w:tcPr>
          <w:p w14:paraId="3C603A83">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color w:val="FF0000"/>
                <w:kern w:val="2"/>
                <w:sz w:val="21"/>
                <w:szCs w:val="21"/>
                <w:lang w:val="en-US" w:eastAsia="zh-CN" w:bidi="ar-SA"/>
              </w:rPr>
            </w:pPr>
            <w:r>
              <w:rPr>
                <w:rFonts w:hint="eastAsia" w:eastAsia="宋体"/>
                <w:color w:val="FF0000"/>
                <w:szCs w:val="21"/>
                <w:lang w:val="en-US" w:eastAsia="zh-CN"/>
              </w:rPr>
              <w:t>★</w:t>
            </w:r>
            <w:r>
              <w:rPr>
                <w:rFonts w:hint="eastAsia"/>
                <w:color w:val="FF0000"/>
                <w:szCs w:val="21"/>
                <w:lang w:val="en-US" w:eastAsia="zh-CN"/>
              </w:rPr>
              <w:t>2</w:t>
            </w:r>
            <w:r>
              <w:rPr>
                <w:rFonts w:hint="eastAsia" w:eastAsia="宋体"/>
                <w:color w:val="FF0000"/>
                <w:szCs w:val="21"/>
                <w:lang w:val="en-US" w:eastAsia="zh-CN"/>
              </w:rPr>
              <w:t>.</w:t>
            </w:r>
            <w:r>
              <w:rPr>
                <w:rFonts w:hint="eastAsia"/>
                <w:color w:val="FF0000"/>
                <w:szCs w:val="21"/>
                <w:lang w:val="en-US" w:eastAsia="zh-CN"/>
              </w:rPr>
              <w:t>4</w:t>
            </w:r>
            <w:r>
              <w:rPr>
                <w:rFonts w:hint="eastAsia" w:eastAsia="宋体"/>
                <w:color w:val="FF0000"/>
                <w:szCs w:val="21"/>
                <w:lang w:val="en-US" w:eastAsia="zh-CN"/>
              </w:rPr>
              <w:t xml:space="preserve"> 硬件规格：满配冗余电源，满配冗余风扇。</w:t>
            </w:r>
          </w:p>
        </w:tc>
        <w:tc>
          <w:tcPr>
            <w:tcW w:w="1335" w:type="dxa"/>
            <w:shd w:val="clear" w:color="auto" w:fill="auto"/>
            <w:vAlign w:val="top"/>
          </w:tcPr>
          <w:p w14:paraId="1341A8C3">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1470" w:type="dxa"/>
            <w:shd w:val="clear" w:color="auto" w:fill="auto"/>
            <w:vAlign w:val="top"/>
          </w:tcPr>
          <w:p w14:paraId="7D47877F">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720" w:type="dxa"/>
            <w:shd w:val="clear" w:color="auto" w:fill="auto"/>
            <w:vAlign w:val="top"/>
          </w:tcPr>
          <w:p w14:paraId="557BAD96">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r>
      <w:tr w14:paraId="0E389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69" w:type="dxa"/>
            <w:vAlign w:val="center"/>
          </w:tcPr>
          <w:p w14:paraId="03CA2F9E">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11</w:t>
            </w:r>
          </w:p>
        </w:tc>
        <w:tc>
          <w:tcPr>
            <w:tcW w:w="975" w:type="dxa"/>
            <w:vMerge w:val="continue"/>
            <w:shd w:val="clear" w:color="auto" w:fill="auto"/>
            <w:vAlign w:val="center"/>
          </w:tcPr>
          <w:p w14:paraId="7BF59DF7">
            <w:pPr>
              <w:keepNext w:val="0"/>
              <w:keepLines w:val="0"/>
              <w:suppressLineNumbers w:val="0"/>
              <w:spacing w:before="0" w:beforeAutospacing="0" w:after="0" w:afterAutospacing="0"/>
              <w:ind w:left="0" w:leftChars="0" w:right="0" w:rightChars="0"/>
              <w:jc w:val="center"/>
              <w:rPr>
                <w:rFonts w:hint="eastAsia" w:eastAsia="宋体"/>
                <w:color w:val="FF0000"/>
                <w:szCs w:val="21"/>
                <w:lang w:val="en-US" w:eastAsia="zh-CN"/>
              </w:rPr>
            </w:pPr>
          </w:p>
        </w:tc>
        <w:tc>
          <w:tcPr>
            <w:tcW w:w="3045" w:type="dxa"/>
            <w:shd w:val="clear" w:color="auto" w:fill="auto"/>
            <w:vAlign w:val="top"/>
          </w:tcPr>
          <w:p w14:paraId="67DFC19D">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color w:val="FF0000"/>
                <w:kern w:val="2"/>
                <w:sz w:val="21"/>
                <w:szCs w:val="21"/>
                <w:lang w:val="en-US" w:eastAsia="zh-CN" w:bidi="ar-SA"/>
              </w:rPr>
            </w:pPr>
            <w:r>
              <w:rPr>
                <w:rFonts w:hint="eastAsia" w:eastAsia="宋体"/>
                <w:color w:val="FF0000"/>
                <w:szCs w:val="21"/>
                <w:lang w:val="en-US" w:eastAsia="zh-CN"/>
              </w:rPr>
              <w:t>★</w:t>
            </w:r>
            <w:r>
              <w:rPr>
                <w:rFonts w:hint="eastAsia"/>
                <w:color w:val="FF0000"/>
                <w:szCs w:val="21"/>
                <w:lang w:val="en-US" w:eastAsia="zh-CN"/>
              </w:rPr>
              <w:t>2</w:t>
            </w:r>
            <w:r>
              <w:rPr>
                <w:rFonts w:hint="eastAsia" w:eastAsia="宋体"/>
                <w:color w:val="FF0000"/>
                <w:szCs w:val="21"/>
                <w:lang w:val="en-US" w:eastAsia="zh-CN"/>
              </w:rPr>
              <w:t>.</w:t>
            </w:r>
            <w:r>
              <w:rPr>
                <w:rFonts w:hint="eastAsia"/>
                <w:color w:val="FF0000"/>
                <w:szCs w:val="21"/>
                <w:lang w:val="en-US" w:eastAsia="zh-CN"/>
              </w:rPr>
              <w:t>5</w:t>
            </w:r>
            <w:r>
              <w:rPr>
                <w:rFonts w:hint="eastAsia" w:eastAsia="宋体"/>
                <w:color w:val="FF0000"/>
                <w:szCs w:val="21"/>
                <w:lang w:val="en-US" w:eastAsia="zh-CN"/>
              </w:rPr>
              <w:t>芯片：所涉及芯片均为信创芯片。</w:t>
            </w:r>
          </w:p>
        </w:tc>
        <w:tc>
          <w:tcPr>
            <w:tcW w:w="1335" w:type="dxa"/>
            <w:shd w:val="clear" w:color="auto" w:fill="auto"/>
            <w:vAlign w:val="top"/>
          </w:tcPr>
          <w:p w14:paraId="543F04B8">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1470" w:type="dxa"/>
            <w:shd w:val="clear" w:color="auto" w:fill="auto"/>
            <w:vAlign w:val="top"/>
          </w:tcPr>
          <w:p w14:paraId="421094FA">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720" w:type="dxa"/>
            <w:shd w:val="clear" w:color="auto" w:fill="auto"/>
            <w:vAlign w:val="top"/>
          </w:tcPr>
          <w:p w14:paraId="23089861">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r>
      <w:tr w14:paraId="799FC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669" w:type="dxa"/>
            <w:vAlign w:val="center"/>
          </w:tcPr>
          <w:p w14:paraId="3B8696FD">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12</w:t>
            </w:r>
          </w:p>
        </w:tc>
        <w:tc>
          <w:tcPr>
            <w:tcW w:w="975" w:type="dxa"/>
            <w:vMerge w:val="restart"/>
            <w:shd w:val="clear" w:color="auto" w:fill="auto"/>
            <w:vAlign w:val="center"/>
          </w:tcPr>
          <w:p w14:paraId="0535C41F">
            <w:pPr>
              <w:keepNext w:val="0"/>
              <w:keepLines w:val="0"/>
              <w:suppressLineNumbers w:val="0"/>
              <w:spacing w:before="0" w:beforeAutospacing="0" w:after="0" w:afterAutospacing="0"/>
              <w:ind w:left="0" w:leftChars="0" w:right="0" w:rightChars="0"/>
              <w:jc w:val="center"/>
              <w:rPr>
                <w:rFonts w:hint="eastAsia" w:eastAsia="宋体"/>
                <w:color w:val="FF0000"/>
                <w:szCs w:val="21"/>
                <w:lang w:val="en-US" w:eastAsia="zh-CN"/>
              </w:rPr>
            </w:pPr>
            <w:r>
              <w:rPr>
                <w:rFonts w:hint="eastAsia"/>
                <w:b w:val="0"/>
                <w:bCs/>
                <w:color w:val="FF0000"/>
                <w:szCs w:val="21"/>
                <w:lang w:eastAsia="zh-CN"/>
              </w:rPr>
              <w:t>交换机（</w:t>
            </w:r>
            <w:r>
              <w:rPr>
                <w:rFonts w:hint="eastAsia"/>
                <w:b w:val="0"/>
                <w:bCs/>
                <w:color w:val="FF0000"/>
                <w:szCs w:val="21"/>
                <w:lang w:val="en-US" w:eastAsia="zh-CN"/>
              </w:rPr>
              <w:t>外联</w:t>
            </w:r>
            <w:r>
              <w:rPr>
                <w:rFonts w:hint="eastAsia"/>
                <w:b w:val="0"/>
                <w:bCs/>
                <w:color w:val="FF0000"/>
                <w:szCs w:val="21"/>
              </w:rPr>
              <w:t>交换机</w:t>
            </w:r>
            <w:r>
              <w:rPr>
                <w:rFonts w:hint="eastAsia"/>
                <w:b w:val="0"/>
                <w:bCs/>
                <w:color w:val="FF0000"/>
                <w:szCs w:val="21"/>
                <w:lang w:eastAsia="zh-CN"/>
              </w:rPr>
              <w:t>）</w:t>
            </w:r>
          </w:p>
        </w:tc>
        <w:tc>
          <w:tcPr>
            <w:tcW w:w="3045" w:type="dxa"/>
            <w:shd w:val="clear" w:color="auto" w:fill="auto"/>
            <w:vAlign w:val="top"/>
          </w:tcPr>
          <w:p w14:paraId="35DE280D">
            <w:pPr>
              <w:keepNext w:val="0"/>
              <w:keepLines w:val="0"/>
              <w:suppressLineNumbers w:val="0"/>
              <w:spacing w:before="0" w:beforeAutospacing="0" w:after="0" w:afterAutospacing="0"/>
              <w:ind w:left="0" w:right="0"/>
              <w:rPr>
                <w:rFonts w:hint="eastAsia" w:ascii="Times New Roman" w:hAnsi="Times New Roman" w:eastAsia="宋体" w:cs="Times New Roman"/>
                <w:color w:val="FF0000"/>
                <w:kern w:val="2"/>
                <w:sz w:val="21"/>
                <w:szCs w:val="21"/>
                <w:lang w:val="en-US" w:eastAsia="zh-CN" w:bidi="ar-SA"/>
              </w:rPr>
            </w:pPr>
            <w:r>
              <w:rPr>
                <w:rFonts w:hint="eastAsia" w:eastAsia="宋体"/>
                <w:color w:val="FF0000"/>
                <w:szCs w:val="21"/>
                <w:lang w:val="en-US" w:eastAsia="zh-CN"/>
              </w:rPr>
              <w:t>★</w:t>
            </w:r>
            <w:r>
              <w:rPr>
                <w:rFonts w:hint="eastAsia"/>
                <w:color w:val="FF0000"/>
                <w:szCs w:val="21"/>
                <w:lang w:val="en-US" w:eastAsia="zh-CN"/>
              </w:rPr>
              <w:t>3</w:t>
            </w:r>
            <w:r>
              <w:rPr>
                <w:rFonts w:hint="eastAsia" w:eastAsia="宋体"/>
                <w:color w:val="FF0000"/>
                <w:szCs w:val="21"/>
                <w:lang w:val="en-US" w:eastAsia="zh-CN"/>
              </w:rPr>
              <w:t>.1物理接口：1.≥24个GE端口。2.≥4个万兆光口端口，实配4个万兆多模光模块。3.每台实配1条3米堆叠线。</w:t>
            </w:r>
          </w:p>
        </w:tc>
        <w:tc>
          <w:tcPr>
            <w:tcW w:w="1335" w:type="dxa"/>
            <w:shd w:val="clear" w:color="auto" w:fill="auto"/>
            <w:vAlign w:val="top"/>
          </w:tcPr>
          <w:p w14:paraId="73B58EF1">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470" w:type="dxa"/>
            <w:shd w:val="clear" w:color="auto" w:fill="auto"/>
            <w:vAlign w:val="top"/>
          </w:tcPr>
          <w:p w14:paraId="3A385A06">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720" w:type="dxa"/>
            <w:shd w:val="clear" w:color="auto" w:fill="auto"/>
            <w:vAlign w:val="top"/>
          </w:tcPr>
          <w:p w14:paraId="234C7675">
            <w:pPr>
              <w:keepNext w:val="0"/>
              <w:keepLines w:val="0"/>
              <w:suppressLineNumbers w:val="0"/>
              <w:spacing w:before="0" w:beforeAutospacing="0" w:after="0" w:afterAutospacing="0"/>
              <w:ind w:left="0" w:right="0"/>
              <w:rPr>
                <w:rFonts w:hint="eastAsia" w:eastAsia="宋体"/>
                <w:color w:val="FF0000"/>
                <w:szCs w:val="21"/>
                <w:lang w:val="en-US" w:eastAsia="zh-CN"/>
              </w:rPr>
            </w:pPr>
          </w:p>
        </w:tc>
      </w:tr>
      <w:tr w14:paraId="1B111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atLeast"/>
        </w:trPr>
        <w:tc>
          <w:tcPr>
            <w:tcW w:w="669" w:type="dxa"/>
            <w:vAlign w:val="center"/>
          </w:tcPr>
          <w:p w14:paraId="478C89A1">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13</w:t>
            </w:r>
          </w:p>
        </w:tc>
        <w:tc>
          <w:tcPr>
            <w:tcW w:w="975" w:type="dxa"/>
            <w:vMerge w:val="continue"/>
            <w:shd w:val="clear" w:color="auto" w:fill="auto"/>
            <w:vAlign w:val="center"/>
          </w:tcPr>
          <w:p w14:paraId="7383032A">
            <w:pPr>
              <w:keepNext w:val="0"/>
              <w:keepLines w:val="0"/>
              <w:suppressLineNumbers w:val="0"/>
              <w:spacing w:before="0" w:beforeAutospacing="0" w:after="0" w:afterAutospacing="0"/>
              <w:ind w:left="0" w:right="0"/>
              <w:jc w:val="center"/>
              <w:rPr>
                <w:rFonts w:hint="eastAsia" w:eastAsia="宋体"/>
                <w:color w:val="FF0000"/>
                <w:szCs w:val="21"/>
                <w:lang w:val="en-US" w:eastAsia="zh-CN"/>
              </w:rPr>
            </w:pPr>
          </w:p>
        </w:tc>
        <w:tc>
          <w:tcPr>
            <w:tcW w:w="3045" w:type="dxa"/>
            <w:shd w:val="clear" w:color="auto" w:fill="auto"/>
            <w:vAlign w:val="top"/>
          </w:tcPr>
          <w:p w14:paraId="25AB8263">
            <w:pPr>
              <w:keepNext w:val="0"/>
              <w:keepLines w:val="0"/>
              <w:suppressLineNumbers w:val="0"/>
              <w:spacing w:before="0" w:beforeAutospacing="0" w:after="0" w:afterAutospacing="0"/>
              <w:ind w:left="0" w:right="0"/>
              <w:rPr>
                <w:rFonts w:hint="eastAsia" w:ascii="Times New Roman" w:hAnsi="Times New Roman" w:eastAsia="宋体" w:cs="Times New Roman"/>
                <w:color w:val="FF0000"/>
                <w:kern w:val="2"/>
                <w:sz w:val="21"/>
                <w:szCs w:val="21"/>
                <w:lang w:val="en-US" w:eastAsia="zh-CN" w:bidi="ar-SA"/>
              </w:rPr>
            </w:pPr>
            <w:r>
              <w:rPr>
                <w:rFonts w:hint="eastAsia" w:eastAsia="宋体"/>
                <w:color w:val="FF0000"/>
                <w:szCs w:val="21"/>
                <w:lang w:val="en-US" w:eastAsia="zh-CN"/>
              </w:rPr>
              <w:t>★</w:t>
            </w:r>
            <w:r>
              <w:rPr>
                <w:rFonts w:hint="eastAsia"/>
                <w:color w:val="FF0000"/>
                <w:szCs w:val="21"/>
                <w:lang w:val="en-US" w:eastAsia="zh-CN"/>
              </w:rPr>
              <w:t>3</w:t>
            </w:r>
            <w:r>
              <w:rPr>
                <w:rFonts w:hint="eastAsia" w:eastAsia="宋体"/>
                <w:color w:val="FF0000"/>
                <w:szCs w:val="21"/>
                <w:lang w:val="en-US" w:eastAsia="zh-CN"/>
              </w:rPr>
              <w:t>.2技术要求：1.背板带宽≥2Tbps。2.包转发率≥600Mpps。3.支持IPv6。4.支持堆叠。5.支持RADIUS/Tacacs+方式进行AAA认证。6.支持NTP时间同步。7.支持SSH登录方式。8.支持本地端口镜像和远程端口镜像。9.支持syslog。</w:t>
            </w:r>
          </w:p>
        </w:tc>
        <w:tc>
          <w:tcPr>
            <w:tcW w:w="1335" w:type="dxa"/>
            <w:shd w:val="clear" w:color="auto" w:fill="auto"/>
            <w:vAlign w:val="top"/>
          </w:tcPr>
          <w:p w14:paraId="148A5459">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470" w:type="dxa"/>
            <w:shd w:val="clear" w:color="auto" w:fill="auto"/>
            <w:vAlign w:val="top"/>
          </w:tcPr>
          <w:p w14:paraId="198B69BF">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720" w:type="dxa"/>
            <w:shd w:val="clear" w:color="auto" w:fill="auto"/>
            <w:vAlign w:val="top"/>
          </w:tcPr>
          <w:p w14:paraId="4497E501">
            <w:pPr>
              <w:keepNext w:val="0"/>
              <w:keepLines w:val="0"/>
              <w:suppressLineNumbers w:val="0"/>
              <w:spacing w:before="0" w:beforeAutospacing="0" w:after="0" w:afterAutospacing="0"/>
              <w:ind w:left="0" w:right="0"/>
              <w:rPr>
                <w:rFonts w:hint="eastAsia" w:eastAsia="宋体"/>
                <w:color w:val="FF0000"/>
                <w:szCs w:val="21"/>
                <w:lang w:val="en-US" w:eastAsia="zh-CN"/>
              </w:rPr>
            </w:pPr>
          </w:p>
        </w:tc>
      </w:tr>
      <w:tr w14:paraId="1F3ED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atLeast"/>
        </w:trPr>
        <w:tc>
          <w:tcPr>
            <w:tcW w:w="669" w:type="dxa"/>
            <w:vAlign w:val="center"/>
          </w:tcPr>
          <w:p w14:paraId="3F885F5A">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14</w:t>
            </w:r>
          </w:p>
        </w:tc>
        <w:tc>
          <w:tcPr>
            <w:tcW w:w="975" w:type="dxa"/>
            <w:vMerge w:val="continue"/>
            <w:shd w:val="clear" w:color="auto" w:fill="auto"/>
            <w:vAlign w:val="center"/>
          </w:tcPr>
          <w:p w14:paraId="157D5517">
            <w:pPr>
              <w:keepNext w:val="0"/>
              <w:keepLines w:val="0"/>
              <w:suppressLineNumbers w:val="0"/>
              <w:spacing w:before="0" w:beforeAutospacing="0" w:after="0" w:afterAutospacing="0"/>
              <w:ind w:left="0" w:leftChars="0" w:right="0" w:rightChars="0"/>
              <w:jc w:val="center"/>
              <w:rPr>
                <w:rFonts w:hint="eastAsia" w:eastAsia="宋体"/>
                <w:b/>
                <w:bCs/>
                <w:color w:val="FF0000"/>
                <w:szCs w:val="21"/>
                <w:highlight w:val="yellow"/>
                <w:lang w:val="en-US" w:eastAsia="zh-CN"/>
              </w:rPr>
            </w:pPr>
          </w:p>
        </w:tc>
        <w:tc>
          <w:tcPr>
            <w:tcW w:w="3045" w:type="dxa"/>
            <w:shd w:val="clear" w:color="auto" w:fill="auto"/>
            <w:vAlign w:val="top"/>
          </w:tcPr>
          <w:p w14:paraId="1A27E008">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3</w:t>
            </w:r>
            <w:r>
              <w:rPr>
                <w:rFonts w:hint="eastAsia" w:eastAsia="宋体"/>
                <w:color w:val="FF0000"/>
                <w:szCs w:val="21"/>
                <w:lang w:val="en-US" w:eastAsia="zh-CN"/>
              </w:rPr>
              <w:t>.3入网许可：具有《电信设备进网许可证》，设备及其型号需与入网证一致。</w:t>
            </w:r>
          </w:p>
          <w:p w14:paraId="5D24FE14">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color w:val="FF0000"/>
                <w:kern w:val="2"/>
                <w:sz w:val="21"/>
                <w:szCs w:val="21"/>
                <w:lang w:val="en-US" w:eastAsia="zh-CN" w:bidi="ar-SA"/>
              </w:rPr>
            </w:pPr>
            <w:r>
              <w:rPr>
                <w:rFonts w:hint="eastAsia" w:eastAsia="宋体"/>
                <w:b/>
                <w:bCs/>
                <w:color w:val="FF0000"/>
                <w:szCs w:val="21"/>
                <w:highlight w:val="yellow"/>
                <w:lang w:val="en-US" w:eastAsia="zh-CN"/>
              </w:rPr>
              <w:t>投标人还需</w:t>
            </w:r>
            <w:r>
              <w:rPr>
                <w:rFonts w:hint="eastAsia"/>
                <w:b/>
                <w:bCs/>
                <w:color w:val="FF0000"/>
                <w:szCs w:val="21"/>
                <w:highlight w:val="yellow"/>
                <w:lang w:val="en-US" w:eastAsia="zh-CN"/>
              </w:rPr>
              <w:t>提供承诺函（格式自拟加盖公章），承诺中标后提供《电信设备进网许可证》且设备及其型号需与入网证一致。</w:t>
            </w:r>
          </w:p>
        </w:tc>
        <w:tc>
          <w:tcPr>
            <w:tcW w:w="1335" w:type="dxa"/>
            <w:shd w:val="clear" w:color="auto" w:fill="auto"/>
            <w:vAlign w:val="top"/>
          </w:tcPr>
          <w:p w14:paraId="4CD8911A">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p>
        </w:tc>
        <w:tc>
          <w:tcPr>
            <w:tcW w:w="1470" w:type="dxa"/>
            <w:shd w:val="clear" w:color="auto" w:fill="auto"/>
            <w:vAlign w:val="top"/>
          </w:tcPr>
          <w:p w14:paraId="3F3D0066">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p>
        </w:tc>
        <w:tc>
          <w:tcPr>
            <w:tcW w:w="720" w:type="dxa"/>
            <w:shd w:val="clear" w:color="auto" w:fill="auto"/>
            <w:vAlign w:val="top"/>
          </w:tcPr>
          <w:p w14:paraId="11C61F38">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p>
        </w:tc>
      </w:tr>
      <w:tr w14:paraId="5F3B4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69" w:type="dxa"/>
            <w:vAlign w:val="center"/>
          </w:tcPr>
          <w:p w14:paraId="6AF43C62">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15</w:t>
            </w:r>
          </w:p>
        </w:tc>
        <w:tc>
          <w:tcPr>
            <w:tcW w:w="975" w:type="dxa"/>
            <w:vMerge w:val="continue"/>
            <w:shd w:val="clear" w:color="auto" w:fill="auto"/>
            <w:vAlign w:val="center"/>
          </w:tcPr>
          <w:p w14:paraId="4D1D2A91">
            <w:pPr>
              <w:keepNext w:val="0"/>
              <w:keepLines w:val="0"/>
              <w:suppressLineNumbers w:val="0"/>
              <w:spacing w:before="0" w:beforeAutospacing="0" w:after="0" w:afterAutospacing="0"/>
              <w:ind w:left="0" w:leftChars="0" w:right="0" w:rightChars="0"/>
              <w:jc w:val="center"/>
              <w:rPr>
                <w:rFonts w:hint="eastAsia" w:eastAsia="宋体"/>
                <w:color w:val="FF0000"/>
                <w:szCs w:val="21"/>
                <w:lang w:val="en-US" w:eastAsia="zh-CN"/>
              </w:rPr>
            </w:pPr>
          </w:p>
        </w:tc>
        <w:tc>
          <w:tcPr>
            <w:tcW w:w="3045" w:type="dxa"/>
            <w:shd w:val="clear" w:color="auto" w:fill="auto"/>
            <w:vAlign w:val="top"/>
          </w:tcPr>
          <w:p w14:paraId="588033A3">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b/>
                <w:bCs/>
                <w:color w:val="FF0000"/>
                <w:kern w:val="2"/>
                <w:sz w:val="21"/>
                <w:szCs w:val="21"/>
                <w:highlight w:val="yellow"/>
                <w:lang w:val="en-US" w:eastAsia="zh-CN" w:bidi="ar-SA"/>
              </w:rPr>
            </w:pPr>
            <w:r>
              <w:rPr>
                <w:rFonts w:hint="eastAsia" w:eastAsia="宋体"/>
                <w:color w:val="FF0000"/>
                <w:szCs w:val="21"/>
                <w:lang w:val="en-US" w:eastAsia="zh-CN"/>
              </w:rPr>
              <w:t>★</w:t>
            </w:r>
            <w:r>
              <w:rPr>
                <w:rFonts w:hint="eastAsia"/>
                <w:color w:val="FF0000"/>
                <w:szCs w:val="21"/>
                <w:lang w:val="en-US" w:eastAsia="zh-CN"/>
              </w:rPr>
              <w:t>3</w:t>
            </w:r>
            <w:r>
              <w:rPr>
                <w:rFonts w:hint="eastAsia" w:eastAsia="宋体"/>
                <w:color w:val="FF0000"/>
                <w:szCs w:val="21"/>
                <w:lang w:val="en-US" w:eastAsia="zh-CN"/>
              </w:rPr>
              <w:t>.</w:t>
            </w:r>
            <w:r>
              <w:rPr>
                <w:rFonts w:hint="eastAsia"/>
                <w:color w:val="FF0000"/>
                <w:szCs w:val="21"/>
                <w:lang w:val="en-US" w:eastAsia="zh-CN"/>
              </w:rPr>
              <w:t>4 硬件规格：满配冗余电源，满配冗余风扇。</w:t>
            </w:r>
          </w:p>
        </w:tc>
        <w:tc>
          <w:tcPr>
            <w:tcW w:w="1335" w:type="dxa"/>
            <w:shd w:val="clear" w:color="auto" w:fill="auto"/>
            <w:vAlign w:val="top"/>
          </w:tcPr>
          <w:p w14:paraId="4707F6EA">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1470" w:type="dxa"/>
            <w:shd w:val="clear" w:color="auto" w:fill="auto"/>
            <w:vAlign w:val="top"/>
          </w:tcPr>
          <w:p w14:paraId="38C37440">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720" w:type="dxa"/>
            <w:shd w:val="clear" w:color="auto" w:fill="auto"/>
            <w:vAlign w:val="top"/>
          </w:tcPr>
          <w:p w14:paraId="1809A139">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r>
      <w:tr w14:paraId="56623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69" w:type="dxa"/>
            <w:vAlign w:val="center"/>
          </w:tcPr>
          <w:p w14:paraId="58123ABB">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16</w:t>
            </w:r>
          </w:p>
        </w:tc>
        <w:tc>
          <w:tcPr>
            <w:tcW w:w="975" w:type="dxa"/>
            <w:vMerge w:val="continue"/>
            <w:shd w:val="clear" w:color="auto" w:fill="auto"/>
            <w:vAlign w:val="center"/>
          </w:tcPr>
          <w:p w14:paraId="11B24B00">
            <w:pPr>
              <w:keepNext w:val="0"/>
              <w:keepLines w:val="0"/>
              <w:suppressLineNumbers w:val="0"/>
              <w:spacing w:before="0" w:beforeAutospacing="0" w:after="0" w:afterAutospacing="0"/>
              <w:ind w:left="0" w:leftChars="0" w:right="0" w:rightChars="0"/>
              <w:jc w:val="center"/>
              <w:rPr>
                <w:rFonts w:hint="eastAsia" w:eastAsia="宋体"/>
                <w:color w:val="FF0000"/>
                <w:szCs w:val="21"/>
                <w:lang w:val="en-US" w:eastAsia="zh-CN"/>
              </w:rPr>
            </w:pPr>
          </w:p>
        </w:tc>
        <w:tc>
          <w:tcPr>
            <w:tcW w:w="3045" w:type="dxa"/>
            <w:shd w:val="clear" w:color="auto" w:fill="auto"/>
            <w:vAlign w:val="top"/>
          </w:tcPr>
          <w:p w14:paraId="0DFED986">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b/>
                <w:bCs/>
                <w:color w:val="FF0000"/>
                <w:kern w:val="2"/>
                <w:sz w:val="21"/>
                <w:szCs w:val="21"/>
                <w:highlight w:val="yellow"/>
                <w:lang w:val="en-US" w:eastAsia="zh-CN" w:bidi="ar-SA"/>
              </w:rPr>
            </w:pPr>
            <w:r>
              <w:rPr>
                <w:rFonts w:hint="eastAsia" w:eastAsia="宋体"/>
                <w:color w:val="FF0000"/>
                <w:szCs w:val="21"/>
                <w:lang w:val="en-US" w:eastAsia="zh-CN"/>
              </w:rPr>
              <w:t>★</w:t>
            </w:r>
            <w:r>
              <w:rPr>
                <w:rFonts w:hint="eastAsia"/>
                <w:color w:val="FF0000"/>
                <w:szCs w:val="21"/>
                <w:lang w:val="en-US" w:eastAsia="zh-CN"/>
              </w:rPr>
              <w:t>3</w:t>
            </w:r>
            <w:r>
              <w:rPr>
                <w:rFonts w:hint="eastAsia" w:eastAsia="宋体"/>
                <w:color w:val="FF0000"/>
                <w:szCs w:val="21"/>
                <w:lang w:val="en-US" w:eastAsia="zh-CN"/>
              </w:rPr>
              <w:t>.</w:t>
            </w:r>
            <w:r>
              <w:rPr>
                <w:rFonts w:hint="eastAsia"/>
                <w:color w:val="FF0000"/>
                <w:szCs w:val="21"/>
                <w:lang w:val="en-US" w:eastAsia="zh-CN"/>
              </w:rPr>
              <w:t>5 芯片：所涉及芯片均为信创芯片。</w:t>
            </w:r>
          </w:p>
        </w:tc>
        <w:tc>
          <w:tcPr>
            <w:tcW w:w="1335" w:type="dxa"/>
            <w:shd w:val="clear" w:color="auto" w:fill="auto"/>
            <w:vAlign w:val="top"/>
          </w:tcPr>
          <w:p w14:paraId="5849E163">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1470" w:type="dxa"/>
            <w:shd w:val="clear" w:color="auto" w:fill="auto"/>
            <w:vAlign w:val="top"/>
          </w:tcPr>
          <w:p w14:paraId="71B363A6">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720" w:type="dxa"/>
            <w:shd w:val="clear" w:color="auto" w:fill="auto"/>
            <w:vAlign w:val="top"/>
          </w:tcPr>
          <w:p w14:paraId="28034CA2">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r>
      <w:tr w14:paraId="07E15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atLeast"/>
        </w:trPr>
        <w:tc>
          <w:tcPr>
            <w:tcW w:w="669" w:type="dxa"/>
            <w:vAlign w:val="center"/>
          </w:tcPr>
          <w:p w14:paraId="4BD1985D">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17</w:t>
            </w:r>
          </w:p>
        </w:tc>
        <w:tc>
          <w:tcPr>
            <w:tcW w:w="975" w:type="dxa"/>
            <w:vMerge w:val="restart"/>
            <w:shd w:val="clear" w:color="auto" w:fill="auto"/>
            <w:vAlign w:val="center"/>
          </w:tcPr>
          <w:p w14:paraId="75A632FB">
            <w:pPr>
              <w:keepNext w:val="0"/>
              <w:keepLines w:val="0"/>
              <w:suppressLineNumbers w:val="0"/>
              <w:spacing w:before="0" w:beforeAutospacing="0" w:after="0" w:afterAutospacing="0"/>
              <w:ind w:left="0" w:leftChars="0" w:right="0" w:rightChars="0"/>
              <w:jc w:val="center"/>
              <w:rPr>
                <w:rFonts w:hint="eastAsia" w:eastAsia="宋体"/>
                <w:b w:val="0"/>
                <w:bCs w:val="0"/>
                <w:color w:val="FF0000"/>
                <w:szCs w:val="21"/>
                <w:highlight w:val="none"/>
                <w:lang w:val="en-US" w:eastAsia="zh-CN"/>
              </w:rPr>
            </w:pPr>
            <w:r>
              <w:rPr>
                <w:rFonts w:hint="eastAsia"/>
                <w:b w:val="0"/>
                <w:bCs/>
                <w:color w:val="FF0000"/>
                <w:szCs w:val="21"/>
                <w:lang w:eastAsia="zh-CN"/>
              </w:rPr>
              <w:t>交换机（</w:t>
            </w:r>
            <w:r>
              <w:rPr>
                <w:rFonts w:hint="eastAsia"/>
                <w:b w:val="0"/>
                <w:bCs/>
                <w:color w:val="FF0000"/>
                <w:szCs w:val="21"/>
                <w:lang w:val="en-US" w:eastAsia="zh-CN"/>
              </w:rPr>
              <w:t>生产区万兆接入交换机</w:t>
            </w:r>
            <w:r>
              <w:rPr>
                <w:rFonts w:hint="eastAsia"/>
                <w:b w:val="0"/>
                <w:bCs/>
                <w:color w:val="FF0000"/>
                <w:szCs w:val="21"/>
                <w:lang w:eastAsia="zh-CN"/>
              </w:rPr>
              <w:t>）</w:t>
            </w:r>
          </w:p>
        </w:tc>
        <w:tc>
          <w:tcPr>
            <w:tcW w:w="3045" w:type="dxa"/>
            <w:shd w:val="clear" w:color="auto" w:fill="auto"/>
            <w:vAlign w:val="top"/>
          </w:tcPr>
          <w:p w14:paraId="5D7DE0AB">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4</w:t>
            </w:r>
            <w:r>
              <w:rPr>
                <w:rFonts w:hint="eastAsia" w:eastAsia="宋体"/>
                <w:color w:val="FF0000"/>
                <w:szCs w:val="21"/>
                <w:lang w:val="en-US" w:eastAsia="zh-CN"/>
              </w:rPr>
              <w:t>.1物理接口：</w:t>
            </w:r>
          </w:p>
          <w:p w14:paraId="761B5597">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1.≥24个10G/1G BASE-X SFP+端口，实配24个万兆光转电模块。</w:t>
            </w:r>
          </w:p>
          <w:p w14:paraId="69B8E4F9">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2.≥4个40G QSFP+端口。</w:t>
            </w:r>
          </w:p>
          <w:p w14:paraId="53ED79CE">
            <w:pPr>
              <w:keepNext w:val="0"/>
              <w:keepLines w:val="0"/>
              <w:numPr>
                <w:ilvl w:val="0"/>
                <w:numId w:val="0"/>
              </w:numPr>
              <w:suppressLineNumbers w:val="0"/>
              <w:spacing w:before="0" w:beforeAutospacing="0" w:after="0" w:afterAutospacing="0"/>
              <w:ind w:left="0" w:leftChars="0" w:right="0" w:rightChars="0" w:firstLine="0" w:firstLineChars="0"/>
              <w:rPr>
                <w:rFonts w:hint="eastAsia" w:ascii="Times New Roman" w:hAnsi="Times New Roman" w:eastAsia="宋体" w:cs="Times New Roman"/>
                <w:b/>
                <w:bCs/>
                <w:color w:val="FF0000"/>
                <w:kern w:val="2"/>
                <w:sz w:val="21"/>
                <w:szCs w:val="21"/>
                <w:highlight w:val="yellow"/>
                <w:lang w:val="en-US" w:eastAsia="zh-CN" w:bidi="ar-SA"/>
              </w:rPr>
            </w:pPr>
            <w:r>
              <w:rPr>
                <w:rFonts w:hint="eastAsia" w:eastAsia="宋体"/>
                <w:b w:val="0"/>
                <w:bCs w:val="0"/>
                <w:color w:val="FF0000"/>
                <w:szCs w:val="21"/>
                <w:highlight w:val="none"/>
                <w:lang w:val="en-US" w:eastAsia="zh-CN"/>
              </w:rPr>
              <w:t>3.每台实配1条3米堆叠线。</w:t>
            </w:r>
          </w:p>
        </w:tc>
        <w:tc>
          <w:tcPr>
            <w:tcW w:w="1335" w:type="dxa"/>
            <w:shd w:val="clear" w:color="auto" w:fill="auto"/>
            <w:vAlign w:val="top"/>
          </w:tcPr>
          <w:p w14:paraId="67D77091">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b w:val="0"/>
                <w:bCs w:val="0"/>
                <w:color w:val="FF0000"/>
                <w:szCs w:val="21"/>
                <w:highlight w:val="none"/>
                <w:lang w:val="en-US" w:eastAsia="zh-CN"/>
              </w:rPr>
            </w:pPr>
          </w:p>
        </w:tc>
        <w:tc>
          <w:tcPr>
            <w:tcW w:w="1470" w:type="dxa"/>
            <w:shd w:val="clear" w:color="auto" w:fill="auto"/>
            <w:vAlign w:val="top"/>
          </w:tcPr>
          <w:p w14:paraId="2EF6BC8E">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b w:val="0"/>
                <w:bCs w:val="0"/>
                <w:color w:val="FF0000"/>
                <w:szCs w:val="21"/>
                <w:highlight w:val="none"/>
                <w:lang w:val="en-US" w:eastAsia="zh-CN"/>
              </w:rPr>
            </w:pPr>
          </w:p>
        </w:tc>
        <w:tc>
          <w:tcPr>
            <w:tcW w:w="720" w:type="dxa"/>
            <w:shd w:val="clear" w:color="auto" w:fill="auto"/>
            <w:vAlign w:val="top"/>
          </w:tcPr>
          <w:p w14:paraId="16C2F15F">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b w:val="0"/>
                <w:bCs w:val="0"/>
                <w:color w:val="FF0000"/>
                <w:szCs w:val="21"/>
                <w:highlight w:val="none"/>
                <w:lang w:val="en-US" w:eastAsia="zh-CN"/>
              </w:rPr>
            </w:pPr>
          </w:p>
        </w:tc>
      </w:tr>
      <w:tr w14:paraId="5C09A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0" w:hRule="atLeast"/>
        </w:trPr>
        <w:tc>
          <w:tcPr>
            <w:tcW w:w="669" w:type="dxa"/>
            <w:vAlign w:val="center"/>
          </w:tcPr>
          <w:p w14:paraId="35994B34">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18</w:t>
            </w:r>
          </w:p>
        </w:tc>
        <w:tc>
          <w:tcPr>
            <w:tcW w:w="975" w:type="dxa"/>
            <w:vMerge w:val="continue"/>
            <w:shd w:val="clear" w:color="auto" w:fill="auto"/>
            <w:vAlign w:val="center"/>
          </w:tcPr>
          <w:p w14:paraId="615BFB95">
            <w:pPr>
              <w:keepNext w:val="0"/>
              <w:keepLines w:val="0"/>
              <w:suppressLineNumbers w:val="0"/>
              <w:spacing w:before="0" w:beforeAutospacing="0" w:after="0" w:afterAutospacing="0"/>
              <w:ind w:left="0" w:leftChars="0" w:right="0" w:rightChars="0"/>
              <w:jc w:val="center"/>
              <w:rPr>
                <w:rFonts w:hint="eastAsia" w:eastAsia="宋体"/>
                <w:b w:val="0"/>
                <w:bCs w:val="0"/>
                <w:color w:val="FF0000"/>
                <w:szCs w:val="21"/>
                <w:highlight w:val="none"/>
                <w:lang w:val="en-US" w:eastAsia="zh-CN"/>
              </w:rPr>
            </w:pPr>
          </w:p>
        </w:tc>
        <w:tc>
          <w:tcPr>
            <w:tcW w:w="3045" w:type="dxa"/>
            <w:shd w:val="clear" w:color="auto" w:fill="auto"/>
            <w:vAlign w:val="top"/>
          </w:tcPr>
          <w:p w14:paraId="7F44BE9D">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4</w:t>
            </w:r>
            <w:r>
              <w:rPr>
                <w:rFonts w:hint="eastAsia" w:eastAsia="宋体"/>
                <w:color w:val="FF0000"/>
                <w:szCs w:val="21"/>
                <w:lang w:val="en-US" w:eastAsia="zh-CN"/>
              </w:rPr>
              <w:t>.2技术要求：</w:t>
            </w:r>
          </w:p>
          <w:p w14:paraId="3055503D">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1.背板带宽≥4Tbps。</w:t>
            </w:r>
          </w:p>
          <w:p w14:paraId="0EBAC6B1">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2.包转发率≥1600Mpps。</w:t>
            </w:r>
          </w:p>
          <w:p w14:paraId="71EA9979">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3.支持IPv6。</w:t>
            </w:r>
          </w:p>
          <w:p w14:paraId="7A5E4947">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4.支持堆叠。</w:t>
            </w:r>
          </w:p>
          <w:p w14:paraId="00F5ABA2">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5.支持RADIUS/Tacacs+方式进行AAA认证。</w:t>
            </w:r>
          </w:p>
          <w:p w14:paraId="0F16CB9C">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6.支持NTP时间同步。</w:t>
            </w:r>
          </w:p>
          <w:p w14:paraId="4F09A3B9">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7.支持SSH登录方式。</w:t>
            </w:r>
          </w:p>
          <w:p w14:paraId="63DC5100">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8.支持本地端口镜像和远程端口镜像。</w:t>
            </w:r>
          </w:p>
          <w:p w14:paraId="397FDCF7">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b/>
                <w:bCs/>
                <w:color w:val="FF0000"/>
                <w:kern w:val="2"/>
                <w:sz w:val="21"/>
                <w:szCs w:val="21"/>
                <w:highlight w:val="yellow"/>
                <w:lang w:val="en-US" w:eastAsia="zh-CN" w:bidi="ar-SA"/>
              </w:rPr>
            </w:pPr>
            <w:r>
              <w:rPr>
                <w:rFonts w:hint="eastAsia" w:eastAsia="宋体"/>
                <w:b w:val="0"/>
                <w:bCs w:val="0"/>
                <w:color w:val="FF0000"/>
                <w:szCs w:val="21"/>
                <w:highlight w:val="none"/>
                <w:lang w:val="en-US" w:eastAsia="zh-CN"/>
              </w:rPr>
              <w:t>9.支持syslog。</w:t>
            </w:r>
          </w:p>
        </w:tc>
        <w:tc>
          <w:tcPr>
            <w:tcW w:w="1335" w:type="dxa"/>
            <w:shd w:val="clear" w:color="auto" w:fill="auto"/>
            <w:vAlign w:val="top"/>
          </w:tcPr>
          <w:p w14:paraId="7D7AA1E2">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p>
        </w:tc>
        <w:tc>
          <w:tcPr>
            <w:tcW w:w="1470" w:type="dxa"/>
            <w:shd w:val="clear" w:color="auto" w:fill="auto"/>
            <w:vAlign w:val="top"/>
          </w:tcPr>
          <w:p w14:paraId="4389C19E">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p>
        </w:tc>
        <w:tc>
          <w:tcPr>
            <w:tcW w:w="720" w:type="dxa"/>
            <w:shd w:val="clear" w:color="auto" w:fill="auto"/>
            <w:vAlign w:val="top"/>
          </w:tcPr>
          <w:p w14:paraId="16827FCF">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p>
        </w:tc>
      </w:tr>
      <w:tr w14:paraId="2B2ED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atLeast"/>
        </w:trPr>
        <w:tc>
          <w:tcPr>
            <w:tcW w:w="669" w:type="dxa"/>
            <w:vAlign w:val="center"/>
          </w:tcPr>
          <w:p w14:paraId="421665AD">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19</w:t>
            </w:r>
          </w:p>
        </w:tc>
        <w:tc>
          <w:tcPr>
            <w:tcW w:w="975" w:type="dxa"/>
            <w:vMerge w:val="continue"/>
            <w:shd w:val="clear" w:color="auto" w:fill="auto"/>
            <w:vAlign w:val="center"/>
          </w:tcPr>
          <w:p w14:paraId="08DB4A9A">
            <w:pPr>
              <w:keepNext w:val="0"/>
              <w:keepLines w:val="0"/>
              <w:suppressLineNumbers w:val="0"/>
              <w:spacing w:before="0" w:beforeAutospacing="0" w:after="0" w:afterAutospacing="0"/>
              <w:ind w:left="0" w:leftChars="0" w:right="0" w:rightChars="0"/>
              <w:jc w:val="center"/>
              <w:rPr>
                <w:rFonts w:hint="eastAsia" w:eastAsia="宋体"/>
                <w:b/>
                <w:bCs/>
                <w:color w:val="FF0000"/>
                <w:szCs w:val="21"/>
                <w:highlight w:val="yellow"/>
                <w:lang w:val="en-US" w:eastAsia="zh-CN"/>
              </w:rPr>
            </w:pPr>
          </w:p>
        </w:tc>
        <w:tc>
          <w:tcPr>
            <w:tcW w:w="3045" w:type="dxa"/>
            <w:shd w:val="clear" w:color="auto" w:fill="auto"/>
            <w:vAlign w:val="top"/>
          </w:tcPr>
          <w:p w14:paraId="2B9D620C">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4</w:t>
            </w:r>
            <w:r>
              <w:rPr>
                <w:rFonts w:hint="eastAsia" w:eastAsia="宋体"/>
                <w:color w:val="FF0000"/>
                <w:szCs w:val="21"/>
                <w:lang w:val="en-US" w:eastAsia="zh-CN"/>
              </w:rPr>
              <w:t>.3入网许可：具有《电信设备进网许可证》，设备及其型号需与入网证一致。</w:t>
            </w:r>
          </w:p>
          <w:p w14:paraId="79585058">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b/>
                <w:bCs/>
                <w:color w:val="FF0000"/>
                <w:kern w:val="2"/>
                <w:sz w:val="21"/>
                <w:szCs w:val="21"/>
                <w:highlight w:val="yellow"/>
                <w:lang w:val="en-US" w:eastAsia="zh-CN" w:bidi="ar-SA"/>
              </w:rPr>
            </w:pPr>
            <w:r>
              <w:rPr>
                <w:rFonts w:hint="eastAsia" w:eastAsia="宋体"/>
                <w:b/>
                <w:bCs/>
                <w:color w:val="FF0000"/>
                <w:szCs w:val="21"/>
                <w:highlight w:val="yellow"/>
                <w:lang w:val="en-US" w:eastAsia="zh-CN"/>
              </w:rPr>
              <w:t>投标人还需提供承诺函（格式自拟加盖公章），承诺中标后提供《电信设备进网许可证》且设备及其型号需与入网证一致。</w:t>
            </w:r>
          </w:p>
        </w:tc>
        <w:tc>
          <w:tcPr>
            <w:tcW w:w="1335" w:type="dxa"/>
            <w:shd w:val="clear" w:color="auto" w:fill="auto"/>
            <w:vAlign w:val="top"/>
          </w:tcPr>
          <w:p w14:paraId="1B8F5ED7">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p>
        </w:tc>
        <w:tc>
          <w:tcPr>
            <w:tcW w:w="1470" w:type="dxa"/>
            <w:shd w:val="clear" w:color="auto" w:fill="auto"/>
            <w:vAlign w:val="top"/>
          </w:tcPr>
          <w:p w14:paraId="4375FBD7">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p>
        </w:tc>
        <w:tc>
          <w:tcPr>
            <w:tcW w:w="720" w:type="dxa"/>
            <w:shd w:val="clear" w:color="auto" w:fill="auto"/>
            <w:vAlign w:val="top"/>
          </w:tcPr>
          <w:p w14:paraId="31F3CE69">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p>
        </w:tc>
      </w:tr>
      <w:tr w14:paraId="230D5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69" w:type="dxa"/>
            <w:vAlign w:val="center"/>
          </w:tcPr>
          <w:p w14:paraId="79186C7A">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20</w:t>
            </w:r>
          </w:p>
        </w:tc>
        <w:tc>
          <w:tcPr>
            <w:tcW w:w="975" w:type="dxa"/>
            <w:vMerge w:val="continue"/>
            <w:shd w:val="clear" w:color="auto" w:fill="auto"/>
            <w:vAlign w:val="center"/>
          </w:tcPr>
          <w:p w14:paraId="46A7932B">
            <w:pPr>
              <w:keepNext w:val="0"/>
              <w:keepLines w:val="0"/>
              <w:suppressLineNumbers w:val="0"/>
              <w:spacing w:before="0" w:beforeAutospacing="0" w:after="0" w:afterAutospacing="0"/>
              <w:ind w:left="0" w:leftChars="0" w:right="0" w:rightChars="0"/>
              <w:jc w:val="center"/>
              <w:rPr>
                <w:rFonts w:hint="eastAsia" w:eastAsia="宋体"/>
                <w:color w:val="FF0000"/>
                <w:szCs w:val="21"/>
                <w:lang w:val="en-US" w:eastAsia="zh-CN"/>
              </w:rPr>
            </w:pPr>
          </w:p>
        </w:tc>
        <w:tc>
          <w:tcPr>
            <w:tcW w:w="3045" w:type="dxa"/>
            <w:shd w:val="clear" w:color="auto" w:fill="auto"/>
            <w:vAlign w:val="top"/>
          </w:tcPr>
          <w:p w14:paraId="35E6ACEC">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b/>
                <w:bCs/>
                <w:color w:val="FF0000"/>
                <w:kern w:val="2"/>
                <w:sz w:val="21"/>
                <w:szCs w:val="21"/>
                <w:highlight w:val="yellow"/>
                <w:lang w:val="en-US" w:eastAsia="zh-CN" w:bidi="ar-SA"/>
              </w:rPr>
            </w:pPr>
            <w:r>
              <w:rPr>
                <w:rFonts w:hint="eastAsia" w:eastAsia="宋体"/>
                <w:color w:val="FF0000"/>
                <w:szCs w:val="21"/>
                <w:lang w:val="en-US" w:eastAsia="zh-CN"/>
              </w:rPr>
              <w:t>★</w:t>
            </w:r>
            <w:r>
              <w:rPr>
                <w:rFonts w:hint="eastAsia"/>
                <w:color w:val="FF0000"/>
                <w:szCs w:val="21"/>
                <w:lang w:val="en-US" w:eastAsia="zh-CN"/>
              </w:rPr>
              <w:t>4</w:t>
            </w:r>
            <w:r>
              <w:rPr>
                <w:rFonts w:hint="eastAsia" w:eastAsia="宋体"/>
                <w:color w:val="FF0000"/>
                <w:szCs w:val="21"/>
                <w:lang w:val="en-US" w:eastAsia="zh-CN"/>
              </w:rPr>
              <w:t>.</w:t>
            </w:r>
            <w:r>
              <w:rPr>
                <w:rFonts w:hint="eastAsia"/>
                <w:color w:val="FF0000"/>
                <w:szCs w:val="21"/>
                <w:lang w:val="en-US" w:eastAsia="zh-CN"/>
              </w:rPr>
              <w:t>4 硬件规格：满配冗余电源，满配冗余风扇。</w:t>
            </w:r>
          </w:p>
        </w:tc>
        <w:tc>
          <w:tcPr>
            <w:tcW w:w="1335" w:type="dxa"/>
            <w:shd w:val="clear" w:color="auto" w:fill="auto"/>
            <w:vAlign w:val="top"/>
          </w:tcPr>
          <w:p w14:paraId="7F1A2AA5">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1470" w:type="dxa"/>
            <w:shd w:val="clear" w:color="auto" w:fill="auto"/>
            <w:vAlign w:val="top"/>
          </w:tcPr>
          <w:p w14:paraId="32758149">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720" w:type="dxa"/>
            <w:shd w:val="clear" w:color="auto" w:fill="auto"/>
            <w:vAlign w:val="top"/>
          </w:tcPr>
          <w:p w14:paraId="169ED152">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r>
      <w:tr w14:paraId="307FF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69" w:type="dxa"/>
            <w:vAlign w:val="center"/>
          </w:tcPr>
          <w:p w14:paraId="06142778">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21</w:t>
            </w:r>
          </w:p>
        </w:tc>
        <w:tc>
          <w:tcPr>
            <w:tcW w:w="975" w:type="dxa"/>
            <w:vMerge w:val="continue"/>
            <w:shd w:val="clear" w:color="auto" w:fill="auto"/>
            <w:vAlign w:val="center"/>
          </w:tcPr>
          <w:p w14:paraId="61AA4C06">
            <w:pPr>
              <w:keepNext w:val="0"/>
              <w:keepLines w:val="0"/>
              <w:suppressLineNumbers w:val="0"/>
              <w:spacing w:before="0" w:beforeAutospacing="0" w:after="0" w:afterAutospacing="0"/>
              <w:ind w:left="0" w:leftChars="0" w:right="0" w:rightChars="0"/>
              <w:jc w:val="center"/>
              <w:rPr>
                <w:rFonts w:hint="eastAsia" w:eastAsia="宋体"/>
                <w:color w:val="FF0000"/>
                <w:szCs w:val="21"/>
                <w:lang w:val="en-US" w:eastAsia="zh-CN"/>
              </w:rPr>
            </w:pPr>
          </w:p>
        </w:tc>
        <w:tc>
          <w:tcPr>
            <w:tcW w:w="3045" w:type="dxa"/>
            <w:shd w:val="clear" w:color="auto" w:fill="auto"/>
            <w:vAlign w:val="top"/>
          </w:tcPr>
          <w:p w14:paraId="7505E683">
            <w:pPr>
              <w:keepNext w:val="0"/>
              <w:keepLines w:val="0"/>
              <w:suppressLineNumbers w:val="0"/>
              <w:spacing w:before="0" w:beforeAutospacing="0" w:after="0" w:afterAutospacing="0"/>
              <w:ind w:left="0" w:leftChars="0" w:right="0" w:rightChars="0"/>
              <w:rPr>
                <w:rFonts w:hint="eastAsia" w:ascii="Times New Roman" w:hAnsi="Times New Roman" w:eastAsia="宋体" w:cs="Times New Roman"/>
                <w:b/>
                <w:bCs/>
                <w:color w:val="FF0000"/>
                <w:kern w:val="2"/>
                <w:sz w:val="21"/>
                <w:szCs w:val="21"/>
                <w:highlight w:val="yellow"/>
                <w:lang w:val="en-US" w:eastAsia="zh-CN" w:bidi="ar-SA"/>
              </w:rPr>
            </w:pPr>
            <w:r>
              <w:rPr>
                <w:rFonts w:hint="eastAsia" w:eastAsia="宋体"/>
                <w:color w:val="FF0000"/>
                <w:szCs w:val="21"/>
                <w:lang w:val="en-US" w:eastAsia="zh-CN"/>
              </w:rPr>
              <w:t>★</w:t>
            </w:r>
            <w:r>
              <w:rPr>
                <w:rFonts w:hint="eastAsia"/>
                <w:color w:val="FF0000"/>
                <w:szCs w:val="21"/>
                <w:lang w:val="en-US" w:eastAsia="zh-CN"/>
              </w:rPr>
              <w:t>4</w:t>
            </w:r>
            <w:r>
              <w:rPr>
                <w:rFonts w:hint="eastAsia" w:eastAsia="宋体"/>
                <w:color w:val="FF0000"/>
                <w:szCs w:val="21"/>
                <w:lang w:val="en-US" w:eastAsia="zh-CN"/>
              </w:rPr>
              <w:t>.</w:t>
            </w:r>
            <w:r>
              <w:rPr>
                <w:rFonts w:hint="eastAsia"/>
                <w:color w:val="FF0000"/>
                <w:szCs w:val="21"/>
                <w:lang w:val="en-US" w:eastAsia="zh-CN"/>
              </w:rPr>
              <w:t>5 芯片：所涉及芯片均为信创芯片。</w:t>
            </w:r>
          </w:p>
        </w:tc>
        <w:tc>
          <w:tcPr>
            <w:tcW w:w="1335" w:type="dxa"/>
            <w:shd w:val="clear" w:color="auto" w:fill="auto"/>
            <w:vAlign w:val="top"/>
          </w:tcPr>
          <w:p w14:paraId="6647F749">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1470" w:type="dxa"/>
            <w:shd w:val="clear" w:color="auto" w:fill="auto"/>
            <w:vAlign w:val="top"/>
          </w:tcPr>
          <w:p w14:paraId="0BE106F5">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720" w:type="dxa"/>
            <w:shd w:val="clear" w:color="auto" w:fill="auto"/>
            <w:vAlign w:val="top"/>
          </w:tcPr>
          <w:p w14:paraId="293D7905">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r>
      <w:tr w14:paraId="17A41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atLeast"/>
        </w:trPr>
        <w:tc>
          <w:tcPr>
            <w:tcW w:w="669" w:type="dxa"/>
            <w:vAlign w:val="center"/>
          </w:tcPr>
          <w:p w14:paraId="23CD729C">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22</w:t>
            </w:r>
          </w:p>
        </w:tc>
        <w:tc>
          <w:tcPr>
            <w:tcW w:w="975" w:type="dxa"/>
            <w:shd w:val="clear" w:color="auto" w:fill="auto"/>
            <w:vAlign w:val="center"/>
          </w:tcPr>
          <w:p w14:paraId="3407A8C2">
            <w:pPr>
              <w:keepNext w:val="0"/>
              <w:keepLines w:val="0"/>
              <w:suppressLineNumbers w:val="0"/>
              <w:spacing w:before="0" w:beforeAutospacing="0" w:after="0" w:afterAutospacing="0"/>
              <w:ind w:left="0" w:leftChars="0" w:right="0" w:rightChars="0"/>
              <w:jc w:val="center"/>
              <w:rPr>
                <w:rFonts w:hint="eastAsia" w:cs="Times New Roman" w:asciiTheme="minorEastAsia" w:hAnsiTheme="minorEastAsia" w:eastAsiaTheme="minorEastAsia"/>
                <w:b w:val="0"/>
                <w:bCs w:val="0"/>
                <w:color w:val="FF0000"/>
                <w:kern w:val="2"/>
                <w:sz w:val="21"/>
                <w:szCs w:val="24"/>
                <w:lang w:val="en-US" w:eastAsia="zh-CN" w:bidi="ar-SA"/>
              </w:rPr>
            </w:pPr>
            <w:r>
              <w:rPr>
                <w:rFonts w:hint="eastAsia" w:asciiTheme="minorEastAsia" w:hAnsiTheme="minorEastAsia" w:eastAsiaTheme="minorEastAsia"/>
                <w:b w:val="0"/>
                <w:bCs w:val="0"/>
                <w:color w:val="FF0000"/>
              </w:rPr>
              <w:t>基础售后服务</w:t>
            </w:r>
          </w:p>
        </w:tc>
        <w:tc>
          <w:tcPr>
            <w:tcW w:w="3045" w:type="dxa"/>
            <w:shd w:val="clear" w:color="auto" w:fill="auto"/>
            <w:vAlign w:val="center"/>
          </w:tcPr>
          <w:p w14:paraId="6528A6D2">
            <w:pPr>
              <w:keepNext w:val="0"/>
              <w:keepLines w:val="0"/>
              <w:suppressLineNumbers w:val="0"/>
              <w:spacing w:before="0" w:beforeAutospacing="0" w:after="0" w:afterAutospacing="0"/>
              <w:ind w:left="0" w:leftChars="0" w:right="0" w:rightChars="0"/>
              <w:rPr>
                <w:rFonts w:hint="eastAsia"/>
                <w:color w:val="FF0000"/>
                <w:szCs w:val="21"/>
                <w:lang w:val="en-US" w:eastAsia="zh-CN"/>
              </w:rPr>
            </w:pPr>
            <w:r>
              <w:rPr>
                <w:rFonts w:hint="eastAsia"/>
                <w:color w:val="FF0000"/>
                <w:szCs w:val="21"/>
                <w:lang w:val="en-US" w:eastAsia="zh-CN"/>
              </w:rPr>
              <w:t>（★1.1）提供三年免费原厂售后服务，包括：整机及其包含的所有配件三年免费维修和免费换件；7*24小时技术支持服务；2小时内电话响应，故障报修后第二个工作日内提供现场服务；两个工作日内解决问题，否则在三个工作日内提供备机；送货到采购单位指定地点。提供设备拆箱、配置导入、设备安装及上架等服务。</w:t>
            </w:r>
          </w:p>
        </w:tc>
        <w:tc>
          <w:tcPr>
            <w:tcW w:w="1335" w:type="dxa"/>
            <w:shd w:val="clear" w:color="auto" w:fill="auto"/>
            <w:vAlign w:val="center"/>
          </w:tcPr>
          <w:p w14:paraId="24CC560D">
            <w:pPr>
              <w:keepNext w:val="0"/>
              <w:keepLines w:val="0"/>
              <w:suppressLineNumbers w:val="0"/>
              <w:spacing w:before="0" w:beforeAutospacing="0" w:after="0" w:afterAutospacing="0"/>
              <w:ind w:left="0" w:leftChars="0" w:right="0" w:rightChars="0"/>
              <w:rPr>
                <w:rFonts w:hint="eastAsia"/>
                <w:color w:val="FF0000"/>
                <w:szCs w:val="21"/>
                <w:lang w:val="en-US" w:eastAsia="zh-CN"/>
              </w:rPr>
            </w:pPr>
          </w:p>
        </w:tc>
        <w:tc>
          <w:tcPr>
            <w:tcW w:w="1470" w:type="dxa"/>
            <w:shd w:val="clear" w:color="auto" w:fill="auto"/>
            <w:vAlign w:val="center"/>
          </w:tcPr>
          <w:p w14:paraId="38BBFE00">
            <w:pPr>
              <w:keepNext w:val="0"/>
              <w:keepLines w:val="0"/>
              <w:suppressLineNumbers w:val="0"/>
              <w:spacing w:before="0" w:beforeAutospacing="0" w:after="0" w:afterAutospacing="0"/>
              <w:ind w:left="0" w:leftChars="0" w:right="0" w:rightChars="0"/>
              <w:rPr>
                <w:rFonts w:hint="eastAsia"/>
                <w:color w:val="FF0000"/>
                <w:szCs w:val="21"/>
                <w:lang w:val="en-US" w:eastAsia="zh-CN"/>
              </w:rPr>
            </w:pPr>
          </w:p>
        </w:tc>
        <w:tc>
          <w:tcPr>
            <w:tcW w:w="720" w:type="dxa"/>
            <w:shd w:val="clear" w:color="auto" w:fill="auto"/>
            <w:vAlign w:val="center"/>
          </w:tcPr>
          <w:p w14:paraId="6C0FF9B4">
            <w:pPr>
              <w:keepNext w:val="0"/>
              <w:keepLines w:val="0"/>
              <w:suppressLineNumbers w:val="0"/>
              <w:spacing w:before="0" w:beforeAutospacing="0" w:after="0" w:afterAutospacing="0"/>
              <w:ind w:left="0" w:leftChars="0" w:right="0" w:rightChars="0"/>
              <w:rPr>
                <w:rFonts w:hint="eastAsia"/>
                <w:color w:val="FF0000"/>
                <w:szCs w:val="21"/>
                <w:lang w:val="en-US" w:eastAsia="zh-CN"/>
              </w:rPr>
            </w:pPr>
          </w:p>
        </w:tc>
      </w:tr>
      <w:tr w14:paraId="3DC5B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669" w:type="dxa"/>
            <w:vAlign w:val="center"/>
          </w:tcPr>
          <w:p w14:paraId="5D34A4A3">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FF0000"/>
                <w:kern w:val="0"/>
                <w:szCs w:val="21"/>
                <w:lang w:val="en-US" w:eastAsia="zh-CN"/>
              </w:rPr>
            </w:pPr>
            <w:r>
              <w:rPr>
                <w:rFonts w:hint="eastAsia" w:ascii="宋体" w:hAnsi="宋体"/>
                <w:color w:val="FF0000"/>
                <w:kern w:val="0"/>
                <w:szCs w:val="21"/>
                <w:lang w:val="en-US" w:eastAsia="zh-CN"/>
              </w:rPr>
              <w:t>23</w:t>
            </w:r>
          </w:p>
        </w:tc>
        <w:tc>
          <w:tcPr>
            <w:tcW w:w="975" w:type="dxa"/>
            <w:shd w:val="clear" w:color="auto" w:fill="auto"/>
            <w:vAlign w:val="center"/>
          </w:tcPr>
          <w:p w14:paraId="4361250B">
            <w:pPr>
              <w:keepNext w:val="0"/>
              <w:keepLines w:val="0"/>
              <w:suppressLineNumbers w:val="0"/>
              <w:spacing w:before="0" w:beforeAutospacing="0" w:after="0" w:afterAutospacing="0"/>
              <w:ind w:left="0" w:leftChars="0" w:right="0" w:rightChars="0"/>
              <w:jc w:val="center"/>
              <w:rPr>
                <w:rFonts w:hint="eastAsia" w:cs="Times New Roman" w:asciiTheme="minorEastAsia" w:hAnsiTheme="minorEastAsia" w:eastAsiaTheme="minorEastAsia"/>
                <w:b w:val="0"/>
                <w:bCs w:val="0"/>
                <w:color w:val="FF0000"/>
                <w:kern w:val="2"/>
                <w:sz w:val="21"/>
                <w:szCs w:val="24"/>
                <w:lang w:val="en-US" w:eastAsia="zh-CN" w:bidi="ar-SA"/>
              </w:rPr>
            </w:pPr>
            <w:r>
              <w:rPr>
                <w:rFonts w:hint="eastAsia" w:asciiTheme="minorEastAsia" w:hAnsiTheme="minorEastAsia" w:eastAsiaTheme="minorEastAsia"/>
                <w:b w:val="0"/>
                <w:bCs w:val="0"/>
                <w:color w:val="FF0000"/>
              </w:rPr>
              <w:t>交货及付款要求</w:t>
            </w:r>
          </w:p>
        </w:tc>
        <w:tc>
          <w:tcPr>
            <w:tcW w:w="3045" w:type="dxa"/>
            <w:shd w:val="clear" w:color="auto" w:fill="auto"/>
            <w:vAlign w:val="center"/>
          </w:tcPr>
          <w:p w14:paraId="3D8CFA61">
            <w:pPr>
              <w:keepNext w:val="0"/>
              <w:keepLines w:val="0"/>
              <w:suppressLineNumbers w:val="0"/>
              <w:spacing w:before="0" w:beforeAutospacing="0" w:after="0" w:afterAutospacing="0"/>
              <w:ind w:left="0" w:leftChars="0" w:right="0" w:rightChars="0"/>
              <w:rPr>
                <w:rFonts w:hint="eastAsia"/>
                <w:color w:val="FF0000"/>
                <w:szCs w:val="21"/>
                <w:lang w:val="en-US" w:eastAsia="zh-CN"/>
              </w:rPr>
            </w:pPr>
            <w:r>
              <w:rPr>
                <w:rFonts w:hint="eastAsia"/>
                <w:color w:val="FF0000"/>
                <w:szCs w:val="21"/>
                <w:lang w:val="en-US" w:eastAsia="zh-CN"/>
              </w:rPr>
              <w:t>★5.1交货时间和地点：合同签订后30日内交货（最终以合同约定时间为准）。中标人负责将货物安全无损运抵采购人指定地点（ 广东省深圳市罗湖区深南东路5006号人民银行大厦）。</w:t>
            </w:r>
          </w:p>
        </w:tc>
        <w:tc>
          <w:tcPr>
            <w:tcW w:w="1335" w:type="dxa"/>
            <w:shd w:val="clear" w:color="auto" w:fill="auto"/>
            <w:vAlign w:val="center"/>
          </w:tcPr>
          <w:p w14:paraId="5D9C7431">
            <w:pPr>
              <w:keepNext w:val="0"/>
              <w:keepLines w:val="0"/>
              <w:suppressLineNumbers w:val="0"/>
              <w:spacing w:before="0" w:beforeAutospacing="0" w:after="0" w:afterAutospacing="0"/>
              <w:ind w:left="0" w:leftChars="0" w:right="0" w:rightChars="0"/>
              <w:rPr>
                <w:rFonts w:hint="eastAsia"/>
                <w:color w:val="FF0000"/>
                <w:szCs w:val="21"/>
                <w:lang w:val="en-US" w:eastAsia="zh-CN"/>
              </w:rPr>
            </w:pPr>
          </w:p>
        </w:tc>
        <w:tc>
          <w:tcPr>
            <w:tcW w:w="1470" w:type="dxa"/>
            <w:shd w:val="clear" w:color="auto" w:fill="auto"/>
            <w:vAlign w:val="center"/>
          </w:tcPr>
          <w:p w14:paraId="3C95C419">
            <w:pPr>
              <w:keepNext w:val="0"/>
              <w:keepLines w:val="0"/>
              <w:suppressLineNumbers w:val="0"/>
              <w:spacing w:before="0" w:beforeAutospacing="0" w:after="0" w:afterAutospacing="0"/>
              <w:ind w:left="0" w:leftChars="0" w:right="0" w:rightChars="0"/>
              <w:rPr>
                <w:rFonts w:hint="eastAsia"/>
                <w:color w:val="FF0000"/>
                <w:szCs w:val="21"/>
                <w:lang w:val="en-US" w:eastAsia="zh-CN"/>
              </w:rPr>
            </w:pPr>
          </w:p>
        </w:tc>
        <w:tc>
          <w:tcPr>
            <w:tcW w:w="720" w:type="dxa"/>
            <w:shd w:val="clear" w:color="auto" w:fill="auto"/>
            <w:vAlign w:val="center"/>
          </w:tcPr>
          <w:p w14:paraId="671412AB">
            <w:pPr>
              <w:keepNext w:val="0"/>
              <w:keepLines w:val="0"/>
              <w:suppressLineNumbers w:val="0"/>
              <w:spacing w:before="0" w:beforeAutospacing="0" w:after="0" w:afterAutospacing="0"/>
              <w:ind w:left="0" w:leftChars="0" w:right="0" w:rightChars="0"/>
              <w:rPr>
                <w:rFonts w:hint="eastAsia"/>
                <w:color w:val="FF0000"/>
                <w:szCs w:val="21"/>
                <w:lang w:val="en-US" w:eastAsia="zh-CN"/>
              </w:rPr>
            </w:pPr>
          </w:p>
        </w:tc>
      </w:tr>
    </w:tbl>
    <w:p w14:paraId="30D08FA9">
      <w:pPr>
        <w:pStyle w:val="53"/>
        <w:rPr>
          <w:rFonts w:hint="eastAsia"/>
        </w:rPr>
      </w:pPr>
    </w:p>
    <w:p w14:paraId="6E7A0203">
      <w:pPr>
        <w:ind w:firstLine="482" w:firstLineChars="200"/>
        <w:rPr>
          <w:rFonts w:hint="eastAsia"/>
          <w:b/>
          <w:sz w:val="24"/>
          <w:szCs w:val="22"/>
        </w:rPr>
      </w:pPr>
    </w:p>
    <w:p w14:paraId="0BBE00AC">
      <w:pPr>
        <w:ind w:firstLine="482" w:firstLineChars="200"/>
        <w:rPr>
          <w:b/>
          <w:sz w:val="24"/>
          <w:szCs w:val="22"/>
        </w:rPr>
      </w:pPr>
      <w:r>
        <w:rPr>
          <w:rFonts w:hint="eastAsia"/>
          <w:b/>
          <w:sz w:val="24"/>
          <w:szCs w:val="22"/>
        </w:rPr>
        <w:t>注：1.上表所列各项均为不可负偏离条款。</w:t>
      </w:r>
    </w:p>
    <w:p w14:paraId="1FD49E12">
      <w:pPr>
        <w:ind w:firstLine="482" w:firstLineChars="200"/>
        <w:rPr>
          <w:b/>
          <w:sz w:val="24"/>
          <w:szCs w:val="22"/>
        </w:rPr>
      </w:pPr>
      <w:r>
        <w:rPr>
          <w:rFonts w:hint="eastAsia"/>
          <w:b/>
          <w:sz w:val="24"/>
          <w:szCs w:val="22"/>
        </w:rPr>
        <w:t>2.“投标响应”一栏应当详细填写投标人自身响应情况，而不能不合理照搬照抄招实质性条款具体内容。</w:t>
      </w:r>
    </w:p>
    <w:p w14:paraId="11C71BBE">
      <w:pPr>
        <w:ind w:firstLine="482" w:firstLineChars="200"/>
        <w:rPr>
          <w:b/>
          <w:sz w:val="24"/>
          <w:szCs w:val="22"/>
        </w:rPr>
      </w:pPr>
      <w:r>
        <w:rPr>
          <w:rFonts w:hint="eastAsia"/>
          <w:b/>
          <w:sz w:val="24"/>
          <w:szCs w:val="22"/>
        </w:rPr>
        <w:t>3</w:t>
      </w:r>
      <w:r>
        <w:rPr>
          <w:b/>
          <w:sz w:val="24"/>
          <w:szCs w:val="22"/>
        </w:rPr>
        <w:t>.</w:t>
      </w:r>
      <w:r>
        <w:rPr>
          <w:rFonts w:hint="eastAsia"/>
          <w:b/>
          <w:sz w:val="24"/>
          <w:szCs w:val="22"/>
        </w:rPr>
        <w:t>“偏离情况”一栏应填写“正偏离”、“负偏离”或“无偏离”，</w:t>
      </w:r>
      <w:r>
        <w:rPr>
          <w:rFonts w:hint="eastAsia"/>
          <w:b/>
          <w:sz w:val="24"/>
        </w:rPr>
        <w:t>“正偏离”表示“投标响应优于实质性条款具体内容要求”，“负偏离”表示“投标响应不满足实质性条款具体内容要求”，“无偏离”表示“投标响应与实质性条款具体内容要求一致”。</w:t>
      </w:r>
    </w:p>
    <w:p w14:paraId="53ABC319">
      <w:pPr>
        <w:ind w:firstLine="482" w:firstLineChars="200"/>
        <w:rPr>
          <w:b/>
          <w:sz w:val="24"/>
        </w:rPr>
      </w:pPr>
      <w:r>
        <w:rPr>
          <w:b/>
          <w:sz w:val="24"/>
        </w:rPr>
        <w:t>4.</w:t>
      </w:r>
      <w:r>
        <w:rPr>
          <w:rFonts w:hint="eastAsia"/>
          <w:b/>
          <w:sz w:val="24"/>
        </w:rPr>
        <w:t>评审委员会有权对投标响应情况作出判断（作出评审结论）。</w:t>
      </w:r>
    </w:p>
    <w:p w14:paraId="49344E9F">
      <w:pPr>
        <w:ind w:firstLine="482" w:firstLineChars="200"/>
        <w:rPr>
          <w:b/>
          <w:sz w:val="24"/>
          <w:szCs w:val="22"/>
        </w:rPr>
      </w:pPr>
      <w:r>
        <w:rPr>
          <w:b/>
          <w:sz w:val="24"/>
          <w:szCs w:val="22"/>
        </w:rPr>
        <w:t>5</w:t>
      </w:r>
      <w:r>
        <w:rPr>
          <w:rFonts w:hint="eastAsia"/>
          <w:b/>
          <w:sz w:val="24"/>
          <w:szCs w:val="22"/>
        </w:rPr>
        <w:t>.实质性响应条款“投标响应情况”与投标文件其它内容冲突的，以实质性响应条款“投标响应情况”为准。</w:t>
      </w:r>
      <w:bookmarkEnd w:id="88"/>
    </w:p>
    <w:p w14:paraId="1F4B4968">
      <w:pPr>
        <w:ind w:firstLine="482" w:firstLineChars="200"/>
        <w:rPr>
          <w:rFonts w:hint="eastAsia"/>
          <w:b/>
          <w:bCs w:val="0"/>
          <w:color w:val="auto"/>
          <w:sz w:val="24"/>
          <w:szCs w:val="22"/>
          <w:highlight w:val="none"/>
        </w:rPr>
      </w:pPr>
      <w:r>
        <w:rPr>
          <w:rFonts w:hint="eastAsia"/>
          <w:b/>
          <w:bCs w:val="0"/>
          <w:color w:val="auto"/>
          <w:sz w:val="24"/>
          <w:szCs w:val="22"/>
          <w:highlight w:val="none"/>
        </w:rPr>
        <w:t>6.要求提供证明资料，在“说明”一栏中列明证明资料的位置</w:t>
      </w:r>
      <w:r>
        <w:rPr>
          <w:rFonts w:hint="eastAsia"/>
          <w:b/>
          <w:bCs w:val="0"/>
          <w:color w:val="auto"/>
          <w:sz w:val="24"/>
          <w:szCs w:val="22"/>
          <w:highlight w:val="none"/>
          <w:lang w:eastAsia="zh-CN"/>
        </w:rPr>
        <w:t>（</w:t>
      </w:r>
      <w:r>
        <w:rPr>
          <w:rFonts w:hint="eastAsia"/>
          <w:b/>
          <w:bCs w:val="0"/>
          <w:color w:val="auto"/>
          <w:sz w:val="24"/>
          <w:szCs w:val="22"/>
          <w:highlight w:val="none"/>
          <w:lang w:val="en-US" w:eastAsia="zh-CN"/>
        </w:rPr>
        <w:t>或页码</w:t>
      </w:r>
      <w:r>
        <w:rPr>
          <w:rFonts w:hint="eastAsia"/>
          <w:b/>
          <w:bCs w:val="0"/>
          <w:color w:val="auto"/>
          <w:sz w:val="24"/>
          <w:szCs w:val="22"/>
          <w:highlight w:val="none"/>
          <w:lang w:eastAsia="zh-CN"/>
        </w:rPr>
        <w:t>）</w:t>
      </w:r>
      <w:r>
        <w:rPr>
          <w:rFonts w:hint="eastAsia"/>
          <w:b/>
          <w:bCs w:val="0"/>
          <w:color w:val="auto"/>
          <w:sz w:val="24"/>
          <w:szCs w:val="22"/>
          <w:highlight w:val="none"/>
        </w:rPr>
        <w:t>,以便评审；未要求提供证明材料的，投标人可以不提供</w:t>
      </w:r>
      <w:r>
        <w:rPr>
          <w:rFonts w:hint="eastAsia" w:eastAsia="宋体"/>
          <w:b/>
          <w:bCs w:val="0"/>
          <w:color w:val="auto"/>
          <w:sz w:val="24"/>
          <w:szCs w:val="22"/>
          <w:highlight w:val="none"/>
        </w:rPr>
        <w:t>（如实响应即可）。</w:t>
      </w:r>
    </w:p>
    <w:p w14:paraId="254F6D01">
      <w:pPr>
        <w:outlineLvl w:val="9"/>
        <w:rPr>
          <w:rFonts w:hint="eastAsia"/>
          <w:b/>
          <w:sz w:val="24"/>
          <w:szCs w:val="22"/>
        </w:rPr>
      </w:pPr>
    </w:p>
    <w:p w14:paraId="767AF868">
      <w:pPr>
        <w:spacing w:line="300" w:lineRule="auto"/>
        <w:ind w:firstLine="5040" w:firstLineChars="2400"/>
        <w:jc w:val="left"/>
        <w:rPr>
          <w:rFonts w:hint="eastAsia" w:ascii="宋体" w:hAnsi="宋体" w:eastAsia="宋体" w:cs="宋体"/>
          <w:szCs w:val="21"/>
        </w:rPr>
      </w:pPr>
    </w:p>
    <w:p w14:paraId="5E1727F4">
      <w:pPr>
        <w:spacing w:line="300" w:lineRule="auto"/>
        <w:ind w:firstLine="5040" w:firstLineChars="2400"/>
        <w:jc w:val="left"/>
        <w:rPr>
          <w:rFonts w:ascii="宋体" w:hAnsi="宋体" w:eastAsia="宋体" w:cs="宋体"/>
          <w:szCs w:val="21"/>
        </w:rPr>
      </w:pPr>
      <w:r>
        <w:rPr>
          <w:rFonts w:hint="eastAsia" w:ascii="宋体" w:hAnsi="宋体" w:eastAsia="宋体" w:cs="宋体"/>
          <w:szCs w:val="21"/>
        </w:rPr>
        <w:t>投标人（公章）：</w:t>
      </w:r>
    </w:p>
    <w:p w14:paraId="30AEB192">
      <w:pPr>
        <w:spacing w:line="300" w:lineRule="auto"/>
        <w:ind w:firstLine="5040" w:firstLineChars="2400"/>
        <w:jc w:val="left"/>
        <w:rPr>
          <w:rFonts w:ascii="宋体" w:hAnsi="宋体" w:eastAsia="宋体" w:cs="宋体"/>
          <w:szCs w:val="21"/>
        </w:rPr>
      </w:pPr>
      <w:r>
        <w:rPr>
          <w:rFonts w:hint="eastAsia" w:ascii="宋体" w:hAnsi="宋体" w:eastAsia="宋体" w:cs="宋体"/>
          <w:szCs w:val="21"/>
        </w:rPr>
        <w:t>法定代表人签名或签章：</w:t>
      </w:r>
    </w:p>
    <w:p w14:paraId="2B02DC1C">
      <w:pPr>
        <w:ind w:firstLine="5040" w:firstLineChars="2400"/>
        <w:rPr>
          <w:rFonts w:hint="eastAsia"/>
          <w:b/>
          <w:sz w:val="24"/>
          <w:szCs w:val="22"/>
        </w:rPr>
      </w:pPr>
      <w:r>
        <w:rPr>
          <w:rFonts w:hint="eastAsia" w:ascii="宋体" w:hAnsi="宋体" w:eastAsia="宋体" w:cs="宋体"/>
          <w:szCs w:val="21"/>
        </w:rPr>
        <w:t>日期：      年    月    日</w:t>
      </w:r>
    </w:p>
    <w:p w14:paraId="7D41D995">
      <w:pPr>
        <w:outlineLvl w:val="9"/>
      </w:pPr>
    </w:p>
    <w:p w14:paraId="50A9E030"/>
    <w:p w14:paraId="552CE786"/>
    <w:p w14:paraId="49DDF797">
      <w:pPr>
        <w:pStyle w:val="3"/>
        <w:jc w:val="center"/>
        <w:rPr>
          <w:sz w:val="24"/>
        </w:rPr>
      </w:pPr>
      <w:r>
        <w:rPr>
          <w:rFonts w:ascii="黑体" w:eastAsia="黑体"/>
          <w:b/>
          <w:sz w:val="24"/>
        </w:rPr>
        <w:br w:type="page"/>
      </w:r>
      <w:bookmarkStart w:id="92" w:name="_Hlk72260576"/>
      <w:r>
        <w:rPr>
          <w:rFonts w:hint="eastAsia" w:ascii="黑体" w:eastAsia="黑体"/>
          <w:b w:val="0"/>
          <w:sz w:val="24"/>
          <w:szCs w:val="24"/>
          <w:lang w:val="en-US" w:eastAsia="zh-CN"/>
        </w:rPr>
        <w:t>十</w:t>
      </w:r>
      <w:r>
        <w:rPr>
          <w:rFonts w:hint="eastAsia" w:ascii="黑体" w:eastAsia="黑体"/>
          <w:b w:val="0"/>
          <w:sz w:val="24"/>
          <w:szCs w:val="24"/>
        </w:rPr>
        <w:t>、技术要求偏离表</w:t>
      </w:r>
    </w:p>
    <w:p w14:paraId="45C1D715">
      <w:pPr>
        <w:rPr>
          <w:sz w:val="24"/>
        </w:rPr>
      </w:pPr>
    </w:p>
    <w:tbl>
      <w:tblPr>
        <w:tblStyle w:val="43"/>
        <w:tblW w:w="8735" w:type="dxa"/>
        <w:tblInd w:w="-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3"/>
        <w:gridCol w:w="1280"/>
        <w:gridCol w:w="3620"/>
        <w:gridCol w:w="1280"/>
        <w:gridCol w:w="1140"/>
        <w:gridCol w:w="772"/>
      </w:tblGrid>
      <w:tr w14:paraId="539D1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643" w:type="dxa"/>
            <w:vAlign w:val="center"/>
          </w:tcPr>
          <w:p w14:paraId="7A4D767F">
            <w:pPr>
              <w:keepNext w:val="0"/>
              <w:keepLines w:val="0"/>
              <w:suppressLineNumbers w:val="0"/>
              <w:spacing w:before="0" w:beforeAutospacing="0" w:after="0" w:afterAutospacing="0"/>
              <w:ind w:left="0" w:right="0"/>
              <w:jc w:val="center"/>
              <w:rPr>
                <w:rFonts w:hint="eastAsia" w:eastAsia="宋体"/>
                <w:color w:val="000000" w:themeColor="text1"/>
                <w:szCs w:val="21"/>
                <w:lang w:val="en-US" w:eastAsia="zh-CN"/>
                <w14:textFill>
                  <w14:solidFill>
                    <w14:schemeClr w14:val="tx1"/>
                  </w14:solidFill>
                </w14:textFill>
              </w:rPr>
            </w:pPr>
            <w:bookmarkStart w:id="93" w:name="_Hlk72095977"/>
            <w:r>
              <w:rPr>
                <w:rFonts w:hint="eastAsia"/>
                <w:color w:val="000000" w:themeColor="text1"/>
                <w:szCs w:val="21"/>
                <w:lang w:val="en-US" w:eastAsia="zh-CN"/>
                <w14:textFill>
                  <w14:solidFill>
                    <w14:schemeClr w14:val="tx1"/>
                  </w14:solidFill>
                </w14:textFill>
              </w:rPr>
              <w:t>序号</w:t>
            </w:r>
          </w:p>
        </w:tc>
        <w:tc>
          <w:tcPr>
            <w:tcW w:w="1280" w:type="dxa"/>
            <w:vAlign w:val="center"/>
          </w:tcPr>
          <w:p w14:paraId="16ED6662">
            <w:pPr>
              <w:keepNext w:val="0"/>
              <w:keepLines w:val="0"/>
              <w:suppressLineNumbers w:val="0"/>
              <w:spacing w:before="0" w:beforeAutospacing="0" w:after="0" w:afterAutospacing="0"/>
              <w:ind w:left="0" w:right="0"/>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货物名称</w:t>
            </w:r>
          </w:p>
        </w:tc>
        <w:tc>
          <w:tcPr>
            <w:tcW w:w="3620" w:type="dxa"/>
            <w:vAlign w:val="center"/>
          </w:tcPr>
          <w:p w14:paraId="362C3EDF">
            <w:pPr>
              <w:keepNext w:val="0"/>
              <w:keepLines w:val="0"/>
              <w:suppressLineNumbers w:val="0"/>
              <w:spacing w:before="0" w:beforeAutospacing="0" w:after="0" w:afterAutospacing="0"/>
              <w:ind w:left="0" w:right="0"/>
              <w:jc w:val="center"/>
              <w:rPr>
                <w:rFonts w:hint="default"/>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招标</w:t>
            </w:r>
            <w:r>
              <w:rPr>
                <w:rFonts w:hint="default"/>
                <w:color w:val="000000" w:themeColor="text1"/>
                <w:szCs w:val="21"/>
                <w14:textFill>
                  <w14:solidFill>
                    <w14:schemeClr w14:val="tx1"/>
                  </w14:solidFill>
                </w14:textFill>
              </w:rPr>
              <w:t>技术要求</w:t>
            </w:r>
          </w:p>
        </w:tc>
        <w:tc>
          <w:tcPr>
            <w:tcW w:w="1280" w:type="dxa"/>
            <w:shd w:val="clear" w:color="auto" w:fill="auto"/>
            <w:vAlign w:val="center"/>
          </w:tcPr>
          <w:p w14:paraId="23D1991E">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eastAsia"/>
                <w:sz w:val="24"/>
              </w:rPr>
              <w:t>投标技术响应</w:t>
            </w:r>
          </w:p>
        </w:tc>
        <w:tc>
          <w:tcPr>
            <w:tcW w:w="1140" w:type="dxa"/>
            <w:shd w:val="clear" w:color="auto" w:fill="auto"/>
            <w:vAlign w:val="center"/>
          </w:tcPr>
          <w:p w14:paraId="23E1AD3D">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eastAsia"/>
                <w:sz w:val="24"/>
              </w:rPr>
              <w:t>偏离情况</w:t>
            </w:r>
          </w:p>
        </w:tc>
        <w:tc>
          <w:tcPr>
            <w:tcW w:w="772" w:type="dxa"/>
            <w:shd w:val="clear" w:color="auto" w:fill="auto"/>
            <w:vAlign w:val="center"/>
          </w:tcPr>
          <w:p w14:paraId="15E3360D">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eastAsia"/>
                <w:sz w:val="24"/>
              </w:rPr>
              <w:t>说明</w:t>
            </w:r>
          </w:p>
        </w:tc>
      </w:tr>
      <w:tr w14:paraId="1E38F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43" w:type="dxa"/>
            <w:vMerge w:val="restart"/>
            <w:vAlign w:val="center"/>
          </w:tcPr>
          <w:p w14:paraId="60798B06">
            <w:pPr>
              <w:keepNext w:val="0"/>
              <w:keepLines w:val="0"/>
              <w:suppressLineNumbers w:val="0"/>
              <w:spacing w:before="0" w:beforeAutospacing="0" w:after="0" w:afterAutospacing="0"/>
              <w:ind w:left="0" w:right="0"/>
              <w:jc w:val="center"/>
              <w:rPr>
                <w:rFonts w:hint="default" w:eastAsia="宋体"/>
                <w:color w:val="auto"/>
                <w:szCs w:val="21"/>
                <w:lang w:val="en-US" w:eastAsia="zh-CN"/>
              </w:rPr>
            </w:pPr>
            <w:r>
              <w:rPr>
                <w:rFonts w:hint="eastAsia" w:eastAsia="宋体"/>
                <w:color w:val="auto"/>
                <w:szCs w:val="21"/>
                <w:lang w:val="en-US" w:eastAsia="zh-CN"/>
              </w:rPr>
              <w:t>1</w:t>
            </w:r>
          </w:p>
        </w:tc>
        <w:tc>
          <w:tcPr>
            <w:tcW w:w="1280" w:type="dxa"/>
            <w:vMerge w:val="restart"/>
            <w:vAlign w:val="center"/>
          </w:tcPr>
          <w:p w14:paraId="7FAC9EF6">
            <w:pPr>
              <w:keepNext w:val="0"/>
              <w:keepLines w:val="0"/>
              <w:suppressLineNumbers w:val="0"/>
              <w:spacing w:before="0" w:beforeAutospacing="0" w:after="0" w:afterAutospacing="0"/>
              <w:ind w:left="0" w:right="0"/>
              <w:jc w:val="center"/>
              <w:rPr>
                <w:rFonts w:hint="default" w:eastAsia="宋体"/>
                <w:color w:val="auto"/>
                <w:szCs w:val="21"/>
                <w:lang w:val="en-US" w:eastAsia="zh-CN"/>
              </w:rPr>
            </w:pPr>
            <w:r>
              <w:rPr>
                <w:rFonts w:hint="eastAsia"/>
                <w:b w:val="0"/>
                <w:bCs/>
                <w:szCs w:val="21"/>
                <w:lang w:eastAsia="zh-CN"/>
              </w:rPr>
              <w:t>路由器（下联路由器）</w:t>
            </w:r>
          </w:p>
        </w:tc>
        <w:tc>
          <w:tcPr>
            <w:tcW w:w="3620" w:type="dxa"/>
            <w:vAlign w:val="top"/>
          </w:tcPr>
          <w:p w14:paraId="644012D7">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★1.1物理接口：</w:t>
            </w:r>
          </w:p>
          <w:p w14:paraId="263C752E">
            <w:pPr>
              <w:keepNext w:val="0"/>
              <w:keepLines w:val="0"/>
              <w:numPr>
                <w:ilvl w:val="0"/>
                <w:numId w:val="0"/>
              </w:numPr>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ascii="Times New Roman" w:hAnsi="Times New Roman" w:eastAsia="宋体" w:cs="Times New Roman"/>
                <w:color w:val="FF0000"/>
                <w:kern w:val="2"/>
                <w:sz w:val="21"/>
                <w:szCs w:val="21"/>
                <w:lang w:val="en-US" w:eastAsia="zh-CN" w:bidi="ar-SA"/>
              </w:rPr>
              <w:t>1.</w:t>
            </w:r>
            <w:r>
              <w:rPr>
                <w:rFonts w:hint="eastAsia" w:eastAsia="宋体"/>
                <w:color w:val="FF0000"/>
                <w:szCs w:val="21"/>
                <w:lang w:val="en-US" w:eastAsia="zh-CN"/>
              </w:rPr>
              <w:t>≥8个GE。</w:t>
            </w:r>
          </w:p>
          <w:p w14:paraId="65B1B27D">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color w:val="FF0000"/>
                <w:szCs w:val="21"/>
                <w:lang w:val="en-US" w:eastAsia="zh-CN"/>
              </w:rPr>
            </w:pPr>
            <w:r>
              <w:rPr>
                <w:rFonts w:hint="eastAsia" w:ascii="Times New Roman" w:hAnsi="Times New Roman" w:eastAsia="宋体" w:cs="Times New Roman"/>
                <w:color w:val="FF0000"/>
                <w:kern w:val="2"/>
                <w:sz w:val="21"/>
                <w:szCs w:val="21"/>
                <w:lang w:val="en-US" w:eastAsia="zh-CN" w:bidi="ar-SA"/>
              </w:rPr>
              <w:t>2.</w:t>
            </w:r>
            <w:r>
              <w:rPr>
                <w:rFonts w:hint="eastAsia" w:eastAsia="宋体"/>
                <w:color w:val="FF0000"/>
                <w:szCs w:val="21"/>
                <w:lang w:val="en-US" w:eastAsia="zh-CN"/>
              </w:rPr>
              <w:t>≥8个SFP+端口。</w:t>
            </w:r>
          </w:p>
        </w:tc>
        <w:tc>
          <w:tcPr>
            <w:tcW w:w="1280" w:type="dxa"/>
          </w:tcPr>
          <w:p w14:paraId="3C797B6D">
            <w:pPr>
              <w:keepNext w:val="0"/>
              <w:keepLines w:val="0"/>
              <w:numPr>
                <w:ilvl w:val="0"/>
                <w:numId w:val="0"/>
              </w:numPr>
              <w:suppressLineNumbers w:val="0"/>
              <w:spacing w:before="0" w:beforeAutospacing="0" w:after="0" w:afterAutospacing="0"/>
              <w:ind w:left="0" w:leftChars="0" w:right="0" w:rightChars="0"/>
              <w:rPr>
                <w:rFonts w:hint="eastAsia" w:ascii="Times New Roman" w:hAnsi="Times New Roman" w:eastAsia="宋体" w:cs="Times New Roman"/>
                <w:color w:val="FF0000"/>
                <w:kern w:val="2"/>
                <w:sz w:val="21"/>
                <w:szCs w:val="21"/>
                <w:lang w:val="en-US" w:eastAsia="zh-CN" w:bidi="ar-SA"/>
              </w:rPr>
            </w:pPr>
          </w:p>
        </w:tc>
        <w:tc>
          <w:tcPr>
            <w:tcW w:w="1140" w:type="dxa"/>
          </w:tcPr>
          <w:p w14:paraId="58993876">
            <w:pPr>
              <w:keepNext w:val="0"/>
              <w:keepLines w:val="0"/>
              <w:numPr>
                <w:ilvl w:val="0"/>
                <w:numId w:val="0"/>
              </w:numPr>
              <w:suppressLineNumbers w:val="0"/>
              <w:spacing w:before="0" w:beforeAutospacing="0" w:after="0" w:afterAutospacing="0"/>
              <w:ind w:left="0" w:leftChars="0" w:right="0" w:rightChars="0"/>
              <w:rPr>
                <w:rFonts w:hint="eastAsia" w:ascii="Times New Roman" w:hAnsi="Times New Roman" w:eastAsia="宋体" w:cs="Times New Roman"/>
                <w:color w:val="FF0000"/>
                <w:kern w:val="2"/>
                <w:sz w:val="21"/>
                <w:szCs w:val="21"/>
                <w:lang w:val="en-US" w:eastAsia="zh-CN" w:bidi="ar-SA"/>
              </w:rPr>
            </w:pPr>
          </w:p>
        </w:tc>
        <w:tc>
          <w:tcPr>
            <w:tcW w:w="772" w:type="dxa"/>
          </w:tcPr>
          <w:p w14:paraId="3A0783EC">
            <w:pPr>
              <w:keepNext w:val="0"/>
              <w:keepLines w:val="0"/>
              <w:numPr>
                <w:ilvl w:val="0"/>
                <w:numId w:val="0"/>
              </w:numPr>
              <w:suppressLineNumbers w:val="0"/>
              <w:spacing w:before="0" w:beforeAutospacing="0" w:after="0" w:afterAutospacing="0"/>
              <w:ind w:left="0" w:leftChars="0" w:right="0" w:rightChars="0"/>
              <w:rPr>
                <w:rFonts w:hint="eastAsia" w:ascii="Times New Roman" w:hAnsi="Times New Roman" w:eastAsia="宋体" w:cs="Times New Roman"/>
                <w:color w:val="FF0000"/>
                <w:kern w:val="2"/>
                <w:sz w:val="21"/>
                <w:szCs w:val="21"/>
                <w:lang w:val="en-US" w:eastAsia="zh-CN" w:bidi="ar-SA"/>
              </w:rPr>
            </w:pPr>
          </w:p>
        </w:tc>
      </w:tr>
      <w:tr w14:paraId="151A2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5" w:hRule="atLeast"/>
        </w:trPr>
        <w:tc>
          <w:tcPr>
            <w:tcW w:w="643" w:type="dxa"/>
            <w:vMerge w:val="continue"/>
          </w:tcPr>
          <w:p w14:paraId="7B338256">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tcPr>
          <w:p w14:paraId="561ABEF5">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58EC86A6">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★1.2技术要求：</w:t>
            </w:r>
          </w:p>
          <w:p w14:paraId="78561DFC">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1.交换容量≥85Tbps。</w:t>
            </w:r>
          </w:p>
          <w:p w14:paraId="03AD0EB6">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2.包转发率≥12000Mpps。</w:t>
            </w:r>
          </w:p>
          <w:p w14:paraId="1DECBB2F">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3.支持RADIUS/Tacacs+方式进行AAA认证。</w:t>
            </w:r>
          </w:p>
          <w:p w14:paraId="284E05E7">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4.支持NTP时间同步。</w:t>
            </w:r>
          </w:p>
          <w:p w14:paraId="323855D9">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5.支持SSH登录方式。</w:t>
            </w:r>
          </w:p>
          <w:p w14:paraId="4D573658">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6.支持本地端口镜像和远程端口镜像。</w:t>
            </w:r>
          </w:p>
          <w:p w14:paraId="0D77A664">
            <w:pPr>
              <w:keepNext w:val="0"/>
              <w:keepLines w:val="0"/>
              <w:suppressLineNumbers w:val="0"/>
              <w:spacing w:before="0" w:beforeAutospacing="0" w:after="0" w:afterAutospacing="0"/>
              <w:ind w:left="0" w:leftChars="0" w:right="0" w:rightChars="0"/>
              <w:rPr>
                <w:rFonts w:hint="default" w:eastAsia="宋体"/>
                <w:color w:val="FF0000"/>
                <w:szCs w:val="21"/>
                <w:lang w:val="en-US" w:eastAsia="zh-CN"/>
              </w:rPr>
            </w:pPr>
            <w:r>
              <w:rPr>
                <w:rFonts w:hint="eastAsia" w:eastAsia="宋体"/>
                <w:color w:val="FF0000"/>
                <w:szCs w:val="21"/>
                <w:lang w:val="en-US" w:eastAsia="zh-CN"/>
              </w:rPr>
              <w:t>7.支持syslog。</w:t>
            </w:r>
          </w:p>
        </w:tc>
        <w:tc>
          <w:tcPr>
            <w:tcW w:w="1280" w:type="dxa"/>
          </w:tcPr>
          <w:p w14:paraId="75FF0BD5">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140" w:type="dxa"/>
          </w:tcPr>
          <w:p w14:paraId="495D9433">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772" w:type="dxa"/>
          </w:tcPr>
          <w:p w14:paraId="5F1E7173">
            <w:pPr>
              <w:keepNext w:val="0"/>
              <w:keepLines w:val="0"/>
              <w:suppressLineNumbers w:val="0"/>
              <w:spacing w:before="0" w:beforeAutospacing="0" w:after="0" w:afterAutospacing="0"/>
              <w:ind w:left="0" w:right="0"/>
              <w:rPr>
                <w:rFonts w:hint="eastAsia" w:eastAsia="宋体"/>
                <w:color w:val="FF0000"/>
                <w:szCs w:val="21"/>
                <w:lang w:val="en-US" w:eastAsia="zh-CN"/>
              </w:rPr>
            </w:pPr>
          </w:p>
        </w:tc>
      </w:tr>
      <w:tr w14:paraId="01651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trPr>
        <w:tc>
          <w:tcPr>
            <w:tcW w:w="643" w:type="dxa"/>
            <w:vMerge w:val="continue"/>
            <w:vAlign w:val="top"/>
          </w:tcPr>
          <w:p w14:paraId="21E97D06">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7DD380F1">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61F44E1F">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★1.3入网许可：具有《电信设备进网许可证》，设备及其型号需与入网证一致。</w:t>
            </w:r>
          </w:p>
          <w:p w14:paraId="6142DD20">
            <w:pPr>
              <w:keepNext w:val="0"/>
              <w:keepLines w:val="0"/>
              <w:suppressLineNumbers w:val="0"/>
              <w:spacing w:before="0" w:beforeAutospacing="0" w:after="0" w:afterAutospacing="0"/>
              <w:ind w:left="0" w:leftChars="0" w:right="0" w:rightChars="0"/>
              <w:rPr>
                <w:rFonts w:hint="default" w:eastAsia="宋体"/>
                <w:color w:val="FF0000"/>
                <w:szCs w:val="21"/>
                <w:lang w:val="en-US" w:eastAsia="zh-CN"/>
              </w:rPr>
            </w:pPr>
            <w:r>
              <w:rPr>
                <w:rFonts w:hint="eastAsia" w:eastAsia="宋体"/>
                <w:b/>
                <w:bCs/>
                <w:color w:val="FF0000"/>
                <w:szCs w:val="21"/>
                <w:highlight w:val="yellow"/>
                <w:lang w:val="en-US" w:eastAsia="zh-CN"/>
              </w:rPr>
              <w:t>投标人还需</w:t>
            </w:r>
            <w:r>
              <w:rPr>
                <w:rFonts w:hint="eastAsia"/>
                <w:b/>
                <w:bCs/>
                <w:color w:val="FF0000"/>
                <w:szCs w:val="21"/>
                <w:highlight w:val="yellow"/>
                <w:lang w:val="en-US" w:eastAsia="zh-CN"/>
              </w:rPr>
              <w:t>提供</w:t>
            </w:r>
            <w:r>
              <w:rPr>
                <w:rFonts w:hint="eastAsia" w:eastAsia="宋体"/>
                <w:b/>
                <w:bCs/>
                <w:color w:val="FF0000"/>
                <w:szCs w:val="21"/>
                <w:highlight w:val="yellow"/>
                <w:lang w:val="en-US" w:eastAsia="zh-CN"/>
              </w:rPr>
              <w:t>承诺函（格式自拟加盖公章），承诺中标后提供《电信设备进网许可证》且设备及其型号需与入网证一致。</w:t>
            </w:r>
          </w:p>
        </w:tc>
        <w:tc>
          <w:tcPr>
            <w:tcW w:w="1280" w:type="dxa"/>
            <w:vAlign w:val="top"/>
          </w:tcPr>
          <w:p w14:paraId="36C0C8FA">
            <w:pPr>
              <w:keepNext w:val="0"/>
              <w:keepLines w:val="0"/>
              <w:suppressLineNumbers w:val="0"/>
              <w:spacing w:before="0" w:beforeAutospacing="0" w:after="0" w:afterAutospacing="0"/>
              <w:ind w:left="0" w:right="0"/>
              <w:rPr>
                <w:rFonts w:hint="eastAsia" w:eastAsia="宋体"/>
                <w:b/>
                <w:bCs/>
                <w:color w:val="FF0000"/>
                <w:szCs w:val="21"/>
                <w:highlight w:val="yellow"/>
                <w:lang w:val="en-US" w:eastAsia="zh-CN"/>
              </w:rPr>
            </w:pPr>
          </w:p>
        </w:tc>
        <w:tc>
          <w:tcPr>
            <w:tcW w:w="1140" w:type="dxa"/>
            <w:vAlign w:val="top"/>
          </w:tcPr>
          <w:p w14:paraId="5699D178">
            <w:pPr>
              <w:keepNext w:val="0"/>
              <w:keepLines w:val="0"/>
              <w:suppressLineNumbers w:val="0"/>
              <w:spacing w:before="0" w:beforeAutospacing="0" w:after="0" w:afterAutospacing="0"/>
              <w:ind w:left="0" w:right="0"/>
              <w:rPr>
                <w:rFonts w:hint="eastAsia" w:eastAsia="宋体"/>
                <w:b/>
                <w:bCs/>
                <w:color w:val="FF0000"/>
                <w:szCs w:val="21"/>
                <w:highlight w:val="yellow"/>
                <w:lang w:val="en-US" w:eastAsia="zh-CN"/>
              </w:rPr>
            </w:pPr>
          </w:p>
        </w:tc>
        <w:tc>
          <w:tcPr>
            <w:tcW w:w="772" w:type="dxa"/>
            <w:vAlign w:val="top"/>
          </w:tcPr>
          <w:p w14:paraId="46E889B1">
            <w:pPr>
              <w:keepNext w:val="0"/>
              <w:keepLines w:val="0"/>
              <w:suppressLineNumbers w:val="0"/>
              <w:spacing w:before="0" w:beforeAutospacing="0" w:after="0" w:afterAutospacing="0"/>
              <w:ind w:left="0" w:right="0"/>
              <w:rPr>
                <w:rFonts w:hint="eastAsia" w:eastAsia="宋体"/>
                <w:b/>
                <w:bCs/>
                <w:color w:val="FF0000"/>
                <w:szCs w:val="21"/>
                <w:highlight w:val="yellow"/>
                <w:lang w:val="en-US" w:eastAsia="zh-CN"/>
              </w:rPr>
            </w:pPr>
          </w:p>
        </w:tc>
      </w:tr>
      <w:tr w14:paraId="2EDEF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643" w:type="dxa"/>
            <w:vMerge w:val="continue"/>
            <w:vAlign w:val="top"/>
          </w:tcPr>
          <w:p w14:paraId="5B803F75">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367CBB0E">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57A5EDBF">
            <w:pPr>
              <w:keepNext w:val="0"/>
              <w:keepLines w:val="0"/>
              <w:suppressLineNumbers w:val="0"/>
              <w:spacing w:before="0" w:beforeAutospacing="0" w:after="0" w:afterAutospacing="0"/>
              <w:ind w:left="0" w:leftChars="0" w:right="0" w:rightChars="0"/>
              <w:rPr>
                <w:rFonts w:hint="default" w:eastAsia="宋体"/>
                <w:color w:val="FF0000"/>
                <w:szCs w:val="21"/>
                <w:lang w:val="en-US" w:eastAsia="zh-CN"/>
              </w:rPr>
            </w:pPr>
            <w:r>
              <w:rPr>
                <w:rFonts w:hint="eastAsia" w:eastAsia="宋体"/>
                <w:color w:val="FF0000"/>
                <w:szCs w:val="21"/>
                <w:lang w:val="en-US" w:eastAsia="zh-CN"/>
              </w:rPr>
              <w:t>★1.4 网络关键设备要求：在《网络关键设备和网络安全专用产品目录》中的设备，按照《信息安全技术 网络安全专用产品安全技术要求》等相关国家标准强制性要求，由具备资格的机构安全认证合格或安全检测符合性要求，或者此前已获得《计算机信息系统安全专用产品销售许可证》且在有效期内。</w:t>
            </w:r>
          </w:p>
        </w:tc>
        <w:tc>
          <w:tcPr>
            <w:tcW w:w="1280" w:type="dxa"/>
            <w:vAlign w:val="top"/>
          </w:tcPr>
          <w:p w14:paraId="581A1D47">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140" w:type="dxa"/>
            <w:vAlign w:val="top"/>
          </w:tcPr>
          <w:p w14:paraId="6EA02EE9">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772" w:type="dxa"/>
            <w:vAlign w:val="top"/>
          </w:tcPr>
          <w:p w14:paraId="7BC11048">
            <w:pPr>
              <w:keepNext w:val="0"/>
              <w:keepLines w:val="0"/>
              <w:suppressLineNumbers w:val="0"/>
              <w:spacing w:before="0" w:beforeAutospacing="0" w:after="0" w:afterAutospacing="0"/>
              <w:ind w:left="0" w:right="0"/>
              <w:rPr>
                <w:rFonts w:hint="eastAsia" w:eastAsia="宋体"/>
                <w:color w:val="FF0000"/>
                <w:szCs w:val="21"/>
                <w:lang w:val="en-US" w:eastAsia="zh-CN"/>
              </w:rPr>
            </w:pPr>
          </w:p>
        </w:tc>
      </w:tr>
      <w:tr w14:paraId="30C6C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43" w:type="dxa"/>
            <w:vMerge w:val="continue"/>
            <w:vAlign w:val="top"/>
          </w:tcPr>
          <w:p w14:paraId="37B51DCC">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251EA72D">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117E7FE3">
            <w:pPr>
              <w:keepNext w:val="0"/>
              <w:keepLines w:val="0"/>
              <w:suppressLineNumbers w:val="0"/>
              <w:spacing w:before="0" w:beforeAutospacing="0" w:after="0" w:afterAutospacing="0"/>
              <w:ind w:left="0" w:leftChars="0" w:right="0" w:rightChars="0"/>
              <w:rPr>
                <w:rFonts w:hint="default" w:eastAsia="宋体"/>
                <w:color w:val="FF0000"/>
                <w:szCs w:val="21"/>
                <w:lang w:val="en-US" w:eastAsia="zh-CN"/>
              </w:rPr>
            </w:pPr>
            <w:r>
              <w:rPr>
                <w:rFonts w:hint="eastAsia" w:eastAsia="宋体"/>
                <w:color w:val="FF0000"/>
                <w:szCs w:val="21"/>
                <w:lang w:val="en-US" w:eastAsia="zh-CN"/>
              </w:rPr>
              <w:t>★1.5 硬件规格：满配冗余主控，满配冗余电源，满配冗余风扇。</w:t>
            </w:r>
          </w:p>
        </w:tc>
        <w:tc>
          <w:tcPr>
            <w:tcW w:w="1280" w:type="dxa"/>
            <w:vAlign w:val="top"/>
          </w:tcPr>
          <w:p w14:paraId="101250FC">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140" w:type="dxa"/>
            <w:vAlign w:val="top"/>
          </w:tcPr>
          <w:p w14:paraId="7DEBEFE9">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772" w:type="dxa"/>
            <w:vAlign w:val="top"/>
          </w:tcPr>
          <w:p w14:paraId="04D99027">
            <w:pPr>
              <w:keepNext w:val="0"/>
              <w:keepLines w:val="0"/>
              <w:suppressLineNumbers w:val="0"/>
              <w:spacing w:before="0" w:beforeAutospacing="0" w:after="0" w:afterAutospacing="0"/>
              <w:ind w:left="0" w:right="0"/>
              <w:rPr>
                <w:rFonts w:hint="eastAsia" w:eastAsia="宋体"/>
                <w:color w:val="FF0000"/>
                <w:szCs w:val="21"/>
                <w:lang w:val="en-US" w:eastAsia="zh-CN"/>
              </w:rPr>
            </w:pPr>
          </w:p>
        </w:tc>
      </w:tr>
      <w:tr w14:paraId="0E360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3" w:type="dxa"/>
            <w:vMerge w:val="continue"/>
            <w:vAlign w:val="top"/>
          </w:tcPr>
          <w:p w14:paraId="6C2909D7">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747B6B03">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73A739FE">
            <w:pPr>
              <w:keepNext w:val="0"/>
              <w:keepLines w:val="0"/>
              <w:suppressLineNumbers w:val="0"/>
              <w:spacing w:before="0" w:beforeAutospacing="0" w:after="0" w:afterAutospacing="0"/>
              <w:ind w:left="0" w:leftChars="0" w:right="0" w:rightChars="0"/>
              <w:rPr>
                <w:rFonts w:hint="default" w:eastAsia="宋体"/>
                <w:color w:val="FF0000"/>
                <w:szCs w:val="21"/>
                <w:lang w:val="en-US" w:eastAsia="zh-CN"/>
              </w:rPr>
            </w:pPr>
            <w:r>
              <w:rPr>
                <w:rFonts w:hint="eastAsia" w:eastAsia="宋体"/>
                <w:color w:val="FF0000"/>
                <w:szCs w:val="21"/>
                <w:lang w:val="en-US" w:eastAsia="zh-CN"/>
              </w:rPr>
              <w:t>★1.6芯片：所涉及芯片均为信创芯片。</w:t>
            </w:r>
          </w:p>
        </w:tc>
        <w:tc>
          <w:tcPr>
            <w:tcW w:w="1280" w:type="dxa"/>
            <w:vAlign w:val="top"/>
          </w:tcPr>
          <w:p w14:paraId="79AE57DF">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140" w:type="dxa"/>
            <w:vAlign w:val="top"/>
          </w:tcPr>
          <w:p w14:paraId="78333083">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772" w:type="dxa"/>
            <w:vAlign w:val="top"/>
          </w:tcPr>
          <w:p w14:paraId="0B8B1301">
            <w:pPr>
              <w:keepNext w:val="0"/>
              <w:keepLines w:val="0"/>
              <w:suppressLineNumbers w:val="0"/>
              <w:spacing w:before="0" w:beforeAutospacing="0" w:after="0" w:afterAutospacing="0"/>
              <w:ind w:left="0" w:right="0"/>
              <w:rPr>
                <w:rFonts w:hint="eastAsia" w:eastAsia="宋体"/>
                <w:color w:val="FF0000"/>
                <w:szCs w:val="21"/>
                <w:lang w:val="en-US" w:eastAsia="zh-CN"/>
              </w:rPr>
            </w:pPr>
          </w:p>
        </w:tc>
      </w:tr>
      <w:tr w14:paraId="072DA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643" w:type="dxa"/>
            <w:vMerge w:val="continue"/>
            <w:vAlign w:val="top"/>
          </w:tcPr>
          <w:p w14:paraId="69306140">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4AE00B5D">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3EC0E19C">
            <w:pPr>
              <w:keepNext w:val="0"/>
              <w:keepLines w:val="0"/>
              <w:suppressLineNumbers w:val="0"/>
              <w:spacing w:before="0" w:beforeAutospacing="0" w:after="0" w:afterAutospacing="0"/>
              <w:ind w:left="0" w:leftChars="0" w:right="0" w:rightChars="0"/>
              <w:rPr>
                <w:rFonts w:hint="default" w:eastAsia="宋体"/>
                <w:color w:val="auto"/>
                <w:szCs w:val="21"/>
                <w:lang w:val="en-US" w:eastAsia="zh-CN"/>
              </w:rPr>
            </w:pPr>
            <w:r>
              <w:rPr>
                <w:rFonts w:hint="eastAsia" w:eastAsia="宋体"/>
                <w:color w:val="auto"/>
                <w:szCs w:val="21"/>
                <w:lang w:val="en-US" w:eastAsia="zh-CN"/>
              </w:rPr>
              <w:t>#1.7 IPv4单播路由：支持静态路由，RIP，OSPF，IS-IS，BGP</w:t>
            </w:r>
          </w:p>
        </w:tc>
        <w:tc>
          <w:tcPr>
            <w:tcW w:w="1280" w:type="dxa"/>
            <w:vAlign w:val="top"/>
          </w:tcPr>
          <w:p w14:paraId="5CE3D4C9">
            <w:pPr>
              <w:keepNext w:val="0"/>
              <w:keepLines w:val="0"/>
              <w:suppressLineNumbers w:val="0"/>
              <w:spacing w:before="0" w:beforeAutospacing="0" w:after="0" w:afterAutospacing="0"/>
              <w:ind w:left="0" w:right="0"/>
              <w:rPr>
                <w:rFonts w:hint="eastAsia" w:eastAsia="宋体"/>
                <w:color w:val="auto"/>
                <w:szCs w:val="21"/>
                <w:lang w:val="en-US" w:eastAsia="zh-CN"/>
              </w:rPr>
            </w:pPr>
          </w:p>
        </w:tc>
        <w:tc>
          <w:tcPr>
            <w:tcW w:w="1140" w:type="dxa"/>
            <w:vAlign w:val="top"/>
          </w:tcPr>
          <w:p w14:paraId="555FAE38">
            <w:pPr>
              <w:keepNext w:val="0"/>
              <w:keepLines w:val="0"/>
              <w:suppressLineNumbers w:val="0"/>
              <w:spacing w:before="0" w:beforeAutospacing="0" w:after="0" w:afterAutospacing="0"/>
              <w:ind w:left="0" w:right="0"/>
              <w:rPr>
                <w:rFonts w:hint="eastAsia" w:eastAsia="宋体"/>
                <w:color w:val="auto"/>
                <w:szCs w:val="21"/>
                <w:lang w:val="en-US" w:eastAsia="zh-CN"/>
              </w:rPr>
            </w:pPr>
          </w:p>
        </w:tc>
        <w:tc>
          <w:tcPr>
            <w:tcW w:w="772" w:type="dxa"/>
            <w:vAlign w:val="top"/>
          </w:tcPr>
          <w:p w14:paraId="0BBB3483">
            <w:pPr>
              <w:keepNext w:val="0"/>
              <w:keepLines w:val="0"/>
              <w:suppressLineNumbers w:val="0"/>
              <w:spacing w:before="0" w:beforeAutospacing="0" w:after="0" w:afterAutospacing="0"/>
              <w:ind w:left="0" w:right="0"/>
              <w:rPr>
                <w:rFonts w:hint="eastAsia" w:eastAsia="宋体"/>
                <w:color w:val="auto"/>
                <w:szCs w:val="21"/>
                <w:lang w:val="en-US" w:eastAsia="zh-CN"/>
              </w:rPr>
            </w:pPr>
          </w:p>
        </w:tc>
      </w:tr>
      <w:tr w14:paraId="095BE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43" w:type="dxa"/>
            <w:vMerge w:val="continue"/>
            <w:vAlign w:val="top"/>
          </w:tcPr>
          <w:p w14:paraId="26C98ECC">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2C1C6D4E">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40390F2B">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r>
              <w:rPr>
                <w:rFonts w:hint="eastAsia" w:eastAsia="宋体"/>
                <w:color w:val="auto"/>
                <w:szCs w:val="21"/>
                <w:lang w:val="en-US" w:eastAsia="zh-CN"/>
              </w:rPr>
              <w:t>#1.8 IPv6单播路由：静态路由，路由策略，RIPng，OSPFv3，IS-ISv6，BGP4+。</w:t>
            </w:r>
          </w:p>
        </w:tc>
        <w:tc>
          <w:tcPr>
            <w:tcW w:w="1280" w:type="dxa"/>
            <w:vAlign w:val="top"/>
          </w:tcPr>
          <w:p w14:paraId="37172A92">
            <w:pPr>
              <w:keepNext w:val="0"/>
              <w:keepLines w:val="0"/>
              <w:suppressLineNumbers w:val="0"/>
              <w:spacing w:before="0" w:beforeAutospacing="0" w:after="0" w:afterAutospacing="0"/>
              <w:ind w:left="0" w:right="0"/>
              <w:rPr>
                <w:rFonts w:hint="eastAsia" w:eastAsia="宋体"/>
                <w:color w:val="auto"/>
                <w:szCs w:val="21"/>
                <w:lang w:val="en-US" w:eastAsia="zh-CN"/>
              </w:rPr>
            </w:pPr>
          </w:p>
        </w:tc>
        <w:tc>
          <w:tcPr>
            <w:tcW w:w="1140" w:type="dxa"/>
            <w:vAlign w:val="top"/>
          </w:tcPr>
          <w:p w14:paraId="0C55DA74">
            <w:pPr>
              <w:keepNext w:val="0"/>
              <w:keepLines w:val="0"/>
              <w:suppressLineNumbers w:val="0"/>
              <w:spacing w:before="0" w:beforeAutospacing="0" w:after="0" w:afterAutospacing="0"/>
              <w:ind w:left="0" w:right="0"/>
              <w:rPr>
                <w:rFonts w:hint="eastAsia" w:eastAsia="宋体"/>
                <w:color w:val="auto"/>
                <w:szCs w:val="21"/>
                <w:lang w:val="en-US" w:eastAsia="zh-CN"/>
              </w:rPr>
            </w:pPr>
          </w:p>
        </w:tc>
        <w:tc>
          <w:tcPr>
            <w:tcW w:w="772" w:type="dxa"/>
            <w:vAlign w:val="top"/>
          </w:tcPr>
          <w:p w14:paraId="5287E44A">
            <w:pPr>
              <w:keepNext w:val="0"/>
              <w:keepLines w:val="0"/>
              <w:suppressLineNumbers w:val="0"/>
              <w:spacing w:before="0" w:beforeAutospacing="0" w:after="0" w:afterAutospacing="0"/>
              <w:ind w:left="0" w:right="0"/>
              <w:rPr>
                <w:rFonts w:hint="eastAsia" w:eastAsia="宋体"/>
                <w:color w:val="auto"/>
                <w:szCs w:val="21"/>
                <w:lang w:val="en-US" w:eastAsia="zh-CN"/>
              </w:rPr>
            </w:pPr>
          </w:p>
        </w:tc>
      </w:tr>
      <w:tr w14:paraId="5C7F3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43" w:type="dxa"/>
            <w:vMerge w:val="continue"/>
            <w:vAlign w:val="top"/>
          </w:tcPr>
          <w:p w14:paraId="72FA5FA8">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4B9C41B5">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0DFE933F">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r>
              <w:rPr>
                <w:rFonts w:hint="eastAsia" w:eastAsia="宋体"/>
                <w:color w:val="auto"/>
                <w:szCs w:val="21"/>
                <w:lang w:val="en-US" w:eastAsia="zh-CN"/>
              </w:rPr>
              <w:t>#1.9 FlexE功能：支持1Gbps/10Mbps小颗粒FlexE切片。</w:t>
            </w:r>
          </w:p>
        </w:tc>
        <w:tc>
          <w:tcPr>
            <w:tcW w:w="1280" w:type="dxa"/>
            <w:vAlign w:val="top"/>
          </w:tcPr>
          <w:p w14:paraId="013FD2B4">
            <w:pPr>
              <w:keepNext w:val="0"/>
              <w:keepLines w:val="0"/>
              <w:suppressLineNumbers w:val="0"/>
              <w:spacing w:before="0" w:beforeAutospacing="0" w:after="0" w:afterAutospacing="0"/>
              <w:ind w:left="0" w:right="0"/>
              <w:rPr>
                <w:rFonts w:hint="eastAsia" w:eastAsia="宋体"/>
                <w:color w:val="auto"/>
                <w:szCs w:val="21"/>
                <w:lang w:val="en-US" w:eastAsia="zh-CN"/>
              </w:rPr>
            </w:pPr>
          </w:p>
        </w:tc>
        <w:tc>
          <w:tcPr>
            <w:tcW w:w="1140" w:type="dxa"/>
            <w:vAlign w:val="top"/>
          </w:tcPr>
          <w:p w14:paraId="5F9CB479">
            <w:pPr>
              <w:keepNext w:val="0"/>
              <w:keepLines w:val="0"/>
              <w:suppressLineNumbers w:val="0"/>
              <w:spacing w:before="0" w:beforeAutospacing="0" w:after="0" w:afterAutospacing="0"/>
              <w:ind w:left="0" w:right="0"/>
              <w:rPr>
                <w:rFonts w:hint="eastAsia" w:eastAsia="宋体"/>
                <w:color w:val="auto"/>
                <w:szCs w:val="21"/>
                <w:lang w:val="en-US" w:eastAsia="zh-CN"/>
              </w:rPr>
            </w:pPr>
          </w:p>
        </w:tc>
        <w:tc>
          <w:tcPr>
            <w:tcW w:w="772" w:type="dxa"/>
            <w:vAlign w:val="top"/>
          </w:tcPr>
          <w:p w14:paraId="51EDF41E">
            <w:pPr>
              <w:keepNext w:val="0"/>
              <w:keepLines w:val="0"/>
              <w:suppressLineNumbers w:val="0"/>
              <w:spacing w:before="0" w:beforeAutospacing="0" w:after="0" w:afterAutospacing="0"/>
              <w:ind w:left="0" w:right="0"/>
              <w:rPr>
                <w:rFonts w:hint="eastAsia" w:eastAsia="宋体"/>
                <w:color w:val="auto"/>
                <w:szCs w:val="21"/>
                <w:lang w:val="en-US" w:eastAsia="zh-CN"/>
              </w:rPr>
            </w:pPr>
          </w:p>
        </w:tc>
      </w:tr>
      <w:tr w14:paraId="2B6E1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643" w:type="dxa"/>
            <w:vMerge w:val="continue"/>
            <w:vAlign w:val="top"/>
          </w:tcPr>
          <w:p w14:paraId="14C8764C">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06A5C429">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09E6C83A">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r>
              <w:rPr>
                <w:rFonts w:hint="eastAsia" w:eastAsia="宋体"/>
                <w:color w:val="auto"/>
                <w:szCs w:val="21"/>
                <w:lang w:val="en-US" w:eastAsia="zh-CN"/>
              </w:rPr>
              <w:t>#1.10SRv6特性：支持G-SRv6。</w:t>
            </w:r>
          </w:p>
        </w:tc>
        <w:tc>
          <w:tcPr>
            <w:tcW w:w="1280" w:type="dxa"/>
            <w:vAlign w:val="top"/>
          </w:tcPr>
          <w:p w14:paraId="3F1E28A6">
            <w:pPr>
              <w:keepNext w:val="0"/>
              <w:keepLines w:val="0"/>
              <w:suppressLineNumbers w:val="0"/>
              <w:spacing w:before="0" w:beforeAutospacing="0" w:after="0" w:afterAutospacing="0"/>
              <w:ind w:left="0" w:right="0"/>
              <w:rPr>
                <w:rFonts w:hint="eastAsia" w:eastAsia="宋体"/>
                <w:color w:val="auto"/>
                <w:szCs w:val="21"/>
                <w:lang w:val="en-US" w:eastAsia="zh-CN"/>
              </w:rPr>
            </w:pPr>
          </w:p>
        </w:tc>
        <w:tc>
          <w:tcPr>
            <w:tcW w:w="1140" w:type="dxa"/>
            <w:vAlign w:val="top"/>
          </w:tcPr>
          <w:p w14:paraId="677FFD25">
            <w:pPr>
              <w:keepNext w:val="0"/>
              <w:keepLines w:val="0"/>
              <w:suppressLineNumbers w:val="0"/>
              <w:spacing w:before="0" w:beforeAutospacing="0" w:after="0" w:afterAutospacing="0"/>
              <w:ind w:left="0" w:right="0"/>
              <w:rPr>
                <w:rFonts w:hint="eastAsia" w:eastAsia="宋体"/>
                <w:color w:val="auto"/>
                <w:szCs w:val="21"/>
                <w:lang w:val="en-US" w:eastAsia="zh-CN"/>
              </w:rPr>
            </w:pPr>
          </w:p>
        </w:tc>
        <w:tc>
          <w:tcPr>
            <w:tcW w:w="772" w:type="dxa"/>
            <w:vAlign w:val="top"/>
          </w:tcPr>
          <w:p w14:paraId="0C0E1CE5">
            <w:pPr>
              <w:keepNext w:val="0"/>
              <w:keepLines w:val="0"/>
              <w:suppressLineNumbers w:val="0"/>
              <w:spacing w:before="0" w:beforeAutospacing="0" w:after="0" w:afterAutospacing="0"/>
              <w:ind w:left="0" w:right="0"/>
              <w:rPr>
                <w:rFonts w:hint="eastAsia" w:eastAsia="宋体"/>
                <w:color w:val="auto"/>
                <w:szCs w:val="21"/>
                <w:lang w:val="en-US" w:eastAsia="zh-CN"/>
              </w:rPr>
            </w:pPr>
          </w:p>
        </w:tc>
      </w:tr>
      <w:tr w14:paraId="4632A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43" w:type="dxa"/>
            <w:vMerge w:val="continue"/>
            <w:vAlign w:val="top"/>
          </w:tcPr>
          <w:p w14:paraId="2A3C1FE5">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6C59BABA">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79012BD4">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r>
              <w:rPr>
                <w:rFonts w:hint="eastAsia" w:eastAsia="宋体"/>
                <w:color w:val="auto"/>
                <w:szCs w:val="21"/>
                <w:lang w:val="en-US" w:eastAsia="zh-CN"/>
              </w:rPr>
              <w:t>#1.11管理维护：支持SNMP V1/V2c/V3、SYSLOG、RMON、Telnet等管理功能。</w:t>
            </w:r>
          </w:p>
        </w:tc>
        <w:tc>
          <w:tcPr>
            <w:tcW w:w="1280" w:type="dxa"/>
            <w:vAlign w:val="top"/>
          </w:tcPr>
          <w:p w14:paraId="587B34B7">
            <w:pPr>
              <w:keepNext w:val="0"/>
              <w:keepLines w:val="0"/>
              <w:suppressLineNumbers w:val="0"/>
              <w:spacing w:before="0" w:beforeAutospacing="0" w:after="0" w:afterAutospacing="0"/>
              <w:ind w:left="0" w:right="0"/>
              <w:rPr>
                <w:rFonts w:hint="eastAsia" w:eastAsia="宋体"/>
                <w:color w:val="auto"/>
                <w:szCs w:val="21"/>
                <w:lang w:val="en-US" w:eastAsia="zh-CN"/>
              </w:rPr>
            </w:pPr>
          </w:p>
        </w:tc>
        <w:tc>
          <w:tcPr>
            <w:tcW w:w="1140" w:type="dxa"/>
            <w:vAlign w:val="top"/>
          </w:tcPr>
          <w:p w14:paraId="178D5007">
            <w:pPr>
              <w:keepNext w:val="0"/>
              <w:keepLines w:val="0"/>
              <w:suppressLineNumbers w:val="0"/>
              <w:spacing w:before="0" w:beforeAutospacing="0" w:after="0" w:afterAutospacing="0"/>
              <w:ind w:left="0" w:right="0"/>
              <w:rPr>
                <w:rFonts w:hint="eastAsia" w:eastAsia="宋体"/>
                <w:color w:val="auto"/>
                <w:szCs w:val="21"/>
                <w:lang w:val="en-US" w:eastAsia="zh-CN"/>
              </w:rPr>
            </w:pPr>
          </w:p>
        </w:tc>
        <w:tc>
          <w:tcPr>
            <w:tcW w:w="772" w:type="dxa"/>
            <w:vAlign w:val="top"/>
          </w:tcPr>
          <w:p w14:paraId="07C829C0">
            <w:pPr>
              <w:keepNext w:val="0"/>
              <w:keepLines w:val="0"/>
              <w:suppressLineNumbers w:val="0"/>
              <w:spacing w:before="0" w:beforeAutospacing="0" w:after="0" w:afterAutospacing="0"/>
              <w:ind w:left="0" w:right="0"/>
              <w:rPr>
                <w:rFonts w:hint="eastAsia" w:eastAsia="宋体"/>
                <w:color w:val="auto"/>
                <w:szCs w:val="21"/>
                <w:lang w:val="en-US" w:eastAsia="zh-CN"/>
              </w:rPr>
            </w:pPr>
          </w:p>
        </w:tc>
      </w:tr>
      <w:tr w14:paraId="5DB5E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643" w:type="dxa"/>
            <w:vMerge w:val="continue"/>
            <w:vAlign w:val="top"/>
          </w:tcPr>
          <w:p w14:paraId="02A743F8">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11651C6F">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68DCB68C">
            <w:pPr>
              <w:keepNext w:val="0"/>
              <w:keepLines w:val="0"/>
              <w:suppressLineNumbers w:val="0"/>
              <w:spacing w:before="0" w:beforeAutospacing="0" w:after="0" w:afterAutospacing="0"/>
              <w:ind w:left="0" w:right="0"/>
              <w:rPr>
                <w:rFonts w:hint="eastAsia" w:eastAsia="宋体"/>
                <w:color w:val="auto"/>
                <w:szCs w:val="21"/>
                <w:lang w:val="en-US" w:eastAsia="zh-CN"/>
              </w:rPr>
            </w:pPr>
            <w:r>
              <w:rPr>
                <w:rFonts w:hint="eastAsia" w:eastAsia="宋体"/>
                <w:color w:val="auto"/>
                <w:szCs w:val="21"/>
                <w:lang w:val="en-US" w:eastAsia="zh-CN"/>
              </w:rPr>
              <w:t>△1.12 IPv6+：满足IPv6+技术演进需求，所投主机具备IPv6+能力。</w:t>
            </w:r>
          </w:p>
          <w:p w14:paraId="6C190A51">
            <w:pPr>
              <w:pStyle w:val="53"/>
              <w:keepNext w:val="0"/>
              <w:keepLines w:val="0"/>
              <w:suppressLineNumbers w:val="0"/>
              <w:spacing w:before="0" w:beforeAutospacing="0" w:after="0" w:afterAutospacing="0"/>
              <w:ind w:left="0" w:right="0"/>
              <w:rPr>
                <w:rFonts w:hint="default"/>
                <w:lang w:val="en-US" w:eastAsia="zh-CN"/>
              </w:rPr>
            </w:pPr>
          </w:p>
        </w:tc>
        <w:tc>
          <w:tcPr>
            <w:tcW w:w="1280" w:type="dxa"/>
            <w:vAlign w:val="top"/>
          </w:tcPr>
          <w:p w14:paraId="19CF7FC9">
            <w:pPr>
              <w:pStyle w:val="53"/>
              <w:keepNext w:val="0"/>
              <w:keepLines w:val="0"/>
              <w:suppressLineNumbers w:val="0"/>
              <w:spacing w:before="0" w:beforeAutospacing="0" w:after="0" w:afterAutospacing="0"/>
              <w:ind w:left="0" w:right="0"/>
              <w:rPr>
                <w:rFonts w:hint="default"/>
                <w:lang w:val="en-US" w:eastAsia="zh-CN"/>
              </w:rPr>
            </w:pPr>
          </w:p>
        </w:tc>
        <w:tc>
          <w:tcPr>
            <w:tcW w:w="1140" w:type="dxa"/>
            <w:vAlign w:val="top"/>
          </w:tcPr>
          <w:p w14:paraId="49BBF04F">
            <w:pPr>
              <w:pStyle w:val="53"/>
              <w:keepNext w:val="0"/>
              <w:keepLines w:val="0"/>
              <w:suppressLineNumbers w:val="0"/>
              <w:spacing w:before="0" w:beforeAutospacing="0" w:after="0" w:afterAutospacing="0"/>
              <w:ind w:left="0" w:right="0"/>
              <w:rPr>
                <w:rFonts w:hint="default"/>
                <w:lang w:val="en-US" w:eastAsia="zh-CN"/>
              </w:rPr>
            </w:pPr>
          </w:p>
        </w:tc>
        <w:tc>
          <w:tcPr>
            <w:tcW w:w="772" w:type="dxa"/>
            <w:vAlign w:val="top"/>
          </w:tcPr>
          <w:p w14:paraId="149F1BCB">
            <w:pPr>
              <w:pStyle w:val="53"/>
              <w:keepNext w:val="0"/>
              <w:keepLines w:val="0"/>
              <w:suppressLineNumbers w:val="0"/>
              <w:spacing w:before="0" w:beforeAutospacing="0" w:after="0" w:afterAutospacing="0"/>
              <w:ind w:left="0" w:right="0"/>
              <w:rPr>
                <w:rFonts w:hint="default"/>
                <w:lang w:val="en-US" w:eastAsia="zh-CN"/>
              </w:rPr>
            </w:pPr>
          </w:p>
        </w:tc>
      </w:tr>
      <w:tr w14:paraId="27613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7" w:hRule="atLeast"/>
        </w:trPr>
        <w:tc>
          <w:tcPr>
            <w:tcW w:w="643" w:type="dxa"/>
            <w:vMerge w:val="restart"/>
            <w:vAlign w:val="center"/>
          </w:tcPr>
          <w:p w14:paraId="3787973F">
            <w:pPr>
              <w:keepNext w:val="0"/>
              <w:keepLines w:val="0"/>
              <w:suppressLineNumbers w:val="0"/>
              <w:spacing w:before="0" w:beforeAutospacing="0" w:after="0" w:afterAutospacing="0"/>
              <w:ind w:left="0" w:right="0"/>
              <w:jc w:val="center"/>
              <w:rPr>
                <w:rFonts w:hint="default" w:eastAsia="宋体"/>
                <w:color w:val="auto"/>
                <w:szCs w:val="21"/>
                <w:lang w:val="en-US" w:eastAsia="zh-CN"/>
              </w:rPr>
            </w:pPr>
            <w:r>
              <w:rPr>
                <w:rFonts w:hint="eastAsia"/>
                <w:color w:val="auto"/>
                <w:szCs w:val="21"/>
                <w:lang w:val="en-US" w:eastAsia="zh-CN"/>
              </w:rPr>
              <w:t>2</w:t>
            </w:r>
          </w:p>
        </w:tc>
        <w:tc>
          <w:tcPr>
            <w:tcW w:w="1280" w:type="dxa"/>
            <w:vMerge w:val="restart"/>
            <w:vAlign w:val="center"/>
          </w:tcPr>
          <w:p w14:paraId="2B7290B7">
            <w:pPr>
              <w:keepNext w:val="0"/>
              <w:keepLines w:val="0"/>
              <w:suppressLineNumbers w:val="0"/>
              <w:spacing w:before="0" w:beforeAutospacing="0" w:after="0" w:afterAutospacing="0"/>
              <w:ind w:left="0" w:right="0"/>
              <w:jc w:val="center"/>
              <w:rPr>
                <w:rFonts w:hint="eastAsia" w:eastAsia="宋体"/>
                <w:color w:val="auto"/>
                <w:szCs w:val="21"/>
                <w:lang w:val="en-US" w:eastAsia="zh-CN"/>
              </w:rPr>
            </w:pPr>
            <w:r>
              <w:rPr>
                <w:rFonts w:hint="eastAsia"/>
                <w:b w:val="0"/>
                <w:bCs/>
                <w:color w:val="auto"/>
                <w:szCs w:val="21"/>
                <w:lang w:eastAsia="zh-CN"/>
              </w:rPr>
              <w:t>交换机（</w:t>
            </w:r>
            <w:r>
              <w:rPr>
                <w:rFonts w:hint="eastAsia"/>
                <w:b w:val="0"/>
                <w:bCs/>
                <w:color w:val="auto"/>
                <w:szCs w:val="21"/>
                <w:lang w:val="en-US" w:eastAsia="zh-CN"/>
              </w:rPr>
              <w:t>接入</w:t>
            </w:r>
            <w:r>
              <w:rPr>
                <w:rFonts w:hint="eastAsia"/>
                <w:b w:val="0"/>
                <w:bCs/>
                <w:color w:val="auto"/>
                <w:szCs w:val="21"/>
              </w:rPr>
              <w:t>交换机</w:t>
            </w:r>
            <w:r>
              <w:rPr>
                <w:rFonts w:hint="eastAsia"/>
                <w:b w:val="0"/>
                <w:bCs/>
                <w:color w:val="auto"/>
                <w:szCs w:val="21"/>
                <w:lang w:eastAsia="zh-CN"/>
              </w:rPr>
              <w:t>）</w:t>
            </w:r>
          </w:p>
        </w:tc>
        <w:tc>
          <w:tcPr>
            <w:tcW w:w="3620" w:type="dxa"/>
            <w:vAlign w:val="top"/>
          </w:tcPr>
          <w:p w14:paraId="4E11BF70">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2</w:t>
            </w:r>
            <w:r>
              <w:rPr>
                <w:rFonts w:hint="eastAsia" w:eastAsia="宋体"/>
                <w:color w:val="FF0000"/>
                <w:szCs w:val="21"/>
                <w:lang w:val="en-US" w:eastAsia="zh-CN"/>
              </w:rPr>
              <w:t>.1物理接口：</w:t>
            </w:r>
          </w:p>
          <w:p w14:paraId="504C7224">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color w:val="FF0000"/>
                <w:szCs w:val="21"/>
                <w:lang w:val="en-US" w:eastAsia="zh-CN"/>
              </w:rPr>
            </w:pPr>
            <w:r>
              <w:rPr>
                <w:rFonts w:hint="eastAsia" w:eastAsia="宋体"/>
                <w:color w:val="FF0000"/>
                <w:szCs w:val="21"/>
                <w:lang w:val="en-US" w:eastAsia="zh-CN"/>
              </w:rPr>
              <w:t>1.≥48个GE端口。</w:t>
            </w:r>
          </w:p>
          <w:p w14:paraId="4E59013C">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color w:val="FF0000"/>
                <w:szCs w:val="21"/>
                <w:lang w:val="en-US" w:eastAsia="zh-CN"/>
              </w:rPr>
            </w:pPr>
            <w:r>
              <w:rPr>
                <w:rFonts w:hint="eastAsia" w:eastAsia="宋体"/>
                <w:color w:val="FF0000"/>
                <w:szCs w:val="21"/>
                <w:lang w:val="en-US" w:eastAsia="zh-CN"/>
              </w:rPr>
              <w:t>2.≥4个万兆光，实配4个万兆多模光模块。</w:t>
            </w:r>
          </w:p>
          <w:p w14:paraId="01F10FC8">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color w:val="FF0000"/>
                <w:szCs w:val="21"/>
                <w:lang w:val="en-US" w:eastAsia="zh-CN"/>
              </w:rPr>
            </w:pPr>
            <w:r>
              <w:rPr>
                <w:rFonts w:hint="eastAsia" w:eastAsia="宋体"/>
                <w:color w:val="FF0000"/>
                <w:szCs w:val="21"/>
                <w:lang w:val="en-US" w:eastAsia="zh-CN"/>
              </w:rPr>
              <w:t>3.每台实配1条3米堆叠线。</w:t>
            </w:r>
          </w:p>
        </w:tc>
        <w:tc>
          <w:tcPr>
            <w:tcW w:w="1280" w:type="dxa"/>
            <w:vAlign w:val="top"/>
          </w:tcPr>
          <w:p w14:paraId="096978CF">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color w:val="FF0000"/>
                <w:szCs w:val="21"/>
                <w:lang w:val="en-US" w:eastAsia="zh-CN"/>
              </w:rPr>
            </w:pPr>
          </w:p>
        </w:tc>
        <w:tc>
          <w:tcPr>
            <w:tcW w:w="1140" w:type="dxa"/>
            <w:vAlign w:val="top"/>
          </w:tcPr>
          <w:p w14:paraId="5D34715D">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color w:val="FF0000"/>
                <w:szCs w:val="21"/>
                <w:lang w:val="en-US" w:eastAsia="zh-CN"/>
              </w:rPr>
            </w:pPr>
          </w:p>
        </w:tc>
        <w:tc>
          <w:tcPr>
            <w:tcW w:w="772" w:type="dxa"/>
            <w:vAlign w:val="top"/>
          </w:tcPr>
          <w:p w14:paraId="0CBD58D8">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color w:val="FF0000"/>
                <w:szCs w:val="21"/>
                <w:lang w:val="en-US" w:eastAsia="zh-CN"/>
              </w:rPr>
            </w:pPr>
          </w:p>
        </w:tc>
      </w:tr>
      <w:tr w14:paraId="0FAA6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4" w:hRule="atLeast"/>
        </w:trPr>
        <w:tc>
          <w:tcPr>
            <w:tcW w:w="643" w:type="dxa"/>
            <w:vMerge w:val="continue"/>
            <w:vAlign w:val="top"/>
          </w:tcPr>
          <w:p w14:paraId="66D7E1BE">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43C45BAA">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4F246979">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2</w:t>
            </w:r>
            <w:r>
              <w:rPr>
                <w:rFonts w:hint="eastAsia" w:eastAsia="宋体"/>
                <w:color w:val="FF0000"/>
                <w:szCs w:val="21"/>
                <w:lang w:val="en-US" w:eastAsia="zh-CN"/>
              </w:rPr>
              <w:t>.2技术要求：</w:t>
            </w:r>
          </w:p>
          <w:p w14:paraId="1673BBE9">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1.背板带宽≥2Tbps。</w:t>
            </w:r>
          </w:p>
          <w:p w14:paraId="68AFB068">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2.包转发率≥600Mpps。</w:t>
            </w:r>
          </w:p>
          <w:p w14:paraId="604B8500">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3.支持IPv6。</w:t>
            </w:r>
          </w:p>
          <w:p w14:paraId="398BFBF4">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4.支持堆叠。</w:t>
            </w:r>
          </w:p>
          <w:p w14:paraId="0719E381">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5.支持RADIUS/Tacacs+方式进行AAA认证。</w:t>
            </w:r>
          </w:p>
          <w:p w14:paraId="5E8D90CB">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6.支持NTP时间同步。</w:t>
            </w:r>
          </w:p>
          <w:p w14:paraId="1D9C8288">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7.支持SSH登录方式。</w:t>
            </w:r>
          </w:p>
          <w:p w14:paraId="3B012A38">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8.支持本地端口镜像和远程端口镜像。</w:t>
            </w:r>
          </w:p>
          <w:p w14:paraId="27F92659">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9.支持syslog。</w:t>
            </w:r>
          </w:p>
        </w:tc>
        <w:tc>
          <w:tcPr>
            <w:tcW w:w="1280" w:type="dxa"/>
            <w:vAlign w:val="top"/>
          </w:tcPr>
          <w:p w14:paraId="54265993">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1140" w:type="dxa"/>
            <w:vAlign w:val="top"/>
          </w:tcPr>
          <w:p w14:paraId="790AD81E">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772" w:type="dxa"/>
            <w:vAlign w:val="top"/>
          </w:tcPr>
          <w:p w14:paraId="74404A18">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r>
      <w:tr w14:paraId="6A5C9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trPr>
        <w:tc>
          <w:tcPr>
            <w:tcW w:w="643" w:type="dxa"/>
            <w:vMerge w:val="continue"/>
            <w:vAlign w:val="top"/>
          </w:tcPr>
          <w:p w14:paraId="45526EA3">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1A330E34">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48B75C5D">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2</w:t>
            </w:r>
            <w:r>
              <w:rPr>
                <w:rFonts w:hint="eastAsia" w:eastAsia="宋体"/>
                <w:color w:val="FF0000"/>
                <w:szCs w:val="21"/>
                <w:lang w:val="en-US" w:eastAsia="zh-CN"/>
              </w:rPr>
              <w:t>.3入网许可：具有《电信设备进网许可证》，设备及其型号需与入网证一致。</w:t>
            </w:r>
          </w:p>
          <w:p w14:paraId="6CB8E74E">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b/>
                <w:bCs/>
                <w:color w:val="FF0000"/>
                <w:szCs w:val="21"/>
                <w:highlight w:val="yellow"/>
                <w:lang w:val="en-US" w:eastAsia="zh-CN"/>
              </w:rPr>
              <w:t>投标人还需提供承诺函（格式自拟加盖公章），承诺中标后提供《电信设备进网许可证》且设备及其型号需与入网证一致。</w:t>
            </w:r>
          </w:p>
        </w:tc>
        <w:tc>
          <w:tcPr>
            <w:tcW w:w="1280" w:type="dxa"/>
            <w:vAlign w:val="top"/>
          </w:tcPr>
          <w:p w14:paraId="4EF909F3">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p>
        </w:tc>
        <w:tc>
          <w:tcPr>
            <w:tcW w:w="1140" w:type="dxa"/>
            <w:vAlign w:val="top"/>
          </w:tcPr>
          <w:p w14:paraId="3EEFE5B1">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p>
        </w:tc>
        <w:tc>
          <w:tcPr>
            <w:tcW w:w="772" w:type="dxa"/>
            <w:vAlign w:val="top"/>
          </w:tcPr>
          <w:p w14:paraId="617937BE">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p>
        </w:tc>
      </w:tr>
      <w:tr w14:paraId="36F0F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643" w:type="dxa"/>
            <w:vMerge w:val="continue"/>
            <w:vAlign w:val="top"/>
          </w:tcPr>
          <w:p w14:paraId="3CA22960">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107D6D52">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30F6DCDB">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r>
              <w:rPr>
                <w:rFonts w:hint="eastAsia" w:eastAsia="宋体"/>
                <w:color w:val="FF0000"/>
                <w:szCs w:val="21"/>
                <w:lang w:val="en-US" w:eastAsia="zh-CN"/>
              </w:rPr>
              <w:t>★</w:t>
            </w:r>
            <w:r>
              <w:rPr>
                <w:rFonts w:hint="eastAsia"/>
                <w:color w:val="FF0000"/>
                <w:szCs w:val="21"/>
                <w:lang w:val="en-US" w:eastAsia="zh-CN"/>
              </w:rPr>
              <w:t>2</w:t>
            </w:r>
            <w:r>
              <w:rPr>
                <w:rFonts w:hint="eastAsia" w:eastAsia="宋体"/>
                <w:color w:val="FF0000"/>
                <w:szCs w:val="21"/>
                <w:lang w:val="en-US" w:eastAsia="zh-CN"/>
              </w:rPr>
              <w:t>.</w:t>
            </w:r>
            <w:r>
              <w:rPr>
                <w:rFonts w:hint="eastAsia"/>
                <w:color w:val="FF0000"/>
                <w:szCs w:val="21"/>
                <w:lang w:val="en-US" w:eastAsia="zh-CN"/>
              </w:rPr>
              <w:t>4</w:t>
            </w:r>
            <w:r>
              <w:rPr>
                <w:rFonts w:hint="eastAsia" w:eastAsia="宋体"/>
                <w:color w:val="FF0000"/>
                <w:szCs w:val="21"/>
                <w:lang w:val="en-US" w:eastAsia="zh-CN"/>
              </w:rPr>
              <w:t xml:space="preserve"> 硬件规格：满配冗余电源，满配冗余风扇。</w:t>
            </w:r>
          </w:p>
        </w:tc>
        <w:tc>
          <w:tcPr>
            <w:tcW w:w="1280" w:type="dxa"/>
            <w:vAlign w:val="top"/>
          </w:tcPr>
          <w:p w14:paraId="76A64348">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1140" w:type="dxa"/>
            <w:vAlign w:val="top"/>
          </w:tcPr>
          <w:p w14:paraId="441B123B">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772" w:type="dxa"/>
            <w:vAlign w:val="top"/>
          </w:tcPr>
          <w:p w14:paraId="2305B76E">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r>
      <w:tr w14:paraId="6169F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3" w:type="dxa"/>
            <w:vMerge w:val="continue"/>
            <w:vAlign w:val="top"/>
          </w:tcPr>
          <w:p w14:paraId="2737135A">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0AF26513">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39CD2E05">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r>
              <w:rPr>
                <w:rFonts w:hint="eastAsia" w:eastAsia="宋体"/>
                <w:color w:val="FF0000"/>
                <w:szCs w:val="21"/>
                <w:lang w:val="en-US" w:eastAsia="zh-CN"/>
              </w:rPr>
              <w:t>★</w:t>
            </w:r>
            <w:r>
              <w:rPr>
                <w:rFonts w:hint="eastAsia"/>
                <w:color w:val="FF0000"/>
                <w:szCs w:val="21"/>
                <w:lang w:val="en-US" w:eastAsia="zh-CN"/>
              </w:rPr>
              <w:t>2</w:t>
            </w:r>
            <w:r>
              <w:rPr>
                <w:rFonts w:hint="eastAsia" w:eastAsia="宋体"/>
                <w:color w:val="FF0000"/>
                <w:szCs w:val="21"/>
                <w:lang w:val="en-US" w:eastAsia="zh-CN"/>
              </w:rPr>
              <w:t>.</w:t>
            </w:r>
            <w:r>
              <w:rPr>
                <w:rFonts w:hint="eastAsia"/>
                <w:color w:val="FF0000"/>
                <w:szCs w:val="21"/>
                <w:lang w:val="en-US" w:eastAsia="zh-CN"/>
              </w:rPr>
              <w:t>5</w:t>
            </w:r>
            <w:r>
              <w:rPr>
                <w:rFonts w:hint="eastAsia" w:eastAsia="宋体"/>
                <w:color w:val="FF0000"/>
                <w:szCs w:val="21"/>
                <w:lang w:val="en-US" w:eastAsia="zh-CN"/>
              </w:rPr>
              <w:t>芯片：所涉及芯片均为信创芯片。</w:t>
            </w:r>
          </w:p>
        </w:tc>
        <w:tc>
          <w:tcPr>
            <w:tcW w:w="1280" w:type="dxa"/>
            <w:vAlign w:val="top"/>
          </w:tcPr>
          <w:p w14:paraId="243E2637">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1140" w:type="dxa"/>
            <w:vAlign w:val="top"/>
          </w:tcPr>
          <w:p w14:paraId="176FA8D8">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772" w:type="dxa"/>
            <w:vAlign w:val="top"/>
          </w:tcPr>
          <w:p w14:paraId="63969AF0">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r>
      <w:tr w14:paraId="7CE72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43" w:type="dxa"/>
            <w:vMerge w:val="continue"/>
            <w:vAlign w:val="top"/>
          </w:tcPr>
          <w:p w14:paraId="0DEE0BA6">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6FB0B8E5">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62FB7761">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r>
              <w:rPr>
                <w:rFonts w:hint="eastAsia" w:eastAsia="宋体"/>
                <w:color w:val="auto"/>
                <w:szCs w:val="21"/>
                <w:lang w:val="en-US" w:eastAsia="zh-CN"/>
              </w:rPr>
              <w:t>#</w:t>
            </w:r>
            <w:r>
              <w:rPr>
                <w:rFonts w:hint="eastAsia"/>
                <w:color w:val="auto"/>
                <w:szCs w:val="21"/>
                <w:lang w:val="en-US" w:eastAsia="zh-CN"/>
              </w:rPr>
              <w:t>2</w:t>
            </w:r>
            <w:r>
              <w:rPr>
                <w:rFonts w:hint="eastAsia" w:eastAsia="宋体"/>
                <w:color w:val="auto"/>
                <w:szCs w:val="21"/>
                <w:lang w:val="en-US" w:eastAsia="zh-CN"/>
              </w:rPr>
              <w:t>.</w:t>
            </w:r>
            <w:r>
              <w:rPr>
                <w:rFonts w:hint="eastAsia"/>
                <w:color w:val="auto"/>
                <w:szCs w:val="21"/>
                <w:lang w:val="en-US" w:eastAsia="zh-CN"/>
              </w:rPr>
              <w:t>6</w:t>
            </w:r>
            <w:r>
              <w:rPr>
                <w:rFonts w:hint="eastAsia" w:eastAsia="宋体"/>
                <w:color w:val="auto"/>
                <w:szCs w:val="21"/>
                <w:lang w:val="en-US" w:eastAsia="zh-CN"/>
              </w:rPr>
              <w:t xml:space="preserve"> </w:t>
            </w:r>
            <w:r>
              <w:rPr>
                <w:rFonts w:hint="eastAsia" w:ascii="仿宋_GB2312" w:hAnsi="仿宋_GB2312" w:cs="仿宋_GB2312"/>
                <w:kern w:val="0"/>
                <w:sz w:val="21"/>
                <w:szCs w:val="21"/>
              </w:rPr>
              <w:t>管理维护</w:t>
            </w:r>
            <w:r>
              <w:rPr>
                <w:rFonts w:hint="eastAsia" w:ascii="仿宋_GB2312" w:hAnsi="仿宋_GB2312" w:cs="仿宋_GB2312"/>
                <w:kern w:val="0"/>
                <w:sz w:val="21"/>
                <w:szCs w:val="21"/>
                <w:lang w:eastAsia="zh-CN"/>
              </w:rPr>
              <w:t>：支持SNMP V1/V2c/V3、SYSLOG、RMON、Telnet等管理功能。</w:t>
            </w:r>
          </w:p>
        </w:tc>
        <w:tc>
          <w:tcPr>
            <w:tcW w:w="1280" w:type="dxa"/>
            <w:vAlign w:val="top"/>
          </w:tcPr>
          <w:p w14:paraId="5102D8F5">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1140" w:type="dxa"/>
            <w:vAlign w:val="top"/>
          </w:tcPr>
          <w:p w14:paraId="6021706C">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772" w:type="dxa"/>
            <w:vAlign w:val="top"/>
          </w:tcPr>
          <w:p w14:paraId="38195204">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r>
      <w:tr w14:paraId="5084E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43" w:type="dxa"/>
            <w:vMerge w:val="continue"/>
            <w:vAlign w:val="top"/>
          </w:tcPr>
          <w:p w14:paraId="63D99BA6">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3CF09DCD">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5E736B5B">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r>
              <w:rPr>
                <w:rFonts w:hint="eastAsia" w:eastAsia="宋体"/>
                <w:color w:val="auto"/>
                <w:szCs w:val="21"/>
                <w:lang w:val="en-US" w:eastAsia="zh-CN"/>
              </w:rPr>
              <w:t>#</w:t>
            </w:r>
            <w:r>
              <w:rPr>
                <w:rFonts w:hint="eastAsia"/>
                <w:color w:val="auto"/>
                <w:szCs w:val="21"/>
                <w:lang w:val="en-US" w:eastAsia="zh-CN"/>
              </w:rPr>
              <w:t>2</w:t>
            </w:r>
            <w:r>
              <w:rPr>
                <w:rFonts w:hint="eastAsia" w:eastAsia="宋体"/>
                <w:color w:val="auto"/>
                <w:szCs w:val="21"/>
                <w:lang w:val="en-US" w:eastAsia="zh-CN"/>
              </w:rPr>
              <w:t>.</w:t>
            </w:r>
            <w:r>
              <w:rPr>
                <w:rFonts w:hint="eastAsia"/>
                <w:color w:val="auto"/>
                <w:szCs w:val="21"/>
                <w:lang w:val="en-US" w:eastAsia="zh-CN"/>
              </w:rPr>
              <w:t>7</w:t>
            </w:r>
            <w:r>
              <w:rPr>
                <w:rFonts w:hint="eastAsia" w:eastAsia="宋体"/>
                <w:color w:val="auto"/>
                <w:szCs w:val="21"/>
                <w:lang w:val="en-US" w:eastAsia="zh-CN"/>
              </w:rPr>
              <w:t xml:space="preserve"> </w:t>
            </w:r>
            <w:r>
              <w:rPr>
                <w:rFonts w:hint="eastAsia" w:ascii="仿宋_GB2312" w:hAnsi="仿宋_GB2312" w:cs="仿宋_GB2312"/>
                <w:kern w:val="0"/>
                <w:sz w:val="21"/>
                <w:szCs w:val="21"/>
              </w:rPr>
              <w:t>虚拟化</w:t>
            </w:r>
            <w:r>
              <w:rPr>
                <w:rFonts w:hint="eastAsia" w:ascii="仿宋_GB2312" w:hAnsi="仿宋_GB2312" w:cs="仿宋_GB2312"/>
                <w:kern w:val="0"/>
                <w:sz w:val="21"/>
                <w:szCs w:val="21"/>
                <w:lang w:eastAsia="zh-CN"/>
              </w:rPr>
              <w:t>：支持跨框链路聚合（M-LAG)、集群或堆叠多虚拟化技术。</w:t>
            </w:r>
          </w:p>
        </w:tc>
        <w:tc>
          <w:tcPr>
            <w:tcW w:w="1280" w:type="dxa"/>
            <w:vAlign w:val="top"/>
          </w:tcPr>
          <w:p w14:paraId="7D47CF48">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1140" w:type="dxa"/>
            <w:vAlign w:val="top"/>
          </w:tcPr>
          <w:p w14:paraId="22D6CDC9">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772" w:type="dxa"/>
            <w:vAlign w:val="top"/>
          </w:tcPr>
          <w:p w14:paraId="47B0BD1F">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r>
      <w:tr w14:paraId="4A047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643" w:type="dxa"/>
            <w:vMerge w:val="continue"/>
            <w:vAlign w:val="top"/>
          </w:tcPr>
          <w:p w14:paraId="743C1349">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51A789B6">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0E130C84">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r>
              <w:rPr>
                <w:rFonts w:hint="eastAsia" w:eastAsia="宋体"/>
                <w:color w:val="auto"/>
                <w:szCs w:val="21"/>
                <w:lang w:val="en-US" w:eastAsia="zh-CN"/>
              </w:rPr>
              <w:t>#</w:t>
            </w:r>
            <w:r>
              <w:rPr>
                <w:rFonts w:hint="eastAsia"/>
                <w:color w:val="auto"/>
                <w:szCs w:val="21"/>
                <w:lang w:val="en-US" w:eastAsia="zh-CN"/>
              </w:rPr>
              <w:t>2</w:t>
            </w:r>
            <w:r>
              <w:rPr>
                <w:rFonts w:hint="eastAsia" w:eastAsia="宋体"/>
                <w:color w:val="auto"/>
                <w:szCs w:val="21"/>
                <w:lang w:val="en-US" w:eastAsia="zh-CN"/>
              </w:rPr>
              <w:t>.</w:t>
            </w:r>
            <w:r>
              <w:rPr>
                <w:rFonts w:hint="eastAsia"/>
                <w:color w:val="auto"/>
                <w:szCs w:val="21"/>
                <w:lang w:val="en-US" w:eastAsia="zh-CN"/>
              </w:rPr>
              <w:t>8</w:t>
            </w:r>
            <w:r>
              <w:rPr>
                <w:rFonts w:hint="eastAsia" w:eastAsia="宋体"/>
                <w:color w:val="auto"/>
                <w:szCs w:val="21"/>
                <w:lang w:val="en-US" w:eastAsia="zh-CN"/>
              </w:rPr>
              <w:t xml:space="preserve"> </w:t>
            </w:r>
            <w:r>
              <w:rPr>
                <w:rFonts w:hint="eastAsia" w:ascii="仿宋_GB2312" w:hAnsi="仿宋_GB2312" w:cs="仿宋_GB2312"/>
                <w:kern w:val="0"/>
                <w:sz w:val="21"/>
                <w:szCs w:val="21"/>
              </w:rPr>
              <w:t>安全特性</w:t>
            </w:r>
            <w:r>
              <w:rPr>
                <w:rFonts w:hint="eastAsia" w:ascii="仿宋_GB2312" w:hAnsi="仿宋_GB2312" w:cs="仿宋_GB2312"/>
                <w:kern w:val="0"/>
                <w:sz w:val="21"/>
                <w:szCs w:val="21"/>
                <w:lang w:eastAsia="zh-CN"/>
              </w:rPr>
              <w:t>：支持全端口256bits MACsec加密。</w:t>
            </w:r>
          </w:p>
        </w:tc>
        <w:tc>
          <w:tcPr>
            <w:tcW w:w="1280" w:type="dxa"/>
            <w:vAlign w:val="top"/>
          </w:tcPr>
          <w:p w14:paraId="61256C12">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1140" w:type="dxa"/>
            <w:vAlign w:val="top"/>
          </w:tcPr>
          <w:p w14:paraId="18E20F3D">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772" w:type="dxa"/>
            <w:vAlign w:val="top"/>
          </w:tcPr>
          <w:p w14:paraId="015F8DE8">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r>
      <w:tr w14:paraId="760A1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643" w:type="dxa"/>
            <w:vMerge w:val="continue"/>
            <w:vAlign w:val="top"/>
          </w:tcPr>
          <w:p w14:paraId="7A103817">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48B95B24">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7DC54D68">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r>
              <w:rPr>
                <w:rFonts w:hint="eastAsia" w:eastAsia="宋体"/>
                <w:color w:val="auto"/>
                <w:szCs w:val="21"/>
                <w:lang w:val="en-US" w:eastAsia="zh-CN"/>
              </w:rPr>
              <w:t>#</w:t>
            </w:r>
            <w:r>
              <w:rPr>
                <w:rFonts w:hint="eastAsia"/>
                <w:color w:val="auto"/>
                <w:szCs w:val="21"/>
                <w:lang w:val="en-US" w:eastAsia="zh-CN"/>
              </w:rPr>
              <w:t>2</w:t>
            </w:r>
            <w:r>
              <w:rPr>
                <w:rFonts w:hint="eastAsia" w:eastAsia="宋体"/>
                <w:color w:val="auto"/>
                <w:szCs w:val="21"/>
                <w:lang w:val="en-US" w:eastAsia="zh-CN"/>
              </w:rPr>
              <w:t>.</w:t>
            </w:r>
            <w:r>
              <w:rPr>
                <w:rFonts w:hint="eastAsia"/>
                <w:color w:val="auto"/>
                <w:szCs w:val="21"/>
                <w:lang w:val="en-US" w:eastAsia="zh-CN"/>
              </w:rPr>
              <w:t>9</w:t>
            </w:r>
            <w:r>
              <w:rPr>
                <w:rFonts w:hint="eastAsia" w:ascii="仿宋_GB2312" w:hAnsi="仿宋_GB2312" w:cs="仿宋_GB2312"/>
                <w:kern w:val="0"/>
                <w:sz w:val="21"/>
                <w:szCs w:val="21"/>
              </w:rPr>
              <w:t>管理和监控</w:t>
            </w:r>
            <w:r>
              <w:rPr>
                <w:rFonts w:hint="eastAsia" w:ascii="仿宋_GB2312" w:hAnsi="仿宋_GB2312" w:cs="仿宋_GB2312"/>
                <w:kern w:val="0"/>
                <w:sz w:val="21"/>
                <w:szCs w:val="21"/>
                <w:lang w:eastAsia="zh-CN"/>
              </w:rPr>
              <w:t>：支持Telemetry可视化。</w:t>
            </w:r>
          </w:p>
        </w:tc>
        <w:tc>
          <w:tcPr>
            <w:tcW w:w="1280" w:type="dxa"/>
            <w:vAlign w:val="top"/>
          </w:tcPr>
          <w:p w14:paraId="42374A33">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1140" w:type="dxa"/>
            <w:vAlign w:val="top"/>
          </w:tcPr>
          <w:p w14:paraId="78BB74A1">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772" w:type="dxa"/>
            <w:vAlign w:val="top"/>
          </w:tcPr>
          <w:p w14:paraId="32173DB9">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r>
      <w:tr w14:paraId="604AD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643" w:type="dxa"/>
            <w:vMerge w:val="continue"/>
            <w:vAlign w:val="top"/>
          </w:tcPr>
          <w:p w14:paraId="69629FB3">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4518B86E">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17FE2D13">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r>
              <w:rPr>
                <w:rFonts w:hint="eastAsia" w:eastAsia="宋体"/>
                <w:color w:val="auto"/>
                <w:szCs w:val="21"/>
                <w:lang w:val="en-US" w:eastAsia="zh-CN"/>
              </w:rPr>
              <w:t>△</w:t>
            </w:r>
            <w:r>
              <w:rPr>
                <w:rFonts w:hint="eastAsia"/>
                <w:color w:val="auto"/>
                <w:szCs w:val="21"/>
                <w:lang w:val="en-US" w:eastAsia="zh-CN"/>
              </w:rPr>
              <w:t>2</w:t>
            </w:r>
            <w:r>
              <w:rPr>
                <w:rFonts w:hint="eastAsia" w:eastAsia="宋体"/>
                <w:color w:val="auto"/>
                <w:szCs w:val="21"/>
                <w:lang w:val="en-US" w:eastAsia="zh-CN"/>
              </w:rPr>
              <w:t>.1</w:t>
            </w:r>
            <w:r>
              <w:rPr>
                <w:rFonts w:hint="eastAsia"/>
                <w:color w:val="auto"/>
                <w:szCs w:val="21"/>
                <w:lang w:val="en-US" w:eastAsia="zh-CN"/>
              </w:rPr>
              <w:t xml:space="preserve">0 </w:t>
            </w:r>
            <w:r>
              <w:rPr>
                <w:rFonts w:hint="eastAsia" w:ascii="仿宋_GB2312" w:hAnsi="仿宋_GB2312" w:cs="仿宋_GB2312"/>
                <w:kern w:val="0"/>
                <w:sz w:val="21"/>
                <w:szCs w:val="21"/>
                <w:lang w:val="en-US" w:eastAsia="zh-CN"/>
              </w:rPr>
              <w:t>SDN：</w:t>
            </w:r>
            <w:r>
              <w:rPr>
                <w:rFonts w:hint="eastAsia" w:ascii="仿宋_GB2312" w:hAnsi="仿宋_GB2312" w:cs="仿宋_GB2312"/>
                <w:kern w:val="0"/>
                <w:sz w:val="21"/>
                <w:szCs w:val="21"/>
              </w:rPr>
              <w:t>支持适配SDN组网</w:t>
            </w:r>
            <w:r>
              <w:rPr>
                <w:rFonts w:hint="eastAsia" w:ascii="仿宋_GB2312" w:hAnsi="仿宋_GB2312" w:cs="仿宋_GB2312"/>
                <w:kern w:val="0"/>
                <w:sz w:val="21"/>
                <w:szCs w:val="21"/>
                <w:lang w:eastAsia="zh-CN"/>
              </w:rPr>
              <w:t>。</w:t>
            </w:r>
          </w:p>
        </w:tc>
        <w:tc>
          <w:tcPr>
            <w:tcW w:w="1280" w:type="dxa"/>
            <w:vAlign w:val="top"/>
          </w:tcPr>
          <w:p w14:paraId="1C45D71B">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1140" w:type="dxa"/>
            <w:vAlign w:val="top"/>
          </w:tcPr>
          <w:p w14:paraId="6249F44A">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772" w:type="dxa"/>
            <w:vAlign w:val="top"/>
          </w:tcPr>
          <w:p w14:paraId="0919106F">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r>
      <w:tr w14:paraId="0BD24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7" w:hRule="atLeast"/>
        </w:trPr>
        <w:tc>
          <w:tcPr>
            <w:tcW w:w="643" w:type="dxa"/>
            <w:vMerge w:val="continue"/>
            <w:vAlign w:val="top"/>
          </w:tcPr>
          <w:p w14:paraId="2D9CA901">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4D599663">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0494DDE1">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r>
              <w:rPr>
                <w:rFonts w:hint="eastAsia" w:eastAsia="宋体"/>
                <w:color w:val="auto"/>
                <w:szCs w:val="21"/>
                <w:lang w:val="en-US" w:eastAsia="zh-CN"/>
              </w:rPr>
              <w:t>△</w:t>
            </w:r>
            <w:r>
              <w:rPr>
                <w:rFonts w:hint="eastAsia"/>
                <w:color w:val="auto"/>
                <w:szCs w:val="21"/>
                <w:lang w:val="en-US" w:eastAsia="zh-CN"/>
              </w:rPr>
              <w:t>2.</w:t>
            </w:r>
            <w:r>
              <w:rPr>
                <w:rFonts w:hint="eastAsia" w:eastAsia="宋体"/>
                <w:color w:val="auto"/>
                <w:szCs w:val="21"/>
                <w:lang w:val="en-US" w:eastAsia="zh-CN"/>
              </w:rPr>
              <w:t>1</w:t>
            </w:r>
            <w:r>
              <w:rPr>
                <w:rFonts w:hint="eastAsia"/>
                <w:color w:val="auto"/>
                <w:szCs w:val="21"/>
                <w:lang w:val="en-US" w:eastAsia="zh-CN"/>
              </w:rPr>
              <w:t>1</w:t>
            </w:r>
            <w:r>
              <w:rPr>
                <w:rFonts w:hint="eastAsia" w:eastAsia="宋体"/>
                <w:color w:val="auto"/>
                <w:szCs w:val="21"/>
                <w:lang w:val="en-US" w:eastAsia="zh-CN"/>
              </w:rPr>
              <w:t xml:space="preserve"> </w:t>
            </w:r>
            <w:r>
              <w:rPr>
                <w:rFonts w:hint="eastAsia" w:ascii="仿宋_GB2312" w:hAnsi="仿宋_GB2312" w:cs="仿宋_GB2312"/>
                <w:kern w:val="0"/>
                <w:sz w:val="21"/>
                <w:szCs w:val="21"/>
              </w:rPr>
              <w:t>三层功能</w:t>
            </w:r>
            <w:r>
              <w:rPr>
                <w:rFonts w:hint="eastAsia" w:ascii="仿宋_GB2312" w:hAnsi="仿宋_GB2312" w:cs="仿宋_GB2312"/>
                <w:kern w:val="0"/>
                <w:sz w:val="21"/>
                <w:szCs w:val="21"/>
                <w:lang w:eastAsia="zh-CN"/>
              </w:rPr>
              <w:t>：支持RIP、OSPF、BGP、ISIS等IPv4动态路由协议，支持RIPng、OSPFv3、BGP4+、ISISv6等IPv6动态路由协议。</w:t>
            </w:r>
          </w:p>
        </w:tc>
        <w:tc>
          <w:tcPr>
            <w:tcW w:w="1280" w:type="dxa"/>
            <w:vAlign w:val="top"/>
          </w:tcPr>
          <w:p w14:paraId="6ED19604">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1140" w:type="dxa"/>
            <w:vAlign w:val="top"/>
          </w:tcPr>
          <w:p w14:paraId="57F11ECD">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772" w:type="dxa"/>
            <w:vAlign w:val="top"/>
          </w:tcPr>
          <w:p w14:paraId="4B26B793">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r>
      <w:tr w14:paraId="368A6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7" w:hRule="atLeast"/>
        </w:trPr>
        <w:tc>
          <w:tcPr>
            <w:tcW w:w="643" w:type="dxa"/>
            <w:vMerge w:val="restart"/>
            <w:vAlign w:val="center"/>
          </w:tcPr>
          <w:p w14:paraId="5F8FB864">
            <w:pPr>
              <w:keepNext w:val="0"/>
              <w:keepLines w:val="0"/>
              <w:suppressLineNumbers w:val="0"/>
              <w:spacing w:before="0" w:beforeAutospacing="0" w:after="0" w:afterAutospacing="0"/>
              <w:ind w:left="0" w:right="0"/>
              <w:jc w:val="center"/>
              <w:rPr>
                <w:rFonts w:hint="default" w:eastAsia="宋体"/>
                <w:color w:val="auto"/>
                <w:szCs w:val="21"/>
                <w:lang w:val="en-US" w:eastAsia="zh-CN"/>
              </w:rPr>
            </w:pPr>
            <w:r>
              <w:rPr>
                <w:rFonts w:hint="eastAsia"/>
                <w:color w:val="auto"/>
                <w:szCs w:val="21"/>
                <w:lang w:val="en-US" w:eastAsia="zh-CN"/>
              </w:rPr>
              <w:t>3</w:t>
            </w:r>
          </w:p>
        </w:tc>
        <w:tc>
          <w:tcPr>
            <w:tcW w:w="1280" w:type="dxa"/>
            <w:vMerge w:val="restart"/>
            <w:vAlign w:val="center"/>
          </w:tcPr>
          <w:p w14:paraId="0CEE45D7">
            <w:pPr>
              <w:keepNext w:val="0"/>
              <w:keepLines w:val="0"/>
              <w:suppressLineNumbers w:val="0"/>
              <w:spacing w:before="0" w:beforeAutospacing="0" w:after="0" w:afterAutospacing="0"/>
              <w:ind w:left="0" w:leftChars="0" w:right="0" w:rightChars="0"/>
              <w:jc w:val="center"/>
              <w:rPr>
                <w:rFonts w:hint="default" w:eastAsia="宋体"/>
                <w:color w:val="auto"/>
                <w:szCs w:val="21"/>
                <w:lang w:val="en-US" w:eastAsia="zh-CN"/>
              </w:rPr>
            </w:pPr>
            <w:r>
              <w:rPr>
                <w:rFonts w:hint="eastAsia"/>
                <w:b w:val="0"/>
                <w:bCs/>
                <w:color w:val="auto"/>
                <w:szCs w:val="21"/>
                <w:lang w:eastAsia="zh-CN"/>
              </w:rPr>
              <w:t>交换机（</w:t>
            </w:r>
            <w:r>
              <w:rPr>
                <w:rFonts w:hint="eastAsia"/>
                <w:b w:val="0"/>
                <w:bCs/>
                <w:color w:val="auto"/>
                <w:szCs w:val="21"/>
                <w:lang w:val="en-US" w:eastAsia="zh-CN"/>
              </w:rPr>
              <w:t>外联</w:t>
            </w:r>
            <w:r>
              <w:rPr>
                <w:rFonts w:hint="eastAsia"/>
                <w:b w:val="0"/>
                <w:bCs/>
                <w:color w:val="auto"/>
                <w:szCs w:val="21"/>
              </w:rPr>
              <w:t>交换机</w:t>
            </w:r>
            <w:r>
              <w:rPr>
                <w:rFonts w:hint="eastAsia"/>
                <w:b w:val="0"/>
                <w:bCs/>
                <w:color w:val="auto"/>
                <w:szCs w:val="21"/>
                <w:lang w:eastAsia="zh-CN"/>
              </w:rPr>
              <w:t>）</w:t>
            </w:r>
          </w:p>
        </w:tc>
        <w:tc>
          <w:tcPr>
            <w:tcW w:w="3620" w:type="dxa"/>
            <w:vAlign w:val="top"/>
          </w:tcPr>
          <w:p w14:paraId="379EFCC3">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3</w:t>
            </w:r>
            <w:r>
              <w:rPr>
                <w:rFonts w:hint="eastAsia" w:eastAsia="宋体"/>
                <w:color w:val="FF0000"/>
                <w:szCs w:val="21"/>
                <w:lang w:val="en-US" w:eastAsia="zh-CN"/>
              </w:rPr>
              <w:t>.1物理接口：</w:t>
            </w:r>
          </w:p>
          <w:p w14:paraId="08789586">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color w:val="FF0000"/>
                <w:szCs w:val="21"/>
                <w:lang w:val="en-US" w:eastAsia="zh-CN"/>
              </w:rPr>
            </w:pPr>
            <w:r>
              <w:rPr>
                <w:rFonts w:hint="eastAsia" w:eastAsia="宋体"/>
                <w:color w:val="FF0000"/>
                <w:szCs w:val="21"/>
                <w:lang w:val="en-US" w:eastAsia="zh-CN"/>
              </w:rPr>
              <w:t>1.≥24个GE端口。</w:t>
            </w:r>
          </w:p>
          <w:p w14:paraId="1AFBD307">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color w:val="FF0000"/>
                <w:szCs w:val="21"/>
                <w:lang w:val="en-US" w:eastAsia="zh-CN"/>
              </w:rPr>
            </w:pPr>
            <w:r>
              <w:rPr>
                <w:rFonts w:hint="eastAsia" w:eastAsia="宋体"/>
                <w:color w:val="FF0000"/>
                <w:szCs w:val="21"/>
                <w:lang w:val="en-US" w:eastAsia="zh-CN"/>
              </w:rPr>
              <w:t>2.≥4个万兆光口端口，实配4个万兆多模光模块。</w:t>
            </w:r>
          </w:p>
          <w:p w14:paraId="2C31B4D8">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color w:val="FF0000"/>
                <w:szCs w:val="21"/>
                <w:lang w:val="en-US" w:eastAsia="zh-CN"/>
              </w:rPr>
            </w:pPr>
            <w:r>
              <w:rPr>
                <w:rFonts w:hint="eastAsia" w:eastAsia="宋体"/>
                <w:color w:val="FF0000"/>
                <w:szCs w:val="21"/>
                <w:lang w:val="en-US" w:eastAsia="zh-CN"/>
              </w:rPr>
              <w:t>3.每台实配1条3米堆叠线。</w:t>
            </w:r>
          </w:p>
        </w:tc>
        <w:tc>
          <w:tcPr>
            <w:tcW w:w="1280" w:type="dxa"/>
            <w:vAlign w:val="top"/>
          </w:tcPr>
          <w:p w14:paraId="6AAE08D8">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color w:val="FF0000"/>
                <w:szCs w:val="21"/>
                <w:lang w:val="en-US" w:eastAsia="zh-CN"/>
              </w:rPr>
            </w:pPr>
          </w:p>
        </w:tc>
        <w:tc>
          <w:tcPr>
            <w:tcW w:w="1140" w:type="dxa"/>
            <w:vAlign w:val="top"/>
          </w:tcPr>
          <w:p w14:paraId="20EF7E36">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color w:val="FF0000"/>
                <w:szCs w:val="21"/>
                <w:lang w:val="en-US" w:eastAsia="zh-CN"/>
              </w:rPr>
            </w:pPr>
          </w:p>
        </w:tc>
        <w:tc>
          <w:tcPr>
            <w:tcW w:w="772" w:type="dxa"/>
            <w:vAlign w:val="top"/>
          </w:tcPr>
          <w:p w14:paraId="30955E7E">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color w:val="FF0000"/>
                <w:szCs w:val="21"/>
                <w:lang w:val="en-US" w:eastAsia="zh-CN"/>
              </w:rPr>
            </w:pPr>
          </w:p>
        </w:tc>
      </w:tr>
      <w:tr w14:paraId="7B4B2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4" w:hRule="atLeast"/>
        </w:trPr>
        <w:tc>
          <w:tcPr>
            <w:tcW w:w="643" w:type="dxa"/>
            <w:vMerge w:val="continue"/>
            <w:vAlign w:val="top"/>
          </w:tcPr>
          <w:p w14:paraId="375388FC">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center"/>
          </w:tcPr>
          <w:p w14:paraId="36B96637">
            <w:pPr>
              <w:keepNext w:val="0"/>
              <w:keepLines w:val="0"/>
              <w:suppressLineNumbers w:val="0"/>
              <w:spacing w:before="0" w:beforeAutospacing="0" w:after="0" w:afterAutospacing="0"/>
              <w:ind w:left="0" w:leftChars="0" w:right="0" w:rightChars="0"/>
              <w:jc w:val="center"/>
              <w:rPr>
                <w:rFonts w:hint="eastAsia" w:eastAsia="宋体"/>
                <w:color w:val="FF0000"/>
                <w:szCs w:val="21"/>
                <w:lang w:val="en-US" w:eastAsia="zh-CN"/>
              </w:rPr>
            </w:pPr>
          </w:p>
        </w:tc>
        <w:tc>
          <w:tcPr>
            <w:tcW w:w="3620" w:type="dxa"/>
            <w:vAlign w:val="top"/>
          </w:tcPr>
          <w:p w14:paraId="34C31FF5">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3</w:t>
            </w:r>
            <w:r>
              <w:rPr>
                <w:rFonts w:hint="eastAsia" w:eastAsia="宋体"/>
                <w:color w:val="FF0000"/>
                <w:szCs w:val="21"/>
                <w:lang w:val="en-US" w:eastAsia="zh-CN"/>
              </w:rPr>
              <w:t>.2技术要求：</w:t>
            </w:r>
          </w:p>
          <w:p w14:paraId="2DF197EB">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1.背板带宽≥2Tbps。</w:t>
            </w:r>
          </w:p>
          <w:p w14:paraId="7148BF0A">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2.包转发率≥600Mpps。</w:t>
            </w:r>
          </w:p>
          <w:p w14:paraId="355707E8">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3.支持IPv6。</w:t>
            </w:r>
          </w:p>
          <w:p w14:paraId="1F6DED8C">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4.支持堆叠。</w:t>
            </w:r>
          </w:p>
          <w:p w14:paraId="01392E75">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5.支持RADIUS/Tacacs+方式进行AAA认证。</w:t>
            </w:r>
          </w:p>
          <w:p w14:paraId="493E3622">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6.支持NTP时间同步。</w:t>
            </w:r>
          </w:p>
          <w:p w14:paraId="422A8F04">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7.支持SSH登录方式。</w:t>
            </w:r>
          </w:p>
          <w:p w14:paraId="52803075">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8.支持本地端口镜像和远程端口镜像。</w:t>
            </w:r>
          </w:p>
          <w:p w14:paraId="27A334BD">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r>
              <w:rPr>
                <w:rFonts w:hint="eastAsia" w:eastAsia="宋体"/>
                <w:color w:val="FF0000"/>
                <w:szCs w:val="21"/>
                <w:lang w:val="en-US" w:eastAsia="zh-CN"/>
              </w:rPr>
              <w:t>9.支持syslog。</w:t>
            </w:r>
          </w:p>
        </w:tc>
        <w:tc>
          <w:tcPr>
            <w:tcW w:w="1280" w:type="dxa"/>
            <w:vAlign w:val="top"/>
          </w:tcPr>
          <w:p w14:paraId="6069F151">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1140" w:type="dxa"/>
            <w:vAlign w:val="top"/>
          </w:tcPr>
          <w:p w14:paraId="2EAAB7B7">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772" w:type="dxa"/>
            <w:vAlign w:val="top"/>
          </w:tcPr>
          <w:p w14:paraId="7EAAA92C">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r>
      <w:tr w14:paraId="73510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trPr>
        <w:tc>
          <w:tcPr>
            <w:tcW w:w="643" w:type="dxa"/>
            <w:vMerge w:val="continue"/>
            <w:vAlign w:val="top"/>
          </w:tcPr>
          <w:p w14:paraId="05925A62">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6E250F0B">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29793109">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3</w:t>
            </w:r>
            <w:r>
              <w:rPr>
                <w:rFonts w:hint="eastAsia" w:eastAsia="宋体"/>
                <w:color w:val="FF0000"/>
                <w:szCs w:val="21"/>
                <w:lang w:val="en-US" w:eastAsia="zh-CN"/>
              </w:rPr>
              <w:t>.3入网许可：具有《电信设备进网许可证》，设备及其型号需与入网证一致。</w:t>
            </w:r>
          </w:p>
          <w:p w14:paraId="202E282A">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r>
              <w:rPr>
                <w:rFonts w:hint="eastAsia" w:eastAsia="宋体"/>
                <w:b/>
                <w:bCs/>
                <w:color w:val="FF0000"/>
                <w:szCs w:val="21"/>
                <w:highlight w:val="yellow"/>
                <w:lang w:val="en-US" w:eastAsia="zh-CN"/>
              </w:rPr>
              <w:t>投标人还需</w:t>
            </w:r>
            <w:r>
              <w:rPr>
                <w:rFonts w:hint="eastAsia"/>
                <w:b/>
                <w:bCs/>
                <w:color w:val="FF0000"/>
                <w:szCs w:val="21"/>
                <w:highlight w:val="yellow"/>
                <w:lang w:val="en-US" w:eastAsia="zh-CN"/>
              </w:rPr>
              <w:t>提供承诺函（格式自拟加盖公章），承诺中标后提供《电信设备进网许可证》且设备及其型号需与入网证一致。</w:t>
            </w:r>
          </w:p>
        </w:tc>
        <w:tc>
          <w:tcPr>
            <w:tcW w:w="1280" w:type="dxa"/>
            <w:vAlign w:val="top"/>
          </w:tcPr>
          <w:p w14:paraId="7410184C">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p>
        </w:tc>
        <w:tc>
          <w:tcPr>
            <w:tcW w:w="1140" w:type="dxa"/>
            <w:vAlign w:val="top"/>
          </w:tcPr>
          <w:p w14:paraId="4F31114C">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p>
        </w:tc>
        <w:tc>
          <w:tcPr>
            <w:tcW w:w="772" w:type="dxa"/>
            <w:vAlign w:val="top"/>
          </w:tcPr>
          <w:p w14:paraId="7BEC34BD">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p>
        </w:tc>
      </w:tr>
      <w:tr w14:paraId="66B19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643" w:type="dxa"/>
            <w:vMerge w:val="continue"/>
            <w:vAlign w:val="top"/>
          </w:tcPr>
          <w:p w14:paraId="64A2050F">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4BEF0A63">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592CE908">
            <w:pPr>
              <w:keepNext w:val="0"/>
              <w:keepLines w:val="0"/>
              <w:suppressLineNumbers w:val="0"/>
              <w:spacing w:before="0" w:beforeAutospacing="0" w:after="0" w:afterAutospacing="0"/>
              <w:ind w:left="0" w:leftChars="0" w:right="0" w:rightChars="0"/>
              <w:rPr>
                <w:rFonts w:hint="default" w:eastAsia="宋体"/>
                <w:b/>
                <w:bCs/>
                <w:color w:val="FF0000"/>
                <w:szCs w:val="21"/>
                <w:highlight w:val="yellow"/>
                <w:lang w:val="en-US" w:eastAsia="zh-CN"/>
              </w:rPr>
            </w:pPr>
            <w:r>
              <w:rPr>
                <w:rFonts w:hint="eastAsia" w:eastAsia="宋体"/>
                <w:color w:val="FF0000"/>
                <w:szCs w:val="21"/>
                <w:lang w:val="en-US" w:eastAsia="zh-CN"/>
              </w:rPr>
              <w:t>★</w:t>
            </w:r>
            <w:r>
              <w:rPr>
                <w:rFonts w:hint="eastAsia"/>
                <w:color w:val="FF0000"/>
                <w:szCs w:val="21"/>
                <w:lang w:val="en-US" w:eastAsia="zh-CN"/>
              </w:rPr>
              <w:t>3</w:t>
            </w:r>
            <w:r>
              <w:rPr>
                <w:rFonts w:hint="eastAsia" w:eastAsia="宋体"/>
                <w:color w:val="FF0000"/>
                <w:szCs w:val="21"/>
                <w:lang w:val="en-US" w:eastAsia="zh-CN"/>
              </w:rPr>
              <w:t>.</w:t>
            </w:r>
            <w:r>
              <w:rPr>
                <w:rFonts w:hint="eastAsia"/>
                <w:color w:val="FF0000"/>
                <w:szCs w:val="21"/>
                <w:lang w:val="en-US" w:eastAsia="zh-CN"/>
              </w:rPr>
              <w:t>4 硬件规格：满配冗余电源，满配冗余风扇。</w:t>
            </w:r>
          </w:p>
        </w:tc>
        <w:tc>
          <w:tcPr>
            <w:tcW w:w="1280" w:type="dxa"/>
            <w:vAlign w:val="top"/>
          </w:tcPr>
          <w:p w14:paraId="32D16CAF">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1140" w:type="dxa"/>
            <w:vAlign w:val="top"/>
          </w:tcPr>
          <w:p w14:paraId="1E5C1363">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772" w:type="dxa"/>
            <w:vAlign w:val="top"/>
          </w:tcPr>
          <w:p w14:paraId="7F6B920E">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r>
      <w:tr w14:paraId="04733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3" w:type="dxa"/>
            <w:vMerge w:val="continue"/>
            <w:vAlign w:val="top"/>
          </w:tcPr>
          <w:p w14:paraId="77AC6078">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04DB6EFA">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4E6B4006">
            <w:pPr>
              <w:keepNext w:val="0"/>
              <w:keepLines w:val="0"/>
              <w:suppressLineNumbers w:val="0"/>
              <w:spacing w:before="0" w:beforeAutospacing="0" w:after="0" w:afterAutospacing="0"/>
              <w:ind w:left="0" w:leftChars="0" w:right="0" w:rightChars="0"/>
              <w:rPr>
                <w:rFonts w:hint="default" w:eastAsia="宋体"/>
                <w:b/>
                <w:bCs/>
                <w:color w:val="FF0000"/>
                <w:szCs w:val="21"/>
                <w:highlight w:val="yellow"/>
                <w:lang w:val="en-US" w:eastAsia="zh-CN"/>
              </w:rPr>
            </w:pPr>
            <w:r>
              <w:rPr>
                <w:rFonts w:hint="eastAsia" w:eastAsia="宋体"/>
                <w:color w:val="FF0000"/>
                <w:szCs w:val="21"/>
                <w:lang w:val="en-US" w:eastAsia="zh-CN"/>
              </w:rPr>
              <w:t>★</w:t>
            </w:r>
            <w:r>
              <w:rPr>
                <w:rFonts w:hint="eastAsia"/>
                <w:color w:val="FF0000"/>
                <w:szCs w:val="21"/>
                <w:lang w:val="en-US" w:eastAsia="zh-CN"/>
              </w:rPr>
              <w:t>3</w:t>
            </w:r>
            <w:r>
              <w:rPr>
                <w:rFonts w:hint="eastAsia" w:eastAsia="宋体"/>
                <w:color w:val="FF0000"/>
                <w:szCs w:val="21"/>
                <w:lang w:val="en-US" w:eastAsia="zh-CN"/>
              </w:rPr>
              <w:t>.</w:t>
            </w:r>
            <w:r>
              <w:rPr>
                <w:rFonts w:hint="eastAsia"/>
                <w:color w:val="FF0000"/>
                <w:szCs w:val="21"/>
                <w:lang w:val="en-US" w:eastAsia="zh-CN"/>
              </w:rPr>
              <w:t>5 芯片：所涉及芯片均为信创芯片。</w:t>
            </w:r>
          </w:p>
        </w:tc>
        <w:tc>
          <w:tcPr>
            <w:tcW w:w="1280" w:type="dxa"/>
            <w:vAlign w:val="top"/>
          </w:tcPr>
          <w:p w14:paraId="36465206">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1140" w:type="dxa"/>
            <w:vAlign w:val="top"/>
          </w:tcPr>
          <w:p w14:paraId="5D5CD2CA">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772" w:type="dxa"/>
            <w:vAlign w:val="top"/>
          </w:tcPr>
          <w:p w14:paraId="7D6FD7FD">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r>
      <w:tr w14:paraId="5633D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43" w:type="dxa"/>
            <w:vMerge w:val="continue"/>
            <w:vAlign w:val="top"/>
          </w:tcPr>
          <w:p w14:paraId="005AD1B0">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7B6D198C">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16A72E38">
            <w:pPr>
              <w:keepNext w:val="0"/>
              <w:keepLines w:val="0"/>
              <w:suppressLineNumbers w:val="0"/>
              <w:spacing w:before="0" w:beforeAutospacing="0" w:after="0" w:afterAutospacing="0"/>
              <w:ind w:left="0" w:leftChars="0" w:right="0" w:rightChars="0"/>
              <w:rPr>
                <w:rFonts w:hint="default" w:eastAsia="宋体"/>
                <w:b/>
                <w:bCs/>
                <w:color w:val="auto"/>
                <w:szCs w:val="21"/>
                <w:highlight w:val="yellow"/>
                <w:lang w:val="en-US" w:eastAsia="zh-CN"/>
              </w:rPr>
            </w:pPr>
            <w:r>
              <w:rPr>
                <w:rFonts w:hint="eastAsia" w:eastAsia="宋体"/>
                <w:color w:val="auto"/>
                <w:szCs w:val="21"/>
                <w:lang w:val="en-US" w:eastAsia="zh-CN"/>
              </w:rPr>
              <w:t>#</w:t>
            </w:r>
            <w:r>
              <w:rPr>
                <w:rFonts w:hint="eastAsia"/>
                <w:color w:val="auto"/>
                <w:szCs w:val="21"/>
                <w:lang w:val="en-US" w:eastAsia="zh-CN"/>
              </w:rPr>
              <w:t>3</w:t>
            </w:r>
            <w:r>
              <w:rPr>
                <w:rFonts w:hint="eastAsia" w:eastAsia="宋体"/>
                <w:color w:val="auto"/>
                <w:szCs w:val="21"/>
                <w:lang w:val="en-US" w:eastAsia="zh-CN"/>
              </w:rPr>
              <w:t>.</w:t>
            </w:r>
            <w:r>
              <w:rPr>
                <w:rFonts w:hint="eastAsia"/>
                <w:color w:val="auto"/>
                <w:szCs w:val="21"/>
                <w:lang w:val="en-US" w:eastAsia="zh-CN"/>
              </w:rPr>
              <w:t>6 管理维护：支持SNMP V1/V2c/V3、SYSLOG、RMON、Telnet等管理功能。</w:t>
            </w:r>
          </w:p>
        </w:tc>
        <w:tc>
          <w:tcPr>
            <w:tcW w:w="1280" w:type="dxa"/>
            <w:vAlign w:val="top"/>
          </w:tcPr>
          <w:p w14:paraId="6554BFCB">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1140" w:type="dxa"/>
            <w:vAlign w:val="top"/>
          </w:tcPr>
          <w:p w14:paraId="4068BFB0">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772" w:type="dxa"/>
            <w:vAlign w:val="top"/>
          </w:tcPr>
          <w:p w14:paraId="30B9C3BA">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r>
      <w:tr w14:paraId="46356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43" w:type="dxa"/>
            <w:vMerge w:val="continue"/>
            <w:vAlign w:val="top"/>
          </w:tcPr>
          <w:p w14:paraId="533ECFAA">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0AAE9FB9">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3EE7376D">
            <w:pPr>
              <w:keepNext w:val="0"/>
              <w:keepLines w:val="0"/>
              <w:suppressLineNumbers w:val="0"/>
              <w:spacing w:before="0" w:beforeAutospacing="0" w:after="0" w:afterAutospacing="0"/>
              <w:ind w:left="0" w:leftChars="0" w:right="0" w:rightChars="0"/>
              <w:rPr>
                <w:rFonts w:hint="eastAsia" w:eastAsia="宋体"/>
                <w:b/>
                <w:bCs/>
                <w:color w:val="auto"/>
                <w:szCs w:val="21"/>
                <w:highlight w:val="yellow"/>
                <w:lang w:val="en-US" w:eastAsia="zh-CN"/>
              </w:rPr>
            </w:pPr>
            <w:r>
              <w:rPr>
                <w:rFonts w:hint="eastAsia" w:eastAsia="宋体"/>
                <w:color w:val="auto"/>
                <w:szCs w:val="21"/>
                <w:lang w:val="en-US" w:eastAsia="zh-CN"/>
              </w:rPr>
              <w:t>#</w:t>
            </w:r>
            <w:r>
              <w:rPr>
                <w:rFonts w:hint="eastAsia"/>
                <w:color w:val="auto"/>
                <w:szCs w:val="21"/>
                <w:lang w:val="en-US" w:eastAsia="zh-CN"/>
              </w:rPr>
              <w:t>3</w:t>
            </w:r>
            <w:r>
              <w:rPr>
                <w:rFonts w:hint="eastAsia" w:eastAsia="宋体"/>
                <w:color w:val="auto"/>
                <w:szCs w:val="21"/>
                <w:lang w:val="en-US" w:eastAsia="zh-CN"/>
              </w:rPr>
              <w:t>.</w:t>
            </w:r>
            <w:r>
              <w:rPr>
                <w:rFonts w:hint="eastAsia"/>
                <w:color w:val="auto"/>
                <w:szCs w:val="21"/>
                <w:lang w:val="en-US" w:eastAsia="zh-CN"/>
              </w:rPr>
              <w:t>7虚拟化：支持跨框链路聚合（M-LAG)、集群或堆叠多虚一技术。</w:t>
            </w:r>
          </w:p>
        </w:tc>
        <w:tc>
          <w:tcPr>
            <w:tcW w:w="1280" w:type="dxa"/>
            <w:vAlign w:val="top"/>
          </w:tcPr>
          <w:p w14:paraId="72FEABFF">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1140" w:type="dxa"/>
            <w:vAlign w:val="top"/>
          </w:tcPr>
          <w:p w14:paraId="7BE488D3">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772" w:type="dxa"/>
            <w:vAlign w:val="top"/>
          </w:tcPr>
          <w:p w14:paraId="55052A61">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r>
      <w:tr w14:paraId="40B22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643" w:type="dxa"/>
            <w:vMerge w:val="continue"/>
            <w:vAlign w:val="top"/>
          </w:tcPr>
          <w:p w14:paraId="3FC96E8E">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4C7ECE5A">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482C2FBC">
            <w:pPr>
              <w:keepNext w:val="0"/>
              <w:keepLines w:val="0"/>
              <w:suppressLineNumbers w:val="0"/>
              <w:spacing w:before="0" w:beforeAutospacing="0" w:after="0" w:afterAutospacing="0"/>
              <w:ind w:left="0" w:leftChars="0" w:right="0" w:rightChars="0"/>
              <w:rPr>
                <w:rFonts w:hint="eastAsia" w:eastAsia="宋体"/>
                <w:b/>
                <w:bCs/>
                <w:color w:val="auto"/>
                <w:szCs w:val="21"/>
                <w:highlight w:val="yellow"/>
                <w:lang w:val="en-US" w:eastAsia="zh-CN"/>
              </w:rPr>
            </w:pPr>
            <w:r>
              <w:rPr>
                <w:rFonts w:hint="eastAsia" w:eastAsia="宋体"/>
                <w:color w:val="auto"/>
                <w:szCs w:val="21"/>
                <w:lang w:val="en-US" w:eastAsia="zh-CN"/>
              </w:rPr>
              <w:t>#</w:t>
            </w:r>
            <w:r>
              <w:rPr>
                <w:rFonts w:hint="eastAsia"/>
                <w:color w:val="auto"/>
                <w:szCs w:val="21"/>
                <w:lang w:val="en-US" w:eastAsia="zh-CN"/>
              </w:rPr>
              <w:t>3</w:t>
            </w:r>
            <w:r>
              <w:rPr>
                <w:rFonts w:hint="eastAsia" w:eastAsia="宋体"/>
                <w:color w:val="auto"/>
                <w:szCs w:val="21"/>
                <w:lang w:val="en-US" w:eastAsia="zh-CN"/>
              </w:rPr>
              <w:t>.</w:t>
            </w:r>
            <w:r>
              <w:rPr>
                <w:rFonts w:hint="eastAsia"/>
                <w:color w:val="auto"/>
                <w:szCs w:val="21"/>
                <w:lang w:val="en-US" w:eastAsia="zh-CN"/>
              </w:rPr>
              <w:t>8安全特性：支持全端口256bits MACsec加密。</w:t>
            </w:r>
          </w:p>
        </w:tc>
        <w:tc>
          <w:tcPr>
            <w:tcW w:w="1280" w:type="dxa"/>
            <w:vAlign w:val="top"/>
          </w:tcPr>
          <w:p w14:paraId="0EEC34CE">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1140" w:type="dxa"/>
            <w:vAlign w:val="top"/>
          </w:tcPr>
          <w:p w14:paraId="5BA05B3B">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772" w:type="dxa"/>
            <w:vAlign w:val="top"/>
          </w:tcPr>
          <w:p w14:paraId="064E81CE">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r>
      <w:tr w14:paraId="4EADC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643" w:type="dxa"/>
            <w:vMerge w:val="continue"/>
            <w:vAlign w:val="top"/>
          </w:tcPr>
          <w:p w14:paraId="59ED706A">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6F875666">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090B6CEC">
            <w:pPr>
              <w:keepNext w:val="0"/>
              <w:keepLines w:val="0"/>
              <w:suppressLineNumbers w:val="0"/>
              <w:spacing w:before="0" w:beforeAutospacing="0" w:after="0" w:afterAutospacing="0"/>
              <w:ind w:left="0" w:leftChars="0" w:right="0" w:rightChars="0"/>
              <w:rPr>
                <w:rFonts w:hint="default" w:eastAsia="宋体"/>
                <w:b/>
                <w:bCs/>
                <w:color w:val="auto"/>
                <w:szCs w:val="21"/>
                <w:highlight w:val="yellow"/>
                <w:lang w:val="en-US" w:eastAsia="zh-CN"/>
              </w:rPr>
            </w:pPr>
            <w:r>
              <w:rPr>
                <w:rFonts w:hint="eastAsia" w:eastAsia="宋体"/>
                <w:color w:val="auto"/>
                <w:szCs w:val="21"/>
                <w:lang w:val="en-US" w:eastAsia="zh-CN"/>
              </w:rPr>
              <w:t>#</w:t>
            </w:r>
            <w:r>
              <w:rPr>
                <w:rFonts w:hint="eastAsia"/>
                <w:color w:val="auto"/>
                <w:szCs w:val="21"/>
                <w:lang w:val="en-US" w:eastAsia="zh-CN"/>
              </w:rPr>
              <w:t>3</w:t>
            </w:r>
            <w:r>
              <w:rPr>
                <w:rFonts w:hint="eastAsia" w:eastAsia="宋体"/>
                <w:color w:val="auto"/>
                <w:szCs w:val="21"/>
                <w:lang w:val="en-US" w:eastAsia="zh-CN"/>
              </w:rPr>
              <w:t>.</w:t>
            </w:r>
            <w:r>
              <w:rPr>
                <w:rFonts w:hint="eastAsia"/>
                <w:color w:val="auto"/>
                <w:szCs w:val="21"/>
                <w:lang w:val="en-US" w:eastAsia="zh-CN"/>
              </w:rPr>
              <w:t>9 管理和监控：支持Telemetry可视化。</w:t>
            </w:r>
          </w:p>
        </w:tc>
        <w:tc>
          <w:tcPr>
            <w:tcW w:w="1280" w:type="dxa"/>
            <w:vAlign w:val="top"/>
          </w:tcPr>
          <w:p w14:paraId="00DBAD17">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1140" w:type="dxa"/>
            <w:vAlign w:val="top"/>
          </w:tcPr>
          <w:p w14:paraId="6FA32BD4">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772" w:type="dxa"/>
            <w:vAlign w:val="top"/>
          </w:tcPr>
          <w:p w14:paraId="3C9CAAA7">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r>
      <w:tr w14:paraId="6131F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3" w:type="dxa"/>
            <w:vMerge w:val="continue"/>
            <w:vAlign w:val="top"/>
          </w:tcPr>
          <w:p w14:paraId="64B1DCF1">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3C1055FA">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4E8A2D0A">
            <w:pPr>
              <w:keepNext w:val="0"/>
              <w:keepLines w:val="0"/>
              <w:suppressLineNumbers w:val="0"/>
              <w:spacing w:before="0" w:beforeAutospacing="0" w:after="0" w:afterAutospacing="0"/>
              <w:ind w:left="0" w:leftChars="0" w:right="0" w:rightChars="0"/>
              <w:rPr>
                <w:rFonts w:hint="default" w:eastAsia="宋体"/>
                <w:b/>
                <w:bCs/>
                <w:color w:val="auto"/>
                <w:szCs w:val="21"/>
                <w:highlight w:val="yellow"/>
                <w:lang w:val="en-US" w:eastAsia="zh-CN"/>
              </w:rPr>
            </w:pPr>
            <w:r>
              <w:rPr>
                <w:rFonts w:hint="eastAsia" w:eastAsia="宋体"/>
                <w:color w:val="auto"/>
                <w:szCs w:val="21"/>
                <w:lang w:val="en-US" w:eastAsia="zh-CN"/>
              </w:rPr>
              <w:t>△</w:t>
            </w:r>
            <w:r>
              <w:rPr>
                <w:rFonts w:hint="eastAsia"/>
                <w:color w:val="auto"/>
                <w:szCs w:val="21"/>
                <w:lang w:val="en-US" w:eastAsia="zh-CN"/>
              </w:rPr>
              <w:t>3</w:t>
            </w:r>
            <w:r>
              <w:rPr>
                <w:rFonts w:hint="eastAsia" w:eastAsia="宋体"/>
                <w:color w:val="auto"/>
                <w:szCs w:val="21"/>
                <w:lang w:val="en-US" w:eastAsia="zh-CN"/>
              </w:rPr>
              <w:t>.</w:t>
            </w:r>
            <w:r>
              <w:rPr>
                <w:rFonts w:hint="eastAsia"/>
                <w:color w:val="auto"/>
                <w:szCs w:val="21"/>
                <w:lang w:val="en-US" w:eastAsia="zh-CN"/>
              </w:rPr>
              <w:t>10SDN：支持适配SDN组网。</w:t>
            </w:r>
          </w:p>
        </w:tc>
        <w:tc>
          <w:tcPr>
            <w:tcW w:w="1280" w:type="dxa"/>
            <w:vAlign w:val="top"/>
          </w:tcPr>
          <w:p w14:paraId="1960C165">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1140" w:type="dxa"/>
            <w:vAlign w:val="top"/>
          </w:tcPr>
          <w:p w14:paraId="09DAF408">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772" w:type="dxa"/>
            <w:vAlign w:val="top"/>
          </w:tcPr>
          <w:p w14:paraId="76B66EE3">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r>
      <w:tr w14:paraId="10DB9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7" w:hRule="atLeast"/>
        </w:trPr>
        <w:tc>
          <w:tcPr>
            <w:tcW w:w="643" w:type="dxa"/>
            <w:vMerge w:val="continue"/>
            <w:vAlign w:val="top"/>
          </w:tcPr>
          <w:p w14:paraId="1861A6D3">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1FBE19D1">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30C18174">
            <w:pPr>
              <w:keepNext w:val="0"/>
              <w:keepLines w:val="0"/>
              <w:suppressLineNumbers w:val="0"/>
              <w:spacing w:before="0" w:beforeAutospacing="0" w:after="0" w:afterAutospacing="0"/>
              <w:ind w:left="0" w:leftChars="0" w:right="0" w:rightChars="0"/>
              <w:rPr>
                <w:rFonts w:hint="default" w:eastAsia="宋体"/>
                <w:b/>
                <w:bCs/>
                <w:color w:val="auto"/>
                <w:szCs w:val="21"/>
                <w:highlight w:val="yellow"/>
                <w:lang w:val="en-US" w:eastAsia="zh-CN"/>
              </w:rPr>
            </w:pPr>
            <w:r>
              <w:rPr>
                <w:rFonts w:hint="eastAsia" w:eastAsia="宋体"/>
                <w:color w:val="auto"/>
                <w:szCs w:val="21"/>
                <w:lang w:val="en-US" w:eastAsia="zh-CN"/>
              </w:rPr>
              <w:t>△</w:t>
            </w:r>
            <w:r>
              <w:rPr>
                <w:rFonts w:hint="eastAsia"/>
                <w:color w:val="auto"/>
                <w:szCs w:val="21"/>
                <w:lang w:val="en-US" w:eastAsia="zh-CN"/>
              </w:rPr>
              <w:t>3</w:t>
            </w:r>
            <w:r>
              <w:rPr>
                <w:rFonts w:hint="eastAsia" w:eastAsia="宋体"/>
                <w:color w:val="auto"/>
                <w:szCs w:val="21"/>
                <w:lang w:val="en-US" w:eastAsia="zh-CN"/>
              </w:rPr>
              <w:t>.</w:t>
            </w:r>
            <w:r>
              <w:rPr>
                <w:rFonts w:hint="eastAsia"/>
                <w:color w:val="auto"/>
                <w:szCs w:val="21"/>
                <w:lang w:val="en-US" w:eastAsia="zh-CN"/>
              </w:rPr>
              <w:t>11 三层功能：支持RIP、OSPF、BGP、ISIS等IPv4动态路由协议，支持RIPng、OSPFv3、BGP4+、ISISv6等IPv6动态路由协议。</w:t>
            </w:r>
          </w:p>
        </w:tc>
        <w:tc>
          <w:tcPr>
            <w:tcW w:w="1280" w:type="dxa"/>
            <w:vAlign w:val="top"/>
          </w:tcPr>
          <w:p w14:paraId="5388C99E">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1140" w:type="dxa"/>
            <w:vAlign w:val="top"/>
          </w:tcPr>
          <w:p w14:paraId="791692EA">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772" w:type="dxa"/>
            <w:vAlign w:val="top"/>
          </w:tcPr>
          <w:p w14:paraId="0CBEE230">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r>
      <w:tr w14:paraId="0E308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643" w:type="dxa"/>
            <w:vMerge w:val="restart"/>
            <w:vAlign w:val="center"/>
          </w:tcPr>
          <w:p w14:paraId="6ED08F22">
            <w:pPr>
              <w:keepNext w:val="0"/>
              <w:keepLines w:val="0"/>
              <w:suppressLineNumbers w:val="0"/>
              <w:spacing w:before="0" w:beforeAutospacing="0" w:after="0" w:afterAutospacing="0"/>
              <w:ind w:left="0" w:right="0"/>
              <w:jc w:val="center"/>
              <w:rPr>
                <w:rFonts w:hint="default" w:eastAsia="宋体"/>
                <w:color w:val="auto"/>
                <w:szCs w:val="21"/>
                <w:lang w:val="en-US" w:eastAsia="zh-CN"/>
              </w:rPr>
            </w:pPr>
            <w:r>
              <w:rPr>
                <w:rFonts w:hint="eastAsia"/>
                <w:color w:val="auto"/>
                <w:szCs w:val="21"/>
                <w:lang w:val="en-US" w:eastAsia="zh-CN"/>
              </w:rPr>
              <w:t>4</w:t>
            </w:r>
          </w:p>
        </w:tc>
        <w:tc>
          <w:tcPr>
            <w:tcW w:w="1280" w:type="dxa"/>
            <w:vMerge w:val="restart"/>
            <w:vAlign w:val="center"/>
          </w:tcPr>
          <w:p w14:paraId="2541058B">
            <w:pPr>
              <w:keepNext w:val="0"/>
              <w:keepLines w:val="0"/>
              <w:suppressLineNumbers w:val="0"/>
              <w:spacing w:before="0" w:beforeAutospacing="0" w:after="0" w:afterAutospacing="0"/>
              <w:ind w:left="0" w:right="0"/>
              <w:jc w:val="center"/>
              <w:rPr>
                <w:rFonts w:hint="eastAsia" w:eastAsia="宋体"/>
                <w:color w:val="auto"/>
                <w:szCs w:val="21"/>
                <w:lang w:val="en-US" w:eastAsia="zh-CN"/>
              </w:rPr>
            </w:pPr>
            <w:r>
              <w:rPr>
                <w:rFonts w:hint="eastAsia"/>
                <w:b w:val="0"/>
                <w:bCs/>
                <w:color w:val="auto"/>
                <w:szCs w:val="21"/>
                <w:lang w:eastAsia="zh-CN"/>
              </w:rPr>
              <w:t>交换机（</w:t>
            </w:r>
            <w:r>
              <w:rPr>
                <w:rFonts w:hint="eastAsia"/>
                <w:b w:val="0"/>
                <w:bCs/>
                <w:color w:val="auto"/>
                <w:szCs w:val="21"/>
                <w:lang w:val="en-US" w:eastAsia="zh-CN"/>
              </w:rPr>
              <w:t>生产区万兆接入交换机</w:t>
            </w:r>
            <w:r>
              <w:rPr>
                <w:rFonts w:hint="eastAsia"/>
                <w:b w:val="0"/>
                <w:bCs/>
                <w:color w:val="auto"/>
                <w:szCs w:val="21"/>
                <w:lang w:eastAsia="zh-CN"/>
              </w:rPr>
              <w:t>）</w:t>
            </w:r>
          </w:p>
        </w:tc>
        <w:tc>
          <w:tcPr>
            <w:tcW w:w="3620" w:type="dxa"/>
            <w:vAlign w:val="top"/>
          </w:tcPr>
          <w:p w14:paraId="5D67DF2F">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4</w:t>
            </w:r>
            <w:r>
              <w:rPr>
                <w:rFonts w:hint="eastAsia" w:eastAsia="宋体"/>
                <w:color w:val="FF0000"/>
                <w:szCs w:val="21"/>
                <w:lang w:val="en-US" w:eastAsia="zh-CN"/>
              </w:rPr>
              <w:t>.1物理接口：</w:t>
            </w:r>
          </w:p>
          <w:p w14:paraId="276DC869">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1.≥24个10G/1G BASE-X SFP+端口，实配24个万兆光转电模块。</w:t>
            </w:r>
          </w:p>
          <w:p w14:paraId="6AA0C115">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2.≥4个40G QSFP+端口。</w:t>
            </w:r>
          </w:p>
          <w:p w14:paraId="1B4122C6">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b/>
                <w:bCs/>
                <w:color w:val="FF0000"/>
                <w:szCs w:val="21"/>
                <w:highlight w:val="yellow"/>
                <w:lang w:val="en-US" w:eastAsia="zh-CN"/>
              </w:rPr>
            </w:pPr>
            <w:r>
              <w:rPr>
                <w:rFonts w:hint="eastAsia" w:eastAsia="宋体"/>
                <w:b w:val="0"/>
                <w:bCs w:val="0"/>
                <w:color w:val="FF0000"/>
                <w:szCs w:val="21"/>
                <w:highlight w:val="none"/>
                <w:lang w:val="en-US" w:eastAsia="zh-CN"/>
              </w:rPr>
              <w:t>3.每台实配1条3米堆叠线。</w:t>
            </w:r>
          </w:p>
        </w:tc>
        <w:tc>
          <w:tcPr>
            <w:tcW w:w="1280" w:type="dxa"/>
            <w:vAlign w:val="top"/>
          </w:tcPr>
          <w:p w14:paraId="15BB33CB">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b w:val="0"/>
                <w:bCs w:val="0"/>
                <w:color w:val="FF0000"/>
                <w:szCs w:val="21"/>
                <w:highlight w:val="none"/>
                <w:lang w:val="en-US" w:eastAsia="zh-CN"/>
              </w:rPr>
            </w:pPr>
          </w:p>
        </w:tc>
        <w:tc>
          <w:tcPr>
            <w:tcW w:w="1140" w:type="dxa"/>
            <w:vAlign w:val="top"/>
          </w:tcPr>
          <w:p w14:paraId="4F7691CA">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b w:val="0"/>
                <w:bCs w:val="0"/>
                <w:color w:val="FF0000"/>
                <w:szCs w:val="21"/>
                <w:highlight w:val="none"/>
                <w:lang w:val="en-US" w:eastAsia="zh-CN"/>
              </w:rPr>
            </w:pPr>
          </w:p>
        </w:tc>
        <w:tc>
          <w:tcPr>
            <w:tcW w:w="772" w:type="dxa"/>
            <w:vAlign w:val="top"/>
          </w:tcPr>
          <w:p w14:paraId="4F45AA1C">
            <w:pPr>
              <w:keepNext w:val="0"/>
              <w:keepLines w:val="0"/>
              <w:numPr>
                <w:ilvl w:val="0"/>
                <w:numId w:val="0"/>
              </w:numPr>
              <w:suppressLineNumbers w:val="0"/>
              <w:spacing w:before="0" w:beforeAutospacing="0" w:after="0" w:afterAutospacing="0"/>
              <w:ind w:left="0" w:leftChars="0" w:right="0" w:rightChars="0" w:firstLine="0" w:firstLineChars="0"/>
              <w:rPr>
                <w:rFonts w:hint="eastAsia" w:eastAsia="宋体"/>
                <w:b w:val="0"/>
                <w:bCs w:val="0"/>
                <w:color w:val="FF0000"/>
                <w:szCs w:val="21"/>
                <w:highlight w:val="none"/>
                <w:lang w:val="en-US" w:eastAsia="zh-CN"/>
              </w:rPr>
            </w:pPr>
          </w:p>
        </w:tc>
      </w:tr>
      <w:tr w14:paraId="7D8AF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4" w:hRule="atLeast"/>
        </w:trPr>
        <w:tc>
          <w:tcPr>
            <w:tcW w:w="643" w:type="dxa"/>
            <w:vMerge w:val="continue"/>
            <w:vAlign w:val="top"/>
          </w:tcPr>
          <w:p w14:paraId="785F4A03">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54D460DE">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27961BC0">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4</w:t>
            </w:r>
            <w:r>
              <w:rPr>
                <w:rFonts w:hint="eastAsia" w:eastAsia="宋体"/>
                <w:color w:val="FF0000"/>
                <w:szCs w:val="21"/>
                <w:lang w:val="en-US" w:eastAsia="zh-CN"/>
              </w:rPr>
              <w:t>.2技术要求：</w:t>
            </w:r>
          </w:p>
          <w:p w14:paraId="4B3673EC">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1.背板带宽≥4Tbps。</w:t>
            </w:r>
          </w:p>
          <w:p w14:paraId="40D975C5">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2.包转发率≥1600Mpps。</w:t>
            </w:r>
          </w:p>
          <w:p w14:paraId="6DF6A79A">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3.支持IPv6。</w:t>
            </w:r>
          </w:p>
          <w:p w14:paraId="16675883">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4.支持堆叠。</w:t>
            </w:r>
          </w:p>
          <w:p w14:paraId="1F264CC4">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5.支持RADIUS/Tacacs+方式进行AAA认证。</w:t>
            </w:r>
          </w:p>
          <w:p w14:paraId="03069768">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6.支持NTP时间同步。</w:t>
            </w:r>
          </w:p>
          <w:p w14:paraId="082F48B1">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7.支持SSH登录方式。</w:t>
            </w:r>
          </w:p>
          <w:p w14:paraId="70792654">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r>
              <w:rPr>
                <w:rFonts w:hint="eastAsia" w:eastAsia="宋体"/>
                <w:b w:val="0"/>
                <w:bCs w:val="0"/>
                <w:color w:val="FF0000"/>
                <w:szCs w:val="21"/>
                <w:highlight w:val="none"/>
                <w:lang w:val="en-US" w:eastAsia="zh-CN"/>
              </w:rPr>
              <w:t>8.支持本地端口镜像和远程端口镜像。</w:t>
            </w:r>
          </w:p>
          <w:p w14:paraId="56F3BCA6">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r>
              <w:rPr>
                <w:rFonts w:hint="eastAsia" w:eastAsia="宋体"/>
                <w:b w:val="0"/>
                <w:bCs w:val="0"/>
                <w:color w:val="FF0000"/>
                <w:szCs w:val="21"/>
                <w:highlight w:val="none"/>
                <w:lang w:val="en-US" w:eastAsia="zh-CN"/>
              </w:rPr>
              <w:t>9.支持syslog。</w:t>
            </w:r>
          </w:p>
        </w:tc>
        <w:tc>
          <w:tcPr>
            <w:tcW w:w="1280" w:type="dxa"/>
            <w:vAlign w:val="top"/>
          </w:tcPr>
          <w:p w14:paraId="1E4BE6EA">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p>
        </w:tc>
        <w:tc>
          <w:tcPr>
            <w:tcW w:w="1140" w:type="dxa"/>
            <w:vAlign w:val="top"/>
          </w:tcPr>
          <w:p w14:paraId="27CC70E6">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p>
        </w:tc>
        <w:tc>
          <w:tcPr>
            <w:tcW w:w="772" w:type="dxa"/>
            <w:vAlign w:val="top"/>
          </w:tcPr>
          <w:p w14:paraId="371B993C">
            <w:pPr>
              <w:keepNext w:val="0"/>
              <w:keepLines w:val="0"/>
              <w:suppressLineNumbers w:val="0"/>
              <w:spacing w:before="0" w:beforeAutospacing="0" w:after="0" w:afterAutospacing="0"/>
              <w:ind w:left="0" w:leftChars="0" w:right="0" w:rightChars="0"/>
              <w:rPr>
                <w:rFonts w:hint="eastAsia" w:eastAsia="宋体"/>
                <w:b w:val="0"/>
                <w:bCs w:val="0"/>
                <w:color w:val="FF0000"/>
                <w:szCs w:val="21"/>
                <w:highlight w:val="none"/>
                <w:lang w:val="en-US" w:eastAsia="zh-CN"/>
              </w:rPr>
            </w:pPr>
          </w:p>
        </w:tc>
      </w:tr>
      <w:tr w14:paraId="2A0A6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trPr>
        <w:tc>
          <w:tcPr>
            <w:tcW w:w="643" w:type="dxa"/>
            <w:vMerge w:val="continue"/>
            <w:vAlign w:val="top"/>
          </w:tcPr>
          <w:p w14:paraId="44FDFFE3">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2EE1A05E">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06FDAFD2">
            <w:pPr>
              <w:keepNext w:val="0"/>
              <w:keepLines w:val="0"/>
              <w:suppressLineNumbers w:val="0"/>
              <w:spacing w:before="0" w:beforeAutospacing="0" w:after="0" w:afterAutospacing="0"/>
              <w:ind w:left="0" w:right="0"/>
              <w:rPr>
                <w:rFonts w:hint="eastAsia" w:eastAsia="宋体"/>
                <w:color w:val="FF0000"/>
                <w:szCs w:val="21"/>
                <w:lang w:val="en-US" w:eastAsia="zh-CN"/>
              </w:rPr>
            </w:pPr>
            <w:r>
              <w:rPr>
                <w:rFonts w:hint="eastAsia" w:eastAsia="宋体"/>
                <w:color w:val="FF0000"/>
                <w:szCs w:val="21"/>
                <w:lang w:val="en-US" w:eastAsia="zh-CN"/>
              </w:rPr>
              <w:t>★</w:t>
            </w:r>
            <w:r>
              <w:rPr>
                <w:rFonts w:hint="eastAsia"/>
                <w:color w:val="FF0000"/>
                <w:szCs w:val="21"/>
                <w:lang w:val="en-US" w:eastAsia="zh-CN"/>
              </w:rPr>
              <w:t>4</w:t>
            </w:r>
            <w:r>
              <w:rPr>
                <w:rFonts w:hint="eastAsia" w:eastAsia="宋体"/>
                <w:color w:val="FF0000"/>
                <w:szCs w:val="21"/>
                <w:lang w:val="en-US" w:eastAsia="zh-CN"/>
              </w:rPr>
              <w:t>.3入网许可：具有《电信设备进网许可证》，设备及其型号需与入网证一致。</w:t>
            </w:r>
          </w:p>
          <w:p w14:paraId="128616CE">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r>
              <w:rPr>
                <w:rFonts w:hint="eastAsia" w:eastAsia="宋体"/>
                <w:b/>
                <w:bCs/>
                <w:color w:val="FF0000"/>
                <w:szCs w:val="21"/>
                <w:highlight w:val="yellow"/>
                <w:lang w:val="en-US" w:eastAsia="zh-CN"/>
              </w:rPr>
              <w:t>投标人还需提供承诺函（格式自拟加盖公章），承诺中标后提供《电信设备进网许可证》且设备及其型号需与入网证一致。</w:t>
            </w:r>
          </w:p>
        </w:tc>
        <w:tc>
          <w:tcPr>
            <w:tcW w:w="1280" w:type="dxa"/>
            <w:vAlign w:val="top"/>
          </w:tcPr>
          <w:p w14:paraId="4A566994">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p>
        </w:tc>
        <w:tc>
          <w:tcPr>
            <w:tcW w:w="1140" w:type="dxa"/>
            <w:vAlign w:val="top"/>
          </w:tcPr>
          <w:p w14:paraId="796B0290">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p>
        </w:tc>
        <w:tc>
          <w:tcPr>
            <w:tcW w:w="772" w:type="dxa"/>
            <w:vAlign w:val="top"/>
          </w:tcPr>
          <w:p w14:paraId="2F1C6906">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p>
        </w:tc>
      </w:tr>
      <w:tr w14:paraId="7B839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643" w:type="dxa"/>
            <w:vMerge w:val="continue"/>
            <w:vAlign w:val="top"/>
          </w:tcPr>
          <w:p w14:paraId="7F3B4122">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16D62E90">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65120E3A">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r>
              <w:rPr>
                <w:rFonts w:hint="eastAsia" w:eastAsia="宋体"/>
                <w:color w:val="FF0000"/>
                <w:szCs w:val="21"/>
                <w:lang w:val="en-US" w:eastAsia="zh-CN"/>
              </w:rPr>
              <w:t>★</w:t>
            </w:r>
            <w:r>
              <w:rPr>
                <w:rFonts w:hint="eastAsia"/>
                <w:color w:val="FF0000"/>
                <w:szCs w:val="21"/>
                <w:lang w:val="en-US" w:eastAsia="zh-CN"/>
              </w:rPr>
              <w:t>4</w:t>
            </w:r>
            <w:r>
              <w:rPr>
                <w:rFonts w:hint="eastAsia" w:eastAsia="宋体"/>
                <w:color w:val="FF0000"/>
                <w:szCs w:val="21"/>
                <w:lang w:val="en-US" w:eastAsia="zh-CN"/>
              </w:rPr>
              <w:t>.</w:t>
            </w:r>
            <w:r>
              <w:rPr>
                <w:rFonts w:hint="eastAsia"/>
                <w:color w:val="FF0000"/>
                <w:szCs w:val="21"/>
                <w:lang w:val="en-US" w:eastAsia="zh-CN"/>
              </w:rPr>
              <w:t>4 硬件规格：满配冗余电源，满配冗余风扇。</w:t>
            </w:r>
          </w:p>
        </w:tc>
        <w:tc>
          <w:tcPr>
            <w:tcW w:w="1280" w:type="dxa"/>
            <w:vAlign w:val="top"/>
          </w:tcPr>
          <w:p w14:paraId="23A58FBA">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1140" w:type="dxa"/>
            <w:vAlign w:val="top"/>
          </w:tcPr>
          <w:p w14:paraId="7E2F0F65">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772" w:type="dxa"/>
            <w:vAlign w:val="top"/>
          </w:tcPr>
          <w:p w14:paraId="35C00F94">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r>
      <w:tr w14:paraId="425E7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3" w:type="dxa"/>
            <w:vMerge w:val="continue"/>
            <w:vAlign w:val="top"/>
          </w:tcPr>
          <w:p w14:paraId="62B82D9D">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04D16DF1">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6345B101">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r>
              <w:rPr>
                <w:rFonts w:hint="eastAsia" w:eastAsia="宋体"/>
                <w:color w:val="FF0000"/>
                <w:szCs w:val="21"/>
                <w:lang w:val="en-US" w:eastAsia="zh-CN"/>
              </w:rPr>
              <w:t>★</w:t>
            </w:r>
            <w:r>
              <w:rPr>
                <w:rFonts w:hint="eastAsia"/>
                <w:color w:val="FF0000"/>
                <w:szCs w:val="21"/>
                <w:lang w:val="en-US" w:eastAsia="zh-CN"/>
              </w:rPr>
              <w:t>4</w:t>
            </w:r>
            <w:r>
              <w:rPr>
                <w:rFonts w:hint="eastAsia" w:eastAsia="宋体"/>
                <w:color w:val="FF0000"/>
                <w:szCs w:val="21"/>
                <w:lang w:val="en-US" w:eastAsia="zh-CN"/>
              </w:rPr>
              <w:t>.</w:t>
            </w:r>
            <w:r>
              <w:rPr>
                <w:rFonts w:hint="eastAsia"/>
                <w:color w:val="FF0000"/>
                <w:szCs w:val="21"/>
                <w:lang w:val="en-US" w:eastAsia="zh-CN"/>
              </w:rPr>
              <w:t>5 芯片：所涉及芯片均为信创芯片。</w:t>
            </w:r>
          </w:p>
        </w:tc>
        <w:tc>
          <w:tcPr>
            <w:tcW w:w="1280" w:type="dxa"/>
            <w:vAlign w:val="top"/>
          </w:tcPr>
          <w:p w14:paraId="67D113A1">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1140" w:type="dxa"/>
            <w:vAlign w:val="top"/>
          </w:tcPr>
          <w:p w14:paraId="5FBC56C5">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c>
          <w:tcPr>
            <w:tcW w:w="772" w:type="dxa"/>
            <w:vAlign w:val="top"/>
          </w:tcPr>
          <w:p w14:paraId="400C29CF">
            <w:pPr>
              <w:keepNext w:val="0"/>
              <w:keepLines w:val="0"/>
              <w:suppressLineNumbers w:val="0"/>
              <w:spacing w:before="0" w:beforeAutospacing="0" w:after="0" w:afterAutospacing="0"/>
              <w:ind w:left="0" w:leftChars="0" w:right="0" w:rightChars="0"/>
              <w:rPr>
                <w:rFonts w:hint="eastAsia" w:eastAsia="宋体"/>
                <w:color w:val="FF0000"/>
                <w:szCs w:val="21"/>
                <w:lang w:val="en-US" w:eastAsia="zh-CN"/>
              </w:rPr>
            </w:pPr>
          </w:p>
        </w:tc>
      </w:tr>
      <w:tr w14:paraId="44092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43" w:type="dxa"/>
            <w:vMerge w:val="continue"/>
            <w:vAlign w:val="top"/>
          </w:tcPr>
          <w:p w14:paraId="0D6279CB">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58899514">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655225B8">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r>
              <w:rPr>
                <w:rFonts w:hint="eastAsia" w:eastAsia="宋体"/>
                <w:color w:val="auto"/>
                <w:szCs w:val="21"/>
                <w:lang w:val="en-US" w:eastAsia="zh-CN"/>
              </w:rPr>
              <w:t>#</w:t>
            </w:r>
            <w:r>
              <w:rPr>
                <w:rFonts w:hint="eastAsia"/>
                <w:color w:val="auto"/>
                <w:szCs w:val="21"/>
                <w:lang w:val="en-US" w:eastAsia="zh-CN"/>
              </w:rPr>
              <w:t>4.6 管理维护：支持SNMP V1/V2c/V3、SYSLOG、RMON、Telnet等管理功能。</w:t>
            </w:r>
          </w:p>
        </w:tc>
        <w:tc>
          <w:tcPr>
            <w:tcW w:w="1280" w:type="dxa"/>
            <w:vAlign w:val="top"/>
          </w:tcPr>
          <w:p w14:paraId="6D7F71F8">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1140" w:type="dxa"/>
            <w:vAlign w:val="top"/>
          </w:tcPr>
          <w:p w14:paraId="7A3F668E">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772" w:type="dxa"/>
            <w:vAlign w:val="top"/>
          </w:tcPr>
          <w:p w14:paraId="0F6A9DB3">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r>
      <w:tr w14:paraId="03236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43" w:type="dxa"/>
            <w:vMerge w:val="continue"/>
            <w:vAlign w:val="top"/>
          </w:tcPr>
          <w:p w14:paraId="0F52C8AA">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120A7020">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4864BD9D">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r>
              <w:rPr>
                <w:rFonts w:hint="eastAsia" w:eastAsia="宋体"/>
                <w:color w:val="auto"/>
                <w:szCs w:val="21"/>
                <w:lang w:val="en-US" w:eastAsia="zh-CN"/>
              </w:rPr>
              <w:t>#</w:t>
            </w:r>
            <w:r>
              <w:rPr>
                <w:rFonts w:hint="eastAsia"/>
                <w:color w:val="auto"/>
                <w:szCs w:val="21"/>
                <w:lang w:val="en-US" w:eastAsia="zh-CN"/>
              </w:rPr>
              <w:t>4.7虚拟化：支持跨框链路聚合（M-LAG)、集群或堆叠多虚一技术。</w:t>
            </w:r>
          </w:p>
        </w:tc>
        <w:tc>
          <w:tcPr>
            <w:tcW w:w="1280" w:type="dxa"/>
            <w:vAlign w:val="top"/>
          </w:tcPr>
          <w:p w14:paraId="5731829E">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1140" w:type="dxa"/>
            <w:vAlign w:val="top"/>
          </w:tcPr>
          <w:p w14:paraId="256DD541">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772" w:type="dxa"/>
            <w:vAlign w:val="top"/>
          </w:tcPr>
          <w:p w14:paraId="26621D21">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r>
      <w:tr w14:paraId="0F1FC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643" w:type="dxa"/>
            <w:vMerge w:val="continue"/>
            <w:vAlign w:val="top"/>
          </w:tcPr>
          <w:p w14:paraId="4A5FC8B5">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1DA8FFDB">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104B39F0">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r>
              <w:rPr>
                <w:rFonts w:hint="eastAsia" w:eastAsia="宋体"/>
                <w:color w:val="auto"/>
                <w:szCs w:val="21"/>
                <w:lang w:val="en-US" w:eastAsia="zh-CN"/>
              </w:rPr>
              <w:t>#</w:t>
            </w:r>
            <w:r>
              <w:rPr>
                <w:rFonts w:hint="eastAsia"/>
                <w:color w:val="auto"/>
                <w:szCs w:val="21"/>
                <w:lang w:val="en-US" w:eastAsia="zh-CN"/>
              </w:rPr>
              <w:t>4.8安全特性：支持全端口256bits MACsec加密。</w:t>
            </w:r>
          </w:p>
        </w:tc>
        <w:tc>
          <w:tcPr>
            <w:tcW w:w="1280" w:type="dxa"/>
            <w:vAlign w:val="top"/>
          </w:tcPr>
          <w:p w14:paraId="21E4534D">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1140" w:type="dxa"/>
            <w:vAlign w:val="top"/>
          </w:tcPr>
          <w:p w14:paraId="7C544FF0">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772" w:type="dxa"/>
            <w:vAlign w:val="top"/>
          </w:tcPr>
          <w:p w14:paraId="06CC7E99">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r>
      <w:tr w14:paraId="7581D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643" w:type="dxa"/>
            <w:vMerge w:val="continue"/>
            <w:vAlign w:val="top"/>
          </w:tcPr>
          <w:p w14:paraId="73A909D0">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5B44F93E">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3BEB52A3">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r>
              <w:rPr>
                <w:rFonts w:hint="eastAsia" w:eastAsia="宋体"/>
                <w:color w:val="auto"/>
                <w:szCs w:val="21"/>
                <w:lang w:val="en-US" w:eastAsia="zh-CN"/>
              </w:rPr>
              <w:t>#</w:t>
            </w:r>
            <w:r>
              <w:rPr>
                <w:rFonts w:hint="eastAsia"/>
                <w:color w:val="auto"/>
                <w:szCs w:val="21"/>
                <w:lang w:val="en-US" w:eastAsia="zh-CN"/>
              </w:rPr>
              <w:t>4.9 管理和监控：支持Telemetry可视化。</w:t>
            </w:r>
          </w:p>
        </w:tc>
        <w:tc>
          <w:tcPr>
            <w:tcW w:w="1280" w:type="dxa"/>
            <w:vAlign w:val="top"/>
          </w:tcPr>
          <w:p w14:paraId="4A887102">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1140" w:type="dxa"/>
            <w:vAlign w:val="top"/>
          </w:tcPr>
          <w:p w14:paraId="7F1FB0E6">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772" w:type="dxa"/>
            <w:vAlign w:val="top"/>
          </w:tcPr>
          <w:p w14:paraId="1A7A4FF8">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r>
      <w:tr w14:paraId="3F916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643" w:type="dxa"/>
            <w:vMerge w:val="continue"/>
            <w:vAlign w:val="top"/>
          </w:tcPr>
          <w:p w14:paraId="3BC2D089">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373D500F">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4F52C7BF">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r>
              <w:rPr>
                <w:rFonts w:hint="eastAsia" w:eastAsia="宋体"/>
                <w:color w:val="auto"/>
                <w:szCs w:val="21"/>
                <w:lang w:val="en-US" w:eastAsia="zh-CN"/>
              </w:rPr>
              <w:t>△</w:t>
            </w:r>
            <w:r>
              <w:rPr>
                <w:rFonts w:hint="eastAsia"/>
                <w:color w:val="auto"/>
                <w:szCs w:val="21"/>
                <w:lang w:val="en-US" w:eastAsia="zh-CN"/>
              </w:rPr>
              <w:t>4.10 SDN：支持适配SDN组网。</w:t>
            </w:r>
          </w:p>
        </w:tc>
        <w:tc>
          <w:tcPr>
            <w:tcW w:w="1280" w:type="dxa"/>
            <w:vAlign w:val="top"/>
          </w:tcPr>
          <w:p w14:paraId="784DA871">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1140" w:type="dxa"/>
            <w:vAlign w:val="top"/>
          </w:tcPr>
          <w:p w14:paraId="423D1538">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772" w:type="dxa"/>
            <w:vAlign w:val="top"/>
          </w:tcPr>
          <w:p w14:paraId="716BF8CC">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r>
      <w:tr w14:paraId="1E56E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 w:hRule="atLeast"/>
        </w:trPr>
        <w:tc>
          <w:tcPr>
            <w:tcW w:w="643" w:type="dxa"/>
            <w:vMerge w:val="continue"/>
            <w:vAlign w:val="top"/>
          </w:tcPr>
          <w:p w14:paraId="5A02C8A0">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1280" w:type="dxa"/>
            <w:vMerge w:val="continue"/>
            <w:vAlign w:val="top"/>
          </w:tcPr>
          <w:p w14:paraId="63614E09">
            <w:pPr>
              <w:keepNext w:val="0"/>
              <w:keepLines w:val="0"/>
              <w:suppressLineNumbers w:val="0"/>
              <w:spacing w:before="0" w:beforeAutospacing="0" w:after="0" w:afterAutospacing="0"/>
              <w:ind w:left="0" w:right="0"/>
              <w:rPr>
                <w:rFonts w:hint="eastAsia" w:eastAsia="宋体"/>
                <w:color w:val="FF0000"/>
                <w:szCs w:val="21"/>
                <w:lang w:val="en-US" w:eastAsia="zh-CN"/>
              </w:rPr>
            </w:pPr>
          </w:p>
        </w:tc>
        <w:tc>
          <w:tcPr>
            <w:tcW w:w="3620" w:type="dxa"/>
            <w:vAlign w:val="top"/>
          </w:tcPr>
          <w:p w14:paraId="75578838">
            <w:pPr>
              <w:keepNext w:val="0"/>
              <w:keepLines w:val="0"/>
              <w:suppressLineNumbers w:val="0"/>
              <w:spacing w:before="0" w:beforeAutospacing="0" w:after="0" w:afterAutospacing="0"/>
              <w:ind w:left="0" w:leftChars="0" w:right="0" w:rightChars="0"/>
              <w:rPr>
                <w:rFonts w:hint="eastAsia" w:eastAsia="宋体"/>
                <w:b/>
                <w:bCs/>
                <w:color w:val="FF0000"/>
                <w:szCs w:val="21"/>
                <w:highlight w:val="yellow"/>
                <w:lang w:val="en-US" w:eastAsia="zh-CN"/>
              </w:rPr>
            </w:pPr>
            <w:r>
              <w:rPr>
                <w:rFonts w:hint="eastAsia" w:eastAsia="宋体"/>
                <w:color w:val="auto"/>
                <w:szCs w:val="21"/>
                <w:lang w:val="en-US" w:eastAsia="zh-CN"/>
              </w:rPr>
              <w:t>△</w:t>
            </w:r>
            <w:r>
              <w:rPr>
                <w:rFonts w:hint="eastAsia"/>
                <w:color w:val="auto"/>
                <w:szCs w:val="21"/>
                <w:lang w:val="en-US" w:eastAsia="zh-CN"/>
              </w:rPr>
              <w:t>4.11 三层功能：支持RIP、OSPF、BGP、ISIS等IPv4动态路由协议，支持RIPng、OSPFv3、BGP4+、ISISv6等IPv6动态路由协议。</w:t>
            </w:r>
          </w:p>
        </w:tc>
        <w:tc>
          <w:tcPr>
            <w:tcW w:w="1280" w:type="dxa"/>
            <w:vAlign w:val="top"/>
          </w:tcPr>
          <w:p w14:paraId="2110647C">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1140" w:type="dxa"/>
            <w:vAlign w:val="top"/>
          </w:tcPr>
          <w:p w14:paraId="47DA24F6">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c>
          <w:tcPr>
            <w:tcW w:w="772" w:type="dxa"/>
            <w:vAlign w:val="top"/>
          </w:tcPr>
          <w:p w14:paraId="41D2D6A6">
            <w:pPr>
              <w:keepNext w:val="0"/>
              <w:keepLines w:val="0"/>
              <w:suppressLineNumbers w:val="0"/>
              <w:spacing w:before="0" w:beforeAutospacing="0" w:after="0" w:afterAutospacing="0"/>
              <w:ind w:left="0" w:leftChars="0" w:right="0" w:rightChars="0"/>
              <w:rPr>
                <w:rFonts w:hint="eastAsia" w:eastAsia="宋体"/>
                <w:color w:val="auto"/>
                <w:szCs w:val="21"/>
                <w:lang w:val="en-US" w:eastAsia="zh-CN"/>
              </w:rPr>
            </w:pPr>
          </w:p>
        </w:tc>
      </w:tr>
    </w:tbl>
    <w:p w14:paraId="48AEBC2F">
      <w:pPr>
        <w:rPr>
          <w:rFonts w:hint="eastAsia"/>
          <w:szCs w:val="21"/>
        </w:rPr>
      </w:pPr>
    </w:p>
    <w:p w14:paraId="027A92C4">
      <w:pPr>
        <w:rPr>
          <w:b/>
          <w:szCs w:val="21"/>
        </w:rPr>
      </w:pPr>
      <w:r>
        <w:rPr>
          <w:rFonts w:hint="eastAsia"/>
          <w:szCs w:val="21"/>
        </w:rPr>
        <w:t>证明资料【如有的话，提供的证明资料应统一编号（排序），格式自定】</w:t>
      </w:r>
      <w:bookmarkEnd w:id="93"/>
      <w:r>
        <w:rPr>
          <w:rFonts w:hint="eastAsia"/>
          <w:szCs w:val="21"/>
        </w:rPr>
        <w:t>：</w:t>
      </w:r>
    </w:p>
    <w:p w14:paraId="0F664EB7">
      <w:pPr>
        <w:ind w:firstLine="422" w:firstLineChars="200"/>
        <w:rPr>
          <w:b/>
          <w:szCs w:val="21"/>
        </w:rPr>
      </w:pPr>
    </w:p>
    <w:p w14:paraId="012C5CE8">
      <w:pPr>
        <w:ind w:firstLine="420" w:firstLineChars="200"/>
        <w:rPr>
          <w:bCs/>
          <w:szCs w:val="21"/>
        </w:rPr>
      </w:pPr>
      <w:r>
        <w:rPr>
          <w:rFonts w:hint="eastAsia"/>
          <w:bCs/>
          <w:szCs w:val="21"/>
        </w:rPr>
        <w:t>《技术要求偏离表》编制指引：</w:t>
      </w:r>
    </w:p>
    <w:p w14:paraId="17FA425F">
      <w:pPr>
        <w:ind w:firstLine="420" w:firstLineChars="200"/>
        <w:rPr>
          <w:bCs/>
          <w:szCs w:val="21"/>
        </w:rPr>
      </w:pPr>
      <w:r>
        <w:rPr>
          <w:rFonts w:hint="eastAsia"/>
          <w:bCs/>
          <w:szCs w:val="21"/>
        </w:rPr>
        <w:t>1、技术要求偏离表的序号、货物名称、招标技术要求等栏目</w:t>
      </w:r>
      <w:bookmarkStart w:id="94" w:name="_Hlk72094407"/>
      <w:r>
        <w:rPr>
          <w:rFonts w:hint="eastAsia"/>
          <w:bCs/>
          <w:szCs w:val="21"/>
        </w:rPr>
        <w:t>对应“用户需求书”中的“技术要求”章节</w:t>
      </w:r>
      <w:bookmarkEnd w:id="94"/>
      <w:r>
        <w:rPr>
          <w:rFonts w:hint="eastAsia"/>
          <w:bCs/>
          <w:szCs w:val="21"/>
        </w:rPr>
        <w:t>相关内容。</w:t>
      </w:r>
    </w:p>
    <w:p w14:paraId="13736855">
      <w:pPr>
        <w:ind w:firstLine="420" w:firstLineChars="200"/>
        <w:rPr>
          <w:bCs/>
          <w:color w:val="FF0000"/>
          <w:szCs w:val="21"/>
        </w:rPr>
      </w:pPr>
      <w:r>
        <w:rPr>
          <w:bCs/>
          <w:szCs w:val="21"/>
        </w:rPr>
        <w:t>2</w:t>
      </w:r>
      <w:r>
        <w:rPr>
          <w:rFonts w:hint="eastAsia"/>
          <w:bCs/>
          <w:szCs w:val="21"/>
        </w:rPr>
        <w:t>、“投标技术响应”一栏必须一一对照“招标技术要求”，详细填写投标人自身投标货物的具体参数，而不能不合理照搬照抄招标文件的技术要求，以体现具体响应情况。</w:t>
      </w:r>
      <w:r>
        <w:rPr>
          <w:rFonts w:hint="eastAsia"/>
          <w:bCs/>
          <w:color w:val="FF0000"/>
          <w:szCs w:val="21"/>
        </w:rPr>
        <w:t>“投标技术响应”必须与所投产品客观实际保持一致，响应不实且情节严重的，经查实，将依法记入供应商诚信档案或受到行政处罚。</w:t>
      </w:r>
    </w:p>
    <w:p w14:paraId="1BBFDDC5">
      <w:pPr>
        <w:ind w:firstLine="420" w:firstLineChars="200"/>
        <w:rPr>
          <w:bCs/>
          <w:color w:val="FF0000"/>
          <w:szCs w:val="21"/>
        </w:rPr>
      </w:pPr>
      <w:r>
        <w:rPr>
          <w:bCs/>
          <w:szCs w:val="21"/>
        </w:rPr>
        <w:t>3</w:t>
      </w:r>
      <w:r>
        <w:rPr>
          <w:rFonts w:hint="eastAsia"/>
          <w:bCs/>
          <w:szCs w:val="21"/>
        </w:rPr>
        <w:t>、</w:t>
      </w:r>
      <w:bookmarkStart w:id="95" w:name="_Hlk72158270"/>
      <w:r>
        <w:rPr>
          <w:rFonts w:hint="eastAsia"/>
          <w:bCs/>
          <w:szCs w:val="21"/>
        </w:rPr>
        <w:t>“偏离情况”</w:t>
      </w:r>
      <w:bookmarkEnd w:id="95"/>
      <w:r>
        <w:rPr>
          <w:rFonts w:hint="eastAsia"/>
          <w:bCs/>
          <w:szCs w:val="21"/>
        </w:rPr>
        <w:t>一栏填写如实填写“正偏离”、“负偏离”或“无偏离”，其中：</w:t>
      </w:r>
      <w:bookmarkStart w:id="96" w:name="_Hlk72093866"/>
      <w:r>
        <w:rPr>
          <w:rFonts w:hint="eastAsia"/>
          <w:bCs/>
          <w:szCs w:val="21"/>
        </w:rPr>
        <w:t>“正偏离”表示“投标响应优于招标技术要求”，“负偏离”表示“投标响应不满足招标技术要求”，“无偏离”表示“投标响应与招标技术要求一致”</w:t>
      </w:r>
      <w:bookmarkEnd w:id="96"/>
      <w:r>
        <w:rPr>
          <w:rFonts w:hint="eastAsia"/>
          <w:bCs/>
          <w:szCs w:val="21"/>
        </w:rPr>
        <w:t>。“投标技术响应”对比“招标技术要求”存在响应不全（包括未响应整项招标技术要求或者未响应一项招标技术要求的部分内容），均视为“负偏离”。带★号条款为不可负偏离条款，不作为评分准则中的评分内容，如未响应或出现负偏离的，将做投标无效处理。</w:t>
      </w:r>
      <w:r>
        <w:rPr>
          <w:rFonts w:hint="eastAsia"/>
          <w:bCs/>
          <w:color w:val="FF0000"/>
          <w:szCs w:val="21"/>
        </w:rPr>
        <w:t>“偏离情况”必须与所投产品客观实际保持一致，响应不实且情节严重的，经查实，将依法记入供应商诚信档案或受到行政处罚。</w:t>
      </w:r>
    </w:p>
    <w:p w14:paraId="3E2A1B86">
      <w:pPr>
        <w:ind w:firstLine="422" w:firstLineChars="200"/>
        <w:rPr>
          <w:b/>
          <w:szCs w:val="21"/>
        </w:rPr>
      </w:pPr>
      <w:r>
        <w:rPr>
          <w:b/>
          <w:szCs w:val="21"/>
        </w:rPr>
        <w:t>4</w:t>
      </w:r>
      <w:r>
        <w:rPr>
          <w:rFonts w:hint="eastAsia"/>
          <w:b/>
          <w:szCs w:val="21"/>
        </w:rPr>
        <w:t>、未要求提供证明资料的招标技术要求，可以不提供证明资料（如实响应即可）。</w:t>
      </w:r>
    </w:p>
    <w:p w14:paraId="5171E6E3">
      <w:pPr>
        <w:ind w:firstLine="422" w:firstLineChars="200"/>
        <w:rPr>
          <w:bCs/>
          <w:szCs w:val="21"/>
        </w:rPr>
      </w:pPr>
      <w:r>
        <w:rPr>
          <w:rFonts w:hint="eastAsia"/>
          <w:b/>
          <w:szCs w:val="21"/>
        </w:rPr>
        <w:t>5、</w:t>
      </w:r>
      <w:bookmarkStart w:id="97" w:name="_Hlk72096106"/>
      <w:r>
        <w:rPr>
          <w:rFonts w:hint="eastAsia"/>
          <w:b/>
          <w:szCs w:val="21"/>
        </w:rPr>
        <w:t>证明资料条款响应要求</w:t>
      </w:r>
      <w:bookmarkEnd w:id="97"/>
      <w:r>
        <w:rPr>
          <w:rFonts w:hint="eastAsia"/>
          <w:b/>
          <w:szCs w:val="21"/>
        </w:rPr>
        <w:t>：</w:t>
      </w:r>
      <w:r>
        <w:rPr>
          <w:rFonts w:hint="eastAsia"/>
          <w:bCs/>
          <w:szCs w:val="21"/>
        </w:rPr>
        <w:t>要求提供证明资料（且已对证明资料的形式、内容作出明确要求）进行响应的条款，应当在</w:t>
      </w:r>
      <w:r>
        <w:rPr>
          <w:rFonts w:hint="eastAsia"/>
          <w:b/>
          <w:bCs w:val="0"/>
          <w:szCs w:val="21"/>
        </w:rPr>
        <w:t>“说明”</w:t>
      </w:r>
      <w:r>
        <w:rPr>
          <w:rFonts w:hint="eastAsia"/>
          <w:bCs/>
          <w:szCs w:val="21"/>
        </w:rPr>
        <w:t>一栏中列明是否提供了符合要求的证明资料，以及所提供证明资料在表后“证明资料”中的编号（位置）,以便评审；</w:t>
      </w:r>
      <w:bookmarkStart w:id="98" w:name="_Hlk73558782"/>
      <w:r>
        <w:rPr>
          <w:rFonts w:hint="eastAsia"/>
          <w:bCs/>
          <w:szCs w:val="21"/>
        </w:rPr>
        <w:t>此类条款应严格依照要求的形式、内容提供证明资料，如未提供证明资料（或：证明资料的形式、内容等不符合要求；证明资料显示不符合招标技术要求；证明资料模糊不清无法判断或未显示是否满足招标技术要求），</w:t>
      </w:r>
      <w:bookmarkStart w:id="99" w:name="_Hlk73558164"/>
      <w:r>
        <w:rPr>
          <w:rFonts w:hint="eastAsia"/>
          <w:bCs/>
          <w:szCs w:val="21"/>
        </w:rPr>
        <w:t>且投标人在“偏离情况”一栏响应为“正偏离”或“无偏离”的，经评审委员会认定，将判定为负偏离。</w:t>
      </w:r>
      <w:bookmarkEnd w:id="98"/>
      <w:bookmarkEnd w:id="99"/>
    </w:p>
    <w:p w14:paraId="51B28C53">
      <w:pPr>
        <w:ind w:firstLine="420" w:firstLineChars="200"/>
        <w:rPr>
          <w:bCs/>
          <w:szCs w:val="21"/>
        </w:rPr>
      </w:pPr>
      <w:r>
        <w:rPr>
          <w:rFonts w:hint="eastAsia"/>
          <w:bCs/>
          <w:szCs w:val="21"/>
        </w:rPr>
        <w:t>6、</w:t>
      </w:r>
      <w:bookmarkStart w:id="100" w:name="_Hlk72096137"/>
      <w:r>
        <w:rPr>
          <w:rFonts w:hint="eastAsia"/>
          <w:bCs/>
          <w:szCs w:val="21"/>
        </w:rPr>
        <w:t>表后“证明资料”部分内容的编制</w:t>
      </w:r>
      <w:bookmarkEnd w:id="100"/>
      <w:r>
        <w:rPr>
          <w:rFonts w:hint="eastAsia"/>
          <w:bCs/>
          <w:szCs w:val="21"/>
        </w:rPr>
        <w:t>：提供的所有证明资料应当统一编号（排序），且证明资料的编号（顺序）、数量和名称（形式）均应与“说明”一栏所填内容保持一致（一一对应），以便评审委员会查看。</w:t>
      </w:r>
      <w:bookmarkStart w:id="101" w:name="_Hlk73558180"/>
      <w:r>
        <w:rPr>
          <w:rFonts w:hint="eastAsia"/>
          <w:bCs/>
          <w:szCs w:val="21"/>
        </w:rPr>
        <w:t>未按照招标文件要求在表后放置证明材料的供应商将承担不利后果，经评审委员会认定，相关技术要求将判定为负偏离。</w:t>
      </w:r>
      <w:bookmarkEnd w:id="101"/>
    </w:p>
    <w:p w14:paraId="2EDCDABA">
      <w:pPr>
        <w:ind w:firstLine="422" w:firstLineChars="200"/>
        <w:rPr>
          <w:b/>
          <w:szCs w:val="21"/>
        </w:rPr>
      </w:pPr>
      <w:r>
        <w:rPr>
          <w:rFonts w:hint="eastAsia"/>
          <w:b/>
          <w:szCs w:val="21"/>
        </w:rPr>
        <w:t>7、</w:t>
      </w:r>
      <w:bookmarkStart w:id="102" w:name="_Hlk72096176"/>
      <w:r>
        <w:rPr>
          <w:rFonts w:hint="eastAsia"/>
          <w:b/>
          <w:szCs w:val="21"/>
        </w:rPr>
        <w:t>证明资料的形式及其它具体要求</w:t>
      </w:r>
      <w:bookmarkEnd w:id="102"/>
      <w:r>
        <w:rPr>
          <w:rFonts w:hint="eastAsia"/>
          <w:b/>
          <w:szCs w:val="21"/>
        </w:rPr>
        <w:t>：</w:t>
      </w:r>
    </w:p>
    <w:p w14:paraId="1E73D6EF">
      <w:pPr>
        <w:ind w:firstLine="420" w:firstLineChars="200"/>
        <w:rPr>
          <w:bCs/>
          <w:szCs w:val="21"/>
        </w:rPr>
      </w:pPr>
      <w:r>
        <w:rPr>
          <w:rFonts w:hint="eastAsia"/>
          <w:bCs/>
          <w:szCs w:val="21"/>
        </w:rPr>
        <w:t>（1）除照片、图片（截图）及不需加盖公章的文字说明（技术说明）外，其它证明资料均要求为原件扫描件；</w:t>
      </w:r>
    </w:p>
    <w:p w14:paraId="0DF1A7FD">
      <w:pPr>
        <w:ind w:firstLine="420" w:firstLineChars="200"/>
        <w:rPr>
          <w:bCs/>
          <w:szCs w:val="21"/>
        </w:rPr>
      </w:pPr>
      <w:r>
        <w:rPr>
          <w:rFonts w:hint="eastAsia"/>
          <w:bCs/>
          <w:szCs w:val="21"/>
        </w:rPr>
        <w:t>（2）提供证明资料的形式包括但不限于：a.制造商公布（出具）的产品说明书、产品彩页；b.我国政府机构出具的产品检验和核准证件等；c.第三方机构出具的检测（检验、测试）报告、认证证书等；已对证明资料的形式、内容作出具体要求的，必须严格按要求的形式、内容提供证明资料；</w:t>
      </w:r>
    </w:p>
    <w:p w14:paraId="0D09881D">
      <w:pPr>
        <w:ind w:firstLine="420" w:firstLineChars="200"/>
        <w:rPr>
          <w:bCs/>
          <w:szCs w:val="21"/>
        </w:rPr>
      </w:pPr>
      <w:r>
        <w:rPr>
          <w:rFonts w:hint="eastAsia"/>
          <w:bCs/>
          <w:szCs w:val="21"/>
        </w:rPr>
        <w:t>（3）产品说明书或彩页应为制造商公布（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14:paraId="53A70776">
      <w:pPr>
        <w:ind w:firstLine="420" w:firstLineChars="200"/>
        <w:rPr>
          <w:bCs/>
          <w:szCs w:val="21"/>
        </w:rPr>
      </w:pPr>
      <w:r>
        <w:rPr>
          <w:rFonts w:hint="eastAsia"/>
          <w:bCs/>
          <w:szCs w:val="21"/>
        </w:rPr>
        <w:t>我国政府机构出具的产品检验和核准证件应为证件正面、背面和附件标注的全部具体内容；产品检验和核准证件的尺寸和清晰度应该能够在电脑上被阅读、识别和判断；</w:t>
      </w:r>
    </w:p>
    <w:p w14:paraId="69A28FB2">
      <w:pPr>
        <w:ind w:firstLine="420" w:firstLineChars="200"/>
        <w:rPr>
          <w:bCs/>
          <w:szCs w:val="21"/>
        </w:rPr>
      </w:pPr>
      <w:r>
        <w:rPr>
          <w:rFonts w:hint="eastAsia"/>
          <w:bCs/>
          <w:szCs w:val="21"/>
        </w:rPr>
        <w:t>第三方机构出具的检测（检验、测试）报告、认证（证明）证书应为中文报告或证书；提供外文报告或证书的，必须同时提供对应的中文翻译文字说明，评标依据以中文翻译文字说明内容为准，外文报告或证书仅供参考；报告或证书的尺寸和清晰度应该能够在电脑上被阅读、识别和判断；</w:t>
      </w:r>
    </w:p>
    <w:p w14:paraId="5805A5B5">
      <w:pPr>
        <w:ind w:firstLine="420" w:firstLineChars="200"/>
        <w:rPr>
          <w:bCs/>
          <w:szCs w:val="21"/>
        </w:rPr>
      </w:pPr>
      <w:r>
        <w:rPr>
          <w:rFonts w:hint="eastAsia"/>
          <w:bCs/>
          <w:szCs w:val="21"/>
        </w:rPr>
        <w:t>其它证明资料的形式要求参照以上要求执行；</w:t>
      </w:r>
    </w:p>
    <w:p w14:paraId="0844E865">
      <w:pPr>
        <w:ind w:firstLine="420" w:firstLineChars="200"/>
        <w:rPr>
          <w:bCs/>
          <w:szCs w:val="21"/>
        </w:rPr>
      </w:pPr>
      <w:r>
        <w:rPr>
          <w:rFonts w:hint="eastAsia"/>
          <w:bCs/>
          <w:szCs w:val="21"/>
        </w:rPr>
        <w:t>8、其它注意事项：</w:t>
      </w:r>
    </w:p>
    <w:p w14:paraId="2C860E9D">
      <w:pPr>
        <w:ind w:firstLine="420" w:firstLineChars="200"/>
        <w:rPr>
          <w:bCs/>
          <w:szCs w:val="21"/>
        </w:rPr>
      </w:pPr>
      <w:r>
        <w:rPr>
          <w:rFonts w:hint="eastAsia"/>
          <w:bCs/>
          <w:szCs w:val="21"/>
        </w:rPr>
        <w:t>（1）评审委员会有权对投标人的响应情况作出判断（评审结论）；</w:t>
      </w:r>
    </w:p>
    <w:p w14:paraId="3EA6004F">
      <w:pPr>
        <w:ind w:firstLine="420" w:firstLineChars="200"/>
        <w:rPr>
          <w:bCs/>
          <w:szCs w:val="21"/>
        </w:rPr>
      </w:pPr>
      <w:r>
        <w:rPr>
          <w:rFonts w:hint="eastAsia"/>
          <w:bCs/>
          <w:szCs w:val="21"/>
        </w:rPr>
        <w:t>（2）</w:t>
      </w:r>
      <w:bookmarkStart w:id="103" w:name="_Hlk72158213"/>
      <w:r>
        <w:rPr>
          <w:rFonts w:hint="eastAsia"/>
          <w:bCs/>
          <w:szCs w:val="21"/>
        </w:rPr>
        <w:t>评审委员会有权对以谋取中标为目的的技术规格模糊响应（如有意不合理照搬照抄招标文件的技术要求）或虚假响应予以认定，并视情况经政府集中采购机构报主管部门进行处理。</w:t>
      </w:r>
      <w:bookmarkEnd w:id="103"/>
    </w:p>
    <w:p w14:paraId="794E6DC6">
      <w:pPr>
        <w:ind w:firstLine="482" w:firstLineChars="200"/>
        <w:rPr>
          <w:b/>
          <w:sz w:val="24"/>
        </w:rPr>
      </w:pPr>
    </w:p>
    <w:p w14:paraId="5D0EAC3A">
      <w:pPr>
        <w:widowControl/>
        <w:jc w:val="left"/>
        <w:rPr>
          <w:b/>
          <w:bCs/>
          <w:sz w:val="24"/>
        </w:rPr>
      </w:pPr>
    </w:p>
    <w:p w14:paraId="10C15EEE"/>
    <w:p w14:paraId="0854E168">
      <w:pPr>
        <w:rPr>
          <w:sz w:val="24"/>
        </w:rPr>
      </w:pPr>
    </w:p>
    <w:p w14:paraId="52B06405">
      <w:pPr>
        <w:pStyle w:val="3"/>
        <w:numPr>
          <w:ilvl w:val="0"/>
          <w:numId w:val="0"/>
        </w:numPr>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十一</w:t>
      </w:r>
      <w:r>
        <w:rPr>
          <w:rFonts w:hint="eastAsia" w:ascii="黑体" w:hAnsi="宋体" w:eastAsia="黑体" w:cs="Times New Roman"/>
          <w:b w:val="0"/>
          <w:bCs w:val="0"/>
          <w:kern w:val="2"/>
          <w:sz w:val="24"/>
          <w:szCs w:val="20"/>
          <w:lang w:val="en-US" w:eastAsia="zh-CN" w:bidi="ar-SA"/>
        </w:rPr>
        <w:t>、</w:t>
      </w:r>
      <w:r>
        <w:rPr>
          <w:rFonts w:hint="eastAsia" w:ascii="黑体" w:eastAsia="黑体"/>
          <w:b w:val="0"/>
          <w:bCs w:val="0"/>
          <w:sz w:val="24"/>
          <w:szCs w:val="20"/>
          <w:lang w:val="en-US" w:eastAsia="zh-CN"/>
        </w:rPr>
        <w:t>实施方案</w:t>
      </w:r>
    </w:p>
    <w:p w14:paraId="3ACE6BF0">
      <w:pPr>
        <w:jc w:val="both"/>
        <w:outlineLvl w:val="9"/>
        <w:rPr>
          <w:rFonts w:hint="eastAsia"/>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p w14:paraId="4B4C4FAE">
      <w:pPr>
        <w:pStyle w:val="3"/>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十二、配件更换</w:t>
      </w:r>
    </w:p>
    <w:p w14:paraId="7D7BE0D5">
      <w:pPr>
        <w:jc w:val="both"/>
        <w:outlineLvl w:val="9"/>
        <w:rPr>
          <w:rFonts w:hint="eastAsia" w:ascii="黑体" w:eastAsia="黑体"/>
          <w:b w:val="0"/>
          <w:bCs w:val="0"/>
          <w:sz w:val="24"/>
          <w:szCs w:val="20"/>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p w14:paraId="52E542A1">
      <w:pPr>
        <w:pStyle w:val="3"/>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十三、维保服务</w:t>
      </w:r>
    </w:p>
    <w:p w14:paraId="01BA7EBC">
      <w:pPr>
        <w:jc w:val="both"/>
        <w:outlineLvl w:val="9"/>
        <w:rPr>
          <w:rFonts w:hint="eastAsia" w:ascii="黑体" w:eastAsia="黑体"/>
          <w:b w:val="0"/>
          <w:bCs w:val="0"/>
          <w:sz w:val="24"/>
          <w:szCs w:val="20"/>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p w14:paraId="20D2914B">
      <w:pPr>
        <w:pStyle w:val="3"/>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十四、设备巡检</w:t>
      </w:r>
    </w:p>
    <w:p w14:paraId="165A49D3">
      <w:pPr>
        <w:jc w:val="both"/>
        <w:outlineLvl w:val="9"/>
        <w:rPr>
          <w:rFonts w:hint="eastAsia" w:ascii="黑体" w:eastAsia="黑体"/>
          <w:b w:val="0"/>
          <w:bCs w:val="0"/>
          <w:sz w:val="24"/>
          <w:szCs w:val="20"/>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p w14:paraId="250A38E9">
      <w:pPr>
        <w:pStyle w:val="3"/>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十五</w:t>
      </w:r>
      <w:r>
        <w:rPr>
          <w:rFonts w:hint="eastAsia" w:ascii="黑体" w:eastAsia="黑体"/>
          <w:b w:val="0"/>
          <w:bCs w:val="0"/>
          <w:sz w:val="24"/>
          <w:szCs w:val="20"/>
        </w:rPr>
        <w:t>、产品业绩</w:t>
      </w:r>
    </w:p>
    <w:p w14:paraId="536EE284">
      <w:pPr>
        <w:jc w:val="both"/>
        <w:outlineLvl w:val="9"/>
        <w:rPr>
          <w:rFonts w:hint="eastAsia" w:ascii="黑体" w:eastAsia="黑体"/>
          <w:b w:val="0"/>
          <w:bCs w:val="0"/>
          <w:sz w:val="24"/>
          <w:szCs w:val="20"/>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p w14:paraId="0D69DC50">
      <w:pPr>
        <w:pStyle w:val="3"/>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十六</w:t>
      </w:r>
      <w:r>
        <w:rPr>
          <w:rFonts w:hint="eastAsia" w:ascii="黑体" w:eastAsia="黑体"/>
          <w:b w:val="0"/>
          <w:bCs w:val="0"/>
          <w:sz w:val="24"/>
          <w:szCs w:val="20"/>
        </w:rPr>
        <w:t>、</w:t>
      </w:r>
      <w:r>
        <w:rPr>
          <w:rFonts w:hint="eastAsia" w:ascii="黑体" w:eastAsia="黑体"/>
          <w:b w:val="0"/>
          <w:bCs w:val="0"/>
          <w:sz w:val="24"/>
          <w:szCs w:val="20"/>
          <w:lang w:val="en-US" w:eastAsia="zh-CN"/>
        </w:rPr>
        <w:t>服务能力</w:t>
      </w:r>
    </w:p>
    <w:p w14:paraId="750B30A8">
      <w:pPr>
        <w:jc w:val="both"/>
        <w:outlineLvl w:val="9"/>
        <w:rPr>
          <w:rFonts w:hint="eastAsia" w:ascii="黑体" w:eastAsia="黑体"/>
          <w:b w:val="0"/>
          <w:bCs w:val="0"/>
          <w:sz w:val="24"/>
          <w:szCs w:val="20"/>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p w14:paraId="6CD974B8">
      <w:pPr>
        <w:pStyle w:val="3"/>
        <w:jc w:val="center"/>
        <w:rPr>
          <w:rFonts w:hint="default" w:ascii="黑体" w:eastAsia="黑体"/>
          <w:b w:val="0"/>
          <w:bCs w:val="0"/>
          <w:sz w:val="24"/>
          <w:szCs w:val="20"/>
          <w:lang w:val="en-US" w:eastAsia="zh-CN"/>
        </w:rPr>
      </w:pPr>
      <w:r>
        <w:rPr>
          <w:rFonts w:hint="eastAsia" w:ascii="黑体" w:eastAsia="黑体"/>
          <w:b w:val="0"/>
          <w:bCs w:val="0"/>
          <w:sz w:val="24"/>
          <w:szCs w:val="20"/>
          <w:lang w:val="en-US" w:eastAsia="zh-CN"/>
        </w:rPr>
        <w:t>十七</w:t>
      </w:r>
      <w:r>
        <w:rPr>
          <w:rFonts w:hint="eastAsia" w:ascii="黑体" w:eastAsia="黑体"/>
          <w:b w:val="0"/>
          <w:bCs w:val="0"/>
          <w:sz w:val="24"/>
          <w:szCs w:val="20"/>
        </w:rPr>
        <w:t>、</w:t>
      </w:r>
      <w:r>
        <w:rPr>
          <w:rFonts w:hint="eastAsia" w:ascii="黑体" w:eastAsia="黑体"/>
          <w:b w:val="0"/>
          <w:bCs w:val="0"/>
          <w:sz w:val="24"/>
          <w:szCs w:val="20"/>
          <w:lang w:val="en-US" w:eastAsia="zh-CN"/>
        </w:rPr>
        <w:t>投标人认为需要加以说明的其他内容</w:t>
      </w:r>
    </w:p>
    <w:bookmarkEnd w:id="92"/>
    <w:p w14:paraId="2EE44A4F">
      <w:pPr>
        <w:widowControl/>
        <w:autoSpaceDE w:val="0"/>
        <w:autoSpaceDN w:val="0"/>
        <w:spacing w:line="400" w:lineRule="exact"/>
        <w:ind w:firstLine="404" w:firstLineChars="200"/>
        <w:jc w:val="left"/>
        <w:rPr>
          <w:rFonts w:ascii="宋体" w:hAnsi="宋体" w:eastAsiaTheme="minorEastAsia"/>
          <w:color w:val="FF0000"/>
          <w:spacing w:val="-4"/>
          <w:kern w:val="0"/>
          <w:szCs w:val="21"/>
        </w:rPr>
      </w:pPr>
    </w:p>
    <w:p w14:paraId="3927EA0D">
      <w:pPr>
        <w:widowControl/>
        <w:jc w:val="left"/>
        <w:rPr>
          <w:rFonts w:hint="eastAsia" w:ascii="黑体" w:hAnsi="宋体" w:eastAsia="黑体"/>
          <w:b/>
          <w:bCs w:val="0"/>
          <w:color w:val="FF0000"/>
          <w:kern w:val="0"/>
          <w:sz w:val="28"/>
          <w:szCs w:val="28"/>
        </w:rPr>
      </w:pPr>
      <w:r>
        <w:rPr>
          <w:rFonts w:ascii="黑体" w:eastAsia="黑体"/>
          <w:sz w:val="24"/>
          <w:szCs w:val="20"/>
        </w:rPr>
        <w:br w:type="page"/>
      </w:r>
    </w:p>
    <w:p w14:paraId="4E573E13">
      <w:pPr>
        <w:outlineLvl w:val="9"/>
        <w:rPr>
          <w:rFonts w:hint="eastAsia" w:ascii="黑体" w:hAnsi="宋体" w:eastAsia="黑体"/>
          <w:b/>
          <w:bCs w:val="0"/>
          <w:color w:val="FF0000"/>
          <w:kern w:val="0"/>
          <w:sz w:val="28"/>
          <w:szCs w:val="28"/>
        </w:rPr>
      </w:pPr>
      <w:r>
        <w:rPr>
          <w:rFonts w:hint="eastAsia" w:ascii="黑体" w:hAnsi="宋体" w:eastAsia="黑体"/>
          <w:b/>
          <w:bCs w:val="0"/>
          <w:color w:val="FF0000"/>
          <w:kern w:val="0"/>
          <w:sz w:val="28"/>
          <w:szCs w:val="28"/>
        </w:rPr>
        <w:t>唱标信封（单独密封）</w:t>
      </w:r>
    </w:p>
    <w:p w14:paraId="656F7422">
      <w:pPr>
        <w:outlineLvl w:val="9"/>
        <w:rPr>
          <w:rFonts w:ascii="黑体" w:hAnsi="宋体" w:eastAsia="黑体"/>
          <w:bCs/>
          <w:kern w:val="0"/>
          <w:sz w:val="24"/>
          <w:szCs w:val="32"/>
        </w:rPr>
      </w:pPr>
    </w:p>
    <w:p w14:paraId="1D60E9B1">
      <w:pPr>
        <w:rPr>
          <w:b/>
          <w:sz w:val="22"/>
        </w:rPr>
      </w:pPr>
    </w:p>
    <w:p w14:paraId="2494D77E">
      <w:pPr>
        <w:pStyle w:val="22"/>
        <w:spacing w:line="180" w:lineRule="atLeast"/>
        <w:rPr>
          <w:rFonts w:hAnsi="宋体" w:cs="宋体"/>
          <w:szCs w:val="21"/>
        </w:rPr>
      </w:pPr>
      <w:r>
        <w:rPr>
          <w:rFonts w:hint="eastAsia" w:hAnsi="宋体" w:cs="宋体"/>
          <w:szCs w:val="21"/>
        </w:rPr>
        <w:t>1.开标一览表</w:t>
      </w:r>
    </w:p>
    <w:p w14:paraId="5619B52F">
      <w:pPr>
        <w:pStyle w:val="22"/>
        <w:spacing w:line="180" w:lineRule="atLeast"/>
        <w:jc w:val="center"/>
        <w:rPr>
          <w:rFonts w:hAnsi="宋体" w:cs="宋体"/>
          <w:b/>
          <w:bCs/>
          <w:szCs w:val="21"/>
        </w:rPr>
      </w:pPr>
      <w:r>
        <w:rPr>
          <w:rFonts w:hint="eastAsia" w:hAnsi="宋体" w:cs="宋体"/>
          <w:b/>
          <w:bCs/>
          <w:szCs w:val="21"/>
        </w:rPr>
        <w:t>开标一览表</w:t>
      </w:r>
    </w:p>
    <w:p w14:paraId="413354BA">
      <w:pPr>
        <w:pStyle w:val="22"/>
        <w:spacing w:line="180" w:lineRule="atLeast"/>
        <w:rPr>
          <w:rFonts w:hAnsi="宋体" w:cs="宋体"/>
          <w:szCs w:val="21"/>
        </w:rPr>
      </w:pPr>
    </w:p>
    <w:tbl>
      <w:tblPr>
        <w:tblStyle w:val="43"/>
        <w:tblW w:w="8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2"/>
        <w:gridCol w:w="3758"/>
        <w:gridCol w:w="1810"/>
      </w:tblGrid>
      <w:tr w14:paraId="308A3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2" w:hRule="atLeast"/>
          <w:jc w:val="center"/>
        </w:trPr>
        <w:tc>
          <w:tcPr>
            <w:tcW w:w="8180" w:type="dxa"/>
            <w:gridSpan w:val="3"/>
            <w:tcBorders>
              <w:top w:val="nil"/>
              <w:left w:val="nil"/>
              <w:bottom w:val="single" w:color="auto" w:sz="4" w:space="0"/>
              <w:right w:val="nil"/>
            </w:tcBorders>
            <w:vAlign w:val="center"/>
          </w:tcPr>
          <w:p w14:paraId="61DB26AA">
            <w:pPr>
              <w:pStyle w:val="22"/>
              <w:keepNext w:val="0"/>
              <w:keepLines w:val="0"/>
              <w:suppressLineNumbers w:val="0"/>
              <w:spacing w:before="0" w:beforeAutospacing="0" w:after="0" w:afterAutospacing="0"/>
              <w:ind w:left="0" w:right="0"/>
              <w:rPr>
                <w:rFonts w:hint="eastAsia" w:hAnsi="宋体" w:cs="宋体"/>
                <w:szCs w:val="21"/>
              </w:rPr>
            </w:pPr>
            <w:r>
              <w:rPr>
                <w:rFonts w:hint="eastAsia" w:hAnsi="宋体" w:cs="宋体"/>
                <w:szCs w:val="21"/>
              </w:rPr>
              <w:t>项目名称：中国人民银行深圳市分行网络设备采购项目</w:t>
            </w:r>
          </w:p>
          <w:p w14:paraId="45D08889">
            <w:pPr>
              <w:pStyle w:val="22"/>
              <w:keepNext w:val="0"/>
              <w:keepLines w:val="0"/>
              <w:suppressLineNumbers w:val="0"/>
              <w:spacing w:before="0" w:beforeAutospacing="0" w:after="0" w:afterAutospacing="0"/>
              <w:ind w:left="0" w:right="0"/>
              <w:rPr>
                <w:rFonts w:hint="default" w:hAnsi="宋体" w:eastAsia="宋体" w:cs="宋体"/>
                <w:szCs w:val="21"/>
                <w:lang w:val="en-US" w:eastAsia="zh-CN"/>
              </w:rPr>
            </w:pPr>
            <w:r>
              <w:rPr>
                <w:rFonts w:hint="eastAsia" w:hAnsi="宋体" w:cs="宋体"/>
                <w:szCs w:val="21"/>
                <w:lang w:val="en-US" w:eastAsia="zh-CN"/>
              </w:rPr>
              <w:t>包    号：包1</w:t>
            </w:r>
          </w:p>
          <w:p w14:paraId="15B5882C">
            <w:pPr>
              <w:pStyle w:val="22"/>
              <w:keepNext w:val="0"/>
              <w:keepLines w:val="0"/>
              <w:suppressLineNumbers w:val="0"/>
              <w:spacing w:before="0" w:beforeAutospacing="0" w:after="0" w:afterAutospacing="0"/>
              <w:ind w:left="0" w:right="0"/>
              <w:rPr>
                <w:rFonts w:hint="default" w:hAnsi="宋体" w:cs="宋体"/>
                <w:szCs w:val="21"/>
              </w:rPr>
            </w:pPr>
            <w:r>
              <w:rPr>
                <w:rFonts w:hint="eastAsia" w:hAnsi="宋体" w:cs="宋体"/>
                <w:szCs w:val="21"/>
              </w:rPr>
              <w:t>项目编号：LHZXCG-2025-00016</w:t>
            </w:r>
          </w:p>
        </w:tc>
      </w:tr>
      <w:tr w14:paraId="7EC93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 w:hRule="atLeast"/>
          <w:jc w:val="center"/>
        </w:trPr>
        <w:tc>
          <w:tcPr>
            <w:tcW w:w="2612" w:type="dxa"/>
            <w:tcBorders>
              <w:top w:val="single" w:color="auto" w:sz="4" w:space="0"/>
            </w:tcBorders>
            <w:vAlign w:val="center"/>
          </w:tcPr>
          <w:p w14:paraId="362C29CF">
            <w:pPr>
              <w:pStyle w:val="22"/>
              <w:keepNext w:val="0"/>
              <w:keepLines w:val="0"/>
              <w:suppressLineNumbers w:val="0"/>
              <w:spacing w:before="0" w:beforeAutospacing="0" w:after="0" w:afterAutospacing="0"/>
              <w:ind w:left="0" w:right="0"/>
              <w:jc w:val="center"/>
              <w:rPr>
                <w:rFonts w:hint="default" w:hAnsi="宋体" w:cs="宋体"/>
                <w:szCs w:val="21"/>
              </w:rPr>
            </w:pPr>
            <w:r>
              <w:rPr>
                <w:rFonts w:hint="eastAsia" w:hAnsi="宋体" w:cs="宋体"/>
                <w:szCs w:val="21"/>
              </w:rPr>
              <w:t>投标人</w:t>
            </w:r>
          </w:p>
        </w:tc>
        <w:tc>
          <w:tcPr>
            <w:tcW w:w="3758" w:type="dxa"/>
            <w:tcBorders>
              <w:top w:val="single" w:color="auto" w:sz="4" w:space="0"/>
            </w:tcBorders>
            <w:vAlign w:val="center"/>
          </w:tcPr>
          <w:p w14:paraId="25F6AB3D">
            <w:pPr>
              <w:pStyle w:val="22"/>
              <w:keepNext w:val="0"/>
              <w:keepLines w:val="0"/>
              <w:suppressLineNumbers w:val="0"/>
              <w:spacing w:before="0" w:beforeAutospacing="0" w:after="0" w:afterAutospacing="0"/>
              <w:ind w:left="0" w:right="0"/>
              <w:jc w:val="center"/>
              <w:rPr>
                <w:rFonts w:hint="default" w:hAnsi="宋体" w:cs="宋体"/>
                <w:szCs w:val="21"/>
              </w:rPr>
            </w:pPr>
            <w:r>
              <w:rPr>
                <w:rFonts w:hint="eastAsia" w:hAnsi="宋体" w:cs="宋体"/>
                <w:szCs w:val="21"/>
              </w:rPr>
              <w:t>投标报价（人民币/元）</w:t>
            </w:r>
          </w:p>
        </w:tc>
        <w:tc>
          <w:tcPr>
            <w:tcW w:w="1810" w:type="dxa"/>
            <w:tcBorders>
              <w:top w:val="single" w:color="auto" w:sz="4" w:space="0"/>
            </w:tcBorders>
            <w:vAlign w:val="center"/>
          </w:tcPr>
          <w:p w14:paraId="3C510760">
            <w:pPr>
              <w:pStyle w:val="22"/>
              <w:keepNext w:val="0"/>
              <w:keepLines w:val="0"/>
              <w:suppressLineNumbers w:val="0"/>
              <w:spacing w:before="0" w:beforeAutospacing="0" w:after="0" w:afterAutospacing="0"/>
              <w:ind w:left="0" w:right="0"/>
              <w:jc w:val="center"/>
              <w:rPr>
                <w:rFonts w:hint="default" w:hAnsi="宋体" w:cs="宋体"/>
                <w:szCs w:val="21"/>
              </w:rPr>
            </w:pPr>
            <w:r>
              <w:rPr>
                <w:rFonts w:hint="eastAsia" w:hAnsi="宋体" w:cs="宋体"/>
                <w:szCs w:val="21"/>
              </w:rPr>
              <w:t>备注</w:t>
            </w:r>
          </w:p>
        </w:tc>
      </w:tr>
      <w:tr w14:paraId="6FB66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0" w:hRule="atLeast"/>
          <w:jc w:val="center"/>
        </w:trPr>
        <w:tc>
          <w:tcPr>
            <w:tcW w:w="2612" w:type="dxa"/>
            <w:vAlign w:val="center"/>
          </w:tcPr>
          <w:p w14:paraId="2CD12864">
            <w:pPr>
              <w:keepNext w:val="0"/>
              <w:keepLines w:val="0"/>
              <w:suppressLineNumbers w:val="0"/>
              <w:autoSpaceDE w:val="0"/>
              <w:autoSpaceDN w:val="0"/>
              <w:spacing w:before="0" w:beforeAutospacing="0" w:after="0" w:afterAutospacing="0" w:line="320" w:lineRule="atLeast"/>
              <w:ind w:left="0" w:right="0"/>
              <w:jc w:val="center"/>
              <w:textAlignment w:val="bottom"/>
              <w:rPr>
                <w:rFonts w:hint="default" w:ascii="宋体" w:hAnsi="宋体" w:cs="宋体"/>
                <w:szCs w:val="21"/>
              </w:rPr>
            </w:pPr>
          </w:p>
        </w:tc>
        <w:tc>
          <w:tcPr>
            <w:tcW w:w="3758" w:type="dxa"/>
            <w:vAlign w:val="center"/>
          </w:tcPr>
          <w:p w14:paraId="579D4427">
            <w:pPr>
              <w:pStyle w:val="22"/>
              <w:keepNext w:val="0"/>
              <w:keepLines w:val="0"/>
              <w:suppressLineNumbers w:val="0"/>
              <w:spacing w:before="0" w:beforeAutospacing="0" w:after="0" w:afterAutospacing="0"/>
              <w:ind w:left="0" w:right="0"/>
              <w:rPr>
                <w:rFonts w:hint="default" w:hAnsi="宋体" w:cs="宋体"/>
                <w:szCs w:val="21"/>
              </w:rPr>
            </w:pPr>
            <w:r>
              <w:rPr>
                <w:rFonts w:hint="eastAsia" w:hAnsi="宋体" w:cs="宋体"/>
                <w:szCs w:val="21"/>
              </w:rPr>
              <w:t>大写：</w:t>
            </w:r>
          </w:p>
          <w:p w14:paraId="051FFE3F">
            <w:pPr>
              <w:pStyle w:val="22"/>
              <w:keepNext w:val="0"/>
              <w:keepLines w:val="0"/>
              <w:suppressLineNumbers w:val="0"/>
              <w:spacing w:before="0" w:beforeAutospacing="0" w:after="0" w:afterAutospacing="0"/>
              <w:ind w:left="0" w:right="0"/>
              <w:rPr>
                <w:rFonts w:hint="default" w:hAnsi="宋体" w:cs="宋体"/>
                <w:szCs w:val="21"/>
              </w:rPr>
            </w:pPr>
            <w:r>
              <w:rPr>
                <w:rFonts w:hint="eastAsia" w:hAnsi="宋体" w:cs="宋体"/>
                <w:szCs w:val="21"/>
              </w:rPr>
              <w:t>小写：¥0,000,000.00</w:t>
            </w:r>
          </w:p>
        </w:tc>
        <w:tc>
          <w:tcPr>
            <w:tcW w:w="1810" w:type="dxa"/>
            <w:vAlign w:val="center"/>
          </w:tcPr>
          <w:p w14:paraId="397435B7">
            <w:pPr>
              <w:pStyle w:val="22"/>
              <w:keepNext w:val="0"/>
              <w:keepLines w:val="0"/>
              <w:suppressLineNumbers w:val="0"/>
              <w:spacing w:before="0" w:beforeAutospacing="0" w:after="0" w:afterAutospacing="0"/>
              <w:ind w:left="0" w:right="0"/>
              <w:jc w:val="center"/>
              <w:rPr>
                <w:rFonts w:hint="default" w:hAnsi="宋体" w:cs="宋体"/>
                <w:szCs w:val="21"/>
              </w:rPr>
            </w:pPr>
          </w:p>
        </w:tc>
      </w:tr>
    </w:tbl>
    <w:p w14:paraId="036D1009">
      <w:pPr>
        <w:pStyle w:val="22"/>
        <w:spacing w:line="360" w:lineRule="auto"/>
        <w:ind w:left="420" w:leftChars="200"/>
        <w:rPr>
          <w:rFonts w:hint="eastAsia" w:hAnsi="宋体" w:cs="宋体"/>
          <w:szCs w:val="21"/>
        </w:rPr>
      </w:pPr>
    </w:p>
    <w:p w14:paraId="0F92C5AB">
      <w:pPr>
        <w:pStyle w:val="22"/>
        <w:spacing w:line="360" w:lineRule="auto"/>
        <w:ind w:left="420" w:leftChars="200"/>
        <w:rPr>
          <w:rFonts w:hAnsi="宋体" w:cs="宋体"/>
          <w:b/>
          <w:bCs/>
          <w:szCs w:val="21"/>
        </w:rPr>
      </w:pPr>
      <w:r>
        <w:rPr>
          <w:rFonts w:hint="eastAsia" w:hAnsi="宋体" w:cs="宋体"/>
          <w:b/>
          <w:bCs/>
          <w:szCs w:val="21"/>
        </w:rPr>
        <w:t>注：1. 报价结果保留到小数点后两位。</w:t>
      </w:r>
    </w:p>
    <w:p w14:paraId="1BFA4855">
      <w:pPr>
        <w:pStyle w:val="22"/>
        <w:spacing w:line="360" w:lineRule="auto"/>
        <w:ind w:firstLine="420" w:firstLineChars="200"/>
        <w:rPr>
          <w:rFonts w:hAnsi="宋体" w:cs="宋体"/>
          <w:szCs w:val="21"/>
        </w:rPr>
      </w:pPr>
    </w:p>
    <w:p w14:paraId="489A6810">
      <w:pPr>
        <w:pStyle w:val="22"/>
        <w:spacing w:line="360" w:lineRule="auto"/>
        <w:ind w:firstLine="420" w:firstLineChars="200"/>
        <w:rPr>
          <w:rFonts w:hAnsi="宋体" w:cs="宋体"/>
          <w:szCs w:val="21"/>
        </w:rPr>
      </w:pPr>
    </w:p>
    <w:p w14:paraId="77FD9092">
      <w:pPr>
        <w:pStyle w:val="22"/>
        <w:spacing w:line="360" w:lineRule="auto"/>
        <w:jc w:val="center"/>
        <w:rPr>
          <w:rFonts w:hAnsi="宋体" w:cs="宋体"/>
          <w:sz w:val="24"/>
        </w:rPr>
      </w:pPr>
      <w:r>
        <w:rPr>
          <w:rFonts w:hint="eastAsia" w:hAnsi="宋体" w:cs="宋体"/>
          <w:sz w:val="24"/>
        </w:rPr>
        <w:t xml:space="preserve"> </w:t>
      </w:r>
    </w:p>
    <w:p w14:paraId="108DD125">
      <w:pPr>
        <w:spacing w:line="360" w:lineRule="auto"/>
        <w:ind w:firstLine="5040" w:firstLineChars="2400"/>
        <w:jc w:val="left"/>
        <w:rPr>
          <w:rFonts w:ascii="宋体" w:hAnsi="宋体" w:cs="宋体"/>
          <w:szCs w:val="21"/>
        </w:rPr>
      </w:pPr>
      <w:r>
        <w:rPr>
          <w:rFonts w:hint="eastAsia" w:ascii="宋体" w:hAnsi="宋体" w:cs="宋体"/>
          <w:szCs w:val="21"/>
        </w:rPr>
        <w:t>投标人（公章）：</w:t>
      </w:r>
    </w:p>
    <w:p w14:paraId="26DA2550">
      <w:pPr>
        <w:spacing w:line="360" w:lineRule="auto"/>
        <w:ind w:firstLine="5040" w:firstLineChars="2400"/>
        <w:jc w:val="left"/>
        <w:rPr>
          <w:rFonts w:ascii="宋体" w:hAnsi="宋体" w:cs="宋体"/>
          <w:szCs w:val="21"/>
        </w:rPr>
      </w:pPr>
      <w:r>
        <w:rPr>
          <w:rFonts w:hint="eastAsia" w:ascii="宋体" w:hAnsi="宋体" w:cs="宋体"/>
          <w:szCs w:val="21"/>
        </w:rPr>
        <w:t>法定代表人或其授权代表签名：</w:t>
      </w:r>
    </w:p>
    <w:p w14:paraId="746AEA5B">
      <w:pPr>
        <w:spacing w:line="360" w:lineRule="auto"/>
        <w:ind w:firstLine="5040" w:firstLineChars="2400"/>
        <w:jc w:val="left"/>
        <w:rPr>
          <w:rFonts w:ascii="宋体" w:hAnsi="宋体" w:cs="宋体"/>
          <w:szCs w:val="21"/>
        </w:rPr>
      </w:pPr>
      <w:r>
        <w:rPr>
          <w:rFonts w:hint="eastAsia" w:ascii="宋体" w:hAnsi="宋体" w:cs="宋体"/>
          <w:szCs w:val="21"/>
        </w:rPr>
        <w:t>日期：      年    月    日</w:t>
      </w:r>
    </w:p>
    <w:p w14:paraId="7C76B090">
      <w:pPr>
        <w:rPr>
          <w:szCs w:val="21"/>
        </w:rPr>
      </w:pPr>
    </w:p>
    <w:p w14:paraId="2A7718B9">
      <w:pPr>
        <w:rPr>
          <w:szCs w:val="21"/>
        </w:rPr>
      </w:pPr>
    </w:p>
    <w:p w14:paraId="49F66629">
      <w:pPr>
        <w:rPr>
          <w:b/>
          <w:sz w:val="22"/>
        </w:rPr>
      </w:pPr>
      <w:r>
        <w:rPr>
          <w:rFonts w:hint="eastAsia"/>
          <w:szCs w:val="21"/>
        </w:rPr>
        <w:t>2.投标文件电子文档（具体要求详见“对通用条款的补充内容”）</w:t>
      </w:r>
    </w:p>
    <w:p w14:paraId="290008CB"/>
    <w:p w14:paraId="53BBF0B6">
      <w:pPr>
        <w:ind w:firstLine="424" w:firstLineChars="202"/>
        <w:rPr>
          <w:rFonts w:ascii="宋体" w:hAnsi="宋体"/>
          <w:szCs w:val="21"/>
        </w:rPr>
      </w:pPr>
    </w:p>
    <w:p w14:paraId="7D320637">
      <w:pPr>
        <w:jc w:val="center"/>
        <w:rPr>
          <w:rFonts w:ascii="黑体" w:hAnsi="宋体" w:eastAsia="黑体"/>
          <w:bCs/>
          <w:kern w:val="0"/>
          <w:sz w:val="24"/>
        </w:rPr>
      </w:pPr>
    </w:p>
    <w:p w14:paraId="3836D2C4">
      <w:pPr>
        <w:jc w:val="center"/>
        <w:rPr>
          <w:rFonts w:ascii="黑体" w:hAnsi="宋体" w:eastAsia="黑体"/>
          <w:bCs/>
          <w:kern w:val="0"/>
          <w:sz w:val="24"/>
        </w:rPr>
      </w:pPr>
    </w:p>
    <w:p w14:paraId="798AB140">
      <w:pPr>
        <w:jc w:val="center"/>
        <w:rPr>
          <w:rFonts w:ascii="黑体" w:hAnsi="宋体" w:eastAsia="黑体"/>
          <w:bCs/>
          <w:kern w:val="0"/>
          <w:sz w:val="24"/>
        </w:rPr>
      </w:pPr>
    </w:p>
    <w:p w14:paraId="2240E531">
      <w:pPr>
        <w:jc w:val="center"/>
        <w:rPr>
          <w:rFonts w:ascii="黑体" w:hAnsi="宋体" w:eastAsia="黑体"/>
          <w:bCs/>
          <w:kern w:val="0"/>
          <w:sz w:val="24"/>
        </w:rPr>
      </w:pPr>
    </w:p>
    <w:p w14:paraId="3D437919">
      <w:pPr>
        <w:jc w:val="center"/>
        <w:rPr>
          <w:rFonts w:ascii="黑体" w:hAnsi="宋体" w:eastAsia="黑体"/>
          <w:bCs/>
          <w:kern w:val="0"/>
          <w:sz w:val="24"/>
        </w:rPr>
      </w:pPr>
    </w:p>
    <w:p w14:paraId="11BC16EE">
      <w:pPr>
        <w:jc w:val="center"/>
        <w:rPr>
          <w:rFonts w:ascii="黑体" w:hAnsi="宋体" w:eastAsia="黑体"/>
          <w:bCs/>
          <w:kern w:val="0"/>
          <w:sz w:val="24"/>
        </w:rPr>
      </w:pPr>
    </w:p>
    <w:p w14:paraId="15A87EF3">
      <w:pPr>
        <w:jc w:val="center"/>
        <w:rPr>
          <w:rFonts w:ascii="黑体" w:hAnsi="宋体" w:eastAsia="黑体"/>
          <w:bCs/>
          <w:kern w:val="0"/>
          <w:sz w:val="24"/>
        </w:rPr>
      </w:pPr>
    </w:p>
    <w:p w14:paraId="3B01B0F7">
      <w:pPr>
        <w:jc w:val="center"/>
        <w:rPr>
          <w:rFonts w:ascii="黑体" w:hAnsi="宋体" w:eastAsia="黑体"/>
          <w:bCs/>
          <w:kern w:val="0"/>
          <w:sz w:val="24"/>
        </w:rPr>
      </w:pPr>
    </w:p>
    <w:p w14:paraId="5F57CDED">
      <w:pPr>
        <w:jc w:val="center"/>
        <w:rPr>
          <w:rFonts w:ascii="黑体" w:hAnsi="宋体" w:eastAsia="黑体"/>
          <w:bCs/>
          <w:kern w:val="0"/>
          <w:sz w:val="24"/>
        </w:rPr>
      </w:pPr>
    </w:p>
    <w:p w14:paraId="7DA61BDF">
      <w:pPr>
        <w:jc w:val="center"/>
        <w:rPr>
          <w:rFonts w:ascii="黑体" w:hAnsi="宋体" w:eastAsia="黑体"/>
          <w:bCs/>
          <w:kern w:val="0"/>
          <w:sz w:val="24"/>
        </w:rPr>
      </w:pPr>
    </w:p>
    <w:p w14:paraId="1023510A">
      <w:pPr>
        <w:jc w:val="center"/>
        <w:rPr>
          <w:rFonts w:ascii="黑体" w:hAnsi="宋体" w:eastAsia="黑体"/>
          <w:bCs/>
          <w:kern w:val="0"/>
          <w:sz w:val="24"/>
        </w:rPr>
        <w:sectPr>
          <w:pgSz w:w="11907" w:h="16840"/>
          <w:pgMar w:top="1440" w:right="1797" w:bottom="1440" w:left="1797" w:header="851" w:footer="992" w:gutter="0"/>
          <w:pgNumType w:fmt="decimal"/>
          <w:cols w:space="425" w:num="1"/>
          <w:titlePg/>
          <w:docGrid w:linePitch="462" w:charSpace="0"/>
        </w:sectPr>
      </w:pPr>
    </w:p>
    <w:p w14:paraId="052617A6">
      <w:pPr>
        <w:pStyle w:val="5"/>
        <w:rPr>
          <w:b/>
          <w:bCs/>
        </w:rPr>
      </w:pPr>
      <w:bookmarkStart w:id="104" w:name="OLE_LINK21"/>
      <w:r>
        <w:rPr>
          <w:rFonts w:hint="eastAsia"/>
        </w:rPr>
        <w:t>第五章  合同条款及格式</w:t>
      </w:r>
      <w:bookmarkStart w:id="105" w:name="_Toc3995"/>
    </w:p>
    <w:p w14:paraId="0CCA138C">
      <w:pPr>
        <w:jc w:val="center"/>
        <w:rPr>
          <w:rFonts w:ascii="宋体" w:hAnsi="宋体" w:cs="宋体"/>
          <w:b/>
          <w:bCs/>
          <w:spacing w:val="-20"/>
          <w:kern w:val="44"/>
          <w:sz w:val="48"/>
          <w:szCs w:val="48"/>
        </w:rPr>
      </w:pPr>
    </w:p>
    <w:bookmarkEnd w:id="104"/>
    <w:p w14:paraId="5DE3370A">
      <w:pPr>
        <w:jc w:val="center"/>
        <w:rPr>
          <w:rFonts w:hint="eastAsia"/>
          <w:b/>
          <w:color w:val="000000"/>
          <w:spacing w:val="6"/>
          <w:sz w:val="30"/>
          <w:szCs w:val="30"/>
          <w:lang w:val="en-US" w:eastAsia="zh-CN"/>
        </w:rPr>
      </w:pPr>
      <w:r>
        <w:rPr>
          <w:rFonts w:hint="eastAsia"/>
          <w:b/>
          <w:color w:val="000000"/>
          <w:spacing w:val="6"/>
          <w:sz w:val="30"/>
          <w:szCs w:val="30"/>
        </w:rPr>
        <w:t>中国人民银行深圳市</w:t>
      </w:r>
      <w:r>
        <w:rPr>
          <w:rFonts w:hint="eastAsia"/>
          <w:b/>
          <w:color w:val="000000"/>
          <w:spacing w:val="6"/>
          <w:sz w:val="30"/>
          <w:szCs w:val="30"/>
          <w:lang w:eastAsia="zh-CN"/>
        </w:rPr>
        <w:t>分行</w:t>
      </w:r>
    </w:p>
    <w:p w14:paraId="717F24AD">
      <w:pPr>
        <w:jc w:val="center"/>
        <w:rPr>
          <w:rFonts w:hint="default"/>
          <w:b/>
          <w:color w:val="000000"/>
          <w:spacing w:val="6"/>
          <w:sz w:val="30"/>
          <w:szCs w:val="30"/>
          <w:lang w:val="en-US" w:eastAsia="zh-CN"/>
        </w:rPr>
      </w:pPr>
      <w:r>
        <w:rPr>
          <w:rFonts w:hint="eastAsia"/>
          <w:b/>
          <w:color w:val="000000"/>
          <w:spacing w:val="6"/>
          <w:sz w:val="30"/>
          <w:szCs w:val="30"/>
          <w:lang w:eastAsia="zh-CN"/>
        </w:rPr>
        <w:t>网络设备采购项目</w:t>
      </w:r>
      <w:bookmarkStart w:id="106" w:name="OLE_LINK28"/>
      <w:r>
        <w:rPr>
          <w:rFonts w:hint="eastAsia"/>
          <w:b/>
          <w:color w:val="000000"/>
          <w:spacing w:val="6"/>
          <w:sz w:val="30"/>
          <w:szCs w:val="30"/>
          <w:lang w:val="en-US" w:eastAsia="zh-CN"/>
        </w:rPr>
        <w:t>(包1)</w:t>
      </w:r>
      <w:bookmarkEnd w:id="106"/>
    </w:p>
    <w:p w14:paraId="7171616F">
      <w:pPr>
        <w:jc w:val="center"/>
        <w:rPr>
          <w:rFonts w:hint="eastAsia"/>
          <w:b/>
          <w:color w:val="000000"/>
          <w:spacing w:val="6"/>
          <w:sz w:val="30"/>
          <w:szCs w:val="30"/>
        </w:rPr>
      </w:pPr>
      <w:r>
        <w:rPr>
          <w:rFonts w:hint="eastAsia" w:ascii="黑体" w:hAnsi="黑体" w:eastAsia="黑体" w:cs="黑体"/>
          <w:b w:val="0"/>
          <w:bCs/>
          <w:color w:val="auto"/>
          <w:spacing w:val="6"/>
          <w:sz w:val="36"/>
          <w:szCs w:val="36"/>
          <w:lang w:eastAsia="zh-CN"/>
        </w:rPr>
        <w:t>采</w:t>
      </w:r>
      <w:r>
        <w:rPr>
          <w:rFonts w:hint="eastAsia" w:ascii="黑体" w:hAnsi="黑体" w:eastAsia="黑体" w:cs="黑体"/>
          <w:b w:val="0"/>
          <w:bCs/>
          <w:color w:val="auto"/>
          <w:spacing w:val="6"/>
          <w:sz w:val="36"/>
          <w:szCs w:val="36"/>
          <w:lang w:val="en-US" w:eastAsia="zh-CN"/>
        </w:rPr>
        <w:t xml:space="preserve"> </w:t>
      </w:r>
      <w:r>
        <w:rPr>
          <w:rFonts w:hint="eastAsia" w:ascii="黑体" w:hAnsi="黑体" w:eastAsia="黑体" w:cs="黑体"/>
          <w:b w:val="0"/>
          <w:bCs/>
          <w:color w:val="auto"/>
          <w:spacing w:val="6"/>
          <w:sz w:val="36"/>
          <w:szCs w:val="36"/>
          <w:lang w:eastAsia="zh-CN"/>
        </w:rPr>
        <w:t>购</w:t>
      </w:r>
      <w:r>
        <w:rPr>
          <w:rFonts w:hint="eastAsia" w:ascii="黑体" w:hAnsi="黑体" w:eastAsia="黑体" w:cs="黑体"/>
          <w:b w:val="0"/>
          <w:bCs/>
          <w:color w:val="auto"/>
          <w:spacing w:val="6"/>
          <w:sz w:val="36"/>
          <w:szCs w:val="36"/>
          <w:lang w:val="en-US" w:eastAsia="zh-CN"/>
        </w:rPr>
        <w:t xml:space="preserve"> </w:t>
      </w:r>
      <w:r>
        <w:rPr>
          <w:rFonts w:hint="eastAsia" w:ascii="黑体" w:hAnsi="黑体" w:eastAsia="黑体" w:cs="黑体"/>
          <w:b w:val="0"/>
          <w:bCs/>
          <w:color w:val="auto"/>
          <w:spacing w:val="6"/>
          <w:sz w:val="36"/>
          <w:szCs w:val="36"/>
        </w:rPr>
        <w:t>合</w:t>
      </w:r>
      <w:r>
        <w:rPr>
          <w:rFonts w:hint="eastAsia" w:ascii="黑体" w:hAnsi="黑体" w:eastAsia="黑体" w:cs="黑体"/>
          <w:b w:val="0"/>
          <w:bCs/>
          <w:color w:val="auto"/>
          <w:spacing w:val="6"/>
          <w:sz w:val="36"/>
          <w:szCs w:val="36"/>
          <w:lang w:val="en-US" w:eastAsia="zh-CN"/>
        </w:rPr>
        <w:t xml:space="preserve"> </w:t>
      </w:r>
      <w:r>
        <w:rPr>
          <w:rFonts w:hint="eastAsia" w:ascii="黑体" w:hAnsi="黑体" w:eastAsia="黑体" w:cs="黑体"/>
          <w:b w:val="0"/>
          <w:bCs/>
          <w:color w:val="auto"/>
          <w:spacing w:val="6"/>
          <w:sz w:val="36"/>
          <w:szCs w:val="36"/>
        </w:rPr>
        <w:t>同</w:t>
      </w:r>
    </w:p>
    <w:p w14:paraId="341EFAF0">
      <w:pPr>
        <w:spacing w:before="163" w:beforeLines="50" w:after="163" w:afterLines="50" w:line="360" w:lineRule="auto"/>
        <w:jc w:val="right"/>
        <w:rPr>
          <w:rFonts w:hint="eastAsia"/>
          <w:b/>
          <w:color w:val="000000"/>
          <w:spacing w:val="6"/>
          <w:sz w:val="24"/>
          <w:szCs w:val="24"/>
        </w:rPr>
      </w:pPr>
      <w:r>
        <w:rPr>
          <w:rFonts w:hint="eastAsia"/>
          <w:spacing w:val="6"/>
          <w:sz w:val="24"/>
          <w:szCs w:val="24"/>
        </w:rPr>
        <w:t>合同编号：_____________</w:t>
      </w:r>
    </w:p>
    <w:p w14:paraId="0C568914">
      <w:pPr>
        <w:tabs>
          <w:tab w:val="left" w:pos="5040"/>
          <w:tab w:val="left" w:pos="5760"/>
          <w:tab w:val="left" w:pos="6240"/>
          <w:tab w:val="left" w:pos="6494"/>
          <w:tab w:val="left" w:pos="7531"/>
          <w:tab w:val="left" w:pos="7891"/>
          <w:tab w:val="left" w:pos="8251"/>
          <w:tab w:val="left" w:pos="8611"/>
          <w:tab w:val="left" w:pos="8971"/>
        </w:tabs>
        <w:autoSpaceDE w:val="0"/>
        <w:autoSpaceDN w:val="0"/>
        <w:spacing w:before="163" w:beforeLines="50" w:after="163" w:afterLines="50" w:line="360" w:lineRule="auto"/>
        <w:jc w:val="left"/>
        <w:rPr>
          <w:rFonts w:hint="eastAsia" w:cs="Arial"/>
          <w:b/>
          <w:color w:val="000000"/>
          <w:spacing w:val="6"/>
          <w:sz w:val="24"/>
          <w:szCs w:val="24"/>
        </w:rPr>
      </w:pPr>
    </w:p>
    <w:p w14:paraId="2D9C7918">
      <w:pPr>
        <w:tabs>
          <w:tab w:val="left" w:pos="5040"/>
          <w:tab w:val="left" w:pos="5760"/>
          <w:tab w:val="left" w:pos="6240"/>
          <w:tab w:val="left" w:pos="6494"/>
          <w:tab w:val="left" w:pos="7531"/>
          <w:tab w:val="left" w:pos="7891"/>
          <w:tab w:val="left" w:pos="8251"/>
          <w:tab w:val="left" w:pos="8611"/>
          <w:tab w:val="left" w:pos="8971"/>
        </w:tabs>
        <w:autoSpaceDE w:val="0"/>
        <w:autoSpaceDN w:val="0"/>
        <w:spacing w:before="163" w:beforeLines="50" w:after="163" w:afterLines="50" w:line="360" w:lineRule="auto"/>
        <w:jc w:val="left"/>
        <w:rPr>
          <w:rFonts w:hint="eastAsia" w:eastAsia="宋体" w:cs="Arial"/>
          <w:b/>
          <w:color w:val="000000"/>
          <w:spacing w:val="6"/>
          <w:sz w:val="24"/>
          <w:szCs w:val="24"/>
          <w:lang w:eastAsia="zh-CN"/>
        </w:rPr>
      </w:pPr>
      <w:r>
        <w:rPr>
          <w:rFonts w:hint="eastAsia" w:cs="Arial"/>
          <w:b/>
          <w:color w:val="000000"/>
          <w:spacing w:val="6"/>
          <w:sz w:val="24"/>
          <w:szCs w:val="24"/>
        </w:rPr>
        <w:t>甲方：中国人民银行深圳市</w:t>
      </w:r>
      <w:r>
        <w:rPr>
          <w:rFonts w:hint="eastAsia" w:cs="Arial"/>
          <w:b/>
          <w:color w:val="000000"/>
          <w:spacing w:val="6"/>
          <w:sz w:val="24"/>
          <w:szCs w:val="24"/>
          <w:lang w:eastAsia="zh-CN"/>
        </w:rPr>
        <w:t>分行</w:t>
      </w:r>
    </w:p>
    <w:p w14:paraId="69F6606C">
      <w:pPr>
        <w:tabs>
          <w:tab w:val="left" w:pos="5040"/>
          <w:tab w:val="left" w:pos="5760"/>
          <w:tab w:val="left" w:pos="6240"/>
          <w:tab w:val="left" w:pos="6494"/>
          <w:tab w:val="left" w:pos="7531"/>
          <w:tab w:val="left" w:pos="7891"/>
          <w:tab w:val="left" w:pos="8251"/>
          <w:tab w:val="left" w:pos="8611"/>
          <w:tab w:val="left" w:pos="8971"/>
        </w:tabs>
        <w:autoSpaceDE w:val="0"/>
        <w:autoSpaceDN w:val="0"/>
        <w:spacing w:before="163" w:beforeLines="50" w:after="163" w:afterLines="50" w:line="360" w:lineRule="auto"/>
        <w:jc w:val="left"/>
        <w:rPr>
          <w:rFonts w:hint="eastAsia" w:cs="Arial"/>
          <w:color w:val="000000"/>
          <w:spacing w:val="6"/>
          <w:sz w:val="24"/>
          <w:szCs w:val="24"/>
        </w:rPr>
      </w:pPr>
      <w:r>
        <w:rPr>
          <w:rFonts w:hint="eastAsia" w:cs="Arial"/>
          <w:color w:val="000000"/>
          <w:spacing w:val="6"/>
          <w:sz w:val="24"/>
          <w:szCs w:val="24"/>
        </w:rPr>
        <w:t>地址：深圳市深南东路5006号中国人民银行大厦</w:t>
      </w:r>
    </w:p>
    <w:p w14:paraId="3A7DA4D3">
      <w:pPr>
        <w:spacing w:before="163" w:beforeLines="50" w:after="163" w:afterLines="50" w:line="360" w:lineRule="auto"/>
        <w:jc w:val="left"/>
        <w:rPr>
          <w:rFonts w:hint="eastAsia"/>
          <w:bCs/>
          <w:spacing w:val="6"/>
          <w:sz w:val="24"/>
          <w:szCs w:val="24"/>
          <w:u w:val="single"/>
          <w:lang w:val="en-US" w:eastAsia="zh-CN"/>
        </w:rPr>
      </w:pPr>
      <w:r>
        <w:rPr>
          <w:rFonts w:hint="eastAsia"/>
          <w:bCs/>
          <w:spacing w:val="6"/>
          <w:sz w:val="24"/>
          <w:szCs w:val="24"/>
        </w:rPr>
        <w:t xml:space="preserve">联系人： </w:t>
      </w:r>
      <w:r>
        <w:rPr>
          <w:rFonts w:hint="eastAsia"/>
          <w:bCs/>
          <w:spacing w:val="6"/>
          <w:sz w:val="24"/>
          <w:szCs w:val="24"/>
          <w:u w:val="single"/>
        </w:rPr>
        <w:t xml:space="preserve"> </w:t>
      </w:r>
      <w:r>
        <w:rPr>
          <w:rFonts w:hint="eastAsia"/>
          <w:bCs/>
          <w:spacing w:val="6"/>
          <w:sz w:val="24"/>
          <w:szCs w:val="24"/>
          <w:u w:val="single"/>
          <w:lang w:val="en-US" w:eastAsia="zh-CN"/>
        </w:rPr>
        <w:t xml:space="preserve">                        </w:t>
      </w:r>
    </w:p>
    <w:p w14:paraId="29C63391">
      <w:pPr>
        <w:spacing w:before="163" w:beforeLines="50" w:after="163" w:afterLines="50" w:line="360" w:lineRule="auto"/>
        <w:jc w:val="left"/>
        <w:rPr>
          <w:rFonts w:hint="eastAsia"/>
          <w:bCs/>
          <w:spacing w:val="6"/>
          <w:sz w:val="24"/>
          <w:szCs w:val="24"/>
          <w:u w:val="single"/>
          <w:lang w:val="en-US" w:eastAsia="zh-CN"/>
        </w:rPr>
      </w:pPr>
      <w:r>
        <w:rPr>
          <w:rFonts w:hint="eastAsia"/>
          <w:bCs/>
          <w:spacing w:val="6"/>
          <w:sz w:val="24"/>
          <w:szCs w:val="24"/>
        </w:rPr>
        <w:t>联系方式：</w:t>
      </w:r>
      <w:r>
        <w:rPr>
          <w:rFonts w:hint="eastAsia"/>
          <w:bCs/>
          <w:spacing w:val="6"/>
          <w:sz w:val="24"/>
          <w:szCs w:val="24"/>
          <w:u w:val="single"/>
        </w:rPr>
        <w:t xml:space="preserve"> </w:t>
      </w:r>
      <w:r>
        <w:rPr>
          <w:rFonts w:hint="eastAsia"/>
          <w:bCs/>
          <w:spacing w:val="6"/>
          <w:sz w:val="24"/>
          <w:szCs w:val="24"/>
          <w:u w:val="single"/>
          <w:lang w:val="en-US" w:eastAsia="zh-CN"/>
        </w:rPr>
        <w:t xml:space="preserve">                       </w:t>
      </w:r>
    </w:p>
    <w:p w14:paraId="691577AB">
      <w:pPr>
        <w:spacing w:before="163" w:beforeLines="50" w:after="163" w:afterLines="50" w:line="360" w:lineRule="auto"/>
        <w:jc w:val="left"/>
        <w:rPr>
          <w:rFonts w:hint="eastAsia"/>
          <w:bCs/>
          <w:spacing w:val="6"/>
          <w:sz w:val="24"/>
          <w:szCs w:val="24"/>
        </w:rPr>
      </w:pPr>
    </w:p>
    <w:p w14:paraId="534C9F8B">
      <w:pPr>
        <w:tabs>
          <w:tab w:val="left" w:pos="5040"/>
          <w:tab w:val="left" w:pos="5760"/>
          <w:tab w:val="left" w:pos="6240"/>
          <w:tab w:val="left" w:pos="6494"/>
          <w:tab w:val="left" w:pos="7531"/>
          <w:tab w:val="left" w:pos="7891"/>
          <w:tab w:val="left" w:pos="8251"/>
          <w:tab w:val="left" w:pos="8611"/>
          <w:tab w:val="left" w:pos="8971"/>
        </w:tabs>
        <w:autoSpaceDE w:val="0"/>
        <w:autoSpaceDN w:val="0"/>
        <w:spacing w:before="163" w:beforeLines="50" w:after="163" w:afterLines="50" w:line="360" w:lineRule="auto"/>
        <w:jc w:val="left"/>
        <w:rPr>
          <w:rFonts w:hint="eastAsia" w:cs="Arial"/>
          <w:color w:val="000000"/>
          <w:spacing w:val="6"/>
          <w:sz w:val="24"/>
          <w:szCs w:val="24"/>
        </w:rPr>
      </w:pPr>
    </w:p>
    <w:p w14:paraId="72F7CA8B">
      <w:pPr>
        <w:tabs>
          <w:tab w:val="left" w:pos="5040"/>
          <w:tab w:val="left" w:pos="5760"/>
          <w:tab w:val="left" w:pos="6240"/>
          <w:tab w:val="left" w:pos="6494"/>
          <w:tab w:val="left" w:pos="7531"/>
          <w:tab w:val="left" w:pos="7891"/>
          <w:tab w:val="left" w:pos="8251"/>
          <w:tab w:val="left" w:pos="8611"/>
          <w:tab w:val="left" w:pos="8971"/>
        </w:tabs>
        <w:autoSpaceDE w:val="0"/>
        <w:autoSpaceDN w:val="0"/>
        <w:spacing w:before="163" w:beforeLines="50" w:after="163" w:afterLines="50" w:line="360" w:lineRule="auto"/>
        <w:jc w:val="left"/>
        <w:rPr>
          <w:rFonts w:hint="eastAsia" w:cs="Arial"/>
          <w:b/>
          <w:color w:val="000000"/>
          <w:spacing w:val="6"/>
          <w:sz w:val="24"/>
          <w:szCs w:val="24"/>
        </w:rPr>
      </w:pPr>
      <w:r>
        <w:rPr>
          <w:rFonts w:hint="eastAsia" w:cs="Arial"/>
          <w:b/>
          <w:color w:val="000000"/>
          <w:spacing w:val="6"/>
          <w:sz w:val="24"/>
          <w:szCs w:val="24"/>
        </w:rPr>
        <w:t>乙方：</w:t>
      </w:r>
      <w:r>
        <w:rPr>
          <w:rFonts w:hint="eastAsia"/>
          <w:bCs/>
          <w:spacing w:val="6"/>
          <w:sz w:val="24"/>
          <w:szCs w:val="24"/>
          <w:u w:val="single"/>
        </w:rPr>
        <w:t xml:space="preserve"> </w:t>
      </w:r>
      <w:r>
        <w:rPr>
          <w:rFonts w:hint="eastAsia"/>
          <w:bCs/>
          <w:spacing w:val="6"/>
          <w:sz w:val="24"/>
          <w:szCs w:val="24"/>
          <w:u w:val="single"/>
          <w:lang w:val="en-US" w:eastAsia="zh-CN"/>
        </w:rPr>
        <w:t xml:space="preserve">                              </w:t>
      </w:r>
    </w:p>
    <w:p w14:paraId="3A39EB58">
      <w:pPr>
        <w:spacing w:before="163" w:beforeLines="50" w:after="163" w:afterLines="50" w:line="360" w:lineRule="auto"/>
        <w:jc w:val="left"/>
        <w:rPr>
          <w:rFonts w:hint="eastAsia"/>
          <w:bCs/>
          <w:spacing w:val="6"/>
          <w:sz w:val="24"/>
          <w:szCs w:val="24"/>
          <w:u w:val="single" w:color="auto"/>
          <w:lang w:val="en-US" w:eastAsia="zh-CN"/>
        </w:rPr>
      </w:pPr>
      <w:r>
        <w:rPr>
          <w:rFonts w:hint="eastAsia"/>
          <w:bCs/>
          <w:spacing w:val="6"/>
          <w:sz w:val="24"/>
          <w:szCs w:val="24"/>
          <w:lang w:eastAsia="zh-CN"/>
        </w:rPr>
        <w:t>法人代表：</w:t>
      </w:r>
      <w:r>
        <w:rPr>
          <w:rFonts w:hint="eastAsia"/>
          <w:bCs/>
          <w:spacing w:val="6"/>
          <w:sz w:val="24"/>
          <w:szCs w:val="24"/>
          <w:u w:val="single" w:color="auto"/>
          <w:lang w:val="en-US" w:eastAsia="zh-CN"/>
        </w:rPr>
        <w:t xml:space="preserve">                           </w:t>
      </w:r>
    </w:p>
    <w:p w14:paraId="2CD80F8F">
      <w:pPr>
        <w:spacing w:before="163" w:beforeLines="50" w:after="163" w:afterLines="50" w:line="360" w:lineRule="auto"/>
        <w:jc w:val="left"/>
        <w:rPr>
          <w:rFonts w:hint="eastAsia"/>
          <w:bCs/>
          <w:spacing w:val="6"/>
          <w:sz w:val="24"/>
          <w:szCs w:val="24"/>
        </w:rPr>
      </w:pPr>
      <w:r>
        <w:rPr>
          <w:rFonts w:hint="eastAsia"/>
          <w:bCs/>
          <w:spacing w:val="6"/>
          <w:sz w:val="24"/>
          <w:szCs w:val="24"/>
        </w:rPr>
        <w:t xml:space="preserve">地址： </w:t>
      </w:r>
      <w:r>
        <w:rPr>
          <w:rFonts w:hint="eastAsia"/>
          <w:bCs/>
          <w:spacing w:val="6"/>
          <w:sz w:val="24"/>
          <w:szCs w:val="24"/>
          <w:u w:val="single"/>
        </w:rPr>
        <w:t xml:space="preserve"> </w:t>
      </w:r>
      <w:r>
        <w:rPr>
          <w:rFonts w:hint="eastAsia"/>
          <w:bCs/>
          <w:spacing w:val="6"/>
          <w:sz w:val="24"/>
          <w:szCs w:val="24"/>
          <w:u w:val="single"/>
          <w:lang w:val="en-US" w:eastAsia="zh-CN"/>
        </w:rPr>
        <w:t xml:space="preserve">                             </w:t>
      </w:r>
    </w:p>
    <w:p w14:paraId="08319FB1">
      <w:pPr>
        <w:spacing w:before="163" w:beforeLines="50" w:after="163" w:afterLines="50" w:line="360" w:lineRule="auto"/>
        <w:jc w:val="left"/>
        <w:rPr>
          <w:rFonts w:hint="eastAsia"/>
          <w:bCs/>
          <w:spacing w:val="6"/>
          <w:sz w:val="24"/>
          <w:szCs w:val="24"/>
        </w:rPr>
      </w:pPr>
      <w:r>
        <w:rPr>
          <w:rFonts w:hint="eastAsia"/>
          <w:bCs/>
          <w:spacing w:val="6"/>
          <w:sz w:val="24"/>
          <w:szCs w:val="24"/>
        </w:rPr>
        <w:t>联系人：</w:t>
      </w:r>
      <w:r>
        <w:rPr>
          <w:rFonts w:hint="eastAsia"/>
          <w:bCs/>
          <w:spacing w:val="6"/>
          <w:sz w:val="24"/>
          <w:szCs w:val="24"/>
          <w:u w:val="single"/>
        </w:rPr>
        <w:t xml:space="preserve"> </w:t>
      </w:r>
      <w:r>
        <w:rPr>
          <w:rFonts w:hint="eastAsia"/>
          <w:bCs/>
          <w:spacing w:val="6"/>
          <w:sz w:val="24"/>
          <w:szCs w:val="24"/>
          <w:u w:val="single"/>
          <w:lang w:val="en-US" w:eastAsia="zh-CN"/>
        </w:rPr>
        <w:t xml:space="preserve">                            </w:t>
      </w:r>
    </w:p>
    <w:p w14:paraId="56E86362">
      <w:pPr>
        <w:spacing w:before="163" w:beforeLines="50" w:after="163" w:afterLines="50" w:line="360" w:lineRule="auto"/>
        <w:jc w:val="left"/>
        <w:rPr>
          <w:rFonts w:hint="eastAsia"/>
          <w:bCs/>
          <w:spacing w:val="6"/>
          <w:sz w:val="24"/>
          <w:szCs w:val="24"/>
        </w:rPr>
      </w:pPr>
      <w:r>
        <w:rPr>
          <w:rFonts w:hint="eastAsia"/>
          <w:bCs/>
          <w:spacing w:val="6"/>
          <w:sz w:val="24"/>
          <w:szCs w:val="24"/>
        </w:rPr>
        <w:t>联系方式：</w:t>
      </w:r>
      <w:r>
        <w:rPr>
          <w:rFonts w:hint="eastAsia"/>
          <w:bCs/>
          <w:spacing w:val="6"/>
          <w:sz w:val="24"/>
          <w:szCs w:val="24"/>
          <w:u w:val="single"/>
        </w:rPr>
        <w:t xml:space="preserve"> </w:t>
      </w:r>
      <w:r>
        <w:rPr>
          <w:rFonts w:hint="eastAsia"/>
          <w:bCs/>
          <w:spacing w:val="6"/>
          <w:sz w:val="24"/>
          <w:szCs w:val="24"/>
          <w:u w:val="single"/>
          <w:lang w:val="en-US" w:eastAsia="zh-CN"/>
        </w:rPr>
        <w:t xml:space="preserve">                          </w:t>
      </w:r>
    </w:p>
    <w:p w14:paraId="26A64C4F">
      <w:pPr>
        <w:spacing w:before="163" w:beforeLines="50" w:after="163" w:afterLines="50" w:line="360" w:lineRule="auto"/>
        <w:jc w:val="left"/>
        <w:rPr>
          <w:rFonts w:hint="eastAsia" w:cs="Arial"/>
          <w:color w:val="000000"/>
          <w:spacing w:val="6"/>
          <w:sz w:val="24"/>
          <w:szCs w:val="24"/>
          <w:u w:val="single" w:color="auto"/>
          <w:lang w:val="en-US" w:eastAsia="zh-CN"/>
        </w:rPr>
      </w:pPr>
      <w:r>
        <w:rPr>
          <w:rFonts w:hint="eastAsia" w:cs="Arial"/>
          <w:color w:val="000000"/>
          <w:spacing w:val="6"/>
          <w:sz w:val="24"/>
          <w:szCs w:val="24"/>
          <w:lang w:eastAsia="zh-CN"/>
        </w:rPr>
        <w:t>统一社会信用代码：</w:t>
      </w:r>
      <w:r>
        <w:rPr>
          <w:rFonts w:hint="eastAsia" w:cs="Arial"/>
          <w:color w:val="000000"/>
          <w:spacing w:val="6"/>
          <w:sz w:val="24"/>
          <w:szCs w:val="24"/>
          <w:u w:val="single" w:color="auto"/>
          <w:lang w:val="en-US" w:eastAsia="zh-CN"/>
        </w:rPr>
        <w:t xml:space="preserve">                   </w:t>
      </w:r>
    </w:p>
    <w:p w14:paraId="693A1589">
      <w:pPr>
        <w:spacing w:before="163" w:beforeLines="50" w:after="163" w:afterLines="50" w:line="360" w:lineRule="auto"/>
        <w:jc w:val="left"/>
        <w:rPr>
          <w:rFonts w:hint="eastAsia" w:cs="Arial"/>
          <w:color w:val="000000"/>
          <w:spacing w:val="6"/>
          <w:sz w:val="21"/>
          <w:szCs w:val="21"/>
          <w:lang w:eastAsia="zh-CN"/>
        </w:rPr>
      </w:pPr>
    </w:p>
    <w:p w14:paraId="4A90B929">
      <w:pPr>
        <w:spacing w:before="163" w:beforeLines="50" w:after="163" w:afterLines="50" w:line="360" w:lineRule="auto"/>
        <w:jc w:val="left"/>
        <w:rPr>
          <w:rFonts w:hint="eastAsia" w:cs="Arial"/>
          <w:color w:val="000000"/>
          <w:spacing w:val="6"/>
          <w:sz w:val="21"/>
          <w:szCs w:val="21"/>
        </w:rPr>
      </w:pPr>
      <w:r>
        <w:rPr>
          <w:rFonts w:hint="eastAsia" w:cs="Arial"/>
          <w:color w:val="000000"/>
          <w:spacing w:val="6"/>
          <w:sz w:val="21"/>
          <w:szCs w:val="21"/>
          <w:lang w:eastAsia="zh-CN"/>
        </w:rPr>
        <w:t>（</w:t>
      </w:r>
      <w:r>
        <w:rPr>
          <w:rFonts w:hint="eastAsia" w:cs="Arial"/>
          <w:color w:val="000000"/>
          <w:spacing w:val="6"/>
          <w:sz w:val="21"/>
          <w:szCs w:val="21"/>
        </w:rPr>
        <w:t>任何一方联络方法发生变更的，应在变更之日书面通知其他方。在被通知方收到有关通知之前，被通知方根据变更前的联络方法所做出的联络和通讯视为有效。</w:t>
      </w:r>
      <w:r>
        <w:rPr>
          <w:rFonts w:hint="eastAsia" w:cs="Arial"/>
          <w:color w:val="000000"/>
          <w:spacing w:val="6"/>
          <w:sz w:val="21"/>
          <w:szCs w:val="21"/>
          <w:lang w:eastAsia="zh-CN"/>
        </w:rPr>
        <w:t>）</w:t>
      </w:r>
    </w:p>
    <w:p w14:paraId="048514FF">
      <w:pPr>
        <w:spacing w:before="156" w:beforeLines="50" w:after="156" w:afterLines="50" w:line="360" w:lineRule="auto"/>
        <w:ind w:firstLine="480" w:firstLineChars="200"/>
        <w:jc w:val="left"/>
        <w:rPr>
          <w:rFonts w:hint="eastAsia"/>
          <w:sz w:val="24"/>
        </w:rPr>
      </w:pPr>
      <w:r>
        <w:rPr>
          <w:rFonts w:hint="eastAsia"/>
          <w:sz w:val="24"/>
        </w:rPr>
        <w:br w:type="page"/>
      </w:r>
      <w:r>
        <w:rPr>
          <w:rFonts w:hint="eastAsia"/>
          <w:sz w:val="24"/>
        </w:rPr>
        <w:t>甲、乙双方根据</w:t>
      </w:r>
      <w:r>
        <w:rPr>
          <w:rFonts w:hint="eastAsia"/>
          <w:sz w:val="24"/>
          <w:u w:val="none"/>
        </w:rPr>
        <w:t>《中华人民共和国政府采购法》、</w:t>
      </w:r>
      <w:r>
        <w:rPr>
          <w:rFonts w:hint="eastAsia"/>
          <w:sz w:val="24"/>
        </w:rPr>
        <w:t>《中华人民共和国</w:t>
      </w:r>
      <w:r>
        <w:rPr>
          <w:rFonts w:hint="eastAsia"/>
          <w:sz w:val="24"/>
          <w:lang w:eastAsia="zh-CN"/>
        </w:rPr>
        <w:t>民法典</w:t>
      </w:r>
      <w:r>
        <w:rPr>
          <w:rFonts w:hint="eastAsia"/>
          <w:sz w:val="24"/>
        </w:rPr>
        <w:t>》及其他相关法律、法规的规定，本着平等互利的原则，经友好协商，就甲方向乙方采购</w:t>
      </w:r>
      <w:r>
        <w:rPr>
          <w:rFonts w:hint="eastAsia"/>
          <w:sz w:val="24"/>
          <w:u w:val="single" w:color="auto"/>
          <w:lang w:val="en-US" w:eastAsia="zh-CN"/>
        </w:rPr>
        <w:t xml:space="preserve">    </w:t>
      </w:r>
      <w:r>
        <w:rPr>
          <w:rFonts w:hint="eastAsia"/>
          <w:i w:val="0"/>
          <w:iCs w:val="0"/>
          <w:sz w:val="24"/>
          <w:u w:val="single" w:color="auto"/>
          <w:lang w:val="en-US" w:eastAsia="zh-CN"/>
        </w:rPr>
        <w:t xml:space="preserve"> </w:t>
      </w:r>
      <w:r>
        <w:rPr>
          <w:rFonts w:hint="eastAsia"/>
          <w:sz w:val="24"/>
        </w:rPr>
        <w:t>事宜达成如下协议，由双方共同遵守执行。</w:t>
      </w:r>
    </w:p>
    <w:p w14:paraId="4334D42C">
      <w:pPr>
        <w:numPr>
          <w:ilvl w:val="0"/>
          <w:numId w:val="10"/>
        </w:numPr>
        <w:spacing w:before="156" w:beforeLines="50" w:after="156" w:afterLines="50" w:line="360" w:lineRule="auto"/>
        <w:jc w:val="both"/>
        <w:rPr>
          <w:rFonts w:hint="eastAsia" w:ascii="宋体" w:hAnsi="宋体"/>
          <w:b/>
          <w:bCs w:val="0"/>
          <w:sz w:val="28"/>
          <w:szCs w:val="20"/>
        </w:rPr>
      </w:pPr>
      <w:r>
        <w:rPr>
          <w:rFonts w:hint="eastAsia" w:ascii="宋体" w:hAnsi="宋体"/>
          <w:b/>
          <w:color w:val="auto"/>
          <w:spacing w:val="0"/>
          <w:sz w:val="28"/>
          <w:szCs w:val="20"/>
        </w:rPr>
        <w:t>定义</w:t>
      </w:r>
    </w:p>
    <w:p w14:paraId="7CFDE1F0">
      <w:pPr>
        <w:spacing w:line="360" w:lineRule="auto"/>
        <w:ind w:firstLine="480" w:firstLineChars="200"/>
        <w:rPr>
          <w:rFonts w:hint="eastAsia" w:ascii="宋体" w:hAnsi="宋体"/>
          <w:bCs/>
          <w:sz w:val="24"/>
        </w:rPr>
      </w:pPr>
      <w:r>
        <w:rPr>
          <w:rFonts w:hint="eastAsia" w:ascii="宋体" w:hAnsi="宋体"/>
          <w:sz w:val="24"/>
        </w:rPr>
        <w:t>1.</w:t>
      </w:r>
      <w:r>
        <w:rPr>
          <w:rFonts w:ascii="宋体" w:hAnsi="宋体"/>
          <w:sz w:val="24"/>
        </w:rPr>
        <w:t xml:space="preserve"> 本合同下列术语应解释为：</w:t>
      </w:r>
    </w:p>
    <w:p w14:paraId="4BCD963A">
      <w:pPr>
        <w:spacing w:line="360" w:lineRule="auto"/>
        <w:ind w:firstLine="495"/>
        <w:rPr>
          <w:rFonts w:hint="eastAsia" w:ascii="宋体" w:hAnsi="宋体"/>
          <w:sz w:val="24"/>
        </w:rPr>
      </w:pPr>
      <w:r>
        <w:rPr>
          <w:rFonts w:ascii="宋体" w:hAnsi="宋体"/>
          <w:sz w:val="24"/>
        </w:rPr>
        <w:t>（1）</w:t>
      </w:r>
      <w:r>
        <w:rPr>
          <w:rFonts w:hint="eastAsia" w:ascii="宋体" w:hAnsi="宋体"/>
          <w:sz w:val="24"/>
        </w:rPr>
        <w:t>“</w:t>
      </w:r>
      <w:r>
        <w:rPr>
          <w:rFonts w:ascii="宋体" w:hAnsi="宋体"/>
          <w:sz w:val="24"/>
        </w:rPr>
        <w:t>合同</w:t>
      </w:r>
      <w:r>
        <w:rPr>
          <w:rFonts w:hint="eastAsia" w:ascii="宋体" w:hAnsi="宋体"/>
          <w:sz w:val="24"/>
        </w:rPr>
        <w:t>”</w:t>
      </w:r>
      <w:r>
        <w:rPr>
          <w:rFonts w:ascii="宋体" w:hAnsi="宋体"/>
          <w:sz w:val="24"/>
        </w:rPr>
        <w:t>系指甲乙双方</w:t>
      </w:r>
      <w:r>
        <w:rPr>
          <w:rFonts w:hint="eastAsia" w:ascii="宋体" w:hAnsi="宋体"/>
          <w:sz w:val="24"/>
        </w:rPr>
        <w:t>自愿</w:t>
      </w:r>
      <w:r>
        <w:rPr>
          <w:rFonts w:ascii="宋体" w:hAnsi="宋体"/>
          <w:sz w:val="24"/>
        </w:rPr>
        <w:t>签署、载明双方</w:t>
      </w:r>
      <w:r>
        <w:rPr>
          <w:rFonts w:hint="eastAsia" w:ascii="宋体" w:hAnsi="宋体"/>
          <w:sz w:val="24"/>
        </w:rPr>
        <w:t>权利与义务</w:t>
      </w:r>
      <w:r>
        <w:rPr>
          <w:rFonts w:ascii="宋体" w:hAnsi="宋体"/>
          <w:sz w:val="24"/>
        </w:rPr>
        <w:t>的协议，包括</w:t>
      </w:r>
      <w:r>
        <w:rPr>
          <w:rFonts w:hint="eastAsia" w:ascii="宋体" w:hAnsi="宋体"/>
          <w:sz w:val="24"/>
        </w:rPr>
        <w:t>本合同提及的与本合同具有同等法律效力的</w:t>
      </w:r>
      <w:r>
        <w:rPr>
          <w:rFonts w:ascii="宋体" w:hAnsi="宋体"/>
          <w:sz w:val="24"/>
        </w:rPr>
        <w:t>所有文件。</w:t>
      </w:r>
    </w:p>
    <w:p w14:paraId="37B06DF1">
      <w:pPr>
        <w:spacing w:line="360" w:lineRule="auto"/>
        <w:ind w:firstLine="480" w:firstLineChars="200"/>
        <w:rPr>
          <w:rFonts w:hint="eastAsia" w:ascii="宋体" w:hAnsi="宋体"/>
          <w:sz w:val="24"/>
        </w:rPr>
      </w:pPr>
      <w:r>
        <w:rPr>
          <w:rFonts w:ascii="宋体" w:hAnsi="宋体"/>
          <w:sz w:val="24"/>
        </w:rPr>
        <w:t>（2）</w:t>
      </w:r>
      <w:r>
        <w:rPr>
          <w:rFonts w:hint="eastAsia" w:ascii="宋体" w:hAnsi="宋体"/>
          <w:sz w:val="24"/>
        </w:rPr>
        <w:t>“</w:t>
      </w:r>
      <w:r>
        <w:rPr>
          <w:rFonts w:ascii="宋体" w:hAnsi="宋体"/>
          <w:sz w:val="24"/>
        </w:rPr>
        <w:t>合同</w:t>
      </w:r>
      <w:r>
        <w:rPr>
          <w:rFonts w:hint="eastAsia" w:ascii="宋体" w:hAnsi="宋体"/>
          <w:color w:val="auto"/>
          <w:sz w:val="24"/>
          <w:lang w:eastAsia="zh-CN"/>
        </w:rPr>
        <w:t>总价</w:t>
      </w:r>
      <w:r>
        <w:rPr>
          <w:rFonts w:hint="eastAsia" w:ascii="宋体" w:hAnsi="宋体"/>
          <w:sz w:val="24"/>
        </w:rPr>
        <w:t>”</w:t>
      </w:r>
      <w:r>
        <w:rPr>
          <w:rFonts w:ascii="宋体" w:hAnsi="宋体"/>
          <w:sz w:val="24"/>
        </w:rPr>
        <w:t>系指根据本合同规定乙方在完全履行</w:t>
      </w:r>
      <w:r>
        <w:rPr>
          <w:rFonts w:hint="eastAsia" w:ascii="宋体" w:hAnsi="宋体"/>
          <w:sz w:val="24"/>
          <w:lang w:eastAsia="zh-CN"/>
        </w:rPr>
        <w:t>本</w:t>
      </w:r>
      <w:r>
        <w:rPr>
          <w:rFonts w:ascii="宋体" w:hAnsi="宋体"/>
          <w:sz w:val="24"/>
        </w:rPr>
        <w:t>合同</w:t>
      </w:r>
      <w:r>
        <w:rPr>
          <w:rFonts w:hint="eastAsia" w:ascii="宋体" w:hAnsi="宋体"/>
          <w:sz w:val="24"/>
          <w:lang w:eastAsia="zh-CN"/>
        </w:rPr>
        <w:t>约定</w:t>
      </w:r>
      <w:r>
        <w:rPr>
          <w:rFonts w:ascii="宋体" w:hAnsi="宋体"/>
          <w:sz w:val="24"/>
        </w:rPr>
        <w:t>后</w:t>
      </w:r>
      <w:r>
        <w:rPr>
          <w:rFonts w:hint="eastAsia" w:ascii="宋体" w:hAnsi="宋体"/>
          <w:sz w:val="24"/>
        </w:rPr>
        <w:t>，</w:t>
      </w:r>
      <w:r>
        <w:rPr>
          <w:rFonts w:ascii="宋体" w:hAnsi="宋体"/>
          <w:sz w:val="24"/>
        </w:rPr>
        <w:t>甲方应支付给乙方的</w:t>
      </w:r>
      <w:r>
        <w:rPr>
          <w:rFonts w:hint="eastAsia" w:ascii="宋体" w:hAnsi="宋体"/>
          <w:sz w:val="24"/>
          <w:lang w:eastAsia="zh-CN"/>
        </w:rPr>
        <w:t>所有</w:t>
      </w:r>
      <w:r>
        <w:rPr>
          <w:rFonts w:ascii="宋体" w:hAnsi="宋体"/>
          <w:sz w:val="24"/>
        </w:rPr>
        <w:t>款</w:t>
      </w:r>
      <w:r>
        <w:rPr>
          <w:rFonts w:hint="eastAsia" w:ascii="宋体" w:hAnsi="宋体"/>
          <w:sz w:val="24"/>
          <w:lang w:eastAsia="zh-CN"/>
        </w:rPr>
        <w:t>项</w:t>
      </w:r>
      <w:r>
        <w:rPr>
          <w:rFonts w:hint="eastAsia" w:ascii="宋体" w:hAnsi="宋体"/>
          <w:sz w:val="24"/>
        </w:rPr>
        <w:t>。</w:t>
      </w:r>
    </w:p>
    <w:p w14:paraId="71158F7A">
      <w:pPr>
        <w:spacing w:line="360" w:lineRule="auto"/>
        <w:ind w:firstLine="480" w:firstLineChars="200"/>
        <w:rPr>
          <w:rFonts w:hint="eastAsia" w:ascii="宋体" w:hAnsi="宋体"/>
          <w:sz w:val="24"/>
        </w:rPr>
      </w:pPr>
      <w:r>
        <w:rPr>
          <w:rFonts w:hint="eastAsia" w:ascii="宋体" w:hAnsi="宋体"/>
          <w:sz w:val="24"/>
        </w:rPr>
        <w:t>（3）</w:t>
      </w:r>
      <w:r>
        <w:rPr>
          <w:rFonts w:hint="eastAsia" w:ascii="宋体" w:hAnsi="宋体"/>
          <w:bCs/>
          <w:sz w:val="24"/>
        </w:rPr>
        <w:t>“</w:t>
      </w:r>
      <w:r>
        <w:rPr>
          <w:rFonts w:hint="eastAsia" w:ascii="宋体" w:hAnsi="宋体"/>
          <w:sz w:val="24"/>
        </w:rPr>
        <w:t>工作日</w:t>
      </w:r>
      <w:r>
        <w:rPr>
          <w:rFonts w:ascii="宋体" w:hAnsi="宋体"/>
          <w:sz w:val="24"/>
        </w:rPr>
        <w:t>”</w:t>
      </w:r>
      <w:r>
        <w:rPr>
          <w:rFonts w:hint="eastAsia" w:ascii="宋体" w:hAnsi="宋体"/>
          <w:sz w:val="24"/>
        </w:rPr>
        <w:t>系</w:t>
      </w:r>
      <w:r>
        <w:rPr>
          <w:rFonts w:ascii="宋体" w:hAnsi="宋体"/>
          <w:sz w:val="24"/>
        </w:rPr>
        <w:t>指</w:t>
      </w:r>
      <w:r>
        <w:rPr>
          <w:rFonts w:hint="eastAsia" w:ascii="宋体" w:hAnsi="宋体"/>
          <w:sz w:val="24"/>
        </w:rPr>
        <w:t>除公休日和国家法定节假日外的</w:t>
      </w:r>
      <w:r>
        <w:rPr>
          <w:rFonts w:ascii="宋体" w:hAnsi="宋体"/>
          <w:sz w:val="24"/>
        </w:rPr>
        <w:t>日历天数</w:t>
      </w:r>
      <w:r>
        <w:rPr>
          <w:rFonts w:hint="eastAsia" w:ascii="宋体" w:hAnsi="宋体"/>
          <w:sz w:val="24"/>
        </w:rPr>
        <w:t>，“日”</w:t>
      </w:r>
      <w:r>
        <w:rPr>
          <w:rFonts w:hint="eastAsia" w:ascii="宋体" w:hAnsi="宋体"/>
          <w:sz w:val="24"/>
          <w:lang w:eastAsia="zh-CN"/>
        </w:rPr>
        <w:t>系</w:t>
      </w:r>
      <w:r>
        <w:rPr>
          <w:rFonts w:hint="eastAsia" w:ascii="宋体" w:hAnsi="宋体"/>
          <w:sz w:val="24"/>
        </w:rPr>
        <w:t>指日历天数。</w:t>
      </w:r>
      <w:r>
        <w:rPr>
          <w:rFonts w:hint="eastAsia" w:ascii="宋体" w:hAnsi="宋体"/>
          <w:sz w:val="24"/>
          <w:lang w:val="en-US" w:eastAsia="zh-CN"/>
        </w:rPr>
        <w:t>本合同规定按日计算期间的，开始当日不计入，从次日计算。</w:t>
      </w:r>
      <w:r>
        <w:rPr>
          <w:rFonts w:hint="eastAsia" w:ascii="宋体" w:hAnsi="宋体"/>
          <w:sz w:val="24"/>
          <w:lang w:eastAsia="zh-CN"/>
        </w:rPr>
        <w:t>“工作小时”系指甲方工作时间内的小时数，“小时”系</w:t>
      </w:r>
      <w:r>
        <w:rPr>
          <w:rFonts w:hint="eastAsia" w:ascii="宋体" w:hAnsi="宋体"/>
          <w:sz w:val="24"/>
        </w:rPr>
        <w:t>指</w:t>
      </w:r>
      <w:r>
        <w:rPr>
          <w:rFonts w:hint="eastAsia" w:ascii="宋体" w:hAnsi="宋体"/>
          <w:sz w:val="24"/>
          <w:lang w:eastAsia="zh-CN"/>
        </w:rPr>
        <w:t>日历天数的小时数。</w:t>
      </w:r>
    </w:p>
    <w:p w14:paraId="7B43269A">
      <w:pPr>
        <w:spacing w:before="0" w:beforeLines="0" w:after="0" w:afterLines="0" w:line="360" w:lineRule="auto"/>
        <w:ind w:firstLine="480" w:firstLineChars="200"/>
        <w:jc w:val="both"/>
        <w:rPr>
          <w:rFonts w:hint="eastAsia"/>
          <w:bCs/>
          <w:spacing w:val="6"/>
          <w:sz w:val="24"/>
          <w:szCs w:val="24"/>
          <w:u w:val="single"/>
          <w:lang w:val="en-US" w:eastAsia="zh-CN"/>
        </w:rPr>
      </w:pPr>
      <w:r>
        <w:rPr>
          <w:rFonts w:hint="eastAsia" w:ascii="宋体" w:hAnsi="宋体"/>
          <w:color w:val="000000"/>
          <w:sz w:val="24"/>
        </w:rPr>
        <w:t>（4）“</w:t>
      </w:r>
      <w:r>
        <w:rPr>
          <w:rFonts w:hint="eastAsia" w:ascii="宋体" w:hAnsi="宋体"/>
          <w:color w:val="000000"/>
          <w:sz w:val="24"/>
          <w:lang w:eastAsia="zh-CN"/>
        </w:rPr>
        <w:t>产品</w:t>
      </w:r>
      <w:r>
        <w:rPr>
          <w:rFonts w:hint="eastAsia" w:ascii="宋体" w:hAnsi="宋体"/>
          <w:color w:val="000000"/>
          <w:sz w:val="24"/>
        </w:rPr>
        <w:t>”</w:t>
      </w:r>
      <w:r>
        <w:rPr>
          <w:rFonts w:ascii="宋体" w:hAnsi="宋体"/>
          <w:color w:val="000000"/>
          <w:sz w:val="24"/>
        </w:rPr>
        <w:t>系指</w:t>
      </w:r>
      <w:r>
        <w:rPr>
          <w:rFonts w:ascii="宋体" w:hAnsi="宋体"/>
          <w:sz w:val="24"/>
        </w:rPr>
        <w:t>乙方按</w:t>
      </w:r>
      <w:r>
        <w:rPr>
          <w:rFonts w:hint="eastAsia" w:ascii="宋体" w:hAnsi="宋体"/>
          <w:sz w:val="24"/>
        </w:rPr>
        <w:t>照</w:t>
      </w:r>
      <w:r>
        <w:rPr>
          <w:rFonts w:ascii="宋体" w:hAnsi="宋体"/>
          <w:sz w:val="24"/>
        </w:rPr>
        <w:t>合同规定，</w:t>
      </w:r>
      <w:r>
        <w:rPr>
          <w:rFonts w:hint="eastAsia" w:ascii="宋体" w:hAnsi="宋体"/>
          <w:sz w:val="24"/>
        </w:rPr>
        <w:t>应当</w:t>
      </w:r>
      <w:r>
        <w:rPr>
          <w:rFonts w:ascii="宋体" w:hAnsi="宋体"/>
          <w:sz w:val="24"/>
        </w:rPr>
        <w:t>向甲方提供的设备、软件、</w:t>
      </w:r>
      <w:r>
        <w:rPr>
          <w:rFonts w:hint="eastAsia" w:ascii="宋体" w:hAnsi="宋体"/>
          <w:sz w:val="24"/>
        </w:rPr>
        <w:t>配件、安装材料、</w:t>
      </w:r>
      <w:r>
        <w:rPr>
          <w:rFonts w:ascii="宋体" w:hAnsi="宋体"/>
          <w:sz w:val="24"/>
        </w:rPr>
        <w:t>仪器仪表、备品</w:t>
      </w:r>
      <w:r>
        <w:rPr>
          <w:rFonts w:hint="eastAsia" w:ascii="宋体" w:hAnsi="宋体"/>
          <w:sz w:val="24"/>
        </w:rPr>
        <w:t>备</w:t>
      </w:r>
      <w:r>
        <w:rPr>
          <w:rFonts w:ascii="宋体" w:hAnsi="宋体"/>
          <w:sz w:val="24"/>
        </w:rPr>
        <w:t>件、工具、手册及其他有关技术资料和材料。</w:t>
      </w:r>
      <w:r>
        <w:rPr>
          <w:rFonts w:hint="eastAsia"/>
          <w:bCs/>
          <w:spacing w:val="6"/>
          <w:sz w:val="24"/>
          <w:szCs w:val="24"/>
          <w:u w:val="single"/>
          <w:lang w:val="en-US" w:eastAsia="zh-CN"/>
        </w:rPr>
        <w:t xml:space="preserve">   </w:t>
      </w:r>
    </w:p>
    <w:p w14:paraId="51190A54">
      <w:pPr>
        <w:spacing w:line="360" w:lineRule="auto"/>
        <w:ind w:firstLine="480" w:firstLineChars="200"/>
        <w:rPr>
          <w:rFonts w:hint="eastAsia" w:ascii="宋体" w:hAnsi="宋体" w:eastAsia="宋体"/>
          <w:sz w:val="24"/>
          <w:lang w:eastAsia="zh-CN"/>
        </w:rPr>
      </w:pPr>
    </w:p>
    <w:p w14:paraId="4444E10F">
      <w:pPr>
        <w:numPr>
          <w:ilvl w:val="0"/>
          <w:numId w:val="10"/>
        </w:numPr>
        <w:spacing w:before="156" w:beforeLines="50" w:after="156" w:afterLines="50" w:line="360" w:lineRule="auto"/>
        <w:jc w:val="both"/>
        <w:rPr>
          <w:rFonts w:hint="eastAsia" w:ascii="宋体" w:hAnsi="宋体"/>
          <w:b/>
          <w:bCs w:val="0"/>
          <w:sz w:val="28"/>
        </w:rPr>
      </w:pPr>
      <w:r>
        <w:rPr>
          <w:rFonts w:hint="eastAsia" w:ascii="Times New Roman" w:hAnsi="Times New Roman"/>
          <w:b/>
          <w:bCs w:val="0"/>
          <w:sz w:val="24"/>
        </w:rPr>
        <w:t>合同的组成</w:t>
      </w:r>
    </w:p>
    <w:p w14:paraId="2AD0577B">
      <w:pPr>
        <w:numPr>
          <w:ilvl w:val="0"/>
          <w:numId w:val="11"/>
        </w:numPr>
        <w:autoSpaceDE w:val="0"/>
        <w:autoSpaceDN w:val="0"/>
        <w:adjustRightInd w:val="0"/>
        <w:spacing w:line="360" w:lineRule="auto"/>
        <w:ind w:left="0" w:leftChars="0" w:firstLine="480" w:firstLineChars="200"/>
        <w:rPr>
          <w:rFonts w:ascii="宋体" w:cs="宋体"/>
          <w:b/>
          <w:bCs/>
          <w:sz w:val="28"/>
          <w:szCs w:val="28"/>
        </w:rPr>
      </w:pPr>
      <w:r>
        <w:rPr>
          <w:rFonts w:hint="eastAsia" w:ascii="宋体" w:cs="宋体"/>
          <w:sz w:val="24"/>
          <w:lang w:val="zh-CN"/>
        </w:rPr>
        <w:t>下述文件是构成本合同不可分割的部分</w:t>
      </w:r>
      <w:r>
        <w:rPr>
          <w:rFonts w:hint="eastAsia" w:ascii="宋体" w:cs="宋体"/>
          <w:sz w:val="24"/>
        </w:rPr>
        <w:t>:</w:t>
      </w:r>
    </w:p>
    <w:p w14:paraId="6659A2DD">
      <w:pPr>
        <w:autoSpaceDE w:val="0"/>
        <w:autoSpaceDN w:val="0"/>
        <w:adjustRightInd w:val="0"/>
        <w:spacing w:line="360" w:lineRule="auto"/>
        <w:ind w:left="480"/>
        <w:rPr>
          <w:rFonts w:ascii="宋体" w:cs="宋体"/>
          <w:color w:val="auto"/>
          <w:sz w:val="24"/>
          <w:lang w:val="zh-CN"/>
        </w:rPr>
      </w:pPr>
      <w:r>
        <w:rPr>
          <w:rFonts w:hint="eastAsia" w:ascii="宋体" w:cs="宋体"/>
          <w:color w:val="auto"/>
          <w:sz w:val="24"/>
          <w:lang w:val="zh-CN"/>
        </w:rPr>
        <w:t>（1）本合同条款及其所有附件；</w:t>
      </w:r>
    </w:p>
    <w:p w14:paraId="4BFDA54C">
      <w:pPr>
        <w:autoSpaceDE w:val="0"/>
        <w:autoSpaceDN w:val="0"/>
        <w:adjustRightInd w:val="0"/>
        <w:spacing w:line="360" w:lineRule="auto"/>
        <w:ind w:firstLine="480"/>
        <w:jc w:val="left"/>
        <w:rPr>
          <w:rFonts w:ascii="宋体" w:cs="宋体"/>
          <w:color w:val="auto"/>
          <w:sz w:val="24"/>
          <w:lang w:val="zh-CN"/>
        </w:rPr>
      </w:pPr>
      <w:r>
        <w:rPr>
          <w:rFonts w:hint="eastAsia" w:ascii="宋体" w:cs="宋体"/>
          <w:color w:val="auto"/>
          <w:sz w:val="24"/>
          <w:lang w:val="zh-CN"/>
        </w:rPr>
        <w:t>（2）甲方的招标/谈判/询价/磋商文件及澄清文件；</w:t>
      </w:r>
    </w:p>
    <w:p w14:paraId="3F5E6C08">
      <w:pPr>
        <w:autoSpaceDE w:val="0"/>
        <w:autoSpaceDN w:val="0"/>
        <w:adjustRightInd w:val="0"/>
        <w:spacing w:line="360" w:lineRule="auto"/>
        <w:ind w:firstLine="480"/>
        <w:jc w:val="left"/>
        <w:rPr>
          <w:rFonts w:ascii="宋体" w:cs="宋体"/>
          <w:color w:val="auto"/>
          <w:sz w:val="24"/>
          <w:lang w:val="zh-CN"/>
        </w:rPr>
      </w:pPr>
      <w:r>
        <w:rPr>
          <w:rFonts w:hint="eastAsia" w:ascii="宋体" w:cs="宋体"/>
          <w:color w:val="auto"/>
          <w:sz w:val="24"/>
          <w:lang w:val="zh-CN"/>
        </w:rPr>
        <w:t>（3）乙方的投标/响应文件及质疑解答文件；</w:t>
      </w:r>
    </w:p>
    <w:p w14:paraId="5B980757">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（4）成交/中标通知书；</w:t>
      </w:r>
    </w:p>
    <w:p w14:paraId="4B2B565A">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（5）法定代表人授权书；</w:t>
      </w:r>
    </w:p>
    <w:p w14:paraId="4ADF3804">
      <w:pPr>
        <w:spacing w:line="360" w:lineRule="auto"/>
        <w:ind w:firstLine="480" w:firstLineChars="200"/>
        <w:rPr>
          <w:rFonts w:ascii="宋体" w:hAnsi="宋体"/>
          <w:color w:val="auto"/>
          <w:sz w:val="24"/>
        </w:rPr>
      </w:pPr>
      <w:r>
        <w:rPr>
          <w:rFonts w:hint="eastAsia" w:ascii="宋体" w:hAnsi="宋体"/>
          <w:color w:val="auto"/>
          <w:sz w:val="24"/>
        </w:rPr>
        <w:t>（6）双方与合同有关的往来信函、</w:t>
      </w:r>
      <w:r>
        <w:rPr>
          <w:rFonts w:hint="eastAsia" w:ascii="宋体" w:hAnsi="宋体"/>
          <w:color w:val="auto"/>
          <w:sz w:val="24"/>
          <w:lang w:eastAsia="zh-CN"/>
        </w:rPr>
        <w:t>邮件</w:t>
      </w:r>
      <w:r>
        <w:rPr>
          <w:rFonts w:hint="eastAsia" w:ascii="宋体" w:hAnsi="宋体"/>
          <w:color w:val="auto"/>
          <w:sz w:val="24"/>
        </w:rPr>
        <w:t>经双方盖单位公章确认后视为本合同的组成部分</w:t>
      </w:r>
      <w:r>
        <w:rPr>
          <w:rFonts w:hint="eastAsia" w:ascii="宋体" w:hAnsi="宋体"/>
          <w:color w:val="auto"/>
          <w:sz w:val="24"/>
          <w:lang w:eastAsia="zh-CN"/>
        </w:rPr>
        <w:t>；</w:t>
      </w:r>
    </w:p>
    <w:p w14:paraId="30EB9F46">
      <w:pPr>
        <w:autoSpaceDE w:val="0"/>
        <w:autoSpaceDN w:val="0"/>
        <w:adjustRightInd w:val="0"/>
        <w:spacing w:before="0" w:beforeLines="0" w:after="0" w:afterLines="0" w:line="360" w:lineRule="auto"/>
        <w:ind w:firstLine="480" w:firstLineChars="0"/>
        <w:jc w:val="both"/>
        <w:rPr>
          <w:rFonts w:hint="eastAsia"/>
          <w:bCs/>
          <w:color w:val="auto"/>
          <w:spacing w:val="6"/>
          <w:sz w:val="24"/>
          <w:szCs w:val="24"/>
          <w:u w:val="single"/>
          <w:lang w:val="en-US" w:eastAsia="zh-CN"/>
        </w:rPr>
      </w:pPr>
      <w:r>
        <w:rPr>
          <w:rFonts w:hint="eastAsia" w:ascii="宋体" w:hAnsi="宋体"/>
          <w:color w:val="auto"/>
          <w:sz w:val="24"/>
        </w:rPr>
        <w:t>（7）经双方盖单位公章确认的补充协议。</w:t>
      </w:r>
    </w:p>
    <w:p w14:paraId="00B465CF">
      <w:pPr>
        <w:autoSpaceDE w:val="0"/>
        <w:autoSpaceDN w:val="0"/>
        <w:adjustRightInd w:val="0"/>
        <w:spacing w:line="360" w:lineRule="auto"/>
        <w:ind w:firstLine="480"/>
        <w:rPr>
          <w:rFonts w:hint="eastAsia" w:ascii="宋体" w:hAnsi="宋体" w:eastAsia="宋体"/>
          <w:color w:val="auto"/>
          <w:sz w:val="24"/>
          <w:lang w:val="zh-CN" w:eastAsia="zh-CN"/>
        </w:rPr>
      </w:pPr>
    </w:p>
    <w:p w14:paraId="79169228">
      <w:pPr>
        <w:numPr>
          <w:ilvl w:val="0"/>
          <w:numId w:val="11"/>
        </w:numPr>
        <w:autoSpaceDE w:val="0"/>
        <w:autoSpaceDN w:val="0"/>
        <w:adjustRightInd w:val="0"/>
        <w:spacing w:line="360" w:lineRule="auto"/>
        <w:ind w:left="0" w:leftChars="0" w:firstLine="480" w:firstLineChars="200"/>
        <w:rPr>
          <w:rFonts w:ascii="宋体" w:hAnsi="宋体"/>
          <w:color w:val="auto"/>
          <w:sz w:val="24"/>
        </w:rPr>
      </w:pPr>
      <w:r>
        <w:rPr>
          <w:rFonts w:hint="eastAsia" w:ascii="宋体" w:cs="宋体"/>
          <w:color w:val="auto"/>
          <w:sz w:val="24"/>
          <w:lang w:val="zh-CN"/>
        </w:rPr>
        <w:t>如果乙方的投标/响应文件及质疑解答文件内容违背或低于甲方招标/谈判/询价/磋商文件要求或任何可能导致影响当次采购目的的情形，均应当被视为乙方自动放弃投标/响应文件及质疑解答文件中相应部分而同意以招标/谈判/询价/磋商文件相应内容为准。</w:t>
      </w:r>
    </w:p>
    <w:p w14:paraId="403F08B2">
      <w:pPr>
        <w:numPr>
          <w:ilvl w:val="0"/>
          <w:numId w:val="0"/>
        </w:numPr>
        <w:autoSpaceDE w:val="0"/>
        <w:autoSpaceDN w:val="0"/>
        <w:adjustRightInd w:val="0"/>
        <w:spacing w:line="360" w:lineRule="auto"/>
        <w:ind w:left="0" w:leftChars="0" w:firstLine="487" w:firstLineChars="203"/>
        <w:rPr>
          <w:rFonts w:hint="eastAsia" w:ascii="宋体" w:cs="宋体"/>
          <w:color w:val="auto"/>
          <w:sz w:val="24"/>
          <w:lang w:val="zh-CN"/>
        </w:rPr>
      </w:pPr>
      <w:r>
        <w:rPr>
          <w:rFonts w:hint="eastAsia" w:ascii="宋体" w:cs="宋体"/>
          <w:color w:val="auto"/>
          <w:sz w:val="24"/>
          <w:lang w:val="zh-CN"/>
        </w:rPr>
        <w:t>如果乙方的投标/响应文件及质疑解答文件内容高于甲方招标/谈判/询价/磋商文件要求，则以乙方的投标/响应文件及质疑解答文件内容为准。</w:t>
      </w:r>
    </w:p>
    <w:p w14:paraId="0F4E962B">
      <w:pPr>
        <w:numPr>
          <w:ilvl w:val="0"/>
          <w:numId w:val="0"/>
        </w:numPr>
        <w:autoSpaceDE w:val="0"/>
        <w:autoSpaceDN w:val="0"/>
        <w:adjustRightInd w:val="0"/>
        <w:spacing w:line="360" w:lineRule="auto"/>
        <w:ind w:left="0" w:leftChars="0" w:firstLine="487" w:firstLineChars="203"/>
        <w:rPr>
          <w:rFonts w:ascii="宋体" w:hAnsi="宋体"/>
          <w:sz w:val="24"/>
        </w:rPr>
      </w:pPr>
      <w:r>
        <w:rPr>
          <w:rFonts w:hint="eastAsia" w:ascii="宋体" w:cs="宋体"/>
          <w:color w:val="auto"/>
          <w:sz w:val="24"/>
          <w:lang w:val="zh-CN"/>
        </w:rPr>
        <w:t>如果合同条款与合同附件有矛盾之处，如</w:t>
      </w:r>
      <w:r>
        <w:rPr>
          <w:rFonts w:hint="eastAsia" w:ascii="宋体" w:cs="宋体"/>
          <w:sz w:val="24"/>
          <w:lang w:val="zh-CN"/>
        </w:rPr>
        <w:t>无相反说明，以合同条款内容为准。</w:t>
      </w:r>
      <w:r>
        <w:rPr>
          <w:rFonts w:hint="eastAsia" w:ascii="宋体" w:hAnsi="宋体"/>
          <w:sz w:val="24"/>
        </w:rPr>
        <w:t>如果合同附件之间有矛盾之处，以有利于甲方的附件内容为准。</w:t>
      </w:r>
    </w:p>
    <w:p w14:paraId="26A0F9F1">
      <w:pPr>
        <w:numPr>
          <w:ilvl w:val="0"/>
          <w:numId w:val="11"/>
        </w:numPr>
        <w:autoSpaceDE w:val="0"/>
        <w:autoSpaceDN w:val="0"/>
        <w:adjustRightInd w:val="0"/>
        <w:spacing w:line="360" w:lineRule="auto"/>
        <w:ind w:left="0" w:leftChars="0" w:firstLine="480" w:firstLineChars="200"/>
        <w:rPr>
          <w:color w:val="000000"/>
          <w:sz w:val="24"/>
        </w:rPr>
      </w:pPr>
      <w:r>
        <w:rPr>
          <w:rFonts w:hint="eastAsia" w:ascii="宋体"/>
          <w:sz w:val="24"/>
        </w:rPr>
        <w:t>上述</w:t>
      </w:r>
      <w:r>
        <w:rPr>
          <w:rFonts w:hint="eastAsia" w:ascii="宋体" w:cs="宋体"/>
          <w:sz w:val="24"/>
          <w:lang w:val="zh-CN"/>
        </w:rPr>
        <w:t>合同</w:t>
      </w:r>
      <w:r>
        <w:rPr>
          <w:rFonts w:hint="eastAsia" w:ascii="宋体"/>
          <w:sz w:val="24"/>
        </w:rPr>
        <w:t>文件应能够相互解释、相互说明。如合同文件之间出现不一致，除本合同另有约定外，</w:t>
      </w:r>
      <w:r>
        <w:rPr>
          <w:rFonts w:hint="eastAsia" w:ascii="宋体"/>
          <w:sz w:val="24"/>
          <w:lang w:eastAsia="zh-CN"/>
        </w:rPr>
        <w:t>本条第</w:t>
      </w:r>
      <w:r>
        <w:rPr>
          <w:rFonts w:hint="eastAsia" w:ascii="宋体"/>
          <w:sz w:val="24"/>
          <w:lang w:val="en-US" w:eastAsia="zh-CN"/>
        </w:rPr>
        <w:t>1款第（1）至（6）项的排列顺序为合同文件的优先解释顺序。对于本条第1款第（7）项中双方达成的补充协议与原合同</w:t>
      </w:r>
      <w:r>
        <w:rPr>
          <w:rFonts w:hint="eastAsia" w:ascii="宋体"/>
          <w:sz w:val="24"/>
        </w:rPr>
        <w:t>（包括</w:t>
      </w:r>
      <w:r>
        <w:rPr>
          <w:rFonts w:hint="eastAsia" w:ascii="宋体"/>
          <w:sz w:val="24"/>
          <w:lang w:eastAsia="zh-CN"/>
        </w:rPr>
        <w:t>本条第</w:t>
      </w:r>
      <w:r>
        <w:rPr>
          <w:rFonts w:hint="eastAsia" w:ascii="宋体"/>
          <w:sz w:val="24"/>
          <w:lang w:val="en-US" w:eastAsia="zh-CN"/>
        </w:rPr>
        <w:t>1款</w:t>
      </w:r>
      <w:r>
        <w:rPr>
          <w:rFonts w:hint="eastAsia" w:ascii="宋体"/>
          <w:sz w:val="24"/>
        </w:rPr>
        <w:t>（1）-（6）</w:t>
      </w:r>
      <w:r>
        <w:rPr>
          <w:rFonts w:hint="eastAsia" w:ascii="宋体"/>
          <w:sz w:val="24"/>
          <w:lang w:eastAsia="zh-CN"/>
        </w:rPr>
        <w:t>项</w:t>
      </w:r>
      <w:r>
        <w:rPr>
          <w:rFonts w:hint="eastAsia" w:ascii="宋体"/>
          <w:sz w:val="24"/>
        </w:rPr>
        <w:t>中所列的所有文件）存在不一致，以签订日期在后的补充协议为准。</w:t>
      </w:r>
    </w:p>
    <w:p w14:paraId="511A20E0">
      <w:pPr>
        <w:numPr>
          <w:ilvl w:val="0"/>
          <w:numId w:val="10"/>
        </w:numPr>
        <w:spacing w:before="156" w:beforeLines="50" w:after="156" w:afterLines="50" w:line="360" w:lineRule="auto"/>
        <w:rPr>
          <w:rFonts w:hint="eastAsia"/>
          <w:b/>
          <w:sz w:val="24"/>
        </w:rPr>
      </w:pPr>
      <w:r>
        <w:rPr>
          <w:rFonts w:hint="eastAsia"/>
          <w:b/>
          <w:sz w:val="24"/>
        </w:rPr>
        <w:t>采购标的</w:t>
      </w:r>
    </w:p>
    <w:p w14:paraId="2AB9DB16">
      <w:pPr>
        <w:numPr>
          <w:ilvl w:val="0"/>
          <w:numId w:val="12"/>
        </w:numPr>
        <w:spacing w:before="156" w:beforeLines="50" w:after="156" w:afterLines="50" w:line="360" w:lineRule="auto"/>
        <w:rPr>
          <w:rFonts w:hint="eastAsia"/>
        </w:rPr>
      </w:pPr>
      <w:r>
        <w:rPr>
          <w:rFonts w:hint="eastAsia"/>
          <w:sz w:val="24"/>
        </w:rPr>
        <w:t>采购标的</w:t>
      </w:r>
    </w:p>
    <w:tbl>
      <w:tblPr>
        <w:tblStyle w:val="43"/>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950"/>
        <w:gridCol w:w="574"/>
        <w:gridCol w:w="1035"/>
        <w:gridCol w:w="2961"/>
        <w:gridCol w:w="474"/>
        <w:gridCol w:w="750"/>
        <w:gridCol w:w="720"/>
        <w:gridCol w:w="675"/>
      </w:tblGrid>
      <w:tr w14:paraId="597AB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950" w:type="dxa"/>
            <w:tcBorders>
              <w:top w:val="single" w:color="000000" w:sz="12" w:space="0"/>
              <w:left w:val="single" w:color="000000" w:sz="12" w:space="0"/>
              <w:bottom w:val="single" w:color="000000" w:sz="12" w:space="0"/>
              <w:right w:val="single" w:color="000000" w:sz="12" w:space="0"/>
            </w:tcBorders>
            <w:noWrap w:val="0"/>
            <w:vAlign w:val="center"/>
          </w:tcPr>
          <w:p w14:paraId="704607EC">
            <w:pPr>
              <w:keepNext w:val="0"/>
              <w:keepLines w:val="0"/>
              <w:widowControl/>
              <w:suppressLineNumbers w:val="0"/>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商品分类</w:t>
            </w:r>
          </w:p>
        </w:tc>
        <w:tc>
          <w:tcPr>
            <w:tcW w:w="574" w:type="dxa"/>
            <w:tcBorders>
              <w:top w:val="single" w:color="000000" w:sz="12" w:space="0"/>
              <w:left w:val="single" w:color="000000" w:sz="12" w:space="0"/>
              <w:bottom w:val="single" w:color="000000" w:sz="12" w:space="0"/>
              <w:right w:val="single" w:color="000000" w:sz="12" w:space="0"/>
            </w:tcBorders>
            <w:noWrap w:val="0"/>
            <w:vAlign w:val="center"/>
          </w:tcPr>
          <w:p w14:paraId="689355AC">
            <w:pPr>
              <w:keepNext w:val="0"/>
              <w:keepLines w:val="0"/>
              <w:widowControl/>
              <w:suppressLineNumbers w:val="0"/>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品 牌</w:t>
            </w:r>
          </w:p>
        </w:tc>
        <w:tc>
          <w:tcPr>
            <w:tcW w:w="1035" w:type="dxa"/>
            <w:tcBorders>
              <w:top w:val="single" w:color="000000" w:sz="12" w:space="0"/>
              <w:left w:val="single" w:color="000000" w:sz="12" w:space="0"/>
              <w:bottom w:val="single" w:color="000000" w:sz="12" w:space="0"/>
              <w:right w:val="single" w:color="000000" w:sz="12" w:space="0"/>
            </w:tcBorders>
            <w:noWrap w:val="0"/>
            <w:vAlign w:val="center"/>
          </w:tcPr>
          <w:p w14:paraId="506A1E34">
            <w:pPr>
              <w:keepNext w:val="0"/>
              <w:keepLines w:val="0"/>
              <w:widowControl/>
              <w:suppressLineNumbers w:val="0"/>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型 号</w:t>
            </w:r>
          </w:p>
        </w:tc>
        <w:tc>
          <w:tcPr>
            <w:tcW w:w="2961" w:type="dxa"/>
            <w:tcBorders>
              <w:top w:val="single" w:color="000000" w:sz="12" w:space="0"/>
              <w:left w:val="single" w:color="000000" w:sz="12" w:space="0"/>
              <w:bottom w:val="single" w:color="000000" w:sz="12" w:space="0"/>
              <w:right w:val="single" w:color="000000" w:sz="12" w:space="0"/>
            </w:tcBorders>
            <w:noWrap w:val="0"/>
            <w:vAlign w:val="center"/>
          </w:tcPr>
          <w:p w14:paraId="1BBFCA27">
            <w:pPr>
              <w:keepNext w:val="0"/>
              <w:keepLines w:val="0"/>
              <w:widowControl/>
              <w:suppressLineNumbers w:val="0"/>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技术规格</w:t>
            </w:r>
          </w:p>
        </w:tc>
        <w:tc>
          <w:tcPr>
            <w:tcW w:w="474" w:type="dxa"/>
            <w:tcBorders>
              <w:top w:val="single" w:color="000000" w:sz="12" w:space="0"/>
              <w:left w:val="single" w:color="000000" w:sz="12" w:space="0"/>
              <w:bottom w:val="single" w:color="000000" w:sz="12" w:space="0"/>
              <w:right w:val="single" w:color="000000" w:sz="12" w:space="0"/>
            </w:tcBorders>
            <w:noWrap w:val="0"/>
            <w:vAlign w:val="center"/>
          </w:tcPr>
          <w:p w14:paraId="486CCD5A">
            <w:pPr>
              <w:keepNext w:val="0"/>
              <w:keepLines w:val="0"/>
              <w:widowControl/>
              <w:suppressLineNumbers w:val="0"/>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单位</w:t>
            </w:r>
          </w:p>
        </w:tc>
        <w:tc>
          <w:tcPr>
            <w:tcW w:w="750" w:type="dxa"/>
            <w:tcBorders>
              <w:top w:val="single" w:color="000000" w:sz="12" w:space="0"/>
              <w:left w:val="single" w:color="000000" w:sz="12" w:space="0"/>
              <w:bottom w:val="single" w:color="000000" w:sz="12" w:space="0"/>
              <w:right w:val="single" w:color="000000" w:sz="12" w:space="0"/>
            </w:tcBorders>
            <w:noWrap w:val="0"/>
            <w:vAlign w:val="center"/>
          </w:tcPr>
          <w:p w14:paraId="2562BF9F">
            <w:pPr>
              <w:keepNext w:val="0"/>
              <w:keepLines w:val="0"/>
              <w:widowControl/>
              <w:suppressLineNumbers w:val="0"/>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单价(元)</w:t>
            </w:r>
          </w:p>
        </w:tc>
        <w:tc>
          <w:tcPr>
            <w:tcW w:w="720" w:type="dxa"/>
            <w:tcBorders>
              <w:top w:val="single" w:color="000000" w:sz="12" w:space="0"/>
              <w:left w:val="single" w:color="000000" w:sz="12" w:space="0"/>
              <w:bottom w:val="single" w:color="000000" w:sz="12" w:space="0"/>
              <w:right w:val="single" w:color="000000" w:sz="12" w:space="0"/>
            </w:tcBorders>
            <w:noWrap w:val="0"/>
            <w:vAlign w:val="center"/>
          </w:tcPr>
          <w:p w14:paraId="3C83A92F">
            <w:pPr>
              <w:keepNext w:val="0"/>
              <w:keepLines w:val="0"/>
              <w:widowControl/>
              <w:suppressLineNumbers w:val="0"/>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数量</w:t>
            </w:r>
          </w:p>
        </w:tc>
        <w:tc>
          <w:tcPr>
            <w:tcW w:w="675" w:type="dxa"/>
            <w:tcBorders>
              <w:top w:val="single" w:color="000000" w:sz="12" w:space="0"/>
              <w:left w:val="single" w:color="000000" w:sz="12" w:space="0"/>
              <w:bottom w:val="single" w:color="000000" w:sz="12" w:space="0"/>
              <w:right w:val="single" w:color="000000" w:sz="12" w:space="0"/>
            </w:tcBorders>
            <w:noWrap w:val="0"/>
            <w:vAlign w:val="center"/>
          </w:tcPr>
          <w:p w14:paraId="43B6B0F4">
            <w:pPr>
              <w:keepNext w:val="0"/>
              <w:keepLines w:val="0"/>
              <w:widowControl/>
              <w:suppressLineNumbers w:val="0"/>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总价(元)</w:t>
            </w:r>
          </w:p>
        </w:tc>
      </w:tr>
      <w:tr w14:paraId="3C97E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950" w:type="dxa"/>
            <w:tcBorders>
              <w:top w:val="single" w:color="000000" w:sz="12" w:space="0"/>
              <w:left w:val="single" w:color="000000" w:sz="12" w:space="0"/>
              <w:bottom w:val="single" w:color="000000" w:sz="12" w:space="0"/>
              <w:right w:val="single" w:color="000000" w:sz="12" w:space="0"/>
            </w:tcBorders>
            <w:noWrap w:val="0"/>
            <w:vAlign w:val="center"/>
          </w:tcPr>
          <w:p w14:paraId="5D9931E3">
            <w:pPr>
              <w:keepNext w:val="0"/>
              <w:keepLines w:val="0"/>
              <w:widowControl/>
              <w:suppressLineNumbers w:val="0"/>
              <w:spacing w:before="0" w:beforeAutospacing="0" w:after="0" w:afterAutospacing="0"/>
              <w:ind w:left="0" w:right="0"/>
              <w:jc w:val="left"/>
              <w:rPr>
                <w:rFonts w:hint="default" w:ascii="宋体" w:hAnsi="宋体" w:cs="宋体"/>
                <w:kern w:val="0"/>
                <w:sz w:val="20"/>
                <w:szCs w:val="20"/>
              </w:rPr>
            </w:pPr>
          </w:p>
        </w:tc>
        <w:tc>
          <w:tcPr>
            <w:tcW w:w="574" w:type="dxa"/>
            <w:tcBorders>
              <w:top w:val="single" w:color="000000" w:sz="12" w:space="0"/>
              <w:left w:val="single" w:color="000000" w:sz="12" w:space="0"/>
              <w:bottom w:val="single" w:color="000000" w:sz="12" w:space="0"/>
              <w:right w:val="single" w:color="000000" w:sz="12" w:space="0"/>
            </w:tcBorders>
            <w:noWrap w:val="0"/>
            <w:vAlign w:val="center"/>
          </w:tcPr>
          <w:p w14:paraId="13414248">
            <w:pPr>
              <w:keepNext w:val="0"/>
              <w:keepLines w:val="0"/>
              <w:widowControl/>
              <w:suppressLineNumbers w:val="0"/>
              <w:spacing w:before="0" w:beforeAutospacing="0" w:after="0" w:afterAutospacing="0"/>
              <w:ind w:left="0" w:right="0"/>
              <w:jc w:val="left"/>
              <w:rPr>
                <w:rFonts w:hint="eastAsia" w:ascii="宋体" w:hAnsi="宋体" w:eastAsia="宋体" w:cs="宋体"/>
                <w:kern w:val="0"/>
                <w:sz w:val="20"/>
                <w:szCs w:val="20"/>
                <w:lang w:eastAsia="zh-CN"/>
              </w:rPr>
            </w:pPr>
          </w:p>
        </w:tc>
        <w:tc>
          <w:tcPr>
            <w:tcW w:w="1035" w:type="dxa"/>
            <w:tcBorders>
              <w:top w:val="single" w:color="000000" w:sz="12" w:space="0"/>
              <w:left w:val="single" w:color="000000" w:sz="12" w:space="0"/>
              <w:bottom w:val="single" w:color="000000" w:sz="12" w:space="0"/>
              <w:right w:val="single" w:color="000000" w:sz="12" w:space="0"/>
            </w:tcBorders>
            <w:noWrap w:val="0"/>
            <w:vAlign w:val="center"/>
          </w:tcPr>
          <w:p w14:paraId="2A537D9A">
            <w:pPr>
              <w:keepNext w:val="0"/>
              <w:keepLines w:val="0"/>
              <w:widowControl/>
              <w:suppressLineNumbers w:val="0"/>
              <w:spacing w:before="0" w:beforeAutospacing="0" w:after="0" w:afterAutospacing="0"/>
              <w:ind w:left="0" w:right="0"/>
              <w:jc w:val="center"/>
              <w:rPr>
                <w:rFonts w:hint="default" w:ascii="Tahoma" w:hAnsi="Tahoma" w:cs="Tahoma"/>
                <w:kern w:val="0"/>
                <w:sz w:val="20"/>
                <w:szCs w:val="20"/>
              </w:rPr>
            </w:pPr>
          </w:p>
        </w:tc>
        <w:tc>
          <w:tcPr>
            <w:tcW w:w="2961" w:type="dxa"/>
            <w:tcBorders>
              <w:top w:val="single" w:color="000000" w:sz="12" w:space="0"/>
              <w:left w:val="single" w:color="000000" w:sz="12" w:space="0"/>
              <w:bottom w:val="single" w:color="000000" w:sz="12" w:space="0"/>
              <w:right w:val="single" w:color="000000" w:sz="12" w:space="0"/>
            </w:tcBorders>
            <w:noWrap w:val="0"/>
            <w:vAlign w:val="center"/>
          </w:tcPr>
          <w:p w14:paraId="1CC20B2B">
            <w:pPr>
              <w:keepNext w:val="0"/>
              <w:keepLines w:val="0"/>
              <w:widowControl/>
              <w:numPr>
                <w:ilvl w:val="0"/>
                <w:numId w:val="13"/>
              </w:numPr>
              <w:suppressLineNumbers w:val="0"/>
              <w:spacing w:before="0" w:beforeAutospacing="0" w:after="0" w:afterAutospacing="0"/>
              <w:ind w:left="0" w:right="0"/>
              <w:jc w:val="left"/>
              <w:rPr>
                <w:rFonts w:hint="default" w:ascii="Tahoma" w:hAnsi="Tahoma" w:cs="Tahoma"/>
                <w:kern w:val="0"/>
                <w:sz w:val="20"/>
                <w:szCs w:val="20"/>
              </w:rPr>
            </w:pPr>
          </w:p>
        </w:tc>
        <w:tc>
          <w:tcPr>
            <w:tcW w:w="474" w:type="dxa"/>
            <w:tcBorders>
              <w:top w:val="single" w:color="000000" w:sz="12" w:space="0"/>
              <w:left w:val="single" w:color="000000" w:sz="12" w:space="0"/>
              <w:bottom w:val="single" w:color="000000" w:sz="12" w:space="0"/>
              <w:right w:val="single" w:color="000000" w:sz="12" w:space="0"/>
            </w:tcBorders>
            <w:noWrap w:val="0"/>
            <w:vAlign w:val="center"/>
          </w:tcPr>
          <w:p w14:paraId="125F0095">
            <w:pPr>
              <w:keepNext w:val="0"/>
              <w:keepLines w:val="0"/>
              <w:widowControl/>
              <w:suppressLineNumbers w:val="0"/>
              <w:spacing w:before="0" w:beforeAutospacing="0" w:after="0" w:afterAutospacing="0"/>
              <w:ind w:left="0" w:right="0"/>
              <w:jc w:val="center"/>
              <w:rPr>
                <w:rFonts w:hint="default" w:ascii="Tahoma" w:hAnsi="Tahoma" w:cs="Tahoma"/>
                <w:kern w:val="0"/>
                <w:sz w:val="20"/>
                <w:szCs w:val="20"/>
              </w:rPr>
            </w:pPr>
          </w:p>
        </w:tc>
        <w:tc>
          <w:tcPr>
            <w:tcW w:w="750" w:type="dxa"/>
            <w:tcBorders>
              <w:top w:val="single" w:color="000000" w:sz="12" w:space="0"/>
              <w:left w:val="single" w:color="000000" w:sz="12" w:space="0"/>
              <w:bottom w:val="single" w:color="000000" w:sz="12" w:space="0"/>
              <w:right w:val="single" w:color="000000" w:sz="12" w:space="0"/>
            </w:tcBorders>
            <w:noWrap w:val="0"/>
            <w:vAlign w:val="center"/>
          </w:tcPr>
          <w:p w14:paraId="462B3794">
            <w:pPr>
              <w:keepNext w:val="0"/>
              <w:keepLines w:val="0"/>
              <w:widowControl/>
              <w:suppressLineNumbers w:val="0"/>
              <w:spacing w:before="0" w:beforeAutospacing="0" w:after="0" w:afterAutospacing="0"/>
              <w:ind w:left="0" w:right="0"/>
              <w:jc w:val="center"/>
              <w:rPr>
                <w:rFonts w:hint="default" w:ascii="Tahoma" w:hAnsi="Tahoma" w:cs="Tahoma"/>
                <w:kern w:val="0"/>
                <w:sz w:val="20"/>
                <w:szCs w:val="20"/>
              </w:rPr>
            </w:pPr>
            <w:r>
              <w:rPr>
                <w:rFonts w:hint="default" w:ascii="Tahoma" w:hAnsi="Tahoma" w:cs="Tahoma"/>
                <w:kern w:val="0"/>
                <w:sz w:val="20"/>
                <w:szCs w:val="20"/>
              </w:rPr>
              <w:t xml:space="preserve"> </w:t>
            </w:r>
          </w:p>
        </w:tc>
        <w:tc>
          <w:tcPr>
            <w:tcW w:w="720" w:type="dxa"/>
            <w:tcBorders>
              <w:top w:val="single" w:color="000000" w:sz="12" w:space="0"/>
              <w:left w:val="single" w:color="000000" w:sz="12" w:space="0"/>
              <w:bottom w:val="single" w:color="000000" w:sz="12" w:space="0"/>
              <w:right w:val="single" w:color="000000" w:sz="12" w:space="0"/>
            </w:tcBorders>
            <w:noWrap w:val="0"/>
            <w:vAlign w:val="center"/>
          </w:tcPr>
          <w:p w14:paraId="3806BCEF">
            <w:pPr>
              <w:keepNext w:val="0"/>
              <w:keepLines w:val="0"/>
              <w:widowControl/>
              <w:suppressLineNumbers w:val="0"/>
              <w:spacing w:before="0" w:beforeAutospacing="0" w:after="0" w:afterAutospacing="0"/>
              <w:ind w:left="0" w:right="0"/>
              <w:jc w:val="center"/>
              <w:rPr>
                <w:rFonts w:hint="default" w:ascii="Tahoma" w:hAnsi="Tahoma" w:cs="Tahoma"/>
                <w:kern w:val="0"/>
                <w:sz w:val="20"/>
                <w:szCs w:val="20"/>
              </w:rPr>
            </w:pPr>
          </w:p>
        </w:tc>
        <w:tc>
          <w:tcPr>
            <w:tcW w:w="675" w:type="dxa"/>
            <w:tcBorders>
              <w:top w:val="single" w:color="000000" w:sz="12" w:space="0"/>
              <w:left w:val="single" w:color="000000" w:sz="12" w:space="0"/>
              <w:bottom w:val="single" w:color="000000" w:sz="12" w:space="0"/>
              <w:right w:val="single" w:color="000000" w:sz="12" w:space="0"/>
            </w:tcBorders>
            <w:noWrap w:val="0"/>
            <w:vAlign w:val="center"/>
          </w:tcPr>
          <w:p w14:paraId="5DB79770">
            <w:pPr>
              <w:keepNext w:val="0"/>
              <w:keepLines w:val="0"/>
              <w:widowControl/>
              <w:suppressLineNumbers w:val="0"/>
              <w:spacing w:before="0" w:beforeAutospacing="0" w:after="0" w:afterAutospacing="0"/>
              <w:ind w:left="0" w:right="0"/>
              <w:jc w:val="center"/>
              <w:rPr>
                <w:rFonts w:hint="default" w:ascii="Tahoma" w:hAnsi="Tahoma" w:cs="Tahoma"/>
                <w:kern w:val="0"/>
                <w:sz w:val="20"/>
                <w:szCs w:val="20"/>
              </w:rPr>
            </w:pPr>
          </w:p>
        </w:tc>
      </w:tr>
      <w:tr w14:paraId="24C50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35" w:hRule="atLeast"/>
          <w:jc w:val="center"/>
        </w:trPr>
        <w:tc>
          <w:tcPr>
            <w:tcW w:w="950" w:type="dxa"/>
            <w:tcBorders>
              <w:top w:val="single" w:color="000000" w:sz="12" w:space="0"/>
              <w:left w:val="single" w:color="000000" w:sz="12" w:space="0"/>
              <w:bottom w:val="single" w:color="000000" w:sz="12" w:space="0"/>
              <w:right w:val="single" w:color="000000" w:sz="12" w:space="0"/>
            </w:tcBorders>
            <w:noWrap w:val="0"/>
            <w:vAlign w:val="center"/>
          </w:tcPr>
          <w:p w14:paraId="1B50F59C">
            <w:pPr>
              <w:keepNext w:val="0"/>
              <w:keepLines w:val="0"/>
              <w:widowControl/>
              <w:suppressLineNumbers w:val="0"/>
              <w:spacing w:before="0" w:beforeAutospacing="0" w:after="0" w:afterAutospacing="0"/>
              <w:ind w:left="0" w:right="0"/>
              <w:jc w:val="center"/>
              <w:rPr>
                <w:rFonts w:hint="default" w:ascii="Tahoma" w:hAnsi="Tahoma" w:cs="Tahoma"/>
                <w:kern w:val="0"/>
                <w:sz w:val="20"/>
                <w:szCs w:val="20"/>
              </w:rPr>
            </w:pPr>
            <w:r>
              <w:rPr>
                <w:rFonts w:hint="default" w:ascii="Tahoma" w:hAnsi="Tahoma" w:cs="Tahoma"/>
                <w:b/>
                <w:bCs/>
                <w:kern w:val="0"/>
                <w:sz w:val="20"/>
                <w:szCs w:val="20"/>
              </w:rPr>
              <w:t>合 计</w:t>
            </w:r>
          </w:p>
        </w:tc>
        <w:tc>
          <w:tcPr>
            <w:tcW w:w="6514" w:type="dxa"/>
            <w:gridSpan w:val="6"/>
            <w:tcBorders>
              <w:top w:val="single" w:color="000000" w:sz="12" w:space="0"/>
              <w:left w:val="single" w:color="000000" w:sz="12" w:space="0"/>
              <w:bottom w:val="single" w:color="000000" w:sz="12" w:space="0"/>
              <w:right w:val="single" w:color="000000" w:sz="12" w:space="0"/>
            </w:tcBorders>
            <w:noWrap w:val="0"/>
            <w:vAlign w:val="center"/>
          </w:tcPr>
          <w:p w14:paraId="5922DFEB">
            <w:pPr>
              <w:keepNext w:val="0"/>
              <w:keepLines w:val="0"/>
              <w:widowControl/>
              <w:suppressLineNumbers w:val="0"/>
              <w:spacing w:before="0" w:beforeAutospacing="0" w:after="0" w:afterAutospacing="0"/>
              <w:ind w:left="0" w:right="0"/>
              <w:jc w:val="right"/>
              <w:rPr>
                <w:rFonts w:hint="default" w:ascii="Tahoma" w:hAnsi="Tahoma" w:cs="Tahoma"/>
                <w:kern w:val="0"/>
                <w:sz w:val="20"/>
                <w:szCs w:val="20"/>
              </w:rPr>
            </w:pPr>
            <w:r>
              <w:rPr>
                <w:rFonts w:hint="default" w:ascii="Tahoma" w:hAnsi="Tahoma" w:cs="Tahoma"/>
                <w:b/>
                <w:bCs/>
                <w:kern w:val="0"/>
                <w:sz w:val="20"/>
                <w:szCs w:val="20"/>
              </w:rPr>
              <w:t>大写：</w:t>
            </w:r>
            <w:r>
              <w:rPr>
                <w:rFonts w:hint="eastAsia" w:ascii="Tahoma" w:hAnsi="Tahoma" w:cs="Tahoma"/>
                <w:b/>
                <w:bCs/>
                <w:kern w:val="0"/>
                <w:sz w:val="20"/>
                <w:szCs w:val="20"/>
              </w:rPr>
              <w:t>人民币</w:t>
            </w:r>
            <w:r>
              <w:rPr>
                <w:rFonts w:hint="eastAsia" w:ascii="Tahoma" w:hAnsi="Tahoma" w:cs="Tahoma"/>
                <w:b/>
                <w:bCs/>
                <w:kern w:val="0"/>
                <w:sz w:val="20"/>
                <w:szCs w:val="20"/>
                <w:lang w:val="en-US" w:eastAsia="zh-CN"/>
              </w:rPr>
              <w:t>x</w:t>
            </w:r>
            <w:r>
              <w:rPr>
                <w:rFonts w:hint="eastAsia" w:ascii="Tahoma" w:hAnsi="Tahoma" w:cs="Tahoma"/>
                <w:b/>
                <w:bCs/>
                <w:kern w:val="0"/>
                <w:sz w:val="20"/>
                <w:szCs w:val="20"/>
              </w:rPr>
              <w:t>佰</w:t>
            </w:r>
            <w:r>
              <w:rPr>
                <w:rFonts w:hint="eastAsia" w:ascii="Tahoma" w:hAnsi="Tahoma" w:cs="Tahoma"/>
                <w:b/>
                <w:bCs/>
                <w:kern w:val="0"/>
                <w:sz w:val="20"/>
                <w:szCs w:val="20"/>
                <w:lang w:val="en-US" w:eastAsia="zh-CN"/>
              </w:rPr>
              <w:t>x</w:t>
            </w:r>
            <w:r>
              <w:rPr>
                <w:rFonts w:hint="eastAsia" w:ascii="Tahoma" w:hAnsi="Tahoma" w:cs="Tahoma"/>
                <w:b/>
                <w:bCs/>
                <w:kern w:val="0"/>
                <w:sz w:val="20"/>
                <w:szCs w:val="20"/>
              </w:rPr>
              <w:t>拾</w:t>
            </w:r>
            <w:r>
              <w:rPr>
                <w:rFonts w:hint="eastAsia" w:ascii="Tahoma" w:hAnsi="Tahoma" w:cs="Tahoma"/>
                <w:b/>
                <w:bCs/>
                <w:kern w:val="0"/>
                <w:sz w:val="20"/>
                <w:szCs w:val="20"/>
                <w:lang w:val="en-US" w:eastAsia="zh-CN"/>
              </w:rPr>
              <w:t>x</w:t>
            </w:r>
            <w:r>
              <w:rPr>
                <w:rFonts w:hint="eastAsia" w:ascii="Tahoma" w:hAnsi="Tahoma" w:cs="Tahoma"/>
                <w:b/>
                <w:bCs/>
                <w:kern w:val="0"/>
                <w:sz w:val="20"/>
                <w:szCs w:val="20"/>
              </w:rPr>
              <w:t>万</w:t>
            </w:r>
            <w:r>
              <w:rPr>
                <w:rFonts w:hint="eastAsia" w:ascii="Tahoma" w:hAnsi="Tahoma" w:cs="Tahoma"/>
                <w:b/>
                <w:bCs/>
                <w:kern w:val="0"/>
                <w:sz w:val="20"/>
                <w:szCs w:val="20"/>
                <w:lang w:val="en-US" w:eastAsia="zh-CN"/>
              </w:rPr>
              <w:t>x仟x</w:t>
            </w:r>
            <w:r>
              <w:rPr>
                <w:rFonts w:hint="eastAsia" w:ascii="Tahoma" w:hAnsi="Tahoma" w:cs="Tahoma"/>
                <w:b/>
                <w:bCs/>
                <w:kern w:val="0"/>
                <w:sz w:val="20"/>
                <w:szCs w:val="20"/>
              </w:rPr>
              <w:t>佰</w:t>
            </w:r>
            <w:r>
              <w:rPr>
                <w:rFonts w:hint="eastAsia" w:ascii="Tahoma" w:hAnsi="Tahoma" w:cs="Tahoma"/>
                <w:b/>
                <w:bCs/>
                <w:kern w:val="0"/>
                <w:sz w:val="20"/>
                <w:szCs w:val="20"/>
                <w:lang w:val="en-US" w:eastAsia="zh-CN"/>
              </w:rPr>
              <w:t>x拾x</w:t>
            </w:r>
            <w:r>
              <w:rPr>
                <w:rFonts w:hint="eastAsia" w:ascii="Tahoma" w:hAnsi="Tahoma" w:cs="Tahoma"/>
                <w:b/>
                <w:bCs/>
                <w:kern w:val="0"/>
                <w:sz w:val="20"/>
                <w:szCs w:val="20"/>
              </w:rPr>
              <w:t>元</w:t>
            </w:r>
            <w:r>
              <w:rPr>
                <w:rFonts w:hint="eastAsia" w:ascii="Tahoma" w:hAnsi="Tahoma" w:cs="Tahoma"/>
                <w:b/>
                <w:bCs/>
                <w:kern w:val="0"/>
                <w:sz w:val="20"/>
                <w:szCs w:val="20"/>
                <w:lang w:val="en-US" w:eastAsia="zh-CN"/>
              </w:rPr>
              <w:t>x角x分</w:t>
            </w:r>
          </w:p>
        </w:tc>
        <w:tc>
          <w:tcPr>
            <w:tcW w:w="675" w:type="dxa"/>
            <w:tcBorders>
              <w:top w:val="single" w:color="000000" w:sz="12" w:space="0"/>
              <w:left w:val="single" w:color="000000" w:sz="12" w:space="0"/>
              <w:bottom w:val="single" w:color="000000" w:sz="12" w:space="0"/>
              <w:right w:val="single" w:color="000000" w:sz="12" w:space="0"/>
            </w:tcBorders>
            <w:noWrap w:val="0"/>
            <w:vAlign w:val="center"/>
          </w:tcPr>
          <w:p w14:paraId="733A3989">
            <w:pPr>
              <w:keepNext w:val="0"/>
              <w:keepLines w:val="0"/>
              <w:widowControl/>
              <w:suppressLineNumbers w:val="0"/>
              <w:spacing w:before="0" w:beforeAutospacing="0" w:after="0" w:afterAutospacing="0"/>
              <w:ind w:left="0" w:right="0"/>
              <w:jc w:val="center"/>
              <w:rPr>
                <w:rFonts w:hint="default" w:ascii="Tahoma" w:hAnsi="Tahoma" w:cs="Tahoma"/>
                <w:kern w:val="0"/>
                <w:sz w:val="20"/>
                <w:szCs w:val="20"/>
              </w:rPr>
            </w:pPr>
          </w:p>
        </w:tc>
      </w:tr>
      <w:tr w14:paraId="303CA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35" w:hRule="atLeast"/>
          <w:jc w:val="center"/>
        </w:trPr>
        <w:tc>
          <w:tcPr>
            <w:tcW w:w="950" w:type="dxa"/>
            <w:tcBorders>
              <w:top w:val="single" w:color="000000" w:sz="12" w:space="0"/>
              <w:left w:val="single" w:color="000000" w:sz="12" w:space="0"/>
              <w:bottom w:val="single" w:color="000000" w:sz="12" w:space="0"/>
              <w:right w:val="single" w:color="000000" w:sz="12" w:space="0"/>
            </w:tcBorders>
            <w:noWrap w:val="0"/>
            <w:vAlign w:val="center"/>
          </w:tcPr>
          <w:p w14:paraId="26FB5E50">
            <w:pPr>
              <w:keepNext w:val="0"/>
              <w:keepLines w:val="0"/>
              <w:widowControl/>
              <w:suppressLineNumbers w:val="0"/>
              <w:spacing w:before="0" w:beforeAutospacing="0" w:after="0" w:afterAutospacing="0"/>
              <w:ind w:left="0" w:right="0"/>
              <w:jc w:val="center"/>
              <w:rPr>
                <w:rFonts w:hint="default" w:ascii="Tahoma" w:hAnsi="Tahoma" w:cs="Tahoma"/>
                <w:kern w:val="0"/>
                <w:sz w:val="20"/>
                <w:szCs w:val="20"/>
              </w:rPr>
            </w:pPr>
            <w:r>
              <w:rPr>
                <w:rFonts w:hint="default" w:ascii="Tahoma" w:hAnsi="Tahoma" w:cs="Tahoma"/>
                <w:b/>
                <w:bCs/>
                <w:kern w:val="0"/>
                <w:sz w:val="20"/>
                <w:szCs w:val="20"/>
              </w:rPr>
              <w:t>备  注</w:t>
            </w:r>
          </w:p>
        </w:tc>
        <w:tc>
          <w:tcPr>
            <w:tcW w:w="7189" w:type="dxa"/>
            <w:gridSpan w:val="7"/>
            <w:tcBorders>
              <w:top w:val="single" w:color="000000" w:sz="12" w:space="0"/>
              <w:left w:val="single" w:color="000000" w:sz="12" w:space="0"/>
              <w:bottom w:val="single" w:color="000000" w:sz="12" w:space="0"/>
              <w:right w:val="single" w:color="000000" w:sz="12" w:space="0"/>
            </w:tcBorders>
            <w:noWrap w:val="0"/>
            <w:vAlign w:val="center"/>
          </w:tcPr>
          <w:p w14:paraId="71014810">
            <w:pPr>
              <w:keepNext w:val="0"/>
              <w:keepLines w:val="0"/>
              <w:widowControl/>
              <w:suppressLineNumbers w:val="0"/>
              <w:spacing w:before="0" w:beforeAutospacing="0" w:after="0" w:afterAutospacing="0"/>
              <w:ind w:left="0" w:right="0"/>
              <w:jc w:val="left"/>
              <w:rPr>
                <w:rFonts w:hint="default" w:ascii="Tahoma" w:hAnsi="Tahoma" w:cs="Tahoma"/>
                <w:kern w:val="0"/>
                <w:sz w:val="20"/>
                <w:szCs w:val="20"/>
              </w:rPr>
            </w:pPr>
          </w:p>
        </w:tc>
      </w:tr>
    </w:tbl>
    <w:p w14:paraId="7754FAA7">
      <w:pPr>
        <w:numPr>
          <w:ilvl w:val="0"/>
          <w:numId w:val="10"/>
        </w:numPr>
        <w:spacing w:before="156" w:beforeLines="50" w:after="156" w:afterLines="50" w:line="360" w:lineRule="auto"/>
        <w:jc w:val="both"/>
        <w:rPr>
          <w:rFonts w:hint="eastAsia"/>
          <w:sz w:val="24"/>
        </w:rPr>
      </w:pPr>
      <w:r>
        <w:rPr>
          <w:rFonts w:hint="eastAsia"/>
          <w:b/>
          <w:sz w:val="24"/>
          <w:lang w:eastAsia="zh-CN"/>
        </w:rPr>
        <w:t>合同总价</w:t>
      </w:r>
    </w:p>
    <w:p w14:paraId="1E3A89B4">
      <w:pPr>
        <w:spacing w:before="156" w:beforeLines="50" w:after="156" w:afterLines="50" w:line="360" w:lineRule="auto"/>
        <w:ind w:firstLine="480" w:firstLineChars="200"/>
        <w:jc w:val="left"/>
        <w:rPr>
          <w:rFonts w:hint="eastAsia"/>
          <w:sz w:val="24"/>
        </w:rPr>
      </w:pPr>
      <w:r>
        <w:rPr>
          <w:rFonts w:hint="eastAsia"/>
          <w:sz w:val="24"/>
        </w:rPr>
        <w:t>本合同采购标的总价为人民币</w:t>
      </w:r>
      <w:r>
        <w:rPr>
          <w:rFonts w:hint="eastAsia"/>
          <w:bCs/>
          <w:spacing w:val="6"/>
          <w:sz w:val="24"/>
          <w:szCs w:val="24"/>
          <w:u w:val="single"/>
          <w:lang w:val="en-US" w:eastAsia="zh-CN"/>
        </w:rPr>
        <w:t xml:space="preserve">          </w:t>
      </w:r>
      <w:r>
        <w:rPr>
          <w:rFonts w:hint="eastAsia"/>
          <w:sz w:val="24"/>
        </w:rPr>
        <w:t>元（大写：</w:t>
      </w:r>
      <w:r>
        <w:rPr>
          <w:rFonts w:hint="eastAsia"/>
          <w:bCs/>
          <w:spacing w:val="6"/>
          <w:sz w:val="24"/>
          <w:szCs w:val="24"/>
          <w:u w:val="single"/>
          <w:lang w:val="en-US" w:eastAsia="zh-CN"/>
        </w:rPr>
        <w:t xml:space="preserve">          </w:t>
      </w:r>
      <w:r>
        <w:rPr>
          <w:rFonts w:hint="eastAsia"/>
          <w:sz w:val="24"/>
        </w:rPr>
        <w:t>元）。</w:t>
      </w:r>
    </w:p>
    <w:p w14:paraId="0AA5EF25">
      <w:pPr>
        <w:spacing w:before="156" w:beforeLines="50" w:after="156" w:afterLines="50" w:line="360" w:lineRule="auto"/>
        <w:ind w:firstLine="480" w:firstLineChars="200"/>
        <w:jc w:val="left"/>
        <w:rPr>
          <w:rFonts w:hint="eastAsia"/>
          <w:sz w:val="24"/>
        </w:rPr>
      </w:pPr>
      <w:r>
        <w:rPr>
          <w:rFonts w:hint="eastAsia"/>
          <w:sz w:val="24"/>
        </w:rPr>
        <w:t>上述金额已包含乙方完成供货、运输等相关</w:t>
      </w:r>
      <w:r>
        <w:rPr>
          <w:rFonts w:hint="eastAsia"/>
          <w:sz w:val="24"/>
          <w:lang w:eastAsia="zh-CN"/>
        </w:rPr>
        <w:t>货物伴随</w:t>
      </w:r>
      <w:r>
        <w:rPr>
          <w:rFonts w:hint="eastAsia"/>
          <w:sz w:val="24"/>
        </w:rPr>
        <w:t>服务的所有费用，包括但不限于运费、税费、安装费、</w:t>
      </w:r>
      <w:r>
        <w:rPr>
          <w:rFonts w:hint="eastAsia"/>
          <w:sz w:val="24"/>
          <w:lang w:eastAsia="zh-CN"/>
        </w:rPr>
        <w:t>装卸费、调试费、</w:t>
      </w:r>
      <w:r>
        <w:rPr>
          <w:rFonts w:hint="eastAsia"/>
          <w:sz w:val="24"/>
        </w:rPr>
        <w:t>上门服务费、指定年限的质保费用等。除上述金额外，除非经双方另行协商一致，甲方不再向乙方支付其他任何费用。</w:t>
      </w:r>
    </w:p>
    <w:p w14:paraId="63F4C5B2">
      <w:pPr>
        <w:numPr>
          <w:ilvl w:val="0"/>
          <w:numId w:val="10"/>
        </w:numPr>
        <w:spacing w:before="156" w:beforeLines="50" w:after="156" w:afterLines="50" w:line="360" w:lineRule="auto"/>
        <w:jc w:val="left"/>
        <w:rPr>
          <w:rFonts w:hint="eastAsia"/>
          <w:b/>
          <w:sz w:val="24"/>
        </w:rPr>
      </w:pPr>
      <w:r>
        <w:rPr>
          <w:rFonts w:hint="eastAsia"/>
          <w:b/>
          <w:sz w:val="24"/>
        </w:rPr>
        <w:t>产品包装及质量保证</w:t>
      </w:r>
    </w:p>
    <w:p w14:paraId="4DEBA42D">
      <w:pPr>
        <w:numPr>
          <w:ilvl w:val="0"/>
          <w:numId w:val="14"/>
        </w:numPr>
        <w:spacing w:before="156" w:beforeLines="50" w:after="156" w:afterLines="50" w:line="360" w:lineRule="auto"/>
        <w:jc w:val="left"/>
        <w:rPr>
          <w:rFonts w:hint="eastAsia"/>
          <w:sz w:val="24"/>
        </w:rPr>
      </w:pPr>
      <w:r>
        <w:rPr>
          <w:rFonts w:hint="eastAsia"/>
          <w:sz w:val="24"/>
        </w:rPr>
        <w:t>乙方保证，本合同项下采购标的</w:t>
      </w:r>
      <w:r>
        <w:rPr>
          <w:rFonts w:hint="eastAsia"/>
          <w:sz w:val="24"/>
          <w:lang w:eastAsia="zh-CN"/>
        </w:rPr>
        <w:t>皆为符合国家标准的正品合格产品，且承诺为甲方提供符合或高于国家标准及本合同要求的服务。乙方保证提供的货物是货物生产厂商原造的，全新、未使用过的，并完全符合甲方的各项使用目的或在采购时提出的各项需求</w:t>
      </w:r>
      <w:r>
        <w:rPr>
          <w:rFonts w:hint="eastAsia"/>
          <w:sz w:val="24"/>
        </w:rPr>
        <w:t>。</w:t>
      </w:r>
    </w:p>
    <w:p w14:paraId="182605A7">
      <w:pPr>
        <w:numPr>
          <w:ilvl w:val="0"/>
          <w:numId w:val="14"/>
        </w:numPr>
        <w:spacing w:before="156" w:beforeLines="50" w:after="156" w:afterLines="50" w:line="360" w:lineRule="auto"/>
        <w:ind w:left="0" w:firstLine="0"/>
        <w:jc w:val="left"/>
        <w:rPr>
          <w:rFonts w:hint="eastAsia"/>
          <w:sz w:val="24"/>
        </w:rPr>
      </w:pPr>
      <w:r>
        <w:rPr>
          <w:rFonts w:hint="eastAsia"/>
          <w:sz w:val="24"/>
          <w:lang w:eastAsia="zh-CN"/>
        </w:rPr>
        <w:t>乙方保证提供的货物符合中华人民共和国国家及行业的安全质量标准、环保标准中较高者。</w:t>
      </w:r>
      <w:r>
        <w:rPr>
          <w:rFonts w:hint="eastAsia"/>
          <w:sz w:val="24"/>
        </w:rPr>
        <w:t>若</w:t>
      </w:r>
      <w:r>
        <w:rPr>
          <w:rFonts w:hint="eastAsia"/>
          <w:sz w:val="24"/>
          <w:lang w:eastAsia="zh-CN"/>
        </w:rPr>
        <w:t>产品</w:t>
      </w:r>
      <w:r>
        <w:rPr>
          <w:rFonts w:hint="eastAsia"/>
          <w:sz w:val="24"/>
        </w:rPr>
        <w:t>来源于中华人民共和国境外，还要同时符合</w:t>
      </w:r>
      <w:r>
        <w:rPr>
          <w:rFonts w:hint="eastAsia"/>
          <w:sz w:val="24"/>
          <w:lang w:eastAsia="zh-CN"/>
        </w:rPr>
        <w:t>产品</w:t>
      </w:r>
      <w:r>
        <w:rPr>
          <w:rFonts w:hint="eastAsia"/>
          <w:sz w:val="24"/>
        </w:rPr>
        <w:t>来源国的官方、行业及生产厂商的安全质量标准、环保标准。上述标准为已发布的且在</w:t>
      </w:r>
      <w:r>
        <w:rPr>
          <w:rFonts w:hint="eastAsia"/>
          <w:sz w:val="24"/>
          <w:lang w:eastAsia="zh-CN"/>
        </w:rPr>
        <w:t>产品</w:t>
      </w:r>
      <w:r>
        <w:rPr>
          <w:rFonts w:hint="eastAsia"/>
          <w:sz w:val="24"/>
        </w:rPr>
        <w:t>交付时有效的最新版本的标准；</w:t>
      </w:r>
      <w:r>
        <w:rPr>
          <w:rFonts w:hint="eastAsia"/>
          <w:sz w:val="24"/>
          <w:lang w:eastAsia="zh-CN"/>
        </w:rPr>
        <w:t>同时</w:t>
      </w:r>
      <w:r>
        <w:rPr>
          <w:rFonts w:hint="eastAsia"/>
          <w:sz w:val="24"/>
        </w:rPr>
        <w:t>，产品必须附有原产地证明、中华人民共和国商检机构的检验证明、合法进货渠道证明及海关完税证明</w:t>
      </w:r>
      <w:r>
        <w:rPr>
          <w:rFonts w:hint="eastAsia"/>
          <w:sz w:val="24"/>
          <w:lang w:eastAsia="zh-CN"/>
        </w:rPr>
        <w:t>。</w:t>
      </w:r>
      <w:r>
        <w:rPr>
          <w:rFonts w:hint="eastAsia"/>
          <w:sz w:val="24"/>
        </w:rPr>
        <w:t>有关技术资料中须附有全文翻译的中文文本。</w:t>
      </w:r>
    </w:p>
    <w:p w14:paraId="37355CE9">
      <w:pPr>
        <w:numPr>
          <w:ilvl w:val="0"/>
          <w:numId w:val="14"/>
        </w:numPr>
        <w:spacing w:before="156" w:beforeLines="50" w:after="156" w:afterLines="50" w:line="360" w:lineRule="auto"/>
        <w:ind w:left="0" w:firstLine="0"/>
        <w:jc w:val="left"/>
        <w:rPr>
          <w:rFonts w:hint="eastAsia"/>
          <w:sz w:val="24"/>
        </w:rPr>
      </w:pPr>
      <w:r>
        <w:rPr>
          <w:rFonts w:hint="eastAsia"/>
          <w:sz w:val="24"/>
          <w:lang w:eastAsia="zh-CN"/>
        </w:rPr>
        <w:t>乙方为代理商或经销商的，须提供生产厂家有效的授权书。</w:t>
      </w:r>
      <w:r>
        <w:rPr>
          <w:rFonts w:hint="eastAsia"/>
          <w:sz w:val="24"/>
        </w:rPr>
        <w:t>否则甲方有权拒收并要求更换，如无法更换则甲方有权无条件退货并解除本合同，且乙方须对甲方的损失承担赔偿责任。</w:t>
      </w:r>
    </w:p>
    <w:p w14:paraId="5ECBC445">
      <w:pPr>
        <w:numPr>
          <w:ilvl w:val="0"/>
          <w:numId w:val="14"/>
        </w:numPr>
        <w:spacing w:before="156" w:beforeLines="50" w:after="156" w:afterLines="50" w:line="360" w:lineRule="auto"/>
        <w:ind w:firstLine="420" w:firstLineChars="0"/>
        <w:jc w:val="left"/>
        <w:rPr>
          <w:rFonts w:hint="eastAsia" w:ascii="宋体" w:hAnsi="宋体"/>
          <w:sz w:val="24"/>
        </w:rPr>
      </w:pPr>
      <w:r>
        <w:rPr>
          <w:rFonts w:hint="eastAsia" w:ascii="Times New Roman" w:hAnsi="Times New Roman"/>
          <w:sz w:val="24"/>
        </w:rPr>
        <w:t>如因</w:t>
      </w:r>
      <w:r>
        <w:rPr>
          <w:rFonts w:hint="eastAsia" w:ascii="Times New Roman" w:hAnsi="Times New Roman"/>
          <w:sz w:val="24"/>
          <w:lang w:eastAsia="zh-CN"/>
        </w:rPr>
        <w:t>乙方</w:t>
      </w:r>
      <w:r>
        <w:rPr>
          <w:rFonts w:hint="eastAsia" w:ascii="Times New Roman" w:hAnsi="Times New Roman"/>
          <w:sz w:val="24"/>
        </w:rPr>
        <w:t>提供的</w:t>
      </w:r>
      <w:r>
        <w:rPr>
          <w:rFonts w:hint="eastAsia" w:ascii="Times New Roman" w:hAnsi="Times New Roman"/>
          <w:sz w:val="24"/>
          <w:lang w:eastAsia="zh-CN"/>
        </w:rPr>
        <w:t>产品</w:t>
      </w:r>
      <w:r>
        <w:rPr>
          <w:rFonts w:hint="eastAsia" w:ascii="Times New Roman" w:hAnsi="Times New Roman"/>
          <w:sz w:val="24"/>
        </w:rPr>
        <w:t>硬件或软件有缺陷，或</w:t>
      </w:r>
      <w:r>
        <w:rPr>
          <w:rFonts w:hint="eastAsia" w:ascii="Times New Roman" w:hAnsi="Times New Roman"/>
          <w:sz w:val="24"/>
          <w:lang w:eastAsia="zh-CN"/>
        </w:rPr>
        <w:t>乙方</w:t>
      </w:r>
      <w:r>
        <w:rPr>
          <w:rFonts w:hint="eastAsia" w:ascii="Times New Roman" w:hAnsi="Times New Roman"/>
          <w:sz w:val="24"/>
        </w:rPr>
        <w:t>提供的技术资料有错误，或</w:t>
      </w:r>
      <w:r>
        <w:rPr>
          <w:rFonts w:hint="eastAsia" w:ascii="Times New Roman" w:hAnsi="Times New Roman"/>
          <w:sz w:val="24"/>
          <w:lang w:eastAsia="zh-CN"/>
        </w:rPr>
        <w:t>乙方</w:t>
      </w:r>
      <w:r>
        <w:rPr>
          <w:rFonts w:hint="eastAsia" w:ascii="Times New Roman" w:hAnsi="Times New Roman"/>
          <w:sz w:val="24"/>
        </w:rPr>
        <w:t>在现场的技术人员指导有错误而使</w:t>
      </w:r>
      <w:r>
        <w:rPr>
          <w:rFonts w:hint="eastAsia" w:ascii="Times New Roman" w:hAnsi="Times New Roman"/>
          <w:sz w:val="24"/>
          <w:lang w:eastAsia="zh-CN"/>
        </w:rPr>
        <w:t>产品</w:t>
      </w:r>
      <w:r>
        <w:rPr>
          <w:rFonts w:hint="eastAsia" w:ascii="Times New Roman" w:hAnsi="Times New Roman"/>
          <w:sz w:val="24"/>
        </w:rPr>
        <w:t>不能达到合同规定的指标和技术性能，</w:t>
      </w:r>
      <w:r>
        <w:rPr>
          <w:rFonts w:hint="eastAsia" w:ascii="Times New Roman" w:hAnsi="Times New Roman"/>
          <w:sz w:val="24"/>
          <w:lang w:eastAsia="zh-CN"/>
        </w:rPr>
        <w:t>乙方</w:t>
      </w:r>
      <w:r>
        <w:rPr>
          <w:rFonts w:hint="eastAsia" w:ascii="Times New Roman" w:hAnsi="Times New Roman"/>
          <w:sz w:val="24"/>
        </w:rPr>
        <w:t>应负责按本合同相关条款规定更换或修理，使</w:t>
      </w:r>
      <w:r>
        <w:rPr>
          <w:rFonts w:hint="eastAsia" w:ascii="Times New Roman" w:hAnsi="Times New Roman"/>
          <w:sz w:val="24"/>
          <w:lang w:eastAsia="zh-CN"/>
        </w:rPr>
        <w:t>产品</w:t>
      </w:r>
      <w:r>
        <w:rPr>
          <w:rFonts w:hint="eastAsia" w:ascii="Times New Roman" w:hAnsi="Times New Roman"/>
          <w:sz w:val="24"/>
        </w:rPr>
        <w:t>运行指标和技术性能达到合同规定 , 由此引起的全部费用由</w:t>
      </w:r>
      <w:r>
        <w:rPr>
          <w:rFonts w:hint="eastAsia" w:ascii="Times New Roman" w:hAnsi="Times New Roman"/>
          <w:sz w:val="24"/>
          <w:lang w:eastAsia="zh-CN"/>
        </w:rPr>
        <w:t>乙方</w:t>
      </w:r>
      <w:r>
        <w:rPr>
          <w:rFonts w:hint="eastAsia" w:ascii="Times New Roman" w:hAnsi="Times New Roman"/>
          <w:sz w:val="24"/>
        </w:rPr>
        <w:t>承担。 若因软件或硬件缺陷导致或引起</w:t>
      </w:r>
      <w:r>
        <w:rPr>
          <w:rFonts w:hint="eastAsia" w:ascii="Times New Roman" w:hAnsi="Times New Roman"/>
          <w:sz w:val="24"/>
          <w:lang w:eastAsia="zh-CN"/>
        </w:rPr>
        <w:t>甲方</w:t>
      </w:r>
      <w:r>
        <w:rPr>
          <w:rFonts w:hint="eastAsia" w:ascii="Times New Roman" w:hAnsi="Times New Roman"/>
          <w:sz w:val="24"/>
        </w:rPr>
        <w:t>损失及导致或引起第三方受到损害的，全</w:t>
      </w:r>
      <w:r>
        <w:rPr>
          <w:rFonts w:hint="eastAsia" w:ascii="宋体" w:hAnsi="宋体"/>
          <w:sz w:val="24"/>
        </w:rPr>
        <w:t>部赔偿责任均应由</w:t>
      </w:r>
      <w:r>
        <w:rPr>
          <w:rFonts w:hint="eastAsia" w:ascii="宋体" w:hAnsi="宋体"/>
          <w:sz w:val="24"/>
          <w:lang w:eastAsia="zh-CN"/>
        </w:rPr>
        <w:t>乙方</w:t>
      </w:r>
      <w:r>
        <w:rPr>
          <w:rFonts w:hint="eastAsia" w:ascii="宋体" w:hAnsi="宋体"/>
          <w:sz w:val="24"/>
        </w:rPr>
        <w:t>承担。</w:t>
      </w:r>
    </w:p>
    <w:p w14:paraId="344AC3D6">
      <w:pPr>
        <w:numPr>
          <w:ilvl w:val="0"/>
          <w:numId w:val="10"/>
        </w:numPr>
        <w:spacing w:before="156" w:beforeLines="50" w:after="156" w:afterLines="50" w:line="360" w:lineRule="auto"/>
        <w:jc w:val="left"/>
        <w:rPr>
          <w:rFonts w:hint="eastAsia"/>
          <w:b/>
          <w:sz w:val="24"/>
        </w:rPr>
      </w:pPr>
      <w:r>
        <w:rPr>
          <w:rFonts w:hint="eastAsia"/>
          <w:b/>
          <w:sz w:val="24"/>
        </w:rPr>
        <w:t>交货条款</w:t>
      </w:r>
    </w:p>
    <w:p w14:paraId="4E9094A3">
      <w:pPr>
        <w:numPr>
          <w:ilvl w:val="0"/>
          <w:numId w:val="15"/>
        </w:numPr>
        <w:spacing w:before="156" w:beforeLines="50" w:after="156" w:afterLines="50" w:line="360" w:lineRule="auto"/>
        <w:jc w:val="left"/>
        <w:rPr>
          <w:rFonts w:hint="eastAsia"/>
          <w:sz w:val="24"/>
        </w:rPr>
      </w:pPr>
      <w:r>
        <w:rPr>
          <w:rFonts w:hint="eastAsia"/>
          <w:sz w:val="24"/>
        </w:rPr>
        <w:t>交货时间及地点：乙方承诺于</w:t>
      </w:r>
      <w:r>
        <w:rPr>
          <w:rFonts w:hint="eastAsia"/>
          <w:sz w:val="24"/>
          <w:u w:val="single" w:color="auto"/>
          <w:lang w:val="en-US" w:eastAsia="zh-CN"/>
        </w:rPr>
        <w:t xml:space="preserve">           </w:t>
      </w:r>
      <w:r>
        <w:rPr>
          <w:rFonts w:hint="eastAsia"/>
          <w:sz w:val="24"/>
          <w:u w:val="single"/>
        </w:rPr>
        <w:t>将采购标的</w:t>
      </w:r>
      <w:r>
        <w:rPr>
          <w:rFonts w:hint="eastAsia"/>
          <w:sz w:val="24"/>
        </w:rPr>
        <w:t>送至</w:t>
      </w:r>
      <w:r>
        <w:rPr>
          <w:rFonts w:hint="eastAsia" w:ascii="宋体" w:hAnsi="宋体"/>
          <w:sz w:val="24"/>
          <w:u w:val="single"/>
          <w:lang w:val="en-US" w:eastAsia="zh-CN"/>
        </w:rPr>
        <w:t xml:space="preserve"> 广东省深圳市罗湖区深南东路5006号人民银行大厦                                                           </w:t>
      </w:r>
    </w:p>
    <w:p w14:paraId="01CB7B54">
      <w:pPr>
        <w:numPr>
          <w:ilvl w:val="0"/>
          <w:numId w:val="15"/>
        </w:numPr>
        <w:spacing w:line="360" w:lineRule="auto"/>
        <w:ind w:firstLine="420" w:firstLineChars="0"/>
        <w:rPr>
          <w:rFonts w:ascii="宋体" w:hAnsi="宋体"/>
          <w:sz w:val="24"/>
        </w:rPr>
      </w:pPr>
      <w:r>
        <w:rPr>
          <w:rFonts w:hint="eastAsia" w:ascii="宋体" w:hAnsi="宋体"/>
          <w:sz w:val="24"/>
        </w:rPr>
        <w:t>乙方交付的</w:t>
      </w:r>
      <w:r>
        <w:rPr>
          <w:rFonts w:hint="eastAsia" w:ascii="宋体" w:hAnsi="宋体"/>
          <w:sz w:val="24"/>
          <w:lang w:eastAsia="zh-CN"/>
        </w:rPr>
        <w:t>产品</w:t>
      </w:r>
      <w:r>
        <w:rPr>
          <w:rFonts w:hint="eastAsia" w:ascii="宋体" w:hAnsi="宋体"/>
          <w:sz w:val="24"/>
        </w:rPr>
        <w:t>应当完全符合本合同</w:t>
      </w:r>
      <w:r>
        <w:rPr>
          <w:rFonts w:hint="eastAsia" w:ascii="宋体" w:hAnsi="宋体"/>
          <w:sz w:val="24"/>
          <w:lang w:eastAsia="zh-CN"/>
        </w:rPr>
        <w:t>组成文件的</w:t>
      </w:r>
      <w:r>
        <w:rPr>
          <w:rFonts w:hint="eastAsia" w:ascii="宋体" w:hAnsi="宋体"/>
          <w:sz w:val="24"/>
        </w:rPr>
        <w:t>要求。乙方提供的</w:t>
      </w:r>
      <w:r>
        <w:rPr>
          <w:rFonts w:hint="eastAsia" w:ascii="宋体" w:hAnsi="宋体"/>
          <w:sz w:val="24"/>
          <w:lang w:eastAsia="zh-CN"/>
        </w:rPr>
        <w:t>产品</w:t>
      </w:r>
      <w:r>
        <w:rPr>
          <w:rFonts w:hint="eastAsia" w:ascii="宋体" w:hAnsi="宋体"/>
          <w:sz w:val="24"/>
        </w:rPr>
        <w:t>不符合</w:t>
      </w:r>
      <w:r>
        <w:rPr>
          <w:rFonts w:hint="eastAsia" w:ascii="宋体" w:hAnsi="宋体"/>
          <w:sz w:val="24"/>
          <w:lang w:eastAsia="zh-CN"/>
        </w:rPr>
        <w:t>要求</w:t>
      </w:r>
      <w:r>
        <w:rPr>
          <w:rFonts w:hint="eastAsia" w:ascii="宋体" w:hAnsi="宋体"/>
          <w:sz w:val="24"/>
        </w:rPr>
        <w:t>的，甲方有权拒收</w:t>
      </w:r>
      <w:r>
        <w:rPr>
          <w:rFonts w:hint="eastAsia" w:ascii="宋体" w:hAnsi="宋体"/>
          <w:sz w:val="24"/>
          <w:lang w:eastAsia="zh-CN"/>
        </w:rPr>
        <w:t>产品或</w:t>
      </w:r>
      <w:r>
        <w:rPr>
          <w:rFonts w:hint="eastAsia"/>
          <w:sz w:val="24"/>
        </w:rPr>
        <w:t>要求</w:t>
      </w:r>
      <w:r>
        <w:rPr>
          <w:rFonts w:hint="eastAsia"/>
          <w:sz w:val="24"/>
          <w:lang w:eastAsia="zh-CN"/>
        </w:rPr>
        <w:t>乙方</w:t>
      </w:r>
      <w:r>
        <w:rPr>
          <w:rFonts w:hint="eastAsia"/>
          <w:sz w:val="24"/>
        </w:rPr>
        <w:t>在</w:t>
      </w:r>
      <w:r>
        <w:rPr>
          <w:rFonts w:hint="eastAsia" w:ascii="宋体" w:hAnsi="宋体"/>
          <w:sz w:val="24"/>
          <w:u w:val="single"/>
          <w:lang w:val="en-US" w:eastAsia="zh-CN"/>
        </w:rPr>
        <w:t xml:space="preserve"> 5 </w:t>
      </w:r>
      <w:r>
        <w:rPr>
          <w:rFonts w:hint="eastAsia"/>
          <w:sz w:val="24"/>
          <w:lang w:eastAsia="zh-CN"/>
        </w:rPr>
        <w:t>个工作</w:t>
      </w:r>
      <w:r>
        <w:rPr>
          <w:rFonts w:hint="eastAsia"/>
          <w:sz w:val="24"/>
        </w:rPr>
        <w:t>日内</w:t>
      </w:r>
      <w:r>
        <w:rPr>
          <w:rFonts w:hint="eastAsia"/>
          <w:sz w:val="24"/>
          <w:lang w:eastAsia="zh-CN"/>
        </w:rPr>
        <w:t>更换、</w:t>
      </w:r>
      <w:r>
        <w:rPr>
          <w:rFonts w:hint="eastAsia"/>
          <w:sz w:val="24"/>
        </w:rPr>
        <w:t>补足</w:t>
      </w:r>
      <w:r>
        <w:rPr>
          <w:rFonts w:hint="eastAsia"/>
          <w:sz w:val="24"/>
          <w:lang w:eastAsia="zh-CN"/>
        </w:rPr>
        <w:t>，并</w:t>
      </w:r>
      <w:r>
        <w:rPr>
          <w:rFonts w:hint="eastAsia"/>
          <w:sz w:val="24"/>
        </w:rPr>
        <w:t>赔偿因其不完全履约而造成的损失</w:t>
      </w:r>
      <w:r>
        <w:rPr>
          <w:rFonts w:hint="eastAsia"/>
          <w:sz w:val="24"/>
          <w:lang w:eastAsia="zh-CN"/>
        </w:rPr>
        <w:t>，并承担</w:t>
      </w:r>
      <w:r>
        <w:rPr>
          <w:rFonts w:hint="eastAsia" w:ascii="宋体" w:hAnsi="宋体"/>
          <w:sz w:val="24"/>
        </w:rPr>
        <w:t>由此引起的风险</w:t>
      </w:r>
      <w:r>
        <w:rPr>
          <w:rFonts w:hint="eastAsia" w:ascii="宋体" w:hAnsi="宋体"/>
          <w:sz w:val="24"/>
          <w:lang w:eastAsia="zh-CN"/>
        </w:rPr>
        <w:t>和</w:t>
      </w:r>
      <w:r>
        <w:rPr>
          <w:rFonts w:hint="eastAsia"/>
          <w:sz w:val="24"/>
        </w:rPr>
        <w:t>责任</w:t>
      </w:r>
      <w:r>
        <w:rPr>
          <w:rFonts w:hint="eastAsia" w:ascii="宋体" w:hAnsi="宋体"/>
          <w:sz w:val="24"/>
        </w:rPr>
        <w:t>。</w:t>
      </w:r>
    </w:p>
    <w:p w14:paraId="12B3DDF0">
      <w:pPr>
        <w:numPr>
          <w:ilvl w:val="0"/>
          <w:numId w:val="15"/>
        </w:numPr>
        <w:spacing w:before="156" w:beforeLines="50" w:after="156" w:afterLines="50" w:line="360" w:lineRule="auto"/>
        <w:ind w:firstLine="420" w:firstLineChars="0"/>
        <w:jc w:val="both"/>
        <w:rPr>
          <w:rFonts w:hint="eastAsia" w:ascii="宋体" w:hAnsi="宋体"/>
          <w:sz w:val="24"/>
          <w:lang w:val="en-US" w:eastAsia="zh-CN"/>
        </w:rPr>
      </w:pPr>
      <w:r>
        <w:rPr>
          <w:rFonts w:hint="eastAsia" w:ascii="宋体" w:hAnsi="宋体"/>
          <w:sz w:val="24"/>
          <w:lang w:val="en-US" w:eastAsia="zh-CN"/>
        </w:rPr>
        <w:t>乙方应将所</w:t>
      </w:r>
      <w:r>
        <w:rPr>
          <w:rFonts w:hint="eastAsia" w:ascii="Times New Roman" w:hAnsi="Times New Roman"/>
          <w:sz w:val="24"/>
          <w:lang w:val="en-US" w:eastAsia="zh-CN"/>
        </w:rPr>
        <w:t>提供</w:t>
      </w:r>
      <w:r>
        <w:rPr>
          <w:rFonts w:hint="eastAsia" w:ascii="宋体" w:hAnsi="宋体"/>
          <w:sz w:val="24"/>
          <w:lang w:eastAsia="zh-CN"/>
        </w:rPr>
        <w:t>产品</w:t>
      </w:r>
      <w:r>
        <w:rPr>
          <w:rFonts w:hint="eastAsia" w:ascii="宋体" w:hAnsi="宋体"/>
          <w:sz w:val="24"/>
          <w:lang w:val="en-US" w:eastAsia="zh-CN"/>
        </w:rPr>
        <w:t>的随机材料、技术文件等资料交付给甲方；乙方不能完整交付本款规定的单证等的，视为未按合同约定交货，乙方负责补齐，因此导致逾期交付的，由乙方承担逾期交货的违约责任。</w:t>
      </w:r>
    </w:p>
    <w:p w14:paraId="3B2EF8D5">
      <w:pPr>
        <w:widowControl w:val="0"/>
        <w:numPr>
          <w:ilvl w:val="0"/>
          <w:numId w:val="15"/>
        </w:numPr>
        <w:spacing w:before="156" w:beforeLines="50" w:after="156" w:afterLines="50" w:line="360" w:lineRule="auto"/>
        <w:ind w:firstLine="420"/>
        <w:jc w:val="both"/>
        <w:rPr>
          <w:rFonts w:hint="eastAsia" w:ascii="宋体" w:hAnsi="宋体"/>
          <w:sz w:val="24"/>
        </w:rPr>
      </w:pPr>
      <w:r>
        <w:rPr>
          <w:rFonts w:hint="eastAsia" w:ascii="宋体" w:hAnsi="宋体"/>
          <w:sz w:val="24"/>
        </w:rPr>
        <w:t>凡与乙方责任或义务相关及由乙方原因所引起涉及各项货物、零件、部件、配件及资料的更、换、补、退等情形，所</w:t>
      </w:r>
      <w:r>
        <w:rPr>
          <w:rFonts w:hint="eastAsia" w:ascii="宋体" w:hAnsi="宋体"/>
          <w:sz w:val="24"/>
          <w:lang w:eastAsia="zh-CN"/>
        </w:rPr>
        <w:t>产生</w:t>
      </w:r>
      <w:r>
        <w:rPr>
          <w:rFonts w:hint="eastAsia" w:ascii="宋体" w:hAnsi="宋体"/>
          <w:sz w:val="24"/>
        </w:rPr>
        <w:t>相关的任何价款、成本、费用，包括但不限于运输、安装、服务、维修、调试等，以及保险、税、费等，均应当由乙方承担。</w:t>
      </w:r>
    </w:p>
    <w:p w14:paraId="40D3DFC6">
      <w:pPr>
        <w:widowControl w:val="0"/>
        <w:numPr>
          <w:ilvl w:val="0"/>
          <w:numId w:val="0"/>
        </w:numPr>
        <w:spacing w:before="156" w:beforeLines="50" w:after="156" w:afterLines="50" w:line="360" w:lineRule="auto"/>
        <w:ind w:left="0" w:firstLine="0"/>
        <w:jc w:val="both"/>
        <w:rPr>
          <w:rFonts w:hint="eastAsia" w:ascii="宋体" w:hAnsi="宋体"/>
          <w:sz w:val="24"/>
          <w:u w:val="single"/>
        </w:rPr>
      </w:pPr>
    </w:p>
    <w:p w14:paraId="0508C5D2">
      <w:pPr>
        <w:numPr>
          <w:ilvl w:val="0"/>
          <w:numId w:val="10"/>
        </w:numPr>
        <w:spacing w:before="156" w:beforeLines="50" w:after="156" w:afterLines="50" w:line="360" w:lineRule="auto"/>
        <w:jc w:val="left"/>
        <w:rPr>
          <w:rFonts w:hint="eastAsia"/>
          <w:b/>
          <w:sz w:val="24"/>
          <w:u w:val="none"/>
        </w:rPr>
      </w:pPr>
      <w:r>
        <w:rPr>
          <w:rFonts w:hint="eastAsia"/>
          <w:b/>
          <w:sz w:val="24"/>
          <w:u w:val="none"/>
        </w:rPr>
        <w:t>验收条款</w:t>
      </w:r>
    </w:p>
    <w:p w14:paraId="7A349741">
      <w:pPr>
        <w:numPr>
          <w:ilvl w:val="0"/>
          <w:numId w:val="16"/>
        </w:numPr>
        <w:spacing w:before="156" w:beforeLines="50" w:after="156" w:afterLines="50" w:line="360" w:lineRule="auto"/>
        <w:jc w:val="left"/>
        <w:rPr>
          <w:rFonts w:hint="eastAsia"/>
          <w:sz w:val="24"/>
        </w:rPr>
      </w:pPr>
      <w:r>
        <w:rPr>
          <w:rFonts w:hint="eastAsia"/>
          <w:sz w:val="24"/>
        </w:rPr>
        <w:t>产品的到货验收包括：型号、规格、数量、功能、外观质量及包装完整性等，并由乙方负责进行产品通电，通电正常后由甲方负责验收。甲方需于到货后的 15 个工作日内完成验收工作。</w:t>
      </w:r>
    </w:p>
    <w:p w14:paraId="029F7FE2">
      <w:pPr>
        <w:numPr>
          <w:ilvl w:val="0"/>
          <w:numId w:val="16"/>
        </w:numPr>
        <w:spacing w:before="156" w:beforeLines="50" w:after="156" w:afterLines="50" w:line="360" w:lineRule="auto"/>
        <w:jc w:val="left"/>
        <w:rPr>
          <w:rFonts w:hint="eastAsia"/>
          <w:sz w:val="24"/>
        </w:rPr>
      </w:pPr>
      <w:r>
        <w:rPr>
          <w:rFonts w:hint="eastAsia" w:ascii="宋体" w:hAnsi="宋体"/>
          <w:sz w:val="24"/>
          <w:lang w:val="en-US" w:eastAsia="zh-CN"/>
        </w:rPr>
        <w:t>验收其他要求：</w:t>
      </w:r>
      <w:r>
        <w:rPr>
          <w:rFonts w:hint="eastAsia" w:ascii="宋体" w:hAnsi="宋体"/>
          <w:sz w:val="24"/>
          <w:u w:val="single" w:color="auto"/>
          <w:lang w:val="en-US" w:eastAsia="zh-CN"/>
        </w:rPr>
        <w:t xml:space="preserve"> 派遣经验丰富的工程</w:t>
      </w:r>
      <w:r>
        <w:rPr>
          <w:rFonts w:hint="eastAsia" w:ascii="宋体" w:hAnsi="宋体"/>
          <w:color w:val="auto"/>
          <w:sz w:val="24"/>
          <w:highlight w:val="none"/>
          <w:u w:val="single" w:color="auto"/>
          <w:lang w:val="en-US" w:eastAsia="zh-CN"/>
        </w:rPr>
        <w:t>师免费协助甲方安装及调试。</w:t>
      </w:r>
      <w:r>
        <w:rPr>
          <w:rFonts w:hint="eastAsia" w:ascii="宋体" w:hAnsi="宋体"/>
          <w:sz w:val="24"/>
          <w:u w:val="single" w:color="auto"/>
          <w:lang w:val="en-US" w:eastAsia="zh-CN"/>
        </w:rPr>
        <w:t xml:space="preserve">                                </w:t>
      </w:r>
    </w:p>
    <w:p w14:paraId="1A9FC3BD">
      <w:pPr>
        <w:numPr>
          <w:ilvl w:val="0"/>
          <w:numId w:val="16"/>
        </w:numPr>
        <w:spacing w:before="156" w:beforeLines="50" w:after="156" w:afterLines="50" w:line="360" w:lineRule="auto"/>
        <w:jc w:val="left"/>
        <w:rPr>
          <w:rFonts w:hint="eastAsia"/>
          <w:sz w:val="24"/>
        </w:rPr>
      </w:pPr>
      <w:r>
        <w:rPr>
          <w:rFonts w:hint="eastAsia"/>
          <w:sz w:val="24"/>
        </w:rPr>
        <w:t>如验收结果合格，甲方应书面验收确认，由甲、乙双方代表共同在验收确认文件上签字；如验收结果不合格，甲方应在</w:t>
      </w:r>
      <w:r>
        <w:rPr>
          <w:rFonts w:hint="eastAsia" w:ascii="宋体" w:hAnsi="宋体"/>
          <w:sz w:val="24"/>
          <w:highlight w:val="none"/>
          <w:u w:val="single"/>
          <w:lang w:val="en-US" w:eastAsia="zh-CN"/>
        </w:rPr>
        <w:t xml:space="preserve"> 2 </w:t>
      </w:r>
      <w:r>
        <w:rPr>
          <w:rFonts w:hint="eastAsia"/>
          <w:sz w:val="24"/>
        </w:rPr>
        <w:t>个工作日期满前通知乙方，乙方应在甲方通知</w:t>
      </w:r>
      <w:r>
        <w:rPr>
          <w:rFonts w:hint="eastAsia"/>
          <w:sz w:val="24"/>
          <w:lang w:eastAsia="zh-CN"/>
        </w:rPr>
        <w:t>后</w:t>
      </w:r>
      <w:r>
        <w:rPr>
          <w:rFonts w:hint="eastAsia" w:ascii="宋体" w:hAnsi="宋体"/>
          <w:sz w:val="24"/>
          <w:highlight w:val="none"/>
          <w:u w:val="single"/>
          <w:lang w:val="en-US" w:eastAsia="zh-CN"/>
        </w:rPr>
        <w:t xml:space="preserve"> 5 </w:t>
      </w:r>
      <w:r>
        <w:rPr>
          <w:rFonts w:hint="eastAsia"/>
          <w:sz w:val="24"/>
        </w:rPr>
        <w:t>个工作日内无偿就不合格产品进行更换。</w:t>
      </w:r>
    </w:p>
    <w:p w14:paraId="4C2EF6E0">
      <w:pPr>
        <w:numPr>
          <w:ilvl w:val="0"/>
          <w:numId w:val="10"/>
        </w:numPr>
        <w:spacing w:before="156" w:beforeLines="50" w:after="156" w:afterLines="50" w:line="360" w:lineRule="auto"/>
        <w:jc w:val="left"/>
        <w:rPr>
          <w:rFonts w:hint="eastAsia"/>
          <w:b/>
          <w:sz w:val="24"/>
        </w:rPr>
      </w:pPr>
      <w:r>
        <w:rPr>
          <w:rFonts w:hint="eastAsia"/>
          <w:b/>
          <w:sz w:val="24"/>
        </w:rPr>
        <w:t>付款方式</w:t>
      </w:r>
    </w:p>
    <w:p w14:paraId="1E343644">
      <w:pPr>
        <w:numPr>
          <w:ilvl w:val="0"/>
          <w:numId w:val="17"/>
        </w:numPr>
        <w:spacing w:before="156" w:beforeLines="50" w:after="156" w:afterLines="50" w:line="360" w:lineRule="auto"/>
        <w:jc w:val="left"/>
        <w:rPr>
          <w:bCs/>
          <w:color w:val="000000"/>
          <w:sz w:val="24"/>
        </w:rPr>
      </w:pPr>
      <w:r>
        <w:rPr>
          <w:rFonts w:hint="eastAsia" w:ascii="宋体" w:hAnsi="宋体"/>
          <w:sz w:val="24"/>
        </w:rPr>
        <w:t>本合同项下所有款项均以人民币支付。</w:t>
      </w:r>
    </w:p>
    <w:p w14:paraId="5D64C13C">
      <w:pPr>
        <w:numPr>
          <w:ilvl w:val="0"/>
          <w:numId w:val="17"/>
        </w:numPr>
        <w:spacing w:before="156" w:beforeLines="50" w:after="156" w:afterLines="50" w:line="360" w:lineRule="auto"/>
        <w:jc w:val="left"/>
        <w:rPr>
          <w:bCs/>
          <w:color w:val="000000"/>
          <w:sz w:val="24"/>
        </w:rPr>
      </w:pPr>
      <w:r>
        <w:rPr>
          <w:rFonts w:hint="eastAsia"/>
          <w:bCs/>
          <w:color w:val="000000"/>
          <w:sz w:val="24"/>
        </w:rPr>
        <w:t>本合同项下采购费用按下述方式支付：</w:t>
      </w:r>
    </w:p>
    <w:p w14:paraId="517035D2">
      <w:pPr>
        <w:numPr>
          <w:ilvl w:val="0"/>
          <w:numId w:val="0"/>
        </w:numPr>
        <w:spacing w:before="156" w:beforeLines="50" w:after="156" w:afterLines="50" w:line="360" w:lineRule="auto"/>
        <w:ind w:left="426" w:leftChars="0" w:firstLine="480" w:firstLineChars="200"/>
        <w:jc w:val="left"/>
        <w:rPr>
          <w:rFonts w:hint="eastAsia"/>
          <w:bCs/>
          <w:color w:val="000000"/>
          <w:sz w:val="24"/>
        </w:rPr>
      </w:pPr>
      <w:r>
        <w:rPr>
          <w:rFonts w:hint="eastAsia"/>
          <w:bCs/>
          <w:color w:val="000000"/>
          <w:sz w:val="24"/>
        </w:rPr>
        <w:t>一次性支付。乙方交货完成并经甲方验收合格后向甲方提供与付款金额等额的发票，甲方收到乙方提供发票后</w:t>
      </w:r>
      <w:r>
        <w:rPr>
          <w:rFonts w:hint="eastAsia"/>
          <w:bCs/>
          <w:color w:val="000000"/>
          <w:sz w:val="24"/>
          <w:lang w:val="en-US" w:eastAsia="zh-CN"/>
        </w:rPr>
        <w:t>，按照设备到货先后顺序</w:t>
      </w:r>
      <w:r>
        <w:rPr>
          <w:rFonts w:hint="eastAsia"/>
          <w:bCs/>
          <w:color w:val="000000"/>
          <w:sz w:val="24"/>
        </w:rPr>
        <w:t>向乙方支付采购费用。</w:t>
      </w:r>
    </w:p>
    <w:p w14:paraId="432FBD38">
      <w:pPr>
        <w:numPr>
          <w:ilvl w:val="0"/>
          <w:numId w:val="17"/>
        </w:numPr>
        <w:spacing w:before="156" w:beforeLines="50" w:after="156" w:afterLines="50" w:line="360" w:lineRule="auto"/>
        <w:jc w:val="both"/>
        <w:rPr>
          <w:rFonts w:hint="eastAsia"/>
          <w:sz w:val="24"/>
        </w:rPr>
      </w:pPr>
      <w:r>
        <w:rPr>
          <w:rFonts w:hint="eastAsia"/>
          <w:sz w:val="24"/>
        </w:rPr>
        <w:t>乙方的收款账户为：</w:t>
      </w:r>
    </w:p>
    <w:p w14:paraId="7CAA56FA">
      <w:pPr>
        <w:spacing w:before="156" w:beforeLines="50" w:after="156" w:afterLines="50" w:line="360" w:lineRule="auto"/>
        <w:ind w:firstLine="480" w:firstLineChars="200"/>
        <w:jc w:val="both"/>
        <w:rPr>
          <w:rFonts w:hint="eastAsia"/>
          <w:sz w:val="24"/>
          <w:u w:val="single"/>
        </w:rPr>
      </w:pPr>
      <w:r>
        <w:rPr>
          <w:rFonts w:hint="eastAsia"/>
          <w:sz w:val="24"/>
        </w:rPr>
        <w:t xml:space="preserve">账户名：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5641D185">
      <w:pPr>
        <w:spacing w:before="156" w:beforeLines="50" w:after="156" w:afterLines="50" w:line="360" w:lineRule="auto"/>
        <w:ind w:firstLine="480" w:firstLineChars="200"/>
        <w:jc w:val="both"/>
        <w:rPr>
          <w:rFonts w:hint="eastAsia"/>
          <w:sz w:val="24"/>
          <w:u w:val="single"/>
        </w:rPr>
      </w:pPr>
      <w:r>
        <w:rPr>
          <w:rFonts w:hint="eastAsia"/>
          <w:sz w:val="24"/>
        </w:rPr>
        <w:t xml:space="preserve">开户银行：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31162A33">
      <w:pPr>
        <w:spacing w:before="156" w:beforeLines="50" w:after="156" w:afterLines="50" w:line="360" w:lineRule="auto"/>
        <w:ind w:firstLine="480" w:firstLineChars="200"/>
        <w:jc w:val="both"/>
        <w:rPr>
          <w:rFonts w:hint="eastAsia"/>
          <w:sz w:val="24"/>
          <w:u w:val="single"/>
        </w:rPr>
      </w:pPr>
      <w:r>
        <w:rPr>
          <w:rFonts w:hint="eastAsia"/>
          <w:sz w:val="24"/>
        </w:rPr>
        <w:t xml:space="preserve">银行账号：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1EE19FB0">
      <w:pPr>
        <w:spacing w:before="156" w:beforeLines="50" w:after="156" w:afterLines="50" w:line="360" w:lineRule="auto"/>
        <w:jc w:val="left"/>
        <w:rPr>
          <w:rFonts w:hint="eastAsia" w:eastAsia="宋体"/>
          <w:sz w:val="24"/>
          <w:u w:val="none" w:color="auto"/>
          <w:lang w:val="en-US" w:eastAsia="zh-CN"/>
        </w:rPr>
      </w:pPr>
      <w:r>
        <w:rPr>
          <w:rFonts w:hint="eastAsia"/>
          <w:sz w:val="24"/>
          <w:u w:val="none" w:color="auto"/>
          <w:lang w:val="en-US" w:eastAsia="zh-CN"/>
        </w:rPr>
        <w:t xml:space="preserve">    </w:t>
      </w:r>
      <w:r>
        <w:rPr>
          <w:rFonts w:hint="eastAsia" w:eastAsia="宋体"/>
          <w:sz w:val="24"/>
          <w:u w:val="none" w:color="auto"/>
          <w:lang w:val="en-US" w:eastAsia="zh-CN"/>
        </w:rPr>
        <w:t>乙方收款账户发生变化，应提前【5】日且于甲方付款前提供正式书面变更通知给甲方（该书面通知须加盖公章并经本协议授权代表签字确认后生效），如因变更通知未及时送达甲方而导致的错付款而产生的责任由乙方自行承担。</w:t>
      </w:r>
    </w:p>
    <w:p w14:paraId="2845E0E1">
      <w:pPr>
        <w:numPr>
          <w:ilvl w:val="0"/>
          <w:numId w:val="10"/>
        </w:numPr>
        <w:spacing w:before="156" w:beforeLines="50" w:after="156" w:afterLines="50" w:line="360" w:lineRule="auto"/>
        <w:jc w:val="left"/>
        <w:rPr>
          <w:rFonts w:hint="eastAsia"/>
          <w:b/>
          <w:sz w:val="24"/>
        </w:rPr>
      </w:pPr>
      <w:r>
        <w:rPr>
          <w:rFonts w:hint="eastAsia"/>
          <w:b/>
          <w:sz w:val="24"/>
        </w:rPr>
        <w:t>售后服务</w:t>
      </w:r>
    </w:p>
    <w:p w14:paraId="06E32D41">
      <w:pPr>
        <w:numPr>
          <w:ilvl w:val="0"/>
          <w:numId w:val="18"/>
        </w:numPr>
        <w:spacing w:before="0" w:beforeLines="0" w:after="0" w:afterLines="0" w:line="360" w:lineRule="auto"/>
        <w:ind w:firstLine="420" w:firstLineChars="0"/>
        <w:jc w:val="both"/>
        <w:rPr>
          <w:rFonts w:hint="eastAsia" w:ascii="宋体" w:hAnsi="宋体"/>
          <w:i w:val="0"/>
          <w:sz w:val="24"/>
        </w:rPr>
      </w:pPr>
      <w:r>
        <w:rPr>
          <w:rFonts w:hint="eastAsia" w:ascii="宋体" w:hAnsi="宋体"/>
          <w:i w:val="0"/>
          <w:sz w:val="24"/>
        </w:rPr>
        <w:t>保修期：</w:t>
      </w:r>
      <w:r>
        <w:rPr>
          <w:rFonts w:hint="eastAsia" w:ascii="宋体" w:hAnsi="宋体"/>
          <w:i w:val="0"/>
          <w:sz w:val="24"/>
          <w:lang w:eastAsia="zh-CN"/>
        </w:rPr>
        <w:t>提供</w:t>
      </w:r>
      <w:r>
        <w:rPr>
          <w:rFonts w:hint="eastAsia" w:ascii="宋体" w:hAnsi="宋体"/>
          <w:i w:val="0"/>
          <w:sz w:val="24"/>
          <w:u w:val="single"/>
          <w:lang w:val="en-US" w:eastAsia="zh-CN"/>
        </w:rPr>
        <w:t xml:space="preserve">   </w:t>
      </w:r>
      <w:r>
        <w:rPr>
          <w:rFonts w:hint="eastAsia" w:ascii="宋体" w:hAnsi="宋体"/>
          <w:i w:val="0"/>
          <w:sz w:val="24"/>
          <w:lang w:eastAsia="zh-CN"/>
        </w:rPr>
        <w:t>年原厂维保服务。包含</w:t>
      </w:r>
      <w:r>
        <w:rPr>
          <w:rFonts w:hint="eastAsia" w:ascii="宋体" w:hAnsi="宋体"/>
          <w:i w:val="0"/>
          <w:sz w:val="24"/>
          <w:lang w:val="en-US" w:eastAsia="zh-CN"/>
        </w:rPr>
        <w:t>7*24小时电话支持，4小时上门服务，硬盘保留服务。</w:t>
      </w:r>
    </w:p>
    <w:p w14:paraId="2E566DF0">
      <w:pPr>
        <w:numPr>
          <w:ilvl w:val="0"/>
          <w:numId w:val="18"/>
        </w:numPr>
        <w:spacing w:before="0" w:beforeLines="0" w:after="0" w:afterLines="0" w:line="360" w:lineRule="auto"/>
        <w:ind w:firstLine="420" w:firstLineChars="0"/>
        <w:jc w:val="both"/>
        <w:rPr>
          <w:rFonts w:hint="eastAsia" w:ascii="宋体" w:hAnsi="宋体"/>
          <w:i w:val="0"/>
          <w:sz w:val="24"/>
        </w:rPr>
      </w:pPr>
      <w:r>
        <w:rPr>
          <w:rFonts w:hint="eastAsia" w:ascii="宋体" w:hAnsi="宋体"/>
          <w:i w:val="0"/>
          <w:sz w:val="24"/>
        </w:rPr>
        <w:t>在</w:t>
      </w:r>
      <w:r>
        <w:rPr>
          <w:rFonts w:hint="eastAsia" w:ascii="宋体" w:hAnsi="宋体"/>
          <w:i w:val="0"/>
          <w:sz w:val="24"/>
          <w:lang w:eastAsia="zh-CN"/>
        </w:rPr>
        <w:t>产品</w:t>
      </w:r>
      <w:r>
        <w:rPr>
          <w:rFonts w:hint="eastAsia" w:ascii="宋体" w:hAnsi="宋体"/>
          <w:i w:val="0"/>
          <w:sz w:val="24"/>
        </w:rPr>
        <w:t>保修期内或在应当由乙方负责的其他情况下，若由于乙方更换、修理和续补货物，而造成</w:t>
      </w:r>
      <w:r>
        <w:rPr>
          <w:rFonts w:hint="eastAsia" w:ascii="宋体" w:hAnsi="宋体"/>
          <w:i w:val="0"/>
          <w:sz w:val="24"/>
          <w:lang w:eastAsia="zh-CN"/>
        </w:rPr>
        <w:t>产品</w:t>
      </w:r>
      <w:r>
        <w:rPr>
          <w:rFonts w:hint="eastAsia" w:ascii="宋体" w:hAnsi="宋体"/>
          <w:i w:val="0"/>
          <w:sz w:val="24"/>
        </w:rPr>
        <w:t>不得不停止使用，</w:t>
      </w:r>
      <w:r>
        <w:rPr>
          <w:rFonts w:hint="eastAsia" w:ascii="宋体" w:hAnsi="宋体"/>
          <w:i w:val="0"/>
          <w:sz w:val="24"/>
          <w:lang w:eastAsia="zh-CN"/>
        </w:rPr>
        <w:t>产品质保或</w:t>
      </w:r>
      <w:r>
        <w:rPr>
          <w:rFonts w:hint="eastAsia" w:ascii="宋体" w:hAnsi="宋体"/>
          <w:i w:val="0"/>
          <w:sz w:val="24"/>
        </w:rPr>
        <w:t>保修期应依照停止使用的实际时间加以延长，如因此给甲方造成损失，乙方应负责赔偿。</w:t>
      </w:r>
    </w:p>
    <w:p w14:paraId="147E911F">
      <w:pPr>
        <w:numPr>
          <w:ilvl w:val="0"/>
          <w:numId w:val="18"/>
        </w:numPr>
        <w:spacing w:before="156" w:beforeLines="50" w:after="156" w:afterLines="50" w:line="360" w:lineRule="auto"/>
        <w:jc w:val="left"/>
        <w:rPr>
          <w:rFonts w:hint="eastAsia"/>
          <w:sz w:val="24"/>
        </w:rPr>
      </w:pPr>
      <w:r>
        <w:rPr>
          <w:rFonts w:hint="eastAsia"/>
          <w:sz w:val="24"/>
        </w:rPr>
        <w:t>乙方的售后服务电话为：</w:t>
      </w:r>
      <w:r>
        <w:rPr>
          <w:rFonts w:hint="eastAsia" w:ascii="宋体" w:hAnsi="宋体"/>
          <w:sz w:val="24"/>
          <w:highlight w:val="none"/>
          <w:u w:val="single"/>
          <w:lang w:val="en-US" w:eastAsia="zh-CN"/>
        </w:rPr>
        <w:t xml:space="preserve">                </w:t>
      </w:r>
      <w:r>
        <w:rPr>
          <w:rFonts w:hint="eastAsia"/>
          <w:sz w:val="24"/>
        </w:rPr>
        <w:t>。乙方的售后服务电话发生变更，应在变更之日</w:t>
      </w:r>
      <w:r>
        <w:rPr>
          <w:rFonts w:hint="eastAsia"/>
          <w:sz w:val="24"/>
          <w:lang w:eastAsia="zh-CN"/>
        </w:rPr>
        <w:t>发出</w:t>
      </w:r>
      <w:r>
        <w:rPr>
          <w:rFonts w:hint="eastAsia"/>
          <w:sz w:val="24"/>
        </w:rPr>
        <w:t>书面通知</w:t>
      </w:r>
      <w:r>
        <w:rPr>
          <w:rFonts w:hint="eastAsia"/>
          <w:sz w:val="24"/>
          <w:lang w:eastAsia="zh-CN"/>
        </w:rPr>
        <w:t>甲</w:t>
      </w:r>
      <w:r>
        <w:rPr>
          <w:rFonts w:hint="eastAsia"/>
          <w:sz w:val="24"/>
        </w:rPr>
        <w:t>方。</w:t>
      </w:r>
      <w:r>
        <w:rPr>
          <w:rFonts w:hint="eastAsia"/>
          <w:sz w:val="24"/>
          <w:lang w:eastAsia="zh-CN"/>
        </w:rPr>
        <w:t>乙方售后服务电话发生变更未按要求通知甲方，由此造成的甲方及第三方的损失由乙方负责赔偿。</w:t>
      </w:r>
    </w:p>
    <w:p w14:paraId="0352B7A9">
      <w:pPr>
        <w:numPr>
          <w:ilvl w:val="0"/>
          <w:numId w:val="18"/>
        </w:numPr>
        <w:spacing w:before="156" w:beforeLines="50" w:after="156" w:afterLines="50" w:line="360" w:lineRule="auto"/>
        <w:jc w:val="left"/>
        <w:rPr>
          <w:rFonts w:hint="eastAsia"/>
          <w:sz w:val="24"/>
        </w:rPr>
      </w:pPr>
      <w:r>
        <w:rPr>
          <w:rFonts w:hint="eastAsia"/>
          <w:sz w:val="24"/>
        </w:rPr>
        <w:t>合同中未列出的有关伴随服务或售后服务按甲方招标需求承诺执行。</w:t>
      </w:r>
    </w:p>
    <w:p w14:paraId="00FE234D">
      <w:pPr>
        <w:numPr>
          <w:ilvl w:val="0"/>
          <w:numId w:val="0"/>
        </w:numPr>
        <w:spacing w:before="156" w:beforeLines="50" w:after="156" w:afterLines="50" w:line="360" w:lineRule="auto"/>
        <w:ind w:left="0" w:firstLine="0"/>
        <w:jc w:val="left"/>
        <w:rPr>
          <w:rFonts w:hint="eastAsia"/>
          <w:sz w:val="24"/>
        </w:rPr>
      </w:pPr>
      <w:r>
        <w:rPr>
          <w:rFonts w:hint="eastAsia"/>
          <w:sz w:val="24"/>
        </w:rPr>
        <w:t xml:space="preserve">   </w:t>
      </w:r>
    </w:p>
    <w:p w14:paraId="7548D203">
      <w:pPr>
        <w:numPr>
          <w:ilvl w:val="0"/>
          <w:numId w:val="10"/>
        </w:numPr>
        <w:spacing w:before="156" w:beforeLines="50" w:after="156" w:afterLines="50" w:line="360" w:lineRule="auto"/>
        <w:jc w:val="left"/>
        <w:rPr>
          <w:rFonts w:hint="eastAsia"/>
          <w:b/>
          <w:sz w:val="24"/>
        </w:rPr>
      </w:pPr>
      <w:r>
        <w:rPr>
          <w:rFonts w:hint="eastAsia"/>
          <w:b/>
          <w:sz w:val="24"/>
        </w:rPr>
        <w:t>知识产权</w:t>
      </w:r>
      <w:r>
        <w:rPr>
          <w:rFonts w:hint="eastAsia"/>
          <w:b/>
          <w:sz w:val="24"/>
          <w:lang w:eastAsia="zh-CN"/>
        </w:rPr>
        <w:t>、物权</w:t>
      </w:r>
    </w:p>
    <w:p w14:paraId="12180900">
      <w:pPr>
        <w:spacing w:before="156" w:beforeLines="50" w:after="156" w:afterLines="50" w:line="360" w:lineRule="auto"/>
        <w:ind w:firstLine="480" w:firstLineChars="200"/>
        <w:jc w:val="left"/>
        <w:rPr>
          <w:rFonts w:hint="eastAsia"/>
          <w:sz w:val="24"/>
        </w:rPr>
      </w:pPr>
      <w:r>
        <w:rPr>
          <w:rFonts w:hint="eastAsia"/>
          <w:sz w:val="24"/>
        </w:rPr>
        <w:t>乙方应保证甲方在中华人民共和国使用本合同项下全部采购标的或其任何一部分时不受第三方关于侵犯其专利权、商标权或工业</w:t>
      </w:r>
      <w:r>
        <w:rPr>
          <w:rFonts w:hint="eastAsia"/>
          <w:sz w:val="24"/>
          <w:lang w:val="en-US" w:eastAsia="zh-CN"/>
        </w:rPr>
        <w:t xml:space="preserve"> </w:t>
      </w:r>
      <w:r>
        <w:rPr>
          <w:rFonts w:hint="eastAsia"/>
          <w:sz w:val="24"/>
        </w:rPr>
        <w:t>设计等知识产权和其所有权、抵押权等物权及其他权利</w:t>
      </w:r>
      <w:r>
        <w:rPr>
          <w:rFonts w:hint="eastAsia"/>
          <w:sz w:val="24"/>
          <w:lang w:eastAsia="zh-CN"/>
        </w:rPr>
        <w:t>的</w:t>
      </w:r>
      <w:r>
        <w:rPr>
          <w:rFonts w:hint="eastAsia"/>
          <w:sz w:val="24"/>
        </w:rPr>
        <w:t>指控。如有任何第三方提出侵权指控，由乙方自行与之交涉，由此引起的一切法律责任或费用，及对甲方造成的一切损失</w:t>
      </w:r>
      <w:r>
        <w:rPr>
          <w:rFonts w:hint="eastAsia"/>
          <w:sz w:val="24"/>
          <w:lang w:eastAsia="zh-CN"/>
        </w:rPr>
        <w:t>，</w:t>
      </w:r>
      <w:r>
        <w:rPr>
          <w:rFonts w:hint="eastAsia"/>
          <w:sz w:val="24"/>
          <w:lang w:val="en-US" w:eastAsia="zh-CN"/>
        </w:rPr>
        <w:t>包括但不限于由于第三方索赔而支付的赔偿金、补偿金、处罚金等</w:t>
      </w:r>
      <w:r>
        <w:rPr>
          <w:rFonts w:hint="eastAsia"/>
          <w:sz w:val="24"/>
        </w:rPr>
        <w:t>，均由乙方承担。</w:t>
      </w:r>
    </w:p>
    <w:p w14:paraId="1A80E153">
      <w:pPr>
        <w:numPr>
          <w:ilvl w:val="0"/>
          <w:numId w:val="10"/>
        </w:numPr>
        <w:spacing w:before="156" w:beforeLines="50" w:after="156" w:afterLines="50" w:line="360" w:lineRule="auto"/>
        <w:jc w:val="left"/>
        <w:rPr>
          <w:rFonts w:hint="eastAsia"/>
          <w:b/>
          <w:sz w:val="24"/>
        </w:rPr>
      </w:pPr>
      <w:r>
        <w:rPr>
          <w:rFonts w:hint="eastAsia"/>
          <w:b/>
          <w:sz w:val="24"/>
        </w:rPr>
        <w:t>违约责任</w:t>
      </w:r>
    </w:p>
    <w:p w14:paraId="6A4DE47F">
      <w:pPr>
        <w:numPr>
          <w:ilvl w:val="0"/>
          <w:numId w:val="19"/>
        </w:numPr>
        <w:spacing w:before="156" w:beforeLines="50" w:after="156" w:afterLines="50" w:line="360" w:lineRule="auto"/>
        <w:jc w:val="left"/>
        <w:rPr>
          <w:rFonts w:hint="eastAsia"/>
          <w:sz w:val="24"/>
        </w:rPr>
      </w:pPr>
      <w:r>
        <w:rPr>
          <w:rFonts w:hint="eastAsia" w:ascii="宋体" w:hAnsi="宋体"/>
          <w:sz w:val="24"/>
        </w:rPr>
        <w:t>甲方无正当理由拒收货物的，由甲方向乙方偿付合同总价的</w:t>
      </w:r>
      <w:r>
        <w:rPr>
          <w:rFonts w:hint="eastAsia" w:ascii="宋体" w:hAnsi="宋体"/>
          <w:sz w:val="24"/>
          <w:highlight w:val="none"/>
          <w:u w:val="single"/>
          <w:lang w:val="en-US" w:eastAsia="zh-CN"/>
        </w:rPr>
        <w:t xml:space="preserve"> 0.1  </w:t>
      </w:r>
      <w:r>
        <w:rPr>
          <w:rFonts w:hint="eastAsia" w:ascii="宋体" w:hAnsi="宋体"/>
          <w:sz w:val="24"/>
        </w:rPr>
        <w:t>%违约金。</w:t>
      </w:r>
    </w:p>
    <w:p w14:paraId="6B88B432">
      <w:pPr>
        <w:numPr>
          <w:ilvl w:val="0"/>
          <w:numId w:val="19"/>
        </w:numPr>
        <w:spacing w:before="156" w:beforeLines="50" w:after="156" w:afterLines="50" w:line="360" w:lineRule="auto"/>
        <w:ind w:left="0" w:firstLine="0"/>
        <w:jc w:val="left"/>
        <w:rPr>
          <w:rFonts w:hint="eastAsia"/>
          <w:sz w:val="24"/>
        </w:rPr>
      </w:pPr>
      <w:r>
        <w:rPr>
          <w:rFonts w:hint="eastAsia"/>
          <w:sz w:val="24"/>
          <w:lang w:eastAsia="zh-CN"/>
        </w:rPr>
        <w:t>除不可抗力，</w:t>
      </w:r>
      <w:r>
        <w:rPr>
          <w:rFonts w:hint="eastAsia"/>
          <w:sz w:val="24"/>
          <w:highlight w:val="none"/>
        </w:rPr>
        <w:t>如甲方于约定的付款日到期时无故不付款，</w:t>
      </w:r>
      <w:r>
        <w:rPr>
          <w:rFonts w:hint="eastAsia"/>
          <w:sz w:val="24"/>
          <w:highlight w:val="none"/>
          <w:lang w:eastAsia="zh-CN"/>
        </w:rPr>
        <w:t>构成</w:t>
      </w:r>
      <w:r>
        <w:rPr>
          <w:rFonts w:hint="eastAsia"/>
          <w:sz w:val="24"/>
          <w:highlight w:val="none"/>
        </w:rPr>
        <w:t>违约，</w:t>
      </w:r>
      <w:r>
        <w:rPr>
          <w:rFonts w:hint="eastAsia"/>
          <w:sz w:val="24"/>
        </w:rPr>
        <w:t>甲方应每日按</w:t>
      </w:r>
      <w:r>
        <w:rPr>
          <w:rFonts w:hint="eastAsia"/>
          <w:sz w:val="24"/>
          <w:lang w:eastAsia="zh-CN"/>
        </w:rPr>
        <w:t>合同总价</w:t>
      </w:r>
      <w:r>
        <w:rPr>
          <w:rFonts w:hint="eastAsia"/>
          <w:sz w:val="24"/>
        </w:rPr>
        <w:t>的</w:t>
      </w:r>
      <w:r>
        <w:rPr>
          <w:rFonts w:hint="eastAsia" w:ascii="宋体" w:hAnsi="宋体"/>
          <w:sz w:val="24"/>
          <w:highlight w:val="none"/>
          <w:u w:val="single"/>
          <w:lang w:val="en-US" w:eastAsia="zh-CN"/>
        </w:rPr>
        <w:t xml:space="preserve">  0.01 %</w:t>
      </w:r>
      <w:r>
        <w:rPr>
          <w:rFonts w:hint="eastAsia"/>
          <w:sz w:val="24"/>
        </w:rPr>
        <w:t>向乙方支付违约金。</w:t>
      </w:r>
    </w:p>
    <w:p w14:paraId="50E9448F">
      <w:pPr>
        <w:numPr>
          <w:ilvl w:val="0"/>
          <w:numId w:val="19"/>
        </w:numPr>
        <w:spacing w:before="156" w:beforeLines="50" w:after="156" w:afterLines="50" w:line="360" w:lineRule="auto"/>
        <w:jc w:val="left"/>
        <w:rPr>
          <w:rFonts w:hint="eastAsia"/>
          <w:sz w:val="24"/>
        </w:rPr>
      </w:pPr>
      <w:r>
        <w:rPr>
          <w:rFonts w:hint="eastAsia"/>
          <w:sz w:val="24"/>
        </w:rPr>
        <w:t>除不可抗力，如乙方</w:t>
      </w:r>
      <w:r>
        <w:rPr>
          <w:rFonts w:hint="eastAsia"/>
          <w:sz w:val="24"/>
          <w:lang w:eastAsia="zh-CN"/>
        </w:rPr>
        <w:t>于约定的交货日前未交货的</w:t>
      </w:r>
      <w:r>
        <w:rPr>
          <w:rFonts w:hint="eastAsia"/>
          <w:sz w:val="24"/>
        </w:rPr>
        <w:t>，</w:t>
      </w:r>
      <w:r>
        <w:rPr>
          <w:rFonts w:hint="eastAsia"/>
          <w:sz w:val="24"/>
          <w:lang w:eastAsia="zh-CN"/>
        </w:rPr>
        <w:t>构成</w:t>
      </w:r>
      <w:r>
        <w:rPr>
          <w:rFonts w:hint="eastAsia"/>
          <w:sz w:val="24"/>
        </w:rPr>
        <w:t>违约，乙方应于</w:t>
      </w:r>
      <w:r>
        <w:rPr>
          <w:rFonts w:hint="eastAsia"/>
          <w:sz w:val="24"/>
          <w:lang w:eastAsia="zh-CN"/>
        </w:rPr>
        <w:t>交货日</w:t>
      </w:r>
      <w:r>
        <w:rPr>
          <w:rFonts w:hint="eastAsia"/>
          <w:sz w:val="24"/>
        </w:rPr>
        <w:t>起每日按</w:t>
      </w:r>
      <w:r>
        <w:rPr>
          <w:rFonts w:hint="eastAsia"/>
          <w:sz w:val="24"/>
          <w:lang w:eastAsia="zh-CN"/>
        </w:rPr>
        <w:t>合同总价</w:t>
      </w:r>
      <w:r>
        <w:rPr>
          <w:rFonts w:hint="eastAsia"/>
          <w:sz w:val="24"/>
        </w:rPr>
        <w:t>的</w:t>
      </w:r>
      <w:r>
        <w:rPr>
          <w:rFonts w:hint="eastAsia" w:ascii="宋体" w:hAnsi="宋体"/>
          <w:sz w:val="24"/>
          <w:highlight w:val="none"/>
          <w:u w:val="single"/>
          <w:lang w:val="en-US" w:eastAsia="zh-CN"/>
        </w:rPr>
        <w:t xml:space="preserve"> 0.1 %</w:t>
      </w:r>
      <w:r>
        <w:rPr>
          <w:rFonts w:hint="eastAsia"/>
          <w:sz w:val="24"/>
        </w:rPr>
        <w:t>向甲方支付违约金。</w:t>
      </w:r>
      <w:r>
        <w:rPr>
          <w:rFonts w:hint="eastAsia" w:ascii="宋体" w:hAnsi="宋体"/>
          <w:sz w:val="24"/>
        </w:rPr>
        <w:t>如超过规定交货期限</w:t>
      </w:r>
      <w:r>
        <w:rPr>
          <w:rFonts w:hint="eastAsia" w:ascii="宋体" w:hAnsi="宋体"/>
          <w:sz w:val="24"/>
          <w:highlight w:val="none"/>
          <w:u w:val="single"/>
          <w:lang w:val="en-US" w:eastAsia="zh-CN"/>
        </w:rPr>
        <w:t xml:space="preserve"> 20 </w:t>
      </w:r>
      <w:r>
        <w:rPr>
          <w:rFonts w:hint="eastAsia" w:ascii="宋体" w:hAnsi="宋体"/>
          <w:sz w:val="24"/>
        </w:rPr>
        <w:t>天后仍不能交货完毕，甲方有权无条件解除合同</w:t>
      </w:r>
      <w:r>
        <w:rPr>
          <w:rFonts w:hint="eastAsia" w:ascii="宋体" w:hAnsi="宋体"/>
          <w:sz w:val="24"/>
          <w:lang w:eastAsia="zh-CN"/>
        </w:rPr>
        <w:t>，并要求对方承担本合同金额</w:t>
      </w:r>
      <w:r>
        <w:rPr>
          <w:rFonts w:hint="eastAsia" w:ascii="宋体" w:hAnsi="宋体"/>
          <w:sz w:val="24"/>
          <w:highlight w:val="none"/>
          <w:u w:val="single"/>
          <w:lang w:val="en-US" w:eastAsia="zh-CN"/>
        </w:rPr>
        <w:t xml:space="preserve"> 10 </w:t>
      </w:r>
      <w:r>
        <w:rPr>
          <w:rFonts w:hint="eastAsia" w:ascii="宋体" w:hAnsi="宋体"/>
          <w:sz w:val="24"/>
          <w:lang w:val="en-US" w:eastAsia="zh-CN"/>
        </w:rPr>
        <w:t>％的违约金</w:t>
      </w:r>
      <w:r>
        <w:rPr>
          <w:rFonts w:hint="eastAsia" w:ascii="宋体" w:hAnsi="宋体"/>
          <w:sz w:val="24"/>
          <w:lang w:eastAsia="zh-CN"/>
        </w:rPr>
        <w:t>。</w:t>
      </w:r>
    </w:p>
    <w:p w14:paraId="161F54CD">
      <w:pPr>
        <w:numPr>
          <w:ilvl w:val="0"/>
          <w:numId w:val="19"/>
        </w:numPr>
        <w:spacing w:before="156" w:beforeLines="50" w:after="156" w:afterLines="50" w:line="360" w:lineRule="auto"/>
        <w:jc w:val="left"/>
        <w:rPr>
          <w:rFonts w:hint="eastAsia"/>
          <w:sz w:val="24"/>
        </w:rPr>
      </w:pPr>
      <w:r>
        <w:rPr>
          <w:rFonts w:hint="eastAsia"/>
          <w:sz w:val="24"/>
        </w:rPr>
        <w:t>发生</w:t>
      </w:r>
      <w:r>
        <w:rPr>
          <w:rFonts w:hint="eastAsia"/>
          <w:sz w:val="24"/>
          <w:lang w:eastAsia="zh-CN"/>
        </w:rPr>
        <w:t>本合同约定的其它违约情形的，违约方应当承担向守约方支付本合同金额</w:t>
      </w:r>
      <w:r>
        <w:rPr>
          <w:rFonts w:hint="eastAsia" w:ascii="宋体" w:hAnsi="宋体"/>
          <w:sz w:val="24"/>
          <w:highlight w:val="none"/>
          <w:u w:val="single"/>
          <w:lang w:val="en-US" w:eastAsia="zh-CN"/>
        </w:rPr>
        <w:t xml:space="preserve"> 10 </w:t>
      </w:r>
      <w:r>
        <w:rPr>
          <w:rFonts w:hint="eastAsia" w:ascii="宋体" w:hAnsi="宋体"/>
          <w:sz w:val="24"/>
          <w:lang w:val="en-US" w:eastAsia="zh-CN"/>
        </w:rPr>
        <w:t>％的违约金，并应赔偿</w:t>
      </w:r>
      <w:r>
        <w:rPr>
          <w:rFonts w:hint="eastAsia"/>
          <w:sz w:val="24"/>
        </w:rPr>
        <w:t>由此给守约方造成的损失</w:t>
      </w:r>
      <w:r>
        <w:rPr>
          <w:rFonts w:hint="eastAsia"/>
          <w:sz w:val="24"/>
          <w:lang w:eastAsia="zh-CN"/>
        </w:rPr>
        <w:t>。</w:t>
      </w:r>
      <w:r>
        <w:rPr>
          <w:rFonts w:hint="eastAsia"/>
          <w:sz w:val="24"/>
        </w:rPr>
        <w:t>如属双方过错，应各自承担相应责任。</w:t>
      </w:r>
    </w:p>
    <w:p w14:paraId="5D70478E">
      <w:pPr>
        <w:numPr>
          <w:ilvl w:val="0"/>
          <w:numId w:val="19"/>
        </w:numPr>
        <w:spacing w:before="156" w:beforeLines="50" w:after="156" w:afterLines="50" w:line="360" w:lineRule="auto"/>
        <w:jc w:val="left"/>
        <w:rPr>
          <w:rFonts w:hint="eastAsia"/>
          <w:sz w:val="24"/>
        </w:rPr>
      </w:pPr>
      <w:r>
        <w:rPr>
          <w:sz w:val="24"/>
        </w:rPr>
        <w:t>任何一方违约时，守约方有权要求违约方继续履行本</w:t>
      </w:r>
      <w:r>
        <w:rPr>
          <w:rFonts w:hint="eastAsia"/>
          <w:sz w:val="24"/>
        </w:rPr>
        <w:t>合同</w:t>
      </w:r>
      <w:r>
        <w:rPr>
          <w:rFonts w:hint="eastAsia"/>
          <w:sz w:val="24"/>
          <w:lang w:eastAsia="zh-CN"/>
        </w:rPr>
        <w:t>，</w:t>
      </w:r>
      <w:r>
        <w:rPr>
          <w:rFonts w:hint="eastAsia"/>
          <w:sz w:val="24"/>
        </w:rPr>
        <w:t>或单方面解除本合同</w:t>
      </w:r>
      <w:r>
        <w:rPr>
          <w:rFonts w:hint="eastAsia"/>
          <w:sz w:val="24"/>
          <w:lang w:eastAsia="zh-CN"/>
        </w:rPr>
        <w:t>。</w:t>
      </w:r>
    </w:p>
    <w:p w14:paraId="42B4FE4B">
      <w:pPr>
        <w:numPr>
          <w:ilvl w:val="0"/>
          <w:numId w:val="0"/>
        </w:numPr>
        <w:spacing w:before="156" w:beforeLines="50" w:after="156" w:afterLines="50" w:line="360" w:lineRule="auto"/>
        <w:ind w:left="0" w:firstLine="0"/>
        <w:jc w:val="left"/>
        <w:rPr>
          <w:rFonts w:hint="eastAsia"/>
          <w:sz w:val="24"/>
        </w:rPr>
      </w:pPr>
    </w:p>
    <w:p w14:paraId="5C168C7A">
      <w:pPr>
        <w:numPr>
          <w:ilvl w:val="0"/>
          <w:numId w:val="10"/>
        </w:numPr>
        <w:spacing w:before="156" w:beforeLines="50" w:after="156" w:afterLines="50" w:line="360" w:lineRule="auto"/>
        <w:jc w:val="left"/>
        <w:rPr>
          <w:rFonts w:hint="eastAsia"/>
          <w:b/>
          <w:sz w:val="24"/>
        </w:rPr>
      </w:pPr>
      <w:r>
        <w:rPr>
          <w:rFonts w:hint="eastAsia"/>
          <w:b/>
          <w:sz w:val="24"/>
        </w:rPr>
        <w:t>不可抗力</w:t>
      </w:r>
    </w:p>
    <w:p w14:paraId="6FBC97DE">
      <w:pPr>
        <w:numPr>
          <w:ilvl w:val="0"/>
          <w:numId w:val="20"/>
        </w:numPr>
        <w:spacing w:before="156" w:beforeLines="50" w:after="156" w:afterLines="50" w:line="360" w:lineRule="auto"/>
        <w:jc w:val="left"/>
        <w:rPr>
          <w:rFonts w:hint="eastAsia"/>
          <w:sz w:val="24"/>
        </w:rPr>
      </w:pPr>
      <w:r>
        <w:rPr>
          <w:rFonts w:hint="eastAsia"/>
          <w:sz w:val="24"/>
        </w:rPr>
        <w:t>“不可抗力”系指在本合同签署后发生的、本合同签署时不能预见的、其发生与后果是无法避免或克服的、妨碍任何一方全部或部分履约的所有事件。上述事件包括地震、台风、水灾、火灾、战争、流行病、罢工等，以及根据中国法律或一般商业惯例认作不可抗力的其他事件。一方缺少资金非为不可抗力事件。</w:t>
      </w:r>
    </w:p>
    <w:p w14:paraId="6699EE4E">
      <w:pPr>
        <w:numPr>
          <w:ilvl w:val="0"/>
          <w:numId w:val="20"/>
        </w:numPr>
        <w:spacing w:before="156" w:beforeLines="50" w:after="156" w:afterLines="50" w:line="360" w:lineRule="auto"/>
        <w:jc w:val="left"/>
        <w:rPr>
          <w:rFonts w:hint="eastAsia"/>
          <w:sz w:val="24"/>
        </w:rPr>
      </w:pPr>
      <w:r>
        <w:rPr>
          <w:rFonts w:hint="eastAsia"/>
          <w:sz w:val="24"/>
        </w:rPr>
        <w:t>如果发生不可抗力事件，影响一方履行其在本合同项下的义务，则本合同在不可抗力造成的延误期内中止履行，而不视为违约；如在一方违约后发生不可抗力事件的，不得要求免责。宣称发生不可抗力的一方应尽快书面通知另一方，并在其后的</w:t>
      </w:r>
      <w:r>
        <w:rPr>
          <w:rFonts w:hint="eastAsia" w:ascii="宋体" w:hAnsi="宋体"/>
          <w:sz w:val="24"/>
          <w:highlight w:val="none"/>
          <w:u w:val="single"/>
          <w:lang w:val="en-US" w:eastAsia="zh-CN"/>
        </w:rPr>
        <w:t xml:space="preserve">  20  </w:t>
      </w:r>
      <w:r>
        <w:rPr>
          <w:rFonts w:hint="eastAsia"/>
          <w:sz w:val="24"/>
        </w:rPr>
        <w:t>日内提供证明不可抗力发生及其持续时间的足够证据。</w:t>
      </w:r>
    </w:p>
    <w:p w14:paraId="6AC6202A">
      <w:pPr>
        <w:numPr>
          <w:ilvl w:val="0"/>
          <w:numId w:val="20"/>
        </w:numPr>
        <w:spacing w:before="156" w:beforeLines="50" w:after="156" w:afterLines="50" w:line="360" w:lineRule="auto"/>
        <w:jc w:val="left"/>
        <w:rPr>
          <w:sz w:val="24"/>
        </w:rPr>
      </w:pPr>
      <w:r>
        <w:rPr>
          <w:rFonts w:hint="eastAsia"/>
          <w:sz w:val="24"/>
        </w:rPr>
        <w:t>如果发生不可抗力事件，甲、乙双方应尽快相互协商，以找到公平的解决办法，并且应尽一切合理努力将不可抗力的影响减少到最低限度。</w:t>
      </w:r>
    </w:p>
    <w:p w14:paraId="02D16F13">
      <w:pPr>
        <w:numPr>
          <w:ilvl w:val="0"/>
          <w:numId w:val="10"/>
        </w:numPr>
        <w:spacing w:before="156" w:beforeLines="50" w:after="156" w:afterLines="50" w:line="360" w:lineRule="auto"/>
        <w:jc w:val="left"/>
        <w:rPr>
          <w:rFonts w:hint="eastAsia"/>
          <w:b/>
          <w:sz w:val="24"/>
        </w:rPr>
      </w:pPr>
      <w:r>
        <w:rPr>
          <w:rFonts w:hint="eastAsia"/>
          <w:b/>
          <w:sz w:val="24"/>
        </w:rPr>
        <w:t>适用法律及争议解决</w:t>
      </w:r>
    </w:p>
    <w:p w14:paraId="0FB32836">
      <w:pPr>
        <w:numPr>
          <w:ilvl w:val="0"/>
          <w:numId w:val="21"/>
        </w:numPr>
        <w:spacing w:before="156" w:beforeLines="50" w:after="156" w:afterLines="50" w:line="360" w:lineRule="auto"/>
        <w:jc w:val="left"/>
        <w:rPr>
          <w:rFonts w:hint="eastAsia"/>
          <w:sz w:val="24"/>
        </w:rPr>
      </w:pPr>
      <w:r>
        <w:rPr>
          <w:rFonts w:hint="eastAsia"/>
          <w:sz w:val="24"/>
        </w:rPr>
        <w:t>本合同的订立、履行、解释、变更和争议的解决适用中华人民共和国法律，并受其管辖和约束。</w:t>
      </w:r>
    </w:p>
    <w:p w14:paraId="23F727D5">
      <w:pPr>
        <w:numPr>
          <w:ilvl w:val="0"/>
          <w:numId w:val="21"/>
        </w:numPr>
        <w:spacing w:before="156" w:beforeLines="50" w:after="156" w:afterLines="50" w:line="360" w:lineRule="auto"/>
        <w:jc w:val="left"/>
        <w:rPr>
          <w:rFonts w:hint="eastAsia"/>
          <w:sz w:val="24"/>
        </w:rPr>
      </w:pPr>
      <w:r>
        <w:rPr>
          <w:rFonts w:hint="eastAsia"/>
          <w:sz w:val="24"/>
        </w:rPr>
        <w:t>本合同未尽事宜以及履行本合同过程中所产生的争议，甲、乙双方应积极协商解决；协商不成的</w:t>
      </w:r>
      <w:r>
        <w:rPr>
          <w:rFonts w:hint="eastAsia"/>
          <w:sz w:val="24"/>
          <w:lang w:eastAsia="zh-CN"/>
        </w:rPr>
        <w:t>，向</w:t>
      </w:r>
      <w:r>
        <w:rPr>
          <w:rFonts w:hint="eastAsia"/>
          <w:bCs/>
          <w:color w:val="000000"/>
          <w:sz w:val="24"/>
        </w:rPr>
        <w:t>甲方</w:t>
      </w:r>
      <w:r>
        <w:rPr>
          <w:rFonts w:hint="eastAsia"/>
          <w:sz w:val="24"/>
        </w:rPr>
        <w:t>所在地人民法院</w:t>
      </w:r>
      <w:r>
        <w:rPr>
          <w:rFonts w:hint="eastAsia"/>
          <w:sz w:val="24"/>
          <w:lang w:eastAsia="zh-CN"/>
        </w:rPr>
        <w:t>提起诉讼</w:t>
      </w:r>
      <w:r>
        <w:rPr>
          <w:rFonts w:hint="eastAsia"/>
          <w:sz w:val="24"/>
          <w:highlight w:val="none"/>
          <w:lang w:eastAsia="zh-CN"/>
        </w:rPr>
        <w:t>。</w:t>
      </w:r>
      <w:r>
        <w:rPr>
          <w:rFonts w:hint="eastAsia"/>
          <w:sz w:val="24"/>
        </w:rPr>
        <w:t>败诉方须承担胜诉方的律师费用、鉴定费用、公证费用等为解决争议所产生的合理费用。</w:t>
      </w:r>
    </w:p>
    <w:p w14:paraId="445BD2CE">
      <w:pPr>
        <w:numPr>
          <w:ilvl w:val="0"/>
          <w:numId w:val="21"/>
        </w:numPr>
        <w:spacing w:before="156" w:beforeLines="50" w:after="156" w:afterLines="50" w:line="360" w:lineRule="auto"/>
        <w:jc w:val="left"/>
        <w:rPr>
          <w:rFonts w:hint="eastAsia"/>
          <w:sz w:val="24"/>
        </w:rPr>
      </w:pPr>
      <w:r>
        <w:rPr>
          <w:rFonts w:hint="eastAsia"/>
          <w:sz w:val="24"/>
          <w:lang w:val="en-US" w:eastAsia="zh-CN"/>
        </w:rPr>
        <w:t>因货物质量问题发生争议的，双方可以选择由甲方所在地质量技术监督部门或者双方共同确认的经国家认可的质量检测机构对货物质量进行鉴定。货物符合质量标准的，鉴定费由甲方承担；货物不符合质量标准的，鉴定费由乙方承担。</w:t>
      </w:r>
    </w:p>
    <w:p w14:paraId="1A70C933">
      <w:pPr>
        <w:numPr>
          <w:ilvl w:val="0"/>
          <w:numId w:val="10"/>
        </w:numPr>
        <w:spacing w:before="156" w:beforeLines="50" w:after="156" w:afterLines="50" w:line="360" w:lineRule="auto"/>
        <w:jc w:val="left"/>
        <w:rPr>
          <w:rFonts w:hint="eastAsia"/>
          <w:b/>
          <w:sz w:val="24"/>
        </w:rPr>
      </w:pPr>
      <w:r>
        <w:rPr>
          <w:rFonts w:hint="eastAsia"/>
          <w:b/>
          <w:sz w:val="24"/>
        </w:rPr>
        <w:t>合同的生效、变更与解除</w:t>
      </w:r>
    </w:p>
    <w:p w14:paraId="7F43ED27">
      <w:pPr>
        <w:numPr>
          <w:ilvl w:val="0"/>
          <w:numId w:val="22"/>
        </w:numPr>
        <w:spacing w:before="156" w:beforeLines="50" w:after="156" w:afterLines="50" w:line="360" w:lineRule="auto"/>
        <w:jc w:val="left"/>
        <w:rPr>
          <w:sz w:val="24"/>
        </w:rPr>
      </w:pPr>
      <w:r>
        <w:rPr>
          <w:sz w:val="24"/>
        </w:rPr>
        <w:t>本合同自甲</w:t>
      </w:r>
      <w:r>
        <w:rPr>
          <w:rFonts w:hint="eastAsia"/>
          <w:sz w:val="24"/>
        </w:rPr>
        <w:t>、</w:t>
      </w:r>
      <w:r>
        <w:rPr>
          <w:sz w:val="24"/>
        </w:rPr>
        <w:t>乙双方</w:t>
      </w:r>
      <w:r>
        <w:rPr>
          <w:rFonts w:hint="eastAsia"/>
          <w:sz w:val="24"/>
          <w:lang w:eastAsia="zh-CN"/>
        </w:rPr>
        <w:t>盖</w:t>
      </w:r>
      <w:r>
        <w:rPr>
          <w:rFonts w:hint="eastAsia"/>
          <w:sz w:val="24"/>
        </w:rPr>
        <w:t>章</w:t>
      </w:r>
      <w:r>
        <w:rPr>
          <w:sz w:val="24"/>
        </w:rPr>
        <w:t>之日起生效。</w:t>
      </w:r>
      <w:r>
        <w:rPr>
          <w:rFonts w:hint="eastAsia"/>
          <w:sz w:val="24"/>
        </w:rPr>
        <w:t>双方</w:t>
      </w:r>
      <w:r>
        <w:rPr>
          <w:rFonts w:hint="eastAsia"/>
          <w:sz w:val="24"/>
          <w:lang w:eastAsia="zh-CN"/>
        </w:rPr>
        <w:t>盖</w:t>
      </w:r>
      <w:r>
        <w:rPr>
          <w:rFonts w:hint="eastAsia"/>
          <w:sz w:val="24"/>
        </w:rPr>
        <w:t>章日期不一致的，以最后一方</w:t>
      </w:r>
      <w:r>
        <w:rPr>
          <w:rFonts w:hint="eastAsia"/>
          <w:sz w:val="24"/>
          <w:lang w:eastAsia="zh-CN"/>
        </w:rPr>
        <w:t>盖</w:t>
      </w:r>
      <w:r>
        <w:rPr>
          <w:rFonts w:hint="eastAsia"/>
          <w:sz w:val="24"/>
        </w:rPr>
        <w:t>章的时间为准。</w:t>
      </w:r>
    </w:p>
    <w:p w14:paraId="25D71FE2">
      <w:pPr>
        <w:numPr>
          <w:ilvl w:val="0"/>
          <w:numId w:val="22"/>
        </w:numPr>
        <w:spacing w:before="156" w:beforeLines="50" w:after="156" w:afterLines="50" w:line="360" w:lineRule="auto"/>
        <w:jc w:val="left"/>
        <w:rPr>
          <w:rFonts w:hint="eastAsia"/>
          <w:sz w:val="24"/>
        </w:rPr>
      </w:pPr>
      <w:r>
        <w:rPr>
          <w:sz w:val="24"/>
        </w:rPr>
        <w:t>合同生效后，除本合同已有约定的外，甲</w:t>
      </w:r>
      <w:r>
        <w:rPr>
          <w:rFonts w:hint="eastAsia"/>
          <w:sz w:val="24"/>
        </w:rPr>
        <w:t>、</w:t>
      </w:r>
      <w:r>
        <w:rPr>
          <w:sz w:val="24"/>
        </w:rPr>
        <w:t>乙任何一方均不得擅自变更或解除本合同；如确需变更或解除本合同，应经甲</w:t>
      </w:r>
      <w:r>
        <w:rPr>
          <w:rFonts w:hint="eastAsia"/>
          <w:sz w:val="24"/>
        </w:rPr>
        <w:t>、</w:t>
      </w:r>
      <w:r>
        <w:rPr>
          <w:sz w:val="24"/>
        </w:rPr>
        <w:t>乙双方协商一致，并</w:t>
      </w:r>
      <w:r>
        <w:rPr>
          <w:rFonts w:hint="eastAsia"/>
          <w:sz w:val="24"/>
          <w:lang w:eastAsia="zh-CN"/>
        </w:rPr>
        <w:t>依法</w:t>
      </w:r>
      <w:r>
        <w:rPr>
          <w:sz w:val="24"/>
        </w:rPr>
        <w:t>达成书面协议。</w:t>
      </w:r>
    </w:p>
    <w:p w14:paraId="0C7F841E">
      <w:pPr>
        <w:numPr>
          <w:ilvl w:val="0"/>
          <w:numId w:val="22"/>
        </w:numPr>
        <w:spacing w:before="156" w:beforeLines="50" w:after="156" w:afterLines="50" w:line="360" w:lineRule="auto"/>
        <w:jc w:val="left"/>
        <w:rPr>
          <w:rFonts w:hint="eastAsia"/>
          <w:sz w:val="24"/>
        </w:rPr>
      </w:pPr>
      <w:r>
        <w:rPr>
          <w:rFonts w:hint="eastAsia"/>
          <w:sz w:val="24"/>
        </w:rPr>
        <w:t>如因一方责任导致合同变更</w:t>
      </w:r>
      <w:r>
        <w:rPr>
          <w:rFonts w:hint="eastAsia"/>
          <w:sz w:val="24"/>
          <w:lang w:eastAsia="zh-CN"/>
        </w:rPr>
        <w:t>或失效</w:t>
      </w:r>
      <w:r>
        <w:rPr>
          <w:rFonts w:hint="eastAsia"/>
          <w:sz w:val="24"/>
        </w:rPr>
        <w:t>，给另一方造成损失的，由责任方赔偿损失。</w:t>
      </w:r>
      <w:r>
        <w:rPr>
          <w:rFonts w:hint="eastAsia" w:ascii="宋体" w:hAnsi="宋体"/>
          <w:sz w:val="24"/>
        </w:rPr>
        <w:t>乙方</w:t>
      </w:r>
      <w:r>
        <w:rPr>
          <w:rFonts w:hint="eastAsia" w:ascii="宋体" w:hAnsi="宋体"/>
          <w:sz w:val="24"/>
          <w:lang w:eastAsia="zh-CN"/>
        </w:rPr>
        <w:t>自行</w:t>
      </w:r>
      <w:r>
        <w:rPr>
          <w:rFonts w:hint="eastAsia" w:ascii="宋体" w:hAnsi="宋体"/>
          <w:sz w:val="24"/>
        </w:rPr>
        <w:t>放弃或拒绝履行合同，在三年内不得参加甲方组织的采购活动。</w:t>
      </w:r>
    </w:p>
    <w:p w14:paraId="65687D99">
      <w:pPr>
        <w:numPr>
          <w:ilvl w:val="0"/>
          <w:numId w:val="10"/>
        </w:numPr>
        <w:spacing w:before="156" w:beforeLines="50" w:after="156" w:afterLines="50" w:line="360" w:lineRule="auto"/>
        <w:ind w:left="204" w:leftChars="97" w:firstLine="214" w:firstLineChars="89"/>
        <w:jc w:val="left"/>
        <w:rPr>
          <w:rFonts w:ascii="宋体" w:hAnsi="宋体"/>
          <w:b/>
          <w:sz w:val="24"/>
        </w:rPr>
      </w:pPr>
      <w:r>
        <w:rPr>
          <w:rFonts w:hint="eastAsia" w:ascii="Times New Roman" w:hAnsi="Times New Roman"/>
          <w:b/>
          <w:sz w:val="24"/>
        </w:rPr>
        <w:t>合同的</w:t>
      </w:r>
      <w:r>
        <w:rPr>
          <w:rFonts w:hint="eastAsia" w:ascii="宋体" w:hAnsi="宋体"/>
          <w:b/>
          <w:sz w:val="24"/>
        </w:rPr>
        <w:t>转让</w:t>
      </w:r>
    </w:p>
    <w:p w14:paraId="59260E8B">
      <w:pPr>
        <w:spacing w:line="360" w:lineRule="auto"/>
        <w:ind w:firstLine="480" w:firstLineChars="200"/>
        <w:rPr>
          <w:rFonts w:hint="eastAsia" w:ascii="宋体" w:hAnsi="宋体"/>
          <w:sz w:val="24"/>
        </w:rPr>
      </w:pPr>
      <w:r>
        <w:rPr>
          <w:rFonts w:hint="eastAsia" w:ascii="宋体" w:hAnsi="宋体"/>
          <w:sz w:val="24"/>
          <w:lang w:eastAsia="zh-CN"/>
        </w:rPr>
        <w:t>除非甲方书面同意，</w:t>
      </w:r>
      <w:r>
        <w:rPr>
          <w:rFonts w:hint="eastAsia" w:ascii="宋体" w:hAnsi="宋体"/>
          <w:sz w:val="24"/>
        </w:rPr>
        <w:t>乙方不得擅自部分或全部转让其应履行的合同义务。乙方若违反前述约定，向甲方支付合同总</w:t>
      </w:r>
      <w:r>
        <w:rPr>
          <w:rFonts w:hint="eastAsia" w:ascii="宋体" w:hAnsi="宋体"/>
          <w:sz w:val="24"/>
          <w:lang w:eastAsia="zh-CN"/>
        </w:rPr>
        <w:t>价</w:t>
      </w:r>
      <w:r>
        <w:rPr>
          <w:rFonts w:hint="eastAsia" w:ascii="宋体" w:hAnsi="宋体"/>
          <w:sz w:val="24"/>
          <w:highlight w:val="none"/>
          <w:u w:val="single"/>
          <w:lang w:val="en-US" w:eastAsia="zh-CN"/>
        </w:rPr>
        <w:t xml:space="preserve">  10  % </w:t>
      </w:r>
      <w:r>
        <w:rPr>
          <w:rFonts w:hint="eastAsia" w:ascii="宋体" w:hAnsi="宋体"/>
          <w:sz w:val="24"/>
        </w:rPr>
        <w:t>的违约金。同时，甲方有权单方面解除或提前终止合同，并不因此承担任何违约责任。</w:t>
      </w:r>
    </w:p>
    <w:p w14:paraId="59C8D488">
      <w:pPr>
        <w:numPr>
          <w:ilvl w:val="0"/>
          <w:numId w:val="10"/>
        </w:numPr>
        <w:spacing w:before="156" w:beforeLines="50" w:after="156" w:afterLines="50" w:line="360" w:lineRule="auto"/>
        <w:ind w:left="204" w:leftChars="97" w:firstLine="214" w:firstLineChars="89"/>
        <w:jc w:val="left"/>
        <w:rPr>
          <w:rFonts w:ascii="宋体" w:hAnsi="宋体"/>
          <w:b/>
          <w:sz w:val="24"/>
        </w:rPr>
      </w:pPr>
      <w:r>
        <w:rPr>
          <w:rFonts w:hint="eastAsia" w:ascii="Times New Roman" w:hAnsi="Times New Roman"/>
          <w:b/>
          <w:sz w:val="24"/>
        </w:rPr>
        <w:t>诚实</w:t>
      </w:r>
      <w:r>
        <w:rPr>
          <w:rFonts w:hint="eastAsia" w:ascii="宋体" w:hAnsi="宋体"/>
          <w:b/>
          <w:sz w:val="24"/>
        </w:rPr>
        <w:t xml:space="preserve">信用 </w:t>
      </w:r>
    </w:p>
    <w:p w14:paraId="70A58C20">
      <w:pPr>
        <w:spacing w:line="360" w:lineRule="auto"/>
        <w:ind w:firstLine="480" w:firstLineChars="200"/>
        <w:rPr>
          <w:rFonts w:ascii="宋体" w:hAnsi="宋体"/>
          <w:sz w:val="24"/>
        </w:rPr>
      </w:pPr>
      <w:r>
        <w:rPr>
          <w:rFonts w:hint="eastAsia" w:ascii="宋体" w:hAnsi="宋体"/>
          <w:sz w:val="24"/>
        </w:rPr>
        <w:t>乙方应诚实信用，严格按照</w:t>
      </w:r>
      <w:r>
        <w:rPr>
          <w:rFonts w:hint="eastAsia" w:ascii="宋体" w:hAnsi="宋体"/>
          <w:sz w:val="24"/>
          <w:lang w:eastAsia="zh-CN"/>
        </w:rPr>
        <w:t>本合同组成文件的约定</w:t>
      </w:r>
      <w:r>
        <w:rPr>
          <w:rFonts w:hint="eastAsia" w:ascii="宋体" w:hAnsi="宋体"/>
          <w:sz w:val="24"/>
        </w:rPr>
        <w:t>履行合同，不</w:t>
      </w:r>
      <w:r>
        <w:rPr>
          <w:rFonts w:hint="eastAsia" w:ascii="宋体" w:hAnsi="宋体"/>
          <w:sz w:val="24"/>
          <w:lang w:eastAsia="zh-CN"/>
        </w:rPr>
        <w:t>得</w:t>
      </w:r>
      <w:r>
        <w:rPr>
          <w:rFonts w:hint="eastAsia" w:ascii="宋体" w:hAnsi="宋体"/>
          <w:sz w:val="24"/>
        </w:rPr>
        <w:t>向甲方进行商业贿赂或者提供不正当利益。</w:t>
      </w:r>
    </w:p>
    <w:p w14:paraId="534E6591">
      <w:pPr>
        <w:numPr>
          <w:ilvl w:val="0"/>
          <w:numId w:val="10"/>
        </w:numPr>
        <w:spacing w:before="156" w:beforeLines="50" w:after="156" w:afterLines="50" w:line="360" w:lineRule="auto"/>
        <w:jc w:val="left"/>
        <w:rPr>
          <w:rFonts w:hint="eastAsia"/>
          <w:b/>
          <w:sz w:val="24"/>
        </w:rPr>
      </w:pPr>
      <w:r>
        <w:rPr>
          <w:rFonts w:hint="eastAsia"/>
          <w:b/>
          <w:sz w:val="24"/>
        </w:rPr>
        <w:t>其他</w:t>
      </w:r>
    </w:p>
    <w:p w14:paraId="31353FA7">
      <w:pPr>
        <w:numPr>
          <w:ilvl w:val="0"/>
          <w:numId w:val="23"/>
        </w:numPr>
        <w:spacing w:before="156" w:beforeLines="50" w:after="156" w:afterLines="50" w:line="360" w:lineRule="auto"/>
        <w:jc w:val="left"/>
        <w:rPr>
          <w:rFonts w:hint="eastAsia"/>
          <w:sz w:val="24"/>
        </w:rPr>
      </w:pPr>
      <w:r>
        <w:rPr>
          <w:sz w:val="24"/>
        </w:rPr>
        <w:t>本合同</w:t>
      </w:r>
      <w:r>
        <w:rPr>
          <w:rFonts w:hint="eastAsia"/>
          <w:sz w:val="24"/>
        </w:rPr>
        <w:t>其他</w:t>
      </w:r>
      <w:r>
        <w:rPr>
          <w:sz w:val="24"/>
        </w:rPr>
        <w:t>未尽事宜，甲</w:t>
      </w:r>
      <w:r>
        <w:rPr>
          <w:rFonts w:hint="eastAsia"/>
          <w:sz w:val="24"/>
        </w:rPr>
        <w:t>、</w:t>
      </w:r>
      <w:r>
        <w:rPr>
          <w:sz w:val="24"/>
        </w:rPr>
        <w:t>乙双方可另行</w:t>
      </w:r>
      <w:r>
        <w:rPr>
          <w:rFonts w:hint="eastAsia"/>
          <w:sz w:val="24"/>
          <w:lang w:eastAsia="zh-CN"/>
        </w:rPr>
        <w:t>依法</w:t>
      </w:r>
      <w:r>
        <w:rPr>
          <w:sz w:val="24"/>
        </w:rPr>
        <w:t>达成书面</w:t>
      </w:r>
      <w:r>
        <w:rPr>
          <w:rFonts w:hint="eastAsia"/>
          <w:sz w:val="24"/>
          <w:lang w:eastAsia="zh-CN"/>
        </w:rPr>
        <w:t>补充</w:t>
      </w:r>
      <w:r>
        <w:rPr>
          <w:sz w:val="24"/>
        </w:rPr>
        <w:t>协议，作为本合同</w:t>
      </w:r>
      <w:r>
        <w:rPr>
          <w:rFonts w:hint="eastAsia"/>
          <w:sz w:val="24"/>
          <w:lang w:eastAsia="zh-CN"/>
        </w:rPr>
        <w:t>补充</w:t>
      </w:r>
      <w:r>
        <w:rPr>
          <w:sz w:val="24"/>
        </w:rPr>
        <w:t>。本合同的任何修改或补充构成本合同不可分割的一部分，与本合同具有同等法律效力。</w:t>
      </w:r>
    </w:p>
    <w:p w14:paraId="5FA36B6A">
      <w:pPr>
        <w:numPr>
          <w:ilvl w:val="0"/>
          <w:numId w:val="23"/>
        </w:numPr>
        <w:spacing w:before="156" w:beforeLines="50" w:after="156" w:afterLines="50" w:line="360" w:lineRule="auto"/>
        <w:jc w:val="left"/>
        <w:rPr>
          <w:rFonts w:hint="eastAsia"/>
          <w:sz w:val="24"/>
        </w:rPr>
      </w:pPr>
      <w:r>
        <w:rPr>
          <w:rFonts w:hint="eastAsia"/>
          <w:sz w:val="24"/>
        </w:rPr>
        <w:t>本合同一式</w:t>
      </w:r>
      <w:r>
        <w:rPr>
          <w:rFonts w:hint="eastAsia" w:ascii="宋体" w:hAnsi="宋体"/>
          <w:sz w:val="24"/>
          <w:highlight w:val="none"/>
          <w:u w:val="single"/>
          <w:lang w:val="en-US" w:eastAsia="zh-CN"/>
        </w:rPr>
        <w:t xml:space="preserve">     五     </w:t>
      </w:r>
      <w:r>
        <w:rPr>
          <w:rFonts w:hint="eastAsia"/>
          <w:sz w:val="24"/>
        </w:rPr>
        <w:t>份，甲方执</w:t>
      </w:r>
      <w:r>
        <w:rPr>
          <w:rFonts w:hint="eastAsia" w:ascii="宋体" w:hAnsi="宋体"/>
          <w:sz w:val="24"/>
          <w:highlight w:val="none"/>
          <w:u w:val="single"/>
          <w:lang w:val="en-US" w:eastAsia="zh-CN"/>
        </w:rPr>
        <w:t xml:space="preserve">     三     </w:t>
      </w:r>
      <w:r>
        <w:rPr>
          <w:rFonts w:hint="eastAsia"/>
          <w:sz w:val="24"/>
        </w:rPr>
        <w:t>份，乙方执</w:t>
      </w:r>
      <w:r>
        <w:rPr>
          <w:rFonts w:hint="eastAsia" w:ascii="宋体" w:hAnsi="宋体"/>
          <w:sz w:val="24"/>
          <w:highlight w:val="none"/>
          <w:u w:val="single"/>
          <w:lang w:val="en-US" w:eastAsia="zh-CN"/>
        </w:rPr>
        <w:t xml:space="preserve">   两        </w:t>
      </w:r>
      <w:r>
        <w:rPr>
          <w:rFonts w:hint="eastAsia"/>
          <w:sz w:val="24"/>
        </w:rPr>
        <w:t>份，均具有同等法律效力。</w:t>
      </w:r>
    </w:p>
    <w:p w14:paraId="7B5E699D">
      <w:pPr>
        <w:rPr>
          <w:rFonts w:hint="eastAsia" w:ascii="Times New Roman" w:hAnsi="Times New Roman" w:eastAsia="宋体" w:cs="Times New Roman"/>
          <w:szCs w:val="21"/>
        </w:rPr>
      </w:pPr>
      <w:r>
        <w:rPr>
          <w:rFonts w:hint="eastAsia"/>
          <w:sz w:val="24"/>
        </w:rPr>
        <w:t>（以下无正文，为《中国人民银行深圳市</w:t>
      </w:r>
      <w:r>
        <w:rPr>
          <w:rFonts w:hint="eastAsia"/>
          <w:sz w:val="24"/>
          <w:lang w:eastAsia="zh-CN"/>
        </w:rPr>
        <w:t>分行</w:t>
      </w:r>
      <w:r>
        <w:rPr>
          <w:rFonts w:hint="eastAsia" w:ascii="宋体" w:hAnsi="宋体"/>
          <w:sz w:val="24"/>
          <w:highlight w:val="none"/>
          <w:u w:val="none"/>
          <w:lang w:val="en-US" w:eastAsia="zh-CN"/>
        </w:rPr>
        <w:t>网络设备采购</w:t>
      </w:r>
      <w:r>
        <w:rPr>
          <w:rFonts w:hint="eastAsia"/>
          <w:color w:val="auto"/>
          <w:sz w:val="24"/>
          <w:lang w:eastAsia="zh-CN"/>
        </w:rPr>
        <w:t>项目</w:t>
      </w:r>
      <w:r>
        <w:rPr>
          <w:rFonts w:hint="eastAsia"/>
          <w:sz w:val="24"/>
        </w:rPr>
        <w:t>采购合同》</w:t>
      </w:r>
      <w:r>
        <w:rPr>
          <w:rFonts w:hint="eastAsia"/>
          <w:sz w:val="24"/>
          <w:lang w:eastAsia="zh-CN"/>
        </w:rPr>
        <w:t>盖章</w:t>
      </w:r>
      <w:r>
        <w:rPr>
          <w:rFonts w:hint="eastAsia"/>
          <w:sz w:val="24"/>
        </w:rPr>
        <w:t>页）</w:t>
      </w:r>
      <w:bookmarkStart w:id="163" w:name="_GoBack"/>
      <w:bookmarkEnd w:id="163"/>
    </w:p>
    <w:p w14:paraId="10E5AA0B">
      <w:pPr>
        <w:spacing w:before="156" w:beforeLines="50" w:after="156" w:afterLines="50" w:line="360" w:lineRule="auto"/>
        <w:ind w:firstLine="480" w:firstLineChars="200"/>
        <w:jc w:val="left"/>
        <w:rPr>
          <w:rFonts w:hint="eastAsia"/>
          <w:sz w:val="24"/>
        </w:rPr>
      </w:pPr>
    </w:p>
    <w:p w14:paraId="156B4EF5">
      <w:pPr>
        <w:spacing w:before="156" w:beforeLines="50" w:after="156" w:afterLines="50" w:line="360" w:lineRule="auto"/>
        <w:rPr>
          <w:rFonts w:hint="eastAsia"/>
          <w:sz w:val="24"/>
        </w:rPr>
      </w:pPr>
    </w:p>
    <w:p w14:paraId="6A4BC2F8">
      <w:pPr>
        <w:spacing w:before="156" w:beforeLines="50" w:after="156" w:afterLines="50" w:line="360" w:lineRule="auto"/>
        <w:rPr>
          <w:rFonts w:hint="eastAsia"/>
          <w:bCs/>
          <w:spacing w:val="-4"/>
          <w:sz w:val="24"/>
        </w:rPr>
      </w:pPr>
      <w:r>
        <w:rPr>
          <w:rFonts w:hint="eastAsia"/>
          <w:b/>
          <w:sz w:val="24"/>
        </w:rPr>
        <w:t>甲方：</w:t>
      </w:r>
      <w:r>
        <w:rPr>
          <w:rFonts w:hint="eastAsia"/>
          <w:b/>
          <w:bCs/>
          <w:spacing w:val="-4"/>
          <w:sz w:val="24"/>
        </w:rPr>
        <w:t>中国人民银行深圳市</w:t>
      </w:r>
      <w:r>
        <w:rPr>
          <w:rFonts w:hint="eastAsia"/>
          <w:b/>
          <w:bCs/>
          <w:spacing w:val="-4"/>
          <w:sz w:val="24"/>
          <w:lang w:eastAsia="zh-CN"/>
        </w:rPr>
        <w:t>分行</w:t>
      </w:r>
      <w:r>
        <w:rPr>
          <w:rFonts w:hint="eastAsia"/>
          <w:bCs/>
          <w:spacing w:val="-4"/>
          <w:sz w:val="24"/>
        </w:rPr>
        <w:t>（盖章）</w:t>
      </w:r>
    </w:p>
    <w:p w14:paraId="6EAE0994">
      <w:pPr>
        <w:spacing w:before="156" w:beforeLines="50" w:after="156" w:afterLines="50" w:line="360" w:lineRule="auto"/>
        <w:rPr>
          <w:rFonts w:hint="eastAsia"/>
          <w:sz w:val="24"/>
        </w:rPr>
      </w:pPr>
      <w:r>
        <w:rPr>
          <w:rFonts w:hint="eastAsia"/>
          <w:sz w:val="24"/>
        </w:rPr>
        <w:t>签订日期：</w:t>
      </w:r>
      <w:r>
        <w:rPr>
          <w:rFonts w:hint="eastAsia"/>
          <w:sz w:val="24"/>
          <w:u w:val="single"/>
          <w:lang w:val="en-US" w:eastAsia="zh-CN"/>
        </w:rPr>
        <w:t xml:space="preserve">     </w:t>
      </w:r>
      <w:r>
        <w:rPr>
          <w:rFonts w:hint="eastAsia"/>
          <w:sz w:val="24"/>
          <w:lang w:eastAsia="zh-CN"/>
        </w:rPr>
        <w:t>年</w:t>
      </w:r>
      <w:r>
        <w:rPr>
          <w:rFonts w:hint="eastAsia"/>
          <w:sz w:val="24"/>
          <w:u w:val="single"/>
          <w:lang w:val="en-US" w:eastAsia="zh-CN"/>
        </w:rPr>
        <w:t xml:space="preserve">   </w:t>
      </w:r>
      <w:r>
        <w:rPr>
          <w:rFonts w:hint="eastAsia"/>
          <w:sz w:val="24"/>
          <w:lang w:val="en-US" w:eastAsia="zh-CN"/>
        </w:rPr>
        <w:t>月</w:t>
      </w:r>
      <w:r>
        <w:rPr>
          <w:rFonts w:hint="eastAsia"/>
          <w:sz w:val="24"/>
          <w:u w:val="single"/>
          <w:lang w:val="en-US" w:eastAsia="zh-CN"/>
        </w:rPr>
        <w:t xml:space="preserve">   </w:t>
      </w:r>
      <w:r>
        <w:rPr>
          <w:rFonts w:hint="eastAsia"/>
          <w:sz w:val="24"/>
          <w:lang w:val="en-US" w:eastAsia="zh-CN"/>
        </w:rPr>
        <w:t>日</w:t>
      </w:r>
    </w:p>
    <w:p w14:paraId="2F725B2D">
      <w:pPr>
        <w:spacing w:before="156" w:beforeLines="50" w:after="156" w:afterLines="50" w:line="360" w:lineRule="auto"/>
        <w:rPr>
          <w:rFonts w:hint="eastAsia"/>
          <w:sz w:val="24"/>
        </w:rPr>
      </w:pPr>
    </w:p>
    <w:p w14:paraId="4A51D4E3">
      <w:pPr>
        <w:spacing w:before="156" w:beforeLines="50" w:after="156" w:afterLines="50" w:line="360" w:lineRule="auto"/>
        <w:rPr>
          <w:rFonts w:hint="eastAsia"/>
          <w:sz w:val="24"/>
        </w:rPr>
      </w:pPr>
    </w:p>
    <w:p w14:paraId="47517EBF">
      <w:pPr>
        <w:spacing w:before="156" w:beforeLines="50" w:after="156" w:afterLines="50" w:line="360" w:lineRule="auto"/>
        <w:rPr>
          <w:rFonts w:hint="eastAsia"/>
          <w:bCs/>
          <w:spacing w:val="-4"/>
          <w:sz w:val="24"/>
        </w:rPr>
      </w:pPr>
      <w:r>
        <w:rPr>
          <w:rFonts w:hint="eastAsia"/>
          <w:b/>
          <w:sz w:val="24"/>
        </w:rPr>
        <w:t>乙方：</w:t>
      </w:r>
      <w:r>
        <w:rPr>
          <w:rFonts w:hint="eastAsia" w:ascii="宋体" w:hAnsi="宋体"/>
          <w:sz w:val="24"/>
          <w:highlight w:val="none"/>
          <w:u w:val="single"/>
          <w:lang w:val="en-US" w:eastAsia="zh-CN"/>
        </w:rPr>
        <w:t xml:space="preserve">                          </w:t>
      </w:r>
      <w:r>
        <w:rPr>
          <w:rFonts w:hint="eastAsia"/>
          <w:bCs/>
          <w:spacing w:val="-4"/>
          <w:sz w:val="24"/>
        </w:rPr>
        <w:t>（盖章）</w:t>
      </w:r>
    </w:p>
    <w:p w14:paraId="1D104866">
      <w:pPr>
        <w:spacing w:before="156" w:beforeLines="50" w:after="156" w:afterLines="50" w:line="360" w:lineRule="auto"/>
        <w:rPr>
          <w:rFonts w:hint="eastAsia"/>
          <w:sz w:val="24"/>
        </w:rPr>
      </w:pPr>
      <w:r>
        <w:rPr>
          <w:rFonts w:hint="eastAsia"/>
          <w:sz w:val="24"/>
        </w:rPr>
        <w:t>签订日期：</w:t>
      </w:r>
      <w:r>
        <w:rPr>
          <w:rFonts w:hint="eastAsia"/>
          <w:sz w:val="24"/>
          <w:u w:val="single"/>
          <w:lang w:val="en-US" w:eastAsia="zh-CN"/>
        </w:rPr>
        <w:t xml:space="preserve">     </w:t>
      </w:r>
      <w:r>
        <w:rPr>
          <w:rFonts w:hint="eastAsia"/>
          <w:sz w:val="24"/>
          <w:lang w:eastAsia="zh-CN"/>
        </w:rPr>
        <w:t>年</w:t>
      </w:r>
      <w:r>
        <w:rPr>
          <w:rFonts w:hint="eastAsia"/>
          <w:sz w:val="24"/>
          <w:u w:val="single"/>
          <w:lang w:val="en-US" w:eastAsia="zh-CN"/>
        </w:rPr>
        <w:t xml:space="preserve">   </w:t>
      </w:r>
      <w:r>
        <w:rPr>
          <w:rFonts w:hint="eastAsia"/>
          <w:sz w:val="24"/>
          <w:lang w:val="en-US" w:eastAsia="zh-CN"/>
        </w:rPr>
        <w:t>月</w:t>
      </w:r>
      <w:r>
        <w:rPr>
          <w:rFonts w:hint="eastAsia"/>
          <w:sz w:val="24"/>
          <w:u w:val="single"/>
          <w:lang w:val="en-US" w:eastAsia="zh-CN"/>
        </w:rPr>
        <w:t xml:space="preserve">   </w:t>
      </w:r>
      <w:r>
        <w:rPr>
          <w:rFonts w:hint="eastAsia"/>
          <w:sz w:val="24"/>
          <w:lang w:val="en-US" w:eastAsia="zh-CN"/>
        </w:rPr>
        <w:t>日</w:t>
      </w:r>
    </w:p>
    <w:p w14:paraId="03D6D541">
      <w:pPr>
        <w:tabs>
          <w:tab w:val="left" w:pos="312"/>
        </w:tabs>
        <w:snapToGrid w:val="0"/>
        <w:spacing w:line="360" w:lineRule="auto"/>
        <w:jc w:val="left"/>
        <w:rPr>
          <w:rFonts w:hint="eastAsia" w:ascii="仿宋_GB2312" w:hAnsi="仿宋_GB2312" w:eastAsia="仿宋_GB2312" w:cs="仿宋_GB2312"/>
          <w:lang w:val="en-US"/>
        </w:rPr>
      </w:pPr>
    </w:p>
    <w:p w14:paraId="00635040">
      <w:pPr>
        <w:jc w:val="center"/>
        <w:rPr>
          <w:rFonts w:ascii="宋体" w:hAnsi="宋体" w:cs="宋体"/>
          <w:b/>
          <w:bCs/>
          <w:spacing w:val="-20"/>
          <w:kern w:val="44"/>
          <w:sz w:val="48"/>
          <w:szCs w:val="48"/>
        </w:rPr>
      </w:pPr>
    </w:p>
    <w:p w14:paraId="5CDCADCD">
      <w:pPr>
        <w:pStyle w:val="18"/>
      </w:pPr>
    </w:p>
    <w:bookmarkEnd w:id="105"/>
    <w:p w14:paraId="2A401D70">
      <w:pPr>
        <w:widowControl/>
        <w:jc w:val="left"/>
        <w:rPr>
          <w:rFonts w:ascii="宋体" w:hAnsi="宋体"/>
          <w:szCs w:val="21"/>
        </w:rPr>
      </w:pPr>
    </w:p>
    <w:p w14:paraId="76C16A03">
      <w:pPr>
        <w:widowControl/>
        <w:jc w:val="left"/>
        <w:rPr>
          <w:rFonts w:ascii="宋体" w:hAnsi="宋体"/>
          <w:szCs w:val="21"/>
        </w:rPr>
      </w:pPr>
    </w:p>
    <w:p w14:paraId="0B16D342">
      <w:pPr>
        <w:widowControl/>
        <w:jc w:val="left"/>
        <w:rPr>
          <w:rFonts w:ascii="宋体" w:hAnsi="宋体"/>
          <w:szCs w:val="21"/>
        </w:rPr>
      </w:pPr>
    </w:p>
    <w:p w14:paraId="638D1382">
      <w:pPr>
        <w:widowControl/>
        <w:jc w:val="left"/>
        <w:rPr>
          <w:rFonts w:ascii="宋体" w:hAnsi="宋体"/>
          <w:szCs w:val="21"/>
        </w:rPr>
      </w:pPr>
    </w:p>
    <w:p w14:paraId="3282C4B9">
      <w:pPr>
        <w:widowControl/>
        <w:jc w:val="left"/>
        <w:rPr>
          <w:rFonts w:ascii="宋体" w:hAnsi="宋体"/>
          <w:szCs w:val="21"/>
        </w:rPr>
      </w:pPr>
    </w:p>
    <w:p w14:paraId="2080F6B3">
      <w:pPr>
        <w:widowControl/>
        <w:jc w:val="left"/>
        <w:rPr>
          <w:rFonts w:ascii="宋体" w:hAnsi="宋体"/>
          <w:szCs w:val="21"/>
        </w:rPr>
      </w:pPr>
    </w:p>
    <w:p w14:paraId="641CFFDF">
      <w:pPr>
        <w:widowControl/>
        <w:jc w:val="left"/>
        <w:rPr>
          <w:rFonts w:ascii="宋体" w:hAnsi="宋体"/>
          <w:szCs w:val="21"/>
        </w:rPr>
      </w:pPr>
    </w:p>
    <w:p w14:paraId="5283EF13">
      <w:pPr>
        <w:widowControl/>
        <w:jc w:val="left"/>
        <w:rPr>
          <w:rFonts w:ascii="宋体" w:hAnsi="宋体"/>
          <w:szCs w:val="21"/>
        </w:rPr>
      </w:pPr>
    </w:p>
    <w:p w14:paraId="1B596690">
      <w:pPr>
        <w:widowControl/>
        <w:jc w:val="left"/>
        <w:rPr>
          <w:rFonts w:ascii="宋体" w:hAnsi="宋体"/>
          <w:szCs w:val="21"/>
        </w:rPr>
      </w:pPr>
    </w:p>
    <w:p w14:paraId="0263ECA3">
      <w:pPr>
        <w:widowControl/>
        <w:jc w:val="left"/>
        <w:rPr>
          <w:rFonts w:ascii="宋体" w:hAnsi="宋体"/>
          <w:szCs w:val="21"/>
        </w:rPr>
      </w:pPr>
    </w:p>
    <w:p w14:paraId="4CC56DE6">
      <w:pPr>
        <w:widowControl/>
        <w:jc w:val="left"/>
        <w:rPr>
          <w:rFonts w:ascii="宋体" w:hAnsi="宋体"/>
          <w:szCs w:val="21"/>
        </w:rPr>
      </w:pPr>
    </w:p>
    <w:p w14:paraId="5B35D4C7">
      <w:pPr>
        <w:widowControl/>
        <w:jc w:val="left"/>
        <w:rPr>
          <w:rFonts w:ascii="宋体" w:hAnsi="宋体"/>
          <w:szCs w:val="21"/>
        </w:rPr>
      </w:pPr>
    </w:p>
    <w:p w14:paraId="655CFEC0">
      <w:pPr>
        <w:widowControl/>
        <w:jc w:val="left"/>
        <w:rPr>
          <w:rFonts w:ascii="宋体" w:hAnsi="宋体"/>
          <w:szCs w:val="21"/>
        </w:rPr>
      </w:pPr>
    </w:p>
    <w:p w14:paraId="4D5A57A5">
      <w:pPr>
        <w:widowControl/>
        <w:jc w:val="left"/>
        <w:rPr>
          <w:rFonts w:ascii="宋体" w:hAnsi="宋体"/>
          <w:szCs w:val="21"/>
        </w:rPr>
      </w:pPr>
    </w:p>
    <w:p w14:paraId="28BEFEB9">
      <w:pPr>
        <w:widowControl/>
        <w:jc w:val="left"/>
        <w:rPr>
          <w:rFonts w:ascii="宋体" w:hAnsi="宋体"/>
          <w:szCs w:val="21"/>
        </w:rPr>
      </w:pPr>
    </w:p>
    <w:p w14:paraId="552FF37A">
      <w:pPr>
        <w:widowControl/>
        <w:jc w:val="left"/>
        <w:rPr>
          <w:rFonts w:ascii="宋体" w:hAnsi="宋体"/>
          <w:szCs w:val="21"/>
        </w:rPr>
      </w:pPr>
    </w:p>
    <w:p w14:paraId="06F821E6">
      <w:pPr>
        <w:widowControl/>
        <w:jc w:val="left"/>
        <w:rPr>
          <w:rFonts w:ascii="宋体" w:hAnsi="宋体"/>
          <w:szCs w:val="21"/>
        </w:rPr>
      </w:pPr>
    </w:p>
    <w:p w14:paraId="18C2944F">
      <w:pPr>
        <w:widowControl/>
        <w:jc w:val="left"/>
        <w:rPr>
          <w:rFonts w:ascii="宋体" w:hAnsi="宋体"/>
          <w:szCs w:val="21"/>
        </w:rPr>
      </w:pPr>
    </w:p>
    <w:p w14:paraId="4ABD71C3">
      <w:pPr>
        <w:widowControl/>
        <w:jc w:val="left"/>
        <w:rPr>
          <w:rFonts w:ascii="宋体" w:hAnsi="宋体"/>
          <w:szCs w:val="21"/>
        </w:rPr>
      </w:pPr>
    </w:p>
    <w:p w14:paraId="0F5E926F">
      <w:pPr>
        <w:widowControl/>
        <w:jc w:val="left"/>
        <w:rPr>
          <w:rFonts w:ascii="宋体" w:hAnsi="宋体"/>
          <w:szCs w:val="21"/>
        </w:rPr>
      </w:pPr>
    </w:p>
    <w:p w14:paraId="47E9A296">
      <w:pPr>
        <w:widowControl/>
        <w:jc w:val="left"/>
        <w:rPr>
          <w:rFonts w:ascii="宋体" w:hAnsi="宋体"/>
          <w:szCs w:val="21"/>
        </w:rPr>
      </w:pPr>
    </w:p>
    <w:p w14:paraId="294DDA28">
      <w:pPr>
        <w:widowControl/>
        <w:jc w:val="left"/>
        <w:rPr>
          <w:rFonts w:ascii="宋体" w:hAnsi="宋体"/>
          <w:szCs w:val="21"/>
        </w:rPr>
      </w:pPr>
    </w:p>
    <w:p w14:paraId="14BDA019">
      <w:pPr>
        <w:widowControl/>
        <w:jc w:val="left"/>
        <w:rPr>
          <w:rFonts w:ascii="宋体" w:hAnsi="宋体"/>
          <w:szCs w:val="21"/>
        </w:rPr>
      </w:pPr>
    </w:p>
    <w:p w14:paraId="528AA131">
      <w:pPr>
        <w:widowControl/>
        <w:jc w:val="left"/>
        <w:rPr>
          <w:rFonts w:ascii="宋体" w:hAnsi="宋体"/>
          <w:szCs w:val="21"/>
        </w:rPr>
      </w:pPr>
    </w:p>
    <w:p w14:paraId="4E70BE1B">
      <w:pPr>
        <w:widowControl/>
        <w:jc w:val="left"/>
        <w:rPr>
          <w:rFonts w:ascii="宋体" w:hAnsi="宋体"/>
          <w:szCs w:val="21"/>
        </w:rPr>
      </w:pPr>
    </w:p>
    <w:p w14:paraId="127E494F">
      <w:pPr>
        <w:rPr>
          <w:rFonts w:hint="eastAsia"/>
        </w:rPr>
      </w:pPr>
      <w:r>
        <w:rPr>
          <w:rFonts w:hint="eastAsia"/>
        </w:rPr>
        <w:br w:type="page"/>
      </w:r>
    </w:p>
    <w:p w14:paraId="641132B9">
      <w:pPr>
        <w:pStyle w:val="2"/>
      </w:pPr>
      <w:r>
        <w:rPr>
          <w:rFonts w:hint="eastAsia"/>
        </w:rPr>
        <w:t>第二册  通用条款（公开招标）</w:t>
      </w:r>
    </w:p>
    <w:p w14:paraId="4F0D9BEB">
      <w:pPr>
        <w:pStyle w:val="5"/>
        <w:numPr>
          <w:ilvl w:val="0"/>
          <w:numId w:val="24"/>
        </w:numPr>
        <w:spacing w:before="120" w:beforeLines="50" w:after="120" w:afterLines="50"/>
        <w:ind w:left="562" w:hanging="562"/>
        <w:rPr>
          <w:sz w:val="28"/>
          <w:szCs w:val="28"/>
        </w:rPr>
      </w:pPr>
      <w:bookmarkStart w:id="107" w:name="_Hlk72399513"/>
      <w:r>
        <w:rPr>
          <w:rFonts w:hint="eastAsia"/>
          <w:sz w:val="28"/>
          <w:szCs w:val="28"/>
        </w:rPr>
        <w:t xml:space="preserve"> 总则</w:t>
      </w:r>
    </w:p>
    <w:bookmarkEnd w:id="107"/>
    <w:p w14:paraId="145AF676">
      <w:pPr>
        <w:rPr>
          <w:rFonts w:ascii="黑体" w:hAnsi="宋体" w:eastAsia="黑体"/>
          <w:sz w:val="24"/>
        </w:rPr>
      </w:pPr>
      <w:r>
        <w:rPr>
          <w:rFonts w:hint="eastAsia" w:ascii="黑体" w:hAnsi="宋体" w:eastAsia="黑体"/>
          <w:sz w:val="24"/>
        </w:rPr>
        <w:t>1. 通用条款说明</w:t>
      </w:r>
    </w:p>
    <w:p w14:paraId="45A6503F">
      <w:pPr>
        <w:ind w:firstLine="411" w:firstLineChars="196"/>
        <w:rPr>
          <w:rFonts w:ascii="宋体" w:hAnsi="宋体"/>
          <w:szCs w:val="21"/>
        </w:rPr>
      </w:pPr>
      <w:r>
        <w:rPr>
          <w:rFonts w:hint="eastAsia" w:ascii="宋体" w:hAnsi="宋体"/>
          <w:szCs w:val="21"/>
        </w:rPr>
        <w:t>1.1</w:t>
      </w:r>
      <w:r>
        <w:rPr>
          <w:rFonts w:hint="eastAsia" w:ascii="宋体" w:hAnsi="宋体"/>
          <w:szCs w:val="21"/>
          <w:lang w:eastAsia="zh-CN"/>
        </w:rPr>
        <w:t>招标代理机构</w:t>
      </w:r>
      <w:r>
        <w:rPr>
          <w:rFonts w:hint="eastAsia" w:ascii="宋体" w:hAnsi="宋体"/>
          <w:szCs w:val="21"/>
        </w:rPr>
        <w:t>发出招标文件通用条款版本，列出深圳市政府采购项目进行招标采购所适用的通用条款内容。</w:t>
      </w:r>
      <w:bookmarkStart w:id="108" w:name="_Hlk72399729"/>
      <w:r>
        <w:rPr>
          <w:rFonts w:hint="eastAsia" w:ascii="宋体" w:hAnsi="宋体"/>
          <w:szCs w:val="21"/>
        </w:rPr>
        <w:t>如有需要，</w:t>
      </w:r>
      <w:r>
        <w:rPr>
          <w:rFonts w:hint="eastAsia" w:ascii="宋体" w:hAnsi="宋体"/>
          <w:szCs w:val="21"/>
          <w:lang w:eastAsia="zh-CN"/>
        </w:rPr>
        <w:t>招标代理机构</w:t>
      </w:r>
      <w:r>
        <w:rPr>
          <w:rFonts w:hint="eastAsia" w:ascii="宋体" w:hAnsi="宋体"/>
          <w:szCs w:val="21"/>
        </w:rPr>
        <w:t>可以对通用条款的内容进行补充。</w:t>
      </w:r>
      <w:bookmarkEnd w:id="108"/>
    </w:p>
    <w:p w14:paraId="0A843F63">
      <w:pPr>
        <w:ind w:firstLine="411" w:firstLineChars="196"/>
        <w:rPr>
          <w:rFonts w:ascii="宋体" w:hAnsi="宋体"/>
          <w:szCs w:val="21"/>
        </w:rPr>
      </w:pPr>
      <w:r>
        <w:rPr>
          <w:rFonts w:hint="eastAsia" w:ascii="宋体" w:hAnsi="宋体"/>
          <w:szCs w:val="21"/>
        </w:rPr>
        <w:t>1.2招标文件分为第一册“专用条款”和第二册“通用条款”。</w:t>
      </w:r>
    </w:p>
    <w:p w14:paraId="1A7CE6A0">
      <w:pPr>
        <w:ind w:firstLine="411" w:firstLineChars="196"/>
        <w:rPr>
          <w:rFonts w:ascii="宋体" w:hAnsi="宋体"/>
          <w:szCs w:val="21"/>
        </w:rPr>
      </w:pPr>
      <w:r>
        <w:rPr>
          <w:rFonts w:hint="eastAsia" w:ascii="宋体" w:hAnsi="宋体"/>
          <w:szCs w:val="21"/>
        </w:rPr>
        <w:t>1.3“专用条款”是对本次采购项目的具体要求，包含招标公告、对通用条款的补充内容及其他关键信息、用户需求书、投标文件格式及附件、合同条款及格式等内容。</w:t>
      </w:r>
    </w:p>
    <w:p w14:paraId="39DDC045">
      <w:pPr>
        <w:ind w:firstLine="411" w:firstLineChars="196"/>
        <w:rPr>
          <w:rFonts w:ascii="宋体" w:hAnsi="宋体"/>
          <w:szCs w:val="21"/>
        </w:rPr>
      </w:pPr>
      <w:r>
        <w:rPr>
          <w:rFonts w:hint="eastAsia" w:ascii="宋体" w:hAnsi="宋体"/>
          <w:szCs w:val="21"/>
        </w:rPr>
        <w:t>1.4“通用条款”是适用于政府采购公开招标项目的基础性条款，具有普遍性和通用性。</w:t>
      </w:r>
    </w:p>
    <w:p w14:paraId="4CCFF6C5">
      <w:pPr>
        <w:ind w:firstLine="411" w:firstLineChars="196"/>
        <w:rPr>
          <w:rFonts w:ascii="宋体" w:hAnsi="宋体"/>
          <w:szCs w:val="21"/>
        </w:rPr>
      </w:pPr>
      <w:r>
        <w:rPr>
          <w:rFonts w:hint="eastAsia" w:ascii="宋体" w:hAnsi="宋体"/>
          <w:szCs w:val="21"/>
        </w:rPr>
        <w:t>1.5 “专用条款”和“通用条款”表述不一致或有冲突时，以“专用条款”为准。</w:t>
      </w:r>
    </w:p>
    <w:p w14:paraId="7A33EE7F">
      <w:pPr>
        <w:rPr>
          <w:rFonts w:ascii="黑体" w:hAnsi="宋体" w:eastAsia="黑体"/>
          <w:sz w:val="24"/>
        </w:rPr>
      </w:pPr>
      <w:r>
        <w:rPr>
          <w:rFonts w:hint="eastAsia" w:ascii="黑体" w:hAnsi="宋体" w:eastAsia="黑体"/>
          <w:sz w:val="24"/>
        </w:rPr>
        <w:t>2</w:t>
      </w:r>
      <w:r>
        <w:rPr>
          <w:rFonts w:ascii="黑体" w:hAnsi="宋体" w:eastAsia="黑体"/>
          <w:sz w:val="24"/>
        </w:rPr>
        <w:t>．</w:t>
      </w:r>
      <w:r>
        <w:rPr>
          <w:rFonts w:hint="eastAsia" w:ascii="黑体" w:hAnsi="宋体" w:eastAsia="黑体"/>
          <w:sz w:val="24"/>
        </w:rPr>
        <w:t>招标说明</w:t>
      </w:r>
    </w:p>
    <w:p w14:paraId="6EE006D9">
      <w:pPr>
        <w:ind w:firstLine="411" w:firstLineChars="196"/>
        <w:rPr>
          <w:rFonts w:ascii="宋体" w:hAnsi="宋体"/>
          <w:szCs w:val="21"/>
        </w:rPr>
      </w:pPr>
      <w:r>
        <w:rPr>
          <w:rFonts w:hint="eastAsia" w:ascii="宋体" w:hAnsi="宋体"/>
          <w:szCs w:val="21"/>
        </w:rPr>
        <w:t>本项目按照《中华人民共和国政府采购法》和《中华人民共和国政府采购法实施条例》及政府采购其他法律法规，通过公开招标方式确定中标供应商。</w:t>
      </w:r>
    </w:p>
    <w:p w14:paraId="464CFD96">
      <w:pPr>
        <w:rPr>
          <w:rFonts w:ascii="黑体" w:hAnsi="宋体" w:eastAsia="黑体"/>
          <w:sz w:val="24"/>
        </w:rPr>
      </w:pPr>
      <w:r>
        <w:rPr>
          <w:rFonts w:hint="eastAsia" w:ascii="黑体" w:hAnsi="宋体" w:eastAsia="黑体"/>
          <w:sz w:val="24"/>
        </w:rPr>
        <w:t>3．定义</w:t>
      </w:r>
    </w:p>
    <w:p w14:paraId="289B7998">
      <w:pPr>
        <w:ind w:firstLine="420" w:firstLineChars="200"/>
        <w:rPr>
          <w:rFonts w:ascii="宋体" w:hAnsi="宋体"/>
          <w:szCs w:val="21"/>
        </w:rPr>
      </w:pPr>
      <w:r>
        <w:rPr>
          <w:rFonts w:ascii="宋体" w:hAnsi="宋体"/>
          <w:szCs w:val="21"/>
        </w:rPr>
        <w:t>招标文件中下列术语应解释为：</w:t>
      </w:r>
    </w:p>
    <w:p w14:paraId="6E357ED8">
      <w:pPr>
        <w:ind w:firstLine="411" w:firstLineChars="196"/>
        <w:rPr>
          <w:rFonts w:ascii="宋体" w:hAnsi="宋体"/>
          <w:szCs w:val="21"/>
        </w:rPr>
      </w:pPr>
      <w:r>
        <w:rPr>
          <w:rFonts w:hint="eastAsia" w:ascii="宋体" w:hAnsi="宋体"/>
          <w:szCs w:val="21"/>
        </w:rPr>
        <w:t>3.</w:t>
      </w:r>
      <w:r>
        <w:rPr>
          <w:rFonts w:ascii="宋体" w:hAnsi="宋体"/>
          <w:szCs w:val="21"/>
        </w:rPr>
        <w:t>1</w:t>
      </w:r>
      <w:r>
        <w:rPr>
          <w:rFonts w:hint="eastAsia" w:ascii="宋体" w:hAnsi="宋体"/>
          <w:szCs w:val="21"/>
        </w:rPr>
        <w:t>“采购人”：指利用财政性资金依法进行政府采购的国家机关、事业单位、团体组织；</w:t>
      </w:r>
      <w:r>
        <w:rPr>
          <w:rFonts w:ascii="宋体" w:hAnsi="宋体"/>
          <w:szCs w:val="21"/>
        </w:rPr>
        <w:t xml:space="preserve"> </w:t>
      </w:r>
    </w:p>
    <w:p w14:paraId="1C673F80">
      <w:pPr>
        <w:ind w:firstLine="411" w:firstLineChars="196"/>
        <w:rPr>
          <w:rFonts w:ascii="宋体" w:hAnsi="宋体"/>
          <w:szCs w:val="21"/>
        </w:rPr>
      </w:pPr>
      <w:r>
        <w:rPr>
          <w:rFonts w:hint="eastAsia" w:ascii="宋体" w:hAnsi="宋体"/>
          <w:szCs w:val="21"/>
        </w:rPr>
        <w:t>3.2 本文件所述的“</w:t>
      </w:r>
      <w:r>
        <w:rPr>
          <w:rFonts w:hint="eastAsia" w:ascii="宋体" w:hAnsi="宋体"/>
          <w:szCs w:val="21"/>
          <w:lang w:val="en-US" w:eastAsia="zh-CN"/>
        </w:rPr>
        <w:t>招标代理机构</w:t>
      </w:r>
      <w:r>
        <w:rPr>
          <w:rFonts w:hint="eastAsia" w:ascii="宋体" w:hAnsi="宋体"/>
          <w:szCs w:val="21"/>
        </w:rPr>
        <w:t>”</w:t>
      </w:r>
      <w:r>
        <w:rPr>
          <w:rFonts w:ascii="宋体" w:hAnsi="宋体"/>
          <w:szCs w:val="21"/>
        </w:rPr>
        <w:t>指</w:t>
      </w:r>
      <w:r>
        <w:rPr>
          <w:rFonts w:hint="eastAsia" w:ascii="宋体" w:hAnsi="宋体"/>
          <w:szCs w:val="21"/>
        </w:rPr>
        <w:t>深圳交易集团有限公司</w:t>
      </w:r>
      <w:r>
        <w:rPr>
          <w:rFonts w:hint="eastAsia" w:ascii="宋体" w:hAnsi="宋体"/>
          <w:szCs w:val="21"/>
          <w:lang w:val="en-US" w:eastAsia="zh-CN"/>
        </w:rPr>
        <w:t>罗湖</w:t>
      </w:r>
      <w:r>
        <w:rPr>
          <w:rFonts w:hint="eastAsia" w:ascii="宋体" w:hAnsi="宋体"/>
          <w:szCs w:val="21"/>
        </w:rPr>
        <w:t>分公司；</w:t>
      </w:r>
    </w:p>
    <w:p w14:paraId="2FCF0D88">
      <w:pPr>
        <w:ind w:firstLine="411" w:firstLineChars="196"/>
        <w:rPr>
          <w:rFonts w:ascii="宋体" w:hAnsi="宋体"/>
          <w:szCs w:val="21"/>
        </w:rPr>
      </w:pPr>
      <w:r>
        <w:rPr>
          <w:rFonts w:hint="eastAsia" w:ascii="宋体" w:hAnsi="宋体"/>
          <w:szCs w:val="21"/>
        </w:rPr>
        <w:t>3.3“投标人”，即供应商，指参加投标竞争并愿意按照招标文件要求向采购人提供货物、工程或者服务的依法成立的法人、其他组织或者自然人；</w:t>
      </w:r>
    </w:p>
    <w:p w14:paraId="1BBA732F">
      <w:pPr>
        <w:ind w:firstLine="411" w:firstLineChars="196"/>
        <w:rPr>
          <w:rFonts w:ascii="宋体" w:hAnsi="宋体"/>
          <w:szCs w:val="21"/>
        </w:rPr>
      </w:pPr>
      <w:r>
        <w:rPr>
          <w:rFonts w:hint="eastAsia" w:ascii="宋体" w:hAnsi="宋体"/>
          <w:szCs w:val="21"/>
        </w:rPr>
        <w:t>3.4“评审委员会”是依据《中华人民共和国政府采购法》和《中华人民共和国政府采购法实施条例》等有关规定组建的专门负责本次招标其评审工作的临时性机构；</w:t>
      </w:r>
    </w:p>
    <w:p w14:paraId="0756314E">
      <w:pPr>
        <w:ind w:firstLine="411" w:firstLineChars="196"/>
        <w:rPr>
          <w:rFonts w:ascii="宋体" w:hAnsi="宋体"/>
          <w:szCs w:val="21"/>
        </w:rPr>
      </w:pPr>
      <w:r>
        <w:rPr>
          <w:rFonts w:hint="eastAsia" w:ascii="宋体" w:hAnsi="宋体"/>
          <w:szCs w:val="21"/>
        </w:rPr>
        <w:t>3.5“日期”</w:t>
      </w:r>
      <w:r>
        <w:rPr>
          <w:rFonts w:ascii="宋体" w:hAnsi="宋体"/>
          <w:szCs w:val="21"/>
        </w:rPr>
        <w:t>指</w:t>
      </w:r>
      <w:r>
        <w:rPr>
          <w:rFonts w:hint="eastAsia" w:ascii="宋体" w:hAnsi="宋体"/>
          <w:szCs w:val="21"/>
        </w:rPr>
        <w:t>公历日；</w:t>
      </w:r>
    </w:p>
    <w:p w14:paraId="7BD80840">
      <w:pPr>
        <w:ind w:firstLine="411" w:firstLineChars="196"/>
        <w:rPr>
          <w:rFonts w:ascii="宋体" w:hAnsi="宋体"/>
          <w:szCs w:val="21"/>
        </w:rPr>
      </w:pPr>
      <w:r>
        <w:rPr>
          <w:rFonts w:hint="eastAsia" w:ascii="宋体" w:hAnsi="宋体"/>
          <w:szCs w:val="21"/>
        </w:rPr>
        <w:t>3.6“合同”指由本次招标所产生的合同或合约文件；</w:t>
      </w:r>
    </w:p>
    <w:p w14:paraId="53A9CFBD">
      <w:pPr>
        <w:ind w:firstLine="411" w:firstLineChars="196"/>
        <w:rPr>
          <w:rFonts w:ascii="宋体" w:hAnsi="宋体"/>
          <w:szCs w:val="21"/>
        </w:rPr>
      </w:pPr>
      <w:r>
        <w:rPr>
          <w:rFonts w:hint="eastAsia" w:ascii="宋体" w:hAnsi="宋体"/>
          <w:szCs w:val="21"/>
        </w:rPr>
        <w:t>3.7招标文件中的标题或题名仅起引导作用，而不应视为对招标文件内容的理解和解释。</w:t>
      </w:r>
    </w:p>
    <w:p w14:paraId="7A352A98">
      <w:pPr>
        <w:rPr>
          <w:rFonts w:ascii="黑体" w:hAnsi="宋体" w:eastAsia="黑体"/>
          <w:sz w:val="24"/>
        </w:rPr>
      </w:pPr>
      <w:r>
        <w:rPr>
          <w:rFonts w:hint="eastAsia" w:ascii="黑体" w:hAnsi="宋体" w:eastAsia="黑体"/>
          <w:sz w:val="24"/>
        </w:rPr>
        <w:t xml:space="preserve">4. </w:t>
      </w:r>
      <w:bookmarkStart w:id="109" w:name="_Hlk72398643"/>
      <w:r>
        <w:rPr>
          <w:rFonts w:hint="eastAsia" w:ascii="黑体" w:hAnsi="宋体" w:eastAsia="黑体"/>
          <w:sz w:val="24"/>
        </w:rPr>
        <w:t>政府采购供应商责任</w:t>
      </w:r>
    </w:p>
    <w:p w14:paraId="67A0045A">
      <w:pPr>
        <w:ind w:firstLine="411" w:firstLineChars="196"/>
        <w:rPr>
          <w:rFonts w:ascii="宋体" w:hAnsi="宋体"/>
          <w:szCs w:val="21"/>
        </w:rPr>
      </w:pPr>
      <w:r>
        <w:rPr>
          <w:rFonts w:hint="eastAsia" w:ascii="宋体" w:hAnsi="宋体"/>
          <w:szCs w:val="21"/>
        </w:rPr>
        <w:t>4.1欢迎诚信、有实力和有社会责任心的供应商参与政府采购事业。</w:t>
      </w:r>
    </w:p>
    <w:p w14:paraId="225AE889">
      <w:pPr>
        <w:ind w:firstLine="411" w:firstLineChars="196"/>
        <w:rPr>
          <w:rFonts w:ascii="宋体" w:hAnsi="宋体"/>
          <w:szCs w:val="21"/>
        </w:rPr>
      </w:pPr>
      <w:r>
        <w:rPr>
          <w:rFonts w:hint="eastAsia" w:ascii="宋体" w:hAnsi="宋体"/>
          <w:szCs w:val="21"/>
        </w:rPr>
        <w:t>4.2投标人应当遵循公平竞争的原则，不得恶意串通，不得妨碍其他投标人的竞争行为，不得损害采购人或者其他投标人的合法权益。如违反上述要求，经核实后，供应商的投标无效。</w:t>
      </w:r>
    </w:p>
    <w:p w14:paraId="14224316">
      <w:pPr>
        <w:rPr>
          <w:rFonts w:ascii="黑体" w:hAnsi="宋体" w:eastAsia="黑体"/>
          <w:sz w:val="24"/>
        </w:rPr>
      </w:pPr>
      <w:r>
        <w:rPr>
          <w:rFonts w:hint="eastAsia" w:ascii="黑体" w:hAnsi="宋体" w:eastAsia="黑体"/>
          <w:sz w:val="24"/>
        </w:rPr>
        <w:t>5．投标人参加政府采购的条件</w:t>
      </w:r>
    </w:p>
    <w:p w14:paraId="3E74201A">
      <w:pPr>
        <w:ind w:firstLine="411" w:firstLineChars="196"/>
        <w:rPr>
          <w:rFonts w:hint="eastAsia" w:ascii="宋体" w:hAnsi="宋体"/>
          <w:szCs w:val="21"/>
          <w:lang w:val="en-US" w:eastAsia="zh-CN"/>
        </w:rPr>
      </w:pPr>
      <w:r>
        <w:rPr>
          <w:rFonts w:hint="eastAsia" w:ascii="宋体" w:hAnsi="宋体"/>
          <w:szCs w:val="21"/>
        </w:rPr>
        <w:t>5.1投标人资格要求</w:t>
      </w:r>
      <w:r>
        <w:rPr>
          <w:rFonts w:hint="eastAsia" w:ascii="宋体" w:hAnsi="宋体"/>
          <w:szCs w:val="21"/>
          <w:lang w:val="en-US" w:eastAsia="zh-CN"/>
        </w:rPr>
        <w:t xml:space="preserve"> </w:t>
      </w:r>
    </w:p>
    <w:p w14:paraId="2A4C9F5B">
      <w:pPr>
        <w:ind w:firstLine="411" w:firstLineChars="196"/>
        <w:rPr>
          <w:rFonts w:ascii="宋体" w:hAnsi="宋体"/>
          <w:szCs w:val="21"/>
        </w:rPr>
      </w:pPr>
      <w:r>
        <w:rPr>
          <w:rFonts w:hint="eastAsia" w:ascii="宋体" w:hAnsi="宋体"/>
          <w:szCs w:val="21"/>
        </w:rPr>
        <w:t>参加本项目的投标人应具备的资格条件详见本项目招标公告中 “投标人资格要求”（即申请人的资格要求）的内容。</w:t>
      </w:r>
    </w:p>
    <w:p w14:paraId="7698B783">
      <w:pPr>
        <w:ind w:firstLine="411" w:firstLineChars="196"/>
        <w:rPr>
          <w:rFonts w:ascii="宋体" w:hAnsi="宋体"/>
          <w:szCs w:val="21"/>
        </w:rPr>
      </w:pPr>
      <w:r>
        <w:rPr>
          <w:rFonts w:hint="eastAsia" w:ascii="宋体" w:hAnsi="宋体"/>
          <w:szCs w:val="21"/>
        </w:rPr>
        <w:t>5.</w:t>
      </w:r>
      <w:r>
        <w:rPr>
          <w:rFonts w:hint="eastAsia" w:ascii="宋体" w:hAnsi="宋体"/>
          <w:szCs w:val="21"/>
          <w:lang w:val="en-US" w:eastAsia="zh-CN"/>
        </w:rPr>
        <w:t>2</w:t>
      </w:r>
      <w:r>
        <w:rPr>
          <w:rFonts w:hint="eastAsia" w:ascii="宋体" w:hAnsi="宋体"/>
          <w:szCs w:val="21"/>
        </w:rPr>
        <w:t>联合体投标</w:t>
      </w:r>
    </w:p>
    <w:p w14:paraId="29AD8920">
      <w:pPr>
        <w:ind w:firstLine="411" w:firstLineChars="196"/>
        <w:rPr>
          <w:rFonts w:ascii="宋体" w:hAnsi="宋体"/>
          <w:szCs w:val="21"/>
        </w:rPr>
      </w:pPr>
      <w:r>
        <w:rPr>
          <w:rFonts w:hint="eastAsia" w:ascii="宋体" w:hAnsi="宋体"/>
          <w:szCs w:val="21"/>
        </w:rPr>
        <w:t>5.</w:t>
      </w:r>
      <w:r>
        <w:rPr>
          <w:rFonts w:hint="eastAsia" w:ascii="宋体" w:hAnsi="宋体"/>
          <w:szCs w:val="21"/>
          <w:lang w:val="en-US" w:eastAsia="zh-CN"/>
        </w:rPr>
        <w:t>2</w:t>
      </w:r>
      <w:r>
        <w:rPr>
          <w:rFonts w:hint="eastAsia" w:ascii="宋体" w:hAnsi="宋体"/>
          <w:szCs w:val="21"/>
        </w:rPr>
        <w:t>.1　以下有关联合体投标的条款仅适用于允许投标人组成联合体投标的项目。</w:t>
      </w:r>
    </w:p>
    <w:p w14:paraId="16E2C63C">
      <w:pPr>
        <w:ind w:firstLine="411" w:firstLineChars="196"/>
        <w:rPr>
          <w:rFonts w:ascii="宋体" w:hAnsi="宋体"/>
          <w:szCs w:val="21"/>
        </w:rPr>
      </w:pPr>
      <w:r>
        <w:rPr>
          <w:rFonts w:hint="eastAsia" w:ascii="宋体" w:hAnsi="宋体"/>
          <w:szCs w:val="21"/>
        </w:rPr>
        <w:t>5.</w:t>
      </w:r>
      <w:r>
        <w:rPr>
          <w:rFonts w:hint="eastAsia" w:ascii="宋体" w:hAnsi="宋体"/>
          <w:szCs w:val="21"/>
          <w:lang w:val="en-US" w:eastAsia="zh-CN"/>
        </w:rPr>
        <w:t>2</w:t>
      </w:r>
      <w:r>
        <w:rPr>
          <w:rFonts w:hint="eastAsia" w:ascii="宋体" w:hAnsi="宋体"/>
          <w:szCs w:val="21"/>
        </w:rPr>
        <w:t>.2  由两个或两个以上的自然人、法人或者其他组织可以组成一个联合体，以一个供应商的身份共同投标时，应符合以下原则：</w:t>
      </w:r>
    </w:p>
    <w:p w14:paraId="1F27EE8F">
      <w:pPr>
        <w:ind w:firstLine="411" w:firstLineChars="196"/>
        <w:rPr>
          <w:rFonts w:ascii="宋体" w:hAnsi="宋体"/>
        </w:rPr>
      </w:pPr>
      <w:r>
        <w:rPr>
          <w:rFonts w:hint="eastAsia" w:ascii="宋体" w:hAnsi="宋体"/>
        </w:rPr>
        <w:t>（1）投标联合体各方参加政府采购活动应当具备下列条件：</w:t>
      </w:r>
      <w:r>
        <w:rPr>
          <w:rFonts w:ascii="宋体" w:hAnsi="宋体"/>
        </w:rPr>
        <w:t xml:space="preserve"> </w:t>
      </w:r>
    </w:p>
    <w:p w14:paraId="0281D79F">
      <w:pPr>
        <w:ind w:left="420" w:leftChars="200" w:firstLine="411" w:firstLineChars="196"/>
        <w:rPr>
          <w:rFonts w:ascii="宋体" w:hAnsi="宋体"/>
        </w:rPr>
      </w:pPr>
      <w:r>
        <w:rPr>
          <w:rFonts w:hint="eastAsia" w:ascii="宋体" w:hAnsi="宋体"/>
        </w:rPr>
        <w:t>1、具有独立承担民事责任的能力；</w:t>
      </w:r>
      <w:r>
        <w:rPr>
          <w:rFonts w:ascii="宋体" w:hAnsi="宋体"/>
        </w:rPr>
        <w:t xml:space="preserve"> </w:t>
      </w:r>
    </w:p>
    <w:p w14:paraId="25F45616">
      <w:pPr>
        <w:ind w:left="420" w:firstLine="411" w:firstLineChars="196"/>
        <w:rPr>
          <w:rFonts w:ascii="宋体" w:hAnsi="宋体"/>
        </w:rPr>
      </w:pPr>
      <w:r>
        <w:rPr>
          <w:rFonts w:hint="eastAsia" w:ascii="宋体" w:hAnsi="宋体"/>
        </w:rPr>
        <w:t>2、有良好的商业信誉和健全的财务会计制度；</w:t>
      </w:r>
      <w:r>
        <w:rPr>
          <w:rFonts w:ascii="宋体" w:hAnsi="宋体"/>
        </w:rPr>
        <w:t xml:space="preserve"> </w:t>
      </w:r>
    </w:p>
    <w:p w14:paraId="2AEF5D71">
      <w:pPr>
        <w:ind w:left="420" w:leftChars="200" w:firstLine="411" w:firstLineChars="196"/>
        <w:rPr>
          <w:rFonts w:ascii="宋体" w:hAnsi="宋体"/>
        </w:rPr>
      </w:pPr>
      <w:r>
        <w:rPr>
          <w:rFonts w:hint="eastAsia" w:ascii="宋体" w:hAnsi="宋体"/>
        </w:rPr>
        <w:t>3、具有履行合同所必需的设备和专业技术能力；</w:t>
      </w:r>
      <w:r>
        <w:rPr>
          <w:rFonts w:ascii="宋体" w:hAnsi="宋体"/>
        </w:rPr>
        <w:t xml:space="preserve"> </w:t>
      </w:r>
    </w:p>
    <w:p w14:paraId="3E3AE994">
      <w:pPr>
        <w:ind w:left="420" w:leftChars="200" w:firstLine="411" w:firstLineChars="196"/>
        <w:rPr>
          <w:rFonts w:ascii="宋体" w:hAnsi="宋体"/>
        </w:rPr>
      </w:pPr>
      <w:r>
        <w:rPr>
          <w:rFonts w:hint="eastAsia" w:ascii="宋体" w:hAnsi="宋体"/>
        </w:rPr>
        <w:t>4、有依法缴纳税收和社会保障资金的良好记录；</w:t>
      </w:r>
      <w:r>
        <w:rPr>
          <w:rFonts w:ascii="宋体" w:hAnsi="宋体"/>
        </w:rPr>
        <w:t xml:space="preserve"> </w:t>
      </w:r>
    </w:p>
    <w:p w14:paraId="4F9CA71F">
      <w:pPr>
        <w:ind w:left="420" w:leftChars="200" w:firstLine="411" w:firstLineChars="196"/>
        <w:rPr>
          <w:rFonts w:ascii="宋体" w:hAnsi="宋体"/>
        </w:rPr>
      </w:pPr>
      <w:r>
        <w:rPr>
          <w:rFonts w:hint="eastAsia" w:ascii="宋体" w:hAnsi="宋体"/>
        </w:rPr>
        <w:t>5、参加政府采购活动前三年内，在经营活动中没有重大违法记录；</w:t>
      </w:r>
      <w:r>
        <w:rPr>
          <w:rFonts w:ascii="宋体" w:hAnsi="宋体"/>
        </w:rPr>
        <w:t xml:space="preserve"> </w:t>
      </w:r>
    </w:p>
    <w:p w14:paraId="5B553A7C">
      <w:pPr>
        <w:ind w:left="420" w:leftChars="200" w:firstLine="411" w:firstLineChars="196"/>
        <w:rPr>
          <w:rFonts w:ascii="宋体" w:hAnsi="宋体"/>
        </w:rPr>
      </w:pPr>
      <w:r>
        <w:rPr>
          <w:rFonts w:hint="eastAsia" w:ascii="宋体" w:hAnsi="宋体"/>
        </w:rPr>
        <w:t>6、法律、行政法规规定的其他条件。</w:t>
      </w:r>
      <w:r>
        <w:rPr>
          <w:rFonts w:ascii="宋体" w:hAnsi="宋体"/>
        </w:rPr>
        <w:t xml:space="preserve"> </w:t>
      </w:r>
    </w:p>
    <w:p w14:paraId="391289C0">
      <w:pPr>
        <w:ind w:firstLine="411" w:firstLineChars="196"/>
        <w:rPr>
          <w:rFonts w:ascii="宋体" w:hAnsi="宋体"/>
        </w:rPr>
      </w:pPr>
      <w:r>
        <w:rPr>
          <w:rFonts w:hint="eastAsia" w:ascii="宋体" w:hAnsi="宋体"/>
        </w:rPr>
        <w:t>（</w:t>
      </w:r>
      <w:r>
        <w:rPr>
          <w:rFonts w:hint="eastAsia" w:ascii="宋体" w:hAnsi="宋体"/>
          <w:lang w:val="en-US" w:eastAsia="zh-CN"/>
        </w:rPr>
        <w:t>2</w:t>
      </w:r>
      <w:r>
        <w:rPr>
          <w:rFonts w:hint="eastAsia" w:ascii="宋体" w:hAnsi="宋体"/>
        </w:rPr>
        <w:t>）联合体中有同类资质的供应商按照联合体分工承担相同工作的，应当按照资质等级较低的供应商确定资质等级；</w:t>
      </w:r>
    </w:p>
    <w:p w14:paraId="2BBF89B3">
      <w:pPr>
        <w:ind w:firstLine="411" w:firstLineChars="196"/>
      </w:pPr>
      <w:r>
        <w:rPr>
          <w:rFonts w:hint="eastAsia"/>
        </w:rPr>
        <w:t>（</w:t>
      </w:r>
      <w:r>
        <w:rPr>
          <w:rFonts w:hint="eastAsia"/>
          <w:lang w:val="en-US" w:eastAsia="zh-CN"/>
        </w:rPr>
        <w:t>3</w:t>
      </w:r>
      <w:r>
        <w:rPr>
          <w:rFonts w:hint="eastAsia"/>
        </w:rPr>
        <w:t>）是否允许联合体参加投标，应当由采购人和采购代理机构根据项目的实际情况和潜在供应商的数量自主决定，如果决定接受联合体投标则应当在招标公告中明示；</w:t>
      </w:r>
    </w:p>
    <w:p w14:paraId="31A16CBF">
      <w:pPr>
        <w:ind w:firstLine="411" w:firstLineChars="196"/>
        <w:rPr>
          <w:rFonts w:ascii="宋体" w:hAnsi="宋体"/>
        </w:rPr>
      </w:pPr>
      <w:r>
        <w:rPr>
          <w:rFonts w:hint="eastAsia" w:ascii="宋体" w:hAnsi="宋体"/>
        </w:rPr>
        <w:t>（</w:t>
      </w:r>
      <w:r>
        <w:rPr>
          <w:rFonts w:hint="eastAsia" w:ascii="宋体" w:hAnsi="宋体"/>
          <w:lang w:val="en-US" w:eastAsia="zh-CN"/>
        </w:rPr>
        <w:t>4</w:t>
      </w:r>
      <w:r>
        <w:rPr>
          <w:rFonts w:hint="eastAsia" w:ascii="宋体" w:hAnsi="宋体"/>
        </w:rPr>
        <w:t>）投标人的投标文件及中标后签署的合同协议对联合体各方均具法律约束力；</w:t>
      </w:r>
    </w:p>
    <w:p w14:paraId="25AFCBA9">
      <w:pPr>
        <w:ind w:firstLine="411" w:firstLineChars="196"/>
        <w:rPr>
          <w:rFonts w:ascii="宋体" w:hAnsi="宋体"/>
        </w:rPr>
      </w:pPr>
      <w:r>
        <w:rPr>
          <w:rFonts w:hint="eastAsia" w:ascii="宋体" w:hAnsi="宋体"/>
        </w:rPr>
        <w:t>（</w:t>
      </w:r>
      <w:r>
        <w:rPr>
          <w:rFonts w:hint="eastAsia" w:ascii="宋体" w:hAnsi="宋体"/>
          <w:lang w:val="en-US" w:eastAsia="zh-CN"/>
        </w:rPr>
        <w:t>5</w:t>
      </w:r>
      <w:r>
        <w:rPr>
          <w:rFonts w:hint="eastAsia" w:ascii="宋体" w:hAnsi="宋体"/>
        </w:rPr>
        <w:t>）联合体各方应当签订联合体投标协议，明确约定各方拟承担的工作和责任，并将该协议随投标文件一并递交给</w:t>
      </w:r>
      <w:r>
        <w:rPr>
          <w:rFonts w:hint="eastAsia" w:ascii="宋体" w:hAnsi="宋体"/>
          <w:highlight w:val="none"/>
          <w:lang w:val="en-US" w:eastAsia="zh-CN"/>
        </w:rPr>
        <w:t>招标代理</w:t>
      </w:r>
      <w:r>
        <w:rPr>
          <w:rFonts w:hint="eastAsia" w:ascii="宋体" w:hAnsi="宋体"/>
          <w:highlight w:val="none"/>
        </w:rPr>
        <w:t>机构；</w:t>
      </w:r>
    </w:p>
    <w:p w14:paraId="013334B8">
      <w:pPr>
        <w:ind w:firstLine="411" w:firstLineChars="196"/>
        <w:rPr>
          <w:rFonts w:ascii="宋体" w:hAnsi="宋体"/>
        </w:rPr>
      </w:pPr>
      <w:r>
        <w:rPr>
          <w:rFonts w:hint="eastAsia" w:ascii="宋体" w:hAnsi="宋体"/>
        </w:rPr>
        <w:t>（</w:t>
      </w:r>
      <w:r>
        <w:rPr>
          <w:rFonts w:hint="eastAsia" w:ascii="宋体" w:hAnsi="宋体"/>
          <w:lang w:val="en-US" w:eastAsia="zh-CN"/>
        </w:rPr>
        <w:t>6</w:t>
      </w:r>
      <w:r>
        <w:rPr>
          <w:rFonts w:hint="eastAsia" w:ascii="宋体" w:hAnsi="宋体"/>
        </w:rPr>
        <w:t>）联合体中标后，联合体各方应当共同与采购人签订合同，就中标项目向采购人承担连带责任；</w:t>
      </w:r>
    </w:p>
    <w:p w14:paraId="7C64D807">
      <w:pPr>
        <w:ind w:firstLine="411" w:firstLineChars="196"/>
        <w:rPr>
          <w:rFonts w:ascii="宋体" w:hAnsi="宋体"/>
        </w:rPr>
      </w:pPr>
      <w:r>
        <w:rPr>
          <w:rFonts w:hint="eastAsia" w:ascii="宋体" w:hAnsi="宋体"/>
        </w:rPr>
        <w:t>（</w:t>
      </w:r>
      <w:r>
        <w:rPr>
          <w:rFonts w:hint="eastAsia" w:ascii="宋体" w:hAnsi="宋体"/>
          <w:lang w:val="en-US" w:eastAsia="zh-CN"/>
        </w:rPr>
        <w:t>7</w:t>
      </w:r>
      <w:r>
        <w:rPr>
          <w:rFonts w:hint="eastAsia" w:ascii="宋体" w:hAnsi="宋体"/>
        </w:rPr>
        <w:t>）以联合体形式参加政府采购活动的，联合体各方不得再单独参加或者与其他供应商另外组成联合体参加同一合同项下的政府采购活动，出现上述情况者，其投标和与此有关联合体、总包单位的投标将被拒绝；</w:t>
      </w:r>
    </w:p>
    <w:p w14:paraId="7D5D662E">
      <w:pPr>
        <w:ind w:firstLine="411" w:firstLineChars="196"/>
        <w:rPr>
          <w:rFonts w:ascii="宋体" w:hAnsi="宋体"/>
          <w:szCs w:val="21"/>
        </w:rPr>
      </w:pPr>
      <w:r>
        <w:rPr>
          <w:rFonts w:hint="eastAsia" w:ascii="宋体" w:hAnsi="宋体"/>
        </w:rPr>
        <w:t>（</w:t>
      </w:r>
      <w:r>
        <w:rPr>
          <w:rFonts w:hint="eastAsia" w:ascii="宋体" w:hAnsi="宋体"/>
          <w:lang w:val="en-US" w:eastAsia="zh-CN"/>
        </w:rPr>
        <w:t>8</w:t>
      </w:r>
      <w:r>
        <w:rPr>
          <w:rFonts w:hint="eastAsia" w:ascii="宋体" w:hAnsi="宋体"/>
        </w:rPr>
        <w:t>）本通用条款中“投标人”一词亦指联合体各方，专用条款另有规定或说明的除外。</w:t>
      </w:r>
    </w:p>
    <w:p w14:paraId="06FEDF17">
      <w:pPr>
        <w:rPr>
          <w:rFonts w:ascii="黑体" w:hAnsi="宋体" w:eastAsia="黑体"/>
          <w:sz w:val="24"/>
        </w:rPr>
      </w:pPr>
      <w:r>
        <w:rPr>
          <w:rFonts w:hint="eastAsia" w:ascii="黑体" w:hAnsi="宋体" w:eastAsia="黑体"/>
          <w:sz w:val="24"/>
        </w:rPr>
        <w:t>6．政策导向</w:t>
      </w:r>
    </w:p>
    <w:p w14:paraId="3625F818">
      <w:pPr>
        <w:ind w:firstLine="411" w:firstLineChars="196"/>
        <w:rPr>
          <w:rFonts w:ascii="宋体" w:hAnsi="宋体"/>
        </w:rPr>
      </w:pPr>
      <w:r>
        <w:rPr>
          <w:rFonts w:hint="eastAsia" w:ascii="宋体" w:hAnsi="宋体"/>
        </w:rPr>
        <w:t>6.1</w:t>
      </w:r>
      <w:r>
        <w:rPr>
          <w:rFonts w:ascii="宋体" w:hAnsi="宋体"/>
        </w:rPr>
        <w:t xml:space="preserve">  </w:t>
      </w:r>
      <w:r>
        <w:rPr>
          <w:rFonts w:hint="eastAsia" w:ascii="宋体" w:hAnsi="宋体"/>
        </w:rPr>
        <w:t>政府采购支持本国产品、支持中小企业、监狱企业和残疾人福利性单位发展，支持乡村产业振兴，支持创新、节能减排、绿色环保等。</w:t>
      </w:r>
    </w:p>
    <w:p w14:paraId="07E0BB6E">
      <w:pPr>
        <w:ind w:firstLine="405"/>
        <w:rPr>
          <w:rFonts w:ascii="宋体" w:hAnsi="宋体"/>
        </w:rPr>
      </w:pPr>
      <w:r>
        <w:rPr>
          <w:rFonts w:hint="eastAsia" w:ascii="宋体" w:hAnsi="宋体"/>
        </w:rPr>
        <w:t>6.2</w:t>
      </w:r>
      <w:r>
        <w:rPr>
          <w:rFonts w:ascii="宋体" w:hAnsi="宋体"/>
        </w:rPr>
        <w:t xml:space="preserve">  </w:t>
      </w:r>
      <w:r>
        <w:rPr>
          <w:rFonts w:hint="eastAsia" w:ascii="宋体" w:hAnsi="宋体"/>
        </w:rPr>
        <w:t>本项目落实深圳市政府采购供应商诚信管理政策要求。</w:t>
      </w:r>
    </w:p>
    <w:p w14:paraId="35C05A96">
      <w:pPr>
        <w:ind w:firstLine="405"/>
      </w:pPr>
      <w:r>
        <w:rPr>
          <w:rFonts w:hint="eastAsia" w:ascii="宋体" w:hAnsi="宋体"/>
        </w:rPr>
        <w:t>6.3  本项目支持投标人性别平等的相关政策。</w:t>
      </w:r>
    </w:p>
    <w:p w14:paraId="03270190">
      <w:pPr>
        <w:rPr>
          <w:rFonts w:ascii="黑体" w:hAnsi="宋体" w:eastAsia="黑体"/>
          <w:sz w:val="24"/>
        </w:rPr>
      </w:pPr>
      <w:r>
        <w:rPr>
          <w:rFonts w:hint="eastAsia" w:ascii="黑体" w:hAnsi="宋体" w:eastAsia="黑体"/>
          <w:sz w:val="24"/>
        </w:rPr>
        <w:t>7. 本项目若涉及采购货物，则合格的货物及相应服务应满足以下要求：</w:t>
      </w:r>
    </w:p>
    <w:p w14:paraId="4F0BE818">
      <w:pPr>
        <w:ind w:firstLine="411" w:firstLineChars="196"/>
        <w:rPr>
          <w:rFonts w:ascii="宋体" w:hAnsi="宋体"/>
        </w:rPr>
      </w:pPr>
      <w:r>
        <w:rPr>
          <w:rFonts w:hint="eastAsia" w:ascii="宋体" w:hAnsi="宋体"/>
        </w:rPr>
        <w:t>7</w:t>
      </w:r>
      <w:r>
        <w:rPr>
          <w:rFonts w:ascii="宋体" w:hAnsi="宋体"/>
        </w:rPr>
        <w:t xml:space="preserve">.1  </w:t>
      </w:r>
      <w:r>
        <w:rPr>
          <w:rFonts w:hint="eastAsia" w:ascii="宋体" w:hAnsi="宋体"/>
        </w:rPr>
        <w:t>必须是全新、未使用过的原装合格正品（包括零部件），如安装或配置了软件的，须为正版软件。</w:t>
      </w:r>
    </w:p>
    <w:p w14:paraId="2F158320">
      <w:pPr>
        <w:ind w:firstLine="411" w:firstLineChars="196"/>
        <w:rPr>
          <w:rFonts w:ascii="宋体" w:hAnsi="宋体"/>
        </w:rPr>
      </w:pPr>
      <w:r>
        <w:rPr>
          <w:rFonts w:hint="eastAsia" w:ascii="宋体" w:hAnsi="宋体"/>
        </w:rPr>
        <w:t>7.2  国产的货物及其有关服务必须符合中华人民共和国的设计、制造生产标准及行业标准。招标公告有其他要求的，亦应符合其要求。</w:t>
      </w:r>
    </w:p>
    <w:p w14:paraId="5A540BE9">
      <w:pPr>
        <w:ind w:firstLine="411" w:firstLineChars="196"/>
        <w:rPr>
          <w:rFonts w:ascii="宋体" w:hAnsi="宋体"/>
        </w:rPr>
      </w:pPr>
      <w:r>
        <w:rPr>
          <w:rFonts w:hint="eastAsia" w:ascii="宋体" w:hAnsi="宋体"/>
        </w:rPr>
        <w:t>7</w:t>
      </w:r>
      <w:r>
        <w:rPr>
          <w:rFonts w:ascii="宋体" w:hAnsi="宋体"/>
        </w:rPr>
        <w:t>.</w:t>
      </w:r>
      <w:r>
        <w:rPr>
          <w:rFonts w:hint="eastAsia" w:ascii="宋体" w:hAnsi="宋体"/>
        </w:rPr>
        <w:t>3</w:t>
      </w:r>
      <w:r>
        <w:rPr>
          <w:rFonts w:ascii="宋体" w:hAnsi="宋体"/>
        </w:rPr>
        <w:t xml:space="preserve">  </w:t>
      </w:r>
      <w:r>
        <w:rPr>
          <w:rFonts w:hint="eastAsia" w:ascii="宋体" w:hAnsi="宋体"/>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14:paraId="41D23A6D">
      <w:pPr>
        <w:ind w:firstLine="411" w:firstLineChars="196"/>
        <w:rPr>
          <w:rFonts w:ascii="宋体" w:hAnsi="宋体"/>
        </w:rPr>
      </w:pPr>
      <w:r>
        <w:rPr>
          <w:rFonts w:hint="eastAsia" w:ascii="宋体" w:hAnsi="宋体"/>
        </w:rPr>
        <w:t>7</w:t>
      </w:r>
      <w:r>
        <w:rPr>
          <w:rFonts w:ascii="宋体" w:hAnsi="宋体"/>
        </w:rPr>
        <w:t>.</w:t>
      </w:r>
      <w:r>
        <w:rPr>
          <w:rFonts w:hint="eastAsia" w:ascii="宋体" w:hAnsi="宋体"/>
        </w:rPr>
        <w:t>4</w:t>
      </w:r>
      <w:r>
        <w:rPr>
          <w:rFonts w:ascii="宋体" w:hAnsi="宋体"/>
        </w:rPr>
        <w:t xml:space="preserve">  </w:t>
      </w:r>
      <w:r>
        <w:rPr>
          <w:rFonts w:hint="eastAsia" w:ascii="宋体" w:hAnsi="宋体"/>
        </w:rPr>
        <w:t>投标人</w:t>
      </w:r>
      <w:bookmarkStart w:id="110" w:name="_Hlk72152753"/>
      <w:r>
        <w:rPr>
          <w:rFonts w:hint="eastAsia" w:ascii="宋体" w:hAnsi="宋体"/>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110"/>
    </w:p>
    <w:p w14:paraId="04330FF6">
      <w:pPr>
        <w:ind w:firstLine="411" w:firstLineChars="196"/>
        <w:rPr>
          <w:rFonts w:ascii="宋体" w:hAnsi="宋体"/>
        </w:rPr>
      </w:pPr>
      <w:r>
        <w:rPr>
          <w:rFonts w:hint="eastAsia" w:ascii="宋体" w:hAnsi="宋体"/>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14:paraId="36071E6F">
      <w:pPr>
        <w:ind w:firstLine="411" w:firstLineChars="196"/>
        <w:rPr>
          <w:rFonts w:ascii="宋体" w:hAnsi="宋体"/>
        </w:rPr>
      </w:pPr>
      <w:r>
        <w:rPr>
          <w:rFonts w:hint="eastAsia" w:ascii="宋体" w:hAnsi="宋体"/>
        </w:rPr>
        <w:t>7.6  工期要求：投标人在投标时对其所投项目应提交交货进度、交货计划等，在合同规定的时间内完成项目实施工作。</w:t>
      </w:r>
    </w:p>
    <w:p w14:paraId="742F0FE0">
      <w:pPr>
        <w:ind w:firstLine="411" w:firstLineChars="196"/>
        <w:rPr>
          <w:rFonts w:ascii="宋体" w:hAnsi="宋体"/>
        </w:rPr>
      </w:pPr>
      <w:r>
        <w:rPr>
          <w:rFonts w:hint="eastAsia" w:ascii="宋体" w:hAnsi="宋体"/>
        </w:rPr>
        <w:t>7.7  投标人必须承担的设备运输、安装调试、验收检测和提供设备操作说明书、图纸等其他相关及类似的义务。</w:t>
      </w:r>
    </w:p>
    <w:p w14:paraId="0E6D1F72">
      <w:pPr>
        <w:rPr>
          <w:rFonts w:ascii="黑体" w:hAnsi="宋体" w:eastAsia="黑体"/>
          <w:sz w:val="24"/>
        </w:rPr>
      </w:pPr>
      <w:r>
        <w:rPr>
          <w:rFonts w:hint="eastAsia" w:ascii="黑体" w:hAnsi="宋体" w:eastAsia="黑体"/>
          <w:sz w:val="24"/>
        </w:rPr>
        <w:t>8．投标费用</w:t>
      </w:r>
    </w:p>
    <w:p w14:paraId="28FACAC7">
      <w:pPr>
        <w:ind w:firstLine="411" w:firstLineChars="196"/>
        <w:rPr>
          <w:rFonts w:ascii="宋体" w:hAnsi="宋体"/>
          <w:szCs w:val="21"/>
        </w:rPr>
      </w:pPr>
      <w:r>
        <w:rPr>
          <w:rFonts w:hint="eastAsia" w:ascii="宋体" w:hAnsi="宋体"/>
          <w:szCs w:val="21"/>
        </w:rPr>
        <w:t>不论投标结果如何，投标人应承担其编制投标文件与递交投标文件所涉及的一切费用。</w:t>
      </w:r>
    </w:p>
    <w:p w14:paraId="5A20BF2D">
      <w:pPr>
        <w:rPr>
          <w:rFonts w:ascii="黑体" w:hAnsi="宋体" w:eastAsia="黑体"/>
          <w:sz w:val="24"/>
        </w:rPr>
      </w:pPr>
      <w:r>
        <w:rPr>
          <w:rFonts w:hint="eastAsia" w:ascii="黑体" w:hAnsi="宋体" w:eastAsia="黑体"/>
          <w:sz w:val="24"/>
        </w:rPr>
        <w:t>9．踏勘现场</w:t>
      </w:r>
    </w:p>
    <w:p w14:paraId="73460792">
      <w:pPr>
        <w:ind w:firstLine="411" w:firstLineChars="196"/>
        <w:rPr>
          <w:rFonts w:ascii="宋体" w:hAnsi="宋体"/>
          <w:szCs w:val="21"/>
        </w:rPr>
      </w:pPr>
      <w:r>
        <w:rPr>
          <w:rFonts w:hint="eastAsia" w:ascii="宋体" w:hAnsi="宋体"/>
          <w:szCs w:val="21"/>
        </w:rPr>
        <w:t>9.1如有需要（详见专用条款），采购人或</w:t>
      </w:r>
      <w:r>
        <w:rPr>
          <w:rFonts w:hint="eastAsia" w:ascii="宋体" w:hAnsi="宋体"/>
          <w:szCs w:val="21"/>
          <w:lang w:eastAsia="zh-CN"/>
        </w:rPr>
        <w:t>招标代理机构</w:t>
      </w:r>
      <w:r>
        <w:rPr>
          <w:rFonts w:hint="eastAsia" w:ascii="宋体" w:hAnsi="宋体"/>
          <w:szCs w:val="21"/>
        </w:rPr>
        <w:t>将组织投标人对项目现场及周围环境进行踏勘，以便投标人获取有关编制投标文件和签署合同所需的资料。踏勘现场所发生的费用由投标人自行承担。投标人应按招标文件所约定的时间、地点踏勘现场。</w:t>
      </w:r>
    </w:p>
    <w:p w14:paraId="49383975">
      <w:pPr>
        <w:ind w:firstLine="411" w:firstLineChars="196"/>
        <w:rPr>
          <w:rFonts w:ascii="宋体" w:hAnsi="宋体"/>
        </w:rPr>
      </w:pPr>
      <w:r>
        <w:rPr>
          <w:rFonts w:hint="eastAsia" w:ascii="宋体" w:hAnsi="宋体"/>
        </w:rPr>
        <w:t>9.2投标人及其人员经过采购人的允许，可以进入采购人的项目现场踏勘。若招标文件要求投标人于统一时间地点踏勘现场的，投标人应当按时前往。</w:t>
      </w:r>
    </w:p>
    <w:p w14:paraId="6C481CF2">
      <w:pPr>
        <w:ind w:firstLine="411" w:firstLineChars="196"/>
        <w:rPr>
          <w:rFonts w:ascii="宋体" w:hAnsi="宋体"/>
        </w:rPr>
      </w:pPr>
      <w:r>
        <w:rPr>
          <w:rFonts w:hint="eastAsia" w:ascii="宋体" w:hAnsi="宋体"/>
        </w:rPr>
        <w:t>9.3采购人应当通过</w:t>
      </w:r>
      <w:r>
        <w:rPr>
          <w:rFonts w:hint="eastAsia" w:ascii="宋体" w:hAnsi="宋体"/>
          <w:lang w:eastAsia="zh-CN"/>
        </w:rPr>
        <w:t>招标代理机构</w:t>
      </w:r>
      <w:r>
        <w:rPr>
          <w:rFonts w:hint="eastAsia" w:ascii="宋体" w:hAnsi="宋体"/>
        </w:rPr>
        <w:t>向投标人提供有关现场的书面资料和数据。</w:t>
      </w:r>
    </w:p>
    <w:p w14:paraId="07F9CAAD">
      <w:pPr>
        <w:ind w:firstLine="411" w:firstLineChars="196"/>
        <w:rPr>
          <w:rFonts w:ascii="宋体" w:hAnsi="宋体"/>
        </w:rPr>
      </w:pPr>
      <w:r>
        <w:rPr>
          <w:rFonts w:hint="eastAsia" w:ascii="宋体" w:hAnsi="宋体"/>
        </w:rPr>
        <w:t>9.4任何人或任何组织在踏勘现场时向投标人提供的任何书面资料或口头承诺，未经</w:t>
      </w:r>
      <w:r>
        <w:rPr>
          <w:rFonts w:hint="eastAsia" w:ascii="宋体" w:hAnsi="宋体"/>
          <w:lang w:eastAsia="zh-CN"/>
        </w:rPr>
        <w:t>招标代理机构</w:t>
      </w:r>
      <w:r>
        <w:rPr>
          <w:rFonts w:hint="eastAsia" w:ascii="宋体" w:hAnsi="宋体"/>
        </w:rPr>
        <w:t>在网上发布或书面通知，均作无效处理。</w:t>
      </w:r>
    </w:p>
    <w:p w14:paraId="491B4805">
      <w:pPr>
        <w:ind w:firstLine="411" w:firstLineChars="196"/>
        <w:rPr>
          <w:rFonts w:ascii="宋体" w:hAnsi="宋体"/>
        </w:rPr>
      </w:pPr>
      <w:r>
        <w:rPr>
          <w:rFonts w:ascii="宋体" w:hAnsi="宋体"/>
          <w:szCs w:val="21"/>
        </w:rPr>
        <w:t>9</w:t>
      </w:r>
      <w:r>
        <w:rPr>
          <w:rFonts w:hint="eastAsia" w:ascii="宋体" w:hAnsi="宋体"/>
          <w:szCs w:val="21"/>
        </w:rPr>
        <w:t>.</w:t>
      </w:r>
      <w:r>
        <w:rPr>
          <w:rFonts w:ascii="宋体" w:hAnsi="宋体"/>
          <w:szCs w:val="21"/>
        </w:rPr>
        <w:t>5</w:t>
      </w:r>
      <w:r>
        <w:rPr>
          <w:rFonts w:hint="eastAsia" w:ascii="宋体" w:hAnsi="宋体"/>
          <w:szCs w:val="21"/>
        </w:rPr>
        <w:t>未参与踏勘现场不作为否定投标人资格的理由。</w:t>
      </w:r>
    </w:p>
    <w:p w14:paraId="6ADC14EC">
      <w:pPr>
        <w:rPr>
          <w:rFonts w:ascii="宋体" w:hAnsi="宋体"/>
          <w:szCs w:val="21"/>
        </w:rPr>
      </w:pPr>
      <w:r>
        <w:rPr>
          <w:rFonts w:hint="eastAsia" w:ascii="黑体" w:hAnsi="宋体" w:eastAsia="黑体"/>
          <w:sz w:val="24"/>
        </w:rPr>
        <w:t>1</w:t>
      </w:r>
      <w:r>
        <w:rPr>
          <w:rFonts w:ascii="黑体" w:hAnsi="宋体" w:eastAsia="黑体"/>
          <w:sz w:val="24"/>
        </w:rPr>
        <w:t>0</w:t>
      </w:r>
      <w:r>
        <w:rPr>
          <w:rFonts w:hint="eastAsia" w:ascii="黑体" w:hAnsi="宋体" w:eastAsia="黑体"/>
          <w:sz w:val="24"/>
        </w:rPr>
        <w:t>．标前会议</w:t>
      </w:r>
    </w:p>
    <w:p w14:paraId="155B8112">
      <w:pPr>
        <w:ind w:firstLine="411" w:firstLineChars="196"/>
        <w:rPr>
          <w:rFonts w:ascii="宋体" w:hAnsi="宋体"/>
          <w:szCs w:val="21"/>
        </w:rPr>
      </w:pPr>
      <w:r>
        <w:rPr>
          <w:rFonts w:hint="eastAsia" w:ascii="宋体" w:hAnsi="宋体"/>
          <w:szCs w:val="21"/>
        </w:rPr>
        <w:t>1</w:t>
      </w:r>
      <w:r>
        <w:rPr>
          <w:rFonts w:ascii="宋体" w:hAnsi="宋体"/>
          <w:szCs w:val="21"/>
        </w:rPr>
        <w:t>0</w:t>
      </w:r>
      <w:r>
        <w:rPr>
          <w:rFonts w:hint="eastAsia" w:ascii="宋体" w:hAnsi="宋体"/>
          <w:szCs w:val="21"/>
        </w:rPr>
        <w:t>.</w:t>
      </w:r>
      <w:r>
        <w:rPr>
          <w:rFonts w:ascii="宋体" w:hAnsi="宋体"/>
          <w:szCs w:val="21"/>
        </w:rPr>
        <w:t>1</w:t>
      </w:r>
      <w:r>
        <w:rPr>
          <w:rFonts w:hint="eastAsia" w:ascii="宋体" w:hAnsi="宋体"/>
          <w:szCs w:val="21"/>
        </w:rPr>
        <w:t>如采购人或</w:t>
      </w:r>
      <w:r>
        <w:rPr>
          <w:rFonts w:hint="eastAsia" w:ascii="宋体" w:hAnsi="宋体"/>
          <w:szCs w:val="21"/>
          <w:lang w:eastAsia="zh-CN"/>
        </w:rPr>
        <w:t>招标代理机构</w:t>
      </w:r>
      <w:r>
        <w:rPr>
          <w:rFonts w:hint="eastAsia" w:ascii="宋体" w:hAnsi="宋体"/>
          <w:szCs w:val="21"/>
        </w:rPr>
        <w:t>认为有必要组织标前会议，投标人应按照招标文件规定的时间或</w:t>
      </w:r>
      <w:r>
        <w:rPr>
          <w:rFonts w:hint="eastAsia" w:ascii="宋体" w:hAnsi="宋体"/>
          <w:szCs w:val="21"/>
          <w:lang w:eastAsia="zh-CN"/>
        </w:rPr>
        <w:t>招标代理机构</w:t>
      </w:r>
      <w:r>
        <w:rPr>
          <w:rFonts w:hint="eastAsia" w:ascii="宋体" w:hAnsi="宋体"/>
          <w:szCs w:val="21"/>
        </w:rPr>
        <w:t>另行书面通知（包括</w:t>
      </w:r>
      <w:r>
        <w:rPr>
          <w:rFonts w:hint="eastAsia" w:ascii="宋体" w:hAnsi="宋体"/>
          <w:szCs w:val="21"/>
          <w:lang w:eastAsia="zh-CN"/>
        </w:rPr>
        <w:t>招标代理机构</w:t>
      </w:r>
      <w:r>
        <w:rPr>
          <w:rFonts w:hint="eastAsia" w:ascii="宋体" w:hAnsi="宋体"/>
          <w:szCs w:val="21"/>
        </w:rPr>
        <w:t>网站发布方式，如更正公告等）的时间和地点，参与标前会议。</w:t>
      </w:r>
    </w:p>
    <w:p w14:paraId="3AF5117F">
      <w:pPr>
        <w:ind w:firstLine="411" w:firstLineChars="196"/>
        <w:rPr>
          <w:rFonts w:ascii="宋体" w:hAnsi="宋体"/>
          <w:szCs w:val="21"/>
        </w:rPr>
      </w:pPr>
      <w:r>
        <w:rPr>
          <w:rFonts w:ascii="宋体" w:hAnsi="宋体"/>
        </w:rPr>
        <w:t>10</w:t>
      </w:r>
      <w:r>
        <w:rPr>
          <w:rFonts w:hint="eastAsia" w:ascii="宋体" w:hAnsi="宋体"/>
        </w:rPr>
        <w:t>.</w:t>
      </w:r>
      <w:r>
        <w:rPr>
          <w:rFonts w:ascii="宋体" w:hAnsi="宋体"/>
        </w:rPr>
        <w:t>2</w:t>
      </w:r>
      <w:r>
        <w:rPr>
          <w:rFonts w:hint="eastAsia" w:ascii="宋体" w:hAnsi="宋体"/>
        </w:rPr>
        <w:t>任何人或任何组织在标前会议时向投标人提供的任何书面资料或口头承诺，未经</w:t>
      </w:r>
      <w:r>
        <w:rPr>
          <w:rFonts w:hint="eastAsia" w:ascii="宋体" w:hAnsi="宋体"/>
          <w:lang w:eastAsia="zh-CN"/>
        </w:rPr>
        <w:t>招标代理机构</w:t>
      </w:r>
      <w:r>
        <w:rPr>
          <w:rFonts w:hint="eastAsia" w:ascii="宋体" w:hAnsi="宋体"/>
        </w:rPr>
        <w:t>在网上发布或书面通知，均作无效处理。</w:t>
      </w:r>
    </w:p>
    <w:p w14:paraId="16D1BBDF">
      <w:pPr>
        <w:ind w:firstLine="411" w:firstLineChars="196"/>
        <w:rPr>
          <w:rFonts w:ascii="宋体" w:hAnsi="宋体"/>
          <w:szCs w:val="21"/>
        </w:rPr>
      </w:pPr>
      <w:r>
        <w:rPr>
          <w:rFonts w:hint="eastAsia" w:ascii="宋体" w:hAnsi="宋体"/>
          <w:szCs w:val="21"/>
        </w:rPr>
        <w:t>1</w:t>
      </w:r>
      <w:r>
        <w:rPr>
          <w:rFonts w:ascii="宋体" w:hAnsi="宋体"/>
          <w:szCs w:val="21"/>
        </w:rPr>
        <w:t>0</w:t>
      </w:r>
      <w:r>
        <w:rPr>
          <w:rFonts w:hint="eastAsia" w:ascii="宋体" w:hAnsi="宋体"/>
          <w:szCs w:val="21"/>
        </w:rPr>
        <w:t>.</w:t>
      </w:r>
      <w:r>
        <w:rPr>
          <w:rFonts w:ascii="宋体" w:hAnsi="宋体"/>
          <w:szCs w:val="21"/>
        </w:rPr>
        <w:t>3</w:t>
      </w:r>
      <w:r>
        <w:rPr>
          <w:rFonts w:hint="eastAsia" w:ascii="宋体" w:hAnsi="宋体"/>
          <w:szCs w:val="21"/>
        </w:rPr>
        <w:t>未参与标前会议不作为否定投标人资格的理由。</w:t>
      </w:r>
    </w:p>
    <w:bookmarkEnd w:id="109"/>
    <w:p w14:paraId="0A42F083">
      <w:pPr>
        <w:ind w:firstLine="411" w:firstLineChars="196"/>
        <w:rPr>
          <w:rFonts w:ascii="宋体" w:hAnsi="宋体"/>
        </w:rPr>
      </w:pPr>
    </w:p>
    <w:p w14:paraId="65370872">
      <w:pPr>
        <w:pStyle w:val="5"/>
        <w:numPr>
          <w:ilvl w:val="0"/>
          <w:numId w:val="24"/>
        </w:numPr>
        <w:spacing w:before="120" w:beforeLines="50" w:after="120" w:afterLines="50"/>
        <w:ind w:left="562" w:hanging="562"/>
        <w:rPr>
          <w:sz w:val="28"/>
          <w:szCs w:val="28"/>
        </w:rPr>
      </w:pPr>
      <w:r>
        <w:rPr>
          <w:rFonts w:hint="eastAsia"/>
          <w:sz w:val="28"/>
          <w:szCs w:val="28"/>
        </w:rPr>
        <w:t xml:space="preserve"> 招标文件</w:t>
      </w:r>
    </w:p>
    <w:p w14:paraId="149DDC46">
      <w:pPr>
        <w:rPr>
          <w:rFonts w:ascii="黑体" w:hAnsi="宋体" w:eastAsia="黑体"/>
          <w:sz w:val="24"/>
        </w:rPr>
      </w:pPr>
      <w:r>
        <w:rPr>
          <w:rFonts w:hint="eastAsia" w:ascii="黑体" w:hAnsi="宋体" w:eastAsia="黑体"/>
          <w:sz w:val="24"/>
        </w:rPr>
        <w:t>1</w:t>
      </w:r>
      <w:r>
        <w:rPr>
          <w:rFonts w:ascii="黑体" w:hAnsi="宋体" w:eastAsia="黑体"/>
          <w:sz w:val="24"/>
        </w:rPr>
        <w:t>1</w:t>
      </w:r>
      <w:r>
        <w:rPr>
          <w:rFonts w:hint="eastAsia" w:ascii="黑体" w:hAnsi="宋体" w:eastAsia="黑体"/>
          <w:sz w:val="24"/>
        </w:rPr>
        <w:t>．</w:t>
      </w:r>
      <w:bookmarkStart w:id="111" w:name="_Hlk72399819"/>
      <w:r>
        <w:rPr>
          <w:rFonts w:hint="eastAsia" w:ascii="黑体" w:hAnsi="宋体" w:eastAsia="黑体"/>
          <w:sz w:val="24"/>
        </w:rPr>
        <w:t>招标文件的编制与组成</w:t>
      </w:r>
    </w:p>
    <w:p w14:paraId="64ADCE54">
      <w:pPr>
        <w:snapToGrid w:val="0"/>
        <w:ind w:firstLine="420" w:firstLineChars="200"/>
        <w:rPr>
          <w:rFonts w:ascii="宋体" w:hAnsi="宋体"/>
          <w:szCs w:val="21"/>
        </w:rPr>
      </w:pPr>
      <w:r>
        <w:rPr>
          <w:rFonts w:hint="eastAsia" w:ascii="宋体" w:hAnsi="宋体"/>
          <w:szCs w:val="21"/>
        </w:rPr>
        <w:t>1</w:t>
      </w:r>
      <w:r>
        <w:rPr>
          <w:rFonts w:ascii="宋体" w:hAnsi="宋体"/>
          <w:szCs w:val="21"/>
        </w:rPr>
        <w:t>1</w:t>
      </w:r>
      <w:r>
        <w:rPr>
          <w:rFonts w:hint="eastAsia" w:ascii="宋体" w:hAnsi="宋体"/>
          <w:szCs w:val="21"/>
        </w:rPr>
        <w:t>.1招标文件除以下内容外，</w:t>
      </w:r>
      <w:r>
        <w:rPr>
          <w:rFonts w:hint="eastAsia" w:ascii="宋体" w:hAnsi="宋体"/>
          <w:szCs w:val="21"/>
          <w:lang w:eastAsia="zh-CN"/>
        </w:rPr>
        <w:t>招标代理机构</w:t>
      </w:r>
      <w:r>
        <w:rPr>
          <w:rFonts w:hint="eastAsia" w:ascii="宋体" w:hAnsi="宋体"/>
          <w:szCs w:val="21"/>
        </w:rPr>
        <w:t>在招标期间发出的澄清或修改等相关公告或通知内容，均是招标文件的组成部分，对投标人起约束作用；</w:t>
      </w:r>
    </w:p>
    <w:p w14:paraId="7296C391">
      <w:pPr>
        <w:ind w:firstLine="411" w:firstLineChars="196"/>
        <w:rPr>
          <w:rFonts w:ascii="宋体" w:hAnsi="宋体"/>
          <w:szCs w:val="21"/>
        </w:rPr>
      </w:pPr>
      <w:r>
        <w:rPr>
          <w:rFonts w:hint="eastAsia" w:ascii="宋体" w:hAnsi="宋体"/>
          <w:szCs w:val="21"/>
        </w:rPr>
        <w:t>招标文件包括下列内容：</w:t>
      </w:r>
    </w:p>
    <w:p w14:paraId="38653562">
      <w:pPr>
        <w:ind w:left="420" w:leftChars="200" w:firstLine="413" w:firstLineChars="196"/>
        <w:rPr>
          <w:rFonts w:ascii="宋体" w:hAnsi="宋体"/>
          <w:b/>
          <w:szCs w:val="21"/>
        </w:rPr>
      </w:pPr>
      <w:r>
        <w:rPr>
          <w:rFonts w:hint="eastAsia" w:ascii="宋体" w:hAnsi="宋体"/>
          <w:b/>
          <w:szCs w:val="21"/>
        </w:rPr>
        <w:t>第一册  专用条款</w:t>
      </w:r>
    </w:p>
    <w:p w14:paraId="4BF5C5A4">
      <w:pPr>
        <w:ind w:left="1079" w:leftChars="514"/>
        <w:rPr>
          <w:rFonts w:ascii="宋体" w:hAnsi="宋体"/>
          <w:b/>
          <w:szCs w:val="21"/>
        </w:rPr>
      </w:pPr>
      <w:r>
        <w:rPr>
          <w:rFonts w:hint="eastAsia" w:ascii="宋体" w:hAnsi="宋体"/>
          <w:b/>
          <w:szCs w:val="21"/>
        </w:rPr>
        <w:t>关键信息</w:t>
      </w:r>
    </w:p>
    <w:p w14:paraId="2DE2126C">
      <w:pPr>
        <w:ind w:left="630" w:leftChars="300" w:firstLine="411" w:firstLineChars="196"/>
        <w:rPr>
          <w:rFonts w:ascii="宋体" w:hAnsi="宋体"/>
          <w:szCs w:val="21"/>
        </w:rPr>
      </w:pPr>
      <w:r>
        <w:rPr>
          <w:rFonts w:hint="eastAsia" w:ascii="宋体" w:hAnsi="宋体"/>
          <w:szCs w:val="21"/>
        </w:rPr>
        <w:t>第一章  招标公告</w:t>
      </w:r>
    </w:p>
    <w:p w14:paraId="33DAC033">
      <w:pPr>
        <w:ind w:left="630" w:leftChars="300" w:firstLine="411" w:firstLineChars="196"/>
        <w:rPr>
          <w:rFonts w:ascii="宋体" w:hAnsi="宋体"/>
          <w:szCs w:val="21"/>
        </w:rPr>
      </w:pPr>
      <w:r>
        <w:rPr>
          <w:rFonts w:hint="eastAsia" w:ascii="宋体" w:hAnsi="宋体"/>
          <w:szCs w:val="21"/>
        </w:rPr>
        <w:t>第二章  对通用条款的补充内容及其他关键信息</w:t>
      </w:r>
    </w:p>
    <w:p w14:paraId="15E3180C">
      <w:pPr>
        <w:ind w:left="630" w:leftChars="300" w:firstLine="411" w:firstLineChars="196"/>
        <w:rPr>
          <w:rFonts w:ascii="宋体" w:hAnsi="宋体"/>
          <w:szCs w:val="21"/>
        </w:rPr>
      </w:pPr>
      <w:r>
        <w:rPr>
          <w:rFonts w:hint="eastAsia" w:ascii="宋体" w:hAnsi="宋体"/>
          <w:szCs w:val="21"/>
        </w:rPr>
        <w:t>第三章  用户需求书</w:t>
      </w:r>
    </w:p>
    <w:p w14:paraId="7CA60EB4">
      <w:pPr>
        <w:ind w:left="630" w:leftChars="300" w:firstLine="411" w:firstLineChars="196"/>
        <w:rPr>
          <w:rFonts w:ascii="宋体" w:hAnsi="宋体"/>
          <w:szCs w:val="21"/>
        </w:rPr>
      </w:pPr>
      <w:r>
        <w:rPr>
          <w:rFonts w:hint="eastAsia"/>
        </w:rPr>
        <w:t xml:space="preserve">第四章 </w:t>
      </w:r>
      <w:r>
        <w:t xml:space="preserve"> </w:t>
      </w:r>
      <w:r>
        <w:rPr>
          <w:rFonts w:hint="eastAsia"/>
        </w:rPr>
        <w:t>投标文件格式及附件</w:t>
      </w:r>
    </w:p>
    <w:p w14:paraId="5759017A">
      <w:pPr>
        <w:ind w:left="630" w:leftChars="300" w:firstLine="411" w:firstLineChars="196"/>
        <w:rPr>
          <w:rFonts w:ascii="宋体" w:hAnsi="宋体"/>
          <w:szCs w:val="21"/>
        </w:rPr>
      </w:pPr>
      <w:r>
        <w:rPr>
          <w:rFonts w:hint="eastAsia" w:ascii="宋体" w:hAnsi="宋体"/>
          <w:szCs w:val="21"/>
        </w:rPr>
        <w:t>第五章  合同条款及格式</w:t>
      </w:r>
    </w:p>
    <w:p w14:paraId="67621432">
      <w:pPr>
        <w:ind w:left="420" w:leftChars="200" w:firstLine="413" w:firstLineChars="196"/>
        <w:rPr>
          <w:rFonts w:ascii="宋体" w:hAnsi="宋体"/>
          <w:b/>
          <w:szCs w:val="21"/>
        </w:rPr>
      </w:pPr>
      <w:r>
        <w:rPr>
          <w:rFonts w:hint="eastAsia" w:ascii="宋体" w:hAnsi="宋体"/>
          <w:b/>
          <w:szCs w:val="21"/>
        </w:rPr>
        <w:t>第二册  通用条款</w:t>
      </w:r>
    </w:p>
    <w:p w14:paraId="64F8EC73">
      <w:pPr>
        <w:ind w:left="630" w:leftChars="300" w:firstLine="411" w:firstLineChars="196"/>
        <w:rPr>
          <w:rFonts w:ascii="宋体" w:hAnsi="宋体"/>
          <w:szCs w:val="21"/>
        </w:rPr>
      </w:pPr>
      <w:r>
        <w:rPr>
          <w:rFonts w:hint="eastAsia" w:ascii="宋体" w:hAnsi="宋体"/>
          <w:szCs w:val="21"/>
        </w:rPr>
        <w:t>第一章  总则</w:t>
      </w:r>
    </w:p>
    <w:p w14:paraId="650BAE25">
      <w:pPr>
        <w:ind w:left="630" w:leftChars="300" w:firstLine="411" w:firstLineChars="196"/>
        <w:rPr>
          <w:rFonts w:ascii="宋体" w:hAnsi="宋体"/>
          <w:szCs w:val="21"/>
        </w:rPr>
      </w:pPr>
      <w:r>
        <w:rPr>
          <w:rFonts w:hint="eastAsia" w:ascii="宋体" w:hAnsi="宋体"/>
          <w:szCs w:val="21"/>
        </w:rPr>
        <w:t>第二章  招标文件</w:t>
      </w:r>
    </w:p>
    <w:p w14:paraId="08727F98">
      <w:pPr>
        <w:ind w:left="630" w:leftChars="300" w:firstLine="411" w:firstLineChars="196"/>
        <w:rPr>
          <w:rFonts w:ascii="宋体" w:hAnsi="宋体"/>
          <w:szCs w:val="21"/>
        </w:rPr>
      </w:pPr>
      <w:r>
        <w:rPr>
          <w:rFonts w:hint="eastAsia" w:ascii="宋体" w:hAnsi="宋体"/>
          <w:szCs w:val="21"/>
        </w:rPr>
        <w:t>第三章  投标文件的编制</w:t>
      </w:r>
    </w:p>
    <w:p w14:paraId="5A387180">
      <w:pPr>
        <w:ind w:left="630" w:leftChars="300" w:firstLine="411" w:firstLineChars="196"/>
        <w:rPr>
          <w:rFonts w:ascii="宋体" w:hAnsi="宋体"/>
          <w:szCs w:val="21"/>
        </w:rPr>
      </w:pPr>
      <w:r>
        <w:rPr>
          <w:rFonts w:hint="eastAsia" w:ascii="宋体" w:hAnsi="宋体"/>
          <w:szCs w:val="21"/>
        </w:rPr>
        <w:t>第四章  投标文件的递交</w:t>
      </w:r>
    </w:p>
    <w:p w14:paraId="1AD3A87E">
      <w:pPr>
        <w:ind w:left="630" w:leftChars="300" w:firstLine="411" w:firstLineChars="196"/>
        <w:rPr>
          <w:rFonts w:ascii="宋体" w:hAnsi="宋体"/>
          <w:szCs w:val="21"/>
        </w:rPr>
      </w:pPr>
      <w:r>
        <w:rPr>
          <w:rFonts w:hint="eastAsia" w:ascii="宋体" w:hAnsi="宋体"/>
          <w:szCs w:val="21"/>
        </w:rPr>
        <w:t>第五章  开标</w:t>
      </w:r>
    </w:p>
    <w:p w14:paraId="34B7FF90">
      <w:pPr>
        <w:ind w:left="630" w:leftChars="300" w:firstLine="411" w:firstLineChars="196"/>
        <w:rPr>
          <w:rFonts w:ascii="宋体" w:hAnsi="宋体"/>
          <w:szCs w:val="21"/>
        </w:rPr>
      </w:pPr>
      <w:r>
        <w:rPr>
          <w:rFonts w:hint="eastAsia" w:ascii="宋体" w:hAnsi="宋体"/>
          <w:szCs w:val="21"/>
        </w:rPr>
        <w:t>第六章  评审要求</w:t>
      </w:r>
    </w:p>
    <w:p w14:paraId="62AC9974">
      <w:pPr>
        <w:ind w:left="630" w:leftChars="300" w:firstLine="411" w:firstLineChars="196"/>
        <w:rPr>
          <w:rFonts w:ascii="宋体" w:hAnsi="宋体"/>
          <w:szCs w:val="21"/>
        </w:rPr>
      </w:pPr>
      <w:r>
        <w:rPr>
          <w:rFonts w:hint="eastAsia" w:ascii="宋体" w:hAnsi="宋体"/>
          <w:szCs w:val="21"/>
        </w:rPr>
        <w:t>第七章  评审程序及评审方法</w:t>
      </w:r>
    </w:p>
    <w:p w14:paraId="3AC17A8E">
      <w:pPr>
        <w:ind w:left="630" w:leftChars="300" w:firstLine="411" w:firstLineChars="196"/>
        <w:rPr>
          <w:rFonts w:ascii="宋体" w:hAnsi="宋体"/>
          <w:szCs w:val="21"/>
        </w:rPr>
      </w:pPr>
      <w:r>
        <w:rPr>
          <w:rFonts w:hint="eastAsia" w:ascii="宋体" w:hAnsi="宋体"/>
          <w:szCs w:val="21"/>
        </w:rPr>
        <w:t>第八章  定标及公示</w:t>
      </w:r>
    </w:p>
    <w:p w14:paraId="1A663814">
      <w:pPr>
        <w:ind w:left="630" w:leftChars="300" w:firstLine="411" w:firstLineChars="196"/>
        <w:rPr>
          <w:rFonts w:ascii="宋体" w:hAnsi="宋体"/>
          <w:szCs w:val="21"/>
        </w:rPr>
      </w:pPr>
      <w:r>
        <w:rPr>
          <w:rFonts w:hint="eastAsia" w:ascii="宋体" w:hAnsi="宋体"/>
          <w:szCs w:val="21"/>
        </w:rPr>
        <w:t>第九章  公开招标失败的后续处理</w:t>
      </w:r>
    </w:p>
    <w:p w14:paraId="46F69090">
      <w:pPr>
        <w:ind w:left="630" w:leftChars="300" w:firstLine="411" w:firstLineChars="196"/>
        <w:rPr>
          <w:rFonts w:ascii="宋体" w:hAnsi="宋体"/>
          <w:szCs w:val="21"/>
        </w:rPr>
      </w:pPr>
      <w:r>
        <w:rPr>
          <w:rFonts w:hint="eastAsia" w:ascii="宋体" w:hAnsi="宋体"/>
          <w:szCs w:val="21"/>
        </w:rPr>
        <w:t>第十章  合同的授予与备案</w:t>
      </w:r>
    </w:p>
    <w:p w14:paraId="675FF16A">
      <w:pPr>
        <w:ind w:left="630" w:leftChars="300" w:firstLine="411" w:firstLineChars="196"/>
        <w:rPr>
          <w:rFonts w:ascii="宋体" w:hAnsi="宋体"/>
          <w:szCs w:val="21"/>
        </w:rPr>
      </w:pPr>
      <w:r>
        <w:rPr>
          <w:rFonts w:hint="eastAsia" w:ascii="宋体" w:hAnsi="宋体"/>
          <w:szCs w:val="21"/>
        </w:rPr>
        <w:t>第十一章  质疑处理</w:t>
      </w:r>
    </w:p>
    <w:p w14:paraId="62FCFB64">
      <w:pPr>
        <w:ind w:firstLine="411" w:firstLineChars="196"/>
        <w:rPr>
          <w:rFonts w:ascii="宋体" w:hAnsi="宋体"/>
          <w:szCs w:val="21"/>
        </w:rPr>
      </w:pPr>
      <w:r>
        <w:rPr>
          <w:rFonts w:hint="eastAsia" w:ascii="宋体" w:hAnsi="宋体"/>
          <w:szCs w:val="21"/>
        </w:rPr>
        <w:t>1</w:t>
      </w:r>
      <w:r>
        <w:rPr>
          <w:rFonts w:ascii="宋体" w:hAnsi="宋体"/>
          <w:szCs w:val="21"/>
        </w:rPr>
        <w:t>1</w:t>
      </w:r>
      <w:r>
        <w:rPr>
          <w:rFonts w:hint="eastAsia" w:ascii="宋体" w:hAnsi="宋体"/>
          <w:szCs w:val="21"/>
        </w:rPr>
        <w:t>.2 投标</w:t>
      </w:r>
      <w:r>
        <w:rPr>
          <w:rFonts w:hint="eastAsia" w:ascii="宋体" w:hAnsi="宋体"/>
          <w:szCs w:val="21"/>
          <w:highlight w:val="none"/>
        </w:rPr>
        <w:t>人</w:t>
      </w:r>
      <w:r>
        <w:rPr>
          <w:rFonts w:hint="eastAsia" w:ascii="宋体" w:hAnsi="宋体"/>
          <w:szCs w:val="21"/>
          <w:highlight w:val="none"/>
          <w:lang w:val="en-US" w:eastAsia="zh-CN"/>
        </w:rPr>
        <w:t>领取</w:t>
      </w:r>
      <w:r>
        <w:rPr>
          <w:rFonts w:hint="eastAsia" w:ascii="宋体" w:hAnsi="宋体"/>
          <w:szCs w:val="21"/>
          <w:highlight w:val="none"/>
        </w:rPr>
        <w:t>招标文件后</w:t>
      </w:r>
      <w:r>
        <w:rPr>
          <w:rFonts w:hint="eastAsia" w:ascii="宋体" w:hAnsi="宋体"/>
          <w:szCs w:val="21"/>
        </w:rPr>
        <w:t>，应仔细检查招标文件的所有内容，如有疑问应在答疑截止时间之前向</w:t>
      </w:r>
      <w:r>
        <w:rPr>
          <w:rFonts w:hint="eastAsia" w:ascii="宋体" w:hAnsi="宋体"/>
          <w:szCs w:val="21"/>
          <w:lang w:eastAsia="zh-CN"/>
        </w:rPr>
        <w:t>招标代理机构</w:t>
      </w:r>
      <w:r>
        <w:rPr>
          <w:rFonts w:hint="eastAsia" w:ascii="宋体" w:hAnsi="宋体"/>
          <w:szCs w:val="21"/>
        </w:rPr>
        <w:t>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14:paraId="49340DCA">
      <w:pPr>
        <w:ind w:firstLine="411" w:firstLineChars="196"/>
        <w:rPr>
          <w:rFonts w:ascii="宋体" w:hAnsi="宋体"/>
        </w:rPr>
      </w:pPr>
      <w:r>
        <w:rPr>
          <w:rFonts w:hint="eastAsia" w:ascii="宋体" w:hAnsi="宋体"/>
          <w:szCs w:val="21"/>
        </w:rPr>
        <w:t>1</w:t>
      </w:r>
      <w:r>
        <w:rPr>
          <w:rFonts w:ascii="宋体" w:hAnsi="宋体"/>
          <w:szCs w:val="21"/>
        </w:rPr>
        <w:t>1</w:t>
      </w:r>
      <w:r>
        <w:rPr>
          <w:rFonts w:hint="eastAsia" w:ascii="宋体" w:hAnsi="宋体"/>
          <w:szCs w:val="21"/>
        </w:rPr>
        <w:t>.3</w:t>
      </w:r>
      <w:r>
        <w:rPr>
          <w:rFonts w:hint="eastAsia" w:ascii="宋体" w:hAnsi="宋体"/>
        </w:rPr>
        <w:t>任何人或任何组织向投标人提交的任何书面或口头资料，未经</w:t>
      </w:r>
      <w:r>
        <w:rPr>
          <w:rFonts w:hint="eastAsia" w:ascii="宋体" w:hAnsi="宋体"/>
          <w:lang w:eastAsia="zh-CN"/>
        </w:rPr>
        <w:t>招标代理机构</w:t>
      </w:r>
      <w:r>
        <w:rPr>
          <w:rFonts w:hint="eastAsia" w:ascii="宋体" w:hAnsi="宋体"/>
        </w:rPr>
        <w:t>在网上发布或书面通知，均作无效处理，不得作为招标文件的组成部分。</w:t>
      </w:r>
      <w:r>
        <w:rPr>
          <w:rFonts w:hint="eastAsia" w:ascii="宋体" w:hAnsi="宋体"/>
          <w:lang w:eastAsia="zh-CN"/>
        </w:rPr>
        <w:t>招标代理机构</w:t>
      </w:r>
      <w:r>
        <w:rPr>
          <w:rFonts w:hint="eastAsia" w:ascii="宋体" w:hAnsi="宋体"/>
        </w:rPr>
        <w:t>对投标人由此而做出的推论、理解和结论概不负责。</w:t>
      </w:r>
    </w:p>
    <w:p w14:paraId="24DE7079">
      <w:pPr>
        <w:ind w:firstLine="413" w:firstLineChars="196"/>
        <w:rPr>
          <w:rFonts w:ascii="宋体" w:hAnsi="宋体"/>
          <w:b/>
          <w:color w:val="FF0000"/>
          <w:szCs w:val="21"/>
        </w:rPr>
      </w:pPr>
      <w:r>
        <w:rPr>
          <w:rFonts w:hint="eastAsia" w:ascii="宋体" w:hAnsi="宋体"/>
          <w:b/>
          <w:color w:val="FF0000"/>
          <w:szCs w:val="21"/>
        </w:rPr>
        <w:t>11.4招标文件所称“原件备查”，是指在项目产生质疑、投诉等阶段，主管部门、采购人、代理机构、评审委员会等可以要求供应商提供原件进行核查。</w:t>
      </w:r>
    </w:p>
    <w:p w14:paraId="0050F67E">
      <w:pPr>
        <w:rPr>
          <w:rFonts w:ascii="黑体" w:hAnsi="宋体" w:eastAsia="黑体"/>
          <w:sz w:val="24"/>
        </w:rPr>
      </w:pPr>
      <w:r>
        <w:rPr>
          <w:rFonts w:hint="eastAsia" w:ascii="黑体" w:hAnsi="宋体" w:eastAsia="黑体"/>
          <w:sz w:val="24"/>
        </w:rPr>
        <w:t>1</w:t>
      </w:r>
      <w:r>
        <w:rPr>
          <w:rFonts w:ascii="黑体" w:hAnsi="宋体" w:eastAsia="黑体"/>
          <w:sz w:val="24"/>
        </w:rPr>
        <w:t>2</w:t>
      </w:r>
      <w:r>
        <w:rPr>
          <w:rFonts w:hint="eastAsia" w:ascii="黑体" w:hAnsi="宋体" w:eastAsia="黑体"/>
          <w:sz w:val="24"/>
        </w:rPr>
        <w:t>．招标文件的澄清</w:t>
      </w:r>
    </w:p>
    <w:p w14:paraId="29A04BB1">
      <w:pPr>
        <w:ind w:firstLine="411" w:firstLineChars="196"/>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.1招标文件澄清的目的是澄清、解答投标人在查阅招标文件后或现场踏勘中可能提出的与投标有关的疑问或询问。</w:t>
      </w:r>
    </w:p>
    <w:p w14:paraId="4A8AED78">
      <w:pPr>
        <w:ind w:firstLine="411" w:firstLineChars="196"/>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.2投标人如对招标文件内容有疑问，应当在投标截止日</w:t>
      </w:r>
      <w:r>
        <w:rPr>
          <w:rFonts w:hint="eastAsia" w:ascii="宋体" w:hAnsi="宋体"/>
          <w:szCs w:val="21"/>
          <w:lang w:val="en-US" w:eastAsia="zh-CN"/>
        </w:rPr>
        <w:t>15</w:t>
      </w:r>
      <w:r>
        <w:rPr>
          <w:rFonts w:hint="eastAsia" w:ascii="宋体" w:hAnsi="宋体"/>
          <w:szCs w:val="21"/>
        </w:rPr>
        <w:t>日前</w:t>
      </w:r>
      <w:r>
        <w:rPr>
          <w:rFonts w:hint="eastAsia" w:ascii="宋体" w:hAnsi="宋体"/>
          <w:szCs w:val="21"/>
          <w:lang w:val="en-US" w:eastAsia="zh-CN"/>
        </w:rPr>
        <w:t>以</w:t>
      </w:r>
      <w:r>
        <w:rPr>
          <w:rFonts w:hint="eastAsia" w:ascii="宋体" w:hAnsi="宋体"/>
          <w:szCs w:val="21"/>
        </w:rPr>
        <w:t>书面的形式提交</w:t>
      </w:r>
      <w:r>
        <w:rPr>
          <w:rFonts w:hint="eastAsia" w:ascii="宋体" w:hAnsi="宋体"/>
          <w:szCs w:val="21"/>
          <w:lang w:val="en-US" w:eastAsia="zh-CN"/>
        </w:rPr>
        <w:t>招标代理机构</w:t>
      </w:r>
      <w:r>
        <w:rPr>
          <w:rFonts w:hint="eastAsia" w:ascii="宋体" w:hAnsi="宋体"/>
          <w:szCs w:val="21"/>
        </w:rPr>
        <w:t>。</w:t>
      </w:r>
    </w:p>
    <w:p w14:paraId="1490DB51">
      <w:pPr>
        <w:ind w:firstLine="411" w:firstLineChars="196"/>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.3不论是</w:t>
      </w:r>
      <w:r>
        <w:rPr>
          <w:rFonts w:hint="eastAsia" w:ascii="宋体" w:hAnsi="宋体"/>
          <w:szCs w:val="21"/>
          <w:lang w:eastAsia="zh-CN"/>
        </w:rPr>
        <w:t>招标代理机构</w:t>
      </w:r>
      <w:r>
        <w:rPr>
          <w:rFonts w:hint="eastAsia" w:ascii="宋体" w:hAnsi="宋体"/>
          <w:szCs w:val="21"/>
        </w:rPr>
        <w:t>根据需要主动对招标文件进行必要的澄清或是根据投标人的要求对招标文件做出澄清，</w:t>
      </w:r>
      <w:r>
        <w:rPr>
          <w:rFonts w:hint="eastAsia" w:ascii="宋体" w:hAnsi="宋体"/>
          <w:szCs w:val="21"/>
          <w:lang w:eastAsia="zh-CN"/>
        </w:rPr>
        <w:t>招标代理机构</w:t>
      </w:r>
      <w:r>
        <w:rPr>
          <w:rFonts w:hint="eastAsia" w:ascii="宋体" w:hAnsi="宋体"/>
          <w:szCs w:val="21"/>
        </w:rPr>
        <w:t>都将在投标截止日期前以书面形式（包括</w:t>
      </w:r>
      <w:r>
        <w:rPr>
          <w:rFonts w:hint="eastAsia" w:ascii="宋体" w:hAnsi="宋体"/>
          <w:szCs w:val="21"/>
          <w:lang w:eastAsia="zh-CN"/>
        </w:rPr>
        <w:t>招标代理机构</w:t>
      </w:r>
      <w:r>
        <w:rPr>
          <w:rFonts w:hint="eastAsia" w:ascii="宋体" w:hAnsi="宋体"/>
          <w:szCs w:val="21"/>
        </w:rPr>
        <w:t>网站发布方式）答复或发送给所有投标人。答复内容是招标文件的组成部分，对投标人起约束作用，其有效性按照本通用条款第1</w:t>
      </w:r>
      <w:r>
        <w:rPr>
          <w:rFonts w:ascii="宋体" w:hAnsi="宋体"/>
          <w:szCs w:val="21"/>
        </w:rPr>
        <w:t>3.3</w:t>
      </w:r>
      <w:r>
        <w:rPr>
          <w:rFonts w:hint="eastAsia" w:ascii="宋体" w:hAnsi="宋体"/>
          <w:szCs w:val="21"/>
        </w:rPr>
        <w:t>、1</w:t>
      </w:r>
      <w:r>
        <w:rPr>
          <w:rFonts w:ascii="宋体" w:hAnsi="宋体"/>
          <w:szCs w:val="21"/>
        </w:rPr>
        <w:t>3.4</w:t>
      </w:r>
      <w:r>
        <w:rPr>
          <w:rFonts w:hint="eastAsia" w:ascii="宋体" w:hAnsi="宋体"/>
          <w:szCs w:val="21"/>
        </w:rPr>
        <w:t>款规定执行。</w:t>
      </w:r>
    </w:p>
    <w:p w14:paraId="6243D98C">
      <w:pPr>
        <w:ind w:firstLine="413" w:firstLineChars="196"/>
        <w:rPr>
          <w:rFonts w:ascii="宋体" w:hAnsi="宋体"/>
          <w:szCs w:val="21"/>
        </w:rPr>
      </w:pPr>
      <w:r>
        <w:rPr>
          <w:rFonts w:hint="eastAsia" w:ascii="宋体" w:hAnsi="宋体"/>
          <w:b/>
          <w:color w:val="FF0000"/>
          <w:szCs w:val="21"/>
        </w:rPr>
        <w:t>12.4对于没有提出澄清又参与了该项目投标的供应商将被视为完全认同该招标文件（含澄清纪要），投标截止期后不再受理针对招标文件的相关质疑或投诉。</w:t>
      </w:r>
    </w:p>
    <w:p w14:paraId="2FBADF38">
      <w:pPr>
        <w:rPr>
          <w:rFonts w:ascii="黑体" w:hAnsi="宋体" w:eastAsia="黑体"/>
          <w:sz w:val="24"/>
        </w:rPr>
      </w:pPr>
      <w:r>
        <w:rPr>
          <w:rFonts w:ascii="黑体" w:hAnsi="宋体" w:eastAsia="黑体"/>
          <w:sz w:val="24"/>
        </w:rPr>
        <w:t>1</w:t>
      </w:r>
      <w:r>
        <w:rPr>
          <w:rFonts w:hint="eastAsia" w:ascii="黑体" w:hAnsi="宋体" w:eastAsia="黑体"/>
          <w:sz w:val="24"/>
        </w:rPr>
        <w:t>3．招标文件的修改</w:t>
      </w:r>
    </w:p>
    <w:p w14:paraId="7D0160C9">
      <w:pPr>
        <w:ind w:firstLine="411" w:firstLineChars="196"/>
        <w:rPr>
          <w:rFonts w:ascii="宋体" w:hAnsi="宋体"/>
          <w:szCs w:val="21"/>
        </w:rPr>
      </w:pPr>
      <w:r>
        <w:rPr>
          <w:rFonts w:ascii="宋体" w:hAnsi="宋体"/>
          <w:szCs w:val="21"/>
        </w:rPr>
        <w:t>1</w:t>
      </w:r>
      <w:r>
        <w:rPr>
          <w:rFonts w:hint="eastAsia" w:ascii="宋体" w:hAnsi="宋体"/>
          <w:szCs w:val="21"/>
        </w:rPr>
        <w:t>3.1招标文件发出后，在投标截止日期前任何时候，确需要变更招标文件内容的，</w:t>
      </w:r>
      <w:r>
        <w:rPr>
          <w:rFonts w:hint="eastAsia" w:ascii="宋体" w:hAnsi="宋体"/>
          <w:szCs w:val="21"/>
          <w:lang w:eastAsia="zh-CN"/>
        </w:rPr>
        <w:t>招标代理机构</w:t>
      </w:r>
      <w:r>
        <w:rPr>
          <w:rFonts w:hint="eastAsia" w:ascii="宋体" w:hAnsi="宋体"/>
          <w:szCs w:val="21"/>
        </w:rPr>
        <w:t>可主动或在解答投标人提出的澄清问题时对招标文件进行修改。</w:t>
      </w:r>
    </w:p>
    <w:p w14:paraId="18B02B09">
      <w:pPr>
        <w:ind w:firstLine="411" w:firstLineChars="196"/>
        <w:rPr>
          <w:rFonts w:ascii="宋体" w:hAnsi="宋体"/>
          <w:szCs w:val="21"/>
        </w:rPr>
      </w:pPr>
      <w:r>
        <w:rPr>
          <w:rFonts w:ascii="宋体" w:hAnsi="宋体"/>
          <w:szCs w:val="21"/>
        </w:rPr>
        <w:t>1</w:t>
      </w:r>
      <w:r>
        <w:rPr>
          <w:rFonts w:hint="eastAsia" w:ascii="宋体" w:hAnsi="宋体"/>
          <w:szCs w:val="21"/>
        </w:rPr>
        <w:t>3.2招标文件的修改以书面形式（包括</w:t>
      </w:r>
      <w:r>
        <w:rPr>
          <w:rFonts w:hint="eastAsia" w:ascii="宋体" w:hAnsi="宋体"/>
          <w:szCs w:val="21"/>
          <w:lang w:eastAsia="zh-CN"/>
        </w:rPr>
        <w:t>招标代理机构</w:t>
      </w:r>
      <w:r>
        <w:rPr>
          <w:rFonts w:hint="eastAsia" w:ascii="宋体" w:hAnsi="宋体"/>
          <w:szCs w:val="21"/>
        </w:rPr>
        <w:t>网站发布方式，如更正公告等）发送给所有投标人，招标文件的修改内容作为招标文件的组成部分，并具有约束力。</w:t>
      </w:r>
    </w:p>
    <w:p w14:paraId="0CE3E0FE">
      <w:pPr>
        <w:ind w:firstLine="411" w:firstLineChars="196"/>
        <w:rPr>
          <w:rFonts w:ascii="宋体" w:hAnsi="宋体"/>
          <w:szCs w:val="21"/>
        </w:rPr>
      </w:pPr>
      <w:r>
        <w:rPr>
          <w:rFonts w:ascii="宋体" w:hAnsi="宋体"/>
          <w:szCs w:val="21"/>
        </w:rPr>
        <w:t>1</w:t>
      </w:r>
      <w:r>
        <w:rPr>
          <w:rFonts w:hint="eastAsia" w:ascii="宋体" w:hAnsi="宋体"/>
          <w:szCs w:val="21"/>
        </w:rPr>
        <w:t>3.3招标文件、招标文件澄清答复内容、招标文件修改补充内容均以书面形式（包括</w:t>
      </w:r>
      <w:r>
        <w:rPr>
          <w:rFonts w:hint="eastAsia" w:ascii="宋体" w:hAnsi="宋体"/>
          <w:szCs w:val="21"/>
          <w:lang w:eastAsia="zh-CN"/>
        </w:rPr>
        <w:t>招标代理机构</w:t>
      </w:r>
      <w:r>
        <w:rPr>
          <w:rFonts w:hint="eastAsia" w:ascii="宋体" w:hAnsi="宋体"/>
          <w:szCs w:val="21"/>
        </w:rPr>
        <w:t>网站公开发布方式，如更正公告等）明确的内容为准。当招标文件、修改补充通知、招标文件澄清答复内容相互矛盾时，以最后发出的内容为准。</w:t>
      </w:r>
    </w:p>
    <w:p w14:paraId="306373A1">
      <w:pPr>
        <w:ind w:firstLine="411" w:firstLineChars="196"/>
        <w:rPr>
          <w:rFonts w:ascii="宋体" w:hAnsi="宋体"/>
          <w:szCs w:val="21"/>
        </w:rPr>
      </w:pPr>
      <w:r>
        <w:rPr>
          <w:rFonts w:ascii="宋体" w:hAnsi="宋体"/>
          <w:szCs w:val="21"/>
        </w:rPr>
        <w:t>1</w:t>
      </w:r>
      <w:r>
        <w:rPr>
          <w:rFonts w:hint="eastAsia" w:ascii="宋体" w:hAnsi="宋体"/>
          <w:szCs w:val="21"/>
        </w:rPr>
        <w:t>3.4</w:t>
      </w:r>
      <w:r>
        <w:rPr>
          <w:rFonts w:hint="eastAsia" w:ascii="宋体" w:hAnsi="宋体"/>
          <w:szCs w:val="21"/>
          <w:lang w:eastAsia="zh-CN"/>
        </w:rPr>
        <w:t>招标代理机构</w:t>
      </w:r>
      <w:r>
        <w:rPr>
          <w:rFonts w:hint="eastAsia" w:ascii="宋体" w:hAnsi="宋体"/>
          <w:szCs w:val="21"/>
        </w:rPr>
        <w:t>保证招标文件澄清答复内容和招标文件修改补充内容在投标截止时间前以书面形式（包括</w:t>
      </w:r>
      <w:r>
        <w:rPr>
          <w:rFonts w:hint="eastAsia" w:ascii="宋体" w:hAnsi="宋体"/>
          <w:szCs w:val="21"/>
          <w:lang w:eastAsia="zh-CN"/>
        </w:rPr>
        <w:t>招标代理机构</w:t>
      </w:r>
      <w:r>
        <w:rPr>
          <w:rFonts w:hint="eastAsia" w:ascii="宋体" w:hAnsi="宋体"/>
          <w:szCs w:val="21"/>
        </w:rPr>
        <w:t>网站发布方式，如更正公告等）发送给所有投标人。为使投标人在编制投标文件时有充分时间对招标文件的修改部分进行研究，</w:t>
      </w:r>
      <w:r>
        <w:rPr>
          <w:rFonts w:hint="eastAsia" w:ascii="宋体" w:hAnsi="宋体"/>
          <w:szCs w:val="21"/>
          <w:lang w:eastAsia="zh-CN"/>
        </w:rPr>
        <w:t>招标代理机构</w:t>
      </w:r>
      <w:r>
        <w:rPr>
          <w:rFonts w:hint="eastAsia" w:ascii="宋体" w:hAnsi="宋体"/>
          <w:szCs w:val="21"/>
        </w:rPr>
        <w:t>可以酌情延长递交投标文件的截止日期。</w:t>
      </w:r>
      <w:bookmarkEnd w:id="111"/>
    </w:p>
    <w:p w14:paraId="6302CFA7">
      <w:pPr>
        <w:rPr>
          <w:rFonts w:ascii="宋体" w:hAnsi="宋体"/>
          <w:szCs w:val="21"/>
        </w:rPr>
      </w:pPr>
    </w:p>
    <w:p w14:paraId="2DE47228">
      <w:pPr>
        <w:pStyle w:val="5"/>
        <w:numPr>
          <w:ilvl w:val="0"/>
          <w:numId w:val="24"/>
        </w:numPr>
        <w:spacing w:before="120" w:beforeLines="50" w:after="120" w:afterLines="50"/>
        <w:ind w:left="562" w:hanging="562"/>
        <w:rPr>
          <w:sz w:val="28"/>
          <w:szCs w:val="28"/>
        </w:rPr>
      </w:pPr>
      <w:r>
        <w:rPr>
          <w:rFonts w:hint="eastAsia"/>
          <w:sz w:val="28"/>
          <w:szCs w:val="28"/>
        </w:rPr>
        <w:t xml:space="preserve"> 投标文件的编制</w:t>
      </w:r>
    </w:p>
    <w:p w14:paraId="2EC291DE">
      <w:pPr>
        <w:rPr>
          <w:rFonts w:ascii="黑体" w:hAnsi="宋体" w:eastAsia="黑体"/>
          <w:sz w:val="24"/>
        </w:rPr>
      </w:pPr>
      <w:r>
        <w:rPr>
          <w:rFonts w:hint="eastAsia" w:ascii="黑体" w:hAnsi="宋体" w:eastAsia="黑体"/>
          <w:sz w:val="24"/>
        </w:rPr>
        <w:t>14．</w:t>
      </w:r>
      <w:bookmarkStart w:id="112" w:name="_Hlk72400236"/>
      <w:r>
        <w:rPr>
          <w:rFonts w:hint="eastAsia" w:ascii="黑体" w:hAnsi="宋体" w:eastAsia="黑体"/>
          <w:sz w:val="24"/>
        </w:rPr>
        <w:t>投标文件的语言及度量单位</w:t>
      </w:r>
    </w:p>
    <w:p w14:paraId="780D48F3">
      <w:pPr>
        <w:ind w:firstLine="411" w:firstLineChars="196"/>
        <w:rPr>
          <w:rFonts w:ascii="宋体" w:hAnsi="宋体"/>
          <w:szCs w:val="21"/>
        </w:rPr>
      </w:pPr>
      <w:r>
        <w:rPr>
          <w:rFonts w:hint="eastAsia" w:ascii="宋体" w:hAnsi="宋体"/>
          <w:szCs w:val="21"/>
        </w:rPr>
        <w:t>14.1 投标人与</w:t>
      </w:r>
      <w:r>
        <w:rPr>
          <w:rFonts w:hint="eastAsia" w:ascii="宋体" w:hAnsi="宋体"/>
          <w:szCs w:val="21"/>
          <w:lang w:eastAsia="zh-CN"/>
        </w:rPr>
        <w:t>招标代理机构</w:t>
      </w:r>
      <w:r>
        <w:rPr>
          <w:rFonts w:hint="eastAsia" w:ascii="宋体" w:hAnsi="宋体"/>
          <w:szCs w:val="21"/>
        </w:rPr>
        <w:t>之间与投标有关的所有往来通知、函件和投标文件均用中文表述。投标人随投标文件提供的证明文件和资料可以为其它语言，但必须附中文译文。翻译的中文资料与外文资料如果出现差异时，以中文为准。</w:t>
      </w:r>
    </w:p>
    <w:p w14:paraId="3BD715D8">
      <w:pPr>
        <w:ind w:firstLine="411" w:firstLineChars="196"/>
        <w:rPr>
          <w:rFonts w:ascii="宋体" w:hAnsi="宋体"/>
          <w:szCs w:val="21"/>
        </w:rPr>
      </w:pPr>
      <w:r>
        <w:rPr>
          <w:rFonts w:hint="eastAsia" w:ascii="宋体" w:hAnsi="宋体"/>
          <w:szCs w:val="21"/>
        </w:rPr>
        <w:t>14.2 除技术规范另有规定外，投标文件使用的度量单位，均采用中华人民共和国法定计量单位。</w:t>
      </w:r>
    </w:p>
    <w:bookmarkEnd w:id="112"/>
    <w:p w14:paraId="232DCEBE">
      <w:pPr>
        <w:rPr>
          <w:rFonts w:ascii="黑体" w:hAnsi="宋体" w:eastAsia="黑体"/>
          <w:sz w:val="24"/>
        </w:rPr>
      </w:pPr>
      <w:r>
        <w:rPr>
          <w:rFonts w:hint="eastAsia" w:ascii="黑体" w:hAnsi="宋体" w:eastAsia="黑体"/>
          <w:sz w:val="24"/>
        </w:rPr>
        <w:t>15．</w:t>
      </w:r>
      <w:bookmarkStart w:id="113" w:name="_Hlk72401567"/>
      <w:r>
        <w:rPr>
          <w:rFonts w:hint="eastAsia" w:ascii="黑体" w:hAnsi="宋体" w:eastAsia="黑体"/>
          <w:sz w:val="24"/>
        </w:rPr>
        <w:t>投标文件的组成</w:t>
      </w:r>
    </w:p>
    <w:p w14:paraId="457ED13C">
      <w:pPr>
        <w:ind w:firstLine="411" w:firstLineChars="196"/>
        <w:rPr>
          <w:rFonts w:ascii="宋体" w:hAnsi="宋体"/>
          <w:szCs w:val="21"/>
        </w:rPr>
      </w:pPr>
      <w:r>
        <w:rPr>
          <w:rFonts w:hint="eastAsia" w:ascii="宋体" w:hAnsi="宋体"/>
          <w:szCs w:val="21"/>
        </w:rPr>
        <w:t>具体内容在招标文件专用条款中进行规定。</w:t>
      </w:r>
    </w:p>
    <w:p w14:paraId="2A6859A8">
      <w:pPr>
        <w:rPr>
          <w:rFonts w:ascii="黑体" w:hAnsi="宋体" w:eastAsia="黑体"/>
          <w:sz w:val="24"/>
        </w:rPr>
      </w:pPr>
      <w:r>
        <w:rPr>
          <w:rFonts w:ascii="黑体" w:hAnsi="宋体" w:eastAsia="黑体"/>
          <w:sz w:val="24"/>
        </w:rPr>
        <w:t>16．投标文件格式</w:t>
      </w:r>
    </w:p>
    <w:p w14:paraId="74D2BE87">
      <w:pPr>
        <w:ind w:firstLine="411" w:firstLineChars="196"/>
        <w:rPr>
          <w:rFonts w:ascii="宋体" w:hAnsi="宋体"/>
          <w:szCs w:val="21"/>
        </w:rPr>
      </w:pPr>
      <w:r>
        <w:rPr>
          <w:rFonts w:hint="eastAsia" w:ascii="宋体" w:hAnsi="宋体"/>
          <w:szCs w:val="21"/>
        </w:rPr>
        <w:t>投标文件包括本通用条款第</w:t>
      </w:r>
      <w:r>
        <w:rPr>
          <w:rFonts w:ascii="宋体" w:hAnsi="宋体"/>
          <w:szCs w:val="21"/>
        </w:rPr>
        <w:t>15条中规定的内容。如招标文件提供了投标文件格式，则</w:t>
      </w:r>
      <w:r>
        <w:rPr>
          <w:rFonts w:hint="eastAsia" w:ascii="宋体" w:hAnsi="宋体"/>
          <w:b/>
          <w:bCs/>
          <w:szCs w:val="21"/>
        </w:rPr>
        <w:t>投标人提交的投标文件应毫无例外地使用招标文件所提供的相应格式</w:t>
      </w:r>
      <w:r>
        <w:rPr>
          <w:rFonts w:hint="eastAsia" w:ascii="宋体" w:hAnsi="宋体"/>
          <w:szCs w:val="21"/>
        </w:rPr>
        <w:t>（表格均可按同样格式扩展）。</w:t>
      </w:r>
    </w:p>
    <w:p w14:paraId="7FFFF757">
      <w:pPr>
        <w:rPr>
          <w:rFonts w:ascii="黑体" w:hAnsi="宋体" w:eastAsia="黑体"/>
          <w:sz w:val="24"/>
        </w:rPr>
      </w:pPr>
      <w:r>
        <w:rPr>
          <w:rFonts w:hint="eastAsia" w:ascii="黑体" w:hAnsi="宋体" w:eastAsia="黑体"/>
          <w:sz w:val="24"/>
        </w:rPr>
        <w:t>17．投标货币</w:t>
      </w:r>
    </w:p>
    <w:p w14:paraId="07741C0D">
      <w:pPr>
        <w:ind w:firstLine="411" w:firstLineChars="196"/>
        <w:rPr>
          <w:rFonts w:ascii="宋体" w:hAnsi="宋体"/>
          <w:szCs w:val="21"/>
        </w:rPr>
      </w:pPr>
      <w:r>
        <w:rPr>
          <w:rFonts w:hint="eastAsia" w:ascii="宋体" w:hAnsi="宋体"/>
          <w:szCs w:val="21"/>
        </w:rPr>
        <w:t>本项目的投标报价应以人民币计。</w:t>
      </w:r>
    </w:p>
    <w:bookmarkEnd w:id="113"/>
    <w:p w14:paraId="500FB987">
      <w:pPr>
        <w:rPr>
          <w:rFonts w:ascii="黑体" w:hAnsi="宋体" w:eastAsia="黑体"/>
          <w:sz w:val="24"/>
        </w:rPr>
      </w:pPr>
      <w:r>
        <w:rPr>
          <w:rFonts w:hint="eastAsia" w:ascii="黑体" w:hAnsi="宋体" w:eastAsia="黑体"/>
          <w:sz w:val="24"/>
        </w:rPr>
        <w:t>18．</w:t>
      </w:r>
      <w:bookmarkStart w:id="114" w:name="_Hlk72401735"/>
      <w:r>
        <w:rPr>
          <w:rFonts w:hint="eastAsia" w:ascii="黑体" w:hAnsi="宋体" w:eastAsia="黑体"/>
          <w:sz w:val="24"/>
        </w:rPr>
        <w:t>证明投标文件投标技术方案的合格性和符合招标文件规定的文件要求</w:t>
      </w:r>
    </w:p>
    <w:p w14:paraId="3CD767BE">
      <w:pPr>
        <w:ind w:firstLine="411" w:firstLineChars="196"/>
        <w:rPr>
          <w:rFonts w:ascii="宋体" w:hAnsi="宋体"/>
          <w:szCs w:val="21"/>
        </w:rPr>
      </w:pPr>
      <w:r>
        <w:rPr>
          <w:rFonts w:hint="eastAsia" w:ascii="宋体" w:hAnsi="宋体"/>
          <w:szCs w:val="21"/>
        </w:rPr>
        <w:t>18</w:t>
      </w:r>
      <w:r>
        <w:rPr>
          <w:rFonts w:ascii="宋体" w:hAnsi="宋体"/>
          <w:szCs w:val="21"/>
        </w:rPr>
        <w:t xml:space="preserve">.1 </w:t>
      </w:r>
      <w:r>
        <w:rPr>
          <w:rFonts w:hint="eastAsia" w:ascii="宋体" w:hAnsi="宋体"/>
          <w:szCs w:val="21"/>
        </w:rPr>
        <w:t>投标人应提交证明文件，证明其投标技术方案项下的货物和服务的合格性符合招标文件规定。该投标技术方案及其证明文件均作为投标文件组成部分。</w:t>
      </w:r>
    </w:p>
    <w:p w14:paraId="309E19D5">
      <w:pPr>
        <w:ind w:firstLine="411" w:firstLineChars="196"/>
        <w:rPr>
          <w:rFonts w:ascii="宋体" w:hAnsi="宋体"/>
          <w:szCs w:val="21"/>
        </w:rPr>
      </w:pPr>
      <w:r>
        <w:rPr>
          <w:rFonts w:ascii="宋体" w:hAnsi="宋体"/>
          <w:szCs w:val="21"/>
        </w:rPr>
        <w:t>1</w:t>
      </w:r>
      <w:r>
        <w:rPr>
          <w:rFonts w:hint="eastAsia" w:ascii="宋体" w:hAnsi="宋体"/>
          <w:szCs w:val="21"/>
        </w:rPr>
        <w:t>8</w:t>
      </w:r>
      <w:r>
        <w:rPr>
          <w:rFonts w:ascii="宋体" w:hAnsi="宋体"/>
          <w:szCs w:val="21"/>
        </w:rPr>
        <w:t xml:space="preserve">.2 </w:t>
      </w:r>
      <w:r>
        <w:rPr>
          <w:rFonts w:hint="eastAsia" w:ascii="宋体" w:hAnsi="宋体"/>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14:paraId="138EF6CF">
      <w:pPr>
        <w:ind w:firstLine="411" w:firstLineChars="196"/>
        <w:rPr>
          <w:rFonts w:ascii="宋体" w:hAnsi="宋体"/>
          <w:szCs w:val="21"/>
        </w:rPr>
      </w:pPr>
      <w:r>
        <w:rPr>
          <w:rFonts w:hint="eastAsia" w:ascii="宋体" w:hAnsi="宋体"/>
          <w:szCs w:val="21"/>
        </w:rPr>
        <w:t>18.2.1主要技术指标和性能的详细说明。</w:t>
      </w:r>
    </w:p>
    <w:p w14:paraId="66BF0951">
      <w:pPr>
        <w:ind w:firstLine="411" w:firstLineChars="196"/>
        <w:rPr>
          <w:rFonts w:ascii="宋体" w:hAnsi="宋体"/>
          <w:szCs w:val="21"/>
        </w:rPr>
      </w:pPr>
      <w:r>
        <w:rPr>
          <w:rFonts w:hint="eastAsia" w:ascii="宋体" w:hAnsi="宋体"/>
          <w:szCs w:val="21"/>
        </w:rPr>
        <w:t>18.2.</w:t>
      </w:r>
      <w:r>
        <w:rPr>
          <w:rFonts w:ascii="宋体" w:hAnsi="宋体"/>
          <w:szCs w:val="21"/>
        </w:rPr>
        <w:t>2</w:t>
      </w:r>
      <w:r>
        <w:rPr>
          <w:rFonts w:hint="eastAsia" w:ascii="宋体" w:hAnsi="宋体"/>
          <w:szCs w:val="21"/>
        </w:rPr>
        <w:t>投标产品从采购人开始使用至招标文件中规定的周期内正常、连续地使用所必须的备件和专用工具清单，包括备件和专用工具的货源及现行价格。</w:t>
      </w:r>
    </w:p>
    <w:p w14:paraId="6FDFAC04">
      <w:pPr>
        <w:ind w:firstLine="411" w:firstLineChars="196"/>
        <w:rPr>
          <w:rFonts w:ascii="宋体" w:hAnsi="宋体"/>
          <w:szCs w:val="21"/>
        </w:rPr>
      </w:pPr>
      <w:r>
        <w:rPr>
          <w:rFonts w:hint="eastAsia" w:ascii="宋体" w:hAnsi="宋体"/>
          <w:szCs w:val="21"/>
        </w:rPr>
        <w:t>18.2.</w:t>
      </w:r>
      <w:r>
        <w:rPr>
          <w:rFonts w:ascii="宋体" w:hAnsi="宋体"/>
          <w:szCs w:val="21"/>
        </w:rPr>
        <w:t>3</w:t>
      </w:r>
      <w:r>
        <w:rPr>
          <w:rFonts w:hint="eastAsia" w:ascii="宋体" w:hAnsi="宋体"/>
          <w:szCs w:val="21"/>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14:paraId="322C8DF8">
      <w:pPr>
        <w:ind w:firstLine="411" w:firstLineChars="196"/>
        <w:rPr>
          <w:rFonts w:ascii="宋体" w:hAnsi="宋体"/>
          <w:szCs w:val="21"/>
        </w:rPr>
      </w:pPr>
      <w:r>
        <w:rPr>
          <w:rFonts w:hint="eastAsia" w:ascii="宋体" w:hAnsi="宋体"/>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rPr>
        <w:t>清晰度要求能够使用电脑阅读、识别和判断</w:t>
      </w:r>
      <w:r>
        <w:rPr>
          <w:rFonts w:hint="eastAsia" w:ascii="宋体" w:hAnsi="宋体"/>
          <w:szCs w:val="21"/>
        </w:rPr>
        <w:t>；</w:t>
      </w:r>
    </w:p>
    <w:p w14:paraId="44241AD0">
      <w:pPr>
        <w:ind w:firstLine="411" w:firstLineChars="196"/>
        <w:rPr>
          <w:rFonts w:ascii="宋体" w:hAnsi="宋体"/>
          <w:szCs w:val="21"/>
        </w:rPr>
      </w:pPr>
      <w:r>
        <w:rPr>
          <w:rFonts w:hint="eastAsia" w:ascii="宋体" w:hAnsi="宋体"/>
          <w:szCs w:val="21"/>
        </w:rPr>
        <w:t>18.2.5我国政府机构出具的产品检验和核准证件应为证件正面、背面和附件标注的全部具体内容；产品检验和核准证件的尺寸和清晰度应该能够在电脑上被阅读、识别和判断，提供原件扫描件。</w:t>
      </w:r>
    </w:p>
    <w:p w14:paraId="5D3ECF24">
      <w:pPr>
        <w:ind w:firstLine="411" w:firstLineChars="196"/>
        <w:rPr>
          <w:rFonts w:ascii="宋体" w:hAnsi="宋体"/>
          <w:szCs w:val="21"/>
        </w:rPr>
      </w:pPr>
      <w:r>
        <w:rPr>
          <w:rFonts w:hint="eastAsia" w:ascii="宋体" w:hAnsi="宋体"/>
          <w:szCs w:val="21"/>
        </w:rPr>
        <w:t>18.3相关资料不符合18.2款要求的，评审委员会有权认定为投标技术方案不合格响应，其相关分数予以扣减或作投标无效处理。</w:t>
      </w:r>
    </w:p>
    <w:p w14:paraId="618F939A">
      <w:pPr>
        <w:ind w:firstLine="411" w:firstLineChars="196"/>
        <w:rPr>
          <w:rFonts w:ascii="宋体" w:hAnsi="宋体"/>
          <w:szCs w:val="21"/>
        </w:rPr>
      </w:pPr>
      <w:r>
        <w:rPr>
          <w:rFonts w:ascii="宋体" w:hAnsi="宋体"/>
          <w:szCs w:val="21"/>
        </w:rPr>
        <w:t>1</w:t>
      </w:r>
      <w:r>
        <w:rPr>
          <w:rFonts w:hint="eastAsia" w:ascii="宋体" w:hAnsi="宋体"/>
          <w:szCs w:val="21"/>
        </w:rPr>
        <w:t>8</w:t>
      </w:r>
      <w:r>
        <w:rPr>
          <w:rFonts w:ascii="宋体" w:hAnsi="宋体"/>
          <w:szCs w:val="21"/>
        </w:rPr>
        <w:t>.</w:t>
      </w:r>
      <w:r>
        <w:rPr>
          <w:rFonts w:hint="eastAsia" w:ascii="宋体" w:hAnsi="宋体"/>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rPr>
        <w:t>满足要求</w:t>
      </w:r>
      <w:r>
        <w:rPr>
          <w:rFonts w:hint="eastAsia" w:ascii="宋体" w:hAnsi="宋体"/>
          <w:szCs w:val="21"/>
        </w:rPr>
        <w:t>，由评审委员会来评判。</w:t>
      </w:r>
    </w:p>
    <w:p w14:paraId="6329EF1A">
      <w:pPr>
        <w:ind w:firstLine="411" w:firstLineChars="196"/>
        <w:rPr>
          <w:rFonts w:ascii="宋体" w:hAnsi="宋体"/>
          <w:szCs w:val="21"/>
        </w:rPr>
      </w:pPr>
      <w:r>
        <w:rPr>
          <w:rFonts w:hint="eastAsia" w:ascii="宋体" w:hAnsi="宋体"/>
          <w:szCs w:val="21"/>
        </w:rPr>
        <w:t>18.5除非另有规定或说明，投标人对同一项目投标时，不得同时提供两套或两套以上的投标方案。</w:t>
      </w:r>
    </w:p>
    <w:bookmarkEnd w:id="114"/>
    <w:p w14:paraId="72DFDDB4">
      <w:pPr>
        <w:rPr>
          <w:rFonts w:ascii="黑体" w:hAnsi="宋体" w:eastAsia="黑体"/>
          <w:sz w:val="24"/>
        </w:rPr>
      </w:pPr>
      <w:r>
        <w:rPr>
          <w:rFonts w:hint="eastAsia" w:ascii="黑体" w:hAnsi="宋体" w:eastAsia="黑体"/>
          <w:sz w:val="24"/>
        </w:rPr>
        <w:t>19．</w:t>
      </w:r>
      <w:bookmarkStart w:id="115" w:name="_Hlk72402034"/>
      <w:r>
        <w:rPr>
          <w:rFonts w:hint="eastAsia" w:ascii="黑体" w:hAnsi="宋体" w:eastAsia="黑体"/>
          <w:sz w:val="24"/>
        </w:rPr>
        <w:t>投标文件其他证明文件的要求</w:t>
      </w:r>
    </w:p>
    <w:p w14:paraId="74A4E7D8">
      <w:pPr>
        <w:rPr>
          <w:rFonts w:ascii="宋体" w:hAnsi="宋体"/>
          <w:color w:val="FF0000"/>
          <w:szCs w:val="21"/>
        </w:rPr>
      </w:pPr>
      <w:r>
        <w:rPr>
          <w:rFonts w:hint="eastAsia" w:ascii="黑体" w:hAnsi="宋体" w:eastAsia="黑体"/>
          <w:sz w:val="24"/>
        </w:rPr>
        <w:t xml:space="preserve">    </w:t>
      </w:r>
      <w:r>
        <w:rPr>
          <w:rFonts w:hint="eastAsia" w:ascii="宋体" w:hAnsi="宋体"/>
          <w:szCs w:val="21"/>
        </w:rPr>
        <w:t>19.1采用综合评分法的项目，对项目招标文件《评标信息》评分项中涉及的相关业绩、社保情况等内容以及《资格性审查表》和《符合性审查表》中涉及的证明材料，投标人应提供相关部门出具的证明材料</w:t>
      </w:r>
      <w:r>
        <w:rPr>
          <w:rFonts w:hint="eastAsia" w:ascii="宋体" w:hAnsi="宋体"/>
          <w:szCs w:val="21"/>
          <w:lang w:val="en-US" w:eastAsia="zh-CN"/>
        </w:rPr>
        <w:t>复印件（或打印件）</w:t>
      </w:r>
      <w:r>
        <w:rPr>
          <w:rFonts w:hint="eastAsia" w:ascii="宋体" w:hAnsi="宋体"/>
          <w:szCs w:val="21"/>
        </w:rPr>
        <w:t>。</w:t>
      </w:r>
      <w:bookmarkStart w:id="116" w:name="_Hlk71407299"/>
      <w:r>
        <w:rPr>
          <w:rFonts w:hint="eastAsia" w:ascii="宋体" w:hAnsi="宋体"/>
          <w:szCs w:val="21"/>
        </w:rPr>
        <w:t>若投标人未按要求提供证明材料或提供的是部分证明材料或提供不清晰的</w:t>
      </w:r>
      <w:r>
        <w:rPr>
          <w:rFonts w:hint="eastAsia" w:ascii="宋体" w:hAnsi="宋体"/>
          <w:szCs w:val="21"/>
          <w:lang w:val="en-US" w:eastAsia="zh-CN"/>
        </w:rPr>
        <w:t>复印</w:t>
      </w:r>
      <w:r>
        <w:rPr>
          <w:rFonts w:hint="eastAsia" w:ascii="宋体" w:hAnsi="宋体"/>
          <w:szCs w:val="21"/>
        </w:rPr>
        <w:t>件</w:t>
      </w:r>
      <w:r>
        <w:rPr>
          <w:rFonts w:hint="eastAsia" w:ascii="宋体" w:hAnsi="宋体"/>
          <w:szCs w:val="21"/>
          <w:lang w:val="en-US" w:eastAsia="zh-CN"/>
        </w:rPr>
        <w:t>（或打印件）</w:t>
      </w:r>
      <w:r>
        <w:rPr>
          <w:rFonts w:hint="eastAsia" w:ascii="宋体" w:hAnsi="宋体"/>
          <w:szCs w:val="21"/>
        </w:rPr>
        <w:t>的，采购人、代理机构及评审委员会依据各自审查范围，有权认定其投标文件未对招标文件有关需求进行响应，涉及资格性审查或符合性审查的予以投标无效处理，涉及《评标信息》打分项的则该项评分予以0分处理。对供应商投标资料是否异常、是否有效问题进行核查和判定，如认为供应商投标资料有异常或无效的，若涉及资格性审查或符合性审查条款的，则应作投标无效处理；若涉及评分的，则作不得分处理。</w:t>
      </w:r>
    </w:p>
    <w:bookmarkEnd w:id="116"/>
    <w:p w14:paraId="7BD0B5B3">
      <w:pPr>
        <w:ind w:firstLine="411" w:firstLineChars="196"/>
        <w:rPr>
          <w:rFonts w:ascii="宋体" w:hAnsi="宋体"/>
          <w:szCs w:val="21"/>
        </w:rPr>
      </w:pPr>
      <w:r>
        <w:rPr>
          <w:rFonts w:hint="eastAsia" w:ascii="宋体" w:hAnsi="宋体"/>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14:paraId="07C984DF">
      <w:pPr>
        <w:rPr>
          <w:rFonts w:ascii="黑体" w:hAnsi="宋体" w:eastAsia="黑体"/>
          <w:sz w:val="24"/>
        </w:rPr>
      </w:pPr>
      <w:r>
        <w:rPr>
          <w:rFonts w:hint="eastAsia" w:ascii="黑体" w:hAnsi="宋体" w:eastAsia="黑体"/>
          <w:sz w:val="24"/>
        </w:rPr>
        <w:t>20．投标有效期</w:t>
      </w:r>
    </w:p>
    <w:bookmarkEnd w:id="115"/>
    <w:p w14:paraId="6C6E8794">
      <w:pPr>
        <w:ind w:firstLine="411" w:firstLineChars="196"/>
        <w:rPr>
          <w:rFonts w:ascii="宋体" w:hAnsi="宋体"/>
          <w:szCs w:val="21"/>
        </w:rPr>
      </w:pPr>
      <w:bookmarkStart w:id="117" w:name="_Hlk72402214"/>
      <w:r>
        <w:rPr>
          <w:rFonts w:hint="eastAsia" w:ascii="宋体" w:hAnsi="宋体"/>
          <w:szCs w:val="21"/>
        </w:rPr>
        <w:t>20.1 投标有效期为</w:t>
      </w:r>
      <w:r>
        <w:rPr>
          <w:rFonts w:hint="eastAsia" w:ascii="Arial" w:hAnsi="Arial" w:cs="Arial"/>
          <w:szCs w:val="21"/>
        </w:rPr>
        <w:t>从投标截止之日算起的日历天数。</w:t>
      </w:r>
      <w:r>
        <w:rPr>
          <w:rFonts w:hint="eastAsia" w:ascii="宋体" w:hAnsi="宋体"/>
          <w:szCs w:val="21"/>
        </w:rPr>
        <w:t>在此期限内，所有投标文件均保持有效。</w:t>
      </w:r>
    </w:p>
    <w:p w14:paraId="33B94F18">
      <w:pPr>
        <w:ind w:firstLine="411" w:firstLineChars="196"/>
        <w:rPr>
          <w:rFonts w:ascii="宋体" w:hAnsi="宋体"/>
          <w:szCs w:val="21"/>
        </w:rPr>
      </w:pPr>
      <w:r>
        <w:rPr>
          <w:rFonts w:hint="eastAsia" w:ascii="宋体" w:hAnsi="宋体"/>
          <w:szCs w:val="21"/>
        </w:rPr>
        <w:t>20.2 在特殊情况下，</w:t>
      </w:r>
      <w:r>
        <w:rPr>
          <w:rFonts w:hint="eastAsia" w:ascii="宋体" w:hAnsi="宋体"/>
          <w:szCs w:val="21"/>
          <w:lang w:eastAsia="zh-CN"/>
        </w:rPr>
        <w:t>招标代理机构</w:t>
      </w:r>
      <w:r>
        <w:rPr>
          <w:rFonts w:hint="eastAsia" w:ascii="宋体" w:hAnsi="宋体"/>
          <w:szCs w:val="21"/>
        </w:rPr>
        <w:t>在原定的投标有效期满之前，</w:t>
      </w:r>
      <w:r>
        <w:rPr>
          <w:rFonts w:hint="eastAsia" w:ascii="宋体" w:hAnsi="宋体"/>
          <w:szCs w:val="21"/>
          <w:lang w:eastAsia="zh-CN"/>
        </w:rPr>
        <w:t>招标代理机构</w:t>
      </w:r>
      <w:r>
        <w:rPr>
          <w:rFonts w:hint="eastAsia" w:ascii="宋体" w:hAnsi="宋体"/>
          <w:szCs w:val="21"/>
        </w:rPr>
        <w:t>可以根据需要以书面形式（包括</w:t>
      </w:r>
      <w:r>
        <w:rPr>
          <w:rFonts w:hint="eastAsia" w:ascii="宋体" w:hAnsi="宋体"/>
          <w:szCs w:val="21"/>
          <w:lang w:eastAsia="zh-CN"/>
        </w:rPr>
        <w:t>招标代理机构</w:t>
      </w:r>
      <w:r>
        <w:rPr>
          <w:rFonts w:hint="eastAsia" w:ascii="宋体" w:hAnsi="宋体"/>
          <w:szCs w:val="21"/>
        </w:rPr>
        <w:t>网站公开发布方式）向投标人提出延长投标有效期的要求，对此要求投标人须以书面形式予以答复，投标人可以拒绝</w:t>
      </w:r>
      <w:r>
        <w:rPr>
          <w:rFonts w:hint="eastAsia" w:ascii="宋体" w:hAnsi="宋体"/>
          <w:szCs w:val="21"/>
          <w:lang w:eastAsia="zh-CN"/>
        </w:rPr>
        <w:t>招标代理机构</w:t>
      </w:r>
      <w:r>
        <w:rPr>
          <w:rFonts w:hint="eastAsia" w:ascii="宋体" w:hAnsi="宋体"/>
          <w:szCs w:val="21"/>
        </w:rPr>
        <w:t>此项要求，其投标在原投标有效期满后不再有效。同意延长投标有效期的投标人不能要求也不允许修改其投标文件。</w:t>
      </w:r>
    </w:p>
    <w:p w14:paraId="7B2B40E5">
      <w:pPr>
        <w:ind w:firstLine="411" w:firstLineChars="196"/>
        <w:rPr>
          <w:rFonts w:ascii="宋体" w:hAnsi="宋体"/>
          <w:szCs w:val="21"/>
        </w:rPr>
      </w:pPr>
      <w:r>
        <w:rPr>
          <w:rFonts w:hint="eastAsia" w:ascii="宋体" w:hAnsi="宋体"/>
          <w:szCs w:val="21"/>
        </w:rPr>
        <w:t>20</w:t>
      </w:r>
      <w:r>
        <w:rPr>
          <w:rFonts w:ascii="宋体" w:hAnsi="宋体"/>
          <w:szCs w:val="21"/>
        </w:rPr>
        <w:t>.3</w:t>
      </w:r>
      <w:r>
        <w:rPr>
          <w:rFonts w:hint="eastAsia" w:ascii="宋体" w:hAnsi="宋体"/>
          <w:szCs w:val="21"/>
        </w:rPr>
        <w:t xml:space="preserve"> 中标供应商的投标文件有效期，截止于完成本招标文件规定的全部项目内容，并通过竣工验收及保修期结束。</w:t>
      </w:r>
    </w:p>
    <w:bookmarkEnd w:id="117"/>
    <w:p w14:paraId="3AA0629D">
      <w:pPr>
        <w:rPr>
          <w:rFonts w:ascii="黑体" w:hAnsi="宋体" w:eastAsia="黑体"/>
          <w:sz w:val="24"/>
        </w:rPr>
      </w:pPr>
      <w:r>
        <w:rPr>
          <w:rFonts w:hint="eastAsia" w:ascii="黑体" w:hAnsi="宋体" w:eastAsia="黑体"/>
          <w:sz w:val="24"/>
        </w:rPr>
        <w:t>21．</w:t>
      </w:r>
      <w:bookmarkStart w:id="118" w:name="_Hlk72402325"/>
      <w:r>
        <w:rPr>
          <w:rFonts w:hint="eastAsia" w:ascii="黑体" w:hAnsi="宋体" w:eastAsia="黑体"/>
          <w:sz w:val="24"/>
        </w:rPr>
        <w:t xml:space="preserve">关于投标保证金 </w:t>
      </w:r>
    </w:p>
    <w:p w14:paraId="5E306F3D">
      <w:pPr>
        <w:rPr>
          <w:rFonts w:ascii="宋体" w:hAnsi="宋体"/>
          <w:szCs w:val="21"/>
        </w:rPr>
      </w:pPr>
      <w:r>
        <w:rPr>
          <w:rFonts w:hint="eastAsia" w:ascii="宋体" w:hAnsi="宋体"/>
          <w:szCs w:val="21"/>
        </w:rPr>
        <w:t xml:space="preserve">    21.1</w:t>
      </w:r>
      <w:r>
        <w:rPr>
          <w:rFonts w:hint="eastAsia"/>
        </w:rPr>
        <w:t>本项目不收取投标保证金。</w:t>
      </w:r>
    </w:p>
    <w:p w14:paraId="7688BEF5">
      <w:pPr>
        <w:rPr>
          <w:rFonts w:ascii="黑体" w:hAnsi="宋体" w:eastAsia="黑体"/>
          <w:sz w:val="24"/>
        </w:rPr>
      </w:pPr>
      <w:r>
        <w:rPr>
          <w:rFonts w:hint="eastAsia" w:ascii="黑体" w:hAnsi="宋体" w:eastAsia="黑体"/>
          <w:sz w:val="24"/>
        </w:rPr>
        <w:t>22．投标人的替代方案</w:t>
      </w:r>
    </w:p>
    <w:p w14:paraId="44F40670">
      <w:pPr>
        <w:ind w:firstLine="411" w:firstLineChars="196"/>
        <w:rPr>
          <w:rFonts w:ascii="宋体" w:hAnsi="宋体"/>
          <w:szCs w:val="21"/>
        </w:rPr>
      </w:pPr>
      <w:r>
        <w:rPr>
          <w:rFonts w:hint="eastAsia" w:ascii="宋体" w:hAnsi="宋体"/>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14:paraId="28385C71">
      <w:pPr>
        <w:ind w:firstLine="411" w:firstLineChars="196"/>
        <w:rPr>
          <w:rFonts w:ascii="宋体" w:hAnsi="宋体"/>
          <w:szCs w:val="21"/>
        </w:rPr>
      </w:pPr>
      <w:r>
        <w:rPr>
          <w:rFonts w:hint="eastAsia" w:ascii="宋体" w:hAnsi="宋体"/>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bookmarkEnd w:id="118"/>
    <w:p w14:paraId="5DB9F152">
      <w:pPr>
        <w:rPr>
          <w:rFonts w:ascii="黑体" w:hAnsi="宋体" w:eastAsia="黑体"/>
          <w:sz w:val="24"/>
        </w:rPr>
      </w:pPr>
      <w:r>
        <w:rPr>
          <w:rFonts w:hint="eastAsia" w:ascii="黑体" w:hAnsi="宋体" w:eastAsia="黑体"/>
          <w:sz w:val="24"/>
        </w:rPr>
        <w:t>23．</w:t>
      </w:r>
      <w:bookmarkStart w:id="119" w:name="_Hlk72402860"/>
      <w:r>
        <w:rPr>
          <w:rFonts w:ascii="黑体" w:hAnsi="宋体" w:eastAsia="黑体"/>
          <w:sz w:val="24"/>
        </w:rPr>
        <w:t>投标文件的</w:t>
      </w:r>
      <w:r>
        <w:rPr>
          <w:rFonts w:hint="eastAsia" w:ascii="黑体" w:hAnsi="宋体" w:eastAsia="黑体"/>
          <w:sz w:val="24"/>
        </w:rPr>
        <w:t>制作</w:t>
      </w:r>
      <w:r>
        <w:rPr>
          <w:rFonts w:ascii="黑体" w:hAnsi="宋体" w:eastAsia="黑体"/>
          <w:sz w:val="24"/>
        </w:rPr>
        <w:t>要求</w:t>
      </w:r>
    </w:p>
    <w:p w14:paraId="7C51D4E1">
      <w:pPr>
        <w:ind w:firstLine="411" w:firstLineChars="196"/>
        <w:rPr>
          <w:rFonts w:hint="eastAsia" w:ascii="宋体" w:hAnsi="宋体"/>
        </w:rPr>
      </w:pPr>
      <w:r>
        <w:rPr>
          <w:rFonts w:hint="eastAsia" w:ascii="宋体" w:hAnsi="宋体"/>
        </w:rPr>
        <w:t>23.1投标人应准备一份“唱标信封”（包括投标文件电子文档一份）、一份正本（注明投标人名称及项目名称）和专用条款规定数量的副本投标文件，在每一份投标文件上编上页码，装订成册，并要明确注明 “正本”或“副本”字样，一旦正本和副本发现差异，以正本为准。</w:t>
      </w:r>
    </w:p>
    <w:p w14:paraId="545BE753">
      <w:pPr>
        <w:ind w:firstLine="411" w:firstLineChars="196"/>
        <w:rPr>
          <w:rFonts w:hint="eastAsia" w:ascii="宋体" w:hAnsi="宋体"/>
        </w:rPr>
      </w:pPr>
      <w:r>
        <w:rPr>
          <w:rFonts w:hint="eastAsia" w:ascii="宋体" w:hAnsi="宋体"/>
        </w:rPr>
        <w:t>23.2 投标文件正本和副本须使用不褪色墨水打印，由投标人法定代表人或其授权代表在对应位置签字，后者须将“法定代表人授权书”以书面形式附在投标文件中。副本文件可由正本文件复印而成。</w:t>
      </w:r>
    </w:p>
    <w:p w14:paraId="18AB1880">
      <w:pPr>
        <w:ind w:firstLine="411" w:firstLineChars="196"/>
        <w:rPr>
          <w:rFonts w:hint="eastAsia" w:ascii="宋体" w:hAnsi="宋体"/>
        </w:rPr>
      </w:pPr>
      <w:r>
        <w:rPr>
          <w:rFonts w:hint="eastAsia" w:ascii="宋体" w:hAnsi="宋体"/>
        </w:rPr>
        <w:t>23.3 除投标人对错处作必要修改外，投标文件中不许有加行、涂抹或改写。若有修改须由投标人法定代表人或其授权代表进行签字，并加盖投标人公章。</w:t>
      </w:r>
    </w:p>
    <w:p w14:paraId="205D07CD">
      <w:pPr>
        <w:ind w:firstLine="411" w:firstLineChars="196"/>
        <w:rPr>
          <w:rFonts w:hint="eastAsia" w:ascii="宋体" w:hAnsi="宋体"/>
        </w:rPr>
      </w:pPr>
      <w:r>
        <w:rPr>
          <w:rFonts w:hint="eastAsia" w:ascii="宋体" w:hAnsi="宋体"/>
        </w:rPr>
        <w:t xml:space="preserve">23.4 </w:t>
      </w:r>
      <w:r>
        <w:rPr>
          <w:rFonts w:hint="eastAsia" w:ascii="宋体" w:hAnsi="宋体"/>
          <w:b/>
          <w:bCs/>
        </w:rPr>
        <w:t>投标文件的[正本]及所有[副本]的封面均须加盖投标人公章。</w:t>
      </w:r>
    </w:p>
    <w:p w14:paraId="6FD77ADE">
      <w:pPr>
        <w:ind w:firstLine="411" w:firstLineChars="196"/>
        <w:rPr>
          <w:rFonts w:hint="eastAsia" w:ascii="宋体" w:hAnsi="宋体"/>
        </w:rPr>
      </w:pPr>
      <w:r>
        <w:rPr>
          <w:rFonts w:hint="eastAsia" w:ascii="宋体" w:hAnsi="宋体"/>
        </w:rPr>
        <w:t>23.5投标文件的封面应注明“采购项目名称、项目编号、投标人名称、投标日期等”。</w:t>
      </w:r>
    </w:p>
    <w:p w14:paraId="0C30805E">
      <w:pPr>
        <w:snapToGrid w:val="0"/>
        <w:ind w:firstLine="420" w:firstLineChars="200"/>
        <w:rPr>
          <w:rFonts w:ascii="宋体" w:hAnsi="宋体" w:eastAsia="宋体" w:cs="宋体"/>
          <w:szCs w:val="24"/>
        </w:rPr>
      </w:pPr>
      <w:r>
        <w:rPr>
          <w:rFonts w:hint="eastAsia" w:ascii="宋体" w:hAnsi="宋体"/>
        </w:rPr>
        <w:t>23.6电子文件内容包括：①投标文件完整的Word版本（DOC或者DOCX格式）；</w:t>
      </w:r>
      <w:r>
        <w:rPr>
          <w:rFonts w:hint="eastAsia" w:ascii="宋体" w:hAnsi="宋体" w:eastAsia="宋体" w:cs="宋体"/>
          <w:szCs w:val="24"/>
        </w:rPr>
        <w:t>②投标文件正本</w:t>
      </w:r>
      <w:r>
        <w:rPr>
          <w:rFonts w:hint="eastAsia" w:ascii="宋体" w:hAnsi="宋体" w:cs="宋体"/>
          <w:szCs w:val="24"/>
          <w:highlight w:val="yellow"/>
          <w:lang w:val="en-US" w:eastAsia="zh-CN"/>
        </w:rPr>
        <w:t>扫描件</w:t>
      </w:r>
      <w:r>
        <w:rPr>
          <w:rFonts w:hint="eastAsia" w:ascii="宋体" w:hAnsi="宋体" w:eastAsia="宋体" w:cs="宋体"/>
          <w:szCs w:val="24"/>
          <w:highlight w:val="yellow"/>
        </w:rPr>
        <w:t>（PDF要求彩色扫描，扫描页面清晰、完整</w:t>
      </w:r>
      <w:r>
        <w:rPr>
          <w:rFonts w:hint="eastAsia" w:ascii="宋体" w:hAnsi="宋体" w:eastAsia="宋体" w:cs="宋体"/>
          <w:szCs w:val="24"/>
        </w:rPr>
        <w:t>），内容包括：由投标人自行制作的与投标文件正本一致的所有文件；电子文件用U盘储存，并密封于“唱标信封”内。</w:t>
      </w:r>
    </w:p>
    <w:p w14:paraId="1B6F5DC4">
      <w:pPr>
        <w:ind w:firstLine="411" w:firstLineChars="196"/>
        <w:rPr>
          <w:rFonts w:hint="eastAsia" w:ascii="宋体" w:hAnsi="宋体"/>
          <w:b/>
          <w:bCs/>
          <w:color w:val="FF0000"/>
        </w:rPr>
      </w:pPr>
      <w:r>
        <w:rPr>
          <w:rFonts w:hint="eastAsia" w:ascii="宋体" w:hAnsi="宋体"/>
        </w:rPr>
        <w:t xml:space="preserve">23.7 </w:t>
      </w:r>
      <w:r>
        <w:rPr>
          <w:rFonts w:hint="eastAsia" w:ascii="宋体" w:hAnsi="宋体"/>
          <w:b/>
          <w:bCs/>
          <w:color w:val="FF0000"/>
        </w:rPr>
        <w:t>唱标信封须单独密封并加盖投标人公章。</w:t>
      </w:r>
    </w:p>
    <w:p w14:paraId="045057A0">
      <w:pPr>
        <w:ind w:firstLine="411" w:firstLineChars="196"/>
        <w:rPr>
          <w:rFonts w:hint="eastAsia" w:ascii="宋体" w:hAnsi="宋体"/>
          <w:b/>
          <w:bCs/>
          <w:color w:val="FF0000"/>
        </w:rPr>
      </w:pPr>
      <w:r>
        <w:rPr>
          <w:rFonts w:hint="eastAsia" w:ascii="宋体" w:hAnsi="宋体" w:eastAsia="宋体"/>
          <w:lang w:val="en-US" w:eastAsia="zh-CN"/>
        </w:rPr>
        <w:t>23.8.</w:t>
      </w:r>
      <w:r>
        <w:rPr>
          <w:rFonts w:hint="eastAsia" w:ascii="宋体" w:hAnsi="宋体"/>
          <w:b/>
          <w:bCs/>
          <w:color w:val="FF0000"/>
        </w:rPr>
        <w:t>投标文件应加盖骑缝章，若采用散装或者活页夹编制投标文件，则有可能导致投标文件无效</w:t>
      </w:r>
    </w:p>
    <w:p w14:paraId="2AD271F5">
      <w:pPr>
        <w:ind w:firstLine="411" w:firstLineChars="196"/>
        <w:rPr>
          <w:rFonts w:hint="eastAsia" w:ascii="宋体" w:hAnsi="宋体"/>
        </w:rPr>
      </w:pPr>
      <w:r>
        <w:rPr>
          <w:rFonts w:hint="eastAsia" w:ascii="宋体" w:hAnsi="宋体"/>
        </w:rPr>
        <w:t>23.</w:t>
      </w:r>
      <w:r>
        <w:rPr>
          <w:rFonts w:hint="eastAsia" w:ascii="宋体" w:hAnsi="宋体"/>
          <w:lang w:val="en-US" w:eastAsia="zh-CN"/>
        </w:rPr>
        <w:t>9</w:t>
      </w:r>
      <w:r>
        <w:rPr>
          <w:rFonts w:hint="eastAsia" w:ascii="宋体" w:hAnsi="宋体"/>
        </w:rPr>
        <w:t xml:space="preserve"> </w:t>
      </w:r>
      <w:r>
        <w:rPr>
          <w:rFonts w:hint="eastAsia" w:ascii="宋体" w:hAnsi="宋体"/>
          <w:szCs w:val="21"/>
          <w:lang w:val="en-US" w:eastAsia="zh-CN"/>
        </w:rPr>
        <w:t>招标代理机构</w:t>
      </w:r>
      <w:r>
        <w:rPr>
          <w:rFonts w:hint="eastAsia" w:ascii="宋体" w:hAnsi="宋体"/>
        </w:rPr>
        <w:t>不接受投标截止时间后递交的纸质、电子、传真等所有形式的投标文件。</w:t>
      </w:r>
    </w:p>
    <w:p w14:paraId="0579FF12">
      <w:pPr>
        <w:ind w:firstLine="411" w:firstLineChars="196"/>
        <w:rPr>
          <w:rFonts w:hint="eastAsia" w:ascii="宋体" w:hAnsi="宋体"/>
        </w:rPr>
      </w:pPr>
      <w:r>
        <w:rPr>
          <w:rFonts w:hint="eastAsia" w:ascii="宋体" w:hAnsi="宋体"/>
        </w:rPr>
        <w:t>23.</w:t>
      </w:r>
      <w:r>
        <w:rPr>
          <w:rFonts w:hint="eastAsia" w:ascii="宋体" w:hAnsi="宋体"/>
          <w:lang w:val="en-US" w:eastAsia="zh-CN"/>
        </w:rPr>
        <w:t>10</w:t>
      </w:r>
      <w:r>
        <w:rPr>
          <w:rFonts w:hint="eastAsia" w:ascii="宋体" w:hAnsi="宋体"/>
        </w:rPr>
        <w:t xml:space="preserve"> 电报、电话、传真形式的投标概不接受。</w:t>
      </w:r>
    </w:p>
    <w:p w14:paraId="316846F3">
      <w:pPr>
        <w:ind w:firstLine="420" w:firstLineChars="200"/>
        <w:rPr>
          <w:rFonts w:ascii="宋体" w:hAnsi="宋体"/>
        </w:rPr>
      </w:pPr>
      <w:r>
        <w:rPr>
          <w:rFonts w:hint="eastAsia" w:ascii="宋体" w:hAnsi="宋体"/>
        </w:rPr>
        <w:t>23.1</w:t>
      </w:r>
      <w:r>
        <w:rPr>
          <w:rFonts w:hint="eastAsia" w:ascii="宋体" w:hAnsi="宋体"/>
          <w:lang w:val="en-US" w:eastAsia="zh-CN"/>
        </w:rPr>
        <w:t>1</w:t>
      </w:r>
      <w:r>
        <w:rPr>
          <w:rFonts w:hint="eastAsia" w:ascii="宋体" w:hAnsi="宋体"/>
        </w:rPr>
        <w:t xml:space="preserve"> 投标人在编辑投标文件时，</w:t>
      </w:r>
      <w:r>
        <w:rPr>
          <w:rFonts w:hint="eastAsia" w:ascii="宋体" w:hAnsi="宋体"/>
          <w:b/>
        </w:rPr>
        <w:t>在投标文件目录中属于本节点内容的必须在本节点中填写，填写到其他节点或附件，</w:t>
      </w:r>
      <w:r>
        <w:rPr>
          <w:rFonts w:hint="eastAsia" w:ascii="宋体" w:hAnsi="宋体"/>
        </w:rPr>
        <w:t>一切后果由供应商自行承担。</w:t>
      </w:r>
    </w:p>
    <w:bookmarkEnd w:id="119"/>
    <w:p w14:paraId="513FA8F5">
      <w:pPr>
        <w:ind w:firstLine="411" w:firstLineChars="196"/>
        <w:rPr>
          <w:rFonts w:ascii="宋体" w:hAnsi="宋体"/>
          <w:szCs w:val="21"/>
        </w:rPr>
      </w:pPr>
    </w:p>
    <w:p w14:paraId="61CFB27D">
      <w:pPr>
        <w:pStyle w:val="5"/>
        <w:numPr>
          <w:ilvl w:val="0"/>
          <w:numId w:val="24"/>
        </w:numPr>
        <w:spacing w:before="120" w:beforeLines="50" w:after="120" w:afterLines="50"/>
        <w:ind w:left="562" w:hanging="562"/>
        <w:rPr>
          <w:sz w:val="28"/>
          <w:szCs w:val="28"/>
        </w:rPr>
      </w:pPr>
      <w:r>
        <w:rPr>
          <w:rFonts w:hint="eastAsia"/>
          <w:sz w:val="28"/>
          <w:szCs w:val="28"/>
        </w:rPr>
        <w:t xml:space="preserve"> 投标文件的递交</w:t>
      </w:r>
    </w:p>
    <w:p w14:paraId="007B220F">
      <w:pPr>
        <w:rPr>
          <w:rFonts w:ascii="黑体" w:hAnsi="宋体" w:eastAsia="黑体"/>
          <w:sz w:val="24"/>
        </w:rPr>
      </w:pPr>
      <w:bookmarkStart w:id="120" w:name="_Hlk72405459"/>
      <w:r>
        <w:rPr>
          <w:rFonts w:hint="eastAsia" w:ascii="黑体" w:hAnsi="宋体" w:eastAsia="黑体"/>
          <w:sz w:val="24"/>
        </w:rPr>
        <w:t>24．投标文件的保密</w:t>
      </w:r>
    </w:p>
    <w:p w14:paraId="23E53DFD">
      <w:pPr>
        <w:ind w:firstLine="411" w:firstLineChars="196"/>
        <w:rPr>
          <w:rFonts w:hint="eastAsia" w:ascii="宋体" w:hAnsi="宋体"/>
        </w:rPr>
      </w:pPr>
      <w:r>
        <w:rPr>
          <w:rFonts w:hint="eastAsia" w:ascii="宋体" w:hAnsi="宋体"/>
        </w:rPr>
        <w:t>24.1 投标人应将投标文件、唱标信封分别单独密封。“电子文件”密封于“唱标信封”内。</w:t>
      </w:r>
    </w:p>
    <w:p w14:paraId="13C59065">
      <w:pPr>
        <w:ind w:firstLine="411" w:firstLineChars="196"/>
        <w:rPr>
          <w:rFonts w:hint="eastAsia" w:ascii="宋体" w:hAnsi="宋体"/>
        </w:rPr>
      </w:pPr>
      <w:r>
        <w:rPr>
          <w:rFonts w:hint="eastAsia" w:ascii="宋体" w:hAnsi="宋体"/>
        </w:rPr>
        <w:t xml:space="preserve">24.2 </w:t>
      </w:r>
    </w:p>
    <w:p w14:paraId="07C45F43">
      <w:pPr>
        <w:ind w:firstLine="411" w:firstLineChars="196"/>
        <w:rPr>
          <w:rFonts w:hint="eastAsia" w:ascii="宋体" w:hAnsi="宋体"/>
        </w:rPr>
      </w:pPr>
      <w:r>
        <w:rPr>
          <w:rFonts w:hint="eastAsia" w:ascii="宋体" w:hAnsi="宋体"/>
        </w:rPr>
        <w:t>24.2</w:t>
      </w:r>
      <w:r>
        <w:rPr>
          <w:rFonts w:hint="eastAsia" w:ascii="宋体" w:hAnsi="宋体"/>
          <w:lang w:val="en-US" w:eastAsia="zh-CN"/>
        </w:rPr>
        <w:t>.1</w:t>
      </w:r>
      <w:r>
        <w:rPr>
          <w:rFonts w:hint="eastAsia" w:ascii="宋体" w:hAnsi="宋体"/>
        </w:rPr>
        <w:t>密封封装表面应正确标明投标人名称、地址、项目名称并注明开标时间之前不得开封（在封口位置的封条上标注注明），封口位置须加盖投标人公章。</w:t>
      </w:r>
    </w:p>
    <w:p w14:paraId="13BE51D3">
      <w:pPr>
        <w:ind w:firstLine="411" w:firstLineChars="196"/>
        <w:rPr>
          <w:rFonts w:hint="eastAsia" w:ascii="宋体" w:hAnsi="宋体"/>
        </w:rPr>
      </w:pPr>
      <w:r>
        <w:rPr>
          <w:rFonts w:hint="eastAsia" w:ascii="宋体" w:hAnsi="宋体"/>
        </w:rPr>
        <w:t>24.2</w:t>
      </w:r>
      <w:r>
        <w:rPr>
          <w:rFonts w:hint="eastAsia" w:ascii="宋体" w:hAnsi="宋体"/>
          <w:lang w:val="en-US" w:eastAsia="zh-CN"/>
        </w:rPr>
        <w:t>.2</w:t>
      </w:r>
      <w:r>
        <w:rPr>
          <w:rFonts w:hint="eastAsia" w:ascii="宋体" w:hAnsi="宋体"/>
        </w:rPr>
        <w:t>投标文件已密封，未按前述24.1、24.2</w:t>
      </w:r>
      <w:r>
        <w:rPr>
          <w:rFonts w:hint="eastAsia" w:ascii="宋体" w:hAnsi="宋体"/>
          <w:lang w:val="en-US" w:eastAsia="zh-CN"/>
        </w:rPr>
        <w:t>.</w:t>
      </w:r>
      <w:r>
        <w:rPr>
          <w:rFonts w:hint="eastAsia" w:ascii="宋体" w:hAnsi="宋体"/>
        </w:rPr>
        <w:t>1要求封装的投标文件不作投标无效处理，但由此而引起的提前开封或错放责任由投标人承担。</w:t>
      </w:r>
    </w:p>
    <w:p w14:paraId="53B14269">
      <w:pPr>
        <w:ind w:firstLine="411" w:firstLineChars="196"/>
        <w:rPr>
          <w:rFonts w:hint="eastAsia" w:ascii="宋体" w:hAnsi="宋体"/>
        </w:rPr>
      </w:pPr>
      <w:r>
        <w:rPr>
          <w:rFonts w:hint="eastAsia" w:ascii="宋体" w:hAnsi="宋体"/>
        </w:rPr>
        <w:t>24.3 如果投标文件的密封封装未按本款规定密封和标记，</w:t>
      </w:r>
      <w:r>
        <w:rPr>
          <w:rFonts w:hint="eastAsia" w:ascii="宋体" w:hAnsi="宋体"/>
          <w:szCs w:val="21"/>
          <w:lang w:val="en-US" w:eastAsia="zh-CN"/>
        </w:rPr>
        <w:t>招标代理机构</w:t>
      </w:r>
      <w:r>
        <w:rPr>
          <w:rFonts w:hint="eastAsia" w:ascii="宋体" w:hAnsi="宋体"/>
        </w:rPr>
        <w:t>对投标文件的误投或提前拆封不负责任。对由此造成提前开封的投标文件，</w:t>
      </w:r>
      <w:r>
        <w:rPr>
          <w:rFonts w:hint="eastAsia" w:ascii="宋体" w:hAnsi="宋体"/>
          <w:szCs w:val="21"/>
          <w:lang w:val="en-US" w:eastAsia="zh-CN"/>
        </w:rPr>
        <w:t>招标代理机构</w:t>
      </w:r>
      <w:r>
        <w:rPr>
          <w:rFonts w:hint="eastAsia" w:ascii="宋体" w:hAnsi="宋体"/>
        </w:rPr>
        <w:t>予以拒绝，并退回投标人。</w:t>
      </w:r>
    </w:p>
    <w:p w14:paraId="1B2883D9">
      <w:pPr>
        <w:ind w:firstLine="411" w:firstLineChars="196"/>
        <w:rPr>
          <w:rFonts w:hint="eastAsia" w:ascii="宋体" w:hAnsi="宋体"/>
        </w:rPr>
      </w:pPr>
      <w:r>
        <w:rPr>
          <w:rFonts w:hint="eastAsia" w:ascii="宋体" w:hAnsi="宋体"/>
        </w:rPr>
        <w:t>24.4 拒收投标文件的情形：逾期送达或者未按照招标文件要求密封的投标文</w:t>
      </w:r>
      <w:r>
        <w:rPr>
          <w:rFonts w:hint="eastAsia" w:ascii="宋体" w:hAnsi="宋体"/>
          <w:lang w:val="en-US" w:eastAsia="zh-CN"/>
        </w:rPr>
        <w:t>件</w:t>
      </w:r>
      <w:r>
        <w:rPr>
          <w:rFonts w:hint="eastAsia" w:ascii="宋体" w:hAnsi="宋体"/>
        </w:rPr>
        <w:t>。</w:t>
      </w:r>
    </w:p>
    <w:p w14:paraId="612A2038">
      <w:pPr>
        <w:ind w:firstLine="420" w:firstLineChars="200"/>
        <w:rPr>
          <w:rFonts w:ascii="黑体" w:hAnsi="宋体" w:eastAsia="黑体"/>
          <w:b/>
          <w:sz w:val="24"/>
        </w:rPr>
      </w:pPr>
      <w:r>
        <w:rPr>
          <w:rFonts w:hint="eastAsia" w:ascii="宋体" w:hAnsi="宋体"/>
        </w:rPr>
        <w:t>24.5 开标前，由采购人委派的监督人员或投标人代表检查各投标人投标文件的密封情况，并进行确认。</w:t>
      </w:r>
    </w:p>
    <w:p w14:paraId="64D2E74C">
      <w:pPr>
        <w:rPr>
          <w:rFonts w:ascii="黑体" w:hAnsi="宋体" w:eastAsia="黑体"/>
          <w:sz w:val="24"/>
        </w:rPr>
      </w:pPr>
      <w:r>
        <w:rPr>
          <w:rFonts w:hint="eastAsia" w:ascii="黑体" w:hAnsi="宋体" w:eastAsia="黑体"/>
          <w:sz w:val="24"/>
        </w:rPr>
        <w:t>25．</w:t>
      </w:r>
      <w:r>
        <w:rPr>
          <w:rFonts w:hint="eastAsia" w:ascii="黑体" w:hAnsi="宋体" w:eastAsia="黑体"/>
          <w:sz w:val="24"/>
          <w:lang w:val="en-US" w:eastAsia="zh-CN"/>
        </w:rPr>
        <w:t>提交</w:t>
      </w:r>
      <w:r>
        <w:rPr>
          <w:rFonts w:hint="eastAsia" w:ascii="黑体" w:hAnsi="宋体" w:eastAsia="黑体"/>
          <w:sz w:val="24"/>
        </w:rPr>
        <w:t>投标文件及投标截止日期</w:t>
      </w:r>
    </w:p>
    <w:p w14:paraId="0B67778C">
      <w:pPr>
        <w:ind w:firstLine="411" w:firstLineChars="196"/>
        <w:rPr>
          <w:rFonts w:hint="eastAsia" w:ascii="宋体" w:hAnsi="宋体"/>
        </w:rPr>
      </w:pPr>
      <w:r>
        <w:rPr>
          <w:rFonts w:hint="eastAsia" w:ascii="宋体" w:hAnsi="宋体"/>
        </w:rPr>
        <w:t>25</w:t>
      </w:r>
      <w:r>
        <w:rPr>
          <w:rFonts w:ascii="宋体" w:hAnsi="宋体"/>
        </w:rPr>
        <w:t>.</w:t>
      </w:r>
      <w:r>
        <w:rPr>
          <w:rFonts w:hint="eastAsia" w:ascii="宋体" w:hAnsi="宋体"/>
        </w:rPr>
        <w:t>1投标人应在招标文件规定的投标截止时间前按招标文件专用条款要求密封</w:t>
      </w:r>
      <w:bookmarkStart w:id="121" w:name="OLE_LINK4"/>
      <w:r>
        <w:rPr>
          <w:rFonts w:hint="eastAsia" w:ascii="宋体" w:hAnsi="宋体"/>
        </w:rPr>
        <w:t>递交</w:t>
      </w:r>
      <w:bookmarkEnd w:id="121"/>
      <w:r>
        <w:rPr>
          <w:rFonts w:hint="eastAsia" w:ascii="宋体" w:hAnsi="宋体"/>
        </w:rPr>
        <w:t>投标文件。</w:t>
      </w:r>
    </w:p>
    <w:p w14:paraId="3B971C05">
      <w:pPr>
        <w:ind w:firstLine="413" w:firstLineChars="196"/>
        <w:rPr>
          <w:rFonts w:ascii="宋体" w:hAnsi="宋体"/>
          <w:b/>
          <w:bCs/>
        </w:rPr>
      </w:pPr>
      <w:r>
        <w:rPr>
          <w:rFonts w:hint="eastAsia" w:ascii="宋体" w:hAnsi="宋体"/>
          <w:b/>
          <w:bCs/>
        </w:rPr>
        <w:t>递交</w:t>
      </w:r>
      <w:r>
        <w:rPr>
          <w:rFonts w:hint="eastAsia" w:ascii="宋体" w:hAnsi="宋体"/>
          <w:b/>
          <w:bCs/>
          <w:lang w:val="en-US" w:eastAsia="zh-CN"/>
        </w:rPr>
        <w:t>地址：</w:t>
      </w:r>
      <w:r>
        <w:rPr>
          <w:rFonts w:hint="eastAsia" w:ascii="宋体" w:hAnsi="宋体"/>
          <w:b/>
          <w:bCs/>
          <w:szCs w:val="21"/>
        </w:rPr>
        <w:t>深圳公共资源交易中心（深圳交易集团有限公司罗湖分公司）</w:t>
      </w:r>
      <w:r>
        <w:rPr>
          <w:rFonts w:hint="eastAsia" w:ascii="宋体" w:hAnsi="宋体"/>
          <w:b/>
          <w:bCs/>
        </w:rPr>
        <w:t>（地址：深圳市罗湖区黄贝街道凤凰社区深南东路1076号罗湖区党群服务中心4层）</w:t>
      </w:r>
    </w:p>
    <w:p w14:paraId="13C0A09A">
      <w:pPr>
        <w:ind w:firstLine="411" w:firstLineChars="196"/>
        <w:rPr>
          <w:rFonts w:ascii="宋体" w:hAnsi="宋体"/>
        </w:rPr>
      </w:pPr>
      <w:r>
        <w:rPr>
          <w:rFonts w:hint="eastAsia" w:ascii="宋体" w:hAnsi="宋体"/>
        </w:rPr>
        <w:t>25.2如因故须延迟投标截止时间，经采购人同意后，</w:t>
      </w:r>
      <w:r>
        <w:rPr>
          <w:rFonts w:hint="eastAsia" w:ascii="宋体" w:hAnsi="宋体"/>
          <w:szCs w:val="21"/>
          <w:lang w:val="en-US" w:eastAsia="zh-CN"/>
        </w:rPr>
        <w:t>招标代理机构</w:t>
      </w:r>
      <w:r>
        <w:rPr>
          <w:rFonts w:hint="eastAsia" w:ascii="宋体" w:hAnsi="宋体"/>
        </w:rPr>
        <w:t>可以按本通用条款</w:t>
      </w:r>
      <w:r>
        <w:rPr>
          <w:rFonts w:hint="eastAsia" w:ascii="宋体" w:hAnsi="宋体"/>
          <w:lang w:val="en-US" w:eastAsia="zh-CN"/>
        </w:rPr>
        <w:t>相关</w:t>
      </w:r>
      <w:r>
        <w:rPr>
          <w:rFonts w:hint="eastAsia" w:ascii="宋体" w:hAnsi="宋体"/>
        </w:rPr>
        <w:t>规定，通过修改招标文件自行决定酌情延长投标截止期。在此情况下，</w:t>
      </w:r>
      <w:r>
        <w:rPr>
          <w:rFonts w:hint="eastAsia" w:ascii="宋体" w:hAnsi="宋体"/>
          <w:szCs w:val="21"/>
          <w:lang w:val="en-US" w:eastAsia="zh-CN"/>
        </w:rPr>
        <w:t>招标代理机构</w:t>
      </w:r>
      <w:r>
        <w:rPr>
          <w:rFonts w:hint="eastAsia" w:ascii="宋体" w:hAnsi="宋体"/>
        </w:rPr>
        <w:t>机构、采购人和投标人受投标截止期制约的所有权利和义务均应延长至新的截止期。</w:t>
      </w:r>
    </w:p>
    <w:p w14:paraId="60535071">
      <w:pPr>
        <w:ind w:firstLine="411" w:firstLineChars="196"/>
        <w:rPr>
          <w:rFonts w:ascii="宋体" w:hAnsi="宋体"/>
        </w:rPr>
      </w:pPr>
      <w:r>
        <w:rPr>
          <w:rFonts w:hint="eastAsia" w:ascii="宋体" w:hAnsi="宋体"/>
        </w:rPr>
        <w:t>25</w:t>
      </w:r>
      <w:r>
        <w:rPr>
          <w:rFonts w:ascii="宋体" w:hAnsi="宋体"/>
        </w:rPr>
        <w:t>.</w:t>
      </w:r>
      <w:r>
        <w:rPr>
          <w:rFonts w:hint="eastAsia" w:ascii="宋体" w:hAnsi="宋体"/>
        </w:rPr>
        <w:t>3投标截止时间以后不得</w:t>
      </w:r>
      <w:r>
        <w:rPr>
          <w:rFonts w:hint="eastAsia" w:ascii="宋体" w:hAnsi="宋体"/>
          <w:lang w:val="en-US" w:eastAsia="zh-CN"/>
        </w:rPr>
        <w:t>接受</w:t>
      </w:r>
      <w:r>
        <w:rPr>
          <w:rFonts w:hint="eastAsia" w:ascii="宋体" w:hAnsi="宋体"/>
        </w:rPr>
        <w:t>投标文件。</w:t>
      </w:r>
    </w:p>
    <w:p w14:paraId="6881EE85">
      <w:pPr>
        <w:ind w:firstLine="411" w:firstLineChars="196"/>
        <w:rPr>
          <w:rFonts w:ascii="宋体" w:hAnsi="宋体"/>
        </w:rPr>
      </w:pPr>
      <w:r>
        <w:rPr>
          <w:rFonts w:hint="eastAsia" w:ascii="宋体" w:hAnsi="宋体"/>
        </w:rPr>
        <w:t>25.4.投标截止时间以后不接收投标文件及投标人主动提供的其它资料。</w:t>
      </w:r>
    </w:p>
    <w:bookmarkEnd w:id="120"/>
    <w:p w14:paraId="2527F319">
      <w:pPr>
        <w:rPr>
          <w:rFonts w:ascii="黑体" w:hAnsi="宋体" w:eastAsia="黑体"/>
          <w:sz w:val="24"/>
        </w:rPr>
      </w:pPr>
      <w:r>
        <w:rPr>
          <w:rFonts w:hint="eastAsia" w:ascii="黑体" w:hAnsi="宋体" w:eastAsia="黑体"/>
          <w:sz w:val="24"/>
        </w:rPr>
        <w:t>26. 样品、现场演示、方案讲解</w:t>
      </w:r>
    </w:p>
    <w:p w14:paraId="3C6E8787">
      <w:pPr>
        <w:ind w:firstLine="411" w:firstLineChars="196"/>
        <w:rPr>
          <w:rFonts w:ascii="宋体" w:hAnsi="宋体"/>
          <w:szCs w:val="21"/>
        </w:rPr>
      </w:pPr>
      <w:r>
        <w:rPr>
          <w:rFonts w:hint="eastAsia" w:ascii="宋体" w:hAnsi="宋体"/>
          <w:szCs w:val="21"/>
        </w:rPr>
        <w:t>26.1 样品、现场演示、方案讲解等事项在招标文件专用条款中进行规定。</w:t>
      </w:r>
    </w:p>
    <w:p w14:paraId="4B70E003">
      <w:pPr>
        <w:rPr>
          <w:rFonts w:ascii="黑体" w:hAnsi="宋体" w:eastAsia="黑体"/>
          <w:sz w:val="24"/>
        </w:rPr>
      </w:pPr>
      <w:bookmarkStart w:id="122" w:name="_Hlk72428346"/>
      <w:r>
        <w:rPr>
          <w:rFonts w:ascii="黑体" w:hAnsi="宋体" w:eastAsia="黑体"/>
          <w:sz w:val="24"/>
        </w:rPr>
        <w:t>2</w:t>
      </w:r>
      <w:r>
        <w:rPr>
          <w:rFonts w:hint="eastAsia" w:ascii="黑体" w:hAnsi="宋体" w:eastAsia="黑体"/>
          <w:sz w:val="24"/>
        </w:rPr>
        <w:t>7．</w:t>
      </w:r>
      <w:r>
        <w:rPr>
          <w:rFonts w:ascii="黑体" w:hAnsi="宋体" w:eastAsia="黑体"/>
          <w:sz w:val="24"/>
        </w:rPr>
        <w:t>投标文件的修改和撤销</w:t>
      </w:r>
    </w:p>
    <w:p w14:paraId="484A7678">
      <w:pPr>
        <w:ind w:firstLine="411" w:firstLineChars="196"/>
        <w:rPr>
          <w:rFonts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1</w:t>
      </w:r>
      <w:r>
        <w:rPr>
          <w:rFonts w:ascii="宋体" w:hAnsi="宋体"/>
        </w:rPr>
        <w:t>投标方在提交投标文件后可对其投标文件进行修改</w:t>
      </w:r>
      <w:r>
        <w:rPr>
          <w:rFonts w:hint="eastAsia" w:ascii="宋体" w:hAnsi="宋体"/>
        </w:rPr>
        <w:t>并重新上传投标文件</w:t>
      </w:r>
      <w:r>
        <w:rPr>
          <w:rFonts w:ascii="宋体" w:hAnsi="宋体"/>
        </w:rPr>
        <w:t>或</w:t>
      </w:r>
      <w:r>
        <w:rPr>
          <w:rFonts w:hint="eastAsia" w:ascii="宋体" w:hAnsi="宋体"/>
        </w:rPr>
        <w:t>在网上进行</w:t>
      </w:r>
      <w:r>
        <w:rPr>
          <w:rFonts w:ascii="宋体" w:hAnsi="宋体"/>
        </w:rPr>
        <w:t>撤销</w:t>
      </w:r>
      <w:r>
        <w:rPr>
          <w:rFonts w:hint="eastAsia" w:ascii="宋体" w:hAnsi="宋体"/>
        </w:rPr>
        <w:t>投标的操作</w:t>
      </w:r>
      <w:r>
        <w:rPr>
          <w:rFonts w:ascii="宋体" w:hAnsi="宋体"/>
        </w:rPr>
        <w:t>。</w:t>
      </w:r>
    </w:p>
    <w:p w14:paraId="32166444">
      <w:pPr>
        <w:ind w:firstLine="411" w:firstLineChars="196"/>
        <w:rPr>
          <w:rFonts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2</w:t>
      </w:r>
      <w:r>
        <w:rPr>
          <w:rFonts w:ascii="宋体" w:hAnsi="宋体"/>
        </w:rPr>
        <w:t>投标截止时间以后不得修改投标文件。</w:t>
      </w:r>
    </w:p>
    <w:p w14:paraId="5D520C82">
      <w:pPr>
        <w:ind w:firstLine="411" w:firstLineChars="196"/>
        <w:rPr>
          <w:rFonts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3从投标截止期至投标人在投标文件中确定的投标有效期之间的这段时间内，投标人不得撤回其投标。</w:t>
      </w:r>
    </w:p>
    <w:p w14:paraId="0C86F628">
      <w:pPr>
        <w:ind w:firstLine="411" w:firstLineChars="196"/>
        <w:rPr>
          <w:rFonts w:hint="eastAsia" w:ascii="宋体" w:hAnsi="宋体"/>
          <w:szCs w:val="21"/>
        </w:rPr>
      </w:pPr>
      <w:r>
        <w:rPr>
          <w:rFonts w:hint="eastAsia" w:ascii="宋体" w:hAnsi="宋体"/>
          <w:szCs w:val="21"/>
        </w:rPr>
        <w:t>27.4</w:t>
      </w:r>
      <w:r>
        <w:rPr>
          <w:rFonts w:hint="eastAsia" w:ascii="宋体" w:hAnsi="宋体"/>
          <w:szCs w:val="21"/>
          <w:lang w:eastAsia="zh-CN"/>
        </w:rPr>
        <w:t>招标代理机构</w:t>
      </w:r>
      <w:r>
        <w:rPr>
          <w:rFonts w:hint="eastAsia" w:ascii="宋体" w:hAnsi="宋体"/>
          <w:szCs w:val="21"/>
        </w:rPr>
        <w:t>不退还投标文件，专用条款另有规定的除外。</w:t>
      </w:r>
    </w:p>
    <w:p w14:paraId="631CE1BD">
      <w:pPr>
        <w:outlineLvl w:val="9"/>
      </w:pPr>
    </w:p>
    <w:bookmarkEnd w:id="122"/>
    <w:p w14:paraId="7CCA3BE5">
      <w:pPr>
        <w:pStyle w:val="5"/>
        <w:numPr>
          <w:ilvl w:val="0"/>
          <w:numId w:val="24"/>
        </w:numPr>
        <w:spacing w:before="120" w:beforeLines="50" w:after="120" w:afterLines="50"/>
        <w:ind w:left="562" w:hanging="562"/>
        <w:rPr>
          <w:sz w:val="28"/>
          <w:szCs w:val="28"/>
        </w:rPr>
      </w:pPr>
      <w:r>
        <w:rPr>
          <w:rFonts w:hint="eastAsia"/>
          <w:sz w:val="28"/>
          <w:szCs w:val="28"/>
        </w:rPr>
        <w:t xml:space="preserve"> 开标</w:t>
      </w:r>
    </w:p>
    <w:p w14:paraId="1BA9A187">
      <w:pPr>
        <w:rPr>
          <w:rFonts w:ascii="黑体" w:hAnsi="宋体" w:eastAsia="黑体"/>
          <w:sz w:val="24"/>
        </w:rPr>
      </w:pPr>
      <w:r>
        <w:rPr>
          <w:rFonts w:hint="eastAsia" w:ascii="黑体" w:hAnsi="宋体" w:eastAsia="黑体"/>
          <w:sz w:val="24"/>
        </w:rPr>
        <w:t>28．开标</w:t>
      </w:r>
    </w:p>
    <w:p w14:paraId="4C606B70">
      <w:pPr>
        <w:ind w:firstLine="420" w:firstLineChars="200"/>
        <w:rPr>
          <w:rFonts w:ascii="宋体" w:hAnsi="宋体"/>
          <w:szCs w:val="21"/>
        </w:rPr>
      </w:pPr>
      <w:r>
        <w:rPr>
          <w:rFonts w:ascii="宋体" w:hAnsi="宋体"/>
          <w:szCs w:val="21"/>
        </w:rPr>
        <w:t>2</w:t>
      </w:r>
      <w:r>
        <w:rPr>
          <w:rFonts w:hint="eastAsia" w:ascii="宋体" w:hAnsi="宋体"/>
          <w:szCs w:val="21"/>
        </w:rPr>
        <w:t>8</w:t>
      </w:r>
      <w:r>
        <w:rPr>
          <w:rFonts w:ascii="宋体" w:hAnsi="宋体"/>
          <w:szCs w:val="21"/>
        </w:rPr>
        <w:t>.</w:t>
      </w:r>
      <w:r>
        <w:rPr>
          <w:rFonts w:hint="eastAsia" w:ascii="宋体" w:hAnsi="宋体"/>
          <w:szCs w:val="21"/>
        </w:rPr>
        <w:t>1</w:t>
      </w:r>
      <w:r>
        <w:rPr>
          <w:rFonts w:hint="eastAsia" w:ascii="宋体" w:hAnsi="宋体"/>
          <w:szCs w:val="21"/>
          <w:lang w:val="en-US" w:eastAsia="zh-CN"/>
        </w:rPr>
        <w:t>开标</w:t>
      </w:r>
      <w:r>
        <w:rPr>
          <w:rFonts w:hint="eastAsia" w:ascii="宋体" w:hAnsi="宋体"/>
          <w:szCs w:val="21"/>
        </w:rPr>
        <w:t>按“第二章 对通用条款的补充内容及其他关键信息”规定的时间和地点组织公开开标。投标人应委派代表参加，参加开标的代表应签名报到以证明出席</w:t>
      </w:r>
      <w:r>
        <w:rPr>
          <w:rFonts w:hint="eastAsia" w:ascii="宋体" w:hAnsi="宋体"/>
        </w:rPr>
        <w:t>。</w:t>
      </w:r>
    </w:p>
    <w:p w14:paraId="23510747">
      <w:pPr>
        <w:ind w:firstLine="359" w:firstLineChars="171"/>
        <w:rPr>
          <w:rFonts w:hint="eastAsia" w:ascii="宋体" w:hAnsi="宋体"/>
          <w:szCs w:val="21"/>
        </w:rPr>
      </w:pPr>
      <w:r>
        <w:rPr>
          <w:rFonts w:hint="eastAsia" w:ascii="宋体" w:hAnsi="宋体"/>
          <w:szCs w:val="21"/>
        </w:rPr>
        <w:t>28.2开标时，采购人将当众宣读投标人名称、开标一览表（以招标文件规定的开标一览表内容为准）。除了按照第24.4条规定原封退回的投标之外，开标时将不得拒绝任何投标文件。</w:t>
      </w:r>
    </w:p>
    <w:p w14:paraId="4006F27D">
      <w:pPr>
        <w:ind w:firstLine="315" w:firstLineChars="150"/>
        <w:rPr>
          <w:rFonts w:ascii="宋体" w:hAnsi="宋体"/>
          <w:szCs w:val="21"/>
        </w:rPr>
      </w:pPr>
      <w:r>
        <w:rPr>
          <w:rFonts w:hint="eastAsia" w:ascii="宋体" w:hAnsi="宋体"/>
          <w:szCs w:val="21"/>
        </w:rPr>
        <w:t>28.3</w:t>
      </w:r>
      <w:r>
        <w:rPr>
          <w:rFonts w:hint="eastAsia" w:ascii="宋体" w:hAnsi="宋体"/>
          <w:szCs w:val="21"/>
          <w:lang w:val="en-US" w:eastAsia="zh-CN"/>
        </w:rPr>
        <w:t>开标组织人员</w:t>
      </w:r>
      <w:r>
        <w:rPr>
          <w:rFonts w:hint="eastAsia" w:ascii="宋体" w:hAnsi="宋体"/>
          <w:szCs w:val="21"/>
        </w:rPr>
        <w:t>将做开标记录，开标记录包括按第28.2条的规定在开标时宣读的全部内容。</w:t>
      </w:r>
    </w:p>
    <w:p w14:paraId="3E65203B">
      <w:pPr>
        <w:pStyle w:val="5"/>
        <w:numPr>
          <w:ilvl w:val="0"/>
          <w:numId w:val="24"/>
        </w:numPr>
        <w:spacing w:before="120" w:beforeLines="50" w:after="120" w:afterLines="50"/>
        <w:ind w:left="562" w:hanging="562"/>
        <w:rPr>
          <w:sz w:val="28"/>
          <w:szCs w:val="28"/>
        </w:rPr>
      </w:pPr>
      <w:r>
        <w:rPr>
          <w:rFonts w:hint="eastAsia"/>
          <w:sz w:val="28"/>
          <w:szCs w:val="28"/>
        </w:rPr>
        <w:t xml:space="preserve"> 评审要求</w:t>
      </w:r>
    </w:p>
    <w:p w14:paraId="4974E807">
      <w:pPr>
        <w:rPr>
          <w:rFonts w:ascii="黑体" w:hAnsi="宋体" w:eastAsia="黑体"/>
          <w:sz w:val="24"/>
        </w:rPr>
      </w:pPr>
      <w:r>
        <w:rPr>
          <w:rFonts w:hint="eastAsia" w:ascii="黑体" w:hAnsi="宋体" w:eastAsia="黑体"/>
          <w:sz w:val="24"/>
        </w:rPr>
        <w:t>29．评审委员会组成</w:t>
      </w:r>
    </w:p>
    <w:p w14:paraId="1C3F8B19">
      <w:pPr>
        <w:ind w:firstLine="411" w:firstLineChars="196"/>
        <w:rPr>
          <w:rFonts w:ascii="宋体" w:hAnsi="宋体"/>
        </w:rPr>
      </w:pPr>
      <w:r>
        <w:rPr>
          <w:rFonts w:hint="eastAsia" w:ascii="宋体" w:hAnsi="宋体"/>
        </w:rPr>
        <w:t>29.1开标结束后召开评审会议，</w:t>
      </w:r>
      <w:r>
        <w:rPr>
          <w:rFonts w:hint="eastAsia" w:ascii="宋体" w:hAnsi="宋体"/>
          <w:szCs w:val="21"/>
        </w:rPr>
        <w:t>评审委员会</w:t>
      </w:r>
      <w:r>
        <w:rPr>
          <w:rFonts w:hint="eastAsia" w:ascii="宋体" w:hAnsi="宋体"/>
        </w:rPr>
        <w:t>由</w:t>
      </w:r>
      <w:r>
        <w:rPr>
          <w:rFonts w:hint="eastAsia" w:ascii="宋体" w:hAnsi="宋体"/>
          <w:lang w:eastAsia="zh-CN"/>
        </w:rPr>
        <w:t>招标代理机构</w:t>
      </w:r>
      <w:r>
        <w:rPr>
          <w:rFonts w:hint="eastAsia" w:ascii="宋体" w:hAnsi="宋体"/>
        </w:rPr>
        <w:t>依法组建，负责评审活动。</w:t>
      </w:r>
    </w:p>
    <w:p w14:paraId="75D89D5E">
      <w:pPr>
        <w:ind w:firstLine="411" w:firstLineChars="196"/>
        <w:rPr>
          <w:rFonts w:ascii="宋体" w:hAnsi="宋体"/>
        </w:rPr>
      </w:pPr>
      <w:bookmarkStart w:id="123" w:name="_Hlk72436580"/>
      <w:r>
        <w:rPr>
          <w:rFonts w:hint="eastAsia" w:ascii="宋体" w:hAnsi="宋体"/>
        </w:rPr>
        <w:t>评审委员会由采购人代表和评审专家组成，成员人数应当为5人以上单数（部分条件下为7人以上单数），其中评审专家不得少于成员总数的三分之二。</w:t>
      </w:r>
      <w:bookmarkEnd w:id="123"/>
      <w:r>
        <w:rPr>
          <w:rFonts w:hint="eastAsia" w:ascii="宋体" w:hAnsi="宋体"/>
        </w:rPr>
        <w:t>评定</w:t>
      </w:r>
      <w:r>
        <w:rPr>
          <w:rFonts w:hint="eastAsia"/>
        </w:rPr>
        <w:t>分离项目</w:t>
      </w:r>
      <w:r>
        <w:t>评审专家</w:t>
      </w:r>
      <w:r>
        <w:rPr>
          <w:rFonts w:hint="eastAsia"/>
        </w:rPr>
        <w:t>均</w:t>
      </w:r>
      <w:r>
        <w:t>由</w:t>
      </w:r>
      <w:r>
        <w:rPr>
          <w:rFonts w:hint="eastAsia"/>
        </w:rPr>
        <w:t>评审专家组成。</w:t>
      </w:r>
      <w:r>
        <w:rPr>
          <w:rFonts w:hint="eastAsia" w:ascii="宋体" w:hAnsi="宋体"/>
          <w:szCs w:val="21"/>
        </w:rPr>
        <w:t>评审专家一般是</w:t>
      </w:r>
      <w:r>
        <w:rPr>
          <w:rFonts w:hint="eastAsia" w:ascii="宋体" w:hAnsi="宋体"/>
        </w:rPr>
        <w:t>从深圳市政府采购评审专家库中随机抽取。采购人代表须持本单位签发的《评审授权书》参加评审。</w:t>
      </w:r>
    </w:p>
    <w:p w14:paraId="2C941AF9">
      <w:pPr>
        <w:ind w:firstLine="411" w:firstLineChars="196"/>
        <w:rPr>
          <w:rFonts w:ascii="宋体" w:hAnsi="宋体"/>
        </w:rPr>
      </w:pPr>
      <w:r>
        <w:rPr>
          <w:rFonts w:hint="eastAsia" w:ascii="宋体" w:hAnsi="宋体"/>
        </w:rPr>
        <w:t>29.2评审定标应当遵循公平、公正、科学、择优的原则。</w:t>
      </w:r>
    </w:p>
    <w:p w14:paraId="1C192B85">
      <w:pPr>
        <w:ind w:firstLine="411" w:firstLineChars="196"/>
        <w:rPr>
          <w:rFonts w:ascii="宋体" w:hAnsi="宋体"/>
        </w:rPr>
      </w:pPr>
      <w:r>
        <w:rPr>
          <w:rFonts w:hint="eastAsia" w:ascii="宋体" w:hAnsi="宋体"/>
        </w:rPr>
        <w:t>29.3评审活动依法进行，任何单位和个人不得非法干预评标过程和结果。</w:t>
      </w:r>
    </w:p>
    <w:p w14:paraId="27FED20B">
      <w:pPr>
        <w:ind w:firstLine="411" w:firstLineChars="196"/>
        <w:rPr>
          <w:rFonts w:ascii="宋体" w:hAnsi="宋体"/>
        </w:rPr>
      </w:pPr>
      <w:r>
        <w:rPr>
          <w:rFonts w:hint="eastAsia" w:ascii="宋体" w:hAnsi="宋体"/>
        </w:rPr>
        <w:t>29.4评审过程中不允许违背评标程序或采用招标文件未载明的评标方法或评标因素进行评标。</w:t>
      </w:r>
    </w:p>
    <w:p w14:paraId="4BD58867">
      <w:pPr>
        <w:ind w:firstLine="411" w:firstLineChars="196"/>
        <w:rPr>
          <w:rFonts w:ascii="宋体" w:hAnsi="宋体"/>
          <w:bCs/>
        </w:rPr>
      </w:pPr>
      <w:r>
        <w:rPr>
          <w:rFonts w:hint="eastAsia" w:ascii="宋体" w:hAnsi="宋体"/>
          <w:bCs/>
        </w:rPr>
        <w:t>29.5 开标后，直到签订合同为止，凡属于对投标文件的审查、澄清、评价和比较的有关资料以及中标候选人的推荐情况、与评审有关的其他任何情况均严格保密（</w:t>
      </w:r>
      <w:r>
        <w:rPr>
          <w:rFonts w:hint="eastAsia"/>
        </w:rPr>
        <w:t>信息公开的内容除外</w:t>
      </w:r>
      <w:r>
        <w:rPr>
          <w:rFonts w:hint="eastAsia" w:ascii="宋体" w:hAnsi="宋体"/>
          <w:bCs/>
        </w:rPr>
        <w:t>）。</w:t>
      </w:r>
    </w:p>
    <w:p w14:paraId="65C1EAC9">
      <w:pPr>
        <w:rPr>
          <w:rFonts w:ascii="黑体" w:hAnsi="宋体" w:eastAsia="黑体"/>
          <w:sz w:val="24"/>
        </w:rPr>
      </w:pPr>
      <w:r>
        <w:rPr>
          <w:rFonts w:hint="eastAsia" w:ascii="黑体" w:hAnsi="宋体" w:eastAsia="黑体"/>
          <w:sz w:val="24"/>
        </w:rPr>
        <w:t>30．向评审委员会提供的资料</w:t>
      </w:r>
    </w:p>
    <w:p w14:paraId="69406E88">
      <w:pPr>
        <w:ind w:firstLine="411" w:firstLineChars="196"/>
        <w:rPr>
          <w:rFonts w:ascii="宋体" w:hAnsi="宋体"/>
        </w:rPr>
      </w:pPr>
      <w:r>
        <w:rPr>
          <w:rFonts w:hint="eastAsia" w:ascii="宋体" w:hAnsi="宋体"/>
        </w:rPr>
        <w:t>30.1公开发布的招标文件，包括图纸、服务清单、答疑文件等；</w:t>
      </w:r>
    </w:p>
    <w:p w14:paraId="0E67182A">
      <w:pPr>
        <w:ind w:firstLine="411" w:firstLineChars="196"/>
        <w:rPr>
          <w:rFonts w:ascii="宋体" w:hAnsi="宋体"/>
        </w:rPr>
      </w:pPr>
      <w:r>
        <w:rPr>
          <w:rFonts w:hint="eastAsia" w:ascii="宋体" w:hAnsi="宋体"/>
        </w:rPr>
        <w:t>30.2其他评标必须的资料。</w:t>
      </w:r>
    </w:p>
    <w:p w14:paraId="04E9C763">
      <w:pPr>
        <w:ind w:firstLine="411" w:firstLineChars="196"/>
        <w:rPr>
          <w:rFonts w:ascii="宋体" w:hAnsi="宋体"/>
        </w:rPr>
      </w:pPr>
      <w:r>
        <w:rPr>
          <w:rFonts w:hint="eastAsia" w:ascii="宋体" w:hAnsi="宋体"/>
        </w:rPr>
        <w:t>30.3</w:t>
      </w:r>
      <w:r>
        <w:rPr>
          <w:rFonts w:hint="eastAsia" w:ascii="宋体" w:hAnsi="宋体"/>
          <w:szCs w:val="21"/>
        </w:rPr>
        <w:t>评审委员会</w:t>
      </w:r>
      <w:r>
        <w:rPr>
          <w:rFonts w:hint="eastAsia" w:ascii="宋体" w:hAnsi="宋体"/>
        </w:rPr>
        <w:t>应当认真研究招标文件，至少应了解熟悉以下内容：</w:t>
      </w:r>
    </w:p>
    <w:p w14:paraId="694145EE">
      <w:pPr>
        <w:ind w:firstLine="411" w:firstLineChars="196"/>
        <w:rPr>
          <w:rFonts w:ascii="宋体" w:hAnsi="宋体"/>
        </w:rPr>
      </w:pPr>
      <w:r>
        <w:rPr>
          <w:rFonts w:hint="eastAsia" w:ascii="宋体" w:hAnsi="宋体"/>
        </w:rPr>
        <w:t>（1）招标的目的；</w:t>
      </w:r>
    </w:p>
    <w:p w14:paraId="567A5B1C">
      <w:pPr>
        <w:ind w:firstLine="411" w:firstLineChars="196"/>
        <w:rPr>
          <w:rFonts w:ascii="宋体" w:hAnsi="宋体"/>
        </w:rPr>
      </w:pPr>
      <w:r>
        <w:rPr>
          <w:rFonts w:hint="eastAsia" w:ascii="宋体" w:hAnsi="宋体"/>
        </w:rPr>
        <w:t>（2）招标项目需求的范围和性质；</w:t>
      </w:r>
    </w:p>
    <w:p w14:paraId="222A5A8F">
      <w:pPr>
        <w:ind w:firstLine="411" w:firstLineChars="196"/>
        <w:rPr>
          <w:rFonts w:ascii="宋体" w:hAnsi="宋体"/>
        </w:rPr>
      </w:pPr>
      <w:r>
        <w:rPr>
          <w:rFonts w:hint="eastAsia" w:ascii="宋体" w:hAnsi="宋体"/>
        </w:rPr>
        <w:t>（3）招标文件规定的投标人的资格、财政预算限额、商务条款；</w:t>
      </w:r>
    </w:p>
    <w:p w14:paraId="73ABCFD2">
      <w:pPr>
        <w:ind w:firstLine="411" w:firstLineChars="196"/>
        <w:rPr>
          <w:rFonts w:ascii="宋体" w:hAnsi="宋体"/>
        </w:rPr>
      </w:pPr>
      <w:r>
        <w:rPr>
          <w:rFonts w:hint="eastAsia" w:ascii="宋体" w:hAnsi="宋体"/>
        </w:rPr>
        <w:t>（4）招标文件规定的评标程序、评标方法和评标因素；</w:t>
      </w:r>
    </w:p>
    <w:p w14:paraId="590A0B55">
      <w:pPr>
        <w:ind w:firstLine="411" w:firstLineChars="196"/>
        <w:rPr>
          <w:rFonts w:ascii="宋体" w:hAnsi="宋体"/>
        </w:rPr>
      </w:pPr>
      <w:r>
        <w:rPr>
          <w:rFonts w:hint="eastAsia" w:ascii="宋体" w:hAnsi="宋体"/>
        </w:rPr>
        <w:t>（5）招标文件所列示的资格性审查表及符合性审查表。</w:t>
      </w:r>
    </w:p>
    <w:p w14:paraId="7A665949">
      <w:pPr>
        <w:rPr>
          <w:rFonts w:ascii="黑体" w:hAnsi="宋体" w:eastAsia="黑体"/>
          <w:sz w:val="24"/>
        </w:rPr>
      </w:pPr>
      <w:r>
        <w:rPr>
          <w:rFonts w:hint="eastAsia" w:ascii="黑体" w:hAnsi="宋体" w:eastAsia="黑体"/>
          <w:sz w:val="24"/>
        </w:rPr>
        <w:t>31．独立评审</w:t>
      </w:r>
    </w:p>
    <w:p w14:paraId="2840D79E">
      <w:pPr>
        <w:ind w:firstLine="411" w:firstLineChars="196"/>
        <w:rPr>
          <w:rFonts w:ascii="宋体" w:hAnsi="宋体"/>
          <w:bCs/>
        </w:rPr>
      </w:pPr>
      <w:r>
        <w:rPr>
          <w:rFonts w:hint="eastAsia" w:ascii="宋体" w:hAnsi="宋体"/>
          <w:bCs/>
        </w:rPr>
        <w:t>3</w:t>
      </w:r>
      <w:r>
        <w:rPr>
          <w:rFonts w:ascii="宋体" w:hAnsi="宋体"/>
          <w:bCs/>
        </w:rPr>
        <w:t>1</w:t>
      </w:r>
      <w:r>
        <w:rPr>
          <w:rFonts w:hint="eastAsia" w:ascii="宋体" w:hAnsi="宋体"/>
          <w:bCs/>
        </w:rPr>
        <w:t>.1</w:t>
      </w:r>
      <w:r>
        <w:rPr>
          <w:rFonts w:hint="eastAsia" w:ascii="宋体" w:hAnsi="宋体"/>
          <w:szCs w:val="21"/>
        </w:rPr>
        <w:t>评审委员会</w:t>
      </w:r>
      <w:r>
        <w:rPr>
          <w:rFonts w:hint="eastAsia" w:ascii="宋体" w:hAnsi="宋体"/>
          <w:bCs/>
        </w:rPr>
        <w:t>成员的评标活动应当独立进行，并应遵循投标文件初审、澄清有关问题、比较与评价、确定中标供应商、编写评审报告的工作程序。</w:t>
      </w:r>
    </w:p>
    <w:p w14:paraId="1F863006">
      <w:pPr>
        <w:ind w:firstLine="411" w:firstLineChars="196"/>
        <w:rPr>
          <w:rFonts w:ascii="宋体" w:hAnsi="宋体"/>
          <w:bCs/>
          <w:szCs w:val="21"/>
        </w:rPr>
      </w:pPr>
    </w:p>
    <w:p w14:paraId="70727FD3">
      <w:pPr>
        <w:pStyle w:val="5"/>
        <w:numPr>
          <w:ilvl w:val="0"/>
          <w:numId w:val="24"/>
        </w:numPr>
        <w:spacing w:before="120" w:beforeLines="50" w:after="120" w:afterLines="50"/>
        <w:ind w:left="562" w:hanging="562"/>
        <w:rPr>
          <w:sz w:val="28"/>
          <w:szCs w:val="28"/>
        </w:rPr>
      </w:pPr>
      <w:r>
        <w:rPr>
          <w:rFonts w:hint="eastAsia"/>
          <w:sz w:val="28"/>
          <w:szCs w:val="28"/>
        </w:rPr>
        <w:t xml:space="preserve"> 评审程序及评审方法</w:t>
      </w:r>
    </w:p>
    <w:p w14:paraId="07EABC83">
      <w:pPr>
        <w:rPr>
          <w:rFonts w:ascii="黑体" w:hAnsi="宋体" w:eastAsia="黑体"/>
          <w:sz w:val="24"/>
        </w:rPr>
      </w:pPr>
      <w:r>
        <w:rPr>
          <w:rFonts w:hint="eastAsia" w:ascii="黑体" w:hAnsi="宋体" w:eastAsia="黑体"/>
          <w:sz w:val="24"/>
        </w:rPr>
        <w:t>32．投标文件初审</w:t>
      </w:r>
    </w:p>
    <w:p w14:paraId="75E2AA48">
      <w:pPr>
        <w:ind w:firstLine="411" w:firstLineChars="196"/>
        <w:rPr>
          <w:rFonts w:ascii="宋体" w:hAnsi="宋体"/>
        </w:rPr>
      </w:pPr>
      <w:r>
        <w:rPr>
          <w:rFonts w:hint="eastAsia" w:ascii="宋体" w:hAnsi="宋体"/>
        </w:rPr>
        <w:t>32.1投标文件初审包括资格性审查和符合性审查。</w:t>
      </w:r>
    </w:p>
    <w:p w14:paraId="5E79164B">
      <w:pPr>
        <w:ind w:firstLine="411" w:firstLineChars="196"/>
        <w:rPr>
          <w:rFonts w:ascii="宋体" w:hAnsi="宋体"/>
        </w:rPr>
      </w:pPr>
      <w:r>
        <w:rPr>
          <w:rFonts w:hint="eastAsia" w:ascii="宋体" w:hAnsi="宋体"/>
        </w:rPr>
        <w:t>资格性审查：依据法律法规和招标文件的规定，对投标文件中的资格证明等进行审查，以确定投标供应商是否具备投标资格。</w:t>
      </w:r>
    </w:p>
    <w:p w14:paraId="30F16094">
      <w:pPr>
        <w:ind w:firstLine="411" w:firstLineChars="196"/>
        <w:rPr>
          <w:rFonts w:ascii="宋体" w:hAnsi="宋体"/>
        </w:rPr>
      </w:pPr>
      <w:r>
        <w:rPr>
          <w:rFonts w:hint="eastAsia" w:ascii="宋体" w:hAnsi="宋体"/>
        </w:rPr>
        <w:t>符合性审查：依据招标文件的规定，对投标文件的有效性、完整性和对招标文件的响应程度进行审查，以确定是否满足符合性审查的要求。</w:t>
      </w:r>
    </w:p>
    <w:p w14:paraId="35441F8C">
      <w:pPr>
        <w:ind w:firstLine="411" w:firstLineChars="196"/>
        <w:rPr>
          <w:rFonts w:ascii="宋体" w:hAnsi="宋体"/>
        </w:rPr>
      </w:pPr>
      <w:r>
        <w:rPr>
          <w:rFonts w:hint="eastAsia" w:ascii="宋体" w:hAnsi="宋体"/>
        </w:rPr>
        <w:t>32.2 投标文件初审内容请详见《资格性审查表》和《符合性审查表》部分。投标人若有一条审查不通过则按投标无效处理。</w:t>
      </w:r>
    </w:p>
    <w:p w14:paraId="4E077E37">
      <w:pPr>
        <w:ind w:firstLine="411" w:firstLineChars="196"/>
        <w:rPr>
          <w:rFonts w:ascii="宋体" w:hAnsi="宋体"/>
          <w:bCs/>
        </w:rPr>
      </w:pPr>
      <w:r>
        <w:rPr>
          <w:rFonts w:hint="eastAsia" w:ascii="宋体" w:hAnsi="宋体"/>
          <w:bCs/>
        </w:rPr>
        <w:t>32.3 投标文件初审中关于供应商家数的计算:</w:t>
      </w:r>
    </w:p>
    <w:p w14:paraId="7E926D9D">
      <w:pPr>
        <w:ind w:firstLine="411" w:firstLineChars="196"/>
        <w:rPr>
          <w:rFonts w:ascii="宋体" w:hAnsi="宋体"/>
          <w:bCs/>
        </w:rPr>
      </w:pPr>
      <w:r>
        <w:rPr>
          <w:rFonts w:hint="eastAsia" w:ascii="宋体" w:hAnsi="宋体"/>
          <w:bCs/>
        </w:rPr>
        <w:t>32.3.1采用最低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14:paraId="3E211E89">
      <w:pPr>
        <w:ind w:firstLine="411" w:firstLineChars="196"/>
        <w:rPr>
          <w:rFonts w:ascii="宋体" w:hAnsi="宋体"/>
          <w:bCs/>
        </w:rPr>
      </w:pPr>
      <w:r>
        <w:rPr>
          <w:rFonts w:hint="eastAsia" w:ascii="宋体" w:hAnsi="宋体"/>
          <w:bCs/>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hint="eastAsia" w:ascii="宋体" w:hAnsi="宋体"/>
          <w:bCs/>
          <w:szCs w:val="21"/>
        </w:rPr>
        <w:t>评审委员会</w:t>
      </w:r>
      <w:r>
        <w:rPr>
          <w:rFonts w:hint="eastAsia" w:ascii="宋体" w:hAnsi="宋体"/>
          <w:bCs/>
        </w:rPr>
        <w:t>按照招标文件规定的方式确定一个投标人获得中标人推荐资格，招标文件未规定的采取随机抽取方式确定，其他同品牌投标人不作为中标候选人。</w:t>
      </w:r>
    </w:p>
    <w:p w14:paraId="0CE57C3B">
      <w:pPr>
        <w:ind w:firstLine="411" w:firstLineChars="196"/>
        <w:rPr>
          <w:rFonts w:ascii="宋体" w:hAnsi="宋体"/>
          <w:bCs/>
        </w:rPr>
      </w:pPr>
      <w:r>
        <w:rPr>
          <w:rFonts w:hint="eastAsia" w:ascii="宋体" w:hAnsi="宋体"/>
          <w:bCs/>
        </w:rPr>
        <w:t>32.3.3非单一产品采购项目，采购人应当根据采购项目技术构成、产品价格比重等合理确定核心产品，并在招标文件中载明。多家投标人提供的核心产品品牌相同的，按前两款规定处理。</w:t>
      </w:r>
    </w:p>
    <w:p w14:paraId="4BA111F0">
      <w:pPr>
        <w:ind w:firstLine="411" w:firstLineChars="196"/>
        <w:rPr>
          <w:rFonts w:ascii="宋体" w:hAnsi="宋体"/>
        </w:rPr>
      </w:pPr>
      <w:r>
        <w:rPr>
          <w:rFonts w:hint="eastAsia" w:ascii="宋体" w:hAnsi="宋体"/>
        </w:rPr>
        <w:t>32.4投标人投标文件作无效处理的情形，具体包括但不限于以下：</w:t>
      </w:r>
    </w:p>
    <w:p w14:paraId="731F58A9">
      <w:pPr>
        <w:ind w:firstLine="411" w:firstLineChars="196"/>
      </w:pPr>
      <w:r>
        <w:rPr>
          <w:rFonts w:hint="eastAsia" w:ascii="宋体" w:hAnsi="宋体"/>
        </w:rPr>
        <w:t>32.4.1</w:t>
      </w:r>
      <w:r>
        <w:rPr>
          <w:rFonts w:hint="eastAsia"/>
        </w:rPr>
        <w:t>不同投标人的投标文件由同一单位或者同一个人编制，或者由同一个人分阶段参与编制；</w:t>
      </w:r>
    </w:p>
    <w:p w14:paraId="17B21141">
      <w:pPr>
        <w:ind w:firstLine="411" w:firstLineChars="196"/>
      </w:pPr>
      <w:r>
        <w:rPr>
          <w:rFonts w:ascii="宋体" w:hAnsi="宋体"/>
        </w:rPr>
        <w:t>32.4.</w:t>
      </w:r>
      <w:r>
        <w:rPr>
          <w:rFonts w:hint="eastAsia" w:ascii="宋体" w:hAnsi="宋体"/>
        </w:rPr>
        <w:t>2</w:t>
      </w:r>
      <w:r>
        <w:rPr>
          <w:rFonts w:hint="eastAsia"/>
        </w:rPr>
        <w:t>不同投标人委托同一单位或者个人办理投标事宜；</w:t>
      </w:r>
    </w:p>
    <w:p w14:paraId="58A890B6">
      <w:pPr>
        <w:ind w:firstLine="411" w:firstLineChars="196"/>
        <w:rPr>
          <w:rFonts w:ascii="宋体" w:hAnsi="宋体"/>
        </w:rPr>
      </w:pPr>
      <w:r>
        <w:rPr>
          <w:rFonts w:hint="eastAsia" w:ascii="宋体" w:hAnsi="宋体"/>
        </w:rPr>
        <w:t>32.4.3不同投标人的投标文件载明的项目管理成员或者联系人员为同一人；</w:t>
      </w:r>
    </w:p>
    <w:p w14:paraId="03A6DAFB">
      <w:pPr>
        <w:ind w:firstLine="411" w:firstLineChars="196"/>
        <w:rPr>
          <w:rFonts w:ascii="宋体" w:hAnsi="宋体"/>
        </w:rPr>
      </w:pPr>
      <w:r>
        <w:rPr>
          <w:rFonts w:hint="eastAsia" w:ascii="宋体" w:hAnsi="宋体"/>
        </w:rPr>
        <w:t>32.4.4不同投标人的投标文件异常一致或者投标报价呈规律性差异；</w:t>
      </w:r>
    </w:p>
    <w:p w14:paraId="3C63DEA0">
      <w:pPr>
        <w:ind w:firstLine="411" w:firstLineChars="196"/>
        <w:rPr>
          <w:rFonts w:ascii="宋体" w:hAnsi="宋体"/>
        </w:rPr>
      </w:pPr>
      <w:r>
        <w:rPr>
          <w:rFonts w:hint="eastAsia" w:ascii="宋体" w:hAnsi="宋体"/>
        </w:rPr>
        <w:t>32.4.5</w:t>
      </w:r>
      <w:r>
        <w:rPr>
          <w:rFonts w:ascii="宋体" w:hAnsi="宋体"/>
        </w:rPr>
        <w:t>不同投标供应商的投标文件或部分投标文件相互混装</w:t>
      </w:r>
      <w:r>
        <w:rPr>
          <w:rFonts w:hint="eastAsia" w:ascii="宋体" w:hAnsi="宋体"/>
        </w:rPr>
        <w:t>；</w:t>
      </w:r>
    </w:p>
    <w:p w14:paraId="0D74129B">
      <w:pPr>
        <w:ind w:firstLine="411" w:firstLineChars="196"/>
        <w:rPr>
          <w:rFonts w:ascii="宋体" w:hAnsi="宋体"/>
        </w:rPr>
      </w:pPr>
      <w:r>
        <w:rPr>
          <w:rFonts w:hint="eastAsia" w:ascii="宋体" w:hAnsi="宋体"/>
        </w:rPr>
        <w:t>32.4.6投标供应商之间相互约定给予未中标的供应商利益补偿；</w:t>
      </w:r>
    </w:p>
    <w:p w14:paraId="58CD2B54">
      <w:pPr>
        <w:ind w:firstLine="411" w:firstLineChars="196"/>
        <w:rPr>
          <w:rFonts w:ascii="宋体" w:hAnsi="宋体"/>
        </w:rPr>
      </w:pPr>
      <w:r>
        <w:rPr>
          <w:rFonts w:hint="eastAsia" w:ascii="宋体" w:hAnsi="宋体"/>
        </w:rPr>
        <w:t>32.4.7不同投标供应商的法定代表人、主要经营负责人、项目投标授权代表人、项目负责人、主要技术人员为同一人、属同一单位或者同一单位缴纳社会保险；</w:t>
      </w:r>
    </w:p>
    <w:p w14:paraId="7105BE4B">
      <w:pPr>
        <w:ind w:firstLine="411" w:firstLineChars="196"/>
        <w:rPr>
          <w:rFonts w:ascii="宋体" w:hAnsi="宋体"/>
        </w:rPr>
      </w:pPr>
      <w:r>
        <w:rPr>
          <w:rFonts w:hint="eastAsia" w:ascii="宋体" w:hAnsi="宋体"/>
        </w:rPr>
        <w:t>32.4.8不同投标供应商的投标文件内容存在非正常一致；</w:t>
      </w:r>
    </w:p>
    <w:p w14:paraId="1C1923BF">
      <w:pPr>
        <w:ind w:firstLine="411" w:firstLineChars="196"/>
        <w:rPr>
          <w:rFonts w:ascii="宋体" w:hAnsi="宋体"/>
        </w:rPr>
      </w:pPr>
      <w:r>
        <w:rPr>
          <w:rFonts w:hint="eastAsia" w:ascii="宋体" w:hAnsi="宋体"/>
        </w:rPr>
        <w:t>32.4.9在同一单位工作人员为两家以上（含两家）供应商进行同一项投标活动；</w:t>
      </w:r>
    </w:p>
    <w:p w14:paraId="43C87168">
      <w:pPr>
        <w:ind w:firstLine="411" w:firstLineChars="196"/>
        <w:rPr>
          <w:rFonts w:ascii="宋体" w:hAnsi="宋体"/>
        </w:rPr>
      </w:pPr>
      <w:r>
        <w:rPr>
          <w:rFonts w:hint="eastAsia" w:ascii="宋体" w:hAnsi="宋体"/>
        </w:rPr>
        <w:t>32.4.10主管部门依照法律、法规认定的其他情形。</w:t>
      </w:r>
    </w:p>
    <w:p w14:paraId="7E2EDC3C">
      <w:pPr>
        <w:ind w:firstLine="420" w:firstLineChars="200"/>
        <w:rPr>
          <w:rFonts w:ascii="宋体" w:hAnsi="宋体"/>
        </w:rPr>
      </w:pPr>
      <w:r>
        <w:rPr>
          <w:rFonts w:hint="eastAsia" w:ascii="宋体" w:hAnsi="宋体"/>
        </w:rPr>
        <w:t>32.5对不属于《资格性审查表》和《符合性审查表》所列的其他情形，除专用条款另有规定和32.4条款所列情形外，不得作为投标无效的理由。</w:t>
      </w:r>
    </w:p>
    <w:p w14:paraId="015434E5">
      <w:pPr>
        <w:rPr>
          <w:rFonts w:ascii="黑体" w:hAnsi="宋体" w:eastAsia="黑体"/>
          <w:sz w:val="24"/>
        </w:rPr>
      </w:pPr>
      <w:r>
        <w:rPr>
          <w:rFonts w:hint="eastAsia" w:ascii="黑体" w:hAnsi="宋体" w:eastAsia="黑体"/>
          <w:sz w:val="24"/>
        </w:rPr>
        <w:t>33．澄清有关问题</w:t>
      </w:r>
    </w:p>
    <w:p w14:paraId="35DFA7CE">
      <w:pPr>
        <w:ind w:firstLine="411" w:firstLineChars="196"/>
        <w:rPr>
          <w:rFonts w:ascii="宋体" w:hAnsi="宋体"/>
        </w:rPr>
      </w:pPr>
      <w:bookmarkStart w:id="124" w:name="_Hlk71407321"/>
      <w:r>
        <w:rPr>
          <w:rFonts w:hint="eastAsia" w:ascii="宋体" w:hAnsi="宋体"/>
        </w:rPr>
        <w:t>3</w:t>
      </w:r>
      <w:r>
        <w:rPr>
          <w:rFonts w:ascii="宋体" w:hAnsi="宋体"/>
        </w:rPr>
        <w:t>3.1</w:t>
      </w:r>
      <w:r>
        <w:rPr>
          <w:rFonts w:hint="eastAsia" w:ascii="宋体" w:hAnsi="宋体"/>
        </w:rPr>
        <w:t>对招标文件中描述有歧义或前后不一致的地方（不含</w:t>
      </w:r>
      <w:r>
        <w:rPr>
          <w:szCs w:val="21"/>
        </w:rPr>
        <w:t>招标文件存在歧义、重大缺陷导致评</w:t>
      </w:r>
      <w:r>
        <w:rPr>
          <w:rFonts w:hint="eastAsia"/>
          <w:szCs w:val="21"/>
        </w:rPr>
        <w:t>审</w:t>
      </w:r>
      <w:r>
        <w:rPr>
          <w:szCs w:val="21"/>
        </w:rPr>
        <w:t>工作无法进行</w:t>
      </w:r>
      <w:r>
        <w:rPr>
          <w:rFonts w:hint="eastAsia"/>
          <w:szCs w:val="21"/>
        </w:rPr>
        <w:t>的情况）</w:t>
      </w:r>
      <w:r>
        <w:rPr>
          <w:rFonts w:hint="eastAsia" w:ascii="宋体" w:hAnsi="宋体"/>
        </w:rPr>
        <w:t>，评审委员会有权进行评判，但对同一条款的评判应适用于每个投标人。</w:t>
      </w:r>
      <w:bookmarkEnd w:id="124"/>
    </w:p>
    <w:p w14:paraId="6FA24625">
      <w:pPr>
        <w:ind w:firstLine="411" w:firstLineChars="196"/>
        <w:rPr>
          <w:rFonts w:ascii="宋体" w:hAnsi="宋体"/>
        </w:rPr>
      </w:pPr>
      <w:r>
        <w:rPr>
          <w:rFonts w:hint="eastAsia" w:ascii="宋体" w:hAnsi="宋体"/>
        </w:rPr>
        <w:t>3</w:t>
      </w:r>
      <w:r>
        <w:rPr>
          <w:rFonts w:ascii="宋体" w:hAnsi="宋体"/>
        </w:rPr>
        <w:t>3.2</w:t>
      </w:r>
      <w:r>
        <w:rPr>
          <w:szCs w:val="21"/>
        </w:rPr>
        <w:t>评</w:t>
      </w:r>
      <w:r>
        <w:rPr>
          <w:rFonts w:hint="eastAsia"/>
          <w:szCs w:val="21"/>
        </w:rPr>
        <w:t>审</w:t>
      </w:r>
      <w:r>
        <w:rPr>
          <w:szCs w:val="21"/>
        </w:rPr>
        <w:t>委员会发现招标文件存在歧义、重大缺陷导致评</w:t>
      </w:r>
      <w:r>
        <w:rPr>
          <w:rFonts w:hint="eastAsia"/>
          <w:szCs w:val="21"/>
        </w:rPr>
        <w:t>审</w:t>
      </w:r>
      <w:r>
        <w:rPr>
          <w:szCs w:val="21"/>
        </w:rPr>
        <w:t>工作无法进行，或者招标文件内容违反国家有关强制性规定的，应当停止评</w:t>
      </w:r>
      <w:r>
        <w:rPr>
          <w:rFonts w:hint="eastAsia"/>
          <w:szCs w:val="21"/>
        </w:rPr>
        <w:t>审</w:t>
      </w:r>
      <w:r>
        <w:rPr>
          <w:szCs w:val="21"/>
        </w:rPr>
        <w:t>工作，与</w:t>
      </w:r>
      <w:r>
        <w:rPr>
          <w:rFonts w:hint="eastAsia"/>
          <w:szCs w:val="21"/>
          <w:lang w:eastAsia="zh-CN"/>
        </w:rPr>
        <w:t>招标代理机构</w:t>
      </w:r>
      <w:r>
        <w:rPr>
          <w:szCs w:val="21"/>
        </w:rPr>
        <w:t>沟通并作书面记录。</w:t>
      </w:r>
      <w:r>
        <w:rPr>
          <w:rFonts w:hint="eastAsia"/>
          <w:szCs w:val="21"/>
        </w:rPr>
        <w:t>经</w:t>
      </w:r>
      <w:r>
        <w:rPr>
          <w:szCs w:val="21"/>
        </w:rPr>
        <w:t>确认后，</w:t>
      </w:r>
      <w:r>
        <w:rPr>
          <w:rFonts w:hint="eastAsia"/>
          <w:szCs w:val="21"/>
        </w:rPr>
        <w:t>项目</w:t>
      </w:r>
      <w:r>
        <w:rPr>
          <w:szCs w:val="21"/>
        </w:rPr>
        <w:t>应当修改招标文件，重新组织采购活动。</w:t>
      </w:r>
    </w:p>
    <w:p w14:paraId="54A8D552">
      <w:pPr>
        <w:ind w:firstLine="411" w:firstLineChars="196"/>
        <w:rPr>
          <w:rFonts w:ascii="宋体" w:hAnsi="宋体"/>
          <w:color w:val="FF0000"/>
          <w:highlight w:val="yellow"/>
        </w:rPr>
      </w:pPr>
      <w:r>
        <w:rPr>
          <w:rFonts w:ascii="宋体" w:hAnsi="宋体"/>
          <w:color w:val="FF0000"/>
          <w:highlight w:val="yellow"/>
        </w:rPr>
        <w:t>33.3</w:t>
      </w:r>
      <w:r>
        <w:rPr>
          <w:rFonts w:hint="eastAsia" w:ascii="宋体" w:hAnsi="宋体"/>
          <w:color w:val="FF0000"/>
          <w:highlight w:val="yellow"/>
        </w:rPr>
        <w:t>对于投标文件中含义不明确、同类问题表述不一致或者有明显文字和计算错误的内容，评审委员会应当以书面形式要求投标人作出必要的澄清、说明或者补正。</w:t>
      </w:r>
    </w:p>
    <w:p w14:paraId="688744FB">
      <w:pPr>
        <w:ind w:firstLine="411" w:firstLineChars="196"/>
        <w:rPr>
          <w:rFonts w:ascii="宋体" w:hAnsi="宋体"/>
        </w:rPr>
      </w:pPr>
      <w:r>
        <w:rPr>
          <w:rFonts w:hint="eastAsia" w:ascii="宋体" w:hAnsi="宋体"/>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14:paraId="76CCBE70">
      <w:pPr>
        <w:ind w:firstLine="411" w:firstLineChars="196"/>
        <w:rPr>
          <w:rFonts w:ascii="宋体" w:hAnsi="宋体"/>
          <w:szCs w:val="21"/>
        </w:rPr>
      </w:pPr>
      <w:r>
        <w:rPr>
          <w:rFonts w:hint="eastAsia" w:ascii="宋体" w:hAnsi="宋体"/>
          <w:szCs w:val="21"/>
        </w:rPr>
        <w:t>根据本通用条款第34条，凡属于评审委员会在评审中发现的算术错误进行核实的修改不在此列。</w:t>
      </w:r>
    </w:p>
    <w:p w14:paraId="23EBE4D4">
      <w:pPr>
        <w:rPr>
          <w:rFonts w:ascii="黑体" w:hAnsi="宋体" w:eastAsia="黑体"/>
          <w:sz w:val="24"/>
        </w:rPr>
      </w:pPr>
      <w:bookmarkStart w:id="125" w:name="_Toc100052400"/>
      <w:bookmarkStart w:id="126" w:name="_Toc73521669"/>
      <w:bookmarkStart w:id="127" w:name="_Toc73518151"/>
      <w:bookmarkStart w:id="128" w:name="_Toc73517673"/>
      <w:bookmarkStart w:id="129" w:name="_Toc73521581"/>
      <w:r>
        <w:rPr>
          <w:rFonts w:hint="eastAsia" w:ascii="黑体" w:hAnsi="宋体" w:eastAsia="黑体"/>
          <w:sz w:val="24"/>
        </w:rPr>
        <w:t>34．错误的修正</w:t>
      </w:r>
      <w:bookmarkEnd w:id="125"/>
      <w:bookmarkEnd w:id="126"/>
      <w:bookmarkEnd w:id="127"/>
      <w:bookmarkEnd w:id="128"/>
      <w:bookmarkEnd w:id="129"/>
    </w:p>
    <w:p w14:paraId="4618B9CD">
      <w:pPr>
        <w:ind w:firstLine="411" w:firstLineChars="196"/>
        <w:rPr>
          <w:rFonts w:ascii="宋体" w:hAnsi="宋体"/>
          <w:szCs w:val="21"/>
        </w:rPr>
      </w:pPr>
      <w:r>
        <w:rPr>
          <w:rFonts w:hint="eastAsia" w:ascii="宋体" w:hAnsi="宋体"/>
          <w:szCs w:val="21"/>
        </w:rPr>
        <w:t>投标文件报价出现前后不一致的，除专用条款另有规定外，按照下列规定修正：</w:t>
      </w:r>
    </w:p>
    <w:p w14:paraId="794DD276">
      <w:pPr>
        <w:ind w:firstLine="411" w:firstLineChars="196"/>
        <w:rPr>
          <w:rFonts w:ascii="宋体" w:hAnsi="宋体"/>
          <w:szCs w:val="21"/>
        </w:rPr>
      </w:pPr>
      <w:r>
        <w:rPr>
          <w:rFonts w:hint="eastAsia" w:ascii="宋体" w:hAnsi="宋体"/>
          <w:szCs w:val="21"/>
        </w:rPr>
        <w:t>34.1投标文件中开标一览表投标报价内容与投标文件中投标报价相应内容不一致的，以开标一览表为准；</w:t>
      </w:r>
    </w:p>
    <w:p w14:paraId="1FE7EDE4">
      <w:pPr>
        <w:ind w:firstLine="411" w:firstLineChars="196"/>
        <w:rPr>
          <w:rFonts w:ascii="宋体" w:hAnsi="宋体"/>
          <w:szCs w:val="21"/>
        </w:rPr>
      </w:pPr>
      <w:r>
        <w:rPr>
          <w:rFonts w:hint="eastAsia" w:ascii="宋体" w:hAnsi="宋体"/>
          <w:szCs w:val="21"/>
        </w:rPr>
        <w:t>34.2大写金额和小写金额不一致的，以大写金额为准；</w:t>
      </w:r>
    </w:p>
    <w:p w14:paraId="02103662">
      <w:pPr>
        <w:ind w:firstLine="411" w:firstLineChars="196"/>
        <w:rPr>
          <w:rFonts w:ascii="宋体" w:hAnsi="宋体"/>
          <w:szCs w:val="21"/>
        </w:rPr>
      </w:pPr>
      <w:r>
        <w:rPr>
          <w:rFonts w:hint="eastAsia" w:ascii="宋体" w:hAnsi="宋体"/>
          <w:szCs w:val="21"/>
        </w:rPr>
        <w:t>34.3单价金额小数点或者百分比有明显错位，以开标一览表的总价为准，并修改单价；</w:t>
      </w:r>
    </w:p>
    <w:p w14:paraId="153685A7">
      <w:pPr>
        <w:ind w:firstLine="411" w:firstLineChars="196"/>
        <w:rPr>
          <w:rFonts w:ascii="宋体" w:hAnsi="宋体"/>
          <w:szCs w:val="21"/>
        </w:rPr>
      </w:pPr>
      <w:r>
        <w:rPr>
          <w:rFonts w:hint="eastAsia" w:ascii="宋体" w:hAnsi="宋体"/>
          <w:szCs w:val="21"/>
        </w:rPr>
        <w:t>34.4总价金额与按单价汇总金额不一致的，以单价金额计算结果为准。</w:t>
      </w:r>
    </w:p>
    <w:p w14:paraId="55361D03">
      <w:pPr>
        <w:ind w:firstLine="411" w:firstLineChars="196"/>
        <w:rPr>
          <w:rFonts w:ascii="宋体" w:hAnsi="宋体"/>
          <w:szCs w:val="21"/>
        </w:rPr>
      </w:pPr>
      <w:r>
        <w:rPr>
          <w:rFonts w:hint="eastAsia" w:ascii="宋体" w:hAnsi="宋体"/>
          <w:szCs w:val="21"/>
        </w:rPr>
        <w:t>34.5同时出现两种以上不一致的，按照前款规定的顺序修正。修正后的报价按照本通用条款33条的规定，经投标人确认后产生约束力，投标人不确认的，其投标无效。</w:t>
      </w:r>
    </w:p>
    <w:p w14:paraId="57F3022B">
      <w:pPr>
        <w:rPr>
          <w:rFonts w:ascii="黑体" w:hAnsi="宋体" w:eastAsia="黑体"/>
          <w:sz w:val="24"/>
        </w:rPr>
      </w:pPr>
      <w:r>
        <w:rPr>
          <w:rFonts w:hint="eastAsia" w:ascii="黑体" w:hAnsi="宋体" w:eastAsia="黑体"/>
          <w:sz w:val="24"/>
        </w:rPr>
        <w:t>35．投标文件的比较与评价</w:t>
      </w:r>
    </w:p>
    <w:p w14:paraId="490BF315">
      <w:pPr>
        <w:ind w:firstLine="411" w:firstLineChars="196"/>
        <w:rPr>
          <w:rFonts w:ascii="宋体" w:hAnsi="宋体"/>
          <w:szCs w:val="21"/>
        </w:rPr>
      </w:pPr>
      <w:r>
        <w:rPr>
          <w:rFonts w:hint="eastAsia" w:ascii="宋体" w:hAnsi="宋体"/>
          <w:szCs w:val="21"/>
        </w:rPr>
        <w:t>评审委员会将按照《中华人民共和国政府采购法》和《中华人民共和国政府采购法实施条例》及政府采购其他法律法规，仅对通过资格性审查和符合性审查的投标文件进行综合比较与评价。</w:t>
      </w:r>
    </w:p>
    <w:p w14:paraId="1A780665">
      <w:pPr>
        <w:ind w:firstLine="413" w:firstLineChars="196"/>
        <w:rPr>
          <w:rFonts w:ascii="宋体" w:hAnsi="宋体"/>
          <w:b/>
          <w:bCs/>
          <w:szCs w:val="21"/>
        </w:rPr>
      </w:pPr>
      <w:r>
        <w:rPr>
          <w:rFonts w:hint="eastAsia" w:ascii="宋体" w:hAnsi="宋体"/>
          <w:b/>
          <w:bCs/>
          <w:szCs w:val="21"/>
        </w:rPr>
        <w:t>评审委员会成员对需要共同认定的事项存在争议的，应当按照少数服从多数的原则作出结论。持不同意见的评审委员会成员应当书面作出说明，否则视为无异议。</w:t>
      </w:r>
    </w:p>
    <w:p w14:paraId="56AAA2B2">
      <w:pPr>
        <w:rPr>
          <w:rFonts w:ascii="黑体" w:hAnsi="宋体" w:eastAsia="黑体"/>
          <w:sz w:val="24"/>
        </w:rPr>
      </w:pPr>
      <w:r>
        <w:rPr>
          <w:rFonts w:hint="eastAsia" w:ascii="黑体" w:hAnsi="宋体" w:eastAsia="黑体"/>
          <w:sz w:val="24"/>
        </w:rPr>
        <w:t>36. 实地考察</w:t>
      </w:r>
    </w:p>
    <w:p w14:paraId="11A723B2">
      <w:pPr>
        <w:ind w:firstLine="420" w:firstLineChars="200"/>
        <w:rPr>
          <w:rFonts w:ascii="黑体" w:hAnsi="宋体" w:eastAsia="黑体"/>
          <w:sz w:val="24"/>
        </w:rPr>
      </w:pPr>
      <w:r>
        <w:rPr>
          <w:rFonts w:hint="eastAsia" w:ascii="宋体" w:hAnsi="宋体"/>
          <w:szCs w:val="21"/>
        </w:rPr>
        <w:t>36.1在评审期间，评审委员会根据招标文件规定（详见“一、对通用条款的补充内容”），有权对本项目的投标人开展实地考察，投标人需时刻做好接收实地考察的准备。</w:t>
      </w:r>
      <w:r>
        <w:rPr>
          <w:rFonts w:hint="eastAsia" w:ascii="黑体" w:hAnsi="宋体" w:eastAsia="黑体"/>
          <w:sz w:val="24"/>
        </w:rPr>
        <w:t>37．评审方法</w:t>
      </w:r>
    </w:p>
    <w:p w14:paraId="47390052">
      <w:pPr>
        <w:ind w:firstLine="413" w:firstLineChars="196"/>
        <w:rPr>
          <w:rFonts w:ascii="宋体" w:hAnsi="宋体"/>
          <w:b/>
          <w:bCs/>
          <w:szCs w:val="21"/>
        </w:rPr>
      </w:pPr>
      <w:r>
        <w:rPr>
          <w:rFonts w:hint="eastAsia" w:ascii="宋体" w:hAnsi="宋体"/>
          <w:b/>
          <w:bCs/>
          <w:szCs w:val="21"/>
        </w:rPr>
        <w:t>37.1.1最低价法</w:t>
      </w:r>
    </w:p>
    <w:p w14:paraId="7F6A8495">
      <w:pPr>
        <w:ind w:firstLine="411" w:firstLineChars="196"/>
        <w:rPr>
          <w:rFonts w:hint="eastAsia" w:ascii="ˎ̥" w:hAnsi="ˎ̥"/>
        </w:rPr>
      </w:pPr>
      <w:bookmarkStart w:id="130" w:name="_Hlk72438142"/>
      <w:r>
        <w:rPr>
          <w:rFonts w:ascii="ˎ̥" w:hAnsi="ˎ̥"/>
        </w:rPr>
        <w:t>最低价法，</w:t>
      </w:r>
      <w:r>
        <w:rPr>
          <w:rFonts w:hint="eastAsia" w:ascii="ˎ̥" w:hAnsi="ˎ̥"/>
        </w:rPr>
        <w:t>是指投标文件满足招标文件全部实质性要求，且投标报价最低的投标人为中标候选人的评标方法。</w:t>
      </w:r>
    </w:p>
    <w:p w14:paraId="1AE29783">
      <w:pPr>
        <w:ind w:firstLine="411" w:firstLineChars="196"/>
        <w:rPr>
          <w:rFonts w:hint="eastAsia" w:ascii="ˎ̥" w:hAnsi="ˎ̥"/>
        </w:rPr>
      </w:pPr>
      <w:r>
        <w:rPr>
          <w:rFonts w:hint="eastAsia" w:ascii="ˎ̥" w:hAnsi="ˎ̥"/>
        </w:rPr>
        <w:t>采用最低价法的，评标结果按投标报价由低到高顺序排列。投标报价相同的并列。投标文件满足招标文件全部实质性要求且投标报价最低的投标人为排名第一的中标候选人。中标候选人并列的，由采购人或者采购人委托评标委员会按照招标文件规定的方式确定中标人；招标文件未规定的，采取随机抽取的方式确定。</w:t>
      </w:r>
    </w:p>
    <w:p w14:paraId="3072C272">
      <w:pPr>
        <w:ind w:firstLine="413" w:firstLineChars="196"/>
        <w:rPr>
          <w:rFonts w:ascii="宋体" w:hAnsi="宋体"/>
          <w:b/>
          <w:bCs/>
          <w:szCs w:val="21"/>
        </w:rPr>
      </w:pPr>
      <w:r>
        <w:rPr>
          <w:rFonts w:hint="eastAsia" w:ascii="宋体" w:hAnsi="宋体"/>
          <w:b/>
          <w:bCs/>
          <w:szCs w:val="21"/>
        </w:rPr>
        <w:t>37.1.2综合评分法</w:t>
      </w:r>
    </w:p>
    <w:p w14:paraId="1FD8F049">
      <w:pPr>
        <w:ind w:firstLine="411" w:firstLineChars="196"/>
        <w:rPr>
          <w:rFonts w:hint="eastAsia" w:ascii="ˎ̥" w:hAnsi="ˎ̥"/>
        </w:rPr>
      </w:pPr>
      <w:r>
        <w:rPr>
          <w:rFonts w:ascii="ˎ̥" w:hAnsi="ˎ̥"/>
        </w:rPr>
        <w:t>综合评分法，是指</w:t>
      </w:r>
      <w:r>
        <w:rPr>
          <w:rFonts w:hint="eastAsia" w:ascii="ˎ̥" w:hAnsi="ˎ̥"/>
        </w:rPr>
        <w:t>在</w:t>
      </w:r>
      <w:r>
        <w:rPr>
          <w:rFonts w:ascii="ˎ̥" w:hAnsi="ˎ̥"/>
        </w:rPr>
        <w:t>满足招标文件全部实质性要求</w:t>
      </w:r>
      <w:r>
        <w:rPr>
          <w:rFonts w:hint="eastAsia" w:ascii="ˎ̥" w:hAnsi="ˎ̥"/>
        </w:rPr>
        <w:t>的前提下</w:t>
      </w:r>
      <w:r>
        <w:rPr>
          <w:rFonts w:ascii="ˎ̥" w:hAnsi="ˎ̥"/>
        </w:rPr>
        <w:t>，</w:t>
      </w:r>
      <w:r>
        <w:rPr>
          <w:rFonts w:hint="eastAsia" w:ascii="ˎ̥" w:hAnsi="ˎ̥"/>
        </w:rPr>
        <w:t>按照招标文件中规定的各项因素进行综合评审，评审总得分排名前列的投标人，作为推荐的候选中标供应商</w:t>
      </w:r>
      <w:bookmarkEnd w:id="130"/>
      <w:r>
        <w:rPr>
          <w:rFonts w:hint="eastAsia" w:ascii="ˎ̥" w:hAnsi="ˎ̥"/>
        </w:rPr>
        <w:t>。</w:t>
      </w:r>
    </w:p>
    <w:p w14:paraId="02C69A57">
      <w:pPr>
        <w:ind w:firstLine="411" w:firstLineChars="196"/>
        <w:rPr>
          <w:rFonts w:hint="eastAsia" w:ascii="ˎ̥" w:hAnsi="ˎ̥"/>
        </w:rPr>
      </w:pPr>
      <w:r>
        <w:rPr>
          <w:rFonts w:hint="eastAsia" w:ascii="ˎ̥" w:hAnsi="ˎ̥"/>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中标候选人并列的，由采购人或者采购人委托评标委员会按照招标文件规定的方式确定中标人；招标文件未规定的，采取随机抽取的方式确定。</w:t>
      </w:r>
    </w:p>
    <w:p w14:paraId="582EB441">
      <w:pPr>
        <w:ind w:firstLine="413" w:firstLineChars="196"/>
        <w:rPr>
          <w:rFonts w:ascii="宋体" w:hAnsi="宋体"/>
          <w:b/>
          <w:bCs/>
          <w:szCs w:val="21"/>
        </w:rPr>
      </w:pPr>
      <w:r>
        <w:rPr>
          <w:rFonts w:hint="eastAsia" w:ascii="宋体" w:hAnsi="宋体"/>
          <w:b/>
          <w:bCs/>
          <w:szCs w:val="21"/>
        </w:rPr>
        <w:t>37.2本项目采用的评审方法见本项目招标文件第一册“专用条款”的相关内容。</w:t>
      </w:r>
    </w:p>
    <w:p w14:paraId="469D34F2">
      <w:pPr>
        <w:ind w:firstLine="413" w:firstLineChars="196"/>
        <w:rPr>
          <w:rFonts w:ascii="宋体" w:hAnsi="宋体"/>
          <w:b/>
          <w:bCs/>
          <w:szCs w:val="21"/>
        </w:rPr>
      </w:pPr>
      <w:r>
        <w:rPr>
          <w:rFonts w:hint="eastAsia" w:ascii="宋体" w:hAnsi="宋体"/>
          <w:b/>
          <w:bCs/>
          <w:szCs w:val="21"/>
        </w:rPr>
        <w:t>37.3重新评审的情形</w:t>
      </w:r>
    </w:p>
    <w:p w14:paraId="59CC40E0">
      <w:pPr>
        <w:ind w:firstLine="411" w:firstLineChars="196"/>
        <w:rPr>
          <w:rFonts w:ascii="宋体" w:hAnsi="宋体"/>
          <w:b/>
          <w:bCs/>
          <w:szCs w:val="21"/>
        </w:rPr>
      </w:pPr>
      <w:r>
        <w:rPr>
          <w:rFonts w:hint="eastAsia" w:ascii="宋体" w:hAnsi="宋体" w:cs="宋体"/>
          <w:kern w:val="0"/>
          <w:szCs w:val="21"/>
        </w:rPr>
        <w:t>评审结果汇总完成后，除下列情形外，任何人不得修改评审结果：</w:t>
      </w:r>
    </w:p>
    <w:p w14:paraId="3968B728">
      <w:pPr>
        <w:ind w:firstLine="411" w:firstLineChars="196"/>
        <w:rPr>
          <w:rFonts w:ascii="宋体" w:hAnsi="宋体" w:cs="宋体"/>
          <w:kern w:val="0"/>
          <w:szCs w:val="21"/>
        </w:rPr>
      </w:pPr>
      <w:r>
        <w:rPr>
          <w:rFonts w:hint="eastAsia" w:ascii="宋体" w:hAnsi="宋体" w:cs="宋体"/>
          <w:kern w:val="0"/>
          <w:szCs w:val="21"/>
        </w:rPr>
        <w:t>37.3.1分值汇总计算错误的；</w:t>
      </w:r>
    </w:p>
    <w:p w14:paraId="7E05333A">
      <w:pPr>
        <w:ind w:firstLine="411" w:firstLineChars="196"/>
        <w:rPr>
          <w:rFonts w:ascii="宋体" w:hAnsi="宋体" w:cs="宋体"/>
          <w:kern w:val="0"/>
          <w:szCs w:val="21"/>
        </w:rPr>
      </w:pPr>
      <w:r>
        <w:rPr>
          <w:rFonts w:hint="eastAsia" w:ascii="宋体" w:hAnsi="宋体" w:cs="宋体"/>
          <w:kern w:val="0"/>
          <w:szCs w:val="21"/>
        </w:rPr>
        <w:t>37.3.2分项评分超出评分标准范围的；</w:t>
      </w:r>
    </w:p>
    <w:p w14:paraId="6B3227FD">
      <w:pPr>
        <w:ind w:firstLine="411" w:firstLineChars="196"/>
        <w:rPr>
          <w:rFonts w:ascii="宋体" w:hAnsi="宋体" w:cs="宋体"/>
          <w:kern w:val="0"/>
          <w:szCs w:val="21"/>
        </w:rPr>
      </w:pPr>
      <w:r>
        <w:rPr>
          <w:rFonts w:hint="eastAsia" w:ascii="宋体" w:hAnsi="宋体" w:cs="宋体"/>
          <w:kern w:val="0"/>
          <w:szCs w:val="21"/>
        </w:rPr>
        <w:t>37.3.3评审委员会成员对客观评审因素评分不一致的；</w:t>
      </w:r>
    </w:p>
    <w:p w14:paraId="1813990C">
      <w:pPr>
        <w:ind w:firstLine="411" w:firstLineChars="196"/>
        <w:rPr>
          <w:rFonts w:ascii="宋体" w:hAnsi="宋体" w:cs="宋体"/>
          <w:kern w:val="0"/>
          <w:szCs w:val="21"/>
        </w:rPr>
      </w:pPr>
      <w:r>
        <w:rPr>
          <w:rFonts w:hint="eastAsia" w:ascii="宋体" w:hAnsi="宋体" w:cs="宋体"/>
          <w:kern w:val="0"/>
          <w:szCs w:val="21"/>
        </w:rPr>
        <w:t>37.3.4经评审委员会认定评分畸高、畸低的。</w:t>
      </w:r>
    </w:p>
    <w:p w14:paraId="56D98512">
      <w:pPr>
        <w:ind w:firstLine="411" w:firstLineChars="196"/>
        <w:rPr>
          <w:rFonts w:ascii="宋体" w:hAnsi="宋体" w:cs="宋体"/>
          <w:kern w:val="0"/>
          <w:szCs w:val="21"/>
        </w:rPr>
      </w:pPr>
      <w:r>
        <w:rPr>
          <w:rFonts w:hint="eastAsia" w:ascii="宋体" w:hAnsi="宋体" w:cs="宋体"/>
          <w:kern w:val="0"/>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14:paraId="79635B8B">
      <w:pPr>
        <w:ind w:firstLine="411" w:firstLineChars="196"/>
        <w:rPr>
          <w:rFonts w:ascii="宋体" w:hAnsi="宋体" w:cs="宋体"/>
          <w:kern w:val="0"/>
          <w:szCs w:val="21"/>
        </w:rPr>
      </w:pPr>
      <w:r>
        <w:rPr>
          <w:rFonts w:hint="eastAsia" w:ascii="宋体" w:hAnsi="宋体" w:cs="宋体"/>
          <w:kern w:val="0"/>
          <w:szCs w:val="21"/>
        </w:rPr>
        <w:t>投标人对本条第一款情形提出质疑的，采购人或者采购代理机构可以组织原评审委员会进行重新评审，重新评审改变评审结果的，应当书面报告本级财政部门。</w:t>
      </w:r>
    </w:p>
    <w:p w14:paraId="4005A8C7">
      <w:pPr>
        <w:ind w:firstLine="413" w:firstLineChars="196"/>
        <w:rPr>
          <w:rFonts w:ascii="宋体" w:hAnsi="宋体"/>
          <w:b/>
          <w:bCs/>
          <w:szCs w:val="21"/>
        </w:rPr>
      </w:pPr>
      <w:r>
        <w:rPr>
          <w:rFonts w:hint="eastAsia" w:ascii="宋体" w:hAnsi="宋体"/>
          <w:b/>
          <w:bCs/>
          <w:szCs w:val="21"/>
        </w:rPr>
        <w:t>37.4重新组建评审委员会的情形</w:t>
      </w:r>
    </w:p>
    <w:p w14:paraId="57DD25B1">
      <w:pPr>
        <w:ind w:firstLine="411" w:firstLineChars="196"/>
        <w:rPr>
          <w:rFonts w:ascii="宋体" w:hAnsi="宋体" w:cs="宋体"/>
          <w:kern w:val="0"/>
          <w:szCs w:val="21"/>
        </w:rPr>
      </w:pPr>
      <w:r>
        <w:rPr>
          <w:rFonts w:hint="eastAsia" w:ascii="宋体" w:hAnsi="宋体" w:cs="宋体"/>
          <w:kern w:val="0"/>
          <w:szCs w:val="21"/>
        </w:rPr>
        <w:t>评审委员会或者其成员存在下列情形导致评审结果无效的，重新组建评审委员会进行评标，并书面报告本级财政部门：</w:t>
      </w:r>
    </w:p>
    <w:p w14:paraId="0D2255E8">
      <w:pPr>
        <w:ind w:firstLine="411" w:firstLineChars="196"/>
        <w:rPr>
          <w:rFonts w:ascii="宋体" w:hAnsi="宋体" w:cs="宋体"/>
          <w:kern w:val="0"/>
          <w:szCs w:val="21"/>
        </w:rPr>
      </w:pPr>
      <w:r>
        <w:rPr>
          <w:rFonts w:hint="eastAsia" w:ascii="宋体" w:hAnsi="宋体" w:cs="宋体"/>
          <w:kern w:val="0"/>
          <w:szCs w:val="21"/>
        </w:rPr>
        <w:t>37.4.1评审委员会组成不符合《政府采购货物和服务招标投标管理办法》规定的；</w:t>
      </w:r>
    </w:p>
    <w:p w14:paraId="4F1B43EB">
      <w:pPr>
        <w:ind w:firstLine="411" w:firstLineChars="196"/>
        <w:rPr>
          <w:rFonts w:ascii="宋体" w:hAnsi="宋体" w:cs="宋体"/>
          <w:kern w:val="0"/>
          <w:szCs w:val="21"/>
        </w:rPr>
      </w:pPr>
      <w:r>
        <w:rPr>
          <w:rFonts w:hint="eastAsia" w:ascii="宋体" w:hAnsi="宋体" w:cs="宋体"/>
          <w:kern w:val="0"/>
          <w:szCs w:val="21"/>
        </w:rPr>
        <w:t>37.4.2有《政府采购货物和服务招标投标管理办法》第六十二条第一至五项情形的；</w:t>
      </w:r>
    </w:p>
    <w:p w14:paraId="50AC6E58">
      <w:pPr>
        <w:ind w:firstLine="411" w:firstLineChars="196"/>
        <w:rPr>
          <w:rFonts w:ascii="宋体" w:hAnsi="宋体" w:cs="宋体"/>
          <w:kern w:val="0"/>
          <w:szCs w:val="21"/>
        </w:rPr>
      </w:pPr>
      <w:r>
        <w:rPr>
          <w:rFonts w:hint="eastAsia" w:ascii="宋体" w:hAnsi="宋体" w:cs="宋体"/>
          <w:kern w:val="0"/>
          <w:szCs w:val="21"/>
        </w:rPr>
        <w:t>37.4.3评审委员会及其成员独立评标受到非法干预的；</w:t>
      </w:r>
    </w:p>
    <w:p w14:paraId="4ADFBBA9">
      <w:pPr>
        <w:ind w:firstLine="411" w:firstLineChars="196"/>
        <w:rPr>
          <w:rFonts w:ascii="宋体" w:hAnsi="宋体" w:cs="宋体"/>
          <w:kern w:val="0"/>
          <w:szCs w:val="21"/>
        </w:rPr>
      </w:pPr>
      <w:r>
        <w:rPr>
          <w:rFonts w:hint="eastAsia" w:ascii="宋体" w:hAnsi="宋体" w:cs="宋体"/>
          <w:kern w:val="0"/>
          <w:szCs w:val="21"/>
        </w:rPr>
        <w:t>37.4.4有政府采购法实施条例第七十五条规定的违法行为的。</w:t>
      </w:r>
    </w:p>
    <w:p w14:paraId="05EEF60A">
      <w:pPr>
        <w:ind w:firstLine="411" w:firstLineChars="196"/>
        <w:rPr>
          <w:rFonts w:ascii="宋体" w:hAnsi="宋体" w:cs="宋体"/>
          <w:kern w:val="0"/>
          <w:szCs w:val="21"/>
        </w:rPr>
      </w:pPr>
      <w:r>
        <w:rPr>
          <w:rFonts w:hint="eastAsia" w:ascii="宋体" w:hAnsi="宋体" w:cs="宋体"/>
          <w:kern w:val="0"/>
          <w:szCs w:val="21"/>
        </w:rPr>
        <w:t>有违法违规行为的原评审委员会成员不得参加重新组建的评审委员会。</w:t>
      </w:r>
    </w:p>
    <w:p w14:paraId="6C8378A6">
      <w:pPr>
        <w:ind w:firstLine="411" w:firstLineChars="196"/>
        <w:rPr>
          <w:rFonts w:ascii="宋体" w:hAnsi="宋体"/>
          <w:szCs w:val="21"/>
        </w:rPr>
      </w:pPr>
    </w:p>
    <w:p w14:paraId="6A227E46">
      <w:pPr>
        <w:pStyle w:val="5"/>
        <w:numPr>
          <w:ilvl w:val="0"/>
          <w:numId w:val="24"/>
        </w:numPr>
        <w:spacing w:before="120" w:beforeLines="50" w:after="120" w:afterLines="50"/>
        <w:ind w:left="562" w:hanging="562"/>
        <w:rPr>
          <w:sz w:val="28"/>
          <w:szCs w:val="28"/>
        </w:rPr>
      </w:pPr>
      <w:r>
        <w:rPr>
          <w:rFonts w:hint="eastAsia"/>
          <w:sz w:val="28"/>
          <w:szCs w:val="28"/>
        </w:rPr>
        <w:t xml:space="preserve"> 定标及公示</w:t>
      </w:r>
    </w:p>
    <w:p w14:paraId="2B868C77">
      <w:pPr>
        <w:rPr>
          <w:rFonts w:ascii="黑体" w:hAnsi="宋体" w:eastAsia="黑体"/>
          <w:sz w:val="24"/>
        </w:rPr>
      </w:pPr>
      <w:r>
        <w:rPr>
          <w:rFonts w:hint="eastAsia" w:ascii="黑体" w:hAnsi="宋体" w:eastAsia="黑体"/>
          <w:sz w:val="24"/>
        </w:rPr>
        <w:t>38．定标方法</w:t>
      </w:r>
    </w:p>
    <w:p w14:paraId="488D8BEA">
      <w:pPr>
        <w:ind w:firstLine="413" w:firstLineChars="196"/>
        <w:rPr>
          <w:rFonts w:ascii="宋体" w:hAnsi="宋体"/>
          <w:b/>
          <w:bCs/>
          <w:szCs w:val="21"/>
        </w:rPr>
      </w:pPr>
      <w:bookmarkStart w:id="131" w:name="_Hlk73782795"/>
      <w:r>
        <w:rPr>
          <w:rFonts w:hint="eastAsia" w:ascii="宋体" w:hAnsi="宋体"/>
          <w:b/>
          <w:bCs/>
          <w:szCs w:val="21"/>
        </w:rPr>
        <w:t>38.1非评定分离项目定标方法</w:t>
      </w:r>
    </w:p>
    <w:p w14:paraId="215AE0A6">
      <w:pPr>
        <w:ind w:firstLine="411" w:firstLineChars="196"/>
        <w:rPr>
          <w:rFonts w:ascii="宋体" w:hAnsi="宋体"/>
          <w:szCs w:val="21"/>
        </w:rPr>
      </w:pPr>
      <w:r>
        <w:rPr>
          <w:rFonts w:hint="eastAsia" w:ascii="宋体" w:hAnsi="宋体"/>
          <w:szCs w:val="21"/>
        </w:rPr>
        <w:t>38</w:t>
      </w:r>
      <w:r>
        <w:rPr>
          <w:rFonts w:ascii="宋体" w:hAnsi="宋体"/>
          <w:szCs w:val="21"/>
        </w:rPr>
        <w:t>.</w:t>
      </w:r>
      <w:r>
        <w:rPr>
          <w:rFonts w:hint="eastAsia" w:ascii="宋体" w:hAnsi="宋体"/>
          <w:szCs w:val="21"/>
        </w:rPr>
        <w:t>1.1评审委员会依据本项目招标文件所约定的评审方法进行评审和比较，向</w:t>
      </w:r>
      <w:r>
        <w:rPr>
          <w:rFonts w:hint="eastAsia" w:ascii="宋体" w:hAnsi="宋体"/>
          <w:szCs w:val="21"/>
          <w:lang w:eastAsia="zh-CN"/>
        </w:rPr>
        <w:t>招标代理机构</w:t>
      </w:r>
      <w:r>
        <w:rPr>
          <w:rFonts w:hint="eastAsia" w:ascii="宋体" w:hAnsi="宋体"/>
          <w:szCs w:val="21"/>
        </w:rPr>
        <w:t>提交书面评审报告，并根据评审方法比较评价结果从优到劣进行排序，确定候选中标供应商。</w:t>
      </w:r>
    </w:p>
    <w:p w14:paraId="4DCE54DB">
      <w:pPr>
        <w:ind w:firstLine="411" w:firstLineChars="196"/>
        <w:rPr>
          <w:rFonts w:hint="eastAsia" w:ascii="ˎ̥" w:hAnsi="ˎ̥"/>
        </w:rPr>
      </w:pPr>
      <w:r>
        <w:rPr>
          <w:rFonts w:hint="eastAsia" w:ascii="宋体" w:hAnsi="宋体"/>
          <w:szCs w:val="21"/>
        </w:rPr>
        <w:t>38</w:t>
      </w:r>
      <w:r>
        <w:rPr>
          <w:rFonts w:ascii="宋体" w:hAnsi="宋体"/>
          <w:szCs w:val="21"/>
        </w:rPr>
        <w:t>.</w:t>
      </w:r>
      <w:r>
        <w:rPr>
          <w:rFonts w:hint="eastAsia" w:ascii="宋体" w:hAnsi="宋体"/>
          <w:szCs w:val="21"/>
        </w:rPr>
        <w:t>1.2</w:t>
      </w:r>
      <w:r>
        <w:rPr>
          <w:rFonts w:ascii="ˎ̥" w:hAnsi="ˎ̥"/>
        </w:rPr>
        <w:t>采用最低价法的，评</w:t>
      </w:r>
      <w:r>
        <w:rPr>
          <w:rFonts w:hint="eastAsia" w:ascii="ˎ̥" w:hAnsi="ˎ̥"/>
        </w:rPr>
        <w:t>审</w:t>
      </w:r>
      <w:r>
        <w:rPr>
          <w:rFonts w:ascii="ˎ̥" w:hAnsi="ˎ̥"/>
        </w:rPr>
        <w:t>结果按投标报价由低到高顺序排列。投标报价相同的并列。投标文件满足招标文件全部实质性要求且投标报价最低的</w:t>
      </w:r>
      <w:r>
        <w:rPr>
          <w:rFonts w:hint="eastAsia" w:ascii="ˎ̥" w:hAnsi="ˎ̥"/>
        </w:rPr>
        <w:t>投标人为</w:t>
      </w:r>
      <w:bookmarkStart w:id="132" w:name="_Hlk73821177"/>
      <w:r>
        <w:rPr>
          <w:rFonts w:hint="eastAsia" w:ascii="ˎ̥" w:hAnsi="ˎ̥"/>
        </w:rPr>
        <w:t>中标供应商</w:t>
      </w:r>
      <w:r>
        <w:rPr>
          <w:rFonts w:ascii="ˎ̥" w:hAnsi="ˎ̥"/>
        </w:rPr>
        <w:t>（</w:t>
      </w:r>
      <w:r>
        <w:rPr>
          <w:rFonts w:hint="eastAsia" w:ascii="ˎ̥" w:hAnsi="ˎ̥"/>
        </w:rPr>
        <w:t>排名</w:t>
      </w:r>
      <w:r>
        <w:rPr>
          <w:rFonts w:ascii="ˎ̥" w:hAnsi="ˎ̥"/>
        </w:rPr>
        <w:t>第二</w:t>
      </w:r>
      <w:r>
        <w:rPr>
          <w:rFonts w:hint="eastAsia" w:ascii="ˎ̥" w:hAnsi="ˎ̥"/>
        </w:rPr>
        <w:t>的投标人为第一替补中标候选人、排名</w:t>
      </w:r>
      <w:r>
        <w:rPr>
          <w:rFonts w:ascii="ˎ̥" w:hAnsi="ˎ̥"/>
        </w:rPr>
        <w:t>第</w:t>
      </w:r>
      <w:r>
        <w:rPr>
          <w:rFonts w:hint="eastAsia" w:ascii="ˎ̥" w:hAnsi="ˎ̥"/>
        </w:rPr>
        <w:t>三的投标人为第二替补中标候选人</w:t>
      </w:r>
      <w:bookmarkEnd w:id="132"/>
      <w:r>
        <w:rPr>
          <w:rFonts w:ascii="ˎ̥" w:hAnsi="ˎ̥"/>
        </w:rPr>
        <w:t>）。</w:t>
      </w:r>
    </w:p>
    <w:p w14:paraId="53D024C1">
      <w:pPr>
        <w:ind w:firstLine="210" w:firstLineChars="100"/>
        <w:rPr>
          <w:rFonts w:hint="eastAsia" w:ascii="ˎ̥" w:hAnsi="ˎ̥"/>
        </w:rPr>
      </w:pPr>
      <w:r>
        <w:rPr>
          <w:rFonts w:hint="eastAsia" w:ascii="宋体" w:hAnsi="宋体"/>
          <w:szCs w:val="21"/>
        </w:rPr>
        <w:t>38</w:t>
      </w:r>
      <w:r>
        <w:rPr>
          <w:rFonts w:ascii="宋体" w:hAnsi="宋体"/>
          <w:szCs w:val="21"/>
        </w:rPr>
        <w:t>.</w:t>
      </w:r>
      <w:r>
        <w:rPr>
          <w:rFonts w:hint="eastAsia" w:ascii="宋体" w:hAnsi="宋体"/>
          <w:szCs w:val="21"/>
        </w:rPr>
        <w:t>1.3</w:t>
      </w:r>
      <w:r>
        <w:rPr>
          <w:rFonts w:ascii="宋体" w:hAnsi="宋体"/>
          <w:szCs w:val="21"/>
        </w:rPr>
        <w:t>采</w:t>
      </w:r>
      <w:r>
        <w:rPr>
          <w:rFonts w:ascii="ˎ̥" w:hAnsi="ˎ̥"/>
        </w:rPr>
        <w:t>用综合评分法的，评标结果按评审后得分由高到低顺序排列。得分相同的，按投标报价由低到高顺序排列。得分且投标报价相同的并列。</w:t>
      </w:r>
    </w:p>
    <w:p w14:paraId="232DE316">
      <w:pPr>
        <w:ind w:firstLine="320" w:firstLineChars="100"/>
        <w:rPr>
          <w:rFonts w:hint="eastAsia" w:ascii="ˎ̥" w:hAnsi="ˎ̥"/>
        </w:rPr>
      </w:pPr>
      <w:r>
        <w:rPr>
          <w:rFonts w:hint="eastAsia"/>
          <w:sz w:val="32"/>
          <w:szCs w:val="40"/>
        </w:rPr>
        <w:sym w:font="Wingdings" w:char="00FE"/>
      </w:r>
      <w:r>
        <w:rPr>
          <w:rFonts w:ascii="ˎ̥" w:hAnsi="ˎ̥"/>
        </w:rPr>
        <w:t>投标文件满足招标文件全部实质性要求，且按照评审因素的量化指标评审得分最高的投标人</w:t>
      </w:r>
      <w:r>
        <w:rPr>
          <w:rFonts w:hint="eastAsia" w:ascii="ˎ̥" w:hAnsi="ˎ̥"/>
        </w:rPr>
        <w:t>为中标供应商</w:t>
      </w:r>
      <w:r>
        <w:rPr>
          <w:rFonts w:ascii="ˎ̥" w:hAnsi="ˎ̥"/>
        </w:rPr>
        <w:t>（</w:t>
      </w:r>
      <w:r>
        <w:rPr>
          <w:rFonts w:hint="eastAsia" w:ascii="ˎ̥" w:hAnsi="ˎ̥"/>
        </w:rPr>
        <w:t>排名</w:t>
      </w:r>
      <w:r>
        <w:rPr>
          <w:rFonts w:ascii="ˎ̥" w:hAnsi="ˎ̥"/>
        </w:rPr>
        <w:t>第二</w:t>
      </w:r>
      <w:r>
        <w:rPr>
          <w:rFonts w:hint="eastAsia" w:ascii="ˎ̥" w:hAnsi="ˎ̥"/>
        </w:rPr>
        <w:t>的投标人为第一替补中标候选人、排名</w:t>
      </w:r>
      <w:r>
        <w:rPr>
          <w:rFonts w:ascii="ˎ̥" w:hAnsi="ˎ̥"/>
        </w:rPr>
        <w:t>第</w:t>
      </w:r>
      <w:r>
        <w:rPr>
          <w:rFonts w:hint="eastAsia" w:ascii="ˎ̥" w:hAnsi="ˎ̥"/>
        </w:rPr>
        <w:t>三的投标人为第二替补中标候选人</w:t>
      </w:r>
      <w:r>
        <w:rPr>
          <w:rFonts w:ascii="ˎ̥" w:hAnsi="ˎ̥"/>
        </w:rPr>
        <w:t>）。</w:t>
      </w:r>
      <w:r>
        <w:rPr>
          <w:rFonts w:hint="eastAsia" w:ascii="ˎ̥" w:hAnsi="ˎ̥"/>
        </w:rPr>
        <w:t>出现</w:t>
      </w:r>
      <w:r>
        <w:rPr>
          <w:rFonts w:ascii="ˎ̥" w:hAnsi="ˎ̥"/>
        </w:rPr>
        <w:t>得分且投标报价相同的并列</w:t>
      </w:r>
      <w:r>
        <w:rPr>
          <w:rFonts w:hint="eastAsia" w:ascii="ˎ̥" w:hAnsi="ˎ̥"/>
        </w:rPr>
        <w:t>情况时，采取随机抽取的方式确定，具体操作办法及流程由评审委员会确定。</w:t>
      </w:r>
      <w:r>
        <w:rPr>
          <w:rFonts w:hint="eastAsia"/>
          <w:b/>
          <w:bCs/>
        </w:rPr>
        <w:t>如排名第一的中标候选人被认定投标或中标无效，符合法定情形时，依法顺次替补；合格供应商不符合法定数量时，应当重新开展采购活动。</w:t>
      </w:r>
    </w:p>
    <w:p w14:paraId="02E89FF9">
      <w:pPr>
        <w:ind w:firstLine="320" w:firstLineChars="100"/>
        <w:rPr>
          <w:rFonts w:hint="eastAsia" w:ascii="ˎ̥" w:hAnsi="ˎ̥"/>
        </w:rPr>
      </w:pPr>
      <w:r>
        <w:rPr>
          <w:rFonts w:hint="eastAsia"/>
          <w:sz w:val="32"/>
          <w:szCs w:val="40"/>
        </w:rPr>
        <w:sym w:font="Wingdings" w:char="00A8"/>
      </w:r>
      <w:r>
        <w:rPr>
          <w:rFonts w:hint="eastAsia"/>
        </w:rPr>
        <w:t>投标文件满足招标文件全部实质性要求，且按照评审因素的量化指标评审得分最高的投标人为唯一中标候选人。中标候选人并列的，采取随机抽取的方式确定，具体操作办法及流程由评标委员会确定。</w:t>
      </w:r>
      <w:r>
        <w:rPr>
          <w:rFonts w:hint="eastAsia"/>
          <w:b/>
          <w:bCs/>
        </w:rPr>
        <w:t>如唯一候选中标供应商被认定投标或中标无效，采购人应当重新开展采购活动。</w:t>
      </w:r>
    </w:p>
    <w:p w14:paraId="62787B29">
      <w:pPr>
        <w:ind w:firstLine="413" w:firstLineChars="196"/>
        <w:rPr>
          <w:rFonts w:ascii="宋体" w:hAnsi="宋体"/>
          <w:b/>
          <w:bCs/>
          <w:szCs w:val="21"/>
        </w:rPr>
      </w:pPr>
      <w:r>
        <w:rPr>
          <w:rFonts w:hint="eastAsia" w:ascii="宋体" w:hAnsi="宋体"/>
          <w:b/>
          <w:bCs/>
          <w:szCs w:val="21"/>
        </w:rPr>
        <w:t>38.2评定分离项目定标方法</w:t>
      </w:r>
    </w:p>
    <w:p w14:paraId="3DEA6CA1">
      <w:pPr>
        <w:ind w:firstLine="411" w:firstLineChars="196"/>
        <w:rPr>
          <w:rFonts w:ascii="宋体" w:hAnsi="宋体"/>
          <w:szCs w:val="21"/>
        </w:rPr>
      </w:pPr>
      <w:r>
        <w:rPr>
          <w:rFonts w:hint="eastAsia" w:ascii="宋体" w:hAnsi="宋体"/>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14:paraId="3C08EA7E">
      <w:pPr>
        <w:ind w:firstLine="411" w:firstLineChars="196"/>
      </w:pPr>
      <w:r>
        <w:rPr>
          <w:rFonts w:ascii="宋体" w:hAnsi="宋体"/>
          <w:szCs w:val="21"/>
        </w:rPr>
        <w:t xml:space="preserve">38.2.2 </w:t>
      </w:r>
      <w:bookmarkStart w:id="133" w:name="_Hlk71469733"/>
      <w:r>
        <w:t>适用评定分离的政府采购项目，采用综合评分法评</w:t>
      </w:r>
      <w:r>
        <w:rPr>
          <w:rFonts w:hint="eastAsia"/>
        </w:rPr>
        <w:t>审。</w:t>
      </w:r>
      <w:r>
        <w:rPr>
          <w:rFonts w:hint="eastAsia" w:ascii="宋体" w:hAnsi="宋体"/>
          <w:szCs w:val="21"/>
        </w:rPr>
        <w:t>评审委员会按照评审结果，推荐</w:t>
      </w:r>
      <w:r>
        <w:t>三个合格的候选中标供应商。</w:t>
      </w:r>
    </w:p>
    <w:p w14:paraId="6B5DA250">
      <w:pPr>
        <w:ind w:firstLine="411" w:firstLineChars="196"/>
        <w:rPr>
          <w:rFonts w:ascii="宋体" w:hAnsi="宋体"/>
          <w:szCs w:val="21"/>
        </w:rPr>
      </w:pPr>
      <w:r>
        <w:rPr>
          <w:rFonts w:hint="eastAsia" w:ascii="宋体" w:hAnsi="宋体"/>
          <w:szCs w:val="21"/>
        </w:rPr>
        <w:t>38.2.3</w:t>
      </w:r>
      <w:bookmarkStart w:id="134" w:name="_Hlk71469688"/>
      <w:r>
        <w:t>适用评定分离的政府采购项目，</w:t>
      </w:r>
      <w:r>
        <w:rPr>
          <w:rFonts w:hint="eastAsia" w:ascii="宋体" w:hAnsi="宋体"/>
          <w:szCs w:val="21"/>
        </w:rPr>
        <w:t>按照自定法确定中标供应商：自定法是指采购人组织定标委员会，由定标委员会在三家候选中标供应商中确定中标供应商。</w:t>
      </w:r>
      <w:bookmarkEnd w:id="133"/>
      <w:bookmarkEnd w:id="134"/>
    </w:p>
    <w:p w14:paraId="1DE10F20">
      <w:pPr>
        <w:ind w:firstLine="411" w:firstLineChars="196"/>
        <w:rPr>
          <w:rFonts w:ascii="宋体" w:hAnsi="宋体"/>
          <w:szCs w:val="21"/>
        </w:rPr>
      </w:pPr>
      <w:r>
        <w:rPr>
          <w:rFonts w:ascii="宋体" w:hAnsi="宋体"/>
          <w:szCs w:val="21"/>
        </w:rPr>
        <w:t>38.2.4</w:t>
      </w:r>
      <w:r>
        <w:rPr>
          <w:rFonts w:hint="eastAsia" w:ascii="宋体" w:hAnsi="宋体"/>
          <w:szCs w:val="21"/>
          <w:lang w:eastAsia="zh-CN"/>
        </w:rPr>
        <w:t>招标代理机构</w:t>
      </w:r>
      <w:r>
        <w:t>应当自评审结束之日起两个工作日内将候选中标供应商名单及其投标文件、评审报告送交采购人</w:t>
      </w:r>
      <w:r>
        <w:rPr>
          <w:rFonts w:hint="eastAsia" w:ascii="宋体" w:hAnsi="宋体"/>
          <w:szCs w:val="21"/>
        </w:rPr>
        <w:t>。</w:t>
      </w:r>
      <w:r>
        <w:t>采购人应当安排专人对定标过程进行书面记录，形成定标报告，作为采购文件的组成部分存档，并及时将定标结果反馈</w:t>
      </w:r>
      <w:r>
        <w:rPr>
          <w:rFonts w:hint="eastAsia"/>
          <w:lang w:eastAsia="zh-CN"/>
        </w:rPr>
        <w:t>招标代理机构</w:t>
      </w:r>
      <w:r>
        <w:rPr>
          <w:rFonts w:hint="eastAsia"/>
        </w:rPr>
        <w:t>。具体定标程序及相关要求以</w:t>
      </w:r>
      <w:r>
        <w:rPr>
          <w:rFonts w:hint="eastAsia"/>
          <w:highlight w:val="none"/>
          <w:lang w:val="en-US" w:eastAsia="zh-CN"/>
        </w:rPr>
        <w:t>参</w:t>
      </w:r>
      <w:r>
        <w:rPr>
          <w:rFonts w:hint="eastAsia"/>
          <w:highlight w:val="none"/>
        </w:rPr>
        <w:t>照《深圳市财政局关于&lt;深圳市政府采购评标定标分离管理办法&gt;续</w:t>
      </w:r>
      <w:r>
        <w:rPr>
          <w:rFonts w:hint="eastAsia"/>
        </w:rPr>
        <w:t>期的通知》（深财规〔2023〕1号）执行。</w:t>
      </w:r>
    </w:p>
    <w:p w14:paraId="6EBE817B">
      <w:pPr>
        <w:ind w:firstLine="411" w:firstLineChars="196"/>
        <w:rPr>
          <w:rFonts w:ascii="宋体" w:hAnsi="宋体"/>
          <w:szCs w:val="21"/>
        </w:rPr>
      </w:pPr>
      <w:r>
        <w:rPr>
          <w:rFonts w:hint="eastAsia" w:ascii="宋体" w:hAnsi="宋体"/>
          <w:szCs w:val="21"/>
        </w:rPr>
        <w:t>说明：采购人及投标供应商应按照上述方法提前做好相关准备。</w:t>
      </w:r>
    </w:p>
    <w:p w14:paraId="280D18F5">
      <w:pPr>
        <w:ind w:firstLine="411" w:firstLineChars="196"/>
        <w:rPr>
          <w:rFonts w:ascii="宋体" w:hAnsi="宋体"/>
          <w:szCs w:val="21"/>
        </w:rPr>
      </w:pPr>
      <w:r>
        <w:rPr>
          <w:rFonts w:hint="eastAsia" w:ascii="宋体" w:hAnsi="宋体"/>
          <w:szCs w:val="21"/>
        </w:rPr>
        <w:t>38.3专用条款另有规定的，按专用条款相关要求定标。</w:t>
      </w:r>
      <w:bookmarkEnd w:id="131"/>
    </w:p>
    <w:p w14:paraId="47EE461F">
      <w:pPr>
        <w:rPr>
          <w:rFonts w:ascii="黑体" w:hAnsi="宋体" w:eastAsia="黑体"/>
          <w:sz w:val="24"/>
        </w:rPr>
      </w:pPr>
      <w:r>
        <w:rPr>
          <w:rFonts w:hint="eastAsia" w:ascii="黑体" w:hAnsi="宋体" w:eastAsia="黑体"/>
          <w:sz w:val="24"/>
        </w:rPr>
        <w:t>39．编写评审报告</w:t>
      </w:r>
    </w:p>
    <w:p w14:paraId="472CBD91">
      <w:pPr>
        <w:ind w:firstLine="411" w:firstLineChars="196"/>
        <w:rPr>
          <w:rFonts w:ascii="宋体" w:hAnsi="宋体"/>
          <w:szCs w:val="21"/>
        </w:rPr>
      </w:pPr>
      <w:r>
        <w:rPr>
          <w:rFonts w:hint="eastAsia" w:ascii="宋体" w:hAnsi="宋体"/>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14:paraId="4C9D01B0">
      <w:pPr>
        <w:rPr>
          <w:rFonts w:ascii="黑体" w:hAnsi="宋体" w:eastAsia="黑体"/>
          <w:sz w:val="24"/>
        </w:rPr>
      </w:pPr>
      <w:r>
        <w:rPr>
          <w:rFonts w:hint="eastAsia" w:ascii="黑体" w:hAnsi="宋体" w:eastAsia="黑体"/>
          <w:sz w:val="24"/>
        </w:rPr>
        <w:t>40．中标公告</w:t>
      </w:r>
    </w:p>
    <w:p w14:paraId="505B8A9D">
      <w:pPr>
        <w:ind w:firstLine="411" w:firstLineChars="196"/>
        <w:rPr>
          <w:rFonts w:ascii="宋体" w:hAnsi="宋体"/>
          <w:szCs w:val="21"/>
        </w:rPr>
      </w:pPr>
      <w:r>
        <w:rPr>
          <w:rFonts w:hint="eastAsia" w:ascii="宋体" w:hAnsi="宋体"/>
          <w:szCs w:val="21"/>
        </w:rPr>
        <w:t>40.1</w:t>
      </w:r>
      <w:bookmarkStart w:id="135" w:name="_Hlk72438709"/>
      <w:r>
        <w:rPr>
          <w:rFonts w:hint="eastAsia" w:ascii="宋体" w:hAnsi="宋体"/>
          <w:szCs w:val="21"/>
        </w:rPr>
        <w:t>为体现“公开、公平、公正”的原则，评审结束后经采购人确认（确定）评审结果，</w:t>
      </w:r>
      <w:r>
        <w:rPr>
          <w:rFonts w:hint="eastAsia" w:ascii="宋体" w:hAnsi="宋体"/>
          <w:szCs w:val="21"/>
          <w:lang w:eastAsia="zh-CN"/>
        </w:rPr>
        <w:t>招标代理机构</w:t>
      </w:r>
      <w:r>
        <w:rPr>
          <w:rFonts w:hint="eastAsia" w:ascii="宋体" w:hAnsi="宋体"/>
          <w:szCs w:val="21"/>
        </w:rPr>
        <w:t>将在</w:t>
      </w:r>
      <w:r>
        <w:rPr>
          <w:rFonts w:hint="eastAsia"/>
          <w:sz w:val="22"/>
          <w:szCs w:val="18"/>
        </w:rPr>
        <w:t>深圳</w:t>
      </w:r>
      <w:r>
        <w:rPr>
          <w:rFonts w:hint="eastAsia"/>
          <w:sz w:val="22"/>
          <w:szCs w:val="18"/>
          <w:lang w:val="en-US" w:eastAsia="zh-CN"/>
        </w:rPr>
        <w:t>交易集团官网</w:t>
      </w:r>
      <w:r>
        <w:rPr>
          <w:rFonts w:hint="eastAsia"/>
          <w:sz w:val="22"/>
          <w:szCs w:val="18"/>
        </w:rPr>
        <w:t>（https://www.szexgrp.com/home/index.html）</w:t>
      </w:r>
      <w:r>
        <w:rPr>
          <w:rFonts w:hint="eastAsia"/>
          <w:sz w:val="22"/>
          <w:szCs w:val="18"/>
          <w:lang w:eastAsia="zh-CN"/>
        </w:rPr>
        <w:t>、</w:t>
      </w:r>
      <w:r>
        <w:rPr>
          <w:rFonts w:hint="eastAsia"/>
          <w:szCs w:val="24"/>
        </w:rPr>
        <w:t>中国政府采购网（http://www.ccgp.gov.cn/）</w:t>
      </w:r>
      <w:r>
        <w:rPr>
          <w:rFonts w:hint="eastAsia" w:ascii="宋体" w:hAnsi="宋体"/>
          <w:szCs w:val="21"/>
        </w:rPr>
        <w:t>上发布中标结果公告。</w:t>
      </w:r>
      <w:bookmarkEnd w:id="135"/>
      <w:bookmarkStart w:id="136" w:name="_Hlk72438751"/>
      <w:r>
        <w:rPr>
          <w:rFonts w:hint="eastAsia" w:ascii="宋体" w:hAnsi="宋体"/>
          <w:szCs w:val="21"/>
        </w:rPr>
        <w:t>供应商如对评审结果有异议，</w:t>
      </w:r>
      <w:r>
        <w:rPr>
          <w:rFonts w:ascii="宋体" w:hAnsi="宋体"/>
          <w:szCs w:val="21"/>
        </w:rPr>
        <w:t>可在发布公示日期起</w:t>
      </w:r>
      <w:r>
        <w:rPr>
          <w:rFonts w:hint="eastAsia" w:ascii="宋体" w:hAnsi="宋体"/>
          <w:szCs w:val="21"/>
        </w:rPr>
        <w:t>七</w:t>
      </w:r>
      <w:r>
        <w:rPr>
          <w:rFonts w:ascii="宋体" w:hAnsi="宋体"/>
          <w:szCs w:val="21"/>
        </w:rPr>
        <w:t>个工作日内向</w:t>
      </w:r>
      <w:r>
        <w:rPr>
          <w:rFonts w:hint="eastAsia" w:ascii="宋体" w:hAnsi="宋体"/>
          <w:szCs w:val="21"/>
          <w:lang w:eastAsia="zh-CN"/>
        </w:rPr>
        <w:t>招标代理机构</w:t>
      </w:r>
      <w:r>
        <w:rPr>
          <w:rFonts w:ascii="宋体" w:hAnsi="宋体"/>
          <w:szCs w:val="21"/>
        </w:rPr>
        <w:t>提出。</w:t>
      </w:r>
      <w:r>
        <w:rPr>
          <w:rFonts w:hint="eastAsia" w:ascii="宋体" w:hAnsi="宋体"/>
          <w:szCs w:val="21"/>
        </w:rPr>
        <w:t>若在公示期内未提出质疑，则视为认同该评审结果。</w:t>
      </w:r>
    </w:p>
    <w:bookmarkEnd w:id="136"/>
    <w:p w14:paraId="11BBF096">
      <w:pPr>
        <w:ind w:firstLine="411" w:firstLineChars="196"/>
        <w:rPr>
          <w:rFonts w:ascii="宋体" w:hAnsi="宋体"/>
          <w:szCs w:val="21"/>
        </w:rPr>
      </w:pPr>
      <w:r>
        <w:rPr>
          <w:rFonts w:hint="eastAsia" w:ascii="宋体" w:hAnsi="宋体"/>
          <w:szCs w:val="21"/>
        </w:rPr>
        <w:t>40.2质疑、投诉供应商应保证质疑、投诉内容的真实性和可靠性，并承担相应的法律责任。</w:t>
      </w:r>
    </w:p>
    <w:p w14:paraId="71821107">
      <w:pPr>
        <w:rPr>
          <w:rFonts w:ascii="黑体" w:hAnsi="宋体" w:eastAsia="黑体"/>
          <w:sz w:val="24"/>
        </w:rPr>
      </w:pPr>
      <w:r>
        <w:rPr>
          <w:rFonts w:hint="eastAsia" w:ascii="黑体" w:hAnsi="宋体" w:eastAsia="黑体"/>
          <w:sz w:val="24"/>
        </w:rPr>
        <w:t>41．中标通知书</w:t>
      </w:r>
    </w:p>
    <w:p w14:paraId="25ABFDDC">
      <w:pPr>
        <w:ind w:firstLine="411" w:firstLineChars="196"/>
        <w:rPr>
          <w:rFonts w:ascii="宋体" w:hAnsi="宋体"/>
          <w:szCs w:val="21"/>
        </w:rPr>
      </w:pPr>
      <w:r>
        <w:rPr>
          <w:rFonts w:hint="eastAsia" w:ascii="宋体" w:hAnsi="宋体"/>
          <w:szCs w:val="21"/>
        </w:rPr>
        <w:t>41</w:t>
      </w:r>
      <w:r>
        <w:rPr>
          <w:rFonts w:ascii="宋体" w:hAnsi="宋体"/>
          <w:szCs w:val="21"/>
        </w:rPr>
        <w:t>.</w:t>
      </w:r>
      <w:r>
        <w:rPr>
          <w:rFonts w:hint="eastAsia" w:ascii="宋体" w:hAnsi="宋体"/>
          <w:szCs w:val="21"/>
        </w:rPr>
        <w:t>1</w:t>
      </w:r>
      <w:bookmarkStart w:id="137" w:name="_Hlk72438863"/>
      <w:r>
        <w:rPr>
          <w:rFonts w:hint="eastAsia" w:ascii="宋体" w:hAnsi="宋体"/>
          <w:szCs w:val="21"/>
        </w:rPr>
        <w:t>中标公告公布以后,公示期内无有效质疑投诉,中标人在缴纳中标服务费后，可联系</w:t>
      </w:r>
      <w:r>
        <w:rPr>
          <w:rFonts w:hint="eastAsia" w:ascii="宋体" w:hAnsi="宋体"/>
          <w:szCs w:val="21"/>
          <w:lang w:val="en-US" w:eastAsia="zh-CN"/>
        </w:rPr>
        <w:t>招标代理机构</w:t>
      </w:r>
      <w:r>
        <w:rPr>
          <w:rFonts w:hint="eastAsia" w:ascii="宋体" w:hAnsi="宋体"/>
          <w:szCs w:val="21"/>
        </w:rPr>
        <w:t>领取《中标通知书》。</w:t>
      </w:r>
      <w:bookmarkEnd w:id="137"/>
    </w:p>
    <w:p w14:paraId="02B2ABB6">
      <w:pPr>
        <w:ind w:firstLine="411" w:firstLineChars="196"/>
        <w:rPr>
          <w:rFonts w:ascii="宋体" w:hAnsi="宋体"/>
          <w:szCs w:val="21"/>
        </w:rPr>
      </w:pPr>
      <w:r>
        <w:rPr>
          <w:rFonts w:hint="eastAsia" w:ascii="宋体" w:hAnsi="宋体"/>
          <w:szCs w:val="21"/>
        </w:rPr>
        <w:t>41</w:t>
      </w:r>
      <w:r>
        <w:rPr>
          <w:rFonts w:ascii="宋体" w:hAnsi="宋体"/>
          <w:szCs w:val="21"/>
        </w:rPr>
        <w:t>.2</w:t>
      </w:r>
      <w:r>
        <w:rPr>
          <w:rFonts w:hint="eastAsia" w:ascii="宋体" w:hAnsi="宋体"/>
          <w:szCs w:val="21"/>
        </w:rPr>
        <w:t>中标通知书是合同的重要组成部分。</w:t>
      </w:r>
    </w:p>
    <w:p w14:paraId="355010FF">
      <w:pPr>
        <w:ind w:firstLine="411" w:firstLineChars="196"/>
        <w:rPr>
          <w:rFonts w:ascii="宋体" w:hAnsi="宋体"/>
          <w:szCs w:val="21"/>
        </w:rPr>
      </w:pPr>
      <w:bookmarkStart w:id="138" w:name="_Hlk71407340"/>
      <w:r>
        <w:rPr>
          <w:rFonts w:hint="eastAsia" w:ascii="宋体" w:hAnsi="宋体"/>
          <w:szCs w:val="21"/>
        </w:rPr>
        <w:t>41.3因质疑投诉或其它原因导致项目结果变更或采购终止的，</w:t>
      </w:r>
      <w:r>
        <w:rPr>
          <w:rFonts w:hint="eastAsia" w:ascii="宋体" w:hAnsi="宋体"/>
          <w:szCs w:val="21"/>
          <w:lang w:eastAsia="zh-CN"/>
        </w:rPr>
        <w:t>招标代理机构</w:t>
      </w:r>
      <w:r>
        <w:rPr>
          <w:rFonts w:hint="eastAsia" w:ascii="宋体" w:hAnsi="宋体"/>
          <w:szCs w:val="21"/>
        </w:rPr>
        <w:t>有权吊销中标通知书。</w:t>
      </w:r>
    </w:p>
    <w:bookmarkEnd w:id="138"/>
    <w:p w14:paraId="2D8CC153">
      <w:pPr>
        <w:ind w:firstLine="411" w:firstLineChars="196"/>
        <w:rPr>
          <w:rFonts w:ascii="宋体" w:hAnsi="宋体"/>
          <w:szCs w:val="21"/>
        </w:rPr>
      </w:pPr>
    </w:p>
    <w:p w14:paraId="3A8F40AD">
      <w:pPr>
        <w:pStyle w:val="5"/>
        <w:numPr>
          <w:ilvl w:val="0"/>
          <w:numId w:val="24"/>
        </w:numPr>
        <w:spacing w:before="120" w:beforeLines="50" w:after="120" w:afterLines="50"/>
        <w:ind w:left="562" w:hanging="562"/>
        <w:rPr>
          <w:sz w:val="28"/>
          <w:szCs w:val="28"/>
        </w:rPr>
      </w:pPr>
      <w:r>
        <w:rPr>
          <w:rFonts w:hint="eastAsia"/>
          <w:sz w:val="28"/>
          <w:szCs w:val="28"/>
        </w:rPr>
        <w:t xml:space="preserve"> 公开招标失败的后续处理</w:t>
      </w:r>
    </w:p>
    <w:p w14:paraId="43B09063">
      <w:pPr>
        <w:rPr>
          <w:rFonts w:ascii="黑体" w:hAnsi="宋体" w:eastAsia="黑体"/>
          <w:sz w:val="24"/>
        </w:rPr>
      </w:pPr>
      <w:r>
        <w:rPr>
          <w:rFonts w:hint="eastAsia" w:ascii="黑体" w:hAnsi="宋体" w:eastAsia="黑体"/>
          <w:sz w:val="24"/>
        </w:rPr>
        <w:t>42．公开招标失败的处理</w:t>
      </w:r>
    </w:p>
    <w:p w14:paraId="532A0ACD">
      <w:pPr>
        <w:ind w:firstLine="411" w:firstLineChars="196"/>
        <w:rPr>
          <w:rFonts w:ascii="宋体" w:hAnsi="宋体"/>
        </w:rPr>
      </w:pPr>
      <w:r>
        <w:rPr>
          <w:rFonts w:hint="eastAsia" w:ascii="宋体" w:hAnsi="宋体"/>
          <w:szCs w:val="21"/>
        </w:rPr>
        <w:t>42.1本项目公开招标过程中若由于投标截止后</w:t>
      </w:r>
      <w:r>
        <w:rPr>
          <w:rFonts w:hint="eastAsia" w:ascii="宋体" w:hAnsi="宋体"/>
        </w:rPr>
        <w:t>实际递交</w:t>
      </w:r>
      <w:r>
        <w:rPr>
          <w:rFonts w:ascii="宋体" w:hAnsi="宋体"/>
        </w:rPr>
        <w:t>投标</w:t>
      </w:r>
      <w:r>
        <w:rPr>
          <w:rFonts w:hint="eastAsia" w:ascii="宋体" w:hAnsi="宋体"/>
        </w:rPr>
        <w:t>文件的供应商数量不足、经</w:t>
      </w:r>
      <w:r>
        <w:rPr>
          <w:rFonts w:hint="eastAsia" w:ascii="宋体" w:hAnsi="宋体"/>
          <w:szCs w:val="21"/>
        </w:rPr>
        <w:t>评审委员会</w:t>
      </w:r>
      <w:r>
        <w:rPr>
          <w:rFonts w:hint="eastAsia" w:ascii="宋体" w:hAnsi="宋体"/>
        </w:rPr>
        <w:t>评审对招标文件作实质响应的供应商不足等原因造成公开招标失败，可由</w:t>
      </w:r>
      <w:r>
        <w:rPr>
          <w:rFonts w:hint="eastAsia" w:ascii="宋体" w:hAnsi="宋体" w:cs="宋体"/>
          <w:lang w:eastAsia="zh-CN"/>
        </w:rPr>
        <w:t>招标代理机构</w:t>
      </w:r>
      <w:r>
        <w:rPr>
          <w:rFonts w:hint="eastAsia" w:ascii="宋体" w:hAnsi="宋体"/>
        </w:rPr>
        <w:t>重新组织采购。</w:t>
      </w:r>
    </w:p>
    <w:p w14:paraId="1D69A648">
      <w:pPr>
        <w:ind w:firstLine="411" w:firstLineChars="196"/>
        <w:rPr>
          <w:rFonts w:ascii="宋体" w:hAnsi="宋体"/>
          <w:szCs w:val="21"/>
        </w:rPr>
      </w:pPr>
      <w:r>
        <w:rPr>
          <w:rFonts w:hint="eastAsia" w:ascii="宋体" w:hAnsi="宋体"/>
          <w:szCs w:val="21"/>
        </w:rPr>
        <w:t>42.2对公开招标失败的项目，评审委员会在出具该项目招标失败结论的同时，可以提出重新采购组织形式的建议，以及进一步完善招标文件的资格、技术、商务要求的修改建议。</w:t>
      </w:r>
    </w:p>
    <w:p w14:paraId="0F5A5002">
      <w:pPr>
        <w:ind w:firstLine="411" w:firstLineChars="196"/>
        <w:rPr>
          <w:rFonts w:ascii="宋体" w:hAnsi="宋体"/>
          <w:szCs w:val="21"/>
        </w:rPr>
      </w:pPr>
      <w:r>
        <w:rPr>
          <w:rFonts w:hint="eastAsia" w:ascii="宋体" w:hAnsi="宋体"/>
          <w:szCs w:val="21"/>
        </w:rPr>
        <w:t>42.3重新组织采购有以下两种组织形式：</w:t>
      </w:r>
    </w:p>
    <w:p w14:paraId="4FFB266F">
      <w:pPr>
        <w:ind w:firstLine="411" w:firstLineChars="196"/>
        <w:rPr>
          <w:rFonts w:ascii="宋体" w:hAnsi="宋体"/>
        </w:rPr>
      </w:pPr>
      <w:r>
        <w:rPr>
          <w:rFonts w:hint="eastAsia" w:ascii="宋体" w:hAnsi="宋体"/>
        </w:rPr>
        <w:t>（1）由</w:t>
      </w:r>
      <w:r>
        <w:rPr>
          <w:rFonts w:hint="eastAsia" w:ascii="宋体" w:hAnsi="宋体"/>
          <w:lang w:eastAsia="zh-CN"/>
        </w:rPr>
        <w:t>招标代理机构</w:t>
      </w:r>
      <w:r>
        <w:rPr>
          <w:rFonts w:hint="eastAsia" w:ascii="宋体" w:hAnsi="宋体"/>
        </w:rPr>
        <w:t>重新组织公开招标；</w:t>
      </w:r>
    </w:p>
    <w:p w14:paraId="02D93BAC">
      <w:pPr>
        <w:ind w:firstLine="411" w:firstLineChars="196"/>
        <w:rPr>
          <w:rFonts w:hint="eastAsia" w:ascii="宋体" w:hAnsi="宋体" w:eastAsia="宋体" w:cs="Times New Roman"/>
        </w:rPr>
      </w:pPr>
      <w:r>
        <w:rPr>
          <w:rFonts w:hint="eastAsia" w:ascii="宋体" w:hAnsi="宋体" w:eastAsia="宋体" w:cs="Times New Roman"/>
        </w:rPr>
        <w:t>（2）需要采取其他方式采购的，应当在采购活动开始前获得设区的市、自治州以上人民政府采购监督管理部门或者政府有关部门批准。</w:t>
      </w:r>
    </w:p>
    <w:p w14:paraId="6C07B180">
      <w:pPr>
        <w:ind w:firstLine="411" w:firstLineChars="196"/>
        <w:rPr>
          <w:rFonts w:ascii="宋体" w:hAnsi="宋体"/>
        </w:rPr>
      </w:pPr>
      <w:r>
        <w:rPr>
          <w:rFonts w:hint="eastAsia" w:ascii="宋体" w:hAnsi="宋体"/>
        </w:rPr>
        <w:t>42.4公开招标失败的采购项目重新组织公开招标，由</w:t>
      </w:r>
      <w:r>
        <w:rPr>
          <w:rFonts w:hint="eastAsia" w:ascii="宋体" w:hAnsi="宋体"/>
          <w:lang w:eastAsia="zh-CN"/>
        </w:rPr>
        <w:t>招标代理机构</w:t>
      </w:r>
      <w:r>
        <w:rPr>
          <w:rFonts w:hint="eastAsia" w:ascii="宋体" w:hAnsi="宋体"/>
        </w:rPr>
        <w:t>重新按公开招标流程组织采购活动。</w:t>
      </w:r>
    </w:p>
    <w:p w14:paraId="14B8E47C">
      <w:pPr>
        <w:rPr>
          <w:rFonts w:ascii="宋体" w:hAnsi="宋体"/>
          <w:highlight w:val="none"/>
        </w:rPr>
      </w:pPr>
      <w:r>
        <w:rPr>
          <w:rFonts w:hint="eastAsia" w:ascii="黑体" w:hAnsi="宋体" w:eastAsia="黑体"/>
          <w:sz w:val="24"/>
          <w:highlight w:val="none"/>
        </w:rPr>
        <w:t xml:space="preserve">    </w:t>
      </w:r>
      <w:r>
        <w:rPr>
          <w:rFonts w:hint="eastAsia" w:ascii="宋体" w:hAnsi="宋体"/>
          <w:highlight w:val="none"/>
        </w:rPr>
        <w:t>42.5需要采取其他方式采购的，按规定要求组织采购工作。</w:t>
      </w:r>
    </w:p>
    <w:p w14:paraId="3BDB019E">
      <w:pPr>
        <w:rPr>
          <w:rFonts w:ascii="黑体" w:hAnsi="宋体" w:eastAsia="黑体"/>
          <w:sz w:val="24"/>
        </w:rPr>
      </w:pPr>
    </w:p>
    <w:p w14:paraId="1A385F4E">
      <w:pPr>
        <w:pStyle w:val="5"/>
        <w:numPr>
          <w:ilvl w:val="0"/>
          <w:numId w:val="24"/>
        </w:numPr>
        <w:spacing w:before="120" w:beforeLines="50" w:after="120" w:afterLines="50"/>
        <w:ind w:left="562" w:hanging="562"/>
        <w:rPr>
          <w:sz w:val="28"/>
          <w:szCs w:val="28"/>
        </w:rPr>
      </w:pPr>
      <w:bookmarkStart w:id="139" w:name="_Hlk72439043"/>
      <w:r>
        <w:rPr>
          <w:rFonts w:hint="eastAsia"/>
          <w:sz w:val="28"/>
          <w:szCs w:val="28"/>
        </w:rPr>
        <w:t xml:space="preserve"> 合同的授予与备案</w:t>
      </w:r>
      <w:bookmarkEnd w:id="139"/>
    </w:p>
    <w:p w14:paraId="41DAE4AF">
      <w:pPr>
        <w:rPr>
          <w:rFonts w:ascii="黑体" w:hAnsi="宋体" w:eastAsia="黑体"/>
          <w:sz w:val="24"/>
        </w:rPr>
      </w:pPr>
      <w:bookmarkStart w:id="140" w:name="_Toc73521586"/>
      <w:bookmarkStart w:id="141" w:name="_Toc100052408"/>
      <w:bookmarkStart w:id="142" w:name="_Toc73517679"/>
      <w:bookmarkStart w:id="143" w:name="_Toc73518157"/>
      <w:bookmarkStart w:id="144" w:name="_Toc73521674"/>
      <w:bookmarkStart w:id="145" w:name="_Hlk72439088"/>
      <w:r>
        <w:rPr>
          <w:rFonts w:hint="eastAsia" w:ascii="黑体" w:hAnsi="宋体" w:eastAsia="黑体"/>
          <w:sz w:val="24"/>
        </w:rPr>
        <w:t>43．合同授予标准</w:t>
      </w:r>
      <w:bookmarkEnd w:id="140"/>
      <w:bookmarkEnd w:id="141"/>
      <w:bookmarkEnd w:id="142"/>
      <w:bookmarkEnd w:id="143"/>
      <w:bookmarkEnd w:id="144"/>
    </w:p>
    <w:p w14:paraId="1854105D">
      <w:pPr>
        <w:ind w:firstLine="411" w:firstLineChars="196"/>
        <w:rPr>
          <w:rFonts w:ascii="宋体" w:hAnsi="宋体"/>
          <w:szCs w:val="21"/>
        </w:rPr>
      </w:pPr>
      <w:r>
        <w:rPr>
          <w:rFonts w:hint="eastAsia" w:ascii="宋体" w:hAnsi="宋体"/>
          <w:szCs w:val="21"/>
        </w:rPr>
        <w:t>本项目的合同将授予经本招标文件规定评审确定的中标供应商。</w:t>
      </w:r>
    </w:p>
    <w:p w14:paraId="2875EB48">
      <w:pPr>
        <w:rPr>
          <w:rFonts w:ascii="黑体" w:hAnsi="宋体" w:eastAsia="黑体"/>
          <w:sz w:val="24"/>
        </w:rPr>
      </w:pPr>
      <w:bookmarkStart w:id="146" w:name="_Toc73521587"/>
      <w:bookmarkStart w:id="147" w:name="_Toc73518158"/>
      <w:bookmarkStart w:id="148" w:name="_Toc73521675"/>
      <w:bookmarkStart w:id="149" w:name="_Toc100052409"/>
      <w:bookmarkStart w:id="150" w:name="_Toc73517680"/>
      <w:r>
        <w:rPr>
          <w:rFonts w:hint="eastAsia" w:ascii="黑体" w:hAnsi="宋体" w:eastAsia="黑体"/>
          <w:sz w:val="24"/>
        </w:rPr>
        <w:t>44．</w:t>
      </w:r>
      <w:bookmarkEnd w:id="146"/>
      <w:bookmarkEnd w:id="147"/>
      <w:bookmarkEnd w:id="148"/>
      <w:bookmarkEnd w:id="149"/>
      <w:bookmarkEnd w:id="150"/>
      <w:r>
        <w:rPr>
          <w:rFonts w:hint="eastAsia" w:ascii="黑体" w:hAnsi="宋体" w:eastAsia="黑体"/>
          <w:sz w:val="24"/>
        </w:rPr>
        <w:t>接受和拒绝任何或所有投标的权力</w:t>
      </w:r>
    </w:p>
    <w:p w14:paraId="24FD1B68">
      <w:pPr>
        <w:ind w:firstLine="411" w:firstLineChars="196"/>
        <w:rPr>
          <w:rFonts w:ascii="宋体" w:hAnsi="宋体"/>
          <w:szCs w:val="21"/>
        </w:rPr>
      </w:pPr>
      <w:r>
        <w:rPr>
          <w:rFonts w:hint="eastAsia" w:ascii="宋体" w:hAnsi="宋体"/>
          <w:szCs w:val="21"/>
          <w:lang w:eastAsia="zh-CN"/>
        </w:rPr>
        <w:t>招标代理机构</w:t>
      </w:r>
      <w:r>
        <w:rPr>
          <w:rFonts w:hint="eastAsia" w:ascii="宋体" w:hAnsi="宋体"/>
          <w:szCs w:val="21"/>
        </w:rPr>
        <w:t>和采购人保留在投标之前任何时候接受或拒绝任何投标或所有投标，以及宣布招标无效的权力，对受影响的投标人不承担任何责任，也无义务向受影响的投标人解释采取这一行动的理由。</w:t>
      </w:r>
    </w:p>
    <w:p w14:paraId="221B9860">
      <w:pPr>
        <w:rPr>
          <w:rFonts w:ascii="黑体" w:hAnsi="宋体" w:eastAsia="黑体"/>
          <w:sz w:val="24"/>
        </w:rPr>
      </w:pPr>
      <w:bookmarkStart w:id="151" w:name="_Toc100052410"/>
      <w:bookmarkStart w:id="152" w:name="_Toc73517682"/>
      <w:bookmarkStart w:id="153" w:name="_Toc73521677"/>
      <w:bookmarkStart w:id="154" w:name="_Toc73518160"/>
      <w:bookmarkStart w:id="155" w:name="_Toc73521589"/>
      <w:r>
        <w:rPr>
          <w:rFonts w:hint="eastAsia" w:ascii="黑体" w:hAnsi="宋体" w:eastAsia="黑体"/>
          <w:sz w:val="24"/>
        </w:rPr>
        <w:t>45．合同的签订</w:t>
      </w:r>
      <w:bookmarkEnd w:id="151"/>
      <w:bookmarkEnd w:id="152"/>
      <w:bookmarkEnd w:id="153"/>
      <w:bookmarkEnd w:id="154"/>
      <w:bookmarkEnd w:id="155"/>
    </w:p>
    <w:p w14:paraId="2ABA9364">
      <w:pPr>
        <w:ind w:firstLine="411" w:firstLineChars="196"/>
        <w:rPr>
          <w:rFonts w:ascii="宋体" w:hAnsi="宋体"/>
          <w:szCs w:val="21"/>
        </w:rPr>
      </w:pPr>
      <w:r>
        <w:rPr>
          <w:rFonts w:hint="eastAsia" w:ascii="宋体" w:hAnsi="宋体"/>
          <w:szCs w:val="21"/>
        </w:rPr>
        <w:t>45.1中标人将于中标通知书发出之日起30日内，按照采购文件（招标文件和投标文件等）内容与采购人签订政府采购合同；合同的实质性内容应当符合招标文件的规定；</w:t>
      </w:r>
    </w:p>
    <w:p w14:paraId="5F30A2DD">
      <w:pPr>
        <w:ind w:firstLine="411" w:firstLineChars="196"/>
        <w:rPr>
          <w:rFonts w:ascii="宋体" w:hAnsi="宋体"/>
          <w:szCs w:val="21"/>
        </w:rPr>
      </w:pPr>
      <w:r>
        <w:rPr>
          <w:rFonts w:hint="eastAsia" w:ascii="宋体" w:hAnsi="宋体"/>
          <w:szCs w:val="21"/>
        </w:rPr>
        <w:t>45.2中标人如不按本通用条款第45</w:t>
      </w:r>
      <w:r>
        <w:rPr>
          <w:rFonts w:ascii="宋体" w:hAnsi="宋体"/>
          <w:szCs w:val="21"/>
        </w:rPr>
        <w:t>.1</w:t>
      </w:r>
      <w:r>
        <w:rPr>
          <w:rFonts w:hint="eastAsia" w:ascii="宋体" w:hAnsi="宋体"/>
          <w:szCs w:val="21"/>
        </w:rPr>
        <w:t>款的规定与采购人签订合同，</w:t>
      </w:r>
      <w:r>
        <w:rPr>
          <w:rFonts w:ascii="宋体" w:hAnsi="宋体" w:cs="宋体"/>
          <w:kern w:val="0"/>
          <w:szCs w:val="21"/>
        </w:rPr>
        <w:t>情节严重的，由</w:t>
      </w:r>
      <w:r>
        <w:rPr>
          <w:rFonts w:hint="eastAsia" w:ascii="宋体" w:hAnsi="宋体" w:cs="宋体"/>
          <w:kern w:val="0"/>
          <w:szCs w:val="21"/>
          <w:highlight w:val="none"/>
        </w:rPr>
        <w:t>同级财政</w:t>
      </w:r>
      <w:r>
        <w:rPr>
          <w:rFonts w:ascii="宋体" w:hAnsi="宋体" w:cs="宋体"/>
          <w:kern w:val="0"/>
          <w:szCs w:val="21"/>
          <w:highlight w:val="none"/>
        </w:rPr>
        <w:t>部门记入供</w:t>
      </w:r>
      <w:r>
        <w:rPr>
          <w:rFonts w:ascii="宋体" w:hAnsi="宋体" w:cs="宋体"/>
          <w:kern w:val="0"/>
          <w:szCs w:val="21"/>
        </w:rPr>
        <w:t>应商诚信档案，予以通报</w:t>
      </w:r>
      <w:r>
        <w:rPr>
          <w:rFonts w:hint="eastAsia" w:ascii="宋体" w:hAnsi="宋体"/>
          <w:szCs w:val="21"/>
        </w:rPr>
        <w:t>；</w:t>
      </w:r>
    </w:p>
    <w:p w14:paraId="7F5CBAA8">
      <w:pPr>
        <w:ind w:firstLine="411" w:firstLineChars="196"/>
        <w:rPr>
          <w:rFonts w:ascii="宋体" w:hAnsi="宋体"/>
          <w:szCs w:val="21"/>
        </w:rPr>
      </w:pPr>
      <w:r>
        <w:rPr>
          <w:rFonts w:hint="eastAsia" w:ascii="宋体" w:hAnsi="宋体"/>
          <w:szCs w:val="21"/>
        </w:rPr>
        <w:t>45.3中标人应当按照合同约定履行义务，完成中标项目，不得将中标项目转让（转包）给他人。</w:t>
      </w:r>
    </w:p>
    <w:p w14:paraId="551F44F2">
      <w:pPr>
        <w:rPr>
          <w:rFonts w:ascii="黑体" w:hAnsi="宋体" w:eastAsia="黑体"/>
          <w:sz w:val="24"/>
        </w:rPr>
      </w:pPr>
      <w:bookmarkStart w:id="156" w:name="_Toc73521678"/>
      <w:bookmarkStart w:id="157" w:name="_Toc73518161"/>
      <w:bookmarkStart w:id="158" w:name="_Toc100052411"/>
      <w:bookmarkStart w:id="159" w:name="_Toc73517683"/>
      <w:bookmarkStart w:id="160" w:name="_Toc73521590"/>
      <w:r>
        <w:rPr>
          <w:rFonts w:hint="eastAsia" w:ascii="黑体" w:hAnsi="宋体" w:eastAsia="黑体"/>
          <w:sz w:val="24"/>
        </w:rPr>
        <w:t>46．履约担保</w:t>
      </w:r>
      <w:bookmarkEnd w:id="156"/>
      <w:bookmarkEnd w:id="157"/>
      <w:bookmarkEnd w:id="158"/>
      <w:bookmarkEnd w:id="159"/>
      <w:bookmarkEnd w:id="160"/>
    </w:p>
    <w:p w14:paraId="38405E27">
      <w:pPr>
        <w:ind w:firstLine="411" w:firstLineChars="196"/>
        <w:rPr>
          <w:rFonts w:ascii="宋体" w:hAnsi="宋体"/>
          <w:szCs w:val="21"/>
        </w:rPr>
      </w:pPr>
      <w:r>
        <w:rPr>
          <w:rFonts w:hint="eastAsia" w:ascii="宋体" w:hAnsi="宋体"/>
          <w:szCs w:val="21"/>
        </w:rPr>
        <w:t>46.1在签订项目合同的同时，中标人应按“对通用条款的补充内容”中规定的金额向采购人提交履约担保；</w:t>
      </w:r>
    </w:p>
    <w:p w14:paraId="781F8650">
      <w:pPr>
        <w:ind w:firstLine="411" w:firstLineChars="196"/>
        <w:rPr>
          <w:rFonts w:ascii="宋体" w:hAnsi="宋体"/>
          <w:szCs w:val="21"/>
        </w:rPr>
      </w:pPr>
      <w:r>
        <w:rPr>
          <w:rFonts w:hint="eastAsia" w:ascii="宋体" w:hAnsi="宋体"/>
          <w:szCs w:val="21"/>
        </w:rPr>
        <w:t>46.2允许供应商自主选择以支票、汇票、本票、保函等非现金方式提交履约担保；</w:t>
      </w:r>
      <w:r>
        <w:t>中标</w:t>
      </w:r>
      <w:r>
        <w:rPr>
          <w:rFonts w:hint="eastAsia"/>
        </w:rPr>
        <w:t>人</w:t>
      </w:r>
      <w:r>
        <w:t>提交履约</w:t>
      </w:r>
      <w:r>
        <w:rPr>
          <w:rFonts w:hint="eastAsia"/>
        </w:rPr>
        <w:t>担保不是</w:t>
      </w:r>
      <w:r>
        <w:t>合同签订的</w:t>
      </w:r>
      <w:r>
        <w:rPr>
          <w:rFonts w:hint="eastAsia"/>
        </w:rPr>
        <w:t>前提</w:t>
      </w:r>
      <w:r>
        <w:t>条件，不要求中标</w:t>
      </w:r>
      <w:r>
        <w:rPr>
          <w:rFonts w:hint="eastAsia"/>
        </w:rPr>
        <w:t>人</w:t>
      </w:r>
      <w:r>
        <w:t>提供除法律、法规明确规定外的其他担保</w:t>
      </w:r>
      <w:r>
        <w:rPr>
          <w:rFonts w:hint="eastAsia"/>
        </w:rPr>
        <w:t>。</w:t>
      </w:r>
    </w:p>
    <w:p w14:paraId="631F4B28">
      <w:pPr>
        <w:rPr>
          <w:rFonts w:ascii="黑体" w:hAnsi="宋体" w:eastAsia="黑体"/>
          <w:sz w:val="24"/>
        </w:rPr>
      </w:pPr>
      <w:r>
        <w:rPr>
          <w:rFonts w:hint="eastAsia" w:ascii="黑体" w:hAnsi="宋体" w:eastAsia="黑体"/>
          <w:sz w:val="24"/>
        </w:rPr>
        <w:t>47. 合同备案</w:t>
      </w:r>
    </w:p>
    <w:p w14:paraId="443D69D6">
      <w:pPr>
        <w:ind w:firstLine="420" w:firstLineChars="200"/>
        <w:rPr>
          <w:rFonts w:ascii="宋体" w:hAnsi="宋体"/>
          <w:szCs w:val="21"/>
        </w:rPr>
      </w:pPr>
      <w:r>
        <w:rPr>
          <w:rFonts w:hint="eastAsia" w:ascii="宋体" w:hAnsi="宋体"/>
          <w:szCs w:val="21"/>
        </w:rPr>
        <w:t>政府采购项目的采购合同自签订之日起七个工作日内，采购人应当将合同副本报同级政府采购监督管理部门和有关部门备案。</w:t>
      </w:r>
    </w:p>
    <w:p w14:paraId="5A92EAA6">
      <w:pPr>
        <w:rPr>
          <w:rFonts w:ascii="黑体" w:hAnsi="宋体" w:eastAsia="黑体"/>
          <w:sz w:val="24"/>
        </w:rPr>
      </w:pPr>
      <w:r>
        <w:rPr>
          <w:rFonts w:hint="eastAsia" w:ascii="黑体" w:hAnsi="宋体" w:eastAsia="黑体"/>
          <w:sz w:val="24"/>
        </w:rPr>
        <w:t>48. 合同变更</w:t>
      </w:r>
    </w:p>
    <w:p w14:paraId="19D6A248">
      <w:pPr>
        <w:ind w:firstLine="411" w:firstLineChars="196"/>
        <w:rPr>
          <w:rFonts w:ascii="宋体" w:hAnsi="宋体"/>
          <w:szCs w:val="21"/>
        </w:rPr>
      </w:pPr>
      <w:r>
        <w:rPr>
          <w:rFonts w:hint="eastAsia" w:ascii="宋体" w:hAnsi="宋体"/>
          <w:szCs w:val="21"/>
        </w:rPr>
        <w:t>合同变更事宜按相关规定执行。</w:t>
      </w:r>
    </w:p>
    <w:p w14:paraId="53D2990F">
      <w:pPr>
        <w:rPr>
          <w:rFonts w:ascii="黑体" w:hAnsi="宋体" w:eastAsia="黑体"/>
          <w:sz w:val="24"/>
        </w:rPr>
      </w:pPr>
      <w:r>
        <w:rPr>
          <w:rFonts w:hint="eastAsia" w:ascii="黑体" w:hAnsi="宋体" w:eastAsia="黑体"/>
          <w:sz w:val="24"/>
        </w:rPr>
        <w:t>49. 项目验收</w:t>
      </w:r>
    </w:p>
    <w:p w14:paraId="2DC61165">
      <w:pPr>
        <w:widowControl/>
        <w:ind w:right="176" w:firstLine="420"/>
        <w:jc w:val="left"/>
        <w:rPr>
          <w:rFonts w:ascii="宋体" w:hAnsi="宋体"/>
        </w:rPr>
      </w:pPr>
      <w:r>
        <w:rPr>
          <w:rFonts w:hint="eastAsia" w:ascii="宋体" w:hAnsi="宋体"/>
        </w:rPr>
        <w:t>49.1采购人应当按照招标文件和合同规定的标准和方法，及时组织验收。</w:t>
      </w:r>
      <w:r>
        <w:rPr>
          <w:rFonts w:ascii="宋体" w:hAnsi="宋体"/>
        </w:rPr>
        <w:t xml:space="preserve"> </w:t>
      </w:r>
    </w:p>
    <w:p w14:paraId="1385AF70">
      <w:pPr>
        <w:rPr>
          <w:rFonts w:ascii="黑体" w:hAnsi="宋体" w:eastAsia="黑体"/>
          <w:sz w:val="24"/>
        </w:rPr>
      </w:pPr>
      <w:r>
        <w:rPr>
          <w:rFonts w:hint="eastAsia" w:ascii="黑体" w:hAnsi="宋体" w:eastAsia="黑体"/>
          <w:sz w:val="24"/>
        </w:rPr>
        <w:t>50. 宣传</w:t>
      </w:r>
    </w:p>
    <w:p w14:paraId="0806ADAF">
      <w:pPr>
        <w:ind w:left="210" w:leftChars="100" w:firstLine="411" w:firstLineChars="196"/>
        <w:rPr>
          <w:rFonts w:ascii="宋体" w:hAnsi="宋体"/>
        </w:rPr>
      </w:pPr>
      <w:r>
        <w:rPr>
          <w:rFonts w:hint="eastAsia" w:ascii="宋体" w:hAnsi="宋体"/>
        </w:rPr>
        <w:t>凡与政府采购活动有关的宣传或广告，若当中提及政府采购，</w:t>
      </w:r>
      <w:r>
        <w:rPr>
          <w:rFonts w:ascii="宋体" w:hAnsi="宋体"/>
        </w:rPr>
        <w:t>必须事先将具体对外宣传方案报</w:t>
      </w:r>
      <w:r>
        <w:rPr>
          <w:rFonts w:hint="eastAsia" w:ascii="宋体" w:hAnsi="宋体"/>
        </w:rPr>
        <w:t>同级财政部门</w:t>
      </w:r>
      <w:r>
        <w:rPr>
          <w:rFonts w:ascii="宋体" w:hAnsi="宋体"/>
        </w:rPr>
        <w:t>和</w:t>
      </w:r>
      <w:r>
        <w:rPr>
          <w:rFonts w:hint="eastAsia" w:ascii="宋体" w:hAnsi="宋体"/>
          <w:lang w:eastAsia="zh-CN"/>
        </w:rPr>
        <w:t>招标代理机构</w:t>
      </w:r>
      <w:r>
        <w:rPr>
          <w:rFonts w:ascii="宋体" w:hAnsi="宋体"/>
        </w:rPr>
        <w:t>，并征得其同意。对外市场宣传包括但不限于以下形式：</w:t>
      </w:r>
    </w:p>
    <w:p w14:paraId="0D2548FC">
      <w:pPr>
        <w:ind w:left="210" w:leftChars="100" w:firstLine="411" w:firstLineChars="196"/>
        <w:rPr>
          <w:rFonts w:ascii="宋体" w:hAnsi="宋体"/>
        </w:rPr>
      </w:pPr>
      <w:r>
        <w:rPr>
          <w:rFonts w:ascii="宋体" w:hAnsi="宋体"/>
        </w:rPr>
        <w:t>a.名片、宣传册、广告标语等；</w:t>
      </w:r>
    </w:p>
    <w:p w14:paraId="2864943F">
      <w:pPr>
        <w:ind w:left="210" w:leftChars="100" w:firstLine="411" w:firstLineChars="196"/>
        <w:rPr>
          <w:rFonts w:ascii="宋体" w:hAnsi="宋体"/>
        </w:rPr>
      </w:pPr>
      <w:r>
        <w:rPr>
          <w:rFonts w:ascii="宋体" w:hAnsi="宋体"/>
        </w:rPr>
        <w:t>b.案例介绍、推广等；</w:t>
      </w:r>
    </w:p>
    <w:p w14:paraId="14E4FAAD">
      <w:pPr>
        <w:ind w:left="210" w:leftChars="100" w:firstLine="411" w:firstLineChars="196"/>
        <w:rPr>
          <w:rFonts w:ascii="宋体" w:hAnsi="宋体"/>
        </w:rPr>
      </w:pPr>
      <w:r>
        <w:rPr>
          <w:rFonts w:hint="eastAsia" w:ascii="宋体" w:hAnsi="宋体"/>
        </w:rPr>
        <w:t>c.工作</w:t>
      </w:r>
      <w:r>
        <w:rPr>
          <w:rFonts w:ascii="宋体" w:hAnsi="宋体"/>
        </w:rPr>
        <w:t>人员向其他消费群体宣传。</w:t>
      </w:r>
    </w:p>
    <w:p w14:paraId="14799B0D">
      <w:pPr>
        <w:rPr>
          <w:rFonts w:ascii="黑体" w:hAnsi="宋体" w:eastAsia="黑体"/>
          <w:sz w:val="24"/>
        </w:rPr>
      </w:pPr>
      <w:r>
        <w:rPr>
          <w:rFonts w:hint="eastAsia" w:ascii="黑体" w:hAnsi="宋体" w:eastAsia="黑体"/>
          <w:sz w:val="24"/>
        </w:rPr>
        <w:t>51. 供应商违法责任</w:t>
      </w:r>
    </w:p>
    <w:p w14:paraId="5A22339E">
      <w:pPr>
        <w:ind w:firstLine="411" w:firstLineChars="196"/>
        <w:rPr>
          <w:rFonts w:ascii="宋体" w:hAnsi="宋体"/>
          <w:szCs w:val="21"/>
        </w:rPr>
      </w:pPr>
      <w:r>
        <w:rPr>
          <w:rFonts w:hint="eastAsia" w:ascii="宋体" w:hAnsi="宋体"/>
          <w:szCs w:val="21"/>
        </w:rPr>
        <w:t>5</w:t>
      </w:r>
      <w:r>
        <w:rPr>
          <w:rFonts w:ascii="宋体" w:hAnsi="宋体"/>
          <w:szCs w:val="21"/>
        </w:rPr>
        <w:t>1.1</w:t>
      </w:r>
      <w:r>
        <w:rPr>
          <w:rFonts w:hint="eastAsia" w:ascii="宋体" w:hAnsi="宋体"/>
          <w:szCs w:val="21"/>
        </w:rPr>
        <w:t>《中华人民共和国政府采购法》第七十七条 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3649B173">
      <w:pPr>
        <w:ind w:firstLine="411" w:firstLineChars="196"/>
        <w:rPr>
          <w:rFonts w:ascii="宋体" w:hAnsi="宋体"/>
          <w:szCs w:val="21"/>
        </w:rPr>
      </w:pPr>
      <w:r>
        <w:rPr>
          <w:rFonts w:hint="eastAsia" w:ascii="宋体" w:hAnsi="宋体"/>
          <w:szCs w:val="21"/>
        </w:rPr>
        <w:t>（一）提供虚假材料谋取中标、成交的；</w:t>
      </w:r>
    </w:p>
    <w:p w14:paraId="440C35CA">
      <w:pPr>
        <w:ind w:firstLine="411" w:firstLineChars="196"/>
        <w:rPr>
          <w:rFonts w:ascii="宋体" w:hAnsi="宋体"/>
          <w:szCs w:val="21"/>
        </w:rPr>
      </w:pPr>
      <w:r>
        <w:rPr>
          <w:rFonts w:hint="eastAsia" w:ascii="宋体" w:hAnsi="宋体"/>
          <w:szCs w:val="21"/>
        </w:rPr>
        <w:t>（二）采取不正当手段诋毁、排挤其他供应商的；</w:t>
      </w:r>
    </w:p>
    <w:p w14:paraId="15B6C1AE">
      <w:pPr>
        <w:ind w:firstLine="411" w:firstLineChars="196"/>
        <w:rPr>
          <w:rFonts w:ascii="宋体" w:hAnsi="宋体"/>
          <w:szCs w:val="21"/>
        </w:rPr>
      </w:pPr>
      <w:r>
        <w:rPr>
          <w:rFonts w:hint="eastAsia" w:ascii="宋体" w:hAnsi="宋体"/>
          <w:szCs w:val="21"/>
        </w:rPr>
        <w:t>（三）与采购人、其他供应商或者采购代理机构恶意串通的；</w:t>
      </w:r>
    </w:p>
    <w:p w14:paraId="489CF3AC">
      <w:pPr>
        <w:ind w:firstLine="411" w:firstLineChars="196"/>
        <w:rPr>
          <w:rFonts w:ascii="宋体" w:hAnsi="宋体"/>
          <w:szCs w:val="21"/>
        </w:rPr>
      </w:pPr>
      <w:r>
        <w:rPr>
          <w:rFonts w:hint="eastAsia" w:ascii="宋体" w:hAnsi="宋体"/>
          <w:szCs w:val="21"/>
        </w:rPr>
        <w:t>（四）向采购人、采购代理机构行贿或者提供其他不正当利益的；</w:t>
      </w:r>
    </w:p>
    <w:p w14:paraId="40CA0B3D">
      <w:pPr>
        <w:ind w:firstLine="411" w:firstLineChars="196"/>
        <w:rPr>
          <w:rFonts w:ascii="宋体" w:hAnsi="宋体"/>
          <w:szCs w:val="21"/>
        </w:rPr>
      </w:pPr>
      <w:r>
        <w:rPr>
          <w:rFonts w:hint="eastAsia" w:ascii="宋体" w:hAnsi="宋体"/>
          <w:szCs w:val="21"/>
        </w:rPr>
        <w:t>（五）在招标采购过程中与采购人进行协商谈判的；</w:t>
      </w:r>
    </w:p>
    <w:p w14:paraId="39320D10">
      <w:pPr>
        <w:ind w:firstLine="411" w:firstLineChars="196"/>
        <w:rPr>
          <w:rFonts w:ascii="宋体" w:hAnsi="宋体"/>
          <w:szCs w:val="21"/>
        </w:rPr>
      </w:pPr>
      <w:r>
        <w:rPr>
          <w:rFonts w:hint="eastAsia" w:ascii="宋体" w:hAnsi="宋体"/>
          <w:szCs w:val="21"/>
        </w:rPr>
        <w:t>（六）拒绝有关部门监督检查或者提供虚假情况的。</w:t>
      </w:r>
    </w:p>
    <w:p w14:paraId="5E8742F4">
      <w:pPr>
        <w:ind w:firstLine="411" w:firstLineChars="196"/>
        <w:rPr>
          <w:rFonts w:hint="eastAsia" w:ascii="宋体" w:hAnsi="宋体"/>
          <w:szCs w:val="21"/>
        </w:rPr>
      </w:pPr>
      <w:r>
        <w:rPr>
          <w:rFonts w:hint="eastAsia" w:ascii="宋体" w:hAnsi="宋体"/>
          <w:szCs w:val="21"/>
        </w:rPr>
        <w:t>供应商有前款第（一）至（五）项情形之一的，中标、成交无效。</w:t>
      </w:r>
    </w:p>
    <w:p w14:paraId="4526D3DE">
      <w:pPr>
        <w:outlineLvl w:val="9"/>
      </w:pPr>
    </w:p>
    <w:bookmarkEnd w:id="145"/>
    <w:p w14:paraId="0D958063">
      <w:pPr>
        <w:pStyle w:val="5"/>
        <w:numPr>
          <w:ilvl w:val="0"/>
          <w:numId w:val="24"/>
        </w:numPr>
        <w:spacing w:before="120" w:beforeLines="50" w:after="120" w:afterLines="50"/>
        <w:ind w:left="562" w:hanging="562"/>
        <w:rPr>
          <w:sz w:val="28"/>
          <w:szCs w:val="28"/>
        </w:rPr>
      </w:pPr>
      <w:r>
        <w:rPr>
          <w:rFonts w:hint="eastAsia"/>
          <w:sz w:val="28"/>
          <w:szCs w:val="28"/>
        </w:rPr>
        <w:t xml:space="preserve"> 质疑处理</w:t>
      </w:r>
    </w:p>
    <w:p w14:paraId="14D2D675">
      <w:pPr>
        <w:rPr>
          <w:rFonts w:ascii="黑体" w:hAnsi="宋体" w:eastAsia="黑体"/>
          <w:sz w:val="24"/>
        </w:rPr>
      </w:pPr>
      <w:bookmarkStart w:id="161" w:name="_Hlk72439706"/>
      <w:r>
        <w:rPr>
          <w:rFonts w:hint="eastAsia" w:ascii="黑体" w:hAnsi="宋体" w:eastAsia="黑体"/>
          <w:sz w:val="24"/>
        </w:rPr>
        <w:t>52.质疑提出与答复</w:t>
      </w:r>
    </w:p>
    <w:p w14:paraId="594AE5B6">
      <w:pPr>
        <w:rPr>
          <w:rFonts w:ascii="宋体" w:hAnsi="宋体"/>
          <w:szCs w:val="21"/>
        </w:rPr>
      </w:pPr>
      <w:r>
        <w:rPr>
          <w:rFonts w:hint="eastAsia" w:ascii="宋体" w:hAnsi="宋体"/>
          <w:szCs w:val="21"/>
        </w:rPr>
        <w:t xml:space="preserve">    52.1提出质疑</w:t>
      </w:r>
    </w:p>
    <w:p w14:paraId="5E6A1586">
      <w:pPr>
        <w:rPr>
          <w:rFonts w:ascii="宋体" w:hAnsi="宋体"/>
          <w:szCs w:val="21"/>
        </w:rPr>
      </w:pPr>
      <w:r>
        <w:rPr>
          <w:rFonts w:hint="eastAsia" w:ascii="宋体" w:hAnsi="宋体"/>
          <w:szCs w:val="21"/>
        </w:rPr>
        <w:t xml:space="preserve">    参与政府采购活动的供应商认为自己的权益在采购活动中受到损害的，应当自知道或者应当知道其权益受到损害之日起七个工作日内向采购人、</w:t>
      </w:r>
      <w:r>
        <w:rPr>
          <w:rFonts w:hint="eastAsia" w:ascii="宋体" w:hAnsi="宋体"/>
          <w:szCs w:val="21"/>
          <w:lang w:eastAsia="zh-CN"/>
        </w:rPr>
        <w:t>招标代理机构</w:t>
      </w:r>
      <w:r>
        <w:rPr>
          <w:rFonts w:hint="eastAsia" w:ascii="宋体" w:hAnsi="宋体"/>
          <w:szCs w:val="21"/>
        </w:rPr>
        <w:t>以书面形式提出质疑。</w:t>
      </w:r>
    </w:p>
    <w:p w14:paraId="025008D8">
      <w:pPr>
        <w:rPr>
          <w:rFonts w:ascii="宋体" w:hAnsi="宋体"/>
          <w:szCs w:val="21"/>
        </w:rPr>
      </w:pPr>
      <w:r>
        <w:rPr>
          <w:rFonts w:hint="eastAsia" w:ascii="宋体" w:hAnsi="宋体"/>
          <w:szCs w:val="21"/>
        </w:rPr>
        <w:t xml:space="preserve">    52.2</w:t>
      </w:r>
      <w:r>
        <w:rPr>
          <w:rFonts w:ascii="宋体" w:hAnsi="宋体"/>
          <w:szCs w:val="21"/>
        </w:rPr>
        <w:t>法律依据</w:t>
      </w:r>
    </w:p>
    <w:p w14:paraId="3DFF3A0D">
      <w:pPr>
        <w:rPr>
          <w:rFonts w:ascii="宋体" w:hAnsi="宋体"/>
          <w:szCs w:val="21"/>
        </w:rPr>
      </w:pPr>
      <w:r>
        <w:rPr>
          <w:rFonts w:hint="eastAsia" w:ascii="宋体" w:hAnsi="宋体"/>
          <w:szCs w:val="21"/>
        </w:rPr>
        <w:t xml:space="preserve">    《中华人民共和国政府采购法》、《中华人民共和国政府采购法实施条例》、《政府采购质疑和投诉办法》（财政部令第94号）和其他有关法律法规规定。</w:t>
      </w:r>
    </w:p>
    <w:p w14:paraId="4A3FEA46">
      <w:pPr>
        <w:rPr>
          <w:rFonts w:ascii="宋体" w:hAnsi="宋体"/>
          <w:szCs w:val="21"/>
        </w:rPr>
      </w:pPr>
      <w:r>
        <w:rPr>
          <w:rFonts w:hint="eastAsia" w:ascii="宋体" w:hAnsi="宋体"/>
          <w:szCs w:val="21"/>
        </w:rPr>
        <w:t xml:space="preserve">  </w:t>
      </w:r>
      <w:r>
        <w:rPr>
          <w:rFonts w:hint="eastAsia" w:ascii="宋体" w:hAnsi="宋体"/>
          <w:color w:val="FF0000"/>
          <w:szCs w:val="21"/>
        </w:rPr>
        <w:t xml:space="preserve">  </w:t>
      </w:r>
      <w:r>
        <w:rPr>
          <w:rFonts w:hint="eastAsia" w:ascii="宋体" w:hAnsi="宋体"/>
          <w:szCs w:val="21"/>
        </w:rPr>
        <w:t>52.3质疑条件</w:t>
      </w:r>
    </w:p>
    <w:p w14:paraId="4B6DD27C">
      <w:pPr>
        <w:rPr>
          <w:rFonts w:ascii="宋体" w:hAnsi="宋体"/>
          <w:szCs w:val="21"/>
        </w:rPr>
      </w:pPr>
      <w:r>
        <w:rPr>
          <w:rFonts w:hint="eastAsia" w:ascii="宋体" w:hAnsi="宋体"/>
          <w:szCs w:val="21"/>
        </w:rPr>
        <w:t xml:space="preserve">    52.3.1提出质疑的供应商应当是参与所质疑项目采购活动的供应商；</w:t>
      </w:r>
      <w:bookmarkStart w:id="162" w:name="_Hlk75374941"/>
      <w:r>
        <w:rPr>
          <w:rFonts w:hint="eastAsia" w:ascii="宋体" w:hAnsi="宋体"/>
          <w:szCs w:val="21"/>
        </w:rPr>
        <w:t>以联合体形式参与的，质疑应当由组成联合体的所有成员共同提出</w:t>
      </w:r>
      <w:bookmarkEnd w:id="162"/>
      <w:r>
        <w:rPr>
          <w:rFonts w:hint="eastAsia" w:ascii="宋体" w:hAnsi="宋体"/>
          <w:szCs w:val="21"/>
        </w:rPr>
        <w:t>；</w:t>
      </w:r>
    </w:p>
    <w:p w14:paraId="76D0EBEE">
      <w:pPr>
        <w:rPr>
          <w:rFonts w:ascii="宋体" w:hAnsi="宋体"/>
          <w:szCs w:val="21"/>
        </w:rPr>
      </w:pPr>
      <w:r>
        <w:rPr>
          <w:rFonts w:hint="eastAsia" w:ascii="宋体" w:hAnsi="宋体"/>
          <w:szCs w:val="21"/>
        </w:rPr>
        <w:t xml:space="preserve">    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14:paraId="318ED53C">
      <w:pPr>
        <w:ind w:firstLine="420"/>
        <w:rPr>
          <w:rFonts w:ascii="宋体" w:hAnsi="宋体"/>
          <w:szCs w:val="21"/>
        </w:rPr>
      </w:pPr>
      <w:r>
        <w:rPr>
          <w:rFonts w:hint="eastAsia" w:ascii="宋体" w:hAnsi="宋体"/>
          <w:szCs w:val="21"/>
        </w:rPr>
        <w:t>52.3.3应提交书面质疑函，质疑函应当包括以下内容：</w:t>
      </w:r>
      <w:r>
        <w:rPr>
          <w:rFonts w:ascii="宋体" w:hAnsi="宋体"/>
          <w:szCs w:val="21"/>
        </w:rPr>
        <w:t xml:space="preserve"> </w:t>
      </w:r>
    </w:p>
    <w:p w14:paraId="2BC5D923">
      <w:pPr>
        <w:ind w:firstLine="420"/>
        <w:rPr>
          <w:rFonts w:ascii="宋体" w:hAnsi="宋体"/>
          <w:szCs w:val="21"/>
        </w:rPr>
      </w:pPr>
      <w:r>
        <w:rPr>
          <w:rFonts w:hint="eastAsia" w:ascii="宋体" w:hAnsi="宋体"/>
          <w:szCs w:val="21"/>
        </w:rPr>
        <w:t>（1）供应商的名称（或者姓名）、地址、邮编、邮箱、联系人及联系电话；</w:t>
      </w:r>
    </w:p>
    <w:p w14:paraId="2DC2B54B">
      <w:pPr>
        <w:ind w:firstLine="420" w:firstLineChars="200"/>
        <w:rPr>
          <w:rFonts w:ascii="宋体" w:hAnsi="宋体"/>
          <w:szCs w:val="21"/>
        </w:rPr>
      </w:pPr>
      <w:r>
        <w:rPr>
          <w:rFonts w:hint="eastAsia" w:ascii="宋体" w:hAnsi="宋体"/>
          <w:szCs w:val="21"/>
        </w:rPr>
        <w:t>（2）质疑项目的名称、编号；</w:t>
      </w:r>
    </w:p>
    <w:p w14:paraId="1969AC38">
      <w:pPr>
        <w:ind w:firstLine="420" w:firstLineChars="200"/>
        <w:rPr>
          <w:rFonts w:ascii="宋体" w:hAnsi="宋体"/>
          <w:szCs w:val="21"/>
        </w:rPr>
      </w:pPr>
      <w:r>
        <w:rPr>
          <w:rFonts w:hint="eastAsia" w:ascii="宋体" w:hAnsi="宋体"/>
          <w:szCs w:val="21"/>
        </w:rPr>
        <w:t>（3）具体、明确的质疑对象、质疑事项和质疑请求；</w:t>
      </w:r>
    </w:p>
    <w:p w14:paraId="3FEBB707">
      <w:pPr>
        <w:ind w:firstLine="420" w:firstLineChars="200"/>
        <w:rPr>
          <w:rFonts w:ascii="宋体" w:hAnsi="宋体"/>
          <w:szCs w:val="21"/>
        </w:rPr>
      </w:pPr>
      <w:r>
        <w:rPr>
          <w:rFonts w:hint="eastAsia" w:ascii="宋体" w:hAnsi="宋体"/>
          <w:szCs w:val="21"/>
        </w:rPr>
        <w:t>（4）因质疑事项而受损害的权益；</w:t>
      </w:r>
    </w:p>
    <w:p w14:paraId="57DBB8B3">
      <w:pPr>
        <w:ind w:firstLine="420" w:firstLineChars="200"/>
        <w:rPr>
          <w:rFonts w:ascii="宋体" w:hAnsi="宋体"/>
          <w:szCs w:val="21"/>
        </w:rPr>
      </w:pPr>
      <w:r>
        <w:rPr>
          <w:rFonts w:hint="eastAsia" w:ascii="宋体" w:hAnsi="宋体"/>
          <w:szCs w:val="21"/>
        </w:rPr>
        <w:t>（5）事实依据；</w:t>
      </w:r>
    </w:p>
    <w:p w14:paraId="439ED2D6">
      <w:pPr>
        <w:ind w:firstLine="420" w:firstLineChars="200"/>
        <w:rPr>
          <w:rFonts w:ascii="宋体" w:hAnsi="宋体"/>
          <w:szCs w:val="21"/>
        </w:rPr>
      </w:pPr>
      <w:r>
        <w:rPr>
          <w:rFonts w:hint="eastAsia" w:ascii="宋体" w:hAnsi="宋体"/>
          <w:szCs w:val="21"/>
        </w:rPr>
        <w:t>（6）必要的法律依据；</w:t>
      </w:r>
    </w:p>
    <w:p w14:paraId="33B2EB40">
      <w:pPr>
        <w:ind w:firstLine="420" w:firstLineChars="200"/>
        <w:rPr>
          <w:rFonts w:ascii="宋体" w:hAnsi="宋体"/>
          <w:szCs w:val="21"/>
        </w:rPr>
      </w:pPr>
      <w:r>
        <w:rPr>
          <w:rFonts w:hint="eastAsia" w:ascii="宋体" w:hAnsi="宋体"/>
          <w:szCs w:val="21"/>
        </w:rPr>
        <w:t>（7）提出质疑的日期。</w:t>
      </w:r>
    </w:p>
    <w:p w14:paraId="7DEBD3AF">
      <w:pPr>
        <w:ind w:firstLine="420" w:firstLineChars="200"/>
        <w:rPr>
          <w:rFonts w:ascii="宋体" w:hAnsi="宋体"/>
          <w:szCs w:val="21"/>
        </w:rPr>
      </w:pPr>
      <w:r>
        <w:rPr>
          <w:rFonts w:hint="eastAsia" w:ascii="宋体" w:hAnsi="宋体"/>
          <w:szCs w:val="21"/>
        </w:rPr>
        <w:t>供应商为自然人的，应当由本人签字；供应商为法人或者其他组织的，应当由法定代表人（负责人），或者其授权代理人签字或者盖章，并加盖公章。</w:t>
      </w:r>
    </w:p>
    <w:p w14:paraId="031F12D7">
      <w:pPr>
        <w:ind w:firstLine="420" w:firstLineChars="200"/>
        <w:rPr>
          <w:rFonts w:ascii="宋体" w:hAnsi="宋体"/>
          <w:szCs w:val="21"/>
        </w:rPr>
      </w:pPr>
      <w:r>
        <w:rPr>
          <w:rFonts w:hint="eastAsia" w:ascii="宋体" w:hAnsi="宋体"/>
          <w:szCs w:val="21"/>
        </w:rPr>
        <w:t>52.4提交</w:t>
      </w:r>
      <w:r>
        <w:rPr>
          <w:rFonts w:ascii="宋体" w:hAnsi="宋体"/>
          <w:szCs w:val="21"/>
        </w:rPr>
        <w:t>材料</w:t>
      </w:r>
    </w:p>
    <w:p w14:paraId="24647CBC">
      <w:pPr>
        <w:ind w:firstLine="420" w:firstLineChars="200"/>
        <w:rPr>
          <w:rFonts w:ascii="宋体" w:hAnsi="宋体"/>
          <w:szCs w:val="21"/>
        </w:rPr>
      </w:pPr>
      <w:r>
        <w:rPr>
          <w:rFonts w:hint="eastAsia" w:ascii="宋体" w:hAnsi="宋体"/>
          <w:szCs w:val="21"/>
        </w:rPr>
        <w:t>供应商质疑实行实名制。供应商为自然人的，应当提交本人身份证复印件；供应商为法人或者其他组织的，应当根据自身性质提交营业执照复印件或者其他证明文件（如事业单位法人证书等）复印件。</w:t>
      </w:r>
    </w:p>
    <w:p w14:paraId="0F57A79F">
      <w:pPr>
        <w:ind w:firstLine="420" w:firstLineChars="200"/>
        <w:rPr>
          <w:rFonts w:ascii="宋体" w:hAnsi="宋体"/>
          <w:szCs w:val="21"/>
        </w:rPr>
      </w:pPr>
      <w:r>
        <w:rPr>
          <w:rFonts w:hint="eastAsia" w:ascii="宋体" w:hAnsi="宋体"/>
          <w:szCs w:val="21"/>
        </w:rPr>
        <w:t>供应商可以委托代理人进行质疑。</w:t>
      </w:r>
      <w:r>
        <w:rPr>
          <w:rFonts w:ascii="宋体" w:hAnsi="宋体"/>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14:paraId="7CD5D600">
      <w:pPr>
        <w:ind w:firstLine="422" w:firstLineChars="200"/>
        <w:rPr>
          <w:b/>
          <w:color w:val="FF0000"/>
        </w:rPr>
      </w:pPr>
      <w:r>
        <w:rPr>
          <w:rFonts w:hint="eastAsia"/>
          <w:b/>
          <w:color w:val="FF0000"/>
        </w:rPr>
        <w:t>52.5提交方式</w:t>
      </w:r>
    </w:p>
    <w:p w14:paraId="568E21D4">
      <w:pPr>
        <w:ind w:firstLine="422" w:firstLineChars="200"/>
        <w:rPr>
          <w:b/>
          <w:color w:val="FF0000"/>
        </w:rPr>
      </w:pPr>
      <w:r>
        <w:rPr>
          <w:rFonts w:hint="eastAsia"/>
          <w:b/>
          <w:color w:val="FF0000"/>
        </w:rPr>
        <w:t>5</w:t>
      </w:r>
      <w:r>
        <w:rPr>
          <w:b/>
          <w:color w:val="FF0000"/>
        </w:rPr>
        <w:t>2.5.</w:t>
      </w:r>
      <w:r>
        <w:rPr>
          <w:rFonts w:hint="eastAsia"/>
          <w:b/>
          <w:color w:val="FF0000"/>
        </w:rPr>
        <w:t>1请质疑供应商</w:t>
      </w:r>
      <w:r>
        <w:rPr>
          <w:rFonts w:hint="eastAsia"/>
          <w:b/>
          <w:color w:val="FF0000"/>
          <w:highlight w:val="none"/>
        </w:rPr>
        <w:t>根据深圳公共资源交易中心网页（https://www.szggzy.com/globalSearch/details.html?contentId=1211037）所发布的</w:t>
      </w:r>
      <w:r>
        <w:rPr>
          <w:rFonts w:hint="eastAsia"/>
          <w:b/>
          <w:color w:val="FF0000"/>
        </w:rPr>
        <w:t>质疑指引、质疑函模板填写质疑函并提交质疑材料。</w:t>
      </w:r>
    </w:p>
    <w:p w14:paraId="16BA494B">
      <w:pPr>
        <w:rPr>
          <w:b/>
          <w:bCs/>
          <w:color w:val="FF0000"/>
        </w:rPr>
      </w:pPr>
      <w:r>
        <w:rPr>
          <w:rFonts w:hint="eastAsia"/>
          <w:b/>
          <w:bCs/>
          <w:color w:val="FF0000"/>
        </w:rPr>
        <w:t>收文地点：深圳公共资源交易中心（深圳交易集团有限公司罗湖分公司）深圳市罗湖区黄贝街道凤凰社区深南东路1076号罗湖区党群服务中心4、5 层。质疑咨询电话：0755-822</w:t>
      </w:r>
      <w:r>
        <w:rPr>
          <w:rFonts w:hint="eastAsia"/>
          <w:b/>
          <w:bCs/>
          <w:color w:val="FF0000"/>
          <w:lang w:val="en-US" w:eastAsia="zh-CN"/>
        </w:rPr>
        <w:t>06366</w:t>
      </w:r>
      <w:r>
        <w:rPr>
          <w:rFonts w:hint="eastAsia"/>
          <w:b/>
          <w:bCs/>
          <w:color w:val="FF0000"/>
        </w:rPr>
        <w:t>。</w:t>
      </w:r>
    </w:p>
    <w:p w14:paraId="5F73F597">
      <w:pPr>
        <w:ind w:firstLine="420" w:firstLineChars="200"/>
        <w:rPr>
          <w:rFonts w:ascii="宋体" w:hAnsi="宋体"/>
          <w:szCs w:val="21"/>
        </w:rPr>
      </w:pPr>
      <w:r>
        <w:rPr>
          <w:rFonts w:hint="eastAsia" w:ascii="宋体" w:hAnsi="宋体"/>
          <w:szCs w:val="21"/>
        </w:rPr>
        <w:t>52.6收文办理</w:t>
      </w:r>
      <w:r>
        <w:rPr>
          <w:rFonts w:ascii="宋体" w:hAnsi="宋体"/>
          <w:szCs w:val="21"/>
        </w:rPr>
        <w:t>程序</w:t>
      </w:r>
    </w:p>
    <w:p w14:paraId="3047C079">
      <w:pPr>
        <w:ind w:firstLine="420" w:firstLineChars="200"/>
        <w:rPr>
          <w:rFonts w:ascii="宋体" w:hAnsi="宋体"/>
          <w:szCs w:val="21"/>
        </w:rPr>
      </w:pPr>
      <w:r>
        <w:rPr>
          <w:rFonts w:hint="eastAsia" w:ascii="宋体" w:hAnsi="宋体"/>
          <w:szCs w:val="21"/>
        </w:rPr>
        <w:t>52.6.1供应商提交的质疑符合受理条件的，</w:t>
      </w:r>
      <w:r>
        <w:rPr>
          <w:rFonts w:hint="eastAsia" w:ascii="宋体" w:hAnsi="宋体"/>
          <w:szCs w:val="21"/>
          <w:lang w:eastAsia="zh-CN"/>
        </w:rPr>
        <w:t>招标代理机构</w:t>
      </w:r>
      <w:r>
        <w:rPr>
          <w:rFonts w:hint="eastAsia" w:ascii="宋体" w:hAnsi="宋体"/>
          <w:szCs w:val="21"/>
        </w:rPr>
        <w:t>自收到质疑材料之日起即为受理，应当向供应商出具质疑函收文回执并可以要求其递交质疑的法定代表人（负责人）或者授权代理人签署质疑文书送达地址确认书。</w:t>
      </w:r>
    </w:p>
    <w:p w14:paraId="6957CCA8">
      <w:pPr>
        <w:ind w:firstLine="420" w:firstLineChars="200"/>
        <w:rPr>
          <w:rFonts w:ascii="仿宋" w:hAnsi="仿宋" w:eastAsia="仿宋"/>
          <w:sz w:val="28"/>
          <w:szCs w:val="28"/>
        </w:rPr>
      </w:pPr>
      <w:r>
        <w:rPr>
          <w:rFonts w:hint="eastAsia" w:ascii="宋体" w:hAnsi="宋体"/>
          <w:szCs w:val="21"/>
        </w:rPr>
        <w:t>52.6.2供应商提交的质疑材料不符合质疑条件的，视情况处理：</w:t>
      </w:r>
    </w:p>
    <w:p w14:paraId="0F5C6716">
      <w:pPr>
        <w:ind w:firstLine="420" w:firstLineChars="200"/>
        <w:rPr>
          <w:rFonts w:ascii="宋体" w:hAnsi="宋体"/>
          <w:szCs w:val="21"/>
        </w:rPr>
      </w:pPr>
      <w:r>
        <w:rPr>
          <w:rFonts w:hint="eastAsia" w:ascii="宋体" w:hAnsi="宋体"/>
          <w:szCs w:val="21"/>
        </w:rPr>
        <w:t>供应商提交的质疑材料不全或者未按要求签字或者盖章的，</w:t>
      </w:r>
      <w:r>
        <w:rPr>
          <w:rFonts w:hint="eastAsia" w:ascii="宋体" w:hAnsi="宋体"/>
          <w:szCs w:val="21"/>
          <w:lang w:eastAsia="zh-CN"/>
        </w:rPr>
        <w:t>招标代理机构</w:t>
      </w:r>
      <w:r>
        <w:rPr>
          <w:rFonts w:hint="eastAsia" w:ascii="宋体" w:hAnsi="宋体"/>
          <w:szCs w:val="21"/>
        </w:rPr>
        <w:t>应当一次性告知供应商需补正的内容和补正期限。</w:t>
      </w:r>
    </w:p>
    <w:p w14:paraId="01756758">
      <w:pPr>
        <w:ind w:firstLine="420" w:firstLineChars="200"/>
        <w:rPr>
          <w:rFonts w:ascii="宋体" w:hAnsi="宋体"/>
          <w:szCs w:val="21"/>
        </w:rPr>
      </w:pPr>
      <w:r>
        <w:rPr>
          <w:rFonts w:hint="eastAsia" w:ascii="宋体" w:hAnsi="宋体"/>
          <w:szCs w:val="21"/>
        </w:rPr>
        <w:t>供应商提交的质疑存在下列情形之一的，不予受理：</w:t>
      </w:r>
    </w:p>
    <w:p w14:paraId="7BE0BAD3">
      <w:pPr>
        <w:ind w:firstLine="420" w:firstLineChars="200"/>
        <w:rPr>
          <w:rFonts w:ascii="宋体" w:hAnsi="宋体"/>
          <w:szCs w:val="21"/>
        </w:rPr>
      </w:pPr>
      <w:r>
        <w:rPr>
          <w:rFonts w:hint="eastAsia" w:ascii="宋体" w:hAnsi="宋体"/>
          <w:szCs w:val="21"/>
        </w:rPr>
        <w:t>（1）质疑主体不满足要求的；</w:t>
      </w:r>
    </w:p>
    <w:p w14:paraId="7DB2640C">
      <w:pPr>
        <w:ind w:firstLine="420" w:firstLineChars="200"/>
        <w:rPr>
          <w:rFonts w:ascii="宋体" w:hAnsi="宋体"/>
          <w:szCs w:val="21"/>
        </w:rPr>
      </w:pPr>
      <w:r>
        <w:rPr>
          <w:rFonts w:hint="eastAsia" w:ascii="宋体" w:hAnsi="宋体"/>
          <w:szCs w:val="21"/>
        </w:rPr>
        <w:t>（2）供应商自身权益未受到损害的；</w:t>
      </w:r>
    </w:p>
    <w:p w14:paraId="033AA9B2">
      <w:pPr>
        <w:ind w:firstLine="420" w:firstLineChars="200"/>
        <w:rPr>
          <w:rFonts w:ascii="宋体" w:hAnsi="宋体"/>
          <w:szCs w:val="21"/>
        </w:rPr>
      </w:pPr>
      <w:r>
        <w:rPr>
          <w:rFonts w:hint="eastAsia" w:ascii="宋体" w:hAnsi="宋体"/>
          <w:szCs w:val="21"/>
        </w:rPr>
        <w:t>（3）供应商未在法定质疑期限内提出质疑的；</w:t>
      </w:r>
    </w:p>
    <w:p w14:paraId="381263ED">
      <w:pPr>
        <w:ind w:firstLine="420" w:firstLineChars="200"/>
        <w:rPr>
          <w:rFonts w:ascii="宋体" w:hAnsi="宋体"/>
          <w:szCs w:val="21"/>
        </w:rPr>
      </w:pPr>
      <w:r>
        <w:rPr>
          <w:rFonts w:hint="eastAsia" w:ascii="宋体" w:hAnsi="宋体"/>
          <w:szCs w:val="21"/>
        </w:rPr>
        <w:t>（4）质疑材料不全或者未按要求签字或者盖章的情况下，要求补正后，逾期未补正或者补正后仍不符合规定的；</w:t>
      </w:r>
    </w:p>
    <w:p w14:paraId="3858459B">
      <w:pPr>
        <w:ind w:firstLine="420" w:firstLineChars="200"/>
        <w:rPr>
          <w:rFonts w:ascii="宋体" w:hAnsi="宋体"/>
          <w:szCs w:val="21"/>
        </w:rPr>
      </w:pPr>
      <w:r>
        <w:rPr>
          <w:rFonts w:hint="eastAsia" w:ascii="宋体" w:hAnsi="宋体"/>
          <w:szCs w:val="21"/>
        </w:rPr>
        <w:t>（5）其他不符合受理条件情形的。</w:t>
      </w:r>
    </w:p>
    <w:p w14:paraId="48F0C116">
      <w:pPr>
        <w:ind w:firstLine="420" w:firstLineChars="200"/>
        <w:rPr>
          <w:rFonts w:ascii="宋体" w:hAnsi="宋体"/>
          <w:szCs w:val="21"/>
        </w:rPr>
      </w:pPr>
      <w:r>
        <w:rPr>
          <w:rFonts w:hint="eastAsia" w:ascii="宋体" w:hAnsi="宋体"/>
          <w:szCs w:val="21"/>
        </w:rPr>
        <w:t>质疑事项不予受理的，</w:t>
      </w:r>
      <w:r>
        <w:rPr>
          <w:rFonts w:hint="eastAsia" w:ascii="宋体" w:hAnsi="宋体"/>
          <w:szCs w:val="21"/>
          <w:lang w:eastAsia="zh-CN"/>
        </w:rPr>
        <w:t>招标代理机构</w:t>
      </w:r>
      <w:r>
        <w:rPr>
          <w:rFonts w:hint="eastAsia" w:ascii="宋体" w:hAnsi="宋体"/>
          <w:szCs w:val="21"/>
        </w:rPr>
        <w:t>应当向供应商出具不符合质疑条件告知书。</w:t>
      </w:r>
    </w:p>
    <w:p w14:paraId="7EBA9D89">
      <w:pPr>
        <w:rPr>
          <w:rFonts w:ascii="宋体" w:hAnsi="宋体"/>
          <w:szCs w:val="21"/>
        </w:rPr>
      </w:pPr>
      <w:r>
        <w:rPr>
          <w:rFonts w:hint="eastAsia" w:ascii="宋体" w:hAnsi="宋体"/>
          <w:color w:val="FF0000"/>
          <w:szCs w:val="21"/>
        </w:rPr>
        <w:t xml:space="preserve">  </w:t>
      </w:r>
      <w:r>
        <w:rPr>
          <w:rFonts w:hint="eastAsia" w:ascii="宋体" w:hAnsi="宋体"/>
          <w:szCs w:val="21"/>
        </w:rPr>
        <w:t xml:space="preserve">  52.7质疑答复时限</w:t>
      </w:r>
    </w:p>
    <w:p w14:paraId="7AA9C21B">
      <w:pPr>
        <w:rPr>
          <w:rFonts w:ascii="宋体" w:hAnsi="宋体"/>
          <w:szCs w:val="21"/>
        </w:rPr>
      </w:pPr>
      <w:r>
        <w:rPr>
          <w:rFonts w:hint="eastAsia" w:ascii="宋体" w:hAnsi="宋体"/>
          <w:szCs w:val="21"/>
        </w:rPr>
        <w:t xml:space="preserve">    自收文之日起七个工作日内。</w:t>
      </w:r>
    </w:p>
    <w:p w14:paraId="6FBD5D4C">
      <w:pPr>
        <w:rPr>
          <w:rFonts w:ascii="宋体" w:hAnsi="宋体"/>
          <w:szCs w:val="21"/>
        </w:rPr>
      </w:pPr>
      <w:r>
        <w:rPr>
          <w:rFonts w:hint="eastAsia" w:ascii="宋体" w:hAnsi="宋体"/>
          <w:szCs w:val="21"/>
        </w:rPr>
        <w:t xml:space="preserve">    52.8投诉</w:t>
      </w:r>
    </w:p>
    <w:p w14:paraId="3B1490D2">
      <w:pPr>
        <w:rPr>
          <w:rFonts w:ascii="宋体" w:hAnsi="宋体"/>
          <w:szCs w:val="21"/>
          <w:highlight w:val="none"/>
        </w:rPr>
      </w:pPr>
      <w:r>
        <w:rPr>
          <w:rFonts w:hint="eastAsia" w:ascii="宋体" w:hAnsi="宋体"/>
          <w:szCs w:val="21"/>
          <w:highlight w:val="none"/>
        </w:rPr>
        <w:t xml:space="preserve">    对质疑答复不满意或者未在规定时间内答复的，提出质疑的供应商可以在答复期满后15个工作日内向同级财政部门投诉。</w:t>
      </w:r>
    </w:p>
    <w:p w14:paraId="3BAA12C9">
      <w:pPr>
        <w:rPr>
          <w:rFonts w:ascii="黑体" w:hAnsi="宋体" w:eastAsia="黑体"/>
          <w:sz w:val="24"/>
        </w:rPr>
      </w:pPr>
      <w:r>
        <w:rPr>
          <w:rFonts w:hint="eastAsia" w:ascii="黑体" w:hAnsi="宋体" w:eastAsia="黑体"/>
          <w:sz w:val="24"/>
        </w:rPr>
        <w:t>53. 质疑后续处理</w:t>
      </w:r>
    </w:p>
    <w:p w14:paraId="0BF60EA5">
      <w:pPr>
        <w:rPr>
          <w:rFonts w:ascii="宋体" w:hAnsi="宋体"/>
          <w:szCs w:val="21"/>
        </w:rPr>
      </w:pPr>
      <w:r>
        <w:rPr>
          <w:rFonts w:hint="eastAsia" w:ascii="宋体" w:hAnsi="宋体"/>
          <w:szCs w:val="21"/>
        </w:rPr>
        <w:t xml:space="preserve">    53.1供应商质疑不成立，或者成立但未对中标、成交结果构成影响的，继续开展采购活动。</w:t>
      </w:r>
    </w:p>
    <w:p w14:paraId="111A97F0">
      <w:pPr>
        <w:ind w:firstLine="432"/>
        <w:rPr>
          <w:rFonts w:ascii="宋体" w:hAnsi="宋体"/>
          <w:szCs w:val="21"/>
        </w:rPr>
      </w:pPr>
      <w:r>
        <w:rPr>
          <w:rFonts w:hint="eastAsia" w:ascii="宋体" w:hAnsi="宋体"/>
          <w:szCs w:val="21"/>
        </w:rPr>
        <w:t>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合格供应商符合法定数量时，可以从合格的中标或者成交候选人中另行确定中标、成交供应商的，应当依法另行确定中标、成交供应商；否则应当重新开展采购活动。</w:t>
      </w:r>
    </w:p>
    <w:p w14:paraId="3F2ECF8D">
      <w:pPr>
        <w:ind w:firstLine="420"/>
        <w:rPr>
          <w:rFonts w:ascii="宋体" w:hAnsi="宋体"/>
          <w:szCs w:val="21"/>
        </w:rPr>
      </w:pPr>
    </w:p>
    <w:p w14:paraId="58D28549">
      <w:pPr>
        <w:jc w:val="center"/>
      </w:pPr>
      <w:r>
        <w:t>---- END ----</w:t>
      </w:r>
      <w:bookmarkEnd w:id="161"/>
    </w:p>
    <w:p w14:paraId="0E025320">
      <w:pPr>
        <w:bidi w:val="0"/>
        <w:rPr>
          <w:rFonts w:ascii="Times New Roman" w:hAnsi="Times New Roman" w:eastAsia="宋体" w:cs="Times New Roman"/>
          <w:kern w:val="2"/>
          <w:sz w:val="21"/>
          <w:szCs w:val="24"/>
          <w:lang w:val="en-US" w:eastAsia="zh-CN" w:bidi="ar-SA"/>
        </w:rPr>
      </w:pPr>
    </w:p>
    <w:p w14:paraId="13704948">
      <w:pPr>
        <w:bidi w:val="0"/>
        <w:rPr>
          <w:lang w:val="en-US" w:eastAsia="zh-CN"/>
        </w:rPr>
      </w:pPr>
    </w:p>
    <w:p w14:paraId="3A83FD87">
      <w:pPr>
        <w:bidi w:val="0"/>
        <w:rPr>
          <w:lang w:val="en-US" w:eastAsia="zh-CN"/>
        </w:rPr>
      </w:pPr>
    </w:p>
    <w:p w14:paraId="697810AA">
      <w:pPr>
        <w:bidi w:val="0"/>
        <w:rPr>
          <w:lang w:val="en-US" w:eastAsia="zh-CN"/>
        </w:rPr>
      </w:pPr>
    </w:p>
    <w:p w14:paraId="68B1C8E8">
      <w:pPr>
        <w:bidi w:val="0"/>
        <w:rPr>
          <w:lang w:val="en-US" w:eastAsia="zh-CN"/>
        </w:rPr>
      </w:pPr>
    </w:p>
    <w:p w14:paraId="6D3E09AE">
      <w:pPr>
        <w:bidi w:val="0"/>
        <w:rPr>
          <w:lang w:val="en-US" w:eastAsia="zh-CN"/>
        </w:rPr>
      </w:pPr>
    </w:p>
    <w:p w14:paraId="141CA966">
      <w:pPr>
        <w:bidi w:val="0"/>
        <w:rPr>
          <w:lang w:val="en-US" w:eastAsia="zh-CN"/>
        </w:rPr>
      </w:pPr>
    </w:p>
    <w:p w14:paraId="35725DB0">
      <w:pPr>
        <w:bidi w:val="0"/>
        <w:rPr>
          <w:lang w:val="en-US" w:eastAsia="zh-CN"/>
        </w:rPr>
      </w:pPr>
    </w:p>
    <w:p w14:paraId="0D37E6B6">
      <w:pPr>
        <w:bidi w:val="0"/>
        <w:rPr>
          <w:lang w:val="en-US" w:eastAsia="zh-CN"/>
        </w:rPr>
      </w:pPr>
    </w:p>
    <w:p w14:paraId="6F3F08C8">
      <w:pPr>
        <w:bidi w:val="0"/>
        <w:rPr>
          <w:lang w:val="en-US" w:eastAsia="zh-CN"/>
        </w:rPr>
      </w:pPr>
    </w:p>
    <w:p w14:paraId="1B63881C">
      <w:pPr>
        <w:bidi w:val="0"/>
        <w:rPr>
          <w:lang w:val="en-US" w:eastAsia="zh-CN"/>
        </w:rPr>
      </w:pPr>
    </w:p>
    <w:p w14:paraId="14E6FAC0">
      <w:pPr>
        <w:bidi w:val="0"/>
        <w:rPr>
          <w:lang w:val="en-US" w:eastAsia="zh-CN"/>
        </w:rPr>
      </w:pPr>
    </w:p>
    <w:p w14:paraId="1108FFD7">
      <w:pPr>
        <w:bidi w:val="0"/>
        <w:rPr>
          <w:lang w:val="en-US" w:eastAsia="zh-CN"/>
        </w:rPr>
      </w:pPr>
    </w:p>
    <w:p w14:paraId="34CF29F1">
      <w:pPr>
        <w:bidi w:val="0"/>
        <w:rPr>
          <w:lang w:val="en-US" w:eastAsia="zh-CN"/>
        </w:rPr>
      </w:pPr>
    </w:p>
    <w:p w14:paraId="763D4262">
      <w:pPr>
        <w:bidi w:val="0"/>
        <w:rPr>
          <w:lang w:val="en-US" w:eastAsia="zh-CN"/>
        </w:rPr>
      </w:pPr>
    </w:p>
    <w:p w14:paraId="583EC631">
      <w:pPr>
        <w:bidi w:val="0"/>
        <w:rPr>
          <w:lang w:val="en-US" w:eastAsia="zh-CN"/>
        </w:rPr>
      </w:pPr>
    </w:p>
    <w:p w14:paraId="5FE8A521">
      <w:pPr>
        <w:bidi w:val="0"/>
        <w:rPr>
          <w:lang w:val="en-US" w:eastAsia="zh-CN"/>
        </w:rPr>
      </w:pPr>
    </w:p>
    <w:p w14:paraId="5E7D5613">
      <w:pPr>
        <w:bidi w:val="0"/>
        <w:rPr>
          <w:lang w:val="en-US" w:eastAsia="zh-CN"/>
        </w:rPr>
      </w:pPr>
    </w:p>
    <w:p w14:paraId="66747E51">
      <w:pPr>
        <w:bidi w:val="0"/>
        <w:rPr>
          <w:lang w:val="en-US" w:eastAsia="zh-CN"/>
        </w:rPr>
      </w:pPr>
    </w:p>
    <w:p w14:paraId="60D171E5">
      <w:pPr>
        <w:bidi w:val="0"/>
        <w:rPr>
          <w:lang w:val="en-US" w:eastAsia="zh-CN"/>
        </w:rPr>
      </w:pPr>
    </w:p>
    <w:p w14:paraId="5F30E482">
      <w:pPr>
        <w:bidi w:val="0"/>
        <w:rPr>
          <w:lang w:val="en-US" w:eastAsia="zh-CN"/>
        </w:rPr>
      </w:pPr>
    </w:p>
    <w:p w14:paraId="47D32611">
      <w:pPr>
        <w:bidi w:val="0"/>
        <w:rPr>
          <w:lang w:val="en-US" w:eastAsia="zh-CN"/>
        </w:rPr>
      </w:pPr>
    </w:p>
    <w:p w14:paraId="10C32210">
      <w:pPr>
        <w:bidi w:val="0"/>
        <w:rPr>
          <w:lang w:val="en-US" w:eastAsia="zh-CN"/>
        </w:rPr>
      </w:pPr>
    </w:p>
    <w:p w14:paraId="7123441F">
      <w:pPr>
        <w:bidi w:val="0"/>
        <w:rPr>
          <w:lang w:val="en-US" w:eastAsia="zh-CN"/>
        </w:rPr>
      </w:pPr>
    </w:p>
    <w:p w14:paraId="66605E15">
      <w:pPr>
        <w:bidi w:val="0"/>
        <w:rPr>
          <w:lang w:val="en-US" w:eastAsia="zh-CN"/>
        </w:rPr>
      </w:pPr>
    </w:p>
    <w:p w14:paraId="77CDA335">
      <w:pPr>
        <w:bidi w:val="0"/>
        <w:rPr>
          <w:lang w:val="en-US" w:eastAsia="zh-CN"/>
        </w:rPr>
      </w:pPr>
    </w:p>
    <w:p w14:paraId="11A84ACA">
      <w:pPr>
        <w:bidi w:val="0"/>
        <w:rPr>
          <w:lang w:val="en-US" w:eastAsia="zh-CN"/>
        </w:rPr>
      </w:pPr>
    </w:p>
    <w:p w14:paraId="0C524541">
      <w:pPr>
        <w:bidi w:val="0"/>
        <w:rPr>
          <w:lang w:val="en-US" w:eastAsia="zh-CN"/>
        </w:rPr>
      </w:pPr>
    </w:p>
    <w:p w14:paraId="469C5BE5">
      <w:pPr>
        <w:bidi w:val="0"/>
        <w:rPr>
          <w:lang w:val="en-US" w:eastAsia="zh-CN"/>
        </w:rPr>
      </w:pPr>
    </w:p>
    <w:p w14:paraId="26247A1C">
      <w:pPr>
        <w:bidi w:val="0"/>
        <w:rPr>
          <w:lang w:val="en-US" w:eastAsia="zh-CN"/>
        </w:rPr>
      </w:pPr>
    </w:p>
    <w:p w14:paraId="56B3B032">
      <w:pPr>
        <w:bidi w:val="0"/>
        <w:rPr>
          <w:lang w:val="en-US" w:eastAsia="zh-CN"/>
        </w:rPr>
      </w:pPr>
    </w:p>
    <w:p w14:paraId="6A8CC402">
      <w:pPr>
        <w:bidi w:val="0"/>
        <w:rPr>
          <w:lang w:val="en-US" w:eastAsia="zh-CN"/>
        </w:rPr>
      </w:pPr>
    </w:p>
    <w:p w14:paraId="45A48D50">
      <w:pPr>
        <w:bidi w:val="0"/>
        <w:rPr>
          <w:lang w:val="en-US" w:eastAsia="zh-CN"/>
        </w:rPr>
      </w:pPr>
    </w:p>
    <w:p w14:paraId="13DA04CB">
      <w:pPr>
        <w:bidi w:val="0"/>
        <w:rPr>
          <w:lang w:val="en-US" w:eastAsia="zh-CN"/>
        </w:rPr>
      </w:pPr>
    </w:p>
    <w:p w14:paraId="2F227EFB">
      <w:pPr>
        <w:bidi w:val="0"/>
        <w:rPr>
          <w:lang w:val="en-US" w:eastAsia="zh-CN"/>
        </w:rPr>
      </w:pPr>
    </w:p>
    <w:p w14:paraId="23B8BA3E">
      <w:pPr>
        <w:bidi w:val="0"/>
        <w:rPr>
          <w:lang w:val="en-US" w:eastAsia="zh-CN"/>
        </w:rPr>
      </w:pPr>
    </w:p>
    <w:p w14:paraId="64A2DDC4">
      <w:pPr>
        <w:bidi w:val="0"/>
        <w:rPr>
          <w:lang w:val="en-US" w:eastAsia="zh-CN"/>
        </w:rPr>
      </w:pPr>
    </w:p>
    <w:p w14:paraId="1B7C67DD">
      <w:pPr>
        <w:bidi w:val="0"/>
        <w:rPr>
          <w:lang w:val="en-US" w:eastAsia="zh-CN"/>
        </w:rPr>
      </w:pPr>
    </w:p>
    <w:p w14:paraId="15302DDD">
      <w:pPr>
        <w:bidi w:val="0"/>
        <w:rPr>
          <w:lang w:val="en-US" w:eastAsia="zh-CN"/>
        </w:rPr>
      </w:pPr>
    </w:p>
    <w:p w14:paraId="4D23442D">
      <w:pPr>
        <w:bidi w:val="0"/>
        <w:rPr>
          <w:lang w:val="en-US" w:eastAsia="zh-CN"/>
        </w:rPr>
      </w:pPr>
    </w:p>
    <w:p w14:paraId="2E2140DF">
      <w:pPr>
        <w:bidi w:val="0"/>
        <w:rPr>
          <w:lang w:val="en-US" w:eastAsia="zh-CN"/>
        </w:rPr>
      </w:pPr>
    </w:p>
    <w:p w14:paraId="5EC47F59">
      <w:pPr>
        <w:bidi w:val="0"/>
        <w:rPr>
          <w:lang w:val="en-US" w:eastAsia="zh-CN"/>
        </w:rPr>
      </w:pPr>
    </w:p>
    <w:p w14:paraId="204FA047">
      <w:pPr>
        <w:tabs>
          <w:tab w:val="left" w:pos="1100"/>
        </w:tabs>
        <w:bidi w:val="0"/>
        <w:jc w:val="left"/>
        <w:rPr>
          <w:rFonts w:hint="eastAsia"/>
          <w:lang w:val="en-US" w:eastAsia="zh-CN"/>
        </w:rPr>
      </w:pPr>
      <w:r>
        <w:rPr>
          <w:rFonts w:hint="eastAsia"/>
          <w:lang w:val="en-US" w:eastAsia="zh-CN"/>
        </w:rPr>
        <w:tab/>
      </w:r>
    </w:p>
    <w:p w14:paraId="0F99B65A">
      <w:pPr>
        <w:tabs>
          <w:tab w:val="left" w:pos="1100"/>
        </w:tabs>
        <w:bidi w:val="0"/>
        <w:jc w:val="left"/>
        <w:rPr>
          <w:rFonts w:hint="eastAsia"/>
          <w:lang w:val="en-US" w:eastAsia="zh-CN"/>
        </w:rPr>
      </w:pPr>
    </w:p>
    <w:p w14:paraId="6DE95AB6">
      <w:pPr>
        <w:tabs>
          <w:tab w:val="left" w:pos="1100"/>
        </w:tabs>
        <w:bidi w:val="0"/>
        <w:jc w:val="left"/>
        <w:rPr>
          <w:rFonts w:hint="eastAsia"/>
          <w:lang w:val="en-US" w:eastAsia="zh-CN"/>
        </w:rPr>
      </w:pPr>
    </w:p>
    <w:p w14:paraId="4BCD6F48">
      <w:pPr>
        <w:bidi w:val="0"/>
        <w:jc w:val="left"/>
        <w:rPr>
          <w:rFonts w:hint="eastAsia"/>
          <w:lang w:val="en-US" w:eastAsia="zh-CN"/>
        </w:rPr>
      </w:pPr>
    </w:p>
    <w:sectPr>
      <w:headerReference r:id="rId7" w:type="default"/>
      <w:footerReference r:id="rId8" w:type="default"/>
      <w:pgSz w:w="11907" w:h="16840"/>
      <w:pgMar w:top="1440" w:right="1797" w:bottom="1440" w:left="1797" w:header="851" w:footer="992" w:gutter="0"/>
      <w:pgNumType w:fmt="decimal"/>
      <w:cols w:space="425" w:num="1"/>
      <w:titlePg/>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隶书">
    <w:panose1 w:val="0201050906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长城仿宋">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文鼎粗黑">
    <w:altName w:val="黑体"/>
    <w:panose1 w:val="00000000000000000000"/>
    <w:charset w:val="86"/>
    <w:family w:val="modern"/>
    <w:pitch w:val="default"/>
    <w:sig w:usb0="00000000" w:usb1="00000000" w:usb2="00000010" w:usb3="00000000" w:csb0="00040000" w:csb1="00000000"/>
  </w:font>
  <w:font w:name="Arial (W1)">
    <w:altName w:val="Arial"/>
    <w:panose1 w:val="00000000000000000000"/>
    <w:charset w:val="00"/>
    <w:family w:val="swiss"/>
    <w:pitch w:val="default"/>
    <w:sig w:usb0="00000000" w:usb1="00000000" w:usb2="00000009" w:usb3="00000000" w:csb0="000001FF"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roman"/>
    <w:pitch w:val="default"/>
    <w:sig w:usb0="00000000" w:usb1="00000000" w:usb2="00000000" w:usb3="00000000" w:csb0="00000000" w:csb1="00000000"/>
  </w:font>
  <w:font w:name="??">
    <w:altName w:val="Times New Roman"/>
    <w:panose1 w:val="00000000000000000000"/>
    <w:charset w:val="01"/>
    <w:family w:val="auto"/>
    <w:pitch w:val="default"/>
    <w:sig w:usb0="00000000" w:usb1="00000000" w:usb2="00000000" w:usb3="00000000" w:csb0="00040001" w:csb1="00000000"/>
  </w:font>
  <w:font w:name="汉仪细等线简">
    <w:altName w:val="宋体"/>
    <w:panose1 w:val="00000000000000000000"/>
    <w:charset w:val="86"/>
    <w:family w:val="modern"/>
    <w:pitch w:val="default"/>
    <w:sig w:usb0="00000000" w:usb1="00000000" w:usb2="00000012" w:usb3="00000000" w:csb0="00040000" w:csb1="00000000"/>
  </w:font>
  <w:font w:name="H Yb 2gj">
    <w:altName w:val="宋体"/>
    <w:panose1 w:val="00000000000000000000"/>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Arial Narrow">
    <w:panose1 w:val="020B0606020202030204"/>
    <w:charset w:val="00"/>
    <w:family w:val="swiss"/>
    <w:pitch w:val="default"/>
    <w:sig w:usb0="00000287" w:usb1="00000800" w:usb2="00000000" w:usb3="00000000" w:csb0="2000009F" w:csb1="DFD70000"/>
  </w:font>
  <w:font w:name="微软雅黑">
    <w:panose1 w:val="020B0503020204020204"/>
    <w:charset w:val="86"/>
    <w:family w:val="swiss"/>
    <w:pitch w:val="default"/>
    <w:sig w:usb0="80000287" w:usb1="2ACF3C50" w:usb2="00000016" w:usb3="00000000" w:csb0="0004001F" w:csb1="00000000"/>
  </w:font>
  <w:font w:name="PMingLiU">
    <w:altName w:val="PMingLiU-ExtB"/>
    <w:panose1 w:val="02020500000000000000"/>
    <w:charset w:val="88"/>
    <w:family w:val="auto"/>
    <w:pitch w:val="default"/>
    <w:sig w:usb0="00000000" w:usb1="00000000" w:usb2="00000016" w:usb3="00000000" w:csb0="00100001" w:csb1="00000000"/>
  </w:font>
  <w:font w:name="Noto Sans Mono CJK HK">
    <w:altName w:val="Calibri"/>
    <w:panose1 w:val="00000000000000000000"/>
    <w:charset w:val="00"/>
    <w:family w:val="swiss"/>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5934C7">
    <w:pPr>
      <w:pStyle w:val="2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F7994A">
                          <w:pPr>
                            <w:pStyle w:val="27"/>
                            <w:rPr>
                              <w:rStyle w:val="48"/>
                            </w:rPr>
                          </w:pPr>
                          <w:r>
                            <w:t xml:space="preserve">- </w:t>
                          </w:r>
                          <w:r>
                            <w:fldChar w:fldCharType="begin"/>
                          </w:r>
                          <w:r>
                            <w:instrText xml:space="preserve"> PAGE </w:instrText>
                          </w:r>
                          <w:r>
                            <w:fldChar w:fldCharType="separate"/>
                          </w:r>
                          <w:r>
                            <w:t>19</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0F7994A">
                    <w:pPr>
                      <w:pStyle w:val="27"/>
                      <w:rPr>
                        <w:rStyle w:val="48"/>
                      </w:rPr>
                    </w:pPr>
                    <w:r>
                      <w:t xml:space="preserve">- </w:t>
                    </w:r>
                    <w:r>
                      <w:fldChar w:fldCharType="begin"/>
                    </w:r>
                    <w:r>
                      <w:instrText xml:space="preserve"> PAGE </w:instrText>
                    </w:r>
                    <w:r>
                      <w:fldChar w:fldCharType="separate"/>
                    </w:r>
                    <w:r>
                      <w:t>19</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D7F830">
    <w:pPr>
      <w:pStyle w:val="27"/>
      <w:framePr w:wrap="around" w:vAnchor="text" w:hAnchor="margin" w:xAlign="center" w:y="1"/>
      <w:rPr>
        <w:rStyle w:val="48"/>
      </w:rPr>
    </w:pPr>
    <w:r>
      <w:rPr>
        <w:rStyle w:val="48"/>
      </w:rPr>
      <w:fldChar w:fldCharType="begin"/>
    </w:r>
    <w:r>
      <w:rPr>
        <w:rStyle w:val="48"/>
      </w:rPr>
      <w:instrText xml:space="preserve">PAGE  </w:instrText>
    </w:r>
    <w:r>
      <w:rPr>
        <w:rStyle w:val="48"/>
      </w:rPr>
      <w:fldChar w:fldCharType="end"/>
    </w:r>
  </w:p>
  <w:p w14:paraId="51DFA7B5">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5736C0">
    <w:pPr>
      <w:pStyle w:val="2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4A9412">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604A9412">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B4A0D0">
    <w:pPr>
      <w:tabs>
        <w:tab w:val="center" w:pos="4153"/>
        <w:tab w:val="right" w:pos="8306"/>
      </w:tabs>
      <w:snapToGrid w:val="0"/>
      <w:jc w:val="left"/>
      <w:rPr>
        <w:sz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DECE2B">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3ADECE2B">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43</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8E5A27">
    <w:pPr>
      <w:pStyle w:val="28"/>
      <w:pBdr>
        <w:bottom w:val="none" w:color="auto" w:sz="0" w:space="1"/>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39BE76">
    <w:pPr>
      <w:pBdr>
        <w:top w:val="none" w:color="auto" w:sz="0" w:space="1"/>
        <w:left w:val="none" w:color="auto" w:sz="0" w:space="4"/>
        <w:bottom w:val="none" w:color="auto" w:sz="0" w:space="1"/>
        <w:right w:val="none" w:color="auto" w:sz="0" w:space="4"/>
      </w:pBdr>
      <w:tabs>
        <w:tab w:val="center" w:pos="4153"/>
        <w:tab w:val="right" w:pos="8306"/>
      </w:tabs>
      <w:snapToGrid w:val="0"/>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358C2E"/>
    <w:multiLevelType w:val="singleLevel"/>
    <w:tmpl w:val="B9358C2E"/>
    <w:lvl w:ilvl="0" w:tentative="0">
      <w:start w:val="2"/>
      <w:numFmt w:val="decimal"/>
      <w:suff w:val="nothing"/>
      <w:lvlText w:val="%1、"/>
      <w:lvlJc w:val="left"/>
    </w:lvl>
  </w:abstractNum>
  <w:abstractNum w:abstractNumId="1">
    <w:nsid w:val="BB073D2D"/>
    <w:multiLevelType w:val="singleLevel"/>
    <w:tmpl w:val="BB073D2D"/>
    <w:lvl w:ilvl="0" w:tentative="0">
      <w:start w:val="1"/>
      <w:numFmt w:val="decimal"/>
      <w:suff w:val="nothing"/>
      <w:lvlText w:val="%1、"/>
      <w:lvlJc w:val="left"/>
    </w:lvl>
  </w:abstractNum>
  <w:abstractNum w:abstractNumId="2">
    <w:nsid w:val="FFFFFF7C"/>
    <w:multiLevelType w:val="singleLevel"/>
    <w:tmpl w:val="FFFFFF7C"/>
    <w:lvl w:ilvl="0" w:tentative="0">
      <w:start w:val="1"/>
      <w:numFmt w:val="decimal"/>
      <w:pStyle w:val="60"/>
      <w:lvlText w:val="%1."/>
      <w:lvlJc w:val="left"/>
      <w:pPr>
        <w:tabs>
          <w:tab w:val="left" w:pos="7994"/>
        </w:tabs>
        <w:ind w:left="7994" w:leftChars="800" w:hanging="360" w:hangingChars="200"/>
      </w:pPr>
    </w:lvl>
  </w:abstractNum>
  <w:abstractNum w:abstractNumId="3">
    <w:nsid w:val="FFFFFF89"/>
    <w:multiLevelType w:val="singleLevel"/>
    <w:tmpl w:val="FFFFFF89"/>
    <w:lvl w:ilvl="0" w:tentative="0">
      <w:start w:val="1"/>
      <w:numFmt w:val="bullet"/>
      <w:pStyle w:val="14"/>
      <w:lvlText w:val=""/>
      <w:lvlJc w:val="left"/>
      <w:pPr>
        <w:tabs>
          <w:tab w:val="left" w:pos="360"/>
        </w:tabs>
        <w:ind w:left="360" w:hanging="360" w:hangingChars="200"/>
      </w:pPr>
      <w:rPr>
        <w:rFonts w:hint="default" w:ascii="Wingdings" w:hAnsi="Wingdings"/>
      </w:rPr>
    </w:lvl>
  </w:abstractNum>
  <w:abstractNum w:abstractNumId="4">
    <w:nsid w:val="033835F7"/>
    <w:multiLevelType w:val="multilevel"/>
    <w:tmpl w:val="033835F7"/>
    <w:lvl w:ilvl="0" w:tentative="0">
      <w:start w:val="1"/>
      <w:numFmt w:val="chineseCountingThousand"/>
      <w:suff w:val="space"/>
      <w:lvlText w:val="%1、"/>
      <w:lvlJc w:val="left"/>
      <w:pPr>
        <w:ind w:left="846" w:hanging="420"/>
      </w:pPr>
      <w:rPr>
        <w:rFonts w:hint="default"/>
        <w:b/>
        <w:sz w:val="24"/>
        <w:szCs w:val="24"/>
      </w:rPr>
    </w:lvl>
    <w:lvl w:ilvl="1" w:tentative="0">
      <w:start w:val="1"/>
      <w:numFmt w:val="lowerLetter"/>
      <w:lvlText w:val="%2)"/>
      <w:lvlJc w:val="left"/>
      <w:pPr>
        <w:ind w:left="846" w:hanging="420"/>
      </w:pPr>
    </w:lvl>
    <w:lvl w:ilvl="2" w:tentative="0">
      <w:start w:val="1"/>
      <w:numFmt w:val="lowerRoman"/>
      <w:lvlText w:val="%3."/>
      <w:lvlJc w:val="right"/>
      <w:pPr>
        <w:ind w:left="1266" w:hanging="420"/>
      </w:pPr>
    </w:lvl>
    <w:lvl w:ilvl="3" w:tentative="0">
      <w:start w:val="1"/>
      <w:numFmt w:val="decimal"/>
      <w:lvlText w:val="%4."/>
      <w:lvlJc w:val="left"/>
      <w:pPr>
        <w:ind w:left="1686" w:hanging="420"/>
      </w:pPr>
    </w:lvl>
    <w:lvl w:ilvl="4" w:tentative="0">
      <w:start w:val="1"/>
      <w:numFmt w:val="lowerLetter"/>
      <w:lvlText w:val="%5)"/>
      <w:lvlJc w:val="left"/>
      <w:pPr>
        <w:ind w:left="2106" w:hanging="420"/>
      </w:pPr>
    </w:lvl>
    <w:lvl w:ilvl="5" w:tentative="0">
      <w:start w:val="1"/>
      <w:numFmt w:val="lowerRoman"/>
      <w:lvlText w:val="%6."/>
      <w:lvlJc w:val="right"/>
      <w:pPr>
        <w:ind w:left="2526" w:hanging="420"/>
      </w:pPr>
    </w:lvl>
    <w:lvl w:ilvl="6" w:tentative="0">
      <w:start w:val="1"/>
      <w:numFmt w:val="decimal"/>
      <w:lvlText w:val="%7."/>
      <w:lvlJc w:val="left"/>
      <w:pPr>
        <w:ind w:left="2946" w:hanging="420"/>
      </w:pPr>
    </w:lvl>
    <w:lvl w:ilvl="7" w:tentative="0">
      <w:start w:val="1"/>
      <w:numFmt w:val="lowerLetter"/>
      <w:lvlText w:val="%8)"/>
      <w:lvlJc w:val="left"/>
      <w:pPr>
        <w:ind w:left="3366" w:hanging="420"/>
      </w:pPr>
    </w:lvl>
    <w:lvl w:ilvl="8" w:tentative="0">
      <w:start w:val="1"/>
      <w:numFmt w:val="lowerRoman"/>
      <w:lvlText w:val="%9."/>
      <w:lvlJc w:val="right"/>
      <w:pPr>
        <w:ind w:left="3786" w:hanging="420"/>
      </w:pPr>
    </w:lvl>
  </w:abstractNum>
  <w:abstractNum w:abstractNumId="5">
    <w:nsid w:val="09702FD4"/>
    <w:multiLevelType w:val="multilevel"/>
    <w:tmpl w:val="09702FD4"/>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09F81FD3"/>
    <w:multiLevelType w:val="multilevel"/>
    <w:tmpl w:val="09F81FD3"/>
    <w:lvl w:ilvl="0" w:tentative="0">
      <w:start w:val="1"/>
      <w:numFmt w:val="japaneseCounting"/>
      <w:lvlText w:val="第%1章"/>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A7E36CB"/>
    <w:multiLevelType w:val="multilevel"/>
    <w:tmpl w:val="0A7E36CB"/>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0CB939EA"/>
    <w:multiLevelType w:val="multilevel"/>
    <w:tmpl w:val="0CB939EA"/>
    <w:lvl w:ilvl="0" w:tentative="0">
      <w:start w:val="1"/>
      <w:numFmt w:val="decimal"/>
      <w:lvlText w:val="%1."/>
      <w:lvlJc w:val="left"/>
      <w:pPr>
        <w:ind w:left="0" w:firstLine="420"/>
      </w:pPr>
      <w:rPr>
        <w:rFonts w:hint="default"/>
        <w:b w:val="0"/>
        <w:sz w:val="24"/>
        <w:szCs w:val="24"/>
      </w:rPr>
    </w:lvl>
    <w:lvl w:ilvl="1" w:tentative="0">
      <w:start w:val="1"/>
      <w:numFmt w:val="decimal"/>
      <w:suff w:val="space"/>
      <w:lvlText w:val="（%2）"/>
      <w:lvlJc w:val="left"/>
      <w:pPr>
        <w:ind w:left="0" w:firstLine="426"/>
      </w:pPr>
      <w:rPr>
        <w:rFonts w:hint="default"/>
        <w:b w:val="0"/>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0D5777AD"/>
    <w:multiLevelType w:val="multilevel"/>
    <w:tmpl w:val="0D5777AD"/>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12503483"/>
    <w:multiLevelType w:val="multilevel"/>
    <w:tmpl w:val="12503483"/>
    <w:lvl w:ilvl="0" w:tentative="0">
      <w:start w:val="1"/>
      <w:numFmt w:val="bullet"/>
      <w:pStyle w:val="108"/>
      <w:lvlText w:val=""/>
      <w:lvlJc w:val="left"/>
      <w:pPr>
        <w:tabs>
          <w:tab w:val="left" w:pos="420"/>
        </w:tabs>
        <w:ind w:left="420" w:hanging="420"/>
      </w:pPr>
      <w:rPr>
        <w:rFonts w:hint="default" w:ascii="Wingdings" w:hAnsi="Wingdings"/>
      </w:rPr>
    </w:lvl>
    <w:lvl w:ilvl="1" w:tentative="0">
      <w:start w:val="1"/>
      <w:numFmt w:val="bullet"/>
      <w:pStyle w:val="107"/>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1">
    <w:nsid w:val="160D20D0"/>
    <w:multiLevelType w:val="multilevel"/>
    <w:tmpl w:val="160D20D0"/>
    <w:lvl w:ilvl="0" w:tentative="0">
      <w:start w:val="1"/>
      <w:numFmt w:val="bullet"/>
      <w:pStyle w:val="76"/>
      <w:lvlText w:val=""/>
      <w:lvlJc w:val="left"/>
      <w:pPr>
        <w:tabs>
          <w:tab w:val="left" w:pos="840"/>
        </w:tabs>
        <w:ind w:left="840" w:hanging="420"/>
      </w:pPr>
      <w:rPr>
        <w:rFonts w:hint="default" w:ascii="Wingdings" w:hAnsi="Wingdings"/>
      </w:rPr>
    </w:lvl>
    <w:lvl w:ilvl="1" w:tentative="0">
      <w:start w:val="1"/>
      <w:numFmt w:val="bullet"/>
      <w:pStyle w:val="77"/>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2">
    <w:nsid w:val="182D247C"/>
    <w:multiLevelType w:val="multilevel"/>
    <w:tmpl w:val="182D247C"/>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1ADE7CEF"/>
    <w:multiLevelType w:val="multilevel"/>
    <w:tmpl w:val="1ADE7CEF"/>
    <w:lvl w:ilvl="0" w:tentative="0">
      <w:start w:val="1"/>
      <w:numFmt w:val="decimal"/>
      <w:lvlText w:val="%1."/>
      <w:lvlJc w:val="left"/>
      <w:pPr>
        <w:ind w:left="0" w:firstLine="420"/>
      </w:pPr>
      <w:rPr>
        <w:rFonts w:hint="default"/>
        <w:b w:val="0"/>
        <w:sz w:val="24"/>
        <w:szCs w:val="24"/>
      </w:rPr>
    </w:lvl>
    <w:lvl w:ilvl="1" w:tentative="0">
      <w:start w:val="1"/>
      <w:numFmt w:val="decimal"/>
      <w:suff w:val="space"/>
      <w:lvlText w:val="（%2）"/>
      <w:lvlJc w:val="left"/>
      <w:pPr>
        <w:ind w:left="0" w:firstLine="426"/>
      </w:pPr>
      <w:rPr>
        <w:rFonts w:hint="default"/>
        <w:b w:val="0"/>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29C17E45"/>
    <w:multiLevelType w:val="multilevel"/>
    <w:tmpl w:val="29C17E45"/>
    <w:lvl w:ilvl="0" w:tentative="0">
      <w:start w:val="1"/>
      <w:numFmt w:val="decimal"/>
      <w:lvlText w:val="%1."/>
      <w:lvlJc w:val="left"/>
      <w:pPr>
        <w:ind w:left="840" w:hanging="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2F395B7B"/>
    <w:multiLevelType w:val="multilevel"/>
    <w:tmpl w:val="2F395B7B"/>
    <w:lvl w:ilvl="0" w:tentative="0">
      <w:start w:val="1"/>
      <w:numFmt w:val="bullet"/>
      <w:pStyle w:val="168"/>
      <w:lvlText w:val=""/>
      <w:lvlJc w:val="left"/>
      <w:pPr>
        <w:tabs>
          <w:tab w:val="left" w:pos="360"/>
        </w:tabs>
        <w:ind w:left="360" w:hanging="360"/>
      </w:pPr>
      <w:rPr>
        <w:rFonts w:hint="default" w:ascii="Symbol" w:hAnsi="Symbol"/>
      </w:rPr>
    </w:lvl>
    <w:lvl w:ilvl="1" w:tentative="0">
      <w:start w:val="1"/>
      <w:numFmt w:val="bullet"/>
      <w:lvlText w:val=""/>
      <w:lvlJc w:val="left"/>
      <w:pPr>
        <w:tabs>
          <w:tab w:val="left" w:pos="1140"/>
        </w:tabs>
        <w:ind w:left="1140" w:hanging="420"/>
      </w:pPr>
      <w:rPr>
        <w:rFonts w:hint="default" w:ascii="Wingdings" w:hAnsi="Wingdings"/>
      </w:rPr>
    </w:lvl>
    <w:lvl w:ilvl="2" w:tentative="0">
      <w:start w:val="1"/>
      <w:numFmt w:val="bullet"/>
      <w:lvlText w:val=""/>
      <w:lvlJc w:val="left"/>
      <w:pPr>
        <w:tabs>
          <w:tab w:val="left" w:pos="1800"/>
        </w:tabs>
        <w:ind w:left="1800" w:hanging="360"/>
      </w:pPr>
      <w:rPr>
        <w:rFonts w:hint="default" w:ascii="Wingdings" w:hAnsi="Wingdings"/>
      </w:rPr>
    </w:lvl>
    <w:lvl w:ilvl="3" w:tentative="0">
      <w:start w:val="1"/>
      <w:numFmt w:val="bullet"/>
      <w:lvlText w:val=""/>
      <w:lvlJc w:val="left"/>
      <w:pPr>
        <w:tabs>
          <w:tab w:val="left" w:pos="2520"/>
        </w:tabs>
        <w:ind w:left="2520" w:hanging="360"/>
      </w:pPr>
      <w:rPr>
        <w:rFonts w:hint="default" w:ascii="Symbol" w:hAnsi="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rPr>
    </w:lvl>
    <w:lvl w:ilvl="6" w:tentative="0">
      <w:start w:val="1"/>
      <w:numFmt w:val="bullet"/>
      <w:lvlText w:val=""/>
      <w:lvlJc w:val="left"/>
      <w:pPr>
        <w:tabs>
          <w:tab w:val="left" w:pos="4680"/>
        </w:tabs>
        <w:ind w:left="4680" w:hanging="360"/>
      </w:pPr>
      <w:rPr>
        <w:rFonts w:hint="default" w:ascii="Symbol" w:hAnsi="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rPr>
    </w:lvl>
  </w:abstractNum>
  <w:abstractNum w:abstractNumId="16">
    <w:nsid w:val="47F5E959"/>
    <w:multiLevelType w:val="singleLevel"/>
    <w:tmpl w:val="47F5E959"/>
    <w:lvl w:ilvl="0" w:tentative="0">
      <w:start w:val="1"/>
      <w:numFmt w:val="decimal"/>
      <w:lvlText w:val="%1."/>
      <w:lvlJc w:val="left"/>
      <w:pPr>
        <w:tabs>
          <w:tab w:val="left" w:pos="312"/>
        </w:tabs>
      </w:pPr>
    </w:lvl>
  </w:abstractNum>
  <w:abstractNum w:abstractNumId="17">
    <w:nsid w:val="4A304B74"/>
    <w:multiLevelType w:val="multilevel"/>
    <w:tmpl w:val="4A304B74"/>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8">
    <w:nsid w:val="4E3C136E"/>
    <w:multiLevelType w:val="multilevel"/>
    <w:tmpl w:val="4E3C136E"/>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9">
    <w:nsid w:val="5BF3CCAD"/>
    <w:multiLevelType w:val="singleLevel"/>
    <w:tmpl w:val="5BF3CCAD"/>
    <w:lvl w:ilvl="0" w:tentative="0">
      <w:start w:val="1"/>
      <w:numFmt w:val="decimal"/>
      <w:suff w:val="nothing"/>
      <w:lvlText w:val="%1．"/>
      <w:lvlJc w:val="left"/>
      <w:pPr>
        <w:ind w:left="0" w:firstLine="400"/>
      </w:pPr>
      <w:rPr>
        <w:rFonts w:hint="default"/>
      </w:rPr>
    </w:lvl>
  </w:abstractNum>
  <w:abstractNum w:abstractNumId="20">
    <w:nsid w:val="6C107014"/>
    <w:multiLevelType w:val="multilevel"/>
    <w:tmpl w:val="6C107014"/>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1">
    <w:nsid w:val="75173ECF"/>
    <w:multiLevelType w:val="multilevel"/>
    <w:tmpl w:val="75173ECF"/>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7AEF7716"/>
    <w:multiLevelType w:val="multilevel"/>
    <w:tmpl w:val="7AEF7716"/>
    <w:lvl w:ilvl="0" w:tentative="0">
      <w:start w:val="1"/>
      <w:numFmt w:val="chineseCountingThousand"/>
      <w:pStyle w:val="121"/>
      <w:lvlText w:val="%1"/>
      <w:lvlJc w:val="left"/>
      <w:pPr>
        <w:tabs>
          <w:tab w:val="left" w:pos="1290"/>
        </w:tabs>
        <w:ind w:left="630" w:hanging="420"/>
      </w:pPr>
      <w:rPr>
        <w:rFonts w:hint="eastAsia"/>
        <w:sz w:val="32"/>
        <w:szCs w:val="32"/>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7E5070A4"/>
    <w:multiLevelType w:val="singleLevel"/>
    <w:tmpl w:val="7E5070A4"/>
    <w:lvl w:ilvl="0" w:tentative="0">
      <w:start w:val="2"/>
      <w:numFmt w:val="decimal"/>
      <w:suff w:val="nothing"/>
      <w:lvlText w:val="%1、"/>
      <w:lvlJc w:val="left"/>
    </w:lvl>
  </w:abstractNum>
  <w:num w:numId="1">
    <w:abstractNumId w:val="3"/>
  </w:num>
  <w:num w:numId="2">
    <w:abstractNumId w:val="2"/>
  </w:num>
  <w:num w:numId="3">
    <w:abstractNumId w:val="11"/>
  </w:num>
  <w:num w:numId="4">
    <w:abstractNumId w:val="10"/>
  </w:num>
  <w:num w:numId="5">
    <w:abstractNumId w:val="22"/>
  </w:num>
  <w:num w:numId="6">
    <w:abstractNumId w:val="15"/>
  </w:num>
  <w:num w:numId="7">
    <w:abstractNumId w:val="23"/>
  </w:num>
  <w:num w:numId="8">
    <w:abstractNumId w:val="1"/>
  </w:num>
  <w:num w:numId="9">
    <w:abstractNumId w:val="0"/>
  </w:num>
  <w:num w:numId="10">
    <w:abstractNumId w:val="4"/>
  </w:num>
  <w:num w:numId="11">
    <w:abstractNumId w:val="19"/>
  </w:num>
  <w:num w:numId="12">
    <w:abstractNumId w:val="14"/>
  </w:num>
  <w:num w:numId="13">
    <w:abstractNumId w:val="16"/>
  </w:num>
  <w:num w:numId="14">
    <w:abstractNumId w:val="7"/>
  </w:num>
  <w:num w:numId="15">
    <w:abstractNumId w:val="20"/>
  </w:num>
  <w:num w:numId="16">
    <w:abstractNumId w:val="21"/>
  </w:num>
  <w:num w:numId="17">
    <w:abstractNumId w:val="13"/>
  </w:num>
  <w:num w:numId="18">
    <w:abstractNumId w:val="12"/>
  </w:num>
  <w:num w:numId="19">
    <w:abstractNumId w:val="5"/>
  </w:num>
  <w:num w:numId="20">
    <w:abstractNumId w:val="8"/>
  </w:num>
  <w:num w:numId="21">
    <w:abstractNumId w:val="18"/>
  </w:num>
  <w:num w:numId="22">
    <w:abstractNumId w:val="9"/>
  </w:num>
  <w:num w:numId="23">
    <w:abstractNumId w:val="17"/>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enforcement="0"/>
  <w:defaultTabStop w:val="420"/>
  <w:displayHorizontalDrawingGridEvery w:val="1"/>
  <w:displayVerticalDrawingGridEvery w:val="1"/>
  <w:noPunctuationKerning w:val="1"/>
  <w:characterSpacingControl w:val="doNotCompress"/>
  <w:compat>
    <w:balanceSingleByteDoubleByteWidth/>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wMzdkMTRlYjU4Mzk4NjYwMGU0MzZkZGNjMzI3NTQifQ=="/>
    <w:docVar w:name="KSO_WPS_MARK_KEY" w:val="a5980290-81d1-4166-b591-31e4936b8684"/>
  </w:docVars>
  <w:rsids>
    <w:rsidRoot w:val="006C5683"/>
    <w:rsid w:val="000006EA"/>
    <w:rsid w:val="00000AD9"/>
    <w:rsid w:val="000043C0"/>
    <w:rsid w:val="00004F2D"/>
    <w:rsid w:val="000050CA"/>
    <w:rsid w:val="000051C6"/>
    <w:rsid w:val="00005215"/>
    <w:rsid w:val="00005A10"/>
    <w:rsid w:val="00005D3D"/>
    <w:rsid w:val="0000667D"/>
    <w:rsid w:val="00006F7B"/>
    <w:rsid w:val="00007951"/>
    <w:rsid w:val="0000796B"/>
    <w:rsid w:val="00010063"/>
    <w:rsid w:val="00010102"/>
    <w:rsid w:val="0001019E"/>
    <w:rsid w:val="00011EA6"/>
    <w:rsid w:val="00012640"/>
    <w:rsid w:val="00012B21"/>
    <w:rsid w:val="0001300F"/>
    <w:rsid w:val="0001336E"/>
    <w:rsid w:val="0001480D"/>
    <w:rsid w:val="00014A5C"/>
    <w:rsid w:val="00015388"/>
    <w:rsid w:val="0001716B"/>
    <w:rsid w:val="00017F81"/>
    <w:rsid w:val="000211EA"/>
    <w:rsid w:val="000234B2"/>
    <w:rsid w:val="00024FD2"/>
    <w:rsid w:val="00025AE4"/>
    <w:rsid w:val="0002684B"/>
    <w:rsid w:val="00026A57"/>
    <w:rsid w:val="00027645"/>
    <w:rsid w:val="000300AE"/>
    <w:rsid w:val="000300EE"/>
    <w:rsid w:val="000302B6"/>
    <w:rsid w:val="0003106D"/>
    <w:rsid w:val="00031700"/>
    <w:rsid w:val="00031F6E"/>
    <w:rsid w:val="0003277F"/>
    <w:rsid w:val="00032948"/>
    <w:rsid w:val="00032B0A"/>
    <w:rsid w:val="0003315D"/>
    <w:rsid w:val="00033DE7"/>
    <w:rsid w:val="0003541F"/>
    <w:rsid w:val="00036A2B"/>
    <w:rsid w:val="00040D3C"/>
    <w:rsid w:val="00042C84"/>
    <w:rsid w:val="00043621"/>
    <w:rsid w:val="00043739"/>
    <w:rsid w:val="00043A89"/>
    <w:rsid w:val="00045739"/>
    <w:rsid w:val="0004583E"/>
    <w:rsid w:val="00046D30"/>
    <w:rsid w:val="000510B6"/>
    <w:rsid w:val="00051133"/>
    <w:rsid w:val="00051F3F"/>
    <w:rsid w:val="000521D8"/>
    <w:rsid w:val="00052BC1"/>
    <w:rsid w:val="00053A89"/>
    <w:rsid w:val="0005582B"/>
    <w:rsid w:val="00055BD9"/>
    <w:rsid w:val="00056247"/>
    <w:rsid w:val="00056292"/>
    <w:rsid w:val="00056C11"/>
    <w:rsid w:val="00057302"/>
    <w:rsid w:val="00057332"/>
    <w:rsid w:val="00057D00"/>
    <w:rsid w:val="00060A3D"/>
    <w:rsid w:val="00060C1C"/>
    <w:rsid w:val="00061D20"/>
    <w:rsid w:val="0006267A"/>
    <w:rsid w:val="0006335B"/>
    <w:rsid w:val="00063C25"/>
    <w:rsid w:val="00064892"/>
    <w:rsid w:val="00066026"/>
    <w:rsid w:val="0006660A"/>
    <w:rsid w:val="0006670C"/>
    <w:rsid w:val="00067960"/>
    <w:rsid w:val="0007003A"/>
    <w:rsid w:val="00070210"/>
    <w:rsid w:val="000707BF"/>
    <w:rsid w:val="00072B70"/>
    <w:rsid w:val="00072CB4"/>
    <w:rsid w:val="000734CD"/>
    <w:rsid w:val="00074403"/>
    <w:rsid w:val="000750DC"/>
    <w:rsid w:val="00075497"/>
    <w:rsid w:val="0007583C"/>
    <w:rsid w:val="00075E26"/>
    <w:rsid w:val="00076057"/>
    <w:rsid w:val="000770EC"/>
    <w:rsid w:val="00080613"/>
    <w:rsid w:val="00082667"/>
    <w:rsid w:val="00082AD2"/>
    <w:rsid w:val="00083DC6"/>
    <w:rsid w:val="00084857"/>
    <w:rsid w:val="000849B8"/>
    <w:rsid w:val="000850AF"/>
    <w:rsid w:val="000852EB"/>
    <w:rsid w:val="000869D8"/>
    <w:rsid w:val="00086CA6"/>
    <w:rsid w:val="00090213"/>
    <w:rsid w:val="00092FC7"/>
    <w:rsid w:val="00093133"/>
    <w:rsid w:val="0009395E"/>
    <w:rsid w:val="00094C6E"/>
    <w:rsid w:val="000954D5"/>
    <w:rsid w:val="00095723"/>
    <w:rsid w:val="00095A74"/>
    <w:rsid w:val="0009618D"/>
    <w:rsid w:val="0009709B"/>
    <w:rsid w:val="000975E3"/>
    <w:rsid w:val="000A1DD1"/>
    <w:rsid w:val="000A21A5"/>
    <w:rsid w:val="000A3908"/>
    <w:rsid w:val="000A4C29"/>
    <w:rsid w:val="000A5B36"/>
    <w:rsid w:val="000A6E2B"/>
    <w:rsid w:val="000A79D3"/>
    <w:rsid w:val="000B05E2"/>
    <w:rsid w:val="000B2568"/>
    <w:rsid w:val="000B41BB"/>
    <w:rsid w:val="000B5357"/>
    <w:rsid w:val="000B597F"/>
    <w:rsid w:val="000B634D"/>
    <w:rsid w:val="000B73D2"/>
    <w:rsid w:val="000B7465"/>
    <w:rsid w:val="000C14CB"/>
    <w:rsid w:val="000C18BC"/>
    <w:rsid w:val="000C1D03"/>
    <w:rsid w:val="000C1EE4"/>
    <w:rsid w:val="000C1FF9"/>
    <w:rsid w:val="000C4151"/>
    <w:rsid w:val="000C4425"/>
    <w:rsid w:val="000C4B12"/>
    <w:rsid w:val="000C5FA7"/>
    <w:rsid w:val="000C7E71"/>
    <w:rsid w:val="000D0BCE"/>
    <w:rsid w:val="000D16AA"/>
    <w:rsid w:val="000D1A7D"/>
    <w:rsid w:val="000D2309"/>
    <w:rsid w:val="000D2CCA"/>
    <w:rsid w:val="000D366B"/>
    <w:rsid w:val="000D37B4"/>
    <w:rsid w:val="000D38F9"/>
    <w:rsid w:val="000D5D6B"/>
    <w:rsid w:val="000D7A20"/>
    <w:rsid w:val="000E161C"/>
    <w:rsid w:val="000E1994"/>
    <w:rsid w:val="000E2C39"/>
    <w:rsid w:val="000E355C"/>
    <w:rsid w:val="000E4445"/>
    <w:rsid w:val="000E470B"/>
    <w:rsid w:val="000E4DE8"/>
    <w:rsid w:val="000E4EF8"/>
    <w:rsid w:val="000E50F5"/>
    <w:rsid w:val="000E5E99"/>
    <w:rsid w:val="000E655B"/>
    <w:rsid w:val="000E6A66"/>
    <w:rsid w:val="000F0C3B"/>
    <w:rsid w:val="000F0E9F"/>
    <w:rsid w:val="000F1540"/>
    <w:rsid w:val="000F1D4A"/>
    <w:rsid w:val="000F2065"/>
    <w:rsid w:val="000F2A88"/>
    <w:rsid w:val="000F2C23"/>
    <w:rsid w:val="000F2D1B"/>
    <w:rsid w:val="000F3658"/>
    <w:rsid w:val="000F3B37"/>
    <w:rsid w:val="000F3C85"/>
    <w:rsid w:val="000F3F12"/>
    <w:rsid w:val="000F565B"/>
    <w:rsid w:val="000F5C6C"/>
    <w:rsid w:val="000F5F3F"/>
    <w:rsid w:val="000F64AD"/>
    <w:rsid w:val="00100570"/>
    <w:rsid w:val="00101CE5"/>
    <w:rsid w:val="00101DD0"/>
    <w:rsid w:val="00102555"/>
    <w:rsid w:val="0010291B"/>
    <w:rsid w:val="00102B4B"/>
    <w:rsid w:val="00103AB9"/>
    <w:rsid w:val="00103E80"/>
    <w:rsid w:val="00107187"/>
    <w:rsid w:val="00107272"/>
    <w:rsid w:val="00107D54"/>
    <w:rsid w:val="00110383"/>
    <w:rsid w:val="00110B62"/>
    <w:rsid w:val="00111581"/>
    <w:rsid w:val="00111CEB"/>
    <w:rsid w:val="0011245C"/>
    <w:rsid w:val="0011500F"/>
    <w:rsid w:val="00115A55"/>
    <w:rsid w:val="0011665D"/>
    <w:rsid w:val="00116AAC"/>
    <w:rsid w:val="00117D55"/>
    <w:rsid w:val="001204B2"/>
    <w:rsid w:val="001212EF"/>
    <w:rsid w:val="001217DC"/>
    <w:rsid w:val="00121F81"/>
    <w:rsid w:val="0012203F"/>
    <w:rsid w:val="00123CC6"/>
    <w:rsid w:val="00125689"/>
    <w:rsid w:val="00125C8A"/>
    <w:rsid w:val="001261FC"/>
    <w:rsid w:val="001306FE"/>
    <w:rsid w:val="00130827"/>
    <w:rsid w:val="001308A2"/>
    <w:rsid w:val="00131140"/>
    <w:rsid w:val="001317AD"/>
    <w:rsid w:val="00131FC3"/>
    <w:rsid w:val="0013281E"/>
    <w:rsid w:val="00132FD3"/>
    <w:rsid w:val="001339CF"/>
    <w:rsid w:val="00134E0F"/>
    <w:rsid w:val="001355D0"/>
    <w:rsid w:val="00135C39"/>
    <w:rsid w:val="0013673A"/>
    <w:rsid w:val="00136D81"/>
    <w:rsid w:val="001410EB"/>
    <w:rsid w:val="00141224"/>
    <w:rsid w:val="00143103"/>
    <w:rsid w:val="00143554"/>
    <w:rsid w:val="00143653"/>
    <w:rsid w:val="00143934"/>
    <w:rsid w:val="00143B3A"/>
    <w:rsid w:val="00143E43"/>
    <w:rsid w:val="00143FFC"/>
    <w:rsid w:val="00145760"/>
    <w:rsid w:val="00146ABB"/>
    <w:rsid w:val="00147338"/>
    <w:rsid w:val="00147A48"/>
    <w:rsid w:val="00150143"/>
    <w:rsid w:val="001509AB"/>
    <w:rsid w:val="00152E91"/>
    <w:rsid w:val="0015460B"/>
    <w:rsid w:val="00154736"/>
    <w:rsid w:val="00156CA9"/>
    <w:rsid w:val="00157465"/>
    <w:rsid w:val="00157E23"/>
    <w:rsid w:val="00157FC3"/>
    <w:rsid w:val="00160ACE"/>
    <w:rsid w:val="00161C4F"/>
    <w:rsid w:val="00161C84"/>
    <w:rsid w:val="00161F2A"/>
    <w:rsid w:val="00161FDF"/>
    <w:rsid w:val="00162091"/>
    <w:rsid w:val="001626BD"/>
    <w:rsid w:val="00162C33"/>
    <w:rsid w:val="0016340E"/>
    <w:rsid w:val="00164E23"/>
    <w:rsid w:val="0016595F"/>
    <w:rsid w:val="00165A4C"/>
    <w:rsid w:val="00166A2C"/>
    <w:rsid w:val="00166BF2"/>
    <w:rsid w:val="00166CC3"/>
    <w:rsid w:val="00167E68"/>
    <w:rsid w:val="00170A9E"/>
    <w:rsid w:val="00170ED1"/>
    <w:rsid w:val="0017121A"/>
    <w:rsid w:val="00171401"/>
    <w:rsid w:val="0017141F"/>
    <w:rsid w:val="00171777"/>
    <w:rsid w:val="001719FB"/>
    <w:rsid w:val="00172B65"/>
    <w:rsid w:val="00172EF5"/>
    <w:rsid w:val="001732E1"/>
    <w:rsid w:val="00174268"/>
    <w:rsid w:val="0017486B"/>
    <w:rsid w:val="0017613E"/>
    <w:rsid w:val="00177167"/>
    <w:rsid w:val="00177753"/>
    <w:rsid w:val="00177BE4"/>
    <w:rsid w:val="00180EDB"/>
    <w:rsid w:val="00181A71"/>
    <w:rsid w:val="00182329"/>
    <w:rsid w:val="0018261B"/>
    <w:rsid w:val="001834A7"/>
    <w:rsid w:val="0018373B"/>
    <w:rsid w:val="00183C79"/>
    <w:rsid w:val="00183C8B"/>
    <w:rsid w:val="00183E75"/>
    <w:rsid w:val="00183E77"/>
    <w:rsid w:val="001845CF"/>
    <w:rsid w:val="001865BB"/>
    <w:rsid w:val="00186EAE"/>
    <w:rsid w:val="00186F7A"/>
    <w:rsid w:val="00187518"/>
    <w:rsid w:val="00187743"/>
    <w:rsid w:val="00187F07"/>
    <w:rsid w:val="0019096C"/>
    <w:rsid w:val="00191EA7"/>
    <w:rsid w:val="00192164"/>
    <w:rsid w:val="00192883"/>
    <w:rsid w:val="00194C98"/>
    <w:rsid w:val="00194FB7"/>
    <w:rsid w:val="00195D28"/>
    <w:rsid w:val="00196B4E"/>
    <w:rsid w:val="001975A1"/>
    <w:rsid w:val="001A027A"/>
    <w:rsid w:val="001A08E4"/>
    <w:rsid w:val="001A0D2C"/>
    <w:rsid w:val="001A12B5"/>
    <w:rsid w:val="001A1C72"/>
    <w:rsid w:val="001A3980"/>
    <w:rsid w:val="001A422B"/>
    <w:rsid w:val="001A440A"/>
    <w:rsid w:val="001A4A55"/>
    <w:rsid w:val="001A5C6F"/>
    <w:rsid w:val="001A6A4F"/>
    <w:rsid w:val="001A76B7"/>
    <w:rsid w:val="001B015C"/>
    <w:rsid w:val="001B1339"/>
    <w:rsid w:val="001B1B58"/>
    <w:rsid w:val="001B1F55"/>
    <w:rsid w:val="001B2049"/>
    <w:rsid w:val="001B2934"/>
    <w:rsid w:val="001B4A37"/>
    <w:rsid w:val="001B5963"/>
    <w:rsid w:val="001B6FAD"/>
    <w:rsid w:val="001C04B2"/>
    <w:rsid w:val="001C14C1"/>
    <w:rsid w:val="001C1FDE"/>
    <w:rsid w:val="001C2063"/>
    <w:rsid w:val="001C21E1"/>
    <w:rsid w:val="001C3426"/>
    <w:rsid w:val="001C4675"/>
    <w:rsid w:val="001C4768"/>
    <w:rsid w:val="001C5839"/>
    <w:rsid w:val="001C6AF6"/>
    <w:rsid w:val="001C7129"/>
    <w:rsid w:val="001C77E1"/>
    <w:rsid w:val="001C7ADA"/>
    <w:rsid w:val="001C7B48"/>
    <w:rsid w:val="001C7EA0"/>
    <w:rsid w:val="001D121D"/>
    <w:rsid w:val="001D3543"/>
    <w:rsid w:val="001D4151"/>
    <w:rsid w:val="001D58E5"/>
    <w:rsid w:val="001D7299"/>
    <w:rsid w:val="001E0FAB"/>
    <w:rsid w:val="001E2084"/>
    <w:rsid w:val="001E2502"/>
    <w:rsid w:val="001E292F"/>
    <w:rsid w:val="001E351C"/>
    <w:rsid w:val="001E474D"/>
    <w:rsid w:val="001E5194"/>
    <w:rsid w:val="001E5851"/>
    <w:rsid w:val="001E5A81"/>
    <w:rsid w:val="001E62FB"/>
    <w:rsid w:val="001E68FE"/>
    <w:rsid w:val="001E6A0B"/>
    <w:rsid w:val="001E77DA"/>
    <w:rsid w:val="001E7A2F"/>
    <w:rsid w:val="001E7AB0"/>
    <w:rsid w:val="001E7DD0"/>
    <w:rsid w:val="001F0349"/>
    <w:rsid w:val="001F077B"/>
    <w:rsid w:val="001F0B74"/>
    <w:rsid w:val="001F1045"/>
    <w:rsid w:val="001F2648"/>
    <w:rsid w:val="001F3E37"/>
    <w:rsid w:val="001F41B9"/>
    <w:rsid w:val="001F4BE8"/>
    <w:rsid w:val="001F4EB8"/>
    <w:rsid w:val="001F560A"/>
    <w:rsid w:val="001F6270"/>
    <w:rsid w:val="001F6318"/>
    <w:rsid w:val="001F65B1"/>
    <w:rsid w:val="001F6B83"/>
    <w:rsid w:val="001F6F6A"/>
    <w:rsid w:val="001F7595"/>
    <w:rsid w:val="002000B8"/>
    <w:rsid w:val="002005CD"/>
    <w:rsid w:val="00200B4C"/>
    <w:rsid w:val="00202F46"/>
    <w:rsid w:val="00203267"/>
    <w:rsid w:val="00203897"/>
    <w:rsid w:val="0020391D"/>
    <w:rsid w:val="00205F9C"/>
    <w:rsid w:val="002060F7"/>
    <w:rsid w:val="00207BC6"/>
    <w:rsid w:val="00210771"/>
    <w:rsid w:val="00210EE2"/>
    <w:rsid w:val="00211885"/>
    <w:rsid w:val="00212864"/>
    <w:rsid w:val="00212ADF"/>
    <w:rsid w:val="002134CF"/>
    <w:rsid w:val="00213A60"/>
    <w:rsid w:val="0021429B"/>
    <w:rsid w:val="00215699"/>
    <w:rsid w:val="002159DE"/>
    <w:rsid w:val="00215E99"/>
    <w:rsid w:val="0021667D"/>
    <w:rsid w:val="002166A1"/>
    <w:rsid w:val="002166A6"/>
    <w:rsid w:val="00216BB6"/>
    <w:rsid w:val="0022039D"/>
    <w:rsid w:val="0022048B"/>
    <w:rsid w:val="0022175C"/>
    <w:rsid w:val="00222261"/>
    <w:rsid w:val="002227DF"/>
    <w:rsid w:val="00223AC8"/>
    <w:rsid w:val="00223C96"/>
    <w:rsid w:val="00224852"/>
    <w:rsid w:val="00224BE4"/>
    <w:rsid w:val="0022634D"/>
    <w:rsid w:val="00227512"/>
    <w:rsid w:val="0022766E"/>
    <w:rsid w:val="0022777A"/>
    <w:rsid w:val="002278D5"/>
    <w:rsid w:val="00227C13"/>
    <w:rsid w:val="00227D49"/>
    <w:rsid w:val="00227FC7"/>
    <w:rsid w:val="0023110A"/>
    <w:rsid w:val="00233A54"/>
    <w:rsid w:val="00234440"/>
    <w:rsid w:val="002347C9"/>
    <w:rsid w:val="00236E72"/>
    <w:rsid w:val="0023738E"/>
    <w:rsid w:val="0024110B"/>
    <w:rsid w:val="002411BD"/>
    <w:rsid w:val="00242ED3"/>
    <w:rsid w:val="00244711"/>
    <w:rsid w:val="00244AE4"/>
    <w:rsid w:val="00245EBE"/>
    <w:rsid w:val="002472C1"/>
    <w:rsid w:val="002473F4"/>
    <w:rsid w:val="00247D64"/>
    <w:rsid w:val="00250934"/>
    <w:rsid w:val="00250F42"/>
    <w:rsid w:val="00252EBA"/>
    <w:rsid w:val="0025361A"/>
    <w:rsid w:val="002545EF"/>
    <w:rsid w:val="00254B44"/>
    <w:rsid w:val="00254E99"/>
    <w:rsid w:val="00255B9B"/>
    <w:rsid w:val="00256596"/>
    <w:rsid w:val="0026027A"/>
    <w:rsid w:val="00260533"/>
    <w:rsid w:val="002605CE"/>
    <w:rsid w:val="00261367"/>
    <w:rsid w:val="00261A54"/>
    <w:rsid w:val="00261C21"/>
    <w:rsid w:val="00261D37"/>
    <w:rsid w:val="00262D6B"/>
    <w:rsid w:val="00262ED0"/>
    <w:rsid w:val="00263607"/>
    <w:rsid w:val="002638EE"/>
    <w:rsid w:val="00264965"/>
    <w:rsid w:val="002656E1"/>
    <w:rsid w:val="00265CFF"/>
    <w:rsid w:val="002702CD"/>
    <w:rsid w:val="00270B4E"/>
    <w:rsid w:val="00271500"/>
    <w:rsid w:val="00272E57"/>
    <w:rsid w:val="00274663"/>
    <w:rsid w:val="00275641"/>
    <w:rsid w:val="0027569A"/>
    <w:rsid w:val="002767D9"/>
    <w:rsid w:val="00280382"/>
    <w:rsid w:val="00280F4B"/>
    <w:rsid w:val="002816D0"/>
    <w:rsid w:val="002821E9"/>
    <w:rsid w:val="002827D2"/>
    <w:rsid w:val="002835B7"/>
    <w:rsid w:val="00284C1F"/>
    <w:rsid w:val="00284F69"/>
    <w:rsid w:val="002851AF"/>
    <w:rsid w:val="00285866"/>
    <w:rsid w:val="00286129"/>
    <w:rsid w:val="0028787B"/>
    <w:rsid w:val="00290263"/>
    <w:rsid w:val="002908A7"/>
    <w:rsid w:val="00291768"/>
    <w:rsid w:val="00291796"/>
    <w:rsid w:val="00292F66"/>
    <w:rsid w:val="0029315D"/>
    <w:rsid w:val="00293A33"/>
    <w:rsid w:val="0029449E"/>
    <w:rsid w:val="0029488D"/>
    <w:rsid w:val="0029530C"/>
    <w:rsid w:val="00296020"/>
    <w:rsid w:val="00296695"/>
    <w:rsid w:val="0029693F"/>
    <w:rsid w:val="002969C6"/>
    <w:rsid w:val="00296BE2"/>
    <w:rsid w:val="00296F46"/>
    <w:rsid w:val="00296F8A"/>
    <w:rsid w:val="002A11CE"/>
    <w:rsid w:val="002A13E2"/>
    <w:rsid w:val="002A180F"/>
    <w:rsid w:val="002A1B36"/>
    <w:rsid w:val="002A37E6"/>
    <w:rsid w:val="002A4DFC"/>
    <w:rsid w:val="002B18D6"/>
    <w:rsid w:val="002B22D4"/>
    <w:rsid w:val="002B3984"/>
    <w:rsid w:val="002B4BF3"/>
    <w:rsid w:val="002B55C8"/>
    <w:rsid w:val="002B5E4B"/>
    <w:rsid w:val="002B64E9"/>
    <w:rsid w:val="002B660D"/>
    <w:rsid w:val="002B7969"/>
    <w:rsid w:val="002C0031"/>
    <w:rsid w:val="002C0485"/>
    <w:rsid w:val="002C0762"/>
    <w:rsid w:val="002C257A"/>
    <w:rsid w:val="002C2BEC"/>
    <w:rsid w:val="002C30C0"/>
    <w:rsid w:val="002C4F4B"/>
    <w:rsid w:val="002C5233"/>
    <w:rsid w:val="002C6EC0"/>
    <w:rsid w:val="002C7258"/>
    <w:rsid w:val="002D0189"/>
    <w:rsid w:val="002D0356"/>
    <w:rsid w:val="002D07C0"/>
    <w:rsid w:val="002D0F98"/>
    <w:rsid w:val="002D1DFB"/>
    <w:rsid w:val="002D45BF"/>
    <w:rsid w:val="002D4A85"/>
    <w:rsid w:val="002D6162"/>
    <w:rsid w:val="002D64DF"/>
    <w:rsid w:val="002D750A"/>
    <w:rsid w:val="002E242E"/>
    <w:rsid w:val="002E257C"/>
    <w:rsid w:val="002E2FEC"/>
    <w:rsid w:val="002E38DB"/>
    <w:rsid w:val="002E3BEB"/>
    <w:rsid w:val="002E441D"/>
    <w:rsid w:val="002E4AB1"/>
    <w:rsid w:val="002E4F11"/>
    <w:rsid w:val="002E4F8A"/>
    <w:rsid w:val="002E505D"/>
    <w:rsid w:val="002E6F69"/>
    <w:rsid w:val="002E7296"/>
    <w:rsid w:val="002E73B8"/>
    <w:rsid w:val="002F04A7"/>
    <w:rsid w:val="002F0545"/>
    <w:rsid w:val="002F0823"/>
    <w:rsid w:val="002F2471"/>
    <w:rsid w:val="002F2B7A"/>
    <w:rsid w:val="002F2E1D"/>
    <w:rsid w:val="002F3105"/>
    <w:rsid w:val="002F59F2"/>
    <w:rsid w:val="002F5E6C"/>
    <w:rsid w:val="002F72FF"/>
    <w:rsid w:val="00300BF3"/>
    <w:rsid w:val="0030143F"/>
    <w:rsid w:val="00301A2B"/>
    <w:rsid w:val="00301BCD"/>
    <w:rsid w:val="00302988"/>
    <w:rsid w:val="00303ACF"/>
    <w:rsid w:val="0030463E"/>
    <w:rsid w:val="00304ED6"/>
    <w:rsid w:val="00306654"/>
    <w:rsid w:val="00306D5D"/>
    <w:rsid w:val="00306FF4"/>
    <w:rsid w:val="00310EE1"/>
    <w:rsid w:val="003122B0"/>
    <w:rsid w:val="00312390"/>
    <w:rsid w:val="003123F4"/>
    <w:rsid w:val="00312EAF"/>
    <w:rsid w:val="00313487"/>
    <w:rsid w:val="003138EB"/>
    <w:rsid w:val="00315880"/>
    <w:rsid w:val="00315A06"/>
    <w:rsid w:val="0031678B"/>
    <w:rsid w:val="0031683C"/>
    <w:rsid w:val="00317146"/>
    <w:rsid w:val="003176EA"/>
    <w:rsid w:val="00317D36"/>
    <w:rsid w:val="00321473"/>
    <w:rsid w:val="003225FB"/>
    <w:rsid w:val="00323A7C"/>
    <w:rsid w:val="00323BE9"/>
    <w:rsid w:val="00323C32"/>
    <w:rsid w:val="00323CC7"/>
    <w:rsid w:val="003247BA"/>
    <w:rsid w:val="00324A1D"/>
    <w:rsid w:val="00324C55"/>
    <w:rsid w:val="003250B4"/>
    <w:rsid w:val="00325742"/>
    <w:rsid w:val="00327224"/>
    <w:rsid w:val="00327AB3"/>
    <w:rsid w:val="00327F9E"/>
    <w:rsid w:val="00330527"/>
    <w:rsid w:val="00330C9F"/>
    <w:rsid w:val="003318A6"/>
    <w:rsid w:val="003321A8"/>
    <w:rsid w:val="00332EB1"/>
    <w:rsid w:val="00333A33"/>
    <w:rsid w:val="00333E63"/>
    <w:rsid w:val="00334044"/>
    <w:rsid w:val="00334CB0"/>
    <w:rsid w:val="00335188"/>
    <w:rsid w:val="00335234"/>
    <w:rsid w:val="003373B8"/>
    <w:rsid w:val="003413F4"/>
    <w:rsid w:val="00342DC1"/>
    <w:rsid w:val="00342EF7"/>
    <w:rsid w:val="003432B6"/>
    <w:rsid w:val="003434E9"/>
    <w:rsid w:val="00343F41"/>
    <w:rsid w:val="00344BF3"/>
    <w:rsid w:val="00345CC1"/>
    <w:rsid w:val="00345EA7"/>
    <w:rsid w:val="0034652C"/>
    <w:rsid w:val="00346606"/>
    <w:rsid w:val="00346E73"/>
    <w:rsid w:val="00346F27"/>
    <w:rsid w:val="0035067B"/>
    <w:rsid w:val="00350681"/>
    <w:rsid w:val="00350B6E"/>
    <w:rsid w:val="00350FA8"/>
    <w:rsid w:val="00351A4A"/>
    <w:rsid w:val="00351D95"/>
    <w:rsid w:val="00351FB4"/>
    <w:rsid w:val="00353860"/>
    <w:rsid w:val="00354CD9"/>
    <w:rsid w:val="003556C1"/>
    <w:rsid w:val="00355EEE"/>
    <w:rsid w:val="00356FC1"/>
    <w:rsid w:val="00357883"/>
    <w:rsid w:val="00360494"/>
    <w:rsid w:val="00360B7E"/>
    <w:rsid w:val="00360C00"/>
    <w:rsid w:val="0036105D"/>
    <w:rsid w:val="00361243"/>
    <w:rsid w:val="00361633"/>
    <w:rsid w:val="00361935"/>
    <w:rsid w:val="003626AE"/>
    <w:rsid w:val="0036292A"/>
    <w:rsid w:val="00362AF3"/>
    <w:rsid w:val="00362FFF"/>
    <w:rsid w:val="0036467D"/>
    <w:rsid w:val="00364BEE"/>
    <w:rsid w:val="0036508D"/>
    <w:rsid w:val="003651C8"/>
    <w:rsid w:val="00366321"/>
    <w:rsid w:val="00366419"/>
    <w:rsid w:val="003665E3"/>
    <w:rsid w:val="003669F1"/>
    <w:rsid w:val="00366F10"/>
    <w:rsid w:val="003700A3"/>
    <w:rsid w:val="00370B40"/>
    <w:rsid w:val="00371A92"/>
    <w:rsid w:val="00371C15"/>
    <w:rsid w:val="00372CDF"/>
    <w:rsid w:val="00373411"/>
    <w:rsid w:val="0037369C"/>
    <w:rsid w:val="00373D40"/>
    <w:rsid w:val="003741F6"/>
    <w:rsid w:val="00374A29"/>
    <w:rsid w:val="00374FA4"/>
    <w:rsid w:val="003756C6"/>
    <w:rsid w:val="00376548"/>
    <w:rsid w:val="00376E35"/>
    <w:rsid w:val="003773AC"/>
    <w:rsid w:val="00377F6C"/>
    <w:rsid w:val="00380094"/>
    <w:rsid w:val="00380256"/>
    <w:rsid w:val="0038165D"/>
    <w:rsid w:val="00383071"/>
    <w:rsid w:val="00385175"/>
    <w:rsid w:val="00385444"/>
    <w:rsid w:val="00385F39"/>
    <w:rsid w:val="00386070"/>
    <w:rsid w:val="00387DCF"/>
    <w:rsid w:val="00390006"/>
    <w:rsid w:val="003900A5"/>
    <w:rsid w:val="0039012D"/>
    <w:rsid w:val="003917AD"/>
    <w:rsid w:val="003917D1"/>
    <w:rsid w:val="00391FAB"/>
    <w:rsid w:val="00392539"/>
    <w:rsid w:val="00392677"/>
    <w:rsid w:val="0039320C"/>
    <w:rsid w:val="00393431"/>
    <w:rsid w:val="00393633"/>
    <w:rsid w:val="003945E2"/>
    <w:rsid w:val="00394981"/>
    <w:rsid w:val="00395100"/>
    <w:rsid w:val="003953A8"/>
    <w:rsid w:val="003958E6"/>
    <w:rsid w:val="00395D76"/>
    <w:rsid w:val="00396F7B"/>
    <w:rsid w:val="00396FA3"/>
    <w:rsid w:val="0039788E"/>
    <w:rsid w:val="00397F0D"/>
    <w:rsid w:val="003A011D"/>
    <w:rsid w:val="003A0DC3"/>
    <w:rsid w:val="003A1675"/>
    <w:rsid w:val="003A1CA9"/>
    <w:rsid w:val="003A1CF5"/>
    <w:rsid w:val="003A2812"/>
    <w:rsid w:val="003A2D0C"/>
    <w:rsid w:val="003A3304"/>
    <w:rsid w:val="003A3551"/>
    <w:rsid w:val="003A38F0"/>
    <w:rsid w:val="003A3EBB"/>
    <w:rsid w:val="003A443D"/>
    <w:rsid w:val="003A4DE4"/>
    <w:rsid w:val="003A6A5A"/>
    <w:rsid w:val="003A72E9"/>
    <w:rsid w:val="003B11DA"/>
    <w:rsid w:val="003B175A"/>
    <w:rsid w:val="003B3231"/>
    <w:rsid w:val="003B357A"/>
    <w:rsid w:val="003B4274"/>
    <w:rsid w:val="003B499C"/>
    <w:rsid w:val="003B4CCD"/>
    <w:rsid w:val="003B53D4"/>
    <w:rsid w:val="003B56D7"/>
    <w:rsid w:val="003B7298"/>
    <w:rsid w:val="003C0FF8"/>
    <w:rsid w:val="003C1D0C"/>
    <w:rsid w:val="003C1F2E"/>
    <w:rsid w:val="003C42A3"/>
    <w:rsid w:val="003C49D5"/>
    <w:rsid w:val="003C4FD5"/>
    <w:rsid w:val="003C582B"/>
    <w:rsid w:val="003C6BFF"/>
    <w:rsid w:val="003D006F"/>
    <w:rsid w:val="003D2333"/>
    <w:rsid w:val="003D2E1B"/>
    <w:rsid w:val="003D3241"/>
    <w:rsid w:val="003D39AE"/>
    <w:rsid w:val="003D3B44"/>
    <w:rsid w:val="003D4804"/>
    <w:rsid w:val="003D5413"/>
    <w:rsid w:val="003D7685"/>
    <w:rsid w:val="003D7E9A"/>
    <w:rsid w:val="003E0366"/>
    <w:rsid w:val="003E100C"/>
    <w:rsid w:val="003E1C0C"/>
    <w:rsid w:val="003E2FFE"/>
    <w:rsid w:val="003E37AA"/>
    <w:rsid w:val="003E4310"/>
    <w:rsid w:val="003E47DE"/>
    <w:rsid w:val="003E4FFA"/>
    <w:rsid w:val="003E6E11"/>
    <w:rsid w:val="003F0536"/>
    <w:rsid w:val="003F10D3"/>
    <w:rsid w:val="003F1548"/>
    <w:rsid w:val="003F2B3D"/>
    <w:rsid w:val="003F2FBA"/>
    <w:rsid w:val="003F3105"/>
    <w:rsid w:val="003F3C44"/>
    <w:rsid w:val="003F4172"/>
    <w:rsid w:val="003F4249"/>
    <w:rsid w:val="003F4768"/>
    <w:rsid w:val="003F4E3B"/>
    <w:rsid w:val="003F5086"/>
    <w:rsid w:val="003F5108"/>
    <w:rsid w:val="003F5C9D"/>
    <w:rsid w:val="003F5D2C"/>
    <w:rsid w:val="003F7679"/>
    <w:rsid w:val="00400C13"/>
    <w:rsid w:val="00401AD9"/>
    <w:rsid w:val="00401F48"/>
    <w:rsid w:val="00402311"/>
    <w:rsid w:val="0040239F"/>
    <w:rsid w:val="00402C97"/>
    <w:rsid w:val="00403364"/>
    <w:rsid w:val="0040415C"/>
    <w:rsid w:val="00404AA4"/>
    <w:rsid w:val="00404AF1"/>
    <w:rsid w:val="00404C61"/>
    <w:rsid w:val="004050C9"/>
    <w:rsid w:val="004051F0"/>
    <w:rsid w:val="00405C04"/>
    <w:rsid w:val="00406314"/>
    <w:rsid w:val="00406376"/>
    <w:rsid w:val="00406896"/>
    <w:rsid w:val="00411B37"/>
    <w:rsid w:val="0041244F"/>
    <w:rsid w:val="004125ED"/>
    <w:rsid w:val="0041353D"/>
    <w:rsid w:val="00413B39"/>
    <w:rsid w:val="0041450E"/>
    <w:rsid w:val="0041456E"/>
    <w:rsid w:val="00415370"/>
    <w:rsid w:val="00415781"/>
    <w:rsid w:val="00416485"/>
    <w:rsid w:val="00416F40"/>
    <w:rsid w:val="00417769"/>
    <w:rsid w:val="00417F0D"/>
    <w:rsid w:val="00420765"/>
    <w:rsid w:val="00421EF2"/>
    <w:rsid w:val="00422668"/>
    <w:rsid w:val="0042482B"/>
    <w:rsid w:val="00424946"/>
    <w:rsid w:val="0042602D"/>
    <w:rsid w:val="004261DA"/>
    <w:rsid w:val="00427004"/>
    <w:rsid w:val="00431540"/>
    <w:rsid w:val="00431AC1"/>
    <w:rsid w:val="00431DE1"/>
    <w:rsid w:val="004329C9"/>
    <w:rsid w:val="00432CD5"/>
    <w:rsid w:val="00432EF0"/>
    <w:rsid w:val="0043396E"/>
    <w:rsid w:val="00433CDB"/>
    <w:rsid w:val="00435D29"/>
    <w:rsid w:val="004363FA"/>
    <w:rsid w:val="004364CC"/>
    <w:rsid w:val="00437141"/>
    <w:rsid w:val="004405B0"/>
    <w:rsid w:val="00440853"/>
    <w:rsid w:val="00441905"/>
    <w:rsid w:val="00441FF9"/>
    <w:rsid w:val="0044382F"/>
    <w:rsid w:val="00443B96"/>
    <w:rsid w:val="00443E1D"/>
    <w:rsid w:val="004442EB"/>
    <w:rsid w:val="00444FA3"/>
    <w:rsid w:val="004459DC"/>
    <w:rsid w:val="00446553"/>
    <w:rsid w:val="00446A92"/>
    <w:rsid w:val="004501B4"/>
    <w:rsid w:val="0045082F"/>
    <w:rsid w:val="00450C00"/>
    <w:rsid w:val="0045135E"/>
    <w:rsid w:val="00452434"/>
    <w:rsid w:val="00452C53"/>
    <w:rsid w:val="004539C7"/>
    <w:rsid w:val="00454597"/>
    <w:rsid w:val="004548E6"/>
    <w:rsid w:val="0045543A"/>
    <w:rsid w:val="0045543C"/>
    <w:rsid w:val="004556FB"/>
    <w:rsid w:val="00455880"/>
    <w:rsid w:val="004561F9"/>
    <w:rsid w:val="0045637C"/>
    <w:rsid w:val="004563C4"/>
    <w:rsid w:val="004569A3"/>
    <w:rsid w:val="004578ED"/>
    <w:rsid w:val="00457EFC"/>
    <w:rsid w:val="0046064C"/>
    <w:rsid w:val="004611B6"/>
    <w:rsid w:val="00461997"/>
    <w:rsid w:val="00463F8B"/>
    <w:rsid w:val="004644C2"/>
    <w:rsid w:val="004649AD"/>
    <w:rsid w:val="004650E7"/>
    <w:rsid w:val="0046687B"/>
    <w:rsid w:val="00466CB4"/>
    <w:rsid w:val="004670E6"/>
    <w:rsid w:val="00470418"/>
    <w:rsid w:val="004704EA"/>
    <w:rsid w:val="0047071D"/>
    <w:rsid w:val="004720F6"/>
    <w:rsid w:val="004727C4"/>
    <w:rsid w:val="00472F62"/>
    <w:rsid w:val="00473579"/>
    <w:rsid w:val="00473E50"/>
    <w:rsid w:val="00474E5A"/>
    <w:rsid w:val="00475355"/>
    <w:rsid w:val="0047558F"/>
    <w:rsid w:val="00475FD5"/>
    <w:rsid w:val="00476FED"/>
    <w:rsid w:val="0047725A"/>
    <w:rsid w:val="004812F4"/>
    <w:rsid w:val="0048231B"/>
    <w:rsid w:val="004838D4"/>
    <w:rsid w:val="004845AC"/>
    <w:rsid w:val="00484C31"/>
    <w:rsid w:val="00485E3C"/>
    <w:rsid w:val="004863A9"/>
    <w:rsid w:val="00486F09"/>
    <w:rsid w:val="004877FB"/>
    <w:rsid w:val="004906DB"/>
    <w:rsid w:val="00490C0F"/>
    <w:rsid w:val="00491FF2"/>
    <w:rsid w:val="004925EE"/>
    <w:rsid w:val="00492735"/>
    <w:rsid w:val="00493926"/>
    <w:rsid w:val="004945E8"/>
    <w:rsid w:val="00494FC9"/>
    <w:rsid w:val="00495228"/>
    <w:rsid w:val="004963B6"/>
    <w:rsid w:val="004A1AB1"/>
    <w:rsid w:val="004A2013"/>
    <w:rsid w:val="004A201B"/>
    <w:rsid w:val="004A2B7A"/>
    <w:rsid w:val="004A3EB3"/>
    <w:rsid w:val="004A4377"/>
    <w:rsid w:val="004A57EB"/>
    <w:rsid w:val="004A5824"/>
    <w:rsid w:val="004A59D3"/>
    <w:rsid w:val="004A6156"/>
    <w:rsid w:val="004A6D7C"/>
    <w:rsid w:val="004A6F11"/>
    <w:rsid w:val="004A7224"/>
    <w:rsid w:val="004A74DD"/>
    <w:rsid w:val="004B00D1"/>
    <w:rsid w:val="004B0AC8"/>
    <w:rsid w:val="004B0B57"/>
    <w:rsid w:val="004B0BBE"/>
    <w:rsid w:val="004B0EB0"/>
    <w:rsid w:val="004B1246"/>
    <w:rsid w:val="004B1CAB"/>
    <w:rsid w:val="004B2FF9"/>
    <w:rsid w:val="004B3506"/>
    <w:rsid w:val="004B36ED"/>
    <w:rsid w:val="004B40DB"/>
    <w:rsid w:val="004B4EF6"/>
    <w:rsid w:val="004B612E"/>
    <w:rsid w:val="004B623B"/>
    <w:rsid w:val="004B6554"/>
    <w:rsid w:val="004B6B22"/>
    <w:rsid w:val="004B6C50"/>
    <w:rsid w:val="004C0DA0"/>
    <w:rsid w:val="004C3E02"/>
    <w:rsid w:val="004C422D"/>
    <w:rsid w:val="004C440E"/>
    <w:rsid w:val="004C4CEB"/>
    <w:rsid w:val="004C5CBA"/>
    <w:rsid w:val="004C64D8"/>
    <w:rsid w:val="004C64F7"/>
    <w:rsid w:val="004C6C09"/>
    <w:rsid w:val="004C6EA3"/>
    <w:rsid w:val="004C7BCD"/>
    <w:rsid w:val="004D000F"/>
    <w:rsid w:val="004D055D"/>
    <w:rsid w:val="004D1240"/>
    <w:rsid w:val="004D12B8"/>
    <w:rsid w:val="004D12F6"/>
    <w:rsid w:val="004D1946"/>
    <w:rsid w:val="004D32ED"/>
    <w:rsid w:val="004D3E71"/>
    <w:rsid w:val="004D49EE"/>
    <w:rsid w:val="004D4AE0"/>
    <w:rsid w:val="004D4C0B"/>
    <w:rsid w:val="004D69FC"/>
    <w:rsid w:val="004D72BA"/>
    <w:rsid w:val="004D77BD"/>
    <w:rsid w:val="004D77DE"/>
    <w:rsid w:val="004D7BF4"/>
    <w:rsid w:val="004D7C92"/>
    <w:rsid w:val="004E295C"/>
    <w:rsid w:val="004E38B2"/>
    <w:rsid w:val="004E3936"/>
    <w:rsid w:val="004E490B"/>
    <w:rsid w:val="004E57F7"/>
    <w:rsid w:val="004E5D9C"/>
    <w:rsid w:val="004E6191"/>
    <w:rsid w:val="004E6707"/>
    <w:rsid w:val="004E6B8E"/>
    <w:rsid w:val="004F0543"/>
    <w:rsid w:val="004F0D33"/>
    <w:rsid w:val="004F2385"/>
    <w:rsid w:val="004F246C"/>
    <w:rsid w:val="004F3A97"/>
    <w:rsid w:val="004F5591"/>
    <w:rsid w:val="004F5D14"/>
    <w:rsid w:val="004F68DC"/>
    <w:rsid w:val="004F7F44"/>
    <w:rsid w:val="00500598"/>
    <w:rsid w:val="00500F52"/>
    <w:rsid w:val="00500F7A"/>
    <w:rsid w:val="005012AD"/>
    <w:rsid w:val="005016E5"/>
    <w:rsid w:val="00501A56"/>
    <w:rsid w:val="00502317"/>
    <w:rsid w:val="005027BB"/>
    <w:rsid w:val="00503415"/>
    <w:rsid w:val="005034C1"/>
    <w:rsid w:val="005037E1"/>
    <w:rsid w:val="00503B5C"/>
    <w:rsid w:val="0050456A"/>
    <w:rsid w:val="0050487B"/>
    <w:rsid w:val="00504CB5"/>
    <w:rsid w:val="00505C46"/>
    <w:rsid w:val="005068E1"/>
    <w:rsid w:val="005070B6"/>
    <w:rsid w:val="005077C5"/>
    <w:rsid w:val="00510111"/>
    <w:rsid w:val="00510B80"/>
    <w:rsid w:val="0051168A"/>
    <w:rsid w:val="005117D2"/>
    <w:rsid w:val="005118A6"/>
    <w:rsid w:val="005122F4"/>
    <w:rsid w:val="0051405F"/>
    <w:rsid w:val="00514277"/>
    <w:rsid w:val="0051444F"/>
    <w:rsid w:val="005156A6"/>
    <w:rsid w:val="00516393"/>
    <w:rsid w:val="00516669"/>
    <w:rsid w:val="005179A5"/>
    <w:rsid w:val="00520B4F"/>
    <w:rsid w:val="00522582"/>
    <w:rsid w:val="00524AD7"/>
    <w:rsid w:val="005254FD"/>
    <w:rsid w:val="005268A9"/>
    <w:rsid w:val="0052720F"/>
    <w:rsid w:val="00527421"/>
    <w:rsid w:val="005275C4"/>
    <w:rsid w:val="00527D36"/>
    <w:rsid w:val="00531076"/>
    <w:rsid w:val="00531D28"/>
    <w:rsid w:val="005328A8"/>
    <w:rsid w:val="005338EE"/>
    <w:rsid w:val="00533920"/>
    <w:rsid w:val="00535141"/>
    <w:rsid w:val="00535324"/>
    <w:rsid w:val="00535504"/>
    <w:rsid w:val="005363B4"/>
    <w:rsid w:val="0053712D"/>
    <w:rsid w:val="005403F4"/>
    <w:rsid w:val="00540B60"/>
    <w:rsid w:val="00541076"/>
    <w:rsid w:val="00541136"/>
    <w:rsid w:val="0054216F"/>
    <w:rsid w:val="00542F18"/>
    <w:rsid w:val="0054343C"/>
    <w:rsid w:val="00544853"/>
    <w:rsid w:val="00544CA5"/>
    <w:rsid w:val="005450E2"/>
    <w:rsid w:val="00545B19"/>
    <w:rsid w:val="00547404"/>
    <w:rsid w:val="005474A2"/>
    <w:rsid w:val="00547520"/>
    <w:rsid w:val="0055035F"/>
    <w:rsid w:val="005507FD"/>
    <w:rsid w:val="005511C0"/>
    <w:rsid w:val="00551D4B"/>
    <w:rsid w:val="00551E3C"/>
    <w:rsid w:val="0055232C"/>
    <w:rsid w:val="0055242B"/>
    <w:rsid w:val="0055278E"/>
    <w:rsid w:val="00555488"/>
    <w:rsid w:val="0055549A"/>
    <w:rsid w:val="00555B18"/>
    <w:rsid w:val="00555C9C"/>
    <w:rsid w:val="00556A4D"/>
    <w:rsid w:val="00557319"/>
    <w:rsid w:val="0055764E"/>
    <w:rsid w:val="00560528"/>
    <w:rsid w:val="00560699"/>
    <w:rsid w:val="00561503"/>
    <w:rsid w:val="00561923"/>
    <w:rsid w:val="005622F8"/>
    <w:rsid w:val="0056310A"/>
    <w:rsid w:val="0056336F"/>
    <w:rsid w:val="00563B9D"/>
    <w:rsid w:val="00565AF7"/>
    <w:rsid w:val="00566024"/>
    <w:rsid w:val="005671C3"/>
    <w:rsid w:val="0057060C"/>
    <w:rsid w:val="00570C0B"/>
    <w:rsid w:val="0057189C"/>
    <w:rsid w:val="00571BD2"/>
    <w:rsid w:val="00571CD7"/>
    <w:rsid w:val="00571D59"/>
    <w:rsid w:val="00572E3E"/>
    <w:rsid w:val="0057332B"/>
    <w:rsid w:val="0057364D"/>
    <w:rsid w:val="005737FC"/>
    <w:rsid w:val="0057420B"/>
    <w:rsid w:val="0057593B"/>
    <w:rsid w:val="005762CE"/>
    <w:rsid w:val="00576DC0"/>
    <w:rsid w:val="00580280"/>
    <w:rsid w:val="00580B9E"/>
    <w:rsid w:val="00580DAB"/>
    <w:rsid w:val="0058135A"/>
    <w:rsid w:val="005817D9"/>
    <w:rsid w:val="00581F7C"/>
    <w:rsid w:val="00583358"/>
    <w:rsid w:val="005839BF"/>
    <w:rsid w:val="00584058"/>
    <w:rsid w:val="00584413"/>
    <w:rsid w:val="005844A5"/>
    <w:rsid w:val="005846B4"/>
    <w:rsid w:val="005850E5"/>
    <w:rsid w:val="005851E0"/>
    <w:rsid w:val="00585571"/>
    <w:rsid w:val="005856F9"/>
    <w:rsid w:val="00585B91"/>
    <w:rsid w:val="00586BB0"/>
    <w:rsid w:val="00586BF1"/>
    <w:rsid w:val="00587DC4"/>
    <w:rsid w:val="0059008F"/>
    <w:rsid w:val="005903E4"/>
    <w:rsid w:val="005907D5"/>
    <w:rsid w:val="005910C0"/>
    <w:rsid w:val="005913EE"/>
    <w:rsid w:val="00592461"/>
    <w:rsid w:val="00594DE3"/>
    <w:rsid w:val="005950D6"/>
    <w:rsid w:val="0059519C"/>
    <w:rsid w:val="00595524"/>
    <w:rsid w:val="005964D5"/>
    <w:rsid w:val="005974F3"/>
    <w:rsid w:val="0059751C"/>
    <w:rsid w:val="00597919"/>
    <w:rsid w:val="00597F9F"/>
    <w:rsid w:val="005A0B9F"/>
    <w:rsid w:val="005A0EFC"/>
    <w:rsid w:val="005A44E7"/>
    <w:rsid w:val="005A5D8E"/>
    <w:rsid w:val="005A63D8"/>
    <w:rsid w:val="005A71A7"/>
    <w:rsid w:val="005A7420"/>
    <w:rsid w:val="005A7C14"/>
    <w:rsid w:val="005A7DBE"/>
    <w:rsid w:val="005B152C"/>
    <w:rsid w:val="005B1C64"/>
    <w:rsid w:val="005B1DE8"/>
    <w:rsid w:val="005B2294"/>
    <w:rsid w:val="005B271E"/>
    <w:rsid w:val="005B2807"/>
    <w:rsid w:val="005B3606"/>
    <w:rsid w:val="005B388D"/>
    <w:rsid w:val="005B3E08"/>
    <w:rsid w:val="005B49B6"/>
    <w:rsid w:val="005B56EE"/>
    <w:rsid w:val="005B63E1"/>
    <w:rsid w:val="005B672C"/>
    <w:rsid w:val="005B6E68"/>
    <w:rsid w:val="005B747D"/>
    <w:rsid w:val="005B7733"/>
    <w:rsid w:val="005B7A22"/>
    <w:rsid w:val="005C0602"/>
    <w:rsid w:val="005C0D5D"/>
    <w:rsid w:val="005C1415"/>
    <w:rsid w:val="005C191A"/>
    <w:rsid w:val="005C2AA9"/>
    <w:rsid w:val="005C330D"/>
    <w:rsid w:val="005C40C7"/>
    <w:rsid w:val="005C4114"/>
    <w:rsid w:val="005C4EFF"/>
    <w:rsid w:val="005C4F43"/>
    <w:rsid w:val="005C6CC6"/>
    <w:rsid w:val="005C6E71"/>
    <w:rsid w:val="005C7363"/>
    <w:rsid w:val="005D0B55"/>
    <w:rsid w:val="005D4A04"/>
    <w:rsid w:val="005D4CF7"/>
    <w:rsid w:val="005D5347"/>
    <w:rsid w:val="005D5CC5"/>
    <w:rsid w:val="005D5FE6"/>
    <w:rsid w:val="005D61EA"/>
    <w:rsid w:val="005D74D8"/>
    <w:rsid w:val="005D787B"/>
    <w:rsid w:val="005E031D"/>
    <w:rsid w:val="005E03AC"/>
    <w:rsid w:val="005E04B5"/>
    <w:rsid w:val="005E0621"/>
    <w:rsid w:val="005E12BE"/>
    <w:rsid w:val="005E2C81"/>
    <w:rsid w:val="005E4D3C"/>
    <w:rsid w:val="005E7158"/>
    <w:rsid w:val="005E7ECB"/>
    <w:rsid w:val="005F0C00"/>
    <w:rsid w:val="005F1037"/>
    <w:rsid w:val="005F2BF8"/>
    <w:rsid w:val="005F2EA8"/>
    <w:rsid w:val="005F3B04"/>
    <w:rsid w:val="005F5574"/>
    <w:rsid w:val="005F5D1D"/>
    <w:rsid w:val="005F60C9"/>
    <w:rsid w:val="005F64C6"/>
    <w:rsid w:val="005F6576"/>
    <w:rsid w:val="006008F1"/>
    <w:rsid w:val="00601714"/>
    <w:rsid w:val="00601735"/>
    <w:rsid w:val="00602BD2"/>
    <w:rsid w:val="00604980"/>
    <w:rsid w:val="0060614D"/>
    <w:rsid w:val="006100A4"/>
    <w:rsid w:val="00610871"/>
    <w:rsid w:val="00610E48"/>
    <w:rsid w:val="00610FE0"/>
    <w:rsid w:val="00613A78"/>
    <w:rsid w:val="00613C47"/>
    <w:rsid w:val="00615086"/>
    <w:rsid w:val="00616201"/>
    <w:rsid w:val="00616225"/>
    <w:rsid w:val="00616BA2"/>
    <w:rsid w:val="0061705E"/>
    <w:rsid w:val="00617070"/>
    <w:rsid w:val="006170F1"/>
    <w:rsid w:val="00617914"/>
    <w:rsid w:val="00617A8B"/>
    <w:rsid w:val="00621904"/>
    <w:rsid w:val="00622248"/>
    <w:rsid w:val="00622FEA"/>
    <w:rsid w:val="00623CDF"/>
    <w:rsid w:val="00623DB1"/>
    <w:rsid w:val="006245F3"/>
    <w:rsid w:val="00624680"/>
    <w:rsid w:val="0062485E"/>
    <w:rsid w:val="00624DBE"/>
    <w:rsid w:val="00625450"/>
    <w:rsid w:val="0062557A"/>
    <w:rsid w:val="0062624F"/>
    <w:rsid w:val="006319CA"/>
    <w:rsid w:val="00633B3E"/>
    <w:rsid w:val="00634EC0"/>
    <w:rsid w:val="0063627F"/>
    <w:rsid w:val="006376C4"/>
    <w:rsid w:val="006403E7"/>
    <w:rsid w:val="00642D72"/>
    <w:rsid w:val="0064437B"/>
    <w:rsid w:val="006443CB"/>
    <w:rsid w:val="006448B8"/>
    <w:rsid w:val="00644F80"/>
    <w:rsid w:val="00645874"/>
    <w:rsid w:val="00647673"/>
    <w:rsid w:val="00650F81"/>
    <w:rsid w:val="00650FC7"/>
    <w:rsid w:val="00651822"/>
    <w:rsid w:val="00651F86"/>
    <w:rsid w:val="00652D6B"/>
    <w:rsid w:val="0065395E"/>
    <w:rsid w:val="00653C24"/>
    <w:rsid w:val="00653D68"/>
    <w:rsid w:val="00653E4E"/>
    <w:rsid w:val="00654275"/>
    <w:rsid w:val="0065446D"/>
    <w:rsid w:val="00654891"/>
    <w:rsid w:val="00654894"/>
    <w:rsid w:val="00655104"/>
    <w:rsid w:val="00656067"/>
    <w:rsid w:val="00660693"/>
    <w:rsid w:val="006611D6"/>
    <w:rsid w:val="00661918"/>
    <w:rsid w:val="00662A5A"/>
    <w:rsid w:val="006636D0"/>
    <w:rsid w:val="00663834"/>
    <w:rsid w:val="00663BF1"/>
    <w:rsid w:val="006647D7"/>
    <w:rsid w:val="00664F1B"/>
    <w:rsid w:val="006653D7"/>
    <w:rsid w:val="00665BFF"/>
    <w:rsid w:val="006665BA"/>
    <w:rsid w:val="00666A4F"/>
    <w:rsid w:val="00667477"/>
    <w:rsid w:val="006703D9"/>
    <w:rsid w:val="00672DFC"/>
    <w:rsid w:val="00672F5B"/>
    <w:rsid w:val="00673DEE"/>
    <w:rsid w:val="00674E69"/>
    <w:rsid w:val="00675720"/>
    <w:rsid w:val="0067738E"/>
    <w:rsid w:val="00677F23"/>
    <w:rsid w:val="0068015A"/>
    <w:rsid w:val="0068055B"/>
    <w:rsid w:val="00680936"/>
    <w:rsid w:val="00680D8C"/>
    <w:rsid w:val="00680D99"/>
    <w:rsid w:val="006821B2"/>
    <w:rsid w:val="00682725"/>
    <w:rsid w:val="00682A1B"/>
    <w:rsid w:val="00682D73"/>
    <w:rsid w:val="00682ED3"/>
    <w:rsid w:val="00683126"/>
    <w:rsid w:val="00683993"/>
    <w:rsid w:val="006846E8"/>
    <w:rsid w:val="00685EBD"/>
    <w:rsid w:val="006861C3"/>
    <w:rsid w:val="00686AF3"/>
    <w:rsid w:val="00686F68"/>
    <w:rsid w:val="00690F1F"/>
    <w:rsid w:val="00691120"/>
    <w:rsid w:val="006915BD"/>
    <w:rsid w:val="006915F2"/>
    <w:rsid w:val="00691DC2"/>
    <w:rsid w:val="00692582"/>
    <w:rsid w:val="00692592"/>
    <w:rsid w:val="00692A2F"/>
    <w:rsid w:val="0069322C"/>
    <w:rsid w:val="00693652"/>
    <w:rsid w:val="006939E7"/>
    <w:rsid w:val="00693D3E"/>
    <w:rsid w:val="006942F7"/>
    <w:rsid w:val="006956FB"/>
    <w:rsid w:val="00697D85"/>
    <w:rsid w:val="006A1A71"/>
    <w:rsid w:val="006A1D3D"/>
    <w:rsid w:val="006A2150"/>
    <w:rsid w:val="006A2216"/>
    <w:rsid w:val="006A241D"/>
    <w:rsid w:val="006A3288"/>
    <w:rsid w:val="006A43E6"/>
    <w:rsid w:val="006A47EB"/>
    <w:rsid w:val="006A4A22"/>
    <w:rsid w:val="006A4AEE"/>
    <w:rsid w:val="006A5E74"/>
    <w:rsid w:val="006A70BE"/>
    <w:rsid w:val="006A7290"/>
    <w:rsid w:val="006A7934"/>
    <w:rsid w:val="006A7BC8"/>
    <w:rsid w:val="006B0001"/>
    <w:rsid w:val="006B054B"/>
    <w:rsid w:val="006B059F"/>
    <w:rsid w:val="006B0E3A"/>
    <w:rsid w:val="006B2048"/>
    <w:rsid w:val="006B215A"/>
    <w:rsid w:val="006B2AD6"/>
    <w:rsid w:val="006B342E"/>
    <w:rsid w:val="006B3812"/>
    <w:rsid w:val="006B3B80"/>
    <w:rsid w:val="006B6EF0"/>
    <w:rsid w:val="006B6F32"/>
    <w:rsid w:val="006B7130"/>
    <w:rsid w:val="006B73CC"/>
    <w:rsid w:val="006B7695"/>
    <w:rsid w:val="006B7AFA"/>
    <w:rsid w:val="006C0176"/>
    <w:rsid w:val="006C2994"/>
    <w:rsid w:val="006C35EC"/>
    <w:rsid w:val="006C4150"/>
    <w:rsid w:val="006C4382"/>
    <w:rsid w:val="006C4891"/>
    <w:rsid w:val="006C52BC"/>
    <w:rsid w:val="006C5683"/>
    <w:rsid w:val="006C5E33"/>
    <w:rsid w:val="006C5E48"/>
    <w:rsid w:val="006C6434"/>
    <w:rsid w:val="006C6CD8"/>
    <w:rsid w:val="006C70BB"/>
    <w:rsid w:val="006C7EB1"/>
    <w:rsid w:val="006D013F"/>
    <w:rsid w:val="006D017F"/>
    <w:rsid w:val="006D08BD"/>
    <w:rsid w:val="006D0F8E"/>
    <w:rsid w:val="006D1416"/>
    <w:rsid w:val="006D1D3F"/>
    <w:rsid w:val="006D253B"/>
    <w:rsid w:val="006D325A"/>
    <w:rsid w:val="006D386A"/>
    <w:rsid w:val="006D4242"/>
    <w:rsid w:val="006D45F0"/>
    <w:rsid w:val="006D4C8F"/>
    <w:rsid w:val="006D52A0"/>
    <w:rsid w:val="006D57CB"/>
    <w:rsid w:val="006D5819"/>
    <w:rsid w:val="006D5E6F"/>
    <w:rsid w:val="006D693F"/>
    <w:rsid w:val="006D6CDD"/>
    <w:rsid w:val="006D7604"/>
    <w:rsid w:val="006D765E"/>
    <w:rsid w:val="006D76CB"/>
    <w:rsid w:val="006E0455"/>
    <w:rsid w:val="006E4238"/>
    <w:rsid w:val="006E4551"/>
    <w:rsid w:val="006E5F01"/>
    <w:rsid w:val="006E7033"/>
    <w:rsid w:val="006E7404"/>
    <w:rsid w:val="006E7B97"/>
    <w:rsid w:val="006F05B9"/>
    <w:rsid w:val="006F1972"/>
    <w:rsid w:val="006F1EA3"/>
    <w:rsid w:val="006F2627"/>
    <w:rsid w:val="006F2A57"/>
    <w:rsid w:val="006F3187"/>
    <w:rsid w:val="006F3568"/>
    <w:rsid w:val="006F3EEB"/>
    <w:rsid w:val="006F40AD"/>
    <w:rsid w:val="006F53EB"/>
    <w:rsid w:val="006F6360"/>
    <w:rsid w:val="006F6436"/>
    <w:rsid w:val="006F65C5"/>
    <w:rsid w:val="006F687A"/>
    <w:rsid w:val="006F68EF"/>
    <w:rsid w:val="006F6D4C"/>
    <w:rsid w:val="006F6E67"/>
    <w:rsid w:val="006F7157"/>
    <w:rsid w:val="006F78E0"/>
    <w:rsid w:val="007023EA"/>
    <w:rsid w:val="00702B1B"/>
    <w:rsid w:val="007032B3"/>
    <w:rsid w:val="00704164"/>
    <w:rsid w:val="007063BD"/>
    <w:rsid w:val="00706446"/>
    <w:rsid w:val="00706A58"/>
    <w:rsid w:val="00707517"/>
    <w:rsid w:val="007078ED"/>
    <w:rsid w:val="00710187"/>
    <w:rsid w:val="007101D7"/>
    <w:rsid w:val="00710D6E"/>
    <w:rsid w:val="007110E1"/>
    <w:rsid w:val="00711723"/>
    <w:rsid w:val="00711B18"/>
    <w:rsid w:val="007126D1"/>
    <w:rsid w:val="00714394"/>
    <w:rsid w:val="00714C87"/>
    <w:rsid w:val="00714ED6"/>
    <w:rsid w:val="00715E8D"/>
    <w:rsid w:val="00721C26"/>
    <w:rsid w:val="00721F7E"/>
    <w:rsid w:val="00722E29"/>
    <w:rsid w:val="00723ECB"/>
    <w:rsid w:val="00724606"/>
    <w:rsid w:val="00724A36"/>
    <w:rsid w:val="00724A60"/>
    <w:rsid w:val="00724E85"/>
    <w:rsid w:val="0072525D"/>
    <w:rsid w:val="00726E8A"/>
    <w:rsid w:val="00727047"/>
    <w:rsid w:val="00727A0E"/>
    <w:rsid w:val="00727C81"/>
    <w:rsid w:val="00727F8E"/>
    <w:rsid w:val="00730B33"/>
    <w:rsid w:val="00734510"/>
    <w:rsid w:val="00734887"/>
    <w:rsid w:val="007365B6"/>
    <w:rsid w:val="00737394"/>
    <w:rsid w:val="007401E2"/>
    <w:rsid w:val="00740205"/>
    <w:rsid w:val="007411E5"/>
    <w:rsid w:val="00741605"/>
    <w:rsid w:val="00742788"/>
    <w:rsid w:val="007436F2"/>
    <w:rsid w:val="00743B2E"/>
    <w:rsid w:val="0074436D"/>
    <w:rsid w:val="00746951"/>
    <w:rsid w:val="00746F65"/>
    <w:rsid w:val="007472C3"/>
    <w:rsid w:val="0074791E"/>
    <w:rsid w:val="00750948"/>
    <w:rsid w:val="00750A23"/>
    <w:rsid w:val="0075115D"/>
    <w:rsid w:val="00751A33"/>
    <w:rsid w:val="00751E0A"/>
    <w:rsid w:val="00753890"/>
    <w:rsid w:val="0075466D"/>
    <w:rsid w:val="007555DF"/>
    <w:rsid w:val="007569DC"/>
    <w:rsid w:val="0075711E"/>
    <w:rsid w:val="00757549"/>
    <w:rsid w:val="007579F2"/>
    <w:rsid w:val="00761434"/>
    <w:rsid w:val="00761FD5"/>
    <w:rsid w:val="00762BB6"/>
    <w:rsid w:val="0076341D"/>
    <w:rsid w:val="0076446D"/>
    <w:rsid w:val="007647EF"/>
    <w:rsid w:val="00765DD8"/>
    <w:rsid w:val="00766230"/>
    <w:rsid w:val="00766B33"/>
    <w:rsid w:val="00766D36"/>
    <w:rsid w:val="00767607"/>
    <w:rsid w:val="00767ACD"/>
    <w:rsid w:val="007705B5"/>
    <w:rsid w:val="0077270D"/>
    <w:rsid w:val="00773874"/>
    <w:rsid w:val="0077393B"/>
    <w:rsid w:val="00775D3B"/>
    <w:rsid w:val="0077615A"/>
    <w:rsid w:val="007806A0"/>
    <w:rsid w:val="00780FDB"/>
    <w:rsid w:val="007822E4"/>
    <w:rsid w:val="00782346"/>
    <w:rsid w:val="007836E7"/>
    <w:rsid w:val="007838CD"/>
    <w:rsid w:val="007839A9"/>
    <w:rsid w:val="00784054"/>
    <w:rsid w:val="007840F3"/>
    <w:rsid w:val="007849BE"/>
    <w:rsid w:val="00785491"/>
    <w:rsid w:val="007858C0"/>
    <w:rsid w:val="0078679A"/>
    <w:rsid w:val="00786BDC"/>
    <w:rsid w:val="007871FE"/>
    <w:rsid w:val="00787C89"/>
    <w:rsid w:val="007908ED"/>
    <w:rsid w:val="00790F74"/>
    <w:rsid w:val="00792014"/>
    <w:rsid w:val="007921CD"/>
    <w:rsid w:val="00792288"/>
    <w:rsid w:val="00792447"/>
    <w:rsid w:val="007928C6"/>
    <w:rsid w:val="00792E73"/>
    <w:rsid w:val="0079694C"/>
    <w:rsid w:val="007A0187"/>
    <w:rsid w:val="007A19AC"/>
    <w:rsid w:val="007A23A3"/>
    <w:rsid w:val="007A268F"/>
    <w:rsid w:val="007A29EC"/>
    <w:rsid w:val="007A4A53"/>
    <w:rsid w:val="007A4C93"/>
    <w:rsid w:val="007A4E17"/>
    <w:rsid w:val="007A7F6D"/>
    <w:rsid w:val="007B0FBD"/>
    <w:rsid w:val="007B10EC"/>
    <w:rsid w:val="007B1BAF"/>
    <w:rsid w:val="007B20C3"/>
    <w:rsid w:val="007B2FE8"/>
    <w:rsid w:val="007B35F7"/>
    <w:rsid w:val="007B4DD5"/>
    <w:rsid w:val="007B4F72"/>
    <w:rsid w:val="007B5148"/>
    <w:rsid w:val="007B5A16"/>
    <w:rsid w:val="007B71AA"/>
    <w:rsid w:val="007B7F09"/>
    <w:rsid w:val="007C03FE"/>
    <w:rsid w:val="007C0E04"/>
    <w:rsid w:val="007C17D3"/>
    <w:rsid w:val="007C1FA2"/>
    <w:rsid w:val="007C2827"/>
    <w:rsid w:val="007C294A"/>
    <w:rsid w:val="007C3A26"/>
    <w:rsid w:val="007C4032"/>
    <w:rsid w:val="007C4CE1"/>
    <w:rsid w:val="007C537A"/>
    <w:rsid w:val="007C57D1"/>
    <w:rsid w:val="007C6B3E"/>
    <w:rsid w:val="007C7130"/>
    <w:rsid w:val="007C74E5"/>
    <w:rsid w:val="007C7F57"/>
    <w:rsid w:val="007D0348"/>
    <w:rsid w:val="007D0E43"/>
    <w:rsid w:val="007D13E7"/>
    <w:rsid w:val="007D1A3E"/>
    <w:rsid w:val="007D1E37"/>
    <w:rsid w:val="007D2335"/>
    <w:rsid w:val="007D358B"/>
    <w:rsid w:val="007D370E"/>
    <w:rsid w:val="007D4624"/>
    <w:rsid w:val="007D4A8F"/>
    <w:rsid w:val="007D563E"/>
    <w:rsid w:val="007D5A49"/>
    <w:rsid w:val="007D5FC1"/>
    <w:rsid w:val="007D6EB6"/>
    <w:rsid w:val="007D715A"/>
    <w:rsid w:val="007D7EF9"/>
    <w:rsid w:val="007E002B"/>
    <w:rsid w:val="007E08DB"/>
    <w:rsid w:val="007E0B17"/>
    <w:rsid w:val="007E0D90"/>
    <w:rsid w:val="007E0E9E"/>
    <w:rsid w:val="007E12DC"/>
    <w:rsid w:val="007E1760"/>
    <w:rsid w:val="007E21FB"/>
    <w:rsid w:val="007E3B9D"/>
    <w:rsid w:val="007E420B"/>
    <w:rsid w:val="007E4932"/>
    <w:rsid w:val="007E4CAD"/>
    <w:rsid w:val="007E502C"/>
    <w:rsid w:val="007E516A"/>
    <w:rsid w:val="007E5BD7"/>
    <w:rsid w:val="007E6761"/>
    <w:rsid w:val="007E75F0"/>
    <w:rsid w:val="007E7968"/>
    <w:rsid w:val="007E79C4"/>
    <w:rsid w:val="007F013A"/>
    <w:rsid w:val="007F0730"/>
    <w:rsid w:val="007F1D54"/>
    <w:rsid w:val="007F2D90"/>
    <w:rsid w:val="007F3F6F"/>
    <w:rsid w:val="007F48A9"/>
    <w:rsid w:val="007F4E28"/>
    <w:rsid w:val="007F4F82"/>
    <w:rsid w:val="007F5143"/>
    <w:rsid w:val="007F6758"/>
    <w:rsid w:val="007F6D96"/>
    <w:rsid w:val="00800D05"/>
    <w:rsid w:val="00801D7A"/>
    <w:rsid w:val="008020F2"/>
    <w:rsid w:val="0080248F"/>
    <w:rsid w:val="00803F74"/>
    <w:rsid w:val="00804653"/>
    <w:rsid w:val="00804C48"/>
    <w:rsid w:val="0080505A"/>
    <w:rsid w:val="008060B3"/>
    <w:rsid w:val="00806205"/>
    <w:rsid w:val="00806639"/>
    <w:rsid w:val="00806A84"/>
    <w:rsid w:val="00806EF4"/>
    <w:rsid w:val="008073A4"/>
    <w:rsid w:val="00807C6C"/>
    <w:rsid w:val="008115ED"/>
    <w:rsid w:val="0081254B"/>
    <w:rsid w:val="0081340B"/>
    <w:rsid w:val="00815822"/>
    <w:rsid w:val="00815B93"/>
    <w:rsid w:val="00816585"/>
    <w:rsid w:val="0081760E"/>
    <w:rsid w:val="00817BB4"/>
    <w:rsid w:val="00817E4F"/>
    <w:rsid w:val="00820F5B"/>
    <w:rsid w:val="00821021"/>
    <w:rsid w:val="008214BB"/>
    <w:rsid w:val="00821B58"/>
    <w:rsid w:val="00822D4E"/>
    <w:rsid w:val="00822FBA"/>
    <w:rsid w:val="0082398C"/>
    <w:rsid w:val="00824FF1"/>
    <w:rsid w:val="00825196"/>
    <w:rsid w:val="00826F4C"/>
    <w:rsid w:val="008303A6"/>
    <w:rsid w:val="008310B4"/>
    <w:rsid w:val="00831573"/>
    <w:rsid w:val="00831C7F"/>
    <w:rsid w:val="00833C51"/>
    <w:rsid w:val="00834577"/>
    <w:rsid w:val="008349A6"/>
    <w:rsid w:val="00835271"/>
    <w:rsid w:val="00835679"/>
    <w:rsid w:val="008377DA"/>
    <w:rsid w:val="00841B7C"/>
    <w:rsid w:val="00841F21"/>
    <w:rsid w:val="00842991"/>
    <w:rsid w:val="008429B0"/>
    <w:rsid w:val="00843900"/>
    <w:rsid w:val="00844C5B"/>
    <w:rsid w:val="00845A15"/>
    <w:rsid w:val="0084632F"/>
    <w:rsid w:val="008474A9"/>
    <w:rsid w:val="00851180"/>
    <w:rsid w:val="00852528"/>
    <w:rsid w:val="0085434F"/>
    <w:rsid w:val="008543F7"/>
    <w:rsid w:val="008545DC"/>
    <w:rsid w:val="00854A7E"/>
    <w:rsid w:val="00855B06"/>
    <w:rsid w:val="00856B95"/>
    <w:rsid w:val="00856D1A"/>
    <w:rsid w:val="00857D29"/>
    <w:rsid w:val="00861313"/>
    <w:rsid w:val="0086161C"/>
    <w:rsid w:val="008616AF"/>
    <w:rsid w:val="008617AF"/>
    <w:rsid w:val="00861DB0"/>
    <w:rsid w:val="00861E83"/>
    <w:rsid w:val="0086225C"/>
    <w:rsid w:val="008629A8"/>
    <w:rsid w:val="00863225"/>
    <w:rsid w:val="00863ADA"/>
    <w:rsid w:val="00865BAA"/>
    <w:rsid w:val="00865C83"/>
    <w:rsid w:val="008677CB"/>
    <w:rsid w:val="0087026D"/>
    <w:rsid w:val="0087056E"/>
    <w:rsid w:val="00870CB6"/>
    <w:rsid w:val="00870DF8"/>
    <w:rsid w:val="008722A6"/>
    <w:rsid w:val="008737AE"/>
    <w:rsid w:val="00873851"/>
    <w:rsid w:val="00873FEA"/>
    <w:rsid w:val="0087419B"/>
    <w:rsid w:val="008744CC"/>
    <w:rsid w:val="00874592"/>
    <w:rsid w:val="008751C1"/>
    <w:rsid w:val="0087595D"/>
    <w:rsid w:val="00876C1B"/>
    <w:rsid w:val="00876E70"/>
    <w:rsid w:val="008804E1"/>
    <w:rsid w:val="008815B6"/>
    <w:rsid w:val="008818F6"/>
    <w:rsid w:val="00881D45"/>
    <w:rsid w:val="0088398E"/>
    <w:rsid w:val="00885182"/>
    <w:rsid w:val="008858B7"/>
    <w:rsid w:val="0088647E"/>
    <w:rsid w:val="00886D52"/>
    <w:rsid w:val="00887215"/>
    <w:rsid w:val="00887E02"/>
    <w:rsid w:val="00890382"/>
    <w:rsid w:val="0089046A"/>
    <w:rsid w:val="00891106"/>
    <w:rsid w:val="00892833"/>
    <w:rsid w:val="00892DCB"/>
    <w:rsid w:val="00893479"/>
    <w:rsid w:val="0089375D"/>
    <w:rsid w:val="008943CB"/>
    <w:rsid w:val="008946B9"/>
    <w:rsid w:val="008A0882"/>
    <w:rsid w:val="008A10C1"/>
    <w:rsid w:val="008A181A"/>
    <w:rsid w:val="008A183F"/>
    <w:rsid w:val="008A1C47"/>
    <w:rsid w:val="008A2289"/>
    <w:rsid w:val="008A34BA"/>
    <w:rsid w:val="008A3766"/>
    <w:rsid w:val="008A4F66"/>
    <w:rsid w:val="008A5290"/>
    <w:rsid w:val="008A5376"/>
    <w:rsid w:val="008A593A"/>
    <w:rsid w:val="008A6A60"/>
    <w:rsid w:val="008A6C5A"/>
    <w:rsid w:val="008A6CCA"/>
    <w:rsid w:val="008B1B8C"/>
    <w:rsid w:val="008B2C59"/>
    <w:rsid w:val="008B2DF3"/>
    <w:rsid w:val="008B376A"/>
    <w:rsid w:val="008B444E"/>
    <w:rsid w:val="008B569F"/>
    <w:rsid w:val="008B7220"/>
    <w:rsid w:val="008C0669"/>
    <w:rsid w:val="008C0814"/>
    <w:rsid w:val="008C0867"/>
    <w:rsid w:val="008C08A5"/>
    <w:rsid w:val="008C1DD7"/>
    <w:rsid w:val="008C26FA"/>
    <w:rsid w:val="008C2BC1"/>
    <w:rsid w:val="008C4566"/>
    <w:rsid w:val="008C46B6"/>
    <w:rsid w:val="008C4935"/>
    <w:rsid w:val="008C522A"/>
    <w:rsid w:val="008C5E71"/>
    <w:rsid w:val="008C64E3"/>
    <w:rsid w:val="008C6A8B"/>
    <w:rsid w:val="008C7260"/>
    <w:rsid w:val="008C77F7"/>
    <w:rsid w:val="008D00EA"/>
    <w:rsid w:val="008D0D1E"/>
    <w:rsid w:val="008D1175"/>
    <w:rsid w:val="008D1627"/>
    <w:rsid w:val="008D1DA0"/>
    <w:rsid w:val="008D2828"/>
    <w:rsid w:val="008D284E"/>
    <w:rsid w:val="008D4ED3"/>
    <w:rsid w:val="008D54BF"/>
    <w:rsid w:val="008D5A85"/>
    <w:rsid w:val="008D5DC6"/>
    <w:rsid w:val="008D6A11"/>
    <w:rsid w:val="008E0D4B"/>
    <w:rsid w:val="008E1C27"/>
    <w:rsid w:val="008E1E54"/>
    <w:rsid w:val="008E2057"/>
    <w:rsid w:val="008E31EC"/>
    <w:rsid w:val="008E3C88"/>
    <w:rsid w:val="008E488D"/>
    <w:rsid w:val="008E4E17"/>
    <w:rsid w:val="008E5337"/>
    <w:rsid w:val="008E610D"/>
    <w:rsid w:val="008E69A2"/>
    <w:rsid w:val="008E78F2"/>
    <w:rsid w:val="008E7B12"/>
    <w:rsid w:val="008F022C"/>
    <w:rsid w:val="008F152D"/>
    <w:rsid w:val="008F2A60"/>
    <w:rsid w:val="008F310D"/>
    <w:rsid w:val="008F3888"/>
    <w:rsid w:val="008F3B22"/>
    <w:rsid w:val="008F43C7"/>
    <w:rsid w:val="008F4823"/>
    <w:rsid w:val="008F606D"/>
    <w:rsid w:val="008F7150"/>
    <w:rsid w:val="008F71CC"/>
    <w:rsid w:val="008F721C"/>
    <w:rsid w:val="00900662"/>
    <w:rsid w:val="00900B2A"/>
    <w:rsid w:val="00901953"/>
    <w:rsid w:val="00902166"/>
    <w:rsid w:val="00903C31"/>
    <w:rsid w:val="009040A1"/>
    <w:rsid w:val="0090473B"/>
    <w:rsid w:val="0090487F"/>
    <w:rsid w:val="00904A00"/>
    <w:rsid w:val="00904EAB"/>
    <w:rsid w:val="00904EAC"/>
    <w:rsid w:val="00905282"/>
    <w:rsid w:val="00905908"/>
    <w:rsid w:val="00906AD1"/>
    <w:rsid w:val="009075A4"/>
    <w:rsid w:val="009101AF"/>
    <w:rsid w:val="00911808"/>
    <w:rsid w:val="009145FB"/>
    <w:rsid w:val="0091555E"/>
    <w:rsid w:val="00915786"/>
    <w:rsid w:val="0091746C"/>
    <w:rsid w:val="00917816"/>
    <w:rsid w:val="00917D06"/>
    <w:rsid w:val="009207DB"/>
    <w:rsid w:val="00921202"/>
    <w:rsid w:val="00922024"/>
    <w:rsid w:val="009222A3"/>
    <w:rsid w:val="009224EE"/>
    <w:rsid w:val="00922D24"/>
    <w:rsid w:val="00924853"/>
    <w:rsid w:val="009248C9"/>
    <w:rsid w:val="009252E0"/>
    <w:rsid w:val="00925501"/>
    <w:rsid w:val="00926982"/>
    <w:rsid w:val="00926D4C"/>
    <w:rsid w:val="009270C4"/>
    <w:rsid w:val="0093083B"/>
    <w:rsid w:val="0093092B"/>
    <w:rsid w:val="00930C8D"/>
    <w:rsid w:val="009319D7"/>
    <w:rsid w:val="009325F7"/>
    <w:rsid w:val="00932BCF"/>
    <w:rsid w:val="00933396"/>
    <w:rsid w:val="00934D73"/>
    <w:rsid w:val="00935042"/>
    <w:rsid w:val="009354F5"/>
    <w:rsid w:val="0093740F"/>
    <w:rsid w:val="00937B4A"/>
    <w:rsid w:val="00937BE9"/>
    <w:rsid w:val="00937C1D"/>
    <w:rsid w:val="00940804"/>
    <w:rsid w:val="00940E9B"/>
    <w:rsid w:val="00940FC3"/>
    <w:rsid w:val="009410B3"/>
    <w:rsid w:val="0094131D"/>
    <w:rsid w:val="0094166C"/>
    <w:rsid w:val="00942120"/>
    <w:rsid w:val="00942292"/>
    <w:rsid w:val="0094245E"/>
    <w:rsid w:val="009425F7"/>
    <w:rsid w:val="00943BC0"/>
    <w:rsid w:val="00944BF0"/>
    <w:rsid w:val="00945EC2"/>
    <w:rsid w:val="00946136"/>
    <w:rsid w:val="00946CD9"/>
    <w:rsid w:val="00946E7C"/>
    <w:rsid w:val="00947046"/>
    <w:rsid w:val="00950297"/>
    <w:rsid w:val="009505F4"/>
    <w:rsid w:val="00951216"/>
    <w:rsid w:val="00951614"/>
    <w:rsid w:val="0095279B"/>
    <w:rsid w:val="009533C3"/>
    <w:rsid w:val="009535D3"/>
    <w:rsid w:val="00953807"/>
    <w:rsid w:val="00954282"/>
    <w:rsid w:val="00954427"/>
    <w:rsid w:val="0095611C"/>
    <w:rsid w:val="009564ED"/>
    <w:rsid w:val="00956CA2"/>
    <w:rsid w:val="0096079B"/>
    <w:rsid w:val="0096218D"/>
    <w:rsid w:val="00964509"/>
    <w:rsid w:val="0096501B"/>
    <w:rsid w:val="0096625E"/>
    <w:rsid w:val="0096662B"/>
    <w:rsid w:val="009666AF"/>
    <w:rsid w:val="00967180"/>
    <w:rsid w:val="0096797D"/>
    <w:rsid w:val="00970704"/>
    <w:rsid w:val="00970B65"/>
    <w:rsid w:val="00970D66"/>
    <w:rsid w:val="00971127"/>
    <w:rsid w:val="0097119E"/>
    <w:rsid w:val="009718E9"/>
    <w:rsid w:val="009734B8"/>
    <w:rsid w:val="00973514"/>
    <w:rsid w:val="009739F9"/>
    <w:rsid w:val="009741E7"/>
    <w:rsid w:val="00975C75"/>
    <w:rsid w:val="00977506"/>
    <w:rsid w:val="00977DFD"/>
    <w:rsid w:val="0098177A"/>
    <w:rsid w:val="00983583"/>
    <w:rsid w:val="00983EFD"/>
    <w:rsid w:val="00984AFF"/>
    <w:rsid w:val="009855B0"/>
    <w:rsid w:val="009859A8"/>
    <w:rsid w:val="00985F2F"/>
    <w:rsid w:val="00986257"/>
    <w:rsid w:val="00986564"/>
    <w:rsid w:val="0098658A"/>
    <w:rsid w:val="00986861"/>
    <w:rsid w:val="00987CBC"/>
    <w:rsid w:val="00991EB0"/>
    <w:rsid w:val="0099212B"/>
    <w:rsid w:val="0099245F"/>
    <w:rsid w:val="00993891"/>
    <w:rsid w:val="00995768"/>
    <w:rsid w:val="00995F21"/>
    <w:rsid w:val="00996203"/>
    <w:rsid w:val="00996326"/>
    <w:rsid w:val="009964FB"/>
    <w:rsid w:val="00996F95"/>
    <w:rsid w:val="00997B35"/>
    <w:rsid w:val="00997B6A"/>
    <w:rsid w:val="00997EA5"/>
    <w:rsid w:val="009A07D5"/>
    <w:rsid w:val="009A1FE7"/>
    <w:rsid w:val="009A2967"/>
    <w:rsid w:val="009A3274"/>
    <w:rsid w:val="009A36B7"/>
    <w:rsid w:val="009A3720"/>
    <w:rsid w:val="009A392B"/>
    <w:rsid w:val="009A3D58"/>
    <w:rsid w:val="009A42CF"/>
    <w:rsid w:val="009A44E8"/>
    <w:rsid w:val="009A581E"/>
    <w:rsid w:val="009A698D"/>
    <w:rsid w:val="009A6AB4"/>
    <w:rsid w:val="009A7461"/>
    <w:rsid w:val="009B0BF0"/>
    <w:rsid w:val="009B1DA5"/>
    <w:rsid w:val="009B1E1D"/>
    <w:rsid w:val="009B28FD"/>
    <w:rsid w:val="009B2AD6"/>
    <w:rsid w:val="009B3172"/>
    <w:rsid w:val="009B461D"/>
    <w:rsid w:val="009B4F1F"/>
    <w:rsid w:val="009B5594"/>
    <w:rsid w:val="009B59ED"/>
    <w:rsid w:val="009B628B"/>
    <w:rsid w:val="009B6405"/>
    <w:rsid w:val="009B6D8D"/>
    <w:rsid w:val="009B729E"/>
    <w:rsid w:val="009B7498"/>
    <w:rsid w:val="009C217C"/>
    <w:rsid w:val="009C264B"/>
    <w:rsid w:val="009C34F1"/>
    <w:rsid w:val="009C3B80"/>
    <w:rsid w:val="009C3D84"/>
    <w:rsid w:val="009C3F5A"/>
    <w:rsid w:val="009C48C6"/>
    <w:rsid w:val="009C5D76"/>
    <w:rsid w:val="009C5DFB"/>
    <w:rsid w:val="009C5FDE"/>
    <w:rsid w:val="009C623B"/>
    <w:rsid w:val="009C667D"/>
    <w:rsid w:val="009C69E7"/>
    <w:rsid w:val="009C7B1D"/>
    <w:rsid w:val="009C7F10"/>
    <w:rsid w:val="009C7FF8"/>
    <w:rsid w:val="009D03F1"/>
    <w:rsid w:val="009D0921"/>
    <w:rsid w:val="009D101B"/>
    <w:rsid w:val="009D118E"/>
    <w:rsid w:val="009D1CF4"/>
    <w:rsid w:val="009D271A"/>
    <w:rsid w:val="009D380F"/>
    <w:rsid w:val="009D57A7"/>
    <w:rsid w:val="009D65EE"/>
    <w:rsid w:val="009D6865"/>
    <w:rsid w:val="009D6903"/>
    <w:rsid w:val="009E02F1"/>
    <w:rsid w:val="009E0525"/>
    <w:rsid w:val="009E199C"/>
    <w:rsid w:val="009E1F76"/>
    <w:rsid w:val="009E20A6"/>
    <w:rsid w:val="009E233F"/>
    <w:rsid w:val="009E323A"/>
    <w:rsid w:val="009E328B"/>
    <w:rsid w:val="009E68BE"/>
    <w:rsid w:val="009E68C1"/>
    <w:rsid w:val="009E6DD0"/>
    <w:rsid w:val="009E6DEE"/>
    <w:rsid w:val="009E700C"/>
    <w:rsid w:val="009F082A"/>
    <w:rsid w:val="009F0BD9"/>
    <w:rsid w:val="009F12B4"/>
    <w:rsid w:val="009F33FA"/>
    <w:rsid w:val="009F347C"/>
    <w:rsid w:val="009F3F14"/>
    <w:rsid w:val="009F54D7"/>
    <w:rsid w:val="009F5B9D"/>
    <w:rsid w:val="009F6619"/>
    <w:rsid w:val="009F68FF"/>
    <w:rsid w:val="00A00E77"/>
    <w:rsid w:val="00A01A4C"/>
    <w:rsid w:val="00A01C1F"/>
    <w:rsid w:val="00A01C98"/>
    <w:rsid w:val="00A020F7"/>
    <w:rsid w:val="00A025E5"/>
    <w:rsid w:val="00A04B2F"/>
    <w:rsid w:val="00A054CB"/>
    <w:rsid w:val="00A05E8F"/>
    <w:rsid w:val="00A06A54"/>
    <w:rsid w:val="00A10423"/>
    <w:rsid w:val="00A10A6F"/>
    <w:rsid w:val="00A115B1"/>
    <w:rsid w:val="00A118B4"/>
    <w:rsid w:val="00A129C6"/>
    <w:rsid w:val="00A14BDD"/>
    <w:rsid w:val="00A15A52"/>
    <w:rsid w:val="00A169FE"/>
    <w:rsid w:val="00A1706F"/>
    <w:rsid w:val="00A1721D"/>
    <w:rsid w:val="00A20630"/>
    <w:rsid w:val="00A20956"/>
    <w:rsid w:val="00A210DB"/>
    <w:rsid w:val="00A21667"/>
    <w:rsid w:val="00A220FB"/>
    <w:rsid w:val="00A223A5"/>
    <w:rsid w:val="00A22946"/>
    <w:rsid w:val="00A23770"/>
    <w:rsid w:val="00A241FD"/>
    <w:rsid w:val="00A24BC5"/>
    <w:rsid w:val="00A2504C"/>
    <w:rsid w:val="00A26CA4"/>
    <w:rsid w:val="00A26D2E"/>
    <w:rsid w:val="00A26E5D"/>
    <w:rsid w:val="00A276A6"/>
    <w:rsid w:val="00A276FF"/>
    <w:rsid w:val="00A27A41"/>
    <w:rsid w:val="00A30C82"/>
    <w:rsid w:val="00A31A01"/>
    <w:rsid w:val="00A32211"/>
    <w:rsid w:val="00A3279A"/>
    <w:rsid w:val="00A33842"/>
    <w:rsid w:val="00A33A1E"/>
    <w:rsid w:val="00A33FDC"/>
    <w:rsid w:val="00A34114"/>
    <w:rsid w:val="00A34C81"/>
    <w:rsid w:val="00A34E19"/>
    <w:rsid w:val="00A35C90"/>
    <w:rsid w:val="00A362F9"/>
    <w:rsid w:val="00A3695F"/>
    <w:rsid w:val="00A36BE7"/>
    <w:rsid w:val="00A36F35"/>
    <w:rsid w:val="00A373CC"/>
    <w:rsid w:val="00A3760C"/>
    <w:rsid w:val="00A37704"/>
    <w:rsid w:val="00A378A0"/>
    <w:rsid w:val="00A37E59"/>
    <w:rsid w:val="00A40108"/>
    <w:rsid w:val="00A404AF"/>
    <w:rsid w:val="00A40D0C"/>
    <w:rsid w:val="00A41302"/>
    <w:rsid w:val="00A41C59"/>
    <w:rsid w:val="00A4350C"/>
    <w:rsid w:val="00A43644"/>
    <w:rsid w:val="00A4383B"/>
    <w:rsid w:val="00A44BB6"/>
    <w:rsid w:val="00A45734"/>
    <w:rsid w:val="00A45B90"/>
    <w:rsid w:val="00A462F7"/>
    <w:rsid w:val="00A46659"/>
    <w:rsid w:val="00A46F1A"/>
    <w:rsid w:val="00A47029"/>
    <w:rsid w:val="00A477C3"/>
    <w:rsid w:val="00A47A20"/>
    <w:rsid w:val="00A50299"/>
    <w:rsid w:val="00A5067A"/>
    <w:rsid w:val="00A50D10"/>
    <w:rsid w:val="00A533D5"/>
    <w:rsid w:val="00A5510E"/>
    <w:rsid w:val="00A559F4"/>
    <w:rsid w:val="00A56173"/>
    <w:rsid w:val="00A56547"/>
    <w:rsid w:val="00A57079"/>
    <w:rsid w:val="00A570E0"/>
    <w:rsid w:val="00A606A0"/>
    <w:rsid w:val="00A60943"/>
    <w:rsid w:val="00A60A2E"/>
    <w:rsid w:val="00A60A60"/>
    <w:rsid w:val="00A61263"/>
    <w:rsid w:val="00A614AD"/>
    <w:rsid w:val="00A61608"/>
    <w:rsid w:val="00A616BD"/>
    <w:rsid w:val="00A61886"/>
    <w:rsid w:val="00A61E92"/>
    <w:rsid w:val="00A63BB5"/>
    <w:rsid w:val="00A63D89"/>
    <w:rsid w:val="00A63EF3"/>
    <w:rsid w:val="00A650F1"/>
    <w:rsid w:val="00A6526E"/>
    <w:rsid w:val="00A65DA4"/>
    <w:rsid w:val="00A66E04"/>
    <w:rsid w:val="00A67194"/>
    <w:rsid w:val="00A671B3"/>
    <w:rsid w:val="00A67864"/>
    <w:rsid w:val="00A7001C"/>
    <w:rsid w:val="00A70242"/>
    <w:rsid w:val="00A7040E"/>
    <w:rsid w:val="00A7286F"/>
    <w:rsid w:val="00A734F2"/>
    <w:rsid w:val="00A73DEE"/>
    <w:rsid w:val="00A74678"/>
    <w:rsid w:val="00A75AEA"/>
    <w:rsid w:val="00A76063"/>
    <w:rsid w:val="00A767EB"/>
    <w:rsid w:val="00A771BF"/>
    <w:rsid w:val="00A77299"/>
    <w:rsid w:val="00A803C1"/>
    <w:rsid w:val="00A815B6"/>
    <w:rsid w:val="00A815F6"/>
    <w:rsid w:val="00A81953"/>
    <w:rsid w:val="00A823D7"/>
    <w:rsid w:val="00A827C9"/>
    <w:rsid w:val="00A8350D"/>
    <w:rsid w:val="00A85B31"/>
    <w:rsid w:val="00A861F3"/>
    <w:rsid w:val="00A86C48"/>
    <w:rsid w:val="00A90DB1"/>
    <w:rsid w:val="00A90FB8"/>
    <w:rsid w:val="00A9147B"/>
    <w:rsid w:val="00A91B14"/>
    <w:rsid w:val="00A91BA8"/>
    <w:rsid w:val="00A91EF1"/>
    <w:rsid w:val="00A91EF2"/>
    <w:rsid w:val="00A9325C"/>
    <w:rsid w:val="00A93680"/>
    <w:rsid w:val="00A9430B"/>
    <w:rsid w:val="00A94483"/>
    <w:rsid w:val="00A94BA4"/>
    <w:rsid w:val="00A959CA"/>
    <w:rsid w:val="00A96FC6"/>
    <w:rsid w:val="00A97A16"/>
    <w:rsid w:val="00A97B61"/>
    <w:rsid w:val="00A97C2E"/>
    <w:rsid w:val="00A97CE3"/>
    <w:rsid w:val="00A97E0C"/>
    <w:rsid w:val="00AA01DA"/>
    <w:rsid w:val="00AA1178"/>
    <w:rsid w:val="00AA11BA"/>
    <w:rsid w:val="00AA2755"/>
    <w:rsid w:val="00AA2D62"/>
    <w:rsid w:val="00AA2E2C"/>
    <w:rsid w:val="00AA2E90"/>
    <w:rsid w:val="00AA3077"/>
    <w:rsid w:val="00AA375B"/>
    <w:rsid w:val="00AA38AF"/>
    <w:rsid w:val="00AA450C"/>
    <w:rsid w:val="00AA4B62"/>
    <w:rsid w:val="00AA5EB3"/>
    <w:rsid w:val="00AA6916"/>
    <w:rsid w:val="00AB040A"/>
    <w:rsid w:val="00AB110E"/>
    <w:rsid w:val="00AB11CF"/>
    <w:rsid w:val="00AB1287"/>
    <w:rsid w:val="00AB1CE8"/>
    <w:rsid w:val="00AB2655"/>
    <w:rsid w:val="00AB2F06"/>
    <w:rsid w:val="00AB4FFF"/>
    <w:rsid w:val="00AB5190"/>
    <w:rsid w:val="00AB5513"/>
    <w:rsid w:val="00AB5A0C"/>
    <w:rsid w:val="00AB6070"/>
    <w:rsid w:val="00AB6DFC"/>
    <w:rsid w:val="00AB7354"/>
    <w:rsid w:val="00AB7BFE"/>
    <w:rsid w:val="00AB7C46"/>
    <w:rsid w:val="00AB7DD5"/>
    <w:rsid w:val="00AC05D0"/>
    <w:rsid w:val="00AC1A49"/>
    <w:rsid w:val="00AC3637"/>
    <w:rsid w:val="00AC3D4F"/>
    <w:rsid w:val="00AC3DB7"/>
    <w:rsid w:val="00AC4699"/>
    <w:rsid w:val="00AC5650"/>
    <w:rsid w:val="00AC59DF"/>
    <w:rsid w:val="00AC72C7"/>
    <w:rsid w:val="00AC7899"/>
    <w:rsid w:val="00AD13D6"/>
    <w:rsid w:val="00AD4087"/>
    <w:rsid w:val="00AD4E84"/>
    <w:rsid w:val="00AD629C"/>
    <w:rsid w:val="00AD6A21"/>
    <w:rsid w:val="00AD6BE0"/>
    <w:rsid w:val="00AD752F"/>
    <w:rsid w:val="00AE0C8D"/>
    <w:rsid w:val="00AE0E2A"/>
    <w:rsid w:val="00AE1411"/>
    <w:rsid w:val="00AE19B4"/>
    <w:rsid w:val="00AE2330"/>
    <w:rsid w:val="00AE55BC"/>
    <w:rsid w:val="00AE62E7"/>
    <w:rsid w:val="00AE686D"/>
    <w:rsid w:val="00AE6B27"/>
    <w:rsid w:val="00AF0DC0"/>
    <w:rsid w:val="00AF0F96"/>
    <w:rsid w:val="00AF21D7"/>
    <w:rsid w:val="00AF28EB"/>
    <w:rsid w:val="00AF31BA"/>
    <w:rsid w:val="00AF36B6"/>
    <w:rsid w:val="00AF4803"/>
    <w:rsid w:val="00AF4D10"/>
    <w:rsid w:val="00AF58CB"/>
    <w:rsid w:val="00AF726F"/>
    <w:rsid w:val="00B00506"/>
    <w:rsid w:val="00B00ED5"/>
    <w:rsid w:val="00B0128C"/>
    <w:rsid w:val="00B0190C"/>
    <w:rsid w:val="00B01C3F"/>
    <w:rsid w:val="00B02315"/>
    <w:rsid w:val="00B02BF0"/>
    <w:rsid w:val="00B02EA8"/>
    <w:rsid w:val="00B034DD"/>
    <w:rsid w:val="00B03AB4"/>
    <w:rsid w:val="00B05B91"/>
    <w:rsid w:val="00B06ED4"/>
    <w:rsid w:val="00B077CC"/>
    <w:rsid w:val="00B07A28"/>
    <w:rsid w:val="00B102E7"/>
    <w:rsid w:val="00B12A63"/>
    <w:rsid w:val="00B13397"/>
    <w:rsid w:val="00B1358E"/>
    <w:rsid w:val="00B1400D"/>
    <w:rsid w:val="00B147C9"/>
    <w:rsid w:val="00B15BB2"/>
    <w:rsid w:val="00B16EBE"/>
    <w:rsid w:val="00B20E3B"/>
    <w:rsid w:val="00B21D0E"/>
    <w:rsid w:val="00B22C57"/>
    <w:rsid w:val="00B23C76"/>
    <w:rsid w:val="00B23EEE"/>
    <w:rsid w:val="00B27298"/>
    <w:rsid w:val="00B27384"/>
    <w:rsid w:val="00B276E4"/>
    <w:rsid w:val="00B27A6D"/>
    <w:rsid w:val="00B309F9"/>
    <w:rsid w:val="00B30DAD"/>
    <w:rsid w:val="00B31782"/>
    <w:rsid w:val="00B32D93"/>
    <w:rsid w:val="00B3402E"/>
    <w:rsid w:val="00B360B7"/>
    <w:rsid w:val="00B36928"/>
    <w:rsid w:val="00B37293"/>
    <w:rsid w:val="00B4076A"/>
    <w:rsid w:val="00B413EB"/>
    <w:rsid w:val="00B428F3"/>
    <w:rsid w:val="00B42C20"/>
    <w:rsid w:val="00B43287"/>
    <w:rsid w:val="00B43864"/>
    <w:rsid w:val="00B43AD9"/>
    <w:rsid w:val="00B443D5"/>
    <w:rsid w:val="00B44482"/>
    <w:rsid w:val="00B450D9"/>
    <w:rsid w:val="00B46FF2"/>
    <w:rsid w:val="00B47391"/>
    <w:rsid w:val="00B51B75"/>
    <w:rsid w:val="00B52AD3"/>
    <w:rsid w:val="00B539EB"/>
    <w:rsid w:val="00B54B76"/>
    <w:rsid w:val="00B54D84"/>
    <w:rsid w:val="00B55ECC"/>
    <w:rsid w:val="00B560E5"/>
    <w:rsid w:val="00B5610F"/>
    <w:rsid w:val="00B576E1"/>
    <w:rsid w:val="00B6088D"/>
    <w:rsid w:val="00B608F1"/>
    <w:rsid w:val="00B60F79"/>
    <w:rsid w:val="00B61158"/>
    <w:rsid w:val="00B6131E"/>
    <w:rsid w:val="00B6252C"/>
    <w:rsid w:val="00B62CBE"/>
    <w:rsid w:val="00B62EFD"/>
    <w:rsid w:val="00B63999"/>
    <w:rsid w:val="00B63B4A"/>
    <w:rsid w:val="00B63E1F"/>
    <w:rsid w:val="00B641C5"/>
    <w:rsid w:val="00B64F8D"/>
    <w:rsid w:val="00B6533C"/>
    <w:rsid w:val="00B65388"/>
    <w:rsid w:val="00B65458"/>
    <w:rsid w:val="00B65FD8"/>
    <w:rsid w:val="00B6731A"/>
    <w:rsid w:val="00B673CA"/>
    <w:rsid w:val="00B70903"/>
    <w:rsid w:val="00B7108D"/>
    <w:rsid w:val="00B7117A"/>
    <w:rsid w:val="00B713F0"/>
    <w:rsid w:val="00B72053"/>
    <w:rsid w:val="00B733A9"/>
    <w:rsid w:val="00B73BEF"/>
    <w:rsid w:val="00B74530"/>
    <w:rsid w:val="00B7458C"/>
    <w:rsid w:val="00B74E4D"/>
    <w:rsid w:val="00B75D3F"/>
    <w:rsid w:val="00B75D4C"/>
    <w:rsid w:val="00B76F2C"/>
    <w:rsid w:val="00B77723"/>
    <w:rsid w:val="00B77863"/>
    <w:rsid w:val="00B801AC"/>
    <w:rsid w:val="00B80C75"/>
    <w:rsid w:val="00B815D3"/>
    <w:rsid w:val="00B8270D"/>
    <w:rsid w:val="00B827F1"/>
    <w:rsid w:val="00B82B33"/>
    <w:rsid w:val="00B82C75"/>
    <w:rsid w:val="00B8384C"/>
    <w:rsid w:val="00B843A1"/>
    <w:rsid w:val="00B8441F"/>
    <w:rsid w:val="00B854BE"/>
    <w:rsid w:val="00B85704"/>
    <w:rsid w:val="00B86421"/>
    <w:rsid w:val="00B866BF"/>
    <w:rsid w:val="00B868D6"/>
    <w:rsid w:val="00B86D0A"/>
    <w:rsid w:val="00B8748B"/>
    <w:rsid w:val="00B87B3F"/>
    <w:rsid w:val="00B90972"/>
    <w:rsid w:val="00B91818"/>
    <w:rsid w:val="00B922D6"/>
    <w:rsid w:val="00B92819"/>
    <w:rsid w:val="00B93E18"/>
    <w:rsid w:val="00B93E2C"/>
    <w:rsid w:val="00B94BE5"/>
    <w:rsid w:val="00B95B44"/>
    <w:rsid w:val="00B96069"/>
    <w:rsid w:val="00BA0A76"/>
    <w:rsid w:val="00BA11A9"/>
    <w:rsid w:val="00BA1642"/>
    <w:rsid w:val="00BA30C2"/>
    <w:rsid w:val="00BA31C6"/>
    <w:rsid w:val="00BA4B0A"/>
    <w:rsid w:val="00BA4FE7"/>
    <w:rsid w:val="00BA699B"/>
    <w:rsid w:val="00BA76AB"/>
    <w:rsid w:val="00BB0225"/>
    <w:rsid w:val="00BB0423"/>
    <w:rsid w:val="00BB1D73"/>
    <w:rsid w:val="00BB2CE4"/>
    <w:rsid w:val="00BB2D17"/>
    <w:rsid w:val="00BB2D1B"/>
    <w:rsid w:val="00BB42D2"/>
    <w:rsid w:val="00BB6ECF"/>
    <w:rsid w:val="00BB74B3"/>
    <w:rsid w:val="00BB777A"/>
    <w:rsid w:val="00BC06FE"/>
    <w:rsid w:val="00BC1765"/>
    <w:rsid w:val="00BC1FD6"/>
    <w:rsid w:val="00BC25D7"/>
    <w:rsid w:val="00BC320C"/>
    <w:rsid w:val="00BC4883"/>
    <w:rsid w:val="00BC5454"/>
    <w:rsid w:val="00BC5F7F"/>
    <w:rsid w:val="00BC74EE"/>
    <w:rsid w:val="00BC777E"/>
    <w:rsid w:val="00BD056C"/>
    <w:rsid w:val="00BD219A"/>
    <w:rsid w:val="00BD2C42"/>
    <w:rsid w:val="00BD2EF9"/>
    <w:rsid w:val="00BD2F1D"/>
    <w:rsid w:val="00BD3997"/>
    <w:rsid w:val="00BD5D7E"/>
    <w:rsid w:val="00BD6EF9"/>
    <w:rsid w:val="00BD754C"/>
    <w:rsid w:val="00BD764C"/>
    <w:rsid w:val="00BD78C6"/>
    <w:rsid w:val="00BE01E1"/>
    <w:rsid w:val="00BE07A5"/>
    <w:rsid w:val="00BE15DA"/>
    <w:rsid w:val="00BE19AD"/>
    <w:rsid w:val="00BE369C"/>
    <w:rsid w:val="00BE4FBC"/>
    <w:rsid w:val="00BE5B7C"/>
    <w:rsid w:val="00BE6DBE"/>
    <w:rsid w:val="00BE72FD"/>
    <w:rsid w:val="00BE733C"/>
    <w:rsid w:val="00BE73D4"/>
    <w:rsid w:val="00BE7AF2"/>
    <w:rsid w:val="00BF1EF8"/>
    <w:rsid w:val="00BF25A9"/>
    <w:rsid w:val="00BF2DE5"/>
    <w:rsid w:val="00BF4429"/>
    <w:rsid w:val="00BF4C49"/>
    <w:rsid w:val="00BF4D1A"/>
    <w:rsid w:val="00BF5168"/>
    <w:rsid w:val="00BF51C9"/>
    <w:rsid w:val="00BF5A5B"/>
    <w:rsid w:val="00BF62DF"/>
    <w:rsid w:val="00BF6338"/>
    <w:rsid w:val="00BF6D56"/>
    <w:rsid w:val="00BF7EB2"/>
    <w:rsid w:val="00C00D03"/>
    <w:rsid w:val="00C00D9C"/>
    <w:rsid w:val="00C01DFC"/>
    <w:rsid w:val="00C0270E"/>
    <w:rsid w:val="00C0282B"/>
    <w:rsid w:val="00C03262"/>
    <w:rsid w:val="00C047A4"/>
    <w:rsid w:val="00C05013"/>
    <w:rsid w:val="00C067E0"/>
    <w:rsid w:val="00C0773D"/>
    <w:rsid w:val="00C1025D"/>
    <w:rsid w:val="00C11733"/>
    <w:rsid w:val="00C12CC1"/>
    <w:rsid w:val="00C12D93"/>
    <w:rsid w:val="00C12EE2"/>
    <w:rsid w:val="00C12EE5"/>
    <w:rsid w:val="00C1324B"/>
    <w:rsid w:val="00C139DE"/>
    <w:rsid w:val="00C13B55"/>
    <w:rsid w:val="00C13CB8"/>
    <w:rsid w:val="00C151CE"/>
    <w:rsid w:val="00C1561B"/>
    <w:rsid w:val="00C15BBB"/>
    <w:rsid w:val="00C16087"/>
    <w:rsid w:val="00C2092E"/>
    <w:rsid w:val="00C20F37"/>
    <w:rsid w:val="00C213FD"/>
    <w:rsid w:val="00C21C42"/>
    <w:rsid w:val="00C23520"/>
    <w:rsid w:val="00C24AE3"/>
    <w:rsid w:val="00C25082"/>
    <w:rsid w:val="00C2570A"/>
    <w:rsid w:val="00C265D4"/>
    <w:rsid w:val="00C26DC6"/>
    <w:rsid w:val="00C27447"/>
    <w:rsid w:val="00C275FC"/>
    <w:rsid w:val="00C279B8"/>
    <w:rsid w:val="00C30615"/>
    <w:rsid w:val="00C30715"/>
    <w:rsid w:val="00C30D84"/>
    <w:rsid w:val="00C3131B"/>
    <w:rsid w:val="00C317A7"/>
    <w:rsid w:val="00C33614"/>
    <w:rsid w:val="00C33AEC"/>
    <w:rsid w:val="00C357CB"/>
    <w:rsid w:val="00C35C8E"/>
    <w:rsid w:val="00C36B1D"/>
    <w:rsid w:val="00C3742C"/>
    <w:rsid w:val="00C40921"/>
    <w:rsid w:val="00C410D2"/>
    <w:rsid w:val="00C41363"/>
    <w:rsid w:val="00C42A78"/>
    <w:rsid w:val="00C437D6"/>
    <w:rsid w:val="00C4471B"/>
    <w:rsid w:val="00C45C94"/>
    <w:rsid w:val="00C4601D"/>
    <w:rsid w:val="00C46612"/>
    <w:rsid w:val="00C509D2"/>
    <w:rsid w:val="00C51CCA"/>
    <w:rsid w:val="00C523ED"/>
    <w:rsid w:val="00C53131"/>
    <w:rsid w:val="00C54473"/>
    <w:rsid w:val="00C54789"/>
    <w:rsid w:val="00C55945"/>
    <w:rsid w:val="00C55D94"/>
    <w:rsid w:val="00C55DCB"/>
    <w:rsid w:val="00C55FBB"/>
    <w:rsid w:val="00C57582"/>
    <w:rsid w:val="00C608EF"/>
    <w:rsid w:val="00C60D60"/>
    <w:rsid w:val="00C612BB"/>
    <w:rsid w:val="00C612BF"/>
    <w:rsid w:val="00C61338"/>
    <w:rsid w:val="00C6207E"/>
    <w:rsid w:val="00C6324D"/>
    <w:rsid w:val="00C64FAE"/>
    <w:rsid w:val="00C66344"/>
    <w:rsid w:val="00C66EDC"/>
    <w:rsid w:val="00C674F7"/>
    <w:rsid w:val="00C67D05"/>
    <w:rsid w:val="00C714EE"/>
    <w:rsid w:val="00C731E1"/>
    <w:rsid w:val="00C73883"/>
    <w:rsid w:val="00C7443F"/>
    <w:rsid w:val="00C745D7"/>
    <w:rsid w:val="00C7702A"/>
    <w:rsid w:val="00C7732F"/>
    <w:rsid w:val="00C773C8"/>
    <w:rsid w:val="00C80A25"/>
    <w:rsid w:val="00C80E5E"/>
    <w:rsid w:val="00C82930"/>
    <w:rsid w:val="00C82C9E"/>
    <w:rsid w:val="00C841BF"/>
    <w:rsid w:val="00C84F61"/>
    <w:rsid w:val="00C8531E"/>
    <w:rsid w:val="00C85560"/>
    <w:rsid w:val="00C85A3E"/>
    <w:rsid w:val="00C85A50"/>
    <w:rsid w:val="00C85B6C"/>
    <w:rsid w:val="00C85ECE"/>
    <w:rsid w:val="00C86BFE"/>
    <w:rsid w:val="00C86D8A"/>
    <w:rsid w:val="00C86FF3"/>
    <w:rsid w:val="00C87E2F"/>
    <w:rsid w:val="00C900B0"/>
    <w:rsid w:val="00C9080B"/>
    <w:rsid w:val="00C90EA7"/>
    <w:rsid w:val="00C90EF9"/>
    <w:rsid w:val="00C9146C"/>
    <w:rsid w:val="00C91711"/>
    <w:rsid w:val="00C91A95"/>
    <w:rsid w:val="00C92931"/>
    <w:rsid w:val="00C92949"/>
    <w:rsid w:val="00C9309F"/>
    <w:rsid w:val="00C9312F"/>
    <w:rsid w:val="00C94499"/>
    <w:rsid w:val="00C9491A"/>
    <w:rsid w:val="00C94BE9"/>
    <w:rsid w:val="00C95701"/>
    <w:rsid w:val="00C95DD7"/>
    <w:rsid w:val="00C95ED6"/>
    <w:rsid w:val="00C96BBB"/>
    <w:rsid w:val="00CA04D5"/>
    <w:rsid w:val="00CA0F7D"/>
    <w:rsid w:val="00CA1AC8"/>
    <w:rsid w:val="00CA1AD4"/>
    <w:rsid w:val="00CA1FB0"/>
    <w:rsid w:val="00CA24D1"/>
    <w:rsid w:val="00CA2AD9"/>
    <w:rsid w:val="00CA39CC"/>
    <w:rsid w:val="00CA3C11"/>
    <w:rsid w:val="00CA403D"/>
    <w:rsid w:val="00CA4743"/>
    <w:rsid w:val="00CA57FE"/>
    <w:rsid w:val="00CA5FF6"/>
    <w:rsid w:val="00CA6F32"/>
    <w:rsid w:val="00CA735E"/>
    <w:rsid w:val="00CB01B1"/>
    <w:rsid w:val="00CB138F"/>
    <w:rsid w:val="00CB13CF"/>
    <w:rsid w:val="00CB13E0"/>
    <w:rsid w:val="00CB199A"/>
    <w:rsid w:val="00CB2282"/>
    <w:rsid w:val="00CB2F02"/>
    <w:rsid w:val="00CB44CC"/>
    <w:rsid w:val="00CB4522"/>
    <w:rsid w:val="00CB76B8"/>
    <w:rsid w:val="00CB7703"/>
    <w:rsid w:val="00CB77EE"/>
    <w:rsid w:val="00CB783B"/>
    <w:rsid w:val="00CB7AE2"/>
    <w:rsid w:val="00CC1C1E"/>
    <w:rsid w:val="00CC2611"/>
    <w:rsid w:val="00CC2803"/>
    <w:rsid w:val="00CC295E"/>
    <w:rsid w:val="00CC48D6"/>
    <w:rsid w:val="00CC4B7F"/>
    <w:rsid w:val="00CC544C"/>
    <w:rsid w:val="00CC559E"/>
    <w:rsid w:val="00CC707F"/>
    <w:rsid w:val="00CC708A"/>
    <w:rsid w:val="00CC79CD"/>
    <w:rsid w:val="00CD0365"/>
    <w:rsid w:val="00CD1447"/>
    <w:rsid w:val="00CD1841"/>
    <w:rsid w:val="00CD1BF1"/>
    <w:rsid w:val="00CD1D2E"/>
    <w:rsid w:val="00CD27CD"/>
    <w:rsid w:val="00CD306F"/>
    <w:rsid w:val="00CD4BF8"/>
    <w:rsid w:val="00CD52CD"/>
    <w:rsid w:val="00CD652E"/>
    <w:rsid w:val="00CD6828"/>
    <w:rsid w:val="00CD685C"/>
    <w:rsid w:val="00CD68DD"/>
    <w:rsid w:val="00CD7B8B"/>
    <w:rsid w:val="00CE01F8"/>
    <w:rsid w:val="00CE0D43"/>
    <w:rsid w:val="00CE19B6"/>
    <w:rsid w:val="00CE24B9"/>
    <w:rsid w:val="00CE2B04"/>
    <w:rsid w:val="00CE3E8B"/>
    <w:rsid w:val="00CE47DC"/>
    <w:rsid w:val="00CE5298"/>
    <w:rsid w:val="00CE5322"/>
    <w:rsid w:val="00CE58EB"/>
    <w:rsid w:val="00CE6939"/>
    <w:rsid w:val="00CE705F"/>
    <w:rsid w:val="00CE745E"/>
    <w:rsid w:val="00CF0041"/>
    <w:rsid w:val="00CF0D4B"/>
    <w:rsid w:val="00CF2605"/>
    <w:rsid w:val="00CF2804"/>
    <w:rsid w:val="00CF35B2"/>
    <w:rsid w:val="00CF36C4"/>
    <w:rsid w:val="00CF38D4"/>
    <w:rsid w:val="00CF461A"/>
    <w:rsid w:val="00CF5C07"/>
    <w:rsid w:val="00CF5CFC"/>
    <w:rsid w:val="00CF71A4"/>
    <w:rsid w:val="00D00272"/>
    <w:rsid w:val="00D00AF5"/>
    <w:rsid w:val="00D00E75"/>
    <w:rsid w:val="00D00EE2"/>
    <w:rsid w:val="00D01917"/>
    <w:rsid w:val="00D01EBC"/>
    <w:rsid w:val="00D036AC"/>
    <w:rsid w:val="00D03DE1"/>
    <w:rsid w:val="00D03EDD"/>
    <w:rsid w:val="00D03EEF"/>
    <w:rsid w:val="00D04F08"/>
    <w:rsid w:val="00D050BB"/>
    <w:rsid w:val="00D058B9"/>
    <w:rsid w:val="00D05AA1"/>
    <w:rsid w:val="00D07010"/>
    <w:rsid w:val="00D07087"/>
    <w:rsid w:val="00D07A1B"/>
    <w:rsid w:val="00D07E2A"/>
    <w:rsid w:val="00D11666"/>
    <w:rsid w:val="00D11D07"/>
    <w:rsid w:val="00D138F2"/>
    <w:rsid w:val="00D1489F"/>
    <w:rsid w:val="00D159F8"/>
    <w:rsid w:val="00D15DD2"/>
    <w:rsid w:val="00D16E55"/>
    <w:rsid w:val="00D16ECF"/>
    <w:rsid w:val="00D17564"/>
    <w:rsid w:val="00D17597"/>
    <w:rsid w:val="00D17C04"/>
    <w:rsid w:val="00D17CFB"/>
    <w:rsid w:val="00D17E3E"/>
    <w:rsid w:val="00D2046D"/>
    <w:rsid w:val="00D21820"/>
    <w:rsid w:val="00D2255E"/>
    <w:rsid w:val="00D226B9"/>
    <w:rsid w:val="00D23437"/>
    <w:rsid w:val="00D2372E"/>
    <w:rsid w:val="00D2373E"/>
    <w:rsid w:val="00D239F4"/>
    <w:rsid w:val="00D2459A"/>
    <w:rsid w:val="00D248D9"/>
    <w:rsid w:val="00D24CD7"/>
    <w:rsid w:val="00D25DF4"/>
    <w:rsid w:val="00D26113"/>
    <w:rsid w:val="00D26883"/>
    <w:rsid w:val="00D27131"/>
    <w:rsid w:val="00D30B0E"/>
    <w:rsid w:val="00D31AD0"/>
    <w:rsid w:val="00D31BBD"/>
    <w:rsid w:val="00D34305"/>
    <w:rsid w:val="00D34E83"/>
    <w:rsid w:val="00D35189"/>
    <w:rsid w:val="00D352D0"/>
    <w:rsid w:val="00D37354"/>
    <w:rsid w:val="00D404B1"/>
    <w:rsid w:val="00D4104F"/>
    <w:rsid w:val="00D43988"/>
    <w:rsid w:val="00D4707E"/>
    <w:rsid w:val="00D47238"/>
    <w:rsid w:val="00D4762C"/>
    <w:rsid w:val="00D47867"/>
    <w:rsid w:val="00D47B4E"/>
    <w:rsid w:val="00D47EAF"/>
    <w:rsid w:val="00D50B2A"/>
    <w:rsid w:val="00D51517"/>
    <w:rsid w:val="00D52D4A"/>
    <w:rsid w:val="00D52D7F"/>
    <w:rsid w:val="00D53034"/>
    <w:rsid w:val="00D538B0"/>
    <w:rsid w:val="00D541A8"/>
    <w:rsid w:val="00D55A05"/>
    <w:rsid w:val="00D562A8"/>
    <w:rsid w:val="00D61A9F"/>
    <w:rsid w:val="00D61EDD"/>
    <w:rsid w:val="00D628AF"/>
    <w:rsid w:val="00D6294B"/>
    <w:rsid w:val="00D654F8"/>
    <w:rsid w:val="00D66697"/>
    <w:rsid w:val="00D676B3"/>
    <w:rsid w:val="00D6787A"/>
    <w:rsid w:val="00D67ACA"/>
    <w:rsid w:val="00D67F69"/>
    <w:rsid w:val="00D70FAD"/>
    <w:rsid w:val="00D71103"/>
    <w:rsid w:val="00D71213"/>
    <w:rsid w:val="00D713E4"/>
    <w:rsid w:val="00D72FAD"/>
    <w:rsid w:val="00D7314F"/>
    <w:rsid w:val="00D73259"/>
    <w:rsid w:val="00D732D3"/>
    <w:rsid w:val="00D73678"/>
    <w:rsid w:val="00D73AF1"/>
    <w:rsid w:val="00D73E64"/>
    <w:rsid w:val="00D74504"/>
    <w:rsid w:val="00D74639"/>
    <w:rsid w:val="00D74926"/>
    <w:rsid w:val="00D75407"/>
    <w:rsid w:val="00D75449"/>
    <w:rsid w:val="00D7563E"/>
    <w:rsid w:val="00D76E21"/>
    <w:rsid w:val="00D770D5"/>
    <w:rsid w:val="00D809B7"/>
    <w:rsid w:val="00D812A9"/>
    <w:rsid w:val="00D813B0"/>
    <w:rsid w:val="00D8141C"/>
    <w:rsid w:val="00D81A57"/>
    <w:rsid w:val="00D81A98"/>
    <w:rsid w:val="00D8269A"/>
    <w:rsid w:val="00D82962"/>
    <w:rsid w:val="00D82A4C"/>
    <w:rsid w:val="00D830B5"/>
    <w:rsid w:val="00D83A65"/>
    <w:rsid w:val="00D846CF"/>
    <w:rsid w:val="00D84999"/>
    <w:rsid w:val="00D85683"/>
    <w:rsid w:val="00D86D21"/>
    <w:rsid w:val="00D8772B"/>
    <w:rsid w:val="00D8796F"/>
    <w:rsid w:val="00D9031D"/>
    <w:rsid w:val="00D90824"/>
    <w:rsid w:val="00D90F8A"/>
    <w:rsid w:val="00D91621"/>
    <w:rsid w:val="00D9180B"/>
    <w:rsid w:val="00D91CAB"/>
    <w:rsid w:val="00D925BC"/>
    <w:rsid w:val="00D9323B"/>
    <w:rsid w:val="00D94EB6"/>
    <w:rsid w:val="00D95111"/>
    <w:rsid w:val="00D954B6"/>
    <w:rsid w:val="00D9553A"/>
    <w:rsid w:val="00D958D2"/>
    <w:rsid w:val="00D95C5C"/>
    <w:rsid w:val="00D96B91"/>
    <w:rsid w:val="00D9740F"/>
    <w:rsid w:val="00D97545"/>
    <w:rsid w:val="00D9787B"/>
    <w:rsid w:val="00D97BA1"/>
    <w:rsid w:val="00DA09FC"/>
    <w:rsid w:val="00DA0A19"/>
    <w:rsid w:val="00DA16AA"/>
    <w:rsid w:val="00DA28A7"/>
    <w:rsid w:val="00DA2BB0"/>
    <w:rsid w:val="00DA2FCA"/>
    <w:rsid w:val="00DA348E"/>
    <w:rsid w:val="00DA373A"/>
    <w:rsid w:val="00DA4A4E"/>
    <w:rsid w:val="00DA59D2"/>
    <w:rsid w:val="00DA5A9C"/>
    <w:rsid w:val="00DA5F60"/>
    <w:rsid w:val="00DA6E9D"/>
    <w:rsid w:val="00DA6FF3"/>
    <w:rsid w:val="00DB0066"/>
    <w:rsid w:val="00DB0F33"/>
    <w:rsid w:val="00DB1595"/>
    <w:rsid w:val="00DB297D"/>
    <w:rsid w:val="00DB2B7E"/>
    <w:rsid w:val="00DB2BA7"/>
    <w:rsid w:val="00DB2F6C"/>
    <w:rsid w:val="00DB345D"/>
    <w:rsid w:val="00DB5719"/>
    <w:rsid w:val="00DB624E"/>
    <w:rsid w:val="00DB65FF"/>
    <w:rsid w:val="00DB7C6B"/>
    <w:rsid w:val="00DC02EA"/>
    <w:rsid w:val="00DC07DE"/>
    <w:rsid w:val="00DC1309"/>
    <w:rsid w:val="00DC16F9"/>
    <w:rsid w:val="00DC1CA6"/>
    <w:rsid w:val="00DC1DFC"/>
    <w:rsid w:val="00DC20CF"/>
    <w:rsid w:val="00DC3472"/>
    <w:rsid w:val="00DC4B44"/>
    <w:rsid w:val="00DC5C38"/>
    <w:rsid w:val="00DC61A3"/>
    <w:rsid w:val="00DC76E7"/>
    <w:rsid w:val="00DC7E69"/>
    <w:rsid w:val="00DD0467"/>
    <w:rsid w:val="00DD15EF"/>
    <w:rsid w:val="00DD1738"/>
    <w:rsid w:val="00DD190E"/>
    <w:rsid w:val="00DD3316"/>
    <w:rsid w:val="00DD3E02"/>
    <w:rsid w:val="00DD45AF"/>
    <w:rsid w:val="00DD4BBD"/>
    <w:rsid w:val="00DD5654"/>
    <w:rsid w:val="00DD5E57"/>
    <w:rsid w:val="00DD60E3"/>
    <w:rsid w:val="00DD7F9B"/>
    <w:rsid w:val="00DE1C74"/>
    <w:rsid w:val="00DE1CCF"/>
    <w:rsid w:val="00DE3385"/>
    <w:rsid w:val="00DE3CA1"/>
    <w:rsid w:val="00DE4007"/>
    <w:rsid w:val="00DE4053"/>
    <w:rsid w:val="00DE4638"/>
    <w:rsid w:val="00DE4651"/>
    <w:rsid w:val="00DE4FEE"/>
    <w:rsid w:val="00DE534A"/>
    <w:rsid w:val="00DE55FD"/>
    <w:rsid w:val="00DE60A8"/>
    <w:rsid w:val="00DE7265"/>
    <w:rsid w:val="00DE7525"/>
    <w:rsid w:val="00DE787B"/>
    <w:rsid w:val="00DE7C1C"/>
    <w:rsid w:val="00DF0111"/>
    <w:rsid w:val="00DF01E6"/>
    <w:rsid w:val="00DF14DF"/>
    <w:rsid w:val="00DF2247"/>
    <w:rsid w:val="00DF2353"/>
    <w:rsid w:val="00DF3AB2"/>
    <w:rsid w:val="00DF4116"/>
    <w:rsid w:val="00DF5129"/>
    <w:rsid w:val="00DF5784"/>
    <w:rsid w:val="00DF58B8"/>
    <w:rsid w:val="00DF5FF8"/>
    <w:rsid w:val="00DF6EE5"/>
    <w:rsid w:val="00DF7E7E"/>
    <w:rsid w:val="00E0077B"/>
    <w:rsid w:val="00E00898"/>
    <w:rsid w:val="00E03634"/>
    <w:rsid w:val="00E050B6"/>
    <w:rsid w:val="00E0557E"/>
    <w:rsid w:val="00E05980"/>
    <w:rsid w:val="00E05D14"/>
    <w:rsid w:val="00E0628E"/>
    <w:rsid w:val="00E06460"/>
    <w:rsid w:val="00E073CF"/>
    <w:rsid w:val="00E07997"/>
    <w:rsid w:val="00E07A6A"/>
    <w:rsid w:val="00E07EB8"/>
    <w:rsid w:val="00E107B2"/>
    <w:rsid w:val="00E10EB1"/>
    <w:rsid w:val="00E114CF"/>
    <w:rsid w:val="00E120E4"/>
    <w:rsid w:val="00E13636"/>
    <w:rsid w:val="00E149F4"/>
    <w:rsid w:val="00E14A90"/>
    <w:rsid w:val="00E16CF1"/>
    <w:rsid w:val="00E17F53"/>
    <w:rsid w:val="00E200F5"/>
    <w:rsid w:val="00E20354"/>
    <w:rsid w:val="00E207DB"/>
    <w:rsid w:val="00E20BB5"/>
    <w:rsid w:val="00E21F5A"/>
    <w:rsid w:val="00E221D8"/>
    <w:rsid w:val="00E234F1"/>
    <w:rsid w:val="00E23ACB"/>
    <w:rsid w:val="00E23BDA"/>
    <w:rsid w:val="00E25124"/>
    <w:rsid w:val="00E261F8"/>
    <w:rsid w:val="00E26E25"/>
    <w:rsid w:val="00E27DF3"/>
    <w:rsid w:val="00E3110A"/>
    <w:rsid w:val="00E319DC"/>
    <w:rsid w:val="00E324AD"/>
    <w:rsid w:val="00E3342D"/>
    <w:rsid w:val="00E33683"/>
    <w:rsid w:val="00E33734"/>
    <w:rsid w:val="00E33F82"/>
    <w:rsid w:val="00E34AA9"/>
    <w:rsid w:val="00E36A4F"/>
    <w:rsid w:val="00E376C4"/>
    <w:rsid w:val="00E37D5F"/>
    <w:rsid w:val="00E429A0"/>
    <w:rsid w:val="00E42D39"/>
    <w:rsid w:val="00E44CD4"/>
    <w:rsid w:val="00E45B91"/>
    <w:rsid w:val="00E46804"/>
    <w:rsid w:val="00E46C57"/>
    <w:rsid w:val="00E513EE"/>
    <w:rsid w:val="00E5176B"/>
    <w:rsid w:val="00E527C9"/>
    <w:rsid w:val="00E528BA"/>
    <w:rsid w:val="00E52A91"/>
    <w:rsid w:val="00E53497"/>
    <w:rsid w:val="00E534DF"/>
    <w:rsid w:val="00E55A50"/>
    <w:rsid w:val="00E565C2"/>
    <w:rsid w:val="00E56C9D"/>
    <w:rsid w:val="00E5723E"/>
    <w:rsid w:val="00E57362"/>
    <w:rsid w:val="00E60269"/>
    <w:rsid w:val="00E60887"/>
    <w:rsid w:val="00E60C32"/>
    <w:rsid w:val="00E61619"/>
    <w:rsid w:val="00E61E25"/>
    <w:rsid w:val="00E6272B"/>
    <w:rsid w:val="00E627F6"/>
    <w:rsid w:val="00E62F1A"/>
    <w:rsid w:val="00E63F1D"/>
    <w:rsid w:val="00E646D5"/>
    <w:rsid w:val="00E64BB7"/>
    <w:rsid w:val="00E64EEE"/>
    <w:rsid w:val="00E6565D"/>
    <w:rsid w:val="00E66F49"/>
    <w:rsid w:val="00E721A9"/>
    <w:rsid w:val="00E73549"/>
    <w:rsid w:val="00E7484F"/>
    <w:rsid w:val="00E74861"/>
    <w:rsid w:val="00E74B50"/>
    <w:rsid w:val="00E74EC9"/>
    <w:rsid w:val="00E75572"/>
    <w:rsid w:val="00E75733"/>
    <w:rsid w:val="00E75A9D"/>
    <w:rsid w:val="00E77754"/>
    <w:rsid w:val="00E80CF7"/>
    <w:rsid w:val="00E80FB4"/>
    <w:rsid w:val="00E81B8E"/>
    <w:rsid w:val="00E81ED7"/>
    <w:rsid w:val="00E8369B"/>
    <w:rsid w:val="00E8377F"/>
    <w:rsid w:val="00E83850"/>
    <w:rsid w:val="00E85244"/>
    <w:rsid w:val="00E85A96"/>
    <w:rsid w:val="00E86159"/>
    <w:rsid w:val="00E86741"/>
    <w:rsid w:val="00E87653"/>
    <w:rsid w:val="00E87AE4"/>
    <w:rsid w:val="00E90A5A"/>
    <w:rsid w:val="00E90C1F"/>
    <w:rsid w:val="00E9124A"/>
    <w:rsid w:val="00E9222C"/>
    <w:rsid w:val="00E9296D"/>
    <w:rsid w:val="00E92AA5"/>
    <w:rsid w:val="00E92FB2"/>
    <w:rsid w:val="00E94509"/>
    <w:rsid w:val="00E94A0D"/>
    <w:rsid w:val="00E9558B"/>
    <w:rsid w:val="00E95A44"/>
    <w:rsid w:val="00E95D1B"/>
    <w:rsid w:val="00E969A4"/>
    <w:rsid w:val="00E9735C"/>
    <w:rsid w:val="00EA0266"/>
    <w:rsid w:val="00EA096D"/>
    <w:rsid w:val="00EA234B"/>
    <w:rsid w:val="00EA274B"/>
    <w:rsid w:val="00EA2EFA"/>
    <w:rsid w:val="00EA3184"/>
    <w:rsid w:val="00EA3732"/>
    <w:rsid w:val="00EA3794"/>
    <w:rsid w:val="00EA3CDD"/>
    <w:rsid w:val="00EA4124"/>
    <w:rsid w:val="00EA42EB"/>
    <w:rsid w:val="00EA5028"/>
    <w:rsid w:val="00EA50D6"/>
    <w:rsid w:val="00EA5714"/>
    <w:rsid w:val="00EA5E70"/>
    <w:rsid w:val="00EA60EF"/>
    <w:rsid w:val="00EA6A30"/>
    <w:rsid w:val="00EA6A41"/>
    <w:rsid w:val="00EA73C4"/>
    <w:rsid w:val="00EA7662"/>
    <w:rsid w:val="00EA7CC3"/>
    <w:rsid w:val="00EB016F"/>
    <w:rsid w:val="00EB04F4"/>
    <w:rsid w:val="00EB05E3"/>
    <w:rsid w:val="00EB212C"/>
    <w:rsid w:val="00EB2216"/>
    <w:rsid w:val="00EB27D1"/>
    <w:rsid w:val="00EB33F4"/>
    <w:rsid w:val="00EB3B9C"/>
    <w:rsid w:val="00EB40E0"/>
    <w:rsid w:val="00EB4C04"/>
    <w:rsid w:val="00EB6502"/>
    <w:rsid w:val="00EB7D9C"/>
    <w:rsid w:val="00EC01F0"/>
    <w:rsid w:val="00EC1406"/>
    <w:rsid w:val="00EC1526"/>
    <w:rsid w:val="00EC23F3"/>
    <w:rsid w:val="00EC2677"/>
    <w:rsid w:val="00EC2AB5"/>
    <w:rsid w:val="00EC36F2"/>
    <w:rsid w:val="00EC4B79"/>
    <w:rsid w:val="00EC4F33"/>
    <w:rsid w:val="00EC7E82"/>
    <w:rsid w:val="00ED0785"/>
    <w:rsid w:val="00ED0B81"/>
    <w:rsid w:val="00ED19B3"/>
    <w:rsid w:val="00ED1A64"/>
    <w:rsid w:val="00ED28DD"/>
    <w:rsid w:val="00ED421C"/>
    <w:rsid w:val="00ED43A6"/>
    <w:rsid w:val="00ED4E89"/>
    <w:rsid w:val="00ED502A"/>
    <w:rsid w:val="00ED69B3"/>
    <w:rsid w:val="00ED6AF3"/>
    <w:rsid w:val="00ED6FB9"/>
    <w:rsid w:val="00ED7371"/>
    <w:rsid w:val="00ED7E2F"/>
    <w:rsid w:val="00ED7EA8"/>
    <w:rsid w:val="00EE1162"/>
    <w:rsid w:val="00EE1313"/>
    <w:rsid w:val="00EE2126"/>
    <w:rsid w:val="00EE2FBF"/>
    <w:rsid w:val="00EE3363"/>
    <w:rsid w:val="00EE3725"/>
    <w:rsid w:val="00EE3F3C"/>
    <w:rsid w:val="00EE4C7E"/>
    <w:rsid w:val="00EE556D"/>
    <w:rsid w:val="00EE60A2"/>
    <w:rsid w:val="00EE6184"/>
    <w:rsid w:val="00EE679C"/>
    <w:rsid w:val="00EE686B"/>
    <w:rsid w:val="00EE7596"/>
    <w:rsid w:val="00EE7A2C"/>
    <w:rsid w:val="00EF06D3"/>
    <w:rsid w:val="00EF09D3"/>
    <w:rsid w:val="00EF108A"/>
    <w:rsid w:val="00EF1240"/>
    <w:rsid w:val="00EF1F75"/>
    <w:rsid w:val="00EF2240"/>
    <w:rsid w:val="00EF297A"/>
    <w:rsid w:val="00EF3069"/>
    <w:rsid w:val="00EF31A5"/>
    <w:rsid w:val="00EF3742"/>
    <w:rsid w:val="00EF3EB5"/>
    <w:rsid w:val="00EF57B9"/>
    <w:rsid w:val="00EF57DF"/>
    <w:rsid w:val="00EF632B"/>
    <w:rsid w:val="00EF6556"/>
    <w:rsid w:val="00EF689A"/>
    <w:rsid w:val="00F02BAD"/>
    <w:rsid w:val="00F0319D"/>
    <w:rsid w:val="00F07050"/>
    <w:rsid w:val="00F07890"/>
    <w:rsid w:val="00F07A4C"/>
    <w:rsid w:val="00F07B03"/>
    <w:rsid w:val="00F115A2"/>
    <w:rsid w:val="00F11635"/>
    <w:rsid w:val="00F11928"/>
    <w:rsid w:val="00F12D86"/>
    <w:rsid w:val="00F131AA"/>
    <w:rsid w:val="00F131FD"/>
    <w:rsid w:val="00F1350B"/>
    <w:rsid w:val="00F13B05"/>
    <w:rsid w:val="00F13B5A"/>
    <w:rsid w:val="00F13EED"/>
    <w:rsid w:val="00F15AF2"/>
    <w:rsid w:val="00F21290"/>
    <w:rsid w:val="00F2299F"/>
    <w:rsid w:val="00F231F0"/>
    <w:rsid w:val="00F24787"/>
    <w:rsid w:val="00F25311"/>
    <w:rsid w:val="00F259A5"/>
    <w:rsid w:val="00F263E5"/>
    <w:rsid w:val="00F301E0"/>
    <w:rsid w:val="00F307CC"/>
    <w:rsid w:val="00F30BBA"/>
    <w:rsid w:val="00F31630"/>
    <w:rsid w:val="00F31A8F"/>
    <w:rsid w:val="00F320C0"/>
    <w:rsid w:val="00F32C7D"/>
    <w:rsid w:val="00F32D63"/>
    <w:rsid w:val="00F33C8D"/>
    <w:rsid w:val="00F34012"/>
    <w:rsid w:val="00F343A3"/>
    <w:rsid w:val="00F34C99"/>
    <w:rsid w:val="00F3531A"/>
    <w:rsid w:val="00F353E8"/>
    <w:rsid w:val="00F35AB2"/>
    <w:rsid w:val="00F400FB"/>
    <w:rsid w:val="00F41DB0"/>
    <w:rsid w:val="00F43631"/>
    <w:rsid w:val="00F43947"/>
    <w:rsid w:val="00F439BB"/>
    <w:rsid w:val="00F43CEB"/>
    <w:rsid w:val="00F449D7"/>
    <w:rsid w:val="00F460C4"/>
    <w:rsid w:val="00F461AE"/>
    <w:rsid w:val="00F467F9"/>
    <w:rsid w:val="00F47426"/>
    <w:rsid w:val="00F47666"/>
    <w:rsid w:val="00F50D6C"/>
    <w:rsid w:val="00F5184D"/>
    <w:rsid w:val="00F51B88"/>
    <w:rsid w:val="00F51CB2"/>
    <w:rsid w:val="00F534D3"/>
    <w:rsid w:val="00F5421D"/>
    <w:rsid w:val="00F55022"/>
    <w:rsid w:val="00F55184"/>
    <w:rsid w:val="00F5704A"/>
    <w:rsid w:val="00F60DF3"/>
    <w:rsid w:val="00F62057"/>
    <w:rsid w:val="00F62597"/>
    <w:rsid w:val="00F6264B"/>
    <w:rsid w:val="00F6290C"/>
    <w:rsid w:val="00F646C8"/>
    <w:rsid w:val="00F65742"/>
    <w:rsid w:val="00F67988"/>
    <w:rsid w:val="00F67C01"/>
    <w:rsid w:val="00F70909"/>
    <w:rsid w:val="00F7114B"/>
    <w:rsid w:val="00F721EF"/>
    <w:rsid w:val="00F72AC2"/>
    <w:rsid w:val="00F72F17"/>
    <w:rsid w:val="00F73429"/>
    <w:rsid w:val="00F74168"/>
    <w:rsid w:val="00F742F1"/>
    <w:rsid w:val="00F7470C"/>
    <w:rsid w:val="00F74942"/>
    <w:rsid w:val="00F7534A"/>
    <w:rsid w:val="00F76037"/>
    <w:rsid w:val="00F761E0"/>
    <w:rsid w:val="00F76832"/>
    <w:rsid w:val="00F76B53"/>
    <w:rsid w:val="00F76DA6"/>
    <w:rsid w:val="00F7761D"/>
    <w:rsid w:val="00F77724"/>
    <w:rsid w:val="00F77839"/>
    <w:rsid w:val="00F77AF3"/>
    <w:rsid w:val="00F77CE6"/>
    <w:rsid w:val="00F77DD1"/>
    <w:rsid w:val="00F8023F"/>
    <w:rsid w:val="00F8032A"/>
    <w:rsid w:val="00F81A48"/>
    <w:rsid w:val="00F82021"/>
    <w:rsid w:val="00F82080"/>
    <w:rsid w:val="00F82A7B"/>
    <w:rsid w:val="00F8476C"/>
    <w:rsid w:val="00F850A1"/>
    <w:rsid w:val="00F85CBD"/>
    <w:rsid w:val="00F87810"/>
    <w:rsid w:val="00F905B8"/>
    <w:rsid w:val="00F91164"/>
    <w:rsid w:val="00F91292"/>
    <w:rsid w:val="00F91BFE"/>
    <w:rsid w:val="00F91D47"/>
    <w:rsid w:val="00F92B0F"/>
    <w:rsid w:val="00F9354E"/>
    <w:rsid w:val="00F941FC"/>
    <w:rsid w:val="00F96D24"/>
    <w:rsid w:val="00F97093"/>
    <w:rsid w:val="00F97FF3"/>
    <w:rsid w:val="00FA0091"/>
    <w:rsid w:val="00FA1AA9"/>
    <w:rsid w:val="00FA2C8B"/>
    <w:rsid w:val="00FA3E0C"/>
    <w:rsid w:val="00FA4DBA"/>
    <w:rsid w:val="00FA4FBA"/>
    <w:rsid w:val="00FA5580"/>
    <w:rsid w:val="00FA655A"/>
    <w:rsid w:val="00FA6759"/>
    <w:rsid w:val="00FA69C3"/>
    <w:rsid w:val="00FA6AAC"/>
    <w:rsid w:val="00FA6CBC"/>
    <w:rsid w:val="00FA6D48"/>
    <w:rsid w:val="00FA7027"/>
    <w:rsid w:val="00FA7775"/>
    <w:rsid w:val="00FA7EC0"/>
    <w:rsid w:val="00FB1729"/>
    <w:rsid w:val="00FB30A2"/>
    <w:rsid w:val="00FB4993"/>
    <w:rsid w:val="00FC072E"/>
    <w:rsid w:val="00FC1364"/>
    <w:rsid w:val="00FC4323"/>
    <w:rsid w:val="00FC51AE"/>
    <w:rsid w:val="00FC550A"/>
    <w:rsid w:val="00FC551E"/>
    <w:rsid w:val="00FC5790"/>
    <w:rsid w:val="00FC6275"/>
    <w:rsid w:val="00FD039F"/>
    <w:rsid w:val="00FD053B"/>
    <w:rsid w:val="00FD0910"/>
    <w:rsid w:val="00FD0A92"/>
    <w:rsid w:val="00FD0AF0"/>
    <w:rsid w:val="00FD1234"/>
    <w:rsid w:val="00FD18F3"/>
    <w:rsid w:val="00FD194F"/>
    <w:rsid w:val="00FD1995"/>
    <w:rsid w:val="00FD2333"/>
    <w:rsid w:val="00FD25E1"/>
    <w:rsid w:val="00FD4A75"/>
    <w:rsid w:val="00FD54E6"/>
    <w:rsid w:val="00FD5688"/>
    <w:rsid w:val="00FD5725"/>
    <w:rsid w:val="00FD5E1C"/>
    <w:rsid w:val="00FD5F36"/>
    <w:rsid w:val="00FD6624"/>
    <w:rsid w:val="00FD7F6B"/>
    <w:rsid w:val="00FE0948"/>
    <w:rsid w:val="00FE1880"/>
    <w:rsid w:val="00FE3256"/>
    <w:rsid w:val="00FE3F8E"/>
    <w:rsid w:val="00FE445D"/>
    <w:rsid w:val="00FE47ED"/>
    <w:rsid w:val="00FE4F89"/>
    <w:rsid w:val="00FE5101"/>
    <w:rsid w:val="00FE61DC"/>
    <w:rsid w:val="00FE67D0"/>
    <w:rsid w:val="00FE689B"/>
    <w:rsid w:val="00FE7081"/>
    <w:rsid w:val="00FE79CE"/>
    <w:rsid w:val="00FF06FA"/>
    <w:rsid w:val="00FF081E"/>
    <w:rsid w:val="00FF145C"/>
    <w:rsid w:val="00FF26EE"/>
    <w:rsid w:val="00FF28EC"/>
    <w:rsid w:val="00FF2AA0"/>
    <w:rsid w:val="00FF47A3"/>
    <w:rsid w:val="00FF4B3F"/>
    <w:rsid w:val="00FF4B43"/>
    <w:rsid w:val="00FF574F"/>
    <w:rsid w:val="010A191C"/>
    <w:rsid w:val="011E42FB"/>
    <w:rsid w:val="012146C6"/>
    <w:rsid w:val="015D35F5"/>
    <w:rsid w:val="01DB0E00"/>
    <w:rsid w:val="01E55D35"/>
    <w:rsid w:val="01F72B36"/>
    <w:rsid w:val="02095687"/>
    <w:rsid w:val="02510197"/>
    <w:rsid w:val="02743188"/>
    <w:rsid w:val="02AC10D3"/>
    <w:rsid w:val="033A435B"/>
    <w:rsid w:val="034033B2"/>
    <w:rsid w:val="03A51CAF"/>
    <w:rsid w:val="03AA50CD"/>
    <w:rsid w:val="03B866D0"/>
    <w:rsid w:val="03C40B3F"/>
    <w:rsid w:val="03E11E16"/>
    <w:rsid w:val="03E5503B"/>
    <w:rsid w:val="04833B9D"/>
    <w:rsid w:val="04FC5581"/>
    <w:rsid w:val="05082DD9"/>
    <w:rsid w:val="05331829"/>
    <w:rsid w:val="05821997"/>
    <w:rsid w:val="05891928"/>
    <w:rsid w:val="05BF24C9"/>
    <w:rsid w:val="05DF0DF0"/>
    <w:rsid w:val="0616597F"/>
    <w:rsid w:val="06C559AF"/>
    <w:rsid w:val="0775586D"/>
    <w:rsid w:val="07CF77AC"/>
    <w:rsid w:val="081C64DD"/>
    <w:rsid w:val="0824198F"/>
    <w:rsid w:val="082C5D12"/>
    <w:rsid w:val="083E1B6F"/>
    <w:rsid w:val="08435461"/>
    <w:rsid w:val="08435AFA"/>
    <w:rsid w:val="08645884"/>
    <w:rsid w:val="08C74D3E"/>
    <w:rsid w:val="090C7C1B"/>
    <w:rsid w:val="0929095D"/>
    <w:rsid w:val="09493091"/>
    <w:rsid w:val="098175B4"/>
    <w:rsid w:val="0A914C01"/>
    <w:rsid w:val="0AD31787"/>
    <w:rsid w:val="0AF96D6A"/>
    <w:rsid w:val="0B3061AD"/>
    <w:rsid w:val="0B912479"/>
    <w:rsid w:val="0BCC39BB"/>
    <w:rsid w:val="0BE009C6"/>
    <w:rsid w:val="0C2520CA"/>
    <w:rsid w:val="0C4C5587"/>
    <w:rsid w:val="0C5A26CD"/>
    <w:rsid w:val="0C741652"/>
    <w:rsid w:val="0C7777A9"/>
    <w:rsid w:val="0D490A8D"/>
    <w:rsid w:val="0D815058"/>
    <w:rsid w:val="0DC93D4A"/>
    <w:rsid w:val="0E5643EF"/>
    <w:rsid w:val="0E6E6F80"/>
    <w:rsid w:val="0F7A7451"/>
    <w:rsid w:val="0FA47B58"/>
    <w:rsid w:val="0FB726D8"/>
    <w:rsid w:val="0FF94323"/>
    <w:rsid w:val="107A34BF"/>
    <w:rsid w:val="107A51CD"/>
    <w:rsid w:val="108D4A90"/>
    <w:rsid w:val="10993984"/>
    <w:rsid w:val="10E47510"/>
    <w:rsid w:val="10E67EAB"/>
    <w:rsid w:val="114F61E9"/>
    <w:rsid w:val="11925F20"/>
    <w:rsid w:val="11C91423"/>
    <w:rsid w:val="12134D71"/>
    <w:rsid w:val="121B5FB0"/>
    <w:rsid w:val="123821EC"/>
    <w:rsid w:val="12923148"/>
    <w:rsid w:val="12E96032"/>
    <w:rsid w:val="12EC0F8D"/>
    <w:rsid w:val="13D4431F"/>
    <w:rsid w:val="14F71134"/>
    <w:rsid w:val="150D48D8"/>
    <w:rsid w:val="151D38BF"/>
    <w:rsid w:val="15BA18F1"/>
    <w:rsid w:val="15BF1762"/>
    <w:rsid w:val="160650C5"/>
    <w:rsid w:val="161A0B74"/>
    <w:rsid w:val="161A1EE6"/>
    <w:rsid w:val="16BA40A9"/>
    <w:rsid w:val="16CE6E85"/>
    <w:rsid w:val="16E54E7B"/>
    <w:rsid w:val="16F47498"/>
    <w:rsid w:val="17051BB8"/>
    <w:rsid w:val="17727A45"/>
    <w:rsid w:val="17DF51B5"/>
    <w:rsid w:val="181638D8"/>
    <w:rsid w:val="185F4F64"/>
    <w:rsid w:val="18841AD7"/>
    <w:rsid w:val="18A015D3"/>
    <w:rsid w:val="198E1224"/>
    <w:rsid w:val="19B1604A"/>
    <w:rsid w:val="19B95C26"/>
    <w:rsid w:val="19E46AD9"/>
    <w:rsid w:val="1A126E19"/>
    <w:rsid w:val="1A652503"/>
    <w:rsid w:val="1AC668AF"/>
    <w:rsid w:val="1B325F2A"/>
    <w:rsid w:val="1B400C2F"/>
    <w:rsid w:val="1B62301A"/>
    <w:rsid w:val="1C0C720E"/>
    <w:rsid w:val="1C1605A5"/>
    <w:rsid w:val="1C1F1E0E"/>
    <w:rsid w:val="1CF12935"/>
    <w:rsid w:val="1D190873"/>
    <w:rsid w:val="1D4B710C"/>
    <w:rsid w:val="1D510A91"/>
    <w:rsid w:val="1E330E9C"/>
    <w:rsid w:val="1E340CEE"/>
    <w:rsid w:val="1E8B5297"/>
    <w:rsid w:val="1E9C6591"/>
    <w:rsid w:val="1F507A92"/>
    <w:rsid w:val="1F7E63F4"/>
    <w:rsid w:val="1FD21930"/>
    <w:rsid w:val="20043B19"/>
    <w:rsid w:val="20D17B68"/>
    <w:rsid w:val="2112344B"/>
    <w:rsid w:val="212753E2"/>
    <w:rsid w:val="21481A39"/>
    <w:rsid w:val="216330BF"/>
    <w:rsid w:val="219A1B7F"/>
    <w:rsid w:val="21B22A5C"/>
    <w:rsid w:val="21E65C8F"/>
    <w:rsid w:val="235220CD"/>
    <w:rsid w:val="23AA6A32"/>
    <w:rsid w:val="23C9229F"/>
    <w:rsid w:val="24195A43"/>
    <w:rsid w:val="244A2F6C"/>
    <w:rsid w:val="245D31B5"/>
    <w:rsid w:val="24826101"/>
    <w:rsid w:val="24912EE4"/>
    <w:rsid w:val="25784A9C"/>
    <w:rsid w:val="25950217"/>
    <w:rsid w:val="25E16A45"/>
    <w:rsid w:val="25F11338"/>
    <w:rsid w:val="25F46AB0"/>
    <w:rsid w:val="26B41D18"/>
    <w:rsid w:val="26E93279"/>
    <w:rsid w:val="27217B54"/>
    <w:rsid w:val="277D1EE5"/>
    <w:rsid w:val="27A31B59"/>
    <w:rsid w:val="27B87AF2"/>
    <w:rsid w:val="27EE3E21"/>
    <w:rsid w:val="27FB3C47"/>
    <w:rsid w:val="286C3B37"/>
    <w:rsid w:val="289002C6"/>
    <w:rsid w:val="28C71A62"/>
    <w:rsid w:val="293801B5"/>
    <w:rsid w:val="298A23AD"/>
    <w:rsid w:val="2A8470B0"/>
    <w:rsid w:val="2A9D36CA"/>
    <w:rsid w:val="2B033371"/>
    <w:rsid w:val="2B05199B"/>
    <w:rsid w:val="2B3A56AF"/>
    <w:rsid w:val="2BB71443"/>
    <w:rsid w:val="2BF00047"/>
    <w:rsid w:val="2C0853D9"/>
    <w:rsid w:val="2C240F34"/>
    <w:rsid w:val="2C64115C"/>
    <w:rsid w:val="2D0B54A3"/>
    <w:rsid w:val="2D230138"/>
    <w:rsid w:val="2D6F4378"/>
    <w:rsid w:val="2DED1D9C"/>
    <w:rsid w:val="2E161931"/>
    <w:rsid w:val="2E590BD6"/>
    <w:rsid w:val="2E6E5700"/>
    <w:rsid w:val="2EA0509E"/>
    <w:rsid w:val="2EC306FC"/>
    <w:rsid w:val="2F3F3850"/>
    <w:rsid w:val="2F815A0A"/>
    <w:rsid w:val="2FF73D1D"/>
    <w:rsid w:val="300801AF"/>
    <w:rsid w:val="30104524"/>
    <w:rsid w:val="30113460"/>
    <w:rsid w:val="301251C1"/>
    <w:rsid w:val="30204AC3"/>
    <w:rsid w:val="304B4E50"/>
    <w:rsid w:val="3063463F"/>
    <w:rsid w:val="308F3CFA"/>
    <w:rsid w:val="30D81BD6"/>
    <w:rsid w:val="30F51C45"/>
    <w:rsid w:val="31A11AE9"/>
    <w:rsid w:val="31FC3EF9"/>
    <w:rsid w:val="322E5E24"/>
    <w:rsid w:val="324B16F5"/>
    <w:rsid w:val="3271734E"/>
    <w:rsid w:val="32912953"/>
    <w:rsid w:val="32A63ED4"/>
    <w:rsid w:val="32CF303F"/>
    <w:rsid w:val="3350673E"/>
    <w:rsid w:val="33977D4F"/>
    <w:rsid w:val="33B67A9F"/>
    <w:rsid w:val="33CB2F9F"/>
    <w:rsid w:val="33E02E1C"/>
    <w:rsid w:val="341D63B4"/>
    <w:rsid w:val="34E32470"/>
    <w:rsid w:val="34E60A39"/>
    <w:rsid w:val="34EB224F"/>
    <w:rsid w:val="351D0A98"/>
    <w:rsid w:val="354F755A"/>
    <w:rsid w:val="355C0DE1"/>
    <w:rsid w:val="35893F26"/>
    <w:rsid w:val="35D66A87"/>
    <w:rsid w:val="361707D4"/>
    <w:rsid w:val="361D3B28"/>
    <w:rsid w:val="36301896"/>
    <w:rsid w:val="36383DD0"/>
    <w:rsid w:val="36572E41"/>
    <w:rsid w:val="36F1018E"/>
    <w:rsid w:val="372D5650"/>
    <w:rsid w:val="376857B1"/>
    <w:rsid w:val="377622CB"/>
    <w:rsid w:val="3780685D"/>
    <w:rsid w:val="37BA2F63"/>
    <w:rsid w:val="37C81053"/>
    <w:rsid w:val="37CD3840"/>
    <w:rsid w:val="37E817A5"/>
    <w:rsid w:val="38704532"/>
    <w:rsid w:val="387F6BE2"/>
    <w:rsid w:val="38AA04E2"/>
    <w:rsid w:val="38B04014"/>
    <w:rsid w:val="38D77AF6"/>
    <w:rsid w:val="38DA1EF9"/>
    <w:rsid w:val="38E050B1"/>
    <w:rsid w:val="394E75C1"/>
    <w:rsid w:val="398A2C99"/>
    <w:rsid w:val="39B41E0D"/>
    <w:rsid w:val="39B853D1"/>
    <w:rsid w:val="39DB34A5"/>
    <w:rsid w:val="3A3C23C2"/>
    <w:rsid w:val="3ADE708D"/>
    <w:rsid w:val="3B040851"/>
    <w:rsid w:val="3B296247"/>
    <w:rsid w:val="3BA76A03"/>
    <w:rsid w:val="3BB30F9F"/>
    <w:rsid w:val="3BE30FA7"/>
    <w:rsid w:val="3C002C09"/>
    <w:rsid w:val="3C56385D"/>
    <w:rsid w:val="3C895347"/>
    <w:rsid w:val="3CDF3135"/>
    <w:rsid w:val="3D1D0F09"/>
    <w:rsid w:val="3D4153BD"/>
    <w:rsid w:val="3D605B64"/>
    <w:rsid w:val="3DB66D48"/>
    <w:rsid w:val="3E42676A"/>
    <w:rsid w:val="3F26350E"/>
    <w:rsid w:val="3F2B5786"/>
    <w:rsid w:val="3F3E428E"/>
    <w:rsid w:val="3F513CB1"/>
    <w:rsid w:val="3FA06B4D"/>
    <w:rsid w:val="3FA86688"/>
    <w:rsid w:val="3FB269C3"/>
    <w:rsid w:val="3FD032C7"/>
    <w:rsid w:val="3FDB1D7E"/>
    <w:rsid w:val="406D3E71"/>
    <w:rsid w:val="40767C0D"/>
    <w:rsid w:val="40E45FD9"/>
    <w:rsid w:val="410061AC"/>
    <w:rsid w:val="410858E9"/>
    <w:rsid w:val="413E22CD"/>
    <w:rsid w:val="41526B64"/>
    <w:rsid w:val="41571D6E"/>
    <w:rsid w:val="418F0C08"/>
    <w:rsid w:val="41B06223"/>
    <w:rsid w:val="41B829D4"/>
    <w:rsid w:val="41B8730F"/>
    <w:rsid w:val="41E77728"/>
    <w:rsid w:val="41F8244F"/>
    <w:rsid w:val="421F601D"/>
    <w:rsid w:val="42482AD4"/>
    <w:rsid w:val="42896114"/>
    <w:rsid w:val="42BE5CDC"/>
    <w:rsid w:val="430C0C47"/>
    <w:rsid w:val="43244E3C"/>
    <w:rsid w:val="432B6014"/>
    <w:rsid w:val="4356369E"/>
    <w:rsid w:val="43A73423"/>
    <w:rsid w:val="43E62EC8"/>
    <w:rsid w:val="43E9363A"/>
    <w:rsid w:val="451275EF"/>
    <w:rsid w:val="465B0EC8"/>
    <w:rsid w:val="465F6D87"/>
    <w:rsid w:val="46CC258D"/>
    <w:rsid w:val="46E42C4A"/>
    <w:rsid w:val="472C7633"/>
    <w:rsid w:val="47385FC3"/>
    <w:rsid w:val="474256D1"/>
    <w:rsid w:val="475D2AB1"/>
    <w:rsid w:val="47D965EA"/>
    <w:rsid w:val="47F170D7"/>
    <w:rsid w:val="48D43EA7"/>
    <w:rsid w:val="48EA0098"/>
    <w:rsid w:val="48EA65CD"/>
    <w:rsid w:val="490D1321"/>
    <w:rsid w:val="496D4057"/>
    <w:rsid w:val="4977185E"/>
    <w:rsid w:val="49807693"/>
    <w:rsid w:val="49D82CEC"/>
    <w:rsid w:val="4A9C3D23"/>
    <w:rsid w:val="4ADA6DED"/>
    <w:rsid w:val="4AF5198E"/>
    <w:rsid w:val="4BC16430"/>
    <w:rsid w:val="4BFD54DB"/>
    <w:rsid w:val="4C164FBE"/>
    <w:rsid w:val="4C271A49"/>
    <w:rsid w:val="4C325CE4"/>
    <w:rsid w:val="4C623D84"/>
    <w:rsid w:val="4CE935CD"/>
    <w:rsid w:val="4D661295"/>
    <w:rsid w:val="4D8207D1"/>
    <w:rsid w:val="4DC55A54"/>
    <w:rsid w:val="4DD637A3"/>
    <w:rsid w:val="4DEA0C18"/>
    <w:rsid w:val="4DF60365"/>
    <w:rsid w:val="4E0D2787"/>
    <w:rsid w:val="4E0D453F"/>
    <w:rsid w:val="4E537D88"/>
    <w:rsid w:val="4E5E2A3C"/>
    <w:rsid w:val="4E7B22CD"/>
    <w:rsid w:val="4ECD27ED"/>
    <w:rsid w:val="4EF06988"/>
    <w:rsid w:val="4F227A3B"/>
    <w:rsid w:val="4F2B0C9E"/>
    <w:rsid w:val="4FCD0FCF"/>
    <w:rsid w:val="4FDA7BE9"/>
    <w:rsid w:val="4FEC07C0"/>
    <w:rsid w:val="4FF77255"/>
    <w:rsid w:val="4FF813ED"/>
    <w:rsid w:val="50043987"/>
    <w:rsid w:val="50177BF0"/>
    <w:rsid w:val="502F5B05"/>
    <w:rsid w:val="505144B9"/>
    <w:rsid w:val="508A00C9"/>
    <w:rsid w:val="509960DB"/>
    <w:rsid w:val="50E81551"/>
    <w:rsid w:val="50F67A62"/>
    <w:rsid w:val="510E78E7"/>
    <w:rsid w:val="51D73B45"/>
    <w:rsid w:val="51F21254"/>
    <w:rsid w:val="523258FE"/>
    <w:rsid w:val="52DF6974"/>
    <w:rsid w:val="53292792"/>
    <w:rsid w:val="53430A03"/>
    <w:rsid w:val="53A44BBD"/>
    <w:rsid w:val="53B57275"/>
    <w:rsid w:val="540A2A63"/>
    <w:rsid w:val="54A27FE5"/>
    <w:rsid w:val="54B95421"/>
    <w:rsid w:val="551A77A3"/>
    <w:rsid w:val="552B71DA"/>
    <w:rsid w:val="55C80ACA"/>
    <w:rsid w:val="55D66436"/>
    <w:rsid w:val="55F9355F"/>
    <w:rsid w:val="56002728"/>
    <w:rsid w:val="5606548A"/>
    <w:rsid w:val="56562CF2"/>
    <w:rsid w:val="572A016E"/>
    <w:rsid w:val="57316B49"/>
    <w:rsid w:val="573D71DF"/>
    <w:rsid w:val="577D0663"/>
    <w:rsid w:val="57AE734F"/>
    <w:rsid w:val="58236A15"/>
    <w:rsid w:val="58321EC6"/>
    <w:rsid w:val="58501D07"/>
    <w:rsid w:val="585A3C87"/>
    <w:rsid w:val="58620FD6"/>
    <w:rsid w:val="586757C9"/>
    <w:rsid w:val="58807305"/>
    <w:rsid w:val="58A446B9"/>
    <w:rsid w:val="597C3E85"/>
    <w:rsid w:val="598445C0"/>
    <w:rsid w:val="5A4937C7"/>
    <w:rsid w:val="5ABF28B9"/>
    <w:rsid w:val="5AC22B45"/>
    <w:rsid w:val="5ADD3C34"/>
    <w:rsid w:val="5B24477E"/>
    <w:rsid w:val="5BE75B00"/>
    <w:rsid w:val="5D12364D"/>
    <w:rsid w:val="5D5F6EC4"/>
    <w:rsid w:val="5D652999"/>
    <w:rsid w:val="5D6730F6"/>
    <w:rsid w:val="5D8D7C8E"/>
    <w:rsid w:val="5D973AB6"/>
    <w:rsid w:val="5D9E6676"/>
    <w:rsid w:val="5DC61182"/>
    <w:rsid w:val="5E123C25"/>
    <w:rsid w:val="5E2935C7"/>
    <w:rsid w:val="5E643D94"/>
    <w:rsid w:val="5E6E14AE"/>
    <w:rsid w:val="5EB43E99"/>
    <w:rsid w:val="5EB54CAB"/>
    <w:rsid w:val="5EC74A26"/>
    <w:rsid w:val="5EEC4F2C"/>
    <w:rsid w:val="5F137888"/>
    <w:rsid w:val="5F3118C0"/>
    <w:rsid w:val="5F362174"/>
    <w:rsid w:val="5FAD15EE"/>
    <w:rsid w:val="60103A97"/>
    <w:rsid w:val="6065307F"/>
    <w:rsid w:val="60C1328E"/>
    <w:rsid w:val="60C22744"/>
    <w:rsid w:val="60FD48E7"/>
    <w:rsid w:val="610C012A"/>
    <w:rsid w:val="61237EB8"/>
    <w:rsid w:val="616F7CF3"/>
    <w:rsid w:val="61FC3A17"/>
    <w:rsid w:val="623954AB"/>
    <w:rsid w:val="623A3232"/>
    <w:rsid w:val="623C4F9B"/>
    <w:rsid w:val="624C3ACF"/>
    <w:rsid w:val="633C34A4"/>
    <w:rsid w:val="639B6837"/>
    <w:rsid w:val="63BA64B1"/>
    <w:rsid w:val="63F2576A"/>
    <w:rsid w:val="64232B20"/>
    <w:rsid w:val="64365814"/>
    <w:rsid w:val="64CB312C"/>
    <w:rsid w:val="64DB3FFC"/>
    <w:rsid w:val="64E32783"/>
    <w:rsid w:val="65007F4E"/>
    <w:rsid w:val="65756AC3"/>
    <w:rsid w:val="6585379C"/>
    <w:rsid w:val="658A3520"/>
    <w:rsid w:val="662D4763"/>
    <w:rsid w:val="664513D6"/>
    <w:rsid w:val="664B644A"/>
    <w:rsid w:val="666B09B5"/>
    <w:rsid w:val="66872677"/>
    <w:rsid w:val="66885224"/>
    <w:rsid w:val="66AE1270"/>
    <w:rsid w:val="66B324BE"/>
    <w:rsid w:val="66C80040"/>
    <w:rsid w:val="66CD00D8"/>
    <w:rsid w:val="67236729"/>
    <w:rsid w:val="677360E3"/>
    <w:rsid w:val="6779459B"/>
    <w:rsid w:val="678D5E8C"/>
    <w:rsid w:val="67F65590"/>
    <w:rsid w:val="68664B20"/>
    <w:rsid w:val="6870599E"/>
    <w:rsid w:val="68D357B0"/>
    <w:rsid w:val="69036813"/>
    <w:rsid w:val="693D06FA"/>
    <w:rsid w:val="69962BD5"/>
    <w:rsid w:val="69CB7493"/>
    <w:rsid w:val="69D4537F"/>
    <w:rsid w:val="6A365264"/>
    <w:rsid w:val="6AB30BF4"/>
    <w:rsid w:val="6B6C6519"/>
    <w:rsid w:val="6B981DF8"/>
    <w:rsid w:val="6B9D025C"/>
    <w:rsid w:val="6BA75FB6"/>
    <w:rsid w:val="6BCA0C7C"/>
    <w:rsid w:val="6BFE0F28"/>
    <w:rsid w:val="6BFF52D4"/>
    <w:rsid w:val="6C054650"/>
    <w:rsid w:val="6C59487A"/>
    <w:rsid w:val="6D744A62"/>
    <w:rsid w:val="6D9B19E5"/>
    <w:rsid w:val="6E944B9E"/>
    <w:rsid w:val="6F5E0FC0"/>
    <w:rsid w:val="6F6F4E5B"/>
    <w:rsid w:val="6F784BEA"/>
    <w:rsid w:val="6FCD69D4"/>
    <w:rsid w:val="6FD35191"/>
    <w:rsid w:val="7065744B"/>
    <w:rsid w:val="70A80E7F"/>
    <w:rsid w:val="70E241C6"/>
    <w:rsid w:val="70F73101"/>
    <w:rsid w:val="71034F30"/>
    <w:rsid w:val="71603DA0"/>
    <w:rsid w:val="716167CC"/>
    <w:rsid w:val="71ED0060"/>
    <w:rsid w:val="728B1D53"/>
    <w:rsid w:val="72991E28"/>
    <w:rsid w:val="72D059B7"/>
    <w:rsid w:val="74564E86"/>
    <w:rsid w:val="745F621A"/>
    <w:rsid w:val="74CA6436"/>
    <w:rsid w:val="753D3F57"/>
    <w:rsid w:val="7559189A"/>
    <w:rsid w:val="755B4E2D"/>
    <w:rsid w:val="75BA3232"/>
    <w:rsid w:val="76A16BB3"/>
    <w:rsid w:val="76AF1A11"/>
    <w:rsid w:val="76D10E3F"/>
    <w:rsid w:val="76E35326"/>
    <w:rsid w:val="76EB17F6"/>
    <w:rsid w:val="77747E1D"/>
    <w:rsid w:val="777D3C34"/>
    <w:rsid w:val="778411AD"/>
    <w:rsid w:val="77901832"/>
    <w:rsid w:val="77B9304C"/>
    <w:rsid w:val="78440AD8"/>
    <w:rsid w:val="784D024E"/>
    <w:rsid w:val="786B73C0"/>
    <w:rsid w:val="787740AC"/>
    <w:rsid w:val="78857573"/>
    <w:rsid w:val="789442E7"/>
    <w:rsid w:val="78E74F63"/>
    <w:rsid w:val="79BD121C"/>
    <w:rsid w:val="79F41288"/>
    <w:rsid w:val="7A6B1587"/>
    <w:rsid w:val="7A950221"/>
    <w:rsid w:val="7B1E65F5"/>
    <w:rsid w:val="7B9F5272"/>
    <w:rsid w:val="7BBB7C03"/>
    <w:rsid w:val="7C0741E9"/>
    <w:rsid w:val="7C134AC6"/>
    <w:rsid w:val="7C230F73"/>
    <w:rsid w:val="7C4A67DB"/>
    <w:rsid w:val="7CB347BD"/>
    <w:rsid w:val="7D1B52B4"/>
    <w:rsid w:val="7D3744CD"/>
    <w:rsid w:val="7D7173A1"/>
    <w:rsid w:val="7DB23C95"/>
    <w:rsid w:val="7E433576"/>
    <w:rsid w:val="7EA72422"/>
    <w:rsid w:val="7EED3340"/>
    <w:rsid w:val="7F727327"/>
    <w:rsid w:val="7FB259A1"/>
    <w:rsid w:val="7FCB4259"/>
    <w:rsid w:val="DF6F9EE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iPriority="0" w:name="footnote text"/>
    <w:lsdException w:qFormat="1" w:unhideWhenUsed="0" w:uiPriority="99" w:semiHidden="0" w:name="annotation text"/>
    <w:lsdException w:qFormat="1" w:unhideWhenUsed="0" w:uiPriority="99"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qFormat="1"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qFormat="1" w:unhideWhenUsed="0" w:uiPriority="0" w:semiHidden="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57"/>
    <w:qFormat/>
    <w:uiPriority w:val="0"/>
    <w:pPr>
      <w:spacing w:before="340" w:after="330" w:line="360" w:lineRule="auto"/>
      <w:jc w:val="center"/>
      <w:outlineLvl w:val="0"/>
    </w:pPr>
    <w:rPr>
      <w:rFonts w:eastAsia="黑体"/>
      <w:kern w:val="44"/>
      <w:szCs w:val="44"/>
    </w:rPr>
  </w:style>
  <w:style w:type="paragraph" w:styleId="5">
    <w:name w:val="heading 2"/>
    <w:basedOn w:val="3"/>
    <w:next w:val="1"/>
    <w:link w:val="72"/>
    <w:qFormat/>
    <w:uiPriority w:val="0"/>
    <w:pPr>
      <w:adjustRightInd w:val="0"/>
      <w:jc w:val="center"/>
      <w:textAlignment w:val="baseline"/>
      <w:outlineLvl w:val="1"/>
    </w:pPr>
    <w:rPr>
      <w:kern w:val="0"/>
      <w:sz w:val="24"/>
      <w:szCs w:val="20"/>
    </w:rPr>
  </w:style>
  <w:style w:type="paragraph" w:styleId="3">
    <w:name w:val="heading 3"/>
    <w:basedOn w:val="4"/>
    <w:next w:val="1"/>
    <w:link w:val="56"/>
    <w:qFormat/>
    <w:uiPriority w:val="9"/>
    <w:pPr>
      <w:spacing w:before="260" w:after="260" w:line="240" w:lineRule="auto"/>
      <w:outlineLvl w:val="2"/>
    </w:pPr>
    <w:rPr>
      <w:rFonts w:ascii="宋体" w:hAnsi="宋体" w:eastAsia="宋体"/>
      <w:szCs w:val="32"/>
    </w:rPr>
  </w:style>
  <w:style w:type="paragraph" w:styleId="4">
    <w:name w:val="heading 4"/>
    <w:basedOn w:val="1"/>
    <w:next w:val="1"/>
    <w:link w:val="54"/>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81"/>
    <w:qFormat/>
    <w:uiPriority w:val="0"/>
    <w:pPr>
      <w:keepNext/>
      <w:keepLines/>
      <w:spacing w:before="280" w:after="290" w:line="376" w:lineRule="auto"/>
      <w:outlineLvl w:val="4"/>
    </w:pPr>
    <w:rPr>
      <w:b/>
      <w:sz w:val="28"/>
      <w:szCs w:val="20"/>
    </w:rPr>
  </w:style>
  <w:style w:type="paragraph" w:styleId="8">
    <w:name w:val="heading 6"/>
    <w:basedOn w:val="1"/>
    <w:next w:val="7"/>
    <w:link w:val="84"/>
    <w:qFormat/>
    <w:uiPriority w:val="0"/>
    <w:pPr>
      <w:keepNext/>
      <w:keepLines/>
      <w:spacing w:before="240" w:after="64" w:line="320" w:lineRule="auto"/>
      <w:outlineLvl w:val="5"/>
    </w:pPr>
    <w:rPr>
      <w:rFonts w:ascii="Arial" w:hAnsi="Arial" w:eastAsia="黑体"/>
      <w:b/>
      <w:sz w:val="24"/>
      <w:szCs w:val="20"/>
    </w:rPr>
  </w:style>
  <w:style w:type="paragraph" w:styleId="9">
    <w:name w:val="heading 7"/>
    <w:basedOn w:val="1"/>
    <w:next w:val="7"/>
    <w:link w:val="85"/>
    <w:qFormat/>
    <w:uiPriority w:val="0"/>
    <w:pPr>
      <w:keepNext/>
      <w:keepLines/>
      <w:spacing w:before="240" w:after="64" w:line="320" w:lineRule="auto"/>
      <w:outlineLvl w:val="6"/>
    </w:pPr>
    <w:rPr>
      <w:b/>
      <w:sz w:val="24"/>
      <w:szCs w:val="20"/>
    </w:rPr>
  </w:style>
  <w:style w:type="paragraph" w:styleId="10">
    <w:name w:val="heading 8"/>
    <w:basedOn w:val="1"/>
    <w:next w:val="7"/>
    <w:link w:val="86"/>
    <w:qFormat/>
    <w:uiPriority w:val="0"/>
    <w:pPr>
      <w:keepNext/>
      <w:keepLines/>
      <w:spacing w:before="240" w:after="64" w:line="320" w:lineRule="auto"/>
      <w:outlineLvl w:val="7"/>
    </w:pPr>
    <w:rPr>
      <w:rFonts w:ascii="Arial" w:hAnsi="Arial" w:eastAsia="黑体"/>
      <w:sz w:val="24"/>
      <w:szCs w:val="20"/>
    </w:rPr>
  </w:style>
  <w:style w:type="paragraph" w:styleId="11">
    <w:name w:val="heading 9"/>
    <w:basedOn w:val="1"/>
    <w:next w:val="7"/>
    <w:link w:val="87"/>
    <w:qFormat/>
    <w:uiPriority w:val="0"/>
    <w:pPr>
      <w:keepNext/>
      <w:keepLines/>
      <w:spacing w:before="240" w:after="64" w:line="320" w:lineRule="auto"/>
      <w:outlineLvl w:val="8"/>
    </w:pPr>
    <w:rPr>
      <w:rFonts w:ascii="Arial" w:hAnsi="Arial" w:eastAsia="黑体"/>
      <w:szCs w:val="20"/>
    </w:rPr>
  </w:style>
  <w:style w:type="character" w:default="1" w:styleId="46">
    <w:name w:val="Default Paragraph Font"/>
    <w:semiHidden/>
    <w:unhideWhenUsed/>
    <w:qFormat/>
    <w:uiPriority w:val="1"/>
  </w:style>
  <w:style w:type="table" w:default="1" w:styleId="43">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7">
    <w:name w:val="Normal Indent"/>
    <w:basedOn w:val="1"/>
    <w:link w:val="58"/>
    <w:qFormat/>
    <w:uiPriority w:val="0"/>
    <w:pPr>
      <w:ind w:firstLine="420"/>
    </w:pPr>
    <w:rPr>
      <w:szCs w:val="20"/>
    </w:rPr>
  </w:style>
  <w:style w:type="paragraph" w:styleId="12">
    <w:name w:val="toc 7"/>
    <w:basedOn w:val="1"/>
    <w:next w:val="1"/>
    <w:semiHidden/>
    <w:qFormat/>
    <w:uiPriority w:val="0"/>
    <w:pPr>
      <w:ind w:left="1260"/>
      <w:jc w:val="left"/>
    </w:pPr>
    <w:rPr>
      <w:szCs w:val="21"/>
    </w:rPr>
  </w:style>
  <w:style w:type="paragraph" w:styleId="13">
    <w:name w:val="caption"/>
    <w:basedOn w:val="1"/>
    <w:next w:val="1"/>
    <w:qFormat/>
    <w:uiPriority w:val="0"/>
    <w:pPr>
      <w:widowControl/>
      <w:spacing w:line="360" w:lineRule="auto"/>
      <w:ind w:firstLine="1940" w:firstLineChars="920"/>
      <w:jc w:val="left"/>
    </w:pPr>
    <w:rPr>
      <w:rFonts w:ascii="宋体" w:hAnsi="宋体"/>
      <w:b/>
      <w:bCs/>
      <w:kern w:val="0"/>
      <w:sz w:val="20"/>
      <w:szCs w:val="20"/>
    </w:rPr>
  </w:style>
  <w:style w:type="paragraph" w:styleId="14">
    <w:name w:val="List Bullet"/>
    <w:basedOn w:val="1"/>
    <w:qFormat/>
    <w:uiPriority w:val="0"/>
    <w:pPr>
      <w:numPr>
        <w:ilvl w:val="0"/>
        <w:numId w:val="1"/>
      </w:numPr>
    </w:pPr>
    <w:rPr>
      <w:szCs w:val="20"/>
    </w:rPr>
  </w:style>
  <w:style w:type="paragraph" w:styleId="15">
    <w:name w:val="Document Map"/>
    <w:basedOn w:val="1"/>
    <w:semiHidden/>
    <w:qFormat/>
    <w:uiPriority w:val="0"/>
    <w:pPr>
      <w:shd w:val="clear" w:color="auto" w:fill="000080"/>
    </w:pPr>
  </w:style>
  <w:style w:type="paragraph" w:styleId="16">
    <w:name w:val="annotation text"/>
    <w:basedOn w:val="1"/>
    <w:link w:val="185"/>
    <w:qFormat/>
    <w:uiPriority w:val="99"/>
    <w:pPr>
      <w:autoSpaceDE w:val="0"/>
      <w:autoSpaceDN w:val="0"/>
      <w:adjustRightInd w:val="0"/>
      <w:jc w:val="left"/>
      <w:textAlignment w:val="baseline"/>
    </w:pPr>
    <w:rPr>
      <w:rFonts w:ascii="宋体"/>
      <w:kern w:val="0"/>
      <w:sz w:val="34"/>
      <w:szCs w:val="20"/>
    </w:rPr>
  </w:style>
  <w:style w:type="paragraph" w:styleId="17">
    <w:name w:val="Body Text 3"/>
    <w:basedOn w:val="1"/>
    <w:link w:val="99"/>
    <w:qFormat/>
    <w:uiPriority w:val="0"/>
    <w:pPr>
      <w:spacing w:after="120"/>
    </w:pPr>
    <w:rPr>
      <w:sz w:val="16"/>
      <w:szCs w:val="16"/>
    </w:rPr>
  </w:style>
  <w:style w:type="paragraph" w:styleId="18">
    <w:name w:val="Body Text"/>
    <w:basedOn w:val="1"/>
    <w:link w:val="93"/>
    <w:qFormat/>
    <w:uiPriority w:val="0"/>
    <w:pPr>
      <w:spacing w:line="360" w:lineRule="auto"/>
    </w:pPr>
    <w:rPr>
      <w:b/>
      <w:bCs/>
      <w:sz w:val="24"/>
    </w:rPr>
  </w:style>
  <w:style w:type="paragraph" w:styleId="19">
    <w:name w:val="Body Text Indent"/>
    <w:basedOn w:val="1"/>
    <w:link w:val="80"/>
    <w:qFormat/>
    <w:uiPriority w:val="0"/>
    <w:pPr>
      <w:spacing w:line="360" w:lineRule="auto"/>
      <w:ind w:firstLine="420" w:firstLineChars="200"/>
    </w:pPr>
  </w:style>
  <w:style w:type="paragraph" w:styleId="20">
    <w:name w:val="toc 5"/>
    <w:basedOn w:val="1"/>
    <w:next w:val="1"/>
    <w:semiHidden/>
    <w:qFormat/>
    <w:uiPriority w:val="0"/>
    <w:pPr>
      <w:ind w:left="840"/>
      <w:jc w:val="left"/>
    </w:pPr>
    <w:rPr>
      <w:szCs w:val="21"/>
    </w:rPr>
  </w:style>
  <w:style w:type="paragraph" w:styleId="21">
    <w:name w:val="toc 3"/>
    <w:basedOn w:val="1"/>
    <w:next w:val="1"/>
    <w:semiHidden/>
    <w:qFormat/>
    <w:uiPriority w:val="0"/>
    <w:pPr>
      <w:ind w:left="420"/>
      <w:jc w:val="left"/>
    </w:pPr>
    <w:rPr>
      <w:i/>
      <w:iCs/>
    </w:rPr>
  </w:style>
  <w:style w:type="paragraph" w:styleId="22">
    <w:name w:val="Plain Text"/>
    <w:basedOn w:val="1"/>
    <w:link w:val="91"/>
    <w:qFormat/>
    <w:uiPriority w:val="0"/>
    <w:rPr>
      <w:rFonts w:ascii="宋体" w:hAnsi="Courier New"/>
      <w:szCs w:val="20"/>
    </w:rPr>
  </w:style>
  <w:style w:type="paragraph" w:styleId="23">
    <w:name w:val="toc 8"/>
    <w:basedOn w:val="1"/>
    <w:next w:val="1"/>
    <w:semiHidden/>
    <w:qFormat/>
    <w:uiPriority w:val="0"/>
    <w:pPr>
      <w:ind w:left="1470"/>
      <w:jc w:val="left"/>
    </w:pPr>
    <w:rPr>
      <w:szCs w:val="21"/>
    </w:rPr>
  </w:style>
  <w:style w:type="paragraph" w:styleId="24">
    <w:name w:val="Date"/>
    <w:basedOn w:val="1"/>
    <w:next w:val="1"/>
    <w:link w:val="89"/>
    <w:qFormat/>
    <w:uiPriority w:val="0"/>
    <w:rPr>
      <w:rFonts w:ascii="宋体" w:hAnsi="Courier New"/>
      <w:sz w:val="32"/>
      <w:szCs w:val="20"/>
    </w:rPr>
  </w:style>
  <w:style w:type="paragraph" w:styleId="25">
    <w:name w:val="Body Text Indent 2"/>
    <w:basedOn w:val="1"/>
    <w:link w:val="94"/>
    <w:qFormat/>
    <w:uiPriority w:val="0"/>
    <w:pPr>
      <w:spacing w:beforeLines="50" w:afterLines="50" w:line="120" w:lineRule="auto"/>
      <w:ind w:firstLine="840" w:firstLineChars="400"/>
      <w:jc w:val="left"/>
    </w:pPr>
    <w:rPr>
      <w:rFonts w:ascii="宋体" w:hAnsi="宋体"/>
    </w:rPr>
  </w:style>
  <w:style w:type="paragraph" w:styleId="26">
    <w:name w:val="Balloon Text"/>
    <w:basedOn w:val="1"/>
    <w:link w:val="100"/>
    <w:semiHidden/>
    <w:qFormat/>
    <w:uiPriority w:val="99"/>
    <w:rPr>
      <w:sz w:val="18"/>
      <w:szCs w:val="18"/>
    </w:rPr>
  </w:style>
  <w:style w:type="paragraph" w:styleId="27">
    <w:name w:val="footer"/>
    <w:basedOn w:val="1"/>
    <w:link w:val="98"/>
    <w:qFormat/>
    <w:uiPriority w:val="0"/>
    <w:pPr>
      <w:tabs>
        <w:tab w:val="center" w:pos="4153"/>
        <w:tab w:val="right" w:pos="8306"/>
      </w:tabs>
      <w:snapToGrid w:val="0"/>
      <w:jc w:val="left"/>
    </w:pPr>
    <w:rPr>
      <w:sz w:val="18"/>
      <w:szCs w:val="18"/>
    </w:rPr>
  </w:style>
  <w:style w:type="paragraph" w:styleId="28">
    <w:name w:val="header"/>
    <w:basedOn w:val="1"/>
    <w:link w:val="95"/>
    <w:qFormat/>
    <w:uiPriority w:val="99"/>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0"/>
    <w:pPr>
      <w:spacing w:before="120" w:after="120"/>
      <w:jc w:val="left"/>
    </w:pPr>
    <w:rPr>
      <w:b/>
      <w:bCs/>
      <w:caps/>
    </w:rPr>
  </w:style>
  <w:style w:type="paragraph" w:styleId="30">
    <w:name w:val="toc 4"/>
    <w:basedOn w:val="1"/>
    <w:next w:val="1"/>
    <w:semiHidden/>
    <w:qFormat/>
    <w:uiPriority w:val="0"/>
    <w:pPr>
      <w:ind w:left="630"/>
      <w:jc w:val="left"/>
    </w:pPr>
    <w:rPr>
      <w:szCs w:val="21"/>
    </w:rPr>
  </w:style>
  <w:style w:type="paragraph" w:styleId="31">
    <w:name w:val="Subtitle"/>
    <w:next w:val="1"/>
    <w:link w:val="310"/>
    <w:qFormat/>
    <w:uiPriority w:val="0"/>
    <w:pPr>
      <w:wordWrap w:val="0"/>
      <w:spacing w:after="60"/>
      <w:jc w:val="center"/>
    </w:pPr>
    <w:rPr>
      <w:rFonts w:ascii="Calibri" w:hAnsi="Calibri" w:eastAsia="宋体" w:cs="Times New Roman"/>
      <w:sz w:val="24"/>
      <w:lang w:val="en-US" w:eastAsia="zh-CN" w:bidi="ar-SA"/>
    </w:rPr>
  </w:style>
  <w:style w:type="paragraph" w:styleId="32">
    <w:name w:val="toc 6"/>
    <w:basedOn w:val="1"/>
    <w:next w:val="1"/>
    <w:semiHidden/>
    <w:qFormat/>
    <w:uiPriority w:val="0"/>
    <w:pPr>
      <w:ind w:left="1050"/>
      <w:jc w:val="left"/>
    </w:pPr>
    <w:rPr>
      <w:szCs w:val="21"/>
    </w:rPr>
  </w:style>
  <w:style w:type="paragraph" w:styleId="33">
    <w:name w:val="Body Text Indent 3"/>
    <w:basedOn w:val="1"/>
    <w:link w:val="96"/>
    <w:qFormat/>
    <w:uiPriority w:val="0"/>
    <w:pPr>
      <w:spacing w:line="360" w:lineRule="auto"/>
      <w:ind w:firstLine="482" w:firstLineChars="200"/>
    </w:pPr>
    <w:rPr>
      <w:rFonts w:ascii="宋体"/>
      <w:b/>
      <w:bCs/>
      <w:sz w:val="24"/>
    </w:rPr>
  </w:style>
  <w:style w:type="paragraph" w:styleId="34">
    <w:name w:val="toc 2"/>
    <w:basedOn w:val="1"/>
    <w:next w:val="1"/>
    <w:semiHidden/>
    <w:qFormat/>
    <w:uiPriority w:val="0"/>
    <w:pPr>
      <w:tabs>
        <w:tab w:val="right" w:leader="dot" w:pos="8296"/>
      </w:tabs>
      <w:ind w:left="210"/>
      <w:jc w:val="left"/>
    </w:pPr>
    <w:rPr>
      <w:smallCaps/>
    </w:rPr>
  </w:style>
  <w:style w:type="paragraph" w:styleId="35">
    <w:name w:val="toc 9"/>
    <w:basedOn w:val="1"/>
    <w:next w:val="1"/>
    <w:semiHidden/>
    <w:qFormat/>
    <w:uiPriority w:val="0"/>
    <w:pPr>
      <w:ind w:left="1680"/>
      <w:jc w:val="left"/>
    </w:pPr>
    <w:rPr>
      <w:szCs w:val="21"/>
    </w:rPr>
  </w:style>
  <w:style w:type="paragraph" w:styleId="36">
    <w:name w:val="Body Text 2"/>
    <w:basedOn w:val="1"/>
    <w:link w:val="97"/>
    <w:qFormat/>
    <w:uiPriority w:val="0"/>
    <w:pPr>
      <w:spacing w:line="360" w:lineRule="auto"/>
    </w:pPr>
    <w:rPr>
      <w:sz w:val="24"/>
    </w:rPr>
  </w:style>
  <w:style w:type="paragraph" w:styleId="37">
    <w:name w:val="HTML Preformatted"/>
    <w:basedOn w:val="1"/>
    <w:link w:val="9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color w:val="000000"/>
      <w:kern w:val="0"/>
      <w:sz w:val="20"/>
      <w:szCs w:val="20"/>
    </w:rPr>
  </w:style>
  <w:style w:type="paragraph" w:styleId="38">
    <w:name w:val="Normal (Web)"/>
    <w:basedOn w:val="1"/>
    <w:qFormat/>
    <w:uiPriority w:val="99"/>
    <w:pPr>
      <w:spacing w:beforeAutospacing="1" w:afterAutospacing="1"/>
      <w:jc w:val="left"/>
    </w:pPr>
    <w:rPr>
      <w:kern w:val="0"/>
      <w:sz w:val="24"/>
    </w:rPr>
  </w:style>
  <w:style w:type="paragraph" w:styleId="39">
    <w:name w:val="index 1"/>
    <w:basedOn w:val="1"/>
    <w:next w:val="1"/>
    <w:semiHidden/>
    <w:qFormat/>
    <w:uiPriority w:val="0"/>
    <w:pPr>
      <w:tabs>
        <w:tab w:val="left" w:pos="3360"/>
      </w:tabs>
      <w:spacing w:line="520" w:lineRule="exact"/>
      <w:ind w:left="419" w:leftChars="50" w:hanging="314" w:hangingChars="131"/>
      <w:jc w:val="center"/>
      <w:outlineLvl w:val="3"/>
    </w:pPr>
    <w:rPr>
      <w:rFonts w:ascii="宋体" w:hAnsi="宋体"/>
      <w:sz w:val="24"/>
    </w:rPr>
  </w:style>
  <w:style w:type="paragraph" w:styleId="40">
    <w:name w:val="Title"/>
    <w:basedOn w:val="1"/>
    <w:link w:val="88"/>
    <w:qFormat/>
    <w:uiPriority w:val="0"/>
    <w:pPr>
      <w:spacing w:before="240" w:after="60"/>
      <w:jc w:val="center"/>
      <w:outlineLvl w:val="0"/>
    </w:pPr>
    <w:rPr>
      <w:rFonts w:ascii="Arial" w:hAnsi="Arial" w:eastAsia="隶书" w:cs="Arial"/>
      <w:b/>
      <w:bCs/>
      <w:sz w:val="32"/>
      <w:szCs w:val="32"/>
    </w:rPr>
  </w:style>
  <w:style w:type="paragraph" w:styleId="41">
    <w:name w:val="annotation subject"/>
    <w:basedOn w:val="16"/>
    <w:next w:val="16"/>
    <w:link w:val="186"/>
    <w:qFormat/>
    <w:uiPriority w:val="99"/>
    <w:pPr>
      <w:autoSpaceDE/>
      <w:autoSpaceDN/>
      <w:adjustRightInd/>
      <w:textAlignment w:val="auto"/>
    </w:pPr>
    <w:rPr>
      <w:rFonts w:ascii="Times New Roman"/>
      <w:b/>
      <w:bCs/>
      <w:kern w:val="2"/>
      <w:sz w:val="21"/>
      <w:szCs w:val="24"/>
    </w:rPr>
  </w:style>
  <w:style w:type="paragraph" w:styleId="42">
    <w:name w:val="Body Text First Indent"/>
    <w:basedOn w:val="18"/>
    <w:link w:val="131"/>
    <w:qFormat/>
    <w:uiPriority w:val="0"/>
    <w:pPr>
      <w:spacing w:after="120" w:line="240" w:lineRule="auto"/>
      <w:ind w:firstLine="420" w:firstLineChars="100"/>
    </w:pPr>
    <w:rPr>
      <w:sz w:val="21"/>
    </w:rPr>
  </w:style>
  <w:style w:type="table" w:styleId="44">
    <w:name w:val="Table Grid"/>
    <w:basedOn w:val="43"/>
    <w:qFormat/>
    <w:uiPriority w:val="0"/>
    <w:pPr>
      <w:widowControl w:val="0"/>
      <w:jc w:val="both"/>
    </w:pPr>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table" w:styleId="45">
    <w:name w:val="Table Elegant"/>
    <w:basedOn w:val="43"/>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47">
    <w:name w:val="Strong"/>
    <w:basedOn w:val="46"/>
    <w:qFormat/>
    <w:uiPriority w:val="0"/>
    <w:rPr>
      <w:b/>
      <w:bCs/>
    </w:rPr>
  </w:style>
  <w:style w:type="character" w:styleId="48">
    <w:name w:val="page number"/>
    <w:basedOn w:val="46"/>
    <w:qFormat/>
    <w:uiPriority w:val="0"/>
  </w:style>
  <w:style w:type="character" w:styleId="49">
    <w:name w:val="FollowedHyperlink"/>
    <w:qFormat/>
    <w:uiPriority w:val="0"/>
    <w:rPr>
      <w:color w:val="800080"/>
      <w:u w:val="single"/>
    </w:rPr>
  </w:style>
  <w:style w:type="character" w:styleId="50">
    <w:name w:val="Emphasis"/>
    <w:basedOn w:val="46"/>
    <w:qFormat/>
    <w:uiPriority w:val="0"/>
    <w:rPr>
      <w:sz w:val="20"/>
    </w:rPr>
  </w:style>
  <w:style w:type="character" w:styleId="51">
    <w:name w:val="Hyperlink"/>
    <w:qFormat/>
    <w:uiPriority w:val="0"/>
    <w:rPr>
      <w:color w:val="0000FF"/>
      <w:u w:val="single"/>
    </w:rPr>
  </w:style>
  <w:style w:type="character" w:styleId="52">
    <w:name w:val="annotation reference"/>
    <w:basedOn w:val="46"/>
    <w:qFormat/>
    <w:uiPriority w:val="99"/>
    <w:rPr>
      <w:sz w:val="21"/>
      <w:szCs w:val="21"/>
    </w:rPr>
  </w:style>
  <w:style w:type="paragraph" w:styleId="53">
    <w:name w:val="No Spacing"/>
    <w:qFormat/>
    <w:uiPriority w:val="1"/>
    <w:pPr>
      <w:widowControl w:val="0"/>
      <w:jc w:val="both"/>
    </w:pPr>
    <w:rPr>
      <w:rFonts w:ascii="Calibri" w:hAnsi="Calibri" w:eastAsia="宋体" w:cs="Times New Roman"/>
      <w:kern w:val="2"/>
      <w:sz w:val="21"/>
      <w:szCs w:val="22"/>
      <w:lang w:val="en-US" w:eastAsia="zh-CN" w:bidi="ar-SA"/>
    </w:rPr>
  </w:style>
  <w:style w:type="character" w:customStyle="1" w:styleId="54">
    <w:name w:val="标题 4 Char"/>
    <w:link w:val="4"/>
    <w:qFormat/>
    <w:uiPriority w:val="9"/>
    <w:rPr>
      <w:rFonts w:ascii="Arial" w:hAnsi="Arial" w:eastAsia="黑体"/>
      <w:b/>
      <w:bCs/>
      <w:kern w:val="2"/>
      <w:sz w:val="28"/>
      <w:szCs w:val="28"/>
      <w:lang w:val="en-US" w:eastAsia="zh-CN" w:bidi="ar-SA"/>
    </w:rPr>
  </w:style>
  <w:style w:type="paragraph" w:customStyle="1" w:styleId="55">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56">
    <w:name w:val="标题 3 Char1"/>
    <w:link w:val="3"/>
    <w:qFormat/>
    <w:uiPriority w:val="9"/>
    <w:rPr>
      <w:rFonts w:ascii="宋体" w:hAnsi="宋体" w:eastAsia="宋体"/>
      <w:b/>
      <w:bCs/>
      <w:kern w:val="2"/>
      <w:sz w:val="28"/>
      <w:szCs w:val="32"/>
      <w:lang w:val="en-US" w:eastAsia="zh-CN" w:bidi="ar-SA"/>
    </w:rPr>
  </w:style>
  <w:style w:type="character" w:customStyle="1" w:styleId="57">
    <w:name w:val="标题 1 Char"/>
    <w:link w:val="2"/>
    <w:qFormat/>
    <w:uiPriority w:val="0"/>
    <w:rPr>
      <w:rFonts w:ascii="宋体" w:hAnsi="宋体" w:eastAsia="黑体"/>
      <w:b/>
      <w:bCs/>
      <w:kern w:val="44"/>
      <w:sz w:val="28"/>
      <w:szCs w:val="44"/>
      <w:lang w:val="en-US" w:eastAsia="zh-CN" w:bidi="ar-SA"/>
    </w:rPr>
  </w:style>
  <w:style w:type="character" w:customStyle="1" w:styleId="58">
    <w:name w:val="正文缩进 Char"/>
    <w:link w:val="7"/>
    <w:qFormat/>
    <w:uiPriority w:val="0"/>
    <w:rPr>
      <w:rFonts w:eastAsia="宋体"/>
      <w:kern w:val="2"/>
      <w:sz w:val="21"/>
      <w:lang w:val="en-US" w:eastAsia="zh-CN" w:bidi="ar-SA"/>
    </w:rPr>
  </w:style>
  <w:style w:type="character" w:customStyle="1" w:styleId="59">
    <w:name w:val="标题 3 Char"/>
    <w:qFormat/>
    <w:uiPriority w:val="0"/>
    <w:rPr>
      <w:rFonts w:ascii="黑体" w:eastAsia="黑体"/>
      <w:bCs/>
      <w:sz w:val="30"/>
    </w:rPr>
  </w:style>
  <w:style w:type="paragraph" w:customStyle="1" w:styleId="60">
    <w:name w:val="样式41"/>
    <w:basedOn w:val="1"/>
    <w:qFormat/>
    <w:uiPriority w:val="0"/>
    <w:pPr>
      <w:numPr>
        <w:ilvl w:val="0"/>
        <w:numId w:val="2"/>
      </w:numPr>
      <w:tabs>
        <w:tab w:val="left" w:pos="945"/>
      </w:tabs>
      <w:spacing w:line="360" w:lineRule="auto"/>
    </w:pPr>
    <w:rPr>
      <w:b/>
      <w:color w:val="000000"/>
      <w:sz w:val="24"/>
      <w:szCs w:val="20"/>
    </w:rPr>
  </w:style>
  <w:style w:type="paragraph" w:customStyle="1" w:styleId="61">
    <w:name w:val="图"/>
    <w:basedOn w:val="1"/>
    <w:qFormat/>
    <w:uiPriority w:val="0"/>
    <w:pPr>
      <w:keepNext/>
      <w:adjustRightInd w:val="0"/>
      <w:snapToGrid w:val="0"/>
      <w:spacing w:before="60" w:after="60" w:line="300" w:lineRule="auto"/>
      <w:jc w:val="center"/>
    </w:pPr>
    <w:rPr>
      <w:spacing w:val="20"/>
      <w:kern w:val="0"/>
      <w:sz w:val="24"/>
      <w:szCs w:val="20"/>
    </w:rPr>
  </w:style>
  <w:style w:type="paragraph" w:customStyle="1" w:styleId="62">
    <w:name w:val="文档正文"/>
    <w:basedOn w:val="1"/>
    <w:qFormat/>
    <w:uiPriority w:val="0"/>
    <w:pPr>
      <w:adjustRightInd w:val="0"/>
      <w:spacing w:line="480" w:lineRule="atLeast"/>
      <w:ind w:firstLine="567" w:firstLineChars="200"/>
      <w:textAlignment w:val="baseline"/>
    </w:pPr>
    <w:rPr>
      <w:rFonts w:ascii="长城仿宋"/>
      <w:kern w:val="0"/>
      <w:szCs w:val="20"/>
    </w:rPr>
  </w:style>
  <w:style w:type="paragraph" w:customStyle="1" w:styleId="63">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4">
    <w:name w:val="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5">
    <w:name w:val="Char Char Char 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6">
    <w:name w:val="Table Contents"/>
    <w:basedOn w:val="1"/>
    <w:qFormat/>
    <w:uiPriority w:val="0"/>
    <w:pPr>
      <w:suppressAutoHyphens/>
      <w:autoSpaceDE w:val="0"/>
      <w:spacing w:after="120"/>
      <w:jc w:val="left"/>
    </w:pPr>
    <w:rPr>
      <w:rFonts w:ascii="Helvetica" w:hAnsi="Helvetica"/>
      <w:kern w:val="1"/>
      <w:sz w:val="20"/>
      <w:szCs w:val="20"/>
    </w:rPr>
  </w:style>
  <w:style w:type="paragraph" w:customStyle="1" w:styleId="67">
    <w:name w:val="自定义正文"/>
    <w:basedOn w:val="1"/>
    <w:qFormat/>
    <w:uiPriority w:val="0"/>
    <w:pPr>
      <w:spacing w:afterLines="50"/>
      <w:ind w:left="600" w:leftChars="600"/>
    </w:pPr>
  </w:style>
  <w:style w:type="paragraph" w:customStyle="1" w:styleId="68">
    <w:name w:val="Char Char Char Char Char"/>
    <w:basedOn w:val="1"/>
    <w:qFormat/>
    <w:uiPriority w:val="0"/>
    <w:rPr>
      <w:rFonts w:ascii="Tahoma" w:hAnsi="Tahoma"/>
      <w:sz w:val="24"/>
      <w:szCs w:val="20"/>
    </w:rPr>
  </w:style>
  <w:style w:type="paragraph" w:customStyle="1" w:styleId="69">
    <w:name w:val="小标题 1"/>
    <w:basedOn w:val="1"/>
    <w:qFormat/>
    <w:uiPriority w:val="0"/>
    <w:pPr>
      <w:autoSpaceDE w:val="0"/>
      <w:autoSpaceDN w:val="0"/>
      <w:adjustRightInd w:val="0"/>
      <w:spacing w:line="360" w:lineRule="atLeast"/>
    </w:pPr>
    <w:rPr>
      <w:rFonts w:ascii="文鼎粗黑" w:eastAsia="文鼎粗黑"/>
      <w:kern w:val="0"/>
      <w:sz w:val="22"/>
      <w:szCs w:val="20"/>
    </w:rPr>
  </w:style>
  <w:style w:type="paragraph" w:customStyle="1" w:styleId="70">
    <w:name w:val="Char Char"/>
    <w:basedOn w:val="1"/>
    <w:qFormat/>
    <w:uiPriority w:val="0"/>
    <w:rPr>
      <w:rFonts w:ascii="Tahoma" w:hAnsi="Tahoma"/>
      <w:sz w:val="24"/>
      <w:szCs w:val="20"/>
    </w:rPr>
  </w:style>
  <w:style w:type="paragraph" w:customStyle="1" w:styleId="71">
    <w:name w:val="È±Ê¡ÎÄ±¾"/>
    <w:basedOn w:val="1"/>
    <w:qFormat/>
    <w:uiPriority w:val="0"/>
    <w:pPr>
      <w:widowControl/>
      <w:overflowPunct w:val="0"/>
      <w:autoSpaceDE w:val="0"/>
      <w:autoSpaceDN w:val="0"/>
      <w:adjustRightInd w:val="0"/>
      <w:jc w:val="left"/>
      <w:textAlignment w:val="baseline"/>
    </w:pPr>
    <w:rPr>
      <w:kern w:val="0"/>
      <w:sz w:val="24"/>
      <w:szCs w:val="20"/>
    </w:rPr>
  </w:style>
  <w:style w:type="character" w:customStyle="1" w:styleId="72">
    <w:name w:val="标题 2 Char"/>
    <w:link w:val="5"/>
    <w:qFormat/>
    <w:uiPriority w:val="0"/>
    <w:rPr>
      <w:rFonts w:ascii="宋体" w:hAnsi="宋体" w:eastAsia="宋体"/>
      <w:b/>
      <w:bCs/>
      <w:sz w:val="24"/>
      <w:lang w:val="en-US" w:eastAsia="zh-CN" w:bidi="ar-SA"/>
    </w:rPr>
  </w:style>
  <w:style w:type="paragraph" w:customStyle="1" w:styleId="73">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styleId="74">
    <w:name w:val="List Paragraph"/>
    <w:basedOn w:val="1"/>
    <w:qFormat/>
    <w:uiPriority w:val="0"/>
    <w:pPr>
      <w:ind w:firstLine="420" w:firstLineChars="200"/>
    </w:pPr>
    <w:rPr>
      <w:rFonts w:ascii="Calibri" w:hAnsi="Calibri"/>
      <w:szCs w:val="22"/>
    </w:rPr>
  </w:style>
  <w:style w:type="paragraph" w:customStyle="1" w:styleId="75">
    <w:name w:val="USE 1"/>
    <w:basedOn w:val="1"/>
    <w:qFormat/>
    <w:uiPriority w:val="0"/>
    <w:pPr>
      <w:spacing w:line="200" w:lineRule="atLeast"/>
      <w:jc w:val="left"/>
    </w:pPr>
    <w:rPr>
      <w:rFonts w:ascii="宋体" w:hAnsi="宋体"/>
      <w:b/>
      <w:sz w:val="24"/>
      <w:szCs w:val="28"/>
    </w:rPr>
  </w:style>
  <w:style w:type="paragraph" w:customStyle="1" w:styleId="76">
    <w:name w:val="RFI text from 3rd Level"/>
    <w:basedOn w:val="1"/>
    <w:qFormat/>
    <w:uiPriority w:val="0"/>
    <w:pPr>
      <w:widowControl/>
      <w:numPr>
        <w:ilvl w:val="0"/>
        <w:numId w:val="3"/>
      </w:numPr>
      <w:tabs>
        <w:tab w:val="left" w:pos="1080"/>
        <w:tab w:val="clear" w:pos="840"/>
      </w:tabs>
      <w:spacing w:beforeLines="50" w:line="360" w:lineRule="auto"/>
      <w:ind w:left="0" w:firstLine="0"/>
    </w:pPr>
    <w:rPr>
      <w:rFonts w:ascii="Arial (W1)" w:hAnsi="Arial (W1)"/>
      <w:bCs/>
      <w:kern w:val="0"/>
      <w:sz w:val="24"/>
      <w:lang w:val="en-GB"/>
    </w:rPr>
  </w:style>
  <w:style w:type="paragraph" w:customStyle="1" w:styleId="77">
    <w:name w:val="正文文字缩进项目"/>
    <w:basedOn w:val="19"/>
    <w:qFormat/>
    <w:uiPriority w:val="0"/>
    <w:pPr>
      <w:numPr>
        <w:ilvl w:val="1"/>
        <w:numId w:val="3"/>
      </w:numPr>
      <w:tabs>
        <w:tab w:val="left" w:pos="840"/>
        <w:tab w:val="clear" w:pos="1260"/>
      </w:tabs>
      <w:spacing w:after="120" w:line="240" w:lineRule="auto"/>
      <w:ind w:left="840" w:firstLine="0" w:firstLineChars="0"/>
    </w:pPr>
    <w:rPr>
      <w:rFonts w:ascii="Tahoma" w:hAnsi="Tahoma"/>
      <w:sz w:val="22"/>
      <w:szCs w:val="20"/>
    </w:rPr>
  </w:style>
  <w:style w:type="paragraph" w:customStyle="1" w:styleId="78">
    <w:name w:val="样式 标题 2 + 段前: 13 磅 段后: 13 磅 行距: 单倍行距"/>
    <w:basedOn w:val="5"/>
    <w:qFormat/>
    <w:uiPriority w:val="0"/>
    <w:pPr>
      <w:adjustRightInd/>
      <w:spacing w:before="0" w:after="0"/>
      <w:jc w:val="both"/>
      <w:textAlignment w:val="auto"/>
    </w:pPr>
    <w:rPr>
      <w:rFonts w:ascii="Cambria" w:hAnsi="Cambria" w:cs="宋体"/>
      <w:kern w:val="2"/>
      <w:sz w:val="32"/>
    </w:rPr>
  </w:style>
  <w:style w:type="character" w:customStyle="1" w:styleId="79">
    <w:name w:val="H4 Char2"/>
    <w:qFormat/>
    <w:uiPriority w:val="0"/>
    <w:rPr>
      <w:rFonts w:ascii="Arial" w:hAnsi="Arial" w:eastAsia="黑体"/>
      <w:b/>
      <w:bCs/>
      <w:kern w:val="2"/>
      <w:sz w:val="28"/>
      <w:szCs w:val="28"/>
      <w:lang w:val="en-US" w:eastAsia="zh-CN" w:bidi="ar-SA"/>
    </w:rPr>
  </w:style>
  <w:style w:type="character" w:customStyle="1" w:styleId="80">
    <w:name w:val="正文文本缩进 Char"/>
    <w:link w:val="19"/>
    <w:qFormat/>
    <w:uiPriority w:val="0"/>
    <w:rPr>
      <w:rFonts w:eastAsia="宋体"/>
      <w:kern w:val="2"/>
      <w:sz w:val="21"/>
      <w:szCs w:val="24"/>
      <w:lang w:val="en-US" w:eastAsia="zh-CN" w:bidi="ar-SA"/>
    </w:rPr>
  </w:style>
  <w:style w:type="character" w:customStyle="1" w:styleId="81">
    <w:name w:val="标题 5 Char"/>
    <w:link w:val="6"/>
    <w:qFormat/>
    <w:uiPriority w:val="0"/>
    <w:rPr>
      <w:rFonts w:eastAsia="宋体"/>
      <w:b/>
      <w:kern w:val="2"/>
      <w:sz w:val="28"/>
      <w:lang w:val="en-US" w:eastAsia="zh-CN" w:bidi="ar-SA"/>
    </w:rPr>
  </w:style>
  <w:style w:type="character" w:customStyle="1" w:styleId="82">
    <w:name w:val="第*章 Char"/>
    <w:qFormat/>
    <w:uiPriority w:val="0"/>
    <w:rPr>
      <w:rFonts w:ascii="Arial" w:hAnsi="Arial" w:eastAsia="黑体"/>
      <w:b/>
      <w:bCs/>
      <w:kern w:val="2"/>
      <w:sz w:val="32"/>
      <w:szCs w:val="32"/>
    </w:rPr>
  </w:style>
  <w:style w:type="character" w:customStyle="1" w:styleId="83">
    <w:name w:val="章标题1 Char"/>
    <w:qFormat/>
    <w:uiPriority w:val="0"/>
    <w:rPr>
      <w:rFonts w:eastAsia="宋体"/>
      <w:b/>
      <w:bCs/>
      <w:kern w:val="2"/>
      <w:sz w:val="32"/>
      <w:szCs w:val="32"/>
      <w:lang w:val="en-US" w:eastAsia="zh-CN" w:bidi="ar-SA"/>
    </w:rPr>
  </w:style>
  <w:style w:type="character" w:customStyle="1" w:styleId="84">
    <w:name w:val="标题 6 Char"/>
    <w:link w:val="8"/>
    <w:qFormat/>
    <w:uiPriority w:val="0"/>
    <w:rPr>
      <w:rFonts w:ascii="Arial" w:hAnsi="Arial" w:eastAsia="黑体"/>
      <w:b/>
      <w:kern w:val="2"/>
      <w:sz w:val="24"/>
      <w:lang w:val="en-US" w:eastAsia="zh-CN" w:bidi="ar-SA"/>
    </w:rPr>
  </w:style>
  <w:style w:type="character" w:customStyle="1" w:styleId="85">
    <w:name w:val="标题 7 Char"/>
    <w:link w:val="9"/>
    <w:qFormat/>
    <w:uiPriority w:val="0"/>
    <w:rPr>
      <w:rFonts w:eastAsia="宋体"/>
      <w:b/>
      <w:kern w:val="2"/>
      <w:sz w:val="24"/>
      <w:lang w:val="en-US" w:eastAsia="zh-CN" w:bidi="ar-SA"/>
    </w:rPr>
  </w:style>
  <w:style w:type="character" w:customStyle="1" w:styleId="86">
    <w:name w:val="标题 8 Char"/>
    <w:link w:val="10"/>
    <w:qFormat/>
    <w:uiPriority w:val="0"/>
    <w:rPr>
      <w:rFonts w:ascii="Arial" w:hAnsi="Arial" w:eastAsia="黑体"/>
      <w:kern w:val="2"/>
      <w:sz w:val="24"/>
      <w:lang w:val="en-US" w:eastAsia="zh-CN" w:bidi="ar-SA"/>
    </w:rPr>
  </w:style>
  <w:style w:type="character" w:customStyle="1" w:styleId="87">
    <w:name w:val="标题 9 Char"/>
    <w:link w:val="11"/>
    <w:qFormat/>
    <w:uiPriority w:val="0"/>
    <w:rPr>
      <w:rFonts w:ascii="Arial" w:hAnsi="Arial" w:eastAsia="黑体"/>
      <w:kern w:val="2"/>
      <w:sz w:val="21"/>
      <w:lang w:val="en-US" w:eastAsia="zh-CN" w:bidi="ar-SA"/>
    </w:rPr>
  </w:style>
  <w:style w:type="character" w:customStyle="1" w:styleId="88">
    <w:name w:val="标题 Char"/>
    <w:link w:val="40"/>
    <w:qFormat/>
    <w:uiPriority w:val="0"/>
    <w:rPr>
      <w:rFonts w:ascii="Arial" w:hAnsi="Arial" w:eastAsia="隶书" w:cs="Arial"/>
      <w:b/>
      <w:bCs/>
      <w:kern w:val="2"/>
      <w:sz w:val="32"/>
      <w:szCs w:val="32"/>
      <w:lang w:val="en-US" w:eastAsia="zh-CN" w:bidi="ar-SA"/>
    </w:rPr>
  </w:style>
  <w:style w:type="character" w:customStyle="1" w:styleId="89">
    <w:name w:val="日期 Char"/>
    <w:link w:val="24"/>
    <w:qFormat/>
    <w:uiPriority w:val="0"/>
    <w:rPr>
      <w:rFonts w:ascii="宋体" w:hAnsi="Courier New" w:eastAsia="宋体"/>
      <w:kern w:val="2"/>
      <w:sz w:val="32"/>
      <w:lang w:val="en-US" w:eastAsia="zh-CN" w:bidi="ar-SA"/>
    </w:rPr>
  </w:style>
  <w:style w:type="character" w:customStyle="1" w:styleId="90">
    <w:name w:val="HTML 预设格式 Char"/>
    <w:link w:val="37"/>
    <w:qFormat/>
    <w:uiPriority w:val="0"/>
    <w:rPr>
      <w:rFonts w:ascii="Arial Unicode MS" w:hAnsi="Arial Unicode MS" w:eastAsia="Arial Unicode MS"/>
      <w:color w:val="000000"/>
      <w:lang w:val="en-US" w:eastAsia="zh-CN" w:bidi="ar-SA"/>
    </w:rPr>
  </w:style>
  <w:style w:type="character" w:customStyle="1" w:styleId="91">
    <w:name w:val="纯文本 Char"/>
    <w:link w:val="22"/>
    <w:qFormat/>
    <w:uiPriority w:val="0"/>
    <w:rPr>
      <w:rFonts w:ascii="宋体" w:hAnsi="Courier New" w:eastAsia="宋体"/>
      <w:kern w:val="2"/>
      <w:sz w:val="21"/>
      <w:lang w:val="en-US" w:eastAsia="zh-CN" w:bidi="ar-SA"/>
    </w:rPr>
  </w:style>
  <w:style w:type="character" w:customStyle="1" w:styleId="92">
    <w:name w:val="正文文字首行缩进 Char"/>
    <w:qFormat/>
    <w:uiPriority w:val="0"/>
    <w:rPr>
      <w:kern w:val="2"/>
      <w:sz w:val="21"/>
      <w:szCs w:val="24"/>
    </w:rPr>
  </w:style>
  <w:style w:type="character" w:customStyle="1" w:styleId="93">
    <w:name w:val="正文文本 Char"/>
    <w:link w:val="18"/>
    <w:qFormat/>
    <w:uiPriority w:val="0"/>
    <w:rPr>
      <w:rFonts w:eastAsia="宋体"/>
      <w:b/>
      <w:bCs/>
      <w:kern w:val="2"/>
      <w:sz w:val="24"/>
      <w:szCs w:val="24"/>
      <w:lang w:val="en-US" w:eastAsia="zh-CN" w:bidi="ar-SA"/>
    </w:rPr>
  </w:style>
  <w:style w:type="character" w:customStyle="1" w:styleId="94">
    <w:name w:val="正文文本缩进 2 Char"/>
    <w:link w:val="25"/>
    <w:qFormat/>
    <w:uiPriority w:val="0"/>
    <w:rPr>
      <w:rFonts w:ascii="宋体" w:hAnsi="宋体" w:eastAsia="宋体"/>
      <w:kern w:val="2"/>
      <w:sz w:val="21"/>
      <w:szCs w:val="24"/>
      <w:lang w:val="en-US" w:eastAsia="zh-CN" w:bidi="ar-SA"/>
    </w:rPr>
  </w:style>
  <w:style w:type="character" w:customStyle="1" w:styleId="95">
    <w:name w:val="页眉 Char"/>
    <w:link w:val="28"/>
    <w:qFormat/>
    <w:uiPriority w:val="99"/>
    <w:rPr>
      <w:rFonts w:eastAsia="宋体"/>
      <w:kern w:val="2"/>
      <w:sz w:val="18"/>
      <w:szCs w:val="18"/>
      <w:lang w:val="en-US" w:eastAsia="zh-CN" w:bidi="ar-SA"/>
    </w:rPr>
  </w:style>
  <w:style w:type="character" w:customStyle="1" w:styleId="96">
    <w:name w:val="正文文本缩进 3 Char"/>
    <w:link w:val="33"/>
    <w:qFormat/>
    <w:uiPriority w:val="0"/>
    <w:rPr>
      <w:rFonts w:ascii="宋体" w:eastAsia="宋体"/>
      <w:b/>
      <w:bCs/>
      <w:kern w:val="2"/>
      <w:sz w:val="24"/>
      <w:szCs w:val="24"/>
      <w:lang w:val="en-US" w:eastAsia="zh-CN" w:bidi="ar-SA"/>
    </w:rPr>
  </w:style>
  <w:style w:type="character" w:customStyle="1" w:styleId="97">
    <w:name w:val="正文文本 2 Char"/>
    <w:link w:val="36"/>
    <w:qFormat/>
    <w:uiPriority w:val="0"/>
    <w:rPr>
      <w:rFonts w:eastAsia="宋体"/>
      <w:kern w:val="2"/>
      <w:sz w:val="24"/>
      <w:szCs w:val="24"/>
      <w:lang w:val="en-US" w:eastAsia="zh-CN" w:bidi="ar-SA"/>
    </w:rPr>
  </w:style>
  <w:style w:type="character" w:customStyle="1" w:styleId="98">
    <w:name w:val="页脚 Char"/>
    <w:link w:val="27"/>
    <w:qFormat/>
    <w:uiPriority w:val="0"/>
    <w:rPr>
      <w:rFonts w:eastAsia="宋体"/>
      <w:kern w:val="2"/>
      <w:sz w:val="18"/>
      <w:szCs w:val="18"/>
      <w:lang w:val="en-US" w:eastAsia="zh-CN" w:bidi="ar-SA"/>
    </w:rPr>
  </w:style>
  <w:style w:type="character" w:customStyle="1" w:styleId="99">
    <w:name w:val="正文文本 3 Char"/>
    <w:link w:val="17"/>
    <w:qFormat/>
    <w:uiPriority w:val="0"/>
    <w:rPr>
      <w:rFonts w:eastAsia="宋体"/>
      <w:kern w:val="2"/>
      <w:sz w:val="16"/>
      <w:szCs w:val="16"/>
      <w:lang w:val="en-US" w:eastAsia="zh-CN" w:bidi="ar-SA"/>
    </w:rPr>
  </w:style>
  <w:style w:type="character" w:customStyle="1" w:styleId="100">
    <w:name w:val="批注框文本 Char"/>
    <w:link w:val="26"/>
    <w:semiHidden/>
    <w:qFormat/>
    <w:uiPriority w:val="99"/>
    <w:rPr>
      <w:rFonts w:eastAsia="宋体"/>
      <w:kern w:val="2"/>
      <w:sz w:val="18"/>
      <w:szCs w:val="18"/>
      <w:lang w:val="en-US" w:eastAsia="zh-CN" w:bidi="ar-SA"/>
    </w:rPr>
  </w:style>
  <w:style w:type="paragraph" w:customStyle="1" w:styleId="101">
    <w:name w:val="样式1"/>
    <w:basedOn w:val="40"/>
    <w:qFormat/>
    <w:uiPriority w:val="0"/>
    <w:pPr>
      <w:spacing w:before="120" w:after="120"/>
    </w:pPr>
    <w:rPr>
      <w:rFonts w:eastAsia="黑体"/>
      <w:b w:val="0"/>
      <w:sz w:val="30"/>
      <w:szCs w:val="21"/>
    </w:rPr>
  </w:style>
  <w:style w:type="paragraph" w:customStyle="1" w:styleId="102">
    <w:name w:val="样式2"/>
    <w:basedOn w:val="40"/>
    <w:next w:val="101"/>
    <w:qFormat/>
    <w:uiPriority w:val="0"/>
    <w:pPr>
      <w:spacing w:before="120" w:after="120"/>
    </w:pPr>
    <w:rPr>
      <w:rFonts w:eastAsia="黑体"/>
      <w:b w:val="0"/>
      <w:sz w:val="30"/>
      <w:szCs w:val="30"/>
    </w:rPr>
  </w:style>
  <w:style w:type="character" w:customStyle="1" w:styleId="103">
    <w:name w:val="标题 3 Char Char"/>
    <w:qFormat/>
    <w:uiPriority w:val="0"/>
    <w:rPr>
      <w:rFonts w:eastAsia="宋体"/>
      <w:b/>
      <w:bCs/>
      <w:kern w:val="2"/>
      <w:sz w:val="32"/>
      <w:szCs w:val="32"/>
      <w:lang w:val="en-US" w:eastAsia="zh-CN" w:bidi="ar-SA"/>
    </w:rPr>
  </w:style>
  <w:style w:type="paragraph" w:customStyle="1" w:styleId="104">
    <w:name w:val="Char Char Char Char Char Char1 Char Char Char Char Char Char Char Char Char Char Char Char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105">
    <w:name w:val="cont"/>
    <w:basedOn w:val="1"/>
    <w:qFormat/>
    <w:uiPriority w:val="0"/>
    <w:pPr>
      <w:adjustRightInd w:val="0"/>
      <w:spacing w:before="100" w:after="100" w:line="360" w:lineRule="auto"/>
      <w:ind w:firstLine="200" w:firstLineChars="200"/>
      <w:jc w:val="left"/>
      <w:textAlignment w:val="baseline"/>
    </w:pPr>
    <w:rPr>
      <w:rFonts w:ascii="Arial" w:hAnsi="Arial"/>
      <w:kern w:val="0"/>
      <w:sz w:val="24"/>
      <w:szCs w:val="20"/>
    </w:rPr>
  </w:style>
  <w:style w:type="paragraph" w:customStyle="1" w:styleId="106">
    <w:name w:val="--规划正文"/>
    <w:basedOn w:val="1"/>
    <w:qFormat/>
    <w:uiPriority w:val="0"/>
    <w:pPr>
      <w:spacing w:line="360" w:lineRule="auto"/>
      <w:ind w:firstLine="200" w:firstLineChars="200"/>
    </w:pPr>
    <w:rPr>
      <w:szCs w:val="20"/>
    </w:rPr>
  </w:style>
  <w:style w:type="paragraph" w:customStyle="1" w:styleId="107">
    <w:name w:val="设计依据"/>
    <w:basedOn w:val="18"/>
    <w:qFormat/>
    <w:uiPriority w:val="0"/>
    <w:pPr>
      <w:numPr>
        <w:ilvl w:val="1"/>
        <w:numId w:val="4"/>
      </w:numPr>
      <w:tabs>
        <w:tab w:val="left" w:pos="1440"/>
        <w:tab w:val="clear" w:pos="840"/>
      </w:tabs>
      <w:adjustRightInd w:val="0"/>
      <w:ind w:left="1440"/>
      <w:textAlignment w:val="baseline"/>
    </w:pPr>
    <w:rPr>
      <w:rFonts w:ascii="宋体" w:hAnsi="宋体"/>
      <w:b w:val="0"/>
      <w:kern w:val="0"/>
      <w:sz w:val="28"/>
      <w:szCs w:val="18"/>
    </w:rPr>
  </w:style>
  <w:style w:type="paragraph" w:customStyle="1" w:styleId="108">
    <w:name w:val="方案要点"/>
    <w:basedOn w:val="1"/>
    <w:qFormat/>
    <w:uiPriority w:val="0"/>
    <w:pPr>
      <w:numPr>
        <w:ilvl w:val="0"/>
        <w:numId w:val="4"/>
      </w:numPr>
      <w:spacing w:line="360" w:lineRule="auto"/>
    </w:pPr>
    <w:rPr>
      <w:rFonts w:ascii="仿宋_GB2312" w:hAnsi="宋体" w:eastAsia="仿宋_GB2312"/>
      <w:color w:val="000000"/>
      <w:sz w:val="28"/>
      <w:szCs w:val="28"/>
    </w:rPr>
  </w:style>
  <w:style w:type="paragraph" w:customStyle="1" w:styleId="109">
    <w:name w:val="样式4"/>
    <w:basedOn w:val="1"/>
    <w:qFormat/>
    <w:uiPriority w:val="0"/>
    <w:pPr>
      <w:tabs>
        <w:tab w:val="left" w:pos="842"/>
      </w:tabs>
      <w:spacing w:line="360" w:lineRule="auto"/>
      <w:ind w:left="842" w:hanging="420"/>
    </w:pPr>
    <w:rPr>
      <w:sz w:val="24"/>
    </w:rPr>
  </w:style>
  <w:style w:type="paragraph" w:customStyle="1" w:styleId="110">
    <w:name w:val="文字"/>
    <w:basedOn w:val="1"/>
    <w:qFormat/>
    <w:uiPriority w:val="0"/>
    <w:pPr>
      <w:tabs>
        <w:tab w:val="left" w:pos="8520"/>
      </w:tabs>
      <w:spacing w:line="312" w:lineRule="auto"/>
      <w:ind w:right="-210" w:firstLine="556"/>
    </w:pPr>
    <w:rPr>
      <w:rFonts w:ascii="宋体"/>
      <w:sz w:val="28"/>
      <w:szCs w:val="20"/>
    </w:rPr>
  </w:style>
  <w:style w:type="paragraph" w:customStyle="1" w:styleId="111">
    <w:name w:val="--规划-表格-居左"/>
    <w:basedOn w:val="106"/>
    <w:qFormat/>
    <w:uiPriority w:val="0"/>
    <w:pPr>
      <w:spacing w:line="240" w:lineRule="auto"/>
      <w:ind w:firstLine="0" w:firstLineChars="0"/>
    </w:pPr>
    <w:rPr>
      <w:sz w:val="20"/>
    </w:rPr>
  </w:style>
  <w:style w:type="paragraph" w:customStyle="1" w:styleId="112">
    <w:name w:val="--规划-表格-居中"/>
    <w:basedOn w:val="106"/>
    <w:qFormat/>
    <w:uiPriority w:val="0"/>
    <w:pPr>
      <w:spacing w:line="240" w:lineRule="auto"/>
      <w:ind w:firstLine="0" w:firstLineChars="0"/>
      <w:jc w:val="center"/>
    </w:pPr>
    <w:rPr>
      <w:sz w:val="20"/>
    </w:rPr>
  </w:style>
  <w:style w:type="paragraph" w:customStyle="1" w:styleId="113">
    <w:name w:val="--编号内缩进"/>
    <w:basedOn w:val="1"/>
    <w:qFormat/>
    <w:uiPriority w:val="0"/>
    <w:pPr>
      <w:spacing w:line="360" w:lineRule="auto"/>
      <w:ind w:left="420" w:firstLine="200" w:firstLineChars="200"/>
    </w:pPr>
    <w:rPr>
      <w:szCs w:val="21"/>
    </w:rPr>
  </w:style>
  <w:style w:type="paragraph" w:customStyle="1" w:styleId="114">
    <w:name w:val="--规划-题注"/>
    <w:basedOn w:val="1"/>
    <w:next w:val="106"/>
    <w:qFormat/>
    <w:uiPriority w:val="0"/>
    <w:pPr>
      <w:spacing w:line="360" w:lineRule="auto"/>
      <w:jc w:val="center"/>
    </w:pPr>
    <w:rPr>
      <w:rFonts w:eastAsia="黑体"/>
    </w:rPr>
  </w:style>
  <w:style w:type="paragraph" w:customStyle="1" w:styleId="115">
    <w:name w:val="--规划-图和表"/>
    <w:next w:val="106"/>
    <w:qFormat/>
    <w:uiPriority w:val="0"/>
    <w:pPr>
      <w:jc w:val="center"/>
    </w:pPr>
    <w:rPr>
      <w:rFonts w:ascii="Times New Roman" w:hAnsi="Times New Roman" w:eastAsia="宋体" w:cs="Times New Roman"/>
      <w:kern w:val="2"/>
      <w:sz w:val="21"/>
      <w:lang w:val="en-US" w:eastAsia="zh-CN" w:bidi="ar-SA"/>
    </w:rPr>
  </w:style>
  <w:style w:type="paragraph" w:customStyle="1" w:styleId="116">
    <w:name w:val="--规划-小标题"/>
    <w:basedOn w:val="1"/>
    <w:next w:val="106"/>
    <w:qFormat/>
    <w:uiPriority w:val="0"/>
    <w:pPr>
      <w:keepNext/>
      <w:keepLines/>
      <w:spacing w:line="360" w:lineRule="auto"/>
      <w:outlineLvl w:val="4"/>
    </w:pPr>
    <w:rPr>
      <w:rFonts w:eastAsia="黑体"/>
    </w:rPr>
  </w:style>
  <w:style w:type="paragraph" w:customStyle="1" w:styleId="117">
    <w:name w:val="--规划正文 Char"/>
    <w:basedOn w:val="1"/>
    <w:qFormat/>
    <w:uiPriority w:val="0"/>
    <w:pPr>
      <w:spacing w:line="360" w:lineRule="auto"/>
      <w:ind w:firstLine="200" w:firstLineChars="200"/>
    </w:pPr>
    <w:rPr>
      <w:sz w:val="24"/>
    </w:rPr>
  </w:style>
  <w:style w:type="paragraph" w:customStyle="1" w:styleId="118">
    <w:name w:val="缺省文本"/>
    <w:basedOn w:val="1"/>
    <w:qFormat/>
    <w:uiPriority w:val="0"/>
    <w:pPr>
      <w:autoSpaceDE w:val="0"/>
      <w:autoSpaceDN w:val="0"/>
      <w:adjustRightInd w:val="0"/>
      <w:jc w:val="left"/>
    </w:pPr>
    <w:rPr>
      <w:kern w:val="0"/>
    </w:rPr>
  </w:style>
  <w:style w:type="paragraph" w:customStyle="1" w:styleId="119">
    <w:name w:val="封面文档标题"/>
    <w:basedOn w:val="1"/>
    <w:qFormat/>
    <w:uiPriority w:val="0"/>
    <w:pPr>
      <w:autoSpaceDE w:val="0"/>
      <w:autoSpaceDN w:val="0"/>
      <w:adjustRightInd w:val="0"/>
      <w:spacing w:line="360" w:lineRule="auto"/>
      <w:jc w:val="center"/>
    </w:pPr>
    <w:rPr>
      <w:rFonts w:ascii="Arial" w:hAnsi="Arial"/>
      <w:b/>
      <w:kern w:val="0"/>
      <w:sz w:val="56"/>
    </w:rPr>
  </w:style>
  <w:style w:type="character" w:customStyle="1" w:styleId="120">
    <w:name w:val="--规划正文 Char Char"/>
    <w:qFormat/>
    <w:uiPriority w:val="0"/>
    <w:rPr>
      <w:rFonts w:eastAsia="宋体"/>
      <w:kern w:val="2"/>
      <w:sz w:val="24"/>
      <w:szCs w:val="24"/>
      <w:lang w:val="en-US" w:eastAsia="zh-CN" w:bidi="ar-SA"/>
    </w:rPr>
  </w:style>
  <w:style w:type="paragraph" w:customStyle="1" w:styleId="121">
    <w:name w:val="样式3"/>
    <w:basedOn w:val="2"/>
    <w:qFormat/>
    <w:uiPriority w:val="0"/>
    <w:pPr>
      <w:numPr>
        <w:ilvl w:val="0"/>
        <w:numId w:val="5"/>
      </w:numPr>
      <w:spacing w:before="240" w:after="240" w:line="480" w:lineRule="auto"/>
      <w:ind w:right="210" w:rightChars="100"/>
      <w:jc w:val="left"/>
    </w:pPr>
    <w:rPr>
      <w:rFonts w:ascii="Times New Roman" w:hAnsi="Times New Roman"/>
      <w:sz w:val="32"/>
    </w:rPr>
  </w:style>
  <w:style w:type="character" w:customStyle="1" w:styleId="122">
    <w:name w:val="--规划正文 Char1"/>
    <w:qFormat/>
    <w:uiPriority w:val="0"/>
    <w:rPr>
      <w:rFonts w:eastAsia="宋体"/>
      <w:kern w:val="2"/>
      <w:sz w:val="21"/>
      <w:lang w:val="en-US" w:eastAsia="zh-CN" w:bidi="ar-SA"/>
    </w:rPr>
  </w:style>
  <w:style w:type="paragraph" w:customStyle="1" w:styleId="123">
    <w:name w:val="word"/>
    <w:basedOn w:val="1"/>
    <w:qFormat/>
    <w:uiPriority w:val="0"/>
    <w:pPr>
      <w:widowControl/>
      <w:spacing w:before="100" w:beforeAutospacing="1" w:after="100" w:afterAutospacing="1" w:line="301" w:lineRule="atLeast"/>
      <w:jc w:val="left"/>
    </w:pPr>
    <w:rPr>
      <w:rFonts w:ascii="ˎ̥" w:hAnsi="ˎ̥"/>
      <w:color w:val="000000"/>
      <w:kern w:val="0"/>
      <w:sz w:val="20"/>
      <w:szCs w:val="20"/>
    </w:rPr>
  </w:style>
  <w:style w:type="paragraph" w:customStyle="1" w:styleId="124">
    <w:name w:val="列表项目"/>
    <w:basedOn w:val="1"/>
    <w:qFormat/>
    <w:uiPriority w:val="0"/>
    <w:pPr>
      <w:tabs>
        <w:tab w:val="left" w:pos="420"/>
        <w:tab w:val="left" w:pos="1080"/>
      </w:tabs>
      <w:spacing w:line="288" w:lineRule="auto"/>
      <w:ind w:left="1080" w:hanging="360"/>
    </w:pPr>
    <w:rPr>
      <w:sz w:val="24"/>
      <w:szCs w:val="20"/>
    </w:rPr>
  </w:style>
  <w:style w:type="character" w:customStyle="1" w:styleId="125">
    <w:name w:val="content1"/>
    <w:qFormat/>
    <w:uiPriority w:val="0"/>
    <w:rPr>
      <w:rFonts w:hint="default" w:ascii="??" w:hAnsi="??"/>
      <w:sz w:val="16"/>
      <w:szCs w:val="16"/>
      <w:u w:val="none"/>
    </w:rPr>
  </w:style>
  <w:style w:type="character" w:customStyle="1" w:styleId="126">
    <w:name w:val="unnamed4"/>
    <w:basedOn w:val="46"/>
    <w:qFormat/>
    <w:uiPriority w:val="0"/>
  </w:style>
  <w:style w:type="character" w:customStyle="1" w:styleId="127">
    <w:name w:val="font2"/>
    <w:basedOn w:val="46"/>
    <w:qFormat/>
    <w:uiPriority w:val="0"/>
  </w:style>
  <w:style w:type="character" w:customStyle="1" w:styleId="128">
    <w:name w:val="font41"/>
    <w:qFormat/>
    <w:uiPriority w:val="0"/>
    <w:rPr>
      <w:color w:val="000000"/>
      <w:spacing w:val="260"/>
      <w:sz w:val="18"/>
      <w:szCs w:val="18"/>
      <w:u w:val="none"/>
    </w:rPr>
  </w:style>
  <w:style w:type="paragraph" w:customStyle="1" w:styleId="129">
    <w:name w:val="正文(首行缩进)"/>
    <w:qFormat/>
    <w:uiPriority w:val="0"/>
    <w:pPr>
      <w:spacing w:line="360" w:lineRule="auto"/>
      <w:ind w:firstLine="488" w:firstLineChars="200"/>
      <w:jc w:val="both"/>
    </w:pPr>
    <w:rPr>
      <w:rFonts w:ascii="Times New Roman" w:hAnsi="Times New Roman" w:eastAsia="仿宋_GB2312" w:cs="Times New Roman"/>
      <w:spacing w:val="2"/>
      <w:sz w:val="24"/>
      <w:szCs w:val="24"/>
      <w:lang w:val="en-US" w:eastAsia="zh-CN" w:bidi="ar-SA"/>
    </w:rPr>
  </w:style>
  <w:style w:type="paragraph" w:customStyle="1" w:styleId="130">
    <w:name w:val="xl72"/>
    <w:basedOn w:val="1"/>
    <w:qFormat/>
    <w:uiPriority w:val="0"/>
    <w:pPr>
      <w:widowControl/>
      <w:spacing w:before="100" w:beforeAutospacing="1" w:after="100" w:afterAutospacing="1"/>
      <w:jc w:val="left"/>
    </w:pPr>
    <w:rPr>
      <w:rFonts w:ascii="宋体" w:hAnsi="宋体"/>
      <w:b/>
      <w:bCs/>
      <w:kern w:val="0"/>
      <w:sz w:val="28"/>
      <w:szCs w:val="28"/>
    </w:rPr>
  </w:style>
  <w:style w:type="character" w:customStyle="1" w:styleId="131">
    <w:name w:val="正文首行缩进 Char"/>
    <w:link w:val="42"/>
    <w:qFormat/>
    <w:uiPriority w:val="0"/>
    <w:rPr>
      <w:rFonts w:eastAsia="宋体"/>
      <w:b/>
      <w:bCs/>
      <w:kern w:val="2"/>
      <w:sz w:val="21"/>
      <w:szCs w:val="24"/>
      <w:lang w:val="en-US" w:eastAsia="zh-CN" w:bidi="ar-SA"/>
    </w:rPr>
  </w:style>
  <w:style w:type="paragraph" w:customStyle="1" w:styleId="132">
    <w:name w:val="正文(首行缩进) Char"/>
    <w:qFormat/>
    <w:uiPriority w:val="0"/>
    <w:pPr>
      <w:spacing w:before="120" w:after="60" w:line="360" w:lineRule="auto"/>
      <w:ind w:firstLine="200" w:firstLineChars="200"/>
    </w:pPr>
    <w:rPr>
      <w:rFonts w:ascii="Times New Roman" w:hAnsi="Times New Roman" w:eastAsia="仿宋_GB2312" w:cs="Times New Roman"/>
      <w:spacing w:val="2"/>
      <w:kern w:val="24"/>
      <w:sz w:val="24"/>
      <w:szCs w:val="24"/>
      <w:lang w:val="en-US" w:eastAsia="zh-CN" w:bidi="ar-SA"/>
    </w:rPr>
  </w:style>
  <w:style w:type="paragraph" w:customStyle="1" w:styleId="133">
    <w:name w:val="汉议细等线简8"/>
    <w:qFormat/>
    <w:uiPriority w:val="0"/>
    <w:pPr>
      <w:widowControl w:val="0"/>
      <w:autoSpaceDE w:val="0"/>
      <w:autoSpaceDN w:val="0"/>
      <w:adjustRightInd w:val="0"/>
      <w:spacing w:line="260" w:lineRule="atLeast"/>
      <w:jc w:val="both"/>
    </w:pPr>
    <w:rPr>
      <w:rFonts w:ascii="汉仪细等线简" w:hAnsi="Times New Roman" w:eastAsia="汉仪细等线简" w:cs="Times New Roman"/>
      <w:color w:val="000000"/>
      <w:sz w:val="16"/>
      <w:szCs w:val="16"/>
      <w:lang w:val="en-US" w:eastAsia="zh-CN" w:bidi="ar-SA"/>
    </w:rPr>
  </w:style>
  <w:style w:type="paragraph" w:customStyle="1" w:styleId="134">
    <w:name w:val="汉仪细等线简9BOLD"/>
    <w:basedOn w:val="1"/>
    <w:qFormat/>
    <w:uiPriority w:val="0"/>
    <w:pPr>
      <w:autoSpaceDE w:val="0"/>
      <w:autoSpaceDN w:val="0"/>
      <w:adjustRightInd w:val="0"/>
      <w:spacing w:line="240" w:lineRule="atLeast"/>
    </w:pPr>
    <w:rPr>
      <w:rFonts w:ascii="汉仪细等线简" w:eastAsia="汉仪细等线简"/>
      <w:b/>
      <w:bCs/>
      <w:kern w:val="0"/>
      <w:sz w:val="18"/>
      <w:szCs w:val="18"/>
    </w:rPr>
  </w:style>
  <w:style w:type="character" w:customStyle="1" w:styleId="135">
    <w:name w:val="mode"/>
    <w:basedOn w:val="46"/>
    <w:qFormat/>
    <w:uiPriority w:val="0"/>
  </w:style>
  <w:style w:type="paragraph" w:customStyle="1" w:styleId="136">
    <w:name w:val="9"/>
    <w:basedOn w:val="1"/>
    <w:next w:val="7"/>
    <w:qFormat/>
    <w:uiPriority w:val="0"/>
    <w:pPr>
      <w:autoSpaceDE w:val="0"/>
      <w:autoSpaceDN w:val="0"/>
      <w:adjustRightInd w:val="0"/>
      <w:ind w:firstLine="420"/>
      <w:jc w:val="left"/>
      <w:textAlignment w:val="baseline"/>
    </w:pPr>
    <w:rPr>
      <w:rFonts w:ascii="宋体"/>
      <w:kern w:val="0"/>
      <w:sz w:val="34"/>
      <w:szCs w:val="20"/>
    </w:rPr>
  </w:style>
  <w:style w:type="character" w:customStyle="1" w:styleId="137">
    <w:name w:val="unnamed3"/>
    <w:basedOn w:val="46"/>
    <w:qFormat/>
    <w:uiPriority w:val="0"/>
  </w:style>
  <w:style w:type="paragraph" w:customStyle="1" w:styleId="138">
    <w:name w:val="8"/>
    <w:basedOn w:val="1"/>
    <w:next w:val="19"/>
    <w:qFormat/>
    <w:uiPriority w:val="0"/>
    <w:pPr>
      <w:spacing w:after="120"/>
      <w:ind w:left="420" w:leftChars="200"/>
    </w:pPr>
  </w:style>
  <w:style w:type="paragraph" w:customStyle="1" w:styleId="139">
    <w:name w:val="7"/>
    <w:basedOn w:val="1"/>
    <w:qFormat/>
    <w:uiPriority w:val="0"/>
    <w:pPr>
      <w:autoSpaceDE w:val="0"/>
      <w:autoSpaceDN w:val="0"/>
      <w:adjustRightInd w:val="0"/>
      <w:spacing w:line="270" w:lineRule="atLeast"/>
      <w:jc w:val="left"/>
    </w:pPr>
    <w:rPr>
      <w:rFonts w:ascii="宋体"/>
      <w:kern w:val="0"/>
      <w:sz w:val="18"/>
      <w:szCs w:val="18"/>
    </w:rPr>
  </w:style>
  <w:style w:type="paragraph" w:customStyle="1" w:styleId="140">
    <w:name w:val="00"/>
    <w:basedOn w:val="1"/>
    <w:qFormat/>
    <w:uiPriority w:val="0"/>
    <w:pPr>
      <w:autoSpaceDE w:val="0"/>
      <w:autoSpaceDN w:val="0"/>
      <w:adjustRightInd w:val="0"/>
      <w:jc w:val="left"/>
    </w:pPr>
    <w:rPr>
      <w:rFonts w:ascii="黑体" w:eastAsia="黑体"/>
      <w:b/>
      <w:bCs/>
      <w:kern w:val="0"/>
      <w:sz w:val="20"/>
      <w:szCs w:val="20"/>
    </w:rPr>
  </w:style>
  <w:style w:type="paragraph" w:customStyle="1" w:styleId="141">
    <w:name w:val="5"/>
    <w:basedOn w:val="1"/>
    <w:qFormat/>
    <w:uiPriority w:val="0"/>
    <w:pPr>
      <w:autoSpaceDE w:val="0"/>
      <w:autoSpaceDN w:val="0"/>
      <w:adjustRightInd w:val="0"/>
      <w:jc w:val="left"/>
    </w:pPr>
    <w:rPr>
      <w:rFonts w:ascii="宋体"/>
      <w:b/>
      <w:bCs/>
      <w:kern w:val="0"/>
      <w:sz w:val="18"/>
      <w:szCs w:val="18"/>
    </w:rPr>
  </w:style>
  <w:style w:type="paragraph" w:customStyle="1" w:styleId="142">
    <w:name w:val="6"/>
    <w:basedOn w:val="141"/>
    <w:qFormat/>
    <w:uiPriority w:val="0"/>
    <w:pPr>
      <w:spacing w:line="270" w:lineRule="atLeast"/>
      <w:jc w:val="both"/>
    </w:pPr>
    <w:rPr>
      <w:b w:val="0"/>
      <w:bCs w:val="0"/>
    </w:rPr>
  </w:style>
  <w:style w:type="paragraph" w:customStyle="1" w:styleId="143">
    <w:name w:val="产品描述"/>
    <w:qFormat/>
    <w:uiPriority w:val="0"/>
    <w:pPr>
      <w:widowControl w:val="0"/>
      <w:autoSpaceDE w:val="0"/>
      <w:autoSpaceDN w:val="0"/>
      <w:adjustRightInd w:val="0"/>
      <w:spacing w:line="270" w:lineRule="atLeast"/>
      <w:ind w:firstLine="397"/>
      <w:jc w:val="both"/>
    </w:pPr>
    <w:rPr>
      <w:rFonts w:ascii="宋体" w:hAnsi="Times New Roman" w:eastAsia="宋体" w:cs="Times New Roman"/>
      <w:sz w:val="18"/>
      <w:szCs w:val="18"/>
      <w:lang w:val="en-US" w:eastAsia="zh-CN" w:bidi="ar-SA"/>
    </w:rPr>
  </w:style>
  <w:style w:type="paragraph" w:customStyle="1" w:styleId="144">
    <w:name w:val="姜文清定义的正文"/>
    <w:basedOn w:val="1"/>
    <w:qFormat/>
    <w:uiPriority w:val="0"/>
    <w:pPr>
      <w:spacing w:line="240" w:lineRule="atLeast"/>
      <w:ind w:firstLine="567"/>
    </w:pPr>
    <w:rPr>
      <w:szCs w:val="20"/>
    </w:rPr>
  </w:style>
  <w:style w:type="paragraph" w:customStyle="1" w:styleId="145">
    <w:name w:val="Default"/>
    <w:qFormat/>
    <w:uiPriority w:val="0"/>
    <w:pPr>
      <w:widowControl w:val="0"/>
      <w:autoSpaceDE w:val="0"/>
      <w:autoSpaceDN w:val="0"/>
      <w:adjustRightInd w:val="0"/>
    </w:pPr>
    <w:rPr>
      <w:rFonts w:ascii="H Yb 2gj" w:hAnsi="Times New Roman" w:eastAsia="H Yb 2gj" w:cs="H Yb 2gj"/>
      <w:color w:val="000000"/>
      <w:sz w:val="24"/>
      <w:szCs w:val="24"/>
      <w:lang w:val="en-US" w:eastAsia="zh-CN" w:bidi="ar-SA"/>
    </w:rPr>
  </w:style>
  <w:style w:type="paragraph" w:customStyle="1" w:styleId="146">
    <w:name w:val="CM2"/>
    <w:basedOn w:val="145"/>
    <w:next w:val="145"/>
    <w:qFormat/>
    <w:uiPriority w:val="0"/>
    <w:pPr>
      <w:spacing w:line="200" w:lineRule="atLeast"/>
    </w:pPr>
    <w:rPr>
      <w:rFonts w:ascii="Arial" w:hAnsi="Arial" w:eastAsia="宋体" w:cs="Times New Roman"/>
      <w:color w:val="auto"/>
    </w:rPr>
  </w:style>
  <w:style w:type="paragraph" w:customStyle="1" w:styleId="147">
    <w:name w:val="Normal Paragraph"/>
    <w:basedOn w:val="1"/>
    <w:qFormat/>
    <w:uiPriority w:val="0"/>
    <w:pPr>
      <w:widowControl/>
      <w:spacing w:before="120" w:line="360" w:lineRule="auto"/>
      <w:ind w:firstLine="425"/>
    </w:pPr>
    <w:rPr>
      <w:kern w:val="0"/>
      <w:sz w:val="24"/>
    </w:rPr>
  </w:style>
  <w:style w:type="character" w:customStyle="1" w:styleId="148">
    <w:name w:val="blue"/>
    <w:basedOn w:val="46"/>
    <w:qFormat/>
    <w:uiPriority w:val="0"/>
  </w:style>
  <w:style w:type="paragraph" w:customStyle="1" w:styleId="149">
    <w:name w:val="blue1"/>
    <w:basedOn w:val="1"/>
    <w:qFormat/>
    <w:uiPriority w:val="0"/>
    <w:pPr>
      <w:widowControl/>
      <w:spacing w:before="100" w:beforeAutospacing="1" w:after="100" w:afterAutospacing="1"/>
      <w:jc w:val="left"/>
    </w:pPr>
    <w:rPr>
      <w:rFonts w:ascii="宋体" w:hAnsi="宋体" w:cs="宋体"/>
      <w:kern w:val="0"/>
      <w:sz w:val="24"/>
    </w:rPr>
  </w:style>
  <w:style w:type="character" w:customStyle="1" w:styleId="150">
    <w:name w:val="font"/>
    <w:basedOn w:val="46"/>
    <w:qFormat/>
    <w:uiPriority w:val="0"/>
  </w:style>
  <w:style w:type="character" w:customStyle="1" w:styleId="151">
    <w:name w:val="font11"/>
    <w:basedOn w:val="46"/>
    <w:qFormat/>
    <w:uiPriority w:val="0"/>
    <w:rPr>
      <w:rFonts w:hint="default" w:ascii="ˎ̥" w:hAnsi="ˎ̥"/>
    </w:rPr>
  </w:style>
  <w:style w:type="paragraph" w:customStyle="1" w:styleId="152">
    <w:name w:val="a14"/>
    <w:basedOn w:val="1"/>
    <w:qFormat/>
    <w:uiPriority w:val="0"/>
    <w:pPr>
      <w:widowControl/>
      <w:spacing w:before="100" w:beforeAutospacing="1" w:after="100" w:afterAutospacing="1" w:line="300" w:lineRule="atLeast"/>
      <w:ind w:firstLine="375"/>
      <w:jc w:val="left"/>
    </w:pPr>
    <w:rPr>
      <w:rFonts w:ascii="宋体" w:hAnsi="宋体" w:cs="宋体"/>
      <w:kern w:val="0"/>
      <w:szCs w:val="21"/>
    </w:rPr>
  </w:style>
  <w:style w:type="character" w:customStyle="1" w:styleId="153">
    <w:name w:val="proddescription"/>
    <w:basedOn w:val="46"/>
    <w:qFormat/>
    <w:uiPriority w:val="0"/>
  </w:style>
  <w:style w:type="character" w:customStyle="1" w:styleId="154">
    <w:name w:val="prodheadlines"/>
    <w:basedOn w:val="46"/>
    <w:qFormat/>
    <w:uiPriority w:val="0"/>
  </w:style>
  <w:style w:type="character" w:customStyle="1" w:styleId="155">
    <w:name w:val="text"/>
    <w:basedOn w:val="46"/>
    <w:qFormat/>
    <w:uiPriority w:val="0"/>
  </w:style>
  <w:style w:type="paragraph" w:customStyle="1" w:styleId="156">
    <w:name w:val="text1"/>
    <w:basedOn w:val="1"/>
    <w:qFormat/>
    <w:uiPriority w:val="0"/>
    <w:pPr>
      <w:widowControl/>
      <w:spacing w:before="100" w:beforeAutospacing="1" w:after="100" w:afterAutospacing="1"/>
      <w:jc w:val="left"/>
    </w:pPr>
    <w:rPr>
      <w:rFonts w:ascii="宋体" w:hAnsi="宋体" w:cs="宋体"/>
      <w:kern w:val="0"/>
      <w:sz w:val="24"/>
    </w:rPr>
  </w:style>
  <w:style w:type="paragraph" w:customStyle="1" w:styleId="157">
    <w:name w:val="z-窗体顶端1"/>
    <w:basedOn w:val="1"/>
    <w:next w:val="1"/>
    <w:hidden/>
    <w:qFormat/>
    <w:uiPriority w:val="0"/>
    <w:pPr>
      <w:widowControl/>
      <w:pBdr>
        <w:bottom w:val="single" w:color="auto" w:sz="6" w:space="1"/>
      </w:pBdr>
      <w:jc w:val="center"/>
    </w:pPr>
    <w:rPr>
      <w:rFonts w:ascii="Arial" w:hAnsi="Arial" w:cs="Arial"/>
      <w:vanish/>
      <w:kern w:val="0"/>
      <w:sz w:val="16"/>
      <w:szCs w:val="16"/>
    </w:rPr>
  </w:style>
  <w:style w:type="paragraph" w:customStyle="1" w:styleId="158">
    <w:name w:val="z-窗体底端1"/>
    <w:basedOn w:val="1"/>
    <w:next w:val="1"/>
    <w:hidden/>
    <w:qFormat/>
    <w:uiPriority w:val="0"/>
    <w:pPr>
      <w:widowControl/>
      <w:pBdr>
        <w:top w:val="single" w:color="auto" w:sz="6" w:space="1"/>
      </w:pBdr>
      <w:jc w:val="center"/>
    </w:pPr>
    <w:rPr>
      <w:rFonts w:ascii="Arial" w:hAnsi="Arial" w:cs="Arial"/>
      <w:vanish/>
      <w:kern w:val="0"/>
      <w:sz w:val="16"/>
      <w:szCs w:val="16"/>
    </w:rPr>
  </w:style>
  <w:style w:type="paragraph" w:customStyle="1" w:styleId="159">
    <w:name w:val="正文样式"/>
    <w:basedOn w:val="1"/>
    <w:qFormat/>
    <w:uiPriority w:val="0"/>
    <w:pPr>
      <w:adjustRightInd w:val="0"/>
      <w:spacing w:line="400" w:lineRule="atLeast"/>
      <w:ind w:firstLine="570" w:firstLineChars="203"/>
      <w:textAlignment w:val="baseline"/>
    </w:pPr>
    <w:rPr>
      <w:rFonts w:eastAsia="仿宋_GB2312"/>
      <w:kern w:val="0"/>
      <w:sz w:val="28"/>
      <w:szCs w:val="20"/>
    </w:rPr>
  </w:style>
  <w:style w:type="paragraph" w:customStyle="1" w:styleId="160">
    <w:name w:val="xl34"/>
    <w:basedOn w:val="1"/>
    <w:qFormat/>
    <w:uiPriority w:val="0"/>
    <w:pPr>
      <w:widowControl/>
      <w:pBdr>
        <w:left w:val="single" w:color="auto" w:sz="4" w:space="0"/>
      </w:pBdr>
      <w:spacing w:before="100" w:beforeAutospacing="1" w:after="100" w:afterAutospacing="1"/>
      <w:jc w:val="center"/>
      <w:textAlignment w:val="center"/>
    </w:pPr>
    <w:rPr>
      <w:rFonts w:ascii="宋体" w:hAnsi="宋体"/>
      <w:kern w:val="0"/>
      <w:sz w:val="24"/>
    </w:rPr>
  </w:style>
  <w:style w:type="paragraph" w:customStyle="1" w:styleId="161">
    <w:name w:val="段落正文"/>
    <w:basedOn w:val="22"/>
    <w:qFormat/>
    <w:uiPriority w:val="0"/>
    <w:pPr>
      <w:ind w:firstLine="560" w:firstLineChars="200"/>
    </w:pPr>
    <w:rPr>
      <w:sz w:val="28"/>
    </w:rPr>
  </w:style>
  <w:style w:type="character" w:customStyle="1" w:styleId="162">
    <w:name w:val="gray6"/>
    <w:basedOn w:val="46"/>
    <w:qFormat/>
    <w:uiPriority w:val="0"/>
  </w:style>
  <w:style w:type="character" w:customStyle="1" w:styleId="163">
    <w:name w:val="style9"/>
    <w:basedOn w:val="46"/>
    <w:qFormat/>
    <w:uiPriority w:val="0"/>
  </w:style>
  <w:style w:type="paragraph" w:customStyle="1" w:styleId="164">
    <w:name w:val="2册标题4"/>
    <w:basedOn w:val="1"/>
    <w:next w:val="1"/>
    <w:qFormat/>
    <w:uiPriority w:val="0"/>
    <w:pPr>
      <w:spacing w:beforeLines="50" w:afterLines="50" w:line="300" w:lineRule="auto"/>
      <w:ind w:left="420" w:leftChars="200"/>
      <w:outlineLvl w:val="3"/>
    </w:pPr>
    <w:rPr>
      <w:rFonts w:ascii="Arial" w:hAnsi="Arial" w:eastAsia="幼圆" w:cs="Arial"/>
      <w:b/>
      <w:sz w:val="24"/>
    </w:rPr>
  </w:style>
  <w:style w:type="character" w:customStyle="1" w:styleId="165">
    <w:name w:val="grame"/>
    <w:basedOn w:val="46"/>
    <w:qFormat/>
    <w:uiPriority w:val="0"/>
  </w:style>
  <w:style w:type="paragraph" w:customStyle="1" w:styleId="166">
    <w:name w:val="style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67">
    <w:name w:val="Char1"/>
    <w:basedOn w:val="1"/>
    <w:qFormat/>
    <w:uiPriority w:val="0"/>
    <w:pPr>
      <w:jc w:val="left"/>
    </w:pPr>
    <w:rPr>
      <w:rFonts w:ascii="Tahoma" w:hAnsi="Tahoma"/>
      <w:sz w:val="24"/>
      <w:szCs w:val="20"/>
    </w:rPr>
  </w:style>
  <w:style w:type="paragraph" w:customStyle="1" w:styleId="168">
    <w:name w:val="编号1"/>
    <w:basedOn w:val="1"/>
    <w:qFormat/>
    <w:uiPriority w:val="0"/>
    <w:pPr>
      <w:numPr>
        <w:ilvl w:val="0"/>
        <w:numId w:val="6"/>
      </w:numPr>
      <w:adjustRightInd w:val="0"/>
      <w:spacing w:line="300" w:lineRule="auto"/>
      <w:ind w:right="210"/>
      <w:textAlignment w:val="center"/>
    </w:pPr>
    <w:rPr>
      <w:rFonts w:ascii="宋体" w:hAnsi="宋体"/>
      <w:snapToGrid w:val="0"/>
      <w:spacing w:val="10"/>
      <w:kern w:val="24"/>
    </w:rPr>
  </w:style>
  <w:style w:type="paragraph" w:customStyle="1" w:styleId="169">
    <w:name w:val="Char Char Char Char Char Char Char Char Char Char Char Char 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170">
    <w:name w:val="font0"/>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171">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72">
    <w:name w:val="font6"/>
    <w:basedOn w:val="1"/>
    <w:qFormat/>
    <w:uiPriority w:val="0"/>
    <w:pPr>
      <w:widowControl/>
      <w:spacing w:before="100" w:beforeAutospacing="1" w:after="100" w:afterAutospacing="1"/>
      <w:jc w:val="left"/>
    </w:pPr>
    <w:rPr>
      <w:kern w:val="0"/>
      <w:sz w:val="24"/>
    </w:rPr>
  </w:style>
  <w:style w:type="paragraph" w:customStyle="1" w:styleId="173">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174">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175">
    <w:name w:val="表格字"/>
    <w:basedOn w:val="1"/>
    <w:qFormat/>
    <w:uiPriority w:val="0"/>
    <w:pPr>
      <w:adjustRightInd w:val="0"/>
      <w:jc w:val="center"/>
    </w:pPr>
    <w:rPr>
      <w:rFonts w:ascii="宋体"/>
      <w:sz w:val="24"/>
      <w:szCs w:val="20"/>
    </w:rPr>
  </w:style>
  <w:style w:type="character" w:customStyle="1" w:styleId="176">
    <w:name w:val="样式 小三 加粗"/>
    <w:qFormat/>
    <w:uiPriority w:val="0"/>
    <w:rPr>
      <w:rFonts w:eastAsia="宋体"/>
      <w:b/>
      <w:bCs/>
      <w:sz w:val="32"/>
    </w:rPr>
  </w:style>
  <w:style w:type="paragraph" w:customStyle="1" w:styleId="177">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78">
    <w:name w:val="qw"/>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179">
    <w:name w:val="Char Char Char"/>
    <w:basedOn w:val="1"/>
    <w:qFormat/>
    <w:uiPriority w:val="0"/>
    <w:rPr>
      <w:rFonts w:ascii="Tahoma" w:hAnsi="Tahoma"/>
      <w:sz w:val="24"/>
      <w:szCs w:val="20"/>
    </w:rPr>
  </w:style>
  <w:style w:type="paragraph" w:customStyle="1" w:styleId="180">
    <w:name w:val="Char2"/>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81">
    <w:name w:val="info4"/>
    <w:basedOn w:val="46"/>
    <w:qFormat/>
    <w:uiPriority w:val="0"/>
  </w:style>
  <w:style w:type="paragraph" w:customStyle="1" w:styleId="182">
    <w:name w:val="缩进正文"/>
    <w:basedOn w:val="1"/>
    <w:link w:val="183"/>
    <w:qFormat/>
    <w:uiPriority w:val="0"/>
    <w:pPr>
      <w:ind w:firstLine="560" w:firstLineChars="200"/>
    </w:pPr>
    <w:rPr>
      <w:rFonts w:eastAsia="仿宋_GB2312" w:cs="宋体"/>
      <w:sz w:val="28"/>
      <w:szCs w:val="20"/>
    </w:rPr>
  </w:style>
  <w:style w:type="character" w:customStyle="1" w:styleId="183">
    <w:name w:val="缩进正文 Char"/>
    <w:link w:val="182"/>
    <w:qFormat/>
    <w:uiPriority w:val="0"/>
    <w:rPr>
      <w:rFonts w:eastAsia="仿宋_GB2312" w:cs="宋体"/>
      <w:kern w:val="2"/>
      <w:sz w:val="28"/>
      <w:lang w:val="en-US" w:eastAsia="zh-CN" w:bidi="ar-SA"/>
    </w:rPr>
  </w:style>
  <w:style w:type="paragraph" w:customStyle="1" w:styleId="184">
    <w:name w:val="列出段落1"/>
    <w:basedOn w:val="1"/>
    <w:qFormat/>
    <w:uiPriority w:val="0"/>
    <w:pPr>
      <w:ind w:firstLine="420" w:firstLineChars="200"/>
    </w:pPr>
    <w:rPr>
      <w:rFonts w:ascii="Calibri" w:hAnsi="Calibri" w:cs="Calibri"/>
      <w:szCs w:val="21"/>
    </w:rPr>
  </w:style>
  <w:style w:type="character" w:customStyle="1" w:styleId="185">
    <w:name w:val="批注文字 Char"/>
    <w:basedOn w:val="46"/>
    <w:link w:val="16"/>
    <w:qFormat/>
    <w:uiPriority w:val="99"/>
    <w:rPr>
      <w:rFonts w:ascii="宋体"/>
      <w:sz w:val="34"/>
    </w:rPr>
  </w:style>
  <w:style w:type="character" w:customStyle="1" w:styleId="186">
    <w:name w:val="批注主题 Char"/>
    <w:basedOn w:val="185"/>
    <w:link w:val="41"/>
    <w:qFormat/>
    <w:uiPriority w:val="99"/>
    <w:rPr>
      <w:rFonts w:ascii="宋体"/>
      <w:sz w:val="34"/>
    </w:rPr>
  </w:style>
  <w:style w:type="paragraph" w:customStyle="1" w:styleId="187">
    <w:name w:val="评价"/>
    <w:basedOn w:val="1"/>
    <w:qFormat/>
    <w:uiPriority w:val="0"/>
    <w:pPr>
      <w:spacing w:afterLines="20"/>
      <w:ind w:firstLine="1446" w:firstLineChars="200"/>
    </w:pPr>
    <w:rPr>
      <w:rFonts w:ascii="Calibri" w:hAnsi="Calibri"/>
      <w:sz w:val="24"/>
    </w:rPr>
  </w:style>
  <w:style w:type="paragraph" w:customStyle="1" w:styleId="188">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189">
    <w:name w:val="alt-edited1"/>
    <w:qFormat/>
    <w:uiPriority w:val="0"/>
    <w:rPr>
      <w:color w:val="4D90F0"/>
    </w:rPr>
  </w:style>
  <w:style w:type="paragraph" w:customStyle="1" w:styleId="190">
    <w:name w:val="toc 14"/>
    <w:next w:val="1"/>
    <w:qFormat/>
    <w:uiPriority w:val="0"/>
    <w:pPr>
      <w:wordWrap w:val="0"/>
      <w:jc w:val="both"/>
    </w:pPr>
    <w:rPr>
      <w:rFonts w:ascii="Calibri" w:hAnsi="Calibri" w:eastAsia="宋体" w:cs="Times New Roman"/>
      <w:sz w:val="21"/>
      <w:lang w:val="en-US" w:eastAsia="zh-CN" w:bidi="ar-SA"/>
    </w:rPr>
  </w:style>
  <w:style w:type="character" w:customStyle="1" w:styleId="191">
    <w:name w:val="文档结构图 Char1"/>
    <w:semiHidden/>
    <w:qFormat/>
    <w:uiPriority w:val="0"/>
    <w:rPr>
      <w:sz w:val="20"/>
    </w:rPr>
  </w:style>
  <w:style w:type="character" w:customStyle="1" w:styleId="192">
    <w:name w:val="文档结构图 Char"/>
    <w:semiHidden/>
    <w:qFormat/>
    <w:uiPriority w:val="0"/>
    <w:rPr>
      <w:sz w:val="20"/>
    </w:rPr>
  </w:style>
  <w:style w:type="character" w:customStyle="1" w:styleId="193">
    <w:name w:val="short_text"/>
    <w:basedOn w:val="46"/>
    <w:qFormat/>
    <w:uiPriority w:val="0"/>
    <w:rPr>
      <w:sz w:val="20"/>
    </w:rPr>
  </w:style>
  <w:style w:type="character" w:customStyle="1" w:styleId="194">
    <w:name w:val="标题 Char1"/>
    <w:qFormat/>
    <w:uiPriority w:val="0"/>
    <w:rPr>
      <w:b/>
      <w:sz w:val="20"/>
    </w:rPr>
  </w:style>
  <w:style w:type="character" w:customStyle="1" w:styleId="195">
    <w:name w:val="正文文本缩进 3 Char1"/>
    <w:semiHidden/>
    <w:qFormat/>
    <w:uiPriority w:val="0"/>
    <w:rPr>
      <w:sz w:val="20"/>
    </w:rPr>
  </w:style>
  <w:style w:type="character" w:customStyle="1" w:styleId="196">
    <w:name w:val="font21"/>
    <w:basedOn w:val="46"/>
    <w:qFormat/>
    <w:uiPriority w:val="0"/>
    <w:rPr>
      <w:color w:val="FF0000"/>
      <w:sz w:val="20"/>
      <w:u w:val="none"/>
    </w:rPr>
  </w:style>
  <w:style w:type="character" w:customStyle="1" w:styleId="197">
    <w:name w:val="不明显强调1"/>
    <w:qFormat/>
    <w:uiPriority w:val="0"/>
    <w:rPr>
      <w:i/>
      <w:sz w:val="20"/>
    </w:rPr>
  </w:style>
  <w:style w:type="character" w:customStyle="1" w:styleId="198">
    <w:name w:val="font71"/>
    <w:qFormat/>
    <w:uiPriority w:val="0"/>
    <w:rPr>
      <w:sz w:val="20"/>
      <w:u w:val="none"/>
    </w:rPr>
  </w:style>
  <w:style w:type="character" w:customStyle="1" w:styleId="199">
    <w:name w:val="页眉 Char1"/>
    <w:semiHidden/>
    <w:qFormat/>
    <w:uiPriority w:val="0"/>
    <w:rPr>
      <w:sz w:val="20"/>
    </w:rPr>
  </w:style>
  <w:style w:type="character" w:customStyle="1" w:styleId="200">
    <w:name w:val="正文文本缩进 2 Char1"/>
    <w:semiHidden/>
    <w:qFormat/>
    <w:uiPriority w:val="0"/>
    <w:rPr>
      <w:sz w:val="20"/>
    </w:rPr>
  </w:style>
  <w:style w:type="character" w:customStyle="1" w:styleId="201">
    <w:name w:val="font61"/>
    <w:qFormat/>
    <w:uiPriority w:val="0"/>
    <w:rPr>
      <w:sz w:val="20"/>
      <w:u w:val="none"/>
    </w:rPr>
  </w:style>
  <w:style w:type="character" w:customStyle="1" w:styleId="202">
    <w:name w:val="纯文本 Char1"/>
    <w:semiHidden/>
    <w:qFormat/>
    <w:uiPriority w:val="0"/>
    <w:rPr>
      <w:sz w:val="20"/>
    </w:rPr>
  </w:style>
  <w:style w:type="character" w:customStyle="1" w:styleId="203">
    <w:name w:val="正文文本 3 Char1"/>
    <w:semiHidden/>
    <w:qFormat/>
    <w:uiPriority w:val="0"/>
    <w:rPr>
      <w:sz w:val="20"/>
    </w:rPr>
  </w:style>
  <w:style w:type="character" w:customStyle="1" w:styleId="204">
    <w:name w:val="正文文本缩进 Char1"/>
    <w:semiHidden/>
    <w:qFormat/>
    <w:uiPriority w:val="0"/>
    <w:rPr>
      <w:sz w:val="20"/>
    </w:rPr>
  </w:style>
  <w:style w:type="character" w:customStyle="1" w:styleId="205">
    <w:name w:val="明显参考1"/>
    <w:qFormat/>
    <w:uiPriority w:val="0"/>
    <w:rPr>
      <w:b/>
      <w:sz w:val="20"/>
    </w:rPr>
  </w:style>
  <w:style w:type="character" w:customStyle="1" w:styleId="206">
    <w:name w:val="apple-converted-space"/>
    <w:qFormat/>
    <w:uiPriority w:val="0"/>
    <w:rPr>
      <w:sz w:val="20"/>
    </w:rPr>
  </w:style>
  <w:style w:type="character" w:customStyle="1" w:styleId="207">
    <w:name w:val="书籍标题1"/>
    <w:qFormat/>
    <w:uiPriority w:val="0"/>
    <w:rPr>
      <w:b/>
      <w:i/>
      <w:sz w:val="20"/>
    </w:rPr>
  </w:style>
  <w:style w:type="character" w:customStyle="1" w:styleId="208">
    <w:name w:val="long_text"/>
    <w:qFormat/>
    <w:uiPriority w:val="0"/>
    <w:rPr>
      <w:sz w:val="20"/>
    </w:rPr>
  </w:style>
  <w:style w:type="character" w:customStyle="1" w:styleId="209">
    <w:name w:val="日期 Char1"/>
    <w:semiHidden/>
    <w:qFormat/>
    <w:uiPriority w:val="0"/>
    <w:rPr>
      <w:sz w:val="20"/>
    </w:rPr>
  </w:style>
  <w:style w:type="character" w:customStyle="1" w:styleId="210">
    <w:name w:val="批注文字 Char1"/>
    <w:semiHidden/>
    <w:qFormat/>
    <w:uiPriority w:val="0"/>
    <w:rPr>
      <w:sz w:val="20"/>
    </w:rPr>
  </w:style>
  <w:style w:type="character" w:customStyle="1" w:styleId="211">
    <w:name w:val="明显强调1"/>
    <w:qFormat/>
    <w:uiPriority w:val="0"/>
    <w:rPr>
      <w:i/>
      <w:sz w:val="20"/>
    </w:rPr>
  </w:style>
  <w:style w:type="character" w:customStyle="1" w:styleId="212">
    <w:name w:val="16"/>
    <w:qFormat/>
    <w:uiPriority w:val="0"/>
    <w:rPr>
      <w:b/>
      <w:color w:val="FF0356"/>
      <w:sz w:val="20"/>
    </w:rPr>
  </w:style>
  <w:style w:type="character" w:customStyle="1" w:styleId="213">
    <w:name w:val="批注主题 Char1"/>
    <w:semiHidden/>
    <w:qFormat/>
    <w:uiPriority w:val="0"/>
    <w:rPr>
      <w:b/>
      <w:sz w:val="20"/>
    </w:rPr>
  </w:style>
  <w:style w:type="character" w:customStyle="1" w:styleId="214">
    <w:name w:val="正文文本 2 Char1"/>
    <w:semiHidden/>
    <w:qFormat/>
    <w:uiPriority w:val="0"/>
    <w:rPr>
      <w:sz w:val="20"/>
    </w:rPr>
  </w:style>
  <w:style w:type="character" w:customStyle="1" w:styleId="215">
    <w:name w:val="font31"/>
    <w:qFormat/>
    <w:uiPriority w:val="0"/>
    <w:rPr>
      <w:color w:val="FF0000"/>
      <w:sz w:val="20"/>
      <w:u w:val="none"/>
      <w:vertAlign w:val="superscript"/>
    </w:rPr>
  </w:style>
  <w:style w:type="character" w:customStyle="1" w:styleId="216">
    <w:name w:val="不明显参考1"/>
    <w:qFormat/>
    <w:uiPriority w:val="0"/>
    <w:rPr>
      <w:sz w:val="20"/>
    </w:rPr>
  </w:style>
  <w:style w:type="character" w:customStyle="1" w:styleId="217">
    <w:name w:val="HTML 预设格式 Char1"/>
    <w:semiHidden/>
    <w:qFormat/>
    <w:uiPriority w:val="0"/>
    <w:rPr>
      <w:sz w:val="20"/>
    </w:rPr>
  </w:style>
  <w:style w:type="character" w:customStyle="1" w:styleId="218">
    <w:name w:val="font01"/>
    <w:basedOn w:val="46"/>
    <w:qFormat/>
    <w:uiPriority w:val="0"/>
    <w:rPr>
      <w:color w:val="FF0000"/>
      <w:sz w:val="20"/>
      <w:u w:val="none"/>
      <w:vertAlign w:val="superscript"/>
    </w:rPr>
  </w:style>
  <w:style w:type="character" w:customStyle="1" w:styleId="219">
    <w:name w:val="页脚 Char1"/>
    <w:semiHidden/>
    <w:qFormat/>
    <w:uiPriority w:val="0"/>
    <w:rPr>
      <w:sz w:val="20"/>
    </w:rPr>
  </w:style>
  <w:style w:type="character" w:customStyle="1" w:styleId="220">
    <w:name w:val="批注框文本 Char1"/>
    <w:semiHidden/>
    <w:qFormat/>
    <w:uiPriority w:val="0"/>
    <w:rPr>
      <w:sz w:val="20"/>
    </w:rPr>
  </w:style>
  <w:style w:type="paragraph" w:customStyle="1" w:styleId="221">
    <w:name w:val="列出段落2"/>
    <w:basedOn w:val="1"/>
    <w:next w:val="222"/>
    <w:qFormat/>
    <w:uiPriority w:val="0"/>
    <w:pPr>
      <w:ind w:firstLine="420"/>
    </w:pPr>
    <w:rPr>
      <w:rFonts w:hAnsi="Calibri"/>
      <w:kern w:val="0"/>
      <w:szCs w:val="20"/>
    </w:rPr>
  </w:style>
  <w:style w:type="paragraph" w:customStyle="1" w:styleId="222">
    <w:name w:val="toc 814"/>
    <w:next w:val="1"/>
    <w:qFormat/>
    <w:uiPriority w:val="0"/>
    <w:pPr>
      <w:wordWrap w:val="0"/>
      <w:ind w:left="2975"/>
      <w:jc w:val="both"/>
    </w:pPr>
    <w:rPr>
      <w:rFonts w:ascii="Calibri" w:hAnsi="Calibri" w:eastAsia="宋体" w:cs="Times New Roman"/>
      <w:sz w:val="21"/>
      <w:lang w:val="en-US" w:eastAsia="zh-CN" w:bidi="ar-SA"/>
    </w:rPr>
  </w:style>
  <w:style w:type="paragraph" w:customStyle="1" w:styleId="223">
    <w:name w:val="toc 62"/>
    <w:next w:val="1"/>
    <w:qFormat/>
    <w:uiPriority w:val="0"/>
    <w:pPr>
      <w:wordWrap w:val="0"/>
      <w:ind w:left="2125"/>
      <w:jc w:val="both"/>
    </w:pPr>
    <w:rPr>
      <w:rFonts w:ascii="Calibri" w:hAnsi="Calibri" w:eastAsia="宋体" w:cs="Times New Roman"/>
      <w:sz w:val="21"/>
      <w:lang w:val="en-US" w:eastAsia="zh-CN" w:bidi="ar-SA"/>
    </w:rPr>
  </w:style>
  <w:style w:type="paragraph" w:customStyle="1" w:styleId="224">
    <w:name w:val="toc 414"/>
    <w:next w:val="1"/>
    <w:qFormat/>
    <w:uiPriority w:val="0"/>
    <w:pPr>
      <w:wordWrap w:val="0"/>
      <w:ind w:left="1275"/>
      <w:jc w:val="both"/>
    </w:pPr>
    <w:rPr>
      <w:rFonts w:ascii="Calibri" w:hAnsi="Calibri" w:eastAsia="宋体" w:cs="Times New Roman"/>
      <w:sz w:val="21"/>
      <w:lang w:val="en-US" w:eastAsia="zh-CN" w:bidi="ar-SA"/>
    </w:rPr>
  </w:style>
  <w:style w:type="paragraph" w:customStyle="1" w:styleId="225">
    <w:name w:val="toc 411"/>
    <w:next w:val="1"/>
    <w:qFormat/>
    <w:uiPriority w:val="0"/>
    <w:pPr>
      <w:wordWrap w:val="0"/>
      <w:ind w:left="1275"/>
      <w:jc w:val="both"/>
    </w:pPr>
    <w:rPr>
      <w:rFonts w:ascii="Calibri" w:hAnsi="Calibri" w:eastAsia="宋体" w:cs="Times New Roman"/>
      <w:sz w:val="21"/>
      <w:lang w:val="en-US" w:eastAsia="zh-CN" w:bidi="ar-SA"/>
    </w:rPr>
  </w:style>
  <w:style w:type="paragraph" w:customStyle="1" w:styleId="226">
    <w:name w:val="xl86"/>
    <w:basedOn w:val="1"/>
    <w:next w:val="227"/>
    <w:qFormat/>
    <w:uiPriority w:val="0"/>
    <w:pPr>
      <w:widowControl/>
      <w:shd w:val="clear" w:color="000000" w:fill="FFFFFF"/>
      <w:spacing w:before="280" w:after="280"/>
      <w:jc w:val="center"/>
    </w:pPr>
    <w:rPr>
      <w:rFonts w:ascii="宋体" w:hAnsi="Calibri"/>
      <w:kern w:val="0"/>
      <w:sz w:val="20"/>
      <w:szCs w:val="20"/>
    </w:rPr>
  </w:style>
  <w:style w:type="paragraph" w:customStyle="1" w:styleId="227">
    <w:name w:val="toc 515"/>
    <w:next w:val="1"/>
    <w:qFormat/>
    <w:uiPriority w:val="0"/>
    <w:pPr>
      <w:wordWrap w:val="0"/>
      <w:ind w:left="1700"/>
      <w:jc w:val="both"/>
    </w:pPr>
    <w:rPr>
      <w:rFonts w:ascii="Calibri" w:hAnsi="Calibri" w:eastAsia="宋体" w:cs="Times New Roman"/>
      <w:sz w:val="21"/>
      <w:lang w:val="en-US" w:eastAsia="zh-CN" w:bidi="ar-SA"/>
    </w:rPr>
  </w:style>
  <w:style w:type="paragraph" w:customStyle="1" w:styleId="228">
    <w:name w:val="TOC Heading4"/>
    <w:next w:val="1"/>
    <w:qFormat/>
    <w:uiPriority w:val="0"/>
    <w:pPr>
      <w:wordWrap w:val="0"/>
    </w:pPr>
    <w:rPr>
      <w:rFonts w:ascii="Calibri" w:hAnsi="Calibri" w:eastAsia="宋体" w:cs="Times New Roman"/>
      <w:sz w:val="32"/>
      <w:lang w:val="en-US" w:eastAsia="zh-CN" w:bidi="ar-SA"/>
    </w:rPr>
  </w:style>
  <w:style w:type="paragraph" w:customStyle="1" w:styleId="229">
    <w:name w:val="toc 15"/>
    <w:next w:val="1"/>
    <w:qFormat/>
    <w:uiPriority w:val="0"/>
    <w:pPr>
      <w:wordWrap w:val="0"/>
      <w:jc w:val="both"/>
    </w:pPr>
    <w:rPr>
      <w:rFonts w:ascii="Calibri" w:hAnsi="Calibri" w:eastAsia="宋体" w:cs="Times New Roman"/>
      <w:sz w:val="21"/>
      <w:lang w:val="en-US" w:eastAsia="zh-CN" w:bidi="ar-SA"/>
    </w:rPr>
  </w:style>
  <w:style w:type="paragraph" w:customStyle="1" w:styleId="230">
    <w:name w:val="TOC Heading2"/>
    <w:next w:val="1"/>
    <w:qFormat/>
    <w:uiPriority w:val="0"/>
    <w:pPr>
      <w:wordWrap w:val="0"/>
    </w:pPr>
    <w:rPr>
      <w:rFonts w:ascii="Calibri" w:hAnsi="Calibri" w:eastAsia="宋体" w:cs="Times New Roman"/>
      <w:sz w:val="32"/>
      <w:lang w:val="en-US" w:eastAsia="zh-CN" w:bidi="ar-SA"/>
    </w:rPr>
  </w:style>
  <w:style w:type="paragraph" w:customStyle="1" w:styleId="231">
    <w:name w:val="TOC Heading1"/>
    <w:next w:val="1"/>
    <w:qFormat/>
    <w:uiPriority w:val="0"/>
    <w:pPr>
      <w:wordWrap w:val="0"/>
    </w:pPr>
    <w:rPr>
      <w:rFonts w:ascii="Calibri" w:hAnsi="Calibri" w:eastAsia="宋体" w:cs="Times New Roman"/>
      <w:sz w:val="32"/>
      <w:lang w:val="en-US" w:eastAsia="zh-CN" w:bidi="ar-SA"/>
    </w:rPr>
  </w:style>
  <w:style w:type="paragraph" w:customStyle="1" w:styleId="232">
    <w:name w:val="toc 73"/>
    <w:next w:val="1"/>
    <w:qFormat/>
    <w:uiPriority w:val="0"/>
    <w:pPr>
      <w:wordWrap w:val="0"/>
      <w:ind w:left="2550"/>
      <w:jc w:val="both"/>
    </w:pPr>
    <w:rPr>
      <w:rFonts w:ascii="Calibri" w:hAnsi="Calibri" w:eastAsia="宋体" w:cs="Times New Roman"/>
      <w:sz w:val="21"/>
      <w:lang w:val="en-US" w:eastAsia="zh-CN" w:bidi="ar-SA"/>
    </w:rPr>
  </w:style>
  <w:style w:type="paragraph" w:customStyle="1" w:styleId="233">
    <w:name w:val="font7"/>
    <w:basedOn w:val="1"/>
    <w:next w:val="234"/>
    <w:qFormat/>
    <w:uiPriority w:val="0"/>
    <w:pPr>
      <w:widowControl/>
      <w:spacing w:before="280" w:after="280"/>
    </w:pPr>
    <w:rPr>
      <w:rFonts w:ascii="Arial" w:hAnsi="Calibri"/>
      <w:kern w:val="0"/>
      <w:sz w:val="18"/>
      <w:szCs w:val="20"/>
    </w:rPr>
  </w:style>
  <w:style w:type="paragraph" w:customStyle="1" w:styleId="234">
    <w:name w:val="toc 810"/>
    <w:next w:val="1"/>
    <w:qFormat/>
    <w:uiPriority w:val="0"/>
    <w:pPr>
      <w:wordWrap w:val="0"/>
      <w:ind w:left="2975"/>
      <w:jc w:val="both"/>
    </w:pPr>
    <w:rPr>
      <w:rFonts w:ascii="Calibri" w:hAnsi="Calibri" w:eastAsia="宋体" w:cs="Times New Roman"/>
      <w:sz w:val="21"/>
      <w:lang w:val="en-US" w:eastAsia="zh-CN" w:bidi="ar-SA"/>
    </w:rPr>
  </w:style>
  <w:style w:type="paragraph" w:customStyle="1" w:styleId="235">
    <w:name w:val="xl113"/>
    <w:basedOn w:val="1"/>
    <w:next w:val="236"/>
    <w:qFormat/>
    <w:uiPriority w:val="0"/>
    <w:pPr>
      <w:widowControl/>
      <w:shd w:val="clear" w:color="000000" w:fill="FFFFFF"/>
      <w:spacing w:before="280" w:after="280"/>
      <w:jc w:val="center"/>
    </w:pPr>
    <w:rPr>
      <w:rFonts w:ascii="宋体" w:hAnsi="Calibri"/>
      <w:b/>
      <w:kern w:val="0"/>
      <w:sz w:val="20"/>
      <w:szCs w:val="20"/>
    </w:rPr>
  </w:style>
  <w:style w:type="paragraph" w:customStyle="1" w:styleId="236">
    <w:name w:val="TOC Heading10"/>
    <w:next w:val="1"/>
    <w:qFormat/>
    <w:uiPriority w:val="0"/>
    <w:pPr>
      <w:wordWrap w:val="0"/>
    </w:pPr>
    <w:rPr>
      <w:rFonts w:ascii="Calibri" w:hAnsi="Calibri" w:eastAsia="宋体" w:cs="Times New Roman"/>
      <w:sz w:val="32"/>
      <w:lang w:val="en-US" w:eastAsia="zh-CN" w:bidi="ar-SA"/>
    </w:rPr>
  </w:style>
  <w:style w:type="paragraph" w:customStyle="1" w:styleId="237">
    <w:name w:val="toc 89"/>
    <w:next w:val="1"/>
    <w:qFormat/>
    <w:uiPriority w:val="0"/>
    <w:pPr>
      <w:wordWrap w:val="0"/>
      <w:ind w:left="2975"/>
      <w:jc w:val="both"/>
    </w:pPr>
    <w:rPr>
      <w:rFonts w:ascii="Calibri" w:hAnsi="Calibri" w:eastAsia="宋体" w:cs="Times New Roman"/>
      <w:sz w:val="21"/>
      <w:lang w:val="en-US" w:eastAsia="zh-CN" w:bidi="ar-SA"/>
    </w:rPr>
  </w:style>
  <w:style w:type="paragraph" w:customStyle="1" w:styleId="238">
    <w:name w:val="xl73"/>
    <w:basedOn w:val="1"/>
    <w:next w:val="239"/>
    <w:qFormat/>
    <w:uiPriority w:val="0"/>
    <w:pPr>
      <w:widowControl/>
      <w:shd w:val="clear" w:color="000000" w:fill="FFFFFF"/>
      <w:spacing w:before="280" w:after="280"/>
      <w:jc w:val="center"/>
    </w:pPr>
    <w:rPr>
      <w:rFonts w:ascii="宋体" w:hAnsi="Calibri"/>
      <w:kern w:val="0"/>
      <w:sz w:val="20"/>
      <w:szCs w:val="20"/>
    </w:rPr>
  </w:style>
  <w:style w:type="paragraph" w:customStyle="1" w:styleId="239">
    <w:name w:val="toc 613"/>
    <w:next w:val="1"/>
    <w:qFormat/>
    <w:uiPriority w:val="0"/>
    <w:pPr>
      <w:wordWrap w:val="0"/>
      <w:ind w:left="2125"/>
      <w:jc w:val="both"/>
    </w:pPr>
    <w:rPr>
      <w:rFonts w:ascii="Calibri" w:hAnsi="Calibri" w:eastAsia="宋体" w:cs="Times New Roman"/>
      <w:sz w:val="21"/>
      <w:lang w:val="en-US" w:eastAsia="zh-CN" w:bidi="ar-SA"/>
    </w:rPr>
  </w:style>
  <w:style w:type="paragraph" w:customStyle="1" w:styleId="240">
    <w:name w:val="xl79"/>
    <w:basedOn w:val="1"/>
    <w:next w:val="241"/>
    <w:qFormat/>
    <w:uiPriority w:val="0"/>
    <w:pPr>
      <w:widowControl/>
      <w:shd w:val="clear" w:color="000000" w:fill="FFFFFF"/>
      <w:spacing w:before="280" w:after="280"/>
    </w:pPr>
    <w:rPr>
      <w:rFonts w:ascii="宋体" w:hAnsi="Calibri"/>
      <w:b/>
      <w:kern w:val="0"/>
      <w:sz w:val="20"/>
      <w:szCs w:val="20"/>
    </w:rPr>
  </w:style>
  <w:style w:type="paragraph" w:customStyle="1" w:styleId="241">
    <w:name w:val="toc 87"/>
    <w:next w:val="1"/>
    <w:qFormat/>
    <w:uiPriority w:val="0"/>
    <w:pPr>
      <w:wordWrap w:val="0"/>
      <w:ind w:left="2975"/>
      <w:jc w:val="both"/>
    </w:pPr>
    <w:rPr>
      <w:rFonts w:ascii="Calibri" w:hAnsi="Calibri" w:eastAsia="宋体" w:cs="Times New Roman"/>
      <w:sz w:val="21"/>
      <w:lang w:val="en-US" w:eastAsia="zh-CN" w:bidi="ar-SA"/>
    </w:rPr>
  </w:style>
  <w:style w:type="paragraph" w:customStyle="1" w:styleId="242">
    <w:name w:val="toc 11"/>
    <w:next w:val="1"/>
    <w:qFormat/>
    <w:uiPriority w:val="0"/>
    <w:pPr>
      <w:wordWrap w:val="0"/>
      <w:jc w:val="both"/>
    </w:pPr>
    <w:rPr>
      <w:rFonts w:ascii="Calibri" w:hAnsi="Calibri" w:eastAsia="宋体" w:cs="Times New Roman"/>
      <w:sz w:val="21"/>
      <w:lang w:val="en-US" w:eastAsia="zh-CN" w:bidi="ar-SA"/>
    </w:rPr>
  </w:style>
  <w:style w:type="paragraph" w:customStyle="1" w:styleId="243">
    <w:name w:val="toc 410"/>
    <w:next w:val="1"/>
    <w:qFormat/>
    <w:uiPriority w:val="0"/>
    <w:pPr>
      <w:wordWrap w:val="0"/>
      <w:ind w:left="1275"/>
      <w:jc w:val="both"/>
    </w:pPr>
    <w:rPr>
      <w:rFonts w:ascii="Calibri" w:hAnsi="Calibri" w:eastAsia="宋体" w:cs="Times New Roman"/>
      <w:sz w:val="21"/>
      <w:lang w:val="en-US" w:eastAsia="zh-CN" w:bidi="ar-SA"/>
    </w:rPr>
  </w:style>
  <w:style w:type="paragraph" w:customStyle="1" w:styleId="244">
    <w:name w:val="toc 611"/>
    <w:next w:val="1"/>
    <w:qFormat/>
    <w:uiPriority w:val="0"/>
    <w:pPr>
      <w:wordWrap w:val="0"/>
      <w:ind w:left="2125"/>
      <w:jc w:val="both"/>
    </w:pPr>
    <w:rPr>
      <w:rFonts w:ascii="Calibri" w:hAnsi="Calibri" w:eastAsia="宋体" w:cs="Times New Roman"/>
      <w:sz w:val="21"/>
      <w:lang w:val="en-US" w:eastAsia="zh-CN" w:bidi="ar-SA"/>
    </w:rPr>
  </w:style>
  <w:style w:type="paragraph" w:customStyle="1" w:styleId="245">
    <w:name w:val="xl112"/>
    <w:basedOn w:val="1"/>
    <w:next w:val="244"/>
    <w:qFormat/>
    <w:uiPriority w:val="0"/>
    <w:pPr>
      <w:widowControl/>
      <w:shd w:val="clear" w:color="000000" w:fill="FFFFFF"/>
      <w:spacing w:before="280" w:after="280"/>
      <w:jc w:val="center"/>
    </w:pPr>
    <w:rPr>
      <w:rFonts w:ascii="宋体" w:hAnsi="Calibri"/>
      <w:b/>
      <w:kern w:val="0"/>
      <w:sz w:val="20"/>
      <w:szCs w:val="20"/>
    </w:rPr>
  </w:style>
  <w:style w:type="paragraph" w:customStyle="1" w:styleId="246">
    <w:name w:val="toc 514"/>
    <w:next w:val="1"/>
    <w:qFormat/>
    <w:uiPriority w:val="0"/>
    <w:pPr>
      <w:wordWrap w:val="0"/>
      <w:ind w:left="1700"/>
      <w:jc w:val="both"/>
    </w:pPr>
    <w:rPr>
      <w:rFonts w:ascii="Calibri" w:hAnsi="Calibri" w:eastAsia="宋体" w:cs="Times New Roman"/>
      <w:sz w:val="21"/>
      <w:lang w:val="en-US" w:eastAsia="zh-CN" w:bidi="ar-SA"/>
    </w:rPr>
  </w:style>
  <w:style w:type="paragraph" w:customStyle="1" w:styleId="247">
    <w:name w:val="toc 44"/>
    <w:next w:val="1"/>
    <w:qFormat/>
    <w:uiPriority w:val="0"/>
    <w:pPr>
      <w:wordWrap w:val="0"/>
      <w:ind w:left="1275"/>
      <w:jc w:val="both"/>
    </w:pPr>
    <w:rPr>
      <w:rFonts w:ascii="Calibri" w:hAnsi="Calibri" w:eastAsia="宋体" w:cs="Times New Roman"/>
      <w:sz w:val="21"/>
      <w:lang w:val="en-US" w:eastAsia="zh-CN" w:bidi="ar-SA"/>
    </w:rPr>
  </w:style>
  <w:style w:type="paragraph" w:customStyle="1" w:styleId="248">
    <w:name w:val="toc 412"/>
    <w:next w:val="1"/>
    <w:qFormat/>
    <w:uiPriority w:val="0"/>
    <w:pPr>
      <w:wordWrap w:val="0"/>
      <w:ind w:left="1275"/>
      <w:jc w:val="both"/>
    </w:pPr>
    <w:rPr>
      <w:rFonts w:ascii="Calibri" w:hAnsi="Calibri" w:eastAsia="宋体" w:cs="Times New Roman"/>
      <w:sz w:val="21"/>
      <w:lang w:val="en-US" w:eastAsia="zh-CN" w:bidi="ar-SA"/>
    </w:rPr>
  </w:style>
  <w:style w:type="paragraph" w:customStyle="1" w:styleId="249">
    <w:name w:val="xl74"/>
    <w:basedOn w:val="1"/>
    <w:next w:val="250"/>
    <w:qFormat/>
    <w:uiPriority w:val="0"/>
    <w:pPr>
      <w:widowControl/>
      <w:shd w:val="clear" w:color="000000" w:fill="FFFFFF"/>
      <w:spacing w:before="280" w:after="280"/>
    </w:pPr>
    <w:rPr>
      <w:rFonts w:ascii="宋体" w:hAnsi="Calibri"/>
      <w:kern w:val="0"/>
      <w:sz w:val="20"/>
      <w:szCs w:val="20"/>
    </w:rPr>
  </w:style>
  <w:style w:type="paragraph" w:customStyle="1" w:styleId="250">
    <w:name w:val="toc 57"/>
    <w:next w:val="1"/>
    <w:qFormat/>
    <w:uiPriority w:val="0"/>
    <w:pPr>
      <w:wordWrap w:val="0"/>
      <w:ind w:left="1700"/>
      <w:jc w:val="both"/>
    </w:pPr>
    <w:rPr>
      <w:rFonts w:ascii="Calibri" w:hAnsi="Calibri" w:eastAsia="宋体" w:cs="Times New Roman"/>
      <w:sz w:val="21"/>
      <w:lang w:val="en-US" w:eastAsia="zh-CN" w:bidi="ar-SA"/>
    </w:rPr>
  </w:style>
  <w:style w:type="paragraph" w:customStyle="1" w:styleId="251">
    <w:name w:val="toc 912"/>
    <w:next w:val="1"/>
    <w:qFormat/>
    <w:uiPriority w:val="0"/>
    <w:pPr>
      <w:wordWrap w:val="0"/>
      <w:ind w:left="3400"/>
      <w:jc w:val="both"/>
    </w:pPr>
    <w:rPr>
      <w:rFonts w:ascii="Calibri" w:hAnsi="Calibri" w:eastAsia="宋体" w:cs="Times New Roman"/>
      <w:sz w:val="21"/>
      <w:lang w:val="en-US" w:eastAsia="zh-CN" w:bidi="ar-SA"/>
    </w:rPr>
  </w:style>
  <w:style w:type="paragraph" w:customStyle="1" w:styleId="252">
    <w:name w:val="toc 91"/>
    <w:next w:val="1"/>
    <w:qFormat/>
    <w:uiPriority w:val="0"/>
    <w:pPr>
      <w:wordWrap w:val="0"/>
      <w:ind w:left="3400"/>
      <w:jc w:val="both"/>
    </w:pPr>
    <w:rPr>
      <w:rFonts w:ascii="Calibri" w:hAnsi="Calibri" w:eastAsia="宋体" w:cs="Times New Roman"/>
      <w:sz w:val="21"/>
      <w:lang w:val="en-US" w:eastAsia="zh-CN" w:bidi="ar-SA"/>
    </w:rPr>
  </w:style>
  <w:style w:type="paragraph" w:customStyle="1" w:styleId="253">
    <w:name w:val="toc 38"/>
    <w:next w:val="1"/>
    <w:qFormat/>
    <w:uiPriority w:val="0"/>
    <w:pPr>
      <w:wordWrap w:val="0"/>
      <w:ind w:left="850"/>
      <w:jc w:val="both"/>
    </w:pPr>
    <w:rPr>
      <w:rFonts w:ascii="Calibri" w:hAnsi="Calibri" w:eastAsia="宋体" w:cs="Times New Roman"/>
      <w:sz w:val="21"/>
      <w:lang w:val="en-US" w:eastAsia="zh-CN" w:bidi="ar-SA"/>
    </w:rPr>
  </w:style>
  <w:style w:type="paragraph" w:customStyle="1" w:styleId="254">
    <w:name w:val="toc 95"/>
    <w:next w:val="1"/>
    <w:qFormat/>
    <w:uiPriority w:val="0"/>
    <w:pPr>
      <w:wordWrap w:val="0"/>
      <w:ind w:left="3400"/>
      <w:jc w:val="both"/>
    </w:pPr>
    <w:rPr>
      <w:rFonts w:ascii="Calibri" w:hAnsi="Calibri" w:eastAsia="宋体" w:cs="Times New Roman"/>
      <w:sz w:val="21"/>
      <w:lang w:val="en-US" w:eastAsia="zh-CN" w:bidi="ar-SA"/>
    </w:rPr>
  </w:style>
  <w:style w:type="paragraph" w:customStyle="1" w:styleId="255">
    <w:name w:val="列出段落5"/>
    <w:basedOn w:val="1"/>
    <w:next w:val="256"/>
    <w:qFormat/>
    <w:uiPriority w:val="0"/>
    <w:pPr>
      <w:ind w:firstLine="420"/>
    </w:pPr>
    <w:rPr>
      <w:rFonts w:hAnsi="Calibri"/>
      <w:kern w:val="0"/>
      <w:szCs w:val="20"/>
    </w:rPr>
  </w:style>
  <w:style w:type="paragraph" w:customStyle="1" w:styleId="256">
    <w:name w:val="toc 312"/>
    <w:next w:val="1"/>
    <w:qFormat/>
    <w:uiPriority w:val="0"/>
    <w:pPr>
      <w:wordWrap w:val="0"/>
      <w:ind w:left="850"/>
      <w:jc w:val="both"/>
    </w:pPr>
    <w:rPr>
      <w:rFonts w:ascii="Calibri" w:hAnsi="Calibri" w:eastAsia="宋体" w:cs="Times New Roman"/>
      <w:sz w:val="21"/>
      <w:lang w:val="en-US" w:eastAsia="zh-CN" w:bidi="ar-SA"/>
    </w:rPr>
  </w:style>
  <w:style w:type="paragraph" w:customStyle="1" w:styleId="257">
    <w:name w:val="xl66"/>
    <w:basedOn w:val="1"/>
    <w:next w:val="258"/>
    <w:qFormat/>
    <w:uiPriority w:val="0"/>
    <w:pPr>
      <w:widowControl/>
      <w:shd w:val="clear" w:color="000000" w:fill="FFFFFF"/>
      <w:spacing w:before="280" w:after="280"/>
    </w:pPr>
    <w:rPr>
      <w:rFonts w:ascii="宋体" w:hAnsi="Calibri"/>
      <w:kern w:val="0"/>
      <w:sz w:val="20"/>
      <w:szCs w:val="20"/>
    </w:rPr>
  </w:style>
  <w:style w:type="paragraph" w:customStyle="1" w:styleId="258">
    <w:name w:val="toc 56"/>
    <w:next w:val="1"/>
    <w:qFormat/>
    <w:uiPriority w:val="0"/>
    <w:pPr>
      <w:wordWrap w:val="0"/>
      <w:ind w:left="1700"/>
      <w:jc w:val="both"/>
    </w:pPr>
    <w:rPr>
      <w:rFonts w:ascii="Calibri" w:hAnsi="Calibri" w:eastAsia="宋体" w:cs="Times New Roman"/>
      <w:sz w:val="21"/>
      <w:lang w:val="en-US" w:eastAsia="zh-CN" w:bidi="ar-SA"/>
    </w:rPr>
  </w:style>
  <w:style w:type="paragraph" w:customStyle="1" w:styleId="259">
    <w:name w:val="TOC Heading3"/>
    <w:next w:val="1"/>
    <w:qFormat/>
    <w:uiPriority w:val="0"/>
    <w:pPr>
      <w:wordWrap w:val="0"/>
    </w:pPr>
    <w:rPr>
      <w:rFonts w:ascii="Calibri" w:hAnsi="Calibri" w:eastAsia="宋体" w:cs="Times New Roman"/>
      <w:sz w:val="32"/>
      <w:lang w:val="en-US" w:eastAsia="zh-CN" w:bidi="ar-SA"/>
    </w:rPr>
  </w:style>
  <w:style w:type="paragraph" w:customStyle="1" w:styleId="260">
    <w:name w:val="toc 65"/>
    <w:next w:val="1"/>
    <w:qFormat/>
    <w:uiPriority w:val="0"/>
    <w:pPr>
      <w:wordWrap w:val="0"/>
      <w:ind w:left="2125"/>
      <w:jc w:val="both"/>
    </w:pPr>
    <w:rPr>
      <w:rFonts w:ascii="Calibri" w:hAnsi="Calibri" w:eastAsia="宋体" w:cs="Times New Roman"/>
      <w:sz w:val="21"/>
      <w:lang w:val="en-US" w:eastAsia="zh-CN" w:bidi="ar-SA"/>
    </w:rPr>
  </w:style>
  <w:style w:type="paragraph" w:customStyle="1" w:styleId="261">
    <w:name w:val="toc 25"/>
    <w:next w:val="1"/>
    <w:qFormat/>
    <w:uiPriority w:val="0"/>
    <w:pPr>
      <w:wordWrap w:val="0"/>
      <w:ind w:left="425"/>
      <w:jc w:val="both"/>
    </w:pPr>
    <w:rPr>
      <w:rFonts w:ascii="Calibri" w:hAnsi="Calibri" w:eastAsia="宋体" w:cs="Times New Roman"/>
      <w:sz w:val="21"/>
      <w:lang w:val="en-US" w:eastAsia="zh-CN" w:bidi="ar-SA"/>
    </w:rPr>
  </w:style>
  <w:style w:type="paragraph" w:customStyle="1" w:styleId="262">
    <w:name w:val="xl84"/>
    <w:basedOn w:val="1"/>
    <w:next w:val="263"/>
    <w:qFormat/>
    <w:uiPriority w:val="0"/>
    <w:pPr>
      <w:widowControl/>
      <w:shd w:val="clear" w:color="000000" w:fill="FFFFFF"/>
      <w:spacing w:before="280" w:after="280"/>
      <w:jc w:val="center"/>
    </w:pPr>
    <w:rPr>
      <w:rFonts w:ascii="宋体" w:hAnsi="Calibri"/>
      <w:kern w:val="0"/>
      <w:sz w:val="20"/>
      <w:szCs w:val="20"/>
    </w:rPr>
  </w:style>
  <w:style w:type="paragraph" w:customStyle="1" w:styleId="263">
    <w:name w:val="toc 99"/>
    <w:next w:val="1"/>
    <w:qFormat/>
    <w:uiPriority w:val="0"/>
    <w:pPr>
      <w:wordWrap w:val="0"/>
      <w:ind w:left="3400"/>
      <w:jc w:val="both"/>
    </w:pPr>
    <w:rPr>
      <w:rFonts w:ascii="Calibri" w:hAnsi="Calibri" w:eastAsia="宋体" w:cs="Times New Roman"/>
      <w:sz w:val="21"/>
      <w:lang w:val="en-US" w:eastAsia="zh-CN" w:bidi="ar-SA"/>
    </w:rPr>
  </w:style>
  <w:style w:type="paragraph" w:customStyle="1" w:styleId="264">
    <w:name w:val="xl81"/>
    <w:basedOn w:val="1"/>
    <w:next w:val="265"/>
    <w:qFormat/>
    <w:uiPriority w:val="0"/>
    <w:pPr>
      <w:widowControl/>
      <w:shd w:val="clear" w:color="000000" w:fill="FFFFFF"/>
      <w:spacing w:before="280" w:after="280"/>
    </w:pPr>
    <w:rPr>
      <w:rFonts w:ascii="宋体" w:hAnsi="Calibri"/>
      <w:kern w:val="0"/>
      <w:sz w:val="20"/>
      <w:szCs w:val="20"/>
    </w:rPr>
  </w:style>
  <w:style w:type="paragraph" w:customStyle="1" w:styleId="265">
    <w:name w:val="toc 59"/>
    <w:next w:val="1"/>
    <w:qFormat/>
    <w:uiPriority w:val="0"/>
    <w:pPr>
      <w:wordWrap w:val="0"/>
      <w:ind w:left="1700"/>
      <w:jc w:val="both"/>
    </w:pPr>
    <w:rPr>
      <w:rFonts w:ascii="Calibri" w:hAnsi="Calibri" w:eastAsia="宋体" w:cs="Times New Roman"/>
      <w:sz w:val="21"/>
      <w:lang w:val="en-US" w:eastAsia="zh-CN" w:bidi="ar-SA"/>
    </w:rPr>
  </w:style>
  <w:style w:type="paragraph" w:customStyle="1" w:styleId="266">
    <w:name w:val="目录 11"/>
    <w:next w:val="1"/>
    <w:qFormat/>
    <w:uiPriority w:val="0"/>
    <w:pPr>
      <w:wordWrap w:val="0"/>
      <w:jc w:val="both"/>
    </w:pPr>
    <w:rPr>
      <w:rFonts w:ascii="Calibri" w:hAnsi="Calibri" w:eastAsia="宋体" w:cs="Times New Roman"/>
      <w:sz w:val="21"/>
      <w:lang w:val="en-US" w:eastAsia="zh-CN" w:bidi="ar-SA"/>
    </w:rPr>
  </w:style>
  <w:style w:type="paragraph" w:customStyle="1" w:styleId="267">
    <w:name w:val="toc 513"/>
    <w:next w:val="1"/>
    <w:qFormat/>
    <w:uiPriority w:val="0"/>
    <w:pPr>
      <w:wordWrap w:val="0"/>
      <w:ind w:left="1700"/>
      <w:jc w:val="both"/>
    </w:pPr>
    <w:rPr>
      <w:rFonts w:ascii="Calibri" w:hAnsi="Calibri" w:eastAsia="宋体" w:cs="Times New Roman"/>
      <w:sz w:val="21"/>
      <w:lang w:val="en-US" w:eastAsia="zh-CN" w:bidi="ar-SA"/>
    </w:rPr>
  </w:style>
  <w:style w:type="paragraph" w:customStyle="1" w:styleId="268">
    <w:name w:val="TOC Heading12"/>
    <w:next w:val="1"/>
    <w:qFormat/>
    <w:uiPriority w:val="0"/>
    <w:pPr>
      <w:wordWrap w:val="0"/>
    </w:pPr>
    <w:rPr>
      <w:rFonts w:ascii="Calibri" w:hAnsi="Calibri" w:eastAsia="宋体" w:cs="Times New Roman"/>
      <w:sz w:val="32"/>
      <w:lang w:val="en-US" w:eastAsia="zh-CN" w:bidi="ar-SA"/>
    </w:rPr>
  </w:style>
  <w:style w:type="paragraph" w:customStyle="1" w:styleId="269">
    <w:name w:val="TOC Heading8"/>
    <w:next w:val="1"/>
    <w:qFormat/>
    <w:uiPriority w:val="0"/>
    <w:pPr>
      <w:wordWrap w:val="0"/>
    </w:pPr>
    <w:rPr>
      <w:rFonts w:ascii="Calibri" w:hAnsi="Calibri" w:eastAsia="宋体" w:cs="Times New Roman"/>
      <w:sz w:val="32"/>
      <w:lang w:val="en-US" w:eastAsia="zh-CN" w:bidi="ar-SA"/>
    </w:rPr>
  </w:style>
  <w:style w:type="paragraph" w:customStyle="1" w:styleId="270">
    <w:name w:val="toc 711"/>
    <w:next w:val="1"/>
    <w:qFormat/>
    <w:uiPriority w:val="0"/>
    <w:pPr>
      <w:wordWrap w:val="0"/>
      <w:ind w:left="2550"/>
      <w:jc w:val="both"/>
    </w:pPr>
    <w:rPr>
      <w:rFonts w:ascii="Calibri" w:hAnsi="Calibri" w:eastAsia="宋体" w:cs="Times New Roman"/>
      <w:sz w:val="21"/>
      <w:lang w:val="en-US" w:eastAsia="zh-CN" w:bidi="ar-SA"/>
    </w:rPr>
  </w:style>
  <w:style w:type="paragraph" w:customStyle="1" w:styleId="271">
    <w:name w:val="toc 212"/>
    <w:next w:val="1"/>
    <w:qFormat/>
    <w:uiPriority w:val="0"/>
    <w:pPr>
      <w:wordWrap w:val="0"/>
      <w:ind w:left="425"/>
      <w:jc w:val="both"/>
    </w:pPr>
    <w:rPr>
      <w:rFonts w:ascii="Calibri" w:hAnsi="Calibri" w:eastAsia="宋体" w:cs="Times New Roman"/>
      <w:sz w:val="21"/>
      <w:lang w:val="en-US" w:eastAsia="zh-CN" w:bidi="ar-SA"/>
    </w:rPr>
  </w:style>
  <w:style w:type="paragraph" w:customStyle="1" w:styleId="272">
    <w:name w:val="目录 21"/>
    <w:next w:val="1"/>
    <w:qFormat/>
    <w:uiPriority w:val="0"/>
    <w:pPr>
      <w:wordWrap w:val="0"/>
      <w:ind w:left="425"/>
      <w:jc w:val="both"/>
    </w:pPr>
    <w:rPr>
      <w:rFonts w:ascii="Calibri" w:hAnsi="Calibri" w:eastAsia="宋体" w:cs="Times New Roman"/>
      <w:sz w:val="21"/>
      <w:lang w:val="en-US" w:eastAsia="zh-CN" w:bidi="ar-SA"/>
    </w:rPr>
  </w:style>
  <w:style w:type="paragraph" w:customStyle="1" w:styleId="273">
    <w:name w:val="toc 45"/>
    <w:next w:val="1"/>
    <w:qFormat/>
    <w:uiPriority w:val="0"/>
    <w:pPr>
      <w:wordWrap w:val="0"/>
      <w:ind w:left="1275"/>
      <w:jc w:val="both"/>
    </w:pPr>
    <w:rPr>
      <w:rFonts w:ascii="Calibri" w:hAnsi="Calibri" w:eastAsia="宋体" w:cs="Times New Roman"/>
      <w:sz w:val="21"/>
      <w:lang w:val="en-US" w:eastAsia="zh-CN" w:bidi="ar-SA"/>
    </w:rPr>
  </w:style>
  <w:style w:type="paragraph" w:customStyle="1" w:styleId="274">
    <w:name w:val="xl116"/>
    <w:basedOn w:val="1"/>
    <w:next w:val="275"/>
    <w:qFormat/>
    <w:uiPriority w:val="0"/>
    <w:pPr>
      <w:widowControl/>
      <w:shd w:val="clear" w:color="000000" w:fill="FFFFFF"/>
      <w:spacing w:before="280" w:after="280"/>
      <w:jc w:val="center"/>
    </w:pPr>
    <w:rPr>
      <w:rFonts w:ascii="Arial Narrow" w:hAnsi="Calibri"/>
      <w:kern w:val="0"/>
      <w:sz w:val="20"/>
      <w:szCs w:val="20"/>
    </w:rPr>
  </w:style>
  <w:style w:type="paragraph" w:customStyle="1" w:styleId="275">
    <w:name w:val="toc 78"/>
    <w:next w:val="1"/>
    <w:qFormat/>
    <w:uiPriority w:val="0"/>
    <w:pPr>
      <w:wordWrap w:val="0"/>
      <w:ind w:left="2550"/>
      <w:jc w:val="both"/>
    </w:pPr>
    <w:rPr>
      <w:rFonts w:ascii="Calibri" w:hAnsi="Calibri" w:eastAsia="宋体" w:cs="Times New Roman"/>
      <w:sz w:val="21"/>
      <w:lang w:val="en-US" w:eastAsia="zh-CN" w:bidi="ar-SA"/>
    </w:rPr>
  </w:style>
  <w:style w:type="paragraph" w:customStyle="1" w:styleId="276">
    <w:name w:val="font8"/>
    <w:basedOn w:val="1"/>
    <w:next w:val="277"/>
    <w:qFormat/>
    <w:uiPriority w:val="0"/>
    <w:pPr>
      <w:widowControl/>
      <w:spacing w:before="280" w:after="280"/>
    </w:pPr>
    <w:rPr>
      <w:rFonts w:ascii="Arial" w:hAnsi="Calibri"/>
      <w:kern w:val="0"/>
      <w:sz w:val="20"/>
      <w:szCs w:val="20"/>
    </w:rPr>
  </w:style>
  <w:style w:type="paragraph" w:customStyle="1" w:styleId="277">
    <w:name w:val="TOC Heading11"/>
    <w:next w:val="1"/>
    <w:qFormat/>
    <w:uiPriority w:val="0"/>
    <w:pPr>
      <w:wordWrap w:val="0"/>
    </w:pPr>
    <w:rPr>
      <w:rFonts w:ascii="Calibri" w:hAnsi="Calibri" w:eastAsia="宋体" w:cs="Times New Roman"/>
      <w:sz w:val="32"/>
      <w:lang w:val="en-US" w:eastAsia="zh-CN" w:bidi="ar-SA"/>
    </w:rPr>
  </w:style>
  <w:style w:type="paragraph" w:customStyle="1" w:styleId="278">
    <w:name w:val="xl69"/>
    <w:basedOn w:val="1"/>
    <w:next w:val="279"/>
    <w:qFormat/>
    <w:uiPriority w:val="0"/>
    <w:pPr>
      <w:widowControl/>
      <w:shd w:val="clear" w:color="000000" w:fill="FFFFFF"/>
      <w:spacing w:before="280" w:after="280"/>
    </w:pPr>
    <w:rPr>
      <w:rFonts w:ascii="宋体" w:hAnsi="Calibri"/>
      <w:b/>
      <w:kern w:val="0"/>
      <w:sz w:val="20"/>
      <w:szCs w:val="20"/>
    </w:rPr>
  </w:style>
  <w:style w:type="paragraph" w:customStyle="1" w:styleId="279">
    <w:name w:val="toc 48"/>
    <w:next w:val="1"/>
    <w:qFormat/>
    <w:uiPriority w:val="0"/>
    <w:pPr>
      <w:wordWrap w:val="0"/>
      <w:ind w:left="1275"/>
      <w:jc w:val="both"/>
    </w:pPr>
    <w:rPr>
      <w:rFonts w:ascii="Calibri" w:hAnsi="Calibri" w:eastAsia="宋体" w:cs="Times New Roman"/>
      <w:sz w:val="21"/>
      <w:lang w:val="en-US" w:eastAsia="zh-CN" w:bidi="ar-SA"/>
    </w:rPr>
  </w:style>
  <w:style w:type="paragraph" w:customStyle="1" w:styleId="280">
    <w:name w:val="toc 813"/>
    <w:next w:val="1"/>
    <w:qFormat/>
    <w:uiPriority w:val="0"/>
    <w:pPr>
      <w:wordWrap w:val="0"/>
      <w:ind w:left="2975"/>
      <w:jc w:val="both"/>
    </w:pPr>
    <w:rPr>
      <w:rFonts w:ascii="Calibri" w:hAnsi="Calibri" w:eastAsia="宋体" w:cs="Times New Roman"/>
      <w:sz w:val="21"/>
      <w:lang w:val="en-US" w:eastAsia="zh-CN" w:bidi="ar-SA"/>
    </w:rPr>
  </w:style>
  <w:style w:type="paragraph" w:customStyle="1" w:styleId="281">
    <w:name w:val="目录 91"/>
    <w:next w:val="1"/>
    <w:qFormat/>
    <w:uiPriority w:val="0"/>
    <w:pPr>
      <w:wordWrap w:val="0"/>
      <w:ind w:left="3400"/>
      <w:jc w:val="both"/>
    </w:pPr>
    <w:rPr>
      <w:rFonts w:ascii="Calibri" w:hAnsi="Calibri" w:eastAsia="宋体" w:cs="Times New Roman"/>
      <w:sz w:val="21"/>
      <w:lang w:val="en-US" w:eastAsia="zh-CN" w:bidi="ar-SA"/>
    </w:rPr>
  </w:style>
  <w:style w:type="paragraph" w:customStyle="1" w:styleId="282">
    <w:name w:val="列出段落3"/>
    <w:basedOn w:val="1"/>
    <w:next w:val="283"/>
    <w:qFormat/>
    <w:uiPriority w:val="0"/>
    <w:pPr>
      <w:ind w:firstLine="420"/>
    </w:pPr>
    <w:rPr>
      <w:rFonts w:hAnsi="Calibri"/>
      <w:kern w:val="0"/>
      <w:szCs w:val="20"/>
    </w:rPr>
  </w:style>
  <w:style w:type="paragraph" w:customStyle="1" w:styleId="283">
    <w:name w:val="toc 213"/>
    <w:next w:val="1"/>
    <w:qFormat/>
    <w:uiPriority w:val="0"/>
    <w:pPr>
      <w:wordWrap w:val="0"/>
      <w:ind w:left="425"/>
      <w:jc w:val="both"/>
    </w:pPr>
    <w:rPr>
      <w:rFonts w:ascii="Calibri" w:hAnsi="Calibri" w:eastAsia="宋体" w:cs="Times New Roman"/>
      <w:sz w:val="21"/>
      <w:lang w:val="en-US" w:eastAsia="zh-CN" w:bidi="ar-SA"/>
    </w:rPr>
  </w:style>
  <w:style w:type="paragraph" w:customStyle="1" w:styleId="284">
    <w:name w:val="TOC 标题1"/>
    <w:next w:val="1"/>
    <w:qFormat/>
    <w:uiPriority w:val="0"/>
    <w:pPr>
      <w:wordWrap w:val="0"/>
    </w:pPr>
    <w:rPr>
      <w:rFonts w:ascii="Calibri" w:hAnsi="Calibri" w:eastAsia="宋体" w:cs="Times New Roman"/>
      <w:sz w:val="32"/>
      <w:lang w:val="en-US" w:eastAsia="zh-CN" w:bidi="ar-SA"/>
    </w:rPr>
  </w:style>
  <w:style w:type="paragraph" w:customStyle="1" w:styleId="285">
    <w:name w:val="TOC Heading5"/>
    <w:next w:val="1"/>
    <w:qFormat/>
    <w:uiPriority w:val="0"/>
    <w:pPr>
      <w:wordWrap w:val="0"/>
    </w:pPr>
    <w:rPr>
      <w:rFonts w:ascii="Calibri" w:hAnsi="Calibri" w:eastAsia="宋体" w:cs="Times New Roman"/>
      <w:sz w:val="32"/>
      <w:lang w:val="en-US" w:eastAsia="zh-CN" w:bidi="ar-SA"/>
    </w:rPr>
  </w:style>
  <w:style w:type="paragraph" w:customStyle="1" w:styleId="286">
    <w:name w:val="toc 313"/>
    <w:next w:val="1"/>
    <w:qFormat/>
    <w:uiPriority w:val="0"/>
    <w:pPr>
      <w:wordWrap w:val="0"/>
      <w:ind w:left="850"/>
      <w:jc w:val="both"/>
    </w:pPr>
    <w:rPr>
      <w:rFonts w:ascii="Calibri" w:hAnsi="Calibri" w:eastAsia="宋体" w:cs="Times New Roman"/>
      <w:sz w:val="21"/>
      <w:lang w:val="en-US" w:eastAsia="zh-CN" w:bidi="ar-SA"/>
    </w:rPr>
  </w:style>
  <w:style w:type="paragraph" w:customStyle="1" w:styleId="287">
    <w:name w:val="toc 716"/>
    <w:next w:val="1"/>
    <w:qFormat/>
    <w:uiPriority w:val="0"/>
    <w:pPr>
      <w:wordWrap w:val="0"/>
      <w:ind w:left="2550"/>
      <w:jc w:val="both"/>
    </w:pPr>
    <w:rPr>
      <w:rFonts w:ascii="Calibri" w:hAnsi="Calibri" w:eastAsia="宋体" w:cs="Times New Roman"/>
      <w:sz w:val="21"/>
      <w:lang w:val="en-US" w:eastAsia="zh-CN" w:bidi="ar-SA"/>
    </w:rPr>
  </w:style>
  <w:style w:type="paragraph" w:customStyle="1" w:styleId="288">
    <w:name w:val="xl115"/>
    <w:basedOn w:val="1"/>
    <w:next w:val="289"/>
    <w:qFormat/>
    <w:uiPriority w:val="0"/>
    <w:pPr>
      <w:widowControl/>
      <w:shd w:val="clear" w:color="000000" w:fill="FFFFFF"/>
      <w:spacing w:before="280" w:after="280"/>
      <w:jc w:val="center"/>
    </w:pPr>
    <w:rPr>
      <w:rFonts w:ascii="宋体" w:hAnsi="Calibri"/>
      <w:b/>
      <w:kern w:val="0"/>
      <w:sz w:val="20"/>
      <w:szCs w:val="20"/>
    </w:rPr>
  </w:style>
  <w:style w:type="paragraph" w:customStyle="1" w:styleId="289">
    <w:name w:val="toc 712"/>
    <w:next w:val="1"/>
    <w:qFormat/>
    <w:uiPriority w:val="0"/>
    <w:pPr>
      <w:wordWrap w:val="0"/>
      <w:ind w:left="2550"/>
      <w:jc w:val="both"/>
    </w:pPr>
    <w:rPr>
      <w:rFonts w:ascii="Calibri" w:hAnsi="Calibri" w:eastAsia="宋体" w:cs="Times New Roman"/>
      <w:sz w:val="21"/>
      <w:lang w:val="en-US" w:eastAsia="zh-CN" w:bidi="ar-SA"/>
    </w:rPr>
  </w:style>
  <w:style w:type="paragraph" w:customStyle="1" w:styleId="290">
    <w:name w:val="toc 64"/>
    <w:next w:val="1"/>
    <w:qFormat/>
    <w:uiPriority w:val="0"/>
    <w:pPr>
      <w:wordWrap w:val="0"/>
      <w:ind w:left="2125"/>
      <w:jc w:val="both"/>
    </w:pPr>
    <w:rPr>
      <w:rFonts w:ascii="Calibri" w:hAnsi="Calibri" w:eastAsia="宋体" w:cs="Times New Roman"/>
      <w:sz w:val="21"/>
      <w:lang w:val="en-US" w:eastAsia="zh-CN" w:bidi="ar-SA"/>
    </w:rPr>
  </w:style>
  <w:style w:type="paragraph" w:customStyle="1" w:styleId="291">
    <w:name w:val="toc 24"/>
    <w:next w:val="1"/>
    <w:qFormat/>
    <w:uiPriority w:val="0"/>
    <w:pPr>
      <w:wordWrap w:val="0"/>
      <w:ind w:left="425"/>
      <w:jc w:val="both"/>
    </w:pPr>
    <w:rPr>
      <w:rFonts w:ascii="Calibri" w:hAnsi="Calibri" w:eastAsia="宋体" w:cs="Times New Roman"/>
      <w:sz w:val="21"/>
      <w:lang w:val="en-US" w:eastAsia="zh-CN" w:bidi="ar-SA"/>
    </w:rPr>
  </w:style>
  <w:style w:type="paragraph" w:customStyle="1" w:styleId="292">
    <w:name w:val="toc 54"/>
    <w:next w:val="1"/>
    <w:qFormat/>
    <w:uiPriority w:val="0"/>
    <w:pPr>
      <w:wordWrap w:val="0"/>
      <w:ind w:left="1700"/>
      <w:jc w:val="both"/>
    </w:pPr>
    <w:rPr>
      <w:rFonts w:ascii="Calibri" w:hAnsi="Calibri" w:eastAsia="宋体" w:cs="Times New Roman"/>
      <w:sz w:val="21"/>
      <w:lang w:val="en-US" w:eastAsia="zh-CN" w:bidi="ar-SA"/>
    </w:rPr>
  </w:style>
  <w:style w:type="paragraph" w:customStyle="1" w:styleId="293">
    <w:name w:val="xl93"/>
    <w:basedOn w:val="1"/>
    <w:next w:val="294"/>
    <w:qFormat/>
    <w:uiPriority w:val="0"/>
    <w:pPr>
      <w:widowControl/>
      <w:shd w:val="clear" w:color="000000" w:fill="FFFFFF"/>
      <w:spacing w:before="280" w:after="280"/>
      <w:jc w:val="center"/>
    </w:pPr>
    <w:rPr>
      <w:rFonts w:ascii="宋体" w:hAnsi="Calibri"/>
      <w:kern w:val="0"/>
      <w:sz w:val="20"/>
      <w:szCs w:val="20"/>
    </w:rPr>
  </w:style>
  <w:style w:type="paragraph" w:customStyle="1" w:styleId="294">
    <w:name w:val="toc 112"/>
    <w:next w:val="1"/>
    <w:qFormat/>
    <w:uiPriority w:val="0"/>
    <w:pPr>
      <w:wordWrap w:val="0"/>
      <w:jc w:val="both"/>
    </w:pPr>
    <w:rPr>
      <w:rFonts w:ascii="Calibri" w:hAnsi="Calibri" w:eastAsia="宋体" w:cs="Times New Roman"/>
      <w:sz w:val="21"/>
      <w:lang w:val="en-US" w:eastAsia="zh-CN" w:bidi="ar-SA"/>
    </w:rPr>
  </w:style>
  <w:style w:type="paragraph" w:customStyle="1" w:styleId="295">
    <w:name w:val="xl96"/>
    <w:basedOn w:val="1"/>
    <w:next w:val="246"/>
    <w:qFormat/>
    <w:uiPriority w:val="0"/>
    <w:pPr>
      <w:widowControl/>
      <w:shd w:val="clear" w:color="000000" w:fill="FFFFFF"/>
      <w:spacing w:before="280" w:after="280"/>
      <w:jc w:val="center"/>
    </w:pPr>
    <w:rPr>
      <w:rFonts w:ascii="宋体" w:hAnsi="Calibri"/>
      <w:kern w:val="0"/>
      <w:sz w:val="20"/>
      <w:szCs w:val="20"/>
    </w:rPr>
  </w:style>
  <w:style w:type="paragraph" w:customStyle="1" w:styleId="296">
    <w:name w:val="xl106"/>
    <w:basedOn w:val="1"/>
    <w:next w:val="280"/>
    <w:qFormat/>
    <w:uiPriority w:val="0"/>
    <w:pPr>
      <w:widowControl/>
      <w:shd w:val="clear" w:color="000000" w:fill="FFFFFF"/>
      <w:spacing w:before="280" w:after="280"/>
    </w:pPr>
    <w:rPr>
      <w:rFonts w:ascii="宋体" w:hAnsi="Calibri"/>
      <w:kern w:val="0"/>
      <w:sz w:val="20"/>
      <w:szCs w:val="20"/>
    </w:rPr>
  </w:style>
  <w:style w:type="paragraph" w:customStyle="1" w:styleId="297">
    <w:name w:val="toc 35"/>
    <w:next w:val="1"/>
    <w:qFormat/>
    <w:uiPriority w:val="0"/>
    <w:pPr>
      <w:wordWrap w:val="0"/>
      <w:ind w:left="850"/>
      <w:jc w:val="both"/>
    </w:pPr>
    <w:rPr>
      <w:rFonts w:ascii="Calibri" w:hAnsi="Calibri" w:eastAsia="宋体" w:cs="Times New Roman"/>
      <w:sz w:val="21"/>
      <w:lang w:val="en-US" w:eastAsia="zh-CN" w:bidi="ar-SA"/>
    </w:rPr>
  </w:style>
  <w:style w:type="paragraph" w:customStyle="1" w:styleId="298">
    <w:name w:val="TOC Heading14"/>
    <w:next w:val="1"/>
    <w:qFormat/>
    <w:uiPriority w:val="0"/>
    <w:pPr>
      <w:wordWrap w:val="0"/>
    </w:pPr>
    <w:rPr>
      <w:rFonts w:ascii="Calibri" w:hAnsi="Calibri" w:eastAsia="宋体" w:cs="Times New Roman"/>
      <w:sz w:val="32"/>
      <w:lang w:val="en-US" w:eastAsia="zh-CN" w:bidi="ar-SA"/>
    </w:rPr>
  </w:style>
  <w:style w:type="paragraph" w:customStyle="1" w:styleId="299">
    <w:name w:val="Char Char Char Char Char Char Char1"/>
    <w:basedOn w:val="1"/>
    <w:next w:val="300"/>
    <w:qFormat/>
    <w:uiPriority w:val="0"/>
    <w:pPr>
      <w:widowControl/>
      <w:spacing w:after="160" w:line="240" w:lineRule="exact"/>
    </w:pPr>
    <w:rPr>
      <w:rFonts w:hAnsi="Calibri"/>
      <w:kern w:val="0"/>
      <w:szCs w:val="20"/>
    </w:rPr>
  </w:style>
  <w:style w:type="paragraph" w:customStyle="1" w:styleId="300">
    <w:name w:val="toc 67"/>
    <w:next w:val="1"/>
    <w:qFormat/>
    <w:uiPriority w:val="0"/>
    <w:pPr>
      <w:wordWrap w:val="0"/>
      <w:ind w:left="2125"/>
      <w:jc w:val="both"/>
    </w:pPr>
    <w:rPr>
      <w:rFonts w:ascii="Calibri" w:hAnsi="Calibri" w:eastAsia="宋体" w:cs="Times New Roman"/>
      <w:sz w:val="21"/>
      <w:lang w:val="en-US" w:eastAsia="zh-CN" w:bidi="ar-SA"/>
    </w:rPr>
  </w:style>
  <w:style w:type="paragraph" w:customStyle="1" w:styleId="301">
    <w:name w:val="列出段落4"/>
    <w:basedOn w:val="1"/>
    <w:next w:val="302"/>
    <w:qFormat/>
    <w:uiPriority w:val="0"/>
    <w:pPr>
      <w:ind w:firstLine="420"/>
    </w:pPr>
    <w:rPr>
      <w:rFonts w:hAnsi="Calibri"/>
      <w:kern w:val="0"/>
      <w:szCs w:val="20"/>
    </w:rPr>
  </w:style>
  <w:style w:type="paragraph" w:customStyle="1" w:styleId="302">
    <w:name w:val="TOC Heading9"/>
    <w:next w:val="1"/>
    <w:qFormat/>
    <w:uiPriority w:val="0"/>
    <w:pPr>
      <w:wordWrap w:val="0"/>
    </w:pPr>
    <w:rPr>
      <w:rFonts w:ascii="Calibri" w:hAnsi="Calibri" w:eastAsia="宋体" w:cs="Times New Roman"/>
      <w:sz w:val="32"/>
      <w:lang w:val="en-US" w:eastAsia="zh-CN" w:bidi="ar-SA"/>
    </w:rPr>
  </w:style>
  <w:style w:type="paragraph" w:customStyle="1" w:styleId="303">
    <w:name w:val="xl71"/>
    <w:basedOn w:val="1"/>
    <w:next w:val="304"/>
    <w:qFormat/>
    <w:uiPriority w:val="0"/>
    <w:pPr>
      <w:widowControl/>
      <w:shd w:val="clear" w:color="000000" w:fill="FFFFFF"/>
      <w:spacing w:before="280" w:after="280"/>
    </w:pPr>
    <w:rPr>
      <w:rFonts w:ascii="宋体" w:hAnsi="Calibri"/>
      <w:kern w:val="0"/>
      <w:sz w:val="24"/>
      <w:szCs w:val="20"/>
    </w:rPr>
  </w:style>
  <w:style w:type="paragraph" w:customStyle="1" w:styleId="304">
    <w:name w:val="toc 115"/>
    <w:next w:val="1"/>
    <w:qFormat/>
    <w:uiPriority w:val="0"/>
    <w:pPr>
      <w:wordWrap w:val="0"/>
      <w:jc w:val="both"/>
    </w:pPr>
    <w:rPr>
      <w:rFonts w:ascii="Calibri" w:hAnsi="Calibri" w:eastAsia="宋体" w:cs="Times New Roman"/>
      <w:sz w:val="21"/>
      <w:lang w:val="en-US" w:eastAsia="zh-CN" w:bidi="ar-SA"/>
    </w:rPr>
  </w:style>
  <w:style w:type="paragraph" w:customStyle="1" w:styleId="305">
    <w:name w:val="toc 51"/>
    <w:next w:val="1"/>
    <w:qFormat/>
    <w:uiPriority w:val="0"/>
    <w:pPr>
      <w:wordWrap w:val="0"/>
      <w:ind w:left="1700"/>
      <w:jc w:val="both"/>
    </w:pPr>
    <w:rPr>
      <w:rFonts w:ascii="Calibri" w:hAnsi="Calibri" w:eastAsia="宋体" w:cs="Times New Roman"/>
      <w:sz w:val="21"/>
      <w:lang w:val="en-US" w:eastAsia="zh-CN" w:bidi="ar-SA"/>
    </w:rPr>
  </w:style>
  <w:style w:type="paragraph" w:customStyle="1" w:styleId="306">
    <w:name w:val="toc 47"/>
    <w:next w:val="1"/>
    <w:qFormat/>
    <w:uiPriority w:val="0"/>
    <w:pPr>
      <w:wordWrap w:val="0"/>
      <w:ind w:left="1275"/>
      <w:jc w:val="both"/>
    </w:pPr>
    <w:rPr>
      <w:rFonts w:ascii="Calibri" w:hAnsi="Calibri" w:eastAsia="宋体" w:cs="Times New Roman"/>
      <w:sz w:val="21"/>
      <w:lang w:val="en-US" w:eastAsia="zh-CN" w:bidi="ar-SA"/>
    </w:rPr>
  </w:style>
  <w:style w:type="paragraph" w:customStyle="1" w:styleId="307">
    <w:name w:val="xl108"/>
    <w:basedOn w:val="1"/>
    <w:next w:val="308"/>
    <w:qFormat/>
    <w:uiPriority w:val="0"/>
    <w:pPr>
      <w:widowControl/>
      <w:shd w:val="clear" w:color="000000" w:fill="FFFFFF"/>
      <w:spacing w:before="280" w:after="280"/>
    </w:pPr>
    <w:rPr>
      <w:rFonts w:ascii="宋体" w:hAnsi="Calibri"/>
      <w:kern w:val="0"/>
      <w:sz w:val="18"/>
      <w:szCs w:val="20"/>
    </w:rPr>
  </w:style>
  <w:style w:type="paragraph" w:customStyle="1" w:styleId="308">
    <w:name w:val="toc 18"/>
    <w:next w:val="1"/>
    <w:qFormat/>
    <w:uiPriority w:val="0"/>
    <w:pPr>
      <w:wordWrap w:val="0"/>
      <w:jc w:val="both"/>
    </w:pPr>
    <w:rPr>
      <w:rFonts w:ascii="Calibri" w:hAnsi="Calibri" w:eastAsia="宋体" w:cs="Times New Roman"/>
      <w:sz w:val="21"/>
      <w:lang w:val="en-US" w:eastAsia="zh-CN" w:bidi="ar-SA"/>
    </w:rPr>
  </w:style>
  <w:style w:type="paragraph" w:customStyle="1" w:styleId="309">
    <w:name w:val="TOC Heading7"/>
    <w:next w:val="1"/>
    <w:qFormat/>
    <w:uiPriority w:val="0"/>
    <w:pPr>
      <w:wordWrap w:val="0"/>
    </w:pPr>
    <w:rPr>
      <w:rFonts w:ascii="Calibri" w:hAnsi="Calibri" w:eastAsia="宋体" w:cs="Times New Roman"/>
      <w:sz w:val="32"/>
      <w:lang w:val="en-US" w:eastAsia="zh-CN" w:bidi="ar-SA"/>
    </w:rPr>
  </w:style>
  <w:style w:type="character" w:customStyle="1" w:styleId="310">
    <w:name w:val="副标题 Char"/>
    <w:basedOn w:val="46"/>
    <w:link w:val="31"/>
    <w:qFormat/>
    <w:uiPriority w:val="0"/>
    <w:rPr>
      <w:rFonts w:ascii="Calibri" w:hAnsi="Calibri"/>
      <w:sz w:val="24"/>
    </w:rPr>
  </w:style>
  <w:style w:type="paragraph" w:customStyle="1" w:styleId="311">
    <w:name w:val="目录 71"/>
    <w:next w:val="1"/>
    <w:qFormat/>
    <w:uiPriority w:val="0"/>
    <w:pPr>
      <w:wordWrap w:val="0"/>
      <w:ind w:left="2550"/>
      <w:jc w:val="both"/>
    </w:pPr>
    <w:rPr>
      <w:rFonts w:ascii="Calibri" w:hAnsi="Calibri" w:eastAsia="宋体" w:cs="Times New Roman"/>
      <w:sz w:val="21"/>
      <w:lang w:val="en-US" w:eastAsia="zh-CN" w:bidi="ar-SA"/>
    </w:rPr>
  </w:style>
  <w:style w:type="paragraph" w:customStyle="1" w:styleId="312">
    <w:name w:val="toc 413"/>
    <w:next w:val="1"/>
    <w:qFormat/>
    <w:uiPriority w:val="0"/>
    <w:pPr>
      <w:wordWrap w:val="0"/>
      <w:ind w:left="1275"/>
      <w:jc w:val="both"/>
    </w:pPr>
    <w:rPr>
      <w:rFonts w:ascii="Calibri" w:hAnsi="Calibri" w:eastAsia="宋体" w:cs="Times New Roman"/>
      <w:sz w:val="21"/>
      <w:lang w:val="en-US" w:eastAsia="zh-CN" w:bidi="ar-SA"/>
    </w:rPr>
  </w:style>
  <w:style w:type="paragraph" w:customStyle="1" w:styleId="313">
    <w:name w:val="toc 85"/>
    <w:next w:val="1"/>
    <w:qFormat/>
    <w:uiPriority w:val="0"/>
    <w:pPr>
      <w:wordWrap w:val="0"/>
      <w:ind w:left="2975"/>
      <w:jc w:val="both"/>
    </w:pPr>
    <w:rPr>
      <w:rFonts w:ascii="Calibri" w:hAnsi="Calibri" w:eastAsia="宋体" w:cs="Times New Roman"/>
      <w:sz w:val="21"/>
      <w:lang w:val="en-US" w:eastAsia="zh-CN" w:bidi="ar-SA"/>
    </w:rPr>
  </w:style>
  <w:style w:type="paragraph" w:customStyle="1" w:styleId="314">
    <w:name w:val="列出段落6"/>
    <w:basedOn w:val="1"/>
    <w:next w:val="315"/>
    <w:qFormat/>
    <w:uiPriority w:val="0"/>
    <w:pPr>
      <w:ind w:firstLine="420"/>
    </w:pPr>
    <w:rPr>
      <w:rFonts w:hAnsi="Calibri"/>
      <w:kern w:val="0"/>
      <w:szCs w:val="20"/>
    </w:rPr>
  </w:style>
  <w:style w:type="paragraph" w:customStyle="1" w:styleId="315">
    <w:name w:val="toc 86"/>
    <w:next w:val="1"/>
    <w:qFormat/>
    <w:uiPriority w:val="0"/>
    <w:pPr>
      <w:wordWrap w:val="0"/>
      <w:ind w:left="2975"/>
      <w:jc w:val="both"/>
    </w:pPr>
    <w:rPr>
      <w:rFonts w:ascii="Calibri" w:hAnsi="Calibri" w:eastAsia="宋体" w:cs="Times New Roman"/>
      <w:sz w:val="21"/>
      <w:lang w:val="en-US" w:eastAsia="zh-CN" w:bidi="ar-SA"/>
    </w:rPr>
  </w:style>
  <w:style w:type="paragraph" w:customStyle="1" w:styleId="316">
    <w:name w:val="xl80"/>
    <w:basedOn w:val="1"/>
    <w:next w:val="317"/>
    <w:qFormat/>
    <w:uiPriority w:val="0"/>
    <w:pPr>
      <w:widowControl/>
      <w:shd w:val="clear" w:color="000000" w:fill="FFFFFF"/>
      <w:spacing w:before="280" w:after="280"/>
      <w:jc w:val="center"/>
    </w:pPr>
    <w:rPr>
      <w:rFonts w:ascii="宋体" w:hAnsi="Calibri"/>
      <w:b/>
      <w:kern w:val="0"/>
      <w:sz w:val="20"/>
      <w:szCs w:val="20"/>
    </w:rPr>
  </w:style>
  <w:style w:type="paragraph" w:customStyle="1" w:styleId="317">
    <w:name w:val="toc 49"/>
    <w:next w:val="1"/>
    <w:qFormat/>
    <w:uiPriority w:val="0"/>
    <w:pPr>
      <w:wordWrap w:val="0"/>
      <w:ind w:left="1275"/>
      <w:jc w:val="both"/>
    </w:pPr>
    <w:rPr>
      <w:rFonts w:ascii="Calibri" w:hAnsi="Calibri" w:eastAsia="宋体" w:cs="Times New Roman"/>
      <w:sz w:val="21"/>
      <w:lang w:val="en-US" w:eastAsia="zh-CN" w:bidi="ar-SA"/>
    </w:rPr>
  </w:style>
  <w:style w:type="paragraph" w:customStyle="1" w:styleId="318">
    <w:name w:val="Char Char Char Char1"/>
    <w:basedOn w:val="1"/>
    <w:next w:val="319"/>
    <w:qFormat/>
    <w:uiPriority w:val="0"/>
    <w:pPr>
      <w:widowControl/>
      <w:spacing w:after="160" w:line="240" w:lineRule="exact"/>
    </w:pPr>
    <w:rPr>
      <w:rFonts w:ascii="Verdana" w:hAnsi="Calibri" w:eastAsia="仿宋_GB2312"/>
      <w:kern w:val="0"/>
      <w:sz w:val="24"/>
      <w:szCs w:val="20"/>
    </w:rPr>
  </w:style>
  <w:style w:type="paragraph" w:customStyle="1" w:styleId="319">
    <w:name w:val="toc 713"/>
    <w:next w:val="1"/>
    <w:qFormat/>
    <w:uiPriority w:val="0"/>
    <w:pPr>
      <w:wordWrap w:val="0"/>
      <w:ind w:left="2550"/>
      <w:jc w:val="both"/>
    </w:pPr>
    <w:rPr>
      <w:rFonts w:ascii="Calibri" w:hAnsi="Calibri" w:eastAsia="宋体" w:cs="Times New Roman"/>
      <w:sz w:val="21"/>
      <w:lang w:val="en-US" w:eastAsia="zh-CN" w:bidi="ar-SA"/>
    </w:rPr>
  </w:style>
  <w:style w:type="paragraph" w:customStyle="1" w:styleId="320">
    <w:name w:val="xl102"/>
    <w:basedOn w:val="1"/>
    <w:next w:val="321"/>
    <w:qFormat/>
    <w:uiPriority w:val="0"/>
    <w:pPr>
      <w:widowControl/>
      <w:shd w:val="clear" w:color="000000" w:fill="FFFFFF"/>
      <w:spacing w:before="280" w:after="280"/>
      <w:jc w:val="right"/>
    </w:pPr>
    <w:rPr>
      <w:rFonts w:ascii="宋体" w:hAnsi="Calibri"/>
      <w:kern w:val="0"/>
      <w:sz w:val="20"/>
      <w:szCs w:val="20"/>
    </w:rPr>
  </w:style>
  <w:style w:type="paragraph" w:customStyle="1" w:styleId="321">
    <w:name w:val="toc 17"/>
    <w:next w:val="1"/>
    <w:qFormat/>
    <w:uiPriority w:val="0"/>
    <w:pPr>
      <w:wordWrap w:val="0"/>
      <w:jc w:val="both"/>
    </w:pPr>
    <w:rPr>
      <w:rFonts w:ascii="Calibri" w:hAnsi="Calibri" w:eastAsia="宋体" w:cs="Times New Roman"/>
      <w:sz w:val="21"/>
      <w:lang w:val="en-US" w:eastAsia="zh-CN" w:bidi="ar-SA"/>
    </w:rPr>
  </w:style>
  <w:style w:type="paragraph" w:customStyle="1" w:styleId="322">
    <w:name w:val="toc 46"/>
    <w:next w:val="1"/>
    <w:qFormat/>
    <w:uiPriority w:val="0"/>
    <w:pPr>
      <w:wordWrap w:val="0"/>
      <w:ind w:left="1275"/>
      <w:jc w:val="both"/>
    </w:pPr>
    <w:rPr>
      <w:rFonts w:ascii="Calibri" w:hAnsi="Calibri" w:eastAsia="宋体" w:cs="Times New Roman"/>
      <w:sz w:val="21"/>
      <w:lang w:val="en-US" w:eastAsia="zh-CN" w:bidi="ar-SA"/>
    </w:rPr>
  </w:style>
  <w:style w:type="paragraph" w:customStyle="1" w:styleId="323">
    <w:name w:val="toc 311"/>
    <w:next w:val="1"/>
    <w:qFormat/>
    <w:uiPriority w:val="0"/>
    <w:pPr>
      <w:wordWrap w:val="0"/>
      <w:ind w:left="850"/>
      <w:jc w:val="both"/>
    </w:pPr>
    <w:rPr>
      <w:rFonts w:ascii="Calibri" w:hAnsi="Calibri" w:eastAsia="宋体" w:cs="Times New Roman"/>
      <w:sz w:val="21"/>
      <w:lang w:val="en-US" w:eastAsia="zh-CN" w:bidi="ar-SA"/>
    </w:rPr>
  </w:style>
  <w:style w:type="paragraph" w:customStyle="1" w:styleId="324">
    <w:name w:val="xl65"/>
    <w:basedOn w:val="1"/>
    <w:next w:val="225"/>
    <w:qFormat/>
    <w:uiPriority w:val="0"/>
    <w:pPr>
      <w:widowControl/>
      <w:shd w:val="clear" w:color="000000" w:fill="FFFFFF"/>
      <w:spacing w:before="280" w:after="280"/>
      <w:jc w:val="center"/>
    </w:pPr>
    <w:rPr>
      <w:rFonts w:ascii="宋体" w:hAnsi="Calibri"/>
      <w:kern w:val="0"/>
      <w:sz w:val="20"/>
      <w:szCs w:val="20"/>
    </w:rPr>
  </w:style>
  <w:style w:type="paragraph" w:customStyle="1" w:styleId="325">
    <w:name w:val="toc 94"/>
    <w:next w:val="1"/>
    <w:qFormat/>
    <w:uiPriority w:val="0"/>
    <w:pPr>
      <w:wordWrap w:val="0"/>
      <w:ind w:left="3400"/>
      <w:jc w:val="both"/>
    </w:pPr>
    <w:rPr>
      <w:rFonts w:ascii="Calibri" w:hAnsi="Calibri" w:eastAsia="宋体" w:cs="Times New Roman"/>
      <w:sz w:val="21"/>
      <w:lang w:val="en-US" w:eastAsia="zh-CN" w:bidi="ar-SA"/>
    </w:rPr>
  </w:style>
  <w:style w:type="paragraph" w:customStyle="1" w:styleId="326">
    <w:name w:val="toc 55"/>
    <w:next w:val="1"/>
    <w:qFormat/>
    <w:uiPriority w:val="0"/>
    <w:pPr>
      <w:wordWrap w:val="0"/>
      <w:ind w:left="1700"/>
      <w:jc w:val="both"/>
    </w:pPr>
    <w:rPr>
      <w:rFonts w:ascii="Calibri" w:hAnsi="Calibri" w:eastAsia="宋体" w:cs="Times New Roman"/>
      <w:sz w:val="21"/>
      <w:lang w:val="en-US" w:eastAsia="zh-CN" w:bidi="ar-SA"/>
    </w:rPr>
  </w:style>
  <w:style w:type="paragraph" w:customStyle="1" w:styleId="327">
    <w:name w:val="toc 812"/>
    <w:next w:val="1"/>
    <w:qFormat/>
    <w:uiPriority w:val="0"/>
    <w:pPr>
      <w:wordWrap w:val="0"/>
      <w:ind w:left="2975"/>
      <w:jc w:val="both"/>
    </w:pPr>
    <w:rPr>
      <w:rFonts w:ascii="Calibri" w:hAnsi="Calibri" w:eastAsia="宋体" w:cs="Times New Roman"/>
      <w:sz w:val="21"/>
      <w:lang w:val="en-US" w:eastAsia="zh-CN" w:bidi="ar-SA"/>
    </w:rPr>
  </w:style>
  <w:style w:type="paragraph" w:customStyle="1" w:styleId="328">
    <w:name w:val="xl75"/>
    <w:basedOn w:val="1"/>
    <w:next w:val="329"/>
    <w:qFormat/>
    <w:uiPriority w:val="0"/>
    <w:pPr>
      <w:widowControl/>
      <w:shd w:val="clear" w:color="000000" w:fill="FFFFFF"/>
      <w:spacing w:before="280" w:after="280"/>
    </w:pPr>
    <w:rPr>
      <w:rFonts w:ascii="宋体" w:hAnsi="Calibri"/>
      <w:kern w:val="0"/>
      <w:sz w:val="20"/>
      <w:szCs w:val="20"/>
    </w:rPr>
  </w:style>
  <w:style w:type="paragraph" w:customStyle="1" w:styleId="329">
    <w:name w:val="toc 914"/>
    <w:next w:val="1"/>
    <w:qFormat/>
    <w:uiPriority w:val="0"/>
    <w:pPr>
      <w:wordWrap w:val="0"/>
      <w:ind w:left="3400"/>
      <w:jc w:val="both"/>
    </w:pPr>
    <w:rPr>
      <w:rFonts w:ascii="Calibri" w:hAnsi="Calibri" w:eastAsia="宋体" w:cs="Times New Roman"/>
      <w:sz w:val="21"/>
      <w:lang w:val="en-US" w:eastAsia="zh-CN" w:bidi="ar-SA"/>
    </w:rPr>
  </w:style>
  <w:style w:type="paragraph" w:customStyle="1" w:styleId="330">
    <w:name w:val="toc 19"/>
    <w:next w:val="1"/>
    <w:qFormat/>
    <w:uiPriority w:val="0"/>
    <w:pPr>
      <w:wordWrap w:val="0"/>
      <w:jc w:val="both"/>
    </w:pPr>
    <w:rPr>
      <w:rFonts w:ascii="Calibri" w:hAnsi="Calibri" w:eastAsia="宋体" w:cs="Times New Roman"/>
      <w:sz w:val="21"/>
      <w:lang w:val="en-US" w:eastAsia="zh-CN" w:bidi="ar-SA"/>
    </w:rPr>
  </w:style>
  <w:style w:type="paragraph" w:customStyle="1" w:styleId="331">
    <w:name w:val="TOC Heading6"/>
    <w:next w:val="1"/>
    <w:qFormat/>
    <w:uiPriority w:val="0"/>
    <w:pPr>
      <w:wordWrap w:val="0"/>
    </w:pPr>
    <w:rPr>
      <w:rFonts w:ascii="Calibri" w:hAnsi="Calibri" w:eastAsia="宋体" w:cs="Times New Roman"/>
      <w:sz w:val="32"/>
      <w:lang w:val="en-US" w:eastAsia="zh-CN" w:bidi="ar-SA"/>
    </w:rPr>
  </w:style>
  <w:style w:type="paragraph" w:customStyle="1" w:styleId="332">
    <w:name w:val="toc 52"/>
    <w:next w:val="1"/>
    <w:qFormat/>
    <w:uiPriority w:val="0"/>
    <w:pPr>
      <w:wordWrap w:val="0"/>
      <w:ind w:left="1700"/>
      <w:jc w:val="both"/>
    </w:pPr>
    <w:rPr>
      <w:rFonts w:ascii="Calibri" w:hAnsi="Calibri" w:eastAsia="宋体" w:cs="Times New Roman"/>
      <w:sz w:val="21"/>
      <w:lang w:val="en-US" w:eastAsia="zh-CN" w:bidi="ar-SA"/>
    </w:rPr>
  </w:style>
  <w:style w:type="paragraph" w:customStyle="1" w:styleId="333">
    <w:name w:val="toc 36"/>
    <w:next w:val="1"/>
    <w:qFormat/>
    <w:uiPriority w:val="0"/>
    <w:pPr>
      <w:wordWrap w:val="0"/>
      <w:ind w:left="850"/>
      <w:jc w:val="both"/>
    </w:pPr>
    <w:rPr>
      <w:rFonts w:ascii="Calibri" w:hAnsi="Calibri" w:eastAsia="宋体" w:cs="Times New Roman"/>
      <w:sz w:val="21"/>
      <w:lang w:val="en-US" w:eastAsia="zh-CN" w:bidi="ar-SA"/>
    </w:rPr>
  </w:style>
  <w:style w:type="paragraph" w:customStyle="1" w:styleId="334">
    <w:name w:val="toc 82"/>
    <w:next w:val="1"/>
    <w:qFormat/>
    <w:uiPriority w:val="0"/>
    <w:pPr>
      <w:wordWrap w:val="0"/>
      <w:ind w:left="2975"/>
      <w:jc w:val="both"/>
    </w:pPr>
    <w:rPr>
      <w:rFonts w:ascii="Calibri" w:hAnsi="Calibri" w:eastAsia="宋体" w:cs="Times New Roman"/>
      <w:sz w:val="21"/>
      <w:lang w:val="en-US" w:eastAsia="zh-CN" w:bidi="ar-SA"/>
    </w:rPr>
  </w:style>
  <w:style w:type="paragraph" w:customStyle="1" w:styleId="335">
    <w:name w:val="xl104"/>
    <w:basedOn w:val="1"/>
    <w:next w:val="336"/>
    <w:qFormat/>
    <w:uiPriority w:val="0"/>
    <w:pPr>
      <w:widowControl/>
      <w:shd w:val="clear" w:color="000000" w:fill="FFFFFF"/>
      <w:spacing w:before="280" w:after="280"/>
      <w:jc w:val="center"/>
    </w:pPr>
    <w:rPr>
      <w:rFonts w:ascii="宋体" w:hAnsi="Calibri"/>
      <w:kern w:val="0"/>
      <w:sz w:val="20"/>
      <w:szCs w:val="20"/>
    </w:rPr>
  </w:style>
  <w:style w:type="paragraph" w:customStyle="1" w:styleId="336">
    <w:name w:val="toc 210"/>
    <w:next w:val="1"/>
    <w:qFormat/>
    <w:uiPriority w:val="0"/>
    <w:pPr>
      <w:wordWrap w:val="0"/>
      <w:ind w:left="425"/>
      <w:jc w:val="both"/>
    </w:pPr>
    <w:rPr>
      <w:rFonts w:ascii="Calibri" w:hAnsi="Calibri" w:eastAsia="宋体" w:cs="Times New Roman"/>
      <w:sz w:val="21"/>
      <w:lang w:val="en-US" w:eastAsia="zh-CN" w:bidi="ar-SA"/>
    </w:rPr>
  </w:style>
  <w:style w:type="paragraph" w:customStyle="1" w:styleId="337">
    <w:name w:val="toc 110"/>
    <w:next w:val="1"/>
    <w:qFormat/>
    <w:uiPriority w:val="0"/>
    <w:pPr>
      <w:wordWrap w:val="0"/>
      <w:jc w:val="both"/>
    </w:pPr>
    <w:rPr>
      <w:rFonts w:ascii="Calibri" w:hAnsi="Calibri" w:eastAsia="宋体" w:cs="Times New Roman"/>
      <w:sz w:val="21"/>
      <w:lang w:val="en-US" w:eastAsia="zh-CN" w:bidi="ar-SA"/>
    </w:rPr>
  </w:style>
  <w:style w:type="paragraph" w:customStyle="1" w:styleId="338">
    <w:name w:val="toc 66"/>
    <w:next w:val="1"/>
    <w:qFormat/>
    <w:uiPriority w:val="0"/>
    <w:pPr>
      <w:wordWrap w:val="0"/>
      <w:ind w:left="2125"/>
      <w:jc w:val="both"/>
    </w:pPr>
    <w:rPr>
      <w:rFonts w:ascii="Calibri" w:hAnsi="Calibri" w:eastAsia="宋体" w:cs="Times New Roman"/>
      <w:sz w:val="21"/>
      <w:lang w:val="en-US" w:eastAsia="zh-CN" w:bidi="ar-SA"/>
    </w:rPr>
  </w:style>
  <w:style w:type="paragraph" w:customStyle="1" w:styleId="339">
    <w:name w:val="toc 31"/>
    <w:next w:val="1"/>
    <w:qFormat/>
    <w:uiPriority w:val="0"/>
    <w:pPr>
      <w:wordWrap w:val="0"/>
      <w:ind w:left="850"/>
      <w:jc w:val="both"/>
    </w:pPr>
    <w:rPr>
      <w:rFonts w:ascii="Calibri" w:hAnsi="Calibri" w:eastAsia="宋体" w:cs="Times New Roman"/>
      <w:sz w:val="21"/>
      <w:lang w:val="en-US" w:eastAsia="zh-CN" w:bidi="ar-SA"/>
    </w:rPr>
  </w:style>
  <w:style w:type="paragraph" w:customStyle="1" w:styleId="340">
    <w:name w:val="toc 93"/>
    <w:next w:val="1"/>
    <w:qFormat/>
    <w:uiPriority w:val="0"/>
    <w:pPr>
      <w:wordWrap w:val="0"/>
      <w:ind w:left="3400"/>
      <w:jc w:val="both"/>
    </w:pPr>
    <w:rPr>
      <w:rFonts w:ascii="Calibri" w:hAnsi="Calibri" w:eastAsia="宋体" w:cs="Times New Roman"/>
      <w:sz w:val="21"/>
      <w:lang w:val="en-US" w:eastAsia="zh-CN" w:bidi="ar-SA"/>
    </w:rPr>
  </w:style>
  <w:style w:type="paragraph" w:customStyle="1" w:styleId="341">
    <w:name w:val="toc 614"/>
    <w:next w:val="1"/>
    <w:qFormat/>
    <w:uiPriority w:val="0"/>
    <w:pPr>
      <w:wordWrap w:val="0"/>
      <w:ind w:left="2125"/>
      <w:jc w:val="both"/>
    </w:pPr>
    <w:rPr>
      <w:rFonts w:ascii="Calibri" w:hAnsi="Calibri" w:eastAsia="宋体" w:cs="Times New Roman"/>
      <w:sz w:val="21"/>
      <w:lang w:val="en-US" w:eastAsia="zh-CN" w:bidi="ar-SA"/>
    </w:rPr>
  </w:style>
  <w:style w:type="paragraph" w:customStyle="1" w:styleId="342">
    <w:name w:val="无间隔1"/>
    <w:next w:val="337"/>
    <w:qFormat/>
    <w:uiPriority w:val="0"/>
    <w:pPr>
      <w:widowControl w:val="0"/>
      <w:jc w:val="both"/>
    </w:pPr>
    <w:rPr>
      <w:rFonts w:ascii="Calibri" w:hAnsi="Calibri" w:eastAsia="宋体" w:cs="Times New Roman"/>
      <w:sz w:val="22"/>
      <w:lang w:val="en-US" w:eastAsia="zh-CN" w:bidi="ar-SA"/>
    </w:rPr>
  </w:style>
  <w:style w:type="paragraph" w:customStyle="1" w:styleId="343">
    <w:name w:val="目录 41"/>
    <w:next w:val="1"/>
    <w:qFormat/>
    <w:uiPriority w:val="0"/>
    <w:pPr>
      <w:wordWrap w:val="0"/>
      <w:ind w:left="1275"/>
      <w:jc w:val="both"/>
    </w:pPr>
    <w:rPr>
      <w:rFonts w:ascii="Calibri" w:hAnsi="Calibri" w:eastAsia="宋体" w:cs="Times New Roman"/>
      <w:sz w:val="21"/>
      <w:lang w:val="en-US" w:eastAsia="zh-CN" w:bidi="ar-SA"/>
    </w:rPr>
  </w:style>
  <w:style w:type="paragraph" w:customStyle="1" w:styleId="344">
    <w:name w:val="xl105"/>
    <w:basedOn w:val="1"/>
    <w:next w:val="345"/>
    <w:qFormat/>
    <w:uiPriority w:val="0"/>
    <w:pPr>
      <w:widowControl/>
      <w:shd w:val="clear" w:color="000000" w:fill="FFFFFF"/>
      <w:spacing w:before="280" w:after="280"/>
    </w:pPr>
    <w:rPr>
      <w:rFonts w:ascii="宋体" w:hAnsi="Calibri"/>
      <w:kern w:val="0"/>
      <w:sz w:val="18"/>
      <w:szCs w:val="20"/>
    </w:rPr>
  </w:style>
  <w:style w:type="paragraph" w:customStyle="1" w:styleId="345">
    <w:name w:val="toc 615"/>
    <w:next w:val="1"/>
    <w:qFormat/>
    <w:uiPriority w:val="0"/>
    <w:pPr>
      <w:wordWrap w:val="0"/>
      <w:ind w:left="2125"/>
      <w:jc w:val="both"/>
    </w:pPr>
    <w:rPr>
      <w:rFonts w:ascii="Calibri" w:hAnsi="Calibri" w:eastAsia="宋体" w:cs="Times New Roman"/>
      <w:sz w:val="21"/>
      <w:lang w:val="en-US" w:eastAsia="zh-CN" w:bidi="ar-SA"/>
    </w:rPr>
  </w:style>
  <w:style w:type="paragraph" w:customStyle="1" w:styleId="346">
    <w:name w:val="toc 41"/>
    <w:next w:val="1"/>
    <w:qFormat/>
    <w:uiPriority w:val="0"/>
    <w:pPr>
      <w:wordWrap w:val="0"/>
      <w:ind w:left="1275"/>
      <w:jc w:val="both"/>
    </w:pPr>
    <w:rPr>
      <w:rFonts w:ascii="Calibri" w:hAnsi="Calibri" w:eastAsia="宋体" w:cs="Times New Roman"/>
      <w:sz w:val="21"/>
      <w:lang w:val="en-US" w:eastAsia="zh-CN" w:bidi="ar-SA"/>
    </w:rPr>
  </w:style>
  <w:style w:type="paragraph" w:customStyle="1" w:styleId="347">
    <w:name w:val="toc 81"/>
    <w:next w:val="1"/>
    <w:qFormat/>
    <w:uiPriority w:val="0"/>
    <w:pPr>
      <w:wordWrap w:val="0"/>
      <w:ind w:left="2975"/>
      <w:jc w:val="both"/>
    </w:pPr>
    <w:rPr>
      <w:rFonts w:ascii="Calibri" w:hAnsi="Calibri" w:eastAsia="宋体" w:cs="Times New Roman"/>
      <w:sz w:val="21"/>
      <w:lang w:val="en-US" w:eastAsia="zh-CN" w:bidi="ar-SA"/>
    </w:rPr>
  </w:style>
  <w:style w:type="paragraph" w:customStyle="1" w:styleId="348">
    <w:name w:val="xl111"/>
    <w:basedOn w:val="1"/>
    <w:next w:val="349"/>
    <w:qFormat/>
    <w:uiPriority w:val="0"/>
    <w:pPr>
      <w:widowControl/>
      <w:shd w:val="clear" w:color="000000" w:fill="FFFFFF"/>
      <w:spacing w:before="280" w:after="280"/>
      <w:jc w:val="center"/>
    </w:pPr>
    <w:rPr>
      <w:rFonts w:ascii="宋体" w:hAnsi="Calibri"/>
      <w:b/>
      <w:kern w:val="0"/>
      <w:sz w:val="20"/>
      <w:szCs w:val="20"/>
    </w:rPr>
  </w:style>
  <w:style w:type="paragraph" w:customStyle="1" w:styleId="349">
    <w:name w:val="toc 88"/>
    <w:next w:val="1"/>
    <w:qFormat/>
    <w:uiPriority w:val="0"/>
    <w:pPr>
      <w:wordWrap w:val="0"/>
      <w:ind w:left="2975"/>
      <w:jc w:val="both"/>
    </w:pPr>
    <w:rPr>
      <w:rFonts w:ascii="Calibri" w:hAnsi="Calibri" w:eastAsia="宋体" w:cs="Times New Roman"/>
      <w:sz w:val="21"/>
      <w:lang w:val="en-US" w:eastAsia="zh-CN" w:bidi="ar-SA"/>
    </w:rPr>
  </w:style>
  <w:style w:type="paragraph" w:customStyle="1" w:styleId="350">
    <w:name w:val="toc 84"/>
    <w:next w:val="1"/>
    <w:qFormat/>
    <w:uiPriority w:val="0"/>
    <w:pPr>
      <w:wordWrap w:val="0"/>
      <w:ind w:left="2975"/>
      <w:jc w:val="both"/>
    </w:pPr>
    <w:rPr>
      <w:rFonts w:ascii="Calibri" w:hAnsi="Calibri" w:eastAsia="宋体" w:cs="Times New Roman"/>
      <w:sz w:val="21"/>
      <w:lang w:val="en-US" w:eastAsia="zh-CN" w:bidi="ar-SA"/>
    </w:rPr>
  </w:style>
  <w:style w:type="paragraph" w:customStyle="1" w:styleId="351">
    <w:name w:val="p0"/>
    <w:basedOn w:val="1"/>
    <w:next w:val="352"/>
    <w:qFormat/>
    <w:uiPriority w:val="0"/>
    <w:pPr>
      <w:widowControl/>
      <w:spacing w:before="280" w:after="280"/>
    </w:pPr>
    <w:rPr>
      <w:rFonts w:ascii="宋体" w:hAnsi="Calibri"/>
      <w:kern w:val="0"/>
      <w:sz w:val="24"/>
      <w:szCs w:val="20"/>
    </w:rPr>
  </w:style>
  <w:style w:type="paragraph" w:customStyle="1" w:styleId="352">
    <w:name w:val="toc 69"/>
    <w:next w:val="1"/>
    <w:qFormat/>
    <w:uiPriority w:val="0"/>
    <w:pPr>
      <w:wordWrap w:val="0"/>
      <w:ind w:left="2125"/>
      <w:jc w:val="both"/>
    </w:pPr>
    <w:rPr>
      <w:rFonts w:ascii="Calibri" w:hAnsi="Calibri" w:eastAsia="宋体" w:cs="Times New Roman"/>
      <w:sz w:val="21"/>
      <w:lang w:val="en-US" w:eastAsia="zh-CN" w:bidi="ar-SA"/>
    </w:rPr>
  </w:style>
  <w:style w:type="paragraph" w:customStyle="1" w:styleId="353">
    <w:name w:val="列出段落11"/>
    <w:basedOn w:val="1"/>
    <w:next w:val="354"/>
    <w:qFormat/>
    <w:uiPriority w:val="0"/>
    <w:pPr>
      <w:widowControl/>
      <w:spacing w:line="360" w:lineRule="auto"/>
      <w:ind w:firstLine="420"/>
    </w:pPr>
    <w:rPr>
      <w:rFonts w:hAnsi="Calibri" w:eastAsia="微软雅黑"/>
      <w:kern w:val="0"/>
      <w:sz w:val="24"/>
      <w:szCs w:val="20"/>
    </w:rPr>
  </w:style>
  <w:style w:type="paragraph" w:customStyle="1" w:styleId="354">
    <w:name w:val="toc 214"/>
    <w:next w:val="1"/>
    <w:qFormat/>
    <w:uiPriority w:val="0"/>
    <w:pPr>
      <w:wordWrap w:val="0"/>
      <w:ind w:left="425"/>
      <w:jc w:val="both"/>
    </w:pPr>
    <w:rPr>
      <w:rFonts w:ascii="Calibri" w:hAnsi="Calibri" w:eastAsia="宋体" w:cs="Times New Roman"/>
      <w:sz w:val="21"/>
      <w:lang w:val="en-US" w:eastAsia="zh-CN" w:bidi="ar-SA"/>
    </w:rPr>
  </w:style>
  <w:style w:type="paragraph" w:customStyle="1" w:styleId="355">
    <w:name w:val="toc 63"/>
    <w:next w:val="1"/>
    <w:qFormat/>
    <w:uiPriority w:val="0"/>
    <w:pPr>
      <w:wordWrap w:val="0"/>
      <w:ind w:left="2125"/>
      <w:jc w:val="both"/>
    </w:pPr>
    <w:rPr>
      <w:rFonts w:ascii="Calibri" w:hAnsi="Calibri" w:eastAsia="宋体" w:cs="Times New Roman"/>
      <w:sz w:val="21"/>
      <w:lang w:val="en-US" w:eastAsia="zh-CN" w:bidi="ar-SA"/>
    </w:rPr>
  </w:style>
  <w:style w:type="paragraph" w:customStyle="1" w:styleId="356">
    <w:name w:val="xl91"/>
    <w:basedOn w:val="1"/>
    <w:next w:val="253"/>
    <w:qFormat/>
    <w:uiPriority w:val="0"/>
    <w:pPr>
      <w:widowControl/>
      <w:shd w:val="clear" w:color="000000" w:fill="FFFFFF"/>
      <w:spacing w:before="280" w:after="280"/>
    </w:pPr>
    <w:rPr>
      <w:rFonts w:ascii="宋体" w:hAnsi="Calibri"/>
      <w:kern w:val="0"/>
      <w:sz w:val="20"/>
      <w:szCs w:val="20"/>
    </w:rPr>
  </w:style>
  <w:style w:type="paragraph" w:customStyle="1" w:styleId="357">
    <w:name w:val="toc 316"/>
    <w:next w:val="1"/>
    <w:qFormat/>
    <w:uiPriority w:val="0"/>
    <w:pPr>
      <w:wordWrap w:val="0"/>
      <w:ind w:left="850"/>
      <w:jc w:val="both"/>
    </w:pPr>
    <w:rPr>
      <w:rFonts w:ascii="Calibri" w:hAnsi="Calibri" w:eastAsia="宋体" w:cs="Times New Roman"/>
      <w:sz w:val="21"/>
      <w:lang w:val="en-US" w:eastAsia="zh-CN" w:bidi="ar-SA"/>
    </w:rPr>
  </w:style>
  <w:style w:type="paragraph" w:customStyle="1" w:styleId="358">
    <w:name w:val="_Style 1"/>
    <w:basedOn w:val="1"/>
    <w:next w:val="359"/>
    <w:qFormat/>
    <w:uiPriority w:val="0"/>
    <w:pPr>
      <w:ind w:firstLine="420"/>
    </w:pPr>
    <w:rPr>
      <w:rFonts w:hAnsi="Calibri"/>
      <w:kern w:val="0"/>
      <w:szCs w:val="20"/>
    </w:rPr>
  </w:style>
  <w:style w:type="paragraph" w:customStyle="1" w:styleId="359">
    <w:name w:val="TOC Heading13"/>
    <w:next w:val="1"/>
    <w:qFormat/>
    <w:uiPriority w:val="0"/>
    <w:pPr>
      <w:wordWrap w:val="0"/>
    </w:pPr>
    <w:rPr>
      <w:rFonts w:ascii="Calibri" w:hAnsi="Calibri" w:eastAsia="宋体" w:cs="Times New Roman"/>
      <w:sz w:val="32"/>
      <w:lang w:val="en-US" w:eastAsia="zh-CN" w:bidi="ar-SA"/>
    </w:rPr>
  </w:style>
  <w:style w:type="paragraph" w:customStyle="1" w:styleId="360">
    <w:name w:val="toc 116"/>
    <w:next w:val="1"/>
    <w:qFormat/>
    <w:uiPriority w:val="0"/>
    <w:pPr>
      <w:wordWrap w:val="0"/>
      <w:jc w:val="both"/>
    </w:pPr>
    <w:rPr>
      <w:rFonts w:ascii="Calibri" w:hAnsi="Calibri" w:eastAsia="宋体" w:cs="Times New Roman"/>
      <w:sz w:val="21"/>
      <w:lang w:val="en-US" w:eastAsia="zh-CN" w:bidi="ar-SA"/>
    </w:rPr>
  </w:style>
  <w:style w:type="paragraph" w:customStyle="1" w:styleId="361">
    <w:name w:val="toc 72"/>
    <w:next w:val="1"/>
    <w:qFormat/>
    <w:uiPriority w:val="0"/>
    <w:pPr>
      <w:wordWrap w:val="0"/>
      <w:ind w:left="2550"/>
      <w:jc w:val="both"/>
    </w:pPr>
    <w:rPr>
      <w:rFonts w:ascii="Calibri" w:hAnsi="Calibri" w:eastAsia="宋体" w:cs="Times New Roman"/>
      <w:sz w:val="21"/>
      <w:lang w:val="en-US" w:eastAsia="zh-CN" w:bidi="ar-SA"/>
    </w:rPr>
  </w:style>
  <w:style w:type="paragraph" w:customStyle="1" w:styleId="362">
    <w:name w:val="x_msonormal"/>
    <w:basedOn w:val="1"/>
    <w:next w:val="312"/>
    <w:qFormat/>
    <w:uiPriority w:val="0"/>
    <w:pPr>
      <w:widowControl/>
      <w:spacing w:before="280" w:after="280"/>
    </w:pPr>
    <w:rPr>
      <w:rFonts w:ascii="PMingLiU" w:hAnsi="Calibri" w:eastAsia="PMingLiU"/>
      <w:kern w:val="0"/>
      <w:sz w:val="24"/>
      <w:szCs w:val="20"/>
    </w:rPr>
  </w:style>
  <w:style w:type="paragraph" w:customStyle="1" w:styleId="363">
    <w:name w:val="toc 310"/>
    <w:next w:val="1"/>
    <w:qFormat/>
    <w:uiPriority w:val="0"/>
    <w:pPr>
      <w:wordWrap w:val="0"/>
      <w:ind w:left="850"/>
      <w:jc w:val="both"/>
    </w:pPr>
    <w:rPr>
      <w:rFonts w:ascii="Calibri" w:hAnsi="Calibri" w:eastAsia="宋体" w:cs="Times New Roman"/>
      <w:sz w:val="21"/>
      <w:lang w:val="en-US" w:eastAsia="zh-CN" w:bidi="ar-SA"/>
    </w:rPr>
  </w:style>
  <w:style w:type="paragraph" w:customStyle="1" w:styleId="364">
    <w:name w:val="toc 83"/>
    <w:next w:val="1"/>
    <w:qFormat/>
    <w:uiPriority w:val="0"/>
    <w:pPr>
      <w:wordWrap w:val="0"/>
      <w:ind w:left="2975"/>
      <w:jc w:val="both"/>
    </w:pPr>
    <w:rPr>
      <w:rFonts w:ascii="Calibri" w:hAnsi="Calibri" w:eastAsia="宋体" w:cs="Times New Roman"/>
      <w:sz w:val="21"/>
      <w:lang w:val="en-US" w:eastAsia="zh-CN" w:bidi="ar-SA"/>
    </w:rPr>
  </w:style>
  <w:style w:type="paragraph" w:customStyle="1" w:styleId="365">
    <w:name w:val="TOC Heading17"/>
    <w:next w:val="1"/>
    <w:qFormat/>
    <w:uiPriority w:val="0"/>
    <w:pPr>
      <w:wordWrap w:val="0"/>
    </w:pPr>
    <w:rPr>
      <w:rFonts w:ascii="Calibri" w:hAnsi="Calibri" w:eastAsia="宋体" w:cs="Times New Roman"/>
      <w:sz w:val="32"/>
      <w:lang w:val="en-US" w:eastAsia="zh-CN" w:bidi="ar-SA"/>
    </w:rPr>
  </w:style>
  <w:style w:type="paragraph" w:customStyle="1" w:styleId="366">
    <w:name w:val="toc 911"/>
    <w:next w:val="1"/>
    <w:qFormat/>
    <w:uiPriority w:val="0"/>
    <w:pPr>
      <w:wordWrap w:val="0"/>
      <w:ind w:left="3400"/>
      <w:jc w:val="both"/>
    </w:pPr>
    <w:rPr>
      <w:rFonts w:ascii="Calibri" w:hAnsi="Calibri" w:eastAsia="宋体" w:cs="Times New Roman"/>
      <w:sz w:val="21"/>
      <w:lang w:val="en-US" w:eastAsia="zh-CN" w:bidi="ar-SA"/>
    </w:rPr>
  </w:style>
  <w:style w:type="paragraph" w:customStyle="1" w:styleId="367">
    <w:name w:val="toc 811"/>
    <w:next w:val="1"/>
    <w:qFormat/>
    <w:uiPriority w:val="0"/>
    <w:pPr>
      <w:wordWrap w:val="0"/>
      <w:ind w:left="2975"/>
      <w:jc w:val="both"/>
    </w:pPr>
    <w:rPr>
      <w:rFonts w:ascii="Calibri" w:hAnsi="Calibri" w:eastAsia="宋体" w:cs="Times New Roman"/>
      <w:sz w:val="21"/>
      <w:lang w:val="en-US" w:eastAsia="zh-CN" w:bidi="ar-SA"/>
    </w:rPr>
  </w:style>
  <w:style w:type="paragraph" w:customStyle="1" w:styleId="368">
    <w:name w:val="目录 31"/>
    <w:next w:val="1"/>
    <w:qFormat/>
    <w:uiPriority w:val="0"/>
    <w:pPr>
      <w:wordWrap w:val="0"/>
      <w:ind w:left="850"/>
      <w:jc w:val="both"/>
    </w:pPr>
    <w:rPr>
      <w:rFonts w:ascii="Calibri" w:hAnsi="Calibri" w:eastAsia="宋体" w:cs="Times New Roman"/>
      <w:sz w:val="21"/>
      <w:lang w:val="en-US" w:eastAsia="zh-CN" w:bidi="ar-SA"/>
    </w:rPr>
  </w:style>
  <w:style w:type="paragraph" w:customStyle="1" w:styleId="369">
    <w:name w:val="xl118"/>
    <w:basedOn w:val="1"/>
    <w:next w:val="243"/>
    <w:qFormat/>
    <w:uiPriority w:val="0"/>
    <w:pPr>
      <w:widowControl/>
      <w:shd w:val="clear" w:color="000000" w:fill="FFFFFF"/>
      <w:spacing w:before="280" w:after="280"/>
      <w:jc w:val="center"/>
    </w:pPr>
    <w:rPr>
      <w:rFonts w:ascii="宋体" w:hAnsi="Calibri"/>
      <w:b/>
      <w:kern w:val="0"/>
      <w:sz w:val="20"/>
      <w:szCs w:val="20"/>
    </w:rPr>
  </w:style>
  <w:style w:type="paragraph" w:customStyle="1" w:styleId="370">
    <w:name w:val="xl83"/>
    <w:basedOn w:val="1"/>
    <w:next w:val="298"/>
    <w:qFormat/>
    <w:uiPriority w:val="0"/>
    <w:pPr>
      <w:widowControl/>
      <w:shd w:val="clear" w:color="000000" w:fill="FFFFFF"/>
      <w:spacing w:before="280" w:after="280"/>
    </w:pPr>
    <w:rPr>
      <w:rFonts w:ascii="宋体" w:hAnsi="Calibri"/>
      <w:kern w:val="0"/>
      <w:sz w:val="20"/>
      <w:szCs w:val="20"/>
    </w:rPr>
  </w:style>
  <w:style w:type="paragraph" w:customStyle="1" w:styleId="371">
    <w:name w:val="xl103"/>
    <w:basedOn w:val="1"/>
    <w:next w:val="372"/>
    <w:qFormat/>
    <w:uiPriority w:val="0"/>
    <w:pPr>
      <w:widowControl/>
      <w:shd w:val="clear" w:color="000000" w:fill="FFFFFF"/>
      <w:spacing w:before="280" w:after="280"/>
    </w:pPr>
    <w:rPr>
      <w:rFonts w:ascii="宋体" w:hAnsi="Calibri"/>
      <w:kern w:val="0"/>
      <w:sz w:val="20"/>
      <w:szCs w:val="20"/>
    </w:rPr>
  </w:style>
  <w:style w:type="paragraph" w:customStyle="1" w:styleId="372">
    <w:name w:val="toc 111"/>
    <w:next w:val="1"/>
    <w:qFormat/>
    <w:uiPriority w:val="0"/>
    <w:pPr>
      <w:wordWrap w:val="0"/>
      <w:jc w:val="both"/>
    </w:pPr>
    <w:rPr>
      <w:rFonts w:ascii="Calibri" w:hAnsi="Calibri" w:eastAsia="宋体" w:cs="Times New Roman"/>
      <w:sz w:val="21"/>
      <w:lang w:val="en-US" w:eastAsia="zh-CN" w:bidi="ar-SA"/>
    </w:rPr>
  </w:style>
  <w:style w:type="paragraph" w:customStyle="1" w:styleId="373">
    <w:name w:val="xl68"/>
    <w:basedOn w:val="1"/>
    <w:next w:val="374"/>
    <w:qFormat/>
    <w:uiPriority w:val="0"/>
    <w:pPr>
      <w:widowControl/>
      <w:shd w:val="clear" w:color="000000" w:fill="FFFFFF"/>
      <w:spacing w:before="280" w:after="280"/>
    </w:pPr>
    <w:rPr>
      <w:rFonts w:ascii="宋体" w:hAnsi="Calibri"/>
      <w:b/>
      <w:kern w:val="0"/>
      <w:sz w:val="20"/>
      <w:szCs w:val="20"/>
    </w:rPr>
  </w:style>
  <w:style w:type="paragraph" w:customStyle="1" w:styleId="374">
    <w:name w:val="TOC Heading16"/>
    <w:next w:val="1"/>
    <w:qFormat/>
    <w:uiPriority w:val="0"/>
    <w:pPr>
      <w:wordWrap w:val="0"/>
    </w:pPr>
    <w:rPr>
      <w:rFonts w:ascii="Calibri" w:hAnsi="Calibri" w:eastAsia="宋体" w:cs="Times New Roman"/>
      <w:sz w:val="32"/>
      <w:lang w:val="en-US" w:eastAsia="zh-CN" w:bidi="ar-SA"/>
    </w:rPr>
  </w:style>
  <w:style w:type="paragraph" w:customStyle="1" w:styleId="375">
    <w:name w:val="toc 113"/>
    <w:next w:val="1"/>
    <w:qFormat/>
    <w:uiPriority w:val="0"/>
    <w:pPr>
      <w:wordWrap w:val="0"/>
      <w:jc w:val="both"/>
    </w:pPr>
    <w:rPr>
      <w:rFonts w:ascii="Calibri" w:hAnsi="Calibri" w:eastAsia="宋体" w:cs="Times New Roman"/>
      <w:sz w:val="21"/>
      <w:lang w:val="en-US" w:eastAsia="zh-CN" w:bidi="ar-SA"/>
    </w:rPr>
  </w:style>
  <w:style w:type="paragraph" w:customStyle="1" w:styleId="376">
    <w:name w:val="xl94"/>
    <w:basedOn w:val="1"/>
    <w:next w:val="267"/>
    <w:qFormat/>
    <w:uiPriority w:val="0"/>
    <w:pPr>
      <w:widowControl/>
      <w:shd w:val="clear" w:color="000000" w:fill="FFFFFF"/>
      <w:spacing w:before="280" w:after="280"/>
      <w:jc w:val="center"/>
    </w:pPr>
    <w:rPr>
      <w:rFonts w:ascii="宋体" w:hAnsi="Calibri"/>
      <w:kern w:val="0"/>
      <w:sz w:val="20"/>
      <w:szCs w:val="20"/>
    </w:rPr>
  </w:style>
  <w:style w:type="paragraph" w:customStyle="1" w:styleId="377">
    <w:name w:val="toc 53"/>
    <w:next w:val="1"/>
    <w:qFormat/>
    <w:uiPriority w:val="0"/>
    <w:pPr>
      <w:wordWrap w:val="0"/>
      <w:ind w:left="1700"/>
      <w:jc w:val="both"/>
    </w:pPr>
    <w:rPr>
      <w:rFonts w:ascii="Calibri" w:hAnsi="Calibri" w:eastAsia="宋体" w:cs="Times New Roman"/>
      <w:sz w:val="21"/>
      <w:lang w:val="en-US" w:eastAsia="zh-CN" w:bidi="ar-SA"/>
    </w:rPr>
  </w:style>
  <w:style w:type="paragraph" w:customStyle="1" w:styleId="378">
    <w:name w:val="xl92"/>
    <w:basedOn w:val="1"/>
    <w:next w:val="379"/>
    <w:qFormat/>
    <w:uiPriority w:val="0"/>
    <w:pPr>
      <w:widowControl/>
      <w:shd w:val="clear" w:color="000000" w:fill="FFFFFF"/>
      <w:spacing w:before="280" w:after="280"/>
    </w:pPr>
    <w:rPr>
      <w:rFonts w:ascii="宋体" w:hAnsi="Calibri"/>
      <w:kern w:val="0"/>
      <w:sz w:val="20"/>
      <w:szCs w:val="20"/>
    </w:rPr>
  </w:style>
  <w:style w:type="paragraph" w:customStyle="1" w:styleId="379">
    <w:name w:val="toc 913"/>
    <w:next w:val="1"/>
    <w:qFormat/>
    <w:uiPriority w:val="0"/>
    <w:pPr>
      <w:wordWrap w:val="0"/>
      <w:ind w:left="3400"/>
      <w:jc w:val="both"/>
    </w:pPr>
    <w:rPr>
      <w:rFonts w:ascii="Calibri" w:hAnsi="Calibri" w:eastAsia="宋体" w:cs="Times New Roman"/>
      <w:sz w:val="21"/>
      <w:lang w:val="en-US" w:eastAsia="zh-CN" w:bidi="ar-SA"/>
    </w:rPr>
  </w:style>
  <w:style w:type="paragraph" w:customStyle="1" w:styleId="380">
    <w:name w:val="toc 512"/>
    <w:next w:val="1"/>
    <w:qFormat/>
    <w:uiPriority w:val="0"/>
    <w:pPr>
      <w:wordWrap w:val="0"/>
      <w:ind w:left="1700"/>
      <w:jc w:val="both"/>
    </w:pPr>
    <w:rPr>
      <w:rFonts w:ascii="Calibri" w:hAnsi="Calibri" w:eastAsia="宋体" w:cs="Times New Roman"/>
      <w:sz w:val="21"/>
      <w:lang w:val="en-US" w:eastAsia="zh-CN" w:bidi="ar-SA"/>
    </w:rPr>
  </w:style>
  <w:style w:type="paragraph" w:customStyle="1" w:styleId="381">
    <w:name w:val="目录 81"/>
    <w:next w:val="1"/>
    <w:qFormat/>
    <w:uiPriority w:val="0"/>
    <w:pPr>
      <w:wordWrap w:val="0"/>
      <w:ind w:left="2975"/>
      <w:jc w:val="both"/>
    </w:pPr>
    <w:rPr>
      <w:rFonts w:ascii="Calibri" w:hAnsi="Calibri" w:eastAsia="宋体" w:cs="Times New Roman"/>
      <w:sz w:val="21"/>
      <w:lang w:val="en-US" w:eastAsia="zh-CN" w:bidi="ar-SA"/>
    </w:rPr>
  </w:style>
  <w:style w:type="paragraph" w:customStyle="1" w:styleId="382">
    <w:name w:val="正文表标题"/>
    <w:next w:val="1"/>
    <w:qFormat/>
    <w:uiPriority w:val="0"/>
    <w:pPr>
      <w:ind w:left="630"/>
      <w:jc w:val="center"/>
    </w:pPr>
    <w:rPr>
      <w:rFonts w:ascii="黑体" w:hAnsi="Calibri" w:eastAsia="黑体" w:cs="Times New Roman"/>
      <w:sz w:val="21"/>
      <w:lang w:val="en-US" w:eastAsia="zh-CN" w:bidi="ar-SA"/>
    </w:rPr>
  </w:style>
  <w:style w:type="paragraph" w:customStyle="1" w:styleId="383">
    <w:name w:val="toc 28"/>
    <w:next w:val="1"/>
    <w:qFormat/>
    <w:uiPriority w:val="0"/>
    <w:pPr>
      <w:wordWrap w:val="0"/>
      <w:ind w:left="425"/>
      <w:jc w:val="both"/>
    </w:pPr>
    <w:rPr>
      <w:rFonts w:ascii="Calibri" w:hAnsi="Calibri" w:eastAsia="宋体" w:cs="Times New Roman"/>
      <w:sz w:val="21"/>
      <w:lang w:val="en-US" w:eastAsia="zh-CN" w:bidi="ar-SA"/>
    </w:rPr>
  </w:style>
  <w:style w:type="paragraph" w:customStyle="1" w:styleId="384">
    <w:name w:val="toc 79"/>
    <w:next w:val="1"/>
    <w:qFormat/>
    <w:uiPriority w:val="0"/>
    <w:pPr>
      <w:wordWrap w:val="0"/>
      <w:ind w:left="2550"/>
      <w:jc w:val="both"/>
    </w:pPr>
    <w:rPr>
      <w:rFonts w:ascii="Calibri" w:hAnsi="Calibri" w:eastAsia="宋体" w:cs="Times New Roman"/>
      <w:sz w:val="21"/>
      <w:lang w:val="en-US" w:eastAsia="zh-CN" w:bidi="ar-SA"/>
    </w:rPr>
  </w:style>
  <w:style w:type="paragraph" w:customStyle="1" w:styleId="385">
    <w:name w:val="xl110"/>
    <w:basedOn w:val="1"/>
    <w:next w:val="341"/>
    <w:qFormat/>
    <w:uiPriority w:val="0"/>
    <w:pPr>
      <w:widowControl/>
      <w:shd w:val="clear" w:color="000000" w:fill="FFFFFF"/>
      <w:spacing w:before="280" w:after="280"/>
      <w:jc w:val="center"/>
    </w:pPr>
    <w:rPr>
      <w:rFonts w:ascii="宋体" w:hAnsi="Calibri"/>
      <w:kern w:val="0"/>
      <w:sz w:val="20"/>
      <w:szCs w:val="20"/>
    </w:rPr>
  </w:style>
  <w:style w:type="paragraph" w:customStyle="1" w:styleId="386">
    <w:name w:val="toc 511"/>
    <w:next w:val="1"/>
    <w:qFormat/>
    <w:uiPriority w:val="0"/>
    <w:pPr>
      <w:wordWrap w:val="0"/>
      <w:ind w:left="1700"/>
      <w:jc w:val="both"/>
    </w:pPr>
    <w:rPr>
      <w:rFonts w:ascii="Calibri" w:hAnsi="Calibri" w:eastAsia="宋体" w:cs="Times New Roman"/>
      <w:sz w:val="21"/>
      <w:lang w:val="en-US" w:eastAsia="zh-CN" w:bidi="ar-SA"/>
    </w:rPr>
  </w:style>
  <w:style w:type="paragraph" w:customStyle="1" w:styleId="387">
    <w:name w:val="toc 416"/>
    <w:next w:val="1"/>
    <w:qFormat/>
    <w:uiPriority w:val="0"/>
    <w:pPr>
      <w:wordWrap w:val="0"/>
      <w:ind w:left="1275"/>
      <w:jc w:val="both"/>
    </w:pPr>
    <w:rPr>
      <w:rFonts w:ascii="Calibri" w:hAnsi="Calibri" w:eastAsia="宋体" w:cs="Times New Roman"/>
      <w:sz w:val="21"/>
      <w:lang w:val="en-US" w:eastAsia="zh-CN" w:bidi="ar-SA"/>
    </w:rPr>
  </w:style>
  <w:style w:type="paragraph" w:customStyle="1" w:styleId="388">
    <w:name w:val="xl85"/>
    <w:basedOn w:val="1"/>
    <w:next w:val="389"/>
    <w:qFormat/>
    <w:uiPriority w:val="0"/>
    <w:pPr>
      <w:widowControl/>
      <w:shd w:val="clear" w:color="000000" w:fill="FFFFFF"/>
      <w:spacing w:before="280" w:after="280"/>
      <w:jc w:val="center"/>
    </w:pPr>
    <w:rPr>
      <w:rFonts w:ascii="宋体" w:hAnsi="Calibri"/>
      <w:kern w:val="0"/>
      <w:sz w:val="20"/>
      <w:szCs w:val="20"/>
    </w:rPr>
  </w:style>
  <w:style w:type="paragraph" w:customStyle="1" w:styleId="389">
    <w:name w:val="toc 76"/>
    <w:next w:val="1"/>
    <w:qFormat/>
    <w:uiPriority w:val="0"/>
    <w:pPr>
      <w:wordWrap w:val="0"/>
      <w:ind w:left="2550"/>
      <w:jc w:val="both"/>
    </w:pPr>
    <w:rPr>
      <w:rFonts w:ascii="Calibri" w:hAnsi="Calibri" w:eastAsia="宋体" w:cs="Times New Roman"/>
      <w:sz w:val="21"/>
      <w:lang w:val="en-US" w:eastAsia="zh-CN" w:bidi="ar-SA"/>
    </w:rPr>
  </w:style>
  <w:style w:type="paragraph" w:customStyle="1" w:styleId="390">
    <w:name w:val="toc 27"/>
    <w:next w:val="1"/>
    <w:qFormat/>
    <w:uiPriority w:val="0"/>
    <w:pPr>
      <w:wordWrap w:val="0"/>
      <w:ind w:left="425"/>
      <w:jc w:val="both"/>
    </w:pPr>
    <w:rPr>
      <w:rFonts w:ascii="Calibri" w:hAnsi="Calibri" w:eastAsia="宋体" w:cs="Times New Roman"/>
      <w:sz w:val="21"/>
      <w:lang w:val="en-US" w:eastAsia="zh-CN" w:bidi="ar-SA"/>
    </w:rPr>
  </w:style>
  <w:style w:type="paragraph" w:customStyle="1" w:styleId="391">
    <w:name w:val="toc 916"/>
    <w:next w:val="1"/>
    <w:qFormat/>
    <w:uiPriority w:val="0"/>
    <w:pPr>
      <w:wordWrap w:val="0"/>
      <w:ind w:left="3400"/>
      <w:jc w:val="both"/>
    </w:pPr>
    <w:rPr>
      <w:rFonts w:ascii="Calibri" w:hAnsi="Calibri" w:eastAsia="宋体" w:cs="Times New Roman"/>
      <w:sz w:val="21"/>
      <w:lang w:val="en-US" w:eastAsia="zh-CN" w:bidi="ar-SA"/>
    </w:rPr>
  </w:style>
  <w:style w:type="paragraph" w:customStyle="1" w:styleId="392">
    <w:name w:val="toc 77"/>
    <w:next w:val="1"/>
    <w:qFormat/>
    <w:uiPriority w:val="0"/>
    <w:pPr>
      <w:wordWrap w:val="0"/>
      <w:ind w:left="2550"/>
      <w:jc w:val="both"/>
    </w:pPr>
    <w:rPr>
      <w:rFonts w:ascii="Calibri" w:hAnsi="Calibri" w:eastAsia="宋体" w:cs="Times New Roman"/>
      <w:sz w:val="21"/>
      <w:lang w:val="en-US" w:eastAsia="zh-CN" w:bidi="ar-SA"/>
    </w:rPr>
  </w:style>
  <w:style w:type="paragraph" w:customStyle="1" w:styleId="393">
    <w:name w:val="toc 211"/>
    <w:next w:val="1"/>
    <w:qFormat/>
    <w:uiPriority w:val="0"/>
    <w:pPr>
      <w:wordWrap w:val="0"/>
      <w:ind w:left="425"/>
      <w:jc w:val="both"/>
    </w:pPr>
    <w:rPr>
      <w:rFonts w:ascii="Calibri" w:hAnsi="Calibri" w:eastAsia="宋体" w:cs="Times New Roman"/>
      <w:sz w:val="21"/>
      <w:lang w:val="en-US" w:eastAsia="zh-CN" w:bidi="ar-SA"/>
    </w:rPr>
  </w:style>
  <w:style w:type="paragraph" w:customStyle="1" w:styleId="394">
    <w:name w:val="toc 815"/>
    <w:next w:val="1"/>
    <w:qFormat/>
    <w:uiPriority w:val="0"/>
    <w:pPr>
      <w:wordWrap w:val="0"/>
      <w:ind w:left="2975"/>
      <w:jc w:val="both"/>
    </w:pPr>
    <w:rPr>
      <w:rFonts w:ascii="Calibri" w:hAnsi="Calibri" w:eastAsia="宋体" w:cs="Times New Roman"/>
      <w:sz w:val="21"/>
      <w:lang w:val="en-US" w:eastAsia="zh-CN" w:bidi="ar-SA"/>
    </w:rPr>
  </w:style>
  <w:style w:type="paragraph" w:customStyle="1" w:styleId="395">
    <w:name w:val="xl99"/>
    <w:basedOn w:val="1"/>
    <w:next w:val="380"/>
    <w:qFormat/>
    <w:uiPriority w:val="0"/>
    <w:pPr>
      <w:widowControl/>
      <w:shd w:val="clear" w:color="000000" w:fill="FFFFFF"/>
      <w:spacing w:before="280" w:after="280"/>
    </w:pPr>
    <w:rPr>
      <w:rFonts w:ascii="宋体" w:hAnsi="Calibri"/>
      <w:kern w:val="0"/>
      <w:sz w:val="18"/>
      <w:szCs w:val="20"/>
    </w:rPr>
  </w:style>
  <w:style w:type="paragraph" w:customStyle="1" w:styleId="396">
    <w:name w:val="xl97"/>
    <w:basedOn w:val="1"/>
    <w:next w:val="268"/>
    <w:qFormat/>
    <w:uiPriority w:val="0"/>
    <w:pPr>
      <w:widowControl/>
      <w:shd w:val="clear" w:color="000000" w:fill="FFFFFF"/>
      <w:spacing w:before="280" w:after="280"/>
      <w:jc w:val="center"/>
    </w:pPr>
    <w:rPr>
      <w:rFonts w:ascii="宋体" w:hAnsi="Calibri"/>
      <w:kern w:val="0"/>
      <w:sz w:val="20"/>
      <w:szCs w:val="20"/>
    </w:rPr>
  </w:style>
  <w:style w:type="paragraph" w:customStyle="1" w:styleId="397">
    <w:name w:val="toc 612"/>
    <w:next w:val="1"/>
    <w:qFormat/>
    <w:uiPriority w:val="0"/>
    <w:pPr>
      <w:wordWrap w:val="0"/>
      <w:ind w:left="2125"/>
      <w:jc w:val="both"/>
    </w:pPr>
    <w:rPr>
      <w:rFonts w:ascii="Calibri" w:hAnsi="Calibri" w:eastAsia="宋体" w:cs="Times New Roman"/>
      <w:sz w:val="21"/>
      <w:lang w:val="en-US" w:eastAsia="zh-CN" w:bidi="ar-SA"/>
    </w:rPr>
  </w:style>
  <w:style w:type="paragraph" w:customStyle="1" w:styleId="398">
    <w:name w:val="toc 315"/>
    <w:next w:val="1"/>
    <w:qFormat/>
    <w:uiPriority w:val="0"/>
    <w:pPr>
      <w:wordWrap w:val="0"/>
      <w:ind w:left="850"/>
      <w:jc w:val="both"/>
    </w:pPr>
    <w:rPr>
      <w:rFonts w:ascii="Calibri" w:hAnsi="Calibri" w:eastAsia="宋体" w:cs="Times New Roman"/>
      <w:sz w:val="21"/>
      <w:lang w:val="en-US" w:eastAsia="zh-CN" w:bidi="ar-SA"/>
    </w:rPr>
  </w:style>
  <w:style w:type="paragraph" w:customStyle="1" w:styleId="399">
    <w:name w:val="TOC Heading15"/>
    <w:next w:val="1"/>
    <w:qFormat/>
    <w:uiPriority w:val="0"/>
    <w:pPr>
      <w:wordWrap w:val="0"/>
    </w:pPr>
    <w:rPr>
      <w:rFonts w:ascii="Calibri" w:hAnsi="Calibri" w:eastAsia="宋体" w:cs="Times New Roman"/>
      <w:sz w:val="32"/>
      <w:lang w:val="en-US" w:eastAsia="zh-CN" w:bidi="ar-SA"/>
    </w:rPr>
  </w:style>
  <w:style w:type="paragraph" w:customStyle="1" w:styleId="400">
    <w:name w:val="toc 915"/>
    <w:next w:val="1"/>
    <w:qFormat/>
    <w:uiPriority w:val="0"/>
    <w:pPr>
      <w:wordWrap w:val="0"/>
      <w:ind w:left="3400"/>
      <w:jc w:val="both"/>
    </w:pPr>
    <w:rPr>
      <w:rFonts w:ascii="Calibri" w:hAnsi="Calibri" w:eastAsia="宋体" w:cs="Times New Roman"/>
      <w:sz w:val="21"/>
      <w:lang w:val="en-US" w:eastAsia="zh-CN" w:bidi="ar-SA"/>
    </w:rPr>
  </w:style>
  <w:style w:type="paragraph" w:customStyle="1" w:styleId="401">
    <w:name w:val="toc 39"/>
    <w:next w:val="1"/>
    <w:qFormat/>
    <w:uiPriority w:val="0"/>
    <w:pPr>
      <w:wordWrap w:val="0"/>
      <w:ind w:left="850"/>
      <w:jc w:val="both"/>
    </w:pPr>
    <w:rPr>
      <w:rFonts w:ascii="Calibri" w:hAnsi="Calibri" w:eastAsia="宋体" w:cs="Times New Roman"/>
      <w:sz w:val="21"/>
      <w:lang w:val="en-US" w:eastAsia="zh-CN" w:bidi="ar-SA"/>
    </w:rPr>
  </w:style>
  <w:style w:type="paragraph" w:customStyle="1" w:styleId="402">
    <w:name w:val="toc 710"/>
    <w:next w:val="1"/>
    <w:qFormat/>
    <w:uiPriority w:val="0"/>
    <w:pPr>
      <w:wordWrap w:val="0"/>
      <w:ind w:left="2550"/>
      <w:jc w:val="both"/>
    </w:pPr>
    <w:rPr>
      <w:rFonts w:ascii="Calibri" w:hAnsi="Calibri" w:eastAsia="宋体" w:cs="Times New Roman"/>
      <w:sz w:val="21"/>
      <w:lang w:val="en-US" w:eastAsia="zh-CN" w:bidi="ar-SA"/>
    </w:rPr>
  </w:style>
  <w:style w:type="paragraph" w:customStyle="1" w:styleId="403">
    <w:name w:val="toc 12"/>
    <w:next w:val="1"/>
    <w:qFormat/>
    <w:uiPriority w:val="0"/>
    <w:pPr>
      <w:wordWrap w:val="0"/>
      <w:jc w:val="both"/>
    </w:pPr>
    <w:rPr>
      <w:rFonts w:ascii="Calibri" w:hAnsi="Calibri" w:eastAsia="宋体" w:cs="Times New Roman"/>
      <w:sz w:val="21"/>
      <w:lang w:val="en-US" w:eastAsia="zh-CN" w:bidi="ar-SA"/>
    </w:rPr>
  </w:style>
  <w:style w:type="paragraph" w:customStyle="1" w:styleId="404">
    <w:name w:val="xl95"/>
    <w:basedOn w:val="1"/>
    <w:next w:val="405"/>
    <w:qFormat/>
    <w:uiPriority w:val="0"/>
    <w:pPr>
      <w:widowControl/>
      <w:shd w:val="clear" w:color="000000" w:fill="FFFFFF"/>
      <w:spacing w:before="280" w:after="280"/>
    </w:pPr>
    <w:rPr>
      <w:rFonts w:ascii="宋体" w:hAnsi="Calibri"/>
      <w:kern w:val="0"/>
      <w:sz w:val="20"/>
      <w:szCs w:val="20"/>
    </w:rPr>
  </w:style>
  <w:style w:type="paragraph" w:customStyle="1" w:styleId="405">
    <w:name w:val="toc 415"/>
    <w:next w:val="1"/>
    <w:qFormat/>
    <w:uiPriority w:val="0"/>
    <w:pPr>
      <w:wordWrap w:val="0"/>
      <w:ind w:left="1275"/>
      <w:jc w:val="both"/>
    </w:pPr>
    <w:rPr>
      <w:rFonts w:ascii="Calibri" w:hAnsi="Calibri" w:eastAsia="宋体" w:cs="Times New Roman"/>
      <w:sz w:val="21"/>
      <w:lang w:val="en-US" w:eastAsia="zh-CN" w:bidi="ar-SA"/>
    </w:rPr>
  </w:style>
  <w:style w:type="paragraph" w:customStyle="1" w:styleId="406">
    <w:name w:val="toc 29"/>
    <w:next w:val="1"/>
    <w:qFormat/>
    <w:uiPriority w:val="0"/>
    <w:pPr>
      <w:wordWrap w:val="0"/>
      <w:ind w:left="425"/>
      <w:jc w:val="both"/>
    </w:pPr>
    <w:rPr>
      <w:rFonts w:ascii="Calibri" w:hAnsi="Calibri" w:eastAsia="宋体" w:cs="Times New Roman"/>
      <w:sz w:val="21"/>
      <w:lang w:val="en-US" w:eastAsia="zh-CN" w:bidi="ar-SA"/>
    </w:rPr>
  </w:style>
  <w:style w:type="paragraph" w:customStyle="1" w:styleId="407">
    <w:name w:val="xl67"/>
    <w:basedOn w:val="1"/>
    <w:next w:val="408"/>
    <w:qFormat/>
    <w:uiPriority w:val="0"/>
    <w:pPr>
      <w:widowControl/>
      <w:shd w:val="clear" w:color="000000" w:fill="FFFFFF"/>
      <w:spacing w:before="280" w:after="280"/>
      <w:jc w:val="center"/>
    </w:pPr>
    <w:rPr>
      <w:rFonts w:ascii="宋体" w:hAnsi="Calibri"/>
      <w:b/>
      <w:kern w:val="0"/>
      <w:sz w:val="20"/>
      <w:szCs w:val="20"/>
    </w:rPr>
  </w:style>
  <w:style w:type="paragraph" w:customStyle="1" w:styleId="408">
    <w:name w:val="toc 714"/>
    <w:next w:val="1"/>
    <w:qFormat/>
    <w:uiPriority w:val="0"/>
    <w:pPr>
      <w:wordWrap w:val="0"/>
      <w:ind w:left="2550"/>
      <w:jc w:val="both"/>
    </w:pPr>
    <w:rPr>
      <w:rFonts w:ascii="Calibri" w:hAnsi="Calibri" w:eastAsia="宋体" w:cs="Times New Roman"/>
      <w:sz w:val="21"/>
      <w:lang w:val="en-US" w:eastAsia="zh-CN" w:bidi="ar-SA"/>
    </w:rPr>
  </w:style>
  <w:style w:type="paragraph" w:customStyle="1" w:styleId="409">
    <w:name w:val="toc 21"/>
    <w:next w:val="1"/>
    <w:qFormat/>
    <w:uiPriority w:val="0"/>
    <w:pPr>
      <w:wordWrap w:val="0"/>
      <w:ind w:left="425"/>
      <w:jc w:val="both"/>
    </w:pPr>
    <w:rPr>
      <w:rFonts w:ascii="Calibri" w:hAnsi="Calibri" w:eastAsia="宋体" w:cs="Times New Roman"/>
      <w:sz w:val="21"/>
      <w:lang w:val="en-US" w:eastAsia="zh-CN" w:bidi="ar-SA"/>
    </w:rPr>
  </w:style>
  <w:style w:type="paragraph" w:customStyle="1" w:styleId="410">
    <w:name w:val="正文 A"/>
    <w:next w:val="327"/>
    <w:qFormat/>
    <w:uiPriority w:val="0"/>
    <w:rPr>
      <w:rFonts w:ascii="Arial" w:hAnsi="Calibri" w:eastAsia="Arial Unicode MS" w:cs="Times New Roman"/>
      <w:color w:val="000000"/>
      <w:sz w:val="21"/>
      <w:lang w:val="en-US" w:eastAsia="zh-CN" w:bidi="ar-SA"/>
    </w:rPr>
  </w:style>
  <w:style w:type="paragraph" w:customStyle="1" w:styleId="411">
    <w:name w:val="toc 68"/>
    <w:next w:val="1"/>
    <w:qFormat/>
    <w:uiPriority w:val="0"/>
    <w:pPr>
      <w:wordWrap w:val="0"/>
      <w:ind w:left="2125"/>
      <w:jc w:val="both"/>
    </w:pPr>
    <w:rPr>
      <w:rFonts w:ascii="Calibri" w:hAnsi="Calibri" w:eastAsia="宋体" w:cs="Times New Roman"/>
      <w:sz w:val="21"/>
      <w:lang w:val="en-US" w:eastAsia="zh-CN" w:bidi="ar-SA"/>
    </w:rPr>
  </w:style>
  <w:style w:type="paragraph" w:customStyle="1" w:styleId="412">
    <w:name w:val="toc 58"/>
    <w:next w:val="1"/>
    <w:qFormat/>
    <w:uiPriority w:val="0"/>
    <w:pPr>
      <w:wordWrap w:val="0"/>
      <w:ind w:left="1700"/>
      <w:jc w:val="both"/>
    </w:pPr>
    <w:rPr>
      <w:rFonts w:ascii="Calibri" w:hAnsi="Calibri" w:eastAsia="宋体" w:cs="Times New Roman"/>
      <w:sz w:val="21"/>
      <w:lang w:val="en-US" w:eastAsia="zh-CN" w:bidi="ar-SA"/>
    </w:rPr>
  </w:style>
  <w:style w:type="paragraph" w:customStyle="1" w:styleId="413">
    <w:name w:val="xl88"/>
    <w:basedOn w:val="1"/>
    <w:next w:val="399"/>
    <w:qFormat/>
    <w:uiPriority w:val="0"/>
    <w:pPr>
      <w:widowControl/>
      <w:shd w:val="clear" w:color="000000" w:fill="FFFFFF"/>
      <w:spacing w:before="280" w:after="280"/>
      <w:jc w:val="center"/>
    </w:pPr>
    <w:rPr>
      <w:rFonts w:ascii="宋体" w:hAnsi="Calibri"/>
      <w:kern w:val="0"/>
      <w:sz w:val="20"/>
      <w:szCs w:val="20"/>
    </w:rPr>
  </w:style>
  <w:style w:type="paragraph" w:customStyle="1" w:styleId="414">
    <w:name w:val="toc 71"/>
    <w:next w:val="1"/>
    <w:qFormat/>
    <w:uiPriority w:val="0"/>
    <w:pPr>
      <w:wordWrap w:val="0"/>
      <w:ind w:left="2550"/>
      <w:jc w:val="both"/>
    </w:pPr>
    <w:rPr>
      <w:rFonts w:ascii="Calibri" w:hAnsi="Calibri" w:eastAsia="宋体" w:cs="Times New Roman"/>
      <w:sz w:val="21"/>
      <w:lang w:val="en-US" w:eastAsia="zh-CN" w:bidi="ar-SA"/>
    </w:rPr>
  </w:style>
  <w:style w:type="paragraph" w:customStyle="1" w:styleId="415">
    <w:name w:val="xl100"/>
    <w:basedOn w:val="1"/>
    <w:next w:val="416"/>
    <w:qFormat/>
    <w:uiPriority w:val="0"/>
    <w:pPr>
      <w:widowControl/>
      <w:shd w:val="clear" w:color="000000" w:fill="FFFFFF"/>
      <w:spacing w:before="280" w:after="280"/>
    </w:pPr>
    <w:rPr>
      <w:rFonts w:ascii="宋体" w:hAnsi="Calibri"/>
      <w:kern w:val="0"/>
      <w:sz w:val="20"/>
      <w:szCs w:val="20"/>
    </w:rPr>
  </w:style>
  <w:style w:type="paragraph" w:customStyle="1" w:styleId="416">
    <w:name w:val="toc 510"/>
    <w:next w:val="1"/>
    <w:qFormat/>
    <w:uiPriority w:val="0"/>
    <w:pPr>
      <w:wordWrap w:val="0"/>
      <w:ind w:left="1700"/>
      <w:jc w:val="both"/>
    </w:pPr>
    <w:rPr>
      <w:rFonts w:ascii="Calibri" w:hAnsi="Calibri" w:eastAsia="宋体" w:cs="Times New Roman"/>
      <w:sz w:val="21"/>
      <w:lang w:val="en-US" w:eastAsia="zh-CN" w:bidi="ar-SA"/>
    </w:rPr>
  </w:style>
  <w:style w:type="paragraph" w:customStyle="1" w:styleId="417">
    <w:name w:val="toc 314"/>
    <w:next w:val="1"/>
    <w:qFormat/>
    <w:uiPriority w:val="0"/>
    <w:pPr>
      <w:wordWrap w:val="0"/>
      <w:ind w:left="850"/>
      <w:jc w:val="both"/>
    </w:pPr>
    <w:rPr>
      <w:rFonts w:ascii="Calibri" w:hAnsi="Calibri" w:eastAsia="宋体" w:cs="Times New Roman"/>
      <w:sz w:val="21"/>
      <w:lang w:val="en-US" w:eastAsia="zh-CN" w:bidi="ar-SA"/>
    </w:rPr>
  </w:style>
  <w:style w:type="paragraph" w:customStyle="1" w:styleId="418">
    <w:name w:val="xl114"/>
    <w:basedOn w:val="1"/>
    <w:next w:val="270"/>
    <w:qFormat/>
    <w:uiPriority w:val="0"/>
    <w:pPr>
      <w:widowControl/>
      <w:shd w:val="clear" w:color="000000" w:fill="FFFFFF"/>
      <w:spacing w:before="280" w:after="280"/>
      <w:jc w:val="center"/>
    </w:pPr>
    <w:rPr>
      <w:rFonts w:ascii="宋体" w:hAnsi="Calibri"/>
      <w:b/>
      <w:kern w:val="0"/>
      <w:sz w:val="20"/>
      <w:szCs w:val="20"/>
    </w:rPr>
  </w:style>
  <w:style w:type="paragraph" w:customStyle="1" w:styleId="419">
    <w:name w:val="xl107"/>
    <w:basedOn w:val="1"/>
    <w:next w:val="420"/>
    <w:qFormat/>
    <w:uiPriority w:val="0"/>
    <w:pPr>
      <w:widowControl/>
      <w:shd w:val="clear" w:color="000000" w:fill="FFFFFF"/>
      <w:spacing w:before="280" w:after="280"/>
    </w:pPr>
    <w:rPr>
      <w:rFonts w:ascii="宋体" w:hAnsi="Calibri"/>
      <w:kern w:val="0"/>
      <w:sz w:val="20"/>
      <w:szCs w:val="20"/>
    </w:rPr>
  </w:style>
  <w:style w:type="paragraph" w:customStyle="1" w:styleId="420">
    <w:name w:val="toc 610"/>
    <w:next w:val="1"/>
    <w:qFormat/>
    <w:uiPriority w:val="0"/>
    <w:pPr>
      <w:wordWrap w:val="0"/>
      <w:ind w:left="2125"/>
      <w:jc w:val="both"/>
    </w:pPr>
    <w:rPr>
      <w:rFonts w:ascii="Calibri" w:hAnsi="Calibri" w:eastAsia="宋体" w:cs="Times New Roman"/>
      <w:sz w:val="21"/>
      <w:lang w:val="en-US" w:eastAsia="zh-CN" w:bidi="ar-SA"/>
    </w:rPr>
  </w:style>
  <w:style w:type="paragraph" w:customStyle="1" w:styleId="421">
    <w:name w:val="toc 22"/>
    <w:next w:val="1"/>
    <w:qFormat/>
    <w:uiPriority w:val="0"/>
    <w:pPr>
      <w:wordWrap w:val="0"/>
      <w:ind w:left="425"/>
      <w:jc w:val="both"/>
    </w:pPr>
    <w:rPr>
      <w:rFonts w:ascii="Calibri" w:hAnsi="Calibri" w:eastAsia="宋体" w:cs="Times New Roman"/>
      <w:sz w:val="21"/>
      <w:lang w:val="en-US" w:eastAsia="zh-CN" w:bidi="ar-SA"/>
    </w:rPr>
  </w:style>
  <w:style w:type="paragraph" w:customStyle="1" w:styleId="422">
    <w:name w:val="xl90"/>
    <w:basedOn w:val="1"/>
    <w:next w:val="224"/>
    <w:qFormat/>
    <w:uiPriority w:val="0"/>
    <w:pPr>
      <w:widowControl/>
      <w:shd w:val="clear" w:color="000000" w:fill="FFFFFF"/>
      <w:spacing w:before="280" w:after="280"/>
    </w:pPr>
    <w:rPr>
      <w:rFonts w:ascii="宋体" w:hAnsi="Calibri"/>
      <w:kern w:val="0"/>
      <w:sz w:val="18"/>
      <w:szCs w:val="20"/>
    </w:rPr>
  </w:style>
  <w:style w:type="paragraph" w:customStyle="1" w:styleId="423">
    <w:name w:val="toc 616"/>
    <w:next w:val="1"/>
    <w:qFormat/>
    <w:uiPriority w:val="0"/>
    <w:pPr>
      <w:wordWrap w:val="0"/>
      <w:ind w:left="2125"/>
      <w:jc w:val="both"/>
    </w:pPr>
    <w:rPr>
      <w:rFonts w:ascii="Calibri" w:hAnsi="Calibri" w:eastAsia="宋体" w:cs="Times New Roman"/>
      <w:sz w:val="21"/>
      <w:lang w:val="en-US" w:eastAsia="zh-CN" w:bidi="ar-SA"/>
    </w:rPr>
  </w:style>
  <w:style w:type="paragraph" w:customStyle="1" w:styleId="424">
    <w:name w:val="toc 96"/>
    <w:next w:val="1"/>
    <w:qFormat/>
    <w:uiPriority w:val="0"/>
    <w:pPr>
      <w:wordWrap w:val="0"/>
      <w:ind w:left="3400"/>
      <w:jc w:val="both"/>
    </w:pPr>
    <w:rPr>
      <w:rFonts w:ascii="Calibri" w:hAnsi="Calibri" w:eastAsia="宋体" w:cs="Times New Roman"/>
      <w:sz w:val="21"/>
      <w:lang w:val="en-US" w:eastAsia="zh-CN" w:bidi="ar-SA"/>
    </w:rPr>
  </w:style>
  <w:style w:type="paragraph" w:customStyle="1" w:styleId="425">
    <w:name w:val="toc 42"/>
    <w:next w:val="1"/>
    <w:qFormat/>
    <w:uiPriority w:val="0"/>
    <w:pPr>
      <w:wordWrap w:val="0"/>
      <w:ind w:left="1275"/>
      <w:jc w:val="both"/>
    </w:pPr>
    <w:rPr>
      <w:rFonts w:ascii="Calibri" w:hAnsi="Calibri" w:eastAsia="宋体" w:cs="Times New Roman"/>
      <w:sz w:val="21"/>
      <w:lang w:val="en-US" w:eastAsia="zh-CN" w:bidi="ar-SA"/>
    </w:rPr>
  </w:style>
  <w:style w:type="paragraph" w:customStyle="1" w:styleId="426">
    <w:name w:val="xl117"/>
    <w:basedOn w:val="1"/>
    <w:next w:val="323"/>
    <w:qFormat/>
    <w:uiPriority w:val="0"/>
    <w:pPr>
      <w:widowControl/>
      <w:shd w:val="clear" w:color="000000" w:fill="FFFFFF"/>
      <w:spacing w:before="280" w:after="280"/>
      <w:jc w:val="center"/>
    </w:pPr>
    <w:rPr>
      <w:rFonts w:ascii="Arial Narrow" w:hAnsi="Calibri"/>
      <w:kern w:val="0"/>
      <w:sz w:val="24"/>
      <w:szCs w:val="20"/>
    </w:rPr>
  </w:style>
  <w:style w:type="paragraph" w:customStyle="1" w:styleId="427">
    <w:name w:val="p15"/>
    <w:basedOn w:val="1"/>
    <w:next w:val="248"/>
    <w:qFormat/>
    <w:uiPriority w:val="0"/>
    <w:pPr>
      <w:widowControl/>
      <w:ind w:firstLine="420"/>
    </w:pPr>
    <w:rPr>
      <w:rFonts w:hAnsi="Calibri"/>
      <w:kern w:val="0"/>
      <w:szCs w:val="20"/>
    </w:rPr>
  </w:style>
  <w:style w:type="paragraph" w:customStyle="1" w:styleId="428">
    <w:name w:val="xl87"/>
    <w:basedOn w:val="1"/>
    <w:next w:val="429"/>
    <w:qFormat/>
    <w:uiPriority w:val="0"/>
    <w:pPr>
      <w:widowControl/>
      <w:shd w:val="clear" w:color="000000" w:fill="FFFFFF"/>
      <w:spacing w:before="280" w:after="280"/>
    </w:pPr>
    <w:rPr>
      <w:rFonts w:ascii="Arial" w:hAnsi="Calibri"/>
      <w:kern w:val="0"/>
      <w:sz w:val="18"/>
      <w:szCs w:val="20"/>
    </w:rPr>
  </w:style>
  <w:style w:type="paragraph" w:customStyle="1" w:styleId="429">
    <w:name w:val="toc 98"/>
    <w:next w:val="1"/>
    <w:qFormat/>
    <w:uiPriority w:val="0"/>
    <w:pPr>
      <w:wordWrap w:val="0"/>
      <w:ind w:left="3400"/>
      <w:jc w:val="both"/>
    </w:pPr>
    <w:rPr>
      <w:rFonts w:ascii="Calibri" w:hAnsi="Calibri" w:eastAsia="宋体" w:cs="Times New Roman"/>
      <w:sz w:val="21"/>
      <w:lang w:val="en-US" w:eastAsia="zh-CN" w:bidi="ar-SA"/>
    </w:rPr>
  </w:style>
  <w:style w:type="paragraph" w:customStyle="1" w:styleId="430">
    <w:name w:val="列出段落7"/>
    <w:basedOn w:val="1"/>
    <w:next w:val="412"/>
    <w:qFormat/>
    <w:uiPriority w:val="0"/>
    <w:pPr>
      <w:ind w:firstLine="420"/>
    </w:pPr>
    <w:rPr>
      <w:rFonts w:hAnsi="Calibri"/>
      <w:kern w:val="0"/>
      <w:szCs w:val="20"/>
    </w:rPr>
  </w:style>
  <w:style w:type="paragraph" w:customStyle="1" w:styleId="431">
    <w:name w:val="xl78"/>
    <w:basedOn w:val="1"/>
    <w:next w:val="402"/>
    <w:qFormat/>
    <w:uiPriority w:val="0"/>
    <w:pPr>
      <w:widowControl/>
      <w:shd w:val="clear" w:color="000000" w:fill="FFFFFF"/>
      <w:spacing w:before="280" w:after="280"/>
    </w:pPr>
    <w:rPr>
      <w:rFonts w:ascii="宋体" w:hAnsi="Calibri"/>
      <w:b/>
      <w:kern w:val="0"/>
      <w:sz w:val="20"/>
      <w:szCs w:val="20"/>
    </w:rPr>
  </w:style>
  <w:style w:type="paragraph" w:customStyle="1" w:styleId="432">
    <w:name w:val="toc 516"/>
    <w:next w:val="1"/>
    <w:qFormat/>
    <w:uiPriority w:val="0"/>
    <w:pPr>
      <w:wordWrap w:val="0"/>
      <w:ind w:left="1700"/>
      <w:jc w:val="both"/>
    </w:pPr>
    <w:rPr>
      <w:rFonts w:ascii="Calibri" w:hAnsi="Calibri" w:eastAsia="宋体" w:cs="Times New Roman"/>
      <w:sz w:val="21"/>
      <w:lang w:val="en-US" w:eastAsia="zh-CN" w:bidi="ar-SA"/>
    </w:rPr>
  </w:style>
  <w:style w:type="paragraph" w:customStyle="1" w:styleId="433">
    <w:name w:val="xl89"/>
    <w:basedOn w:val="1"/>
    <w:next w:val="367"/>
    <w:qFormat/>
    <w:uiPriority w:val="0"/>
    <w:pPr>
      <w:widowControl/>
      <w:shd w:val="clear" w:color="000000" w:fill="FFFFFF"/>
      <w:spacing w:before="280" w:after="280"/>
    </w:pPr>
    <w:rPr>
      <w:rFonts w:ascii="宋体" w:hAnsi="Calibri"/>
      <w:kern w:val="0"/>
      <w:sz w:val="20"/>
      <w:szCs w:val="20"/>
    </w:rPr>
  </w:style>
  <w:style w:type="paragraph" w:customStyle="1" w:styleId="434">
    <w:name w:val="toc 910"/>
    <w:next w:val="1"/>
    <w:qFormat/>
    <w:uiPriority w:val="0"/>
    <w:pPr>
      <w:wordWrap w:val="0"/>
      <w:ind w:left="3400"/>
      <w:jc w:val="both"/>
    </w:pPr>
    <w:rPr>
      <w:rFonts w:ascii="Calibri" w:hAnsi="Calibri" w:eastAsia="宋体" w:cs="Times New Roman"/>
      <w:sz w:val="21"/>
      <w:lang w:val="en-US" w:eastAsia="zh-CN" w:bidi="ar-SA"/>
    </w:rPr>
  </w:style>
  <w:style w:type="paragraph" w:customStyle="1" w:styleId="435">
    <w:name w:val="toc 34"/>
    <w:next w:val="1"/>
    <w:qFormat/>
    <w:uiPriority w:val="0"/>
    <w:pPr>
      <w:wordWrap w:val="0"/>
      <w:ind w:left="850"/>
      <w:jc w:val="both"/>
    </w:pPr>
    <w:rPr>
      <w:rFonts w:ascii="Calibri" w:hAnsi="Calibri" w:eastAsia="宋体" w:cs="Times New Roman"/>
      <w:sz w:val="21"/>
      <w:lang w:val="en-US" w:eastAsia="zh-CN" w:bidi="ar-SA"/>
    </w:rPr>
  </w:style>
  <w:style w:type="paragraph" w:customStyle="1" w:styleId="436">
    <w:name w:val="toc 816"/>
    <w:next w:val="1"/>
    <w:qFormat/>
    <w:uiPriority w:val="0"/>
    <w:pPr>
      <w:wordWrap w:val="0"/>
      <w:ind w:left="2975"/>
      <w:jc w:val="both"/>
    </w:pPr>
    <w:rPr>
      <w:rFonts w:ascii="Calibri" w:hAnsi="Calibri" w:eastAsia="宋体" w:cs="Times New Roman"/>
      <w:sz w:val="21"/>
      <w:lang w:val="en-US" w:eastAsia="zh-CN" w:bidi="ar-SA"/>
    </w:rPr>
  </w:style>
  <w:style w:type="paragraph" w:customStyle="1" w:styleId="437">
    <w:name w:val="toc 43"/>
    <w:next w:val="1"/>
    <w:qFormat/>
    <w:uiPriority w:val="0"/>
    <w:pPr>
      <w:wordWrap w:val="0"/>
      <w:ind w:left="1275"/>
      <w:jc w:val="both"/>
    </w:pPr>
    <w:rPr>
      <w:rFonts w:ascii="Calibri" w:hAnsi="Calibri" w:eastAsia="宋体" w:cs="Times New Roman"/>
      <w:sz w:val="21"/>
      <w:lang w:val="en-US" w:eastAsia="zh-CN" w:bidi="ar-SA"/>
    </w:rPr>
  </w:style>
  <w:style w:type="paragraph" w:customStyle="1" w:styleId="438">
    <w:name w:val="toc 16"/>
    <w:next w:val="1"/>
    <w:qFormat/>
    <w:uiPriority w:val="0"/>
    <w:pPr>
      <w:wordWrap w:val="0"/>
      <w:jc w:val="both"/>
    </w:pPr>
    <w:rPr>
      <w:rFonts w:ascii="Calibri" w:hAnsi="Calibri" w:eastAsia="宋体" w:cs="Times New Roman"/>
      <w:sz w:val="21"/>
      <w:lang w:val="en-US" w:eastAsia="zh-CN" w:bidi="ar-SA"/>
    </w:rPr>
  </w:style>
  <w:style w:type="paragraph" w:styleId="439">
    <w:name w:val="Quote"/>
    <w:next w:val="1"/>
    <w:link w:val="440"/>
    <w:qFormat/>
    <w:uiPriority w:val="0"/>
    <w:pPr>
      <w:wordWrap w:val="0"/>
      <w:spacing w:before="200" w:after="160"/>
      <w:ind w:left="864" w:right="864"/>
      <w:jc w:val="center"/>
    </w:pPr>
    <w:rPr>
      <w:rFonts w:ascii="Calibri" w:hAnsi="Calibri" w:eastAsia="宋体" w:cs="Times New Roman"/>
      <w:i/>
      <w:sz w:val="21"/>
      <w:lang w:val="en-US" w:eastAsia="zh-CN" w:bidi="ar-SA"/>
    </w:rPr>
  </w:style>
  <w:style w:type="character" w:customStyle="1" w:styleId="440">
    <w:name w:val="引用 Char"/>
    <w:basedOn w:val="46"/>
    <w:link w:val="439"/>
    <w:qFormat/>
    <w:uiPriority w:val="0"/>
    <w:rPr>
      <w:rFonts w:ascii="Calibri" w:hAnsi="Calibri"/>
      <w:i/>
      <w:sz w:val="21"/>
    </w:rPr>
  </w:style>
  <w:style w:type="paragraph" w:customStyle="1" w:styleId="441">
    <w:name w:val="toc 114"/>
    <w:next w:val="1"/>
    <w:qFormat/>
    <w:uiPriority w:val="0"/>
    <w:pPr>
      <w:wordWrap w:val="0"/>
      <w:jc w:val="both"/>
    </w:pPr>
    <w:rPr>
      <w:rFonts w:ascii="Calibri" w:hAnsi="Calibri" w:eastAsia="宋体" w:cs="Times New Roman"/>
      <w:sz w:val="21"/>
      <w:lang w:val="en-US" w:eastAsia="zh-CN" w:bidi="ar-SA"/>
    </w:rPr>
  </w:style>
  <w:style w:type="paragraph" w:customStyle="1" w:styleId="442">
    <w:name w:val="xl119"/>
    <w:basedOn w:val="1"/>
    <w:next w:val="417"/>
    <w:qFormat/>
    <w:uiPriority w:val="0"/>
    <w:pPr>
      <w:widowControl/>
      <w:shd w:val="clear" w:color="000000" w:fill="FFFFFF"/>
      <w:spacing w:before="280" w:after="280"/>
      <w:jc w:val="center"/>
    </w:pPr>
    <w:rPr>
      <w:rFonts w:ascii="宋体" w:hAnsi="Calibri"/>
      <w:b/>
      <w:kern w:val="0"/>
      <w:sz w:val="20"/>
      <w:szCs w:val="20"/>
    </w:rPr>
  </w:style>
  <w:style w:type="paragraph" w:customStyle="1" w:styleId="443">
    <w:name w:val="toc 37"/>
    <w:next w:val="1"/>
    <w:qFormat/>
    <w:uiPriority w:val="0"/>
    <w:pPr>
      <w:wordWrap w:val="0"/>
      <w:ind w:left="850"/>
      <w:jc w:val="both"/>
    </w:pPr>
    <w:rPr>
      <w:rFonts w:ascii="Calibri" w:hAnsi="Calibri" w:eastAsia="宋体" w:cs="Times New Roman"/>
      <w:sz w:val="21"/>
      <w:lang w:val="en-US" w:eastAsia="zh-CN" w:bidi="ar-SA"/>
    </w:rPr>
  </w:style>
  <w:style w:type="paragraph" w:customStyle="1" w:styleId="444">
    <w:name w:val="xl109"/>
    <w:basedOn w:val="1"/>
    <w:next w:val="390"/>
    <w:qFormat/>
    <w:uiPriority w:val="0"/>
    <w:pPr>
      <w:widowControl/>
      <w:shd w:val="clear" w:color="000000" w:fill="FFFFFF"/>
      <w:spacing w:before="280" w:after="280"/>
    </w:pPr>
    <w:rPr>
      <w:rFonts w:ascii="宋体" w:hAnsi="Calibri"/>
      <w:kern w:val="0"/>
      <w:sz w:val="20"/>
      <w:szCs w:val="20"/>
    </w:rPr>
  </w:style>
  <w:style w:type="paragraph" w:customStyle="1" w:styleId="445">
    <w:name w:val="toc 215"/>
    <w:next w:val="1"/>
    <w:qFormat/>
    <w:uiPriority w:val="0"/>
    <w:pPr>
      <w:wordWrap w:val="0"/>
      <w:ind w:left="425"/>
      <w:jc w:val="both"/>
    </w:pPr>
    <w:rPr>
      <w:rFonts w:ascii="Calibri" w:hAnsi="Calibri" w:eastAsia="宋体" w:cs="Times New Roman"/>
      <w:sz w:val="21"/>
      <w:lang w:val="en-US" w:eastAsia="zh-CN" w:bidi="ar-SA"/>
    </w:rPr>
  </w:style>
  <w:style w:type="paragraph" w:customStyle="1" w:styleId="446">
    <w:name w:val="xl76"/>
    <w:basedOn w:val="1"/>
    <w:next w:val="398"/>
    <w:qFormat/>
    <w:uiPriority w:val="0"/>
    <w:pPr>
      <w:widowControl/>
      <w:shd w:val="clear" w:color="000000" w:fill="FFFFFF"/>
      <w:spacing w:before="280" w:after="280"/>
      <w:jc w:val="center"/>
    </w:pPr>
    <w:rPr>
      <w:rFonts w:ascii="宋体" w:hAnsi="Calibri"/>
      <w:b/>
      <w:kern w:val="0"/>
      <w:sz w:val="20"/>
      <w:szCs w:val="20"/>
    </w:rPr>
  </w:style>
  <w:style w:type="paragraph" w:customStyle="1" w:styleId="447">
    <w:name w:val="toc 92"/>
    <w:next w:val="1"/>
    <w:qFormat/>
    <w:uiPriority w:val="0"/>
    <w:pPr>
      <w:wordWrap w:val="0"/>
      <w:ind w:left="3400"/>
      <w:jc w:val="both"/>
    </w:pPr>
    <w:rPr>
      <w:rFonts w:ascii="Calibri" w:hAnsi="Calibri" w:eastAsia="宋体" w:cs="Times New Roman"/>
      <w:sz w:val="21"/>
      <w:lang w:val="en-US" w:eastAsia="zh-CN" w:bidi="ar-SA"/>
    </w:rPr>
  </w:style>
  <w:style w:type="paragraph" w:customStyle="1" w:styleId="448">
    <w:name w:val="toc 216"/>
    <w:next w:val="1"/>
    <w:qFormat/>
    <w:uiPriority w:val="0"/>
    <w:pPr>
      <w:wordWrap w:val="0"/>
      <w:ind w:left="425"/>
      <w:jc w:val="both"/>
    </w:pPr>
    <w:rPr>
      <w:rFonts w:ascii="Calibri" w:hAnsi="Calibri" w:eastAsia="宋体" w:cs="Times New Roman"/>
      <w:sz w:val="21"/>
      <w:lang w:val="en-US" w:eastAsia="zh-CN" w:bidi="ar-SA"/>
    </w:rPr>
  </w:style>
  <w:style w:type="paragraph" w:customStyle="1" w:styleId="449">
    <w:name w:val="xl70"/>
    <w:basedOn w:val="1"/>
    <w:next w:val="375"/>
    <w:qFormat/>
    <w:uiPriority w:val="0"/>
    <w:pPr>
      <w:widowControl/>
      <w:shd w:val="clear" w:color="000000" w:fill="FFFFFF"/>
      <w:spacing w:before="280" w:after="280"/>
    </w:pPr>
    <w:rPr>
      <w:rFonts w:ascii="宋体" w:hAnsi="Calibri"/>
      <w:kern w:val="0"/>
      <w:sz w:val="20"/>
      <w:szCs w:val="20"/>
    </w:rPr>
  </w:style>
  <w:style w:type="paragraph" w:customStyle="1" w:styleId="450">
    <w:name w:val="toc 33"/>
    <w:next w:val="1"/>
    <w:qFormat/>
    <w:uiPriority w:val="0"/>
    <w:pPr>
      <w:wordWrap w:val="0"/>
      <w:ind w:left="850"/>
      <w:jc w:val="both"/>
    </w:pPr>
    <w:rPr>
      <w:rFonts w:ascii="Calibri" w:hAnsi="Calibri" w:eastAsia="宋体" w:cs="Times New Roman"/>
      <w:sz w:val="21"/>
      <w:lang w:val="en-US" w:eastAsia="zh-CN" w:bidi="ar-SA"/>
    </w:rPr>
  </w:style>
  <w:style w:type="paragraph" w:customStyle="1" w:styleId="451">
    <w:name w:val="toc 61"/>
    <w:next w:val="1"/>
    <w:qFormat/>
    <w:uiPriority w:val="0"/>
    <w:pPr>
      <w:wordWrap w:val="0"/>
      <w:ind w:left="2125"/>
      <w:jc w:val="both"/>
    </w:pPr>
    <w:rPr>
      <w:rFonts w:ascii="Calibri" w:hAnsi="Calibri" w:eastAsia="宋体" w:cs="Times New Roman"/>
      <w:sz w:val="21"/>
      <w:lang w:val="en-US" w:eastAsia="zh-CN" w:bidi="ar-SA"/>
    </w:rPr>
  </w:style>
  <w:style w:type="paragraph" w:customStyle="1" w:styleId="452">
    <w:name w:val="xl98"/>
    <w:basedOn w:val="1"/>
    <w:next w:val="393"/>
    <w:qFormat/>
    <w:uiPriority w:val="0"/>
    <w:pPr>
      <w:widowControl/>
      <w:shd w:val="clear" w:color="000000" w:fill="FFFFFF"/>
      <w:spacing w:before="280" w:after="280"/>
      <w:jc w:val="center"/>
    </w:pPr>
    <w:rPr>
      <w:rFonts w:ascii="宋体" w:hAnsi="Calibri"/>
      <w:kern w:val="0"/>
      <w:sz w:val="20"/>
      <w:szCs w:val="20"/>
    </w:rPr>
  </w:style>
  <w:style w:type="paragraph" w:customStyle="1" w:styleId="453">
    <w:name w:val="toc 26"/>
    <w:next w:val="1"/>
    <w:qFormat/>
    <w:uiPriority w:val="0"/>
    <w:pPr>
      <w:wordWrap w:val="0"/>
      <w:ind w:left="425"/>
      <w:jc w:val="both"/>
    </w:pPr>
    <w:rPr>
      <w:rFonts w:ascii="Calibri" w:hAnsi="Calibri" w:eastAsia="宋体" w:cs="Times New Roman"/>
      <w:sz w:val="21"/>
      <w:lang w:val="en-US" w:eastAsia="zh-CN" w:bidi="ar-SA"/>
    </w:rPr>
  </w:style>
  <w:style w:type="paragraph" w:customStyle="1" w:styleId="454">
    <w:name w:val="toc 13"/>
    <w:next w:val="1"/>
    <w:qFormat/>
    <w:uiPriority w:val="0"/>
    <w:pPr>
      <w:wordWrap w:val="0"/>
      <w:jc w:val="both"/>
    </w:pPr>
    <w:rPr>
      <w:rFonts w:ascii="Calibri" w:hAnsi="Calibri" w:eastAsia="宋体" w:cs="Times New Roman"/>
      <w:sz w:val="21"/>
      <w:lang w:val="en-US" w:eastAsia="zh-CN" w:bidi="ar-SA"/>
    </w:rPr>
  </w:style>
  <w:style w:type="paragraph" w:customStyle="1" w:styleId="455">
    <w:name w:val="目录 51"/>
    <w:next w:val="1"/>
    <w:qFormat/>
    <w:uiPriority w:val="0"/>
    <w:pPr>
      <w:wordWrap w:val="0"/>
      <w:ind w:left="1700"/>
      <w:jc w:val="both"/>
    </w:pPr>
    <w:rPr>
      <w:rFonts w:ascii="Calibri" w:hAnsi="Calibri" w:eastAsia="宋体" w:cs="Times New Roman"/>
      <w:sz w:val="21"/>
      <w:lang w:val="en-US" w:eastAsia="zh-CN" w:bidi="ar-SA"/>
    </w:rPr>
  </w:style>
  <w:style w:type="paragraph" w:customStyle="1" w:styleId="456">
    <w:name w:val="xl101"/>
    <w:basedOn w:val="1"/>
    <w:next w:val="424"/>
    <w:qFormat/>
    <w:uiPriority w:val="0"/>
    <w:pPr>
      <w:widowControl/>
      <w:spacing w:before="280" w:after="280"/>
    </w:pPr>
    <w:rPr>
      <w:rFonts w:ascii="宋体" w:hAnsi="Calibri"/>
      <w:kern w:val="0"/>
      <w:sz w:val="20"/>
      <w:szCs w:val="20"/>
    </w:rPr>
  </w:style>
  <w:style w:type="paragraph" w:customStyle="1" w:styleId="457">
    <w:name w:val="toc 75"/>
    <w:next w:val="1"/>
    <w:qFormat/>
    <w:uiPriority w:val="0"/>
    <w:pPr>
      <w:wordWrap w:val="0"/>
      <w:ind w:left="2550"/>
      <w:jc w:val="both"/>
    </w:pPr>
    <w:rPr>
      <w:rFonts w:ascii="Calibri" w:hAnsi="Calibri" w:eastAsia="宋体" w:cs="Times New Roman"/>
      <w:sz w:val="21"/>
      <w:lang w:val="en-US" w:eastAsia="zh-CN" w:bidi="ar-SA"/>
    </w:rPr>
  </w:style>
  <w:style w:type="paragraph" w:customStyle="1" w:styleId="458">
    <w:name w:val="toc 715"/>
    <w:next w:val="1"/>
    <w:qFormat/>
    <w:uiPriority w:val="0"/>
    <w:pPr>
      <w:wordWrap w:val="0"/>
      <w:ind w:left="2550"/>
      <w:jc w:val="both"/>
    </w:pPr>
    <w:rPr>
      <w:rFonts w:ascii="Calibri" w:hAnsi="Calibri" w:eastAsia="宋体" w:cs="Times New Roman"/>
      <w:sz w:val="21"/>
      <w:lang w:val="en-US" w:eastAsia="zh-CN" w:bidi="ar-SA"/>
    </w:rPr>
  </w:style>
  <w:style w:type="paragraph" w:styleId="459">
    <w:name w:val="Intense Quote"/>
    <w:next w:val="1"/>
    <w:link w:val="460"/>
    <w:qFormat/>
    <w:uiPriority w:val="0"/>
    <w:pPr>
      <w:wordWrap w:val="0"/>
      <w:spacing w:before="360" w:after="360"/>
      <w:ind w:left="950" w:right="950"/>
      <w:jc w:val="center"/>
    </w:pPr>
    <w:rPr>
      <w:rFonts w:ascii="Calibri" w:hAnsi="Calibri" w:eastAsia="宋体" w:cs="Times New Roman"/>
      <w:i/>
      <w:sz w:val="21"/>
      <w:lang w:val="en-US" w:eastAsia="zh-CN" w:bidi="ar-SA"/>
    </w:rPr>
  </w:style>
  <w:style w:type="character" w:customStyle="1" w:styleId="460">
    <w:name w:val="明显引用 Char"/>
    <w:basedOn w:val="46"/>
    <w:link w:val="459"/>
    <w:qFormat/>
    <w:uiPriority w:val="0"/>
    <w:rPr>
      <w:rFonts w:ascii="Calibri" w:hAnsi="Calibri"/>
      <w:i/>
      <w:sz w:val="21"/>
    </w:rPr>
  </w:style>
  <w:style w:type="paragraph" w:customStyle="1" w:styleId="461">
    <w:name w:val="Char Char Char Char Char Char Char"/>
    <w:basedOn w:val="1"/>
    <w:next w:val="445"/>
    <w:qFormat/>
    <w:uiPriority w:val="0"/>
    <w:pPr>
      <w:widowControl/>
      <w:spacing w:after="160" w:line="240" w:lineRule="exact"/>
    </w:pPr>
    <w:rPr>
      <w:rFonts w:hAnsi="Calibri"/>
      <w:kern w:val="0"/>
      <w:szCs w:val="20"/>
    </w:rPr>
  </w:style>
  <w:style w:type="paragraph" w:customStyle="1" w:styleId="462">
    <w:name w:val="toc 23"/>
    <w:next w:val="1"/>
    <w:qFormat/>
    <w:uiPriority w:val="0"/>
    <w:pPr>
      <w:wordWrap w:val="0"/>
      <w:ind w:left="425"/>
      <w:jc w:val="both"/>
    </w:pPr>
    <w:rPr>
      <w:rFonts w:ascii="Calibri" w:hAnsi="Calibri" w:eastAsia="宋体" w:cs="Times New Roman"/>
      <w:sz w:val="21"/>
      <w:lang w:val="en-US" w:eastAsia="zh-CN" w:bidi="ar-SA"/>
    </w:rPr>
  </w:style>
  <w:style w:type="paragraph" w:customStyle="1" w:styleId="463">
    <w:name w:val="目录 61"/>
    <w:next w:val="1"/>
    <w:qFormat/>
    <w:uiPriority w:val="0"/>
    <w:pPr>
      <w:wordWrap w:val="0"/>
      <w:ind w:left="2125"/>
      <w:jc w:val="both"/>
    </w:pPr>
    <w:rPr>
      <w:rFonts w:ascii="Calibri" w:hAnsi="Calibri" w:eastAsia="宋体" w:cs="Times New Roman"/>
      <w:sz w:val="21"/>
      <w:lang w:val="en-US" w:eastAsia="zh-CN" w:bidi="ar-SA"/>
    </w:rPr>
  </w:style>
  <w:style w:type="paragraph" w:customStyle="1" w:styleId="464">
    <w:name w:val="toc 97"/>
    <w:next w:val="1"/>
    <w:qFormat/>
    <w:uiPriority w:val="0"/>
    <w:pPr>
      <w:wordWrap w:val="0"/>
      <w:ind w:left="3400"/>
      <w:jc w:val="both"/>
    </w:pPr>
    <w:rPr>
      <w:rFonts w:ascii="Calibri" w:hAnsi="Calibri" w:eastAsia="宋体" w:cs="Times New Roman"/>
      <w:sz w:val="21"/>
      <w:lang w:val="en-US" w:eastAsia="zh-CN" w:bidi="ar-SA"/>
    </w:rPr>
  </w:style>
  <w:style w:type="paragraph" w:customStyle="1" w:styleId="465">
    <w:name w:val="toc 74"/>
    <w:next w:val="1"/>
    <w:qFormat/>
    <w:uiPriority w:val="0"/>
    <w:pPr>
      <w:wordWrap w:val="0"/>
      <w:ind w:left="2550"/>
      <w:jc w:val="both"/>
    </w:pPr>
    <w:rPr>
      <w:rFonts w:ascii="Calibri" w:hAnsi="Calibri" w:eastAsia="宋体" w:cs="Times New Roman"/>
      <w:sz w:val="21"/>
      <w:lang w:val="en-US" w:eastAsia="zh-CN" w:bidi="ar-SA"/>
    </w:rPr>
  </w:style>
  <w:style w:type="paragraph" w:customStyle="1" w:styleId="466">
    <w:name w:val="xl64"/>
    <w:basedOn w:val="1"/>
    <w:next w:val="441"/>
    <w:qFormat/>
    <w:uiPriority w:val="0"/>
    <w:pPr>
      <w:widowControl/>
      <w:shd w:val="clear" w:color="000000" w:fill="FFFFFF"/>
      <w:spacing w:before="280" w:after="280"/>
    </w:pPr>
    <w:rPr>
      <w:rFonts w:ascii="宋体" w:hAnsi="Calibri"/>
      <w:kern w:val="0"/>
      <w:sz w:val="20"/>
      <w:szCs w:val="20"/>
    </w:rPr>
  </w:style>
  <w:style w:type="paragraph" w:customStyle="1" w:styleId="467">
    <w:name w:val="xl82"/>
    <w:basedOn w:val="1"/>
    <w:next w:val="286"/>
    <w:qFormat/>
    <w:uiPriority w:val="0"/>
    <w:pPr>
      <w:widowControl/>
      <w:shd w:val="clear" w:color="000000" w:fill="FFFFFF"/>
      <w:spacing w:before="280" w:after="280"/>
    </w:pPr>
    <w:rPr>
      <w:rFonts w:ascii="宋体" w:hAnsi="Calibri"/>
      <w:kern w:val="0"/>
      <w:sz w:val="20"/>
      <w:szCs w:val="20"/>
    </w:rPr>
  </w:style>
  <w:style w:type="paragraph" w:customStyle="1" w:styleId="468">
    <w:name w:val="toc 32"/>
    <w:next w:val="1"/>
    <w:qFormat/>
    <w:uiPriority w:val="0"/>
    <w:pPr>
      <w:wordWrap w:val="0"/>
      <w:ind w:left="850"/>
      <w:jc w:val="both"/>
    </w:pPr>
    <w:rPr>
      <w:rFonts w:ascii="Calibri" w:hAnsi="Calibri" w:eastAsia="宋体" w:cs="Times New Roman"/>
      <w:sz w:val="21"/>
      <w:lang w:val="en-US" w:eastAsia="zh-CN" w:bidi="ar-SA"/>
    </w:rPr>
  </w:style>
  <w:style w:type="paragraph" w:customStyle="1" w:styleId="469">
    <w:name w:val="xl77"/>
    <w:basedOn w:val="1"/>
    <w:next w:val="434"/>
    <w:qFormat/>
    <w:uiPriority w:val="0"/>
    <w:pPr>
      <w:widowControl/>
      <w:shd w:val="clear" w:color="000000" w:fill="FFFFFF"/>
      <w:spacing w:before="280" w:after="280"/>
      <w:jc w:val="center"/>
    </w:pPr>
    <w:rPr>
      <w:rFonts w:ascii="宋体" w:hAnsi="Calibri"/>
      <w:kern w:val="0"/>
      <w:sz w:val="20"/>
      <w:szCs w:val="20"/>
    </w:rPr>
  </w:style>
  <w:style w:type="character" w:customStyle="1" w:styleId="470">
    <w:name w:val="正文缩进 Char1"/>
    <w:qFormat/>
    <w:uiPriority w:val="0"/>
    <w:rPr>
      <w:rFonts w:eastAsia="宋体"/>
      <w:kern w:val="2"/>
      <w:sz w:val="21"/>
      <w:lang w:val="en-US" w:eastAsia="zh-CN" w:bidi="ar-SA"/>
    </w:rPr>
  </w:style>
  <w:style w:type="character" w:customStyle="1" w:styleId="471">
    <w:name w:val="fielderror"/>
    <w:basedOn w:val="46"/>
    <w:qFormat/>
    <w:uiPriority w:val="0"/>
    <w:rPr>
      <w:color w:val="800000"/>
    </w:rPr>
  </w:style>
  <w:style w:type="character" w:customStyle="1" w:styleId="472">
    <w:name w:val="hilite6"/>
    <w:basedOn w:val="46"/>
    <w:qFormat/>
    <w:uiPriority w:val="0"/>
    <w:rPr>
      <w:color w:val="000000"/>
    </w:rPr>
  </w:style>
  <w:style w:type="character" w:customStyle="1" w:styleId="473">
    <w:name w:val="active6"/>
    <w:basedOn w:val="46"/>
    <w:qFormat/>
    <w:uiPriority w:val="0"/>
    <w:rPr>
      <w:color w:val="FFFFFF"/>
    </w:rPr>
  </w:style>
  <w:style w:type="character" w:customStyle="1" w:styleId="474">
    <w:name w:val="inline-help"/>
    <w:basedOn w:val="46"/>
    <w:qFormat/>
    <w:uiPriority w:val="0"/>
  </w:style>
  <w:style w:type="character" w:customStyle="1" w:styleId="475">
    <w:name w:val="active"/>
    <w:basedOn w:val="46"/>
    <w:qFormat/>
    <w:uiPriority w:val="0"/>
    <w:rPr>
      <w:color w:val="FFFFFF"/>
    </w:rPr>
  </w:style>
  <w:style w:type="table" w:customStyle="1" w:styleId="476">
    <w:name w:val="网格型1"/>
    <w:basedOn w:val="43"/>
    <w:qFormat/>
    <w:uiPriority w:val="39"/>
    <w:pPr>
      <w:widowControl w:val="0"/>
      <w:jc w:val="both"/>
    </w:pPr>
    <w:rPr>
      <w:rFonts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77">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478">
    <w:name w:val="修订3"/>
    <w:hidden/>
    <w:unhideWhenUsed/>
    <w:qFormat/>
    <w:uiPriority w:val="99"/>
    <w:rPr>
      <w:rFonts w:ascii="Times New Roman" w:hAnsi="Times New Roman" w:eastAsia="宋体" w:cs="Times New Roman"/>
      <w:kern w:val="2"/>
      <w:sz w:val="21"/>
      <w:szCs w:val="24"/>
      <w:lang w:val="en-US" w:eastAsia="zh-CN" w:bidi="ar-SA"/>
    </w:rPr>
  </w:style>
  <w:style w:type="table" w:customStyle="1" w:styleId="479">
    <w:name w:val="网格型2"/>
    <w:basedOn w:val="43"/>
    <w:qFormat/>
    <w:uiPriority w:val="0"/>
    <w:pPr>
      <w:widowControl w:val="0"/>
      <w:jc w:val="both"/>
    </w:pPr>
    <w:rPr>
      <w:rFonts w:ascii="Times New Roman" w:hAnsi="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80">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481">
    <w:name w:val="msonospacing"/>
    <w:basedOn w:val="1"/>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1"/>
      <w:szCs w:val="24"/>
      <w:lang w:val="en-US" w:eastAsia="zh-CN" w:bidi="ar"/>
    </w:rPr>
  </w:style>
  <w:style w:type="paragraph" w:customStyle="1" w:styleId="482">
    <w:name w:val="Table Paragraph"/>
    <w:basedOn w:val="1"/>
    <w:qFormat/>
    <w:uiPriority w:val="1"/>
    <w:pPr>
      <w:autoSpaceDE w:val="0"/>
      <w:autoSpaceDN w:val="0"/>
      <w:jc w:val="left"/>
    </w:pPr>
    <w:rPr>
      <w:rFonts w:ascii="Noto Sans Mono CJK HK" w:hAnsi="Noto Sans Mono CJK HK" w:eastAsia="Noto Sans Mono CJK HK" w:cs="Noto Sans Mono CJK HK"/>
      <w:kern w:val="0"/>
      <w:sz w:val="22"/>
      <w:szCs w:val="22"/>
    </w:rPr>
  </w:style>
  <w:style w:type="table" w:customStyle="1" w:styleId="483">
    <w:name w:val="Table Normal"/>
    <w:semiHidden/>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66</Pages>
  <Words>46147</Words>
  <Characters>49881</Characters>
  <Lines>455</Lines>
  <Paragraphs>128</Paragraphs>
  <TotalTime>0</TotalTime>
  <ScaleCrop>false</ScaleCrop>
  <LinksUpToDate>false</LinksUpToDate>
  <CharactersWithSpaces>51952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2024-09-18T11:42:00Z</dcterms:created>
  <dc:creator>thsware</dc:creator>
  <cp:lastModifiedBy>YMj</cp:lastModifiedBy>
  <cp:lastPrinted>2025-07-17T01:48:00Z</cp:lastPrinted>
  <dcterms:modified xsi:type="dcterms:W3CDTF">2025-11-17T07:37:38Z</dcterms:modified>
  <dc:title>招  标　文　件</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6FA44B9E7D7A4017B6D24C0D2C2198A2_13</vt:lpwstr>
  </property>
  <property fmtid="{D5CDD505-2E9C-101B-9397-08002B2CF9AE}" pid="4" name="KSOTemplateDocerSaveRecord">
    <vt:lpwstr>eyJoZGlkIjoiNDU2YmY4NDJjOTNiODZhODlkNjg3YTk0MzEzMDRiZTIiLCJ1c2VySWQiOiIyNDEyOTEwNTIifQ==</vt:lpwstr>
  </property>
</Properties>
</file>