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FA99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52"/>
          <w:highlight w:val="none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52"/>
          <w:highlight w:val="none"/>
        </w:rPr>
        <w:t>询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52"/>
          <w:highlight w:val="none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52"/>
          <w:highlight w:val="none"/>
        </w:rPr>
        <w:t>价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52"/>
          <w:highlight w:val="none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52"/>
          <w:highlight w:val="none"/>
        </w:rPr>
        <w:t>函</w:t>
      </w:r>
    </w:p>
    <w:p w14:paraId="5070E3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rPr>
          <w:rFonts w:ascii="仿宋" w:hAnsi="仿宋" w:eastAsia="仿宋" w:cs="仿宋"/>
          <w:sz w:val="32"/>
          <w:szCs w:val="40"/>
          <w:highlight w:val="none"/>
        </w:rPr>
      </w:pPr>
    </w:p>
    <w:p w14:paraId="1394DD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各单位：</w:t>
      </w:r>
    </w:p>
    <w:p w14:paraId="45FCE2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我司现就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云启大厦44、45层室内改造提升工程设计服务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进行公开询价，欢迎各报价单位就本次采购内容进行报价。具体事项说明如下：</w:t>
      </w:r>
    </w:p>
    <w:p w14:paraId="396E156A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项目名称</w:t>
      </w:r>
    </w:p>
    <w:p w14:paraId="5E17A476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default" w:ascii="仿宋" w:hAnsi="仿宋" w:eastAsia="仿宋" w:cs="仿宋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/>
        </w:rPr>
        <w:t>云启大厦44、45层室内改造提升工程设计服务</w:t>
      </w:r>
    </w:p>
    <w:p w14:paraId="62A7BF7D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 w:bidi="ar-SA"/>
        </w:rPr>
        <w:t>二、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项目概况</w:t>
      </w:r>
    </w:p>
    <w:p w14:paraId="78053394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本项目位于广东省深圳市罗湖区红岭南路1038号云启大厦</w:t>
      </w:r>
      <w:r>
        <w:rPr>
          <w:rFonts w:hint="eastAsia" w:ascii="仿宋_GB2312" w:eastAsia="仿宋_GB2312" w:cs="仿宋_GB2312"/>
          <w:b w:val="0"/>
          <w:bCs w:val="0"/>
          <w:i w:val="0"/>
          <w:iCs w:val="0"/>
          <w:color w:val="auto"/>
          <w:spacing w:val="0"/>
          <w:w w:val="100"/>
          <w:sz w:val="32"/>
          <w:szCs w:val="32"/>
          <w:vertAlign w:val="baseline"/>
          <w:lang w:val="en-US" w:eastAsia="zh-CN"/>
        </w:rPr>
        <w:t>44、45层，套内面积2597.09㎡。。</w:t>
      </w:r>
    </w:p>
    <w:p w14:paraId="4C4ECA2B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采购单位</w:t>
      </w:r>
    </w:p>
    <w:p w14:paraId="54401D60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深圳市罗湖产业招商服务有限公司（合同签约主体为深圳市罗湖投资控股有限公司）</w:t>
      </w:r>
    </w:p>
    <w:p w14:paraId="3626C6D1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 w:bidi="ar-SA"/>
        </w:rPr>
        <w:t>四、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采购内容</w:t>
      </w:r>
    </w:p>
    <w:p w14:paraId="0D3B9EAA">
      <w:pPr>
        <w:pStyle w:val="16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 w:firstLine="420"/>
        <w:jc w:val="both"/>
        <w:rPr>
          <w:rFonts w:hint="eastAsia" w:asci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为确保本项目交付质量，需有专业团队对接，需结合入驻企业情况完成室内改造提升工程设计，输出包括效果图、施工图等关键整套图纸。</w:t>
      </w:r>
    </w:p>
    <w:p w14:paraId="356D7408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 w:bidi="ar-SA"/>
        </w:rPr>
        <w:t>五、报价单位资格要求</w:t>
      </w:r>
    </w:p>
    <w:p w14:paraId="6F6B2DD0">
      <w:pPr>
        <w:pStyle w:val="16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 w:firstLine="420"/>
        <w:jc w:val="both"/>
        <w:rPr>
          <w:rFonts w:hint="eastAsia" w:asci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1.供应商须为中华人民共和国境内合法注册的独立法人单位，可开具增值税专用发票；</w:t>
      </w:r>
    </w:p>
    <w:p w14:paraId="06DFC108">
      <w:pPr>
        <w:pStyle w:val="16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 w:firstLine="420"/>
        <w:jc w:val="both"/>
        <w:rPr>
          <w:rFonts w:hint="eastAsia" w:asci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2.具备同类项目业绩；</w:t>
      </w:r>
    </w:p>
    <w:p w14:paraId="047E13F7">
      <w:pPr>
        <w:pStyle w:val="16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 w:firstLine="420"/>
        <w:jc w:val="both"/>
        <w:rPr>
          <w:rFonts w:hint="eastAsia" w:asci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eastAsia" w:ascii="仿宋_GB2312" w:eastAsia="仿宋_GB2312" w:cs="仿宋_GB2312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3.供应商须具有建筑装饰工程设计专项乙级或以上资质。</w:t>
      </w:r>
    </w:p>
    <w:p w14:paraId="7D914FFF">
      <w:pPr>
        <w:pStyle w:val="16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 w:firstLine="420"/>
        <w:jc w:val="both"/>
        <w:rPr>
          <w:rFonts w:hint="eastAsia" w:ascii="仿宋_GB2312" w:hAnsi="宋体" w:eastAsia="仿宋_GB2312" w:cs="仿宋_GB2312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宋体" w:eastAsia="仿宋_GB2312" w:cs="仿宋_GB2312"/>
          <w:sz w:val="32"/>
          <w:szCs w:val="32"/>
          <w:highlight w:val="none"/>
          <w:lang w:val="en-US" w:eastAsia="zh-CN" w:bidi="ar"/>
        </w:rPr>
        <w:t>4.</w:t>
      </w:r>
      <w:r>
        <w:rPr>
          <w:rFonts w:hint="eastAsia" w:ascii="仿宋_GB2312" w:hAnsi="宋体" w:eastAsia="仿宋_GB2312" w:cs="仿宋_GB2312"/>
          <w:sz w:val="32"/>
          <w:szCs w:val="32"/>
          <w:highlight w:val="none"/>
          <w:lang w:bidi="ar"/>
        </w:rPr>
        <w:t>本项目不允许挂靠和转包，不接受联合体投标人</w:t>
      </w:r>
      <w:r>
        <w:rPr>
          <w:rFonts w:hint="eastAsia" w:ascii="仿宋_GB2312" w:hAnsi="宋体" w:eastAsia="仿宋_GB2312" w:cs="仿宋_GB2312"/>
          <w:sz w:val="32"/>
          <w:szCs w:val="32"/>
          <w:highlight w:val="none"/>
          <w:lang w:val="en-US" w:eastAsia="zh-CN" w:bidi="ar"/>
        </w:rPr>
        <w:t>。</w:t>
      </w:r>
    </w:p>
    <w:p w14:paraId="1B93F15D">
      <w:pPr>
        <w:pStyle w:val="16"/>
        <w:keepNext w:val="0"/>
        <w:keepLines w:val="0"/>
        <w:widowControl/>
        <w:suppressLineNumbers w:val="0"/>
        <w:spacing w:before="0" w:beforeAutospacing="0" w:after="0" w:afterAutospacing="0" w:line="580" w:lineRule="exact"/>
        <w:ind w:left="0" w:right="0" w:firstLine="420"/>
        <w:jc w:val="both"/>
        <w:rPr>
          <w:rFonts w:hint="eastAsia" w:ascii="仿宋_GB2312" w:hAnsi="宋体" w:eastAsia="仿宋_GB2312" w:cs="仿宋_GB2312"/>
          <w:sz w:val="32"/>
          <w:szCs w:val="32"/>
          <w:highlight w:val="none"/>
          <w:lang w:bidi="ar"/>
        </w:rPr>
      </w:pPr>
      <w:r>
        <w:rPr>
          <w:rFonts w:hint="eastAsia" w:ascii="仿宋_GB2312" w:hAnsi="宋体" w:eastAsia="仿宋_GB2312" w:cs="仿宋_GB2312"/>
          <w:sz w:val="32"/>
          <w:szCs w:val="32"/>
          <w:highlight w:val="none"/>
          <w:lang w:val="en-US" w:eastAsia="zh-CN" w:bidi="ar"/>
        </w:rPr>
        <w:t>5.</w:t>
      </w:r>
      <w:r>
        <w:rPr>
          <w:rFonts w:hint="eastAsia" w:ascii="仿宋_GB2312" w:hAnsi="宋体" w:eastAsia="仿宋_GB2312" w:cs="仿宋_GB2312"/>
          <w:sz w:val="32"/>
          <w:szCs w:val="32"/>
          <w:highlight w:val="none"/>
          <w:lang w:bidi="ar"/>
        </w:rPr>
        <w:t>拥有专业团队、丰富</w:t>
      </w:r>
      <w:r>
        <w:rPr>
          <w:rFonts w:hint="eastAsia" w:ascii="仿宋_GB2312" w:hAnsi="宋体" w:eastAsia="仿宋_GB2312" w:cs="仿宋_GB2312"/>
          <w:sz w:val="32"/>
          <w:szCs w:val="32"/>
          <w:highlight w:val="none"/>
          <w:lang w:val="en-US" w:eastAsia="zh-CN" w:bidi="ar"/>
        </w:rPr>
        <w:t>项目经验优先</w:t>
      </w:r>
      <w:r>
        <w:rPr>
          <w:rFonts w:hint="eastAsia" w:ascii="仿宋_GB2312" w:hAnsi="宋体" w:eastAsia="仿宋_GB2312" w:cs="仿宋_GB2312"/>
          <w:sz w:val="32"/>
          <w:szCs w:val="32"/>
          <w:highlight w:val="none"/>
          <w:lang w:bidi="ar"/>
        </w:rPr>
        <w:t>。</w:t>
      </w:r>
    </w:p>
    <w:p w14:paraId="5AFB3C14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六、报价上限</w:t>
      </w:r>
    </w:p>
    <w:p w14:paraId="6D3D3B42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shd w:val="clear"/>
          <w:lang w:val="en-US" w:eastAsia="zh-CN"/>
        </w:rPr>
        <w:t>上限价为人民币</w:t>
      </w:r>
      <w:r>
        <w:rPr>
          <w:rFonts w:hint="eastAsia" w:ascii="仿宋" w:hAnsi="仿宋" w:eastAsia="仿宋" w:cs="仿宋"/>
          <w:sz w:val="32"/>
          <w:szCs w:val="32"/>
          <w:highlight w:val="none"/>
          <w:u w:val="single"/>
          <w:shd w:val="clear"/>
          <w:lang w:val="en-US" w:eastAsia="zh-CN"/>
        </w:rPr>
        <w:t>18.17</w:t>
      </w:r>
      <w:r>
        <w:rPr>
          <w:rFonts w:hint="eastAsia" w:ascii="仿宋" w:hAnsi="仿宋" w:eastAsia="仿宋" w:cs="仿宋"/>
          <w:sz w:val="32"/>
          <w:szCs w:val="32"/>
          <w:highlight w:val="none"/>
          <w:shd w:val="clear"/>
          <w:lang w:val="en-US" w:eastAsia="zh-CN"/>
        </w:rPr>
        <w:t>万元</w:t>
      </w:r>
      <w:r>
        <w:rPr>
          <w:rFonts w:hint="eastAsia" w:ascii="仿宋" w:hAnsi="仿宋" w:eastAsia="仿宋" w:cs="仿宋"/>
          <w:sz w:val="32"/>
          <w:szCs w:val="32"/>
          <w:highlight w:val="none"/>
          <w:shd w:val="clear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highlight w:val="none"/>
          <w:shd w:val="clear"/>
          <w:lang w:val="en-US" w:eastAsia="zh-CN"/>
        </w:rPr>
        <w:t>大写：</w:t>
      </w:r>
      <w:r>
        <w:rPr>
          <w:rFonts w:hint="eastAsia" w:ascii="仿宋" w:hAnsi="仿宋" w:eastAsia="仿宋" w:cs="仿宋"/>
          <w:sz w:val="32"/>
          <w:szCs w:val="32"/>
          <w:highlight w:val="none"/>
          <w:u w:val="single"/>
          <w:shd w:val="clear"/>
          <w:lang w:val="en-US" w:eastAsia="zh-CN"/>
        </w:rPr>
        <w:t>贰拾万肆仟元</w:t>
      </w:r>
      <w:r>
        <w:rPr>
          <w:rFonts w:hint="eastAsia" w:ascii="仿宋" w:hAnsi="仿宋" w:eastAsia="仿宋" w:cs="仿宋"/>
          <w:sz w:val="32"/>
          <w:szCs w:val="32"/>
          <w:highlight w:val="none"/>
          <w:shd w:val="clear"/>
          <w:lang w:val="en-US" w:eastAsia="zh-CN"/>
        </w:rPr>
        <w:t>），以上为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含税价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。</w:t>
      </w:r>
    </w:p>
    <w:p w14:paraId="40EEB35C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none"/>
        </w:rPr>
        <w:t>七、报价及响应材料</w:t>
      </w:r>
    </w:p>
    <w:p w14:paraId="0D1291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1.报价要求</w:t>
      </w:r>
    </w:p>
    <w:p w14:paraId="5A1416F6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报价一经认可，即为签订合同的最终依据。请各供应商按附件报价函及附件格式进行填写，并加盖公章，于202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26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日12:00前发送至邮箱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：lhtz_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cbhy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@szlh.gov.cn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，同时抄送至邮箱：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562925668@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qq.com</w:t>
      </w:r>
      <w:r>
        <w:rPr>
          <w:rFonts w:hint="eastAsia" w:ascii="仿宋" w:hAnsi="仿宋" w:eastAsia="仿宋" w:cs="仿宋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u w:val="none"/>
          <w:lang w:val="en-US" w:eastAsia="zh-CN"/>
        </w:rPr>
        <w:t>邮件标题注明“项目名称+报价单位名称”）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，逾期视为废标。纸质版（一份）递交至罗湖投控大厦B座20楼成本合约部（可邮寄，详细地址见“八、联系方式”）。</w:t>
      </w:r>
    </w:p>
    <w:p w14:paraId="10F33B4C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2.报价须知</w:t>
      </w:r>
    </w:p>
    <w:p w14:paraId="39EAA8B5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highlight w:val="none"/>
        </w:rPr>
        <w:t>（1）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</w:rPr>
        <w:t>本次报价为一次性报价，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报价单位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</w:rPr>
        <w:t>如对本询价函报价，即表示认可我方提出的要求，且不可撤回。否则，该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报价单位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</w:rPr>
        <w:t>将被记入不诚信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报价单位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</w:rPr>
        <w:t>名单，在今后规定的时间内不得参与我方组织的任何招标采购活动。</w:t>
      </w:r>
    </w:p>
    <w:p w14:paraId="72900787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</w:rPr>
        <w:t>（2）报价函均为采购合同的组成部分。</w:t>
      </w:r>
    </w:p>
    <w:p w14:paraId="658F9A1F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default" w:ascii="仿宋" w:hAnsi="仿宋" w:eastAsia="仿宋" w:cs="仿宋"/>
          <w:strike/>
          <w:dstrike w:val="0"/>
          <w:color w:val="FF0000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</w:rPr>
        <w:t>（3）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报价单位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</w:rPr>
        <w:t>在采购过程中应遵守诚实信用的原则，在采购及合同履行过程中，如发现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报价单位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</w:rPr>
        <w:t>有欺诈等不诚实行为及违反合同约定等行为，将会受到列入黑名单、网上通报等处理。希望各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报价单位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</w:rPr>
        <w:t>在认真阅读询价函内容后再进行报价。</w:t>
      </w:r>
    </w:p>
    <w:p w14:paraId="39087DE2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</w:rPr>
        <w:t>3.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/>
        </w:rPr>
        <w:t>报价附件</w:t>
      </w:r>
    </w:p>
    <w:p w14:paraId="466CC1D3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/>
        </w:rPr>
        <w:t>报价单位应当将以下材料作为报价函附件上报，包括但不限于：</w:t>
      </w:r>
    </w:p>
    <w:p w14:paraId="00003FA3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1）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/>
        </w:rPr>
        <w:t>公司简介。包括设立时间、注册和实际运营地址、主营业务、项目资质等。</w:t>
      </w:r>
    </w:p>
    <w:p w14:paraId="5E37A25C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default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/>
        </w:rPr>
        <w:t>2）2023年1月1日至今承接类似项目合同，合同类证明仅需显示合同价格、双方盖章页、服务内容。</w:t>
      </w:r>
    </w:p>
    <w:p w14:paraId="4D4E26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3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highlight w:val="none"/>
          <w:lang w:bidi="ar"/>
        </w:rPr>
        <w:t>八、联系方式</w:t>
      </w:r>
    </w:p>
    <w:p w14:paraId="4C045615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/>
        </w:rPr>
        <w:t>招采联系人：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u w:val="single"/>
          <w:lang w:val="en-US" w:eastAsia="zh-CN"/>
        </w:rPr>
        <w:t>马工</w:t>
      </w:r>
    </w:p>
    <w:p w14:paraId="3C620175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/>
        </w:rPr>
        <w:t>联系电话：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u w:val="single"/>
          <w:lang w:val="en-US" w:eastAsia="zh-CN"/>
        </w:rPr>
        <w:t>0755-82668392</w:t>
      </w:r>
    </w:p>
    <w:p w14:paraId="4F66A1BE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lang w:val="en-US" w:eastAsia="zh-CN"/>
        </w:rPr>
        <w:t>联系地址：</w:t>
      </w:r>
      <w:r>
        <w:rPr>
          <w:rFonts w:hint="eastAsia" w:ascii="仿宋" w:hAnsi="仿宋" w:eastAsia="仿宋" w:cs="仿宋"/>
          <w:kern w:val="2"/>
          <w:sz w:val="32"/>
          <w:szCs w:val="32"/>
          <w:highlight w:val="none"/>
          <w:u w:val="single"/>
          <w:lang w:val="en-US" w:eastAsia="zh-CN"/>
        </w:rPr>
        <w:t>罗湖区清水河街道清水河一路112号罗湖投控大厦B座20楼成本合约部</w:t>
      </w:r>
    </w:p>
    <w:p w14:paraId="2101EE89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default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/>
        </w:rPr>
        <w:t>业务联系人：高工</w:t>
      </w:r>
    </w:p>
    <w:p w14:paraId="61817B9F">
      <w:pPr>
        <w:pStyle w:val="1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firstLine="640" w:firstLineChars="200"/>
        <w:jc w:val="both"/>
        <w:textAlignment w:val="baseline"/>
        <w:rPr>
          <w:rFonts w:hint="default" w:ascii="仿宋" w:hAnsi="仿宋" w:eastAsia="仿宋" w:cs="仿宋"/>
          <w:color w:val="FF0000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32"/>
          <w:highlight w:val="none"/>
          <w:lang w:val="en-US" w:eastAsia="zh-CN"/>
        </w:rPr>
        <w:t>联系电话：18211565653</w:t>
      </w:r>
    </w:p>
    <w:p w14:paraId="01777F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</w:p>
    <w:p w14:paraId="698BBCD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40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40"/>
        </w:rPr>
        <w:t>附件：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</w:rPr>
        <w:t>报价函模板</w:t>
      </w:r>
    </w:p>
    <w:p w14:paraId="0B6BDC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1600" w:firstLineChars="500"/>
        <w:jc w:val="left"/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>2.评分细则表</w:t>
      </w:r>
    </w:p>
    <w:p w14:paraId="6D301952">
      <w:pPr>
        <w:pStyle w:val="6"/>
        <w:ind w:left="0" w:leftChars="0" w:firstLine="1600" w:firstLineChars="5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3.平面及现场图示</w:t>
      </w:r>
    </w:p>
    <w:p w14:paraId="613FD503">
      <w:pPr>
        <w:pStyle w:val="2"/>
        <w:rPr>
          <w:rFonts w:hint="default"/>
          <w:lang w:val="en-US" w:eastAsia="zh-CN"/>
        </w:rPr>
      </w:pPr>
    </w:p>
    <w:p w14:paraId="2EE215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40"/>
        </w:rPr>
      </w:pPr>
    </w:p>
    <w:p w14:paraId="344F85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40"/>
        </w:rPr>
      </w:pPr>
    </w:p>
    <w:p w14:paraId="486FC863">
      <w:pPr>
        <w:wordWrap w:val="0"/>
        <w:spacing w:line="560" w:lineRule="exact"/>
        <w:ind w:firstLine="640"/>
        <w:jc w:val="right"/>
        <w:rPr>
          <w:rFonts w:hint="default" w:ascii="仿宋_GB2312" w:hAnsi="仿宋_GB2312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u w:val="none"/>
          <w:lang w:val="en-US" w:eastAsia="zh-CN" w:bidi="ar"/>
        </w:rPr>
        <w:t>深圳市罗湖产业招商服务有限公司</w:t>
      </w:r>
    </w:p>
    <w:p w14:paraId="3221F7B4">
      <w:pPr>
        <w:pStyle w:val="2"/>
        <w:rPr>
          <w:rFonts w:hint="eastAsia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 xml:space="preserve">                                 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</w:rPr>
        <w:t>202</w:t>
      </w:r>
      <w:r>
        <w:rPr>
          <w:rFonts w:hint="eastAsia" w:ascii="仿宋_GB2312" w:hAnsi="仿宋_GB2312" w:cs="仿宋_GB2312"/>
          <w:color w:val="auto"/>
          <w:sz w:val="32"/>
          <w:szCs w:val="40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</w:rPr>
        <w:t>年</w:t>
      </w:r>
      <w:r>
        <w:rPr>
          <w:rFonts w:hint="eastAsia" w:ascii="仿宋_GB2312" w:hAnsi="仿宋_GB2312" w:cs="仿宋_GB2312"/>
          <w:color w:val="auto"/>
          <w:sz w:val="32"/>
          <w:szCs w:val="40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</w:rPr>
        <w:t>月</w:t>
      </w:r>
      <w:r>
        <w:rPr>
          <w:rFonts w:hint="eastAsia" w:ascii="仿宋_GB2312" w:hAnsi="仿宋_GB2312" w:cs="仿宋_GB2312"/>
          <w:color w:val="auto"/>
          <w:sz w:val="32"/>
          <w:szCs w:val="4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</w:rPr>
        <w:t>日</w:t>
      </w:r>
      <w:r>
        <w:rPr>
          <w:rFonts w:hint="eastAsia" w:ascii="仿宋_GB2312" w:hAnsi="仿宋_GB2312" w:eastAsia="仿宋_GB2312" w:cs="仿宋_GB2312"/>
          <w:color w:val="auto"/>
          <w:sz w:val="32"/>
          <w:szCs w:val="40"/>
          <w:lang w:val="en-US" w:eastAsia="zh-CN"/>
        </w:rPr>
        <w:t xml:space="preserve">  </w:t>
      </w:r>
    </w:p>
    <w:p w14:paraId="62D95DA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both"/>
        <w:outlineLvl w:val="0"/>
        <w:rPr>
          <w:rFonts w:hint="eastAsia" w:ascii="仿宋" w:hAnsi="仿宋" w:eastAsia="仿宋" w:cs="仿宋"/>
          <w:sz w:val="32"/>
          <w:szCs w:val="40"/>
          <w:highlight w:val="none"/>
        </w:rPr>
      </w:pPr>
    </w:p>
    <w:p w14:paraId="2549516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both"/>
        <w:outlineLvl w:val="0"/>
        <w:rPr>
          <w:rFonts w:ascii="仿宋" w:hAnsi="仿宋" w:eastAsia="仿宋" w:cs="仿宋"/>
          <w:sz w:val="32"/>
          <w:szCs w:val="40"/>
          <w:highlight w:val="none"/>
        </w:rPr>
      </w:pPr>
      <w:r>
        <w:rPr>
          <w:rFonts w:hint="eastAsia" w:ascii="仿宋" w:hAnsi="仿宋" w:eastAsia="仿宋" w:cs="仿宋"/>
          <w:sz w:val="32"/>
          <w:szCs w:val="40"/>
          <w:highlight w:val="none"/>
        </w:rPr>
        <w:t>附件1：报价函</w:t>
      </w:r>
    </w:p>
    <w:p w14:paraId="5B4FE9F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880" w:firstLineChars="200"/>
        <w:jc w:val="both"/>
        <w:rPr>
          <w:rFonts w:asciiTheme="majorEastAsia" w:hAnsiTheme="majorEastAsia" w:eastAsiaTheme="majorEastAsia" w:cstheme="majorEastAsia"/>
          <w:sz w:val="44"/>
          <w:szCs w:val="44"/>
          <w:highlight w:val="none"/>
        </w:rPr>
      </w:pPr>
    </w:p>
    <w:p w14:paraId="5DC3432B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center"/>
        <w:textAlignment w:val="baseline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highlight w:val="none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highlight w:val="none"/>
        </w:rPr>
        <w:t>报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highlight w:val="none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highlight w:val="none"/>
        </w:rPr>
        <w:t>价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highlight w:val="none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highlight w:val="none"/>
        </w:rPr>
        <w:t>函</w:t>
      </w:r>
    </w:p>
    <w:p w14:paraId="29373B0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880" w:firstLineChars="200"/>
        <w:jc w:val="both"/>
        <w:rPr>
          <w:rFonts w:asciiTheme="majorEastAsia" w:hAnsiTheme="majorEastAsia" w:eastAsiaTheme="majorEastAsia" w:cstheme="majorEastAsia"/>
          <w:sz w:val="44"/>
          <w:szCs w:val="52"/>
          <w:highlight w:val="none"/>
        </w:rPr>
      </w:pPr>
    </w:p>
    <w:p w14:paraId="6AD986E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jc w:val="both"/>
        <w:rPr>
          <w:rFonts w:ascii="仿宋" w:hAnsi="仿宋" w:eastAsia="仿宋" w:cs="仿宋"/>
          <w:sz w:val="32"/>
          <w:szCs w:val="40"/>
          <w:highlight w:val="none"/>
        </w:rPr>
      </w:pPr>
      <w:r>
        <w:rPr>
          <w:rFonts w:hint="eastAsia" w:ascii="仿宋" w:hAnsi="仿宋" w:eastAsia="仿宋" w:cs="仿宋"/>
          <w:sz w:val="32"/>
          <w:szCs w:val="40"/>
          <w:highlight w:val="none"/>
          <w:lang w:val="en-US" w:eastAsia="zh-CN"/>
        </w:rPr>
        <w:t>深圳市罗湖产业招商服务有限公司</w:t>
      </w:r>
      <w:r>
        <w:rPr>
          <w:rFonts w:hint="eastAsia" w:ascii="仿宋" w:hAnsi="仿宋" w:eastAsia="仿宋" w:cs="仿宋"/>
          <w:sz w:val="32"/>
          <w:szCs w:val="40"/>
          <w:highlight w:val="none"/>
        </w:rPr>
        <w:t>：</w:t>
      </w:r>
    </w:p>
    <w:p w14:paraId="138462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ascii="仿宋" w:hAnsi="仿宋" w:eastAsia="仿宋" w:cs="仿宋"/>
          <w:sz w:val="32"/>
          <w:szCs w:val="40"/>
          <w:highlight w:val="none"/>
        </w:rPr>
      </w:pPr>
      <w:r>
        <w:rPr>
          <w:rFonts w:hint="eastAsia" w:ascii="仿宋" w:hAnsi="仿宋" w:eastAsia="仿宋" w:cs="仿宋"/>
          <w:sz w:val="32"/>
          <w:szCs w:val="40"/>
          <w:highlight w:val="none"/>
        </w:rPr>
        <w:t>贵司询价函我司已收悉，决定参与报价，现就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u w:val="single"/>
        </w:rPr>
        <w:t>“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u w:val="single"/>
          <w:lang w:val="en-US" w:eastAsia="zh-CN"/>
        </w:rPr>
        <w:t>云启大厦44、45层室内改造提升工程设计服务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none"/>
          <w:u w:val="single"/>
        </w:rPr>
        <w:t>”</w:t>
      </w:r>
      <w:r>
        <w:rPr>
          <w:rFonts w:hint="eastAsia" w:ascii="仿宋" w:hAnsi="仿宋" w:eastAsia="仿宋" w:cs="仿宋"/>
          <w:sz w:val="32"/>
          <w:szCs w:val="40"/>
          <w:highlight w:val="none"/>
        </w:rPr>
        <w:t>报价如下：</w:t>
      </w:r>
    </w:p>
    <w:p w14:paraId="7AC803F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40"/>
          <w:highlight w:val="none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highlight w:val="none"/>
          <w:lang w:val="en-US" w:eastAsia="zh-CN"/>
        </w:rPr>
        <w:t>一、</w:t>
      </w:r>
      <w:r>
        <w:rPr>
          <w:rFonts w:hint="eastAsia" w:ascii="仿宋" w:hAnsi="仿宋" w:eastAsia="仿宋" w:cs="仿宋"/>
          <w:sz w:val="32"/>
          <w:szCs w:val="40"/>
          <w:highlight w:val="none"/>
        </w:rPr>
        <w:t>我方愿意按照询价函规定的各项要求，向贵司提供相应服务，含</w:t>
      </w:r>
      <w:r>
        <w:rPr>
          <w:rFonts w:hint="eastAsia" w:ascii="仿宋" w:hAnsi="仿宋" w:eastAsia="仿宋" w:cs="仿宋"/>
          <w:sz w:val="32"/>
          <w:szCs w:val="40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z w:val="32"/>
          <w:szCs w:val="40"/>
          <w:highlight w:val="none"/>
          <w:lang w:val="en-US" w:eastAsia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仿宋" w:hAnsi="仿宋" w:eastAsia="仿宋" w:cs="仿宋"/>
          <w:sz w:val="32"/>
          <w:szCs w:val="40"/>
          <w:highlight w:val="none"/>
        </w:rPr>
        <w:t>增值税</w:t>
      </w:r>
      <w:r>
        <w:rPr>
          <w:rFonts w:hint="eastAsia" w:ascii="仿宋" w:hAnsi="仿宋" w:eastAsia="仿宋" w:cs="仿宋"/>
          <w:sz w:val="32"/>
          <w:szCs w:val="40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40"/>
          <w:highlight w:val="none"/>
        </w:rPr>
        <w:t>总报价为人民币（大写）</w:t>
      </w:r>
      <w:r>
        <w:rPr>
          <w:rFonts w:hint="eastAsia" w:ascii="仿宋" w:hAnsi="仿宋" w:eastAsia="仿宋" w:cs="仿宋"/>
          <w:sz w:val="32"/>
          <w:szCs w:val="40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sz w:val="32"/>
          <w:szCs w:val="40"/>
          <w:highlight w:val="none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40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sz w:val="32"/>
          <w:szCs w:val="40"/>
          <w:highlight w:val="none"/>
        </w:rPr>
        <w:t>元（小写：</w:t>
      </w:r>
      <w:r>
        <w:rPr>
          <w:rFonts w:hint="eastAsia" w:ascii="宋体" w:hAnsi="宋体" w:eastAsia="宋体" w:cs="宋体"/>
          <w:sz w:val="32"/>
          <w:szCs w:val="40"/>
          <w:highlight w:val="none"/>
        </w:rPr>
        <w:t>￥</w:t>
      </w:r>
      <w:r>
        <w:rPr>
          <w:rFonts w:hint="eastAsia" w:ascii="仿宋" w:hAnsi="仿宋" w:eastAsia="仿宋" w:cs="仿宋"/>
          <w:sz w:val="32"/>
          <w:szCs w:val="40"/>
          <w:highlight w:val="none"/>
        </w:rPr>
        <w:t>：</w:t>
      </w:r>
      <w:r>
        <w:rPr>
          <w:rFonts w:hint="eastAsia" w:ascii="仿宋" w:hAnsi="仿宋" w:eastAsia="仿宋" w:cs="仿宋"/>
          <w:sz w:val="32"/>
          <w:szCs w:val="4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32"/>
          <w:szCs w:val="40"/>
          <w:highlight w:val="none"/>
        </w:rPr>
        <w:t>元）</w:t>
      </w:r>
      <w:r>
        <w:rPr>
          <w:rFonts w:hint="eastAsia" w:ascii="仿宋" w:hAnsi="仿宋" w:eastAsia="仿宋" w:cs="仿宋"/>
          <w:sz w:val="32"/>
          <w:szCs w:val="40"/>
          <w:highlight w:val="none"/>
          <w:lang w:eastAsia="zh-CN"/>
        </w:rPr>
        <w:t>。</w:t>
      </w:r>
    </w:p>
    <w:p w14:paraId="492CB78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ascii="仿宋" w:hAnsi="仿宋" w:eastAsia="仿宋" w:cs="仿宋"/>
          <w:sz w:val="32"/>
          <w:szCs w:val="40"/>
          <w:highlight w:val="none"/>
        </w:rPr>
      </w:pPr>
      <w:r>
        <w:rPr>
          <w:rFonts w:hint="eastAsia" w:ascii="仿宋" w:hAnsi="仿宋" w:eastAsia="仿宋" w:cs="仿宋"/>
          <w:sz w:val="32"/>
          <w:szCs w:val="40"/>
          <w:highlight w:val="none"/>
        </w:rPr>
        <w:t>二、一旦我方中选，双方合同签字生效后，我方将严格履行合同规定的职责和义务，保证按照合同要求贵司要求提供服务。</w:t>
      </w:r>
    </w:p>
    <w:p w14:paraId="12AC8AF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ascii="仿宋" w:hAnsi="仿宋" w:eastAsia="仿宋" w:cs="仿宋"/>
          <w:sz w:val="32"/>
          <w:szCs w:val="40"/>
          <w:highlight w:val="none"/>
        </w:rPr>
      </w:pPr>
      <w:r>
        <w:rPr>
          <w:rFonts w:hint="eastAsia" w:ascii="仿宋" w:hAnsi="仿宋" w:eastAsia="仿宋" w:cs="仿宋"/>
          <w:sz w:val="32"/>
          <w:szCs w:val="40"/>
          <w:highlight w:val="none"/>
        </w:rPr>
        <w:t>三、我方提供给贵单位的与本项目采购有关的文件资料，保证文件资料的真实性和准确性。</w:t>
      </w:r>
    </w:p>
    <w:p w14:paraId="48D4E4A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ascii="仿宋" w:hAnsi="仿宋" w:eastAsia="仿宋" w:cs="仿宋"/>
          <w:sz w:val="32"/>
          <w:szCs w:val="40"/>
          <w:highlight w:val="none"/>
        </w:rPr>
      </w:pPr>
    </w:p>
    <w:p w14:paraId="33B018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ascii="仿宋" w:hAnsi="仿宋" w:eastAsia="仿宋" w:cs="仿宋"/>
          <w:sz w:val="32"/>
          <w:szCs w:val="40"/>
          <w:highlight w:val="none"/>
        </w:rPr>
      </w:pPr>
      <w:r>
        <w:rPr>
          <w:rFonts w:hint="eastAsia" w:ascii="仿宋" w:hAnsi="仿宋" w:eastAsia="仿宋" w:cs="仿宋"/>
          <w:sz w:val="32"/>
          <w:szCs w:val="40"/>
          <w:highlight w:val="none"/>
        </w:rPr>
        <w:t>报价人名称（公章）：</w:t>
      </w:r>
    </w:p>
    <w:p w14:paraId="719F229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ascii="仿宋" w:hAnsi="仿宋" w:eastAsia="仿宋" w:cs="仿宋"/>
          <w:sz w:val="32"/>
          <w:szCs w:val="40"/>
          <w:highlight w:val="none"/>
        </w:rPr>
      </w:pPr>
      <w:r>
        <w:rPr>
          <w:rFonts w:hint="eastAsia" w:ascii="仿宋" w:hAnsi="仿宋" w:eastAsia="仿宋" w:cs="仿宋"/>
          <w:sz w:val="32"/>
          <w:szCs w:val="40"/>
          <w:highlight w:val="none"/>
        </w:rPr>
        <w:t>法定代表人（负责人）或委托代理人签名：</w:t>
      </w:r>
    </w:p>
    <w:p w14:paraId="5CCEC0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ascii="仿宋" w:hAnsi="仿宋" w:eastAsia="仿宋" w:cs="仿宋"/>
          <w:sz w:val="32"/>
          <w:szCs w:val="40"/>
          <w:highlight w:val="none"/>
        </w:rPr>
      </w:pPr>
      <w:r>
        <w:rPr>
          <w:rFonts w:hint="eastAsia" w:ascii="仿宋" w:hAnsi="仿宋" w:eastAsia="仿宋" w:cs="仿宋"/>
          <w:sz w:val="32"/>
          <w:szCs w:val="40"/>
          <w:highlight w:val="none"/>
        </w:rPr>
        <w:t>日期：</w:t>
      </w:r>
    </w:p>
    <w:p w14:paraId="605BD9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ascii="仿宋" w:hAnsi="仿宋" w:eastAsia="仿宋" w:cs="仿宋"/>
          <w:sz w:val="32"/>
          <w:szCs w:val="40"/>
          <w:highlight w:val="none"/>
        </w:rPr>
      </w:pPr>
      <w:r>
        <w:rPr>
          <w:rFonts w:hint="eastAsia" w:ascii="仿宋" w:hAnsi="仿宋" w:eastAsia="仿宋" w:cs="仿宋"/>
          <w:sz w:val="32"/>
          <w:szCs w:val="40"/>
          <w:highlight w:val="none"/>
        </w:rPr>
        <w:t>通讯地址：</w:t>
      </w:r>
    </w:p>
    <w:p w14:paraId="132B825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20" w:lineRule="exact"/>
        <w:ind w:firstLine="640" w:firstLineChars="200"/>
        <w:jc w:val="both"/>
        <w:rPr>
          <w:rFonts w:ascii="仿宋" w:hAnsi="仿宋" w:eastAsia="仿宋" w:cs="仿宋"/>
          <w:sz w:val="32"/>
          <w:szCs w:val="40"/>
          <w:highlight w:val="none"/>
        </w:rPr>
      </w:pPr>
      <w:r>
        <w:rPr>
          <w:rFonts w:hint="eastAsia" w:ascii="仿宋" w:hAnsi="仿宋" w:eastAsia="仿宋" w:cs="仿宋"/>
          <w:sz w:val="32"/>
          <w:szCs w:val="40"/>
          <w:highlight w:val="none"/>
        </w:rPr>
        <w:t>联系人及联系方式：</w:t>
      </w:r>
    </w:p>
    <w:p w14:paraId="55B333B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jc w:val="both"/>
        <w:rPr>
          <w:rFonts w:ascii="仿宋" w:hAnsi="仿宋" w:eastAsia="仿宋" w:cs="仿宋"/>
          <w:sz w:val="32"/>
          <w:szCs w:val="40"/>
          <w:highlight w:val="none"/>
        </w:rPr>
      </w:pPr>
      <w:r>
        <w:rPr>
          <w:rFonts w:hint="eastAsia" w:ascii="仿宋" w:hAnsi="仿宋" w:eastAsia="仿宋" w:cs="仿宋"/>
          <w:sz w:val="32"/>
          <w:szCs w:val="40"/>
          <w:highlight w:val="none"/>
        </w:rPr>
        <w:br w:type="page"/>
      </w:r>
    </w:p>
    <w:p w14:paraId="6585C483">
      <w:pPr>
        <w:spacing w:line="560" w:lineRule="exact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附表：</w:t>
      </w:r>
    </w:p>
    <w:p w14:paraId="719BFD6F">
      <w:pPr>
        <w:pStyle w:val="10"/>
        <w:rPr>
          <w:rFonts w:hint="eastAsia"/>
          <w:color w:val="auto"/>
          <w:lang w:val="en-US" w:eastAsia="zh-CN"/>
        </w:rPr>
      </w:pPr>
    </w:p>
    <w:p w14:paraId="1ADA49D8">
      <w:pPr>
        <w:spacing w:line="560" w:lineRule="exact"/>
        <w:jc w:val="center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公司业绩清单一览表</w:t>
      </w:r>
    </w:p>
    <w:tbl>
      <w:tblPr>
        <w:tblStyle w:val="17"/>
        <w:tblW w:w="105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"/>
        <w:gridCol w:w="2528"/>
        <w:gridCol w:w="1395"/>
        <w:gridCol w:w="1638"/>
        <w:gridCol w:w="1064"/>
        <w:gridCol w:w="1064"/>
        <w:gridCol w:w="1431"/>
        <w:gridCol w:w="890"/>
      </w:tblGrid>
      <w:tr w14:paraId="049FB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5" w:hRule="atLeast"/>
          <w:jc w:val="center"/>
        </w:trPr>
        <w:tc>
          <w:tcPr>
            <w:tcW w:w="524" w:type="dxa"/>
            <w:noWrap w:val="0"/>
            <w:vAlign w:val="center"/>
          </w:tcPr>
          <w:p w14:paraId="07344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528" w:type="dxa"/>
            <w:noWrap w:val="0"/>
            <w:vAlign w:val="center"/>
          </w:tcPr>
          <w:p w14:paraId="49CCD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395" w:type="dxa"/>
            <w:noWrap w:val="0"/>
            <w:vAlign w:val="center"/>
          </w:tcPr>
          <w:p w14:paraId="7F79F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项目委托方</w:t>
            </w:r>
          </w:p>
        </w:tc>
        <w:tc>
          <w:tcPr>
            <w:tcW w:w="1638" w:type="dxa"/>
            <w:noWrap w:val="0"/>
            <w:vAlign w:val="center"/>
          </w:tcPr>
          <w:p w14:paraId="32420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合同日期</w:t>
            </w:r>
          </w:p>
        </w:tc>
        <w:tc>
          <w:tcPr>
            <w:tcW w:w="1064" w:type="dxa"/>
            <w:noWrap w:val="0"/>
            <w:vAlign w:val="center"/>
          </w:tcPr>
          <w:p w14:paraId="273A9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项目业态</w:t>
            </w:r>
          </w:p>
        </w:tc>
        <w:tc>
          <w:tcPr>
            <w:tcW w:w="1064" w:type="dxa"/>
            <w:noWrap w:val="0"/>
            <w:vAlign w:val="center"/>
          </w:tcPr>
          <w:p w14:paraId="44058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合同价格（万元）</w:t>
            </w:r>
          </w:p>
        </w:tc>
        <w:tc>
          <w:tcPr>
            <w:tcW w:w="1431" w:type="dxa"/>
            <w:noWrap w:val="0"/>
            <w:vAlign w:val="center"/>
          </w:tcPr>
          <w:p w14:paraId="7C053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工程内容</w:t>
            </w:r>
          </w:p>
        </w:tc>
        <w:tc>
          <w:tcPr>
            <w:tcW w:w="890" w:type="dxa"/>
            <w:noWrap w:val="0"/>
            <w:vAlign w:val="center"/>
          </w:tcPr>
          <w:p w14:paraId="73241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7E21C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  <w:jc w:val="center"/>
        </w:trPr>
        <w:tc>
          <w:tcPr>
            <w:tcW w:w="524" w:type="dxa"/>
            <w:noWrap w:val="0"/>
            <w:vAlign w:val="center"/>
          </w:tcPr>
          <w:p w14:paraId="19B00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528" w:type="dxa"/>
            <w:noWrap w:val="0"/>
            <w:vAlign w:val="center"/>
          </w:tcPr>
          <w:p w14:paraId="15349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noWrap w:val="0"/>
            <w:vAlign w:val="top"/>
          </w:tcPr>
          <w:p w14:paraId="2B82F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38" w:type="dxa"/>
            <w:noWrap w:val="0"/>
            <w:vAlign w:val="top"/>
          </w:tcPr>
          <w:p w14:paraId="74443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64" w:type="dxa"/>
            <w:noWrap w:val="0"/>
            <w:vAlign w:val="top"/>
          </w:tcPr>
          <w:p w14:paraId="0D11D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64" w:type="dxa"/>
            <w:noWrap w:val="0"/>
            <w:vAlign w:val="top"/>
          </w:tcPr>
          <w:p w14:paraId="71604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31" w:type="dxa"/>
            <w:noWrap w:val="0"/>
            <w:vAlign w:val="top"/>
          </w:tcPr>
          <w:p w14:paraId="170D5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noWrap w:val="0"/>
            <w:vAlign w:val="center"/>
          </w:tcPr>
          <w:p w14:paraId="247F0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3B9B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  <w:jc w:val="center"/>
        </w:trPr>
        <w:tc>
          <w:tcPr>
            <w:tcW w:w="524" w:type="dxa"/>
            <w:noWrap w:val="0"/>
            <w:vAlign w:val="center"/>
          </w:tcPr>
          <w:p w14:paraId="1103F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528" w:type="dxa"/>
            <w:noWrap w:val="0"/>
            <w:vAlign w:val="center"/>
          </w:tcPr>
          <w:p w14:paraId="07162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noWrap w:val="0"/>
            <w:vAlign w:val="top"/>
          </w:tcPr>
          <w:p w14:paraId="75A84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38" w:type="dxa"/>
            <w:noWrap w:val="0"/>
            <w:vAlign w:val="top"/>
          </w:tcPr>
          <w:p w14:paraId="1399C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64" w:type="dxa"/>
            <w:noWrap w:val="0"/>
            <w:vAlign w:val="top"/>
          </w:tcPr>
          <w:p w14:paraId="382AC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64" w:type="dxa"/>
            <w:noWrap w:val="0"/>
            <w:vAlign w:val="top"/>
          </w:tcPr>
          <w:p w14:paraId="49111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31" w:type="dxa"/>
            <w:noWrap w:val="0"/>
            <w:vAlign w:val="top"/>
          </w:tcPr>
          <w:p w14:paraId="1DA95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noWrap w:val="0"/>
            <w:vAlign w:val="center"/>
          </w:tcPr>
          <w:p w14:paraId="0FD45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2C71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  <w:jc w:val="center"/>
        </w:trPr>
        <w:tc>
          <w:tcPr>
            <w:tcW w:w="524" w:type="dxa"/>
            <w:noWrap w:val="0"/>
            <w:vAlign w:val="center"/>
          </w:tcPr>
          <w:p w14:paraId="2D258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528" w:type="dxa"/>
            <w:noWrap w:val="0"/>
            <w:vAlign w:val="center"/>
          </w:tcPr>
          <w:p w14:paraId="67D1B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95" w:type="dxa"/>
            <w:noWrap w:val="0"/>
            <w:vAlign w:val="top"/>
          </w:tcPr>
          <w:p w14:paraId="22613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38" w:type="dxa"/>
            <w:noWrap w:val="0"/>
            <w:vAlign w:val="top"/>
          </w:tcPr>
          <w:p w14:paraId="7BDA2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64" w:type="dxa"/>
            <w:noWrap w:val="0"/>
            <w:vAlign w:val="top"/>
          </w:tcPr>
          <w:p w14:paraId="542A4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064" w:type="dxa"/>
            <w:noWrap w:val="0"/>
            <w:vAlign w:val="top"/>
          </w:tcPr>
          <w:p w14:paraId="2BF85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31" w:type="dxa"/>
            <w:noWrap w:val="0"/>
            <w:vAlign w:val="top"/>
          </w:tcPr>
          <w:p w14:paraId="0DC8D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90" w:type="dxa"/>
            <w:noWrap w:val="0"/>
            <w:vAlign w:val="center"/>
          </w:tcPr>
          <w:p w14:paraId="75BCCB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52A24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524" w:type="dxa"/>
            <w:noWrap w:val="0"/>
            <w:vAlign w:val="center"/>
          </w:tcPr>
          <w:p w14:paraId="2784B001">
            <w:pPr>
              <w:tabs>
                <w:tab w:val="left" w:pos="426"/>
              </w:tabs>
              <w:jc w:val="center"/>
              <w:rPr>
                <w:rFonts w:hint="eastAsia" w:ascii="宋体" w:hAnsi="宋体" w:eastAsia="宋体"/>
                <w:b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color w:val="auto"/>
                <w:sz w:val="24"/>
                <w:lang w:eastAsia="zh-CN"/>
              </w:rPr>
              <w:t>…</w:t>
            </w:r>
          </w:p>
        </w:tc>
        <w:tc>
          <w:tcPr>
            <w:tcW w:w="2528" w:type="dxa"/>
            <w:noWrap w:val="0"/>
            <w:vAlign w:val="center"/>
          </w:tcPr>
          <w:p w14:paraId="259CB614">
            <w:pPr>
              <w:tabs>
                <w:tab w:val="left" w:pos="426"/>
              </w:tabs>
              <w:jc w:val="center"/>
              <w:rPr>
                <w:rFonts w:ascii="仿宋_GB2312" w:eastAsia="仿宋_GB2312"/>
                <w:color w:val="auto"/>
              </w:rPr>
            </w:pPr>
          </w:p>
        </w:tc>
        <w:tc>
          <w:tcPr>
            <w:tcW w:w="1395" w:type="dxa"/>
            <w:noWrap w:val="0"/>
            <w:vAlign w:val="top"/>
          </w:tcPr>
          <w:p w14:paraId="2975ACFF">
            <w:pPr>
              <w:tabs>
                <w:tab w:val="left" w:pos="426"/>
              </w:tabs>
              <w:jc w:val="left"/>
              <w:rPr>
                <w:rFonts w:ascii="仿宋_GB2312" w:eastAsia="仿宋_GB2312"/>
                <w:color w:val="auto"/>
              </w:rPr>
            </w:pPr>
          </w:p>
        </w:tc>
        <w:tc>
          <w:tcPr>
            <w:tcW w:w="1638" w:type="dxa"/>
            <w:noWrap w:val="0"/>
            <w:vAlign w:val="top"/>
          </w:tcPr>
          <w:p w14:paraId="59AACEED">
            <w:pPr>
              <w:tabs>
                <w:tab w:val="left" w:pos="426"/>
              </w:tabs>
              <w:jc w:val="left"/>
              <w:rPr>
                <w:rFonts w:ascii="仿宋_GB2312" w:eastAsia="仿宋_GB2312"/>
                <w:color w:val="auto"/>
              </w:rPr>
            </w:pPr>
          </w:p>
        </w:tc>
        <w:tc>
          <w:tcPr>
            <w:tcW w:w="1064" w:type="dxa"/>
            <w:noWrap w:val="0"/>
            <w:vAlign w:val="top"/>
          </w:tcPr>
          <w:p w14:paraId="583D79B0">
            <w:pPr>
              <w:tabs>
                <w:tab w:val="left" w:pos="426"/>
              </w:tabs>
              <w:jc w:val="left"/>
              <w:rPr>
                <w:rFonts w:ascii="仿宋_GB2312" w:eastAsia="仿宋_GB2312"/>
                <w:color w:val="auto"/>
              </w:rPr>
            </w:pPr>
          </w:p>
        </w:tc>
        <w:tc>
          <w:tcPr>
            <w:tcW w:w="1064" w:type="dxa"/>
            <w:noWrap w:val="0"/>
            <w:vAlign w:val="top"/>
          </w:tcPr>
          <w:p w14:paraId="07CA22FD">
            <w:pPr>
              <w:tabs>
                <w:tab w:val="left" w:pos="426"/>
              </w:tabs>
              <w:jc w:val="left"/>
              <w:rPr>
                <w:rFonts w:ascii="仿宋_GB2312" w:eastAsia="仿宋_GB2312"/>
                <w:color w:val="auto"/>
              </w:rPr>
            </w:pPr>
          </w:p>
        </w:tc>
        <w:tc>
          <w:tcPr>
            <w:tcW w:w="1431" w:type="dxa"/>
            <w:noWrap w:val="0"/>
            <w:vAlign w:val="top"/>
          </w:tcPr>
          <w:p w14:paraId="71B77E4D">
            <w:pPr>
              <w:tabs>
                <w:tab w:val="left" w:pos="426"/>
              </w:tabs>
              <w:jc w:val="left"/>
              <w:rPr>
                <w:rFonts w:ascii="仿宋_GB2312" w:eastAsia="仿宋_GB2312"/>
                <w:color w:val="auto"/>
              </w:rPr>
            </w:pPr>
          </w:p>
        </w:tc>
        <w:tc>
          <w:tcPr>
            <w:tcW w:w="890" w:type="dxa"/>
            <w:noWrap w:val="0"/>
            <w:vAlign w:val="center"/>
          </w:tcPr>
          <w:p w14:paraId="7E332BE2">
            <w:pPr>
              <w:tabs>
                <w:tab w:val="left" w:pos="426"/>
              </w:tabs>
              <w:jc w:val="left"/>
              <w:rPr>
                <w:rFonts w:ascii="仿宋_GB2312" w:eastAsia="仿宋_GB2312"/>
                <w:color w:val="auto"/>
              </w:rPr>
            </w:pPr>
          </w:p>
        </w:tc>
      </w:tr>
    </w:tbl>
    <w:p w14:paraId="31AB9503">
      <w:pPr>
        <w:spacing w:line="560" w:lineRule="exact"/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说明：附相关证明文件</w:t>
      </w:r>
    </w:p>
    <w:p w14:paraId="30F5D146">
      <w:pPr>
        <w:pStyle w:val="8"/>
        <w:rPr>
          <w:rFonts w:hint="eastAsia" w:ascii="仿宋_GB2312" w:hAnsi="仿宋_GB2312" w:eastAsia="仿宋_GB2312" w:cs="仿宋_GB2312"/>
          <w:color w:val="auto"/>
          <w:sz w:val="32"/>
          <w:szCs w:val="40"/>
        </w:rPr>
      </w:pPr>
    </w:p>
    <w:p w14:paraId="6814EC0A">
      <w:pPr>
        <w:pStyle w:val="8"/>
        <w:rPr>
          <w:rFonts w:hint="eastAsia" w:ascii="仿宋" w:hAnsi="仿宋" w:eastAsia="仿宋" w:cs="仿宋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40"/>
          <w:lang w:val="en-US" w:eastAsia="zh-CN" w:bidi="ar-SA"/>
        </w:rPr>
        <w:t>（项目服务方案，格式自拟）</w:t>
      </w:r>
    </w:p>
    <w:p w14:paraId="52FB6DFC">
      <w:pPr>
        <w:pStyle w:val="8"/>
        <w:rPr>
          <w:rFonts w:hint="eastAsia" w:ascii="仿宋" w:hAnsi="仿宋" w:eastAsia="仿宋" w:cs="仿宋"/>
          <w:color w:val="auto"/>
          <w:kern w:val="2"/>
          <w:sz w:val="32"/>
          <w:szCs w:val="40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32"/>
          <w:szCs w:val="40"/>
          <w:lang w:val="en-US" w:eastAsia="zh-CN" w:bidi="ar-SA"/>
        </w:rPr>
        <w:t>（对本项目履约中存在的优势和服务效率做出说明，格式自拟）</w:t>
      </w:r>
    </w:p>
    <w:p w14:paraId="5A4F949D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</w:p>
    <w:p w14:paraId="654C069C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</w:p>
    <w:p w14:paraId="01BDB5AC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</w:p>
    <w:p w14:paraId="54221449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</w:p>
    <w:p w14:paraId="7F9DAF02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</w:p>
    <w:p w14:paraId="0B7511B4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</w:p>
    <w:p w14:paraId="5391263F">
      <w:pPr>
        <w:pStyle w:val="8"/>
        <w:keepNext w:val="0"/>
        <w:keepLines w:val="0"/>
        <w:pageBreakBefore w:val="0"/>
        <w:widowControl w:val="0"/>
        <w:tabs>
          <w:tab w:val="left" w:pos="2138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100" w:after="0"/>
        <w:jc w:val="both"/>
        <w:textAlignment w:val="auto"/>
        <w:outlineLvl w:val="2"/>
        <w:rPr>
          <w:rFonts w:hint="default" w:ascii="宋体" w:hAnsi="宋体" w:eastAsia="宋体" w:cs="宋体"/>
          <w:b/>
          <w:bCs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0" w:name="_Toc14056"/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附件2：</w:t>
      </w:r>
    </w:p>
    <w:bookmarkEnd w:id="0"/>
    <w:p w14:paraId="65607730">
      <w:pPr>
        <w:pStyle w:val="8"/>
        <w:keepNext w:val="0"/>
        <w:keepLines w:val="0"/>
        <w:pageBreakBefore w:val="0"/>
        <w:widowControl w:val="0"/>
        <w:tabs>
          <w:tab w:val="left" w:pos="2138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100" w:after="0"/>
        <w:jc w:val="center"/>
        <w:textAlignment w:val="auto"/>
        <w:outlineLvl w:val="2"/>
        <w:rPr>
          <w:rFonts w:hint="eastAsia" w:ascii="宋体" w:hAnsi="宋体" w:eastAsia="宋体" w:cs="宋体"/>
          <w:b/>
          <w:bCs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8"/>
          <w:szCs w:val="28"/>
          <w:highlight w:val="none"/>
          <w:lang w:val="en-US" w:eastAsia="zh-CN" w:bidi="ar"/>
          <w14:textFill>
            <w14:solidFill>
              <w14:schemeClr w14:val="tx1"/>
            </w14:solidFill>
          </w14:textFill>
        </w:rPr>
        <w:t>评分细则表</w:t>
      </w:r>
    </w:p>
    <w:tbl>
      <w:tblPr>
        <w:tblStyle w:val="17"/>
        <w:tblpPr w:leftFromText="180" w:rightFromText="180" w:vertAnchor="text" w:horzAnchor="margin" w:tblpXSpec="center" w:tblpY="346"/>
        <w:tblW w:w="935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shd w:val="clear" w:color="auto" w:fill="auto"/>
        <w:tblLayout w:type="fixed"/>
        <w:tblCellMar>
          <w:top w:w="20" w:type="dxa"/>
          <w:left w:w="108" w:type="dxa"/>
          <w:bottom w:w="20" w:type="dxa"/>
          <w:right w:w="108" w:type="dxa"/>
        </w:tblCellMar>
      </w:tblPr>
      <w:tblGrid>
        <w:gridCol w:w="680"/>
        <w:gridCol w:w="1964"/>
        <w:gridCol w:w="817"/>
        <w:gridCol w:w="5895"/>
      </w:tblGrid>
      <w:tr w14:paraId="3110A3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20" w:type="dxa"/>
            <w:left w:w="108" w:type="dxa"/>
            <w:bottom w:w="20" w:type="dxa"/>
            <w:right w:w="108" w:type="dxa"/>
          </w:tblCellMar>
        </w:tblPrEx>
        <w:trPr>
          <w:jc w:val="center"/>
        </w:trPr>
        <w:tc>
          <w:tcPr>
            <w:tcW w:w="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134A765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78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00FFD7D5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  <w:t>评分项</w:t>
            </w:r>
          </w:p>
        </w:tc>
        <w:tc>
          <w:tcPr>
            <w:tcW w:w="58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2EB42EF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  <w:t>权重</w:t>
            </w:r>
          </w:p>
        </w:tc>
      </w:tr>
      <w:tr w14:paraId="4DC8C90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20" w:type="dxa"/>
            <w:left w:w="108" w:type="dxa"/>
            <w:bottom w:w="20" w:type="dxa"/>
            <w:right w:w="108" w:type="dxa"/>
          </w:tblCellMar>
        </w:tblPrEx>
        <w:trPr>
          <w:jc w:val="center"/>
        </w:trPr>
        <w:tc>
          <w:tcPr>
            <w:tcW w:w="6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60EE21F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78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top"/>
          </w:tcPr>
          <w:p w14:paraId="7A31B90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  <w:t>价格</w:t>
            </w:r>
          </w:p>
        </w:tc>
        <w:tc>
          <w:tcPr>
            <w:tcW w:w="58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top"/>
          </w:tcPr>
          <w:p w14:paraId="1B08F6B1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Calibri" w:hAnsi="Calibri" w:eastAsia="宋体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</w:tr>
      <w:tr w14:paraId="6F49E0E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20" w:type="dxa"/>
            <w:left w:w="108" w:type="dxa"/>
            <w:bottom w:w="20" w:type="dxa"/>
            <w:right w:w="108" w:type="dxa"/>
          </w:tblCellMar>
        </w:tblPrEx>
        <w:trPr>
          <w:jc w:val="center"/>
        </w:trPr>
        <w:tc>
          <w:tcPr>
            <w:tcW w:w="68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4755BF7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top"/>
          </w:tcPr>
          <w:p w14:paraId="5EB5C3A3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Calibri" w:hAnsi="Calibri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Times New Roman"/>
                <w:b w:val="0"/>
                <w:bCs w:val="0"/>
                <w:color w:val="000000" w:themeColor="text1"/>
                <w:kern w:val="2"/>
                <w:sz w:val="21"/>
                <w:szCs w:val="2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评分因素</w:t>
            </w:r>
          </w:p>
        </w:tc>
        <w:tc>
          <w:tcPr>
            <w:tcW w:w="8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top"/>
          </w:tcPr>
          <w:p w14:paraId="1038732D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Calibri" w:hAnsi="Calibri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Times New Roman"/>
                <w:b w:val="0"/>
                <w:bCs w:val="0"/>
                <w:color w:val="000000" w:themeColor="text1"/>
                <w:kern w:val="2"/>
                <w:sz w:val="21"/>
                <w:szCs w:val="2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权重</w:t>
            </w:r>
          </w:p>
        </w:tc>
        <w:tc>
          <w:tcPr>
            <w:tcW w:w="58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top"/>
          </w:tcPr>
          <w:p w14:paraId="43D237A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Calibri" w:hAnsi="Calibri" w:eastAsia="宋体" w:cs="Times New Roman"/>
                <w:b w:val="0"/>
                <w:bCs w:val="0"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评分准则</w:t>
            </w:r>
          </w:p>
        </w:tc>
      </w:tr>
      <w:tr w14:paraId="3BD98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20" w:type="dxa"/>
            <w:left w:w="108" w:type="dxa"/>
            <w:bottom w:w="20" w:type="dxa"/>
            <w:right w:w="108" w:type="dxa"/>
          </w:tblCellMar>
        </w:tblPrEx>
        <w:trPr>
          <w:trHeight w:val="1712" w:hRule="atLeast"/>
          <w:jc w:val="center"/>
        </w:trPr>
        <w:tc>
          <w:tcPr>
            <w:tcW w:w="68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5BB4BAB1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38E24189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Calibri" w:hAnsi="Calibri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Times New Roman"/>
                <w:b w:val="0"/>
                <w:bCs w:val="0"/>
                <w:color w:val="000000" w:themeColor="text1"/>
                <w:kern w:val="2"/>
                <w:sz w:val="21"/>
                <w:szCs w:val="2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报价</w:t>
            </w:r>
          </w:p>
        </w:tc>
        <w:tc>
          <w:tcPr>
            <w:tcW w:w="8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2CDA4C9D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Calibri" w:hAnsi="Calibri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Times New Roman"/>
                <w:b w:val="0"/>
                <w:bCs w:val="0"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58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5B5EDFC0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采用低价优先法计算。</w:t>
            </w:r>
          </w:p>
          <w:p w14:paraId="2943F05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满足询价函要求且最低报价为评审基准价，其</w:t>
            </w:r>
          </w:p>
          <w:p w14:paraId="5C2890C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价格分为满分。其他报价单位的价格分统一按</w:t>
            </w:r>
          </w:p>
          <w:p w14:paraId="50E9B3E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照下列公式计算：</w:t>
            </w:r>
          </w:p>
          <w:p w14:paraId="4CFA64F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 w:ascii="Calibri" w:hAnsi="Calibri" w:eastAsia="宋体" w:cs="Times New Roman"/>
                <w:b w:val="0"/>
                <w:bCs w:val="0"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报价得分=(评审基准价／报价</w:t>
            </w:r>
            <w:r>
              <w:rPr>
                <w:rFonts w:hint="default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)</w:t>
            </w:r>
            <w:r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×40</w:t>
            </w:r>
          </w:p>
        </w:tc>
      </w:tr>
      <w:tr w14:paraId="407B1BC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20" w:type="dxa"/>
            <w:left w:w="108" w:type="dxa"/>
            <w:bottom w:w="20" w:type="dxa"/>
            <w:right w:w="108" w:type="dxa"/>
          </w:tblCellMar>
        </w:tblPrEx>
        <w:trPr>
          <w:jc w:val="center"/>
        </w:trPr>
        <w:tc>
          <w:tcPr>
            <w:tcW w:w="6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1603141E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Calibri" w:hAnsi="Calibri" w:cs="Times New Roman" w:eastAsiaTheme="minorEastAsia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78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top"/>
          </w:tcPr>
          <w:p w14:paraId="36A188F3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  <w:t>技术部分</w:t>
            </w:r>
          </w:p>
        </w:tc>
        <w:tc>
          <w:tcPr>
            <w:tcW w:w="58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top"/>
          </w:tcPr>
          <w:p w14:paraId="0E6F827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Calibri" w:hAnsi="Calibri" w:eastAsia="宋体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</w:tr>
      <w:tr w14:paraId="32A8668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20" w:type="dxa"/>
            <w:left w:w="108" w:type="dxa"/>
            <w:bottom w:w="20" w:type="dxa"/>
            <w:right w:w="108" w:type="dxa"/>
          </w:tblCellMar>
        </w:tblPrEx>
        <w:trPr>
          <w:jc w:val="center"/>
        </w:trPr>
        <w:tc>
          <w:tcPr>
            <w:tcW w:w="68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04AD3B9D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noWrap w:val="0"/>
            <w:vAlign w:val="center"/>
          </w:tcPr>
          <w:p w14:paraId="6D7BB715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评分因素</w:t>
            </w:r>
          </w:p>
        </w:tc>
        <w:tc>
          <w:tcPr>
            <w:tcW w:w="81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noWrap w:val="0"/>
            <w:vAlign w:val="center"/>
          </w:tcPr>
          <w:p w14:paraId="4CC86AFD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权重</w:t>
            </w:r>
          </w:p>
        </w:tc>
        <w:tc>
          <w:tcPr>
            <w:tcW w:w="58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noWrap w:val="0"/>
            <w:vAlign w:val="center"/>
          </w:tcPr>
          <w:p w14:paraId="7EA71C1C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评分准则</w:t>
            </w:r>
          </w:p>
        </w:tc>
      </w:tr>
      <w:tr w14:paraId="281126E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20" w:type="dxa"/>
            <w:left w:w="108" w:type="dxa"/>
            <w:bottom w:w="20" w:type="dxa"/>
            <w:right w:w="108" w:type="dxa"/>
          </w:tblCellMar>
        </w:tblPrEx>
        <w:trPr>
          <w:trHeight w:val="2295" w:hRule="atLeast"/>
          <w:jc w:val="center"/>
        </w:trPr>
        <w:tc>
          <w:tcPr>
            <w:tcW w:w="68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20DB3186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</w:pPr>
          </w:p>
        </w:tc>
        <w:tc>
          <w:tcPr>
            <w:tcW w:w="196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noWrap w:val="0"/>
            <w:vAlign w:val="center"/>
          </w:tcPr>
          <w:p w14:paraId="42BD971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设计方案</w:t>
            </w:r>
          </w:p>
        </w:tc>
        <w:tc>
          <w:tcPr>
            <w:tcW w:w="817" w:type="dxa"/>
            <w:tcBorders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noWrap w:val="0"/>
            <w:vAlign w:val="center"/>
          </w:tcPr>
          <w:p w14:paraId="7A5B63C6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5895" w:type="dxa"/>
            <w:tcBorders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noWrap w:val="0"/>
            <w:vAlign w:val="top"/>
          </w:tcPr>
          <w:p w14:paraId="67EF5075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b/>
                <w:bCs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（一）评审内容：</w:t>
            </w:r>
          </w:p>
          <w:p w14:paraId="7166771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Lines="0" w:after="0"/>
              <w:ind w:left="0" w:leftChars="0" w:firstLine="0" w:firstLineChars="0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b w:val="0"/>
                <w:bCs w:val="0"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1.设计是否贴合项目定位、符合规划要求、整体逻辑清晰。</w:t>
            </w:r>
          </w:p>
          <w:p w14:paraId="04B17C8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Lines="0" w:after="0"/>
              <w:ind w:left="0" w:leftChars="0" w:firstLine="0" w:firstLineChars="0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b w:val="0"/>
                <w:bCs w:val="0"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2.设计技术是否符合行业规范、是否具备专业优势、有无创新亮点。</w:t>
            </w:r>
          </w:p>
          <w:p w14:paraId="6841B64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Lines="0" w:after="0"/>
              <w:ind w:left="0" w:leftChars="0" w:firstLine="0" w:firstLineChars="0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b w:val="0"/>
                <w:bCs w:val="0"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3.设计文件是否完整、规范、细节到位。</w:t>
            </w:r>
          </w:p>
          <w:p w14:paraId="4AF95F2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Lines="0" w:after="0"/>
              <w:ind w:left="0" w:leftChars="0" w:firstLine="0" w:firstLineChars="0"/>
              <w:jc w:val="left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b w:val="0"/>
                <w:bCs w:val="0"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4.设计是否贴合项目实际功能、标准、规模及使用需求。</w:t>
            </w:r>
          </w:p>
          <w:p w14:paraId="35D68A4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Lines="0" w:after="0"/>
              <w:ind w:left="0" w:leftChars="0" w:firstLine="0" w:firstLineChars="0"/>
              <w:jc w:val="left"/>
              <w:textAlignment w:val="auto"/>
              <w:rPr>
                <w:rFonts w:hint="default" w:asciiTheme="minorHAnsi" w:hAnsiTheme="minorHAnsi" w:eastAsiaTheme="minorEastAsia" w:cstheme="minorBidi"/>
                <w:b w:val="0"/>
                <w:bCs w:val="0"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b w:val="0"/>
                <w:bCs w:val="0"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5.设计单位的后续服务是否具体、及时、有保障。</w:t>
            </w:r>
          </w:p>
          <w:p w14:paraId="3E641B7D">
            <w:pPr>
              <w:pStyle w:val="2"/>
              <w:ind w:left="0" w:leftChars="0" w:firstLine="0" w:firstLineChars="0"/>
              <w:rPr>
                <w:rFonts w:hint="eastAsia" w:eastAsiaTheme="minorEastAsia" w:cstheme="minorBidi"/>
                <w:b/>
                <w:bCs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b/>
                <w:bCs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（二）</w:t>
            </w:r>
            <w:r>
              <w:rPr>
                <w:rFonts w:hint="eastAsia" w:eastAsiaTheme="minorEastAsia" w:cstheme="minorBidi"/>
                <w:b/>
                <w:bCs/>
                <w:color w:val="000000" w:themeColor="text1"/>
                <w:kern w:val="2"/>
                <w:sz w:val="21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评审标准：</w:t>
            </w:r>
          </w:p>
          <w:p w14:paraId="751E0A0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未提供技术方案不得分。专家根据内容合理性评分。</w:t>
            </w:r>
          </w:p>
          <w:p w14:paraId="68B2523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优评分标准:方案符合实际、完整、规范、思路清晰，内容合理性强。 </w:t>
            </w:r>
          </w:p>
          <w:p w14:paraId="1C36EFB4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良评分标准:方案较符合实际、较完整规范、思路较清晰，内容合理性较强。 </w:t>
            </w:r>
          </w:p>
          <w:p w14:paraId="667F9799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中评分标准:方案较普通、完整性规范性一般，思路不够清晰，内容合理性一般。</w:t>
            </w:r>
          </w:p>
          <w:p w14:paraId="28D6BFEF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default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差评分标准方案:不完整、不规范，思路不清晰，内容合理性较差或未提供。</w:t>
            </w:r>
            <w:r>
              <w:rPr>
                <w:rFonts w:hint="default"/>
                <w:b w:val="0"/>
                <w:bCs w:val="0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6D86FB1D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评价为优得</w:t>
            </w:r>
            <w:r>
              <w:rPr>
                <w:rFonts w:hint="eastAsia"/>
                <w:lang w:val="en-US" w:eastAsia="zh-CN"/>
              </w:rPr>
              <w:t>40</w:t>
            </w:r>
            <w:r>
              <w:rPr>
                <w:rFonts w:hint="default"/>
                <w:lang w:val="en-US" w:eastAsia="zh-CN"/>
              </w:rPr>
              <w:t>分</w:t>
            </w:r>
          </w:p>
          <w:p w14:paraId="4CA934FD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评价为良得</w:t>
            </w:r>
            <w:r>
              <w:rPr>
                <w:rFonts w:hint="eastAsia"/>
                <w:lang w:val="en-US" w:eastAsia="zh-CN"/>
              </w:rPr>
              <w:t>30</w:t>
            </w:r>
            <w:r>
              <w:rPr>
                <w:rFonts w:hint="default"/>
                <w:lang w:val="en-US" w:eastAsia="zh-CN"/>
              </w:rPr>
              <w:t>分</w:t>
            </w:r>
          </w:p>
          <w:p w14:paraId="67E1E43D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评价为中得</w:t>
            </w:r>
            <w:r>
              <w:rPr>
                <w:rFonts w:hint="eastAsia"/>
                <w:lang w:val="en-US" w:eastAsia="zh-CN"/>
              </w:rPr>
              <w:t>20</w:t>
            </w:r>
            <w:r>
              <w:rPr>
                <w:rFonts w:hint="default"/>
                <w:lang w:val="en-US" w:eastAsia="zh-CN"/>
              </w:rPr>
              <w:t>分</w:t>
            </w:r>
          </w:p>
          <w:p w14:paraId="3EE42AE6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评价为差不得分</w:t>
            </w:r>
          </w:p>
        </w:tc>
      </w:tr>
      <w:tr w14:paraId="693F9B6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20" w:type="dxa"/>
            <w:left w:w="108" w:type="dxa"/>
            <w:bottom w:w="20" w:type="dxa"/>
            <w:right w:w="108" w:type="dxa"/>
          </w:tblCellMar>
        </w:tblPrEx>
        <w:trPr>
          <w:jc w:val="center"/>
        </w:trPr>
        <w:tc>
          <w:tcPr>
            <w:tcW w:w="680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021C4DE3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Calibri" w:hAnsi="Calibri" w:cs="Times New Roman" w:eastAsiaTheme="minorEastAsia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781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top"/>
          </w:tcPr>
          <w:p w14:paraId="38D1F030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  <w:t>综合实力部分</w:t>
            </w:r>
          </w:p>
        </w:tc>
        <w:tc>
          <w:tcPr>
            <w:tcW w:w="58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top"/>
          </w:tcPr>
          <w:p w14:paraId="1A27F35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 w14:paraId="757FA67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20" w:type="dxa"/>
            <w:left w:w="108" w:type="dxa"/>
            <w:bottom w:w="20" w:type="dxa"/>
            <w:right w:w="108" w:type="dxa"/>
          </w:tblCellMar>
        </w:tblPrEx>
        <w:trPr>
          <w:jc w:val="center"/>
        </w:trPr>
        <w:tc>
          <w:tcPr>
            <w:tcW w:w="68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341979A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4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noWrap w:val="0"/>
            <w:vAlign w:val="center"/>
          </w:tcPr>
          <w:p w14:paraId="6F17D964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评分因素</w:t>
            </w:r>
          </w:p>
        </w:tc>
        <w:tc>
          <w:tcPr>
            <w:tcW w:w="817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noWrap w:val="0"/>
            <w:vAlign w:val="center"/>
          </w:tcPr>
          <w:p w14:paraId="2A3C2EDD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权重</w:t>
            </w:r>
          </w:p>
        </w:tc>
        <w:tc>
          <w:tcPr>
            <w:tcW w:w="589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auto"/>
            <w:noWrap w:val="0"/>
            <w:vAlign w:val="center"/>
          </w:tcPr>
          <w:p w14:paraId="21B89146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cs="Times New Roman"/>
                <w:color w:val="000000" w:themeColor="text1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评分准则</w:t>
            </w:r>
          </w:p>
        </w:tc>
      </w:tr>
      <w:tr w14:paraId="52E66B8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20" w:type="dxa"/>
            <w:left w:w="108" w:type="dxa"/>
            <w:bottom w:w="20" w:type="dxa"/>
            <w:right w:w="108" w:type="dxa"/>
          </w:tblCellMar>
        </w:tblPrEx>
        <w:trPr>
          <w:jc w:val="center"/>
        </w:trPr>
        <w:tc>
          <w:tcPr>
            <w:tcW w:w="680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29322CDC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20014FD6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eastAsia="宋体" w:cs="宋体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履约质效</w:t>
            </w:r>
          </w:p>
        </w:tc>
        <w:tc>
          <w:tcPr>
            <w:tcW w:w="8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3B3CAC7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Calibri" w:hAnsi="Calibri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8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top"/>
          </w:tcPr>
          <w:p w14:paraId="6BAD4A5A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评审标准：</w:t>
            </w:r>
          </w:p>
          <w:p w14:paraId="1CB63D2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对本项目履约中存在的优势和服务效率做出说明，例如公司资源调度、团队配置、技术优势、服务效率、应急响应等。</w:t>
            </w:r>
          </w:p>
          <w:p w14:paraId="33FD31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根据内容合理性评分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评价为优得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分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评价为良得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分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评价为中得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分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评价为差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未提供响应方案不得分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。</w:t>
            </w:r>
          </w:p>
          <w:p w14:paraId="6BC76659">
            <w:pPr>
              <w:pStyle w:val="27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优评分标准：优势符合实际、对项目履约影响大。</w:t>
            </w:r>
          </w:p>
          <w:p w14:paraId="20CC7786">
            <w:pPr>
              <w:pStyle w:val="27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良评分标准：优势较符合实际、对项目履约影响较大。</w:t>
            </w:r>
          </w:p>
          <w:p w14:paraId="439382A1">
            <w:pPr>
              <w:pStyle w:val="27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中评分标准：优势较普通、对项目履约影响一般。</w:t>
            </w:r>
          </w:p>
          <w:p w14:paraId="4CF8295A">
            <w:pPr>
              <w:pStyle w:val="27"/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差评分标准：优势对项目履约影响极小。</w:t>
            </w:r>
          </w:p>
          <w:p w14:paraId="6FEE340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（二）证明文件： </w:t>
            </w:r>
          </w:p>
          <w:p w14:paraId="20DD96F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jc w:val="left"/>
              <w:textAlignment w:val="auto"/>
              <w:rPr>
                <w:rFonts w:hint="default" w:eastAsia="宋体"/>
                <w:color w:val="000000" w:themeColor="text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有效期内的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  <w:t>资质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证明文件。</w:t>
            </w:r>
          </w:p>
        </w:tc>
      </w:tr>
      <w:tr w14:paraId="687D51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20" w:type="dxa"/>
            <w:left w:w="108" w:type="dxa"/>
            <w:bottom w:w="2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680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02E200EA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auto"/>
              <w:rPr>
                <w:rFonts w:ascii="Calibri" w:hAnsi="Calibri" w:cs="Times New Roman"/>
                <w:b/>
                <w:bCs/>
                <w:color w:val="000000" w:themeColor="text1"/>
                <w:kern w:val="2"/>
                <w:sz w:val="21"/>
                <w:szCs w:val="2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41F20F17"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同类业绩</w:t>
            </w:r>
          </w:p>
        </w:tc>
        <w:tc>
          <w:tcPr>
            <w:tcW w:w="8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40F0200A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Calibri" w:hAnsi="Calibri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589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0"/>
            <w:vAlign w:val="center"/>
          </w:tcPr>
          <w:p w14:paraId="0D28E40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Chars="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近三年（202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3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年起至本标开标之日）内有过室内装修设计案例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，一项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得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3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分，最高不超过</w:t>
            </w: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12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分。投标人需提供相关合同复印件。</w:t>
            </w:r>
          </w:p>
        </w:tc>
      </w:tr>
    </w:tbl>
    <w:p w14:paraId="64F9C2CD"/>
    <w:p w14:paraId="0685548B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</w:p>
    <w:p w14:paraId="7913F865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</w:p>
    <w:p w14:paraId="7F1A18E6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</w:p>
    <w:p w14:paraId="7AFB6A3C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290A1DAC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2A5CB314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06F5E07B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1B89F365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4501ABA9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578C9E1D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39A84B01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1ACBE33E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76B6BBC7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196866B4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05A07FA3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0F71901E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172542FA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389CBAEC">
      <w:pPr>
        <w:pStyle w:val="6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附件3：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平面及现场图示</w:t>
      </w: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061"/>
      </w:tblGrid>
      <w:tr w14:paraId="541E7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061" w:type="dxa"/>
          </w:tcPr>
          <w:p w14:paraId="6A1BCEF6">
            <w:pPr>
              <w:pStyle w:val="6"/>
              <w:rPr>
                <w:rFonts w:hint="default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5607685" cy="2803525"/>
                  <wp:effectExtent l="0" t="0" r="12065" b="15875"/>
                  <wp:docPr id="2" name="图片 2" descr="33ee05c7b7eb1b41a7f9fbe86a28e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3ee05c7b7eb1b41a7f9fbe86a28e96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685" cy="280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2FE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061" w:type="dxa"/>
          </w:tcPr>
          <w:p w14:paraId="340279CE">
            <w:pPr>
              <w:pStyle w:val="6"/>
              <w:rPr>
                <w:rFonts w:hint="default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5607050" cy="2778125"/>
                  <wp:effectExtent l="0" t="0" r="12700" b="3175"/>
                  <wp:docPr id="3" name="图片 3" descr="7f1cdaba372c15cb165581479d517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f1cdaba372c15cb165581479d517c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0" cy="277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85D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061" w:type="dxa"/>
          </w:tcPr>
          <w:p w14:paraId="05F48404">
            <w:pPr>
              <w:pStyle w:val="6"/>
              <w:rPr>
                <w:rFonts w:hint="default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5607050" cy="2856865"/>
                  <wp:effectExtent l="0" t="0" r="12700" b="635"/>
                  <wp:docPr id="4" name="图片 4" descr="0e1e9b69013dec73508de1f233f14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e1e9b69013dec73508de1f233f140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0" cy="285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D21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061" w:type="dxa"/>
          </w:tcPr>
          <w:p w14:paraId="00E53A90">
            <w:pPr>
              <w:pStyle w:val="6"/>
              <w:rPr>
                <w:rFonts w:hint="default" w:ascii="仿宋_GB2312" w:hAnsi="仿宋_GB2312" w:eastAsia="仿宋_GB2312" w:cs="仿宋_GB2312"/>
                <w:sz w:val="32"/>
                <w:szCs w:val="32"/>
                <w:highlight w:val="none"/>
                <w:vertAlign w:val="baseline"/>
                <w:lang w:val="en-US" w:eastAsia="zh-CN"/>
              </w:rPr>
            </w:pPr>
          </w:p>
        </w:tc>
      </w:tr>
    </w:tbl>
    <w:p w14:paraId="775F4C4A">
      <w:pPr>
        <w:pStyle w:val="6"/>
        <w:ind w:left="0" w:leftChars="0" w:firstLine="0" w:firstLineChars="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sectPr>
      <w:footerReference r:id="rId3" w:type="default"/>
      <w:pgSz w:w="11906" w:h="16838"/>
      <w:pgMar w:top="1814" w:right="1474" w:bottom="181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6047324-C313-4443-84FC-BBD86EAC89D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A2BCED95-BBCB-4D5F-8668-FAB2D165BDB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A5CED82-15A7-4AC5-A498-3C450A86CF8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DDBF7079-55DE-4970-BD65-C183EC178D3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1832DDD6-6F9C-4836-A7D0-090E6DFC170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11C3F480-0EB4-4147-A2D3-97D6824196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71A18B">
    <w:pPr>
      <w:pStyle w:val="1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0D2FA8">
                          <w:pPr>
                            <w:pStyle w:val="1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90D2FA8">
                    <w:pPr>
                      <w:pStyle w:val="13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B0EA9F"/>
    <w:multiLevelType w:val="singleLevel"/>
    <w:tmpl w:val="91B0EA9F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yMmQ4NmM5MGQ1MTg5NTIwNTY2ZWZlMzJjMmViZTkifQ=="/>
  </w:docVars>
  <w:rsids>
    <w:rsidRoot w:val="14F87D44"/>
    <w:rsid w:val="000248DC"/>
    <w:rsid w:val="002E0E2C"/>
    <w:rsid w:val="00473450"/>
    <w:rsid w:val="00B95AAF"/>
    <w:rsid w:val="00D6462F"/>
    <w:rsid w:val="00E0770D"/>
    <w:rsid w:val="019336AF"/>
    <w:rsid w:val="026B5F55"/>
    <w:rsid w:val="03527FB0"/>
    <w:rsid w:val="03545C7B"/>
    <w:rsid w:val="04451A9E"/>
    <w:rsid w:val="04546320"/>
    <w:rsid w:val="04C62109"/>
    <w:rsid w:val="04DA26C6"/>
    <w:rsid w:val="05101BD0"/>
    <w:rsid w:val="054F0788"/>
    <w:rsid w:val="05972365"/>
    <w:rsid w:val="05D90F45"/>
    <w:rsid w:val="05D913C0"/>
    <w:rsid w:val="06690C82"/>
    <w:rsid w:val="068B0EF4"/>
    <w:rsid w:val="069A42BB"/>
    <w:rsid w:val="06C31F66"/>
    <w:rsid w:val="07330BC0"/>
    <w:rsid w:val="082B0623"/>
    <w:rsid w:val="082E05A7"/>
    <w:rsid w:val="0960117C"/>
    <w:rsid w:val="0A1B7A08"/>
    <w:rsid w:val="0A544CC8"/>
    <w:rsid w:val="0AE77D7C"/>
    <w:rsid w:val="0CC32BAA"/>
    <w:rsid w:val="0DB75F00"/>
    <w:rsid w:val="0E6B55AA"/>
    <w:rsid w:val="0F3C4525"/>
    <w:rsid w:val="0F7068CC"/>
    <w:rsid w:val="0F76193A"/>
    <w:rsid w:val="0FC71E89"/>
    <w:rsid w:val="106A0DA2"/>
    <w:rsid w:val="11580C51"/>
    <w:rsid w:val="11DC575C"/>
    <w:rsid w:val="1260208E"/>
    <w:rsid w:val="12746AB9"/>
    <w:rsid w:val="129A58DD"/>
    <w:rsid w:val="12A83E03"/>
    <w:rsid w:val="14ED180A"/>
    <w:rsid w:val="14F87D44"/>
    <w:rsid w:val="1629525B"/>
    <w:rsid w:val="16CD4751"/>
    <w:rsid w:val="170F0F8D"/>
    <w:rsid w:val="174119D9"/>
    <w:rsid w:val="1808679D"/>
    <w:rsid w:val="181B48A0"/>
    <w:rsid w:val="18C50DB7"/>
    <w:rsid w:val="18F42EF7"/>
    <w:rsid w:val="193E5AF8"/>
    <w:rsid w:val="1A70484C"/>
    <w:rsid w:val="1AFF55A1"/>
    <w:rsid w:val="1BD92B9D"/>
    <w:rsid w:val="1C5E5F6D"/>
    <w:rsid w:val="1C7364F4"/>
    <w:rsid w:val="1DF94B23"/>
    <w:rsid w:val="1E85324A"/>
    <w:rsid w:val="1F793950"/>
    <w:rsid w:val="1FE76C47"/>
    <w:rsid w:val="21160433"/>
    <w:rsid w:val="236152D8"/>
    <w:rsid w:val="247B5558"/>
    <w:rsid w:val="25375979"/>
    <w:rsid w:val="25A4045A"/>
    <w:rsid w:val="26BD06F7"/>
    <w:rsid w:val="26FC3C40"/>
    <w:rsid w:val="28BA335E"/>
    <w:rsid w:val="28E53263"/>
    <w:rsid w:val="2A3830DB"/>
    <w:rsid w:val="2A663AD1"/>
    <w:rsid w:val="2A9F1B6D"/>
    <w:rsid w:val="2AF5706C"/>
    <w:rsid w:val="2B1A2BDF"/>
    <w:rsid w:val="2B8A41A6"/>
    <w:rsid w:val="2C7D61B2"/>
    <w:rsid w:val="2C8608B9"/>
    <w:rsid w:val="2C901738"/>
    <w:rsid w:val="2CD80CF7"/>
    <w:rsid w:val="2D556671"/>
    <w:rsid w:val="2EF61AC4"/>
    <w:rsid w:val="2F320B38"/>
    <w:rsid w:val="311F5C9B"/>
    <w:rsid w:val="317F1D7B"/>
    <w:rsid w:val="31BF4558"/>
    <w:rsid w:val="32022DCE"/>
    <w:rsid w:val="32A23F73"/>
    <w:rsid w:val="330A1A52"/>
    <w:rsid w:val="34456390"/>
    <w:rsid w:val="34E45D5E"/>
    <w:rsid w:val="35215623"/>
    <w:rsid w:val="35BA5B31"/>
    <w:rsid w:val="36126D6C"/>
    <w:rsid w:val="36542380"/>
    <w:rsid w:val="365424D2"/>
    <w:rsid w:val="3657604A"/>
    <w:rsid w:val="36D53226"/>
    <w:rsid w:val="36ED2544"/>
    <w:rsid w:val="374D57F3"/>
    <w:rsid w:val="37D74BBC"/>
    <w:rsid w:val="38CA0348"/>
    <w:rsid w:val="38D82BF8"/>
    <w:rsid w:val="38DD67D9"/>
    <w:rsid w:val="3A3F71F7"/>
    <w:rsid w:val="3A8E0E3E"/>
    <w:rsid w:val="3B343254"/>
    <w:rsid w:val="3BCA5204"/>
    <w:rsid w:val="3BD52386"/>
    <w:rsid w:val="3BD641DA"/>
    <w:rsid w:val="3C020668"/>
    <w:rsid w:val="3C6B707A"/>
    <w:rsid w:val="3CD26DF7"/>
    <w:rsid w:val="3D1A1451"/>
    <w:rsid w:val="3D2A3B3A"/>
    <w:rsid w:val="3D8F2813"/>
    <w:rsid w:val="3DF13867"/>
    <w:rsid w:val="3E3871D3"/>
    <w:rsid w:val="3ECB434D"/>
    <w:rsid w:val="3ED1190F"/>
    <w:rsid w:val="3F3E3276"/>
    <w:rsid w:val="40B27A77"/>
    <w:rsid w:val="40E824C8"/>
    <w:rsid w:val="412D5350"/>
    <w:rsid w:val="41F330DA"/>
    <w:rsid w:val="421F4C91"/>
    <w:rsid w:val="42BD2F8E"/>
    <w:rsid w:val="440D65AC"/>
    <w:rsid w:val="44D04970"/>
    <w:rsid w:val="44FC6BED"/>
    <w:rsid w:val="45266373"/>
    <w:rsid w:val="460931FC"/>
    <w:rsid w:val="46A50B01"/>
    <w:rsid w:val="46A939CE"/>
    <w:rsid w:val="48286871"/>
    <w:rsid w:val="487052D4"/>
    <w:rsid w:val="487F6800"/>
    <w:rsid w:val="4A3F72C9"/>
    <w:rsid w:val="4A541E73"/>
    <w:rsid w:val="4ABC5529"/>
    <w:rsid w:val="4ABE526B"/>
    <w:rsid w:val="4B2059D5"/>
    <w:rsid w:val="4CE278DF"/>
    <w:rsid w:val="4D7D4DF4"/>
    <w:rsid w:val="4D846278"/>
    <w:rsid w:val="4D9D385D"/>
    <w:rsid w:val="4DDA060D"/>
    <w:rsid w:val="4DDB4FFD"/>
    <w:rsid w:val="4E272E41"/>
    <w:rsid w:val="4E312606"/>
    <w:rsid w:val="4E444B73"/>
    <w:rsid w:val="4EB04692"/>
    <w:rsid w:val="50C17863"/>
    <w:rsid w:val="50C3263F"/>
    <w:rsid w:val="50C81380"/>
    <w:rsid w:val="510D5824"/>
    <w:rsid w:val="517A08EF"/>
    <w:rsid w:val="51E22509"/>
    <w:rsid w:val="522D4481"/>
    <w:rsid w:val="52BF58A8"/>
    <w:rsid w:val="53784542"/>
    <w:rsid w:val="53A23DDD"/>
    <w:rsid w:val="540D11A2"/>
    <w:rsid w:val="543006A9"/>
    <w:rsid w:val="547207D3"/>
    <w:rsid w:val="54881C4E"/>
    <w:rsid w:val="560249EF"/>
    <w:rsid w:val="56C553EB"/>
    <w:rsid w:val="5703103A"/>
    <w:rsid w:val="572669EE"/>
    <w:rsid w:val="575F0A60"/>
    <w:rsid w:val="579E0857"/>
    <w:rsid w:val="57AA262B"/>
    <w:rsid w:val="57B4085A"/>
    <w:rsid w:val="57B86DA7"/>
    <w:rsid w:val="57F337CB"/>
    <w:rsid w:val="58604EAE"/>
    <w:rsid w:val="59DA41A2"/>
    <w:rsid w:val="5A3745DC"/>
    <w:rsid w:val="5A9E7941"/>
    <w:rsid w:val="5B9C33A6"/>
    <w:rsid w:val="5BCF552A"/>
    <w:rsid w:val="5C9D1184"/>
    <w:rsid w:val="5C9F0786"/>
    <w:rsid w:val="5CDD1B98"/>
    <w:rsid w:val="5DD567A0"/>
    <w:rsid w:val="5E38706C"/>
    <w:rsid w:val="5E46316E"/>
    <w:rsid w:val="60D15EDE"/>
    <w:rsid w:val="60FD4D7D"/>
    <w:rsid w:val="62D41677"/>
    <w:rsid w:val="62FB6C04"/>
    <w:rsid w:val="63FB29C7"/>
    <w:rsid w:val="64791ABD"/>
    <w:rsid w:val="66645645"/>
    <w:rsid w:val="66A460B1"/>
    <w:rsid w:val="66F3457E"/>
    <w:rsid w:val="678C5865"/>
    <w:rsid w:val="67A6799D"/>
    <w:rsid w:val="6825664A"/>
    <w:rsid w:val="68515CC3"/>
    <w:rsid w:val="69036813"/>
    <w:rsid w:val="69917B67"/>
    <w:rsid w:val="69D60CA5"/>
    <w:rsid w:val="6B034790"/>
    <w:rsid w:val="6C6B26A2"/>
    <w:rsid w:val="6D036FEE"/>
    <w:rsid w:val="6D0625EB"/>
    <w:rsid w:val="6D381DE9"/>
    <w:rsid w:val="6DEC7CA5"/>
    <w:rsid w:val="6E0A3D02"/>
    <w:rsid w:val="6E0E3C8F"/>
    <w:rsid w:val="6ED24440"/>
    <w:rsid w:val="6F944668"/>
    <w:rsid w:val="709E39AE"/>
    <w:rsid w:val="71C8684B"/>
    <w:rsid w:val="71D1762D"/>
    <w:rsid w:val="72D90729"/>
    <w:rsid w:val="731735E6"/>
    <w:rsid w:val="73223CEC"/>
    <w:rsid w:val="73BF0466"/>
    <w:rsid w:val="74A816F8"/>
    <w:rsid w:val="74BD3E29"/>
    <w:rsid w:val="7537327D"/>
    <w:rsid w:val="75AF1B58"/>
    <w:rsid w:val="761A5044"/>
    <w:rsid w:val="76A258BD"/>
    <w:rsid w:val="773242B5"/>
    <w:rsid w:val="77943A46"/>
    <w:rsid w:val="7797752B"/>
    <w:rsid w:val="786C78F4"/>
    <w:rsid w:val="78785F45"/>
    <w:rsid w:val="78E30746"/>
    <w:rsid w:val="79EA5A78"/>
    <w:rsid w:val="7A0C40F8"/>
    <w:rsid w:val="7B3C24FC"/>
    <w:rsid w:val="7C5779A6"/>
    <w:rsid w:val="7D124E1E"/>
    <w:rsid w:val="7D8B7962"/>
    <w:rsid w:val="7E135F3E"/>
    <w:rsid w:val="7E2D5A76"/>
    <w:rsid w:val="7ED61595"/>
    <w:rsid w:val="7FDA5CCE"/>
    <w:rsid w:val="7FF23105"/>
    <w:rsid w:val="AEBE0104"/>
    <w:rsid w:val="EF7F8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next w:val="1"/>
    <w:qFormat/>
    <w:uiPriority w:val="9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  <w:lang w:val="en-US" w:eastAsia="zh-CN" w:bidi="ar-SA"/>
    </w:rPr>
  </w:style>
  <w:style w:type="paragraph" w:styleId="4">
    <w:name w:val="heading 2"/>
    <w:basedOn w:val="1"/>
    <w:next w:val="1"/>
    <w:semiHidden/>
    <w:unhideWhenUsed/>
    <w:qFormat/>
    <w:uiPriority w:val="9"/>
    <w:pPr>
      <w:keepNext/>
      <w:keepLines/>
      <w:adjustRightInd w:val="0"/>
      <w:spacing w:before="260" w:after="260"/>
      <w:jc w:val="center"/>
      <w:textAlignment w:val="baseline"/>
      <w:outlineLvl w:val="1"/>
    </w:pPr>
    <w:rPr>
      <w:rFonts w:hint="eastAsia" w:ascii="宋体" w:hAnsi="宋体" w:eastAsia="宋体" w:cs="Times New Roman"/>
      <w:b/>
      <w:bCs/>
      <w:sz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basedOn w:val="1"/>
    <w:next w:val="1"/>
    <w:qFormat/>
    <w:uiPriority w:val="99"/>
    <w:pPr>
      <w:spacing w:beforeLines="50" w:after="156" w:line="240" w:lineRule="atLeast"/>
      <w:ind w:left="425"/>
    </w:pPr>
    <w:rPr>
      <w:rFonts w:eastAsia="仿宋_GB2312"/>
      <w:sz w:val="24"/>
    </w:rPr>
  </w:style>
  <w:style w:type="paragraph" w:styleId="5">
    <w:name w:val="index 8"/>
    <w:basedOn w:val="1"/>
    <w:next w:val="1"/>
    <w:semiHidden/>
    <w:qFormat/>
    <w:uiPriority w:val="0"/>
    <w:pPr>
      <w:ind w:left="1680" w:hanging="210"/>
      <w:jc w:val="left"/>
    </w:pPr>
    <w:rPr>
      <w:rFonts w:ascii="Times New Roman" w:hAnsi="Times New Roman" w:eastAsia="宋体" w:cs="Times New Roman"/>
      <w:sz w:val="20"/>
      <w:szCs w:val="20"/>
    </w:rPr>
  </w:style>
  <w:style w:type="paragraph" w:styleId="6">
    <w:name w:val="Normal Indent"/>
    <w:basedOn w:val="1"/>
    <w:qFormat/>
    <w:uiPriority w:val="99"/>
    <w:pPr>
      <w:ind w:firstLine="420" w:firstLineChars="200"/>
    </w:p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Body Text"/>
    <w:basedOn w:val="1"/>
    <w:qFormat/>
    <w:uiPriority w:val="0"/>
    <w:pPr>
      <w:jc w:val="center"/>
    </w:pPr>
    <w:rPr>
      <w:rFonts w:ascii="仿宋_GB2312" w:hAnsi="Times New Roman" w:eastAsia="仿宋_GB2312" w:cs="Times New Roman"/>
      <w:b/>
      <w:sz w:val="24"/>
      <w:szCs w:val="20"/>
    </w:rPr>
  </w:style>
  <w:style w:type="paragraph" w:styleId="9">
    <w:name w:val="Body Text Indent"/>
    <w:basedOn w:val="1"/>
    <w:qFormat/>
    <w:uiPriority w:val="0"/>
    <w:pPr>
      <w:tabs>
        <w:tab w:val="left" w:pos="0"/>
      </w:tabs>
      <w:spacing w:line="420" w:lineRule="exact"/>
      <w:ind w:firstLine="525"/>
    </w:pPr>
    <w:rPr>
      <w:rFonts w:ascii="仿宋_GB2312" w:hAnsi="Times New Roman" w:eastAsia="仿宋_GB2312"/>
      <w:sz w:val="28"/>
      <w:szCs w:val="20"/>
    </w:rPr>
  </w:style>
  <w:style w:type="paragraph" w:styleId="10">
    <w:name w:val="Plain Text"/>
    <w:basedOn w:val="1"/>
    <w:next w:val="5"/>
    <w:qFormat/>
    <w:uiPriority w:val="99"/>
    <w:rPr>
      <w:rFonts w:ascii="宋体" w:hAnsi="Courier New" w:eastAsia="宋体" w:cs="Times New Roman"/>
      <w:kern w:val="0"/>
      <w:sz w:val="20"/>
      <w:szCs w:val="20"/>
    </w:rPr>
  </w:style>
  <w:style w:type="paragraph" w:styleId="11">
    <w:name w:val="Body Text Indent 2"/>
    <w:basedOn w:val="1"/>
    <w:qFormat/>
    <w:uiPriority w:val="0"/>
    <w:pPr>
      <w:ind w:firstLine="540" w:firstLineChars="257"/>
    </w:pPr>
    <w:rPr>
      <w:rFonts w:ascii="宋体" w:hAnsi="宋体" w:eastAsia="宋体" w:cs="Times New Roman"/>
    </w:rPr>
  </w:style>
  <w:style w:type="paragraph" w:styleId="12">
    <w:name w:val="Balloon Text"/>
    <w:basedOn w:val="1"/>
    <w:semiHidden/>
    <w:qFormat/>
    <w:uiPriority w:val="99"/>
    <w:rPr>
      <w:sz w:val="18"/>
      <w:szCs w:val="18"/>
    </w:rPr>
  </w:style>
  <w:style w:type="paragraph" w:styleId="13">
    <w:name w:val="footer"/>
    <w:basedOn w:val="1"/>
    <w:link w:val="2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Body Text 2"/>
    <w:basedOn w:val="1"/>
    <w:qFormat/>
    <w:uiPriority w:val="0"/>
    <w:rPr>
      <w:rFonts w:ascii="仿宋_GB2312" w:hAnsi="Times New Roman" w:eastAsia="仿宋_GB2312" w:cs="Times New Roman"/>
      <w:b/>
      <w:sz w:val="28"/>
      <w:szCs w:val="20"/>
    </w:rPr>
  </w:style>
  <w:style w:type="paragraph" w:styleId="1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annotation reference"/>
    <w:basedOn w:val="19"/>
    <w:qFormat/>
    <w:uiPriority w:val="0"/>
    <w:rPr>
      <w:sz w:val="21"/>
      <w:szCs w:val="21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apple-style-span"/>
    <w:basedOn w:val="19"/>
    <w:qFormat/>
    <w:uiPriority w:val="0"/>
  </w:style>
  <w:style w:type="character" w:customStyle="1" w:styleId="23">
    <w:name w:val="apple-converted-space"/>
    <w:basedOn w:val="19"/>
    <w:qFormat/>
    <w:uiPriority w:val="0"/>
  </w:style>
  <w:style w:type="paragraph" w:customStyle="1" w:styleId="24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5">
    <w:name w:val="页眉 字符"/>
    <w:basedOn w:val="19"/>
    <w:link w:val="1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脚 字符"/>
    <w:basedOn w:val="19"/>
    <w:link w:val="1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7">
    <w:name w:val="非政府正文"/>
    <w:basedOn w:val="1"/>
    <w:qFormat/>
    <w:uiPriority w:val="0"/>
  </w:style>
  <w:style w:type="character" w:customStyle="1" w:styleId="28">
    <w:name w:val="font51"/>
    <w:basedOn w:val="19"/>
    <w:qFormat/>
    <w:uiPriority w:val="0"/>
    <w:rPr>
      <w:rFonts w:ascii="宋体" w:hAnsi="宋体" w:eastAsia="宋体" w:cs="宋体"/>
      <w:color w:val="000000"/>
      <w:sz w:val="14"/>
      <w:szCs w:val="14"/>
      <w:u w:val="none"/>
    </w:rPr>
  </w:style>
  <w:style w:type="character" w:customStyle="1" w:styleId="29">
    <w:name w:val="font41"/>
    <w:basedOn w:val="19"/>
    <w:qFormat/>
    <w:uiPriority w:val="0"/>
    <w:rPr>
      <w:rFonts w:ascii="宋体" w:hAnsi="宋体" w:eastAsia="宋体" w:cs="宋体"/>
      <w:b/>
      <w:bCs/>
      <w:color w:val="000000"/>
      <w:sz w:val="14"/>
      <w:szCs w:val="14"/>
      <w:u w:val="none"/>
    </w:rPr>
  </w:style>
  <w:style w:type="character" w:customStyle="1" w:styleId="30">
    <w:name w:val="font21"/>
    <w:basedOn w:val="19"/>
    <w:qFormat/>
    <w:uiPriority w:val="0"/>
    <w:rPr>
      <w:rFonts w:hint="default" w:ascii="Arial" w:hAnsi="Arial" w:cs="Arial"/>
      <w:color w:val="000000"/>
      <w:sz w:val="14"/>
      <w:szCs w:val="14"/>
      <w:u w:val="none"/>
    </w:rPr>
  </w:style>
  <w:style w:type="character" w:customStyle="1" w:styleId="31">
    <w:name w:val="font61"/>
    <w:basedOn w:val="19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character" w:customStyle="1" w:styleId="32">
    <w:name w:val="font71"/>
    <w:basedOn w:val="19"/>
    <w:qFormat/>
    <w:uiPriority w:val="0"/>
    <w:rPr>
      <w:rFonts w:hint="default" w:ascii="Arial" w:hAnsi="Arial" w:cs="Arial"/>
      <w:b/>
      <w:bCs/>
      <w:color w:val="000000"/>
      <w:sz w:val="14"/>
      <w:szCs w:val="1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2119</Words>
  <Characters>2246</Characters>
  <Lines>165</Lines>
  <Paragraphs>46</Paragraphs>
  <TotalTime>1</TotalTime>
  <ScaleCrop>false</ScaleCrop>
  <LinksUpToDate>false</LinksUpToDate>
  <CharactersWithSpaces>2303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2022-09-19T18:57:00Z</dcterms:created>
  <dc:creator>Administrator</dc:creator>
  <cp:lastModifiedBy>马捷</cp:lastModifiedBy>
  <dcterms:modified xsi:type="dcterms:W3CDTF">2026-06-22T02:15:54Z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B6EF162677564E768CA8F6D2121BCF81_13</vt:lpwstr>
  </property>
  <property fmtid="{D5CDD505-2E9C-101B-9397-08002B2CF9AE}" pid="4" name="KSOTemplateDocerSaveRecord">
    <vt:lpwstr>eyJoZGlkIjoiNDAyMmQ4NmM5MGQ1MTg5NTIwNTY2ZWZlMzJjMmViZTkiLCJ1c2VySWQiOiI1ODUxNDc1NjcifQ==</vt:lpwstr>
  </property>
</Properties>
</file>