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D54CA">
      <w:pPr>
        <w:pStyle w:val="11"/>
        <w:adjustRightInd w:val="0"/>
        <w:snapToGrid w:val="0"/>
        <w:ind w:firstLine="0" w:firstLineChars="0"/>
        <w:rPr>
          <w:rFonts w:hint="eastAsia" w:ascii="宋体" w:hAnsi="宋体" w:eastAsia="宋体" w:cs="宋体"/>
          <w:bCs/>
          <w:sz w:val="28"/>
          <w:szCs w:val="28"/>
        </w:rPr>
      </w:pPr>
      <w:r>
        <w:rPr>
          <w:rFonts w:hint="eastAsia" w:ascii="宋体" w:hAnsi="宋体" w:eastAsia="宋体" w:cs="宋体"/>
          <w:b/>
          <w:sz w:val="36"/>
          <w:szCs w:val="36"/>
          <w:lang w:eastAsia="zh-CN"/>
        </w:rPr>
        <w:drawing>
          <wp:anchor distT="0" distB="0" distL="114300" distR="114300" simplePos="0" relativeHeight="251659264" behindDoc="0" locked="0" layoutInCell="1" allowOverlap="1">
            <wp:simplePos x="0" y="0"/>
            <wp:positionH relativeFrom="column">
              <wp:posOffset>3686175</wp:posOffset>
            </wp:positionH>
            <wp:positionV relativeFrom="paragraph">
              <wp:posOffset>-139065</wp:posOffset>
            </wp:positionV>
            <wp:extent cx="1697355" cy="871220"/>
            <wp:effectExtent l="0" t="0" r="17145" b="5080"/>
            <wp:wrapNone/>
            <wp:docPr id="4" name="图片 4" descr="LOGO20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202601"/>
                    <pic:cNvPicPr>
                      <a:picLocks noChangeAspect="1"/>
                    </pic:cNvPicPr>
                  </pic:nvPicPr>
                  <pic:blipFill>
                    <a:blip r:embed="rId12"/>
                    <a:stretch>
                      <a:fillRect/>
                    </a:stretch>
                  </pic:blipFill>
                  <pic:spPr>
                    <a:xfrm>
                      <a:off x="0" y="0"/>
                      <a:ext cx="1697355" cy="871220"/>
                    </a:xfrm>
                    <a:prstGeom prst="rect">
                      <a:avLst/>
                    </a:prstGeom>
                  </pic:spPr>
                </pic:pic>
              </a:graphicData>
            </a:graphic>
          </wp:anchor>
        </w:drawing>
      </w:r>
      <w:r>
        <w:rPr>
          <w:rFonts w:hint="eastAsia" w:ascii="宋体" w:hAnsi="宋体" w:eastAsia="宋体" w:cs="宋体"/>
          <w:sz w:val="28"/>
          <w:szCs w:val="28"/>
        </w:rPr>
        <w:t>合同编号：</w:t>
      </w:r>
    </w:p>
    <w:p w14:paraId="271A8540">
      <w:pPr>
        <w:ind w:firstLine="420"/>
        <w:rPr>
          <w:rFonts w:hint="eastAsia" w:ascii="宋体" w:hAnsi="宋体" w:eastAsia="宋体" w:cs="宋体"/>
        </w:rPr>
      </w:pPr>
    </w:p>
    <w:p w14:paraId="02ED1C01">
      <w:pPr>
        <w:pStyle w:val="2"/>
        <w:ind w:firstLine="480"/>
        <w:rPr>
          <w:rFonts w:hint="eastAsia" w:ascii="宋体" w:hAnsi="宋体" w:eastAsia="宋体" w:cs="宋体"/>
        </w:rPr>
      </w:pPr>
    </w:p>
    <w:p w14:paraId="2C15DB5A">
      <w:pPr>
        <w:ind w:firstLine="420"/>
        <w:rPr>
          <w:rFonts w:hint="eastAsia" w:ascii="宋体" w:hAnsi="宋体" w:eastAsia="宋体" w:cs="宋体"/>
        </w:rPr>
      </w:pPr>
    </w:p>
    <w:p w14:paraId="5765AEDF">
      <w:pPr>
        <w:pStyle w:val="2"/>
        <w:ind w:firstLine="480"/>
        <w:rPr>
          <w:rFonts w:hint="eastAsia" w:ascii="宋体" w:hAnsi="宋体" w:eastAsia="宋体" w:cs="宋体"/>
        </w:rPr>
      </w:pPr>
    </w:p>
    <w:p w14:paraId="2D89CD38">
      <w:pPr>
        <w:ind w:firstLine="420"/>
        <w:rPr>
          <w:rFonts w:hint="eastAsia" w:ascii="宋体" w:hAnsi="宋体" w:eastAsia="宋体" w:cs="宋体"/>
        </w:rPr>
      </w:pPr>
    </w:p>
    <w:p w14:paraId="7924BF98">
      <w:pPr>
        <w:ind w:firstLine="0" w:firstLineChars="0"/>
        <w:rPr>
          <w:rFonts w:hint="eastAsia" w:ascii="宋体" w:hAnsi="宋体" w:eastAsia="宋体" w:cs="宋体"/>
        </w:rPr>
      </w:pPr>
    </w:p>
    <w:p w14:paraId="7017F029">
      <w:pPr>
        <w:spacing w:before="120" w:beforeLines="50" w:after="120" w:afterLines="50"/>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交易广场T4T5栋公寓</w:t>
      </w:r>
    </w:p>
    <w:p w14:paraId="71853ECB">
      <w:pPr>
        <w:spacing w:before="120" w:beforeLines="50" w:after="120" w:afterLines="50"/>
        <w:ind w:firstLine="0" w:firstLineChars="0"/>
        <w:jc w:val="center"/>
        <w:rPr>
          <w:rFonts w:hint="eastAsia" w:ascii="宋体" w:hAnsi="宋体" w:eastAsia="宋体" w:cs="宋体"/>
          <w:b/>
          <w:sz w:val="44"/>
          <w:szCs w:val="44"/>
        </w:rPr>
      </w:pPr>
      <w:r>
        <w:rPr>
          <w:rFonts w:hint="eastAsia" w:ascii="宋体" w:hAnsi="宋体" w:eastAsia="宋体" w:cs="宋体"/>
          <w:b/>
          <w:sz w:val="44"/>
          <w:szCs w:val="44"/>
          <w:lang w:val="en-US" w:eastAsia="zh-CN"/>
        </w:rPr>
        <w:t>开盘及拓客礼品</w:t>
      </w:r>
      <w:r>
        <w:rPr>
          <w:rFonts w:hint="eastAsia" w:ascii="宋体" w:hAnsi="宋体" w:eastAsia="宋体" w:cs="宋体"/>
          <w:b/>
          <w:sz w:val="44"/>
          <w:szCs w:val="44"/>
        </w:rPr>
        <w:t>合同</w:t>
      </w:r>
    </w:p>
    <w:p w14:paraId="7F3CCB77">
      <w:pPr>
        <w:pStyle w:val="2"/>
        <w:rPr>
          <w:rFonts w:hint="eastAsia"/>
        </w:rPr>
      </w:pPr>
    </w:p>
    <w:p w14:paraId="35C1159E">
      <w:pPr>
        <w:ind w:firstLine="360"/>
        <w:jc w:val="right"/>
        <w:rPr>
          <w:rFonts w:hint="eastAsia" w:ascii="宋体" w:hAnsi="宋体" w:eastAsia="宋体" w:cs="宋体"/>
          <w:sz w:val="18"/>
          <w:szCs w:val="18"/>
        </w:rPr>
      </w:pPr>
      <w:r>
        <w:rPr>
          <w:rFonts w:hint="eastAsia" w:ascii="宋体" w:hAnsi="宋体" w:eastAsia="宋体" w:cs="宋体"/>
          <w:sz w:val="18"/>
          <w:szCs w:val="18"/>
        </w:rPr>
        <w:t xml:space="preserve">   </w:t>
      </w:r>
    </w:p>
    <w:p w14:paraId="221A0115">
      <w:pPr>
        <w:pStyle w:val="2"/>
        <w:ind w:firstLine="480"/>
        <w:rPr>
          <w:rFonts w:hint="eastAsia" w:ascii="宋体" w:hAnsi="宋体" w:eastAsia="宋体" w:cs="宋体"/>
        </w:rPr>
      </w:pPr>
    </w:p>
    <w:p w14:paraId="09F19FF1">
      <w:pPr>
        <w:spacing w:before="120" w:beforeLines="50" w:after="120" w:afterLines="50"/>
        <w:ind w:firstLine="640"/>
        <w:rPr>
          <w:rFonts w:hint="eastAsia" w:ascii="宋体" w:hAnsi="宋体" w:eastAsia="宋体" w:cs="宋体"/>
          <w:sz w:val="32"/>
          <w:szCs w:val="32"/>
        </w:rPr>
      </w:pPr>
    </w:p>
    <w:p w14:paraId="51C7F8BA">
      <w:pPr>
        <w:spacing w:before="120" w:beforeLines="50" w:after="120" w:afterLines="50"/>
        <w:ind w:firstLine="640"/>
        <w:rPr>
          <w:rFonts w:hint="eastAsia" w:ascii="宋体" w:hAnsi="宋体" w:eastAsia="宋体" w:cs="宋体"/>
          <w:sz w:val="32"/>
          <w:szCs w:val="32"/>
        </w:rPr>
      </w:pPr>
    </w:p>
    <w:p w14:paraId="121FEE97">
      <w:pPr>
        <w:spacing w:before="120" w:beforeLines="50" w:after="120" w:afterLines="50"/>
        <w:ind w:firstLine="640"/>
        <w:rPr>
          <w:rFonts w:hint="eastAsia" w:ascii="宋体" w:hAnsi="宋体" w:eastAsia="宋体" w:cs="宋体"/>
          <w:sz w:val="32"/>
          <w:szCs w:val="32"/>
          <w:u w:val="single"/>
        </w:rPr>
      </w:pPr>
      <w:r>
        <w:rPr>
          <w:rFonts w:hint="eastAsia" w:ascii="宋体" w:hAnsi="宋体" w:eastAsia="宋体" w:cs="宋体"/>
          <w:sz w:val="32"/>
          <w:szCs w:val="32"/>
        </w:rPr>
        <w:t>委 托 人：</w:t>
      </w:r>
      <w:r>
        <w:rPr>
          <w:rFonts w:hint="eastAsia" w:ascii="宋体" w:hAnsi="宋体" w:eastAsia="宋体" w:cs="宋体"/>
          <w:sz w:val="32"/>
          <w:szCs w:val="32"/>
          <w:u w:val="single"/>
        </w:rPr>
        <w:t xml:space="preserve"> </w:t>
      </w:r>
      <w:r>
        <w:rPr>
          <w:rFonts w:hint="eastAsia" w:ascii="宋体" w:hAnsi="宋体" w:cs="宋体"/>
          <w:sz w:val="32"/>
          <w:szCs w:val="32"/>
          <w:u w:val="single"/>
          <w:lang w:val="en-US" w:eastAsia="zh-CN"/>
        </w:rPr>
        <w:t>深圳市前海建设投资控股集团有限公司</w:t>
      </w:r>
      <w:r>
        <w:rPr>
          <w:rFonts w:hint="eastAsia" w:ascii="宋体" w:hAnsi="宋体" w:eastAsia="宋体" w:cs="宋体"/>
          <w:sz w:val="32"/>
          <w:szCs w:val="32"/>
          <w:u w:val="single"/>
        </w:rPr>
        <w:t xml:space="preserve">       </w:t>
      </w:r>
    </w:p>
    <w:p w14:paraId="23E4ED61">
      <w:pPr>
        <w:spacing w:before="120" w:beforeLines="50" w:after="120" w:afterLines="50"/>
        <w:ind w:firstLine="640"/>
        <w:rPr>
          <w:rFonts w:hint="default" w:ascii="宋体" w:hAnsi="宋体" w:eastAsia="宋体" w:cs="宋体"/>
          <w:sz w:val="32"/>
          <w:szCs w:val="32"/>
          <w:highlight w:val="none"/>
          <w:u w:val="single"/>
          <w:lang w:val="en-US"/>
        </w:rPr>
      </w:pPr>
      <w:r>
        <w:rPr>
          <w:rFonts w:hint="eastAsia" w:ascii="宋体" w:hAnsi="宋体" w:eastAsia="宋体" w:cs="宋体"/>
          <w:sz w:val="32"/>
          <w:szCs w:val="32"/>
        </w:rPr>
        <w:t>受 托 人</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r>
        <w:rPr>
          <w:rFonts w:hint="eastAsia" w:ascii="宋体" w:hAnsi="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r>
        <w:rPr>
          <w:rFonts w:hint="eastAsia" w:ascii="宋体" w:hAnsi="宋体" w:cs="宋体"/>
          <w:sz w:val="32"/>
          <w:szCs w:val="32"/>
          <w:highlight w:val="none"/>
          <w:u w:val="single"/>
          <w:lang w:val="en-US" w:eastAsia="zh-CN"/>
        </w:rPr>
        <w:t xml:space="preserve">                      </w:t>
      </w:r>
      <w:r>
        <w:rPr>
          <w:rFonts w:hint="eastAsia" w:ascii="宋体" w:hAnsi="宋体" w:cs="宋体"/>
          <w:sz w:val="32"/>
          <w:szCs w:val="32"/>
          <w:highlight w:val="none"/>
          <w:u w:val="single"/>
        </w:rPr>
        <w:t xml:space="preserve"> </w:t>
      </w:r>
      <w:r>
        <w:rPr>
          <w:rFonts w:hint="eastAsia" w:ascii="宋体" w:hAnsi="宋体" w:eastAsia="宋体" w:cs="宋体"/>
          <w:sz w:val="32"/>
          <w:szCs w:val="32"/>
          <w:highlight w:val="none"/>
          <w:u w:val="single"/>
        </w:rPr>
        <w:t xml:space="preserve"> </w:t>
      </w:r>
      <w:r>
        <w:rPr>
          <w:rFonts w:hint="eastAsia" w:ascii="宋体" w:hAnsi="宋体" w:cs="宋体"/>
          <w:sz w:val="32"/>
          <w:szCs w:val="32"/>
          <w:highlight w:val="none"/>
          <w:u w:val="single"/>
          <w:lang w:val="en-US" w:eastAsia="zh-CN"/>
        </w:rPr>
        <w:t xml:space="preserve">         </w:t>
      </w:r>
    </w:p>
    <w:p w14:paraId="2A16F0DB">
      <w:pPr>
        <w:spacing w:before="120" w:beforeLines="50" w:after="120" w:afterLines="50"/>
        <w:ind w:firstLine="640"/>
        <w:rPr>
          <w:rFonts w:hint="eastAsia" w:ascii="宋体" w:hAnsi="宋体" w:eastAsia="宋体" w:cs="宋体"/>
          <w:sz w:val="32"/>
          <w:szCs w:val="32"/>
          <w:highlight w:val="none"/>
          <w:u w:val="single"/>
          <w:lang w:val="en-US" w:eastAsia="zh-CN"/>
        </w:rPr>
      </w:pPr>
      <w:r>
        <w:rPr>
          <w:rFonts w:hint="eastAsia" w:ascii="宋体" w:hAnsi="宋体" w:eastAsia="宋体" w:cs="宋体"/>
          <w:sz w:val="32"/>
          <w:szCs w:val="32"/>
          <w:highlight w:val="none"/>
        </w:rPr>
        <w:t>项目名称：</w:t>
      </w:r>
      <w:r>
        <w:rPr>
          <w:rFonts w:hint="eastAsia" w:ascii="宋体" w:hAnsi="宋体" w:eastAsia="宋体" w:cs="宋体"/>
          <w:sz w:val="32"/>
          <w:szCs w:val="32"/>
          <w:highlight w:val="none"/>
          <w:u w:val="single"/>
        </w:rPr>
        <w:t xml:space="preserve"> </w:t>
      </w:r>
      <w:r>
        <w:rPr>
          <w:rFonts w:hint="eastAsia" w:ascii="宋体" w:hAnsi="宋体" w:cs="宋体"/>
          <w:sz w:val="32"/>
          <w:szCs w:val="32"/>
          <w:highlight w:val="none"/>
          <w:u w:val="single"/>
          <w:lang w:val="en-US" w:eastAsia="zh-CN"/>
        </w:rPr>
        <w:t>交易广场T4T5栋公寓开盘及拓客礼品</w:t>
      </w:r>
      <w:r>
        <w:rPr>
          <w:rFonts w:hint="eastAsia" w:ascii="宋体" w:hAnsi="宋体" w:eastAsia="宋体" w:cs="宋体"/>
          <w:sz w:val="32"/>
          <w:szCs w:val="32"/>
          <w:highlight w:val="none"/>
          <w:u w:val="single"/>
        </w:rPr>
        <w:t xml:space="preserve">   </w:t>
      </w:r>
      <w:r>
        <w:rPr>
          <w:rFonts w:hint="eastAsia" w:ascii="宋体" w:hAnsi="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r>
        <w:rPr>
          <w:rFonts w:hint="eastAsia" w:ascii="宋体" w:hAnsi="宋体" w:cs="宋体"/>
          <w:sz w:val="32"/>
          <w:szCs w:val="32"/>
          <w:highlight w:val="none"/>
          <w:u w:val="single"/>
          <w:lang w:val="en-US" w:eastAsia="zh-CN"/>
        </w:rPr>
        <w:t xml:space="preserve"> </w:t>
      </w:r>
    </w:p>
    <w:p w14:paraId="53316E7D">
      <w:pPr>
        <w:spacing w:before="120" w:beforeLines="50" w:after="120" w:afterLines="50"/>
        <w:ind w:firstLine="640"/>
        <w:rPr>
          <w:rFonts w:hint="eastAsia" w:ascii="宋体" w:hAnsi="宋体" w:eastAsia="宋体" w:cs="宋体"/>
          <w:sz w:val="32"/>
          <w:szCs w:val="32"/>
          <w:u w:val="single"/>
        </w:rPr>
      </w:pPr>
      <w:r>
        <w:rPr>
          <w:rFonts w:hint="eastAsia" w:ascii="宋体" w:hAnsi="宋体" w:eastAsia="宋体" w:cs="宋体"/>
          <w:sz w:val="32"/>
          <w:szCs w:val="32"/>
          <w:highlight w:val="none"/>
        </w:rPr>
        <w:t>签约地点：</w:t>
      </w:r>
      <w:r>
        <w:rPr>
          <w:rFonts w:hint="eastAsia" w:ascii="宋体" w:hAnsi="宋体" w:eastAsia="宋体" w:cs="宋体"/>
          <w:sz w:val="32"/>
          <w:szCs w:val="32"/>
          <w:highlight w:val="none"/>
          <w:u w:val="single"/>
        </w:rPr>
        <w:t>中国·深圳市·前海深港现代服务业</w:t>
      </w:r>
      <w:r>
        <w:rPr>
          <w:rFonts w:hint="eastAsia" w:ascii="宋体" w:hAnsi="宋体" w:eastAsia="宋体" w:cs="宋体"/>
          <w:sz w:val="32"/>
          <w:szCs w:val="32"/>
          <w:u w:val="single"/>
        </w:rPr>
        <w:t>合作区</w:t>
      </w:r>
    </w:p>
    <w:p w14:paraId="71E236B6">
      <w:pPr>
        <w:spacing w:before="120" w:beforeLines="50" w:after="120" w:afterLines="50"/>
        <w:ind w:firstLine="640"/>
        <w:rPr>
          <w:rFonts w:hint="eastAsia" w:ascii="宋体" w:hAnsi="宋体" w:eastAsia="宋体" w:cs="宋体"/>
          <w:sz w:val="32"/>
          <w:szCs w:val="32"/>
        </w:rPr>
      </w:pPr>
    </w:p>
    <w:p w14:paraId="0AD550C0">
      <w:pPr>
        <w:spacing w:before="120" w:beforeLines="50" w:after="120" w:afterLines="50"/>
        <w:ind w:firstLine="640"/>
        <w:rPr>
          <w:rFonts w:hint="eastAsia" w:ascii="宋体" w:hAnsi="宋体" w:eastAsia="宋体" w:cs="宋体"/>
          <w:sz w:val="32"/>
          <w:szCs w:val="32"/>
        </w:rPr>
      </w:pPr>
    </w:p>
    <w:p w14:paraId="0B908DDB">
      <w:pPr>
        <w:spacing w:before="120" w:beforeLines="50" w:after="120" w:afterLines="50"/>
        <w:ind w:firstLine="640"/>
        <w:rPr>
          <w:rFonts w:hint="eastAsia" w:ascii="宋体" w:hAnsi="宋体" w:eastAsia="宋体" w:cs="宋体"/>
          <w:sz w:val="32"/>
          <w:szCs w:val="32"/>
        </w:rPr>
      </w:pPr>
    </w:p>
    <w:p w14:paraId="2E2738C7">
      <w:pPr>
        <w:spacing w:after="120" w:afterLines="50"/>
        <w:ind w:firstLine="640"/>
        <w:rPr>
          <w:rFonts w:hint="eastAsia" w:ascii="宋体" w:hAnsi="宋体" w:eastAsia="宋体" w:cs="宋体"/>
          <w:sz w:val="32"/>
          <w:szCs w:val="32"/>
        </w:rPr>
      </w:pPr>
      <w:r>
        <w:rPr>
          <w:rFonts w:hint="eastAsia" w:ascii="宋体" w:hAnsi="宋体" w:eastAsia="宋体" w:cs="宋体"/>
          <w:sz w:val="32"/>
          <w:szCs w:val="32"/>
        </w:rPr>
        <w:t xml:space="preserve">签署日期：     </w:t>
      </w:r>
      <w:r>
        <w:rPr>
          <w:rFonts w:hint="eastAsia" w:ascii="宋体" w:hAnsi="宋体" w:eastAsia="宋体" w:cs="宋体"/>
          <w:sz w:val="32"/>
          <w:szCs w:val="32"/>
          <w:highlight w:val="none"/>
        </w:rPr>
        <w:t xml:space="preserve"> 202</w:t>
      </w:r>
      <w:r>
        <w:rPr>
          <w:rFonts w:hint="eastAsia" w:ascii="宋体" w:hAnsi="宋体" w:cs="宋体"/>
          <w:sz w:val="32"/>
          <w:szCs w:val="32"/>
          <w:highlight w:val="none"/>
          <w:lang w:val="en-US" w:eastAsia="zh-CN"/>
        </w:rPr>
        <w:t>6</w:t>
      </w:r>
      <w:r>
        <w:rPr>
          <w:rFonts w:hint="eastAsia" w:ascii="宋体" w:hAnsi="宋体" w:eastAsia="宋体" w:cs="宋体"/>
          <w:sz w:val="32"/>
          <w:szCs w:val="32"/>
          <w:highlight w:val="none"/>
        </w:rPr>
        <w:t>年    月    日</w:t>
      </w:r>
    </w:p>
    <w:p w14:paraId="41A0EB87">
      <w:pPr>
        <w:pStyle w:val="2"/>
        <w:rPr>
          <w:rFonts w:hint="eastAsia" w:ascii="宋体" w:hAnsi="宋体" w:eastAsia="宋体" w:cs="宋体"/>
        </w:rPr>
      </w:pPr>
    </w:p>
    <w:p w14:paraId="7B124FB1">
      <w:pPr>
        <w:pStyle w:val="17"/>
        <w:keepNext w:val="0"/>
        <w:keepLines w:val="0"/>
        <w:pageBreakBefore w:val="0"/>
        <w:kinsoku/>
        <w:overflowPunct/>
        <w:topLinePunct w:val="0"/>
        <w:autoSpaceDE/>
        <w:autoSpaceDN/>
        <w:bidi w:val="0"/>
        <w:spacing w:after="0" w:afterAutospacing="0" w:line="560" w:lineRule="exact"/>
        <w:rPr>
          <w:rFonts w:hint="eastAsia" w:ascii="宋体" w:hAnsi="宋体" w:eastAsia="宋体" w:cs="宋体"/>
          <w:sz w:val="21"/>
          <w:szCs w:val="21"/>
        </w:rPr>
      </w:pPr>
      <w:r>
        <w:rPr>
          <w:rFonts w:hint="eastAsia" w:ascii="宋体" w:hAnsi="宋体" w:eastAsia="宋体" w:cs="宋体"/>
          <w:b/>
          <w:bCs/>
          <w:sz w:val="21"/>
          <w:szCs w:val="21"/>
        </w:rPr>
        <w:t>甲（需）方</w:t>
      </w:r>
      <w:r>
        <w:rPr>
          <w:rFonts w:hint="eastAsia" w:ascii="宋体" w:hAnsi="宋体" w:eastAsia="宋体" w:cs="宋体"/>
          <w:sz w:val="21"/>
          <w:szCs w:val="21"/>
        </w:rPr>
        <w:t>：</w:t>
      </w:r>
      <w:r>
        <w:rPr>
          <w:rFonts w:hint="eastAsia" w:ascii="宋体" w:hAnsi="宋体" w:eastAsia="宋体" w:cs="宋体"/>
          <w:kern w:val="0"/>
          <w:sz w:val="21"/>
          <w:szCs w:val="21"/>
          <w:lang w:val="en-US" w:eastAsia="zh-CN" w:bidi="ar-SA"/>
        </w:rPr>
        <w:t>深圳市前海建设投资控股集团有限公司</w:t>
      </w:r>
      <w:r>
        <w:rPr>
          <w:rFonts w:hint="eastAsia" w:ascii="宋体" w:hAnsi="宋体" w:eastAsia="宋体" w:cs="宋体"/>
          <w:sz w:val="21"/>
          <w:szCs w:val="21"/>
        </w:rPr>
        <w:br w:type="textWrapping"/>
      </w:r>
      <w:r>
        <w:rPr>
          <w:rFonts w:hint="eastAsia" w:ascii="宋体" w:hAnsi="宋体" w:eastAsia="宋体" w:cs="宋体"/>
          <w:sz w:val="21"/>
          <w:szCs w:val="21"/>
        </w:rPr>
        <w:t>地 址：中国·深圳市·前海深港现代服务业合作区</w:t>
      </w:r>
    </w:p>
    <w:p w14:paraId="5EE0E26E">
      <w:pPr>
        <w:keepNext w:val="0"/>
        <w:keepLines w:val="0"/>
        <w:pageBreakBefore w:val="0"/>
        <w:kinsoku/>
        <w:overflowPunct/>
        <w:topLinePunct w:val="0"/>
        <w:autoSpaceDE/>
        <w:autoSpaceDN/>
        <w:bidi w:val="0"/>
        <w:spacing w:after="120" w:afterLines="50" w:line="560" w:lineRule="exact"/>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甲方联系人：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3878"/>
      </w:tblGrid>
      <w:tr w14:paraId="4F24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4" w:type="dxa"/>
          </w:tcPr>
          <w:p w14:paraId="40FC8822">
            <w:pPr>
              <w:keepNext w:val="0"/>
              <w:keepLines w:val="0"/>
              <w:pageBreakBefore w:val="0"/>
              <w:kinsoku/>
              <w:overflowPunct/>
              <w:topLinePunct w:val="0"/>
              <w:autoSpaceDE/>
              <w:autoSpaceDN/>
              <w:bidi w:val="0"/>
              <w:spacing w:after="120" w:afterLines="50" w:line="560" w:lineRule="exact"/>
              <w:ind w:firstLine="480"/>
              <w:rPr>
                <w:rFonts w:hint="eastAsia" w:ascii="宋体" w:hAnsi="宋体" w:eastAsia="宋体" w:cs="宋体"/>
                <w:kern w:val="0"/>
                <w:sz w:val="21"/>
                <w:szCs w:val="21"/>
              </w:rPr>
            </w:pPr>
            <w:r>
              <w:rPr>
                <w:rFonts w:hint="eastAsia" w:ascii="宋体" w:hAnsi="宋体" w:eastAsia="宋体" w:cs="宋体"/>
                <w:kern w:val="0"/>
                <w:sz w:val="21"/>
                <w:szCs w:val="21"/>
              </w:rPr>
              <w:t>联系方式（必填项）</w:t>
            </w:r>
          </w:p>
        </w:tc>
        <w:tc>
          <w:tcPr>
            <w:tcW w:w="3878" w:type="dxa"/>
          </w:tcPr>
          <w:p w14:paraId="2EFB888A">
            <w:pPr>
              <w:keepNext w:val="0"/>
              <w:keepLines w:val="0"/>
              <w:pageBreakBefore w:val="0"/>
              <w:kinsoku/>
              <w:overflowPunct/>
              <w:topLinePunct w:val="0"/>
              <w:autoSpaceDE/>
              <w:autoSpaceDN/>
              <w:bidi w:val="0"/>
              <w:spacing w:after="120" w:afterLines="50" w:line="560" w:lineRule="exact"/>
              <w:ind w:firstLine="480"/>
              <w:rPr>
                <w:rFonts w:hint="eastAsia" w:ascii="宋体" w:hAnsi="宋体" w:eastAsia="宋体" w:cs="宋体"/>
                <w:kern w:val="0"/>
                <w:sz w:val="21"/>
                <w:szCs w:val="21"/>
              </w:rPr>
            </w:pPr>
            <w:r>
              <w:rPr>
                <w:rFonts w:hint="eastAsia" w:ascii="宋体" w:hAnsi="宋体" w:eastAsia="宋体" w:cs="宋体"/>
                <w:kern w:val="0"/>
                <w:sz w:val="21"/>
                <w:szCs w:val="21"/>
              </w:rPr>
              <w:t>授权事项（可填项）</w:t>
            </w:r>
          </w:p>
        </w:tc>
      </w:tr>
      <w:tr w14:paraId="377B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14:paraId="35CF541A">
            <w:pPr>
              <w:pStyle w:val="23"/>
              <w:keepNext w:val="0"/>
              <w:keepLines w:val="0"/>
              <w:pageBreakBefore w:val="0"/>
              <w:numPr>
                <w:ilvl w:val="0"/>
                <w:numId w:val="1"/>
              </w:numPr>
              <w:kinsoku/>
              <w:overflowPunct/>
              <w:topLinePunct w:val="0"/>
              <w:autoSpaceDE/>
              <w:autoSpaceDN/>
              <w:bidi w:val="0"/>
              <w:spacing w:after="120" w:afterLines="50" w:line="560" w:lineRule="exact"/>
              <w:ind w:firstLineChars="0"/>
              <w:rPr>
                <w:rFonts w:hint="eastAsia" w:ascii="宋体" w:hAnsi="宋体" w:eastAsia="宋体" w:cs="宋体"/>
                <w:kern w:val="0"/>
                <w:sz w:val="21"/>
                <w:szCs w:val="21"/>
              </w:rPr>
            </w:pPr>
            <w:r>
              <w:rPr>
                <w:rFonts w:hint="eastAsia" w:ascii="宋体" w:hAnsi="宋体" w:eastAsia="宋体" w:cs="宋体"/>
                <w:kern w:val="0"/>
                <w:sz w:val="21"/>
                <w:szCs w:val="21"/>
              </w:rPr>
              <w:t>联系电话：</w:t>
            </w:r>
          </w:p>
          <w:p w14:paraId="76DF5EF1">
            <w:pPr>
              <w:pStyle w:val="23"/>
              <w:keepNext w:val="0"/>
              <w:keepLines w:val="0"/>
              <w:pageBreakBefore w:val="0"/>
              <w:numPr>
                <w:ilvl w:val="0"/>
                <w:numId w:val="1"/>
              </w:numPr>
              <w:kinsoku/>
              <w:overflowPunct/>
              <w:topLinePunct w:val="0"/>
              <w:autoSpaceDE/>
              <w:autoSpaceDN/>
              <w:bidi w:val="0"/>
              <w:spacing w:after="120" w:afterLines="50" w:line="560" w:lineRule="exact"/>
              <w:ind w:firstLineChars="0"/>
              <w:rPr>
                <w:rFonts w:hint="eastAsia" w:ascii="宋体" w:hAnsi="宋体" w:eastAsia="宋体" w:cs="宋体"/>
                <w:kern w:val="0"/>
                <w:sz w:val="21"/>
                <w:szCs w:val="21"/>
              </w:rPr>
            </w:pPr>
            <w:r>
              <w:rPr>
                <w:rFonts w:hint="eastAsia" w:ascii="宋体" w:hAnsi="宋体" w:eastAsia="宋体" w:cs="宋体"/>
                <w:kern w:val="0"/>
                <w:sz w:val="21"/>
                <w:szCs w:val="21"/>
              </w:rPr>
              <w:t>电子信箱：</w:t>
            </w:r>
          </w:p>
          <w:p w14:paraId="7D3432B1">
            <w:pPr>
              <w:pStyle w:val="23"/>
              <w:keepNext w:val="0"/>
              <w:keepLines w:val="0"/>
              <w:pageBreakBefore w:val="0"/>
              <w:numPr>
                <w:ilvl w:val="0"/>
                <w:numId w:val="1"/>
              </w:numPr>
              <w:kinsoku/>
              <w:overflowPunct/>
              <w:topLinePunct w:val="0"/>
              <w:autoSpaceDE/>
              <w:autoSpaceDN/>
              <w:bidi w:val="0"/>
              <w:spacing w:after="120" w:afterLines="50" w:line="560" w:lineRule="exact"/>
              <w:ind w:firstLineChars="0"/>
              <w:rPr>
                <w:rFonts w:hint="eastAsia" w:ascii="宋体" w:hAnsi="宋体" w:eastAsia="宋体" w:cs="宋体"/>
                <w:kern w:val="0"/>
                <w:sz w:val="21"/>
                <w:szCs w:val="21"/>
              </w:rPr>
            </w:pPr>
            <w:r>
              <w:rPr>
                <w:rFonts w:hint="eastAsia" w:ascii="宋体" w:hAnsi="宋体" w:eastAsia="宋体" w:cs="宋体"/>
                <w:kern w:val="0"/>
                <w:sz w:val="21"/>
                <w:szCs w:val="21"/>
              </w:rPr>
              <w:t>收件地址：</w:t>
            </w:r>
          </w:p>
        </w:tc>
        <w:tc>
          <w:tcPr>
            <w:tcW w:w="3878" w:type="dxa"/>
          </w:tcPr>
          <w:p w14:paraId="46F8590A">
            <w:pPr>
              <w:pStyle w:val="23"/>
              <w:keepNext w:val="0"/>
              <w:keepLines w:val="0"/>
              <w:pageBreakBefore w:val="0"/>
              <w:numPr>
                <w:ilvl w:val="0"/>
                <w:numId w:val="2"/>
              </w:numPr>
              <w:kinsoku/>
              <w:overflowPunct/>
              <w:topLinePunct w:val="0"/>
              <w:autoSpaceDE/>
              <w:autoSpaceDN/>
              <w:bidi w:val="0"/>
              <w:spacing w:after="120" w:afterLines="50" w:line="560" w:lineRule="exact"/>
              <w:ind w:firstLineChars="0"/>
              <w:rPr>
                <w:rFonts w:hint="eastAsia" w:ascii="宋体" w:hAnsi="宋体" w:eastAsia="宋体" w:cs="宋体"/>
                <w:kern w:val="0"/>
                <w:sz w:val="21"/>
                <w:szCs w:val="21"/>
              </w:rPr>
            </w:pPr>
            <w:r>
              <w:rPr>
                <w:rFonts w:hint="eastAsia" w:ascii="宋体" w:hAnsi="宋体" w:eastAsia="宋体" w:cs="宋体"/>
                <w:kern w:val="0"/>
                <w:sz w:val="21"/>
                <w:szCs w:val="21"/>
                <w:u w:val="single"/>
              </w:rPr>
              <w:t>日常沟通及协调</w:t>
            </w:r>
            <w:r>
              <w:rPr>
                <w:rFonts w:hint="eastAsia" w:ascii="宋体" w:hAnsi="宋体" w:eastAsia="宋体" w:cs="宋体"/>
                <w:kern w:val="0"/>
                <w:sz w:val="21"/>
                <w:szCs w:val="21"/>
              </w:rPr>
              <w:t>；</w:t>
            </w:r>
          </w:p>
          <w:p w14:paraId="39E56E32">
            <w:pPr>
              <w:pStyle w:val="23"/>
              <w:keepNext w:val="0"/>
              <w:keepLines w:val="0"/>
              <w:pageBreakBefore w:val="0"/>
              <w:numPr>
                <w:ilvl w:val="0"/>
                <w:numId w:val="2"/>
              </w:numPr>
              <w:kinsoku/>
              <w:overflowPunct/>
              <w:topLinePunct w:val="0"/>
              <w:autoSpaceDE/>
              <w:autoSpaceDN/>
              <w:bidi w:val="0"/>
              <w:spacing w:after="120" w:afterLines="50" w:line="560" w:lineRule="exact"/>
              <w:ind w:firstLineChars="0"/>
              <w:rPr>
                <w:rFonts w:hint="eastAsia" w:ascii="宋体" w:hAnsi="宋体" w:eastAsia="宋体" w:cs="宋体"/>
                <w:kern w:val="0"/>
                <w:sz w:val="21"/>
                <w:szCs w:val="21"/>
              </w:rPr>
            </w:pPr>
            <w:r>
              <w:rPr>
                <w:rFonts w:hint="eastAsia" w:ascii="宋体" w:hAnsi="宋体" w:eastAsia="宋体" w:cs="宋体"/>
                <w:kern w:val="0"/>
                <w:sz w:val="21"/>
                <w:szCs w:val="21"/>
                <w:u w:val="single"/>
              </w:rPr>
              <w:t>发送或签收往来函文</w:t>
            </w:r>
            <w:r>
              <w:rPr>
                <w:rFonts w:hint="eastAsia" w:ascii="宋体" w:hAnsi="宋体" w:eastAsia="宋体" w:cs="宋体"/>
                <w:kern w:val="0"/>
                <w:sz w:val="21"/>
                <w:szCs w:val="21"/>
              </w:rPr>
              <w:t>。</w:t>
            </w:r>
          </w:p>
          <w:p w14:paraId="4D2CDF7B">
            <w:pPr>
              <w:pStyle w:val="23"/>
              <w:keepNext w:val="0"/>
              <w:keepLines w:val="0"/>
              <w:pageBreakBefore w:val="0"/>
              <w:numPr>
                <w:ilvl w:val="0"/>
                <w:numId w:val="2"/>
              </w:numPr>
              <w:kinsoku/>
              <w:overflowPunct/>
              <w:topLinePunct w:val="0"/>
              <w:autoSpaceDE/>
              <w:autoSpaceDN/>
              <w:bidi w:val="0"/>
              <w:spacing w:after="120" w:afterLines="50" w:line="560" w:lineRule="exact"/>
              <w:ind w:firstLineChars="0"/>
              <w:rPr>
                <w:rFonts w:hint="eastAsia" w:ascii="宋体" w:hAnsi="宋体" w:eastAsia="宋体" w:cs="宋体"/>
                <w:kern w:val="0"/>
                <w:sz w:val="21"/>
                <w:szCs w:val="21"/>
              </w:rPr>
            </w:pP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5D633F17">
            <w:pPr>
              <w:keepNext w:val="0"/>
              <w:keepLines w:val="0"/>
              <w:pageBreakBefore w:val="0"/>
              <w:kinsoku/>
              <w:overflowPunct/>
              <w:topLinePunct w:val="0"/>
              <w:autoSpaceDE/>
              <w:autoSpaceDN/>
              <w:bidi w:val="0"/>
              <w:spacing w:after="120" w:afterLines="50" w:line="560" w:lineRule="exact"/>
              <w:ind w:firstLine="480"/>
              <w:rPr>
                <w:rFonts w:hint="eastAsia" w:ascii="宋体" w:hAnsi="宋体" w:eastAsia="宋体" w:cs="宋体"/>
                <w:kern w:val="0"/>
                <w:sz w:val="21"/>
                <w:szCs w:val="21"/>
              </w:rPr>
            </w:pPr>
            <w:r>
              <w:rPr>
                <w:rFonts w:hint="eastAsia" w:ascii="宋体" w:hAnsi="宋体" w:eastAsia="宋体" w:cs="宋体"/>
                <w:kern w:val="0"/>
                <w:sz w:val="21"/>
                <w:szCs w:val="21"/>
              </w:rPr>
              <w:t>不含承认受托人索赔、放弃委托人权利的权限。</w:t>
            </w:r>
          </w:p>
        </w:tc>
      </w:tr>
    </w:tbl>
    <w:p w14:paraId="3376659B">
      <w:pPr>
        <w:pStyle w:val="17"/>
        <w:spacing w:after="0" w:afterAutospacing="0" w:line="560" w:lineRule="exact"/>
        <w:ind w:left="-53" w:leftChars="-25" w:right="-454" w:rightChars="-216"/>
        <w:rPr>
          <w:rFonts w:hint="default" w:eastAsia="宋体"/>
          <w:sz w:val="21"/>
          <w:szCs w:val="21"/>
          <w:highlight w:val="none"/>
          <w:lang w:val="en-US" w:eastAsia="zh-CN"/>
        </w:rPr>
      </w:pPr>
      <w:r>
        <w:rPr>
          <w:rFonts w:hint="eastAsia" w:ascii="宋体" w:hAnsi="宋体" w:eastAsia="宋体" w:cs="宋体"/>
          <w:b/>
          <w:bCs/>
          <w:sz w:val="21"/>
          <w:szCs w:val="21"/>
        </w:rPr>
        <w:t>乙（供</w:t>
      </w:r>
      <w:r>
        <w:rPr>
          <w:rFonts w:hint="eastAsia" w:ascii="宋体" w:hAnsi="宋体" w:eastAsia="宋体" w:cs="宋体"/>
          <w:b/>
          <w:bCs/>
          <w:sz w:val="21"/>
          <w:szCs w:val="21"/>
          <w:highlight w:val="none"/>
        </w:rPr>
        <w:t>）方</w:t>
      </w:r>
      <w:r>
        <w:rPr>
          <w:rFonts w:hint="eastAsia" w:ascii="宋体" w:hAnsi="宋体" w:eastAsia="宋体" w:cs="宋体"/>
          <w:sz w:val="21"/>
          <w:szCs w:val="21"/>
          <w:highlight w:val="none"/>
        </w:rPr>
        <w:t>：</w:t>
      </w:r>
      <w:r>
        <w:rPr>
          <w:rFonts w:hint="eastAsia" w:cs="宋体"/>
          <w:sz w:val="21"/>
          <w:szCs w:val="21"/>
          <w:highlight w:val="none"/>
          <w:lang w:val="en-US" w:eastAsia="zh-CN"/>
        </w:rPr>
        <w:t xml:space="preserve">                  </w:t>
      </w:r>
      <w:r>
        <w:rPr>
          <w:rFonts w:hint="eastAsia" w:ascii="宋体" w:hAnsi="宋体" w:eastAsia="宋体" w:cs="宋体"/>
          <w:b/>
          <w:bCs/>
          <w:sz w:val="21"/>
          <w:szCs w:val="21"/>
          <w:highlight w:val="none"/>
        </w:rPr>
        <w:br w:type="textWrapping"/>
      </w:r>
      <w:r>
        <w:rPr>
          <w:rFonts w:hint="eastAsia" w:ascii="宋体" w:hAnsi="宋体" w:eastAsia="宋体" w:cs="宋体"/>
          <w:sz w:val="21"/>
          <w:szCs w:val="21"/>
          <w:highlight w:val="none"/>
        </w:rPr>
        <w:t>地 址：</w:t>
      </w:r>
      <w:r>
        <w:rPr>
          <w:rFonts w:hint="eastAsia" w:cs="宋体"/>
          <w:sz w:val="21"/>
          <w:szCs w:val="21"/>
          <w:highlight w:val="none"/>
          <w:lang w:val="en-US" w:eastAsia="zh-CN"/>
        </w:rPr>
        <w:t xml:space="preserve">                   </w:t>
      </w:r>
    </w:p>
    <w:p w14:paraId="237742FE">
      <w:pPr>
        <w:keepNext w:val="0"/>
        <w:keepLines w:val="0"/>
        <w:pageBreakBefore w:val="0"/>
        <w:kinsoku/>
        <w:overflowPunct/>
        <w:topLinePunct w:val="0"/>
        <w:autoSpaceDE/>
        <w:autoSpaceDN/>
        <w:bidi w:val="0"/>
        <w:spacing w:after="120" w:afterLines="50" w:line="560" w:lineRule="exact"/>
        <w:ind w:firstLine="0" w:firstLineChars="0"/>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乙方联系人：</w:t>
      </w:r>
      <w:r>
        <w:rPr>
          <w:rFonts w:hint="eastAsia" w:ascii="宋体" w:hAnsi="宋体" w:cs="宋体"/>
          <w:kern w:val="0"/>
          <w:sz w:val="21"/>
          <w:szCs w:val="21"/>
          <w:highlight w:val="none"/>
          <w:lang w:val="en-US"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3878"/>
      </w:tblGrid>
      <w:tr w14:paraId="7DC4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14:paraId="6BD8580A">
            <w:pPr>
              <w:keepNext w:val="0"/>
              <w:keepLines w:val="0"/>
              <w:pageBreakBefore w:val="0"/>
              <w:kinsoku/>
              <w:overflowPunct/>
              <w:topLinePunct w:val="0"/>
              <w:autoSpaceDE/>
              <w:autoSpaceDN/>
              <w:bidi w:val="0"/>
              <w:spacing w:after="120" w:afterLines="50" w:line="560" w:lineRule="exact"/>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联系方式（必填项）</w:t>
            </w:r>
          </w:p>
        </w:tc>
        <w:tc>
          <w:tcPr>
            <w:tcW w:w="3878" w:type="dxa"/>
          </w:tcPr>
          <w:p w14:paraId="3FF029DA">
            <w:pPr>
              <w:keepNext w:val="0"/>
              <w:keepLines w:val="0"/>
              <w:pageBreakBefore w:val="0"/>
              <w:kinsoku/>
              <w:overflowPunct/>
              <w:topLinePunct w:val="0"/>
              <w:autoSpaceDE/>
              <w:autoSpaceDN/>
              <w:bidi w:val="0"/>
              <w:spacing w:after="120" w:afterLines="50" w:line="560" w:lineRule="exact"/>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授权事项（可填项）</w:t>
            </w:r>
          </w:p>
        </w:tc>
      </w:tr>
      <w:tr w14:paraId="5304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14:paraId="782E4F1E">
            <w:pPr>
              <w:pStyle w:val="23"/>
              <w:numPr>
                <w:ilvl w:val="0"/>
                <w:numId w:val="3"/>
              </w:numPr>
              <w:spacing w:after="120" w:afterLines="50" w:line="560" w:lineRule="exact"/>
              <w:ind w:firstLineChars="0"/>
              <w:rPr>
                <w:rFonts w:ascii="宋体" w:hAnsi="宋体" w:cs="宋体"/>
                <w:kern w:val="0"/>
                <w:szCs w:val="21"/>
                <w:highlight w:val="none"/>
              </w:rPr>
            </w:pPr>
            <w:r>
              <w:rPr>
                <w:rFonts w:hint="eastAsia" w:ascii="宋体" w:hAnsi="宋体" w:cs="宋体"/>
                <w:kern w:val="0"/>
                <w:szCs w:val="21"/>
                <w:highlight w:val="none"/>
              </w:rPr>
              <w:t>联系电话：</w:t>
            </w:r>
          </w:p>
          <w:p w14:paraId="382D277D">
            <w:pPr>
              <w:pStyle w:val="23"/>
              <w:numPr>
                <w:ilvl w:val="0"/>
                <w:numId w:val="3"/>
              </w:numPr>
              <w:spacing w:after="120" w:afterLines="50" w:line="560" w:lineRule="exact"/>
              <w:ind w:firstLineChars="0"/>
              <w:rPr>
                <w:rFonts w:ascii="宋体" w:hAnsi="宋体" w:cs="宋体"/>
                <w:kern w:val="0"/>
                <w:szCs w:val="21"/>
                <w:highlight w:val="none"/>
              </w:rPr>
            </w:pPr>
            <w:r>
              <w:rPr>
                <w:rFonts w:hint="eastAsia" w:ascii="宋体" w:hAnsi="宋体" w:cs="宋体"/>
                <w:kern w:val="0"/>
                <w:szCs w:val="21"/>
                <w:highlight w:val="none"/>
              </w:rPr>
              <w:t>电子信箱：</w:t>
            </w:r>
          </w:p>
          <w:p w14:paraId="5120E9C4">
            <w:pPr>
              <w:pStyle w:val="23"/>
              <w:keepNext w:val="0"/>
              <w:keepLines w:val="0"/>
              <w:pageBreakBefore w:val="0"/>
              <w:numPr>
                <w:ilvl w:val="0"/>
                <w:numId w:val="3"/>
              </w:numPr>
              <w:kinsoku/>
              <w:overflowPunct/>
              <w:topLinePunct w:val="0"/>
              <w:autoSpaceDE/>
              <w:autoSpaceDN/>
              <w:bidi w:val="0"/>
              <w:spacing w:after="120" w:afterLines="50" w:line="560" w:lineRule="exact"/>
              <w:ind w:firstLineChars="0"/>
              <w:rPr>
                <w:rFonts w:hint="eastAsia" w:ascii="宋体" w:hAnsi="宋体" w:eastAsia="宋体" w:cs="宋体"/>
                <w:kern w:val="0"/>
                <w:sz w:val="21"/>
                <w:szCs w:val="21"/>
                <w:highlight w:val="none"/>
              </w:rPr>
            </w:pPr>
            <w:r>
              <w:rPr>
                <w:rFonts w:hint="eastAsia" w:ascii="宋体" w:hAnsi="宋体" w:cs="宋体"/>
                <w:kern w:val="0"/>
                <w:szCs w:val="21"/>
                <w:highlight w:val="none"/>
              </w:rPr>
              <w:t>收件地址：</w:t>
            </w:r>
            <w:r>
              <w:rPr>
                <w:rFonts w:hint="eastAsia" w:ascii="宋体" w:hAnsi="宋体" w:cs="宋体"/>
                <w:kern w:val="0"/>
                <w:szCs w:val="21"/>
                <w:highlight w:val="none"/>
                <w:u w:val="single"/>
              </w:rPr>
              <w:t xml:space="preserve">               </w:t>
            </w:r>
          </w:p>
        </w:tc>
        <w:tc>
          <w:tcPr>
            <w:tcW w:w="3878" w:type="dxa"/>
          </w:tcPr>
          <w:p w14:paraId="2CC75D0A">
            <w:pPr>
              <w:pStyle w:val="23"/>
              <w:keepNext w:val="0"/>
              <w:keepLines w:val="0"/>
              <w:pageBreakBefore w:val="0"/>
              <w:numPr>
                <w:ilvl w:val="0"/>
                <w:numId w:val="4"/>
              </w:numPr>
              <w:kinsoku/>
              <w:overflowPunct/>
              <w:topLinePunct w:val="0"/>
              <w:autoSpaceDE/>
              <w:autoSpaceDN/>
              <w:bidi w:val="0"/>
              <w:spacing w:after="120" w:afterLines="50" w:line="560" w:lineRule="exact"/>
              <w:ind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u w:val="single"/>
              </w:rPr>
              <w:t>日常沟通及协调</w:t>
            </w:r>
            <w:r>
              <w:rPr>
                <w:rFonts w:hint="eastAsia" w:ascii="宋体" w:hAnsi="宋体" w:eastAsia="宋体" w:cs="宋体"/>
                <w:kern w:val="0"/>
                <w:sz w:val="21"/>
                <w:szCs w:val="21"/>
                <w:highlight w:val="none"/>
              </w:rPr>
              <w:t>；</w:t>
            </w:r>
          </w:p>
          <w:p w14:paraId="14C53C44">
            <w:pPr>
              <w:pStyle w:val="23"/>
              <w:keepNext w:val="0"/>
              <w:keepLines w:val="0"/>
              <w:pageBreakBefore w:val="0"/>
              <w:numPr>
                <w:ilvl w:val="0"/>
                <w:numId w:val="4"/>
              </w:numPr>
              <w:kinsoku/>
              <w:overflowPunct/>
              <w:topLinePunct w:val="0"/>
              <w:autoSpaceDE/>
              <w:autoSpaceDN/>
              <w:bidi w:val="0"/>
              <w:spacing w:after="120" w:afterLines="50" w:line="560" w:lineRule="exact"/>
              <w:ind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u w:val="single"/>
              </w:rPr>
              <w:t>发送或签收往来函文</w:t>
            </w:r>
            <w:r>
              <w:rPr>
                <w:rFonts w:hint="eastAsia" w:ascii="宋体" w:hAnsi="宋体" w:eastAsia="宋体" w:cs="宋体"/>
                <w:kern w:val="0"/>
                <w:sz w:val="21"/>
                <w:szCs w:val="21"/>
                <w:highlight w:val="none"/>
              </w:rPr>
              <w:t>。</w:t>
            </w:r>
          </w:p>
          <w:p w14:paraId="7D911B9F">
            <w:pPr>
              <w:pStyle w:val="23"/>
              <w:keepNext w:val="0"/>
              <w:keepLines w:val="0"/>
              <w:pageBreakBefore w:val="0"/>
              <w:numPr>
                <w:ilvl w:val="0"/>
                <w:numId w:val="4"/>
              </w:numPr>
              <w:kinsoku/>
              <w:overflowPunct/>
              <w:topLinePunct w:val="0"/>
              <w:autoSpaceDE/>
              <w:autoSpaceDN/>
              <w:bidi w:val="0"/>
              <w:spacing w:after="120" w:afterLines="50" w:line="560" w:lineRule="exact"/>
              <w:ind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w:t>
            </w:r>
          </w:p>
          <w:p w14:paraId="65F2F8FC">
            <w:pPr>
              <w:keepNext w:val="0"/>
              <w:keepLines w:val="0"/>
              <w:pageBreakBefore w:val="0"/>
              <w:kinsoku/>
              <w:overflowPunct/>
              <w:topLinePunct w:val="0"/>
              <w:autoSpaceDE/>
              <w:autoSpaceDN/>
              <w:bidi w:val="0"/>
              <w:spacing w:after="120" w:afterLines="50" w:line="560" w:lineRule="exact"/>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不含承认受托人索赔、放弃委托人权利的权限。</w:t>
            </w:r>
          </w:p>
        </w:tc>
      </w:tr>
    </w:tbl>
    <w:p w14:paraId="6FB5B580">
      <w:pPr>
        <w:keepNext w:val="0"/>
        <w:keepLines w:val="0"/>
        <w:pageBreakBefore w:val="0"/>
        <w:kinsoku/>
        <w:wordWrap/>
        <w:overflowPunct/>
        <w:topLinePunct w:val="0"/>
        <w:autoSpaceDE/>
        <w:autoSpaceDN/>
        <w:bidi w:val="0"/>
        <w:adjustRightInd w:val="0"/>
        <w:snapToGrid w:val="0"/>
        <w:spacing w:line="560" w:lineRule="exact"/>
        <w:ind w:left="0" w:leftChars="0"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根据《中华人民共和国民法典》等有关法律法规的规定，就甲方委托乙方负责</w:t>
      </w:r>
      <w:r>
        <w:rPr>
          <w:rFonts w:hint="eastAsia" w:ascii="宋体" w:hAnsi="宋体" w:eastAsia="宋体" w:cs="宋体"/>
          <w:kern w:val="2"/>
          <w:sz w:val="21"/>
          <w:szCs w:val="21"/>
          <w:u w:val="single"/>
          <w:lang w:val="en-US" w:eastAsia="zh-CN" w:bidi="ar-SA"/>
        </w:rPr>
        <w:t>交易广场T4T5栋公寓开盘及拓客礼品</w:t>
      </w:r>
      <w:r>
        <w:rPr>
          <w:rFonts w:hint="eastAsia" w:ascii="宋体" w:hAnsi="宋体" w:eastAsia="宋体" w:cs="宋体"/>
          <w:sz w:val="21"/>
          <w:szCs w:val="21"/>
          <w:u w:val="single"/>
        </w:rPr>
        <w:t>合同</w:t>
      </w:r>
      <w:r>
        <w:rPr>
          <w:rFonts w:hint="eastAsia" w:ascii="宋体" w:hAnsi="宋体" w:eastAsia="宋体" w:cs="宋体"/>
          <w:sz w:val="21"/>
          <w:szCs w:val="21"/>
          <w:u w:val="none"/>
        </w:rPr>
        <w:t>的相关事宜，甲、乙双方经过友好协商，秉承平等自愿、互惠互利的原则，经协商达成一致意见，特订立本合同，以兹共同遵守。</w:t>
      </w:r>
    </w:p>
    <w:p w14:paraId="24B100F4">
      <w:pPr>
        <w:pStyle w:val="23"/>
        <w:keepNext w:val="0"/>
        <w:keepLines w:val="0"/>
        <w:pageBreakBefore w:val="0"/>
        <w:numPr>
          <w:ilvl w:val="0"/>
          <w:numId w:val="0"/>
        </w:numPr>
        <w:kinsoku/>
        <w:overflowPunct/>
        <w:topLinePunct w:val="0"/>
        <w:autoSpaceDE/>
        <w:autoSpaceDN/>
        <w:bidi w:val="0"/>
        <w:adjustRightInd w:val="0"/>
        <w:snapToGrid w:val="0"/>
        <w:spacing w:afterLines="0" w:line="560" w:lineRule="exact"/>
        <w:ind w:left="480" w:leftChars="0" w:firstLine="0" w:firstLineChars="0"/>
        <w:outlineLvl w:val="0"/>
        <w:rPr>
          <w:rFonts w:hint="eastAsia" w:ascii="宋体" w:hAnsi="宋体" w:eastAsia="宋体" w:cs="宋体"/>
          <w:b/>
          <w:bCs/>
          <w:kern w:val="0"/>
          <w:sz w:val="21"/>
          <w:szCs w:val="21"/>
        </w:rPr>
      </w:pPr>
      <w:bookmarkStart w:id="0" w:name="_Toc23930"/>
      <w:r>
        <w:rPr>
          <w:rFonts w:hint="eastAsia" w:ascii="宋体" w:hAnsi="宋体" w:eastAsia="宋体" w:cs="宋体"/>
          <w:b/>
          <w:bCs/>
          <w:kern w:val="0"/>
          <w:sz w:val="21"/>
          <w:szCs w:val="21"/>
          <w:lang w:val="en-US" w:eastAsia="zh-CN"/>
        </w:rPr>
        <w:t xml:space="preserve">第一条 </w:t>
      </w:r>
      <w:r>
        <w:rPr>
          <w:rFonts w:hint="eastAsia" w:ascii="宋体" w:hAnsi="宋体" w:eastAsia="宋体" w:cs="宋体"/>
          <w:b/>
          <w:bCs/>
          <w:kern w:val="0"/>
          <w:sz w:val="21"/>
          <w:szCs w:val="21"/>
        </w:rPr>
        <w:t>服务内容：</w:t>
      </w:r>
      <w:bookmarkEnd w:id="0"/>
    </w:p>
    <w:p w14:paraId="14BF4A86">
      <w:pPr>
        <w:keepNext w:val="0"/>
        <w:keepLines w:val="0"/>
        <w:pageBreakBefore w:val="0"/>
        <w:kinsoku/>
        <w:overflowPunct/>
        <w:topLinePunct w:val="0"/>
        <w:autoSpaceDE/>
        <w:autoSpaceDN/>
        <w:bidi w:val="0"/>
        <w:adjustRightInd w:val="0"/>
        <w:snapToGrid w:val="0"/>
        <w:spacing w:afterLines="0" w:line="360" w:lineRule="auto"/>
        <w:ind w:left="0" w:leftChars="0"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1.1本次采购服务范围为交易广场T4T5栋公寓开盘及拓客礼品，采用固定单价。</w:t>
      </w:r>
      <w:r>
        <w:rPr>
          <w:rFonts w:hint="eastAsia" w:ascii="宋体" w:hAnsi="宋体" w:eastAsia="宋体" w:cs="宋体"/>
          <w:b/>
          <w:bCs/>
          <w:kern w:val="0"/>
          <w:sz w:val="21"/>
          <w:szCs w:val="21"/>
          <w:lang w:val="en-US" w:eastAsia="zh-CN"/>
        </w:rPr>
        <w:t>具体数量以实际需求为准，并按实际采购内容据实结算。</w:t>
      </w:r>
    </w:p>
    <w:p w14:paraId="3BD72025">
      <w:pPr>
        <w:keepNext w:val="0"/>
        <w:widowControl w:val="0"/>
        <w:kinsoku/>
        <w:overflowPunct w:val="0"/>
        <w:autoSpaceDE w:val="0"/>
        <w:autoSpaceDN w:val="0"/>
        <w:spacing w:line="360" w:lineRule="auto"/>
        <w:ind w:left="0" w:leftChars="0" w:firstLine="420" w:firstLineChars="200"/>
        <w:jc w:val="left"/>
        <w:rPr>
          <w:rFonts w:hint="eastAsia" w:ascii="宋体" w:hAnsi="宋体" w:cs="宋体"/>
          <w:kern w:val="0"/>
          <w:sz w:val="21"/>
          <w:szCs w:val="21"/>
          <w:lang w:val="en-US" w:eastAsia="zh-CN"/>
        </w:rPr>
      </w:pPr>
      <w:r>
        <w:rPr>
          <w:rFonts w:hint="eastAsia" w:ascii="宋体" w:hAnsi="宋体" w:eastAsia="宋体" w:cs="宋体"/>
          <w:kern w:val="0"/>
          <w:sz w:val="21"/>
          <w:szCs w:val="21"/>
          <w:lang w:val="en-US" w:eastAsia="zh-CN"/>
        </w:rPr>
        <w:t>1.1.</w:t>
      </w:r>
      <w:r>
        <w:rPr>
          <w:rFonts w:hint="eastAsia" w:ascii="宋体" w:hAnsi="宋体" w:cs="宋体"/>
          <w:kern w:val="0"/>
          <w:sz w:val="21"/>
          <w:szCs w:val="21"/>
          <w:lang w:val="en-US" w:eastAsia="zh-CN"/>
        </w:rPr>
        <w:t>1到访礼（共6项）润护套装礼盒、品牌保温杯、电动刮痧仪、女士便携防晒墩墩伞、便携式冲牙器、品牌养生壶；</w:t>
      </w:r>
    </w:p>
    <w:p w14:paraId="10BD3A46">
      <w:pPr>
        <w:keepNext w:val="0"/>
        <w:widowControl w:val="0"/>
        <w:kinsoku/>
        <w:overflowPunct w:val="0"/>
        <w:autoSpaceDE w:val="0"/>
        <w:autoSpaceDN w:val="0"/>
        <w:spacing w:line="360" w:lineRule="auto"/>
        <w:ind w:leftChars="0" w:firstLine="420" w:firstLineChars="200"/>
        <w:jc w:val="left"/>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CN"/>
        </w:rPr>
        <w:t>1.1.</w:t>
      </w:r>
      <w:r>
        <w:rPr>
          <w:rFonts w:hint="eastAsia" w:ascii="宋体" w:hAnsi="宋体" w:cs="宋体"/>
          <w:kern w:val="0"/>
          <w:sz w:val="21"/>
          <w:szCs w:val="21"/>
          <w:lang w:val="en-US" w:eastAsia="zh-CN"/>
        </w:rPr>
        <w:t>2抽奖礼（共4项）品牌护肤礼盒、户外露营折叠野餐垫、品牌真丝套装礼盒、多功能电煮锅；</w:t>
      </w:r>
    </w:p>
    <w:p w14:paraId="171CD994">
      <w:pPr>
        <w:keepNext w:val="0"/>
        <w:keepLines w:val="0"/>
        <w:pageBreakBefore w:val="0"/>
        <w:kinsoku/>
        <w:overflowPunct/>
        <w:topLinePunct w:val="0"/>
        <w:autoSpaceDE/>
        <w:autoSpaceDN/>
        <w:bidi w:val="0"/>
        <w:adjustRightInd w:val="0"/>
        <w:snapToGrid w:val="0"/>
        <w:spacing w:afterLines="0" w:line="360" w:lineRule="auto"/>
        <w:rPr>
          <w:rFonts w:hint="eastAsia" w:ascii="宋体" w:hAnsi="宋体" w:eastAsia="宋体" w:cs="宋体"/>
          <w:kern w:val="0"/>
          <w:sz w:val="21"/>
          <w:szCs w:val="21"/>
          <w:lang w:eastAsia="zh-Hans"/>
        </w:rPr>
      </w:pPr>
      <w:r>
        <w:rPr>
          <w:rFonts w:hint="eastAsia" w:ascii="宋体" w:hAnsi="宋体" w:eastAsia="宋体" w:cs="宋体"/>
          <w:kern w:val="0"/>
          <w:sz w:val="21"/>
          <w:szCs w:val="21"/>
          <w:lang w:val="en-US" w:eastAsia="zh-CN"/>
        </w:rPr>
        <w:t>1.1.</w:t>
      </w:r>
      <w:r>
        <w:rPr>
          <w:rFonts w:hint="eastAsia" w:ascii="宋体" w:hAnsi="宋体" w:cs="宋体"/>
          <w:kern w:val="0"/>
          <w:sz w:val="21"/>
          <w:szCs w:val="21"/>
          <w:lang w:val="en-US" w:eastAsia="zh-CN"/>
        </w:rPr>
        <w:t>3节日礼（共4项）车载香薰高端礼盒、品牌洗护礼盒、直发按摩梳、个人用品套装；</w:t>
      </w:r>
    </w:p>
    <w:p w14:paraId="08B373F9">
      <w:pPr>
        <w:keepNext w:val="0"/>
        <w:widowControl w:val="0"/>
        <w:kinsoku/>
        <w:overflowPunct w:val="0"/>
        <w:autoSpaceDE w:val="0"/>
        <w:autoSpaceDN w:val="0"/>
        <w:spacing w:line="360" w:lineRule="auto"/>
        <w:ind w:left="0" w:leftChars="0" w:firstLine="420" w:firstLineChars="200"/>
        <w:jc w:val="left"/>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CN"/>
        </w:rPr>
        <w:t>1.1.</w:t>
      </w:r>
      <w:r>
        <w:rPr>
          <w:rFonts w:hint="eastAsia" w:ascii="宋体" w:hAnsi="宋体" w:cs="宋体"/>
          <w:kern w:val="0"/>
          <w:sz w:val="21"/>
          <w:szCs w:val="21"/>
          <w:lang w:val="en-US" w:eastAsia="zh-CN"/>
        </w:rPr>
        <w:t>4签约礼（共6项）品牌太阳镜、磁控动感单车、品牌空气净化器、品牌烹饪机、意式半自动奶咖一体机、超高清云台家用投影仪；</w:t>
      </w:r>
    </w:p>
    <w:p w14:paraId="4756C620">
      <w:pPr>
        <w:keepNext w:val="0"/>
        <w:widowControl w:val="0"/>
        <w:kinsoku/>
        <w:overflowPunct w:val="0"/>
        <w:autoSpaceDE w:val="0"/>
        <w:autoSpaceDN w:val="0"/>
        <w:spacing w:line="360" w:lineRule="auto"/>
        <w:ind w:left="0" w:leftChars="0" w:firstLine="420" w:firstLineChars="200"/>
        <w:jc w:val="left"/>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CN"/>
        </w:rPr>
        <w:t>1.1.</w:t>
      </w:r>
      <w:r>
        <w:rPr>
          <w:rFonts w:hint="eastAsia" w:ascii="宋体" w:hAnsi="宋体" w:cs="宋体"/>
          <w:kern w:val="0"/>
          <w:sz w:val="21"/>
          <w:szCs w:val="21"/>
          <w:lang w:val="en-US" w:eastAsia="zh-CN"/>
        </w:rPr>
        <w:t>5成交礼（共5项）智能电压力锅、空气炸烤箱、钛合金炒锅、开放式挂耳蓝牙耳机、品牌电压力锅。</w:t>
      </w:r>
    </w:p>
    <w:p w14:paraId="5A5A1607">
      <w:pPr>
        <w:keepNext w:val="0"/>
        <w:keepLines w:val="0"/>
        <w:pageBreakBefore w:val="0"/>
        <w:kinsoku/>
        <w:overflowPunct/>
        <w:topLinePunct w:val="0"/>
        <w:autoSpaceDE/>
        <w:autoSpaceDN/>
        <w:bidi w:val="0"/>
        <w:adjustRightInd w:val="0"/>
        <w:snapToGrid w:val="0"/>
        <w:spacing w:afterLines="0" w:line="360" w:lineRule="auto"/>
        <w:rPr>
          <w:rFonts w:hint="eastAsia" w:ascii="宋体" w:hAnsi="宋体" w:eastAsia="宋体" w:cs="宋体"/>
          <w:kern w:val="0"/>
          <w:sz w:val="21"/>
          <w:szCs w:val="21"/>
          <w:lang w:eastAsia="zh-Hans"/>
        </w:rPr>
      </w:pP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lang w:eastAsia="zh-Hans"/>
        </w:rPr>
        <w:t>质量验收</w:t>
      </w:r>
    </w:p>
    <w:p w14:paraId="3F94A002">
      <w:pPr>
        <w:keepNext w:val="0"/>
        <w:keepLines w:val="0"/>
        <w:pageBreakBefore w:val="0"/>
        <w:kinsoku/>
        <w:overflowPunct/>
        <w:topLinePunct w:val="0"/>
        <w:autoSpaceDE/>
        <w:autoSpaceDN/>
        <w:bidi w:val="0"/>
        <w:adjustRightInd w:val="0"/>
        <w:snapToGrid w:val="0"/>
        <w:spacing w:afterLines="0" w:line="360" w:lineRule="auto"/>
        <w:rPr>
          <w:rFonts w:hint="eastAsia" w:ascii="宋体" w:hAnsi="宋体" w:eastAsia="宋体" w:cs="宋体"/>
          <w:kern w:val="0"/>
          <w:sz w:val="21"/>
          <w:szCs w:val="21"/>
          <w:lang w:eastAsia="zh-Hans"/>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2.1</w:t>
      </w:r>
      <w:r>
        <w:rPr>
          <w:rFonts w:hint="eastAsia" w:ascii="宋体" w:hAnsi="宋体" w:eastAsia="宋体" w:cs="宋体"/>
          <w:kern w:val="0"/>
          <w:sz w:val="21"/>
          <w:szCs w:val="21"/>
          <w:lang w:eastAsia="zh-Hans"/>
        </w:rPr>
        <w:t>质量要求：</w:t>
      </w:r>
      <w:r>
        <w:rPr>
          <w:rFonts w:hint="eastAsia" w:ascii="宋体" w:hAnsi="宋体" w:eastAsia="宋体" w:cs="宋体"/>
          <w:kern w:val="0"/>
          <w:sz w:val="21"/>
          <w:szCs w:val="21"/>
          <w:lang w:val="en-US" w:eastAsia="zh-Hans" w:bidi="ar-SA"/>
        </w:rPr>
        <w:t>礼品品质符合甲方要求，彰显项目高端定位，整体质量应符合国家相关产品质量标准；</w:t>
      </w:r>
    </w:p>
    <w:p w14:paraId="4FDDBC6B">
      <w:pPr>
        <w:keepNext w:val="0"/>
        <w:keepLines w:val="0"/>
        <w:pageBreakBefore w:val="0"/>
        <w:kinsoku/>
        <w:overflowPunct/>
        <w:topLinePunct w:val="0"/>
        <w:autoSpaceDE/>
        <w:autoSpaceDN/>
        <w:bidi w:val="0"/>
        <w:adjustRightInd w:val="0"/>
        <w:snapToGrid w:val="0"/>
        <w:spacing w:afterLines="0" w:line="360" w:lineRule="auto"/>
        <w:rPr>
          <w:rFonts w:hint="eastAsia" w:ascii="宋体" w:hAnsi="宋体" w:eastAsia="宋体" w:cs="宋体"/>
          <w:kern w:val="0"/>
          <w:sz w:val="21"/>
          <w:szCs w:val="21"/>
          <w:lang w:eastAsia="zh-Hans"/>
        </w:rPr>
      </w:pPr>
      <w:r>
        <w:rPr>
          <w:rFonts w:hint="eastAsia" w:ascii="宋体" w:hAnsi="宋体" w:eastAsia="宋体" w:cs="宋体"/>
          <w:kern w:val="0"/>
          <w:sz w:val="21"/>
          <w:szCs w:val="21"/>
          <w:lang w:val="en-US" w:eastAsia="zh-CN"/>
        </w:rPr>
        <w:t>1.2.</w:t>
      </w:r>
      <w:r>
        <w:rPr>
          <w:rFonts w:hint="eastAsia" w:ascii="宋体" w:hAnsi="宋体" w:cs="宋体"/>
          <w:kern w:val="0"/>
          <w:sz w:val="21"/>
          <w:szCs w:val="21"/>
          <w:lang w:val="en-US" w:eastAsia="zh-CN"/>
        </w:rPr>
        <w:t>2</w:t>
      </w:r>
      <w:r>
        <w:rPr>
          <w:rFonts w:hint="eastAsia" w:ascii="宋体" w:hAnsi="宋体" w:eastAsia="宋体" w:cs="宋体"/>
          <w:kern w:val="0"/>
          <w:sz w:val="21"/>
          <w:szCs w:val="21"/>
          <w:lang w:eastAsia="zh-Hans"/>
        </w:rPr>
        <w:t>验收标准</w:t>
      </w:r>
      <w:r>
        <w:rPr>
          <w:rFonts w:hint="eastAsia" w:ascii="宋体" w:hAnsi="宋体" w:eastAsia="宋体" w:cs="宋体"/>
          <w:kern w:val="0"/>
          <w:sz w:val="21"/>
          <w:szCs w:val="21"/>
        </w:rPr>
        <w:t>：</w:t>
      </w:r>
      <w:r>
        <w:rPr>
          <w:rFonts w:hint="eastAsia" w:ascii="宋体" w:hAnsi="宋体" w:eastAsia="宋体" w:cs="宋体"/>
          <w:kern w:val="0"/>
          <w:sz w:val="21"/>
          <w:szCs w:val="21"/>
          <w:lang w:eastAsia="zh-Hans"/>
        </w:rPr>
        <w:t>达到</w:t>
      </w:r>
      <w:r>
        <w:rPr>
          <w:rFonts w:hint="eastAsia" w:ascii="宋体" w:hAnsi="宋体" w:eastAsia="宋体" w:cs="宋体"/>
          <w:kern w:val="0"/>
          <w:sz w:val="21"/>
          <w:szCs w:val="21"/>
        </w:rPr>
        <w:t>甲方制作</w:t>
      </w:r>
      <w:r>
        <w:rPr>
          <w:rFonts w:hint="eastAsia" w:ascii="宋体" w:hAnsi="宋体" w:eastAsia="宋体" w:cs="宋体"/>
          <w:kern w:val="0"/>
          <w:sz w:val="21"/>
          <w:szCs w:val="21"/>
          <w:lang w:eastAsia="zh-Hans"/>
        </w:rPr>
        <w:t>要求；</w:t>
      </w:r>
    </w:p>
    <w:p w14:paraId="4D080DFF">
      <w:pPr>
        <w:keepNext w:val="0"/>
        <w:keepLines w:val="0"/>
        <w:pageBreakBefore w:val="0"/>
        <w:kinsoku/>
        <w:overflowPunct/>
        <w:topLinePunct w:val="0"/>
        <w:autoSpaceDE/>
        <w:autoSpaceDN/>
        <w:bidi w:val="0"/>
        <w:adjustRightInd w:val="0"/>
        <w:snapToGrid w:val="0"/>
        <w:spacing w:afterLines="0" w:line="360" w:lineRule="auto"/>
        <w:rPr>
          <w:rFonts w:hint="eastAsia" w:ascii="宋体" w:hAnsi="宋体" w:eastAsia="宋体" w:cs="宋体"/>
          <w:kern w:val="0"/>
          <w:sz w:val="21"/>
          <w:szCs w:val="21"/>
          <w:lang w:eastAsia="zh-Hans"/>
        </w:rPr>
      </w:pPr>
      <w:r>
        <w:rPr>
          <w:rFonts w:hint="eastAsia" w:ascii="宋体" w:hAnsi="宋体" w:eastAsia="宋体" w:cs="宋体"/>
          <w:kern w:val="0"/>
          <w:sz w:val="21"/>
          <w:szCs w:val="21"/>
          <w:lang w:val="en-US" w:eastAsia="zh-CN"/>
        </w:rPr>
        <w:t>1.2.</w:t>
      </w:r>
      <w:r>
        <w:rPr>
          <w:rFonts w:hint="eastAsia" w:ascii="宋体" w:hAnsi="宋体" w:cs="宋体"/>
          <w:kern w:val="0"/>
          <w:sz w:val="21"/>
          <w:szCs w:val="21"/>
          <w:lang w:val="en-US" w:eastAsia="zh-CN"/>
        </w:rPr>
        <w:t>3</w:t>
      </w:r>
      <w:r>
        <w:rPr>
          <w:rFonts w:hint="eastAsia" w:ascii="宋体" w:hAnsi="宋体" w:cs="宋体"/>
          <w:kern w:val="0"/>
          <w:sz w:val="21"/>
          <w:szCs w:val="21"/>
          <w:lang w:val="en-US" w:eastAsia="zh-CN" w:bidi="ar-SA"/>
        </w:rPr>
        <w:t>退换要求：出现质量、瑕疵等相关问题，属乙方责任，乙方需无条件配合甲方要求更换或补发；</w:t>
      </w:r>
    </w:p>
    <w:p w14:paraId="2CF66351">
      <w:pPr>
        <w:keepNext w:val="0"/>
        <w:keepLines w:val="0"/>
        <w:pageBreakBefore w:val="0"/>
        <w:kinsoku/>
        <w:overflowPunct/>
        <w:topLinePunct w:val="0"/>
        <w:autoSpaceDE/>
        <w:autoSpaceDN/>
        <w:bidi w:val="0"/>
        <w:adjustRightInd w:val="0"/>
        <w:snapToGrid w:val="0"/>
        <w:spacing w:afterLines="0" w:line="360" w:lineRule="auto"/>
        <w:rPr>
          <w:rFonts w:hint="eastAsia" w:ascii="宋体" w:hAnsi="宋体" w:eastAsia="宋体" w:cs="宋体"/>
          <w:b/>
          <w:bCs/>
          <w:sz w:val="21"/>
          <w:szCs w:val="21"/>
          <w:u w:val="none"/>
          <w:lang w:val="en-US" w:eastAsia="zh-CN"/>
        </w:rPr>
      </w:pPr>
      <w:r>
        <w:rPr>
          <w:rFonts w:hint="eastAsia" w:ascii="宋体" w:hAnsi="宋体" w:eastAsia="宋体" w:cs="宋体"/>
          <w:kern w:val="0"/>
          <w:sz w:val="21"/>
          <w:szCs w:val="21"/>
          <w:lang w:val="en-US" w:eastAsia="zh-CN"/>
        </w:rPr>
        <w:t>1.2.</w:t>
      </w:r>
      <w:r>
        <w:rPr>
          <w:rFonts w:hint="eastAsia" w:ascii="宋体" w:hAnsi="宋体" w:cs="宋体"/>
          <w:kern w:val="0"/>
          <w:sz w:val="21"/>
          <w:szCs w:val="21"/>
          <w:lang w:val="en-US" w:eastAsia="zh-CN"/>
        </w:rPr>
        <w:t>4</w:t>
      </w:r>
      <w:r>
        <w:rPr>
          <w:rFonts w:hint="eastAsia" w:ascii="宋体" w:hAnsi="宋体" w:eastAsia="宋体" w:cs="宋体"/>
          <w:kern w:val="0"/>
          <w:sz w:val="21"/>
          <w:szCs w:val="21"/>
          <w:lang w:val="en-US" w:eastAsia="zh-CN" w:bidi="ar-SA"/>
        </w:rPr>
        <w:t>交付要求：多采购数量除乙方需留做样本的，其余无条件交付甲方，运输至甲方指定地点。</w:t>
      </w:r>
    </w:p>
    <w:p w14:paraId="2BC05BA5">
      <w:pPr>
        <w:keepNext w:val="0"/>
        <w:keepLines w:val="0"/>
        <w:pageBreakBefore w:val="0"/>
        <w:kinsoku/>
        <w:wordWrap/>
        <w:overflowPunct/>
        <w:topLinePunct w:val="0"/>
        <w:autoSpaceDE/>
        <w:autoSpaceDN/>
        <w:bidi w:val="0"/>
        <w:adjustRightInd w:val="0"/>
        <w:snapToGrid w:val="0"/>
        <w:spacing w:line="560" w:lineRule="exact"/>
        <w:ind w:left="0" w:leftChars="0" w:firstLine="422" w:firstLineChars="200"/>
        <w:textAlignment w:val="auto"/>
        <w:outlineLvl w:val="0"/>
        <w:rPr>
          <w:rFonts w:hint="eastAsia" w:ascii="宋体" w:hAnsi="宋体" w:eastAsia="宋体" w:cs="宋体"/>
          <w:b/>
          <w:bCs/>
          <w:sz w:val="21"/>
          <w:szCs w:val="21"/>
          <w:u w:val="none"/>
          <w:lang w:val="en-US" w:eastAsia="zh-CN"/>
        </w:rPr>
      </w:pPr>
      <w:bookmarkStart w:id="1" w:name="_Toc31973"/>
      <w:r>
        <w:rPr>
          <w:rFonts w:hint="eastAsia" w:ascii="宋体" w:hAnsi="宋体" w:eastAsia="宋体" w:cs="宋体"/>
          <w:b/>
          <w:bCs/>
          <w:sz w:val="21"/>
          <w:szCs w:val="21"/>
          <w:u w:val="none"/>
          <w:lang w:val="en-US" w:eastAsia="zh-CN"/>
        </w:rPr>
        <w:t>第二条 服务周期</w:t>
      </w:r>
      <w:bookmarkEnd w:id="1"/>
    </w:p>
    <w:p w14:paraId="2FD62021">
      <w:pPr>
        <w:keepNext w:val="0"/>
        <w:keepLines w:val="0"/>
        <w:pageBreakBefore w:val="0"/>
        <w:kinsoku/>
        <w:overflowPunct/>
        <w:topLinePunct w:val="0"/>
        <w:autoSpaceDE/>
        <w:autoSpaceDN/>
        <w:bidi w:val="0"/>
        <w:adjustRightInd w:val="0"/>
        <w:snapToGrid w:val="0"/>
        <w:spacing w:afterLines="0" w:line="560" w:lineRule="exac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2.1</w:t>
      </w:r>
      <w:r>
        <w:rPr>
          <w:rFonts w:hint="eastAsia" w:ascii="宋体" w:hAnsi="宋体" w:eastAsia="宋体" w:cs="宋体"/>
          <w:kern w:val="0"/>
          <w:sz w:val="21"/>
          <w:szCs w:val="21"/>
          <w:lang w:eastAsia="zh-Hans"/>
        </w:rPr>
        <w:t>合同期：自合同签订之日起</w:t>
      </w:r>
      <w:r>
        <w:rPr>
          <w:rFonts w:hint="eastAsia" w:ascii="宋体" w:hAnsi="宋体" w:cs="宋体"/>
          <w:kern w:val="0"/>
          <w:sz w:val="21"/>
          <w:szCs w:val="21"/>
          <w:lang w:val="en-US" w:eastAsia="zh-CN"/>
        </w:rPr>
        <w:t>24</w:t>
      </w:r>
      <w:r>
        <w:rPr>
          <w:rFonts w:hint="eastAsia" w:ascii="宋体" w:hAnsi="宋体" w:eastAsia="宋体" w:cs="宋体"/>
          <w:kern w:val="0"/>
          <w:sz w:val="21"/>
          <w:szCs w:val="21"/>
          <w:lang w:eastAsia="zh-Hans"/>
        </w:rPr>
        <w:t>个月</w:t>
      </w:r>
      <w:r>
        <w:rPr>
          <w:rFonts w:hint="eastAsia" w:ascii="宋体" w:hAnsi="宋体" w:eastAsia="宋体" w:cs="宋体"/>
          <w:kern w:val="0"/>
          <w:sz w:val="21"/>
          <w:szCs w:val="21"/>
          <w:lang w:eastAsia="zh-CN"/>
        </w:rPr>
        <w:t>。</w:t>
      </w:r>
    </w:p>
    <w:p w14:paraId="02B93C7E">
      <w:pPr>
        <w:keepNext w:val="0"/>
        <w:keepLines w:val="0"/>
        <w:pageBreakBefore w:val="0"/>
        <w:kinsoku/>
        <w:overflowPunct/>
        <w:topLinePunct w:val="0"/>
        <w:autoSpaceDE/>
        <w:autoSpaceDN/>
        <w:bidi w:val="0"/>
        <w:adjustRightInd w:val="0"/>
        <w:snapToGrid w:val="0"/>
        <w:spacing w:afterLines="0" w:line="560" w:lineRule="exact"/>
        <w:rPr>
          <w:rFonts w:hint="eastAsia" w:ascii="宋体" w:hAnsi="宋体" w:eastAsia="宋体" w:cs="宋体"/>
          <w:kern w:val="0"/>
          <w:sz w:val="21"/>
          <w:szCs w:val="21"/>
          <w:lang w:eastAsia="zh-Hans"/>
        </w:rPr>
      </w:pPr>
      <w:r>
        <w:rPr>
          <w:rFonts w:hint="eastAsia" w:ascii="宋体" w:hAnsi="宋体" w:eastAsia="宋体" w:cs="宋体"/>
          <w:kern w:val="0"/>
          <w:sz w:val="21"/>
          <w:szCs w:val="21"/>
          <w:lang w:val="en-US" w:eastAsia="zh-CN"/>
        </w:rPr>
        <w:t>2.2</w:t>
      </w:r>
      <w:r>
        <w:rPr>
          <w:rFonts w:hint="eastAsia" w:ascii="宋体" w:hAnsi="宋体" w:eastAsia="宋体" w:cs="宋体"/>
          <w:kern w:val="0"/>
          <w:sz w:val="21"/>
          <w:szCs w:val="21"/>
          <w:lang w:eastAsia="zh-Hans"/>
        </w:rPr>
        <w:t>合同期内，如合同约定采购清单已全部</w:t>
      </w:r>
      <w:r>
        <w:rPr>
          <w:rFonts w:hint="eastAsia" w:ascii="宋体" w:hAnsi="宋体" w:eastAsia="宋体" w:cs="宋体"/>
          <w:kern w:val="0"/>
          <w:sz w:val="21"/>
          <w:szCs w:val="21"/>
          <w:lang w:val="en-US" w:eastAsia="zh-CN"/>
        </w:rPr>
        <w:t>完成</w:t>
      </w:r>
      <w:r>
        <w:rPr>
          <w:rFonts w:hint="eastAsia" w:ascii="宋体" w:hAnsi="宋体" w:eastAsia="宋体" w:cs="宋体"/>
          <w:kern w:val="0"/>
          <w:sz w:val="21"/>
          <w:szCs w:val="21"/>
          <w:lang w:eastAsia="zh-Hans"/>
        </w:rPr>
        <w:t>并经甲方经办部门验收合格，则甲方有权提前结束合同，甲方无须承担任何赔偿责任。如服务期内合同约定采购内容未全部执行完毕，合同到期后，甲方有权选择结束合同或由乙方继续提供相应服务至全部服务内容完成为止。</w:t>
      </w:r>
    </w:p>
    <w:p w14:paraId="6CA3BFF3">
      <w:pPr>
        <w:keepNext w:val="0"/>
        <w:keepLines w:val="0"/>
        <w:pageBreakBefore w:val="0"/>
        <w:kinsoku/>
        <w:overflowPunct/>
        <w:topLinePunct w:val="0"/>
        <w:autoSpaceDE/>
        <w:autoSpaceDN/>
        <w:bidi w:val="0"/>
        <w:adjustRightInd w:val="0"/>
        <w:snapToGrid w:val="0"/>
        <w:spacing w:afterLines="0" w:line="560" w:lineRule="exact"/>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在本协议履行过程中，甲乙双方在协商一致的基础上，可以根据项目实际需要另行签订补充协议。</w:t>
      </w:r>
    </w:p>
    <w:p w14:paraId="7CFDDB1F">
      <w:pPr>
        <w:keepNext w:val="0"/>
        <w:keepLines w:val="0"/>
        <w:pageBreakBefore w:val="0"/>
        <w:kinsoku/>
        <w:wordWrap/>
        <w:overflowPunct/>
        <w:topLinePunct w:val="0"/>
        <w:autoSpaceDE/>
        <w:autoSpaceDN/>
        <w:bidi w:val="0"/>
        <w:adjustRightInd w:val="0"/>
        <w:snapToGrid w:val="0"/>
        <w:spacing w:line="560" w:lineRule="exact"/>
        <w:ind w:left="0" w:leftChars="0" w:firstLine="422" w:firstLineChars="200"/>
        <w:textAlignment w:val="auto"/>
        <w:outlineLvl w:val="0"/>
        <w:rPr>
          <w:rFonts w:hint="eastAsia" w:ascii="宋体" w:hAnsi="宋体" w:eastAsia="宋体" w:cs="宋体"/>
          <w:b/>
          <w:bCs/>
          <w:sz w:val="21"/>
          <w:szCs w:val="21"/>
          <w:highlight w:val="none"/>
          <w:lang w:eastAsia="zh-CN"/>
        </w:rPr>
      </w:pPr>
      <w:bookmarkStart w:id="2" w:name="_Toc10316"/>
      <w:r>
        <w:rPr>
          <w:rFonts w:hint="eastAsia" w:ascii="宋体" w:hAnsi="宋体" w:eastAsia="宋体" w:cs="宋体"/>
          <w:b/>
          <w:bCs/>
          <w:sz w:val="21"/>
          <w:szCs w:val="21"/>
          <w:highlight w:val="none"/>
          <w:lang w:eastAsia="zh-Hans"/>
        </w:rPr>
        <w:t>第</w:t>
      </w: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lang w:eastAsia="zh-Hans"/>
        </w:rPr>
        <w:t>条</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lang w:eastAsia="zh-Hans"/>
        </w:rPr>
        <w:t>合同价款及付款方式</w:t>
      </w:r>
      <w:bookmarkEnd w:id="2"/>
    </w:p>
    <w:p w14:paraId="204D6001">
      <w:pPr>
        <w:keepNext w:val="0"/>
        <w:keepLines w:val="0"/>
        <w:pageBreakBefore w:val="0"/>
        <w:widowControl/>
        <w:kinsoku/>
        <w:wordWrap w:val="0"/>
        <w:overflowPunct/>
        <w:topLinePunct w:val="0"/>
        <w:autoSpaceDE/>
        <w:autoSpaceDN/>
        <w:bidi w:val="0"/>
        <w:adjustRightInd w:val="0"/>
        <w:snapToGrid w:val="0"/>
        <w:spacing w:before="0" w:after="0" w:afterLines="0" w:line="360" w:lineRule="auto"/>
        <w:ind w:firstLine="420" w:firstLineChars="200"/>
        <w:outlineLvl w:val="1"/>
        <w:rPr>
          <w:rFonts w:hint="eastAsia" w:ascii="宋体" w:hAnsi="宋体" w:eastAsia="宋体" w:cs="宋体"/>
          <w:kern w:val="0"/>
          <w:sz w:val="21"/>
          <w:szCs w:val="21"/>
          <w:lang w:eastAsia="zh-Hans"/>
        </w:rPr>
      </w:pPr>
      <w:bookmarkStart w:id="3" w:name="_Toc13201"/>
      <w:r>
        <w:rPr>
          <w:rFonts w:hint="eastAsia" w:ascii="宋体" w:hAnsi="宋体" w:eastAsia="宋体" w:cs="宋体"/>
          <w:kern w:val="0"/>
          <w:sz w:val="21"/>
          <w:szCs w:val="21"/>
        </w:rPr>
        <w:t>3.1</w:t>
      </w:r>
      <w:r>
        <w:rPr>
          <w:rFonts w:hint="eastAsia" w:ascii="宋体" w:hAnsi="宋体" w:eastAsia="宋体" w:cs="宋体"/>
          <w:kern w:val="0"/>
          <w:sz w:val="21"/>
          <w:szCs w:val="21"/>
          <w:lang w:eastAsia="zh-Hans"/>
        </w:rPr>
        <w:t>计价方法</w:t>
      </w:r>
      <w:bookmarkEnd w:id="3"/>
    </w:p>
    <w:p w14:paraId="27526C9E">
      <w:pPr>
        <w:keepNext w:val="0"/>
        <w:keepLines w:val="0"/>
        <w:pageBreakBefore w:val="0"/>
        <w:widowControl w:val="0"/>
        <w:kinsoku/>
        <w:overflowPunct/>
        <w:topLinePunct w:val="0"/>
        <w:autoSpaceDE/>
        <w:autoSpaceDN/>
        <w:bidi w:val="0"/>
        <w:adjustRightInd w:val="0"/>
        <w:snapToGrid w:val="0"/>
        <w:spacing w:afterLines="0"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本合同为固定单价合同，暂定总价服务费用，由基本费用与履约评价费用组成，基本费用比例为95%，履约评价费用比例为5%。</w:t>
      </w:r>
    </w:p>
    <w:p w14:paraId="0949CC9F">
      <w:pPr>
        <w:keepNext w:val="0"/>
        <w:keepLines w:val="0"/>
        <w:pageBreakBefore w:val="0"/>
        <w:widowControl/>
        <w:kinsoku/>
        <w:wordWrap w:val="0"/>
        <w:overflowPunct/>
        <w:topLinePunct w:val="0"/>
        <w:autoSpaceDE/>
        <w:autoSpaceDN/>
        <w:bidi w:val="0"/>
        <w:adjustRightInd w:val="0"/>
        <w:snapToGrid w:val="0"/>
        <w:spacing w:before="0" w:after="0" w:afterLines="0" w:line="360" w:lineRule="auto"/>
        <w:ind w:firstLine="420" w:firstLineChars="200"/>
        <w:outlineLvl w:val="1"/>
        <w:rPr>
          <w:rFonts w:hint="eastAsia" w:ascii="宋体" w:hAnsi="宋体" w:eastAsia="宋体" w:cs="宋体"/>
          <w:kern w:val="0"/>
          <w:sz w:val="21"/>
          <w:szCs w:val="21"/>
          <w:lang w:eastAsia="zh-Hans"/>
        </w:rPr>
      </w:pPr>
      <w:bookmarkStart w:id="4" w:name="_Toc10759"/>
      <w:r>
        <w:rPr>
          <w:rFonts w:hint="eastAsia" w:ascii="宋体" w:hAnsi="宋体" w:eastAsia="宋体" w:cs="宋体"/>
          <w:kern w:val="0"/>
          <w:sz w:val="21"/>
          <w:szCs w:val="21"/>
        </w:rPr>
        <w:t>3.2</w:t>
      </w:r>
      <w:r>
        <w:rPr>
          <w:rFonts w:hint="eastAsia" w:ascii="宋体" w:hAnsi="宋体" w:eastAsia="宋体" w:cs="宋体"/>
          <w:kern w:val="0"/>
          <w:sz w:val="21"/>
          <w:szCs w:val="21"/>
          <w:lang w:eastAsia="zh-Hans"/>
        </w:rPr>
        <w:t>合同价款组成及支付条款</w:t>
      </w:r>
      <w:bookmarkEnd w:id="4"/>
    </w:p>
    <w:p w14:paraId="038B2FB4">
      <w:pPr>
        <w:widowControl/>
        <w:wordWrap w:val="0"/>
        <w:spacing w:before="68" w:after="68" w:line="360" w:lineRule="auto"/>
        <w:ind w:firstLine="420"/>
        <w:rPr>
          <w:rFonts w:ascii="宋体" w:hAnsi="宋体" w:cs="宋体"/>
          <w:kern w:val="0"/>
          <w:szCs w:val="21"/>
          <w:highlight w:val="none"/>
        </w:rPr>
      </w:pPr>
      <w:r>
        <w:rPr>
          <w:rFonts w:hint="eastAsia" w:ascii="宋体" w:hAnsi="宋体" w:cs="宋体"/>
          <w:kern w:val="0"/>
          <w:szCs w:val="21"/>
          <w:highlight w:val="none"/>
        </w:rPr>
        <w:t>3.2.1合同总金额（含税）为人民币</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元（大写：</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）。其中，合同不含税价为人民币</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元（大写：</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）；增值税率(</w:t>
      </w:r>
      <w:r>
        <w:rPr>
          <w:rFonts w:hint="eastAsia" w:ascii="宋体" w:hAnsi="宋体" w:cs="宋体"/>
          <w:kern w:val="0"/>
          <w:szCs w:val="21"/>
          <w:highlight w:val="none"/>
          <w:u w:val="single"/>
        </w:rPr>
        <w:t>一般纳税人</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w:t>
      </w:r>
      <w:r>
        <w:rPr>
          <w:rFonts w:hint="eastAsia" w:ascii="宋体" w:hAnsi="宋体" w:cs="宋体"/>
          <w:kern w:val="0"/>
          <w:szCs w:val="21"/>
          <w:highlight w:val="none"/>
        </w:rPr>
        <w:t>)，增值税额为人民币</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元（大写：</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），合同价格清单详见附件1《</w:t>
      </w:r>
      <w:r>
        <w:rPr>
          <w:rFonts w:hint="eastAsia" w:ascii="宋体" w:hAnsi="宋体" w:cs="宋体"/>
          <w:kern w:val="0"/>
          <w:szCs w:val="21"/>
          <w:highlight w:val="none"/>
          <w:lang w:val="en-US" w:eastAsia="zh-CN"/>
        </w:rPr>
        <w:t>礼品</w:t>
      </w:r>
      <w:r>
        <w:rPr>
          <w:rFonts w:hint="eastAsia" w:ascii="宋体" w:hAnsi="宋体" w:cs="宋体"/>
          <w:kern w:val="0"/>
          <w:szCs w:val="21"/>
          <w:highlight w:val="none"/>
        </w:rPr>
        <w:t>清单》。</w:t>
      </w:r>
    </w:p>
    <w:p w14:paraId="06964F1C">
      <w:pPr>
        <w:keepNext w:val="0"/>
        <w:keepLines w:val="0"/>
        <w:pageBreakBefore w:val="0"/>
        <w:widowControl/>
        <w:kinsoku/>
        <w:wordWrap w:val="0"/>
        <w:overflowPunct/>
        <w:topLinePunct w:val="0"/>
        <w:autoSpaceDE/>
        <w:autoSpaceDN/>
        <w:bidi w:val="0"/>
        <w:adjustRightInd w:val="0"/>
        <w:snapToGrid w:val="0"/>
        <w:spacing w:before="0" w:after="0" w:afterLines="0" w:line="360" w:lineRule="auto"/>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highlight w:val="none"/>
          <w:lang w:val="en-US" w:eastAsia="zh-CN"/>
        </w:rPr>
        <w:t>3.2.2</w:t>
      </w:r>
      <w:r>
        <w:rPr>
          <w:rFonts w:hint="eastAsia" w:ascii="宋体" w:hAnsi="宋体" w:eastAsia="宋体" w:cs="宋体"/>
          <w:kern w:val="0"/>
          <w:sz w:val="21"/>
          <w:szCs w:val="21"/>
          <w:highlight w:val="none"/>
        </w:rPr>
        <w:t>本合同约定的价格为含增值税价格，不含税价不随增值税率变化而变化，如履行</w:t>
      </w:r>
      <w:r>
        <w:rPr>
          <w:rFonts w:hint="eastAsia" w:ascii="宋体" w:hAnsi="宋体" w:eastAsia="宋体" w:cs="宋体"/>
          <w:kern w:val="0"/>
          <w:sz w:val="21"/>
          <w:szCs w:val="21"/>
        </w:rPr>
        <w:t>期间国家政策公布新适用增值税率，则增值税率、增值税额也作相应调整，即依据纳税义务期间适用税率变动相应调整增值税额。</w:t>
      </w:r>
    </w:p>
    <w:p w14:paraId="71ED0BD7">
      <w:pPr>
        <w:keepNext w:val="0"/>
        <w:keepLines w:val="0"/>
        <w:pageBreakBefore w:val="0"/>
        <w:widowControl/>
        <w:kinsoku/>
        <w:wordWrap w:val="0"/>
        <w:overflowPunct/>
        <w:topLinePunct w:val="0"/>
        <w:autoSpaceDE/>
        <w:autoSpaceDN/>
        <w:bidi w:val="0"/>
        <w:adjustRightInd w:val="0"/>
        <w:snapToGrid w:val="0"/>
        <w:spacing w:afterLines="0" w:line="360" w:lineRule="auto"/>
        <w:ind w:firstLine="48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3.2.3合同总金额已包含本项目所有投放服务过程中发生的制作费、</w:t>
      </w:r>
      <w:r>
        <w:rPr>
          <w:rFonts w:hint="eastAsia" w:ascii="宋体" w:hAnsi="宋体" w:cs="宋体"/>
          <w:kern w:val="0"/>
          <w:sz w:val="21"/>
          <w:szCs w:val="21"/>
          <w:lang w:val="en-US" w:eastAsia="zh-CN"/>
        </w:rPr>
        <w:t>临时仓储费</w:t>
      </w:r>
      <w:r>
        <w:rPr>
          <w:rFonts w:hint="eastAsia" w:ascii="宋体" w:hAnsi="宋体" w:eastAsia="宋体" w:cs="宋体"/>
          <w:kern w:val="0"/>
          <w:sz w:val="21"/>
          <w:szCs w:val="21"/>
          <w:lang w:val="en-US" w:eastAsia="zh-CN"/>
        </w:rPr>
        <w:t>、人工费、场地费、电费、交通费、运输费、保险费、政府报批收费、税金、撤场清理费</w:t>
      </w: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bidi="ar-SA"/>
        </w:rPr>
        <w:t>质保期内保修及服务</w:t>
      </w:r>
      <w:r>
        <w:rPr>
          <w:rFonts w:hint="eastAsia" w:ascii="宋体" w:hAnsi="宋体" w:eastAsia="宋体" w:cs="宋体"/>
          <w:kern w:val="0"/>
          <w:sz w:val="21"/>
          <w:szCs w:val="21"/>
          <w:lang w:val="en-US" w:eastAsia="zh-CN"/>
        </w:rPr>
        <w:t>等一切乙方为了履行本协议项下委托事项所产生的费用。乙方为完成本合同项下工作所需的一切费用，除合同另有约定之外，甲方无需再向乙方支付其他任何费用。</w:t>
      </w:r>
    </w:p>
    <w:p w14:paraId="2A2E2B44">
      <w:pPr>
        <w:keepNext w:val="0"/>
        <w:keepLines w:val="0"/>
        <w:pageBreakBefore w:val="0"/>
        <w:widowControl/>
        <w:kinsoku/>
        <w:wordWrap w:val="0"/>
        <w:overflowPunct/>
        <w:topLinePunct w:val="0"/>
        <w:autoSpaceDE/>
        <w:autoSpaceDN/>
        <w:bidi w:val="0"/>
        <w:adjustRightInd w:val="0"/>
        <w:snapToGrid w:val="0"/>
        <w:spacing w:afterLines="0" w:line="360" w:lineRule="auto"/>
        <w:ind w:firstLine="420" w:firstLineChars="200"/>
        <w:outlineLvl w:val="1"/>
        <w:rPr>
          <w:rFonts w:hint="eastAsia" w:ascii="宋体" w:hAnsi="宋体" w:eastAsia="宋体" w:cs="宋体"/>
          <w:kern w:val="0"/>
          <w:sz w:val="21"/>
          <w:szCs w:val="21"/>
        </w:rPr>
      </w:pPr>
      <w:bookmarkStart w:id="5" w:name="_Toc31681"/>
      <w:r>
        <w:rPr>
          <w:rFonts w:hint="eastAsia" w:ascii="宋体" w:hAnsi="宋体" w:eastAsia="宋体" w:cs="宋体"/>
          <w:kern w:val="0"/>
          <w:sz w:val="21"/>
          <w:szCs w:val="21"/>
          <w:lang w:val="en-US" w:eastAsia="zh-CN"/>
        </w:rPr>
        <w:t>3.3</w:t>
      </w:r>
      <w:r>
        <w:rPr>
          <w:rFonts w:hint="eastAsia" w:ascii="宋体" w:hAnsi="宋体" w:eastAsia="宋体" w:cs="宋体"/>
          <w:kern w:val="0"/>
          <w:sz w:val="21"/>
          <w:szCs w:val="21"/>
        </w:rPr>
        <w:t>支付方式：</w:t>
      </w:r>
      <w:bookmarkEnd w:id="5"/>
      <w:bookmarkStart w:id="6" w:name="_Hlk112841369"/>
    </w:p>
    <w:p w14:paraId="08725200">
      <w:pPr>
        <w:keepNext w:val="0"/>
        <w:keepLines w:val="0"/>
        <w:pageBreakBefore w:val="0"/>
        <w:widowControl/>
        <w:kinsoku/>
        <w:wordWrap w:val="0"/>
        <w:overflowPunct/>
        <w:topLinePunct w:val="0"/>
        <w:autoSpaceDE/>
        <w:autoSpaceDN/>
        <w:bidi w:val="0"/>
        <w:adjustRightInd w:val="0"/>
        <w:snapToGrid w:val="0"/>
        <w:spacing w:afterLines="0" w:line="360" w:lineRule="auto"/>
        <w:ind w:firstLine="48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3.3.1乙方根据合同约定提出付款申请和提供阶段性礼品验收证明及正式的增值税专用发票，经甲方验收合格后，以季度频率计划根据工作任务书验收入库的礼品清单，在30个工作日内据实支付</w:t>
      </w:r>
      <w:r>
        <w:rPr>
          <w:rFonts w:hint="eastAsia" w:ascii="宋体" w:hAnsi="宋体" w:cs="宋体"/>
          <w:kern w:val="0"/>
          <w:sz w:val="21"/>
          <w:szCs w:val="21"/>
          <w:lang w:val="en-US" w:eastAsia="zh-CN"/>
        </w:rPr>
        <w:t>至货物金额的92%，</w:t>
      </w:r>
      <w:r>
        <w:rPr>
          <w:rFonts w:hint="eastAsia" w:ascii="宋体" w:hAnsi="宋体" w:eastAsia="宋体" w:cs="宋体"/>
          <w:kern w:val="0"/>
          <w:sz w:val="21"/>
          <w:szCs w:val="21"/>
          <w:lang w:val="en-US" w:eastAsia="zh-CN" w:bidi="ar-SA"/>
        </w:rPr>
        <w:t>最后一次付款应在完成履约评价及结算工作后</w:t>
      </w:r>
      <w:r>
        <w:rPr>
          <w:rFonts w:hint="eastAsia" w:ascii="宋体" w:hAnsi="宋体" w:eastAsia="宋体" w:cs="宋体"/>
          <w:kern w:val="0"/>
          <w:sz w:val="21"/>
          <w:szCs w:val="21"/>
          <w:lang w:val="en-US" w:eastAsia="zh-CN"/>
        </w:rPr>
        <w:t>。若乙方提供的材料不满足甲方要求，甲方有权拒绝付款，且并不因此承担任何违约责任，乙方仍应按本合同约定履行义务。</w:t>
      </w:r>
    </w:p>
    <w:p w14:paraId="212BAB7F">
      <w:pPr>
        <w:keepNext w:val="0"/>
        <w:keepLines w:val="0"/>
        <w:pageBreakBefore w:val="0"/>
        <w:widowControl/>
        <w:kinsoku/>
        <w:wordWrap w:val="0"/>
        <w:overflowPunct/>
        <w:topLinePunct w:val="0"/>
        <w:autoSpaceDE/>
        <w:autoSpaceDN/>
        <w:bidi w:val="0"/>
        <w:adjustRightInd w:val="0"/>
        <w:snapToGrid w:val="0"/>
        <w:spacing w:afterLines="0" w:line="360" w:lineRule="auto"/>
        <w:ind w:firstLine="48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bidi="ar-SA"/>
        </w:rPr>
        <w:t>3.3.</w:t>
      </w:r>
      <w:r>
        <w:rPr>
          <w:rFonts w:hint="eastAsia" w:ascii="宋体" w:hAnsi="宋体" w:cs="宋体"/>
          <w:kern w:val="0"/>
          <w:sz w:val="21"/>
          <w:szCs w:val="21"/>
          <w:lang w:val="en-US" w:eastAsia="zh-CN" w:bidi="ar-SA"/>
        </w:rPr>
        <w:t>2</w:t>
      </w:r>
      <w:r>
        <w:rPr>
          <w:rFonts w:hint="eastAsia" w:ascii="宋体" w:hAnsi="宋体" w:eastAsia="宋体" w:cs="宋体"/>
          <w:kern w:val="0"/>
          <w:sz w:val="21"/>
          <w:szCs w:val="21"/>
          <w:lang w:val="en-US" w:eastAsia="zh-CN" w:bidi="ar-SA"/>
        </w:rPr>
        <w:t>履约评价费支付：在本合同到期后，甲方对乙方进行一次综合履约评价，依据合同约定，按履约评价结果及约定比例向乙方支付履约评价费</w:t>
      </w:r>
      <w:r>
        <w:rPr>
          <w:rFonts w:hint="eastAsia" w:ascii="宋体" w:hAnsi="宋体" w:cs="宋体"/>
          <w:kern w:val="0"/>
          <w:sz w:val="21"/>
          <w:szCs w:val="21"/>
          <w:lang w:val="en-US" w:eastAsia="zh-CN" w:bidi="ar-SA"/>
        </w:rPr>
        <w:t>，履约评价费用随最近一期付款支付</w:t>
      </w:r>
      <w:r>
        <w:rPr>
          <w:rFonts w:hint="eastAsia" w:ascii="宋体" w:hAnsi="宋体" w:eastAsia="宋体" w:cs="宋体"/>
          <w:kern w:val="0"/>
          <w:sz w:val="21"/>
          <w:szCs w:val="21"/>
          <w:lang w:val="en-US" w:eastAsia="zh-CN" w:bidi="ar-SA"/>
        </w:rPr>
        <w:t>，参照最新集团履约评价管理办</w:t>
      </w:r>
      <w:r>
        <w:rPr>
          <w:rFonts w:hint="eastAsia" w:ascii="宋体" w:hAnsi="宋体" w:eastAsia="宋体" w:cs="宋体"/>
          <w:kern w:val="0"/>
          <w:sz w:val="21"/>
          <w:szCs w:val="21"/>
          <w:lang w:val="en-US" w:eastAsia="zh-CN"/>
        </w:rPr>
        <w:t>法执行。</w:t>
      </w:r>
    </w:p>
    <w:p w14:paraId="3AD86025">
      <w:pPr>
        <w:keepNext w:val="0"/>
        <w:keepLines w:val="0"/>
        <w:pageBreakBefore w:val="0"/>
        <w:widowControl/>
        <w:kinsoku/>
        <w:wordWrap w:val="0"/>
        <w:overflowPunct/>
        <w:topLinePunct w:val="0"/>
        <w:autoSpaceDE/>
        <w:autoSpaceDN/>
        <w:bidi w:val="0"/>
        <w:adjustRightInd w:val="0"/>
        <w:snapToGrid w:val="0"/>
        <w:spacing w:afterLines="0" w:line="360" w:lineRule="auto"/>
        <w:ind w:firstLine="48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w:t>
      </w: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质保金的支付：</w:t>
      </w:r>
    </w:p>
    <w:p w14:paraId="5532683D">
      <w:pPr>
        <w:keepNext w:val="0"/>
        <w:keepLines w:val="0"/>
        <w:pageBreakBefore w:val="0"/>
        <w:widowControl/>
        <w:kinsoku/>
        <w:wordWrap w:val="0"/>
        <w:overflowPunct/>
        <w:topLinePunct w:val="0"/>
        <w:autoSpaceDE/>
        <w:autoSpaceDN/>
        <w:bidi w:val="0"/>
        <w:adjustRightInd w:val="0"/>
        <w:snapToGrid w:val="0"/>
        <w:spacing w:afterLines="0" w:line="360" w:lineRule="auto"/>
        <w:ind w:firstLine="48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货物</w:t>
      </w:r>
      <w:r>
        <w:rPr>
          <w:rFonts w:hint="eastAsia" w:ascii="宋体" w:hAnsi="宋体" w:cs="宋体"/>
          <w:kern w:val="0"/>
          <w:sz w:val="21"/>
          <w:szCs w:val="21"/>
          <w:lang w:val="en-US" w:eastAsia="zh-CN"/>
        </w:rPr>
        <w:t>结算价</w:t>
      </w:r>
      <w:r>
        <w:rPr>
          <w:rFonts w:hint="eastAsia" w:ascii="宋体" w:hAnsi="宋体" w:eastAsia="宋体" w:cs="宋体"/>
          <w:kern w:val="0"/>
          <w:sz w:val="21"/>
          <w:szCs w:val="21"/>
          <w:lang w:val="en-US" w:eastAsia="zh-CN"/>
        </w:rPr>
        <w:t>的3%做为质保金，待质保期结束后扣除实际发生维修费用后结清。（即所有批次货物经买家验收合格之日起满2年后，将扣除相关费用、违约金后的质保金本金支付给卖方，但并不免除卖方在质保期内的保修责任。卖方未能按合同规定履行保修责任的，买方有权就相关费用向卖方进行追索。）</w:t>
      </w:r>
    </w:p>
    <w:p w14:paraId="11AB538F">
      <w:pPr>
        <w:keepNext w:val="0"/>
        <w:keepLines w:val="0"/>
        <w:pageBreakBefore w:val="0"/>
        <w:widowControl/>
        <w:kinsoku/>
        <w:wordWrap w:val="0"/>
        <w:overflowPunct/>
        <w:topLinePunct w:val="0"/>
        <w:autoSpaceDE/>
        <w:autoSpaceDN/>
        <w:bidi w:val="0"/>
        <w:adjustRightInd w:val="0"/>
        <w:snapToGrid w:val="0"/>
        <w:spacing w:afterLines="0" w:line="360" w:lineRule="auto"/>
        <w:ind w:firstLine="48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w:t>
      </w:r>
      <w:r>
        <w:rPr>
          <w:rFonts w:hint="eastAsia" w:ascii="宋体" w:hAnsi="宋体" w:cs="宋体"/>
          <w:kern w:val="0"/>
          <w:sz w:val="21"/>
          <w:szCs w:val="21"/>
          <w:lang w:val="en-US" w:eastAsia="zh-CN"/>
        </w:rPr>
        <w:t>4</w:t>
      </w:r>
      <w:r>
        <w:rPr>
          <w:rFonts w:hint="eastAsia" w:ascii="宋体" w:hAnsi="宋体" w:eastAsia="宋体" w:cs="宋体"/>
          <w:kern w:val="0"/>
          <w:sz w:val="21"/>
          <w:szCs w:val="21"/>
          <w:lang w:val="en-US" w:eastAsia="zh-CN"/>
        </w:rPr>
        <w:t>合同结算方式：本合同为固定单价合同，最终结算价＝合同单价＊实际采购数量－履约评价扣款（如有）－违约金（如有）＋其他。采购数量可根据买方实际采购</w:t>
      </w:r>
      <w:bookmarkStart w:id="21" w:name="_GoBack"/>
      <w:bookmarkEnd w:id="21"/>
      <w:r>
        <w:rPr>
          <w:rFonts w:hint="eastAsia" w:ascii="宋体" w:hAnsi="宋体" w:eastAsia="宋体" w:cs="宋体"/>
          <w:kern w:val="0"/>
          <w:sz w:val="21"/>
          <w:szCs w:val="21"/>
          <w:lang w:val="en-US" w:eastAsia="zh-CN"/>
        </w:rPr>
        <w:t>需求调整，合同单价不因数量变化调整。</w:t>
      </w:r>
    </w:p>
    <w:bookmarkEnd w:id="6"/>
    <w:p w14:paraId="5398C6D5">
      <w:pPr>
        <w:keepNext w:val="0"/>
        <w:keepLines w:val="0"/>
        <w:pageBreakBefore w:val="0"/>
        <w:widowControl/>
        <w:kinsoku/>
        <w:wordWrap w:val="0"/>
        <w:overflowPunct/>
        <w:topLinePunct w:val="0"/>
        <w:autoSpaceDE/>
        <w:autoSpaceDN/>
        <w:bidi w:val="0"/>
        <w:adjustRightInd w:val="0"/>
        <w:snapToGrid w:val="0"/>
        <w:spacing w:afterLines="0" w:line="360" w:lineRule="auto"/>
        <w:ind w:firstLine="48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w:t>
      </w: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zh-CN"/>
        </w:rPr>
        <w:t>开票信息如下：</w:t>
      </w:r>
    </w:p>
    <w:p w14:paraId="2E9B7EC2">
      <w:pPr>
        <w:keepNext w:val="0"/>
        <w:keepLines w:val="0"/>
        <w:pageBreakBefore w:val="0"/>
        <w:widowControl/>
        <w:kinsoku/>
        <w:wordWrap w:val="0"/>
        <w:overflowPunct/>
        <w:topLinePunct w:val="0"/>
        <w:autoSpaceDE/>
        <w:autoSpaceDN/>
        <w:bidi w:val="0"/>
        <w:adjustRightInd w:val="0"/>
        <w:snapToGrid w:val="0"/>
        <w:spacing w:afterLines="0" w:line="360" w:lineRule="auto"/>
        <w:ind w:firstLine="48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公司名称：</w:t>
      </w:r>
    </w:p>
    <w:p w14:paraId="3BEE3648">
      <w:pPr>
        <w:adjustRightInd w:val="0"/>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纳税人识别号：</w:t>
      </w:r>
    </w:p>
    <w:p w14:paraId="10416EAD">
      <w:pPr>
        <w:adjustRightInd w:val="0"/>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税务登记地址：</w:t>
      </w:r>
    </w:p>
    <w:p w14:paraId="4D105663">
      <w:pPr>
        <w:adjustRightInd w:val="0"/>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电话号码：</w:t>
      </w:r>
    </w:p>
    <w:p w14:paraId="485F6DE8">
      <w:pPr>
        <w:adjustRightInd w:val="0"/>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开户银行：</w:t>
      </w:r>
    </w:p>
    <w:p w14:paraId="33EC6C26">
      <w:pPr>
        <w:adjustRightInd w:val="0"/>
        <w:snapToGrid w:val="0"/>
        <w:spacing w:line="360" w:lineRule="auto"/>
        <w:ind w:firstLine="420"/>
        <w:rPr>
          <w:rFonts w:hint="eastAsia" w:ascii="宋体" w:hAnsi="宋体" w:eastAsia="宋体" w:cs="宋体"/>
          <w:szCs w:val="21"/>
          <w:highlight w:val="none"/>
        </w:rPr>
      </w:pPr>
      <w:r>
        <w:rPr>
          <w:rFonts w:hint="eastAsia" w:ascii="宋体" w:hAnsi="宋体" w:cs="宋体"/>
          <w:szCs w:val="21"/>
          <w:highlight w:val="none"/>
        </w:rPr>
        <w:t>银行账号：</w:t>
      </w:r>
    </w:p>
    <w:p w14:paraId="60B120B6">
      <w:pPr>
        <w:adjustRightInd w:val="0"/>
        <w:snapToGrid w:val="0"/>
        <w:spacing w:line="360" w:lineRule="auto"/>
        <w:ind w:firstLine="420"/>
        <w:rPr>
          <w:rFonts w:ascii="宋体" w:hAnsi="宋体" w:cs="宋体"/>
          <w:szCs w:val="21"/>
          <w:highlight w:val="none"/>
        </w:rPr>
      </w:pPr>
      <w:r>
        <w:rPr>
          <w:rFonts w:hint="eastAsia" w:ascii="宋体" w:hAnsi="宋体" w:cs="宋体"/>
          <w:szCs w:val="21"/>
          <w:highlight w:val="none"/>
        </w:rPr>
        <w:t>3.3.</w:t>
      </w:r>
      <w:r>
        <w:rPr>
          <w:rFonts w:hint="eastAsia" w:ascii="宋体" w:hAnsi="宋体" w:cs="宋体"/>
          <w:szCs w:val="21"/>
          <w:highlight w:val="none"/>
          <w:lang w:val="en-US" w:eastAsia="zh-CN"/>
        </w:rPr>
        <w:t>6</w:t>
      </w:r>
      <w:r>
        <w:rPr>
          <w:rFonts w:hint="eastAsia" w:ascii="宋体" w:hAnsi="宋体" w:cs="宋体"/>
          <w:szCs w:val="21"/>
          <w:highlight w:val="none"/>
        </w:rPr>
        <w:t>乙方指定的收款账户为：</w:t>
      </w:r>
    </w:p>
    <w:p w14:paraId="77017B99">
      <w:pPr>
        <w:adjustRightInd w:val="0"/>
        <w:snapToGrid w:val="0"/>
        <w:spacing w:line="360" w:lineRule="auto"/>
        <w:ind w:firstLine="420"/>
        <w:rPr>
          <w:rFonts w:ascii="宋体" w:hAnsi="宋体" w:cs="宋体"/>
          <w:szCs w:val="21"/>
          <w:highlight w:val="none"/>
        </w:rPr>
      </w:pPr>
      <w:r>
        <w:rPr>
          <w:rFonts w:hint="eastAsia" w:ascii="宋体" w:hAnsi="宋体" w:cs="宋体"/>
          <w:szCs w:val="21"/>
          <w:highlight w:val="none"/>
        </w:rPr>
        <w:t>公司名称：</w:t>
      </w:r>
    </w:p>
    <w:p w14:paraId="0456DA7F">
      <w:pPr>
        <w:adjustRightInd w:val="0"/>
        <w:snapToGrid w:val="0"/>
        <w:spacing w:line="360" w:lineRule="auto"/>
        <w:ind w:firstLine="420"/>
        <w:rPr>
          <w:rFonts w:ascii="宋体" w:hAnsi="宋体" w:cs="宋体"/>
          <w:szCs w:val="21"/>
          <w:highlight w:val="none"/>
        </w:rPr>
      </w:pPr>
      <w:r>
        <w:rPr>
          <w:rFonts w:hint="eastAsia" w:ascii="宋体" w:hAnsi="宋体" w:cs="宋体"/>
          <w:szCs w:val="21"/>
          <w:highlight w:val="none"/>
        </w:rPr>
        <w:t>纳税人识别号：</w:t>
      </w:r>
    </w:p>
    <w:p w14:paraId="09290099">
      <w:pPr>
        <w:adjustRightInd w:val="0"/>
        <w:snapToGrid w:val="0"/>
        <w:spacing w:line="360" w:lineRule="auto"/>
        <w:ind w:firstLine="420"/>
        <w:rPr>
          <w:rFonts w:ascii="宋体" w:hAnsi="宋体" w:cs="宋体"/>
          <w:szCs w:val="21"/>
          <w:highlight w:val="none"/>
        </w:rPr>
      </w:pPr>
      <w:r>
        <w:rPr>
          <w:rFonts w:hint="eastAsia" w:ascii="宋体" w:hAnsi="宋体" w:cs="宋体"/>
          <w:szCs w:val="21"/>
          <w:highlight w:val="none"/>
        </w:rPr>
        <w:t>税务登记地址：</w:t>
      </w:r>
    </w:p>
    <w:p w14:paraId="55F27F76">
      <w:pPr>
        <w:adjustRightInd w:val="0"/>
        <w:snapToGrid w:val="0"/>
        <w:spacing w:line="360" w:lineRule="auto"/>
        <w:ind w:firstLine="420"/>
        <w:rPr>
          <w:rFonts w:ascii="宋体" w:hAnsi="宋体" w:cs="宋体"/>
          <w:szCs w:val="21"/>
          <w:highlight w:val="none"/>
        </w:rPr>
      </w:pPr>
      <w:r>
        <w:rPr>
          <w:rFonts w:hint="eastAsia" w:ascii="宋体" w:hAnsi="宋体" w:cs="宋体"/>
          <w:szCs w:val="21"/>
          <w:highlight w:val="none"/>
        </w:rPr>
        <w:t>开户银行：</w:t>
      </w:r>
    </w:p>
    <w:p w14:paraId="3BDC4161">
      <w:pPr>
        <w:adjustRightInd w:val="0"/>
        <w:snapToGrid w:val="0"/>
        <w:spacing w:line="360" w:lineRule="auto"/>
        <w:ind w:firstLine="420"/>
        <w:rPr>
          <w:rFonts w:ascii="宋体" w:hAnsi="宋体" w:cs="宋体"/>
          <w:szCs w:val="21"/>
          <w:highlight w:val="none"/>
        </w:rPr>
      </w:pPr>
      <w:r>
        <w:rPr>
          <w:rFonts w:hint="eastAsia" w:ascii="宋体" w:hAnsi="宋体" w:cs="宋体"/>
          <w:szCs w:val="21"/>
          <w:highlight w:val="none"/>
        </w:rPr>
        <w:t>银行账号：</w:t>
      </w:r>
    </w:p>
    <w:p w14:paraId="0A65B79E">
      <w:pPr>
        <w:keepNext w:val="0"/>
        <w:keepLines w:val="0"/>
        <w:pageBreakBefore w:val="0"/>
        <w:kinsoku/>
        <w:overflowPunct/>
        <w:topLinePunct w:val="0"/>
        <w:autoSpaceDE/>
        <w:autoSpaceDN/>
        <w:bidi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3.3.</w:t>
      </w:r>
      <w:r>
        <w:rPr>
          <w:rFonts w:hint="eastAsia" w:ascii="宋体" w:hAnsi="宋体" w:cs="宋体"/>
          <w:szCs w:val="21"/>
          <w:lang w:val="en-US" w:eastAsia="zh-CN"/>
        </w:rPr>
        <w:t>7</w:t>
      </w:r>
      <w:r>
        <w:rPr>
          <w:rFonts w:hint="eastAsia" w:ascii="宋体" w:hAnsi="宋体" w:eastAsia="宋体" w:cs="宋体"/>
          <w:szCs w:val="21"/>
        </w:rPr>
        <w:t>如乙方的上述指定银行账户发生变更的，乙方应当在变更当日以书面形式通知甲方，否则，由此引起的全部后果由乙方承担。</w:t>
      </w:r>
    </w:p>
    <w:p w14:paraId="448F3462">
      <w:pPr>
        <w:keepNext w:val="0"/>
        <w:keepLines w:val="0"/>
        <w:pageBreakBefore w:val="0"/>
        <w:kinsoku/>
        <w:overflowPunct/>
        <w:topLinePunct w:val="0"/>
        <w:autoSpaceDE/>
        <w:autoSpaceDN/>
        <w:bidi w:val="0"/>
        <w:adjustRightInd w:val="0"/>
        <w:snapToGrid w:val="0"/>
        <w:spacing w:line="560" w:lineRule="exact"/>
        <w:ind w:firstLine="422" w:firstLineChars="200"/>
        <w:outlineLvl w:val="0"/>
        <w:rPr>
          <w:rFonts w:hint="eastAsia" w:ascii="宋体" w:hAnsi="宋体" w:eastAsia="宋体" w:cs="宋体"/>
          <w:b/>
          <w:bCs/>
          <w:szCs w:val="21"/>
          <w:highlight w:val="none"/>
        </w:rPr>
      </w:pPr>
      <w:bookmarkStart w:id="7" w:name="_Toc11633"/>
      <w:r>
        <w:rPr>
          <w:rFonts w:hint="eastAsia" w:ascii="宋体" w:hAnsi="宋体" w:eastAsia="宋体" w:cs="宋体"/>
          <w:b/>
          <w:bCs/>
          <w:szCs w:val="21"/>
          <w:highlight w:val="none"/>
          <w:lang w:val="en-US" w:eastAsia="zh-CN"/>
        </w:rPr>
        <w:t>第四条 双方</w:t>
      </w:r>
      <w:r>
        <w:rPr>
          <w:rFonts w:hint="eastAsia" w:ascii="宋体" w:hAnsi="宋体" w:eastAsia="宋体" w:cs="宋体"/>
          <w:b/>
          <w:bCs/>
          <w:szCs w:val="21"/>
          <w:highlight w:val="none"/>
        </w:rPr>
        <w:t>的权利义务</w:t>
      </w:r>
      <w:bookmarkEnd w:id="7"/>
    </w:p>
    <w:p w14:paraId="016121B9">
      <w:pPr>
        <w:keepNext w:val="0"/>
        <w:keepLines w:val="0"/>
        <w:pageBreakBefore w:val="0"/>
        <w:kinsoku/>
        <w:overflowPunct/>
        <w:topLinePunct w:val="0"/>
        <w:autoSpaceDE/>
        <w:autoSpaceDN/>
        <w:bidi w:val="0"/>
        <w:adjustRightInd w:val="0"/>
        <w:snapToGrid w:val="0"/>
        <w:spacing w:line="560" w:lineRule="exact"/>
        <w:ind w:firstLine="420" w:firstLineChars="200"/>
        <w:outlineLvl w:val="1"/>
        <w:rPr>
          <w:rFonts w:hint="eastAsia" w:ascii="宋体" w:hAnsi="宋体" w:eastAsia="宋体" w:cs="宋体"/>
          <w:szCs w:val="21"/>
        </w:rPr>
      </w:pPr>
      <w:bookmarkStart w:id="8" w:name="_Toc4410"/>
      <w:r>
        <w:rPr>
          <w:rFonts w:hint="eastAsia" w:ascii="宋体" w:hAnsi="宋体" w:eastAsia="宋体" w:cs="宋体"/>
          <w:szCs w:val="21"/>
          <w:lang w:val="en-US" w:eastAsia="zh-CN"/>
        </w:rPr>
        <w:t>4.1</w:t>
      </w:r>
      <w:r>
        <w:rPr>
          <w:rFonts w:hint="eastAsia" w:ascii="宋体" w:hAnsi="宋体" w:eastAsia="宋体" w:cs="宋体"/>
          <w:szCs w:val="21"/>
        </w:rPr>
        <w:t>甲方的权利义务</w:t>
      </w:r>
      <w:bookmarkEnd w:id="8"/>
    </w:p>
    <w:p w14:paraId="1D461194">
      <w:pPr>
        <w:keepNext w:val="0"/>
        <w:keepLines w:val="0"/>
        <w:pageBreakBefore w:val="0"/>
        <w:kinsoku/>
        <w:overflowPunct/>
        <w:topLinePunct w:val="0"/>
        <w:autoSpaceDE/>
        <w:autoSpaceDN/>
        <w:bidi w:val="0"/>
        <w:adjustRightInd w:val="0"/>
        <w:snapToGrid w:val="0"/>
        <w:spacing w:line="56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4.1.1</w:t>
      </w:r>
      <w:r>
        <w:rPr>
          <w:rFonts w:hint="eastAsia" w:ascii="宋体" w:hAnsi="宋体" w:eastAsia="宋体" w:cs="宋体"/>
          <w:szCs w:val="21"/>
        </w:rPr>
        <w:t>甲方应按本合同约定的金额和时间向乙方支付合同价款。</w:t>
      </w:r>
    </w:p>
    <w:p w14:paraId="6ADF9FDE">
      <w:pPr>
        <w:keepNext w:val="0"/>
        <w:keepLines w:val="0"/>
        <w:pageBreakBefore w:val="0"/>
        <w:kinsoku/>
        <w:overflowPunct/>
        <w:topLinePunct w:val="0"/>
        <w:autoSpaceDE/>
        <w:autoSpaceDN/>
        <w:bidi w:val="0"/>
        <w:adjustRightInd w:val="0"/>
        <w:snapToGrid w:val="0"/>
        <w:spacing w:line="56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4.1.2</w:t>
      </w:r>
      <w:r>
        <w:rPr>
          <w:rFonts w:hint="eastAsia" w:ascii="宋体" w:hAnsi="宋体" w:eastAsia="宋体" w:cs="宋体"/>
          <w:szCs w:val="21"/>
        </w:rPr>
        <w:t>甲方需向乙方提交服务所需要的基础资料及文件，并在执行前确定所有</w:t>
      </w:r>
      <w:r>
        <w:rPr>
          <w:rFonts w:hint="eastAsia" w:ascii="宋体" w:hAnsi="宋体" w:eastAsia="宋体" w:cs="宋体"/>
          <w:szCs w:val="21"/>
          <w:lang w:val="en-US" w:eastAsia="zh-CN"/>
        </w:rPr>
        <w:t>制作文件</w:t>
      </w:r>
      <w:r>
        <w:rPr>
          <w:rFonts w:hint="eastAsia" w:ascii="宋体" w:hAnsi="宋体" w:eastAsia="宋体" w:cs="宋体"/>
          <w:szCs w:val="21"/>
        </w:rPr>
        <w:t>，确定后甲方不得随意更改活动内容，如需更改，应提前通知乙方。</w:t>
      </w:r>
    </w:p>
    <w:p w14:paraId="7C9FF97E">
      <w:pPr>
        <w:keepNext w:val="0"/>
        <w:keepLines w:val="0"/>
        <w:pageBreakBefore w:val="0"/>
        <w:kinsoku/>
        <w:overflowPunct/>
        <w:topLinePunct w:val="0"/>
        <w:autoSpaceDE/>
        <w:autoSpaceDN/>
        <w:bidi w:val="0"/>
        <w:adjustRightInd w:val="0"/>
        <w:snapToGrid w:val="0"/>
        <w:spacing w:line="56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4.1.3</w:t>
      </w:r>
      <w:r>
        <w:rPr>
          <w:rFonts w:hint="eastAsia" w:ascii="宋体" w:hAnsi="宋体" w:eastAsia="宋体" w:cs="宋体"/>
          <w:szCs w:val="21"/>
        </w:rPr>
        <w:t>甲方指定专人与乙方指定人员进行沟通、联系及现场协助。</w:t>
      </w:r>
    </w:p>
    <w:p w14:paraId="359658FC">
      <w:pPr>
        <w:keepNext w:val="0"/>
        <w:keepLines w:val="0"/>
        <w:pageBreakBefore w:val="0"/>
        <w:kinsoku/>
        <w:overflowPunct/>
        <w:topLinePunct w:val="0"/>
        <w:autoSpaceDE/>
        <w:autoSpaceDN/>
        <w:bidi w:val="0"/>
        <w:adjustRightInd w:val="0"/>
        <w:snapToGrid w:val="0"/>
        <w:spacing w:line="56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4.1.4</w:t>
      </w:r>
      <w:r>
        <w:rPr>
          <w:rFonts w:hint="eastAsia" w:ascii="宋体" w:hAnsi="宋体" w:eastAsia="宋体" w:cs="宋体"/>
          <w:szCs w:val="21"/>
        </w:rPr>
        <w:t>甲方选择提前结算的，未完成的</w:t>
      </w:r>
      <w:r>
        <w:rPr>
          <w:rFonts w:hint="eastAsia" w:ascii="宋体" w:hAnsi="宋体" w:cs="宋体"/>
          <w:szCs w:val="21"/>
          <w:lang w:val="en-US" w:eastAsia="zh-CN"/>
        </w:rPr>
        <w:t>礼品货物</w:t>
      </w:r>
      <w:r>
        <w:rPr>
          <w:rFonts w:hint="eastAsia" w:ascii="宋体" w:hAnsi="宋体" w:eastAsia="宋体" w:cs="宋体"/>
          <w:szCs w:val="21"/>
        </w:rPr>
        <w:t>费用不予结算。</w:t>
      </w:r>
    </w:p>
    <w:p w14:paraId="3BB4ED88">
      <w:pPr>
        <w:keepNext w:val="0"/>
        <w:keepLines w:val="0"/>
        <w:pageBreakBefore w:val="0"/>
        <w:kinsoku/>
        <w:overflowPunct/>
        <w:topLinePunct w:val="0"/>
        <w:autoSpaceDE/>
        <w:autoSpaceDN/>
        <w:bidi w:val="0"/>
        <w:adjustRightInd w:val="0"/>
        <w:snapToGrid w:val="0"/>
        <w:spacing w:line="560" w:lineRule="exact"/>
        <w:ind w:left="0" w:leftChars="0" w:firstLine="420" w:firstLineChars="200"/>
        <w:outlineLvl w:val="1"/>
        <w:rPr>
          <w:rFonts w:hint="eastAsia" w:ascii="宋体" w:hAnsi="宋体" w:eastAsia="宋体" w:cs="宋体"/>
          <w:szCs w:val="21"/>
        </w:rPr>
      </w:pPr>
      <w:bookmarkStart w:id="9" w:name="_Toc29439"/>
      <w:r>
        <w:rPr>
          <w:rFonts w:hint="eastAsia" w:ascii="宋体" w:hAnsi="宋体" w:eastAsia="宋体" w:cs="宋体"/>
          <w:szCs w:val="21"/>
          <w:lang w:val="en-US" w:eastAsia="zh-CN"/>
        </w:rPr>
        <w:t>4.2</w:t>
      </w:r>
      <w:r>
        <w:rPr>
          <w:rFonts w:hint="eastAsia" w:ascii="宋体" w:hAnsi="宋体" w:eastAsia="宋体" w:cs="宋体"/>
          <w:szCs w:val="21"/>
        </w:rPr>
        <w:t>乙方的权利义务</w:t>
      </w:r>
      <w:bookmarkEnd w:id="9"/>
    </w:p>
    <w:p w14:paraId="2493A572">
      <w:pPr>
        <w:keepNext w:val="0"/>
        <w:keepLines w:val="0"/>
        <w:pageBreakBefore w:val="0"/>
        <w:kinsoku/>
        <w:overflowPunct/>
        <w:topLinePunct w:val="0"/>
        <w:autoSpaceDE/>
        <w:autoSpaceDN/>
        <w:bidi w:val="0"/>
        <w:adjustRightInd w:val="0"/>
        <w:snapToGrid w:val="0"/>
        <w:spacing w:line="56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4.2.1</w:t>
      </w:r>
      <w:r>
        <w:rPr>
          <w:rFonts w:hint="eastAsia" w:ascii="宋体" w:hAnsi="宋体" w:eastAsia="宋体" w:cs="宋体"/>
          <w:szCs w:val="21"/>
        </w:rPr>
        <w:t>乙方应按照本合同约定及甲方的要求完成本合同项目的所有工作。</w:t>
      </w:r>
    </w:p>
    <w:p w14:paraId="5BECD9E2">
      <w:pPr>
        <w:keepNext w:val="0"/>
        <w:keepLines w:val="0"/>
        <w:pageBreakBefore w:val="0"/>
        <w:widowControl/>
        <w:kinsoku/>
        <w:wordWrap w:val="0"/>
        <w:overflowPunct/>
        <w:topLinePunct w:val="0"/>
        <w:autoSpaceDE/>
        <w:autoSpaceDN/>
        <w:bidi w:val="0"/>
        <w:adjustRightInd w:val="0"/>
        <w:snapToGrid w:val="0"/>
        <w:spacing w:before="0" w:after="0" w:afterLines="0" w:line="560" w:lineRule="exact"/>
        <w:ind w:firstLine="480"/>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4.2.2</w:t>
      </w:r>
      <w:r>
        <w:rPr>
          <w:rFonts w:hint="eastAsia" w:ascii="宋体" w:hAnsi="宋体" w:eastAsia="宋体" w:cs="宋体"/>
          <w:kern w:val="0"/>
          <w:sz w:val="21"/>
          <w:szCs w:val="21"/>
        </w:rPr>
        <w:t>因乙方原因导致未能按时交货的，乙方应承担违约责任，并赔偿甲方延误后造成的经济损失</w:t>
      </w:r>
      <w:r>
        <w:rPr>
          <w:rFonts w:hint="eastAsia" w:ascii="宋体" w:hAnsi="宋体" w:eastAsia="宋体" w:cs="宋体"/>
          <w:kern w:val="0"/>
          <w:sz w:val="21"/>
          <w:szCs w:val="21"/>
          <w:lang w:eastAsia="zh-CN"/>
        </w:rPr>
        <w:t>。</w:t>
      </w:r>
    </w:p>
    <w:p w14:paraId="3B1B5882">
      <w:pPr>
        <w:keepNext w:val="0"/>
        <w:keepLines w:val="0"/>
        <w:pageBreakBefore w:val="0"/>
        <w:kinsoku/>
        <w:overflowPunct/>
        <w:topLinePunct w:val="0"/>
        <w:autoSpaceDE/>
        <w:autoSpaceDN/>
        <w:bidi w:val="0"/>
        <w:adjustRightInd w:val="0"/>
        <w:snapToGrid w:val="0"/>
        <w:spacing w:line="560" w:lineRule="exact"/>
        <w:rPr>
          <w:rFonts w:hint="eastAsia" w:ascii="宋体" w:hAnsi="宋体" w:eastAsia="宋体" w:cs="宋体"/>
          <w:b/>
          <w:bCs/>
          <w:kern w:val="0"/>
          <w:sz w:val="21"/>
          <w:szCs w:val="21"/>
          <w:lang w:val="en-US" w:eastAsia="zh-CN"/>
        </w:rPr>
      </w:pPr>
      <w:r>
        <w:rPr>
          <w:rFonts w:hint="eastAsia" w:ascii="宋体" w:hAnsi="宋体" w:eastAsia="宋体" w:cs="宋体"/>
          <w:szCs w:val="21"/>
          <w:lang w:val="en-US" w:eastAsia="zh-CN"/>
        </w:rPr>
        <w:t>4.2.3</w:t>
      </w:r>
      <w:r>
        <w:rPr>
          <w:rFonts w:hint="eastAsia" w:ascii="宋体" w:hAnsi="宋体" w:eastAsia="宋体" w:cs="宋体"/>
          <w:szCs w:val="21"/>
        </w:rPr>
        <w:t>乙方不得传播、捏造或夸大有关甲方及甲方关联公司的负面或影响甲方及甲方关联公司声誉、品牌等信息；乙方违反本约定，甲方有权解除本合同，并不再支付剩余款项。因该等负面信息造成甲方及关联公司损失的，乙方还应赔偿损失，同时乙方有义务负责消除因负面信息等给甲方及关联公司造成的不利影响。</w:t>
      </w:r>
    </w:p>
    <w:p w14:paraId="0216C25F">
      <w:pPr>
        <w:pStyle w:val="30"/>
        <w:keepNext w:val="0"/>
        <w:keepLines w:val="0"/>
        <w:pageBreakBefore w:val="0"/>
        <w:tabs>
          <w:tab w:val="left" w:pos="1293"/>
        </w:tabs>
        <w:kinsoku/>
        <w:overflowPunct/>
        <w:topLinePunct w:val="0"/>
        <w:autoSpaceDE/>
        <w:autoSpaceDN/>
        <w:bidi w:val="0"/>
        <w:adjustRightInd w:val="0"/>
        <w:snapToGrid w:val="0"/>
        <w:spacing w:line="560" w:lineRule="exact"/>
        <w:ind w:firstLine="422" w:firstLineChars="200"/>
        <w:outlineLvl w:val="0"/>
        <w:rPr>
          <w:rFonts w:hint="eastAsia" w:ascii="宋体" w:hAnsi="宋体" w:eastAsia="宋体" w:cs="宋体"/>
          <w:b/>
          <w:bCs/>
          <w:color w:val="auto"/>
          <w:sz w:val="21"/>
          <w:szCs w:val="21"/>
          <w:lang w:val="zh-TW"/>
        </w:rPr>
      </w:pPr>
      <w:bookmarkStart w:id="10" w:name="_Toc32572"/>
      <w:r>
        <w:rPr>
          <w:rFonts w:hint="eastAsia" w:ascii="宋体" w:hAnsi="宋体" w:eastAsia="宋体" w:cs="宋体"/>
          <w:b/>
          <w:bCs/>
          <w:color w:val="auto"/>
          <w:sz w:val="21"/>
          <w:szCs w:val="21"/>
        </w:rPr>
        <w:t>第</w:t>
      </w: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 xml:space="preserve">条 </w:t>
      </w:r>
      <w:r>
        <w:rPr>
          <w:rFonts w:hint="eastAsia" w:ascii="宋体" w:hAnsi="宋体" w:eastAsia="宋体" w:cs="宋体"/>
          <w:b/>
          <w:bCs/>
          <w:color w:val="auto"/>
          <w:sz w:val="21"/>
          <w:szCs w:val="21"/>
          <w:lang w:val="zh-TW"/>
        </w:rPr>
        <w:t>知识产权及保密</w:t>
      </w:r>
      <w:bookmarkEnd w:id="10"/>
    </w:p>
    <w:p w14:paraId="2B9C5D3A">
      <w:pPr>
        <w:pStyle w:val="30"/>
        <w:keepNext w:val="0"/>
        <w:keepLines w:val="0"/>
        <w:pageBreakBefore w:val="0"/>
        <w:tabs>
          <w:tab w:val="left" w:pos="1293"/>
        </w:tabs>
        <w:kinsoku/>
        <w:overflowPunct/>
        <w:topLinePunct w:val="0"/>
        <w:autoSpaceDE/>
        <w:autoSpaceDN/>
        <w:bidi w:val="0"/>
        <w:adjustRightInd w:val="0"/>
        <w:snapToGrid w:val="0"/>
        <w:spacing w:line="560" w:lineRule="exact"/>
        <w:ind w:firstLine="420" w:firstLineChars="200"/>
        <w:outlineLvl w:val="1"/>
        <w:rPr>
          <w:rFonts w:hint="eastAsia" w:ascii="宋体" w:hAnsi="宋体" w:eastAsia="宋体" w:cs="宋体"/>
          <w:color w:val="auto"/>
          <w:sz w:val="21"/>
          <w:szCs w:val="21"/>
          <w:lang w:val="zh-TW"/>
        </w:rPr>
      </w:pPr>
      <w:bookmarkStart w:id="11" w:name="_Toc31507"/>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TW"/>
        </w:rPr>
        <w:t>.1知识产权</w:t>
      </w:r>
      <w:bookmarkEnd w:id="11"/>
    </w:p>
    <w:p w14:paraId="13BD7BCF">
      <w:pPr>
        <w:pStyle w:val="30"/>
        <w:keepNext w:val="0"/>
        <w:keepLines w:val="0"/>
        <w:pageBreakBefore w:val="0"/>
        <w:tabs>
          <w:tab w:val="left" w:pos="1293"/>
        </w:tabs>
        <w:kinsoku/>
        <w:overflowPunct/>
        <w:topLinePunct w:val="0"/>
        <w:autoSpaceDE/>
        <w:autoSpaceDN/>
        <w:bidi w:val="0"/>
        <w:adjustRightInd w:val="0"/>
        <w:snapToGrid w:val="0"/>
        <w:spacing w:line="560" w:lineRule="exact"/>
        <w:ind w:firstLine="420" w:firstLineChars="200"/>
        <w:rPr>
          <w:rFonts w:hint="eastAsia" w:ascii="宋体" w:hAnsi="宋体" w:eastAsia="宋体" w:cs="宋体"/>
          <w:color w:val="auto"/>
          <w:sz w:val="21"/>
          <w:szCs w:val="21"/>
          <w:lang w:val="zh-TW"/>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TW"/>
        </w:rPr>
        <w:t>.1</w:t>
      </w:r>
      <w:r>
        <w:rPr>
          <w:rFonts w:hint="eastAsia" w:ascii="宋体" w:hAnsi="宋体" w:eastAsia="宋体" w:cs="宋体"/>
          <w:color w:val="auto"/>
          <w:sz w:val="21"/>
          <w:szCs w:val="21"/>
        </w:rPr>
        <w:t>.1</w:t>
      </w:r>
      <w:r>
        <w:rPr>
          <w:rFonts w:hint="eastAsia" w:ascii="宋体" w:hAnsi="宋体" w:eastAsia="宋体" w:cs="宋体"/>
          <w:color w:val="auto"/>
          <w:sz w:val="21"/>
          <w:szCs w:val="21"/>
          <w:lang w:val="zh-TW"/>
        </w:rPr>
        <w:t>甲方向乙方提供的全部资料、成果或半成果的知识产权均属于甲方所有。未经甲方书面授权，乙方不得将内容复制、改编、分发、发布，不得为本合同之外的任何目的、以任何形式自行使用或擅自许可任何第三方使用，否则应向甲方承担赔偿责任。</w:t>
      </w:r>
    </w:p>
    <w:p w14:paraId="44AC6F29">
      <w:pPr>
        <w:pStyle w:val="30"/>
        <w:keepNext w:val="0"/>
        <w:keepLines w:val="0"/>
        <w:pageBreakBefore w:val="0"/>
        <w:tabs>
          <w:tab w:val="left" w:pos="1293"/>
        </w:tabs>
        <w:kinsoku/>
        <w:overflowPunct/>
        <w:topLinePunct w:val="0"/>
        <w:autoSpaceDE/>
        <w:autoSpaceDN/>
        <w:bidi w:val="0"/>
        <w:adjustRightInd w:val="0"/>
        <w:snapToGrid w:val="0"/>
        <w:spacing w:line="560" w:lineRule="exact"/>
        <w:ind w:firstLine="420" w:firstLineChars="200"/>
        <w:rPr>
          <w:rFonts w:hint="eastAsia" w:ascii="宋体" w:hAnsi="宋体" w:eastAsia="宋体" w:cs="宋体"/>
          <w:color w:val="auto"/>
          <w:sz w:val="21"/>
          <w:szCs w:val="21"/>
          <w:lang w:val="zh-TW"/>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TW"/>
        </w:rPr>
        <w:t>.1</w:t>
      </w:r>
      <w:r>
        <w:rPr>
          <w:rFonts w:hint="eastAsia" w:ascii="宋体" w:hAnsi="宋体" w:eastAsia="宋体" w:cs="宋体"/>
          <w:color w:val="auto"/>
          <w:sz w:val="21"/>
          <w:szCs w:val="21"/>
        </w:rPr>
        <w:t>.2</w:t>
      </w:r>
      <w:r>
        <w:rPr>
          <w:rFonts w:hint="eastAsia" w:ascii="宋体" w:hAnsi="宋体" w:eastAsia="宋体" w:cs="宋体"/>
          <w:color w:val="auto"/>
          <w:sz w:val="21"/>
          <w:szCs w:val="21"/>
          <w:lang w:val="zh-TW"/>
        </w:rPr>
        <w:t>乙方向甲方提交的任何方案、设计、图样等的著作权归甲方所有，未经甲方书面授权，乙方不得为本合同之外的任何目的、以任何形式自行使用或擅自许可任何第三方使用，乙方应确保该等方案、设计、图样等成果、半成果均应由乙方原创或确保已经取得第三方权利人的合法授权，不得违反相关的法律法规及政策规定，不得侵犯任何其他第三方的知识产权及其他合法权益，否则由此引起的行政处罚、争议和纠纷由乙方负责解决，如因此给甲方造成损失的（包括甲方因处理纠纷所产生的全部花费），乙方应承担全额赔偿责任。</w:t>
      </w:r>
    </w:p>
    <w:p w14:paraId="1D517D0E">
      <w:pPr>
        <w:pStyle w:val="30"/>
        <w:keepNext w:val="0"/>
        <w:keepLines w:val="0"/>
        <w:pageBreakBefore w:val="0"/>
        <w:tabs>
          <w:tab w:val="left" w:pos="1293"/>
        </w:tabs>
        <w:kinsoku/>
        <w:overflowPunct/>
        <w:topLinePunct w:val="0"/>
        <w:autoSpaceDE/>
        <w:autoSpaceDN/>
        <w:bidi w:val="0"/>
        <w:adjustRightInd w:val="0"/>
        <w:snapToGrid w:val="0"/>
        <w:spacing w:line="560" w:lineRule="exact"/>
        <w:ind w:firstLine="420" w:firstLineChars="200"/>
        <w:rPr>
          <w:rFonts w:hint="eastAsia" w:ascii="宋体" w:hAnsi="宋体" w:eastAsia="宋体" w:cs="宋体"/>
          <w:color w:val="auto"/>
          <w:sz w:val="21"/>
          <w:szCs w:val="21"/>
          <w:lang w:val="zh-TW"/>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TW"/>
        </w:rPr>
        <w:t>.1</w:t>
      </w:r>
      <w:r>
        <w:rPr>
          <w:rFonts w:hint="eastAsia" w:ascii="宋体" w:hAnsi="宋体" w:eastAsia="宋体" w:cs="宋体"/>
          <w:color w:val="auto"/>
          <w:sz w:val="21"/>
          <w:szCs w:val="21"/>
        </w:rPr>
        <w:t>.3</w:t>
      </w:r>
      <w:r>
        <w:rPr>
          <w:rFonts w:hint="eastAsia" w:ascii="宋体" w:hAnsi="宋体" w:eastAsia="宋体" w:cs="宋体"/>
          <w:color w:val="auto"/>
          <w:sz w:val="21"/>
          <w:szCs w:val="21"/>
          <w:lang w:val="zh-TW"/>
        </w:rPr>
        <w:t>本合同因履行完毕或提前解除之日起3日内，乙方应将甲方提供的所有材料移交甲方，并销毁留存的资料文件及信息等，不得继续使用或擅自许可任何第三方使用。</w:t>
      </w:r>
    </w:p>
    <w:p w14:paraId="02905A70">
      <w:pPr>
        <w:pStyle w:val="30"/>
        <w:keepNext w:val="0"/>
        <w:keepLines w:val="0"/>
        <w:pageBreakBefore w:val="0"/>
        <w:tabs>
          <w:tab w:val="left" w:pos="1293"/>
        </w:tabs>
        <w:kinsoku/>
        <w:overflowPunct/>
        <w:topLinePunct w:val="0"/>
        <w:autoSpaceDE/>
        <w:autoSpaceDN/>
        <w:bidi w:val="0"/>
        <w:adjustRightInd w:val="0"/>
        <w:snapToGrid w:val="0"/>
        <w:spacing w:line="560" w:lineRule="exact"/>
        <w:ind w:firstLine="422" w:firstLineChars="200"/>
        <w:outlineLvl w:val="0"/>
        <w:rPr>
          <w:rFonts w:hint="eastAsia" w:ascii="宋体" w:hAnsi="宋体" w:eastAsia="宋体" w:cs="宋体"/>
          <w:b/>
          <w:bCs/>
          <w:color w:val="auto"/>
          <w:sz w:val="21"/>
          <w:szCs w:val="21"/>
          <w:lang w:val="zh-TW"/>
        </w:rPr>
      </w:pPr>
      <w:bookmarkStart w:id="12" w:name="_Toc1768"/>
      <w:r>
        <w:rPr>
          <w:rFonts w:hint="eastAsia" w:ascii="宋体" w:hAnsi="宋体" w:eastAsia="宋体" w:cs="宋体"/>
          <w:b/>
          <w:bCs/>
          <w:color w:val="auto"/>
          <w:sz w:val="21"/>
          <w:szCs w:val="21"/>
        </w:rPr>
        <w:t>第</w:t>
      </w:r>
      <w:r>
        <w:rPr>
          <w:rFonts w:hint="eastAsia" w:ascii="宋体" w:hAnsi="宋体" w:eastAsia="宋体" w:cs="宋体"/>
          <w:b/>
          <w:bCs/>
          <w:color w:val="auto"/>
          <w:sz w:val="21"/>
          <w:szCs w:val="21"/>
          <w:lang w:val="en-US" w:eastAsia="zh-CN"/>
        </w:rPr>
        <w:t>六</w:t>
      </w:r>
      <w:r>
        <w:rPr>
          <w:rFonts w:hint="eastAsia" w:ascii="宋体" w:hAnsi="宋体" w:eastAsia="宋体" w:cs="宋体"/>
          <w:b/>
          <w:bCs/>
          <w:color w:val="auto"/>
          <w:sz w:val="21"/>
          <w:szCs w:val="21"/>
        </w:rPr>
        <w:t xml:space="preserve">条 </w:t>
      </w:r>
      <w:r>
        <w:rPr>
          <w:rFonts w:hint="eastAsia" w:ascii="宋体" w:hAnsi="宋体" w:eastAsia="宋体" w:cs="宋体"/>
          <w:b/>
          <w:bCs/>
          <w:color w:val="auto"/>
          <w:sz w:val="21"/>
          <w:szCs w:val="21"/>
          <w:lang w:val="zh-TW"/>
        </w:rPr>
        <w:t>违约责任</w:t>
      </w:r>
      <w:bookmarkEnd w:id="12"/>
    </w:p>
    <w:p w14:paraId="4B2944AC">
      <w:pPr>
        <w:pStyle w:val="30"/>
        <w:keepNext w:val="0"/>
        <w:keepLines w:val="0"/>
        <w:pageBreakBefore w:val="0"/>
        <w:tabs>
          <w:tab w:val="left" w:pos="1293"/>
        </w:tabs>
        <w:kinsoku/>
        <w:overflowPunct/>
        <w:topLinePunct w:val="0"/>
        <w:autoSpaceDE/>
        <w:autoSpaceDN/>
        <w:bidi w:val="0"/>
        <w:adjustRightInd w:val="0"/>
        <w:snapToGrid w:val="0"/>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kern w:val="2"/>
          <w:sz w:val="21"/>
          <w:szCs w:val="21"/>
          <w:u w:color="000000"/>
          <w:lang w:val="en-US" w:eastAsia="zh-CN" w:bidi="ar-SA"/>
        </w:rPr>
        <w:t>如乙方在服务期内未完成甲方要求的礼品清单，未完成的桂礼品清单费用不予结算，同时乙方应承担违约责任，向甲方支付合同总金额5%的赔偿金。</w:t>
      </w:r>
    </w:p>
    <w:p w14:paraId="1909FB73">
      <w:pPr>
        <w:pStyle w:val="30"/>
        <w:keepNext w:val="0"/>
        <w:keepLines w:val="0"/>
        <w:pageBreakBefore w:val="0"/>
        <w:tabs>
          <w:tab w:val="left" w:pos="1293"/>
        </w:tabs>
        <w:kinsoku/>
        <w:overflowPunct/>
        <w:topLinePunct w:val="0"/>
        <w:autoSpaceDE/>
        <w:autoSpaceDN/>
        <w:bidi w:val="0"/>
        <w:snapToGrid w:val="0"/>
        <w:spacing w:line="560" w:lineRule="exact"/>
        <w:ind w:firstLine="420" w:firstLineChars="200"/>
        <w:rPr>
          <w:rFonts w:hint="eastAsia" w:ascii="宋体" w:hAnsi="宋体" w:eastAsia="宋体" w:cs="宋体"/>
          <w:color w:val="auto"/>
          <w:sz w:val="21"/>
          <w:szCs w:val="21"/>
          <w:lang w:val="zh-TW"/>
        </w:rPr>
      </w:pPr>
      <w:r>
        <w:rPr>
          <w:rFonts w:hint="eastAsia" w:ascii="宋体" w:hAnsi="宋体" w:eastAsia="宋体" w:cs="宋体"/>
          <w:color w:val="auto"/>
          <w:sz w:val="21"/>
          <w:szCs w:val="21"/>
          <w:lang w:val="en-US" w:eastAsia="zh-CN"/>
        </w:rPr>
        <w:t>6.2</w:t>
      </w:r>
      <w:r>
        <w:rPr>
          <w:rFonts w:hint="eastAsia" w:ascii="宋体" w:hAnsi="宋体" w:eastAsia="宋体" w:cs="宋体"/>
          <w:color w:val="auto"/>
          <w:sz w:val="21"/>
          <w:szCs w:val="21"/>
          <w:lang w:val="zh-TW"/>
        </w:rPr>
        <w:t>如乙方完成的工作不符合本合同约定或甲方要求，经甲方催告后在限期内拒绝纠正，或经三次纠正后仍不符合合同约定或甲方要求，甲方有权提出终止合同，并按经甲方认可的乙方实际有效工作量结清相关费用,乙方应向甲方支付合同总价款</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TW"/>
        </w:rPr>
        <w:t>%的违约金。</w:t>
      </w:r>
    </w:p>
    <w:p w14:paraId="0A0042DD">
      <w:pPr>
        <w:pStyle w:val="30"/>
        <w:keepNext w:val="0"/>
        <w:keepLines w:val="0"/>
        <w:pageBreakBefore w:val="0"/>
        <w:tabs>
          <w:tab w:val="left" w:pos="1293"/>
        </w:tabs>
        <w:kinsoku/>
        <w:overflowPunct/>
        <w:topLinePunct w:val="0"/>
        <w:autoSpaceDE/>
        <w:autoSpaceDN/>
        <w:bidi w:val="0"/>
        <w:snapToGrid w:val="0"/>
        <w:spacing w:line="560" w:lineRule="exact"/>
        <w:ind w:firstLine="420" w:firstLineChars="200"/>
        <w:rPr>
          <w:rFonts w:hint="eastAsia" w:ascii="宋体" w:hAnsi="宋体" w:eastAsia="宋体" w:cs="宋体"/>
          <w:color w:val="auto"/>
          <w:sz w:val="21"/>
          <w:szCs w:val="21"/>
          <w:lang w:val="zh-TW"/>
        </w:rPr>
      </w:pPr>
      <w:r>
        <w:rPr>
          <w:rFonts w:hint="eastAsia" w:ascii="宋体" w:hAnsi="宋体" w:eastAsia="宋体" w:cs="宋体"/>
          <w:color w:val="auto"/>
          <w:sz w:val="21"/>
          <w:szCs w:val="21"/>
          <w:lang w:val="en-US" w:eastAsia="zh-CN"/>
        </w:rPr>
        <w:t>6.3</w:t>
      </w:r>
      <w:r>
        <w:rPr>
          <w:rFonts w:hint="eastAsia" w:ascii="宋体" w:hAnsi="宋体" w:eastAsia="宋体" w:cs="宋体"/>
          <w:color w:val="auto"/>
          <w:sz w:val="21"/>
          <w:szCs w:val="21"/>
          <w:lang w:val="zh-TW"/>
        </w:rPr>
        <w:t>因乙方工作失误等原因造成甲方项目形象严重受损（如被第三方投诉、受到行政机关的处罚或媒体的大肆报道等），甲方有权提出终止合同，并按经甲方认可的乙方实际有效工作量结清相关费用,乙方应向甲方支付合同总价款</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TW"/>
        </w:rPr>
        <w:t>%的违约金，如违约金不能弥补甲方损失的，乙方还应向甲方赔偿损失。</w:t>
      </w:r>
    </w:p>
    <w:p w14:paraId="7D5AA7D9">
      <w:pPr>
        <w:pStyle w:val="30"/>
        <w:keepNext w:val="0"/>
        <w:keepLines w:val="0"/>
        <w:pageBreakBefore w:val="0"/>
        <w:tabs>
          <w:tab w:val="left" w:pos="1293"/>
        </w:tabs>
        <w:kinsoku/>
        <w:overflowPunct/>
        <w:topLinePunct w:val="0"/>
        <w:autoSpaceDE/>
        <w:autoSpaceDN/>
        <w:bidi w:val="0"/>
        <w:snapToGrid w:val="0"/>
        <w:spacing w:line="560" w:lineRule="exact"/>
        <w:ind w:firstLine="420" w:firstLineChars="200"/>
        <w:rPr>
          <w:rFonts w:hint="eastAsia" w:ascii="宋体" w:hAnsi="宋体" w:eastAsia="宋体" w:cs="宋体"/>
          <w:color w:val="auto"/>
          <w:sz w:val="21"/>
          <w:szCs w:val="21"/>
          <w:lang w:val="zh-TW"/>
        </w:rPr>
      </w:pPr>
      <w:r>
        <w:rPr>
          <w:rFonts w:hint="eastAsia" w:ascii="宋体" w:hAnsi="宋体" w:eastAsia="宋体" w:cs="宋体"/>
          <w:color w:val="auto"/>
          <w:sz w:val="21"/>
          <w:szCs w:val="21"/>
          <w:lang w:val="en-US" w:eastAsia="zh-CN"/>
        </w:rPr>
        <w:t>6.4</w:t>
      </w:r>
      <w:r>
        <w:rPr>
          <w:rFonts w:hint="eastAsia" w:ascii="宋体" w:hAnsi="宋体" w:eastAsia="宋体" w:cs="宋体"/>
          <w:color w:val="auto"/>
          <w:sz w:val="21"/>
          <w:szCs w:val="21"/>
          <w:lang w:val="zh-TW"/>
        </w:rPr>
        <w:t>除发生本合同约定或者法定的事由外，未经甲方书面同意，乙方不得擅自解除本合同，否则乙方应向甲方支付合同总价款</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TW"/>
        </w:rPr>
        <w:t>%的违约金，并承担甲方承担的所有损失。</w:t>
      </w:r>
    </w:p>
    <w:p w14:paraId="2CC1F001">
      <w:pPr>
        <w:pStyle w:val="30"/>
        <w:keepNext w:val="0"/>
        <w:keepLines w:val="0"/>
        <w:pageBreakBefore w:val="0"/>
        <w:tabs>
          <w:tab w:val="left" w:pos="1293"/>
        </w:tabs>
        <w:kinsoku/>
        <w:overflowPunct/>
        <w:topLinePunct w:val="0"/>
        <w:autoSpaceDE/>
        <w:autoSpaceDN/>
        <w:bidi w:val="0"/>
        <w:snapToGrid w:val="0"/>
        <w:spacing w:line="560" w:lineRule="exact"/>
        <w:ind w:firstLine="420" w:firstLineChars="200"/>
        <w:rPr>
          <w:rFonts w:hint="eastAsia" w:ascii="宋体" w:hAnsi="宋体" w:eastAsia="宋体" w:cs="宋体"/>
          <w:color w:val="auto"/>
          <w:sz w:val="21"/>
          <w:szCs w:val="21"/>
          <w:lang w:val="zh-TW"/>
        </w:rPr>
      </w:pPr>
      <w:r>
        <w:rPr>
          <w:rFonts w:hint="eastAsia" w:ascii="宋体" w:hAnsi="宋体" w:eastAsia="宋体" w:cs="宋体"/>
          <w:color w:val="auto"/>
          <w:sz w:val="21"/>
          <w:szCs w:val="21"/>
          <w:lang w:val="en-US" w:eastAsia="zh-CN"/>
        </w:rPr>
        <w:t>6.5</w:t>
      </w:r>
      <w:r>
        <w:rPr>
          <w:rFonts w:hint="eastAsia" w:ascii="宋体" w:hAnsi="宋体" w:eastAsia="宋体" w:cs="宋体"/>
          <w:color w:val="auto"/>
          <w:sz w:val="21"/>
          <w:szCs w:val="21"/>
          <w:lang w:val="zh-TW"/>
        </w:rPr>
        <w:t>除本合同另有约定外，乙方违反本合同其他约定，视其给甲方造成的损失大小，乙方向甲方承担</w:t>
      </w:r>
      <w:r>
        <w:rPr>
          <w:rFonts w:hint="eastAsia" w:ascii="宋体" w:hAnsi="宋体" w:eastAsia="宋体" w:cs="宋体"/>
          <w:color w:val="auto"/>
          <w:sz w:val="21"/>
          <w:szCs w:val="21"/>
          <w:lang w:val="en-US" w:eastAsia="zh-CN"/>
        </w:rPr>
        <w:t>合同金额5</w:t>
      </w:r>
      <w:r>
        <w:rPr>
          <w:rFonts w:hint="eastAsia" w:ascii="宋体" w:hAnsi="宋体" w:eastAsia="宋体" w:cs="宋体"/>
          <w:color w:val="auto"/>
          <w:sz w:val="21"/>
          <w:szCs w:val="21"/>
          <w:lang w:val="zh-TW"/>
        </w:rPr>
        <w:t>%的违约金，经甲方催告后限期内拒绝纠正或纠正后仍不符合合同约定或甲方要求的，甲方有权提出终止合同，并按经甲方认可的乙方实际有效工作量结清相关费用,乙方应向甲方支付合同总价款</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TW"/>
        </w:rPr>
        <w:t>%的违约金。</w:t>
      </w:r>
    </w:p>
    <w:p w14:paraId="579A76C5">
      <w:pPr>
        <w:pStyle w:val="30"/>
        <w:keepNext w:val="0"/>
        <w:keepLines w:val="0"/>
        <w:pageBreakBefore w:val="0"/>
        <w:tabs>
          <w:tab w:val="left" w:pos="1293"/>
        </w:tabs>
        <w:kinsoku/>
        <w:overflowPunct/>
        <w:topLinePunct w:val="0"/>
        <w:autoSpaceDE/>
        <w:autoSpaceDN/>
        <w:bidi w:val="0"/>
        <w:adjustRightInd w:val="0"/>
        <w:snapToGrid w:val="0"/>
        <w:spacing w:line="560" w:lineRule="exact"/>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6.6</w:t>
      </w:r>
      <w:r>
        <w:rPr>
          <w:rFonts w:hint="eastAsia" w:ascii="宋体" w:hAnsi="宋体" w:eastAsia="宋体" w:cs="宋体"/>
          <w:color w:val="auto"/>
          <w:sz w:val="21"/>
          <w:szCs w:val="21"/>
          <w:lang w:val="zh-TW"/>
        </w:rPr>
        <w:t>本合同期限内甲方有权根据项目实际情况的变化提前终止本合同，但应至少提前三十天书面通知乙方，并按照经甲方认可的乙方实际有效工作量结清相关费用，无需为此承担违约责任。</w:t>
      </w:r>
    </w:p>
    <w:p w14:paraId="1AC5F37F">
      <w:pPr>
        <w:keepNext w:val="0"/>
        <w:keepLines w:val="0"/>
        <w:pageBreakBefore w:val="0"/>
        <w:kinsoku/>
        <w:overflowPunct/>
        <w:topLinePunct w:val="0"/>
        <w:autoSpaceDE/>
        <w:autoSpaceDN/>
        <w:bidi w:val="0"/>
        <w:adjustRightInd w:val="0"/>
        <w:snapToGrid w:val="0"/>
        <w:spacing w:line="560" w:lineRule="exact"/>
        <w:ind w:firstLine="422" w:firstLineChars="200"/>
        <w:outlineLvl w:val="0"/>
        <w:rPr>
          <w:rFonts w:hint="eastAsia" w:ascii="宋体" w:hAnsi="宋体" w:eastAsia="宋体" w:cs="宋体"/>
          <w:b/>
          <w:bCs/>
          <w:szCs w:val="21"/>
          <w:lang w:eastAsia="zh-Hans"/>
        </w:rPr>
      </w:pPr>
      <w:bookmarkStart w:id="13" w:name="_Toc535"/>
      <w:r>
        <w:rPr>
          <w:rFonts w:hint="eastAsia" w:ascii="宋体" w:hAnsi="宋体" w:eastAsia="宋体" w:cs="宋体"/>
          <w:b/>
          <w:bCs/>
          <w:szCs w:val="21"/>
          <w:lang w:eastAsia="zh-Hans"/>
        </w:rPr>
        <w:t>第</w:t>
      </w:r>
      <w:r>
        <w:rPr>
          <w:rFonts w:hint="eastAsia" w:ascii="宋体" w:hAnsi="宋体" w:eastAsia="宋体" w:cs="宋体"/>
          <w:b/>
          <w:bCs/>
          <w:szCs w:val="21"/>
          <w:lang w:val="en-US" w:eastAsia="zh-CN"/>
        </w:rPr>
        <w:t>七</w:t>
      </w:r>
      <w:r>
        <w:rPr>
          <w:rFonts w:hint="eastAsia" w:ascii="宋体" w:hAnsi="宋体" w:eastAsia="宋体" w:cs="宋体"/>
          <w:b/>
          <w:bCs/>
          <w:szCs w:val="21"/>
          <w:lang w:eastAsia="zh-Hans"/>
        </w:rPr>
        <w:t>条</w:t>
      </w:r>
      <w:r>
        <w:rPr>
          <w:rFonts w:hint="eastAsia" w:ascii="宋体" w:hAnsi="宋体" w:eastAsia="宋体" w:cs="宋体"/>
          <w:b/>
          <w:bCs/>
          <w:szCs w:val="21"/>
        </w:rPr>
        <w:t xml:space="preserve"> </w:t>
      </w:r>
      <w:r>
        <w:rPr>
          <w:rFonts w:hint="eastAsia" w:ascii="宋体" w:hAnsi="宋体" w:eastAsia="宋体" w:cs="宋体"/>
          <w:b/>
          <w:bCs/>
          <w:szCs w:val="21"/>
          <w:lang w:eastAsia="zh-Hans"/>
        </w:rPr>
        <w:t>争议解决</w:t>
      </w:r>
      <w:bookmarkEnd w:id="13"/>
    </w:p>
    <w:p w14:paraId="1609B8BF">
      <w:pPr>
        <w:keepNext w:val="0"/>
        <w:keepLines w:val="0"/>
        <w:pageBreakBefore w:val="0"/>
        <w:kinsoku/>
        <w:overflowPunct/>
        <w:topLinePunct w:val="0"/>
        <w:autoSpaceDE/>
        <w:autoSpaceDN/>
        <w:bidi w:val="0"/>
        <w:adjustRightInd w:val="0"/>
        <w:snapToGrid w:val="0"/>
        <w:spacing w:line="560" w:lineRule="exact"/>
        <w:ind w:firstLine="420" w:firstLineChars="200"/>
        <w:rPr>
          <w:rFonts w:hint="eastAsia" w:ascii="宋体" w:hAnsi="宋体" w:eastAsia="宋体" w:cs="宋体"/>
          <w:szCs w:val="21"/>
          <w:lang w:eastAsia="zh-Hans"/>
        </w:rPr>
      </w:pPr>
      <w:r>
        <w:rPr>
          <w:rFonts w:hint="eastAsia" w:ascii="宋体" w:hAnsi="宋体" w:eastAsia="宋体" w:cs="宋体"/>
          <w:szCs w:val="21"/>
          <w:lang w:eastAsia="zh-Hans"/>
        </w:rPr>
        <w:t>本合同如发生纠纷，当事人双方应当及时协商解决，协商不成时，可以直接向合同签约地人民法院提起诉讼。</w:t>
      </w:r>
    </w:p>
    <w:p w14:paraId="4928BE41">
      <w:pPr>
        <w:keepNext w:val="0"/>
        <w:keepLines w:val="0"/>
        <w:pageBreakBefore w:val="0"/>
        <w:widowControl/>
        <w:kinsoku/>
        <w:wordWrap w:val="0"/>
        <w:overflowPunct/>
        <w:topLinePunct w:val="0"/>
        <w:autoSpaceDE/>
        <w:autoSpaceDN/>
        <w:bidi w:val="0"/>
        <w:adjustRightInd w:val="0"/>
        <w:snapToGrid w:val="0"/>
        <w:spacing w:before="0" w:after="0" w:afterLines="0" w:line="560" w:lineRule="exact"/>
        <w:ind w:firstLine="422" w:firstLineChars="200"/>
        <w:outlineLvl w:val="0"/>
        <w:rPr>
          <w:rFonts w:hint="eastAsia" w:ascii="宋体" w:hAnsi="宋体" w:eastAsia="宋体" w:cs="宋体"/>
          <w:kern w:val="0"/>
          <w:sz w:val="21"/>
          <w:szCs w:val="21"/>
        </w:rPr>
      </w:pPr>
      <w:bookmarkStart w:id="14" w:name="_Toc11779"/>
      <w:r>
        <w:rPr>
          <w:rFonts w:hint="eastAsia" w:ascii="宋体" w:hAnsi="宋体" w:eastAsia="宋体" w:cs="宋体"/>
          <w:b/>
          <w:bCs/>
          <w:kern w:val="0"/>
          <w:sz w:val="21"/>
          <w:szCs w:val="21"/>
          <w:lang w:val="en-US" w:eastAsia="zh-CN"/>
        </w:rPr>
        <w:t xml:space="preserve">第八条 </w:t>
      </w:r>
      <w:r>
        <w:rPr>
          <w:rFonts w:hint="eastAsia" w:ascii="宋体" w:hAnsi="宋体" w:eastAsia="宋体" w:cs="宋体"/>
          <w:b/>
          <w:bCs/>
          <w:kern w:val="0"/>
          <w:sz w:val="21"/>
          <w:szCs w:val="21"/>
        </w:rPr>
        <w:t>其他</w:t>
      </w:r>
      <w:bookmarkEnd w:id="14"/>
    </w:p>
    <w:p w14:paraId="725D4ED4">
      <w:pPr>
        <w:keepNext w:val="0"/>
        <w:keepLines w:val="0"/>
        <w:pageBreakBefore w:val="0"/>
        <w:kinsoku/>
        <w:overflowPunct/>
        <w:topLinePunct w:val="0"/>
        <w:autoSpaceDE/>
        <w:autoSpaceDN/>
        <w:bidi w:val="0"/>
        <w:adjustRightInd w:val="0"/>
        <w:snapToGrid w:val="0"/>
        <w:spacing w:line="560" w:lineRule="exact"/>
        <w:ind w:firstLine="420" w:firstLineChars="200"/>
        <w:rPr>
          <w:rFonts w:hint="eastAsia" w:ascii="宋体" w:hAnsi="宋体" w:eastAsia="宋体" w:cs="宋体"/>
          <w:szCs w:val="21"/>
          <w:lang w:eastAsia="zh-Hans"/>
        </w:rPr>
      </w:pPr>
      <w:r>
        <w:rPr>
          <w:rFonts w:hint="eastAsia" w:ascii="宋体" w:hAnsi="宋体" w:eastAsia="宋体" w:cs="宋体"/>
          <w:szCs w:val="21"/>
          <w:lang w:val="en-US" w:eastAsia="zh-CN"/>
        </w:rPr>
        <w:t>8.1</w:t>
      </w:r>
      <w:r>
        <w:rPr>
          <w:rFonts w:hint="eastAsia" w:ascii="宋体" w:hAnsi="宋体" w:eastAsia="宋体" w:cs="宋体"/>
          <w:szCs w:val="21"/>
          <w:lang w:eastAsia="zh-Hans"/>
        </w:rPr>
        <w:t>本合同</w:t>
      </w:r>
      <w:r>
        <w:rPr>
          <w:rFonts w:hint="eastAsia" w:ascii="宋体" w:hAnsi="宋体" w:eastAsia="宋体" w:cs="宋体"/>
          <w:szCs w:val="21"/>
        </w:rPr>
        <w:t>约</w:t>
      </w:r>
      <w:r>
        <w:rPr>
          <w:rFonts w:hint="eastAsia" w:ascii="宋体" w:hAnsi="宋体" w:eastAsia="宋体" w:cs="宋体"/>
          <w:szCs w:val="21"/>
          <w:lang w:eastAsia="zh-Hans"/>
        </w:rPr>
        <w:t>定双方需提交的附件、资料等应及时提交，并盖章确认。上述附件、资料与合同在履行过程中所发生的函件、会议纪要、通知等，经双方盖章确认后成为本合同的组成部分。</w:t>
      </w:r>
    </w:p>
    <w:p w14:paraId="0F6AF625">
      <w:pPr>
        <w:keepNext w:val="0"/>
        <w:keepLines w:val="0"/>
        <w:pageBreakBefore w:val="0"/>
        <w:kinsoku/>
        <w:overflowPunct/>
        <w:topLinePunct w:val="0"/>
        <w:autoSpaceDE/>
        <w:autoSpaceDN/>
        <w:bidi w:val="0"/>
        <w:adjustRightInd w:val="0"/>
        <w:snapToGrid w:val="0"/>
        <w:spacing w:line="560" w:lineRule="exact"/>
        <w:ind w:firstLine="420" w:firstLineChars="200"/>
        <w:rPr>
          <w:rFonts w:hint="eastAsia" w:ascii="宋体" w:hAnsi="宋体" w:eastAsia="宋体" w:cs="宋体"/>
          <w:szCs w:val="21"/>
          <w:lang w:eastAsia="zh-Hans"/>
        </w:rPr>
      </w:pPr>
      <w:r>
        <w:rPr>
          <w:rFonts w:hint="eastAsia" w:ascii="宋体" w:hAnsi="宋体" w:eastAsia="宋体" w:cs="宋体"/>
          <w:szCs w:val="21"/>
          <w:lang w:val="en-US" w:eastAsia="zh-CN"/>
        </w:rPr>
        <w:t>8.2</w:t>
      </w:r>
      <w:r>
        <w:rPr>
          <w:rFonts w:hint="eastAsia" w:ascii="宋体" w:hAnsi="宋体" w:eastAsia="宋体" w:cs="宋体"/>
          <w:szCs w:val="21"/>
          <w:lang w:eastAsia="zh-Hans"/>
        </w:rPr>
        <w:t>本合同自双方签字盖章起生效，如有未尽事宜，须经双方共同协商另行签订补充协议。</w:t>
      </w:r>
    </w:p>
    <w:p w14:paraId="6B4513C3">
      <w:pPr>
        <w:keepNext w:val="0"/>
        <w:keepLines w:val="0"/>
        <w:pageBreakBefore w:val="0"/>
        <w:kinsoku/>
        <w:overflowPunct/>
        <w:topLinePunct w:val="0"/>
        <w:autoSpaceDE/>
        <w:autoSpaceDN/>
        <w:bidi w:val="0"/>
        <w:adjustRightInd w:val="0"/>
        <w:snapToGrid w:val="0"/>
        <w:spacing w:line="56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8.3</w:t>
      </w:r>
      <w:r>
        <w:rPr>
          <w:rFonts w:hint="eastAsia" w:ascii="宋体" w:hAnsi="宋体" w:eastAsia="宋体" w:cs="宋体"/>
          <w:szCs w:val="21"/>
          <w:lang w:eastAsia="zh-Hans"/>
        </w:rPr>
        <w:t>本合同一式</w:t>
      </w:r>
      <w:r>
        <w:rPr>
          <w:rFonts w:hint="eastAsia" w:ascii="宋体" w:hAnsi="宋体" w:eastAsia="宋体" w:cs="宋体"/>
          <w:szCs w:val="21"/>
        </w:rPr>
        <w:t>拾壹</w:t>
      </w:r>
      <w:r>
        <w:rPr>
          <w:rFonts w:hint="eastAsia" w:ascii="宋体" w:hAnsi="宋体" w:eastAsia="宋体" w:cs="宋体"/>
          <w:szCs w:val="21"/>
          <w:lang w:eastAsia="zh-Hans"/>
        </w:rPr>
        <w:t>份，甲方执柒份，乙方执肆份，具同等法律效力。</w:t>
      </w:r>
    </w:p>
    <w:p w14:paraId="4E5900E6">
      <w:pPr>
        <w:keepNext w:val="0"/>
        <w:keepLines w:val="0"/>
        <w:pageBreakBefore w:val="0"/>
        <w:kinsoku/>
        <w:overflowPunct/>
        <w:topLinePunct w:val="0"/>
        <w:autoSpaceDE/>
        <w:autoSpaceDN/>
        <w:bidi w:val="0"/>
        <w:adjustRightInd w:val="0"/>
        <w:snapToGrid w:val="0"/>
        <w:spacing w:line="560" w:lineRule="exact"/>
        <w:ind w:firstLine="420" w:firstLineChars="200"/>
        <w:rPr>
          <w:rFonts w:hint="eastAsia" w:ascii="宋体" w:hAnsi="宋体" w:eastAsia="宋体" w:cs="宋体"/>
          <w:szCs w:val="21"/>
          <w:lang w:eastAsia="zh-Hans"/>
        </w:rPr>
      </w:pPr>
      <w:r>
        <w:rPr>
          <w:rFonts w:hint="eastAsia" w:ascii="宋体" w:hAnsi="宋体" w:eastAsia="宋体" w:cs="宋体"/>
          <w:szCs w:val="21"/>
          <w:lang w:val="en-US" w:eastAsia="zh-CN"/>
        </w:rPr>
        <w:t>8.4</w:t>
      </w:r>
      <w:r>
        <w:rPr>
          <w:rFonts w:hint="eastAsia" w:ascii="宋体" w:hAnsi="宋体" w:eastAsia="宋体" w:cs="宋体"/>
          <w:szCs w:val="21"/>
          <w:lang w:eastAsia="zh-Hans"/>
        </w:rPr>
        <w:t>本合同订立时</w:t>
      </w:r>
      <w:r>
        <w:rPr>
          <w:rFonts w:hint="eastAsia" w:ascii="宋体" w:hAnsi="宋体" w:eastAsia="宋体" w:cs="宋体"/>
          <w:szCs w:val="21"/>
          <w:highlight w:val="none"/>
          <w:lang w:eastAsia="zh-Hans"/>
        </w:rPr>
        <w:t>间：202</w:t>
      </w:r>
      <w:r>
        <w:rPr>
          <w:rFonts w:hint="eastAsia" w:ascii="宋体" w:hAnsi="宋体" w:cs="宋体"/>
          <w:szCs w:val="21"/>
          <w:highlight w:val="none"/>
          <w:lang w:val="en-US" w:eastAsia="zh-CN"/>
        </w:rPr>
        <w:t>6</w:t>
      </w:r>
      <w:r>
        <w:rPr>
          <w:rFonts w:hint="eastAsia" w:ascii="宋体" w:hAnsi="宋体" w:eastAsia="宋体" w:cs="宋体"/>
          <w:szCs w:val="21"/>
          <w:highlight w:val="none"/>
          <w:lang w:eastAsia="zh-Hans"/>
        </w:rPr>
        <w:t xml:space="preserve"> 年    月    日。</w:t>
      </w:r>
    </w:p>
    <w:p w14:paraId="43D39A9C">
      <w:pPr>
        <w:keepNext w:val="0"/>
        <w:keepLines w:val="0"/>
        <w:pageBreakBefore w:val="0"/>
        <w:kinsoku/>
        <w:overflowPunct/>
        <w:topLinePunct w:val="0"/>
        <w:autoSpaceDE/>
        <w:autoSpaceDN/>
        <w:bidi w:val="0"/>
        <w:adjustRightInd w:val="0"/>
        <w:snapToGrid w:val="0"/>
        <w:spacing w:line="560" w:lineRule="exact"/>
        <w:ind w:firstLine="420" w:firstLineChars="200"/>
        <w:rPr>
          <w:rFonts w:hint="eastAsia" w:ascii="宋体" w:hAnsi="宋体" w:eastAsia="宋体" w:cs="宋体"/>
          <w:sz w:val="21"/>
          <w:szCs w:val="21"/>
          <w:lang w:eastAsia="zh-CN"/>
        </w:rPr>
      </w:pPr>
      <w:r>
        <w:rPr>
          <w:rFonts w:hint="eastAsia" w:ascii="宋体" w:hAnsi="宋体" w:eastAsia="宋体" w:cs="宋体"/>
          <w:szCs w:val="21"/>
          <w:lang w:val="en-US" w:eastAsia="zh-CN"/>
        </w:rPr>
        <w:t>8.5</w:t>
      </w:r>
      <w:r>
        <w:rPr>
          <w:rFonts w:hint="eastAsia" w:ascii="宋体" w:hAnsi="宋体" w:eastAsia="宋体" w:cs="宋体"/>
          <w:szCs w:val="21"/>
          <w:lang w:val="en-US" w:eastAsia="zh-Hans"/>
        </w:rPr>
        <w:t>订立地点：深圳市前海深港现代服务业合作区。</w:t>
      </w:r>
    </w:p>
    <w:p w14:paraId="216BAAA3">
      <w:pPr>
        <w:keepNext w:val="0"/>
        <w:keepLines w:val="0"/>
        <w:pageBreakBefore w:val="0"/>
        <w:kinsoku/>
        <w:overflowPunct/>
        <w:topLinePunct w:val="0"/>
        <w:autoSpaceDE/>
        <w:autoSpaceDN/>
        <w:bidi w:val="0"/>
        <w:spacing w:line="360" w:lineRule="auto"/>
        <w:ind w:firstLine="420" w:firstLineChars="200"/>
        <w:rPr>
          <w:rFonts w:hint="eastAsia" w:ascii="宋体" w:hAnsi="宋体" w:eastAsia="宋体" w:cs="宋体"/>
          <w:kern w:val="0"/>
          <w:sz w:val="21"/>
          <w:szCs w:val="21"/>
          <w:lang w:val="en-US" w:eastAsia="zh-CN"/>
        </w:rPr>
      </w:pPr>
    </w:p>
    <w:p w14:paraId="36C7FE5D">
      <w:pPr>
        <w:keepNext w:val="0"/>
        <w:keepLines w:val="0"/>
        <w:pageBreakBefore w:val="0"/>
        <w:kinsoku/>
        <w:overflowPunct/>
        <w:topLinePunct w:val="0"/>
        <w:autoSpaceDE/>
        <w:autoSpaceDN/>
        <w:bidi w:val="0"/>
        <w:spacing w:line="360" w:lineRule="auto"/>
        <w:ind w:firstLine="420" w:firstLineChars="200"/>
        <w:rPr>
          <w:rFonts w:hint="eastAsia" w:ascii="宋体" w:hAnsi="宋体" w:cs="宋体"/>
          <w:b/>
          <w:bCs/>
          <w:kern w:val="0"/>
          <w:sz w:val="24"/>
          <w:highlight w:val="none"/>
          <w:lang w:val="en-US" w:eastAsia="zh-CN"/>
        </w:rPr>
      </w:pPr>
      <w:r>
        <w:rPr>
          <w:rFonts w:hint="eastAsia" w:ascii="宋体" w:hAnsi="宋体" w:eastAsia="宋体" w:cs="宋体"/>
          <w:kern w:val="0"/>
          <w:sz w:val="21"/>
          <w:szCs w:val="21"/>
          <w:lang w:val="en-US" w:eastAsia="zh-CN"/>
        </w:rPr>
        <w:t>附件1：交易广场T4T5栋公寓开盘及拓客礼品清单</w:t>
      </w:r>
    </w:p>
    <w:p w14:paraId="42B84B30">
      <w:pPr>
        <w:keepNext w:val="0"/>
        <w:keepLines w:val="0"/>
        <w:pageBreakBefore w:val="0"/>
        <w:kinsoku/>
        <w:overflowPunct/>
        <w:topLinePunct w:val="0"/>
        <w:autoSpaceDE/>
        <w:autoSpaceDN/>
        <w:bidi w:val="0"/>
        <w:spacing w:line="360" w:lineRule="auto"/>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附件2：工作任务书 </w:t>
      </w:r>
    </w:p>
    <w:p w14:paraId="5BA4E0CA">
      <w:pPr>
        <w:keepNext w:val="0"/>
        <w:keepLines w:val="0"/>
        <w:pageBreakBefore w:val="0"/>
        <w:kinsoku/>
        <w:overflowPunct/>
        <w:topLinePunct w:val="0"/>
        <w:autoSpaceDE/>
        <w:autoSpaceDN/>
        <w:bidi w:val="0"/>
        <w:spacing w:line="360" w:lineRule="auto"/>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附件3：履约评价表</w:t>
      </w:r>
    </w:p>
    <w:p w14:paraId="55A5D48F">
      <w:pPr>
        <w:keepNext w:val="0"/>
        <w:keepLines w:val="0"/>
        <w:pageBreakBefore w:val="0"/>
        <w:kinsoku/>
        <w:overflowPunct/>
        <w:topLinePunct w:val="0"/>
        <w:autoSpaceDE/>
        <w:autoSpaceDN/>
        <w:bidi w:val="0"/>
        <w:spacing w:line="360" w:lineRule="auto"/>
        <w:ind w:firstLine="420" w:firstLineChars="20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附件4：质量保修书</w:t>
      </w:r>
    </w:p>
    <w:p w14:paraId="055B8549">
      <w:pPr>
        <w:keepNext w:val="0"/>
        <w:keepLines w:val="0"/>
        <w:pageBreakBefore w:val="0"/>
        <w:kinsoku/>
        <w:overflowPunct/>
        <w:topLinePunct w:val="0"/>
        <w:autoSpaceDE/>
        <w:autoSpaceDN/>
        <w:bidi w:val="0"/>
        <w:spacing w:line="360" w:lineRule="auto"/>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附件4：廉洁协议</w:t>
      </w:r>
    </w:p>
    <w:p w14:paraId="20F3858F">
      <w:pPr>
        <w:pStyle w:val="2"/>
        <w:rPr>
          <w:rFonts w:hint="eastAsia" w:ascii="宋体" w:hAnsi="宋体" w:eastAsia="宋体" w:cs="宋体"/>
          <w:kern w:val="0"/>
          <w:sz w:val="21"/>
          <w:szCs w:val="21"/>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440" w:right="1797" w:bottom="1440" w:left="1797" w:header="851" w:footer="992" w:gutter="0"/>
          <w:cols w:space="720" w:num="1"/>
          <w:docGrid w:linePitch="462" w:charSpace="0"/>
        </w:sectPr>
      </w:pPr>
    </w:p>
    <w:p w14:paraId="32249239">
      <w:pPr>
        <w:keepNext w:val="0"/>
        <w:keepLines w:val="0"/>
        <w:pageBreakBefore w:val="0"/>
        <w:widowControl/>
        <w:kinsoku/>
        <w:wordWrap/>
        <w:overflowPunct/>
        <w:topLinePunct w:val="0"/>
        <w:autoSpaceDE/>
        <w:autoSpaceDN/>
        <w:bidi w:val="0"/>
        <w:snapToGrid/>
        <w:spacing w:line="560" w:lineRule="exact"/>
        <w:jc w:val="center"/>
        <w:rPr>
          <w:rFonts w:hint="eastAsia" w:ascii="宋体" w:hAnsi="宋体" w:eastAsia="宋体" w:cs="宋体"/>
          <w:sz w:val="21"/>
          <w:szCs w:val="21"/>
        </w:rPr>
      </w:pPr>
      <w:r>
        <w:rPr>
          <w:rFonts w:hint="eastAsia" w:ascii="宋体" w:hAnsi="宋体" w:eastAsia="宋体" w:cs="宋体"/>
          <w:sz w:val="21"/>
          <w:szCs w:val="21"/>
        </w:rPr>
        <w:t>（以下无正文）</w:t>
      </w:r>
    </w:p>
    <w:p w14:paraId="2D485228">
      <w:pPr>
        <w:keepNext w:val="0"/>
        <w:keepLines w:val="0"/>
        <w:pageBreakBefore w:val="0"/>
        <w:kinsoku/>
        <w:overflowPunct/>
        <w:topLinePunct w:val="0"/>
        <w:autoSpaceDE/>
        <w:autoSpaceDN/>
        <w:bidi w:val="0"/>
        <w:spacing w:after="0" w:afterLines="-2147483648" w:line="560" w:lineRule="exact"/>
        <w:ind w:firstLine="420" w:firstLineChars="200"/>
        <w:rPr>
          <w:rFonts w:hint="eastAsia" w:ascii="宋体" w:hAnsi="宋体" w:eastAsia="宋体" w:cs="宋体"/>
          <w:kern w:val="0"/>
          <w:sz w:val="21"/>
          <w:szCs w:val="21"/>
        </w:rPr>
      </w:pPr>
    </w:p>
    <w:p w14:paraId="303A942D">
      <w:pPr>
        <w:keepNext w:val="0"/>
        <w:keepLines w:val="0"/>
        <w:pageBreakBefore w:val="0"/>
        <w:kinsoku/>
        <w:overflowPunct/>
        <w:topLinePunct w:val="0"/>
        <w:autoSpaceDE/>
        <w:autoSpaceDN/>
        <w:bidi w:val="0"/>
        <w:spacing w:after="0" w:afterLines="-2147483648" w:line="56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（本页为合同当事人签署页）</w:t>
      </w:r>
    </w:p>
    <w:p w14:paraId="0AD6BE62">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kern w:val="0"/>
          <w:sz w:val="21"/>
          <w:szCs w:val="21"/>
          <w:highlight w:val="none"/>
        </w:rPr>
      </w:pPr>
    </w:p>
    <w:p w14:paraId="6DF5584C">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委托人（章）：</w:t>
      </w:r>
    </w:p>
    <w:p w14:paraId="4E35F3E5">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kern w:val="0"/>
          <w:sz w:val="21"/>
          <w:szCs w:val="21"/>
          <w:highlight w:val="none"/>
        </w:rPr>
      </w:pPr>
    </w:p>
    <w:p w14:paraId="05CF2F93">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法定代表人（负责人）：                 </w:t>
      </w:r>
    </w:p>
    <w:p w14:paraId="26829AC9">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kern w:val="0"/>
          <w:sz w:val="21"/>
          <w:szCs w:val="21"/>
          <w:highlight w:val="none"/>
        </w:rPr>
      </w:pPr>
    </w:p>
    <w:p w14:paraId="000C2242">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或授权代表人：                       </w:t>
      </w:r>
    </w:p>
    <w:p w14:paraId="7F84FD1D">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kern w:val="0"/>
          <w:sz w:val="21"/>
          <w:szCs w:val="21"/>
          <w:highlight w:val="none"/>
        </w:rPr>
      </w:pPr>
    </w:p>
    <w:p w14:paraId="1B2A4146">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日期：  </w:t>
      </w:r>
    </w:p>
    <w:p w14:paraId="1D2131AE">
      <w:pPr>
        <w:keepNext w:val="0"/>
        <w:keepLines w:val="0"/>
        <w:pageBreakBefore w:val="0"/>
        <w:kinsoku/>
        <w:overflowPunct/>
        <w:topLinePunct w:val="0"/>
        <w:autoSpaceDE/>
        <w:autoSpaceDN/>
        <w:bidi w:val="0"/>
        <w:spacing w:after="156" w:afterLines="50" w:line="560" w:lineRule="exact"/>
        <w:ind w:firstLine="0"/>
        <w:rPr>
          <w:rFonts w:hint="eastAsia" w:ascii="宋体" w:hAnsi="宋体" w:eastAsia="宋体" w:cs="宋体"/>
          <w:kern w:val="0"/>
          <w:sz w:val="21"/>
          <w:szCs w:val="21"/>
          <w:highlight w:val="none"/>
        </w:rPr>
      </w:pPr>
    </w:p>
    <w:p w14:paraId="45A63B0E">
      <w:pPr>
        <w:spacing w:after="120" w:afterLines="50" w:line="560" w:lineRule="exact"/>
        <w:ind w:firstLine="420"/>
        <w:rPr>
          <w:rFonts w:ascii="宋体" w:hAnsi="宋体" w:cs="宋体"/>
          <w:kern w:val="0"/>
          <w:szCs w:val="21"/>
          <w:highlight w:val="none"/>
        </w:rPr>
      </w:pPr>
      <w:r>
        <w:rPr>
          <w:rFonts w:hint="eastAsia" w:ascii="宋体" w:hAnsi="宋体" w:eastAsia="宋体" w:cs="宋体"/>
          <w:kern w:val="0"/>
          <w:sz w:val="21"/>
          <w:szCs w:val="21"/>
          <w:highlight w:val="none"/>
        </w:rPr>
        <w:t>受托人（章）：</w:t>
      </w:r>
    </w:p>
    <w:p w14:paraId="71EC3595">
      <w:pPr>
        <w:keepNext w:val="0"/>
        <w:keepLines w:val="0"/>
        <w:pageBreakBefore w:val="0"/>
        <w:kinsoku/>
        <w:overflowPunct/>
        <w:topLinePunct w:val="0"/>
        <w:autoSpaceDE/>
        <w:autoSpaceDN/>
        <w:bidi w:val="0"/>
        <w:spacing w:after="156" w:afterLines="50" w:line="560" w:lineRule="exact"/>
        <w:rPr>
          <w:rFonts w:hint="eastAsia" w:ascii="宋体" w:hAnsi="宋体" w:eastAsia="宋体" w:cs="宋体"/>
          <w:kern w:val="0"/>
          <w:sz w:val="21"/>
          <w:szCs w:val="21"/>
          <w:highlight w:val="none"/>
        </w:rPr>
      </w:pPr>
    </w:p>
    <w:p w14:paraId="798C01DC">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法定代表人（负责人）：</w:t>
      </w:r>
    </w:p>
    <w:p w14:paraId="126E5BE0">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kern w:val="0"/>
          <w:sz w:val="21"/>
          <w:szCs w:val="21"/>
          <w:highlight w:val="none"/>
        </w:rPr>
      </w:pPr>
    </w:p>
    <w:p w14:paraId="76F975E0">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或授权代表人：</w:t>
      </w:r>
    </w:p>
    <w:p w14:paraId="26100527">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kern w:val="0"/>
          <w:sz w:val="21"/>
          <w:szCs w:val="21"/>
          <w:highlight w:val="none"/>
        </w:rPr>
      </w:pPr>
    </w:p>
    <w:p w14:paraId="561FFD7C">
      <w:pPr>
        <w:keepNext w:val="0"/>
        <w:keepLines w:val="0"/>
        <w:pageBreakBefore w:val="0"/>
        <w:kinsoku/>
        <w:overflowPunct/>
        <w:topLinePunct w:val="0"/>
        <w:autoSpaceDE/>
        <w:autoSpaceDN/>
        <w:bidi w:val="0"/>
        <w:spacing w:after="156" w:afterLines="50" w:line="560" w:lineRule="exact"/>
        <w:ind w:firstLine="480"/>
        <w:rPr>
          <w:rFonts w:hint="eastAsia" w:ascii="宋体" w:hAnsi="宋体" w:eastAsia="宋体" w:cs="宋体"/>
          <w:b/>
          <w:bCs/>
          <w:kern w:val="0"/>
          <w:sz w:val="24"/>
          <w:highlight w:val="none"/>
        </w:rPr>
      </w:pPr>
      <w:r>
        <w:rPr>
          <w:rFonts w:hint="eastAsia" w:ascii="宋体" w:hAnsi="宋体" w:eastAsia="宋体" w:cs="宋体"/>
          <w:kern w:val="0"/>
          <w:sz w:val="21"/>
          <w:szCs w:val="21"/>
          <w:highlight w:val="none"/>
        </w:rPr>
        <w:t>日期：</w:t>
      </w:r>
    </w:p>
    <w:p w14:paraId="16A8A5C4">
      <w:pPr>
        <w:spacing w:line="360" w:lineRule="auto"/>
        <w:ind w:firstLine="0" w:firstLineChars="0"/>
        <w:rPr>
          <w:rFonts w:hint="eastAsia" w:ascii="宋体" w:hAnsi="宋体" w:eastAsia="宋体" w:cs="宋体"/>
          <w:b/>
          <w:bCs/>
          <w:kern w:val="0"/>
          <w:sz w:val="24"/>
          <w:highlight w:val="green"/>
          <w:lang w:val="en-US" w:eastAsia="zh-CN"/>
        </w:rPr>
      </w:pPr>
    </w:p>
    <w:p w14:paraId="67A0259F">
      <w:pPr>
        <w:pStyle w:val="2"/>
        <w:rPr>
          <w:rFonts w:hint="eastAsia" w:ascii="宋体" w:hAnsi="宋体" w:eastAsia="宋体" w:cs="宋体"/>
          <w:b/>
          <w:bCs/>
          <w:kern w:val="0"/>
          <w:sz w:val="24"/>
          <w:highlight w:val="none"/>
          <w:lang w:val="en-US" w:eastAsia="zh-CN"/>
        </w:rPr>
      </w:pPr>
    </w:p>
    <w:p w14:paraId="64CB886B">
      <w:pPr>
        <w:rPr>
          <w:rFonts w:hint="eastAsia"/>
          <w:lang w:val="en-US" w:eastAsia="zh-CN"/>
        </w:rPr>
      </w:pPr>
    </w:p>
    <w:p w14:paraId="335A0275">
      <w:pPr>
        <w:pStyle w:val="23"/>
        <w:spacing w:after="120" w:afterLines="50" w:line="240" w:lineRule="auto"/>
        <w:ind w:firstLine="0" w:firstLineChars="0"/>
        <w:outlineLvl w:val="0"/>
        <w:rPr>
          <w:rFonts w:hint="eastAsia" w:ascii="宋体" w:hAnsi="宋体" w:eastAsia="宋体" w:cs="宋体"/>
          <w:b/>
          <w:bCs/>
          <w:kern w:val="0"/>
          <w:sz w:val="24"/>
          <w:lang w:val="en-US" w:eastAsia="zh-CN"/>
        </w:rPr>
      </w:pPr>
      <w:bookmarkStart w:id="15" w:name="_Toc5442"/>
      <w:r>
        <w:rPr>
          <w:rFonts w:hint="eastAsia" w:ascii="宋体" w:hAnsi="宋体" w:eastAsia="宋体" w:cs="宋体"/>
          <w:b/>
          <w:bCs/>
          <w:kern w:val="0"/>
          <w:sz w:val="24"/>
          <w:lang w:val="en-US" w:eastAsia="zh-CN"/>
        </w:rPr>
        <w:t>附件1：交易广场T4T5栋公寓开盘及拓客礼品清单</w:t>
      </w:r>
      <w:bookmarkEnd w:id="15"/>
    </w:p>
    <w:tbl>
      <w:tblPr>
        <w:tblStyle w:val="19"/>
        <w:tblW w:w="85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
        <w:gridCol w:w="1052"/>
        <w:gridCol w:w="3932"/>
        <w:gridCol w:w="763"/>
        <w:gridCol w:w="628"/>
        <w:gridCol w:w="1458"/>
      </w:tblGrid>
      <w:tr w14:paraId="0419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C71CD">
            <w:pPr>
              <w:keepNext w:val="0"/>
              <w:keepLines w:val="0"/>
              <w:widowControl/>
              <w:suppressLineNumbers w:val="0"/>
              <w:snapToGrid w:val="0"/>
              <w:spacing w:line="240" w:lineRule="auto"/>
              <w:ind w:left="0" w:leftChars="0" w:right="0" w:rightChars="0" w:firstLine="0" w:firstLineChars="0"/>
              <w:jc w:val="center"/>
              <w:textAlignment w:val="center"/>
              <w:rPr>
                <w:rFonts w:ascii="微软雅黑" w:hAnsi="微软雅黑" w:eastAsia="微软雅黑" w:cs="微软雅黑"/>
                <w:b/>
                <w:i w:val="0"/>
                <w:iCs w:val="0"/>
                <w:color w:val="000000"/>
                <w:sz w:val="16"/>
                <w:szCs w:val="16"/>
                <w:u w:val="none"/>
              </w:rPr>
            </w:pPr>
            <w:r>
              <w:rPr>
                <w:rFonts w:hint="eastAsia" w:ascii="微软雅黑" w:hAnsi="微软雅黑" w:eastAsia="微软雅黑" w:cs="微软雅黑"/>
                <w:b/>
                <w:i w:val="0"/>
                <w:iCs w:val="0"/>
                <w:color w:val="000000"/>
                <w:kern w:val="0"/>
                <w:sz w:val="16"/>
                <w:szCs w:val="16"/>
                <w:u w:val="none"/>
                <w:lang w:val="en-US" w:eastAsia="zh-CN" w:bidi="ar"/>
              </w:rPr>
              <w:t>序号</w:t>
            </w:r>
          </w:p>
        </w:tc>
        <w:tc>
          <w:tcPr>
            <w:tcW w:w="1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B61CA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b/>
                <w:i w:val="0"/>
                <w:iCs w:val="0"/>
                <w:color w:val="000000"/>
                <w:sz w:val="16"/>
                <w:szCs w:val="16"/>
                <w:u w:val="none"/>
              </w:rPr>
            </w:pPr>
            <w:r>
              <w:rPr>
                <w:rFonts w:hint="eastAsia" w:ascii="微软雅黑" w:hAnsi="微软雅黑" w:eastAsia="微软雅黑" w:cs="微软雅黑"/>
                <w:b/>
                <w:i w:val="0"/>
                <w:iCs w:val="0"/>
                <w:color w:val="000000"/>
                <w:kern w:val="0"/>
                <w:sz w:val="16"/>
                <w:szCs w:val="16"/>
                <w:u w:val="none"/>
                <w:lang w:val="en-US" w:eastAsia="zh-CN" w:bidi="ar"/>
              </w:rPr>
              <w:t>产品名称</w:t>
            </w:r>
          </w:p>
        </w:tc>
        <w:tc>
          <w:tcPr>
            <w:tcW w:w="39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1E5B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b/>
                <w:i w:val="0"/>
                <w:iCs w:val="0"/>
                <w:color w:val="000000"/>
                <w:sz w:val="16"/>
                <w:szCs w:val="16"/>
                <w:u w:val="none"/>
              </w:rPr>
            </w:pPr>
            <w:r>
              <w:rPr>
                <w:rFonts w:hint="eastAsia" w:ascii="微软雅黑" w:hAnsi="微软雅黑" w:eastAsia="微软雅黑" w:cs="微软雅黑"/>
                <w:b/>
                <w:i w:val="0"/>
                <w:iCs w:val="0"/>
                <w:color w:val="000000"/>
                <w:kern w:val="0"/>
                <w:sz w:val="16"/>
                <w:szCs w:val="16"/>
                <w:u w:val="none"/>
                <w:lang w:val="en-US" w:eastAsia="zh-CN" w:bidi="ar"/>
              </w:rPr>
              <w:t>商品规格</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343A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b/>
                <w:i w:val="0"/>
                <w:iCs w:val="0"/>
                <w:color w:val="000000"/>
                <w:kern w:val="0"/>
                <w:sz w:val="16"/>
                <w:szCs w:val="16"/>
                <w:u w:val="none"/>
                <w:lang w:val="en-US" w:eastAsia="zh-CN" w:bidi="ar"/>
              </w:rPr>
            </w:pPr>
            <w:r>
              <w:rPr>
                <w:rFonts w:hint="eastAsia" w:ascii="微软雅黑" w:hAnsi="微软雅黑" w:eastAsia="微软雅黑" w:cs="微软雅黑"/>
                <w:b/>
                <w:i w:val="0"/>
                <w:iCs w:val="0"/>
                <w:color w:val="000000"/>
                <w:kern w:val="0"/>
                <w:sz w:val="16"/>
                <w:szCs w:val="16"/>
                <w:u w:val="none"/>
                <w:lang w:val="en-US" w:eastAsia="zh-CN" w:bidi="ar"/>
              </w:rPr>
              <w:t>数量</w:t>
            </w:r>
          </w:p>
        </w:tc>
        <w:tc>
          <w:tcPr>
            <w:tcW w:w="6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E3A94">
            <w:pPr>
              <w:keepNext w:val="0"/>
              <w:keepLines w:val="0"/>
              <w:widowControl/>
              <w:suppressLineNumbers w:val="0"/>
              <w:snapToGrid w:val="0"/>
              <w:spacing w:line="240" w:lineRule="auto"/>
              <w:ind w:left="0" w:leftChars="0" w:right="0" w:rightChars="0" w:firstLine="0" w:firstLineChars="0"/>
              <w:jc w:val="center"/>
              <w:textAlignment w:val="center"/>
              <w:rPr>
                <w:rFonts w:hint="default" w:ascii="微软雅黑" w:hAnsi="微软雅黑" w:eastAsia="微软雅黑" w:cs="微软雅黑"/>
                <w:b/>
                <w:i w:val="0"/>
                <w:iCs w:val="0"/>
                <w:color w:val="000000"/>
                <w:kern w:val="0"/>
                <w:sz w:val="16"/>
                <w:szCs w:val="16"/>
                <w:u w:val="none"/>
                <w:lang w:val="en-US" w:eastAsia="zh-CN" w:bidi="ar"/>
              </w:rPr>
            </w:pPr>
            <w:r>
              <w:rPr>
                <w:rFonts w:hint="eastAsia" w:ascii="微软雅黑" w:hAnsi="微软雅黑" w:eastAsia="微软雅黑" w:cs="微软雅黑"/>
                <w:b/>
                <w:i w:val="0"/>
                <w:iCs w:val="0"/>
                <w:color w:val="000000"/>
                <w:kern w:val="0"/>
                <w:sz w:val="16"/>
                <w:szCs w:val="16"/>
                <w:u w:val="none"/>
                <w:lang w:val="en-US" w:eastAsia="zh-CN" w:bidi="ar"/>
              </w:rPr>
              <w:t>单价</w:t>
            </w:r>
          </w:p>
        </w:tc>
        <w:tc>
          <w:tcPr>
            <w:tcW w:w="14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333F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b/>
                <w:i w:val="0"/>
                <w:iCs w:val="0"/>
                <w:color w:val="000000"/>
                <w:kern w:val="0"/>
                <w:sz w:val="16"/>
                <w:szCs w:val="16"/>
                <w:u w:val="none"/>
                <w:lang w:val="en-US" w:eastAsia="zh-CN" w:bidi="ar"/>
              </w:rPr>
            </w:pPr>
            <w:r>
              <w:rPr>
                <w:rFonts w:hint="eastAsia" w:ascii="微软雅黑" w:hAnsi="微软雅黑" w:eastAsia="微软雅黑" w:cs="微软雅黑"/>
                <w:b/>
                <w:i w:val="0"/>
                <w:iCs w:val="0"/>
                <w:color w:val="000000"/>
                <w:kern w:val="0"/>
                <w:sz w:val="16"/>
                <w:szCs w:val="16"/>
                <w:u w:val="none"/>
                <w:lang w:val="en-US" w:eastAsia="zh-CN" w:bidi="ar"/>
              </w:rPr>
              <w:t>可选品牌及型号</w:t>
            </w:r>
          </w:p>
        </w:tc>
      </w:tr>
      <w:tr w14:paraId="4A85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4E825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5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9FCB11C">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润护套装礼盒</w:t>
            </w:r>
          </w:p>
        </w:tc>
        <w:tc>
          <w:tcPr>
            <w:tcW w:w="393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6B39874">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内含真丝眼罩、蚕丝蛋白皂、竹制按摩梳组合礼盒，精装礼盒包装，做工精细无异味，材质环保安全，款式简约大方，包装完整品质稳定，适用于日常护理、员工福利、商务集采。</w:t>
            </w:r>
          </w:p>
        </w:tc>
        <w:tc>
          <w:tcPr>
            <w:tcW w:w="76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B2847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62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798E1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610EC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B62D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C92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181EB">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品牌保温杯</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1746C">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食品级优质不锈钢杯身，双层真空隔热结构，保温保冷效果好，密封严实防漏水；杯盖设计实用易开合，拆卸清洗方便，杯身耐磨耐刮，外观简约百搭，轻便实用，居家通勤均可使用，品质达标售后完善。</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9B7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CF9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FB1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6A0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318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2B8F1">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电动刮痧仪  </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2BFBC">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集刮痧、拔罐、热敷多功能一体，多档位负压调节，恒温热敷搭配红光护理，全身适用；无线充电便携款式，手持轻巧易握持，续航持久；亲肤安全材质触头，机身用料环保无异味，操作简单易上手，使用低噪舒适，标配配套用品，售后质保齐全。</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D21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E0A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B00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8BF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3B4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B81B0">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女士便携防晒墩墩伞</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DC457">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迷你五折便携款式，体积小巧易收纳，可随身放入小包口袋；高倍专业防晒面料，有效阻隔紫外线，晴雨两用；伞布防水耐脏易打理，伞骨坚韧稳固抗风，做工精致耐用，款式简约时尚。</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641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B71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E42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695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1268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99966">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便携式冲牙器</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012F5">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一体式手持便携设计，整机防水可水洗，多档位水压调节，脉冲出水清洁力佳，呵护口腔牙龈；可拆卸大容量水箱，清洗便捷，涉水部位采用安全食品级材质；充电续航长久，多重安全防护，操作简易，配件齐全，售后有保障。</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7483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4CF9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F59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586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E38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8AA9F">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品牌养生壶</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ED9F0">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高硼硅玻璃壶身，耐高温安全耐用，接触食材材质健康无异味；配备优质加热底盘，具备防干烧多重防护；多功能模式满足烧水、炖煮、煲汤等日常使用，支持恒温保温，分体设计易清洗，家用实用百搭，品质稳定。</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AAD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8B3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AB2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FF5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5CD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1CA8D">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品牌护肤礼盒</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FA1AF">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精装礼盒搭配手提礼袋，内含水乳、洁面、精华、面霜等正装护肤组合，搭配配套小样赠品；配方温和亲肤，适配多种肤质，主打保湿修护、提亮焕肤等基础护肤功效，成分安全合规，正规品牌正品，送礼福利通用。</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AAF9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32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98D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AA4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EEF8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8AAF0">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户外露营折叠野餐垫</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02E19">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大尺寸加宽设计，加厚复合面料，防水防潮、耐磨防撕裂，表面易清洁打理；可折叠收纳，配备专用收纳袋，便携不占空间，户外露营、野餐、团建多场景通用。</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E6A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F63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A208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990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A289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31893">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品牌真丝套装礼盒</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DD0FB">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甄选优质桑蚕丝面料，质感柔软亲肤，套装搭配眼罩、枕套等居家护理用品，款式简约轻奢，遮光舒适，礼盒精装包装，居家出行商旅皆可使用，对标一线同类真丝礼盒同等品质。</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876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B5E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CC83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AFC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581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96EA7">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多功能电煮锅</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14C76">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食品级安全内胆，使用安心易清洗；多档位火力调控，蒸煮涮煎多用功能，自带安全防护功能，使用便捷，款式轻巧易收纳，居家、办公、宿舍日常使用皆宜。</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884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381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27D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CB4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367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09642">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车载香薰高端礼盒</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47694">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天然清新香氛，有效净化车内异味，散香持久；简约高级外观造型，礼盒精致大气，车载室内两用，商务礼品百搭，选材用料质感出众。</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216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AA5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20D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0982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4D3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36C7C">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品牌洗护礼盒</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3B4B8">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多件套洗护组合套装，涵盖清洁、润肤、护发等日常护理用品；天然温和配方，亲肤低敏全家适用，高端礼盒整装搭配手提袋，颜值实用兼备。</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4CD7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DA3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434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123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2728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B8860">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直发按摩梳  </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9A0F8">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恒温护发直发造型梳，自带头皮按摩功能，可兼顾直发打理与舒缓按摩，机身轻便便携，充电使用方便，操作简单易上手，礼盒包装适合福利馈赠。</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F69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FC6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B7E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37B7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9B7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EFA15">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个人用品套装</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4BFFB">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整合多款日常清洁、润肤、护理实用好物，组合成套礼盒包装；配方温和无刺激，男女通用，实用性强，企业员工福利、团建礼品优选。</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9027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612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440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6E1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A5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DD734">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品牌太阳镜</w:t>
            </w:r>
          </w:p>
        </w:tc>
        <w:tc>
          <w:tcPr>
            <w:tcW w:w="3932" w:type="dxa"/>
            <w:tcBorders>
              <w:top w:val="single" w:color="000000" w:sz="4" w:space="0"/>
              <w:left w:val="nil"/>
              <w:bottom w:val="single" w:color="000000" w:sz="4" w:space="0"/>
              <w:right w:val="single" w:color="000000" w:sz="4" w:space="0"/>
            </w:tcBorders>
            <w:shd w:val="clear" w:color="auto" w:fill="auto"/>
            <w:noWrap w:val="0"/>
            <w:vAlign w:val="center"/>
          </w:tcPr>
          <w:p w14:paraId="02378AAA">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简约经典镜框款式，优质舒适镜架材质，高清高清防护镜片，高效阻隔紫外线，日常出行防晒护眼，做工扎实佩戴舒适。</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594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595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3BC6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FF7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BB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DCB71">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磁控动感单车</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2FE07">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静音磁控健身单车，骑行顺畅无杂音，阻力档位可自由调节，车身结构稳固扎实；座椅、把手可灵活调节高度位置，适配不同人群居家健身使用，承重稳固安全。</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B36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4F4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ED8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5005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EE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24C05">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品牌空气净化器</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54CBD">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家用室内空气净化设备，高效过滤空气中粉尘、异味及有害颗粒物，多重滤网组合净化效果好；多档位风速调节，运行安静不扰人，自带基础智能实用功能，居家日常净化适用。</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259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14B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DEB7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4410C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50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F8058">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品牌烹饪机</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812D6">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家用多功能智能料理机，优质食品级内胆材质，操作界面简洁易懂，内置多种智能烹饪模式，支持预约、保温等实用功能，焖炒炖煮一机多用，家用实用性强。</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E3D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964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C9C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A36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68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1ED8E">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意式半自动奶咖一体机</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22D6D">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家用多功能咖啡机，高压萃取设计，轻松制作花式咖啡，水箱储水便捷，机身小巧不占空间，操作简单，居家办公制作咖啡便捷好用。</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03A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0B1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F31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51C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67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616CC">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超高清云台家用投影仪</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C849B">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高清家用投影设备，成像清晰画质良好，白天日常观影无压力；自带灵活云台可多角度投放，自动对焦校正画面，联网功能齐全，运行低噪，居家追剧观影氛围感佳。</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08F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0FE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F4DA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A2F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AC5E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AB7E6">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智能电压力锅</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14BE8">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家用大容量电压力锅，优质加厚内胆，操作简易智能触控，内置多种日常烹饪菜单，支持长效预约、保温功能，具备多重安全使用防护，居家煮饭炖汤实用省心。</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013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F1C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3FCF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7B5A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46D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820E3">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空气炸烤箱</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20835">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家用大容量一体式烘炸烤箱，多方位均匀受热，广域温控满足多种烘焙煎炸需求，机身设计简约，操作轻松上手，内胆易清洁，居家制作美食多功能好用。   </w:t>
            </w:r>
          </w:p>
        </w:tc>
        <w:tc>
          <w:tcPr>
            <w:tcW w:w="76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60F1B7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62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9C0A5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24C8C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446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A0D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11053">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钛合金炒锅</w:t>
            </w:r>
          </w:p>
        </w:tc>
        <w:tc>
          <w:tcPr>
            <w:tcW w:w="393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1AFBBA">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大口径家用炒锅，轻量化锅体握持顺手，健康无涂层优质材质，导热均匀少油烟，通用锅底适配多种炉灶，锅盖搭配齐全，居家炒菜实用耐用。</w:t>
            </w:r>
          </w:p>
        </w:tc>
        <w:tc>
          <w:tcPr>
            <w:tcW w:w="763" w:type="dxa"/>
            <w:tcBorders>
              <w:top w:val="single" w:color="auto" w:sz="4" w:space="0"/>
              <w:left w:val="single" w:color="auto" w:sz="4" w:space="0"/>
              <w:bottom w:val="single" w:color="auto" w:sz="4" w:space="0"/>
              <w:right w:val="single" w:color="auto" w:sz="4" w:space="0"/>
            </w:tcBorders>
            <w:noWrap/>
            <w:vAlign w:val="center"/>
          </w:tcPr>
          <w:p w14:paraId="75EB69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628" w:type="dxa"/>
            <w:tcBorders>
              <w:top w:val="single" w:color="auto" w:sz="4" w:space="0"/>
              <w:left w:val="single" w:color="auto" w:sz="4" w:space="0"/>
              <w:bottom w:val="single" w:color="auto" w:sz="4" w:space="0"/>
              <w:right w:val="single" w:color="auto" w:sz="4" w:space="0"/>
            </w:tcBorders>
            <w:noWrap/>
            <w:vAlign w:val="center"/>
          </w:tcPr>
          <w:p w14:paraId="615460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noWrap/>
            <w:vAlign w:val="center"/>
          </w:tcPr>
          <w:p w14:paraId="15F016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177D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7F9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AEE95">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开放式挂耳蓝牙耳机</w:t>
            </w:r>
          </w:p>
        </w:tc>
        <w:tc>
          <w:tcPr>
            <w:tcW w:w="3932" w:type="dxa"/>
            <w:tcBorders>
              <w:top w:val="single" w:color="000000" w:sz="4" w:space="0"/>
              <w:left w:val="single" w:color="000000" w:sz="4" w:space="0"/>
              <w:bottom w:val="single" w:color="000000" w:sz="4" w:space="0"/>
              <w:right w:val="single" w:color="auto" w:sz="4" w:space="0"/>
            </w:tcBorders>
            <w:noWrap w:val="0"/>
            <w:vAlign w:val="center"/>
          </w:tcPr>
          <w:p w14:paraId="7CB7E21E">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开放式不入耳蓝牙耳机，佩戴轻盈舒适，连接稳定低延迟，具备日常防尘防汗能力，续航时长充足，高清通话音质清晰，日常运动办公出行通用。</w:t>
            </w:r>
          </w:p>
        </w:tc>
        <w:tc>
          <w:tcPr>
            <w:tcW w:w="763" w:type="dxa"/>
            <w:tcBorders>
              <w:top w:val="single" w:color="auto" w:sz="4" w:space="0"/>
              <w:left w:val="single" w:color="auto" w:sz="4" w:space="0"/>
              <w:bottom w:val="single" w:color="auto" w:sz="4" w:space="0"/>
              <w:right w:val="single" w:color="auto" w:sz="4" w:space="0"/>
            </w:tcBorders>
            <w:noWrap/>
            <w:vAlign w:val="center"/>
          </w:tcPr>
          <w:p w14:paraId="3D2910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120</w:t>
            </w:r>
          </w:p>
        </w:tc>
        <w:tc>
          <w:tcPr>
            <w:tcW w:w="628" w:type="dxa"/>
            <w:tcBorders>
              <w:top w:val="single" w:color="auto" w:sz="4" w:space="0"/>
              <w:left w:val="single" w:color="auto" w:sz="4" w:space="0"/>
              <w:bottom w:val="single" w:color="auto" w:sz="4" w:space="0"/>
              <w:right w:val="single" w:color="auto" w:sz="4" w:space="0"/>
            </w:tcBorders>
            <w:noWrap/>
            <w:vAlign w:val="center"/>
          </w:tcPr>
          <w:p w14:paraId="14D5304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noWrap/>
            <w:vAlign w:val="center"/>
          </w:tcPr>
          <w:p w14:paraId="272A38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r w14:paraId="600F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A9C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8E8C1">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品牌电压力锅</w:t>
            </w:r>
          </w:p>
        </w:tc>
        <w:tc>
          <w:tcPr>
            <w:tcW w:w="3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B529A">
            <w:pPr>
              <w:keepNext w:val="0"/>
              <w:keepLines w:val="0"/>
              <w:widowControl/>
              <w:suppressLineNumbers w:val="0"/>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家用大容量电压力锅，立体环绕加热受热均匀，高品质健康内胆，节能省电，智能菜单丰富多样，炖煮焖煮效率高，多重安全防护，高端居家厨具优选。</w:t>
            </w:r>
          </w:p>
        </w:tc>
        <w:tc>
          <w:tcPr>
            <w:tcW w:w="763" w:type="dxa"/>
            <w:tcBorders>
              <w:top w:val="single" w:color="auto" w:sz="4" w:space="0"/>
              <w:left w:val="single" w:color="000000" w:sz="4" w:space="0"/>
              <w:bottom w:val="single" w:color="000000" w:sz="4" w:space="0"/>
              <w:right w:val="single" w:color="000000" w:sz="4" w:space="0"/>
            </w:tcBorders>
            <w:noWrap/>
            <w:vAlign w:val="center"/>
          </w:tcPr>
          <w:p w14:paraId="17E47A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628" w:type="dxa"/>
            <w:tcBorders>
              <w:top w:val="single" w:color="auto" w:sz="4" w:space="0"/>
              <w:left w:val="single" w:color="000000" w:sz="4" w:space="0"/>
              <w:bottom w:val="single" w:color="000000" w:sz="4" w:space="0"/>
              <w:right w:val="single" w:color="000000" w:sz="4" w:space="0"/>
            </w:tcBorders>
            <w:noWrap/>
            <w:vAlign w:val="center"/>
          </w:tcPr>
          <w:p w14:paraId="5C4A19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458" w:type="dxa"/>
            <w:tcBorders>
              <w:top w:val="single" w:color="auto" w:sz="4" w:space="0"/>
              <w:left w:val="single" w:color="000000" w:sz="4" w:space="0"/>
              <w:bottom w:val="single" w:color="000000" w:sz="4" w:space="0"/>
              <w:right w:val="single" w:color="000000" w:sz="4" w:space="0"/>
            </w:tcBorders>
            <w:noWrap/>
            <w:vAlign w:val="center"/>
          </w:tcPr>
          <w:p w14:paraId="6D6475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r>
    </w:tbl>
    <w:p w14:paraId="1667A20A">
      <w:pPr>
        <w:pStyle w:val="23"/>
        <w:spacing w:after="120" w:afterLines="50" w:line="240" w:lineRule="auto"/>
        <w:ind w:firstLine="0" w:firstLineChars="0"/>
        <w:rPr>
          <w:rFonts w:hint="eastAsia" w:ascii="宋体" w:hAnsi="宋体" w:eastAsia="宋体" w:cs="宋体"/>
          <w:highlight w:val="none"/>
        </w:rPr>
      </w:pPr>
    </w:p>
    <w:p w14:paraId="11E53364">
      <w:pPr>
        <w:pStyle w:val="23"/>
        <w:spacing w:after="120" w:afterLines="50" w:line="240" w:lineRule="auto"/>
        <w:ind w:firstLine="0" w:firstLineChars="0"/>
        <w:rPr>
          <w:rFonts w:hint="eastAsia" w:ascii="宋体" w:hAnsi="宋体" w:eastAsia="宋体" w:cs="宋体"/>
          <w:highlight w:val="none"/>
        </w:rPr>
      </w:pPr>
    </w:p>
    <w:p w14:paraId="091FF8FD">
      <w:pPr>
        <w:pStyle w:val="23"/>
        <w:spacing w:after="231" w:line="240" w:lineRule="auto"/>
        <w:ind w:firstLine="0" w:firstLineChars="0"/>
        <w:rPr>
          <w:rFonts w:hint="eastAsia" w:ascii="宋体" w:hAnsi="宋体" w:eastAsia="宋体" w:cs="宋体"/>
          <w:highlight w:val="none"/>
        </w:rPr>
        <w:sectPr>
          <w:pgSz w:w="11907" w:h="16840"/>
          <w:pgMar w:top="1440" w:right="1797" w:bottom="1440" w:left="1797" w:header="851" w:footer="992" w:gutter="0"/>
          <w:cols w:space="720" w:num="1"/>
          <w:docGrid w:linePitch="462" w:charSpace="0"/>
        </w:sectPr>
      </w:pPr>
    </w:p>
    <w:p w14:paraId="354DE03F">
      <w:pPr>
        <w:pStyle w:val="23"/>
        <w:spacing w:after="120" w:afterLines="50" w:line="240" w:lineRule="auto"/>
        <w:ind w:firstLine="0" w:firstLineChars="0"/>
        <w:outlineLvl w:val="0"/>
        <w:rPr>
          <w:rFonts w:hint="eastAsia" w:ascii="宋体" w:hAnsi="宋体" w:eastAsia="宋体" w:cs="宋体"/>
          <w:b/>
          <w:bCs/>
          <w:kern w:val="0"/>
          <w:sz w:val="24"/>
          <w:lang w:val="en-US" w:eastAsia="zh-CN"/>
        </w:rPr>
      </w:pPr>
      <w:bookmarkStart w:id="16" w:name="_Toc5168"/>
      <w:r>
        <w:rPr>
          <w:rFonts w:hint="eastAsia" w:ascii="宋体" w:hAnsi="宋体" w:eastAsia="宋体" w:cs="宋体"/>
          <w:b/>
          <w:bCs/>
          <w:kern w:val="0"/>
          <w:sz w:val="24"/>
          <w:lang w:val="en-US" w:eastAsia="zh-CN"/>
        </w:rPr>
        <w:t>附件2：工作任务书</w:t>
      </w:r>
      <w:bookmarkEnd w:id="16"/>
    </w:p>
    <w:tbl>
      <w:tblPr>
        <w:tblStyle w:val="1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1"/>
        <w:gridCol w:w="90"/>
        <w:gridCol w:w="1702"/>
        <w:gridCol w:w="297"/>
        <w:gridCol w:w="1447"/>
        <w:gridCol w:w="3420"/>
      </w:tblGrid>
      <w:tr w14:paraId="7E4F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323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32"/>
                <w:rFonts w:hint="eastAsia" w:ascii="宋体" w:hAnsi="宋体" w:eastAsia="宋体" w:cs="宋体"/>
                <w:lang w:val="en-US" w:eastAsia="zh-CN" w:bidi="ar"/>
              </w:rPr>
              <w:t>项目名称</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1CDC7">
            <w:pPr>
              <w:spacing w:line="240" w:lineRule="auto"/>
              <w:jc w:val="center"/>
              <w:rPr>
                <w:rFonts w:hint="eastAsia" w:ascii="宋体" w:hAnsi="宋体" w:eastAsia="宋体" w:cs="宋体"/>
                <w:i w:val="0"/>
                <w:iCs w:val="0"/>
                <w:color w:val="000000"/>
                <w:sz w:val="24"/>
                <w:szCs w:val="24"/>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FCC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工作类型</w:t>
            </w:r>
          </w:p>
        </w:tc>
        <w:tc>
          <w:tcPr>
            <w:tcW w:w="2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89E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重要且紧急□   重要不紧急□</w:t>
            </w:r>
          </w:p>
          <w:p w14:paraId="5E20818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紧急不重要□   非重要紧急□</w:t>
            </w:r>
          </w:p>
        </w:tc>
      </w:tr>
      <w:tr w14:paraId="535E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16F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接收人</w:t>
            </w:r>
          </w:p>
        </w:tc>
        <w:tc>
          <w:tcPr>
            <w:tcW w:w="1225" w:type="pct"/>
            <w:gridSpan w:val="3"/>
            <w:tcBorders>
              <w:top w:val="nil"/>
              <w:left w:val="nil"/>
              <w:bottom w:val="nil"/>
              <w:right w:val="nil"/>
            </w:tcBorders>
            <w:shd w:val="clear" w:color="auto" w:fill="auto"/>
            <w:noWrap/>
            <w:vAlign w:val="center"/>
          </w:tcPr>
          <w:p w14:paraId="6D1CC648">
            <w:pPr>
              <w:spacing w:line="240" w:lineRule="auto"/>
              <w:jc w:val="center"/>
              <w:rPr>
                <w:rFonts w:hint="eastAsia" w:ascii="宋体" w:hAnsi="宋体" w:eastAsia="宋体" w:cs="宋体"/>
                <w:i w:val="0"/>
                <w:iCs w:val="0"/>
                <w:color w:val="000000"/>
                <w:sz w:val="22"/>
                <w:szCs w:val="22"/>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7C3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E540">
            <w:pPr>
              <w:spacing w:line="240" w:lineRule="auto"/>
              <w:jc w:val="center"/>
              <w:rPr>
                <w:rFonts w:hint="eastAsia" w:ascii="宋体" w:hAnsi="宋体" w:eastAsia="宋体" w:cs="宋体"/>
                <w:i w:val="0"/>
                <w:iCs w:val="0"/>
                <w:color w:val="000000"/>
                <w:sz w:val="24"/>
                <w:szCs w:val="24"/>
                <w:u w:val="none"/>
              </w:rPr>
            </w:pPr>
          </w:p>
        </w:tc>
      </w:tr>
      <w:tr w14:paraId="56D8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E9B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32"/>
                <w:rFonts w:hint="eastAsia" w:ascii="宋体" w:hAnsi="宋体" w:eastAsia="宋体" w:cs="宋体"/>
                <w:lang w:val="en-US" w:eastAsia="zh-CN" w:bidi="ar"/>
              </w:rPr>
              <w:t>下达人</w:t>
            </w:r>
          </w:p>
        </w:tc>
        <w:tc>
          <w:tcPr>
            <w:tcW w:w="12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3008B">
            <w:pPr>
              <w:spacing w:line="240" w:lineRule="auto"/>
              <w:jc w:val="center"/>
              <w:rPr>
                <w:rFonts w:hint="eastAsia" w:ascii="宋体" w:hAnsi="宋体" w:eastAsia="宋体" w:cs="宋体"/>
                <w:i w:val="0"/>
                <w:iCs w:val="0"/>
                <w:color w:val="000000"/>
                <w:sz w:val="24"/>
                <w:szCs w:val="24"/>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2CD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32"/>
                <w:rFonts w:hint="eastAsia" w:ascii="宋体" w:hAnsi="宋体" w:eastAsia="宋体" w:cs="宋体"/>
                <w:lang w:val="en-US" w:eastAsia="zh-CN" w:bidi="ar"/>
              </w:rPr>
              <w:t>联系电话</w:t>
            </w:r>
          </w:p>
        </w:tc>
        <w:tc>
          <w:tcPr>
            <w:tcW w:w="2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3B22">
            <w:pPr>
              <w:spacing w:line="240" w:lineRule="auto"/>
              <w:jc w:val="center"/>
              <w:rPr>
                <w:rFonts w:hint="eastAsia" w:ascii="宋体" w:hAnsi="宋体" w:eastAsia="宋体" w:cs="宋体"/>
                <w:i w:val="0"/>
                <w:iCs w:val="0"/>
                <w:color w:val="000000"/>
                <w:sz w:val="24"/>
                <w:szCs w:val="24"/>
                <w:u w:val="none"/>
              </w:rPr>
            </w:pPr>
          </w:p>
        </w:tc>
      </w:tr>
      <w:tr w14:paraId="39CE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F3D8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32"/>
                <w:rFonts w:hint="eastAsia" w:ascii="宋体" w:hAnsi="宋体" w:eastAsia="宋体" w:cs="宋体"/>
                <w:lang w:val="en-US" w:eastAsia="zh-CN" w:bidi="ar"/>
              </w:rPr>
              <w:t>工作时间安排表</w:t>
            </w:r>
          </w:p>
        </w:tc>
        <w:tc>
          <w:tcPr>
            <w:tcW w:w="30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92B1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Style w:val="32"/>
                <w:rFonts w:hint="eastAsia" w:ascii="宋体" w:hAnsi="宋体" w:eastAsia="宋体" w:cs="宋体"/>
                <w:lang w:val="en-US" w:eastAsia="zh-CN" w:bidi="ar"/>
              </w:rPr>
              <w:t>*与乙方客服人员讨论后确定工作时间。</w:t>
            </w:r>
          </w:p>
        </w:tc>
      </w:tr>
      <w:tr w14:paraId="4D54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E71E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32"/>
                <w:rFonts w:hint="eastAsia" w:ascii="宋体" w:hAnsi="宋体" w:eastAsia="宋体" w:cs="宋体"/>
                <w:lang w:val="en-US" w:eastAsia="zh-CN" w:bidi="ar"/>
              </w:rPr>
              <w:t>工作下单时间</w:t>
            </w:r>
          </w:p>
        </w:tc>
        <w:tc>
          <w:tcPr>
            <w:tcW w:w="30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ABAE0">
            <w:pPr>
              <w:spacing w:line="240" w:lineRule="auto"/>
              <w:jc w:val="center"/>
              <w:rPr>
                <w:rFonts w:hint="eastAsia" w:ascii="宋体" w:hAnsi="宋体" w:eastAsia="宋体" w:cs="宋体"/>
                <w:i w:val="0"/>
                <w:iCs w:val="0"/>
                <w:color w:val="000000"/>
                <w:sz w:val="24"/>
                <w:szCs w:val="24"/>
                <w:u w:val="none"/>
              </w:rPr>
            </w:pPr>
          </w:p>
        </w:tc>
      </w:tr>
      <w:tr w14:paraId="01D0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DCFC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32"/>
                <w:rFonts w:hint="eastAsia" w:ascii="宋体" w:hAnsi="宋体" w:cs="宋体"/>
                <w:lang w:val="en-US" w:eastAsia="zh-CN" w:bidi="ar"/>
              </w:rPr>
              <w:t>货物交付</w:t>
            </w:r>
            <w:r>
              <w:rPr>
                <w:rStyle w:val="32"/>
                <w:rFonts w:hint="eastAsia" w:ascii="宋体" w:hAnsi="宋体" w:eastAsia="宋体" w:cs="宋体"/>
                <w:lang w:val="en-US" w:eastAsia="zh-CN" w:bidi="ar"/>
              </w:rPr>
              <w:t>时间</w:t>
            </w:r>
          </w:p>
        </w:tc>
        <w:tc>
          <w:tcPr>
            <w:tcW w:w="30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5BA17">
            <w:pPr>
              <w:spacing w:line="240" w:lineRule="auto"/>
              <w:jc w:val="center"/>
              <w:rPr>
                <w:rFonts w:hint="eastAsia" w:ascii="宋体" w:hAnsi="宋体" w:eastAsia="宋体" w:cs="宋体"/>
                <w:i w:val="0"/>
                <w:iCs w:val="0"/>
                <w:color w:val="000000"/>
                <w:sz w:val="24"/>
                <w:szCs w:val="24"/>
                <w:u w:val="none"/>
              </w:rPr>
            </w:pPr>
          </w:p>
        </w:tc>
      </w:tr>
      <w:tr w14:paraId="2F87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F9F9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32"/>
                <w:rFonts w:hint="eastAsia" w:ascii="宋体" w:hAnsi="宋体" w:eastAsia="宋体" w:cs="宋体"/>
                <w:lang w:val="en-US" w:eastAsia="zh-CN" w:bidi="ar"/>
              </w:rPr>
              <w:t>工作</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809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32"/>
                <w:rFonts w:hint="eastAsia" w:ascii="宋体" w:hAnsi="宋体" w:cs="宋体"/>
                <w:lang w:val="en-US" w:eastAsia="zh-CN" w:bidi="ar"/>
              </w:rPr>
              <w:t>礼品</w:t>
            </w:r>
            <w:r>
              <w:rPr>
                <w:rStyle w:val="32"/>
                <w:rFonts w:hint="eastAsia" w:ascii="宋体" w:hAnsi="宋体" w:eastAsia="宋体" w:cs="宋体"/>
                <w:lang w:val="en-US" w:eastAsia="zh-CN" w:bidi="ar"/>
              </w:rPr>
              <w:t>数量</w:t>
            </w:r>
          </w:p>
        </w:tc>
        <w:tc>
          <w:tcPr>
            <w:tcW w:w="30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56366">
            <w:pPr>
              <w:spacing w:line="240" w:lineRule="auto"/>
              <w:jc w:val="center"/>
              <w:rPr>
                <w:rFonts w:hint="eastAsia" w:ascii="宋体" w:hAnsi="宋体" w:eastAsia="宋体" w:cs="宋体"/>
                <w:i w:val="0"/>
                <w:iCs w:val="0"/>
                <w:color w:val="000000"/>
                <w:sz w:val="24"/>
                <w:szCs w:val="24"/>
                <w:u w:val="none"/>
              </w:rPr>
            </w:pPr>
          </w:p>
        </w:tc>
      </w:tr>
      <w:tr w14:paraId="4F4A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9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23CE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32"/>
                <w:rFonts w:hint="eastAsia" w:ascii="宋体" w:hAnsi="宋体" w:eastAsia="宋体" w:cs="宋体"/>
                <w:lang w:val="en-US" w:eastAsia="zh-CN" w:bidi="ar"/>
              </w:rPr>
              <w:t>要求</w:t>
            </w:r>
          </w:p>
        </w:tc>
        <w:tc>
          <w:tcPr>
            <w:tcW w:w="9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830F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32"/>
                <w:rFonts w:hint="eastAsia" w:ascii="宋体" w:hAnsi="宋体" w:cs="宋体"/>
                <w:lang w:val="en-US" w:eastAsia="zh-CN" w:bidi="ar"/>
              </w:rPr>
              <w:t>礼品</w:t>
            </w:r>
            <w:r>
              <w:rPr>
                <w:rStyle w:val="32"/>
                <w:rFonts w:hint="eastAsia" w:ascii="宋体" w:hAnsi="宋体" w:eastAsia="宋体" w:cs="宋体"/>
                <w:lang w:val="en-US" w:eastAsia="zh-CN" w:bidi="ar"/>
              </w:rPr>
              <w:t>内容</w:t>
            </w:r>
          </w:p>
        </w:tc>
        <w:tc>
          <w:tcPr>
            <w:tcW w:w="30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0C1DE">
            <w:pPr>
              <w:spacing w:line="240" w:lineRule="auto"/>
              <w:jc w:val="center"/>
              <w:rPr>
                <w:rFonts w:hint="eastAsia" w:ascii="宋体" w:hAnsi="宋体" w:eastAsia="宋体" w:cs="宋体"/>
                <w:i w:val="0"/>
                <w:iCs w:val="0"/>
                <w:color w:val="000000"/>
                <w:sz w:val="24"/>
                <w:szCs w:val="24"/>
                <w:u w:val="none"/>
              </w:rPr>
            </w:pPr>
          </w:p>
        </w:tc>
      </w:tr>
      <w:tr w14:paraId="11D7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9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9DBA9">
            <w:pPr>
              <w:spacing w:line="240" w:lineRule="auto"/>
              <w:jc w:val="center"/>
              <w:rPr>
                <w:rFonts w:hint="eastAsia" w:ascii="宋体" w:hAnsi="宋体" w:eastAsia="宋体" w:cs="宋体"/>
                <w:i w:val="0"/>
                <w:iCs w:val="0"/>
                <w:color w:val="000000"/>
                <w:sz w:val="24"/>
                <w:szCs w:val="24"/>
                <w:u w:val="none"/>
              </w:rPr>
            </w:pPr>
          </w:p>
        </w:tc>
        <w:tc>
          <w:tcPr>
            <w:tcW w:w="9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96C3A">
            <w:pPr>
              <w:spacing w:line="240" w:lineRule="auto"/>
              <w:jc w:val="center"/>
              <w:rPr>
                <w:rFonts w:hint="eastAsia" w:ascii="宋体" w:hAnsi="宋体" w:eastAsia="宋体" w:cs="宋体"/>
                <w:i w:val="0"/>
                <w:iCs w:val="0"/>
                <w:color w:val="000000"/>
                <w:sz w:val="24"/>
                <w:szCs w:val="24"/>
                <w:u w:val="none"/>
              </w:rPr>
            </w:pPr>
          </w:p>
        </w:tc>
        <w:tc>
          <w:tcPr>
            <w:tcW w:w="30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7570">
            <w:pPr>
              <w:spacing w:line="240" w:lineRule="auto"/>
              <w:jc w:val="center"/>
              <w:rPr>
                <w:rFonts w:hint="eastAsia" w:ascii="宋体" w:hAnsi="宋体" w:eastAsia="宋体" w:cs="宋体"/>
                <w:i w:val="0"/>
                <w:iCs w:val="0"/>
                <w:color w:val="000000"/>
                <w:sz w:val="24"/>
                <w:szCs w:val="24"/>
                <w:u w:val="none"/>
              </w:rPr>
            </w:pPr>
          </w:p>
        </w:tc>
      </w:tr>
      <w:tr w14:paraId="3B3A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1" w:hRule="atLeast"/>
        </w:trPr>
        <w:tc>
          <w:tcPr>
            <w:tcW w:w="974" w:type="pct"/>
            <w:gridSpan w:val="2"/>
            <w:tcBorders>
              <w:top w:val="single" w:color="000000" w:sz="4" w:space="0"/>
              <w:left w:val="single" w:color="000000" w:sz="4" w:space="0"/>
              <w:bottom w:val="nil"/>
              <w:right w:val="single" w:color="000000" w:sz="4" w:space="0"/>
            </w:tcBorders>
            <w:shd w:val="clear" w:color="auto" w:fill="auto"/>
            <w:vAlign w:val="center"/>
          </w:tcPr>
          <w:p w14:paraId="5EF47BF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Style w:val="32"/>
                <w:rFonts w:hint="eastAsia" w:ascii="宋体" w:hAnsi="宋体" w:eastAsia="宋体" w:cs="宋体"/>
                <w:lang w:val="en-US" w:eastAsia="zh-CN" w:bidi="ar"/>
              </w:rPr>
              <w:t>其他</w:t>
            </w:r>
          </w:p>
        </w:tc>
        <w:tc>
          <w:tcPr>
            <w:tcW w:w="4025" w:type="pct"/>
            <w:gridSpan w:val="4"/>
            <w:tcBorders>
              <w:top w:val="single" w:color="000000" w:sz="4" w:space="0"/>
              <w:left w:val="single" w:color="000000" w:sz="4" w:space="0"/>
              <w:bottom w:val="nil"/>
              <w:right w:val="single" w:color="000000" w:sz="4" w:space="0"/>
            </w:tcBorders>
            <w:shd w:val="clear" w:color="auto" w:fill="auto"/>
            <w:vAlign w:val="center"/>
          </w:tcPr>
          <w:p w14:paraId="55A9210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iCs/>
                <w:color w:val="000000"/>
                <w:kern w:val="0"/>
                <w:sz w:val="24"/>
                <w:szCs w:val="24"/>
                <w:u w:val="none"/>
                <w:lang w:val="en-US" w:eastAsia="zh-CN" w:bidi="ar"/>
              </w:rPr>
              <w:br w:type="textWrapping"/>
            </w:r>
            <w:r>
              <w:rPr>
                <w:rStyle w:val="32"/>
                <w:rFonts w:hint="eastAsia" w:ascii="宋体" w:hAnsi="宋体" w:eastAsia="宋体" w:cs="宋体"/>
                <w:lang w:val="en-US" w:eastAsia="zh-CN" w:bidi="ar"/>
              </w:rPr>
              <w:br w:type="textWrapping"/>
            </w:r>
            <w:r>
              <w:rPr>
                <w:rStyle w:val="32"/>
                <w:rFonts w:hint="eastAsia" w:ascii="宋体" w:hAnsi="宋体" w:eastAsia="宋体" w:cs="宋体"/>
                <w:lang w:val="en-US" w:eastAsia="zh-CN" w:bidi="ar"/>
              </w:rPr>
              <w:br w:type="textWrapping"/>
            </w:r>
            <w:r>
              <w:rPr>
                <w:rStyle w:val="32"/>
                <w:rFonts w:hint="eastAsia" w:ascii="宋体" w:hAnsi="宋体" w:eastAsia="宋体" w:cs="宋体"/>
                <w:lang w:val="en-US" w:eastAsia="zh-CN" w:bidi="ar"/>
              </w:rPr>
              <w:t>签名：                  日期：</w:t>
            </w:r>
          </w:p>
        </w:tc>
      </w:tr>
      <w:tr w14:paraId="3FB8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BE22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32"/>
                <w:rFonts w:hint="eastAsia" w:ascii="宋体" w:hAnsi="宋体" w:eastAsia="宋体" w:cs="宋体"/>
                <w:lang w:val="en-US" w:eastAsia="zh-CN" w:bidi="ar"/>
              </w:rPr>
              <w:t>备注</w:t>
            </w:r>
          </w:p>
        </w:tc>
        <w:tc>
          <w:tcPr>
            <w:tcW w:w="40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9E461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32"/>
                <w:rFonts w:hint="eastAsia" w:ascii="宋体" w:hAnsi="宋体" w:eastAsia="宋体" w:cs="宋体"/>
                <w:lang w:val="en-US" w:eastAsia="zh-CN" w:bidi="ar"/>
              </w:rPr>
              <w:t>请务必所有项目填写清楚，如某项无内容，请填写“无”</w:t>
            </w:r>
          </w:p>
        </w:tc>
      </w:tr>
    </w:tbl>
    <w:p w14:paraId="27342399">
      <w:pPr>
        <w:pStyle w:val="23"/>
        <w:spacing w:after="120" w:afterLines="50" w:line="240" w:lineRule="auto"/>
        <w:ind w:firstLine="0" w:firstLineChars="0"/>
        <w:rPr>
          <w:rFonts w:hint="eastAsia" w:ascii="宋体" w:hAnsi="宋体" w:eastAsia="宋体" w:cs="宋体"/>
          <w:b/>
          <w:bCs/>
          <w:kern w:val="0"/>
          <w:sz w:val="24"/>
        </w:rPr>
        <w:sectPr>
          <w:pgSz w:w="11907" w:h="16840"/>
          <w:pgMar w:top="1440" w:right="1797" w:bottom="1440" w:left="1797" w:header="851" w:footer="992" w:gutter="0"/>
          <w:cols w:space="720" w:num="1"/>
          <w:docGrid w:linePitch="462" w:charSpace="0"/>
        </w:sectPr>
      </w:pPr>
    </w:p>
    <w:p w14:paraId="18F1C50C">
      <w:pPr>
        <w:pStyle w:val="23"/>
        <w:spacing w:after="120" w:afterLines="50" w:line="240" w:lineRule="auto"/>
        <w:ind w:firstLine="0" w:firstLineChars="0"/>
        <w:outlineLvl w:val="0"/>
        <w:rPr>
          <w:rFonts w:hint="eastAsia" w:ascii="宋体" w:hAnsi="宋体" w:eastAsia="宋体" w:cs="宋体"/>
          <w:b/>
          <w:bCs/>
          <w:kern w:val="0"/>
          <w:sz w:val="24"/>
          <w:lang w:val="en-US" w:eastAsia="zh-CN"/>
        </w:rPr>
      </w:pPr>
      <w:bookmarkStart w:id="17" w:name="_Toc3905"/>
      <w:bookmarkStart w:id="18" w:name="_Toc1231"/>
      <w:bookmarkStart w:id="19" w:name="_Toc22612"/>
      <w:r>
        <w:rPr>
          <w:rFonts w:hint="eastAsia" w:ascii="宋体" w:hAnsi="宋体" w:eastAsia="宋体" w:cs="宋体"/>
          <w:b/>
          <w:bCs/>
          <w:kern w:val="0"/>
          <w:sz w:val="24"/>
          <w:lang w:val="en-US" w:eastAsia="zh-CN"/>
        </w:rPr>
        <w:t xml:space="preserve">附件3 </w:t>
      </w:r>
      <w:r>
        <w:rPr>
          <w:rFonts w:hint="eastAsia" w:ascii="宋体" w:hAnsi="宋体" w:cs="宋体"/>
          <w:b/>
          <w:bCs/>
          <w:kern w:val="0"/>
          <w:sz w:val="24"/>
          <w:lang w:val="en-US" w:eastAsia="zh-CN"/>
        </w:rPr>
        <w:t xml:space="preserve"> </w:t>
      </w:r>
      <w:r>
        <w:rPr>
          <w:rFonts w:hint="eastAsia" w:ascii="宋体" w:hAnsi="宋体" w:eastAsia="宋体" w:cs="宋体"/>
          <w:b/>
          <w:bCs/>
          <w:kern w:val="0"/>
          <w:sz w:val="24"/>
          <w:lang w:val="en-US" w:eastAsia="zh-CN"/>
        </w:rPr>
        <w:t>质量保修书</w:t>
      </w:r>
      <w:bookmarkEnd w:id="17"/>
      <w:bookmarkEnd w:id="18"/>
    </w:p>
    <w:p w14:paraId="5B179F2D">
      <w:pPr>
        <w:spacing w:after="220" w:afterLines="50"/>
        <w:jc w:val="center"/>
        <w:rPr>
          <w:rFonts w:ascii="宋体" w:hAnsi="宋体"/>
          <w:b/>
          <w:sz w:val="30"/>
          <w:szCs w:val="30"/>
        </w:rPr>
      </w:pPr>
      <w:r>
        <w:rPr>
          <w:rFonts w:hint="eastAsia" w:ascii="宋体" w:hAnsi="宋体"/>
          <w:b/>
          <w:sz w:val="30"/>
          <w:szCs w:val="30"/>
        </w:rPr>
        <w:t>质量保修书</w:t>
      </w:r>
    </w:p>
    <w:p w14:paraId="4BA405D3">
      <w:pPr>
        <w:spacing w:after="220" w:afterLines="50"/>
        <w:jc w:val="center"/>
        <w:rPr>
          <w:rFonts w:ascii="宋体" w:hAnsi="宋体"/>
          <w:sz w:val="24"/>
          <w:szCs w:val="24"/>
        </w:rPr>
      </w:pPr>
    </w:p>
    <w:p w14:paraId="0885C48E">
      <w:pPr>
        <w:spacing w:after="220" w:afterLines="50"/>
        <w:jc w:val="left"/>
        <w:rPr>
          <w:rFonts w:ascii="宋体" w:hAnsi="宋体"/>
          <w:sz w:val="24"/>
          <w:szCs w:val="24"/>
          <w:u w:val="single"/>
        </w:rPr>
      </w:pPr>
      <w:r>
        <w:rPr>
          <w:rFonts w:hint="eastAsia" w:ascii="宋体" w:hAnsi="宋体"/>
          <w:sz w:val="24"/>
          <w:szCs w:val="24"/>
        </w:rPr>
        <w:t>买家：</w:t>
      </w:r>
      <w:r>
        <w:rPr>
          <w:rFonts w:ascii="宋体" w:hAnsi="宋体"/>
          <w:sz w:val="24"/>
          <w:szCs w:val="24"/>
          <w:u w:val="single"/>
        </w:rPr>
        <w:t xml:space="preserve">                           </w:t>
      </w:r>
    </w:p>
    <w:p w14:paraId="12B253B6">
      <w:pPr>
        <w:spacing w:after="220" w:afterLines="50"/>
        <w:jc w:val="left"/>
        <w:rPr>
          <w:rFonts w:ascii="宋体" w:hAnsi="宋体"/>
          <w:sz w:val="24"/>
          <w:szCs w:val="24"/>
        </w:rPr>
      </w:pPr>
      <w:r>
        <w:rPr>
          <w:rFonts w:hint="eastAsia" w:ascii="宋体" w:hAnsi="宋体"/>
          <w:sz w:val="24"/>
          <w:szCs w:val="24"/>
        </w:rPr>
        <w:t>卖家：</w:t>
      </w:r>
      <w:r>
        <w:rPr>
          <w:rFonts w:ascii="宋体" w:hAnsi="宋体"/>
          <w:sz w:val="24"/>
          <w:szCs w:val="24"/>
          <w:u w:val="single"/>
        </w:rPr>
        <w:t xml:space="preserve">                           </w:t>
      </w:r>
    </w:p>
    <w:p w14:paraId="7F3B9051">
      <w:pPr>
        <w:spacing w:after="220" w:afterLines="50"/>
        <w:jc w:val="left"/>
        <w:rPr>
          <w:rFonts w:ascii="宋体" w:hAnsi="宋体"/>
          <w:sz w:val="24"/>
          <w:szCs w:val="24"/>
        </w:rPr>
      </w:pPr>
    </w:p>
    <w:p w14:paraId="1F1FA872">
      <w:pPr>
        <w:spacing w:after="220" w:afterLines="50"/>
        <w:jc w:val="left"/>
        <w:rPr>
          <w:rFonts w:ascii="宋体" w:hAnsi="宋体"/>
          <w:sz w:val="24"/>
          <w:szCs w:val="24"/>
        </w:rPr>
      </w:pPr>
      <w:r>
        <w:rPr>
          <w:rFonts w:hint="eastAsia" w:ascii="宋体" w:hAnsi="宋体"/>
          <w:sz w:val="24"/>
          <w:szCs w:val="24"/>
        </w:rPr>
        <w:t>为保证买家向卖家购买的货物在合理期限内正常使用，买家、卖家经协商一致，签订本质量保修书。卖家在质量保修期内按照法律、法规及合同规定承担质量保修责任。</w:t>
      </w:r>
    </w:p>
    <w:p w14:paraId="4A165A5B">
      <w:pPr>
        <w:spacing w:after="220" w:afterLines="50"/>
        <w:jc w:val="left"/>
        <w:rPr>
          <w:rFonts w:ascii="宋体" w:hAnsi="宋体"/>
          <w:b/>
          <w:sz w:val="24"/>
          <w:szCs w:val="24"/>
        </w:rPr>
      </w:pPr>
      <w:r>
        <w:rPr>
          <w:rFonts w:ascii="宋体" w:hAnsi="宋体"/>
          <w:b/>
          <w:sz w:val="24"/>
          <w:szCs w:val="24"/>
        </w:rPr>
        <w:t>1.质量保修范围</w:t>
      </w:r>
    </w:p>
    <w:p w14:paraId="3C49841B">
      <w:pPr>
        <w:spacing w:after="220" w:afterLines="50"/>
        <w:jc w:val="left"/>
        <w:rPr>
          <w:rFonts w:ascii="宋体" w:hAnsi="宋体"/>
          <w:sz w:val="24"/>
          <w:szCs w:val="24"/>
        </w:rPr>
      </w:pPr>
      <w:r>
        <w:rPr>
          <w:rFonts w:hint="eastAsia" w:ascii="宋体" w:hAnsi="宋体"/>
          <w:sz w:val="24"/>
          <w:szCs w:val="24"/>
        </w:rPr>
        <w:t>质量保修范围为卖家向买家提供的全部货物。</w:t>
      </w:r>
    </w:p>
    <w:p w14:paraId="1CD1E89D">
      <w:pPr>
        <w:spacing w:after="220" w:afterLines="50"/>
        <w:jc w:val="left"/>
        <w:rPr>
          <w:rFonts w:ascii="宋体" w:hAnsi="宋体"/>
          <w:b/>
          <w:sz w:val="24"/>
          <w:szCs w:val="24"/>
        </w:rPr>
      </w:pPr>
      <w:r>
        <w:rPr>
          <w:rFonts w:ascii="宋体" w:hAnsi="宋体"/>
          <w:b/>
          <w:sz w:val="24"/>
          <w:szCs w:val="24"/>
        </w:rPr>
        <w:t>2.质量保修期</w:t>
      </w:r>
    </w:p>
    <w:p w14:paraId="276D416E">
      <w:pPr>
        <w:spacing w:after="220" w:afterLines="50"/>
        <w:jc w:val="left"/>
        <w:rPr>
          <w:rFonts w:ascii="宋体" w:hAnsi="宋体"/>
          <w:sz w:val="24"/>
          <w:szCs w:val="24"/>
        </w:rPr>
      </w:pPr>
      <w:r>
        <w:rPr>
          <w:rFonts w:ascii="宋体" w:hAnsi="宋体"/>
          <w:sz w:val="24"/>
          <w:szCs w:val="24"/>
        </w:rPr>
        <w:t>2.1质量保修期自合同整体通过买家验收合格之日次日开始计算。货物需要安装调试的，质量保修期自货物安装调试验收合格之日次日开始计算，若安装调试需要经政府部门检验的，则以政府部门出具的检验合格证明载明的验收合格之日次日开始计算。货物分批交付的，按照最晚交付时间计算质量保修期。</w:t>
      </w:r>
    </w:p>
    <w:p w14:paraId="6BF56827">
      <w:pPr>
        <w:spacing w:after="220" w:afterLines="50"/>
        <w:jc w:val="left"/>
        <w:rPr>
          <w:rFonts w:ascii="宋体" w:hAnsi="宋体"/>
          <w:sz w:val="24"/>
          <w:szCs w:val="24"/>
        </w:rPr>
      </w:pPr>
      <w:r>
        <w:rPr>
          <w:rFonts w:ascii="宋体" w:hAnsi="宋体"/>
          <w:sz w:val="24"/>
          <w:szCs w:val="24"/>
        </w:rPr>
        <w:t>2.2质量保修期以下表规定日期为准。买家、卖家对质量保修期另有约定的，当事人应于本条2.3款内申明。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820"/>
        <w:gridCol w:w="1417"/>
        <w:gridCol w:w="1043"/>
      </w:tblGrid>
      <w:tr w14:paraId="3779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15CA158">
            <w:pPr>
              <w:jc w:val="left"/>
              <w:rPr>
                <w:rFonts w:ascii="宋体" w:hAnsi="宋体"/>
                <w:sz w:val="18"/>
                <w:szCs w:val="18"/>
              </w:rPr>
            </w:pPr>
            <w:r>
              <w:rPr>
                <w:rFonts w:hint="eastAsia" w:ascii="宋体" w:hAnsi="宋体"/>
                <w:sz w:val="18"/>
                <w:szCs w:val="18"/>
              </w:rPr>
              <w:t>货物类别</w:t>
            </w:r>
          </w:p>
        </w:tc>
        <w:tc>
          <w:tcPr>
            <w:tcW w:w="4820" w:type="dxa"/>
            <w:vAlign w:val="center"/>
          </w:tcPr>
          <w:p w14:paraId="45CAB002">
            <w:pPr>
              <w:jc w:val="left"/>
              <w:rPr>
                <w:rFonts w:ascii="宋体" w:hAnsi="宋体"/>
                <w:sz w:val="18"/>
                <w:szCs w:val="18"/>
              </w:rPr>
            </w:pPr>
            <w:r>
              <w:rPr>
                <w:rFonts w:hint="eastAsia" w:ascii="宋体" w:hAnsi="宋体"/>
                <w:sz w:val="18"/>
                <w:szCs w:val="18"/>
              </w:rPr>
              <w:t>具体货物</w:t>
            </w:r>
          </w:p>
        </w:tc>
        <w:tc>
          <w:tcPr>
            <w:tcW w:w="1417" w:type="dxa"/>
            <w:vAlign w:val="center"/>
          </w:tcPr>
          <w:p w14:paraId="20A92FF2">
            <w:pPr>
              <w:jc w:val="left"/>
              <w:rPr>
                <w:rFonts w:ascii="宋体" w:hAnsi="宋体"/>
                <w:sz w:val="18"/>
                <w:szCs w:val="18"/>
              </w:rPr>
            </w:pPr>
            <w:r>
              <w:rPr>
                <w:rFonts w:hint="eastAsia" w:ascii="宋体" w:hAnsi="宋体"/>
                <w:sz w:val="18"/>
                <w:szCs w:val="18"/>
              </w:rPr>
              <w:t>质量保修期</w:t>
            </w:r>
          </w:p>
        </w:tc>
        <w:tc>
          <w:tcPr>
            <w:tcW w:w="1043" w:type="dxa"/>
            <w:vAlign w:val="center"/>
          </w:tcPr>
          <w:p w14:paraId="05D50A81">
            <w:pPr>
              <w:jc w:val="left"/>
              <w:rPr>
                <w:rFonts w:ascii="宋体" w:hAnsi="宋体"/>
                <w:sz w:val="18"/>
                <w:szCs w:val="18"/>
              </w:rPr>
            </w:pPr>
            <w:r>
              <w:rPr>
                <w:rFonts w:hint="eastAsia" w:ascii="宋体" w:hAnsi="宋体"/>
                <w:sz w:val="18"/>
                <w:szCs w:val="18"/>
              </w:rPr>
              <w:t>备注</w:t>
            </w:r>
          </w:p>
        </w:tc>
      </w:tr>
      <w:tr w14:paraId="482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7FBA42D">
            <w:pPr>
              <w:jc w:val="left"/>
              <w:rPr>
                <w:rFonts w:ascii="宋体" w:hAnsi="宋体"/>
                <w:sz w:val="18"/>
                <w:szCs w:val="18"/>
              </w:rPr>
            </w:pPr>
            <w:r>
              <w:rPr>
                <w:rFonts w:hint="eastAsia" w:ascii="宋体" w:hAnsi="宋体"/>
                <w:sz w:val="18"/>
                <w:szCs w:val="18"/>
              </w:rPr>
              <w:t>计算机设备及软件</w:t>
            </w:r>
          </w:p>
        </w:tc>
        <w:tc>
          <w:tcPr>
            <w:tcW w:w="4820" w:type="dxa"/>
            <w:vAlign w:val="center"/>
          </w:tcPr>
          <w:p w14:paraId="0CE5CC18">
            <w:pPr>
              <w:jc w:val="left"/>
              <w:rPr>
                <w:rFonts w:ascii="宋体" w:hAnsi="宋体"/>
                <w:sz w:val="18"/>
                <w:szCs w:val="18"/>
              </w:rPr>
            </w:pPr>
            <w:r>
              <w:rPr>
                <w:rFonts w:hint="eastAsia" w:ascii="宋体" w:hAnsi="宋体"/>
                <w:sz w:val="18"/>
                <w:szCs w:val="18"/>
              </w:rPr>
              <w:t>计算机设备、计算机网络设备、信息安全设备、存储设备、输入输出设备、机房辅助设备、计算机软件等，及其零部件等</w:t>
            </w:r>
          </w:p>
        </w:tc>
        <w:tc>
          <w:tcPr>
            <w:tcW w:w="1417" w:type="dxa"/>
            <w:vAlign w:val="center"/>
          </w:tcPr>
          <w:p w14:paraId="45173AE3">
            <w:pPr>
              <w:jc w:val="left"/>
              <w:rPr>
                <w:rFonts w:ascii="宋体" w:hAnsi="宋体"/>
                <w:sz w:val="18"/>
                <w:szCs w:val="18"/>
              </w:rPr>
            </w:pPr>
            <w:r>
              <w:rPr>
                <w:rFonts w:ascii="宋体" w:hAnsi="宋体"/>
                <w:sz w:val="18"/>
                <w:szCs w:val="18"/>
              </w:rPr>
              <w:t>2年</w:t>
            </w:r>
          </w:p>
        </w:tc>
        <w:tc>
          <w:tcPr>
            <w:tcW w:w="1043" w:type="dxa"/>
            <w:vMerge w:val="restart"/>
            <w:vAlign w:val="center"/>
          </w:tcPr>
          <w:p w14:paraId="54CDB618">
            <w:pPr>
              <w:jc w:val="left"/>
              <w:rPr>
                <w:rFonts w:ascii="宋体" w:hAnsi="宋体"/>
                <w:sz w:val="18"/>
                <w:szCs w:val="18"/>
              </w:rPr>
            </w:pPr>
            <w:r>
              <w:rPr>
                <w:rFonts w:hint="eastAsia" w:ascii="宋体" w:hAnsi="宋体"/>
                <w:sz w:val="18"/>
                <w:szCs w:val="18"/>
              </w:rPr>
              <w:t>若生产商明示保修期大于本表保修期，则以生产商明示保修期为准。</w:t>
            </w:r>
          </w:p>
        </w:tc>
      </w:tr>
      <w:tr w14:paraId="2E57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E1A42A6">
            <w:pPr>
              <w:jc w:val="left"/>
              <w:rPr>
                <w:rFonts w:ascii="宋体" w:hAnsi="宋体"/>
                <w:sz w:val="18"/>
                <w:szCs w:val="18"/>
              </w:rPr>
            </w:pPr>
            <w:r>
              <w:rPr>
                <w:rFonts w:hint="eastAsia" w:ascii="宋体" w:hAnsi="宋体"/>
                <w:sz w:val="18"/>
                <w:szCs w:val="18"/>
              </w:rPr>
              <w:t>家电设备</w:t>
            </w:r>
          </w:p>
        </w:tc>
        <w:tc>
          <w:tcPr>
            <w:tcW w:w="4820" w:type="dxa"/>
            <w:vAlign w:val="center"/>
          </w:tcPr>
          <w:p w14:paraId="298827C9">
            <w:pPr>
              <w:jc w:val="left"/>
              <w:rPr>
                <w:rFonts w:ascii="宋体" w:hAnsi="宋体"/>
                <w:sz w:val="18"/>
                <w:szCs w:val="18"/>
              </w:rPr>
            </w:pPr>
            <w:r>
              <w:rPr>
                <w:rFonts w:hint="eastAsia" w:ascii="宋体" w:hAnsi="宋体"/>
                <w:sz w:val="18"/>
                <w:szCs w:val="18"/>
              </w:rPr>
              <w:t>电视、影音设备、空调、洗衣机、冰箱、厨卫家电等设备，及其零部件</w:t>
            </w:r>
          </w:p>
        </w:tc>
        <w:tc>
          <w:tcPr>
            <w:tcW w:w="1417" w:type="dxa"/>
            <w:vAlign w:val="center"/>
          </w:tcPr>
          <w:p w14:paraId="23F407FE">
            <w:pPr>
              <w:jc w:val="left"/>
              <w:rPr>
                <w:rFonts w:ascii="宋体" w:hAnsi="宋体"/>
                <w:sz w:val="18"/>
                <w:szCs w:val="18"/>
              </w:rPr>
            </w:pPr>
            <w:r>
              <w:rPr>
                <w:rFonts w:ascii="宋体" w:hAnsi="宋体"/>
                <w:sz w:val="18"/>
                <w:szCs w:val="18"/>
              </w:rPr>
              <w:t>2年</w:t>
            </w:r>
          </w:p>
        </w:tc>
        <w:tc>
          <w:tcPr>
            <w:tcW w:w="1043" w:type="dxa"/>
            <w:vMerge w:val="continue"/>
            <w:vAlign w:val="center"/>
          </w:tcPr>
          <w:p w14:paraId="537CAE4F">
            <w:pPr>
              <w:jc w:val="left"/>
              <w:rPr>
                <w:rFonts w:ascii="宋体" w:hAnsi="宋体"/>
                <w:sz w:val="18"/>
                <w:szCs w:val="18"/>
              </w:rPr>
            </w:pPr>
          </w:p>
        </w:tc>
      </w:tr>
      <w:tr w14:paraId="6254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D8B8834">
            <w:pPr>
              <w:jc w:val="left"/>
              <w:rPr>
                <w:rFonts w:ascii="宋体" w:hAnsi="宋体"/>
                <w:sz w:val="18"/>
                <w:szCs w:val="18"/>
              </w:rPr>
            </w:pPr>
            <w:r>
              <w:rPr>
                <w:rFonts w:hint="eastAsia" w:ascii="宋体" w:hAnsi="宋体"/>
                <w:sz w:val="18"/>
                <w:szCs w:val="18"/>
              </w:rPr>
              <w:t>办公设备</w:t>
            </w:r>
          </w:p>
        </w:tc>
        <w:tc>
          <w:tcPr>
            <w:tcW w:w="4820" w:type="dxa"/>
            <w:vAlign w:val="center"/>
          </w:tcPr>
          <w:p w14:paraId="34C0947B">
            <w:pPr>
              <w:jc w:val="left"/>
              <w:rPr>
                <w:rFonts w:ascii="宋体" w:hAnsi="宋体"/>
                <w:sz w:val="18"/>
                <w:szCs w:val="18"/>
              </w:rPr>
            </w:pPr>
            <w:r>
              <w:rPr>
                <w:rFonts w:hint="eastAsia" w:ascii="宋体" w:hAnsi="宋体"/>
                <w:sz w:val="18"/>
                <w:szCs w:val="18"/>
              </w:rPr>
              <w:t>复印机、投影设备、摄像机、照相机及器材、电子白板、</w:t>
            </w:r>
            <w:r>
              <w:rPr>
                <w:rFonts w:ascii="宋体" w:hAnsi="宋体"/>
                <w:sz w:val="18"/>
                <w:szCs w:val="18"/>
              </w:rPr>
              <w:t>LED显示屏、刻录机、文印设备、销毁设备等，及其零部件</w:t>
            </w:r>
          </w:p>
        </w:tc>
        <w:tc>
          <w:tcPr>
            <w:tcW w:w="1417" w:type="dxa"/>
            <w:vAlign w:val="center"/>
          </w:tcPr>
          <w:p w14:paraId="65E669CE">
            <w:pPr>
              <w:jc w:val="left"/>
              <w:rPr>
                <w:rFonts w:ascii="宋体" w:hAnsi="宋体"/>
                <w:sz w:val="18"/>
                <w:szCs w:val="18"/>
              </w:rPr>
            </w:pPr>
            <w:r>
              <w:rPr>
                <w:rFonts w:ascii="宋体" w:hAnsi="宋体"/>
                <w:sz w:val="18"/>
                <w:szCs w:val="18"/>
              </w:rPr>
              <w:t>2年</w:t>
            </w:r>
          </w:p>
        </w:tc>
        <w:tc>
          <w:tcPr>
            <w:tcW w:w="1043" w:type="dxa"/>
            <w:vMerge w:val="continue"/>
            <w:vAlign w:val="center"/>
          </w:tcPr>
          <w:p w14:paraId="139737FF">
            <w:pPr>
              <w:jc w:val="left"/>
              <w:rPr>
                <w:rFonts w:ascii="宋体" w:hAnsi="宋体"/>
                <w:sz w:val="18"/>
                <w:szCs w:val="18"/>
              </w:rPr>
            </w:pPr>
          </w:p>
        </w:tc>
      </w:tr>
      <w:tr w14:paraId="4E8B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CF01E15">
            <w:pPr>
              <w:jc w:val="left"/>
              <w:rPr>
                <w:rFonts w:ascii="宋体" w:hAnsi="宋体"/>
                <w:sz w:val="18"/>
                <w:szCs w:val="18"/>
              </w:rPr>
            </w:pPr>
            <w:r>
              <w:rPr>
                <w:rFonts w:hint="eastAsia" w:ascii="宋体" w:hAnsi="宋体"/>
                <w:sz w:val="18"/>
                <w:szCs w:val="18"/>
              </w:rPr>
              <w:t>图书档案设备</w:t>
            </w:r>
          </w:p>
        </w:tc>
        <w:tc>
          <w:tcPr>
            <w:tcW w:w="4820" w:type="dxa"/>
            <w:vAlign w:val="center"/>
          </w:tcPr>
          <w:p w14:paraId="71687596">
            <w:pPr>
              <w:jc w:val="left"/>
              <w:rPr>
                <w:rFonts w:ascii="宋体" w:hAnsi="宋体"/>
                <w:sz w:val="18"/>
                <w:szCs w:val="18"/>
              </w:rPr>
            </w:pPr>
            <w:r>
              <w:rPr>
                <w:rFonts w:hint="eastAsia" w:ascii="宋体" w:hAnsi="宋体"/>
                <w:sz w:val="18"/>
                <w:szCs w:val="18"/>
              </w:rPr>
              <w:t>图书档案装具、缩微设备、图书档案消毒设备等，及其零部件</w:t>
            </w:r>
          </w:p>
        </w:tc>
        <w:tc>
          <w:tcPr>
            <w:tcW w:w="1417" w:type="dxa"/>
            <w:vAlign w:val="center"/>
          </w:tcPr>
          <w:p w14:paraId="7209D70F">
            <w:pPr>
              <w:jc w:val="left"/>
              <w:rPr>
                <w:rFonts w:ascii="宋体" w:hAnsi="宋体"/>
                <w:sz w:val="18"/>
                <w:szCs w:val="18"/>
              </w:rPr>
            </w:pPr>
            <w:r>
              <w:rPr>
                <w:rFonts w:ascii="宋体" w:hAnsi="宋体"/>
                <w:sz w:val="18"/>
                <w:szCs w:val="18"/>
              </w:rPr>
              <w:t>2年</w:t>
            </w:r>
          </w:p>
        </w:tc>
        <w:tc>
          <w:tcPr>
            <w:tcW w:w="1043" w:type="dxa"/>
            <w:vMerge w:val="continue"/>
            <w:vAlign w:val="center"/>
          </w:tcPr>
          <w:p w14:paraId="128FEB49">
            <w:pPr>
              <w:jc w:val="left"/>
              <w:rPr>
                <w:rFonts w:ascii="宋体" w:hAnsi="宋体"/>
                <w:sz w:val="18"/>
                <w:szCs w:val="18"/>
              </w:rPr>
            </w:pPr>
          </w:p>
        </w:tc>
      </w:tr>
      <w:tr w14:paraId="43A5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BC173BD">
            <w:pPr>
              <w:jc w:val="left"/>
              <w:rPr>
                <w:rFonts w:ascii="宋体" w:hAnsi="宋体"/>
                <w:sz w:val="18"/>
                <w:szCs w:val="18"/>
              </w:rPr>
            </w:pPr>
            <w:r>
              <w:rPr>
                <w:rFonts w:hint="eastAsia" w:ascii="宋体" w:hAnsi="宋体"/>
                <w:sz w:val="18"/>
                <w:szCs w:val="18"/>
              </w:rPr>
              <w:t>家具用具</w:t>
            </w:r>
          </w:p>
        </w:tc>
        <w:tc>
          <w:tcPr>
            <w:tcW w:w="4820" w:type="dxa"/>
            <w:vAlign w:val="center"/>
          </w:tcPr>
          <w:p w14:paraId="58C3B0D7">
            <w:pPr>
              <w:jc w:val="left"/>
              <w:rPr>
                <w:rFonts w:ascii="宋体" w:hAnsi="宋体"/>
                <w:sz w:val="18"/>
                <w:szCs w:val="18"/>
              </w:rPr>
            </w:pPr>
            <w:r>
              <w:rPr>
                <w:rFonts w:hint="eastAsia" w:ascii="宋体" w:hAnsi="宋体"/>
                <w:sz w:val="18"/>
                <w:szCs w:val="18"/>
              </w:rPr>
              <w:t>床类、台</w:t>
            </w:r>
            <w:r>
              <w:rPr>
                <w:rFonts w:ascii="宋体" w:hAnsi="宋体"/>
                <w:sz w:val="18"/>
                <w:szCs w:val="18"/>
              </w:rPr>
              <w:t>/桌类、椅凳类、沙发类、柜类、架类、屏风类、厨卫用具、组合家具等，及其零部件</w:t>
            </w:r>
          </w:p>
        </w:tc>
        <w:tc>
          <w:tcPr>
            <w:tcW w:w="1417" w:type="dxa"/>
            <w:vAlign w:val="center"/>
          </w:tcPr>
          <w:p w14:paraId="5E3F4A2E">
            <w:pPr>
              <w:jc w:val="left"/>
              <w:rPr>
                <w:rFonts w:ascii="宋体" w:hAnsi="宋体"/>
                <w:sz w:val="18"/>
                <w:szCs w:val="18"/>
              </w:rPr>
            </w:pPr>
            <w:r>
              <w:rPr>
                <w:rFonts w:ascii="宋体" w:hAnsi="宋体"/>
                <w:sz w:val="18"/>
                <w:szCs w:val="18"/>
              </w:rPr>
              <w:t>2年</w:t>
            </w:r>
          </w:p>
        </w:tc>
        <w:tc>
          <w:tcPr>
            <w:tcW w:w="1043" w:type="dxa"/>
            <w:vMerge w:val="continue"/>
            <w:vAlign w:val="center"/>
          </w:tcPr>
          <w:p w14:paraId="76E3CEEE">
            <w:pPr>
              <w:jc w:val="left"/>
              <w:rPr>
                <w:rFonts w:ascii="宋体" w:hAnsi="宋体"/>
                <w:sz w:val="18"/>
                <w:szCs w:val="18"/>
              </w:rPr>
            </w:pPr>
          </w:p>
        </w:tc>
      </w:tr>
      <w:tr w14:paraId="7C0C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BD3A83D">
            <w:pPr>
              <w:jc w:val="left"/>
              <w:rPr>
                <w:rFonts w:ascii="宋体" w:hAnsi="宋体"/>
                <w:sz w:val="18"/>
                <w:szCs w:val="18"/>
              </w:rPr>
            </w:pPr>
            <w:r>
              <w:rPr>
                <w:rFonts w:hint="eastAsia" w:ascii="宋体" w:hAnsi="宋体"/>
                <w:sz w:val="18"/>
                <w:szCs w:val="18"/>
              </w:rPr>
              <w:t>其他设备</w:t>
            </w:r>
          </w:p>
        </w:tc>
        <w:tc>
          <w:tcPr>
            <w:tcW w:w="4820" w:type="dxa"/>
            <w:vAlign w:val="center"/>
          </w:tcPr>
          <w:p w14:paraId="53C2756C">
            <w:pPr>
              <w:jc w:val="left"/>
              <w:rPr>
                <w:rFonts w:ascii="宋体" w:hAnsi="宋体"/>
                <w:sz w:val="18"/>
                <w:szCs w:val="18"/>
              </w:rPr>
            </w:pPr>
            <w:r>
              <w:rPr>
                <w:rFonts w:hint="eastAsia" w:ascii="宋体" w:hAnsi="宋体"/>
                <w:sz w:val="18"/>
                <w:szCs w:val="18"/>
              </w:rPr>
              <w:t>无法归入前述类别的经营管理类设备如标识标牌等</w:t>
            </w:r>
          </w:p>
        </w:tc>
        <w:tc>
          <w:tcPr>
            <w:tcW w:w="1417" w:type="dxa"/>
            <w:vAlign w:val="center"/>
          </w:tcPr>
          <w:p w14:paraId="7B4F0368">
            <w:pPr>
              <w:jc w:val="left"/>
              <w:rPr>
                <w:rFonts w:ascii="宋体" w:hAnsi="宋体"/>
                <w:sz w:val="18"/>
                <w:szCs w:val="18"/>
              </w:rPr>
            </w:pPr>
            <w:r>
              <w:rPr>
                <w:rFonts w:ascii="宋体" w:hAnsi="宋体"/>
                <w:sz w:val="18"/>
                <w:szCs w:val="18"/>
              </w:rPr>
              <w:t>2年</w:t>
            </w:r>
          </w:p>
        </w:tc>
        <w:tc>
          <w:tcPr>
            <w:tcW w:w="1043" w:type="dxa"/>
            <w:vMerge w:val="continue"/>
            <w:vAlign w:val="center"/>
          </w:tcPr>
          <w:p w14:paraId="1A7346C7">
            <w:pPr>
              <w:jc w:val="left"/>
              <w:rPr>
                <w:rFonts w:ascii="宋体" w:hAnsi="宋体"/>
                <w:sz w:val="18"/>
                <w:szCs w:val="18"/>
              </w:rPr>
            </w:pPr>
          </w:p>
        </w:tc>
      </w:tr>
    </w:tbl>
    <w:p w14:paraId="656DB671">
      <w:pPr>
        <w:spacing w:after="220" w:afterLines="50"/>
        <w:jc w:val="left"/>
        <w:rPr>
          <w:rFonts w:ascii="宋体" w:hAnsi="宋体"/>
          <w:sz w:val="24"/>
          <w:szCs w:val="24"/>
        </w:rPr>
      </w:pPr>
      <w:r>
        <w:rPr>
          <w:rFonts w:ascii="宋体" w:hAnsi="宋体"/>
          <w:sz w:val="24"/>
          <w:szCs w:val="24"/>
        </w:rPr>
        <w:t>2.3买家、卖家对质量保修期的特别约定：</w:t>
      </w:r>
      <w:r>
        <w:rPr>
          <w:rFonts w:ascii="宋体" w:hAnsi="宋体"/>
          <w:sz w:val="24"/>
          <w:szCs w:val="24"/>
          <w:u w:val="single"/>
        </w:rPr>
        <w:t xml:space="preserve">        /                   </w:t>
      </w:r>
      <w:r>
        <w:rPr>
          <w:rFonts w:hint="eastAsia" w:ascii="宋体" w:hAnsi="宋体"/>
          <w:sz w:val="24"/>
          <w:szCs w:val="24"/>
        </w:rPr>
        <w:t>。</w:t>
      </w:r>
    </w:p>
    <w:p w14:paraId="0CFBAFFD">
      <w:pPr>
        <w:spacing w:after="220" w:afterLines="50"/>
        <w:jc w:val="left"/>
        <w:rPr>
          <w:rFonts w:ascii="宋体" w:hAnsi="宋体"/>
          <w:b/>
          <w:sz w:val="24"/>
          <w:szCs w:val="24"/>
        </w:rPr>
      </w:pPr>
      <w:r>
        <w:rPr>
          <w:rFonts w:ascii="宋体" w:hAnsi="宋体"/>
          <w:b/>
          <w:sz w:val="24"/>
          <w:szCs w:val="24"/>
        </w:rPr>
        <w:t>3.质量保修金</w:t>
      </w:r>
    </w:p>
    <w:p w14:paraId="544FF3D3">
      <w:pPr>
        <w:spacing w:after="220" w:afterLines="50"/>
        <w:jc w:val="left"/>
        <w:rPr>
          <w:rFonts w:ascii="宋体" w:hAnsi="宋体"/>
          <w:sz w:val="24"/>
          <w:szCs w:val="24"/>
        </w:rPr>
      </w:pPr>
      <w:r>
        <w:rPr>
          <w:rFonts w:ascii="宋体" w:hAnsi="宋体"/>
          <w:sz w:val="24"/>
          <w:szCs w:val="24"/>
        </w:rPr>
        <w:t>3.1质量保修金为最终合同</w:t>
      </w:r>
      <w:r>
        <w:rPr>
          <w:rFonts w:hint="eastAsia" w:ascii="宋体" w:hAnsi="宋体"/>
          <w:sz w:val="24"/>
          <w:szCs w:val="24"/>
        </w:rPr>
        <w:t>审核结算价的</w:t>
      </w:r>
      <w:r>
        <w:rPr>
          <w:rFonts w:ascii="宋体" w:hAnsi="宋体"/>
          <w:sz w:val="24"/>
          <w:szCs w:val="24"/>
          <w:u w:val="single"/>
        </w:rPr>
        <w:t xml:space="preserve"> 3 </w:t>
      </w:r>
      <w:r>
        <w:rPr>
          <w:rFonts w:ascii="宋体" w:hAnsi="宋体"/>
          <w:sz w:val="24"/>
          <w:szCs w:val="24"/>
        </w:rPr>
        <w:t>%，即人民币</w:t>
      </w:r>
      <w:r>
        <w:rPr>
          <w:rFonts w:ascii="宋体" w:hAnsi="宋体"/>
          <w:sz w:val="24"/>
          <w:szCs w:val="24"/>
          <w:u w:val="single"/>
        </w:rPr>
        <w:t xml:space="preserve">        </w:t>
      </w:r>
      <w:r>
        <w:rPr>
          <w:rFonts w:hint="eastAsia" w:ascii="宋体" w:hAnsi="宋体"/>
          <w:sz w:val="24"/>
          <w:szCs w:val="24"/>
        </w:rPr>
        <w:t>元（大写：</w:t>
      </w:r>
      <w:r>
        <w:rPr>
          <w:rFonts w:ascii="宋体" w:hAnsi="宋体"/>
          <w:sz w:val="24"/>
          <w:szCs w:val="24"/>
          <w:u w:val="single"/>
        </w:rPr>
        <w:t xml:space="preserve">         </w:t>
      </w:r>
      <w:r>
        <w:rPr>
          <w:rFonts w:hint="eastAsia" w:ascii="宋体" w:hAnsi="宋体"/>
          <w:sz w:val="24"/>
          <w:szCs w:val="24"/>
        </w:rPr>
        <w:t>）。</w:t>
      </w:r>
    </w:p>
    <w:p w14:paraId="79AC271A">
      <w:pPr>
        <w:spacing w:after="220" w:afterLines="50"/>
        <w:jc w:val="left"/>
        <w:rPr>
          <w:rFonts w:ascii="宋体" w:hAnsi="宋体"/>
          <w:sz w:val="24"/>
          <w:szCs w:val="24"/>
        </w:rPr>
      </w:pPr>
      <w:r>
        <w:rPr>
          <w:rFonts w:ascii="宋体" w:hAnsi="宋体"/>
          <w:sz w:val="24"/>
          <w:szCs w:val="24"/>
        </w:rPr>
        <w:t xml:space="preserve">3.2 </w:t>
      </w:r>
      <w:r>
        <w:rPr>
          <w:rFonts w:hint="eastAsia" w:ascii="宋体" w:hAnsi="宋体"/>
          <w:sz w:val="24"/>
          <w:szCs w:val="24"/>
        </w:rPr>
        <w:t>（</w:t>
      </w:r>
      <w:r>
        <w:rPr>
          <w:rFonts w:ascii="宋体" w:hAnsi="宋体"/>
          <w:sz w:val="24"/>
          <w:szCs w:val="24"/>
        </w:rPr>
        <w:t>1）质量保修金利息：无。</w:t>
      </w:r>
    </w:p>
    <w:p w14:paraId="064DE0FE">
      <w:pPr>
        <w:spacing w:after="220" w:afterLines="50"/>
        <w:ind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2）质量保证金的支付方式：银行转账。</w:t>
      </w:r>
    </w:p>
    <w:p w14:paraId="3D87D82B">
      <w:pPr>
        <w:widowControl/>
        <w:shd w:val="clear" w:color="auto" w:fill="FFFFFF"/>
        <w:spacing w:line="400" w:lineRule="exact"/>
        <w:jc w:val="left"/>
        <w:rPr>
          <w:rFonts w:ascii="宋体" w:hAnsi="宋体"/>
          <w:sz w:val="24"/>
          <w:szCs w:val="24"/>
        </w:rPr>
      </w:pPr>
      <w:r>
        <w:rPr>
          <w:rFonts w:ascii="宋体" w:hAnsi="宋体"/>
          <w:sz w:val="24"/>
          <w:szCs w:val="24"/>
        </w:rPr>
        <w:t>3.3</w:t>
      </w:r>
      <w:r>
        <w:rPr>
          <w:rFonts w:hint="eastAsia" w:ascii="宋体" w:hAnsi="宋体"/>
          <w:sz w:val="24"/>
          <w:szCs w:val="24"/>
        </w:rPr>
        <w:t>审核结算价的</w:t>
      </w:r>
      <w:r>
        <w:rPr>
          <w:rFonts w:ascii="宋体" w:hAnsi="宋体"/>
          <w:sz w:val="24"/>
          <w:szCs w:val="24"/>
        </w:rPr>
        <w:t>3%</w:t>
      </w:r>
      <w:r>
        <w:rPr>
          <w:rFonts w:hint="eastAsia" w:ascii="宋体" w:hAnsi="宋体"/>
          <w:sz w:val="24"/>
          <w:szCs w:val="24"/>
        </w:rPr>
        <w:t>做为保修金，待保修期结束后扣除实际发生维修费用后结清。（即本合同通过买方验收合格之日起满</w:t>
      </w:r>
      <w:r>
        <w:rPr>
          <w:rFonts w:ascii="宋体" w:hAnsi="宋体"/>
          <w:sz w:val="24"/>
          <w:szCs w:val="24"/>
        </w:rPr>
        <w:t>2年后，将扣除相关费用、违约金后的质量保修金本金支付给卖家，但并不免除卖家在质量保修期内的保修责任。卖家未能按合同规定履行保修责任的，买家有权就相关费用向卖家进行追索。）</w:t>
      </w:r>
    </w:p>
    <w:p w14:paraId="77DEBC99">
      <w:pPr>
        <w:spacing w:after="220" w:afterLines="50"/>
        <w:jc w:val="left"/>
        <w:rPr>
          <w:rFonts w:ascii="宋体" w:hAnsi="宋体"/>
          <w:b/>
          <w:sz w:val="24"/>
          <w:szCs w:val="24"/>
        </w:rPr>
      </w:pPr>
      <w:r>
        <w:rPr>
          <w:rFonts w:ascii="宋体" w:hAnsi="宋体"/>
          <w:sz w:val="24"/>
          <w:szCs w:val="24"/>
        </w:rPr>
        <w:t>3.4应支付质量保修金=合同约定质量保修金－（第三人修理费用＋卖家违约金＋买家经济损失）。</w:t>
      </w:r>
    </w:p>
    <w:p w14:paraId="4FD42D30">
      <w:pPr>
        <w:spacing w:after="220" w:afterLines="50"/>
        <w:jc w:val="left"/>
        <w:rPr>
          <w:rFonts w:ascii="宋体" w:hAnsi="宋体"/>
          <w:b/>
          <w:sz w:val="24"/>
          <w:szCs w:val="24"/>
        </w:rPr>
      </w:pPr>
      <w:r>
        <w:rPr>
          <w:rFonts w:ascii="宋体" w:hAnsi="宋体"/>
          <w:b/>
          <w:sz w:val="24"/>
          <w:szCs w:val="24"/>
        </w:rPr>
        <w:t>4.质量保修责任</w:t>
      </w:r>
    </w:p>
    <w:p w14:paraId="27CD22CD">
      <w:pPr>
        <w:spacing w:after="220" w:afterLines="50"/>
        <w:jc w:val="left"/>
        <w:rPr>
          <w:rFonts w:ascii="宋体" w:hAnsi="宋体"/>
          <w:sz w:val="24"/>
          <w:szCs w:val="24"/>
        </w:rPr>
      </w:pPr>
      <w:r>
        <w:rPr>
          <w:rFonts w:ascii="宋体" w:hAnsi="宋体"/>
          <w:sz w:val="24"/>
          <w:szCs w:val="24"/>
        </w:rPr>
        <w:t>4.1卖家应依照《中华人民共和国产品质量法》、《中华人民共和国消费者权益保护法》等有关法律、法规、规章规定以及合同的约定，履行质量保修责任。货物涉及三包政策的，卖家还必须遵守国家有关货物三包的相关规定。</w:t>
      </w:r>
    </w:p>
    <w:p w14:paraId="1F892AC6">
      <w:pPr>
        <w:spacing w:after="220" w:afterLines="50"/>
        <w:jc w:val="left"/>
        <w:rPr>
          <w:rFonts w:ascii="宋体" w:hAnsi="宋体"/>
          <w:sz w:val="24"/>
          <w:szCs w:val="24"/>
        </w:rPr>
      </w:pPr>
      <w:r>
        <w:rPr>
          <w:rFonts w:ascii="宋体" w:hAnsi="宋体"/>
          <w:sz w:val="24"/>
          <w:szCs w:val="24"/>
        </w:rPr>
        <w:t>4.2质量保修方式：卖家提供</w:t>
      </w:r>
      <w:r>
        <w:rPr>
          <w:rFonts w:hint="eastAsia" w:ascii="宋体" w:hAnsi="宋体"/>
          <w:sz w:val="24"/>
          <w:szCs w:val="24"/>
          <w:u w:val="single"/>
        </w:rPr>
        <w:t>上门保修服务、定期保养服务（若有）</w:t>
      </w:r>
      <w:r>
        <w:rPr>
          <w:rFonts w:hint="eastAsia" w:ascii="宋体" w:hAnsi="宋体"/>
          <w:sz w:val="24"/>
          <w:szCs w:val="24"/>
        </w:rPr>
        <w:t>。</w:t>
      </w:r>
    </w:p>
    <w:p w14:paraId="52B3E108">
      <w:pPr>
        <w:spacing w:after="220" w:afterLines="50"/>
        <w:jc w:val="left"/>
        <w:rPr>
          <w:rFonts w:ascii="宋体" w:hAnsi="宋体"/>
          <w:sz w:val="24"/>
          <w:szCs w:val="24"/>
        </w:rPr>
      </w:pPr>
      <w:r>
        <w:rPr>
          <w:rFonts w:ascii="宋体" w:hAnsi="宋体"/>
          <w:sz w:val="24"/>
          <w:szCs w:val="24"/>
        </w:rPr>
        <w:t>4.3质量保修期内出现质量保修问题，卖家应及时提供质量保修服务。为避免买家经营受到影响，买家有权要求卖家同时提供备用货物供买家应急使用。卖家服务响应时间如下：</w:t>
      </w:r>
    </w:p>
    <w:p w14:paraId="53990CF6">
      <w:pPr>
        <w:spacing w:after="220" w:afterLines="50"/>
        <w:jc w:val="left"/>
        <w:rPr>
          <w:rFonts w:ascii="宋体" w:hAnsi="宋体"/>
          <w:sz w:val="24"/>
          <w:szCs w:val="24"/>
        </w:rPr>
      </w:pPr>
      <w:r>
        <w:rPr>
          <w:rFonts w:ascii="宋体" w:hAnsi="宋体"/>
          <w:sz w:val="24"/>
          <w:szCs w:val="24"/>
        </w:rPr>
        <w:t>4.3.1普通质量保修问题：</w:t>
      </w:r>
      <w:r>
        <w:rPr>
          <w:rFonts w:ascii="宋体" w:hAnsi="宋体"/>
          <w:sz w:val="24"/>
          <w:szCs w:val="24"/>
          <w:u w:val="single"/>
        </w:rPr>
        <w:t>1</w:t>
      </w:r>
      <w:r>
        <w:rPr>
          <w:rFonts w:hint="eastAsia" w:ascii="宋体" w:hAnsi="宋体"/>
          <w:sz w:val="24"/>
          <w:szCs w:val="24"/>
        </w:rPr>
        <w:t>个工作日内。</w:t>
      </w:r>
    </w:p>
    <w:p w14:paraId="3CA3EA87">
      <w:pPr>
        <w:spacing w:after="220" w:afterLines="50"/>
        <w:jc w:val="left"/>
        <w:rPr>
          <w:rFonts w:ascii="宋体" w:hAnsi="宋体"/>
          <w:sz w:val="24"/>
          <w:szCs w:val="24"/>
        </w:rPr>
      </w:pPr>
      <w:r>
        <w:rPr>
          <w:rFonts w:ascii="宋体" w:hAnsi="宋体"/>
          <w:sz w:val="24"/>
          <w:szCs w:val="24"/>
        </w:rPr>
        <w:t>4.3.2紧急质量保修问题：</w:t>
      </w:r>
      <w:r>
        <w:rPr>
          <w:rFonts w:ascii="宋体" w:hAnsi="宋体"/>
          <w:sz w:val="24"/>
          <w:szCs w:val="24"/>
          <w:u w:val="single"/>
        </w:rPr>
        <w:t>2</w:t>
      </w:r>
      <w:r>
        <w:rPr>
          <w:rFonts w:hint="eastAsia" w:ascii="宋体" w:hAnsi="宋体"/>
          <w:sz w:val="24"/>
          <w:szCs w:val="24"/>
        </w:rPr>
        <w:t>个小时内（买家同意延期除外）。若卖家收到通知时不足</w:t>
      </w:r>
      <w:r>
        <w:rPr>
          <w:rFonts w:ascii="宋体" w:hAnsi="宋体"/>
          <w:sz w:val="24"/>
          <w:szCs w:val="24"/>
        </w:rPr>
        <w:t>2小时，卖家可与买家协商在次日（或次</w:t>
      </w:r>
      <w:r>
        <w:rPr>
          <w:rFonts w:hint="eastAsia" w:ascii="宋体" w:hAnsi="宋体"/>
          <w:sz w:val="24"/>
          <w:szCs w:val="24"/>
        </w:rPr>
        <w:t>一工作日）提供保修服务。若事情紧急需要当日提供保修服务的，则卖家必须在当日提供保修服务。</w:t>
      </w:r>
    </w:p>
    <w:p w14:paraId="1D2A91DA">
      <w:pPr>
        <w:spacing w:after="220" w:afterLines="50"/>
        <w:jc w:val="left"/>
        <w:rPr>
          <w:rFonts w:ascii="宋体" w:hAnsi="宋体"/>
          <w:sz w:val="24"/>
          <w:szCs w:val="24"/>
        </w:rPr>
      </w:pPr>
      <w:r>
        <w:rPr>
          <w:rFonts w:ascii="宋体" w:hAnsi="宋体"/>
          <w:sz w:val="24"/>
          <w:szCs w:val="24"/>
        </w:rPr>
        <w:t>4.3.3保修完成时间：一般情况下≤48小时；紧急情况下，≤24小时。特别疑难问题保修完成时间可以适当延长，但延长时间≤48小时。修复时间从买家通知卖家提供保修服务起计算。</w:t>
      </w:r>
    </w:p>
    <w:p w14:paraId="449BCD44">
      <w:pPr>
        <w:spacing w:after="220" w:afterLines="50"/>
        <w:jc w:val="left"/>
        <w:rPr>
          <w:rFonts w:ascii="宋体" w:hAnsi="宋体"/>
          <w:sz w:val="24"/>
          <w:szCs w:val="24"/>
        </w:rPr>
      </w:pPr>
      <w:r>
        <w:rPr>
          <w:rFonts w:ascii="宋体" w:hAnsi="宋体"/>
          <w:sz w:val="24"/>
          <w:szCs w:val="24"/>
        </w:rPr>
        <w:t>4.3.4定期保养服务：</w:t>
      </w:r>
      <w:r>
        <w:rPr>
          <w:rFonts w:ascii="宋体" w:hAnsi="宋体"/>
          <w:sz w:val="24"/>
          <w:szCs w:val="24"/>
          <w:u w:val="single"/>
        </w:rPr>
        <w:t xml:space="preserve">            /                               </w:t>
      </w:r>
      <w:r>
        <w:rPr>
          <w:rFonts w:hint="eastAsia" w:ascii="宋体" w:hAnsi="宋体"/>
          <w:sz w:val="24"/>
          <w:szCs w:val="24"/>
        </w:rPr>
        <w:t>。</w:t>
      </w:r>
    </w:p>
    <w:p w14:paraId="3173AED2">
      <w:pPr>
        <w:spacing w:after="220" w:afterLines="50"/>
        <w:jc w:val="left"/>
        <w:rPr>
          <w:rFonts w:ascii="宋体" w:hAnsi="宋体"/>
          <w:sz w:val="24"/>
          <w:szCs w:val="24"/>
        </w:rPr>
      </w:pPr>
      <w:r>
        <w:rPr>
          <w:rFonts w:ascii="宋体" w:hAnsi="宋体"/>
          <w:sz w:val="24"/>
          <w:szCs w:val="24"/>
        </w:rPr>
        <w:t>4.3质量保修期产品更换和/或退货：</w:t>
      </w:r>
    </w:p>
    <w:p w14:paraId="56FB06D5">
      <w:pPr>
        <w:spacing w:after="220" w:afterLines="50"/>
        <w:jc w:val="left"/>
        <w:rPr>
          <w:rFonts w:ascii="宋体" w:hAnsi="宋体"/>
          <w:sz w:val="24"/>
          <w:szCs w:val="24"/>
        </w:rPr>
      </w:pPr>
      <w:r>
        <w:rPr>
          <w:rFonts w:ascii="宋体" w:hAnsi="宋体"/>
          <w:sz w:val="24"/>
          <w:szCs w:val="24"/>
        </w:rPr>
        <w:t>4.3.1若货物存在产品质量缺陷且该缺陷是因为卖家或生产商疏忽或故意所致，或者货物使用了不合格的材料，无论货物是否在质量保修期内，买家均有权选择更换或退货，且有权要求卖家向买家支付质量保修金20%或缺陷货物价款3%（二者以高者为准）的违约金。</w:t>
      </w:r>
    </w:p>
    <w:p w14:paraId="7A0E45B1">
      <w:pPr>
        <w:spacing w:after="50"/>
        <w:jc w:val="left"/>
        <w:rPr>
          <w:rFonts w:ascii="宋体" w:hAnsi="宋体"/>
          <w:sz w:val="24"/>
          <w:szCs w:val="24"/>
        </w:rPr>
      </w:pPr>
      <w:r>
        <w:rPr>
          <w:rFonts w:ascii="宋体" w:hAnsi="宋体"/>
          <w:sz w:val="24"/>
          <w:szCs w:val="24"/>
        </w:rPr>
        <w:t>4.3.2若发生同一质量保修问题，经卖家修理2次后仍未解决问题，在三包有效期内，买家有权选择更换或者退货。超出三包有效期的，买家有权依照第4.3.3款约定处理，但属于第4.3.1款约定情形，则依照第4.3.1款约定处理。</w:t>
      </w:r>
    </w:p>
    <w:p w14:paraId="11506FA5">
      <w:pPr>
        <w:spacing w:after="50"/>
        <w:jc w:val="left"/>
        <w:rPr>
          <w:rFonts w:ascii="宋体" w:hAnsi="宋体" w:cs="宋体"/>
          <w:sz w:val="24"/>
          <w:szCs w:val="24"/>
        </w:rPr>
      </w:pPr>
      <w:r>
        <w:rPr>
          <w:rFonts w:ascii="宋体" w:hAnsi="宋体"/>
          <w:sz w:val="24"/>
          <w:szCs w:val="24"/>
        </w:rPr>
        <w:t>4.3.3质量保修期内，</w:t>
      </w:r>
      <w:r>
        <w:rPr>
          <w:rFonts w:hint="eastAsia" w:ascii="宋体" w:hAnsi="宋体" w:cs="宋体"/>
          <w:sz w:val="24"/>
          <w:szCs w:val="24"/>
        </w:rPr>
        <w:t>卖家有以下情形之一的，买家经书面通知卖家后，有权采取必要的补救措施，委托第三方对故障进行修复。</w:t>
      </w:r>
    </w:p>
    <w:p w14:paraId="5E2ECEBE">
      <w:pPr>
        <w:spacing w:after="5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1）卖家收到买家故障通知后，未在约定时间派人至现场且未取得买家同意的；</w:t>
      </w:r>
    </w:p>
    <w:p w14:paraId="5D9FED09">
      <w:pPr>
        <w:spacing w:after="5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2）卖家未在约定时间内修复且未取得买家同意延长修复时间的；</w:t>
      </w:r>
    </w:p>
    <w:p w14:paraId="73C6EA95">
      <w:pPr>
        <w:spacing w:after="50"/>
        <w:jc w:val="left"/>
        <w:rPr>
          <w:rFonts w:ascii="宋体" w:hAnsi="宋体"/>
          <w:sz w:val="24"/>
          <w:szCs w:val="24"/>
        </w:rPr>
      </w:pPr>
      <w:r>
        <w:rPr>
          <w:rFonts w:hint="eastAsia" w:ascii="宋体" w:hAnsi="宋体" w:cs="宋体"/>
          <w:sz w:val="24"/>
          <w:szCs w:val="24"/>
        </w:rPr>
        <w:t>（</w:t>
      </w:r>
      <w:r>
        <w:rPr>
          <w:rFonts w:ascii="宋体" w:hAnsi="宋体" w:cs="宋体"/>
          <w:sz w:val="24"/>
          <w:szCs w:val="24"/>
        </w:rPr>
        <w:t>3）同一故障经卖家修复</w:t>
      </w:r>
      <w:r>
        <w:rPr>
          <w:rFonts w:ascii="宋体" w:hAnsi="宋体" w:cs="宋体"/>
          <w:sz w:val="24"/>
          <w:szCs w:val="24"/>
          <w:u w:val="single"/>
        </w:rPr>
        <w:t>2</w:t>
      </w:r>
      <w:r>
        <w:rPr>
          <w:rFonts w:hint="eastAsia" w:ascii="宋体" w:hAnsi="宋体" w:cs="宋体"/>
          <w:sz w:val="24"/>
          <w:szCs w:val="24"/>
        </w:rPr>
        <w:t>次仍出现相同故障的。</w:t>
      </w:r>
    </w:p>
    <w:p w14:paraId="16046151">
      <w:pPr>
        <w:spacing w:after="220" w:afterLines="50"/>
        <w:jc w:val="left"/>
        <w:rPr>
          <w:rFonts w:ascii="宋体" w:hAnsi="宋体"/>
          <w:sz w:val="24"/>
          <w:szCs w:val="24"/>
        </w:rPr>
      </w:pPr>
      <w:r>
        <w:rPr>
          <w:rFonts w:ascii="宋体" w:hAnsi="宋体"/>
          <w:sz w:val="24"/>
          <w:szCs w:val="24"/>
        </w:rPr>
        <w:t>4.5卖家提供的</w:t>
      </w:r>
      <w:r>
        <w:rPr>
          <w:rFonts w:hint="eastAsia" w:ascii="宋体" w:hAnsi="宋体" w:cs="宋体"/>
          <w:sz w:val="24"/>
          <w:szCs w:val="24"/>
        </w:rPr>
        <w:t>更换部件，必须采用全新的、经设备整机制造商认可的、在品质、型号、制造商等方面与原部件相同的部件，并且使用设备整机制造商提供或推荐的润滑剂（如需）；如果得到买家的书面批准，也可以采用同等的部件、润滑剂或者更换设备。</w:t>
      </w:r>
    </w:p>
    <w:p w14:paraId="36783E1A">
      <w:pPr>
        <w:spacing w:after="220" w:afterLines="50"/>
        <w:jc w:val="left"/>
        <w:rPr>
          <w:rFonts w:ascii="宋体" w:hAnsi="宋体"/>
          <w:sz w:val="24"/>
          <w:szCs w:val="24"/>
        </w:rPr>
      </w:pPr>
      <w:r>
        <w:rPr>
          <w:rFonts w:ascii="宋体" w:hAnsi="宋体"/>
          <w:sz w:val="24"/>
          <w:szCs w:val="24"/>
        </w:rPr>
        <w:t>4.6因质量保修问题或产品缺陷导致买家遭受经济损失（如有），或者买家委托第三方修理所生费用，皆由卖家承担。卖家拒不支付的，买家有权自质量保修金内直接扣除。卖家提供保修服务人员出现意外伤亡或者导致买家员工和/或第三人意外伤亡的，卖家应承担全部法律责任。</w:t>
      </w:r>
    </w:p>
    <w:p w14:paraId="43570F36">
      <w:pPr>
        <w:spacing w:after="220" w:afterLines="50"/>
        <w:jc w:val="left"/>
        <w:rPr>
          <w:rFonts w:ascii="宋体" w:hAnsi="宋体"/>
          <w:sz w:val="24"/>
          <w:szCs w:val="24"/>
        </w:rPr>
      </w:pPr>
      <w:r>
        <w:rPr>
          <w:rFonts w:ascii="宋体" w:hAnsi="宋体"/>
          <w:sz w:val="24"/>
          <w:szCs w:val="24"/>
        </w:rPr>
        <w:t>4.7买家委托第三人修理的，仍</w:t>
      </w:r>
      <w:r>
        <w:rPr>
          <w:rFonts w:hint="eastAsia" w:ascii="宋体" w:hAnsi="宋体"/>
          <w:sz w:val="24"/>
          <w:szCs w:val="24"/>
        </w:rPr>
        <w:t>不免除卖家的保修责任，除非买家放弃追究第三人修理部分买家保修责任的权利。</w:t>
      </w:r>
    </w:p>
    <w:p w14:paraId="66B13BE8">
      <w:pPr>
        <w:spacing w:after="220" w:afterLines="50"/>
        <w:jc w:val="left"/>
        <w:rPr>
          <w:rFonts w:ascii="宋体" w:hAnsi="宋体"/>
          <w:sz w:val="24"/>
          <w:szCs w:val="24"/>
        </w:rPr>
      </w:pPr>
      <w:r>
        <w:rPr>
          <w:rFonts w:ascii="宋体" w:hAnsi="宋体"/>
          <w:sz w:val="24"/>
          <w:szCs w:val="24"/>
        </w:rPr>
        <w:t>4.8本条所称</w:t>
      </w:r>
      <w:r>
        <w:rPr>
          <w:rFonts w:hint="eastAsia" w:ascii="宋体" w:hAnsi="宋体"/>
          <w:sz w:val="24"/>
        </w:rPr>
        <w:t>质量缺陷包括材料设备质量缺陷和安装质量缺陷。材料设备缺陷是指材料设备存在危及人身、他人财产安全的不合理的危险；材料设备有保障人体健康，人身、财产安全的国家标准、行业标准的，是指不符合该标准。安装质量</w:t>
      </w:r>
      <w:r>
        <w:rPr>
          <w:rFonts w:hint="eastAsia" w:ascii="宋体" w:hAnsi="宋体"/>
          <w:sz w:val="24"/>
          <w:shd w:val="clear" w:color="auto" w:fill="FFFFFF"/>
        </w:rPr>
        <w:t>缺陷是指安装质量不符合相关强制性标准、设计文件，以及本合同的约定</w:t>
      </w:r>
      <w:r>
        <w:rPr>
          <w:rFonts w:hint="eastAsia" w:ascii="宋体" w:hAnsi="宋体"/>
          <w:sz w:val="24"/>
        </w:rPr>
        <w:t>。</w:t>
      </w:r>
    </w:p>
    <w:p w14:paraId="119C6144">
      <w:pPr>
        <w:spacing w:after="220" w:afterLines="50"/>
        <w:jc w:val="left"/>
        <w:rPr>
          <w:rFonts w:ascii="宋体" w:hAnsi="宋体"/>
          <w:b/>
          <w:sz w:val="24"/>
          <w:szCs w:val="24"/>
        </w:rPr>
      </w:pPr>
      <w:r>
        <w:rPr>
          <w:rFonts w:ascii="宋体" w:hAnsi="宋体"/>
          <w:b/>
          <w:sz w:val="24"/>
          <w:szCs w:val="24"/>
        </w:rPr>
        <w:t>5.质量保修责任豁免</w:t>
      </w:r>
    </w:p>
    <w:p w14:paraId="12A100B6">
      <w:pPr>
        <w:spacing w:after="220" w:afterLines="50"/>
        <w:jc w:val="left"/>
        <w:rPr>
          <w:rFonts w:ascii="宋体" w:hAnsi="宋体"/>
          <w:sz w:val="24"/>
          <w:szCs w:val="24"/>
        </w:rPr>
      </w:pPr>
      <w:r>
        <w:rPr>
          <w:rFonts w:ascii="宋体" w:hAnsi="宋体"/>
          <w:sz w:val="24"/>
          <w:szCs w:val="24"/>
        </w:rPr>
        <w:t>5.1有以下情形之一的，可以相应减轻或免除卖家的质量保修责任。</w:t>
      </w:r>
    </w:p>
    <w:p w14:paraId="338EF06F">
      <w:pPr>
        <w:spacing w:after="220" w:afterLines="50"/>
        <w:jc w:val="left"/>
        <w:rPr>
          <w:rFonts w:ascii="宋体" w:hAnsi="宋体"/>
          <w:sz w:val="24"/>
          <w:szCs w:val="24"/>
        </w:rPr>
      </w:pPr>
      <w:r>
        <w:rPr>
          <w:rFonts w:ascii="宋体" w:hAnsi="宋体"/>
          <w:sz w:val="24"/>
          <w:szCs w:val="24"/>
        </w:rPr>
        <w:t>5.1.1不可抗力引致的损害（但因卖家迟延履行保修义务遭受不可抗力的，不能免除卖家的保修责任）；</w:t>
      </w:r>
    </w:p>
    <w:p w14:paraId="20C8E499">
      <w:pPr>
        <w:spacing w:after="220" w:afterLines="50"/>
        <w:jc w:val="left"/>
        <w:rPr>
          <w:rFonts w:ascii="宋体" w:hAnsi="宋体"/>
          <w:sz w:val="24"/>
          <w:szCs w:val="24"/>
        </w:rPr>
      </w:pPr>
      <w:r>
        <w:rPr>
          <w:rFonts w:ascii="宋体" w:hAnsi="宋体"/>
          <w:sz w:val="24"/>
          <w:szCs w:val="24"/>
        </w:rPr>
        <w:t>5.1.2买家过错引致的损害；</w:t>
      </w:r>
    </w:p>
    <w:p w14:paraId="032348F4">
      <w:pPr>
        <w:spacing w:after="220" w:afterLines="50"/>
        <w:jc w:val="left"/>
        <w:rPr>
          <w:rFonts w:ascii="宋体" w:hAnsi="宋体"/>
          <w:sz w:val="24"/>
          <w:szCs w:val="24"/>
        </w:rPr>
      </w:pPr>
      <w:r>
        <w:rPr>
          <w:rFonts w:ascii="宋体" w:hAnsi="宋体"/>
          <w:sz w:val="24"/>
          <w:szCs w:val="24"/>
        </w:rPr>
        <w:t>5.1.3买家擅自维修引致的损害（第4.3.3款约定情形除外）；</w:t>
      </w:r>
    </w:p>
    <w:p w14:paraId="24319909">
      <w:pPr>
        <w:spacing w:after="220" w:afterLines="50"/>
        <w:jc w:val="left"/>
        <w:rPr>
          <w:rFonts w:ascii="宋体" w:hAnsi="宋体"/>
          <w:sz w:val="24"/>
          <w:szCs w:val="24"/>
        </w:rPr>
      </w:pPr>
      <w:r>
        <w:rPr>
          <w:rFonts w:ascii="宋体" w:hAnsi="宋体"/>
          <w:sz w:val="24"/>
          <w:szCs w:val="24"/>
        </w:rPr>
        <w:t>5.1.4其他法定可减轻或免除卖家质量保修责任的情形。</w:t>
      </w:r>
    </w:p>
    <w:p w14:paraId="67844C0C">
      <w:pPr>
        <w:spacing w:after="220" w:afterLines="50"/>
        <w:jc w:val="left"/>
        <w:rPr>
          <w:rFonts w:ascii="宋体" w:hAnsi="宋体"/>
          <w:sz w:val="24"/>
          <w:szCs w:val="24"/>
        </w:rPr>
      </w:pPr>
      <w:r>
        <w:rPr>
          <w:rFonts w:ascii="宋体" w:hAnsi="宋体"/>
          <w:sz w:val="24"/>
          <w:szCs w:val="24"/>
        </w:rPr>
        <w:t>5.2即使卖家依据第5.1款约定可部分或全部免除质量保修责任，但若买家要求卖家对货物进行修理，卖家应以不高于成本价的价格，提供修理服务。</w:t>
      </w:r>
    </w:p>
    <w:p w14:paraId="3D531702">
      <w:pPr>
        <w:spacing w:after="220" w:afterLines="50"/>
        <w:jc w:val="left"/>
        <w:rPr>
          <w:rFonts w:ascii="宋体" w:hAnsi="宋体"/>
          <w:b/>
          <w:sz w:val="24"/>
          <w:szCs w:val="24"/>
        </w:rPr>
      </w:pPr>
      <w:r>
        <w:rPr>
          <w:rFonts w:ascii="宋体" w:hAnsi="宋体"/>
          <w:b/>
          <w:sz w:val="24"/>
          <w:szCs w:val="24"/>
        </w:rPr>
        <w:t>6.其他约定事项：</w:t>
      </w:r>
    </w:p>
    <w:p w14:paraId="4B9CDB13">
      <w:pPr>
        <w:spacing w:after="220" w:afterLines="50"/>
        <w:jc w:val="left"/>
        <w:rPr>
          <w:rFonts w:ascii="宋体" w:hAnsi="宋体"/>
          <w:sz w:val="24"/>
          <w:szCs w:val="24"/>
        </w:rPr>
      </w:pPr>
      <w:r>
        <w:rPr>
          <w:rFonts w:ascii="宋体" w:hAnsi="宋体"/>
          <w:sz w:val="24"/>
          <w:szCs w:val="24"/>
        </w:rPr>
        <w:t>6.1</w:t>
      </w:r>
      <w:r>
        <w:rPr>
          <w:rFonts w:ascii="宋体" w:hAnsi="宋体"/>
          <w:sz w:val="24"/>
          <w:szCs w:val="24"/>
          <w:u w:val="single"/>
        </w:rPr>
        <w:t xml:space="preserve">          /                                          </w:t>
      </w:r>
      <w:r>
        <w:rPr>
          <w:rFonts w:hint="eastAsia" w:ascii="宋体" w:hAnsi="宋体"/>
          <w:sz w:val="24"/>
          <w:szCs w:val="24"/>
        </w:rPr>
        <w:t>。</w:t>
      </w:r>
    </w:p>
    <w:p w14:paraId="3D824B82">
      <w:pPr>
        <w:spacing w:after="220" w:afterLines="50"/>
        <w:jc w:val="left"/>
        <w:rPr>
          <w:rFonts w:ascii="宋体" w:hAnsi="宋体"/>
          <w:sz w:val="24"/>
          <w:szCs w:val="24"/>
        </w:rPr>
      </w:pPr>
      <w:r>
        <w:rPr>
          <w:rFonts w:hint="eastAsia" w:ascii="宋体" w:hAnsi="宋体"/>
          <w:sz w:val="24"/>
          <w:szCs w:val="24"/>
        </w:rPr>
        <w:t>（以下无正文）</w:t>
      </w:r>
    </w:p>
    <w:p w14:paraId="157E378F">
      <w:pPr>
        <w:spacing w:after="220" w:afterLines="50"/>
        <w:jc w:val="left"/>
        <w:rPr>
          <w:rFonts w:ascii="宋体" w:hAnsi="宋体"/>
          <w:sz w:val="24"/>
          <w:szCs w:val="24"/>
        </w:rPr>
      </w:pPr>
      <w:r>
        <w:rPr>
          <w:rFonts w:ascii="宋体" w:hAnsi="宋体"/>
          <w:sz w:val="24"/>
          <w:szCs w:val="24"/>
        </w:rPr>
        <w:br w:type="page"/>
      </w:r>
    </w:p>
    <w:p w14:paraId="1B379242">
      <w:pPr>
        <w:spacing w:after="220" w:afterLines="50"/>
        <w:jc w:val="left"/>
        <w:rPr>
          <w:rFonts w:ascii="宋体" w:hAnsi="宋体"/>
          <w:sz w:val="24"/>
          <w:szCs w:val="24"/>
        </w:rPr>
      </w:pPr>
      <w:r>
        <w:rPr>
          <w:rFonts w:hint="eastAsia" w:ascii="宋体" w:hAnsi="宋体"/>
          <w:sz w:val="24"/>
          <w:szCs w:val="24"/>
        </w:rPr>
        <w:t>（本页为买家、卖家《质量保修书》签署页）</w:t>
      </w:r>
    </w:p>
    <w:p w14:paraId="63EDA9B6">
      <w:pPr>
        <w:spacing w:after="220" w:afterLines="50"/>
        <w:jc w:val="left"/>
        <w:rPr>
          <w:rFonts w:ascii="宋体" w:hAnsi="宋体"/>
          <w:sz w:val="24"/>
          <w:szCs w:val="24"/>
        </w:rPr>
      </w:pPr>
    </w:p>
    <w:p w14:paraId="3272C73A">
      <w:pPr>
        <w:spacing w:after="220" w:afterLines="50"/>
        <w:jc w:val="left"/>
        <w:rPr>
          <w:rFonts w:ascii="宋体" w:hAnsi="宋体"/>
          <w:sz w:val="24"/>
          <w:szCs w:val="24"/>
        </w:rPr>
      </w:pPr>
      <w:r>
        <w:rPr>
          <w:rFonts w:hint="eastAsia" w:ascii="宋体" w:hAnsi="宋体"/>
          <w:sz w:val="24"/>
          <w:szCs w:val="24"/>
        </w:rPr>
        <w:t>买家（章）：</w:t>
      </w:r>
      <w:r>
        <w:rPr>
          <w:rFonts w:ascii="宋体" w:hAnsi="宋体"/>
          <w:sz w:val="24"/>
          <w:szCs w:val="24"/>
        </w:rPr>
        <w:t xml:space="preserve">                             </w:t>
      </w:r>
      <w:r>
        <w:rPr>
          <w:rFonts w:hint="eastAsia" w:ascii="宋体" w:hAnsi="宋体"/>
          <w:sz w:val="24"/>
          <w:szCs w:val="24"/>
        </w:rPr>
        <w:t>卖家（章）：</w:t>
      </w:r>
    </w:p>
    <w:p w14:paraId="08253F78">
      <w:pPr>
        <w:spacing w:after="220" w:afterLines="50"/>
        <w:jc w:val="left"/>
        <w:rPr>
          <w:rFonts w:ascii="宋体" w:hAnsi="宋体"/>
          <w:sz w:val="24"/>
          <w:szCs w:val="24"/>
        </w:rPr>
      </w:pPr>
    </w:p>
    <w:p w14:paraId="6FC332F8">
      <w:pPr>
        <w:spacing w:after="220" w:afterLines="50"/>
        <w:jc w:val="left"/>
        <w:rPr>
          <w:rFonts w:ascii="宋体" w:hAnsi="宋体"/>
          <w:sz w:val="24"/>
          <w:szCs w:val="24"/>
        </w:rPr>
      </w:pPr>
    </w:p>
    <w:p w14:paraId="4F0643B3">
      <w:pPr>
        <w:spacing w:after="220" w:afterLines="5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w:t>
      </w:r>
      <w:r>
        <w:rPr>
          <w:rFonts w:hint="eastAsia" w:ascii="宋体" w:hAnsi="宋体"/>
          <w:sz w:val="24"/>
          <w:szCs w:val="24"/>
        </w:rPr>
        <w:t>法定代表人：</w:t>
      </w:r>
    </w:p>
    <w:p w14:paraId="5D314155">
      <w:pPr>
        <w:spacing w:after="220" w:afterLines="50"/>
        <w:jc w:val="left"/>
        <w:rPr>
          <w:rFonts w:ascii="宋体" w:hAnsi="宋体"/>
          <w:sz w:val="24"/>
          <w:szCs w:val="24"/>
        </w:rPr>
      </w:pPr>
    </w:p>
    <w:p w14:paraId="39848F8D">
      <w:pPr>
        <w:spacing w:after="220" w:afterLines="50"/>
        <w:jc w:val="left"/>
        <w:rPr>
          <w:rFonts w:ascii="宋体" w:hAnsi="宋体"/>
          <w:sz w:val="24"/>
          <w:szCs w:val="24"/>
        </w:rPr>
      </w:pPr>
      <w:r>
        <w:rPr>
          <w:rFonts w:hint="eastAsia" w:ascii="宋体" w:hAnsi="宋体"/>
          <w:sz w:val="24"/>
          <w:szCs w:val="24"/>
        </w:rPr>
        <w:t>授权代表人：</w:t>
      </w:r>
      <w:r>
        <w:rPr>
          <w:rFonts w:ascii="宋体" w:hAnsi="宋体"/>
          <w:sz w:val="24"/>
          <w:szCs w:val="24"/>
        </w:rPr>
        <w:t xml:space="preserve">                              </w:t>
      </w:r>
      <w:r>
        <w:rPr>
          <w:rFonts w:hint="eastAsia" w:ascii="宋体" w:hAnsi="宋体"/>
          <w:sz w:val="24"/>
          <w:szCs w:val="24"/>
        </w:rPr>
        <w:t>授权代表人：</w:t>
      </w:r>
    </w:p>
    <w:p w14:paraId="06A67DE2">
      <w:pPr>
        <w:spacing w:after="220" w:afterLines="50"/>
        <w:jc w:val="left"/>
        <w:rPr>
          <w:rFonts w:ascii="宋体" w:hAnsi="宋体"/>
          <w:sz w:val="24"/>
          <w:szCs w:val="24"/>
        </w:rPr>
      </w:pPr>
    </w:p>
    <w:p w14:paraId="70141EB7">
      <w:pPr>
        <w:spacing w:after="220" w:afterLines="50"/>
        <w:jc w:val="left"/>
        <w:rPr>
          <w:rFonts w:ascii="宋体" w:hAnsi="宋体"/>
          <w:sz w:val="24"/>
          <w:szCs w:val="24"/>
        </w:rPr>
      </w:pPr>
    </w:p>
    <w:p w14:paraId="7BE7370B">
      <w:pPr>
        <w:spacing w:after="220" w:afterLines="50"/>
        <w:rPr>
          <w:rFonts w:ascii="宋体" w:hAnsi="宋体"/>
          <w:sz w:val="24"/>
          <w:szCs w:val="24"/>
        </w:rPr>
      </w:pPr>
      <w:r>
        <w:rPr>
          <w:rFonts w:hint="eastAsia" w:ascii="宋体" w:hAnsi="宋体"/>
          <w:sz w:val="24"/>
          <w:szCs w:val="24"/>
        </w:rPr>
        <w:t>签署日期：</w:t>
      </w:r>
      <w:r>
        <w:rPr>
          <w:rFonts w:ascii="宋体" w:hAnsi="宋体"/>
          <w:sz w:val="24"/>
          <w:szCs w:val="24"/>
        </w:rPr>
        <w:t xml:space="preserve">     年   月   日               签署日期：     年   月   日 </w:t>
      </w:r>
    </w:p>
    <w:p w14:paraId="262EFE24">
      <w:pPr>
        <w:rPr>
          <w:rFonts w:ascii="宋体" w:hAnsi="宋体"/>
          <w:sz w:val="24"/>
          <w:szCs w:val="24"/>
        </w:rPr>
      </w:pPr>
      <w:r>
        <w:rPr>
          <w:rFonts w:ascii="宋体" w:hAnsi="宋体"/>
          <w:sz w:val="24"/>
          <w:szCs w:val="24"/>
        </w:rPr>
        <w:br w:type="page"/>
      </w:r>
    </w:p>
    <w:p w14:paraId="49DE99AB">
      <w:pPr>
        <w:pStyle w:val="23"/>
        <w:spacing w:after="120" w:afterLines="50" w:line="240" w:lineRule="auto"/>
        <w:ind w:firstLine="0" w:firstLineChars="0"/>
        <w:outlineLvl w:val="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附件</w:t>
      </w:r>
      <w:r>
        <w:rPr>
          <w:rFonts w:hint="eastAsia" w:ascii="宋体" w:hAnsi="宋体" w:cs="宋体"/>
          <w:b/>
          <w:bCs/>
          <w:kern w:val="0"/>
          <w:sz w:val="24"/>
          <w:lang w:val="en-US" w:eastAsia="zh-CN"/>
        </w:rPr>
        <w:t>4</w:t>
      </w:r>
      <w:r>
        <w:rPr>
          <w:rFonts w:hint="eastAsia" w:ascii="宋体" w:hAnsi="宋体" w:eastAsia="宋体" w:cs="宋体"/>
          <w:b/>
          <w:bCs/>
          <w:kern w:val="0"/>
          <w:sz w:val="24"/>
          <w:lang w:val="en-US" w:eastAsia="zh-CN"/>
        </w:rPr>
        <w:t>：履约评价表</w:t>
      </w:r>
      <w:bookmarkEnd w:id="19"/>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766"/>
        <w:gridCol w:w="768"/>
        <w:gridCol w:w="3743"/>
        <w:gridCol w:w="1578"/>
        <w:gridCol w:w="905"/>
      </w:tblGrid>
      <w:tr w14:paraId="2C3F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8" w:type="pct"/>
            <w:gridSpan w:val="3"/>
            <w:vAlign w:val="center"/>
          </w:tcPr>
          <w:p w14:paraId="725C581F">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合同名称</w:t>
            </w:r>
          </w:p>
        </w:tc>
        <w:tc>
          <w:tcPr>
            <w:tcW w:w="3741" w:type="pct"/>
            <w:gridSpan w:val="3"/>
            <w:vAlign w:val="center"/>
          </w:tcPr>
          <w:p w14:paraId="2BF32BB5">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eastAsia="宋体" w:cs="宋体"/>
                <w:kern w:val="0"/>
                <w:sz w:val="13"/>
                <w:szCs w:val="13"/>
              </w:rPr>
            </w:pPr>
          </w:p>
        </w:tc>
      </w:tr>
      <w:tr w14:paraId="49D0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8" w:type="pct"/>
            <w:gridSpan w:val="3"/>
            <w:vAlign w:val="center"/>
          </w:tcPr>
          <w:p w14:paraId="65EDEBBB">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被评价单位</w:t>
            </w:r>
          </w:p>
        </w:tc>
        <w:tc>
          <w:tcPr>
            <w:tcW w:w="3741" w:type="pct"/>
            <w:gridSpan w:val="3"/>
            <w:vAlign w:val="center"/>
          </w:tcPr>
          <w:p w14:paraId="3CD9E546">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r>
      <w:tr w14:paraId="5E33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8" w:type="pct"/>
            <w:gridSpan w:val="3"/>
            <w:vAlign w:val="center"/>
          </w:tcPr>
          <w:p w14:paraId="11C9D453">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履约评价阶段</w:t>
            </w:r>
          </w:p>
        </w:tc>
        <w:tc>
          <w:tcPr>
            <w:tcW w:w="2225" w:type="pct"/>
            <w:vAlign w:val="center"/>
          </w:tcPr>
          <w:p w14:paraId="252831D9">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956" w:type="pct"/>
            <w:vAlign w:val="center"/>
          </w:tcPr>
          <w:p w14:paraId="504570D7">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履约评价日期</w:t>
            </w:r>
          </w:p>
        </w:tc>
        <w:tc>
          <w:tcPr>
            <w:tcW w:w="559" w:type="pct"/>
            <w:vAlign w:val="center"/>
          </w:tcPr>
          <w:p w14:paraId="39D8EA82">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r>
      <w:tr w14:paraId="21D5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Align w:val="center"/>
          </w:tcPr>
          <w:p w14:paraId="674C67A9">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序号</w:t>
            </w:r>
          </w:p>
        </w:tc>
        <w:tc>
          <w:tcPr>
            <w:tcW w:w="476" w:type="pct"/>
            <w:vAlign w:val="center"/>
          </w:tcPr>
          <w:p w14:paraId="00A42F16">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分项内容</w:t>
            </w:r>
          </w:p>
        </w:tc>
        <w:tc>
          <w:tcPr>
            <w:tcW w:w="482" w:type="pct"/>
            <w:vAlign w:val="center"/>
          </w:tcPr>
          <w:p w14:paraId="523E6707">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满分分值</w:t>
            </w:r>
          </w:p>
        </w:tc>
        <w:tc>
          <w:tcPr>
            <w:tcW w:w="2225" w:type="pct"/>
            <w:vMerge w:val="restart"/>
            <w:vAlign w:val="center"/>
          </w:tcPr>
          <w:p w14:paraId="3C938AC5">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评价标准</w:t>
            </w:r>
          </w:p>
        </w:tc>
        <w:tc>
          <w:tcPr>
            <w:tcW w:w="956" w:type="pct"/>
            <w:vMerge w:val="restart"/>
            <w:vAlign w:val="center"/>
          </w:tcPr>
          <w:p w14:paraId="43EB1D33">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说明</w:t>
            </w:r>
          </w:p>
        </w:tc>
        <w:tc>
          <w:tcPr>
            <w:tcW w:w="559" w:type="pct"/>
            <w:vMerge w:val="restart"/>
            <w:vAlign w:val="center"/>
          </w:tcPr>
          <w:p w14:paraId="13C3F7A3">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实际得分</w:t>
            </w:r>
          </w:p>
        </w:tc>
      </w:tr>
      <w:tr w14:paraId="5F96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Align w:val="center"/>
          </w:tcPr>
          <w:p w14:paraId="4D4C74DA">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一</w:t>
            </w:r>
          </w:p>
        </w:tc>
        <w:tc>
          <w:tcPr>
            <w:tcW w:w="476" w:type="pct"/>
            <w:vAlign w:val="center"/>
          </w:tcPr>
          <w:p w14:paraId="06DCE1FB">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服务质量</w:t>
            </w:r>
          </w:p>
        </w:tc>
        <w:tc>
          <w:tcPr>
            <w:tcW w:w="482" w:type="pct"/>
            <w:vAlign w:val="center"/>
          </w:tcPr>
          <w:p w14:paraId="7CAC214E">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70</w:t>
            </w:r>
          </w:p>
        </w:tc>
        <w:tc>
          <w:tcPr>
            <w:tcW w:w="2225" w:type="pct"/>
            <w:vMerge w:val="continue"/>
            <w:vAlign w:val="center"/>
          </w:tcPr>
          <w:p w14:paraId="7E115BFF">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p>
        </w:tc>
        <w:tc>
          <w:tcPr>
            <w:tcW w:w="956" w:type="pct"/>
            <w:vMerge w:val="continue"/>
            <w:vAlign w:val="center"/>
          </w:tcPr>
          <w:p w14:paraId="19439457">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p>
        </w:tc>
        <w:tc>
          <w:tcPr>
            <w:tcW w:w="559" w:type="pct"/>
            <w:vMerge w:val="continue"/>
            <w:vAlign w:val="center"/>
          </w:tcPr>
          <w:p w14:paraId="1FB6F32D">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p>
        </w:tc>
      </w:tr>
      <w:tr w14:paraId="0FAA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restart"/>
            <w:vAlign w:val="center"/>
          </w:tcPr>
          <w:p w14:paraId="4F55CEEA">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1</w:t>
            </w:r>
          </w:p>
        </w:tc>
        <w:tc>
          <w:tcPr>
            <w:tcW w:w="476" w:type="pct"/>
            <w:vMerge w:val="restart"/>
            <w:vAlign w:val="center"/>
          </w:tcPr>
          <w:p w14:paraId="4740A264">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服务成果质量</w:t>
            </w:r>
          </w:p>
        </w:tc>
        <w:tc>
          <w:tcPr>
            <w:tcW w:w="482" w:type="pct"/>
            <w:vMerge w:val="restart"/>
            <w:vAlign w:val="center"/>
          </w:tcPr>
          <w:p w14:paraId="4B1805C7">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30</w:t>
            </w:r>
          </w:p>
        </w:tc>
        <w:tc>
          <w:tcPr>
            <w:tcW w:w="2225" w:type="pct"/>
            <w:vAlign w:val="center"/>
          </w:tcPr>
          <w:p w14:paraId="617D6767">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优秀：一次性通过验收，无修改完善保留意见</w:t>
            </w:r>
          </w:p>
        </w:tc>
        <w:tc>
          <w:tcPr>
            <w:tcW w:w="956" w:type="pct"/>
            <w:vMerge w:val="restart"/>
            <w:vAlign w:val="center"/>
          </w:tcPr>
          <w:p w14:paraId="280F7D9B">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①因委托人因素导致未能通过验收，不计入验收次数；</w:t>
            </w:r>
          </w:p>
          <w:p w14:paraId="4D6663C8">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②修改完善意见系委托人超出合同服务范畴额外增加要求导致，不计入保留意见范围。</w:t>
            </w:r>
          </w:p>
        </w:tc>
        <w:tc>
          <w:tcPr>
            <w:tcW w:w="559" w:type="pct"/>
            <w:vMerge w:val="restart"/>
            <w:vAlign w:val="center"/>
          </w:tcPr>
          <w:p w14:paraId="058393A8">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3EB3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10DED224">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18D4B52E">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3DC64C90">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6135161C">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良好：一次性通过验收，有修改完善保留意见，但无原则性修改</w:t>
            </w:r>
          </w:p>
        </w:tc>
        <w:tc>
          <w:tcPr>
            <w:tcW w:w="956" w:type="pct"/>
            <w:vMerge w:val="continue"/>
            <w:vAlign w:val="center"/>
          </w:tcPr>
          <w:p w14:paraId="27E239C3">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07990C57">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59B5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795D351C">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094C68C0">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5F715466">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1037F19B">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合格：一次性通过验收，有原则性修改完善保留意见；或二次验收通过，无原则性修改保留意见</w:t>
            </w:r>
          </w:p>
        </w:tc>
        <w:tc>
          <w:tcPr>
            <w:tcW w:w="956" w:type="pct"/>
            <w:vMerge w:val="continue"/>
            <w:vAlign w:val="center"/>
          </w:tcPr>
          <w:p w14:paraId="0246369E">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05932D14">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1085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33900E19">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05D6C02A">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3A94749D">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2DB07E8C">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不合格：二次验收不合格；或二次验收合格，有原则性修改完善保留意见</w:t>
            </w:r>
          </w:p>
        </w:tc>
        <w:tc>
          <w:tcPr>
            <w:tcW w:w="956" w:type="pct"/>
            <w:vMerge w:val="continue"/>
            <w:vAlign w:val="center"/>
          </w:tcPr>
          <w:p w14:paraId="21347206">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71D0CE41">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3734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restart"/>
            <w:vAlign w:val="center"/>
          </w:tcPr>
          <w:p w14:paraId="381F946A">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2</w:t>
            </w:r>
          </w:p>
        </w:tc>
        <w:tc>
          <w:tcPr>
            <w:tcW w:w="476" w:type="pct"/>
            <w:vMerge w:val="restart"/>
            <w:vAlign w:val="center"/>
          </w:tcPr>
          <w:p w14:paraId="32648742">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服务投入质量</w:t>
            </w:r>
          </w:p>
        </w:tc>
        <w:tc>
          <w:tcPr>
            <w:tcW w:w="482" w:type="pct"/>
            <w:vMerge w:val="restart"/>
            <w:vAlign w:val="center"/>
          </w:tcPr>
          <w:p w14:paraId="1F8B8F64">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20</w:t>
            </w:r>
          </w:p>
        </w:tc>
        <w:tc>
          <w:tcPr>
            <w:tcW w:w="2225" w:type="pct"/>
            <w:vAlign w:val="center"/>
          </w:tcPr>
          <w:p w14:paraId="38DBD229">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优秀：项目负责人及主要成员无更换，且未缺席各类重要会议</w:t>
            </w:r>
          </w:p>
        </w:tc>
        <w:tc>
          <w:tcPr>
            <w:tcW w:w="956" w:type="pct"/>
            <w:vMerge w:val="restart"/>
            <w:vAlign w:val="center"/>
          </w:tcPr>
          <w:p w14:paraId="2BA6BBBC">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①未经委托人同意擅自更换负责人或主要成员，一律不合格；</w:t>
            </w:r>
          </w:p>
          <w:p w14:paraId="5E7B87EE">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②缺席会议有正当理由且事先征得委托人同意的，不计入缺席次数。</w:t>
            </w:r>
          </w:p>
        </w:tc>
        <w:tc>
          <w:tcPr>
            <w:tcW w:w="559" w:type="pct"/>
            <w:vMerge w:val="restart"/>
            <w:vAlign w:val="center"/>
          </w:tcPr>
          <w:p w14:paraId="4D416490">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3E99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46BFEE9A">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68109802">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170989A4">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37CACBC2">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良好：项目负责人及主要成员更换人次≤1人次，且缺席各类重要会议次数≤1次</w:t>
            </w:r>
          </w:p>
        </w:tc>
        <w:tc>
          <w:tcPr>
            <w:tcW w:w="956" w:type="pct"/>
            <w:vMerge w:val="continue"/>
            <w:vAlign w:val="center"/>
          </w:tcPr>
          <w:p w14:paraId="2FF2E5CF">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7BD8781A">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6190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2BA9DC61">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657B8064">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68202399">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498D35F4">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合格：1人次＜项目负责人或主要成员更换≤2人次，且缺席各类重要会议次数≤2次</w:t>
            </w:r>
          </w:p>
        </w:tc>
        <w:tc>
          <w:tcPr>
            <w:tcW w:w="956" w:type="pct"/>
            <w:vMerge w:val="continue"/>
            <w:vAlign w:val="center"/>
          </w:tcPr>
          <w:p w14:paraId="1C772937">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722C3E07">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0ECB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3872AABF">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6E1F6A1B">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2C7F7FF5">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2200FF5C">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不合格：项目负责人及主要成员更换＞2人次；或缺席各类重要会议＞2次；或缺席其他会议≥5次；或存在其他重大违约</w:t>
            </w:r>
          </w:p>
        </w:tc>
        <w:tc>
          <w:tcPr>
            <w:tcW w:w="956" w:type="pct"/>
            <w:vMerge w:val="continue"/>
            <w:vAlign w:val="center"/>
          </w:tcPr>
          <w:p w14:paraId="2CE3B076">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37AB964B">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5650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restart"/>
            <w:vAlign w:val="center"/>
          </w:tcPr>
          <w:p w14:paraId="29E815E9">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3</w:t>
            </w:r>
          </w:p>
        </w:tc>
        <w:tc>
          <w:tcPr>
            <w:tcW w:w="476" w:type="pct"/>
            <w:vMerge w:val="restart"/>
            <w:vAlign w:val="center"/>
          </w:tcPr>
          <w:p w14:paraId="264EFBE1">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服务时限质量</w:t>
            </w:r>
          </w:p>
        </w:tc>
        <w:tc>
          <w:tcPr>
            <w:tcW w:w="482" w:type="pct"/>
            <w:vMerge w:val="restart"/>
            <w:vAlign w:val="center"/>
          </w:tcPr>
          <w:p w14:paraId="2B149877">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20</w:t>
            </w:r>
          </w:p>
        </w:tc>
        <w:tc>
          <w:tcPr>
            <w:tcW w:w="2225" w:type="pct"/>
            <w:vAlign w:val="center"/>
          </w:tcPr>
          <w:p w14:paraId="3A597700">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优秀：按照合同约定时限完成各阶段工作</w:t>
            </w:r>
          </w:p>
        </w:tc>
        <w:tc>
          <w:tcPr>
            <w:tcW w:w="956" w:type="pct"/>
            <w:vMerge w:val="restart"/>
            <w:vAlign w:val="center"/>
          </w:tcPr>
          <w:p w14:paraId="613B861D">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①合同约定为工作日的，则以工作日计算逾期天数；</w:t>
            </w:r>
          </w:p>
          <w:p w14:paraId="2101F099">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②因委托人因素导致的逾期天数，不计入。</w:t>
            </w:r>
          </w:p>
        </w:tc>
        <w:tc>
          <w:tcPr>
            <w:tcW w:w="559" w:type="pct"/>
            <w:vMerge w:val="restart"/>
            <w:vAlign w:val="center"/>
          </w:tcPr>
          <w:p w14:paraId="09C18E59">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6C34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16D89EEC">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36109136">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71F2BCCF">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636A62B7">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良好：基本按照合同约定时限完成各阶段工作（累计逾期天数≤5天）</w:t>
            </w:r>
          </w:p>
        </w:tc>
        <w:tc>
          <w:tcPr>
            <w:tcW w:w="956" w:type="pct"/>
            <w:vMerge w:val="continue"/>
            <w:vAlign w:val="center"/>
          </w:tcPr>
          <w:p w14:paraId="02FA6FC1">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354DA79C">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3D98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07D02E56">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5DF0E24A">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6644035B">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56DDCD53">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合格：勉强按照合同约定时限完成各阶段工作（5天＜累计逾期天数≤9天）</w:t>
            </w:r>
          </w:p>
        </w:tc>
        <w:tc>
          <w:tcPr>
            <w:tcW w:w="956" w:type="pct"/>
            <w:vMerge w:val="continue"/>
            <w:vAlign w:val="center"/>
          </w:tcPr>
          <w:p w14:paraId="5AE783EA">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6AD32F9B">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05B5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27AD1956">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2CD5C929">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21727DE5">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0E3DB161">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不合格：累计逾期天数≥10天</w:t>
            </w:r>
          </w:p>
        </w:tc>
        <w:tc>
          <w:tcPr>
            <w:tcW w:w="956" w:type="pct"/>
            <w:vMerge w:val="continue"/>
            <w:vAlign w:val="center"/>
          </w:tcPr>
          <w:p w14:paraId="3DB99EE9">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41A381B2">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3FFC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Align w:val="center"/>
          </w:tcPr>
          <w:p w14:paraId="70C1D915">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二</w:t>
            </w:r>
          </w:p>
        </w:tc>
        <w:tc>
          <w:tcPr>
            <w:tcW w:w="476" w:type="pct"/>
            <w:vAlign w:val="center"/>
          </w:tcPr>
          <w:p w14:paraId="205CCB3C">
            <w:pPr>
              <w:keepNext w:val="0"/>
              <w:keepLines w:val="0"/>
              <w:pageBreakBefore w:val="0"/>
              <w:widowControl w:val="0"/>
              <w:kinsoku/>
              <w:wordWrap/>
              <w:overflowPunct/>
              <w:topLinePunct w:val="0"/>
              <w:autoSpaceDE/>
              <w:autoSpaceDN/>
              <w:bidi w:val="0"/>
              <w:adjustRightInd/>
              <w:snapToGrid/>
              <w:spacing w:line="180" w:lineRule="exact"/>
              <w:ind w:firstLine="0" w:firstLineChars="0"/>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服务态度</w:t>
            </w:r>
          </w:p>
        </w:tc>
        <w:tc>
          <w:tcPr>
            <w:tcW w:w="482" w:type="pct"/>
            <w:vAlign w:val="center"/>
          </w:tcPr>
          <w:p w14:paraId="2AA06587">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10</w:t>
            </w:r>
          </w:p>
        </w:tc>
        <w:tc>
          <w:tcPr>
            <w:tcW w:w="2225" w:type="pct"/>
            <w:vAlign w:val="center"/>
          </w:tcPr>
          <w:p w14:paraId="4552E794">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p>
        </w:tc>
        <w:tc>
          <w:tcPr>
            <w:tcW w:w="956" w:type="pct"/>
            <w:vAlign w:val="center"/>
          </w:tcPr>
          <w:p w14:paraId="1BEE9D89">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p>
        </w:tc>
        <w:tc>
          <w:tcPr>
            <w:tcW w:w="559" w:type="pct"/>
            <w:vAlign w:val="center"/>
          </w:tcPr>
          <w:p w14:paraId="4A627349">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p>
        </w:tc>
      </w:tr>
      <w:tr w14:paraId="3AE1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restart"/>
            <w:vAlign w:val="center"/>
          </w:tcPr>
          <w:p w14:paraId="53214D8B">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4</w:t>
            </w:r>
          </w:p>
        </w:tc>
        <w:tc>
          <w:tcPr>
            <w:tcW w:w="476" w:type="pct"/>
            <w:vMerge w:val="restart"/>
            <w:vAlign w:val="center"/>
          </w:tcPr>
          <w:p w14:paraId="171A03F3">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服务态度</w:t>
            </w:r>
          </w:p>
        </w:tc>
        <w:tc>
          <w:tcPr>
            <w:tcW w:w="482" w:type="pct"/>
            <w:vMerge w:val="restart"/>
            <w:vAlign w:val="center"/>
          </w:tcPr>
          <w:p w14:paraId="5207D01E">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10</w:t>
            </w:r>
          </w:p>
        </w:tc>
        <w:tc>
          <w:tcPr>
            <w:tcW w:w="2225" w:type="pct"/>
            <w:vAlign w:val="center"/>
          </w:tcPr>
          <w:p w14:paraId="051954AA">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优秀：对服务角色理解透彻，态度谦虚、积极热情，履约配合符合合同要求</w:t>
            </w:r>
          </w:p>
        </w:tc>
        <w:tc>
          <w:tcPr>
            <w:tcW w:w="956" w:type="pct"/>
            <w:vMerge w:val="restart"/>
            <w:vAlign w:val="center"/>
          </w:tcPr>
          <w:p w14:paraId="25BE98F1">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履约配合指受托人履行合同的附随义务（如通知义务等）以及委托人提出的额外要求</w:t>
            </w:r>
          </w:p>
        </w:tc>
        <w:tc>
          <w:tcPr>
            <w:tcW w:w="559" w:type="pct"/>
            <w:vMerge w:val="restart"/>
            <w:vAlign w:val="center"/>
          </w:tcPr>
          <w:p w14:paraId="04F3F816">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4FC5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78505247">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06B5EE20">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46E509EA">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2DEBC712">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良好：对服务角色理解较为透彻，态度较为谦虚、较为积极热情，履约配合基本符合合同要求</w:t>
            </w:r>
          </w:p>
        </w:tc>
        <w:tc>
          <w:tcPr>
            <w:tcW w:w="956" w:type="pct"/>
            <w:vMerge w:val="continue"/>
            <w:vAlign w:val="center"/>
          </w:tcPr>
          <w:p w14:paraId="495CEA60">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122F891A">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4B58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7F039F14">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52FE79A3">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42AAF935">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50105872">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合格：对服务角色理解一般，态度一般，履约配合一般</w:t>
            </w:r>
          </w:p>
        </w:tc>
        <w:tc>
          <w:tcPr>
            <w:tcW w:w="956" w:type="pct"/>
            <w:vMerge w:val="continue"/>
            <w:vAlign w:val="center"/>
          </w:tcPr>
          <w:p w14:paraId="4C76040A">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060548AB">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63B9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605EE096">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69AC495E">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5CA1D4BB">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4BD7913A">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不合格：态度傲慢、或有恶语相向及其他冲撞等恶劣行为</w:t>
            </w:r>
          </w:p>
        </w:tc>
        <w:tc>
          <w:tcPr>
            <w:tcW w:w="956" w:type="pct"/>
            <w:vMerge w:val="continue"/>
            <w:vAlign w:val="center"/>
          </w:tcPr>
          <w:p w14:paraId="559F11D5">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3716362F">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55CD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Align w:val="center"/>
          </w:tcPr>
          <w:p w14:paraId="12D4C436">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三</w:t>
            </w:r>
          </w:p>
        </w:tc>
        <w:tc>
          <w:tcPr>
            <w:tcW w:w="476" w:type="pct"/>
            <w:vAlign w:val="center"/>
          </w:tcPr>
          <w:p w14:paraId="74DDB5D6">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保密质量</w:t>
            </w:r>
          </w:p>
        </w:tc>
        <w:tc>
          <w:tcPr>
            <w:tcW w:w="482" w:type="pct"/>
            <w:vAlign w:val="center"/>
          </w:tcPr>
          <w:p w14:paraId="23884C96">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10</w:t>
            </w:r>
          </w:p>
        </w:tc>
        <w:tc>
          <w:tcPr>
            <w:tcW w:w="2225" w:type="pct"/>
            <w:vAlign w:val="center"/>
          </w:tcPr>
          <w:p w14:paraId="1ED5BF61">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p>
        </w:tc>
        <w:tc>
          <w:tcPr>
            <w:tcW w:w="956" w:type="pct"/>
            <w:vAlign w:val="center"/>
          </w:tcPr>
          <w:p w14:paraId="0E41A83C">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p>
        </w:tc>
        <w:tc>
          <w:tcPr>
            <w:tcW w:w="559" w:type="pct"/>
            <w:vAlign w:val="center"/>
          </w:tcPr>
          <w:p w14:paraId="20B454F7">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p>
        </w:tc>
      </w:tr>
      <w:tr w14:paraId="4E52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restart"/>
            <w:vAlign w:val="center"/>
          </w:tcPr>
          <w:p w14:paraId="2EEB3B42">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5</w:t>
            </w:r>
          </w:p>
        </w:tc>
        <w:tc>
          <w:tcPr>
            <w:tcW w:w="476" w:type="pct"/>
            <w:vMerge w:val="restart"/>
            <w:vAlign w:val="center"/>
          </w:tcPr>
          <w:p w14:paraId="6F33FB4D">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保密</w:t>
            </w:r>
          </w:p>
        </w:tc>
        <w:tc>
          <w:tcPr>
            <w:tcW w:w="482" w:type="pct"/>
            <w:vMerge w:val="restart"/>
            <w:vAlign w:val="center"/>
          </w:tcPr>
          <w:p w14:paraId="17DF9DB5">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34074064">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优秀：按照合同严格履行保密义务</w:t>
            </w:r>
          </w:p>
        </w:tc>
        <w:tc>
          <w:tcPr>
            <w:tcW w:w="956" w:type="pct"/>
            <w:vMerge w:val="restart"/>
            <w:vAlign w:val="center"/>
          </w:tcPr>
          <w:p w14:paraId="5DBC4F45">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restart"/>
            <w:vAlign w:val="center"/>
          </w:tcPr>
          <w:p w14:paraId="2C97F4A0">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2831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09655453">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1C1C979E">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2EBF963B">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70A6CD59">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不合格：违反合同保密义务</w:t>
            </w:r>
          </w:p>
        </w:tc>
        <w:tc>
          <w:tcPr>
            <w:tcW w:w="956" w:type="pct"/>
            <w:vMerge w:val="continue"/>
            <w:vAlign w:val="center"/>
          </w:tcPr>
          <w:p w14:paraId="3C87B89B">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787318FC">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5585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Align w:val="center"/>
          </w:tcPr>
          <w:p w14:paraId="285F67FE">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四</w:t>
            </w:r>
          </w:p>
        </w:tc>
        <w:tc>
          <w:tcPr>
            <w:tcW w:w="476" w:type="pct"/>
            <w:vAlign w:val="center"/>
          </w:tcPr>
          <w:p w14:paraId="094479EE">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人员配置</w:t>
            </w:r>
          </w:p>
        </w:tc>
        <w:tc>
          <w:tcPr>
            <w:tcW w:w="482" w:type="pct"/>
            <w:vAlign w:val="center"/>
          </w:tcPr>
          <w:p w14:paraId="7CC5649E">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10</w:t>
            </w:r>
          </w:p>
        </w:tc>
        <w:tc>
          <w:tcPr>
            <w:tcW w:w="2225" w:type="pct"/>
            <w:vAlign w:val="center"/>
          </w:tcPr>
          <w:p w14:paraId="4A76E6E3">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p>
        </w:tc>
        <w:tc>
          <w:tcPr>
            <w:tcW w:w="956" w:type="pct"/>
            <w:vAlign w:val="center"/>
          </w:tcPr>
          <w:p w14:paraId="5EB65E47">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p>
        </w:tc>
        <w:tc>
          <w:tcPr>
            <w:tcW w:w="559" w:type="pct"/>
            <w:vAlign w:val="center"/>
          </w:tcPr>
          <w:p w14:paraId="2540F570">
            <w:pPr>
              <w:keepNext w:val="0"/>
              <w:keepLines w:val="0"/>
              <w:pageBreakBefore w:val="0"/>
              <w:widowControl w:val="0"/>
              <w:kinsoku/>
              <w:wordWrap/>
              <w:overflowPunct/>
              <w:topLinePunct w:val="0"/>
              <w:autoSpaceDE/>
              <w:autoSpaceDN/>
              <w:bidi w:val="0"/>
              <w:adjustRightInd/>
              <w:snapToGrid/>
              <w:spacing w:after="156" w:line="180" w:lineRule="exact"/>
              <w:ind w:firstLine="301"/>
              <w:textAlignment w:val="auto"/>
              <w:rPr>
                <w:rFonts w:hint="eastAsia" w:ascii="宋体" w:hAnsi="宋体" w:eastAsia="宋体" w:cs="宋体"/>
                <w:b/>
                <w:kern w:val="0"/>
                <w:sz w:val="13"/>
                <w:szCs w:val="13"/>
              </w:rPr>
            </w:pPr>
          </w:p>
        </w:tc>
      </w:tr>
      <w:tr w14:paraId="2EEC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restart"/>
            <w:vAlign w:val="center"/>
          </w:tcPr>
          <w:p w14:paraId="40E6247D">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6</w:t>
            </w:r>
          </w:p>
        </w:tc>
        <w:tc>
          <w:tcPr>
            <w:tcW w:w="476" w:type="pct"/>
            <w:vMerge w:val="restart"/>
            <w:vAlign w:val="center"/>
          </w:tcPr>
          <w:p w14:paraId="170CE21F">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人员配置</w:t>
            </w:r>
          </w:p>
        </w:tc>
        <w:tc>
          <w:tcPr>
            <w:tcW w:w="482" w:type="pct"/>
            <w:vMerge w:val="restart"/>
            <w:vAlign w:val="center"/>
          </w:tcPr>
          <w:p w14:paraId="7F3ECDC6">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10</w:t>
            </w:r>
          </w:p>
        </w:tc>
        <w:tc>
          <w:tcPr>
            <w:tcW w:w="2225" w:type="pct"/>
            <w:vAlign w:val="center"/>
          </w:tcPr>
          <w:p w14:paraId="675F4CE0">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优秀：人员数量及专业实际配置符合招投标文件（如有）及受托人承诺</w:t>
            </w:r>
          </w:p>
        </w:tc>
        <w:tc>
          <w:tcPr>
            <w:tcW w:w="956" w:type="pct"/>
            <w:vMerge w:val="restart"/>
            <w:vAlign w:val="center"/>
          </w:tcPr>
          <w:p w14:paraId="137729AE">
            <w:pPr>
              <w:keepNext w:val="0"/>
              <w:keepLines w:val="0"/>
              <w:pageBreakBefore w:val="0"/>
              <w:widowControl w:val="0"/>
              <w:kinsoku/>
              <w:wordWrap/>
              <w:overflowPunct/>
              <w:topLinePunct w:val="0"/>
              <w:autoSpaceDE/>
              <w:autoSpaceDN/>
              <w:bidi w:val="0"/>
              <w:adjustRightInd/>
              <w:snapToGrid/>
              <w:spacing w:after="156" w:line="180" w:lineRule="exact"/>
              <w:ind w:firstLine="0" w:firstLineChars="0"/>
              <w:textAlignment w:val="auto"/>
              <w:rPr>
                <w:rFonts w:hint="eastAsia" w:ascii="宋体" w:hAnsi="宋体" w:eastAsia="宋体" w:cs="宋体"/>
                <w:kern w:val="0"/>
                <w:sz w:val="13"/>
                <w:szCs w:val="13"/>
              </w:rPr>
            </w:pPr>
            <w:r>
              <w:rPr>
                <w:rFonts w:hint="eastAsia" w:ascii="宋体" w:hAnsi="宋体" w:eastAsia="宋体" w:cs="宋体"/>
                <w:kern w:val="0"/>
                <w:sz w:val="13"/>
                <w:szCs w:val="13"/>
              </w:rPr>
              <w:t>不涉及人员更换</w:t>
            </w:r>
          </w:p>
        </w:tc>
        <w:tc>
          <w:tcPr>
            <w:tcW w:w="559" w:type="pct"/>
            <w:vMerge w:val="restart"/>
            <w:vAlign w:val="center"/>
          </w:tcPr>
          <w:p w14:paraId="7D264EF5">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64A3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7E33AA70">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52969AFC">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5C9213F7">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2225" w:type="pct"/>
            <w:vAlign w:val="center"/>
          </w:tcPr>
          <w:p w14:paraId="5190CEAE">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不合格：人员数量及专业实际配置不符合招投标文件（如有）及受托人承诺</w:t>
            </w:r>
          </w:p>
        </w:tc>
        <w:tc>
          <w:tcPr>
            <w:tcW w:w="956" w:type="pct"/>
            <w:vMerge w:val="continue"/>
            <w:vAlign w:val="center"/>
          </w:tcPr>
          <w:p w14:paraId="7EF4CE82">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54DFAE25">
            <w:pPr>
              <w:keepNext w:val="0"/>
              <w:keepLines w:val="0"/>
              <w:pageBreakBefore w:val="0"/>
              <w:widowControl w:val="0"/>
              <w:kinsoku/>
              <w:wordWrap/>
              <w:overflowPunct/>
              <w:topLinePunct w:val="0"/>
              <w:autoSpaceDE/>
              <w:autoSpaceDN/>
              <w:bidi w:val="0"/>
              <w:adjustRightInd/>
              <w:snapToGrid/>
              <w:spacing w:after="156" w:line="180" w:lineRule="exact"/>
              <w:ind w:firstLine="300"/>
              <w:textAlignment w:val="auto"/>
              <w:rPr>
                <w:rFonts w:hint="eastAsia" w:ascii="宋体" w:hAnsi="宋体" w:eastAsia="宋体" w:cs="宋体"/>
                <w:kern w:val="0"/>
                <w:sz w:val="13"/>
                <w:szCs w:val="13"/>
              </w:rPr>
            </w:pPr>
          </w:p>
        </w:tc>
      </w:tr>
      <w:tr w14:paraId="220A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restart"/>
            <w:vAlign w:val="center"/>
          </w:tcPr>
          <w:p w14:paraId="69A0B3AC">
            <w:pPr>
              <w:keepNext w:val="0"/>
              <w:keepLines w:val="0"/>
              <w:pageBreakBefore w:val="0"/>
              <w:widowControl w:val="0"/>
              <w:kinsoku/>
              <w:wordWrap/>
              <w:overflowPunct/>
              <w:topLinePunct w:val="0"/>
              <w:autoSpaceDE/>
              <w:autoSpaceDN/>
              <w:bidi w:val="0"/>
              <w:adjustRightInd/>
              <w:snapToGrid/>
              <w:spacing w:line="180" w:lineRule="exact"/>
              <w:ind w:firstLine="0" w:firstLineChars="0"/>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评分标准</w:t>
            </w:r>
          </w:p>
        </w:tc>
        <w:tc>
          <w:tcPr>
            <w:tcW w:w="476" w:type="pct"/>
            <w:vMerge w:val="restart"/>
            <w:vAlign w:val="center"/>
          </w:tcPr>
          <w:p w14:paraId="7BDB3B5F">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p>
        </w:tc>
        <w:tc>
          <w:tcPr>
            <w:tcW w:w="482" w:type="pct"/>
            <w:vMerge w:val="restart"/>
            <w:vAlign w:val="center"/>
          </w:tcPr>
          <w:p w14:paraId="6E308A0A">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p>
        </w:tc>
        <w:tc>
          <w:tcPr>
            <w:tcW w:w="2225" w:type="pct"/>
            <w:vAlign w:val="center"/>
          </w:tcPr>
          <w:p w14:paraId="550B4D0F">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优秀：得分率≥90%</w:t>
            </w:r>
          </w:p>
        </w:tc>
        <w:tc>
          <w:tcPr>
            <w:tcW w:w="956" w:type="pct"/>
            <w:vMerge w:val="restart"/>
            <w:vAlign w:val="center"/>
          </w:tcPr>
          <w:p w14:paraId="3C89C02E">
            <w:pPr>
              <w:keepNext w:val="0"/>
              <w:keepLines w:val="0"/>
              <w:pageBreakBefore w:val="0"/>
              <w:widowControl w:val="0"/>
              <w:kinsoku/>
              <w:wordWrap/>
              <w:overflowPunct/>
              <w:topLinePunct w:val="0"/>
              <w:autoSpaceDE/>
              <w:autoSpaceDN/>
              <w:bidi w:val="0"/>
              <w:adjustRightInd/>
              <w:snapToGrid/>
              <w:spacing w:line="180" w:lineRule="exact"/>
              <w:ind w:firstLine="0" w:firstLineChars="0"/>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得分率=（各分项得分÷各分项满分）×100%</w:t>
            </w:r>
          </w:p>
        </w:tc>
        <w:tc>
          <w:tcPr>
            <w:tcW w:w="559" w:type="pct"/>
            <w:vMerge w:val="restart"/>
            <w:vAlign w:val="center"/>
          </w:tcPr>
          <w:p w14:paraId="30ADF6F1">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p>
        </w:tc>
      </w:tr>
      <w:tr w14:paraId="6CAA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3CCA1667">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549DAF1B">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150E5D65">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2225" w:type="pct"/>
            <w:vAlign w:val="center"/>
          </w:tcPr>
          <w:p w14:paraId="46F4EC2C">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良好：90%＞得分率≥80%</w:t>
            </w:r>
          </w:p>
        </w:tc>
        <w:tc>
          <w:tcPr>
            <w:tcW w:w="956" w:type="pct"/>
            <w:vMerge w:val="continue"/>
            <w:vAlign w:val="center"/>
          </w:tcPr>
          <w:p w14:paraId="62C78783">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1BE1BBBC">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r>
      <w:tr w14:paraId="5FDF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1E072A73">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42C5F670">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27933C33">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2225" w:type="pct"/>
            <w:vAlign w:val="center"/>
          </w:tcPr>
          <w:p w14:paraId="7A2EA347">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中等：80%＞得分率≥70%</w:t>
            </w:r>
          </w:p>
        </w:tc>
        <w:tc>
          <w:tcPr>
            <w:tcW w:w="956" w:type="pct"/>
            <w:vMerge w:val="continue"/>
            <w:vAlign w:val="center"/>
          </w:tcPr>
          <w:p w14:paraId="193335FB">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5DEDBF7B">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r>
      <w:tr w14:paraId="766D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775B4CD7">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47D4AC37">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39E31ED7">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2225" w:type="pct"/>
            <w:vAlign w:val="center"/>
          </w:tcPr>
          <w:p w14:paraId="056D1B83">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合格：70%＞得分率≥60%</w:t>
            </w:r>
          </w:p>
        </w:tc>
        <w:tc>
          <w:tcPr>
            <w:tcW w:w="956" w:type="pct"/>
            <w:vMerge w:val="continue"/>
            <w:vAlign w:val="center"/>
          </w:tcPr>
          <w:p w14:paraId="5E8EB593">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5B63711B">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r>
      <w:tr w14:paraId="7DA8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vMerge w:val="continue"/>
            <w:vAlign w:val="center"/>
          </w:tcPr>
          <w:p w14:paraId="15B4AF13">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476" w:type="pct"/>
            <w:vMerge w:val="continue"/>
            <w:vAlign w:val="center"/>
          </w:tcPr>
          <w:p w14:paraId="385A37AF">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482" w:type="pct"/>
            <w:vMerge w:val="continue"/>
            <w:vAlign w:val="center"/>
          </w:tcPr>
          <w:p w14:paraId="44424C4E">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2225" w:type="pct"/>
            <w:vAlign w:val="center"/>
          </w:tcPr>
          <w:p w14:paraId="42C3A967">
            <w:pPr>
              <w:keepNext w:val="0"/>
              <w:keepLines w:val="0"/>
              <w:pageBreakBefore w:val="0"/>
              <w:widowControl w:val="0"/>
              <w:kinsoku/>
              <w:wordWrap/>
              <w:overflowPunct/>
              <w:topLinePunct w:val="0"/>
              <w:autoSpaceDE/>
              <w:autoSpaceDN/>
              <w:bidi w:val="0"/>
              <w:adjustRightInd/>
              <w:snapToGrid/>
              <w:spacing w:line="180" w:lineRule="exact"/>
              <w:ind w:firstLine="301"/>
              <w:textAlignment w:val="auto"/>
              <w:rPr>
                <w:rFonts w:hint="eastAsia" w:ascii="宋体" w:hAnsi="宋体" w:eastAsia="宋体" w:cs="宋体"/>
                <w:b/>
                <w:kern w:val="0"/>
                <w:sz w:val="13"/>
                <w:szCs w:val="13"/>
              </w:rPr>
            </w:pPr>
            <w:r>
              <w:rPr>
                <w:rFonts w:hint="eastAsia" w:ascii="宋体" w:hAnsi="宋体" w:eastAsia="宋体" w:cs="宋体"/>
                <w:b/>
                <w:kern w:val="0"/>
                <w:sz w:val="13"/>
                <w:szCs w:val="13"/>
              </w:rPr>
              <w:t>不合格：得分率＜60%</w:t>
            </w:r>
          </w:p>
        </w:tc>
        <w:tc>
          <w:tcPr>
            <w:tcW w:w="956" w:type="pct"/>
            <w:vMerge w:val="continue"/>
            <w:vAlign w:val="center"/>
          </w:tcPr>
          <w:p w14:paraId="33656D5C">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c>
          <w:tcPr>
            <w:tcW w:w="559" w:type="pct"/>
            <w:vMerge w:val="continue"/>
            <w:vAlign w:val="center"/>
          </w:tcPr>
          <w:p w14:paraId="34FC30DB">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p>
        </w:tc>
      </w:tr>
      <w:tr w14:paraId="07F1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8" w:type="pct"/>
            <w:gridSpan w:val="3"/>
            <w:vAlign w:val="center"/>
          </w:tcPr>
          <w:p w14:paraId="5971BADA">
            <w:pPr>
              <w:keepNext w:val="0"/>
              <w:keepLines w:val="0"/>
              <w:pageBreakBefore w:val="0"/>
              <w:widowControl w:val="0"/>
              <w:kinsoku/>
              <w:wordWrap/>
              <w:overflowPunct/>
              <w:topLinePunct w:val="0"/>
              <w:autoSpaceDE/>
              <w:autoSpaceDN/>
              <w:bidi w:val="0"/>
              <w:adjustRightInd/>
              <w:snapToGrid/>
              <w:spacing w:line="180" w:lineRule="exact"/>
              <w:ind w:firstLine="0" w:firstLineChars="0"/>
              <w:textAlignment w:val="auto"/>
              <w:rPr>
                <w:rFonts w:hint="eastAsia" w:ascii="宋体" w:hAnsi="宋体" w:eastAsia="宋体" w:cs="宋体"/>
                <w:kern w:val="0"/>
                <w:sz w:val="16"/>
                <w:szCs w:val="16"/>
              </w:rPr>
            </w:pPr>
            <w:r>
              <w:rPr>
                <w:rFonts w:hint="eastAsia" w:ascii="宋体" w:hAnsi="宋体" w:eastAsia="宋体" w:cs="宋体"/>
                <w:kern w:val="0"/>
                <w:sz w:val="16"/>
                <w:szCs w:val="16"/>
              </w:rPr>
              <w:t>履约评价核定结果</w:t>
            </w:r>
          </w:p>
        </w:tc>
        <w:tc>
          <w:tcPr>
            <w:tcW w:w="2225" w:type="pct"/>
            <w:vAlign w:val="center"/>
          </w:tcPr>
          <w:p w14:paraId="7D0363FE">
            <w:pPr>
              <w:keepNext w:val="0"/>
              <w:keepLines w:val="0"/>
              <w:pageBreakBefore w:val="0"/>
              <w:widowControl w:val="0"/>
              <w:kinsoku/>
              <w:wordWrap/>
              <w:overflowPunct/>
              <w:topLinePunct w:val="0"/>
              <w:autoSpaceDE/>
              <w:autoSpaceDN/>
              <w:bidi w:val="0"/>
              <w:adjustRightInd/>
              <w:snapToGrid/>
              <w:spacing w:line="180" w:lineRule="exact"/>
              <w:ind w:firstLine="360"/>
              <w:textAlignment w:val="auto"/>
              <w:rPr>
                <w:rFonts w:hint="eastAsia" w:ascii="宋体" w:hAnsi="宋体" w:eastAsia="宋体" w:cs="宋体"/>
                <w:kern w:val="0"/>
                <w:sz w:val="16"/>
                <w:szCs w:val="16"/>
              </w:rPr>
            </w:pPr>
            <w:r>
              <w:rPr>
                <w:rFonts w:hint="eastAsia" w:ascii="宋体" w:hAnsi="宋体" w:eastAsia="宋体" w:cs="宋体"/>
                <w:kern w:val="0"/>
                <w:sz w:val="16"/>
                <w:szCs w:val="16"/>
              </w:rPr>
              <w:t>得分率：</w:t>
            </w:r>
          </w:p>
        </w:tc>
        <w:tc>
          <w:tcPr>
            <w:tcW w:w="1516" w:type="pct"/>
            <w:gridSpan w:val="2"/>
            <w:vAlign w:val="center"/>
          </w:tcPr>
          <w:p w14:paraId="3D514C47">
            <w:pPr>
              <w:keepNext w:val="0"/>
              <w:keepLines w:val="0"/>
              <w:pageBreakBefore w:val="0"/>
              <w:widowControl w:val="0"/>
              <w:kinsoku/>
              <w:wordWrap/>
              <w:overflowPunct/>
              <w:topLinePunct w:val="0"/>
              <w:autoSpaceDE/>
              <w:autoSpaceDN/>
              <w:bidi w:val="0"/>
              <w:adjustRightInd/>
              <w:snapToGrid/>
              <w:spacing w:line="180" w:lineRule="exact"/>
              <w:ind w:firstLine="360"/>
              <w:textAlignment w:val="auto"/>
              <w:rPr>
                <w:rFonts w:hint="eastAsia" w:ascii="宋体" w:hAnsi="宋体" w:eastAsia="宋体" w:cs="宋体"/>
                <w:kern w:val="0"/>
                <w:sz w:val="16"/>
                <w:szCs w:val="16"/>
              </w:rPr>
            </w:pPr>
            <w:r>
              <w:rPr>
                <w:rFonts w:hint="eastAsia" w:ascii="宋体" w:hAnsi="宋体" w:eastAsia="宋体" w:cs="宋体"/>
                <w:kern w:val="0"/>
                <w:sz w:val="16"/>
                <w:szCs w:val="16"/>
              </w:rPr>
              <w:t>级别：</w:t>
            </w:r>
          </w:p>
        </w:tc>
      </w:tr>
      <w:tr w14:paraId="69EA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8" w:type="pct"/>
            <w:gridSpan w:val="3"/>
            <w:vAlign w:val="center"/>
          </w:tcPr>
          <w:p w14:paraId="083B5AA7">
            <w:pPr>
              <w:keepNext w:val="0"/>
              <w:keepLines w:val="0"/>
              <w:pageBreakBefore w:val="0"/>
              <w:widowControl w:val="0"/>
              <w:kinsoku/>
              <w:wordWrap/>
              <w:overflowPunct/>
              <w:topLinePunct w:val="0"/>
              <w:autoSpaceDE/>
              <w:autoSpaceDN/>
              <w:bidi w:val="0"/>
              <w:adjustRightInd/>
              <w:snapToGrid/>
              <w:spacing w:line="180" w:lineRule="exact"/>
              <w:ind w:firstLine="0" w:firstLineChars="0"/>
              <w:textAlignment w:val="auto"/>
              <w:rPr>
                <w:rFonts w:hint="eastAsia" w:ascii="宋体" w:hAnsi="宋体" w:eastAsia="宋体" w:cs="宋体"/>
                <w:kern w:val="0"/>
                <w:sz w:val="16"/>
                <w:szCs w:val="16"/>
              </w:rPr>
            </w:pPr>
            <w:r>
              <w:rPr>
                <w:rFonts w:hint="eastAsia" w:ascii="宋体" w:hAnsi="宋体" w:eastAsia="宋体" w:cs="宋体"/>
                <w:kern w:val="0"/>
                <w:sz w:val="16"/>
                <w:szCs w:val="16"/>
              </w:rPr>
              <w:t>履约评价小组成员签名</w:t>
            </w:r>
          </w:p>
        </w:tc>
        <w:tc>
          <w:tcPr>
            <w:tcW w:w="3741" w:type="pct"/>
            <w:gridSpan w:val="3"/>
            <w:vAlign w:val="center"/>
          </w:tcPr>
          <w:p w14:paraId="5C0CF287">
            <w:pPr>
              <w:keepNext w:val="0"/>
              <w:keepLines w:val="0"/>
              <w:pageBreakBefore w:val="0"/>
              <w:widowControl w:val="0"/>
              <w:kinsoku/>
              <w:wordWrap/>
              <w:overflowPunct/>
              <w:topLinePunct w:val="0"/>
              <w:autoSpaceDE/>
              <w:autoSpaceDN/>
              <w:bidi w:val="0"/>
              <w:adjustRightInd/>
              <w:snapToGrid/>
              <w:spacing w:line="180" w:lineRule="exact"/>
              <w:ind w:firstLine="420"/>
              <w:textAlignment w:val="auto"/>
              <w:rPr>
                <w:rFonts w:hint="eastAsia" w:ascii="宋体" w:hAnsi="宋体" w:eastAsia="宋体" w:cs="宋体"/>
                <w:kern w:val="0"/>
                <w:sz w:val="20"/>
                <w:szCs w:val="20"/>
              </w:rPr>
            </w:pPr>
          </w:p>
        </w:tc>
      </w:tr>
      <w:tr w14:paraId="1DAE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8" w:type="pct"/>
            <w:gridSpan w:val="3"/>
            <w:vAlign w:val="center"/>
          </w:tcPr>
          <w:p w14:paraId="5587E23D">
            <w:pPr>
              <w:keepNext w:val="0"/>
              <w:keepLines w:val="0"/>
              <w:pageBreakBefore w:val="0"/>
              <w:widowControl w:val="0"/>
              <w:kinsoku/>
              <w:wordWrap/>
              <w:overflowPunct/>
              <w:topLinePunct w:val="0"/>
              <w:autoSpaceDE/>
              <w:autoSpaceDN/>
              <w:bidi w:val="0"/>
              <w:adjustRightInd/>
              <w:snapToGrid/>
              <w:spacing w:line="180" w:lineRule="exact"/>
              <w:ind w:firstLine="0" w:firstLineChars="0"/>
              <w:textAlignment w:val="auto"/>
              <w:rPr>
                <w:rFonts w:hint="eastAsia" w:ascii="宋体" w:hAnsi="宋体" w:eastAsia="宋体" w:cs="宋体"/>
                <w:kern w:val="0"/>
                <w:sz w:val="16"/>
                <w:szCs w:val="16"/>
              </w:rPr>
            </w:pPr>
            <w:r>
              <w:rPr>
                <w:rFonts w:hint="eastAsia" w:ascii="宋体" w:hAnsi="宋体" w:eastAsia="宋体" w:cs="宋体"/>
                <w:kern w:val="0"/>
                <w:sz w:val="16"/>
                <w:szCs w:val="16"/>
              </w:rPr>
              <w:t>履约评价小组组长签名</w:t>
            </w:r>
          </w:p>
        </w:tc>
        <w:tc>
          <w:tcPr>
            <w:tcW w:w="3741" w:type="pct"/>
            <w:gridSpan w:val="3"/>
            <w:vAlign w:val="center"/>
          </w:tcPr>
          <w:p w14:paraId="61BFB82B">
            <w:pPr>
              <w:keepNext w:val="0"/>
              <w:keepLines w:val="0"/>
              <w:pageBreakBefore w:val="0"/>
              <w:widowControl w:val="0"/>
              <w:kinsoku/>
              <w:wordWrap/>
              <w:overflowPunct/>
              <w:topLinePunct w:val="0"/>
              <w:autoSpaceDE/>
              <w:autoSpaceDN/>
              <w:bidi w:val="0"/>
              <w:adjustRightInd/>
              <w:snapToGrid/>
              <w:spacing w:line="180" w:lineRule="exact"/>
              <w:ind w:firstLine="420"/>
              <w:textAlignment w:val="auto"/>
              <w:rPr>
                <w:rFonts w:hint="eastAsia" w:ascii="宋体" w:hAnsi="宋体" w:eastAsia="宋体" w:cs="宋体"/>
                <w:kern w:val="0"/>
                <w:sz w:val="20"/>
                <w:szCs w:val="20"/>
              </w:rPr>
            </w:pPr>
          </w:p>
        </w:tc>
      </w:tr>
      <w:tr w14:paraId="03A4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6"/>
            <w:vAlign w:val="center"/>
          </w:tcPr>
          <w:p w14:paraId="68C7A404">
            <w:pPr>
              <w:keepNext w:val="0"/>
              <w:keepLines w:val="0"/>
              <w:pageBreakBefore w:val="0"/>
              <w:widowControl w:val="0"/>
              <w:kinsoku/>
              <w:wordWrap/>
              <w:overflowPunct/>
              <w:topLinePunct w:val="0"/>
              <w:autoSpaceDE/>
              <w:autoSpaceDN/>
              <w:bidi w:val="0"/>
              <w:adjustRightInd/>
              <w:snapToGrid/>
              <w:spacing w:line="180" w:lineRule="exact"/>
              <w:ind w:firstLine="300"/>
              <w:textAlignment w:val="auto"/>
              <w:rPr>
                <w:rFonts w:hint="eastAsia" w:ascii="宋体" w:hAnsi="宋体" w:eastAsia="宋体" w:cs="宋体"/>
                <w:kern w:val="0"/>
                <w:sz w:val="13"/>
                <w:szCs w:val="13"/>
              </w:rPr>
            </w:pPr>
            <w:r>
              <w:rPr>
                <w:rFonts w:hint="eastAsia" w:ascii="宋体" w:hAnsi="宋体" w:eastAsia="宋体" w:cs="宋体"/>
                <w:kern w:val="0"/>
                <w:sz w:val="13"/>
                <w:szCs w:val="13"/>
              </w:rPr>
              <w:t>备注：</w:t>
            </w:r>
          </w:p>
          <w:p w14:paraId="6CC69C37">
            <w:pPr>
              <w:pStyle w:val="23"/>
              <w:keepNext w:val="0"/>
              <w:keepLines w:val="0"/>
              <w:pageBreakBefore w:val="0"/>
              <w:widowControl w:val="0"/>
              <w:numPr>
                <w:ilvl w:val="0"/>
                <w:numId w:val="5"/>
              </w:numPr>
              <w:kinsoku/>
              <w:wordWrap/>
              <w:overflowPunct/>
              <w:topLinePunct w:val="0"/>
              <w:autoSpaceDE/>
              <w:autoSpaceDN/>
              <w:bidi w:val="0"/>
              <w:adjustRightInd/>
              <w:snapToGrid/>
              <w:spacing w:line="180" w:lineRule="exact"/>
              <w:ind w:firstLineChars="0"/>
              <w:textAlignment w:val="auto"/>
              <w:rPr>
                <w:rFonts w:hint="eastAsia" w:ascii="宋体" w:hAnsi="宋体" w:eastAsia="宋体" w:cs="宋体"/>
                <w:kern w:val="0"/>
                <w:sz w:val="13"/>
                <w:szCs w:val="13"/>
              </w:rPr>
            </w:pPr>
            <w:r>
              <w:rPr>
                <w:rFonts w:hint="eastAsia" w:ascii="宋体" w:hAnsi="宋体" w:eastAsia="宋体" w:cs="宋体"/>
                <w:b/>
                <w:kern w:val="0"/>
                <w:sz w:val="13"/>
                <w:szCs w:val="13"/>
              </w:rPr>
              <w:t>委托人可以根据实际需要，对本表进行适当调整，该调整无需征得受托人同意</w:t>
            </w:r>
            <w:r>
              <w:rPr>
                <w:rFonts w:hint="eastAsia" w:ascii="宋体" w:hAnsi="宋体" w:eastAsia="宋体" w:cs="宋体"/>
                <w:kern w:val="0"/>
                <w:sz w:val="13"/>
                <w:szCs w:val="13"/>
              </w:rPr>
              <w:t>。但委托人应在调整后及时书面通知受托人，未书面通知受托人的，调整不对受托人生效。</w:t>
            </w:r>
          </w:p>
          <w:p w14:paraId="711B374F">
            <w:pPr>
              <w:pStyle w:val="23"/>
              <w:keepNext w:val="0"/>
              <w:keepLines w:val="0"/>
              <w:pageBreakBefore w:val="0"/>
              <w:widowControl w:val="0"/>
              <w:numPr>
                <w:ilvl w:val="0"/>
                <w:numId w:val="5"/>
              </w:numPr>
              <w:kinsoku/>
              <w:wordWrap/>
              <w:overflowPunct/>
              <w:topLinePunct w:val="0"/>
              <w:autoSpaceDE/>
              <w:autoSpaceDN/>
              <w:bidi w:val="0"/>
              <w:adjustRightInd/>
              <w:snapToGrid/>
              <w:spacing w:line="180" w:lineRule="exact"/>
              <w:ind w:firstLineChars="0"/>
              <w:textAlignment w:val="auto"/>
              <w:rPr>
                <w:rFonts w:hint="eastAsia" w:ascii="宋体" w:hAnsi="宋体" w:eastAsia="宋体" w:cs="宋体"/>
                <w:kern w:val="0"/>
                <w:sz w:val="13"/>
                <w:szCs w:val="13"/>
              </w:rPr>
            </w:pPr>
            <w:r>
              <w:rPr>
                <w:rFonts w:hint="eastAsia" w:ascii="宋体" w:hAnsi="宋体" w:eastAsia="宋体" w:cs="宋体"/>
                <w:b/>
                <w:kern w:val="0"/>
                <w:sz w:val="13"/>
                <w:szCs w:val="13"/>
              </w:rPr>
              <w:t>受托人有转包、违法分包、挂靠、贿赂、欺诈等重大违约情形，一经查实，履约评价一律为不合格。</w:t>
            </w:r>
          </w:p>
        </w:tc>
      </w:tr>
    </w:tbl>
    <w:p w14:paraId="3793CC53">
      <w:pPr>
        <w:pStyle w:val="23"/>
        <w:spacing w:after="120" w:afterLines="50" w:line="240" w:lineRule="auto"/>
        <w:ind w:firstLine="0" w:firstLineChars="0"/>
        <w:rPr>
          <w:rFonts w:hint="eastAsia" w:ascii="宋体" w:hAnsi="宋体" w:eastAsia="宋体" w:cs="宋体"/>
          <w:b/>
          <w:bCs/>
          <w:kern w:val="0"/>
          <w:sz w:val="24"/>
          <w:lang w:val="en-US" w:eastAsia="zh-CN"/>
        </w:rPr>
      </w:pPr>
    </w:p>
    <w:p w14:paraId="2E04DC38">
      <w:pPr>
        <w:pStyle w:val="23"/>
        <w:spacing w:after="120" w:afterLines="50" w:line="240" w:lineRule="auto"/>
        <w:ind w:firstLine="0" w:firstLineChars="0"/>
        <w:rPr>
          <w:rFonts w:hint="eastAsia" w:ascii="宋体" w:hAnsi="宋体" w:eastAsia="宋体" w:cs="宋体"/>
          <w:b/>
          <w:bCs/>
          <w:kern w:val="0"/>
          <w:sz w:val="24"/>
          <w:lang w:val="en-US" w:eastAsia="zh-CN"/>
        </w:rPr>
        <w:sectPr>
          <w:pgSz w:w="11907" w:h="16840"/>
          <w:pgMar w:top="1440" w:right="1797" w:bottom="1440" w:left="1797" w:header="851" w:footer="992" w:gutter="0"/>
          <w:cols w:space="720" w:num="1"/>
          <w:docGrid w:linePitch="462" w:charSpace="0"/>
        </w:sectPr>
      </w:pPr>
    </w:p>
    <w:p w14:paraId="2F375426">
      <w:pPr>
        <w:pStyle w:val="23"/>
        <w:spacing w:after="120" w:afterLines="50" w:line="240" w:lineRule="auto"/>
        <w:ind w:firstLine="0" w:firstLineChars="0"/>
        <w:outlineLvl w:val="0"/>
        <w:rPr>
          <w:rFonts w:hint="eastAsia" w:ascii="宋体" w:hAnsi="宋体" w:eastAsia="宋体" w:cs="宋体"/>
          <w:b/>
          <w:bCs/>
          <w:kern w:val="0"/>
          <w:sz w:val="24"/>
          <w:lang w:val="en-US" w:eastAsia="zh-CN"/>
        </w:rPr>
      </w:pPr>
      <w:bookmarkStart w:id="20" w:name="_Toc27724"/>
      <w:r>
        <w:rPr>
          <w:rFonts w:hint="eastAsia" w:ascii="宋体" w:hAnsi="宋体" w:eastAsia="宋体" w:cs="宋体"/>
          <w:b/>
          <w:bCs/>
          <w:kern w:val="0"/>
          <w:sz w:val="24"/>
          <w:lang w:val="en-US" w:eastAsia="zh-CN"/>
        </w:rPr>
        <w:t>附件</w:t>
      </w:r>
      <w:r>
        <w:rPr>
          <w:rFonts w:hint="eastAsia" w:ascii="宋体" w:hAnsi="宋体" w:cs="宋体"/>
          <w:b/>
          <w:bCs/>
          <w:kern w:val="0"/>
          <w:sz w:val="24"/>
          <w:lang w:val="en-US" w:eastAsia="zh-CN"/>
        </w:rPr>
        <w:t>5</w:t>
      </w:r>
      <w:r>
        <w:rPr>
          <w:rFonts w:hint="eastAsia" w:ascii="宋体" w:hAnsi="宋体" w:eastAsia="宋体" w:cs="宋体"/>
          <w:b/>
          <w:bCs/>
          <w:kern w:val="0"/>
          <w:sz w:val="24"/>
          <w:lang w:val="en-US" w:eastAsia="zh-CN"/>
        </w:rPr>
        <w:t>：廉洁协议</w:t>
      </w:r>
      <w:bookmarkEnd w:id="20"/>
    </w:p>
    <w:p w14:paraId="5E755E42">
      <w:pPr>
        <w:keepNext w:val="0"/>
        <w:keepLines w:val="0"/>
        <w:pageBreakBefore w:val="0"/>
        <w:widowControl w:val="0"/>
        <w:kinsoku/>
        <w:wordWrap/>
        <w:overflowPunct/>
        <w:topLinePunct w:val="0"/>
        <w:autoSpaceDE/>
        <w:autoSpaceDN/>
        <w:bidi w:val="0"/>
        <w:spacing w:line="560" w:lineRule="exact"/>
        <w:jc w:val="center"/>
        <w:rPr>
          <w:rFonts w:hint="eastAsia" w:ascii="宋体" w:hAnsi="宋体" w:eastAsia="宋体" w:cs="宋体"/>
          <w:sz w:val="20"/>
          <w:szCs w:val="20"/>
          <w:lang w:eastAsia="zh-Hans"/>
        </w:rPr>
      </w:pPr>
      <w:r>
        <w:rPr>
          <w:rFonts w:hint="eastAsia" w:ascii="宋体" w:hAnsi="宋体" w:eastAsia="宋体" w:cs="宋体"/>
          <w:b/>
          <w:color w:val="000000"/>
          <w:sz w:val="28"/>
          <w:szCs w:val="28"/>
          <w:highlight w:val="none"/>
        </w:rPr>
        <w:t>廉洁协议</w:t>
      </w:r>
    </w:p>
    <w:p w14:paraId="74422C43">
      <w:pPr>
        <w:spacing w:line="560" w:lineRule="exact"/>
        <w:rPr>
          <w:rFonts w:ascii="仿宋_GB2312" w:hAnsi="仿宋_GB2312" w:eastAsia="仿宋" w:cs="仿宋_GB2312"/>
        </w:rPr>
      </w:pPr>
      <w:r>
        <w:rPr>
          <w:rFonts w:hint="eastAsia" w:ascii="黑体" w:hAnsi="黑体" w:eastAsia="黑体" w:cs="黑体"/>
        </w:rPr>
        <w:t>甲    方：</w:t>
      </w:r>
      <w:r>
        <w:rPr>
          <w:rFonts w:hint="eastAsia" w:ascii="黑体" w:hAnsi="黑体" w:eastAsia="黑体" w:cs="黑体"/>
          <w:u w:val="single"/>
        </w:rPr>
        <w:t xml:space="preserve">   </w:t>
      </w:r>
      <w:r>
        <w:rPr>
          <w:rFonts w:hint="eastAsia" w:ascii="宋体" w:hAnsi="宋体" w:cs="宋体"/>
          <w:u w:val="single"/>
        </w:rPr>
        <w:t xml:space="preserve">   </w:t>
      </w:r>
    </w:p>
    <w:p w14:paraId="29A90711">
      <w:pPr>
        <w:spacing w:line="560" w:lineRule="exact"/>
        <w:rPr>
          <w:rFonts w:hint="eastAsia" w:ascii="黑体" w:hAnsi="黑体" w:eastAsia="黑体" w:cs="黑体"/>
          <w:lang w:val="en-US" w:eastAsia="zh-CN"/>
        </w:rPr>
      </w:pPr>
      <w:r>
        <w:rPr>
          <w:rFonts w:hint="eastAsia" w:ascii="黑体" w:hAnsi="黑体" w:eastAsia="黑体" w:cs="黑体"/>
        </w:rPr>
        <w:t>乙    方：</w:t>
      </w:r>
      <w:r>
        <w:rPr>
          <w:rFonts w:hint="eastAsia" w:ascii="黑体" w:hAnsi="黑体" w:eastAsia="黑体" w:cs="黑体"/>
          <w:u w:val="single"/>
        </w:rPr>
        <w:t xml:space="preserve">     </w:t>
      </w:r>
      <w:r>
        <w:rPr>
          <w:rFonts w:hint="eastAsia" w:ascii="黑体" w:hAnsi="黑体" w:eastAsia="黑体" w:cs="黑体"/>
          <w:u w:val="single"/>
          <w:lang w:val="en-US" w:eastAsia="zh-CN"/>
        </w:rPr>
        <w:t xml:space="preserve"> </w:t>
      </w:r>
    </w:p>
    <w:p w14:paraId="5480F369">
      <w:pPr>
        <w:spacing w:line="560" w:lineRule="exact"/>
        <w:rPr>
          <w:rFonts w:hint="eastAsia" w:ascii="黑体" w:hAnsi="黑体" w:eastAsia="黑体" w:cs="黑体"/>
          <w:u w:val="single"/>
          <w:lang w:eastAsia="zh-CN"/>
        </w:rPr>
      </w:pPr>
      <w:r>
        <w:rPr>
          <w:rFonts w:hint="eastAsia" w:ascii="黑体" w:hAnsi="黑体" w:eastAsia="黑体" w:cs="黑体"/>
        </w:rPr>
        <w:t>项目名称：</w:t>
      </w:r>
      <w:r>
        <w:rPr>
          <w:rFonts w:hint="eastAsia" w:ascii="黑体" w:hAnsi="黑体" w:eastAsia="黑体" w:cs="黑体"/>
          <w:u w:val="single"/>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黑体" w:hAnsi="黑体" w:eastAsia="黑体" w:cs="黑体"/>
          <w:u w:val="single"/>
        </w:rPr>
        <w:t xml:space="preserve"> </w:t>
      </w:r>
      <w:r>
        <w:rPr>
          <w:rFonts w:hint="eastAsia" w:ascii="黑体" w:hAnsi="黑体" w:eastAsia="黑体" w:cs="黑体"/>
          <w:u w:val="single"/>
          <w:lang w:val="en-US" w:eastAsia="zh-CN"/>
        </w:rPr>
        <w:t xml:space="preserve"> </w:t>
      </w:r>
    </w:p>
    <w:p w14:paraId="7206F3FC">
      <w:pPr>
        <w:spacing w:line="540" w:lineRule="exact"/>
        <w:ind w:firstLine="525" w:firstLineChars="250"/>
      </w:pPr>
      <w:r>
        <w:rPr>
          <w:rFonts w:hint="eastAsia"/>
        </w:rPr>
        <w:t>鉴于甲乙双方签署了《</w:t>
      </w:r>
      <w:r>
        <w:rPr>
          <w:rFonts w:hint="eastAsia" w:ascii="宋体" w:hAnsi="宋体" w:cs="宋体"/>
          <w:kern w:val="0"/>
          <w:sz w:val="21"/>
          <w:szCs w:val="21"/>
          <w:u w:val="single"/>
          <w:lang w:val="en-US" w:eastAsia="zh-CN" w:bidi="ar-SA"/>
        </w:rPr>
        <w:t xml:space="preserve">      </w:t>
      </w:r>
      <w:r>
        <w:rPr>
          <w:rFonts w:hint="eastAsia"/>
        </w:rPr>
        <w:t>》（以下称主合同），为认真贯彻落实廉洁前海建设，强化廉洁合规管理，防控项目廉洁风险，营造公平、公正、公开、廉洁的市场环境，根据《中华人民共和国反不正当竞争法》《关于禁止商业贿赂行为的暂行规定》《中华人民共和国招标投标法》《国有企业管理人员处分条例》等有关法律、法规、规章及政策的规定，双方同意签订本协议。</w:t>
      </w:r>
    </w:p>
    <w:p w14:paraId="0FCAF985">
      <w:pPr>
        <w:spacing w:line="540" w:lineRule="exact"/>
      </w:pPr>
      <w:r>
        <w:rPr>
          <w:rFonts w:hint="eastAsia"/>
          <w:b/>
        </w:rPr>
        <w:t>第一条 禁止甲方及其员工（含甲方各级领导和员工，下同）违规利用合同或职权谋取不正当利益，甲方及其员工不得有下列行为：</w:t>
      </w:r>
    </w:p>
    <w:p w14:paraId="78D3173D">
      <w:pPr>
        <w:spacing w:line="540" w:lineRule="exact"/>
      </w:pPr>
      <w:r>
        <w:rPr>
          <w:rFonts w:hint="eastAsia"/>
        </w:rPr>
        <w:t>1.1违规与代建、施工、监理（项目管理）、勘察、设计、咨询、分包（专业分包、劳务分包等）、中介、供应商、服务提供商等项目相关合作单位（以下称合作单位）发生经济关系；</w:t>
      </w:r>
    </w:p>
    <w:p w14:paraId="552F7AA4">
      <w:pPr>
        <w:spacing w:line="540" w:lineRule="exact"/>
      </w:pPr>
      <w:r>
        <w:rPr>
          <w:rFonts w:hint="eastAsia"/>
        </w:rPr>
        <w:t>1.2违规接受合作单位的礼品、宴请及其他消费性活动；非经批准参加合作单位举行的任何祝贺庆典活动；</w:t>
      </w:r>
    </w:p>
    <w:p w14:paraId="1980CC9B">
      <w:pPr>
        <w:spacing w:line="540" w:lineRule="exact"/>
      </w:pPr>
      <w:r>
        <w:rPr>
          <w:rFonts w:hint="eastAsia"/>
        </w:rPr>
        <w:t>1.3以任何名义向合作单位报销应由个人支付的各类费用；</w:t>
      </w:r>
    </w:p>
    <w:p w14:paraId="7D3626C7">
      <w:pPr>
        <w:spacing w:line="540" w:lineRule="exact"/>
      </w:pPr>
      <w:r>
        <w:rPr>
          <w:rFonts w:hint="eastAsia"/>
        </w:rPr>
        <w:t>1.4故意刁难、要挟合作单位，谋取私利；</w:t>
      </w:r>
    </w:p>
    <w:p w14:paraId="217AA3A5">
      <w:pPr>
        <w:spacing w:line="540" w:lineRule="exact"/>
      </w:pPr>
      <w:r>
        <w:rPr>
          <w:rFonts w:hint="eastAsia"/>
        </w:rPr>
        <w:t>1.5以有偿中介、兼职取酬、挂靠专业资格证书等任何形式向合作单位索取报酬、补贴、折扣、款待等；</w:t>
      </w:r>
    </w:p>
    <w:p w14:paraId="78E4B473">
      <w:pPr>
        <w:spacing w:line="540" w:lineRule="exact"/>
      </w:pPr>
      <w:r>
        <w:rPr>
          <w:rFonts w:hint="eastAsia"/>
        </w:rPr>
        <w:t>1.6接受请托，为合作单位说情、打招呼；</w:t>
      </w:r>
    </w:p>
    <w:p w14:paraId="78EB92DD">
      <w:pPr>
        <w:spacing w:line="540" w:lineRule="exact"/>
      </w:pPr>
      <w:r>
        <w:rPr>
          <w:rFonts w:hint="eastAsia"/>
        </w:rPr>
        <w:t>1.7利用职权违规向合作单位推荐、推销、指定有关服务、材料、设备；</w:t>
      </w:r>
    </w:p>
    <w:p w14:paraId="006E287E">
      <w:pPr>
        <w:spacing w:line="540" w:lineRule="exact"/>
      </w:pPr>
      <w:r>
        <w:rPr>
          <w:rFonts w:hint="eastAsia"/>
        </w:rPr>
        <w:t>1.8利用职权为配偶、子女、亲友等从事营利性活动，提供各种便利条件；</w:t>
      </w:r>
    </w:p>
    <w:p w14:paraId="1D141529">
      <w:pPr>
        <w:spacing w:line="540" w:lineRule="exact"/>
      </w:pPr>
      <w:r>
        <w:rPr>
          <w:rFonts w:hint="eastAsia"/>
        </w:rPr>
        <w:t>1.9利用职权为配偶、子女、亲友等就业、提拔等事宜，向合作单位说情、打招呼；</w:t>
      </w:r>
    </w:p>
    <w:p w14:paraId="267C7FE4">
      <w:pPr>
        <w:spacing w:line="540" w:lineRule="exact"/>
      </w:pPr>
      <w:r>
        <w:rPr>
          <w:rFonts w:hint="eastAsia"/>
        </w:rPr>
        <w:t>1.10利用职权违规占用、借用合作单位车辆；</w:t>
      </w:r>
    </w:p>
    <w:p w14:paraId="11432370">
      <w:pPr>
        <w:spacing w:line="540" w:lineRule="exact"/>
      </w:pPr>
      <w:r>
        <w:rPr>
          <w:rFonts w:hint="eastAsia"/>
        </w:rPr>
        <w:t>1.11其他利用合同或职权谋取不正当利益的行为。</w:t>
      </w:r>
    </w:p>
    <w:p w14:paraId="57B33419">
      <w:pPr>
        <w:spacing w:line="540" w:lineRule="exact"/>
        <w:rPr>
          <w:b/>
        </w:rPr>
      </w:pPr>
      <w:r>
        <w:rPr>
          <w:rFonts w:hint="eastAsia"/>
          <w:b/>
        </w:rPr>
        <w:t>第二条</w:t>
      </w:r>
      <w:r>
        <w:rPr>
          <w:rFonts w:hint="eastAsia"/>
          <w:b/>
        </w:rPr>
        <w:tab/>
      </w:r>
      <w:r>
        <w:rPr>
          <w:rFonts w:hint="eastAsia"/>
          <w:b/>
        </w:rPr>
        <w:t>禁止甲方及其员工违规干预和插手乙方和本项目相关招投标活动。</w:t>
      </w:r>
    </w:p>
    <w:p w14:paraId="10E29251">
      <w:pPr>
        <w:spacing w:line="540" w:lineRule="exact"/>
        <w:rPr>
          <w:b/>
        </w:rPr>
      </w:pPr>
      <w:r>
        <w:rPr>
          <w:rFonts w:hint="eastAsia"/>
          <w:b/>
        </w:rPr>
        <w:t>第三条</w:t>
      </w:r>
      <w:r>
        <w:rPr>
          <w:rFonts w:hint="eastAsia"/>
          <w:b/>
        </w:rPr>
        <w:tab/>
      </w:r>
      <w:r>
        <w:rPr>
          <w:rFonts w:hint="eastAsia"/>
          <w:b/>
        </w:rPr>
        <w:t>禁止乙方及员工（含乙方各级领导和员工，下同）违规利用与甲方的合作关系、合同谋取不正当利益，不得向甲方及其员工提供、承诺或暗示提供任何形式的不当利益，以换取任何形式的优势或利益，不得承诺、同意或主动为甲方及其员工产生第一条所列行为提供任何形式的便利。</w:t>
      </w:r>
    </w:p>
    <w:p w14:paraId="5F13E685">
      <w:pPr>
        <w:spacing w:line="540" w:lineRule="exact"/>
        <w:rPr>
          <w:b/>
        </w:rPr>
      </w:pPr>
      <w:r>
        <w:rPr>
          <w:rFonts w:hint="eastAsia"/>
          <w:b/>
        </w:rPr>
        <w:t>第四条</w:t>
      </w:r>
      <w:r>
        <w:rPr>
          <w:rFonts w:hint="eastAsia"/>
          <w:b/>
        </w:rPr>
        <w:tab/>
      </w:r>
      <w:r>
        <w:rPr>
          <w:rFonts w:hint="eastAsia"/>
          <w:b/>
        </w:rPr>
        <w:t>禁止乙方挂靠、转包或者违法分包谋取不正当利益。</w:t>
      </w:r>
    </w:p>
    <w:p w14:paraId="197F65E5">
      <w:pPr>
        <w:spacing w:line="540" w:lineRule="exact"/>
        <w:rPr>
          <w:b/>
        </w:rPr>
      </w:pPr>
      <w:r>
        <w:rPr>
          <w:rFonts w:hint="eastAsia"/>
          <w:b/>
        </w:rPr>
        <w:t>第五条</w:t>
      </w:r>
      <w:r>
        <w:rPr>
          <w:rFonts w:hint="eastAsia"/>
          <w:b/>
        </w:rPr>
        <w:tab/>
      </w:r>
      <w:r>
        <w:rPr>
          <w:rFonts w:hint="eastAsia"/>
          <w:b/>
        </w:rPr>
        <w:t>禁止乙方及其员工商业贿赂（商业贿赂是指在商业合作中采用财物或者其他手段贿赂对方单位或者个人的行为，下同），乙方及其员工不得有下列行为：</w:t>
      </w:r>
    </w:p>
    <w:p w14:paraId="4774B30B">
      <w:pPr>
        <w:spacing w:line="540" w:lineRule="exact"/>
      </w:pPr>
      <w:r>
        <w:rPr>
          <w:rFonts w:hint="eastAsia"/>
        </w:rPr>
        <w:t>5.1向与项目相关的合作单位及其员工行商业贿赂，包括但不限于给予任何形式的礼金礼品、有价证券、购物券、回扣、佣金、咨询费、劳务费、赞助费、宣传费以及支付旅游费用、报销各种消费凭证等；</w:t>
      </w:r>
    </w:p>
    <w:p w14:paraId="63059751">
      <w:pPr>
        <w:spacing w:line="540" w:lineRule="exact"/>
      </w:pPr>
      <w:r>
        <w:rPr>
          <w:rFonts w:hint="eastAsia"/>
        </w:rPr>
        <w:t>5.2接受与本项目相关合作单位和潜在投标人等有关单位及其员工的商业贿赂。</w:t>
      </w:r>
    </w:p>
    <w:p w14:paraId="688AF4F6">
      <w:pPr>
        <w:spacing w:line="540" w:lineRule="exact"/>
        <w:rPr>
          <w:b/>
        </w:rPr>
      </w:pPr>
      <w:r>
        <w:rPr>
          <w:rFonts w:hint="eastAsia"/>
          <w:b/>
        </w:rPr>
        <w:t>第六条</w:t>
      </w:r>
      <w:r>
        <w:rPr>
          <w:rFonts w:hint="eastAsia"/>
          <w:b/>
        </w:rPr>
        <w:tab/>
      </w:r>
      <w:r>
        <w:rPr>
          <w:rFonts w:hint="eastAsia"/>
          <w:b/>
        </w:rPr>
        <w:t>禁止乙方及其员工违规干预或插手甲方和本项目相关招投标活动。</w:t>
      </w:r>
    </w:p>
    <w:p w14:paraId="35E468D8">
      <w:pPr>
        <w:spacing w:line="540" w:lineRule="exact"/>
        <w:rPr>
          <w:b/>
        </w:rPr>
      </w:pPr>
      <w:r>
        <w:rPr>
          <w:rFonts w:hint="eastAsia"/>
          <w:b/>
        </w:rPr>
        <w:t>第七条</w:t>
      </w:r>
      <w:r>
        <w:rPr>
          <w:rFonts w:hint="eastAsia"/>
          <w:b/>
        </w:rPr>
        <w:tab/>
      </w:r>
      <w:r>
        <w:rPr>
          <w:rFonts w:hint="eastAsia"/>
          <w:b/>
        </w:rPr>
        <w:t>如遇到甲方向乙方索取任何形式的不正当利益，或知晓甲方向本项目相关合作单位索取任何形式的不正当利益时，乙方应及时向甲方纪检监督部门报告。知情不报的，可按本协议第九条第二点追究相关责任。</w:t>
      </w:r>
    </w:p>
    <w:p w14:paraId="1696FA64">
      <w:pPr>
        <w:spacing w:line="540" w:lineRule="exact"/>
      </w:pPr>
      <w:r>
        <w:rPr>
          <w:rFonts w:hint="eastAsia"/>
          <w:b/>
        </w:rPr>
        <w:t>第八条</w:t>
      </w:r>
      <w:r>
        <w:rPr>
          <w:rFonts w:hint="eastAsia"/>
          <w:b/>
        </w:rPr>
        <w:tab/>
      </w:r>
      <w:r>
        <w:rPr>
          <w:rFonts w:hint="eastAsia"/>
          <w:b/>
        </w:rPr>
        <w:t>甲方、乙方应切实履行各自主体责任，加强廉洁合规管理，强化廉洁教育，定期开展监督检查、廉洁提醒，确保国家法律、政策和本协议的约定予以落实。必要时，可开展联合监督。</w:t>
      </w:r>
    </w:p>
    <w:p w14:paraId="39109297">
      <w:pPr>
        <w:spacing w:line="540" w:lineRule="exact"/>
        <w:rPr>
          <w:b/>
        </w:rPr>
      </w:pPr>
      <w:r>
        <w:rPr>
          <w:rFonts w:hint="eastAsia"/>
          <w:b/>
        </w:rPr>
        <w:t>第九条</w:t>
      </w:r>
      <w:r>
        <w:rPr>
          <w:rFonts w:hint="eastAsia"/>
          <w:b/>
        </w:rPr>
        <w:tab/>
      </w:r>
      <w:r>
        <w:rPr>
          <w:rFonts w:hint="eastAsia"/>
          <w:b/>
        </w:rPr>
        <w:t>举报及调查</w:t>
      </w:r>
    </w:p>
    <w:p w14:paraId="4BD4708A">
      <w:pPr>
        <w:spacing w:line="540" w:lineRule="exact"/>
      </w:pPr>
      <w:r>
        <w:rPr>
          <w:rFonts w:hint="eastAsia"/>
        </w:rPr>
        <w:t>9.1甲方、乙方发现对方有违反本协议的任何行为，均可向前海纪检监察工委举报（电话：0755-12388），或向前海建投集团纪委举报（电话：0755-88982789）；</w:t>
      </w:r>
    </w:p>
    <w:p w14:paraId="2FEE3520">
      <w:pPr>
        <w:spacing w:line="540" w:lineRule="exact"/>
      </w:pPr>
      <w:r>
        <w:rPr>
          <w:rFonts w:hint="eastAsia"/>
        </w:rPr>
        <w:t>9.2乙方有义务积极配合甲方纪检监督部门，开展与项目相关的审查调查工作，如实反映有关情况，不得以任何理由拒不配合，或拒不提交与项目相关的资料文件。</w:t>
      </w:r>
    </w:p>
    <w:p w14:paraId="6078E20B">
      <w:pPr>
        <w:spacing w:line="540" w:lineRule="exact"/>
      </w:pPr>
      <w:r>
        <w:rPr>
          <w:rFonts w:hint="eastAsia"/>
        </w:rPr>
        <w:t>9.3廉洁“码上办”举报平台</w:t>
      </w:r>
    </w:p>
    <w:p w14:paraId="18849C89">
      <w:pPr>
        <w:spacing w:line="540" w:lineRule="exact"/>
      </w:pPr>
      <w:r>
        <w:drawing>
          <wp:anchor distT="0" distB="0" distL="114300" distR="114300" simplePos="0" relativeHeight="251660288" behindDoc="0" locked="0" layoutInCell="1" allowOverlap="1">
            <wp:simplePos x="0" y="0"/>
            <wp:positionH relativeFrom="column">
              <wp:posOffset>205740</wp:posOffset>
            </wp:positionH>
            <wp:positionV relativeFrom="paragraph">
              <wp:posOffset>87630</wp:posOffset>
            </wp:positionV>
            <wp:extent cx="1773555" cy="1773555"/>
            <wp:effectExtent l="0" t="0" r="17145" b="17145"/>
            <wp:wrapSquare wrapText="bothSides"/>
            <wp:docPr id="2" name="图片 2" descr="022991a55d351a1b91a96c26aeb397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2991a55d351a1b91a96c26aeb3977b"/>
                    <pic:cNvPicPr>
                      <a:picLocks noChangeAspect="1"/>
                    </pic:cNvPicPr>
                  </pic:nvPicPr>
                  <pic:blipFill>
                    <a:blip r:embed="rId13"/>
                    <a:stretch>
                      <a:fillRect/>
                    </a:stretch>
                  </pic:blipFill>
                  <pic:spPr>
                    <a:xfrm>
                      <a:off x="0" y="0"/>
                      <a:ext cx="1773555" cy="1773555"/>
                    </a:xfrm>
                    <a:prstGeom prst="rect">
                      <a:avLst/>
                    </a:prstGeom>
                    <a:noFill/>
                    <a:ln>
                      <a:noFill/>
                    </a:ln>
                  </pic:spPr>
                </pic:pic>
              </a:graphicData>
            </a:graphic>
          </wp:anchor>
        </w:drawing>
      </w:r>
    </w:p>
    <w:p w14:paraId="3275F3C2">
      <w:pPr>
        <w:spacing w:line="540" w:lineRule="exact"/>
        <w:rPr>
          <w:b/>
        </w:rPr>
      </w:pPr>
    </w:p>
    <w:p w14:paraId="721537F5">
      <w:pPr>
        <w:spacing w:line="540" w:lineRule="exact"/>
        <w:rPr>
          <w:b/>
        </w:rPr>
      </w:pPr>
    </w:p>
    <w:p w14:paraId="3310B415">
      <w:pPr>
        <w:spacing w:line="540" w:lineRule="exact"/>
        <w:rPr>
          <w:b/>
        </w:rPr>
      </w:pPr>
    </w:p>
    <w:p w14:paraId="22D949B2">
      <w:pPr>
        <w:spacing w:line="540" w:lineRule="exact"/>
        <w:rPr>
          <w:b/>
        </w:rPr>
      </w:pPr>
    </w:p>
    <w:p w14:paraId="04ECF0C2">
      <w:pPr>
        <w:spacing w:line="540" w:lineRule="exact"/>
        <w:rPr>
          <w:b/>
        </w:rPr>
      </w:pPr>
    </w:p>
    <w:p w14:paraId="10DCF3B5">
      <w:pPr>
        <w:spacing w:line="540" w:lineRule="exact"/>
        <w:rPr>
          <w:b/>
        </w:rPr>
      </w:pPr>
      <w:r>
        <w:rPr>
          <w:rFonts w:hint="eastAsia"/>
          <w:b/>
        </w:rPr>
        <w:t>第十条</w:t>
      </w:r>
      <w:r>
        <w:rPr>
          <w:rFonts w:hint="eastAsia"/>
          <w:b/>
        </w:rPr>
        <w:tab/>
      </w:r>
      <w:r>
        <w:rPr>
          <w:rFonts w:hint="eastAsia"/>
          <w:b/>
        </w:rPr>
        <w:t>违约责任</w:t>
      </w:r>
    </w:p>
    <w:p w14:paraId="077E2732">
      <w:pPr>
        <w:spacing w:line="540" w:lineRule="exact"/>
      </w:pPr>
      <w:r>
        <w:rPr>
          <w:rFonts w:hint="eastAsia"/>
        </w:rPr>
        <w:t>10.1甲方违反本协议，给乙方造成经济损失的，甲方应承担相应的赔偿责任；</w:t>
      </w:r>
    </w:p>
    <w:p w14:paraId="0DB264BC">
      <w:pPr>
        <w:spacing w:line="540" w:lineRule="exact"/>
      </w:pPr>
      <w:r>
        <w:rPr>
          <w:rFonts w:hint="eastAsia"/>
        </w:rPr>
        <w:t>10.2乙方违反本协议，应依法依纪依规向甲方退还已谋取的不正当利益，并按次向甲方额外支付</w:t>
      </w:r>
      <w:r>
        <w:rPr>
          <w:rFonts w:hint="eastAsia"/>
          <w:u w:val="single"/>
        </w:rPr>
        <w:t xml:space="preserve">  主合同价款5%  </w:t>
      </w:r>
      <w:r>
        <w:rPr>
          <w:rFonts w:hint="eastAsia"/>
        </w:rPr>
        <w:t>（主合同价款5%或100万元，选低者）的违约金；情节严重或发生商业贿赂行为，给项目带来重大损失或给甲方造成恶劣影响的，除支付前款约定违约金外，甲方有权：</w:t>
      </w:r>
    </w:p>
    <w:p w14:paraId="0FCF4349">
      <w:pPr>
        <w:spacing w:line="540" w:lineRule="exact"/>
      </w:pPr>
      <w:r>
        <w:rPr>
          <w:rFonts w:hint="eastAsia"/>
        </w:rPr>
        <w:t>（1）单方解除主合同；</w:t>
      </w:r>
    </w:p>
    <w:p w14:paraId="1D5509D5">
      <w:pPr>
        <w:spacing w:line="540" w:lineRule="exact"/>
      </w:pPr>
      <w:r>
        <w:rPr>
          <w:rFonts w:hint="eastAsia"/>
        </w:rPr>
        <w:t>（</w:t>
      </w:r>
      <w:r>
        <w:t>2</w:t>
      </w:r>
      <w:r>
        <w:rPr>
          <w:rFonts w:hint="eastAsia"/>
        </w:rPr>
        <w:t>）按照已支付款项办理结算，后续款项不再支付给乙方；</w:t>
      </w:r>
    </w:p>
    <w:p w14:paraId="626700B3">
      <w:pPr>
        <w:spacing w:line="540" w:lineRule="exact"/>
      </w:pPr>
      <w:r>
        <w:rPr>
          <w:rFonts w:hint="eastAsia"/>
        </w:rPr>
        <w:t>（</w:t>
      </w:r>
      <w:r>
        <w:t>3</w:t>
      </w:r>
      <w:r>
        <w:rPr>
          <w:rFonts w:hint="eastAsia"/>
        </w:rPr>
        <w:t>）履约评价不合格。</w:t>
      </w:r>
    </w:p>
    <w:p w14:paraId="2492C871">
      <w:pPr>
        <w:spacing w:line="540" w:lineRule="exact"/>
        <w:rPr>
          <w:b/>
        </w:rPr>
      </w:pPr>
      <w:r>
        <w:rPr>
          <w:rFonts w:hint="eastAsia"/>
          <w:b/>
        </w:rPr>
        <w:t>第十一条</w:t>
      </w:r>
      <w:r>
        <w:rPr>
          <w:rFonts w:hint="eastAsia"/>
          <w:b/>
        </w:rPr>
        <w:tab/>
      </w:r>
      <w:r>
        <w:rPr>
          <w:rFonts w:hint="eastAsia"/>
          <w:b/>
        </w:rPr>
        <w:t>其他约定</w:t>
      </w:r>
    </w:p>
    <w:p w14:paraId="2E2062BB">
      <w:pPr>
        <w:spacing w:line="540" w:lineRule="exact"/>
      </w:pPr>
      <w:r>
        <w:rPr>
          <w:rFonts w:hint="eastAsia"/>
        </w:rPr>
        <w:t>11.1本协议作为双方所签署主合同的附件，双方签署主合同的同时签署本协议，经双方签署后生效；</w:t>
      </w:r>
    </w:p>
    <w:p w14:paraId="2B7864F2">
      <w:pPr>
        <w:spacing w:line="540" w:lineRule="exact"/>
      </w:pPr>
      <w:r>
        <w:rPr>
          <w:rFonts w:hint="eastAsia"/>
        </w:rPr>
        <w:t>11.2本协议一式【陆】份，双方各执【叁】份，具有同等法律效力。</w:t>
      </w:r>
    </w:p>
    <w:p w14:paraId="44C5568E">
      <w:pPr>
        <w:spacing w:line="540" w:lineRule="exact"/>
      </w:pPr>
    </w:p>
    <w:p w14:paraId="619659BB">
      <w:pPr>
        <w:spacing w:line="540" w:lineRule="exact"/>
      </w:pPr>
    </w:p>
    <w:p w14:paraId="5FFD3419">
      <w:pPr>
        <w:spacing w:line="540" w:lineRule="exact"/>
      </w:pPr>
      <w:r>
        <w:rPr>
          <w:rFonts w:hint="eastAsia"/>
        </w:rPr>
        <w:t>（以下无正文）</w:t>
      </w:r>
    </w:p>
    <w:p w14:paraId="0FC482C5">
      <w:pPr>
        <w:spacing w:line="560" w:lineRule="exact"/>
      </w:pPr>
    </w:p>
    <w:tbl>
      <w:tblPr>
        <w:tblStyle w:val="19"/>
        <w:tblpPr w:leftFromText="180" w:rightFromText="180" w:vertAnchor="text" w:horzAnchor="page" w:tblpX="1810" w:tblpY="233"/>
        <w:tblOverlap w:val="never"/>
        <w:tblW w:w="0" w:type="auto"/>
        <w:tblInd w:w="0" w:type="dxa"/>
        <w:tblLayout w:type="autofit"/>
        <w:tblCellMar>
          <w:top w:w="0" w:type="dxa"/>
          <w:left w:w="108" w:type="dxa"/>
          <w:bottom w:w="0" w:type="dxa"/>
          <w:right w:w="108" w:type="dxa"/>
        </w:tblCellMar>
      </w:tblPr>
      <w:tblGrid>
        <w:gridCol w:w="4261"/>
        <w:gridCol w:w="4261"/>
      </w:tblGrid>
      <w:tr w14:paraId="211B509F">
        <w:tblPrEx>
          <w:tblCellMar>
            <w:top w:w="0" w:type="dxa"/>
            <w:left w:w="108" w:type="dxa"/>
            <w:bottom w:w="0" w:type="dxa"/>
            <w:right w:w="108" w:type="dxa"/>
          </w:tblCellMar>
        </w:tblPrEx>
        <w:trPr>
          <w:trHeight w:val="1337" w:hRule="atLeast"/>
        </w:trPr>
        <w:tc>
          <w:tcPr>
            <w:tcW w:w="4261" w:type="dxa"/>
            <w:shd w:val="clear" w:color="auto" w:fill="auto"/>
          </w:tcPr>
          <w:p w14:paraId="6E1EEFC6">
            <w:pPr>
              <w:rPr>
                <w:rFonts w:ascii="宋体" w:cs="宋体"/>
                <w:b/>
                <w:color w:val="000000" w:themeColor="text1"/>
                <w:szCs w:val="21"/>
                <w14:textFill>
                  <w14:solidFill>
                    <w14:schemeClr w14:val="tx1"/>
                  </w14:solidFill>
                </w14:textFill>
              </w:rPr>
            </w:pPr>
            <w:r>
              <w:rPr>
                <w:rFonts w:hint="eastAsia" w:cs="Calibri"/>
                <w:kern w:val="0"/>
              </w:rPr>
              <w:t>甲方</w:t>
            </w:r>
            <w:r>
              <w:rPr>
                <w:rFonts w:hint="eastAsia" w:ascii="宋体" w:hAnsi="宋体" w:cs="宋体"/>
                <w:kern w:val="0"/>
              </w:rPr>
              <w:t>（公章）：</w:t>
            </w:r>
          </w:p>
          <w:p w14:paraId="00D97153">
            <w:pPr>
              <w:rPr>
                <w:rFonts w:ascii="宋体" w:hAnsi="宋体" w:cs="宋体"/>
                <w:kern w:val="0"/>
              </w:rPr>
            </w:pPr>
          </w:p>
          <w:p w14:paraId="30DD21A5">
            <w:pPr>
              <w:rPr>
                <w:rFonts w:ascii="宋体" w:hAnsi="宋体" w:cs="宋体"/>
                <w:kern w:val="0"/>
              </w:rPr>
            </w:pPr>
          </w:p>
          <w:p w14:paraId="79734DFC">
            <w:pPr>
              <w:pStyle w:val="8"/>
            </w:pPr>
          </w:p>
          <w:p w14:paraId="2E607C07">
            <w:pPr>
              <w:rPr>
                <w:rFonts w:ascii="宋体" w:hAnsi="宋体" w:cs="宋体"/>
                <w:kern w:val="0"/>
              </w:rPr>
            </w:pPr>
          </w:p>
          <w:p w14:paraId="4682E9A7">
            <w:pPr>
              <w:rPr>
                <w:rFonts w:ascii="宋体" w:hAnsi="宋体" w:cs="宋体"/>
                <w:kern w:val="0"/>
              </w:rPr>
            </w:pPr>
            <w:r>
              <w:rPr>
                <w:rFonts w:hint="eastAsia" w:ascii="宋体" w:hAnsi="宋体" w:cs="宋体"/>
                <w:kern w:val="0"/>
              </w:rPr>
              <w:t>法定代表人/授权代理人（签字）:</w:t>
            </w:r>
          </w:p>
          <w:p w14:paraId="274A8A57">
            <w:pPr>
              <w:rPr>
                <w:rFonts w:ascii="宋体" w:hAnsi="宋体" w:cs="宋体"/>
                <w:kern w:val="0"/>
              </w:rPr>
            </w:pPr>
          </w:p>
          <w:p w14:paraId="71AA0584">
            <w:pPr>
              <w:rPr>
                <w:rFonts w:ascii="宋体" w:hAnsi="宋体" w:cs="宋体"/>
                <w:kern w:val="0"/>
              </w:rPr>
            </w:pPr>
          </w:p>
          <w:p w14:paraId="22A297F5">
            <w:pPr>
              <w:rPr>
                <w:rFonts w:ascii="宋体" w:hAnsi="宋体" w:cs="宋体"/>
                <w:kern w:val="0"/>
              </w:rPr>
            </w:pPr>
          </w:p>
          <w:p w14:paraId="52AC6759">
            <w:pPr>
              <w:rPr>
                <w:rFonts w:ascii="宋体" w:hAnsi="宋体" w:cs="宋体"/>
                <w:kern w:val="0"/>
              </w:rPr>
            </w:pPr>
            <w:r>
              <w:rPr>
                <w:rFonts w:hint="eastAsia" w:ascii="宋体" w:hAnsi="宋体" w:cs="宋体"/>
                <w:kern w:val="0"/>
              </w:rPr>
              <w:t>日期：       年   月   日</w:t>
            </w:r>
          </w:p>
        </w:tc>
        <w:tc>
          <w:tcPr>
            <w:tcW w:w="4261" w:type="dxa"/>
            <w:shd w:val="clear" w:color="auto" w:fill="auto"/>
          </w:tcPr>
          <w:p w14:paraId="64F14AA7">
            <w:pPr>
              <w:rPr>
                <w:rFonts w:ascii="宋体" w:cs="宋体"/>
                <w:b/>
                <w:color w:val="000000" w:themeColor="text1"/>
                <w:szCs w:val="21"/>
                <w14:textFill>
                  <w14:solidFill>
                    <w14:schemeClr w14:val="tx1"/>
                  </w14:solidFill>
                </w14:textFill>
              </w:rPr>
            </w:pPr>
            <w:r>
              <w:rPr>
                <w:rFonts w:hint="eastAsia" w:cs="Calibri"/>
                <w:kern w:val="0"/>
              </w:rPr>
              <w:t>乙方（公章）：</w:t>
            </w:r>
            <w:r>
              <w:rPr>
                <w:rFonts w:ascii="宋体" w:cs="宋体"/>
                <w:b/>
                <w:color w:val="000000" w:themeColor="text1"/>
                <w:szCs w:val="21"/>
                <w14:textFill>
                  <w14:solidFill>
                    <w14:schemeClr w14:val="tx1"/>
                  </w14:solidFill>
                </w14:textFill>
              </w:rPr>
              <w:t xml:space="preserve"> </w:t>
            </w:r>
          </w:p>
          <w:p w14:paraId="0F8FC30E">
            <w:pPr>
              <w:pStyle w:val="8"/>
            </w:pPr>
          </w:p>
          <w:p w14:paraId="7BE642DB">
            <w:pPr>
              <w:pStyle w:val="8"/>
            </w:pPr>
          </w:p>
          <w:p w14:paraId="22D6B616">
            <w:pPr>
              <w:pStyle w:val="8"/>
            </w:pPr>
          </w:p>
          <w:p w14:paraId="17C9C7E8">
            <w:pPr>
              <w:rPr>
                <w:rFonts w:cs="Calibri"/>
                <w:kern w:val="0"/>
              </w:rPr>
            </w:pPr>
            <w:r>
              <w:rPr>
                <w:rFonts w:hint="eastAsia" w:cs="Calibri"/>
                <w:kern w:val="0"/>
              </w:rPr>
              <w:t>法定代表人/授权代理人（签字）:</w:t>
            </w:r>
          </w:p>
          <w:p w14:paraId="3306BD97">
            <w:pPr>
              <w:rPr>
                <w:rFonts w:cs="Calibri"/>
                <w:kern w:val="0"/>
              </w:rPr>
            </w:pPr>
          </w:p>
          <w:p w14:paraId="24A40713">
            <w:pPr>
              <w:rPr>
                <w:rFonts w:cs="Calibri"/>
                <w:kern w:val="0"/>
              </w:rPr>
            </w:pPr>
          </w:p>
          <w:p w14:paraId="43B026BD">
            <w:pPr>
              <w:rPr>
                <w:rFonts w:cs="Calibri"/>
                <w:kern w:val="0"/>
              </w:rPr>
            </w:pPr>
          </w:p>
          <w:p w14:paraId="57CAFB66">
            <w:pPr>
              <w:rPr>
                <w:rFonts w:cs="Calibri"/>
                <w:kern w:val="0"/>
              </w:rPr>
            </w:pPr>
            <w:r>
              <w:rPr>
                <w:rFonts w:cs="Calibri"/>
                <w:kern w:val="0"/>
              </w:rPr>
              <w:t>日期：       年   月   日</w:t>
            </w:r>
          </w:p>
        </w:tc>
      </w:tr>
    </w:tbl>
    <w:p w14:paraId="35DBAE54">
      <w:pPr>
        <w:pStyle w:val="8"/>
      </w:pPr>
    </w:p>
    <w:p w14:paraId="086D34FC">
      <w:pPr>
        <w:pStyle w:val="23"/>
        <w:spacing w:after="120" w:afterLines="50" w:line="240" w:lineRule="auto"/>
        <w:ind w:firstLine="0" w:firstLineChars="0"/>
        <w:rPr>
          <w:rFonts w:hint="eastAsia" w:ascii="宋体" w:hAnsi="宋体" w:eastAsia="宋体" w:cs="宋体"/>
          <w:b/>
          <w:bCs/>
          <w:kern w:val="0"/>
          <w:sz w:val="24"/>
          <w:lang w:val="en-US" w:eastAsia="zh-CN"/>
        </w:rPr>
        <w:sectPr>
          <w:pgSz w:w="11907" w:h="16840"/>
          <w:pgMar w:top="1440" w:right="1797" w:bottom="1440" w:left="1797" w:header="851" w:footer="992" w:gutter="0"/>
          <w:cols w:space="720" w:num="1"/>
          <w:docGrid w:linePitch="462" w:charSpace="0"/>
        </w:sectPr>
      </w:pPr>
    </w:p>
    <w:p w14:paraId="1467832F">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rPr>
          <w:rFonts w:hint="eastAsia" w:ascii="宋体" w:hAnsi="宋体" w:eastAsia="宋体" w:cs="宋体"/>
          <w:sz w:val="21"/>
          <w:szCs w:val="21"/>
          <w:lang w:eastAsia="zh-Hans"/>
        </w:rPr>
      </w:pPr>
    </w:p>
    <w:sectPr>
      <w:pgSz w:w="11907" w:h="16840"/>
      <w:pgMar w:top="1440" w:right="1797" w:bottom="1440" w:left="1797" w:header="851" w:footer="992"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575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3991">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B2286">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2349">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E7D0">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4BB72">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C58ED"/>
    <w:multiLevelType w:val="multilevel"/>
    <w:tmpl w:val="00BC58E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264E22"/>
    <w:multiLevelType w:val="multilevel"/>
    <w:tmpl w:val="0C264E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8E69C3"/>
    <w:multiLevelType w:val="multilevel"/>
    <w:tmpl w:val="168E69C3"/>
    <w:lvl w:ilvl="0" w:tentative="0">
      <w:start w:val="1"/>
      <w:numFmt w:val="decimal"/>
      <w:lvlText w:val="%1."/>
      <w:lvlJc w:val="left"/>
      <w:pPr>
        <w:ind w:left="360" w:hanging="36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A64B79"/>
    <w:multiLevelType w:val="multilevel"/>
    <w:tmpl w:val="53A64B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6CC3C69"/>
    <w:multiLevelType w:val="multilevel"/>
    <w:tmpl w:val="76CC3C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MzVhMDk1NTFkOWQxOWU3MjI5MjcxYjgxOTFhM2UifQ=="/>
  </w:docVars>
  <w:rsids>
    <w:rsidRoot w:val="7EB15E19"/>
    <w:rsid w:val="00017D48"/>
    <w:rsid w:val="00105D9A"/>
    <w:rsid w:val="00125635"/>
    <w:rsid w:val="00161C25"/>
    <w:rsid w:val="001C0C7E"/>
    <w:rsid w:val="001E3607"/>
    <w:rsid w:val="001F5C5B"/>
    <w:rsid w:val="0022432A"/>
    <w:rsid w:val="002361BA"/>
    <w:rsid w:val="002D60D0"/>
    <w:rsid w:val="003100CA"/>
    <w:rsid w:val="00455DBD"/>
    <w:rsid w:val="00464FC5"/>
    <w:rsid w:val="004A2169"/>
    <w:rsid w:val="004E3FD7"/>
    <w:rsid w:val="005132A2"/>
    <w:rsid w:val="005229A6"/>
    <w:rsid w:val="0054545C"/>
    <w:rsid w:val="00570AC1"/>
    <w:rsid w:val="006B2521"/>
    <w:rsid w:val="006E34D4"/>
    <w:rsid w:val="0076140F"/>
    <w:rsid w:val="007E298C"/>
    <w:rsid w:val="008124A3"/>
    <w:rsid w:val="009B39A5"/>
    <w:rsid w:val="00A10B75"/>
    <w:rsid w:val="00BA357C"/>
    <w:rsid w:val="00D10745"/>
    <w:rsid w:val="00D642F7"/>
    <w:rsid w:val="00D64FC7"/>
    <w:rsid w:val="00DC7ED9"/>
    <w:rsid w:val="00DE0ACB"/>
    <w:rsid w:val="00E216A2"/>
    <w:rsid w:val="00E8315B"/>
    <w:rsid w:val="00EC5043"/>
    <w:rsid w:val="00ED2E7A"/>
    <w:rsid w:val="01250339"/>
    <w:rsid w:val="019568DB"/>
    <w:rsid w:val="01E21263"/>
    <w:rsid w:val="0271518A"/>
    <w:rsid w:val="02902A6D"/>
    <w:rsid w:val="02C14677"/>
    <w:rsid w:val="03002554"/>
    <w:rsid w:val="030737F8"/>
    <w:rsid w:val="03F145DC"/>
    <w:rsid w:val="04353FB2"/>
    <w:rsid w:val="04405B83"/>
    <w:rsid w:val="047E776D"/>
    <w:rsid w:val="04877EA0"/>
    <w:rsid w:val="05227F1B"/>
    <w:rsid w:val="062A4F87"/>
    <w:rsid w:val="06B74AD5"/>
    <w:rsid w:val="06FD73F8"/>
    <w:rsid w:val="08155E9B"/>
    <w:rsid w:val="086830C7"/>
    <w:rsid w:val="092415CF"/>
    <w:rsid w:val="09526CCE"/>
    <w:rsid w:val="09D678FF"/>
    <w:rsid w:val="0AC25681"/>
    <w:rsid w:val="0AE335DE"/>
    <w:rsid w:val="0B8B1FED"/>
    <w:rsid w:val="0B94451B"/>
    <w:rsid w:val="0BA9136C"/>
    <w:rsid w:val="0C4843B9"/>
    <w:rsid w:val="0CB457A3"/>
    <w:rsid w:val="0D480FB9"/>
    <w:rsid w:val="0DC26DA4"/>
    <w:rsid w:val="0DCC2F87"/>
    <w:rsid w:val="0DF60339"/>
    <w:rsid w:val="0E05267C"/>
    <w:rsid w:val="0ED75F3B"/>
    <w:rsid w:val="0EF912E7"/>
    <w:rsid w:val="0F2E7896"/>
    <w:rsid w:val="0F5903DB"/>
    <w:rsid w:val="10E1637C"/>
    <w:rsid w:val="11703309"/>
    <w:rsid w:val="13F60598"/>
    <w:rsid w:val="146268BE"/>
    <w:rsid w:val="14903E04"/>
    <w:rsid w:val="149E54BE"/>
    <w:rsid w:val="14A405FA"/>
    <w:rsid w:val="14CA336F"/>
    <w:rsid w:val="14E45E6F"/>
    <w:rsid w:val="15106D5D"/>
    <w:rsid w:val="15A31D6A"/>
    <w:rsid w:val="168C1346"/>
    <w:rsid w:val="16A50D85"/>
    <w:rsid w:val="172849E5"/>
    <w:rsid w:val="17936E30"/>
    <w:rsid w:val="18825528"/>
    <w:rsid w:val="18ED54FA"/>
    <w:rsid w:val="18F41B50"/>
    <w:rsid w:val="18FB2B8C"/>
    <w:rsid w:val="195C19D3"/>
    <w:rsid w:val="19B412DF"/>
    <w:rsid w:val="19ED2175"/>
    <w:rsid w:val="1A5960B2"/>
    <w:rsid w:val="1A670100"/>
    <w:rsid w:val="1B9118D8"/>
    <w:rsid w:val="1C365FDC"/>
    <w:rsid w:val="1CBA09BB"/>
    <w:rsid w:val="1CEF6B44"/>
    <w:rsid w:val="1D48246B"/>
    <w:rsid w:val="1D743684"/>
    <w:rsid w:val="1D9F022F"/>
    <w:rsid w:val="1F0270DC"/>
    <w:rsid w:val="1F7E7081"/>
    <w:rsid w:val="1FFC4C25"/>
    <w:rsid w:val="20286583"/>
    <w:rsid w:val="20471C2F"/>
    <w:rsid w:val="20474C5B"/>
    <w:rsid w:val="20C67169"/>
    <w:rsid w:val="221943D6"/>
    <w:rsid w:val="228A6B04"/>
    <w:rsid w:val="22A916FE"/>
    <w:rsid w:val="231D1CA3"/>
    <w:rsid w:val="23FE73DF"/>
    <w:rsid w:val="2460453E"/>
    <w:rsid w:val="24612064"/>
    <w:rsid w:val="246E2886"/>
    <w:rsid w:val="24AF48B1"/>
    <w:rsid w:val="24C64D75"/>
    <w:rsid w:val="24EA02AB"/>
    <w:rsid w:val="25900576"/>
    <w:rsid w:val="25955ADD"/>
    <w:rsid w:val="25B61F3B"/>
    <w:rsid w:val="25B763DF"/>
    <w:rsid w:val="262B00ED"/>
    <w:rsid w:val="27AD5B89"/>
    <w:rsid w:val="280653FC"/>
    <w:rsid w:val="28570092"/>
    <w:rsid w:val="285A12A4"/>
    <w:rsid w:val="29763EBB"/>
    <w:rsid w:val="29B570DA"/>
    <w:rsid w:val="29D67A4E"/>
    <w:rsid w:val="2A750111"/>
    <w:rsid w:val="2A8B1BFF"/>
    <w:rsid w:val="2ADC0E12"/>
    <w:rsid w:val="2B2460D3"/>
    <w:rsid w:val="2B3044ED"/>
    <w:rsid w:val="2B7318E7"/>
    <w:rsid w:val="2BC2788C"/>
    <w:rsid w:val="2C0106FD"/>
    <w:rsid w:val="2CF5641F"/>
    <w:rsid w:val="2D3F53CE"/>
    <w:rsid w:val="2DDC4718"/>
    <w:rsid w:val="2E574B20"/>
    <w:rsid w:val="2E695145"/>
    <w:rsid w:val="2E9D3EEE"/>
    <w:rsid w:val="2F1B5AE0"/>
    <w:rsid w:val="302A6644"/>
    <w:rsid w:val="3056674D"/>
    <w:rsid w:val="31105B5A"/>
    <w:rsid w:val="3143161B"/>
    <w:rsid w:val="316D3389"/>
    <w:rsid w:val="317A4765"/>
    <w:rsid w:val="31AE4E0E"/>
    <w:rsid w:val="32352B17"/>
    <w:rsid w:val="3350367B"/>
    <w:rsid w:val="33811E5B"/>
    <w:rsid w:val="3389739B"/>
    <w:rsid w:val="341E428D"/>
    <w:rsid w:val="34D128EE"/>
    <w:rsid w:val="357F6429"/>
    <w:rsid w:val="359736C7"/>
    <w:rsid w:val="35EA1EB9"/>
    <w:rsid w:val="36095C7E"/>
    <w:rsid w:val="363C734F"/>
    <w:rsid w:val="373F5B23"/>
    <w:rsid w:val="37620175"/>
    <w:rsid w:val="37BD53AB"/>
    <w:rsid w:val="37CA06B9"/>
    <w:rsid w:val="37D631F9"/>
    <w:rsid w:val="384F06F9"/>
    <w:rsid w:val="38B95ACB"/>
    <w:rsid w:val="39F7141E"/>
    <w:rsid w:val="3A045513"/>
    <w:rsid w:val="3A4367F5"/>
    <w:rsid w:val="3A5458FD"/>
    <w:rsid w:val="3A56455B"/>
    <w:rsid w:val="3AC75562"/>
    <w:rsid w:val="3ADE6996"/>
    <w:rsid w:val="3B4854CD"/>
    <w:rsid w:val="3B4A490D"/>
    <w:rsid w:val="3C13085D"/>
    <w:rsid w:val="3C7F7A9B"/>
    <w:rsid w:val="3CDE204C"/>
    <w:rsid w:val="3CFE26EE"/>
    <w:rsid w:val="3D0F01F1"/>
    <w:rsid w:val="3D6F6FE8"/>
    <w:rsid w:val="3E7569E0"/>
    <w:rsid w:val="3EB0771E"/>
    <w:rsid w:val="3F012022"/>
    <w:rsid w:val="3F0D09C6"/>
    <w:rsid w:val="3F281CA4"/>
    <w:rsid w:val="3F6A7BC7"/>
    <w:rsid w:val="401928AF"/>
    <w:rsid w:val="40297A82"/>
    <w:rsid w:val="40B80A61"/>
    <w:rsid w:val="41720FB5"/>
    <w:rsid w:val="422C69A1"/>
    <w:rsid w:val="423F2B00"/>
    <w:rsid w:val="42731488"/>
    <w:rsid w:val="42B8155F"/>
    <w:rsid w:val="43805C0B"/>
    <w:rsid w:val="439B6A02"/>
    <w:rsid w:val="43A474AA"/>
    <w:rsid w:val="43C1359E"/>
    <w:rsid w:val="443C4228"/>
    <w:rsid w:val="444E1AB0"/>
    <w:rsid w:val="4568104C"/>
    <w:rsid w:val="45FC38C4"/>
    <w:rsid w:val="46107B3B"/>
    <w:rsid w:val="468B47AB"/>
    <w:rsid w:val="475C24EB"/>
    <w:rsid w:val="478B1022"/>
    <w:rsid w:val="47B60F32"/>
    <w:rsid w:val="48335878"/>
    <w:rsid w:val="484E4529"/>
    <w:rsid w:val="491F3622"/>
    <w:rsid w:val="49807010"/>
    <w:rsid w:val="49A83C48"/>
    <w:rsid w:val="4A382D24"/>
    <w:rsid w:val="4A742241"/>
    <w:rsid w:val="4ACE1952"/>
    <w:rsid w:val="4BC835E8"/>
    <w:rsid w:val="4BCD7E5B"/>
    <w:rsid w:val="4BE32C98"/>
    <w:rsid w:val="4C8E164A"/>
    <w:rsid w:val="4CB21487"/>
    <w:rsid w:val="4CF90E71"/>
    <w:rsid w:val="4DA1334D"/>
    <w:rsid w:val="4E031912"/>
    <w:rsid w:val="4E0744E0"/>
    <w:rsid w:val="4E121B55"/>
    <w:rsid w:val="4E784070"/>
    <w:rsid w:val="4E7D6872"/>
    <w:rsid w:val="4E86609F"/>
    <w:rsid w:val="4F206E4E"/>
    <w:rsid w:val="4F8C694F"/>
    <w:rsid w:val="4FEC6C73"/>
    <w:rsid w:val="505622BB"/>
    <w:rsid w:val="50867DEB"/>
    <w:rsid w:val="508759AC"/>
    <w:rsid w:val="50982C33"/>
    <w:rsid w:val="50C924BE"/>
    <w:rsid w:val="50FA629D"/>
    <w:rsid w:val="51081E9F"/>
    <w:rsid w:val="51696F09"/>
    <w:rsid w:val="51840FBC"/>
    <w:rsid w:val="51B64EEE"/>
    <w:rsid w:val="52214A5D"/>
    <w:rsid w:val="52F757BE"/>
    <w:rsid w:val="53F341D7"/>
    <w:rsid w:val="54180965"/>
    <w:rsid w:val="5437162E"/>
    <w:rsid w:val="543D47E6"/>
    <w:rsid w:val="54961FD1"/>
    <w:rsid w:val="54FE2E33"/>
    <w:rsid w:val="55B330EE"/>
    <w:rsid w:val="55C04B11"/>
    <w:rsid w:val="562F111D"/>
    <w:rsid w:val="570304BF"/>
    <w:rsid w:val="5714558E"/>
    <w:rsid w:val="58346B6C"/>
    <w:rsid w:val="58825139"/>
    <w:rsid w:val="58A3441E"/>
    <w:rsid w:val="59105F14"/>
    <w:rsid w:val="596206EB"/>
    <w:rsid w:val="59883613"/>
    <w:rsid w:val="59BB381C"/>
    <w:rsid w:val="5AD425CC"/>
    <w:rsid w:val="5B3620F8"/>
    <w:rsid w:val="5BC70423"/>
    <w:rsid w:val="5BC83CD9"/>
    <w:rsid w:val="5BD668B8"/>
    <w:rsid w:val="5C1E02EF"/>
    <w:rsid w:val="5CDC0E2C"/>
    <w:rsid w:val="5D855809"/>
    <w:rsid w:val="5D973E25"/>
    <w:rsid w:val="5DDB1F64"/>
    <w:rsid w:val="5E870DA4"/>
    <w:rsid w:val="5EAA1E65"/>
    <w:rsid w:val="5F03451C"/>
    <w:rsid w:val="5F08322C"/>
    <w:rsid w:val="5FD72BFF"/>
    <w:rsid w:val="6042276E"/>
    <w:rsid w:val="60AA3E6F"/>
    <w:rsid w:val="615C0442"/>
    <w:rsid w:val="62975596"/>
    <w:rsid w:val="630C355B"/>
    <w:rsid w:val="631C4893"/>
    <w:rsid w:val="63D74F7B"/>
    <w:rsid w:val="641E704E"/>
    <w:rsid w:val="657B559B"/>
    <w:rsid w:val="65C7346F"/>
    <w:rsid w:val="66F31CE6"/>
    <w:rsid w:val="66F54E23"/>
    <w:rsid w:val="671309C0"/>
    <w:rsid w:val="67281F92"/>
    <w:rsid w:val="68AF0ABE"/>
    <w:rsid w:val="68F00D4F"/>
    <w:rsid w:val="69D837FB"/>
    <w:rsid w:val="6A1A266E"/>
    <w:rsid w:val="6BB72547"/>
    <w:rsid w:val="6D0D36D6"/>
    <w:rsid w:val="6D4B2536"/>
    <w:rsid w:val="6D875048"/>
    <w:rsid w:val="6E296D1B"/>
    <w:rsid w:val="6EB15BC7"/>
    <w:rsid w:val="6FD32FDD"/>
    <w:rsid w:val="7089584F"/>
    <w:rsid w:val="70BA1EAD"/>
    <w:rsid w:val="71151FB3"/>
    <w:rsid w:val="715D60E7"/>
    <w:rsid w:val="71E47979"/>
    <w:rsid w:val="723E2357"/>
    <w:rsid w:val="725E4ABA"/>
    <w:rsid w:val="72DD1E82"/>
    <w:rsid w:val="7309711B"/>
    <w:rsid w:val="74315DEB"/>
    <w:rsid w:val="750F1D13"/>
    <w:rsid w:val="76D2427B"/>
    <w:rsid w:val="773977A4"/>
    <w:rsid w:val="78324A1E"/>
    <w:rsid w:val="783A3AAD"/>
    <w:rsid w:val="78C3613B"/>
    <w:rsid w:val="790B5E92"/>
    <w:rsid w:val="793842B6"/>
    <w:rsid w:val="797572B9"/>
    <w:rsid w:val="7A28432B"/>
    <w:rsid w:val="7A76078B"/>
    <w:rsid w:val="7ABA4327"/>
    <w:rsid w:val="7B911C83"/>
    <w:rsid w:val="7B98013D"/>
    <w:rsid w:val="7C412244"/>
    <w:rsid w:val="7CB0667F"/>
    <w:rsid w:val="7CBE1F8B"/>
    <w:rsid w:val="7CFB5D27"/>
    <w:rsid w:val="7D1B3FB9"/>
    <w:rsid w:val="7D902913"/>
    <w:rsid w:val="7E244E09"/>
    <w:rsid w:val="7E260863"/>
    <w:rsid w:val="7EB15E19"/>
    <w:rsid w:val="7FA26535"/>
    <w:rsid w:val="7FDB6F5B"/>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9"/>
    <w:pPr>
      <w:keepNext/>
      <w:keepLines/>
      <w:spacing w:before="120" w:after="120"/>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kern w:val="0"/>
      <w:sz w:val="24"/>
    </w:rPr>
  </w:style>
  <w:style w:type="paragraph" w:styleId="6">
    <w:name w:val="toa heading"/>
    <w:basedOn w:val="1"/>
    <w:next w:val="1"/>
    <w:qFormat/>
    <w:uiPriority w:val="0"/>
    <w:pPr>
      <w:autoSpaceDE w:val="0"/>
      <w:autoSpaceDN w:val="0"/>
      <w:adjustRightInd w:val="0"/>
      <w:snapToGrid w:val="0"/>
      <w:spacing w:before="120"/>
    </w:pPr>
    <w:rPr>
      <w:rFonts w:ascii="Arial" w:hAnsi="Arial"/>
      <w:snapToGrid w:val="0"/>
      <w:color w:val="000000"/>
      <w:kern w:val="0"/>
      <w:szCs w:val="20"/>
    </w:rPr>
  </w:style>
  <w:style w:type="paragraph" w:styleId="7">
    <w:name w:val="annotation text"/>
    <w:basedOn w:val="1"/>
    <w:qFormat/>
    <w:uiPriority w:val="0"/>
    <w:pPr>
      <w:jc w:val="left"/>
    </w:pPr>
  </w:style>
  <w:style w:type="paragraph" w:styleId="8">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Indent"/>
    <w:basedOn w:val="1"/>
    <w:next w:val="10"/>
    <w:qFormat/>
    <w:uiPriority w:val="0"/>
    <w:pPr>
      <w:spacing w:line="360" w:lineRule="auto"/>
      <w:ind w:left="540" w:leftChars="257" w:firstLine="360" w:firstLineChars="150"/>
    </w:pPr>
    <w:rPr>
      <w:kern w:val="0"/>
      <w:sz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szCs w:val="21"/>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0"/>
  </w:style>
  <w:style w:type="paragraph" w:styleId="15">
    <w:name w:val="toc 2"/>
    <w:basedOn w:val="1"/>
    <w:next w:val="1"/>
    <w:qFormat/>
    <w:uiPriority w:val="0"/>
    <w:pPr>
      <w:ind w:left="420" w:leftChars="200"/>
    </w:pPr>
  </w:style>
  <w:style w:type="paragraph" w:styleId="16">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widowControl/>
      <w:spacing w:before="100" w:beforeAutospacing="1" w:after="100" w:afterAutospacing="1" w:line="240" w:lineRule="auto"/>
      <w:ind w:firstLine="0" w:firstLineChars="0"/>
    </w:pPr>
    <w:rPr>
      <w:rFonts w:ascii="宋体" w:hAnsi="宋体" w:cs="宋体"/>
      <w:kern w:val="0"/>
      <w:sz w:val="24"/>
    </w:rPr>
  </w:style>
  <w:style w:type="paragraph" w:styleId="18">
    <w:name w:val="Body Text First Indent 2"/>
    <w:basedOn w:val="9"/>
    <w:qFormat/>
    <w:uiPriority w:val="0"/>
    <w:pPr>
      <w:spacing w:line="240" w:lineRule="auto"/>
      <w:ind w:firstLine="420" w:firstLineChars="200"/>
    </w:pPr>
    <w:rPr>
      <w:rFonts w:ascii="宋体"/>
      <w:color w:val="000000"/>
      <w:szCs w:val="24"/>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rFonts w:cs="Times New Roman"/>
      <w:b/>
      <w:bCs/>
    </w:rPr>
  </w:style>
  <w:style w:type="paragraph" w:styleId="23">
    <w:name w:val="List Paragraph"/>
    <w:basedOn w:val="1"/>
    <w:qFormat/>
    <w:uiPriority w:val="34"/>
    <w:pPr>
      <w:ind w:firstLine="420"/>
    </w:pPr>
    <w:rPr>
      <w:rFonts w:ascii="Calibri" w:hAnsi="Calibri"/>
      <w:szCs w:val="22"/>
    </w:rPr>
  </w:style>
  <w:style w:type="paragraph" w:customStyle="1" w:styleId="2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paragraph"/>
    <w:basedOn w:val="1"/>
    <w:qFormat/>
    <w:uiPriority w:val="0"/>
    <w:pPr>
      <w:spacing w:beforeAutospacing="1" w:afterAutospacing="1"/>
    </w:pPr>
    <w:rPr>
      <w:rFonts w:hint="eastAsia" w:ascii="宋体" w:hAnsi="宋体"/>
      <w:kern w:val="0"/>
      <w:sz w:val="24"/>
    </w:rPr>
  </w:style>
  <w:style w:type="character" w:customStyle="1" w:styleId="26">
    <w:name w:val="font21"/>
    <w:basedOn w:val="21"/>
    <w:qFormat/>
    <w:uiPriority w:val="0"/>
    <w:rPr>
      <w:rFonts w:hint="eastAsia" w:ascii="微软雅黑 Light" w:hAnsi="微软雅黑 Light" w:eastAsia="微软雅黑 Light" w:cs="微软雅黑 Light"/>
      <w:color w:val="000000"/>
      <w:sz w:val="20"/>
      <w:szCs w:val="20"/>
      <w:u w:val="none"/>
    </w:rPr>
  </w:style>
  <w:style w:type="character" w:customStyle="1" w:styleId="27">
    <w:name w:val="标题 2 字符"/>
    <w:basedOn w:val="21"/>
    <w:link w:val="4"/>
    <w:semiHidden/>
    <w:qFormat/>
    <w:uiPriority w:val="0"/>
    <w:rPr>
      <w:rFonts w:asciiTheme="majorHAnsi" w:hAnsiTheme="majorHAnsi" w:eastAsiaTheme="majorEastAsia" w:cstheme="majorBidi"/>
      <w:b/>
      <w:bCs/>
      <w:kern w:val="2"/>
      <w:sz w:val="32"/>
      <w:szCs w:val="32"/>
    </w:rPr>
  </w:style>
  <w:style w:type="character" w:customStyle="1" w:styleId="28">
    <w:name w:val="font71"/>
    <w:basedOn w:val="21"/>
    <w:qFormat/>
    <w:uiPriority w:val="0"/>
    <w:rPr>
      <w:rFonts w:hint="eastAsia" w:ascii="微软雅黑 Light" w:hAnsi="微软雅黑 Light" w:eastAsia="微软雅黑 Light" w:cs="微软雅黑 Light"/>
      <w:color w:val="000000"/>
      <w:sz w:val="20"/>
      <w:szCs w:val="20"/>
      <w:u w:val="none"/>
    </w:rPr>
  </w:style>
  <w:style w:type="character" w:customStyle="1" w:styleId="29">
    <w:name w:val="font41"/>
    <w:basedOn w:val="21"/>
    <w:qFormat/>
    <w:uiPriority w:val="0"/>
    <w:rPr>
      <w:rFonts w:hint="eastAsia" w:ascii="微软雅黑 Light" w:hAnsi="微软雅黑 Light" w:eastAsia="微软雅黑 Light" w:cs="微软雅黑 Light"/>
      <w:color w:val="000000"/>
      <w:sz w:val="20"/>
      <w:szCs w:val="20"/>
      <w:u w:val="none"/>
    </w:rPr>
  </w:style>
  <w:style w:type="paragraph" w:customStyle="1" w:styleId="30">
    <w:name w:val="正文 A"/>
    <w:qFormat/>
    <w:uiPriority w:val="0"/>
    <w:pPr>
      <w:widowControl w:val="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3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2">
    <w:name w:val="font11"/>
    <w:basedOn w:val="21"/>
    <w:qFormat/>
    <w:uiPriority w:val="0"/>
    <w:rPr>
      <w:rFonts w:hint="eastAsia" w:ascii="宋体" w:hAnsi="宋体" w:eastAsia="宋体" w:cs="宋体"/>
      <w:color w:val="000000"/>
      <w:sz w:val="24"/>
      <w:szCs w:val="24"/>
      <w:u w:val="none"/>
    </w:rPr>
  </w:style>
  <w:style w:type="paragraph" w:customStyle="1" w:styleId="33">
    <w:name w:val="列出段落11"/>
    <w:basedOn w:val="1"/>
    <w:qFormat/>
    <w:uiPriority w:val="34"/>
    <w:pPr>
      <w:ind w:firstLine="420" w:firstLineChars="200"/>
    </w:pPr>
    <w:rPr>
      <w:rFonts w:ascii="Calibri" w:hAnsi="Calibri"/>
      <w:szCs w:val="22"/>
    </w:rPr>
  </w:style>
  <w:style w:type="paragraph" w:customStyle="1" w:styleId="34">
    <w:name w:val="List Paragraph1"/>
    <w:basedOn w:val="1"/>
    <w:qFormat/>
    <w:uiPriority w:val="0"/>
    <w:pPr>
      <w:ind w:firstLine="420" w:firstLineChars="200"/>
    </w:pPr>
  </w:style>
  <w:style w:type="character" w:customStyle="1" w:styleId="35">
    <w:name w:val="font31"/>
    <w:basedOn w:val="21"/>
    <w:qFormat/>
    <w:uiPriority w:val="0"/>
    <w:rPr>
      <w:rFonts w:ascii="Arial" w:hAnsi="Arial" w:cs="Arial"/>
      <w:color w:val="000000"/>
      <w:sz w:val="20"/>
      <w:szCs w:val="20"/>
      <w:u w:val="none"/>
    </w:rPr>
  </w:style>
  <w:style w:type="paragraph" w:customStyle="1" w:styleId="36">
    <w:name w:val="样式2"/>
    <w:basedOn w:val="1"/>
    <w:qFormat/>
    <w:uiPriority w:val="0"/>
    <w:rPr>
      <w:rFonts w:ascii="Times New Roman" w:hAnsi="Times New Roman"/>
      <w:b/>
      <w:kern w:val="0"/>
      <w:sz w:val="28"/>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7231</Words>
  <Characters>7513</Characters>
  <Lines>45</Lines>
  <Paragraphs>12</Paragraphs>
  <TotalTime>15</TotalTime>
  <ScaleCrop>false</ScaleCrop>
  <LinksUpToDate>false</LinksUpToDate>
  <CharactersWithSpaces>7953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2021-01-28T06:10:00Z</dcterms:created>
  <dc:creator>危危</dc:creator>
  <cp:lastModifiedBy>熊杰</cp:lastModifiedBy>
  <dcterms:modified xsi:type="dcterms:W3CDTF">2026-05-29T07:06:12Z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F0F074AC48884CAB9A39217C7ABE03ED_13</vt:lpwstr>
  </property>
  <property fmtid="{D5CDD505-2E9C-101B-9397-08002B2CF9AE}" pid="4" name="KSOTemplateDocerSaveRecord">
    <vt:lpwstr>eyJoZGlkIjoiZDhmNzIwOTdhODAyODY5YzA2M2JiMjE5NDRhYmY1MDkiLCJ1c2VySWQiOiIyMzIzNTE4NjEifQ==</vt:lpwstr>
  </property>
</Properties>
</file>