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5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pPr>
        <w:pStyle w:val="15"/>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8"/>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人民路学校(宿舍设备设施)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pPr>
              <w:spacing w:line="290" w:lineRule="exact"/>
              <w:jc w:val="center"/>
              <w:rPr>
                <w:rFonts w:ascii="宋体" w:hAnsi="宋体" w:eastAsia="宋体" w:cs="Times New Roman"/>
                <w:sz w:val="28"/>
                <w:szCs w:val="28"/>
              </w:rPr>
            </w:pPr>
            <w:r>
              <w:rPr>
                <w:rFonts w:hint="eastAsia" w:ascii="宋体" w:hAnsi="宋体" w:eastAsia="宋体" w:cs="Times New Roman"/>
                <w:sz w:val="28"/>
                <w:szCs w:val="28"/>
              </w:rPr>
              <w:t>货物</w:t>
            </w:r>
            <w:r>
              <w:rPr>
                <w:rFonts w:ascii="宋体" w:hAnsi="宋体" w:eastAsia="宋体" w:cs="Times New Roman"/>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pPr>
        <w:tabs>
          <w:tab w:val="left" w:pos="2790"/>
        </w:tabs>
        <w:snapToGrid w:val="0"/>
        <w:spacing w:line="440" w:lineRule="exact"/>
        <w:jc w:val="left"/>
        <w:rPr>
          <w:rFonts w:hint="eastAsia" w:asciiTheme="minorEastAsia" w:hAnsiTheme="minorEastAsia"/>
          <w:sz w:val="30"/>
          <w:szCs w:val="3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8"/>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hint="eastAsia" w:ascii="宋体" w:hAnsi="宋体" w:eastAsia="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tabs>
          <w:tab w:val="left" w:pos="2790"/>
        </w:tabs>
        <w:snapToGrid w:val="0"/>
        <w:jc w:val="center"/>
        <w:rPr>
          <w:rFonts w:hint="eastAsia" w:ascii="黑体" w:hAnsi="黑体" w:eastAsia="黑体" w:cs="Times New Roman"/>
          <w:sz w:val="40"/>
          <w:szCs w:val="4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法律、法规、规章、规范性文件规定的其他情形。</w:t>
            </w:r>
          </w:p>
        </w:tc>
      </w:tr>
    </w:tbl>
    <w:p>
      <w:pPr>
        <w:tabs>
          <w:tab w:val="left" w:pos="2790"/>
        </w:tabs>
        <w:snapToGrid w:val="0"/>
        <w:jc w:val="left"/>
        <w:rPr>
          <w:sz w:val="24"/>
          <w:szCs w:val="24"/>
        </w:rPr>
      </w:pPr>
    </w:p>
    <w:p>
      <w:pPr>
        <w:tabs>
          <w:tab w:val="left" w:pos="2790"/>
        </w:tabs>
        <w:snapToGrid w:val="0"/>
        <w:jc w:val="left"/>
        <w:rPr>
          <w:sz w:val="24"/>
          <w:szCs w:val="24"/>
        </w:rPr>
      </w:pPr>
    </w:p>
    <w:p>
      <w:pPr>
        <w:tabs>
          <w:tab w:val="left" w:pos="2790"/>
        </w:tabs>
        <w:snapToGrid w:val="0"/>
        <w:jc w:val="left"/>
        <w:rPr>
          <w:sz w:val="24"/>
          <w:szCs w:val="24"/>
        </w:rPr>
      </w:pPr>
    </w:p>
    <w:p>
      <w:pPr>
        <w:tabs>
          <w:tab w:val="left" w:pos="2790"/>
        </w:tabs>
        <w:snapToGrid w:val="0"/>
        <w:jc w:val="left"/>
        <w:rPr>
          <w:sz w:val="24"/>
          <w:szCs w:val="24"/>
        </w:rPr>
      </w:pPr>
    </w:p>
    <w:p>
      <w:pPr>
        <w:pStyle w:val="15"/>
        <w:jc w:val="center"/>
        <w:outlineLvl w:val="0"/>
        <w:rPr>
          <w:rFonts w:hint="eastAsia" w:ascii="黑体" w:eastAsia="黑体"/>
          <w:sz w:val="40"/>
          <w:szCs w:val="40"/>
        </w:rPr>
      </w:pPr>
      <w:r>
        <w:rPr>
          <w:rFonts w:hint="eastAsia" w:ascii="黑体" w:hAnsi="黑体" w:eastAsia="黑体"/>
          <w:sz w:val="40"/>
          <w:szCs w:val="40"/>
        </w:rPr>
        <w:t>评标信息</w:t>
      </w:r>
    </w:p>
    <w:tbl>
      <w:tblPr>
        <w:tblStyle w:val="18"/>
        <w:tblW w:w="9224"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3"/>
        <w:gridCol w:w="353"/>
        <w:gridCol w:w="485"/>
        <w:gridCol w:w="1665"/>
        <w:gridCol w:w="787"/>
        <w:gridCol w:w="5768"/>
        <w:gridCol w:w="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83" w:type="dxa"/>
          <w:tblCellSpacing w:w="0" w:type="dxa"/>
          <w:jc w:val="center"/>
        </w:trPr>
        <w:tc>
          <w:tcPr>
            <w:tcW w:w="9141" w:type="dxa"/>
            <w:gridSpan w:val="6"/>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83" w:type="dxa"/>
          <w:tblCellSpacing w:w="0" w:type="dxa"/>
          <w:jc w:val="center"/>
        </w:trPr>
        <w:tc>
          <w:tcPr>
            <w:tcW w:w="9141" w:type="dxa"/>
            <w:gridSpan w:val="6"/>
            <w:shd w:val="clear" w:color="auto" w:fill="auto"/>
            <w:vAlign w:val="center"/>
          </w:tcPr>
          <w:p>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pPr>
              <w:ind w:firstLine="420"/>
            </w:pPr>
          </w:p>
          <w:p>
            <w:pPr>
              <w:ind w:firstLine="420"/>
              <w:rPr>
                <w:szCs w:val="21"/>
              </w:rPr>
            </w:pPr>
            <w:r>
              <w:rPr>
                <w:szCs w:val="21"/>
              </w:rPr>
              <w:t>价格分计算方法：</w:t>
            </w:r>
          </w:p>
          <w:p>
            <w:pPr>
              <w:pStyle w:val="15"/>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15"/>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rPr>
            </w:pPr>
            <w:r>
              <w:rPr>
                <w:rFonts w:hint="eastAsia" w:ascii="宋体" w:hAnsi="宋体" w:cs="宋体"/>
                <w:b/>
                <w:bCs/>
                <w:szCs w:val="21"/>
              </w:rPr>
              <w:t>序号</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rPr>
            </w:pPr>
            <w:r>
              <w:rPr>
                <w:rFonts w:hint="eastAsia" w:ascii="宋体" w:hAnsi="宋体" w:cs="宋体"/>
                <w:b/>
                <w:bCs/>
                <w:szCs w:val="21"/>
              </w:rPr>
              <w:t>评分项</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rPr>
            </w:pPr>
            <w:r>
              <w:rPr>
                <w:rFonts w:hint="eastAsia" w:ascii="宋体" w:hAnsi="宋体" w:cs="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1</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价格</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2</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技术部分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cs="宋体" w:eastAsiaTheme="minorEastAsia"/>
                <w:b/>
                <w:bCs/>
                <w:szCs w:val="21"/>
                <w:lang w:val="en-US" w:eastAsia="zh-CN"/>
              </w:rPr>
            </w:pPr>
            <w:r>
              <w:rPr>
                <w:rFonts w:hint="eastAsia" w:ascii="宋体" w:hAnsi="宋体" w:cs="宋体"/>
                <w:b/>
                <w:bCs/>
                <w:szCs w:val="21"/>
                <w:lang w:val="en-US" w:eastAsia="zh-CN"/>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序号</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评分因素</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权重</w:t>
            </w:r>
            <w:r>
              <w:rPr>
                <w:rFonts w:hint="eastAsia" w:ascii="宋体" w:hAnsi="宋体" w:cs="宋体"/>
                <w:bCs/>
                <w:szCs w:val="21"/>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wordWrap w:val="0"/>
              <w:jc w:val="center"/>
              <w:textAlignment w:val="top"/>
              <w:rPr>
                <w:rFonts w:ascii="宋体" w:hAnsi="宋体" w:cs="宋体"/>
                <w:szCs w:val="21"/>
              </w:rPr>
            </w:pPr>
            <w:r>
              <w:rPr>
                <w:rFonts w:ascii="宋体" w:hAnsi="宋体" w:cs="宋体"/>
                <w:kern w:val="0"/>
                <w:szCs w:val="21"/>
                <w:lang w:bidi="ar"/>
              </w:rPr>
              <w:t>1</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szCs w:val="21"/>
              </w:rPr>
            </w:pPr>
            <w:r>
              <w:rPr>
                <w:rFonts w:hint="eastAsia" w:ascii="宋体" w:hAnsi="宋体" w:cs="宋体"/>
                <w:szCs w:val="21"/>
              </w:rPr>
              <w:t>技术保障措施</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szCs w:val="21"/>
              </w:rPr>
            </w:pPr>
            <w:r>
              <w:rPr>
                <w:rFonts w:ascii="宋体" w:hAnsi="宋体" w:cs="宋体"/>
                <w:szCs w:val="21"/>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ordWrap w:val="0"/>
              <w:rPr>
                <w:rFonts w:ascii="宋体" w:hAnsi="宋体" w:cs="宋体"/>
                <w:b/>
                <w:bCs/>
                <w:szCs w:val="21"/>
              </w:rPr>
            </w:pPr>
            <w:r>
              <w:rPr>
                <w:rFonts w:hint="eastAsia" w:ascii="宋体" w:hAnsi="宋体" w:cs="宋体"/>
                <w:b/>
                <w:bCs/>
                <w:szCs w:val="21"/>
              </w:rPr>
              <w:t>考察内容：</w:t>
            </w:r>
          </w:p>
          <w:p>
            <w:pPr>
              <w:wordWrap w:val="0"/>
              <w:rPr>
                <w:rFonts w:ascii="宋体" w:hAnsi="宋体" w:cs="宋体"/>
                <w:szCs w:val="21"/>
              </w:rPr>
            </w:pPr>
            <w:r>
              <w:rPr>
                <w:rFonts w:hint="eastAsia" w:ascii="宋体" w:hAnsi="宋体" w:cs="宋体"/>
                <w:szCs w:val="21"/>
              </w:rPr>
              <w:t>投标人提供项目方案中包括：</w:t>
            </w:r>
          </w:p>
          <w:p>
            <w:pPr>
              <w:wordWrap w:val="0"/>
              <w:rPr>
                <w:rFonts w:ascii="宋体" w:hAnsi="宋体" w:cs="宋体"/>
                <w:szCs w:val="21"/>
              </w:rPr>
            </w:pPr>
            <w:r>
              <w:rPr>
                <w:rFonts w:hint="eastAsia" w:ascii="宋体" w:hAnsi="宋体" w:cs="宋体"/>
                <w:szCs w:val="21"/>
              </w:rPr>
              <w:t>1、工作措施；</w:t>
            </w:r>
          </w:p>
          <w:p>
            <w:pPr>
              <w:wordWrap w:val="0"/>
              <w:rPr>
                <w:rFonts w:ascii="宋体" w:hAnsi="宋体" w:cs="宋体"/>
                <w:szCs w:val="21"/>
              </w:rPr>
            </w:pPr>
            <w:r>
              <w:rPr>
                <w:rFonts w:hint="eastAsia" w:ascii="宋体" w:hAnsi="宋体" w:cs="宋体"/>
                <w:szCs w:val="21"/>
              </w:rPr>
              <w:t>2、工作方法；</w:t>
            </w:r>
          </w:p>
          <w:p>
            <w:pPr>
              <w:wordWrap w:val="0"/>
              <w:rPr>
                <w:rFonts w:ascii="宋体" w:hAnsi="宋体" w:cs="宋体"/>
                <w:szCs w:val="21"/>
              </w:rPr>
            </w:pPr>
            <w:r>
              <w:rPr>
                <w:rFonts w:hint="eastAsia" w:ascii="宋体" w:hAnsi="宋体" w:cs="宋体"/>
                <w:szCs w:val="21"/>
              </w:rPr>
              <w:t>3、工作手段；</w:t>
            </w:r>
            <w:r>
              <w:rPr>
                <w:rFonts w:hint="eastAsia" w:ascii="宋体" w:hAnsi="宋体" w:cs="宋体"/>
                <w:szCs w:val="21"/>
              </w:rPr>
              <w:tab/>
            </w:r>
          </w:p>
          <w:p>
            <w:pPr>
              <w:wordWrap w:val="0"/>
              <w:rPr>
                <w:rFonts w:ascii="宋体" w:hAnsi="宋体" w:cs="宋体"/>
                <w:szCs w:val="21"/>
              </w:rPr>
            </w:pPr>
            <w:r>
              <w:rPr>
                <w:rFonts w:hint="eastAsia" w:ascii="宋体" w:hAnsi="宋体" w:cs="宋体"/>
                <w:szCs w:val="21"/>
              </w:rPr>
              <w:t>4、工作流程等方面服务内容。</w:t>
            </w:r>
          </w:p>
          <w:p>
            <w:pPr>
              <w:wordWrap w:val="0"/>
              <w:rPr>
                <w:rFonts w:ascii="宋体" w:hAnsi="宋体" w:cs="宋体"/>
                <w:b/>
                <w:bCs/>
                <w:szCs w:val="21"/>
              </w:rPr>
            </w:pPr>
            <w:r>
              <w:rPr>
                <w:rFonts w:hint="eastAsia" w:ascii="宋体" w:hAnsi="宋体" w:cs="宋体"/>
                <w:b/>
                <w:bCs/>
                <w:szCs w:val="21"/>
              </w:rPr>
              <w:t>评审标准：</w:t>
            </w:r>
          </w:p>
          <w:p>
            <w:pPr>
              <w:wordWrap w:val="0"/>
              <w:rPr>
                <w:rFonts w:ascii="宋体" w:hAnsi="宋体" w:cs="宋体"/>
                <w:szCs w:val="21"/>
              </w:rPr>
            </w:pPr>
            <w:r>
              <w:rPr>
                <w:rFonts w:hint="eastAsia" w:ascii="宋体" w:hAnsi="宋体" w:cs="宋体"/>
                <w:szCs w:val="21"/>
              </w:rPr>
              <w:t>评审委</w:t>
            </w:r>
            <w:r>
              <w:rPr>
                <w:rFonts w:ascii="宋体" w:hAnsi="宋体" w:cs="宋体"/>
                <w:szCs w:val="21"/>
              </w:rPr>
              <w:t>员会根据招标文件的需求和投</w:t>
            </w:r>
            <w:r>
              <w:rPr>
                <w:rFonts w:hint="eastAsia" w:ascii="宋体" w:hAnsi="宋体" w:cs="宋体"/>
                <w:szCs w:val="21"/>
              </w:rPr>
              <w:t>标文件的响应情况，进行评价及分档评分：</w:t>
            </w:r>
          </w:p>
          <w:p>
            <w:pPr>
              <w:wordWrap w:val="0"/>
              <w:rPr>
                <w:rFonts w:ascii="宋体" w:hAnsi="宋体" w:cs="宋体"/>
                <w:szCs w:val="21"/>
              </w:rPr>
            </w:pPr>
            <w:r>
              <w:rPr>
                <w:rFonts w:ascii="宋体" w:hAnsi="宋体" w:cs="宋体"/>
                <w:szCs w:val="21"/>
              </w:rPr>
              <w:t>每满足以上任意一点得20分，未满足不得分，本小项最高得80分。</w:t>
            </w:r>
          </w:p>
          <w:p>
            <w:pPr>
              <w:wordWrap w:val="0"/>
              <w:rPr>
                <w:rFonts w:ascii="宋体" w:hAnsi="宋体" w:cs="宋体"/>
                <w:szCs w:val="21"/>
              </w:rPr>
            </w:pPr>
            <w:r>
              <w:rPr>
                <w:rFonts w:ascii="宋体" w:hAnsi="宋体" w:cs="宋体"/>
                <w:szCs w:val="21"/>
              </w:rPr>
              <w:t>在此基础上，专家根据各供应商的具体响应内容按照量化的评审因素指标进一步评审：</w:t>
            </w:r>
          </w:p>
          <w:p>
            <w:pPr>
              <w:wordWrap w:val="0"/>
              <w:rPr>
                <w:rFonts w:ascii="宋体" w:hAnsi="宋体" w:cs="宋体"/>
                <w:szCs w:val="21"/>
              </w:rPr>
            </w:pPr>
            <w:r>
              <w:rPr>
                <w:rFonts w:ascii="宋体" w:hAnsi="宋体" w:cs="宋体"/>
                <w:szCs w:val="21"/>
              </w:rPr>
              <w:t>评审为优（项目方案完善，内容和安排考虑周到，针对性强）的加20分；</w:t>
            </w:r>
          </w:p>
          <w:p>
            <w:pPr>
              <w:wordWrap w:val="0"/>
              <w:rPr>
                <w:rFonts w:ascii="宋体" w:hAnsi="宋体" w:cs="宋体"/>
                <w:szCs w:val="21"/>
              </w:rPr>
            </w:pPr>
            <w:r>
              <w:rPr>
                <w:rFonts w:ascii="宋体" w:hAnsi="宋体" w:cs="宋体"/>
                <w:szCs w:val="21"/>
              </w:rPr>
              <w:t>评价为良（项目方案较完善，内容和安排考虑较周到，针对性教强）的加15分；</w:t>
            </w:r>
          </w:p>
          <w:p>
            <w:pPr>
              <w:wordWrap w:val="0"/>
              <w:rPr>
                <w:rFonts w:ascii="宋体" w:hAnsi="宋体" w:cs="宋体"/>
                <w:szCs w:val="21"/>
              </w:rPr>
            </w:pPr>
            <w:r>
              <w:rPr>
                <w:rFonts w:ascii="宋体" w:hAnsi="宋体" w:cs="宋体"/>
                <w:szCs w:val="21"/>
              </w:rPr>
              <w:t>评价为中（项目方案一般，内容和安排考虑基本周到，针对性一般）的加10分；</w:t>
            </w:r>
          </w:p>
          <w:p>
            <w:pPr>
              <w:wordWrap w:val="0"/>
              <w:rPr>
                <w:rFonts w:asciiTheme="minorEastAsia" w:hAnsiTheme="minorEastAsia" w:eastAsiaTheme="minorEastAsia" w:cstheme="minorEastAsia"/>
                <w:sz w:val="21"/>
                <w:szCs w:val="21"/>
              </w:rPr>
            </w:pPr>
            <w:r>
              <w:rPr>
                <w:rFonts w:ascii="宋体" w:hAnsi="宋体" w:cs="宋体"/>
                <w:szCs w:val="21"/>
              </w:rPr>
              <w:t>评价为差（项目方案不完善，内容和安排考虑欠周到，没有响应用户需求或未提供的）的不</w:t>
            </w:r>
            <w:r>
              <w:rPr>
                <w:rFonts w:hint="eastAsia" w:ascii="宋体" w:hAnsi="宋体" w:cs="宋体"/>
                <w:szCs w:val="21"/>
              </w:rPr>
              <w:t>加</w:t>
            </w:r>
            <w:r>
              <w:rPr>
                <w:rFonts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wordWrap w:val="0"/>
              <w:jc w:val="center"/>
              <w:textAlignment w:val="top"/>
              <w:rPr>
                <w:rFonts w:ascii="宋体" w:hAnsi="宋体" w:cs="宋体"/>
                <w:szCs w:val="21"/>
              </w:rPr>
            </w:pPr>
            <w:r>
              <w:rPr>
                <w:rFonts w:hint="eastAsia" w:ascii="宋体" w:hAnsi="宋体" w:cs="宋体"/>
                <w:kern w:val="0"/>
                <w:szCs w:val="21"/>
                <w:lang w:val="en-US" w:eastAsia="zh-CN" w:bidi="ar"/>
              </w:rPr>
              <w:t>2</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ordWrap w:val="0"/>
              <w:spacing w:line="360" w:lineRule="auto"/>
              <w:jc w:val="center"/>
              <w:rPr>
                <w:rFonts w:ascii="宋体" w:hAnsi="宋体" w:cs="宋体"/>
                <w:szCs w:val="21"/>
              </w:rPr>
            </w:pPr>
            <w:r>
              <w:rPr>
                <w:rFonts w:hint="eastAsia" w:ascii="宋体" w:hAnsi="宋体" w:cs="宋体"/>
                <w:szCs w:val="21"/>
              </w:rPr>
              <w:t>项目实施保障措施</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ordWrap w:val="0"/>
              <w:spacing w:line="360" w:lineRule="auto"/>
              <w:jc w:val="center"/>
              <w:rPr>
                <w:rFonts w:ascii="宋体" w:hAnsi="宋体" w:cs="宋体"/>
                <w:szCs w:val="21"/>
              </w:rPr>
            </w:pPr>
            <w:r>
              <w:rPr>
                <w:rFonts w:ascii="宋体" w:hAnsi="宋体" w:cs="宋体"/>
                <w:szCs w:val="21"/>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jc w:val="left"/>
              <w:rPr>
                <w:rFonts w:ascii="宋体" w:hAnsi="宋体" w:cs="宋体"/>
                <w:b/>
                <w:bCs/>
                <w:szCs w:val="21"/>
              </w:rPr>
            </w:pPr>
            <w:r>
              <w:rPr>
                <w:rFonts w:hint="eastAsia" w:ascii="宋体" w:hAnsi="宋体" w:cs="宋体"/>
                <w:b/>
                <w:bCs/>
                <w:szCs w:val="21"/>
              </w:rPr>
              <w:t>考察内容：</w:t>
            </w:r>
          </w:p>
          <w:p>
            <w:pPr>
              <w:jc w:val="left"/>
              <w:rPr>
                <w:rFonts w:ascii="宋体" w:hAnsi="宋体" w:cs="宋体"/>
                <w:szCs w:val="21"/>
              </w:rPr>
            </w:pPr>
            <w:r>
              <w:rPr>
                <w:rFonts w:hint="eastAsia" w:ascii="宋体" w:hAnsi="宋体" w:cs="宋体"/>
                <w:szCs w:val="21"/>
              </w:rPr>
              <w:t>投标人提供项目实施保障措施方案中包括：</w:t>
            </w:r>
          </w:p>
          <w:p>
            <w:pPr>
              <w:jc w:val="left"/>
              <w:rPr>
                <w:rFonts w:ascii="宋体" w:hAnsi="宋体" w:cs="宋体"/>
                <w:szCs w:val="21"/>
              </w:rPr>
            </w:pPr>
            <w:r>
              <w:rPr>
                <w:rFonts w:hint="eastAsia" w:ascii="宋体" w:hAnsi="宋体" w:cs="宋体"/>
                <w:szCs w:val="21"/>
              </w:rPr>
              <w:t>（1）施工组织架构；</w:t>
            </w:r>
          </w:p>
          <w:p>
            <w:pPr>
              <w:jc w:val="left"/>
              <w:rPr>
                <w:rFonts w:ascii="宋体" w:hAnsi="宋体" w:cs="宋体"/>
                <w:szCs w:val="21"/>
              </w:rPr>
            </w:pPr>
            <w:r>
              <w:rPr>
                <w:rFonts w:hint="eastAsia" w:ascii="宋体" w:hAnsi="宋体" w:cs="宋体"/>
                <w:szCs w:val="21"/>
              </w:rPr>
              <w:t>（2）施工方案；</w:t>
            </w:r>
          </w:p>
          <w:p>
            <w:pPr>
              <w:rPr>
                <w:rFonts w:ascii="宋体" w:hAnsi="宋体" w:cs="宋体"/>
                <w:szCs w:val="21"/>
              </w:rPr>
            </w:pPr>
            <w:r>
              <w:rPr>
                <w:rFonts w:hint="eastAsia" w:ascii="宋体" w:hAnsi="宋体" w:cs="宋体"/>
                <w:szCs w:val="21"/>
              </w:rPr>
              <w:t>（3）进度计划；</w:t>
            </w:r>
          </w:p>
          <w:p>
            <w:pPr>
              <w:rPr>
                <w:rFonts w:ascii="宋体" w:hAnsi="宋体" w:cs="宋体"/>
                <w:szCs w:val="21"/>
              </w:rPr>
            </w:pPr>
            <w:r>
              <w:rPr>
                <w:rFonts w:hint="eastAsia" w:ascii="宋体" w:hAnsi="宋体" w:cs="宋体"/>
                <w:szCs w:val="21"/>
              </w:rPr>
              <w:t>（4）潜在安全隐患及安全保障措施。</w:t>
            </w:r>
          </w:p>
          <w:p>
            <w:pPr>
              <w:rPr>
                <w:rFonts w:ascii="宋体" w:hAnsi="宋体" w:cs="宋体"/>
                <w:b/>
                <w:bCs/>
                <w:szCs w:val="21"/>
              </w:rPr>
            </w:pPr>
            <w:r>
              <w:rPr>
                <w:rFonts w:ascii="宋体" w:hAnsi="宋体" w:cs="宋体"/>
                <w:b/>
                <w:bCs/>
                <w:szCs w:val="21"/>
              </w:rPr>
              <w:t>评审标准：</w:t>
            </w:r>
          </w:p>
          <w:p>
            <w:pPr>
              <w:rPr>
                <w:rFonts w:ascii="宋体" w:hAnsi="宋体" w:cs="宋体"/>
                <w:szCs w:val="21"/>
              </w:rPr>
            </w:pPr>
            <w:r>
              <w:rPr>
                <w:rFonts w:hint="eastAsia" w:ascii="宋体" w:hAnsi="宋体" w:cs="宋体"/>
                <w:szCs w:val="21"/>
              </w:rPr>
              <w:t>评审委员会根据招标文件的需求和投标文件的响应情况，进行评价及分档评分：</w:t>
            </w:r>
          </w:p>
          <w:p>
            <w:pPr>
              <w:rPr>
                <w:rFonts w:ascii="宋体" w:hAnsi="宋体" w:cs="宋体"/>
                <w:szCs w:val="21"/>
              </w:rPr>
            </w:pPr>
            <w:r>
              <w:rPr>
                <w:rFonts w:hint="eastAsia" w:ascii="宋体" w:hAnsi="宋体" w:cs="宋体"/>
                <w:szCs w:val="21"/>
              </w:rPr>
              <w:t>每满足以上任意一点得20分，未满足不得分，本小项最高得80分。</w:t>
            </w:r>
          </w:p>
          <w:p>
            <w:pPr>
              <w:rPr>
                <w:rFonts w:ascii="宋体" w:hAnsi="宋体" w:cs="宋体"/>
                <w:szCs w:val="21"/>
              </w:rPr>
            </w:pPr>
            <w:r>
              <w:rPr>
                <w:rFonts w:hint="eastAsia" w:ascii="宋体" w:hAnsi="宋体" w:cs="宋体"/>
                <w:szCs w:val="21"/>
              </w:rPr>
              <w:t>在此基础上，专家根据各供应商的具体响应内容按照量化的评审因素指标进一步评审：</w:t>
            </w:r>
          </w:p>
          <w:p>
            <w:pPr>
              <w:rPr>
                <w:rFonts w:ascii="宋体" w:hAnsi="宋体" w:cs="宋体"/>
                <w:szCs w:val="21"/>
              </w:rPr>
            </w:pPr>
            <w:r>
              <w:rPr>
                <w:rFonts w:hint="eastAsia" w:ascii="宋体" w:hAnsi="宋体" w:cs="宋体"/>
                <w:szCs w:val="21"/>
              </w:rPr>
              <w:t>评审为优（施工组织方案契合项目需求、安全措施具体、内容具体详细、可操作性强）的加 20分；</w:t>
            </w:r>
          </w:p>
          <w:p>
            <w:pPr>
              <w:rPr>
                <w:rFonts w:ascii="宋体" w:hAnsi="宋体" w:cs="宋体"/>
                <w:szCs w:val="21"/>
              </w:rPr>
            </w:pPr>
            <w:r>
              <w:rPr>
                <w:rFonts w:hint="eastAsia" w:ascii="宋体" w:hAnsi="宋体" w:cs="宋体"/>
                <w:szCs w:val="21"/>
              </w:rPr>
              <w:t>评价为良（施工组织方案较契合项目需求、安全措施较具体、内容较具体详细、可操作性较强）的加15分；</w:t>
            </w:r>
          </w:p>
          <w:p>
            <w:pPr>
              <w:rPr>
                <w:rFonts w:ascii="宋体" w:hAnsi="宋体" w:cs="宋体"/>
                <w:szCs w:val="21"/>
              </w:rPr>
            </w:pPr>
            <w:r>
              <w:rPr>
                <w:rFonts w:hint="eastAsia" w:ascii="宋体" w:hAnsi="宋体" w:cs="宋体"/>
                <w:szCs w:val="21"/>
              </w:rPr>
              <w:t>评价为中（施工组织方案基本满足项目需求、有相应安全措施举措、内容不全面、可操作性一般）的加 10分；</w:t>
            </w:r>
          </w:p>
          <w:p>
            <w:pPr>
              <w:rPr>
                <w:rFonts w:asciiTheme="minorEastAsia" w:hAnsiTheme="minorEastAsia" w:eastAsiaTheme="minorEastAsia" w:cstheme="minorEastAsia"/>
                <w:szCs w:val="21"/>
              </w:rPr>
            </w:pPr>
            <w:r>
              <w:rPr>
                <w:rFonts w:hint="eastAsia" w:ascii="宋体" w:hAnsi="宋体" w:cs="宋体"/>
                <w:szCs w:val="21"/>
              </w:rPr>
              <w:t>评价为差（施工组织方案不满足项目需求、缺乏相应安全措施举措、内容不全面、缺乏可操作性或没有响应用户需求或未提供的）的不加分。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wordWrap w:val="0"/>
              <w:jc w:val="center"/>
              <w:textAlignment w:val="top"/>
              <w:rPr>
                <w:rFonts w:ascii="宋体" w:hAnsi="宋体"/>
                <w:szCs w:val="21"/>
              </w:rPr>
            </w:pPr>
            <w:r>
              <w:rPr>
                <w:rFonts w:hint="eastAsia" w:ascii="宋体" w:hAnsi="宋体" w:cs="宋体"/>
                <w:kern w:val="0"/>
                <w:szCs w:val="21"/>
                <w:lang w:val="en-US" w:eastAsia="zh-CN" w:bidi="ar"/>
              </w:rPr>
              <w:t>3</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val="0"/>
              <w:spacing w:line="240" w:lineRule="exact"/>
              <w:jc w:val="center"/>
              <w:rPr>
                <w:rFonts w:ascii="宋体" w:hAnsi="宋体" w:cs="宋体"/>
                <w:kern w:val="0"/>
                <w:szCs w:val="21"/>
              </w:rPr>
            </w:pPr>
            <w:r>
              <w:rPr>
                <w:rFonts w:hint="eastAsia" w:ascii="宋体" w:hAnsi="宋体" w:eastAsia="宋体" w:cs="宋体"/>
                <w:sz w:val="21"/>
                <w:szCs w:val="21"/>
                <w:lang w:eastAsia="zh-CN"/>
              </w:rPr>
              <w:t>一般参数技术规格偏离情况</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val="0"/>
              <w:spacing w:line="240" w:lineRule="exact"/>
              <w:jc w:val="center"/>
              <w:rPr>
                <w:rFonts w:ascii="宋体" w:hAnsi="宋体" w:cs="宋体"/>
                <w:szCs w:val="21"/>
              </w:rPr>
            </w:pPr>
            <w:r>
              <w:rPr>
                <w:rFonts w:hint="eastAsia" w:ascii="宋体" w:hAnsi="宋体" w:eastAsia="宋体" w:cs="宋体"/>
                <w:kern w:val="2"/>
                <w:sz w:val="21"/>
                <w:szCs w:val="21"/>
                <w:lang w:eastAsia="zh-CN"/>
              </w:rPr>
              <w:t>1</w:t>
            </w:r>
            <w:r>
              <w:rPr>
                <w:rFonts w:hint="eastAsia" w:ascii="宋体" w:hAnsi="宋体" w:eastAsia="宋体" w:cs="宋体"/>
                <w:kern w:val="2"/>
                <w:sz w:val="21"/>
                <w:szCs w:val="21"/>
                <w:lang w:val="en-US" w:eastAsia="zh-CN"/>
              </w:rPr>
              <w:t>6</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val="0"/>
              <w:spacing w:line="240" w:lineRule="auto"/>
              <w:jc w:val="lef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考察内容：</w:t>
            </w:r>
          </w:p>
          <w:p>
            <w:pPr>
              <w:widowControl w:val="0"/>
              <w:spacing w:line="240" w:lineRule="auto"/>
              <w:ind w:firstLine="420" w:firstLineChars="20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评审委员会根据《技术规格偏离表》（以下简称“偏离表”）响应情况进行打分，全部满足的得100分，一般参数每负偏离一项扣</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分扣完为止。</w:t>
            </w:r>
          </w:p>
          <w:p>
            <w:pPr>
              <w:widowControl w:val="0"/>
              <w:spacing w:line="240" w:lineRule="auto"/>
              <w:jc w:val="left"/>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证明文件：</w:t>
            </w:r>
          </w:p>
          <w:p>
            <w:pPr>
              <w:widowControl w:val="0"/>
              <w:spacing w:line="240" w:lineRule="auto"/>
              <w:ind w:firstLine="420" w:firstLineChars="200"/>
              <w:jc w:val="left"/>
              <w:rPr>
                <w:rFonts w:ascii="宋体" w:hAnsi="宋体" w:cs="宋体"/>
                <w:szCs w:val="21"/>
              </w:rPr>
            </w:pPr>
            <w:r>
              <w:rPr>
                <w:rFonts w:hint="eastAsia" w:ascii="宋体" w:hAnsi="宋体" w:eastAsia="宋体" w:cs="宋体"/>
                <w:kern w:val="2"/>
                <w:sz w:val="21"/>
                <w:szCs w:val="21"/>
                <w:lang w:eastAsia="zh-CN"/>
              </w:rPr>
              <w:t>偏离表应如实对应填写所投产品的具体参数。投标人的“技术规格响应情况”“技术规格偏离情况”等与客观实际保持一致，响应不实且情节严重的，经查实，将依法记入供应商诚信档案或受到行政处罚。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wordWrap w:val="0"/>
              <w:jc w:val="center"/>
              <w:textAlignment w:val="top"/>
              <w:rPr>
                <w:rFonts w:ascii="宋体" w:hAnsi="宋体" w:eastAsiaTheme="minorEastAsia"/>
                <w:szCs w:val="21"/>
              </w:rPr>
            </w:pPr>
            <w:r>
              <w:rPr>
                <w:rFonts w:hint="eastAsia" w:ascii="宋体" w:hAnsi="宋体" w:cs="宋体"/>
                <w:kern w:val="0"/>
                <w:szCs w:val="21"/>
                <w:lang w:val="en-US" w:eastAsia="zh-CN" w:bidi="ar"/>
              </w:rPr>
              <w:t>4</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val="0"/>
              <w:spacing w:line="240" w:lineRule="exact"/>
              <w:jc w:val="center"/>
              <w:rPr>
                <w:rFonts w:ascii="宋体" w:hAnsi="宋体" w:cs="宋体"/>
                <w:kern w:val="0"/>
                <w:szCs w:val="21"/>
              </w:rPr>
            </w:pPr>
            <w:r>
              <w:rPr>
                <w:rFonts w:hint="eastAsia" w:ascii="宋体" w:hAnsi="宋体" w:eastAsia="宋体" w:cs="宋体"/>
                <w:sz w:val="21"/>
                <w:szCs w:val="21"/>
                <w:lang w:eastAsia="zh-CN"/>
              </w:rPr>
              <w:t>重点参数技术规格偏离情况</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val="0"/>
              <w:spacing w:line="240" w:lineRule="exact"/>
              <w:jc w:val="center"/>
              <w:rPr>
                <w:rFonts w:ascii="宋体" w:hAnsi="宋体" w:cs="宋体" w:eastAsiaTheme="minorEastAsia"/>
                <w:szCs w:val="21"/>
              </w:rPr>
            </w:pPr>
            <w:r>
              <w:rPr>
                <w:rFonts w:hint="eastAsia" w:ascii="宋体" w:hAnsi="宋体" w:eastAsia="宋体" w:cs="宋体"/>
                <w:kern w:val="2"/>
                <w:sz w:val="21"/>
                <w:szCs w:val="21"/>
                <w:lang w:val="en-US" w:eastAsia="zh-CN"/>
              </w:rPr>
              <w:t>36</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val="0"/>
              <w:kinsoku/>
              <w:overflowPunct/>
              <w:topLinePunct w:val="0"/>
              <w:autoSpaceDE/>
              <w:autoSpaceDN/>
              <w:bidi w:val="0"/>
              <w:adjustRightInd/>
              <w:snapToGrid/>
              <w:spacing w:line="360" w:lineRule="exact"/>
              <w:jc w:val="left"/>
              <w:textAlignment w:val="auto"/>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考察内容：</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left"/>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评审委员会根据《技术规格偏离表》（以下简称“偏离表”）响应情况进行打分，全部满足的得100分，重点技术参数▲项每负偏离一项扣1</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eastAsia="zh-CN"/>
              </w:rPr>
              <w:t>分。扣完为止。</w:t>
            </w:r>
          </w:p>
          <w:p>
            <w:pPr>
              <w:keepNext w:val="0"/>
              <w:keepLines w:val="0"/>
              <w:pageBreakBefore w:val="0"/>
              <w:widowControl w:val="0"/>
              <w:kinsoku/>
              <w:overflowPunct/>
              <w:topLinePunct w:val="0"/>
              <w:autoSpaceDE/>
              <w:autoSpaceDN/>
              <w:bidi w:val="0"/>
              <w:adjustRightInd/>
              <w:snapToGrid/>
              <w:spacing w:line="360" w:lineRule="exact"/>
              <w:jc w:val="left"/>
              <w:textAlignment w:val="auto"/>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证明文件：</w:t>
            </w:r>
          </w:p>
          <w:p>
            <w:pPr>
              <w:widowControl w:val="0"/>
              <w:spacing w:line="240" w:lineRule="auto"/>
              <w:ind w:firstLine="420" w:firstLineChars="200"/>
              <w:jc w:val="left"/>
              <w:rPr>
                <w:rFonts w:ascii="宋体" w:hAnsi="宋体" w:cs="宋体"/>
                <w:szCs w:val="21"/>
              </w:rPr>
            </w:pPr>
            <w:r>
              <w:rPr>
                <w:rFonts w:hint="eastAsia" w:ascii="宋体" w:hAnsi="宋体" w:eastAsia="宋体" w:cs="宋体"/>
                <w:kern w:val="2"/>
                <w:sz w:val="21"/>
                <w:szCs w:val="21"/>
                <w:lang w:eastAsia="zh-CN"/>
              </w:rPr>
              <w:t>偏离表应如实对应填写所投产品的具体参数。如要求提供“厂家网站截图/说明书/厂家出具的参数文件/检验报告”等证明资料的，需按要求提供相关证明资料；提供的证明资料与所填写内容不一致的，以证明资料为准。证明材料不能满足招标要求的，该项按负偏离处理。投标人的“技术规格响应情况”“技术规格偏离情况”等与客观实际保持一致，响应不实且情节严重的，经查实，将依法记入供应商诚信档案或受到行政处罚。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3</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Theme="minorEastAsia" w:hAnsiTheme="minorEastAsia"/>
                <w:b/>
                <w:bCs/>
                <w:szCs w:val="21"/>
              </w:rPr>
              <w:t>商务</w:t>
            </w:r>
            <w:r>
              <w:rPr>
                <w:rFonts w:hint="eastAsia" w:ascii="宋体" w:hAnsi="宋体" w:cs="宋体"/>
                <w:b/>
                <w:bCs/>
                <w:szCs w:val="21"/>
              </w:rPr>
              <w:t>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序号</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评分因素</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权重</w:t>
            </w:r>
            <w:r>
              <w:rPr>
                <w:rFonts w:hint="eastAsia" w:ascii="宋体" w:hAnsi="宋体" w:cs="宋体"/>
                <w:bCs/>
                <w:szCs w:val="21"/>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ascii="宋体" w:hAnsi="宋体" w:cs="宋体"/>
                <w:szCs w:val="21"/>
              </w:rPr>
            </w:pPr>
            <w:r>
              <w:rPr>
                <w:rFonts w:hint="eastAsia" w:ascii="宋体" w:hAnsi="宋体" w:cs="宋体"/>
                <w:sz w:val="21"/>
                <w:szCs w:val="21"/>
                <w:highlight w:val="none"/>
                <w:lang w:val="en-US" w:eastAsia="zh-CN"/>
              </w:rPr>
              <w:t>1</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szCs w:val="21"/>
              </w:rPr>
            </w:pPr>
            <w:r>
              <w:rPr>
                <w:rFonts w:hint="eastAsia" w:ascii="宋体" w:hAnsi="宋体" w:cs="宋体"/>
                <w:szCs w:val="21"/>
              </w:rPr>
              <w:t>免费保修期内售后服务条款偏离情况</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szCs w:val="21"/>
              </w:rPr>
            </w:pPr>
            <w:r>
              <w:rPr>
                <w:rFonts w:hint="eastAsia" w:ascii="宋体" w:hAnsi="宋体" w:cs="宋体"/>
                <w:szCs w:val="21"/>
                <w:lang w:val="en-US" w:eastAsia="zh-CN"/>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rPr>
                <w:rFonts w:ascii="宋体" w:hAnsi="宋体" w:cs="宋体"/>
                <w:b/>
                <w:bCs/>
                <w:szCs w:val="21"/>
              </w:rPr>
            </w:pPr>
            <w:r>
              <w:rPr>
                <w:rFonts w:hint="eastAsia" w:ascii="宋体" w:hAnsi="宋体" w:cs="宋体"/>
                <w:b/>
                <w:bCs/>
                <w:szCs w:val="21"/>
              </w:rPr>
              <w:t>考察内容：</w:t>
            </w:r>
          </w:p>
          <w:p>
            <w:pPr>
              <w:rPr>
                <w:rFonts w:ascii="宋体" w:hAnsi="宋体" w:cs="宋体" w:eastAsiaTheme="minorEastAsia"/>
                <w:szCs w:val="21"/>
              </w:rPr>
            </w:pPr>
            <w:r>
              <w:rPr>
                <w:rFonts w:hint="eastAsia"/>
                <w:szCs w:val="21"/>
              </w:rPr>
              <w:t>投标人应如实填写</w:t>
            </w:r>
            <w:r>
              <w:rPr>
                <w:rFonts w:hint="eastAsia" w:ascii="宋体" w:hAnsi="宋体" w:cs="宋体"/>
                <w:szCs w:val="21"/>
              </w:rPr>
              <w:t>商务要求偏离表（免费保修期内售后服务条款偏离情况），评审委员会根据响应情况进行打分，全部满足要求的得100分，实质性条款除外，每负偏离一项扣</w:t>
            </w:r>
            <w:r>
              <w:rPr>
                <w:rFonts w:hint="eastAsia" w:ascii="宋体" w:hAnsi="宋体" w:cs="宋体"/>
                <w:szCs w:val="21"/>
                <w:lang w:val="en-US" w:eastAsia="zh-CN"/>
              </w:rPr>
              <w:t>35</w:t>
            </w:r>
            <w:r>
              <w:rPr>
                <w:rFonts w:hint="eastAsia" w:ascii="宋体" w:hAnsi="宋体" w:cs="宋体"/>
                <w:szCs w:val="21"/>
              </w:rPr>
              <w:t>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ascii="宋体" w:hAnsi="宋体" w:cs="宋体"/>
                <w:szCs w:val="21"/>
              </w:rPr>
            </w:pPr>
            <w:r>
              <w:rPr>
                <w:rFonts w:hint="eastAsia" w:ascii="宋体" w:hAnsi="宋体" w:cs="宋体"/>
                <w:sz w:val="21"/>
                <w:szCs w:val="21"/>
                <w:highlight w:val="none"/>
                <w:lang w:val="en-US" w:eastAsia="zh-CN"/>
              </w:rPr>
              <w:t>2</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szCs w:val="21"/>
              </w:rPr>
            </w:pPr>
            <w:r>
              <w:rPr>
                <w:rFonts w:hint="eastAsia" w:ascii="宋体" w:hAnsi="宋体" w:cs="宋体"/>
                <w:szCs w:val="21"/>
              </w:rPr>
              <w:t>免费保修期外售后服务条款偏离情况</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szCs w:val="21"/>
              </w:rPr>
            </w:pPr>
            <w:r>
              <w:rPr>
                <w:rFonts w:hint="eastAsia" w:ascii="宋体" w:hAnsi="宋体" w:cs="宋体"/>
                <w:szCs w:val="21"/>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rPr>
                <w:rFonts w:ascii="宋体" w:hAnsi="宋体" w:cs="宋体"/>
                <w:b/>
                <w:bCs/>
                <w:szCs w:val="21"/>
              </w:rPr>
            </w:pPr>
            <w:r>
              <w:rPr>
                <w:rFonts w:hint="eastAsia" w:ascii="宋体" w:hAnsi="宋体" w:cs="宋体"/>
                <w:b/>
                <w:bCs/>
                <w:szCs w:val="21"/>
              </w:rPr>
              <w:t>考察内容：</w:t>
            </w:r>
          </w:p>
          <w:p>
            <w:pPr>
              <w:rPr>
                <w:szCs w:val="20"/>
              </w:rPr>
            </w:pPr>
            <w:r>
              <w:rPr>
                <w:rFonts w:hint="eastAsia" w:ascii="宋体" w:hAnsi="宋体" w:cs="宋体"/>
                <w:szCs w:val="21"/>
              </w:rPr>
              <w:t>投标人应如实填写商务要求偏离表（免费保修期外售后服务条款偏离情况），评审委员会根据响应情况进行打分，全部满足要求的得100分</w:t>
            </w:r>
            <w:r>
              <w:rPr>
                <w:rFonts w:hint="eastAsia" w:ascii="宋体" w:hAnsi="宋体" w:cs="宋体"/>
                <w:szCs w:val="21"/>
                <w:lang w:eastAsia="zh-CN"/>
              </w:rPr>
              <w:t>，</w:t>
            </w:r>
            <w:r>
              <w:rPr>
                <w:rFonts w:hint="eastAsia" w:ascii="宋体" w:hAnsi="宋体" w:cs="宋体"/>
                <w:szCs w:val="21"/>
              </w:rPr>
              <w:t>每负偏离一项扣</w:t>
            </w:r>
            <w:r>
              <w:rPr>
                <w:rFonts w:hint="eastAsia" w:ascii="宋体" w:hAnsi="宋体" w:cs="宋体"/>
                <w:szCs w:val="21"/>
                <w:lang w:val="en-US" w:eastAsia="zh-CN"/>
              </w:rPr>
              <w:t>50</w:t>
            </w:r>
            <w:r>
              <w:rPr>
                <w:rFonts w:hint="eastAsia" w:ascii="宋体" w:hAnsi="宋体" w:cs="宋体"/>
                <w:szCs w:val="21"/>
              </w:rPr>
              <w:t>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240" w:lineRule="auto"/>
              <w:ind w:left="0" w:leftChars="0" w:right="0" w:rightChars="0" w:firstLine="0" w:firstLineChars="0"/>
              <w:jc w:val="center"/>
              <w:rPr>
                <w:rFonts w:ascii="宋体" w:hAnsi="宋体" w:cs="宋体"/>
                <w:szCs w:val="21"/>
              </w:rPr>
            </w:pPr>
            <w:r>
              <w:rPr>
                <w:rFonts w:hint="eastAsia" w:ascii="宋体" w:hAnsi="宋体" w:cs="宋体"/>
                <w:sz w:val="21"/>
                <w:szCs w:val="21"/>
                <w:highlight w:val="none"/>
                <w:lang w:val="en-US" w:eastAsia="zh-CN"/>
              </w:rPr>
              <w:t>3</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ascii="宋体" w:hAnsi="宋体" w:eastAsiaTheme="minorEastAsia"/>
                <w:szCs w:val="21"/>
              </w:rPr>
            </w:pPr>
            <w:r>
              <w:rPr>
                <w:rFonts w:hint="eastAsia" w:ascii="宋体" w:hAnsi="宋体" w:eastAsia="宋体" w:cs="宋体"/>
                <w:sz w:val="21"/>
                <w:szCs w:val="21"/>
                <w:highlight w:val="none"/>
              </w:rPr>
              <w:t>同类项目业绩</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ageBreakBefore w:val="0"/>
              <w:kinsoku/>
              <w:overflowPunct/>
              <w:topLinePunct w:val="0"/>
              <w:autoSpaceDE/>
              <w:autoSpaceDN/>
              <w:bidi w:val="0"/>
              <w:adjustRightInd/>
              <w:spacing w:beforeAutospacing="0" w:afterAutospacing="0" w:line="360" w:lineRule="auto"/>
              <w:ind w:left="0" w:leftChars="0" w:right="0" w:rightChars="0" w:firstLine="0" w:firstLineChars="0"/>
              <w:jc w:val="center"/>
              <w:rPr>
                <w:rFonts w:ascii="宋体" w:hAnsi="宋体" w:cs="宋体"/>
                <w:szCs w:val="21"/>
              </w:rPr>
            </w:pPr>
            <w:r>
              <w:rPr>
                <w:rFonts w:hint="eastAsia" w:ascii="宋体" w:hAnsi="宋体" w:cs="宋体"/>
                <w:sz w:val="21"/>
                <w:szCs w:val="21"/>
                <w:highlight w:val="none"/>
                <w:lang w:val="en-US" w:eastAsia="zh-CN"/>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考察内容：</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2021</w:t>
            </w:r>
            <w:r>
              <w:rPr>
                <w:rFonts w:hint="eastAsia" w:ascii="宋体" w:hAnsi="宋体" w:eastAsia="宋体" w:cs="宋体"/>
                <w:sz w:val="21"/>
                <w:szCs w:val="21"/>
                <w:highlight w:val="none"/>
              </w:rPr>
              <w:t>年1月1日至本项目投标截止之日（以合同签订时间为准），投标人每提供1个</w:t>
            </w:r>
            <w:r>
              <w:rPr>
                <w:rFonts w:hint="eastAsia" w:ascii="宋体" w:hAnsi="宋体" w:cs="宋体"/>
                <w:b/>
                <w:szCs w:val="21"/>
              </w:rPr>
              <w:t>学校</w:t>
            </w:r>
            <w:r>
              <w:rPr>
                <w:rFonts w:hint="eastAsia" w:ascii="宋体" w:hAnsi="宋体" w:cs="宋体"/>
                <w:b/>
                <w:szCs w:val="21"/>
                <w:lang w:val="en-US" w:eastAsia="zh-CN"/>
              </w:rPr>
              <w:t>家具采购</w:t>
            </w:r>
            <w:r>
              <w:rPr>
                <w:rFonts w:hint="eastAsia" w:ascii="宋体" w:hAnsi="宋体" w:eastAsia="宋体" w:cs="宋体"/>
                <w:sz w:val="21"/>
                <w:szCs w:val="21"/>
                <w:highlight w:val="none"/>
              </w:rPr>
              <w:t>类业绩的得</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rPr>
              <w:t>分，最高得100分，原件备查。</w:t>
            </w:r>
          </w:p>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证明文件：</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ascii="宋体" w:hAnsi="宋体" w:cs="宋体"/>
                <w:szCs w:val="21"/>
              </w:rPr>
            </w:pPr>
            <w:r>
              <w:rPr>
                <w:rFonts w:hint="eastAsia" w:ascii="宋体" w:hAnsi="宋体" w:eastAsia="宋体" w:cs="宋体"/>
                <w:sz w:val="21"/>
                <w:szCs w:val="21"/>
                <w:highlight w:val="none"/>
                <w:lang w:eastAsia="zh-CN"/>
              </w:rPr>
              <w:t>需同时提供：①经验项目合同关键页（含签订合同双方的单位名称、合同项目名称、含签订合同双方的落款盖章、签订日期的关键页）；②项目验收合格的验收报告（加盖甲方公章或业务章）（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4</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其他部分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序号</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评分因素</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权重</w:t>
            </w:r>
            <w:r>
              <w:rPr>
                <w:rFonts w:hint="eastAsia" w:ascii="宋体" w:hAnsi="宋体" w:cs="宋体"/>
                <w:bCs/>
                <w:szCs w:val="21"/>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1</w:t>
            </w:r>
          </w:p>
        </w:tc>
        <w:tc>
          <w:tcPr>
            <w:tcW w:w="166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诚信情况</w:t>
            </w:r>
          </w:p>
        </w:tc>
        <w:tc>
          <w:tcPr>
            <w:tcW w:w="7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5</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2"/>
              <w:wordWrap w:val="0"/>
              <w:spacing w:line="240" w:lineRule="auto"/>
            </w:pPr>
            <w:r>
              <w:rPr>
                <w:rFonts w:hint="eastAsia" w:asciiTheme="minorEastAsia" w:hAnsiTheme="minorEastAsia" w:cstheme="minorEastAsia"/>
                <w:b w:val="0"/>
                <w:bCs w:val="0"/>
                <w:sz w:val="21"/>
                <w:szCs w:val="21"/>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120"/>
          <w:szCs w:val="120"/>
        </w:rPr>
      </w:pPr>
    </w:p>
    <w:p>
      <w:pPr>
        <w:rPr>
          <w:rFonts w:hint="eastAsia"/>
          <w:b/>
          <w:sz w:val="120"/>
          <w:szCs w:val="120"/>
        </w:rPr>
      </w:pPr>
      <w:r>
        <w:rPr>
          <w:rFonts w:hint="eastAsia"/>
          <w:b/>
          <w:sz w:val="120"/>
          <w:szCs w:val="120"/>
        </w:rPr>
        <w:br w:type="page"/>
      </w:r>
    </w:p>
    <w:p>
      <w:pPr>
        <w:rPr>
          <w:rFonts w:hint="eastAsia"/>
        </w:rPr>
      </w:pPr>
    </w:p>
    <w:p>
      <w:pPr>
        <w:pStyle w:val="2"/>
        <w:rPr>
          <w:rFonts w:hint="eastAsia"/>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hint="eastAsia"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3"/>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0" w:name="OLE_LINK9"/>
      <w:r>
        <w:rPr>
          <w:rFonts w:hint="eastAsia" w:ascii="宋体" w:hAnsi="宋体" w:cs="宋体"/>
          <w:color w:val="FF0000"/>
          <w:kern w:val="0"/>
          <w:szCs w:val="21"/>
        </w:rPr>
        <w:t>本项</w:t>
      </w:r>
      <w:bookmarkStart w:id="1" w:name="OLE_LINK8"/>
      <w:r>
        <w:rPr>
          <w:rFonts w:hint="eastAsia" w:ascii="宋体" w:hAnsi="宋体" w:cs="宋体"/>
          <w:color w:val="FF0000"/>
          <w:kern w:val="0"/>
          <w:szCs w:val="21"/>
        </w:rPr>
        <w:t>目不接受联合体投标</w:t>
      </w:r>
      <w:bookmarkEnd w:id="1"/>
      <w:r>
        <w:rPr>
          <w:rFonts w:hint="eastAsia" w:ascii="宋体" w:hAnsi="宋体" w:cs="宋体"/>
          <w:color w:val="FF0000"/>
          <w:kern w:val="0"/>
          <w:szCs w:val="21"/>
          <w:lang w:val="en-US" w:eastAsia="zh-CN"/>
        </w:rPr>
        <w:t>，</w:t>
      </w:r>
      <w:bookmarkStart w:id="2" w:name="OLE_LINK7"/>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bookmarkEnd w:id="0"/>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hint="eastAsia" w:ascii="宋体" w:hAnsi="宋体" w:cs="宋体"/>
          <w:kern w:val="0"/>
          <w:szCs w:val="21"/>
          <w:highlight w:val="none"/>
        </w:rPr>
      </w:pPr>
      <w:r>
        <w:rPr>
          <w:rFonts w:hint="eastAsia" w:ascii="宋体" w:hAnsi="宋体" w:cs="宋体"/>
          <w:kern w:val="0"/>
          <w:szCs w:val="21"/>
          <w:highlight w:val="none"/>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w:t>
      </w:r>
      <w:r>
        <w:rPr>
          <w:rFonts w:hint="eastAsia" w:ascii="宋体" w:hAnsi="宋体" w:cs="宋体"/>
          <w:b/>
          <w:bCs/>
          <w:color w:val="FF0000"/>
          <w:kern w:val="0"/>
          <w:szCs w:val="21"/>
          <w:highlight w:val="none"/>
          <w:lang w:val="en-US" w:eastAsia="zh-CN"/>
        </w:rPr>
        <w:t>否</w:t>
      </w:r>
      <w:r>
        <w:rPr>
          <w:rFonts w:hint="eastAsia" w:ascii="宋体" w:hAnsi="宋体" w:cs="宋体"/>
          <w:b/>
          <w:bCs/>
          <w:color w:val="FF0000"/>
          <w:kern w:val="0"/>
          <w:szCs w:val="21"/>
          <w:highlight w:val="none"/>
        </w:rPr>
        <w:t>。</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napToGrid w:val="0"/>
        <w:spacing w:line="300" w:lineRule="auto"/>
        <w:ind w:firstLine="480" w:firstLineChars="200"/>
        <w:rPr>
          <w:rFonts w:ascii="Arial" w:hAnsi="Arial" w:eastAsia="宋体" w:cs="Times New Roman"/>
          <w:sz w:val="24"/>
          <w:szCs w:val="24"/>
        </w:rPr>
      </w:pPr>
    </w:p>
    <w:p>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pPr>
        <w:spacing w:after="78" w:afterLines="25"/>
        <w:rPr>
          <w:rFonts w:ascii="Arial" w:hAnsi="Arial" w:eastAsia="宋体" w:cs="Times New Roman"/>
          <w:b/>
          <w:color w:val="FF0000"/>
          <w:sz w:val="30"/>
          <w:szCs w:val="30"/>
        </w:rPr>
      </w:pPr>
    </w:p>
    <w:p>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60560625"/>
      <w:bookmarkStart w:id="5" w:name="_Toc100052364"/>
      <w:bookmarkStart w:id="6" w:name="_Toc73521635"/>
      <w:bookmarkStart w:id="7" w:name="_Toc60631620"/>
      <w:bookmarkStart w:id="8" w:name="_Toc101074876"/>
      <w:bookmarkStart w:id="9" w:name="_Toc73521547"/>
      <w:bookmarkStart w:id="10" w:name="_Toc73518117"/>
      <w:bookmarkStart w:id="11" w:name="_Toc73517639"/>
      <w:r>
        <w:rPr>
          <w:rFonts w:hint="eastAsia" w:ascii="宋体" w:hAnsi="宋体" w:eastAsia="宋体" w:cs="Times New Roman"/>
          <w:b/>
          <w:bCs/>
          <w:kern w:val="0"/>
          <w:sz w:val="24"/>
          <w:szCs w:val="24"/>
        </w:rPr>
        <w:t>一、对通用条款的补充内容</w:t>
      </w:r>
    </w:p>
    <w:tbl>
      <w:tblPr>
        <w:tblStyle w:val="18"/>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b/>
                <w:bCs/>
              </w:rPr>
            </w:pPr>
            <w:r>
              <w:rPr>
                <w:rFonts w:hint="eastAsia" w:ascii="宋体" w:hAnsi="宋体"/>
                <w:b/>
                <w:bCs/>
              </w:rPr>
              <w:t>通用条款序号</w:t>
            </w:r>
          </w:p>
        </w:tc>
        <w:tc>
          <w:tcPr>
            <w:tcW w:w="1755" w:type="dxa"/>
            <w:vAlign w:val="center"/>
          </w:tcPr>
          <w:p>
            <w:pPr>
              <w:jc w:val="center"/>
              <w:rPr>
                <w:rFonts w:hint="eastAsia" w:ascii="宋体" w:hAnsi="宋体"/>
                <w:b/>
                <w:bCs/>
              </w:rPr>
            </w:pPr>
            <w:r>
              <w:rPr>
                <w:rFonts w:hint="eastAsia" w:ascii="宋体" w:hAnsi="宋体"/>
                <w:b/>
                <w:bCs/>
              </w:rPr>
              <w:t>涉及事项</w:t>
            </w:r>
          </w:p>
        </w:tc>
        <w:tc>
          <w:tcPr>
            <w:tcW w:w="6795"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hint="eastAsia" w:ascii="宋体" w:hAnsi="宋体"/>
              </w:rPr>
            </w:pPr>
            <w:r>
              <w:rPr>
                <w:rFonts w:hint="eastAsia" w:ascii="宋体" w:hAnsi="宋体"/>
              </w:rPr>
              <w:t>深圳市龙华区建筑工务署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.2</w:t>
            </w:r>
          </w:p>
        </w:tc>
        <w:tc>
          <w:tcPr>
            <w:tcW w:w="1755" w:type="dxa"/>
            <w:vAlign w:val="center"/>
          </w:tcPr>
          <w:p>
            <w:pPr>
              <w:jc w:val="center"/>
              <w:rPr>
                <w:rFonts w:hint="eastAsia" w:ascii="宋体" w:hAnsi="宋体"/>
              </w:rPr>
            </w:pPr>
            <w:r>
              <w:rPr>
                <w:rFonts w:hint="eastAsia" w:ascii="宋体" w:hAnsi="宋体"/>
              </w:rPr>
              <w:t>政府集中采购机构</w:t>
            </w:r>
          </w:p>
        </w:tc>
        <w:tc>
          <w:tcPr>
            <w:tcW w:w="6795" w:type="dxa"/>
            <w:vAlign w:val="center"/>
          </w:tcPr>
          <w:p>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5</w:t>
            </w:r>
            <w:r>
              <w:rPr>
                <w:rFonts w:ascii="宋体" w:hAnsi="宋体"/>
              </w:rPr>
              <w:t>.3</w:t>
            </w:r>
          </w:p>
        </w:tc>
        <w:tc>
          <w:tcPr>
            <w:tcW w:w="1755" w:type="dxa"/>
            <w:vAlign w:val="center"/>
          </w:tcPr>
          <w:p>
            <w:pPr>
              <w:jc w:val="center"/>
              <w:rPr>
                <w:rFonts w:hint="eastAsia" w:ascii="宋体" w:hAnsi="宋体"/>
              </w:rPr>
            </w:pPr>
            <w:r>
              <w:rPr>
                <w:rFonts w:hint="eastAsia" w:ascii="宋体" w:hAnsi="宋体"/>
              </w:rPr>
              <w:t>联合体投标</w:t>
            </w:r>
          </w:p>
        </w:tc>
        <w:tc>
          <w:tcPr>
            <w:tcW w:w="6795" w:type="dxa"/>
            <w:vAlign w:val="center"/>
          </w:tcPr>
          <w:p>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9</w:t>
            </w:r>
          </w:p>
        </w:tc>
        <w:tc>
          <w:tcPr>
            <w:tcW w:w="1755" w:type="dxa"/>
            <w:vAlign w:val="center"/>
          </w:tcPr>
          <w:p>
            <w:pPr>
              <w:jc w:val="center"/>
              <w:rPr>
                <w:rFonts w:hint="eastAsia" w:ascii="宋体" w:hAnsi="宋体"/>
                <w:b/>
                <w:bCs/>
                <w:highlight w:val="yellow"/>
              </w:rPr>
            </w:pPr>
            <w:r>
              <w:rPr>
                <w:rFonts w:hint="eastAsia" w:ascii="宋体" w:hAnsi="宋体"/>
              </w:rPr>
              <w:t>踏勘现场</w:t>
            </w:r>
          </w:p>
        </w:tc>
        <w:tc>
          <w:tcPr>
            <w:tcW w:w="6795" w:type="dxa"/>
            <w:vAlign w:val="center"/>
          </w:tcPr>
          <w:p>
            <w:pPr>
              <w:pageBreakBefore w:val="0"/>
              <w:kinsoku/>
              <w:overflowPunct/>
              <w:topLinePunct w:val="0"/>
              <w:autoSpaceDE/>
              <w:autoSpaceDN/>
              <w:bidi w:val="0"/>
              <w:spacing w:beforeAutospacing="0" w:afterAutospacing="0" w:line="240" w:lineRule="auto"/>
              <w:ind w:left="0" w:leftChars="0" w:right="0" w:rightChars="0" w:firstLine="0" w:firstLineChars="0"/>
              <w:jc w:val="left"/>
              <w:rPr>
                <w:rFonts w:hint="eastAsia" w:ascii="Arial" w:hAnsi="Arial" w:cs="Times New Roman" w:eastAsiaTheme="minorEastAsia"/>
                <w:szCs w:val="24"/>
                <w:highlight w:val="none"/>
                <w:lang w:eastAsia="zh-CN"/>
              </w:rPr>
            </w:pPr>
            <w:r>
              <w:rPr>
                <w:rFonts w:hint="eastAsia" w:ascii="宋体" w:hAnsi="宋体" w:eastAsia="宋体" w:cs="宋体"/>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0</w:t>
            </w:r>
          </w:p>
        </w:tc>
        <w:tc>
          <w:tcPr>
            <w:tcW w:w="1755" w:type="dxa"/>
            <w:vAlign w:val="center"/>
          </w:tcPr>
          <w:p>
            <w:pPr>
              <w:jc w:val="center"/>
              <w:rPr>
                <w:rFonts w:hint="eastAsia" w:ascii="宋体" w:hAnsi="宋体"/>
              </w:rPr>
            </w:pPr>
            <w:r>
              <w:rPr>
                <w:rFonts w:hint="eastAsia" w:ascii="宋体" w:hAnsi="宋体"/>
              </w:rPr>
              <w:t>标前会议</w:t>
            </w:r>
          </w:p>
        </w:tc>
        <w:tc>
          <w:tcPr>
            <w:tcW w:w="6795" w:type="dxa"/>
            <w:vAlign w:val="center"/>
          </w:tcPr>
          <w:p>
            <w:pPr>
              <w:pageBreakBefore w:val="0"/>
              <w:kinsoku/>
              <w:overflowPunct/>
              <w:topLinePunct w:val="0"/>
              <w:autoSpaceDE/>
              <w:autoSpaceDN/>
              <w:bidi w:val="0"/>
              <w:spacing w:beforeAutospacing="0" w:afterAutospacing="0" w:line="240" w:lineRule="auto"/>
              <w:ind w:left="0" w:leftChars="0" w:right="0" w:rightChars="0" w:firstLine="0" w:firstLineChars="0"/>
              <w:jc w:val="left"/>
              <w:rPr>
                <w:rFonts w:hint="eastAsia" w:ascii="Arial" w:hAnsi="Arial" w:eastAsia="宋体" w:cs="Times New Roman"/>
                <w:szCs w:val="24"/>
                <w:highlight w:val="none"/>
              </w:rPr>
            </w:pPr>
            <w:r>
              <w:rPr>
                <w:rFonts w:hint="eastAsia" w:ascii="宋体" w:hAnsi="宋体" w:eastAsia="宋体" w:cs="宋体"/>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hint="eastAsia" w:ascii="宋体" w:hAnsi="宋体"/>
              </w:rPr>
            </w:pPr>
            <w:r>
              <w:rPr>
                <w:rFonts w:hint="eastAsia" w:ascii="宋体" w:hAnsi="宋体"/>
              </w:rPr>
              <w:t>招标文件的澄清和修改</w:t>
            </w:r>
          </w:p>
        </w:tc>
        <w:tc>
          <w:tcPr>
            <w:tcW w:w="6795" w:type="dxa"/>
            <w:vAlign w:val="center"/>
          </w:tcPr>
          <w:p>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0</w:t>
            </w:r>
          </w:p>
        </w:tc>
        <w:tc>
          <w:tcPr>
            <w:tcW w:w="1755" w:type="dxa"/>
            <w:vAlign w:val="center"/>
          </w:tcPr>
          <w:p>
            <w:pPr>
              <w:jc w:val="center"/>
              <w:rPr>
                <w:rFonts w:hint="eastAsia" w:ascii="宋体" w:hAnsi="宋体"/>
              </w:rPr>
            </w:pPr>
            <w:r>
              <w:rPr>
                <w:rFonts w:hint="eastAsia" w:ascii="宋体" w:hAnsi="宋体"/>
              </w:rPr>
              <w:t>投标有效期</w:t>
            </w:r>
          </w:p>
        </w:tc>
        <w:tc>
          <w:tcPr>
            <w:tcW w:w="6795" w:type="dxa"/>
            <w:vAlign w:val="center"/>
          </w:tcPr>
          <w:p>
            <w:pPr>
              <w:jc w:val="left"/>
              <w:rPr>
                <w:rFonts w:hint="eastAsia" w:ascii="宋体" w:hAnsi="宋体"/>
              </w:rPr>
            </w:pPr>
            <w:r>
              <w:rPr>
                <w:rFonts w:hint="eastAsia" w:ascii="宋体" w:hAnsi="宋体"/>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2</w:t>
            </w:r>
          </w:p>
        </w:tc>
        <w:tc>
          <w:tcPr>
            <w:tcW w:w="1755" w:type="dxa"/>
            <w:vAlign w:val="center"/>
          </w:tcPr>
          <w:p>
            <w:pPr>
              <w:jc w:val="center"/>
              <w:rPr>
                <w:rFonts w:hint="eastAsia" w:ascii="宋体" w:hAnsi="宋体"/>
              </w:rPr>
            </w:pPr>
            <w:r>
              <w:rPr>
                <w:rFonts w:hint="eastAsia" w:ascii="宋体" w:hAnsi="宋体"/>
              </w:rPr>
              <w:t>投标人的替代方案</w:t>
            </w:r>
          </w:p>
        </w:tc>
        <w:tc>
          <w:tcPr>
            <w:tcW w:w="6795" w:type="dxa"/>
            <w:vAlign w:val="center"/>
          </w:tcPr>
          <w:p>
            <w:pPr>
              <w:jc w:val="left"/>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5</w:t>
            </w:r>
          </w:p>
        </w:tc>
        <w:tc>
          <w:tcPr>
            <w:tcW w:w="1755" w:type="dxa"/>
            <w:vAlign w:val="center"/>
          </w:tcPr>
          <w:p>
            <w:pPr>
              <w:jc w:val="center"/>
              <w:rPr>
                <w:rFonts w:hint="eastAsia" w:ascii="宋体" w:hAnsi="宋体"/>
              </w:rPr>
            </w:pPr>
            <w:r>
              <w:rPr>
                <w:rFonts w:hint="eastAsia" w:ascii="宋体" w:hAnsi="宋体"/>
              </w:rPr>
              <w:t>投标文件的大小</w:t>
            </w:r>
          </w:p>
        </w:tc>
        <w:tc>
          <w:tcPr>
            <w:tcW w:w="6795" w:type="dxa"/>
            <w:vAlign w:val="center"/>
          </w:tcPr>
          <w:p>
            <w:pPr>
              <w:jc w:val="left"/>
              <w:rPr>
                <w:rFonts w:hint="eastAsia"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6</w:t>
            </w:r>
          </w:p>
        </w:tc>
        <w:tc>
          <w:tcPr>
            <w:tcW w:w="1755" w:type="dxa"/>
            <w:vAlign w:val="center"/>
          </w:tcPr>
          <w:p>
            <w:pPr>
              <w:jc w:val="center"/>
              <w:rPr>
                <w:rFonts w:hint="eastAsia" w:ascii="宋体" w:hAnsi="宋体"/>
              </w:rPr>
            </w:pPr>
            <w:r>
              <w:rPr>
                <w:rFonts w:hint="eastAsia" w:ascii="宋体" w:hAnsi="宋体"/>
              </w:rPr>
              <w:t>样品、现场演示、方案讲解</w:t>
            </w:r>
          </w:p>
        </w:tc>
        <w:tc>
          <w:tcPr>
            <w:tcW w:w="6795" w:type="dxa"/>
            <w:vAlign w:val="center"/>
          </w:tcPr>
          <w:p>
            <w:pPr>
              <w:jc w:val="left"/>
              <w:rPr>
                <w:rFonts w:hint="eastAsia" w:ascii="宋体" w:hAnsi="宋体" w:eastAsiaTheme="minorEastAsia"/>
                <w:lang w:val="en-US" w:eastAsia="zh-CN"/>
              </w:rPr>
            </w:pPr>
            <w:r>
              <w:rPr>
                <w:rFonts w:hint="eastAsia" w:ascii="宋体" w:hAnsi="宋体"/>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7</w:t>
            </w:r>
          </w:p>
        </w:tc>
        <w:tc>
          <w:tcPr>
            <w:tcW w:w="1755" w:type="dxa"/>
            <w:vAlign w:val="center"/>
          </w:tcPr>
          <w:p>
            <w:pPr>
              <w:jc w:val="center"/>
              <w:rPr>
                <w:rFonts w:hint="eastAsia" w:ascii="宋体" w:hAnsi="宋体"/>
              </w:rPr>
            </w:pPr>
            <w:r>
              <w:rPr>
                <w:rFonts w:hint="eastAsia" w:ascii="宋体" w:hAnsi="宋体"/>
              </w:rPr>
              <w:t>评审方法</w:t>
            </w:r>
          </w:p>
        </w:tc>
        <w:tc>
          <w:tcPr>
            <w:tcW w:w="6795" w:type="dxa"/>
            <w:vAlign w:val="center"/>
          </w:tcPr>
          <w:p>
            <w:pPr>
              <w:jc w:val="left"/>
              <w:rPr>
                <w:rFonts w:hint="eastAsia"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8</w:t>
            </w:r>
          </w:p>
        </w:tc>
        <w:tc>
          <w:tcPr>
            <w:tcW w:w="1755" w:type="dxa"/>
            <w:vAlign w:val="center"/>
          </w:tcPr>
          <w:p>
            <w:pPr>
              <w:jc w:val="center"/>
              <w:rPr>
                <w:rFonts w:hint="eastAsia"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4</w:t>
            </w:r>
            <w:r>
              <w:rPr>
                <w:rFonts w:ascii="宋体" w:hAnsi="宋体"/>
              </w:rPr>
              <w:t>6</w:t>
            </w:r>
          </w:p>
        </w:tc>
        <w:tc>
          <w:tcPr>
            <w:tcW w:w="1755" w:type="dxa"/>
            <w:vAlign w:val="center"/>
          </w:tcPr>
          <w:p>
            <w:pPr>
              <w:jc w:val="center"/>
              <w:rPr>
                <w:rFonts w:hint="eastAsia" w:ascii="宋体" w:hAnsi="宋体"/>
              </w:rPr>
            </w:pPr>
            <w:r>
              <w:rPr>
                <w:rFonts w:hint="eastAsia" w:ascii="宋体" w:hAnsi="宋体"/>
              </w:rPr>
              <w:t>履约担保</w:t>
            </w:r>
          </w:p>
        </w:tc>
        <w:tc>
          <w:tcPr>
            <w:tcW w:w="6795" w:type="dxa"/>
            <w:vAlign w:val="center"/>
          </w:tcPr>
          <w:p>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rPr>
      </w:pPr>
      <w:r>
        <w:rPr>
          <w:rFonts w:hint="eastAsia" w:ascii="黑体" w:hAnsi="宋体" w:eastAsia="黑体"/>
          <w:bCs/>
          <w:sz w:val="24"/>
        </w:rPr>
        <w:t>1、评标定标信息</w:t>
      </w:r>
    </w:p>
    <w:p>
      <w:pPr>
        <w:jc w:val="center"/>
      </w:pPr>
      <w:r>
        <w:rPr>
          <w:rFonts w:hint="eastAsia"/>
          <w:b/>
        </w:rPr>
        <w:t>非评定分离项目</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eastAsia="宋体"/>
              </w:rPr>
            </w:pPr>
            <w:r>
              <w:rPr>
                <w:rFonts w:hint="eastAsia"/>
              </w:rPr>
              <w:sym w:font="Wingdings" w:char="00FE"/>
            </w:r>
            <w:r>
              <w:rPr>
                <w:rFonts w:hint="eastAsia"/>
              </w:rPr>
              <w:t>综合评分法</w:t>
            </w:r>
          </w:p>
        </w:tc>
        <w:tc>
          <w:tcPr>
            <w:tcW w:w="2450" w:type="dxa"/>
          </w:tcPr>
          <w:p>
            <w:pPr>
              <w:jc w:val="center"/>
            </w:pPr>
            <w:r>
              <w:rPr>
                <w:rFonts w:hint="eastAsia" w:ascii="Times New Roman" w:eastAsia="宋体"/>
              </w:rPr>
              <w:sym w:font="Wingdings" w:char="00A8"/>
            </w:r>
            <w:r>
              <w:rPr>
                <w:rFonts w:hint="eastAsia" w:ascii="Times New Roman" w:eastAsia="宋体"/>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eastAsia="宋体"/>
              </w:rPr>
            </w:pPr>
            <w:r>
              <w:rPr>
                <w:rFonts w:hint="eastAsia" w:eastAsia="宋体"/>
              </w:rPr>
              <w:t>3</w:t>
            </w:r>
          </w:p>
        </w:tc>
        <w:tc>
          <w:tcPr>
            <w:tcW w:w="2450"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pPr>
            <w:r>
              <w:rPr>
                <w:rFonts w:hint="eastAsia"/>
              </w:rPr>
              <w:t>1</w:t>
            </w:r>
          </w:p>
        </w:tc>
      </w:tr>
    </w:tbl>
    <w:p>
      <w:pPr>
        <w:tabs>
          <w:tab w:val="left" w:pos="720"/>
        </w:tabs>
        <w:rPr>
          <w:rFonts w:hint="eastAsia" w:ascii="黑体" w:hAnsi="宋体" w:eastAsia="黑体"/>
          <w:sz w:val="24"/>
        </w:rPr>
      </w:pPr>
      <w:r>
        <w:rPr>
          <w:rFonts w:hint="eastAsia" w:ascii="黑体" w:hAnsi="宋体" w:eastAsia="黑体"/>
          <w:sz w:val="24"/>
        </w:rPr>
        <w:t>（二）其他事项</w:t>
      </w:r>
    </w:p>
    <w:p>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pPr>
        <w:ind w:firstLine="413" w:firstLineChars="196"/>
        <w:rPr>
          <w:rFonts w:hint="eastAsia" w:ascii="宋体" w:hAnsi="宋体"/>
          <w:color w:val="FF0000"/>
        </w:rPr>
      </w:pPr>
      <w:r>
        <w:rPr>
          <w:rFonts w:hint="eastAsia" w:ascii="宋体" w:hAnsi="宋体"/>
          <w:b/>
          <w:bCs/>
          <w:color w:val="FF0000"/>
          <w:highlight w:val="yellow"/>
        </w:rPr>
        <w:t>（1）</w:t>
      </w:r>
      <w:r>
        <w:rPr>
          <w:rFonts w:hint="eastAsia"/>
          <w:b/>
          <w:bCs/>
          <w:color w:val="FF0000"/>
          <w:highlight w:val="yellow"/>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highlight w:val="yellow"/>
        </w:rPr>
      </w:pPr>
      <w:r>
        <w:rPr>
          <w:rFonts w:hint="eastAsia" w:ascii="宋体" w:hAnsi="宋体"/>
          <w:highlight w:val="none"/>
        </w:rPr>
        <w:t>（2）</w:t>
      </w:r>
      <w:r>
        <w:rPr>
          <w:rFonts w:hint="eastAsia"/>
          <w:highlight w:val="none"/>
        </w:rPr>
        <w:t>非</w:t>
      </w:r>
      <w:r>
        <w:rPr>
          <w:rFonts w:hint="eastAsia" w:ascii="Times New Roman" w:eastAsia="宋体"/>
          <w:highlight w:val="none"/>
        </w:rPr>
        <w:t>专门面向中小企业采购的项目，</w:t>
      </w:r>
      <w:r>
        <w:rPr>
          <w:rFonts w:hint="eastAsia"/>
          <w:highlight w:val="none"/>
        </w:rPr>
        <w:t>应</w:t>
      </w:r>
      <w:r>
        <w:rPr>
          <w:rFonts w:hint="eastAsia" w:ascii="Times New Roman" w:eastAsia="宋体"/>
          <w:highlight w:val="none"/>
        </w:rPr>
        <w:t>执行价格扣除比例</w:t>
      </w:r>
      <w:r>
        <w:rPr>
          <w:rFonts w:hint="eastAsia"/>
          <w:highlight w:val="none"/>
        </w:rPr>
        <w:t>：</w:t>
      </w:r>
      <w:r>
        <w:rPr>
          <w:rFonts w:hint="eastAsia" w:ascii="宋体" w:hAnsi="宋体"/>
          <w:highlight w:val="none"/>
        </w:rPr>
        <w:t>投标人提供的货物（以招标文件用户需求书“货物需求明细”的“货物名称”一栏为准）全部均由优惠主体制造的，对其投标总价给予</w:t>
      </w:r>
      <w:r>
        <w:rPr>
          <w:rFonts w:hint="eastAsia" w:ascii="宋体" w:hAnsi="宋体"/>
          <w:b/>
          <w:bCs/>
          <w:highlight w:val="none"/>
          <w:u w:val="single"/>
        </w:rPr>
        <w:t xml:space="preserve"> </w:t>
      </w:r>
      <w:r>
        <w:rPr>
          <w:rFonts w:hint="eastAsia" w:ascii="宋体" w:hAnsi="宋体"/>
          <w:b/>
          <w:bCs/>
          <w:highlight w:val="none"/>
          <w:u w:val="single"/>
          <w:lang w:val="en-US" w:eastAsia="zh-CN"/>
        </w:rPr>
        <w:t>10%</w:t>
      </w:r>
      <w:bookmarkStart w:id="109" w:name="_GoBack"/>
      <w:bookmarkEnd w:id="109"/>
      <w:r>
        <w:rPr>
          <w:rFonts w:hint="eastAsia" w:ascii="宋体" w:hAnsi="宋体" w:eastAsia="宋体" w:cs="Times New Roman"/>
          <w:b/>
          <w:bCs/>
          <w:sz w:val="24"/>
          <w:szCs w:val="24"/>
          <w:highlight w:val="none"/>
          <w:u w:val="single"/>
        </w:rPr>
        <w:t xml:space="preserve"> </w:t>
      </w:r>
      <w:r>
        <w:rPr>
          <w:rFonts w:hint="eastAsia" w:ascii="宋体" w:hAnsi="宋体"/>
          <w:b/>
          <w:bCs/>
          <w:highlight w:val="none"/>
        </w:rPr>
        <w:t>的</w:t>
      </w:r>
      <w:r>
        <w:rPr>
          <w:rFonts w:hint="eastAsia" w:ascii="宋体" w:hAnsi="宋体"/>
          <w:highlight w:val="none"/>
        </w:rPr>
        <w:t>扣除，用扣除后的价格参与评审。满足多项优惠政策的企业，不重复享受多项价格扣除政策。</w:t>
      </w:r>
      <w:r>
        <w:rPr>
          <w:rFonts w:hint="eastAsia" w:ascii="Arial" w:hAnsi="Arial" w:eastAsia="宋体" w:cs="Times New Roman"/>
          <w:b/>
          <w:szCs w:val="21"/>
          <w:highlight w:val="none"/>
        </w:rPr>
        <w:t>政策调整后价格仅作为评审依据，不作为中标价格。</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2"/>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pPr>
        <w:tabs>
          <w:tab w:val="left" w:pos="720"/>
        </w:tabs>
        <w:ind w:firstLine="480" w:firstLineChars="200"/>
        <w:rPr>
          <w:rFonts w:hint="eastAsia" w:ascii="黑体" w:hAnsi="宋体" w:eastAsia="黑体"/>
          <w:sz w:val="24"/>
        </w:rPr>
      </w:pPr>
    </w:p>
    <w:p>
      <w:pPr>
        <w:tabs>
          <w:tab w:val="left" w:pos="720"/>
        </w:tabs>
        <w:rPr>
          <w:rFonts w:hint="eastAsia" w:ascii="宋体" w:hAnsi="宋体"/>
          <w:b/>
          <w:bCs/>
          <w:color w:val="FF0000"/>
        </w:rPr>
      </w:pPr>
      <w:r>
        <w:rPr>
          <w:rFonts w:hint="eastAsia" w:ascii="宋体" w:hAnsi="宋体" w:eastAsia="宋体" w:cs="宋体"/>
          <w:b/>
          <w:bCs/>
          <w:szCs w:val="24"/>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pPr>
        <w:widowControl/>
        <w:ind w:firstLine="420"/>
        <w:jc w:val="left"/>
        <w:rPr>
          <w:rFonts w:hint="eastAsia" w:ascii="宋体" w:hAnsi="宋体"/>
          <w:color w:val="FF0000"/>
          <w:szCs w:val="21"/>
        </w:rPr>
      </w:pPr>
    </w:p>
    <w:p>
      <w:pPr>
        <w:widowControl/>
        <w:ind w:firstLine="420"/>
        <w:jc w:val="left"/>
        <w:rPr>
          <w:rFonts w:hint="eastAsia" w:ascii="宋体" w:hAnsi="宋体" w:eastAsia="黑体" w:cs="Times New Roman"/>
          <w:bCs/>
          <w:kern w:val="44"/>
          <w:szCs w:val="21"/>
        </w:rPr>
      </w:pPr>
    </w:p>
    <w:p>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8"/>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LHAZXCG-2025-00038</w:t>
            </w:r>
          </w:p>
        </w:tc>
        <w:tc>
          <w:tcPr>
            <w:tcW w:w="2906" w:type="dxa"/>
            <w:tcBorders>
              <w:top w:val="single" w:color="000000" w:sz="4" w:space="0"/>
              <w:left w:val="single" w:color="000000" w:sz="4" w:space="0"/>
              <w:right w:val="single" w:color="000000" w:sz="4" w:space="0"/>
            </w:tcBorders>
            <w:vAlign w:val="center"/>
          </w:tcPr>
          <w:p>
            <w:pPr>
              <w:jc w:val="center"/>
              <w:rPr>
                <w:rFonts w:hint="eastAsia" w:eastAsia="宋体"/>
                <w:lang w:eastAsia="zh-CN"/>
              </w:rPr>
            </w:pPr>
            <w:r>
              <w:rPr>
                <w:rFonts w:hint="eastAsia" w:eastAsia="宋体"/>
                <w:lang w:eastAsia="zh-CN"/>
              </w:rPr>
              <w:t>人民路学校(宿舍设备设施)</w:t>
            </w:r>
          </w:p>
        </w:tc>
        <w:tc>
          <w:tcPr>
            <w:tcW w:w="2622" w:type="dxa"/>
            <w:vMerge w:val="restart"/>
            <w:tcBorders>
              <w:top w:val="single" w:color="000000" w:sz="4" w:space="0"/>
              <w:left w:val="single" w:color="000000" w:sz="4" w:space="0"/>
              <w:right w:val="single" w:color="000000" w:sz="4" w:space="0"/>
            </w:tcBorders>
            <w:vAlign w:val="center"/>
          </w:tcPr>
          <w:p>
            <w:pPr>
              <w:jc w:val="center"/>
              <w:rPr>
                <w:rFonts w:hint="default" w:asciiTheme="minorEastAsia" w:hAnsiTheme="minorEastAsia" w:eastAsiaTheme="minorEastAsia"/>
                <w:sz w:val="24"/>
                <w:szCs w:val="24"/>
                <w:lang w:val="en-US" w:eastAsia="zh-CN"/>
              </w:rPr>
            </w:pPr>
            <w:r>
              <w:rPr>
                <w:rFonts w:ascii="Arial" w:hAnsi="Arial" w:eastAsia="宋体" w:cs="Arial"/>
                <w:i w:val="0"/>
                <w:iCs w:val="0"/>
                <w:caps w:val="0"/>
                <w:color w:val="333333"/>
                <w:spacing w:val="8"/>
                <w:sz w:val="21"/>
                <w:szCs w:val="21"/>
              </w:rPr>
              <w:t>552000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pPr>
              <w:jc w:val="center"/>
              <w:rPr>
                <w:rFonts w:hint="eastAsia" w:asciiTheme="minorEastAsia" w:hAnsiTheme="minorEastAsia"/>
                <w:sz w:val="24"/>
                <w:szCs w:val="24"/>
              </w:rPr>
            </w:pPr>
          </w:p>
        </w:tc>
      </w:tr>
    </w:tbl>
    <w:p>
      <w:pPr>
        <w:rPr>
          <w:sz w:val="24"/>
          <w:szCs w:val="24"/>
        </w:rPr>
      </w:pPr>
    </w:p>
    <w:p>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r>
        <w:rPr>
          <w:rFonts w:hint="eastAsia" w:ascii="宋体" w:hAnsi="宋体"/>
          <w:b/>
          <w:color w:val="FF0000"/>
          <w:sz w:val="32"/>
          <w:szCs w:val="32"/>
        </w:rPr>
        <w:t>本项目核心产品为：</w:t>
      </w:r>
      <w:r>
        <w:rPr>
          <w:rFonts w:hint="eastAsia" w:ascii="宋体" w:hAnsi="宋体"/>
          <w:b/>
          <w:color w:val="FF0000"/>
          <w:sz w:val="32"/>
          <w:szCs w:val="32"/>
          <w:u w:val="single"/>
        </w:rPr>
        <w:t xml:space="preserve"> 双人组合柜 </w:t>
      </w:r>
    </w:p>
    <w:tbl>
      <w:tblPr>
        <w:tblStyle w:val="18"/>
        <w:tblW w:w="82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665"/>
        <w:gridCol w:w="893"/>
        <w:gridCol w:w="814"/>
        <w:gridCol w:w="1413"/>
        <w:gridCol w:w="1133"/>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是否接受进口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是否专门面向中小企业</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标的所属行业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r>
              <w:rPr>
                <w:rFonts w:ascii="新宋体" w:hAnsi="新宋体" w:eastAsia="新宋体" w:cs="新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双人间宿舍（共36间）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双人组合柜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拒绝进口，核心产品</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单人床1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二、单人间宿舍（共4间）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单人组合柜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单人床2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拒绝进口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bl>
    <w:p>
      <w:pPr>
        <w:rPr>
          <w:color w:val="FF0000"/>
        </w:rPr>
      </w:pPr>
      <w:r>
        <w:rPr>
          <w:rFonts w:hint="eastAsia"/>
          <w:color w:val="FF0000"/>
        </w:rPr>
        <w:t>备注：</w:t>
      </w:r>
    </w:p>
    <w:p>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20" w:firstLineChars="200"/>
        <w:rPr>
          <w:color w:val="FF0000"/>
        </w:rPr>
      </w:pPr>
      <w:r>
        <w:rPr>
          <w:rFonts w:hint="eastAsia"/>
          <w:color w:val="FF0000"/>
        </w:rPr>
        <w:t>3、如注明有单价控制金额的产品，投标人对该产品的报价不得超过控制金额，否则将作投标无效处理。</w:t>
      </w:r>
    </w:p>
    <w:p>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4、根据《政府采购货物和服务招标投标管理办法》（财政部令第87号）第三十一条规定，单一产品项目或非单一产品项目中的核心产品均应明确品牌，投标人未填报品牌的将作投标无效处理。</w:t>
      </w:r>
    </w:p>
    <w:p>
      <w:pPr>
        <w:pStyle w:val="5"/>
        <w:jc w:val="center"/>
        <w:outlineLvl w:val="2"/>
      </w:pPr>
      <w:bookmarkStart w:id="13" w:name="_Toc128884461"/>
      <w:r>
        <w:rPr>
          <w:rFonts w:hint="eastAsia"/>
        </w:rPr>
        <w:t>三、实质性条款</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pPr>
            <w:r>
              <w:rPr>
                <w:rFonts w:hint="eastAsia"/>
              </w:rPr>
              <w:t>本项目招标文件中所有带★号条款内容</w:t>
            </w:r>
          </w:p>
        </w:tc>
      </w:tr>
      <w:bookmarkEnd w:id="13"/>
    </w:tbl>
    <w:p>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四</w:t>
      </w:r>
      <w:r>
        <w:rPr>
          <w:rFonts w:hint="eastAsia" w:ascii="Arial" w:hAnsi="Arial" w:eastAsia="宋体" w:cs="Times New Roman"/>
          <w:b/>
          <w:bCs/>
          <w:color w:val="FF0000"/>
          <w:sz w:val="32"/>
          <w:szCs w:val="32"/>
        </w:rPr>
        <w:t>、商务和服务条款要求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numPr>
          <w:ilvl w:val="0"/>
          <w:numId w:val="1"/>
        </w:numPr>
        <w:ind w:firstLine="422" w:firstLineChars="200"/>
        <w:rPr>
          <w:rFonts w:hint="eastAsia"/>
          <w:b/>
          <w:szCs w:val="21"/>
        </w:rPr>
      </w:pP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57"/>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vAlign w:val="center"/>
          </w:tcPr>
          <w:p>
            <w:pPr>
              <w:jc w:val="center"/>
              <w:rPr>
                <w:b/>
              </w:rPr>
            </w:pPr>
            <w:r>
              <w:rPr>
                <w:rFonts w:hint="eastAsia"/>
                <w:b/>
              </w:rPr>
              <w:t>序号</w:t>
            </w:r>
          </w:p>
        </w:tc>
        <w:tc>
          <w:tcPr>
            <w:tcW w:w="1457" w:type="dxa"/>
            <w:vAlign w:val="center"/>
          </w:tcPr>
          <w:p>
            <w:pPr>
              <w:jc w:val="center"/>
              <w:rPr>
                <w:b/>
              </w:rPr>
            </w:pPr>
            <w:r>
              <w:rPr>
                <w:rFonts w:hint="eastAsia"/>
                <w:b/>
              </w:rPr>
              <w:t>商务需求项</w:t>
            </w:r>
          </w:p>
        </w:tc>
        <w:tc>
          <w:tcPr>
            <w:tcW w:w="6523" w:type="dxa"/>
            <w:vAlign w:val="center"/>
          </w:tcPr>
          <w:p>
            <w:pPr>
              <w:jc w:val="center"/>
              <w:rPr>
                <w:b/>
              </w:rPr>
            </w:pPr>
            <w:r>
              <w:rPr>
                <w:rFonts w:hint="eastAsia"/>
                <w:b/>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vAlign w:val="center"/>
          </w:tcPr>
          <w:p>
            <w:pPr>
              <w:jc w:val="center"/>
              <w:rPr>
                <w:bCs/>
              </w:rPr>
            </w:pPr>
            <w:r>
              <w:rPr>
                <w:rFonts w:hint="eastAsia"/>
                <w:bCs/>
              </w:rPr>
              <w:t>1</w:t>
            </w:r>
          </w:p>
        </w:tc>
        <w:tc>
          <w:tcPr>
            <w:tcW w:w="1457" w:type="dxa"/>
          </w:tcPr>
          <w:p>
            <w:pPr>
              <w:jc w:val="center"/>
            </w:pPr>
            <w:r>
              <w:rPr>
                <w:rFonts w:hint="eastAsia"/>
              </w:rPr>
              <w:t>维修响应及故障解决时间</w:t>
            </w:r>
          </w:p>
        </w:tc>
        <w:tc>
          <w:tcPr>
            <w:tcW w:w="6523" w:type="dxa"/>
          </w:tcPr>
          <w:p>
            <w:pPr>
              <w:rPr>
                <w:b/>
              </w:rPr>
            </w:pPr>
            <w:r>
              <w:rPr>
                <w:rFonts w:hint="eastAsia"/>
                <w:bCs/>
                <w:szCs w:val="21"/>
              </w:rPr>
              <w:t>在免费保修期内，一旦发生质量问题，中标人保证在接到通知</w:t>
            </w:r>
            <w:r>
              <w:rPr>
                <w:rFonts w:hint="eastAsia"/>
                <w:bCs/>
                <w:szCs w:val="21"/>
                <w:lang w:val="en-US" w:eastAsia="zh-CN"/>
              </w:rPr>
              <w:t>24</w:t>
            </w:r>
            <w:r>
              <w:rPr>
                <w:rFonts w:hint="eastAsia"/>
                <w:bCs/>
                <w:szCs w:val="21"/>
              </w:rPr>
              <w:t>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vMerge w:val="restart"/>
            <w:vAlign w:val="center"/>
          </w:tcPr>
          <w:p>
            <w:pPr>
              <w:jc w:val="center"/>
              <w:rPr>
                <w:szCs w:val="21"/>
              </w:rPr>
            </w:pPr>
            <w:r>
              <w:rPr>
                <w:rFonts w:hint="eastAsia"/>
                <w:szCs w:val="21"/>
              </w:rPr>
              <w:t>2</w:t>
            </w:r>
          </w:p>
        </w:tc>
        <w:tc>
          <w:tcPr>
            <w:tcW w:w="1457" w:type="dxa"/>
            <w:vMerge w:val="restart"/>
            <w:vAlign w:val="center"/>
          </w:tcPr>
          <w:p>
            <w:pPr>
              <w:jc w:val="center"/>
              <w:rPr>
                <w:szCs w:val="21"/>
              </w:rPr>
            </w:pPr>
            <w:r>
              <w:rPr>
                <w:rFonts w:hint="eastAsia"/>
                <w:szCs w:val="21"/>
              </w:rPr>
              <w:t>免费保修期</w:t>
            </w:r>
          </w:p>
        </w:tc>
        <w:tc>
          <w:tcPr>
            <w:tcW w:w="6523" w:type="dxa"/>
          </w:tcPr>
          <w:p>
            <w:pPr>
              <w:rPr>
                <w:b/>
                <w:szCs w:val="21"/>
              </w:rPr>
            </w:pPr>
            <w:r>
              <w:rPr>
                <w:rFonts w:hint="eastAsia"/>
                <w:bCs/>
                <w:szCs w:val="21"/>
              </w:rPr>
              <w:t>★1</w:t>
            </w:r>
            <w:r>
              <w:rPr>
                <w:bCs/>
                <w:szCs w:val="21"/>
              </w:rPr>
              <w:t>.</w:t>
            </w:r>
            <w:r>
              <w:rPr>
                <w:rFonts w:hint="eastAsia"/>
                <w:bCs/>
                <w:szCs w:val="21"/>
              </w:rPr>
              <w:t>货物免费保修期</w:t>
            </w:r>
            <w:r>
              <w:rPr>
                <w:rFonts w:hint="eastAsia"/>
                <w:bCs/>
                <w:color w:val="FF0000"/>
                <w:szCs w:val="21"/>
                <w:u w:val="single"/>
              </w:rPr>
              <w:t xml:space="preserve">  </w:t>
            </w:r>
            <w:r>
              <w:rPr>
                <w:rFonts w:hint="eastAsia"/>
                <w:bCs/>
                <w:color w:val="FF0000"/>
                <w:szCs w:val="21"/>
                <w:u w:val="single"/>
                <w:lang w:val="en-US" w:eastAsia="zh-CN"/>
              </w:rPr>
              <w:t>2</w:t>
            </w:r>
            <w:r>
              <w:rPr>
                <w:rFonts w:hint="eastAsia"/>
                <w:bCs/>
                <w:color w:val="FF0000"/>
                <w:szCs w:val="21"/>
                <w:u w:val="single"/>
              </w:rPr>
              <w:t xml:space="preserve"> </w:t>
            </w:r>
            <w:r>
              <w:rPr>
                <w:rFonts w:hint="eastAsia"/>
                <w:bCs/>
                <w:color w:val="FF0000"/>
                <w:szCs w:val="21"/>
              </w:rPr>
              <w:t>年，</w:t>
            </w:r>
            <w:r>
              <w:rPr>
                <w:rFonts w:hint="eastAsia"/>
                <w:bCs/>
                <w:szCs w:val="21"/>
              </w:rPr>
              <w:t>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Merge w:val="continue"/>
            <w:vAlign w:val="center"/>
          </w:tcPr>
          <w:p>
            <w:pPr>
              <w:jc w:val="center"/>
              <w:rPr>
                <w:b/>
              </w:rPr>
            </w:pPr>
          </w:p>
        </w:tc>
        <w:tc>
          <w:tcPr>
            <w:tcW w:w="1457" w:type="dxa"/>
            <w:vMerge w:val="continue"/>
            <w:vAlign w:val="center"/>
          </w:tcPr>
          <w:p/>
        </w:tc>
        <w:tc>
          <w:tcPr>
            <w:tcW w:w="6523" w:type="dxa"/>
            <w:vAlign w:val="center"/>
          </w:tcPr>
          <w:p>
            <w:pPr>
              <w:rPr>
                <w:bCs/>
                <w:szCs w:val="21"/>
              </w:rPr>
            </w:pPr>
            <w:r>
              <w:rPr>
                <w:rFonts w:hint="eastAsia"/>
                <w:bCs/>
                <w:szCs w:val="21"/>
              </w:rPr>
              <w:t>★2</w:t>
            </w:r>
            <w:r>
              <w:rPr>
                <w:bCs/>
                <w:szCs w:val="21"/>
              </w:rPr>
              <w:t>.</w:t>
            </w:r>
            <w:r>
              <w:rPr>
                <w:rFonts w:hint="eastAsia"/>
                <w:bCs/>
                <w:szCs w:val="21"/>
              </w:rPr>
              <w:t>免费保修期内，</w:t>
            </w:r>
            <w:r>
              <w:rPr>
                <w:rFonts w:hint="eastAsia"/>
                <w:color w:val="000000"/>
                <w:szCs w:val="21"/>
              </w:rPr>
              <w:t>所有服务及配件全部免费。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pPr>
              <w:jc w:val="center"/>
              <w:rPr>
                <w:b/>
              </w:rPr>
            </w:pPr>
            <w:r>
              <w:rPr>
                <w:rFonts w:hint="eastAsia"/>
                <w:szCs w:val="21"/>
              </w:rPr>
              <w:t>3</w:t>
            </w:r>
          </w:p>
        </w:tc>
        <w:tc>
          <w:tcPr>
            <w:tcW w:w="1457" w:type="dxa"/>
            <w:vAlign w:val="center"/>
          </w:tcPr>
          <w:p>
            <w:pPr>
              <w:jc w:val="center"/>
              <w:rPr>
                <w:b/>
              </w:rPr>
            </w:pPr>
            <w:r>
              <w:rPr>
                <w:rFonts w:hint="eastAsia"/>
                <w:szCs w:val="21"/>
              </w:rPr>
              <w:t>技术文件</w:t>
            </w:r>
          </w:p>
        </w:tc>
        <w:tc>
          <w:tcPr>
            <w:tcW w:w="6523" w:type="dxa"/>
            <w:vAlign w:val="center"/>
          </w:tcPr>
          <w:p>
            <w:pPr>
              <w:rPr>
                <w:bCs/>
              </w:rPr>
            </w:pPr>
            <w:r>
              <w:rPr>
                <w:rFonts w:hint="eastAsia"/>
                <w:bCs/>
              </w:rPr>
              <w:t>供应商应提供全套、完整的书面技术资料，包括仪器说明书、操作手册、简单维修说明、图纸等。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pPr>
              <w:jc w:val="center"/>
              <w:rPr>
                <w:bCs/>
              </w:rPr>
            </w:pPr>
            <w:r>
              <w:rPr>
                <w:rFonts w:hint="eastAsia"/>
                <w:bCs/>
              </w:rPr>
              <w:t>4</w:t>
            </w:r>
          </w:p>
        </w:tc>
        <w:tc>
          <w:tcPr>
            <w:tcW w:w="1457" w:type="dxa"/>
            <w:vAlign w:val="center"/>
          </w:tcPr>
          <w:p>
            <w:pPr>
              <w:jc w:val="center"/>
              <w:rPr>
                <w:bCs/>
              </w:rPr>
            </w:pPr>
            <w:r>
              <w:rPr>
                <w:rFonts w:hint="eastAsia"/>
                <w:szCs w:val="21"/>
              </w:rPr>
              <w:t>安装调试</w:t>
            </w:r>
          </w:p>
        </w:tc>
        <w:tc>
          <w:tcPr>
            <w:tcW w:w="6523" w:type="dxa"/>
            <w:vAlign w:val="center"/>
          </w:tcPr>
          <w:p>
            <w:pPr>
              <w:rPr>
                <w:rFonts w:hint="default" w:ascii="Times New Roman" w:hAnsi="Times New Roman" w:eastAsia="宋体" w:cs="Times New Roman"/>
                <w:bCs/>
                <w:lang w:val="en-US"/>
              </w:rPr>
            </w:pPr>
            <w:r>
              <w:rPr>
                <w:rFonts w:hint="eastAsia" w:ascii="Times New Roman" w:hAnsi="Times New Roman" w:eastAsia="宋体" w:cs="Times New Roman"/>
                <w:bCs/>
              </w:rPr>
              <w:t>中标人在合同生效后应</w:t>
            </w:r>
            <w:r>
              <w:rPr>
                <w:rFonts w:hint="eastAsia" w:ascii="Times New Roman" w:hAnsi="Times New Roman" w:eastAsia="宋体" w:cs="Times New Roman"/>
                <w:bCs/>
                <w:lang w:val="en-US" w:eastAsia="zh-CN"/>
              </w:rPr>
              <w:t>按</w:t>
            </w:r>
            <w:r>
              <w:rPr>
                <w:rFonts w:hint="eastAsia" w:ascii="Times New Roman" w:hAnsi="Times New Roman" w:eastAsia="宋体" w:cs="Times New Roman"/>
                <w:bCs/>
              </w:rPr>
              <w:t>采购人（用户）</w:t>
            </w:r>
            <w:r>
              <w:rPr>
                <w:rFonts w:hint="eastAsia" w:ascii="Times New Roman" w:hAnsi="Times New Roman" w:eastAsia="宋体" w:cs="Times New Roman"/>
                <w:bCs/>
                <w:lang w:val="en-US" w:eastAsia="zh-CN"/>
              </w:rPr>
              <w:t>要求在指定位置安装设备并调试。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3"/>
            <w:vAlign w:val="center"/>
          </w:tcPr>
          <w:p>
            <w:pPr>
              <w:spacing w:line="360" w:lineRule="exact"/>
              <w:rPr>
                <w:rFonts w:ascii="宋体" w:hAnsi="宋体"/>
                <w:b/>
              </w:rPr>
            </w:pPr>
            <w:r>
              <w:rPr>
                <w:rFonts w:hint="eastAsia" w:ascii="宋体" w:hAnsi="宋体"/>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pPr>
              <w:spacing w:line="360" w:lineRule="exact"/>
              <w:jc w:val="center"/>
              <w:rPr>
                <w:rFonts w:ascii="宋体" w:hAnsi="宋体"/>
                <w:b/>
                <w:sz w:val="20"/>
                <w:szCs w:val="20"/>
              </w:rPr>
            </w:pPr>
            <w:r>
              <w:rPr>
                <w:rFonts w:hint="eastAsia" w:ascii="宋体" w:hAnsi="宋体"/>
                <w:b/>
                <w:sz w:val="20"/>
                <w:szCs w:val="20"/>
              </w:rPr>
              <w:t>1</w:t>
            </w:r>
          </w:p>
        </w:tc>
        <w:tc>
          <w:tcPr>
            <w:tcW w:w="1457" w:type="dxa"/>
            <w:vMerge w:val="restart"/>
            <w:vAlign w:val="center"/>
          </w:tcPr>
          <w:p>
            <w:pPr>
              <w:spacing w:line="360" w:lineRule="exact"/>
              <w:jc w:val="center"/>
              <w:rPr>
                <w:rFonts w:ascii="宋体" w:hAnsi="宋体"/>
                <w:b/>
                <w:color w:val="000000"/>
                <w:sz w:val="20"/>
                <w:szCs w:val="20"/>
              </w:rPr>
            </w:pPr>
            <w:r>
              <w:rPr>
                <w:rStyle w:val="21"/>
                <w:rFonts w:hint="eastAsia" w:ascii="宋体" w:hAnsi="宋体" w:cs="宋体"/>
                <w:color w:val="000000"/>
                <w:sz w:val="20"/>
                <w:szCs w:val="20"/>
              </w:rPr>
              <w:t>维修零配件、消耗品和延续保修合同的报价</w:t>
            </w:r>
          </w:p>
        </w:tc>
        <w:tc>
          <w:tcPr>
            <w:tcW w:w="6523" w:type="dxa"/>
            <w:vAlign w:val="center"/>
          </w:tcPr>
          <w:p>
            <w:p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1.1由设备制造商提供售后服务，</w:t>
            </w:r>
            <w:r>
              <w:rPr>
                <w:rFonts w:hint="eastAsia" w:ascii="宋体" w:hAnsi="宋体" w:eastAsia="宋体" w:cs="宋体"/>
                <w:color w:val="000000"/>
                <w:sz w:val="21"/>
                <w:szCs w:val="21"/>
                <w:u w:val="single"/>
                <w:lang w:val="en-US" w:eastAsia="zh-CN"/>
              </w:rPr>
              <w:t xml:space="preserve"> 1 </w:t>
            </w:r>
            <w:r>
              <w:rPr>
                <w:rFonts w:hint="eastAsia" w:ascii="宋体" w:hAnsi="宋体" w:eastAsia="宋体" w:cs="宋体"/>
                <w:color w:val="000000"/>
                <w:sz w:val="21"/>
                <w:szCs w:val="21"/>
                <w:lang w:val="en-US" w:eastAsia="zh-CN"/>
              </w:rPr>
              <w:t>小时内响应，</w:t>
            </w:r>
            <w:r>
              <w:rPr>
                <w:rFonts w:hint="eastAsia" w:ascii="宋体" w:hAnsi="宋体" w:eastAsia="宋体" w:cs="宋体"/>
                <w:color w:val="000000"/>
                <w:sz w:val="21"/>
                <w:szCs w:val="21"/>
                <w:u w:val="single"/>
                <w:lang w:val="en-US" w:eastAsia="zh-CN"/>
              </w:rPr>
              <w:t xml:space="preserve"> 24 </w:t>
            </w:r>
            <w:r>
              <w:rPr>
                <w:rFonts w:hint="eastAsia" w:ascii="宋体" w:hAnsi="宋体" w:eastAsia="宋体" w:cs="宋体"/>
                <w:color w:val="000000"/>
                <w:sz w:val="21"/>
                <w:szCs w:val="21"/>
                <w:lang w:val="en-US" w:eastAsia="zh-CN"/>
              </w:rPr>
              <w:t>小时维修到位，并在</w:t>
            </w:r>
            <w:r>
              <w:rPr>
                <w:rFonts w:hint="eastAsia" w:ascii="宋体" w:hAnsi="宋体" w:eastAsia="宋体" w:cs="宋体"/>
                <w:color w:val="000000"/>
                <w:sz w:val="21"/>
                <w:szCs w:val="21"/>
                <w:u w:val="single"/>
                <w:lang w:val="en-US" w:eastAsia="zh-CN"/>
              </w:rPr>
              <w:t>48</w:t>
            </w:r>
            <w:r>
              <w:rPr>
                <w:rFonts w:hint="eastAsia" w:ascii="宋体" w:hAnsi="宋体" w:eastAsia="宋体" w:cs="宋体"/>
                <w:color w:val="000000"/>
                <w:sz w:val="21"/>
                <w:szCs w:val="21"/>
                <w:lang w:val="en-US" w:eastAsia="zh-CN"/>
              </w:rPr>
              <w:t>小时内消除故障（不可抗力情况除外）。消耗品和零配件供应及时，特殊情况下可提供备用机。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ascii="宋体" w:hAnsi="宋体"/>
                <w:b/>
              </w:rPr>
            </w:pPr>
          </w:p>
        </w:tc>
        <w:tc>
          <w:tcPr>
            <w:tcW w:w="1457" w:type="dxa"/>
            <w:vMerge w:val="continue"/>
            <w:vAlign w:val="center"/>
          </w:tcPr>
          <w:p>
            <w:pPr>
              <w:spacing w:line="360" w:lineRule="exact"/>
              <w:rPr>
                <w:rStyle w:val="21"/>
                <w:rFonts w:ascii="宋体" w:hAnsi="宋体" w:cs="宋体"/>
                <w:color w:val="000000"/>
                <w:sz w:val="20"/>
                <w:szCs w:val="20"/>
              </w:rPr>
            </w:pPr>
          </w:p>
        </w:tc>
        <w:tc>
          <w:tcPr>
            <w:tcW w:w="6523" w:type="dxa"/>
            <w:vAlign w:val="center"/>
          </w:tcPr>
          <w:p>
            <w:pPr>
              <w:spacing w:line="360" w:lineRule="exac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w:t>
            </w:r>
            <w:r>
              <w:rPr>
                <w:rFonts w:hint="eastAsia" w:ascii="宋体" w:hAnsi="宋体"/>
              </w:rPr>
              <w:t>免费保修期满后，</w:t>
            </w:r>
            <w:r>
              <w:rPr>
                <w:rFonts w:hint="eastAsia" w:ascii="宋体" w:hAnsi="宋体"/>
                <w:szCs w:val="21"/>
              </w:rPr>
              <w:t>中标人</w:t>
            </w:r>
            <w:r>
              <w:rPr>
                <w:rFonts w:hint="eastAsia" w:ascii="宋体" w:hAnsi="宋体"/>
              </w:rPr>
              <w:t>应继续支持维修，并以优惠价供应维修零配件、消耗品和延续保修合同。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3"/>
            <w:vAlign w:val="center"/>
          </w:tcPr>
          <w:p>
            <w:pPr>
              <w:spacing w:line="360" w:lineRule="exact"/>
              <w:rPr>
                <w:rFonts w:ascii="宋体" w:hAnsi="宋体"/>
                <w:b/>
              </w:rPr>
            </w:pPr>
            <w:r>
              <w:rPr>
                <w:rFonts w:hint="eastAsia" w:ascii="宋体" w:hAnsi="宋体"/>
                <w:kern w:val="0"/>
                <w:szCs w:val="21"/>
              </w:rPr>
              <w:t>★</w:t>
            </w:r>
            <w:r>
              <w:rPr>
                <w:rFonts w:hint="eastAsia" w:ascii="宋体" w:hAnsi="宋体"/>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pPr>
              <w:spacing w:line="360" w:lineRule="exact"/>
              <w:jc w:val="center"/>
              <w:rPr>
                <w:rFonts w:hint="eastAsia" w:ascii="宋体" w:hAnsi="宋体" w:eastAsia="宋体"/>
                <w:b/>
                <w:sz w:val="20"/>
                <w:szCs w:val="20"/>
                <w:lang w:eastAsia="zh-CN"/>
              </w:rPr>
            </w:pPr>
            <w:r>
              <w:rPr>
                <w:rFonts w:hint="eastAsia" w:ascii="宋体" w:hAnsi="宋体"/>
                <w:b/>
                <w:sz w:val="20"/>
                <w:szCs w:val="20"/>
                <w:lang w:eastAsia="zh-CN"/>
              </w:rPr>
              <w:t>1</w:t>
            </w:r>
          </w:p>
        </w:tc>
        <w:tc>
          <w:tcPr>
            <w:tcW w:w="1457" w:type="dxa"/>
            <w:vMerge w:val="restart"/>
            <w:vAlign w:val="center"/>
          </w:tcPr>
          <w:p>
            <w:pPr>
              <w:spacing w:line="360" w:lineRule="exact"/>
              <w:jc w:val="center"/>
              <w:rPr>
                <w:rFonts w:hint="eastAsia" w:ascii="宋体" w:hAnsi="宋体"/>
                <w:b/>
                <w:sz w:val="20"/>
                <w:szCs w:val="20"/>
              </w:rPr>
            </w:pPr>
            <w:r>
              <w:rPr>
                <w:rFonts w:hint="eastAsia" w:ascii="宋体" w:hAnsi="宋体"/>
                <w:b/>
                <w:sz w:val="20"/>
                <w:szCs w:val="20"/>
              </w:rPr>
              <w:t>违约责任</w:t>
            </w:r>
          </w:p>
        </w:tc>
        <w:tc>
          <w:tcPr>
            <w:tcW w:w="6523" w:type="dxa"/>
            <w:vAlign w:val="top"/>
          </w:tcPr>
          <w:p>
            <w:pPr>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.2</w:t>
            </w:r>
            <w:r>
              <w:rPr>
                <w:rFonts w:hint="eastAsia" w:ascii="宋体" w:hAnsi="宋体"/>
                <w:szCs w:val="21"/>
              </w:rPr>
              <w:t>中标人</w:t>
            </w:r>
            <w:r>
              <w:rPr>
                <w:rFonts w:hint="eastAsia"/>
              </w:rPr>
              <w:t>逾期未交货物的，</w:t>
            </w:r>
            <w:r>
              <w:rPr>
                <w:rFonts w:hint="eastAsia" w:ascii="宋体" w:hAnsi="宋体"/>
                <w:szCs w:val="21"/>
              </w:rPr>
              <w:t>中标人</w:t>
            </w:r>
            <w:r>
              <w:rPr>
                <w:rFonts w:hint="eastAsia"/>
              </w:rPr>
              <w:t>向采购人每日偿付货物款</w:t>
            </w:r>
            <w:r>
              <w:rPr>
                <w:rFonts w:hint="eastAsia" w:ascii="宋体" w:hAnsi="宋体"/>
                <w:color w:val="0000FF"/>
                <w:u w:val="single"/>
              </w:rPr>
              <w:t xml:space="preserve"> </w:t>
            </w:r>
            <w:r>
              <w:rPr>
                <w:rFonts w:hint="eastAsia" w:ascii="宋体" w:hAnsi="宋体"/>
                <w:color w:val="0000FF"/>
                <w:u w:val="single"/>
                <w:lang w:val="en-US" w:eastAsia="zh-CN"/>
              </w:rPr>
              <w:t>1%</w:t>
            </w:r>
            <w:r>
              <w:rPr>
                <w:rFonts w:hint="eastAsia" w:ascii="宋体" w:hAnsi="宋体"/>
                <w:color w:val="0000FF"/>
                <w:u w:val="single"/>
              </w:rPr>
              <w:t xml:space="preserve">   </w:t>
            </w:r>
            <w:r>
              <w:rPr>
                <w:rFonts w:hint="eastAsia"/>
              </w:rPr>
              <w:t>的违约金。</w:t>
            </w:r>
            <w:r>
              <w:rPr>
                <w:rFonts w:hint="eastAsia" w:ascii="宋体" w:hAnsi="宋体"/>
                <w:szCs w:val="21"/>
              </w:rPr>
              <w:t>中标人</w:t>
            </w:r>
            <w:r>
              <w:rPr>
                <w:rFonts w:hint="eastAsia"/>
              </w:rPr>
              <w:t>超过交货期限</w:t>
            </w:r>
            <w:r>
              <w:rPr>
                <w:rFonts w:hint="eastAsia" w:ascii="宋体" w:hAnsi="宋体"/>
                <w:color w:val="0000FF"/>
                <w:u w:val="single"/>
              </w:rPr>
              <w:t xml:space="preserve">  </w:t>
            </w:r>
            <w:r>
              <w:rPr>
                <w:rFonts w:hint="eastAsia" w:ascii="宋体" w:hAnsi="宋体"/>
                <w:color w:val="0000FF"/>
                <w:u w:val="single"/>
                <w:lang w:val="en-US" w:eastAsia="zh-CN"/>
              </w:rPr>
              <w:t>10</w:t>
            </w:r>
            <w:r>
              <w:rPr>
                <w:rFonts w:hint="eastAsia" w:ascii="宋体" w:hAnsi="宋体"/>
                <w:color w:val="0000FF"/>
                <w:u w:val="single"/>
              </w:rPr>
              <w:t xml:space="preserve">  </w:t>
            </w:r>
            <w:r>
              <w:rPr>
                <w:rFonts w:hint="eastAsia" w:ascii="宋体" w:hAnsi="宋体"/>
                <w:color w:val="000000" w:themeColor="text1"/>
                <w:u w:val="none"/>
                <w14:textFill>
                  <w14:solidFill>
                    <w14:schemeClr w14:val="tx1"/>
                  </w14:solidFill>
                </w14:textFill>
              </w:rPr>
              <w:t>日</w:t>
            </w:r>
            <w:r>
              <w:rPr>
                <w:rFonts w:hint="eastAsia"/>
              </w:rPr>
              <w:t>仍未交货，采购人有权</w:t>
            </w:r>
            <w:r>
              <w:rPr>
                <w:rFonts w:hint="eastAsia"/>
                <w:lang w:val="en-US" w:eastAsia="zh-CN"/>
              </w:rPr>
              <w:t>依法</w:t>
            </w:r>
            <w:r>
              <w:rPr>
                <w:rFonts w:hint="eastAsia"/>
              </w:rPr>
              <w:t>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hint="eastAsia" w:ascii="宋体" w:hAnsi="宋体"/>
                <w:b/>
                <w:sz w:val="20"/>
                <w:szCs w:val="20"/>
              </w:rPr>
            </w:pPr>
          </w:p>
        </w:tc>
        <w:tc>
          <w:tcPr>
            <w:tcW w:w="1457" w:type="dxa"/>
            <w:vMerge w:val="continue"/>
            <w:vAlign w:val="center"/>
          </w:tcPr>
          <w:p>
            <w:pPr>
              <w:spacing w:line="360" w:lineRule="exact"/>
              <w:jc w:val="center"/>
              <w:rPr>
                <w:rFonts w:hint="eastAsia" w:ascii="宋体" w:hAnsi="宋体"/>
                <w:b/>
                <w:sz w:val="20"/>
                <w:szCs w:val="20"/>
              </w:rPr>
            </w:pPr>
          </w:p>
        </w:tc>
        <w:tc>
          <w:tcPr>
            <w:tcW w:w="6523" w:type="dxa"/>
            <w:vAlign w:val="top"/>
          </w:tcPr>
          <w:p>
            <w:pPr>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.2中标人所交付产品不符合其投标承诺的，或在投标阶段为了中标而盲目虚假承诺、低价恶性竞争，在履约阶段则通过偷工减料、以次充好而获取利润的，</w:t>
            </w:r>
            <w:r>
              <w:rPr>
                <w:rFonts w:hint="eastAsia" w:ascii="宋体" w:hAnsi="宋体" w:cs="宋体"/>
                <w:color w:val="000000"/>
                <w:sz w:val="21"/>
                <w:szCs w:val="21"/>
                <w:lang w:val="en-US" w:eastAsia="zh-CN"/>
              </w:rPr>
              <w:t>采购人</w:t>
            </w:r>
            <w:r>
              <w:rPr>
                <w:rFonts w:hint="eastAsia" w:ascii="宋体" w:hAnsi="宋体" w:cs="宋体"/>
                <w:color w:val="000000"/>
                <w:sz w:val="21"/>
                <w:szCs w:val="21"/>
              </w:rPr>
              <w:t>将根据标的的性质以及损失的大小，可以合理选择要求</w:t>
            </w:r>
            <w:r>
              <w:rPr>
                <w:rFonts w:hint="eastAsia" w:ascii="宋体" w:hAnsi="宋体" w:cs="宋体"/>
                <w:color w:val="000000"/>
                <w:sz w:val="21"/>
                <w:szCs w:val="21"/>
                <w:lang w:val="en-US" w:eastAsia="zh-CN"/>
              </w:rPr>
              <w:t>中标人</w:t>
            </w:r>
            <w:r>
              <w:rPr>
                <w:rFonts w:hint="eastAsia" w:ascii="宋体" w:hAnsi="宋体" w:cs="宋体"/>
                <w:color w:val="000000"/>
                <w:sz w:val="21"/>
                <w:szCs w:val="21"/>
              </w:rPr>
              <w:t>承担修理、更换、重作、退货、减少价款或者报酬等违约责任。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hint="eastAsia" w:ascii="宋体" w:hAnsi="宋体"/>
                <w:b/>
                <w:sz w:val="20"/>
                <w:szCs w:val="20"/>
              </w:rPr>
            </w:pPr>
          </w:p>
        </w:tc>
        <w:tc>
          <w:tcPr>
            <w:tcW w:w="1457" w:type="dxa"/>
            <w:vMerge w:val="continue"/>
            <w:vAlign w:val="center"/>
          </w:tcPr>
          <w:p>
            <w:pPr>
              <w:spacing w:line="360" w:lineRule="exact"/>
              <w:jc w:val="center"/>
              <w:rPr>
                <w:rFonts w:hint="eastAsia" w:ascii="宋体" w:hAnsi="宋体"/>
                <w:b/>
                <w:sz w:val="20"/>
                <w:szCs w:val="20"/>
              </w:rPr>
            </w:pPr>
          </w:p>
        </w:tc>
        <w:tc>
          <w:tcPr>
            <w:tcW w:w="6523" w:type="dxa"/>
            <w:vAlign w:val="top"/>
          </w:tcPr>
          <w:p>
            <w:pPr>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3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pPr>
              <w:spacing w:line="360" w:lineRule="exact"/>
              <w:jc w:val="center"/>
              <w:rPr>
                <w:rFonts w:hint="eastAsia" w:ascii="宋体" w:hAnsi="宋体" w:eastAsia="宋体"/>
                <w:b/>
                <w:bCs w:val="0"/>
                <w:sz w:val="20"/>
                <w:szCs w:val="20"/>
                <w:lang w:eastAsia="zh-CN"/>
              </w:rPr>
            </w:pPr>
            <w:bookmarkStart w:id="14" w:name="_Hlk72260973"/>
            <w:r>
              <w:rPr>
                <w:rFonts w:hint="eastAsia" w:ascii="宋体" w:hAnsi="宋体"/>
                <w:b/>
                <w:bCs w:val="0"/>
                <w:sz w:val="20"/>
                <w:szCs w:val="20"/>
                <w:lang w:val="en-US" w:eastAsia="zh-CN"/>
              </w:rPr>
              <w:t>2</w:t>
            </w:r>
          </w:p>
        </w:tc>
        <w:tc>
          <w:tcPr>
            <w:tcW w:w="1457" w:type="dxa"/>
            <w:vMerge w:val="restart"/>
            <w:vAlign w:val="center"/>
          </w:tcPr>
          <w:p>
            <w:pPr>
              <w:spacing w:line="360" w:lineRule="exact"/>
              <w:jc w:val="center"/>
              <w:rPr>
                <w:rFonts w:hint="default" w:ascii="宋体" w:hAnsi="宋体" w:eastAsia="宋体"/>
                <w:b/>
                <w:bCs w:val="0"/>
                <w:sz w:val="20"/>
                <w:szCs w:val="20"/>
                <w:lang w:val="en-US" w:eastAsia="zh-CN"/>
              </w:rPr>
            </w:pPr>
            <w:r>
              <w:rPr>
                <w:rFonts w:hint="eastAsia" w:ascii="宋体" w:hAnsi="宋体"/>
                <w:b/>
                <w:bCs w:val="0"/>
                <w:sz w:val="20"/>
                <w:szCs w:val="20"/>
              </w:rPr>
              <w:t>交货</w:t>
            </w:r>
            <w:r>
              <w:rPr>
                <w:rFonts w:hint="eastAsia" w:ascii="宋体" w:hAnsi="宋体"/>
                <w:b/>
                <w:bCs w:val="0"/>
                <w:sz w:val="20"/>
                <w:szCs w:val="20"/>
                <w:lang w:val="en-US" w:eastAsia="zh-CN"/>
              </w:rPr>
              <w:t>及付款要求</w:t>
            </w:r>
          </w:p>
        </w:tc>
        <w:tc>
          <w:tcPr>
            <w:tcW w:w="6523" w:type="dxa"/>
            <w:vAlign w:val="center"/>
          </w:tcPr>
          <w:p>
            <w:pPr>
              <w:spacing w:line="360" w:lineRule="auto"/>
              <w:rPr>
                <w:rFonts w:hint="default" w:eastAsia="宋体"/>
                <w:lang w:val="en-US" w:eastAsia="zh-CN"/>
              </w:rPr>
            </w:pPr>
            <w:r>
              <w:rPr>
                <w:rFonts w:hint="eastAsia"/>
                <w:color w:val="FF0000"/>
              </w:rPr>
              <w:t>★</w:t>
            </w:r>
            <w:r>
              <w:rPr>
                <w:rFonts w:hint="eastAsia"/>
                <w:color w:val="FF0000"/>
                <w:lang w:val="en-US" w:eastAsia="zh-CN"/>
              </w:rPr>
              <w:t>2</w:t>
            </w:r>
            <w:r>
              <w:rPr>
                <w:rFonts w:hint="eastAsia"/>
                <w:color w:val="FF0000"/>
              </w:rPr>
              <w:t>.1履约时间和地点：投标供应商在签订合同之日起30天内根据采购人的供货通知一次性或分批交货，交货地点为采购人指定地点。（因分批交货产生的运输、安装及保管等相关费用已包含在合同价内。）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0" w:type="dxa"/>
            <w:vMerge w:val="continue"/>
            <w:vAlign w:val="center"/>
          </w:tcPr>
          <w:p>
            <w:pPr>
              <w:spacing w:line="360" w:lineRule="exact"/>
              <w:jc w:val="center"/>
              <w:rPr>
                <w:rFonts w:ascii="宋体" w:hAnsi="宋体"/>
                <w:b/>
                <w:bCs w:val="0"/>
                <w:sz w:val="20"/>
                <w:szCs w:val="20"/>
              </w:rPr>
            </w:pPr>
          </w:p>
        </w:tc>
        <w:tc>
          <w:tcPr>
            <w:tcW w:w="1457" w:type="dxa"/>
            <w:vMerge w:val="continue"/>
            <w:vAlign w:val="center"/>
          </w:tcPr>
          <w:p>
            <w:pPr>
              <w:spacing w:line="360" w:lineRule="exact"/>
              <w:jc w:val="center"/>
              <w:rPr>
                <w:rFonts w:ascii="宋体" w:hAnsi="宋体"/>
                <w:b/>
                <w:bCs w:val="0"/>
                <w:sz w:val="20"/>
                <w:szCs w:val="20"/>
              </w:rPr>
            </w:pPr>
          </w:p>
        </w:tc>
        <w:tc>
          <w:tcPr>
            <w:tcW w:w="6523" w:type="dxa"/>
            <w:vAlign w:val="center"/>
          </w:tcPr>
          <w:p>
            <w:p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2.2付款期限和方式：</w:t>
            </w:r>
          </w:p>
          <w:p>
            <w:p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1、合同签订后 30 个工作日内，采购人向中标供应商支付合同总价【30】%的款项；</w:t>
            </w:r>
          </w:p>
          <w:p>
            <w:p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2、全部货物送到采购人指定地点，完成安装并验收合格后15个工作日内，采购人向中标供应商支付合同总价【</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0%】的款项；</w:t>
            </w:r>
          </w:p>
          <w:p>
            <w:p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3、验收合格  2年  后，支付剩余合同总价的【</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0】%的尾款；</w:t>
            </w:r>
          </w:p>
          <w:p>
            <w:pPr>
              <w:spacing w:line="36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注:1.根据《深圳市落实采购人主体责任实施办法》第34条规定，对于满足合同约定支付条件的，采购人应当自收到发票后 15 日内将资金支付到合同约定的供应商账户，不得以机构变动、人员更替、政策调整等为由延迟付款，不得将采购文件和合同中未规定的义务作为向供应商付款的条件。</w:t>
            </w:r>
          </w:p>
          <w:p>
            <w:pPr>
              <w:spacing w:line="36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区教育局和使用方应协助采购人申请资金计划，采购人按财政集中支付程序办理付款手续即视为采购人履行付款义务，因中标供应商原因或财政支付程序导致付款延迟，采购人不承担任何责任，中标供应商应继续履行合同约定义务，中标供应商自行解决由此引起的劳务、材料、设备、资金等一切纠纷，并承担因此而发生的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pPr>
              <w:spacing w:line="360" w:lineRule="exact"/>
              <w:jc w:val="center"/>
              <w:rPr>
                <w:rFonts w:hint="default" w:ascii="宋体" w:hAnsi="宋体"/>
                <w:b/>
                <w:bCs w:val="0"/>
                <w:sz w:val="20"/>
                <w:szCs w:val="20"/>
                <w:lang w:val="en-US" w:eastAsia="zh-CN"/>
              </w:rPr>
            </w:pPr>
            <w:r>
              <w:rPr>
                <w:rFonts w:hint="eastAsia" w:ascii="宋体" w:hAnsi="宋体"/>
                <w:b/>
                <w:bCs w:val="0"/>
                <w:sz w:val="20"/>
                <w:szCs w:val="20"/>
                <w:lang w:val="en-US" w:eastAsia="zh-CN"/>
              </w:rPr>
              <w:t>3</w:t>
            </w:r>
          </w:p>
        </w:tc>
        <w:tc>
          <w:tcPr>
            <w:tcW w:w="1457" w:type="dxa"/>
            <w:vAlign w:val="center"/>
          </w:tcPr>
          <w:p>
            <w:pPr>
              <w:spacing w:line="360" w:lineRule="exact"/>
              <w:jc w:val="center"/>
              <w:rPr>
                <w:rStyle w:val="21"/>
                <w:rFonts w:hint="eastAsia" w:ascii="宋体" w:hAnsi="宋体" w:cs="宋体"/>
                <w:b/>
                <w:bCs w:val="0"/>
                <w:color w:val="000000"/>
                <w:sz w:val="20"/>
                <w:szCs w:val="20"/>
              </w:rPr>
            </w:pPr>
            <w:r>
              <w:rPr>
                <w:rFonts w:hint="eastAsia" w:ascii="宋体" w:hAnsi="宋体" w:cs="宋体"/>
                <w:b/>
                <w:bCs w:val="0"/>
                <w:color w:val="000000"/>
                <w:sz w:val="20"/>
                <w:szCs w:val="20"/>
              </w:rPr>
              <w:t>验收条件</w:t>
            </w:r>
          </w:p>
        </w:tc>
        <w:tc>
          <w:tcPr>
            <w:tcW w:w="6523" w:type="dxa"/>
            <w:vAlign w:val="center"/>
          </w:tcPr>
          <w:p>
            <w:pPr>
              <w:spacing w:line="360" w:lineRule="exact"/>
              <w:rPr>
                <w:rFonts w:hint="eastAsia" w:ascii="宋体" w:hAnsi="宋体" w:cs="宋体"/>
                <w:color w:val="000000"/>
                <w:sz w:val="20"/>
                <w:szCs w:val="20"/>
                <w:lang w:val="en-US" w:eastAsia="zh-CN"/>
              </w:rPr>
            </w:pPr>
            <w:r>
              <w:rPr>
                <w:rFonts w:hint="eastAsia" w:ascii="宋体" w:hAnsi="宋体" w:cs="宋体"/>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pPr>
              <w:spacing w:line="360" w:lineRule="exact"/>
              <w:jc w:val="center"/>
              <w:rPr>
                <w:rFonts w:hint="default" w:ascii="宋体" w:hAnsi="宋体"/>
                <w:b/>
                <w:bCs w:val="0"/>
                <w:sz w:val="20"/>
                <w:szCs w:val="20"/>
                <w:lang w:val="en-US" w:eastAsia="zh-CN"/>
              </w:rPr>
            </w:pPr>
            <w:r>
              <w:rPr>
                <w:rFonts w:hint="eastAsia" w:ascii="宋体" w:hAnsi="宋体"/>
                <w:b/>
                <w:bCs w:val="0"/>
                <w:sz w:val="20"/>
                <w:szCs w:val="20"/>
                <w:lang w:val="en-US" w:eastAsia="zh-CN"/>
              </w:rPr>
              <w:t>4</w:t>
            </w:r>
          </w:p>
        </w:tc>
        <w:tc>
          <w:tcPr>
            <w:tcW w:w="1457" w:type="dxa"/>
            <w:vMerge w:val="restart"/>
            <w:vAlign w:val="center"/>
          </w:tcPr>
          <w:p>
            <w:pPr>
              <w:spacing w:line="360" w:lineRule="exact"/>
              <w:jc w:val="center"/>
              <w:rPr>
                <w:rStyle w:val="21"/>
                <w:rFonts w:hint="eastAsia" w:ascii="宋体" w:hAnsi="宋体" w:cs="宋体"/>
                <w:b/>
                <w:bCs w:val="0"/>
                <w:color w:val="000000"/>
                <w:sz w:val="20"/>
                <w:szCs w:val="20"/>
              </w:rPr>
            </w:pPr>
            <w:r>
              <w:rPr>
                <w:rFonts w:hint="eastAsia" w:ascii="宋体" w:hAnsi="宋体" w:cs="宋体"/>
                <w:b/>
                <w:bCs w:val="0"/>
                <w:color w:val="000000"/>
                <w:sz w:val="20"/>
                <w:szCs w:val="20"/>
              </w:rPr>
              <w:t>争议解决方法</w:t>
            </w:r>
          </w:p>
        </w:tc>
        <w:tc>
          <w:tcPr>
            <w:tcW w:w="6523" w:type="dxa"/>
            <w:vAlign w:val="center"/>
          </w:tcPr>
          <w:p>
            <w:pPr>
              <w:spacing w:line="360" w:lineRule="exact"/>
              <w:rPr>
                <w:rFonts w:hint="eastAsia"/>
                <w:lang w:val="en-US" w:eastAsia="zh-CN"/>
              </w:rPr>
            </w:pPr>
            <w:r>
              <w:rPr>
                <w:rFonts w:hint="eastAsia"/>
                <w:lang w:val="en-US" w:eastAsia="zh-CN"/>
              </w:rPr>
              <w:t>4.1</w:t>
            </w:r>
            <w:r>
              <w:rPr>
                <w:rFonts w:hint="eastAsia"/>
              </w:rPr>
              <w:t>违约责任：如投标供应商未按照投标文件中承诺的时间交货或提供服务，投标供应商应承担延期交货和延期服务的违约责任</w:t>
            </w:r>
            <w:r>
              <w:rPr>
                <w:rFonts w:hint="eastAsia"/>
                <w:lang w:eastAsia="zh-CN"/>
              </w:rPr>
              <w:t>，</w:t>
            </w:r>
            <w:r>
              <w:rPr>
                <w:rFonts w:hint="eastAsia" w:ascii="宋体" w:hAnsi="宋体" w:cs="宋体"/>
              </w:rPr>
              <w:t>并赔偿采购人因此造成的实际经济损失</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hint="eastAsia" w:ascii="宋体" w:hAnsi="宋体"/>
                <w:b/>
                <w:bCs w:val="0"/>
                <w:sz w:val="20"/>
                <w:szCs w:val="20"/>
                <w:lang w:val="en-US" w:eastAsia="zh-CN"/>
              </w:rPr>
            </w:pPr>
          </w:p>
        </w:tc>
        <w:tc>
          <w:tcPr>
            <w:tcW w:w="1457" w:type="dxa"/>
            <w:vMerge w:val="continue"/>
            <w:vAlign w:val="center"/>
          </w:tcPr>
          <w:p>
            <w:pPr>
              <w:spacing w:line="360" w:lineRule="exact"/>
              <w:jc w:val="center"/>
              <w:rPr>
                <w:rFonts w:hint="eastAsia" w:ascii="宋体" w:hAnsi="宋体" w:cs="宋体"/>
                <w:b/>
                <w:bCs w:val="0"/>
                <w:color w:val="000000"/>
                <w:sz w:val="20"/>
                <w:szCs w:val="20"/>
              </w:rPr>
            </w:pPr>
          </w:p>
        </w:tc>
        <w:tc>
          <w:tcPr>
            <w:tcW w:w="6523" w:type="dxa"/>
            <w:vAlign w:val="center"/>
          </w:tcPr>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4.2中标人所交设备的品种、型号、规格、质量、功能、技术参数等方面不能实质性满足招标文件要求的，采购人有权拒绝收货，中标人向采购人偿付项目采购金额【10】%的违约金；造成严重后果的，根据《深圳经济特区政府采购条例》第五十七条第（二）款规定，由主管部门对中标人进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hint="eastAsia" w:ascii="宋体" w:hAnsi="宋体"/>
                <w:b/>
                <w:bCs w:val="0"/>
                <w:sz w:val="20"/>
                <w:szCs w:val="20"/>
                <w:lang w:val="en-US" w:eastAsia="zh-CN"/>
              </w:rPr>
            </w:pPr>
          </w:p>
        </w:tc>
        <w:tc>
          <w:tcPr>
            <w:tcW w:w="1457" w:type="dxa"/>
            <w:vMerge w:val="continue"/>
            <w:vAlign w:val="center"/>
          </w:tcPr>
          <w:p>
            <w:pPr>
              <w:spacing w:line="360" w:lineRule="exact"/>
              <w:jc w:val="center"/>
              <w:rPr>
                <w:rFonts w:hint="eastAsia" w:ascii="宋体" w:hAnsi="宋体" w:cs="宋体"/>
                <w:b/>
                <w:bCs w:val="0"/>
                <w:color w:val="000000"/>
                <w:sz w:val="20"/>
                <w:szCs w:val="20"/>
              </w:rPr>
            </w:pPr>
          </w:p>
        </w:tc>
        <w:tc>
          <w:tcPr>
            <w:tcW w:w="6523" w:type="dxa"/>
            <w:vAlign w:val="center"/>
          </w:tcPr>
          <w:p>
            <w:pPr>
              <w:pStyle w:val="2"/>
              <w:spacing w:line="360" w:lineRule="auto"/>
              <w:rPr>
                <w:rFonts w:hint="eastAsia" w:ascii="宋体" w:hAnsi="宋体" w:cs="宋体"/>
                <w:color w:val="000000"/>
                <w:sz w:val="20"/>
                <w:szCs w:val="20"/>
              </w:rPr>
            </w:pPr>
            <w:r>
              <w:rPr>
                <w:rFonts w:hint="eastAsia" w:ascii="宋体" w:hAnsi="宋体" w:cs="宋体"/>
                <w:color w:val="000000"/>
                <w:sz w:val="20"/>
                <w:szCs w:val="20"/>
                <w:lang w:val="en-US" w:eastAsia="zh-CN"/>
              </w:rPr>
              <w:t>4.3</w:t>
            </w:r>
            <w:r>
              <w:rPr>
                <w:rFonts w:hint="eastAsia" w:ascii="宋体" w:hAnsi="宋体" w:cs="宋体"/>
                <w:color w:val="000000"/>
                <w:sz w:val="20"/>
                <w:szCs w:val="20"/>
              </w:rPr>
              <w:t>争议解决方法：</w:t>
            </w:r>
          </w:p>
          <w:p>
            <w:pPr>
              <w:pStyle w:val="2"/>
              <w:spacing w:line="360" w:lineRule="auto"/>
              <w:rPr>
                <w:rFonts w:hint="eastAsia" w:ascii="宋体" w:hAnsi="宋体" w:cs="宋体"/>
                <w:b w:val="0"/>
                <w:bCs w:val="0"/>
                <w:color w:val="000000"/>
                <w:sz w:val="21"/>
                <w:szCs w:val="21"/>
              </w:rPr>
            </w:pPr>
            <w:r>
              <w:rPr>
                <w:rFonts w:hint="eastAsia" w:ascii="宋体" w:hAnsi="宋体" w:cs="宋体"/>
                <w:b w:val="0"/>
                <w:bCs w:val="0"/>
                <w:color w:val="000000"/>
                <w:sz w:val="21"/>
                <w:szCs w:val="21"/>
                <w:lang w:val="en-US" w:eastAsia="zh-CN"/>
              </w:rPr>
              <w:t>a.</w:t>
            </w:r>
            <w:r>
              <w:rPr>
                <w:rFonts w:hint="eastAsia" w:ascii="宋体" w:hAnsi="宋体" w:cs="宋体"/>
                <w:b w:val="0"/>
                <w:bCs w:val="0"/>
                <w:color w:val="000000"/>
                <w:sz w:val="21"/>
                <w:szCs w:val="21"/>
              </w:rPr>
              <w:t>因货物的质量问题发生争议的，应当邀请国家认可的质量检测机构对货物质量进行鉴定。货物符合标准的，鉴定费由采购人承担；货物不符合质量标准的，鉴定费由中标人承担。</w:t>
            </w:r>
          </w:p>
          <w:p>
            <w:pPr>
              <w:spacing w:line="360" w:lineRule="auto"/>
              <w:rPr>
                <w:rFonts w:hint="eastAsia"/>
                <w:lang w:val="en-US" w:eastAsia="zh-CN"/>
              </w:rPr>
            </w:pPr>
            <w:r>
              <w:rPr>
                <w:rFonts w:hint="eastAsia"/>
                <w:lang w:val="en-US" w:eastAsia="zh-CN"/>
              </w:rPr>
              <w:t xml:space="preserve">b. </w:t>
            </w:r>
            <w:r>
              <w:rPr>
                <w:rFonts w:hint="eastAsia"/>
              </w:rPr>
              <w:t>因履行本合同引起的或与本合同有关的争议，采购人、</w:t>
            </w:r>
            <w:r>
              <w:rPr>
                <w:rFonts w:hint="eastAsia" w:ascii="宋体" w:hAnsi="宋体"/>
                <w:szCs w:val="21"/>
              </w:rPr>
              <w:t>中标人</w:t>
            </w:r>
            <w:r>
              <w:rPr>
                <w:rFonts w:hint="eastAsia"/>
              </w:rPr>
              <w:t>双方应首先通过友好协商解决，如果协商不能解决争议，则向采购人所在地有管辖权的人民法院提起诉讼；</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pPr>
              <w:spacing w:line="360" w:lineRule="exact"/>
              <w:jc w:val="center"/>
              <w:rPr>
                <w:rFonts w:hint="eastAsia" w:ascii="宋体" w:hAnsi="宋体" w:eastAsia="宋体"/>
                <w:b/>
                <w:sz w:val="20"/>
                <w:szCs w:val="20"/>
                <w:lang w:eastAsia="zh-CN"/>
              </w:rPr>
            </w:pPr>
            <w:r>
              <w:rPr>
                <w:rFonts w:hint="eastAsia" w:ascii="宋体" w:hAnsi="宋体"/>
                <w:b/>
                <w:sz w:val="20"/>
                <w:szCs w:val="20"/>
                <w:lang w:val="en-US" w:eastAsia="zh-CN"/>
              </w:rPr>
              <w:t>5</w:t>
            </w:r>
          </w:p>
        </w:tc>
        <w:tc>
          <w:tcPr>
            <w:tcW w:w="1457" w:type="dxa"/>
            <w:vAlign w:val="center"/>
          </w:tcPr>
          <w:p>
            <w:pPr>
              <w:spacing w:line="360" w:lineRule="exact"/>
              <w:jc w:val="center"/>
              <w:rPr>
                <w:rFonts w:ascii="宋体" w:hAnsi="宋体"/>
                <w:color w:val="000000"/>
                <w:sz w:val="20"/>
                <w:szCs w:val="20"/>
              </w:rPr>
            </w:pPr>
            <w:r>
              <w:rPr>
                <w:rStyle w:val="21"/>
                <w:rFonts w:hint="eastAsia" w:ascii="宋体" w:hAnsi="宋体" w:cs="宋体"/>
                <w:color w:val="000000"/>
                <w:sz w:val="20"/>
                <w:szCs w:val="20"/>
              </w:rPr>
              <w:t>运输、安装条件</w:t>
            </w:r>
          </w:p>
        </w:tc>
        <w:tc>
          <w:tcPr>
            <w:tcW w:w="6523" w:type="dxa"/>
            <w:vAlign w:val="center"/>
          </w:tcPr>
          <w:p>
            <w:pPr>
              <w:spacing w:line="360" w:lineRule="exact"/>
              <w:rPr>
                <w:rFonts w:ascii="宋体" w:hAnsi="宋体"/>
                <w:bCs/>
                <w:color w:val="000000"/>
                <w:sz w:val="21"/>
                <w:szCs w:val="21"/>
              </w:rPr>
            </w:pPr>
            <w:r>
              <w:rPr>
                <w:rFonts w:hint="eastAsia" w:ascii="宋体" w:hAnsi="宋体" w:cs="宋体"/>
                <w:color w:val="000000"/>
                <w:sz w:val="21"/>
                <w:szCs w:val="21"/>
                <w:lang w:val="en-US" w:eastAsia="zh-CN"/>
              </w:rPr>
              <w:t>5</w:t>
            </w:r>
            <w:r>
              <w:rPr>
                <w:rFonts w:hint="eastAsia" w:ascii="宋体" w:hAnsi="宋体" w:cs="宋体"/>
                <w:color w:val="000000"/>
                <w:sz w:val="21"/>
                <w:szCs w:val="21"/>
              </w:rPr>
              <w:t>.1 投标供应商须在签订合同之日起 3天内向采购人提供设备的运行、安装、使用环境要求。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pPr>
              <w:spacing w:line="360" w:lineRule="exact"/>
              <w:jc w:val="center"/>
              <w:rPr>
                <w:rFonts w:hint="eastAsia" w:ascii="宋体" w:hAnsi="宋体" w:eastAsia="宋体"/>
                <w:b/>
                <w:sz w:val="20"/>
                <w:szCs w:val="20"/>
                <w:lang w:eastAsia="zh-CN"/>
              </w:rPr>
            </w:pPr>
            <w:r>
              <w:rPr>
                <w:rFonts w:hint="eastAsia" w:ascii="宋体" w:hAnsi="宋体"/>
                <w:b/>
                <w:sz w:val="20"/>
                <w:szCs w:val="20"/>
                <w:lang w:val="en-US" w:eastAsia="zh-CN"/>
              </w:rPr>
              <w:t>6</w:t>
            </w:r>
          </w:p>
        </w:tc>
        <w:tc>
          <w:tcPr>
            <w:tcW w:w="1457" w:type="dxa"/>
            <w:vMerge w:val="restart"/>
            <w:vAlign w:val="center"/>
          </w:tcPr>
          <w:p>
            <w:pPr>
              <w:spacing w:line="360" w:lineRule="exact"/>
              <w:jc w:val="center"/>
              <w:rPr>
                <w:rFonts w:ascii="宋体" w:hAnsi="宋体"/>
                <w:b/>
                <w:sz w:val="20"/>
                <w:szCs w:val="20"/>
              </w:rPr>
            </w:pPr>
            <w:r>
              <w:rPr>
                <w:rFonts w:ascii="宋体" w:hAnsi="宋体"/>
                <w:b/>
                <w:sz w:val="20"/>
                <w:szCs w:val="20"/>
              </w:rPr>
              <w:t>培训</w:t>
            </w:r>
          </w:p>
        </w:tc>
        <w:tc>
          <w:tcPr>
            <w:tcW w:w="6523" w:type="dxa"/>
          </w:tcPr>
          <w:p>
            <w:pPr>
              <w:widowControl/>
              <w:jc w:val="left"/>
              <w:rPr>
                <w:rFonts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.1投标供应商应派专业技术人员免费对采购单位指定人员进行定期培训及指导，直至其完全掌握设备的基本故障处理技术。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ascii="宋体" w:hAnsi="宋体"/>
                <w:b/>
                <w:sz w:val="20"/>
                <w:szCs w:val="20"/>
              </w:rPr>
            </w:pPr>
          </w:p>
        </w:tc>
        <w:tc>
          <w:tcPr>
            <w:tcW w:w="1457" w:type="dxa"/>
            <w:vMerge w:val="continue"/>
            <w:vAlign w:val="center"/>
          </w:tcPr>
          <w:p>
            <w:pPr>
              <w:spacing w:line="360" w:lineRule="exact"/>
              <w:rPr>
                <w:rFonts w:ascii="宋体" w:hAnsi="宋体"/>
                <w:b/>
                <w:sz w:val="20"/>
                <w:szCs w:val="20"/>
              </w:rPr>
            </w:pPr>
          </w:p>
        </w:tc>
        <w:tc>
          <w:tcPr>
            <w:tcW w:w="6523" w:type="dxa"/>
          </w:tcPr>
          <w:p>
            <w:pPr>
              <w:widowControl/>
              <w:jc w:val="left"/>
              <w:rPr>
                <w:rFonts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.2 现场培训：投标供应商应提供现场技术培训，保证使用人员正常操作设备的各种功能。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pPr>
              <w:spacing w:line="360" w:lineRule="exact"/>
              <w:jc w:val="center"/>
              <w:rPr>
                <w:rFonts w:hint="eastAsia" w:ascii="宋体" w:hAnsi="宋体" w:eastAsia="宋体"/>
                <w:b/>
                <w:sz w:val="20"/>
                <w:szCs w:val="20"/>
                <w:lang w:eastAsia="zh-CN"/>
              </w:rPr>
            </w:pPr>
            <w:r>
              <w:rPr>
                <w:rFonts w:hint="eastAsia" w:ascii="宋体" w:hAnsi="宋体"/>
                <w:b/>
                <w:sz w:val="20"/>
                <w:szCs w:val="20"/>
                <w:lang w:val="en-US" w:eastAsia="zh-CN"/>
              </w:rPr>
              <w:t>7</w:t>
            </w:r>
          </w:p>
        </w:tc>
        <w:tc>
          <w:tcPr>
            <w:tcW w:w="1457" w:type="dxa"/>
            <w:vMerge w:val="restart"/>
            <w:vAlign w:val="center"/>
          </w:tcPr>
          <w:p>
            <w:pPr>
              <w:spacing w:line="360" w:lineRule="exact"/>
              <w:jc w:val="center"/>
              <w:rPr>
                <w:rFonts w:ascii="宋体" w:hAnsi="宋体"/>
                <w:b/>
                <w:sz w:val="20"/>
                <w:szCs w:val="20"/>
              </w:rPr>
            </w:pPr>
            <w:r>
              <w:rPr>
                <w:rFonts w:ascii="宋体" w:hAnsi="宋体"/>
                <w:b/>
                <w:sz w:val="20"/>
                <w:szCs w:val="20"/>
              </w:rPr>
              <w:t>知识产权</w:t>
            </w:r>
          </w:p>
        </w:tc>
        <w:tc>
          <w:tcPr>
            <w:tcW w:w="6523" w:type="dxa"/>
          </w:tcPr>
          <w:p>
            <w:pPr>
              <w:rPr>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.1涉及采购标的的知识产权归属、处理的，</w:t>
            </w:r>
            <w:r>
              <w:rPr>
                <w:rFonts w:hint="eastAsia" w:ascii="宋体" w:hAnsi="宋体" w:cs="宋体"/>
                <w:color w:val="000000"/>
                <w:sz w:val="21"/>
                <w:szCs w:val="21"/>
                <w:lang w:val="en-US" w:eastAsia="zh-CN"/>
              </w:rPr>
              <w:t>应</w:t>
            </w:r>
            <w:r>
              <w:rPr>
                <w:rFonts w:hint="eastAsia" w:ascii="宋体" w:hAnsi="宋体" w:cs="宋体"/>
                <w:color w:val="000000"/>
                <w:sz w:val="21"/>
                <w:szCs w:val="21"/>
              </w:rPr>
              <w:t>约定知识产权的归属和处理方式。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pPr>
              <w:spacing w:line="360" w:lineRule="exact"/>
              <w:jc w:val="center"/>
              <w:rPr>
                <w:rFonts w:ascii="宋体" w:hAnsi="宋体"/>
                <w:b/>
              </w:rPr>
            </w:pPr>
          </w:p>
        </w:tc>
        <w:tc>
          <w:tcPr>
            <w:tcW w:w="1457" w:type="dxa"/>
            <w:vMerge w:val="continue"/>
            <w:vAlign w:val="center"/>
          </w:tcPr>
          <w:p>
            <w:pPr>
              <w:spacing w:line="360" w:lineRule="exact"/>
              <w:rPr>
                <w:rFonts w:ascii="宋体" w:hAnsi="宋体"/>
                <w:b/>
              </w:rPr>
            </w:pPr>
          </w:p>
        </w:tc>
        <w:tc>
          <w:tcPr>
            <w:tcW w:w="6523" w:type="dxa"/>
          </w:tcPr>
          <w:p>
            <w:pPr>
              <w:widowControl/>
              <w:jc w:val="left"/>
              <w:rPr>
                <w:rFonts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pPr>
              <w:spacing w:line="360" w:lineRule="exact"/>
              <w:jc w:val="center"/>
              <w:rPr>
                <w:rFonts w:hint="eastAsia" w:ascii="宋体" w:hAnsi="宋体" w:eastAsia="宋体"/>
                <w:b/>
                <w:lang w:eastAsia="zh-CN"/>
              </w:rPr>
            </w:pPr>
            <w:r>
              <w:rPr>
                <w:rFonts w:hint="eastAsia"/>
                <w:b/>
                <w:lang w:val="en-US" w:eastAsia="zh-CN"/>
              </w:rPr>
              <w:t>8</w:t>
            </w:r>
          </w:p>
        </w:tc>
        <w:tc>
          <w:tcPr>
            <w:tcW w:w="1457" w:type="dxa"/>
            <w:vAlign w:val="center"/>
          </w:tcPr>
          <w:p>
            <w:pPr>
              <w:spacing w:line="360" w:lineRule="exact"/>
              <w:jc w:val="center"/>
              <w:rPr>
                <w:rFonts w:ascii="宋体" w:hAnsi="宋体"/>
                <w:b/>
              </w:rPr>
            </w:pPr>
            <w:r>
              <w:rPr>
                <w:rFonts w:ascii="宋体" w:hAnsi="宋体"/>
                <w:b/>
                <w:color w:val="000000"/>
                <w:sz w:val="20"/>
                <w:szCs w:val="20"/>
              </w:rPr>
              <w:t>其他</w:t>
            </w:r>
          </w:p>
        </w:tc>
        <w:tc>
          <w:tcPr>
            <w:tcW w:w="6523" w:type="dxa"/>
          </w:tcPr>
          <w:p>
            <w:pPr>
              <w:widowControl/>
              <w:jc w:val="left"/>
              <w:rPr>
                <w:rFonts w:hint="eastAsia" w:ascii="宋体" w:hAnsi="宋体" w:cs="宋体"/>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.1投标供应商应按其投标文件中的承诺，进行其他售后服务工作。</w:t>
            </w:r>
          </w:p>
        </w:tc>
      </w:tr>
    </w:tbl>
    <w:p>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pPr>
        <w:jc w:val="left"/>
        <w:rPr>
          <w:rFonts w:hint="eastAsia" w:ascii="宋体" w:hAnsi="宋体" w:eastAsia="宋体" w:cs="Times New Roman"/>
          <w:b/>
          <w:color w:val="FF0000"/>
          <w:szCs w:val="21"/>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采购技术要求表</w:t>
      </w:r>
    </w:p>
    <w:tbl>
      <w:tblPr>
        <w:tblStyle w:val="18"/>
        <w:tblW w:w="90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960"/>
        <w:gridCol w:w="7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一、双人间宿舍设备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双人组合柜</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3500L*550D*2000H；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2、材质：板材采用E1级18mm环保实木多层免漆夹板制作；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3、所有板材环保，均可通过专业检测机构检测通过；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4、封全自动机械高温热熔同色PVC厚直边；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5、配套铝合金拉手，五金配件；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6、</w:t>
            </w:r>
            <w:r>
              <w:rPr>
                <w:rStyle w:val="47"/>
                <w:b w:val="0"/>
                <w:bCs w:val="0"/>
                <w:color w:val="000000" w:themeColor="text1"/>
                <w:lang w:val="en-US" w:eastAsia="zh-CN" w:bidi="ar"/>
                <w14:textFill>
                  <w14:solidFill>
                    <w14:schemeClr w14:val="tx1"/>
                  </w14:solidFill>
                </w14:textFill>
              </w:rPr>
              <w:t>结构：配有教师办公桌、衣柜、书柜及置物抽屉；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▲7、实木多层免漆夹板甲醛释放限量可通过GB18580-2017《室内装饰装修材料人造板及其制品中甲醛释放限量》及GB/T 39600-2021《人造板及其制品甲醛释放量分级》标准检测</w:t>
            </w:r>
            <w:r>
              <w:rPr>
                <w:rFonts w:hint="eastAsia" w:ascii="宋体" w:hAnsi="宋体" w:eastAsia="宋体" w:cs="宋体"/>
                <w:i w:val="0"/>
                <w:iCs w:val="0"/>
                <w:color w:val="C00000"/>
                <w:kern w:val="0"/>
                <w:sz w:val="21"/>
                <w:szCs w:val="21"/>
                <w:u w:val="none"/>
                <w:lang w:val="en-US" w:eastAsia="zh-CN" w:bidi="ar"/>
              </w:rPr>
              <w:t>。</w:t>
            </w:r>
            <w:r>
              <w:rPr>
                <w:rFonts w:hint="eastAsia" w:ascii="宋体" w:hAnsi="宋体" w:eastAsia="宋体" w:cs="宋体"/>
                <w:b/>
                <w:bCs/>
                <w:i w:val="0"/>
                <w:iCs w:val="0"/>
                <w:color w:val="FF0000"/>
                <w:kern w:val="0"/>
                <w:sz w:val="21"/>
                <w:szCs w:val="21"/>
                <w:u w:val="none"/>
                <w:lang w:val="en-US" w:eastAsia="zh-CN" w:bidi="ar"/>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color w:val="FF0000"/>
                <w:szCs w:val="21"/>
              </w:rPr>
              <w:t>★</w:t>
            </w:r>
            <w:r>
              <w:rPr>
                <w:rFonts w:hint="eastAsia"/>
                <w:color w:val="FF0000"/>
                <w:szCs w:val="21"/>
                <w:lang w:val="en-US" w:eastAsia="zh-CN"/>
              </w:rPr>
              <w:t>8</w:t>
            </w:r>
            <w:r>
              <w:rPr>
                <w:rFonts w:hint="eastAsia" w:ascii="宋体" w:hAnsi="宋体" w:eastAsia="宋体" w:cs="宋体"/>
                <w:i w:val="0"/>
                <w:iCs w:val="0"/>
                <w:color w:val="FF0000"/>
                <w:kern w:val="0"/>
                <w:sz w:val="21"/>
                <w:szCs w:val="21"/>
                <w:u w:val="none"/>
                <w:lang w:val="en-US" w:eastAsia="zh-CN" w:bidi="ar"/>
              </w:rPr>
              <w:t>、</w:t>
            </w:r>
            <w:r>
              <w:rPr>
                <w:rFonts w:hint="eastAsia" w:ascii="宋体" w:hAnsi="宋体" w:cs="宋体"/>
                <w:i w:val="0"/>
                <w:iCs w:val="0"/>
                <w:color w:val="FF0000"/>
                <w:kern w:val="0"/>
                <w:sz w:val="21"/>
                <w:szCs w:val="21"/>
                <w:u w:val="none"/>
                <w:lang w:val="en-US" w:eastAsia="zh-CN" w:bidi="ar"/>
              </w:rPr>
              <w:t>双人组合柜具体结构款式，供应商供货前必须跟使用单位确定好图纸后再供货。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单人床1</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1、规格：≥2000L*1200D*320~1080H；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2、板材采用E1级实木多层免漆夹板制作；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3、板材厚度均为</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4、封全自动机械高温热熔同色PVC厚直边，所用材料均采用环保可通过检测之材料；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5、结构：床头板加软包，软包采用40mm厚舒适海绵外扪西皮；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1、规格：≥500L*420D*500H；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2、结构：板材采用E1级18mm实木多层免漆夹板制作，同色封边，所用材料均采用环保可通过检测之材料；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▲3、生物抗菌型净化高能板甲醛去除功能符合QB/T2761-2006或</w:t>
            </w:r>
            <w:r>
              <w:rPr>
                <w:rFonts w:hint="eastAsia" w:ascii="宋体" w:hAnsi="宋体" w:eastAsia="宋体" w:cs="宋体"/>
                <w:sz w:val="21"/>
                <w:szCs w:val="21"/>
                <w:lang w:val="en-US" w:eastAsia="zh-CN"/>
              </w:rPr>
              <w:t>QB/T 2761-2024</w:t>
            </w:r>
            <w:r>
              <w:rPr>
                <w:rFonts w:hint="eastAsia" w:ascii="宋体" w:hAnsi="宋体" w:eastAsia="宋体" w:cs="宋体"/>
                <w:i w:val="0"/>
                <w:iCs w:val="0"/>
                <w:color w:val="000000"/>
                <w:kern w:val="0"/>
                <w:sz w:val="21"/>
                <w:szCs w:val="21"/>
                <w:u w:val="none"/>
                <w:lang w:val="en-US" w:eastAsia="zh-CN" w:bidi="ar"/>
              </w:rPr>
              <w:t>《室内空气净化产品净化效果测定方法》标准检测，检测结果满足：甲醛去除率≥52%；</w:t>
            </w:r>
            <w:r>
              <w:rPr>
                <w:rFonts w:hint="eastAsia" w:ascii="宋体" w:hAnsi="宋体" w:eastAsia="宋体" w:cs="宋体"/>
                <w:b/>
                <w:bCs/>
                <w:i w:val="0"/>
                <w:iCs w:val="0"/>
                <w:color w:val="FF0000"/>
                <w:kern w:val="0"/>
                <w:sz w:val="21"/>
                <w:szCs w:val="21"/>
                <w:u w:val="none"/>
                <w:lang w:val="en-US" w:eastAsia="zh-CN" w:bidi="ar"/>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4、生物抗菌型净化高能板甲苯去除功能符合QB/T2761-2006《室内空气净化产品净化效果测定方法》标准检测，检测结果满足：甲苯去除率≥21.8%；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5、生物抗菌型净化高能板甲醛释放量符合GB18580-2017《室内装饰装修材料人造板及其制品中甲醛释放限量》及GB/T39600-2021《人造板及其制品甲醛释放量分级》标准检测，检测结果满足：甲醛释放量≤0.025mg/m</w:t>
            </w:r>
            <w:r>
              <w:rPr>
                <w:rStyle w:val="53"/>
                <w:lang w:val="en-US" w:eastAsia="zh-CN" w:bidi="ar"/>
              </w:rPr>
              <w:t>3</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床垫1</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1、规格：≥2000L*1200D；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2、说明：≥100mm厚3E棕垫；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1、规格：≥520L*460D*860H；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2、椅背：尼龙复合材质座椅靠背，厚度为7mm，表面防水易清洁；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3、椅背常规色：黑、白、灰、黄、蓝色五种可选；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4、脚架采用直径19mm管，壁厚足≥1.5mm，四脚架，表面酸洗电镀或静电喷涂处理；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5、带防滑脚垫，整体稳固性高；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6、靠背拉力≥116KG，承重≥180KG；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7、胶背和架子部分采用防滑螺丝连接，防脱落；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▲8、教师椅尼龙靠背材料环保，不含邻苯二甲酸酯类、重金属含量、苯并［ａ］芘、多环芳烃、多溴联苯、多溴联苯醚等有害物质，可通过GB 28481-2012《塑料家具中有害物质限量》标准检测；</w:t>
            </w:r>
            <w:r>
              <w:rPr>
                <w:rFonts w:hint="eastAsia" w:ascii="宋体" w:hAnsi="宋体" w:eastAsia="宋体" w:cs="宋体"/>
                <w:b/>
                <w:bCs/>
                <w:i w:val="0"/>
                <w:iCs w:val="0"/>
                <w:color w:val="FF0000"/>
                <w:kern w:val="0"/>
                <w:sz w:val="21"/>
                <w:szCs w:val="21"/>
                <w:u w:val="none"/>
                <w:lang w:val="en-US" w:eastAsia="zh-CN" w:bidi="ar"/>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二、单人间宿舍设备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单人组合柜</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1、规格：≥2600L*550D*2000H；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2、材质：板材采用E1级18mm环保实木多层免漆夹板制作，所有板材环保，均可通过专业检测机构检测通过，封全自动机械高温热熔同色PVC厚直边，配拉手，五金配件；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3、结构：设计有教师办公桌、衣柜、书柜及高能板储物柜；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▲4、产品性能环保，所用高能板甲醛释放量、苯释放量、甲苯释放量、二甲苯释放量及总挥发性有机化合物（TVOC）释放量均符合SZJG 52-2016《家具成品及原辅材料中有害物质限量》及CCGF-SZ-010-2023《深圳市市场监督管理局家具产品质量监督抽查实施规范》检测及判定标准；</w:t>
            </w:r>
            <w:r>
              <w:rPr>
                <w:rFonts w:hint="eastAsia" w:ascii="宋体" w:hAnsi="宋体"/>
                <w:b/>
                <w:bCs/>
                <w:color w:val="FF0000"/>
                <w:kern w:val="0"/>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如未有检测报告的，提供承诺中标后2个日历日内提供检测报告的承诺函（格式自拟，如虚假响应，我单位依法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color w:val="FF0000"/>
                <w:szCs w:val="21"/>
              </w:rPr>
              <w:t>★</w:t>
            </w:r>
            <w:r>
              <w:rPr>
                <w:rFonts w:hint="eastAsia"/>
                <w:color w:val="FF0000"/>
                <w:szCs w:val="21"/>
                <w:lang w:val="en-US" w:eastAsia="zh-CN"/>
              </w:rPr>
              <w:t>5</w:t>
            </w:r>
            <w:r>
              <w:rPr>
                <w:rFonts w:hint="eastAsia" w:ascii="宋体" w:hAnsi="宋体" w:eastAsia="宋体" w:cs="宋体"/>
                <w:i w:val="0"/>
                <w:iCs w:val="0"/>
                <w:color w:val="FF0000"/>
                <w:kern w:val="0"/>
                <w:sz w:val="21"/>
                <w:szCs w:val="21"/>
                <w:u w:val="none"/>
                <w:lang w:val="en-US" w:eastAsia="zh-CN" w:bidi="ar"/>
              </w:rPr>
              <w:t>、</w:t>
            </w:r>
            <w:r>
              <w:rPr>
                <w:rFonts w:hint="eastAsia" w:ascii="宋体" w:hAnsi="宋体" w:cs="宋体"/>
                <w:i w:val="0"/>
                <w:iCs w:val="0"/>
                <w:color w:val="FF0000"/>
                <w:kern w:val="0"/>
                <w:sz w:val="21"/>
                <w:szCs w:val="21"/>
                <w:u w:val="none"/>
                <w:lang w:val="en-US" w:eastAsia="zh-CN" w:bidi="ar"/>
              </w:rPr>
              <w:t>单人组合柜具体结构款式，供应商供货前必须跟使用单位确定好图纸后再供货。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单人床2</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1、规格：≥2000L*1500D*320~1080H；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2、板材采用E1级实木多层免漆夹板制作；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3、板材厚度均为</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4、封全自动机械高温热熔同色PVC厚直边，所用材料均采用环保可通过检测之材料；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5、结构：床头板加软包，软包采用40mm厚舒适海绵外扪西皮；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床头柜</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1、规格：≥500L*420D*500H；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2、结构：板材采用E1级18mm实木多层免漆夹板制作，同色封边，所用材料均采用环保可通过检测之材料；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3、生物抗菌型净化高能板甲醛去除功能符合QB/T2761-2006《室内空气净化产品净化效果测定方法》标准检测，检测结果满足：甲醛去除率≥52%；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▲4、生物抗菌型净化高能板甲苯去除功能符合QB/T2761-2006或</w:t>
            </w:r>
            <w:r>
              <w:rPr>
                <w:rFonts w:hint="eastAsia" w:ascii="宋体" w:hAnsi="宋体" w:eastAsia="宋体" w:cs="宋体"/>
                <w:sz w:val="21"/>
                <w:szCs w:val="21"/>
                <w:lang w:val="en-US" w:eastAsia="zh-CN"/>
              </w:rPr>
              <w:t>QB/T 2761-2024</w:t>
            </w:r>
            <w:r>
              <w:rPr>
                <w:rFonts w:hint="eastAsia" w:ascii="宋体" w:hAnsi="宋体" w:eastAsia="宋体" w:cs="宋体"/>
                <w:i w:val="0"/>
                <w:iCs w:val="0"/>
                <w:color w:val="000000"/>
                <w:kern w:val="0"/>
                <w:sz w:val="21"/>
                <w:szCs w:val="21"/>
                <w:u w:val="none"/>
                <w:lang w:val="en-US" w:eastAsia="zh-CN" w:bidi="ar"/>
              </w:rPr>
              <w:t>《室内空气净化产品净化效果测定方法》标准检测，检测结果满足：甲苯去除率≥21.8%；</w:t>
            </w:r>
            <w:r>
              <w:rPr>
                <w:rFonts w:hint="eastAsia" w:ascii="宋体" w:hAnsi="宋体" w:eastAsia="宋体" w:cs="宋体"/>
                <w:b/>
                <w:bCs/>
                <w:i w:val="0"/>
                <w:iCs w:val="0"/>
                <w:color w:val="FF0000"/>
                <w:kern w:val="0"/>
                <w:sz w:val="21"/>
                <w:szCs w:val="21"/>
                <w:u w:val="none"/>
                <w:lang w:val="en-US" w:eastAsia="zh-CN" w:bidi="ar"/>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▲5、生物抗菌型净化高能板甲醛释放量符合GB18580-2017《室内装饰装修材料人造板及其制品中甲醛释放限量》及GB/T39600-2021《人造板及其制品甲醛释放量分级》标准检测，检测结果满足：甲醛释放量≤0.025mg/m</w:t>
            </w:r>
            <w:r>
              <w:rPr>
                <w:rStyle w:val="53"/>
                <w:lang w:val="en-US" w:eastAsia="zh-CN" w:bidi="ar"/>
              </w:rPr>
              <w:t>3</w:t>
            </w:r>
            <w:r>
              <w:rPr>
                <w:rFonts w:hint="eastAsia" w:ascii="宋体" w:hAnsi="宋体" w:eastAsia="宋体" w:cs="宋体"/>
                <w:i w:val="0"/>
                <w:iCs w:val="0"/>
                <w:color w:val="C00000"/>
                <w:kern w:val="0"/>
                <w:sz w:val="21"/>
                <w:szCs w:val="21"/>
                <w:u w:val="none"/>
                <w:lang w:val="en-US" w:eastAsia="zh-CN" w:bidi="ar"/>
              </w:rPr>
              <w:t>；</w:t>
            </w:r>
            <w:r>
              <w:rPr>
                <w:rFonts w:hint="eastAsia" w:ascii="宋体" w:hAnsi="宋体" w:eastAsia="宋体" w:cs="宋体"/>
                <w:b/>
                <w:bCs/>
                <w:i w:val="0"/>
                <w:iCs w:val="0"/>
                <w:color w:val="FF0000"/>
                <w:kern w:val="0"/>
                <w:sz w:val="21"/>
                <w:szCs w:val="21"/>
                <w:u w:val="none"/>
                <w:lang w:val="en-US" w:eastAsia="zh-CN" w:bidi="ar"/>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床垫2</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1、规格：≥2000L*1200D；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2、说明：≥100mm厚3E棕垫；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1、规格：≥605L*470D*1015H~1110H（±20mm）；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2、尼龙复合材质座椅靠背，背板大直径镂空，透气性极佳，S型曲线包裹，提供整个背部支撑，可180度后仰，12万次弯曲测试仅0.01变型，四点U形承托，受力均匀；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3、扶手支架采用尼龙复合材质（尼龙+纤材质），升降扶手，不设档高度自由调节，可升降，扶手面手感柔软舒适，联动扶手，手臂覆盖100%。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4、座垫为W型减压透气坐垫，贴合臂部及大腿曲线，调整坐姿，减轻腰背压力，座垫透气、不闷热，采用魔术贴固定，可拆卸。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5、椅脚：加厚尼龙加纤五星椅脚，防爆发底盘及气压棒。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6、设计：在原椅子上根据人体工学设计再增加头枕，伸展自如。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办公椅环保性能、力学性能及物理性能良好：甲醛释放量≤0.04mg/m²h;阻燃性要求达到阻燃Ⅰ级，通过香烟抗引燃特性试验；力学性能要求座面冲击、底座静载荷及椅背往复耐久性均合格，座椅零部件无断裂或豁裂现象，座椅结构无松动，升降机构和旋转机构无失灵等；均可通过QB/T 2280-2016《办公家具、办公椅》标准检测；</w:t>
            </w:r>
            <w:r>
              <w:rPr>
                <w:rFonts w:hint="eastAsia" w:ascii="宋体" w:hAnsi="宋体" w:eastAsia="宋体" w:cs="宋体"/>
                <w:b/>
                <w:bCs/>
                <w:i w:val="0"/>
                <w:iCs w:val="0"/>
                <w:color w:val="FF0000"/>
                <w:kern w:val="0"/>
                <w:sz w:val="21"/>
                <w:szCs w:val="21"/>
                <w:u w:val="none"/>
                <w:lang w:val="en-US" w:eastAsia="zh-CN" w:bidi="ar"/>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▲8、材质环保：办公椅甲醛释放量、苯释放量、甲苯释放量、二甲苯释放量及总挥发性有机化合物（TVOC）释放量均符合SZJG 52-2016《家具成品及原辅材料中有害物质限量》及CCGF-SZ-010-2023《深圳市市场监督管理局家具产品质量监督抽查实施规范》检测及判定标准；</w:t>
            </w:r>
            <w:r>
              <w:rPr>
                <w:rFonts w:hint="eastAsia" w:ascii="宋体" w:hAnsi="宋体"/>
                <w:b/>
                <w:bCs/>
                <w:color w:val="FF0000"/>
                <w:kern w:val="0"/>
              </w:rPr>
              <w:t>(投标时同时提供:①由第三方检验检测机构出具并加盖(或带有)CMA或CNAS标志的检验检测报告扫描件:②上述检验检测报告在全国认证认可信息公共服务平台(认e云)(http://cx.cnca.cn/)的信息查询记录截图。注:对应参数(检验检测项)在检验检测报告中进行标注。如未有检测报告的，提供承诺中标后2个日历日内提供检测报告的承诺函（格式自拟，如虚假响应，我单位依法承担相应责任）</w:t>
            </w:r>
          </w:p>
        </w:tc>
      </w:tr>
    </w:tbl>
    <w:p>
      <w:pPr>
        <w:rPr>
          <w:rFonts w:hint="eastAsia" w:ascii="宋体" w:hAnsi="宋体" w:eastAsia="宋体" w:cs="Times New Roman"/>
          <w:b/>
          <w:color w:val="FF0000"/>
          <w:szCs w:val="21"/>
        </w:rPr>
      </w:pPr>
    </w:p>
    <w:p>
      <w:pPr>
        <w:rPr>
          <w:rFonts w:hint="eastAsia"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spacing w:after="78"/>
        <w:jc w:val="left"/>
        <w:rPr>
          <w:rFonts w:hint="eastAsia" w:ascii="Calibri" w:hAnsi="Calibri" w:eastAsia="宋体" w:cs="Times New Roman"/>
          <w:color w:val="FF0000"/>
          <w:szCs w:val="21"/>
          <w:lang w:val="en-US" w:eastAsia="zh-CN"/>
        </w:rPr>
      </w:pPr>
      <w:r>
        <w:rPr>
          <w:rFonts w:hint="eastAsia" w:ascii="Calibri" w:hAnsi="Calibri" w:eastAsia="宋体" w:cs="Times New Roman"/>
          <w:color w:val="FF0000"/>
          <w:szCs w:val="21"/>
          <w:lang w:eastAsia="zh-CN"/>
        </w:rPr>
        <w:t>（</w:t>
      </w:r>
      <w:r>
        <w:rPr>
          <w:rFonts w:hint="eastAsia" w:ascii="Calibri" w:hAnsi="Calibri" w:eastAsia="宋体" w:cs="Times New Roman"/>
          <w:color w:val="FF0000"/>
          <w:szCs w:val="21"/>
          <w:lang w:val="en-US" w:eastAsia="zh-CN"/>
        </w:rPr>
        <w:t>4</w:t>
      </w:r>
      <w:r>
        <w:rPr>
          <w:rFonts w:hint="eastAsia" w:ascii="Calibri" w:hAnsi="Calibri" w:eastAsia="宋体" w:cs="Times New Roman"/>
          <w:color w:val="FF0000"/>
          <w:szCs w:val="21"/>
          <w:lang w:eastAsia="zh-CN"/>
        </w:rPr>
        <w:t>）</w:t>
      </w:r>
      <w:r>
        <w:rPr>
          <w:rFonts w:hint="eastAsia" w:ascii="Calibri" w:hAnsi="Calibri" w:eastAsia="宋体" w:cs="Times New Roman"/>
          <w:color w:val="FF0000"/>
          <w:szCs w:val="21"/>
          <w:lang w:val="en-US" w:eastAsia="zh-CN"/>
        </w:rPr>
        <w:t>检验（检测）报告若要求具有CMA、CNAS等标识的，若有材料证明相关检测事项不在实施该项检测的机构许可（认可）CMA、CNAS等资质范围或检测范围内的，该检验（检测）报告视为不满足招标文件要求，作负偏离处理。</w:t>
      </w:r>
    </w:p>
    <w:p>
      <w:pPr>
        <w:pStyle w:val="2"/>
        <w:rPr>
          <w:rFonts w:hint="eastAsia" w:eastAsia="宋体"/>
          <w:lang w:eastAsia="zh-CN"/>
        </w:rPr>
      </w:pPr>
    </w:p>
    <w:p>
      <w:pPr>
        <w:pStyle w:val="5"/>
        <w:spacing w:before="156" w:beforeLines="50" w:after="156" w:afterLines="50" w:line="416" w:lineRule="auto"/>
        <w:jc w:val="center"/>
        <w:rPr>
          <w:rFonts w:hint="eastAsia"/>
          <w:szCs w:val="28"/>
        </w:rPr>
      </w:pPr>
      <w:r>
        <w:rPr>
          <w:rFonts w:hint="eastAsia"/>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ascii="宋体" w:hAnsi="宋体" w:eastAsia="宋体" w:cs="Times New Roman"/>
          <w:b/>
          <w:bCs/>
          <w:kern w:val="0"/>
          <w:sz w:val="28"/>
          <w:szCs w:val="28"/>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pStyle w:val="2"/>
      </w:pPr>
      <w:bookmarkStart w:id="15" w:name="_Hlk72257167"/>
    </w:p>
    <w:bookmarkEnd w:id="15"/>
    <w:p>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ind w:firstLine="1200" w:firstLineChars="500"/>
        <w:outlineLvl w:val="0"/>
        <w:rPr>
          <w:rFonts w:hint="eastAsia" w:ascii="宋体" w:hAnsi="宋体"/>
          <w:sz w:val="24"/>
        </w:rPr>
      </w:pPr>
      <w:bookmarkStart w:id="16" w:name="_Hlk72257771"/>
      <w:r>
        <w:rPr>
          <w:rFonts w:hint="eastAsia" w:ascii="宋体" w:hAnsi="宋体"/>
          <w:sz w:val="24"/>
        </w:rPr>
        <w:t>1.投标文件正文，主要包括以下内容：</w:t>
      </w:r>
    </w:p>
    <w:p>
      <w:pPr>
        <w:ind w:left="718" w:leftChars="342" w:firstLine="1417" w:firstLineChars="675"/>
        <w:rPr>
          <w:szCs w:val="21"/>
        </w:rPr>
      </w:pPr>
      <w:r>
        <w:rPr>
          <w:rFonts w:hint="eastAsia"/>
          <w:szCs w:val="21"/>
        </w:rPr>
        <w:t>（1）</w:t>
      </w:r>
      <w:bookmarkStart w:id="17" w:name="_Hlk72070784"/>
      <w:r>
        <w:rPr>
          <w:rFonts w:hint="eastAsia"/>
          <w:szCs w:val="21"/>
        </w:rPr>
        <w:t>投标函</w:t>
      </w:r>
      <w:bookmarkEnd w:id="17"/>
    </w:p>
    <w:p>
      <w:pPr>
        <w:ind w:left="718" w:leftChars="342" w:firstLine="1417" w:firstLineChars="675"/>
        <w:rPr>
          <w:szCs w:val="21"/>
        </w:rPr>
      </w:pPr>
      <w:r>
        <w:rPr>
          <w:rFonts w:hint="eastAsia"/>
          <w:szCs w:val="21"/>
        </w:rPr>
        <w:t>（2）</w:t>
      </w:r>
      <w:bookmarkStart w:id="18" w:name="_Hlk72062521"/>
      <w:r>
        <w:rPr>
          <w:rFonts w:hint="eastAsia"/>
          <w:szCs w:val="21"/>
        </w:rPr>
        <w:t>政府采购投标及履约承诺函</w:t>
      </w:r>
      <w:bookmarkEnd w:id="18"/>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19" w:name="_Hlk72257201"/>
      <w:r>
        <w:rPr>
          <w:rFonts w:hint="eastAsia"/>
          <w:szCs w:val="21"/>
        </w:rPr>
        <w:t>（</w:t>
      </w:r>
      <w:r>
        <w:rPr>
          <w:szCs w:val="21"/>
        </w:rPr>
        <w:t>4</w:t>
      </w:r>
      <w:r>
        <w:rPr>
          <w:rFonts w:hint="eastAsia"/>
          <w:szCs w:val="21"/>
        </w:rPr>
        <w:t>）项目详细报价</w:t>
      </w:r>
    </w:p>
    <w:bookmarkEnd w:id="19"/>
    <w:p>
      <w:pPr>
        <w:ind w:left="718" w:leftChars="342" w:firstLine="1417" w:firstLineChars="675"/>
        <w:rPr>
          <w:rFonts w:hint="eastAsia" w:eastAsiaTheme="minorEastAsia"/>
          <w:szCs w:val="21"/>
          <w:lang w:eastAsia="zh-CN"/>
        </w:rPr>
      </w:pPr>
      <w:r>
        <w:rPr>
          <w:rFonts w:hint="eastAsia"/>
          <w:szCs w:val="21"/>
        </w:rPr>
        <w:t>（5）</w:t>
      </w:r>
      <w:r>
        <w:rPr>
          <w:rFonts w:hint="eastAsia"/>
          <w:szCs w:val="21"/>
          <w:lang w:eastAsia="zh-CN"/>
        </w:rPr>
        <w:t>供应商情况表</w:t>
      </w:r>
    </w:p>
    <w:p>
      <w:pPr>
        <w:ind w:firstLine="1200" w:firstLineChars="500"/>
        <w:outlineLvl w:val="0"/>
        <w:rPr>
          <w:rFonts w:hint="eastAsia" w:ascii="宋体" w:hAnsi="宋体"/>
          <w:sz w:val="24"/>
        </w:rPr>
      </w:pPr>
      <w:r>
        <w:rPr>
          <w:rFonts w:hint="eastAsia" w:ascii="宋体" w:hAnsi="宋体"/>
          <w:sz w:val="24"/>
        </w:rPr>
        <w:t>2.投标文件附件：主要包括以下内容：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）商务要求偏离表</w:t>
      </w:r>
    </w:p>
    <w:p>
      <w:pPr>
        <w:ind w:left="718" w:leftChars="342" w:firstLine="1417" w:firstLineChars="675"/>
        <w:rPr>
          <w:szCs w:val="21"/>
        </w:rPr>
      </w:pPr>
      <w:r>
        <w:rPr>
          <w:rFonts w:hint="eastAsia"/>
          <w:szCs w:val="21"/>
        </w:rPr>
        <w:t>（</w:t>
      </w:r>
      <w:r>
        <w:rPr>
          <w:szCs w:val="21"/>
        </w:rPr>
        <w:t>5</w:t>
      </w:r>
      <w:r>
        <w:rPr>
          <w:rFonts w:hint="eastAsia"/>
          <w:szCs w:val="21"/>
        </w:rPr>
        <w:t>）技术要求偏离表</w:t>
      </w:r>
    </w:p>
    <w:p>
      <w:pPr>
        <w:ind w:left="718" w:leftChars="342" w:firstLine="1417" w:firstLineChars="675"/>
        <w:rPr>
          <w:rFonts w:hint="eastAsia" w:eastAsiaTheme="minorEastAsia"/>
          <w:szCs w:val="21"/>
          <w:lang w:eastAsia="zh-CN"/>
        </w:rPr>
      </w:pPr>
      <w:r>
        <w:rPr>
          <w:rFonts w:hint="eastAsia"/>
          <w:szCs w:val="21"/>
        </w:rPr>
        <w:t>（6）</w:t>
      </w:r>
      <w:r>
        <w:rPr>
          <w:rFonts w:hint="eastAsia"/>
          <w:szCs w:val="21"/>
          <w:lang w:eastAsia="zh-CN"/>
        </w:rPr>
        <w:t>技术</w:t>
      </w:r>
      <w:r>
        <w:rPr>
          <w:rFonts w:hint="eastAsia"/>
          <w:szCs w:val="21"/>
        </w:rPr>
        <w:t>保障措施</w:t>
      </w:r>
    </w:p>
    <w:p>
      <w:pPr>
        <w:ind w:left="718" w:leftChars="342" w:firstLine="1417" w:firstLineChars="675"/>
        <w:rPr>
          <w:rFonts w:hint="eastAsia"/>
          <w:szCs w:val="21"/>
          <w:lang w:eastAsia="zh-CN"/>
        </w:rPr>
      </w:pPr>
      <w:r>
        <w:rPr>
          <w:rFonts w:hint="eastAsia"/>
          <w:szCs w:val="21"/>
          <w:lang w:val="en-US" w:eastAsia="zh-CN"/>
        </w:rPr>
        <w:t>（7</w:t>
      </w:r>
      <w:r>
        <w:rPr>
          <w:rFonts w:hint="eastAsia"/>
          <w:szCs w:val="21"/>
          <w:lang w:eastAsia="zh-CN"/>
        </w:rPr>
        <w:t>）</w:t>
      </w:r>
      <w:r>
        <w:rPr>
          <w:rFonts w:hint="eastAsia" w:ascii="宋体" w:hAnsi="宋体" w:cs="宋体"/>
          <w:szCs w:val="21"/>
        </w:rPr>
        <w:t>项目实施保障措施</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）同类项目业绩</w:t>
      </w:r>
    </w:p>
    <w:p>
      <w:pPr>
        <w:ind w:left="718" w:leftChars="342" w:firstLine="1417" w:firstLineChars="675"/>
        <w:rPr>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投标人认为需要加以说明的其他内容</w:t>
      </w:r>
    </w:p>
    <w:p>
      <w:pPr>
        <w:spacing w:line="320" w:lineRule="atLeast"/>
        <w:rPr>
          <w:rFonts w:hint="eastAsia" w:ascii="宋体" w:hAnsi="宋体"/>
          <w:b/>
          <w:sz w:val="24"/>
          <w:szCs w:val="24"/>
        </w:rPr>
      </w:pPr>
      <w:r>
        <w:rPr>
          <w:rFonts w:hint="eastAsia" w:ascii="宋体" w:hAnsi="宋体"/>
          <w:b/>
          <w:sz w:val="24"/>
          <w:szCs w:val="24"/>
        </w:rPr>
        <w:t>备注：</w:t>
      </w:r>
    </w:p>
    <w:p>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78" w:afterLines="25"/>
        <w:ind w:firstLine="482" w:firstLineChars="200"/>
        <w:rPr>
          <w:rFonts w:hint="eastAsia"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6"/>
      <w:bookmarkEnd w:id="20"/>
      <w:r>
        <w:rPr>
          <w:rFonts w:ascii="宋体" w:hAnsi="宋体" w:eastAsia="黑体" w:cs="Times New Roman"/>
          <w:bCs/>
          <w:kern w:val="44"/>
          <w:sz w:val="32"/>
          <w:szCs w:val="32"/>
        </w:rPr>
        <w:br w:type="page"/>
      </w:r>
    </w:p>
    <w:p>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pPr>
        <w:pStyle w:val="5"/>
        <w:jc w:val="center"/>
        <w:rPr>
          <w:rFonts w:hint="eastAsia" w:ascii="黑体" w:eastAsia="黑体"/>
          <w:b w:val="0"/>
          <w:sz w:val="24"/>
        </w:rPr>
      </w:pPr>
      <w:r>
        <w:rPr>
          <w:rFonts w:hint="eastAsia" w:ascii="黑体" w:eastAsia="黑体"/>
          <w:b w:val="0"/>
          <w:sz w:val="24"/>
        </w:rPr>
        <w:t>一、投标函</w:t>
      </w:r>
    </w:p>
    <w:p>
      <w:pPr>
        <w:spacing w:line="360" w:lineRule="auto"/>
        <w:rPr>
          <w:rFonts w:hint="eastAsia" w:ascii="宋体" w:hAnsi="宋体"/>
          <w:szCs w:val="21"/>
        </w:rPr>
      </w:pPr>
      <w:bookmarkStart w:id="2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hint="eastAsia"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4" w:name="_Hlk73819847"/>
      <w:r>
        <w:rPr>
          <w:rFonts w:hint="eastAsia" w:ascii="宋体" w:hAnsi="宋体"/>
          <w:szCs w:val="21"/>
        </w:rPr>
        <w:t>投标价格见</w:t>
      </w:r>
      <w:r>
        <w:rPr>
          <w:rFonts w:hint="eastAsia"/>
          <w:szCs w:val="21"/>
        </w:rPr>
        <w:t>投标书编制软件中《开标一览表》中填写的投标总价。</w:t>
      </w:r>
      <w:bookmarkEnd w:id="24"/>
    </w:p>
    <w:p>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2"/>
    </w:p>
    <w:p>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bookmarkEnd w:id="21"/>
    <w:p>
      <w:pPr>
        <w:pStyle w:val="5"/>
        <w:jc w:val="center"/>
        <w:rPr>
          <w:rFonts w:hint="eastAsia" w:ascii="黑体" w:eastAsia="黑体"/>
          <w:b w:val="0"/>
          <w:sz w:val="24"/>
        </w:rPr>
      </w:pPr>
      <w:r>
        <w:rPr>
          <w:rFonts w:hint="eastAsia" w:ascii="黑体" w:eastAsia="黑体"/>
          <w:b w:val="0"/>
          <w:sz w:val="24"/>
        </w:rPr>
        <w:t>二、政府采购投标及履约承诺函</w:t>
      </w:r>
    </w:p>
    <w:p>
      <w:pPr>
        <w:rPr>
          <w:rFonts w:hint="eastAsia" w:ascii="宋体" w:hAnsi="宋体"/>
          <w:color w:val="FF0000"/>
          <w:szCs w:val="21"/>
        </w:rPr>
      </w:pPr>
      <w:bookmarkStart w:id="25"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w:t>
      </w:r>
      <w:bookmarkStart w:id="26" w:name="OLE_LINK12"/>
      <w:bookmarkStart w:id="27" w:name="OLE_LINK3"/>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bookmarkEnd w:id="26"/>
      <w:r>
        <w:rPr>
          <w:rFonts w:hint="eastAsia" w:ascii="宋体" w:hAnsi="宋体"/>
          <w:b w:val="0"/>
          <w:bCs/>
          <w:color w:val="auto"/>
          <w:lang w:eastAsia="zh-CN"/>
        </w:rPr>
        <w:t>。</w:t>
      </w:r>
      <w:bookmarkEnd w:id="27"/>
    </w:p>
    <w:p>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hint="eastAsia" w:ascii="宋体" w:hAnsi="宋体"/>
          <w:b/>
          <w:bCs w:val="0"/>
          <w:sz w:val="21"/>
          <w:lang w:val="en-US" w:eastAsia="zh-CN"/>
        </w:rPr>
      </w:pP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5"/>
    <w:p>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pPr>
        <w:ind w:firstLine="645"/>
        <w:rPr>
          <w:rFonts w:hint="eastAsia" w:ascii="宋体" w:hAnsi="宋体"/>
          <w:szCs w:val="21"/>
        </w:rPr>
      </w:pPr>
    </w:p>
    <w:p>
      <w:pPr>
        <w:rPr>
          <w:rFonts w:ascii="宋体"/>
          <w:b/>
          <w:szCs w:val="21"/>
        </w:rPr>
      </w:pPr>
    </w:p>
    <w:p>
      <w:pPr>
        <w:ind w:firstLine="482" w:firstLineChars="200"/>
        <w:jc w:val="center"/>
        <w:rPr>
          <w:rFonts w:hint="eastAsia" w:hAnsi="宋体"/>
          <w:b/>
          <w:bCs/>
          <w:sz w:val="24"/>
        </w:rPr>
      </w:pPr>
    </w:p>
    <w:p>
      <w:pPr>
        <w:pStyle w:val="5"/>
        <w:jc w:val="center"/>
        <w:rPr>
          <w:rFonts w:hint="eastAsia" w:ascii="黑体" w:eastAsia="黑体"/>
          <w:b w:val="0"/>
          <w:sz w:val="24"/>
          <w:szCs w:val="24"/>
        </w:rPr>
      </w:pPr>
      <w:r>
        <w:rPr>
          <w:rFonts w:hint="eastAsia" w:ascii="黑体" w:eastAsia="黑体"/>
          <w:b w:val="0"/>
          <w:sz w:val="24"/>
          <w:szCs w:val="24"/>
        </w:rPr>
        <w:t>三、投标人情况及资格证明文件</w:t>
      </w:r>
    </w:p>
    <w:p>
      <w:pPr>
        <w:rPr>
          <w:b/>
          <w:bCs/>
          <w:sz w:val="24"/>
        </w:rPr>
      </w:pPr>
    </w:p>
    <w:p>
      <w:pPr>
        <w:ind w:firstLine="2640" w:firstLineChars="1100"/>
        <w:outlineLvl w:val="3"/>
        <w:rPr>
          <w:rFonts w:hint="eastAsia" w:ascii="黑体" w:hAnsi="宋体" w:eastAsia="黑体"/>
          <w:bCs/>
          <w:kern w:val="0"/>
          <w:sz w:val="24"/>
          <w:szCs w:val="32"/>
        </w:rPr>
      </w:pPr>
      <w:bookmarkStart w:id="28" w:name="_Hlk72257590"/>
      <w:r>
        <w:rPr>
          <w:rFonts w:hint="eastAsia" w:ascii="黑体" w:hAnsi="宋体" w:eastAsia="黑体"/>
          <w:bCs/>
          <w:kern w:val="0"/>
          <w:sz w:val="24"/>
          <w:szCs w:val="32"/>
        </w:rPr>
        <w:t>（一）投标人资格证明文件</w:t>
      </w:r>
    </w:p>
    <w:p>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pPr>
        <w:rPr>
          <w:b/>
          <w:bCs/>
          <w:sz w:val="24"/>
        </w:rPr>
      </w:pPr>
    </w:p>
    <w:p>
      <w:pPr>
        <w:ind w:firstLine="480" w:firstLineChars="200"/>
        <w:outlineLvl w:val="3"/>
        <w:rPr>
          <w:rFonts w:hint="eastAsia" w:ascii="黑体" w:hAnsi="宋体" w:eastAsia="黑体"/>
          <w:bCs/>
          <w:kern w:val="0"/>
          <w:sz w:val="24"/>
          <w:szCs w:val="32"/>
        </w:rPr>
      </w:pPr>
      <w:bookmarkStart w:id="29" w:name="_Hlk72257908"/>
      <w:r>
        <w:rPr>
          <w:rFonts w:hint="eastAsia" w:ascii="黑体" w:hAnsi="宋体" w:eastAsia="黑体"/>
          <w:bCs/>
          <w:kern w:val="0"/>
          <w:sz w:val="24"/>
          <w:szCs w:val="32"/>
        </w:rPr>
        <w:t>（二）中小企业声明函、残疾人福利性单位声明函及监狱企业声明函</w:t>
      </w:r>
    </w:p>
    <w:bookmarkEnd w:id="28"/>
    <w:p>
      <w:pPr>
        <w:jc w:val="left"/>
        <w:outlineLvl w:val="3"/>
        <w:rPr>
          <w:rFonts w:hint="eastAsia"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0"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30"/>
      <w:r>
        <w:rPr>
          <w:rFonts w:hint="eastAsia" w:ascii="黑体" w:hAnsi="黑体" w:eastAsia="黑体"/>
          <w:color w:val="FF0000"/>
          <w:szCs w:val="21"/>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pPr>
        <w:pStyle w:val="51"/>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pPr>
    </w:p>
    <w:p>
      <w:pPr>
        <w:numPr>
          <w:ilvl w:val="0"/>
          <w:numId w:val="2"/>
        </w:numPr>
        <w:jc w:val="center"/>
        <w:outlineLvl w:val="3"/>
        <w:rPr>
          <w:b/>
          <w:sz w:val="24"/>
        </w:rPr>
      </w:pPr>
      <w:r>
        <w:rPr>
          <w:b/>
          <w:sz w:val="24"/>
        </w:rPr>
        <w:t>中小企业声明函（货物）</w:t>
      </w:r>
    </w:p>
    <w:p>
      <w:pPr>
        <w:pStyle w:val="2"/>
      </w:pP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pPr>
        <w:pStyle w:val="14"/>
        <w:ind w:firstLine="420" w:firstLineChars="200"/>
        <w:rPr>
          <w:rFonts w:hint="eastAsia" w:asciiTheme="minorEastAsia" w:hAnsiTheme="minorEastAsia" w:cstheme="minorEastAsia"/>
          <w:sz w:val="21"/>
          <w:szCs w:val="21"/>
        </w:rPr>
      </w:pPr>
    </w:p>
    <w:p>
      <w:pPr>
        <w:spacing w:line="360" w:lineRule="auto"/>
        <w:ind w:firstLine="420" w:firstLineChars="200"/>
        <w:outlineLvl w:val="3"/>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Theme="minorEastAsia" w:hAnsiTheme="minorEastAsia" w:cstheme="minorEastAsia"/>
          <w:szCs w:val="21"/>
        </w:rPr>
      </w:pPr>
      <w:bookmarkStart w:id="31" w:name="_Hlk73562203"/>
      <w:r>
        <w:rPr>
          <w:rFonts w:hint="eastAsia" w:asciiTheme="minorEastAsia" w:hAnsiTheme="minorEastAsia" w:cstheme="minorEastAsia"/>
          <w:szCs w:val="21"/>
        </w:rPr>
        <w:t>本投标人对上述声明内容的真实性负责。如有虚假，将依法承担相应责任。</w:t>
      </w:r>
    </w:p>
    <w:p>
      <w:pPr>
        <w:spacing w:line="360" w:lineRule="auto"/>
        <w:ind w:firstLine="420" w:firstLineChars="200"/>
        <w:rPr>
          <w:rFonts w:ascii="Times New Roman" w:hAnsi="Times New Roman" w:eastAsia="宋体" w:cs="Times New Roman"/>
          <w:sz w:val="24"/>
          <w:szCs w:val="24"/>
        </w:rPr>
      </w:pPr>
      <w:r>
        <w:rPr>
          <w:rFonts w:hint="eastAsia" w:asciiTheme="minorEastAsia" w:hAnsi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1"/>
    </w:p>
    <w:p>
      <w:pPr>
        <w:ind w:firstLine="420" w:firstLineChars="200"/>
        <w:outlineLvl w:val="3"/>
        <w:rPr>
          <w:rFonts w:hint="eastAsia" w:ascii="宋体" w:hAnsi="宋体"/>
          <w:bCs/>
          <w:color w:val="FF0000"/>
          <w:kern w:val="0"/>
          <w:szCs w:val="21"/>
        </w:rPr>
      </w:pPr>
    </w:p>
    <w:p/>
    <w:p>
      <w:pPr>
        <w:ind w:firstLine="420" w:firstLineChars="200"/>
      </w:pPr>
    </w:p>
    <w:p>
      <w:pPr>
        <w:jc w:val="center"/>
        <w:outlineLvl w:val="3"/>
        <w:rPr>
          <w:b/>
          <w:sz w:val="24"/>
        </w:rPr>
      </w:pPr>
      <w:r>
        <w:rPr>
          <w:rFonts w:hint="eastAsia"/>
          <w:b/>
          <w:sz w:val="24"/>
        </w:rPr>
        <w:t>2、残疾人福利性单位声明函（货物类）</w:t>
      </w:r>
    </w:p>
    <w:p>
      <w:pPr>
        <w:rPr>
          <w:b/>
          <w:bCs/>
        </w:rPr>
      </w:pPr>
    </w:p>
    <w:p>
      <w:pPr>
        <w:spacing w:line="360" w:lineRule="auto"/>
        <w:ind w:firstLine="420" w:firstLineChars="200"/>
        <w:rPr>
          <w:rFonts w:hint="eastAsia" w:asciiTheme="minorEastAsia" w:hAnsiTheme="minorEastAsia" w:cstheme="minorEastAsia"/>
          <w:szCs w:val="21"/>
        </w:rPr>
      </w:pPr>
      <w:bookmarkStart w:id="32" w:name="_Hlk73562331"/>
      <w:bookmarkStart w:id="33"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32"/>
    </w:p>
    <w:bookmarkEnd w:id="33"/>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pPr>
        <w:spacing w:line="360" w:lineRule="auto"/>
        <w:ind w:firstLine="420" w:firstLineChars="200"/>
        <w:outlineLvl w:val="3"/>
        <w:rPr>
          <w:rFonts w:hint="eastAsia" w:ascii="宋体" w:hAnsi="宋体"/>
          <w:szCs w:val="21"/>
        </w:rPr>
      </w:pPr>
      <w:r>
        <w:rPr>
          <w:rFonts w:ascii="宋体" w:hAnsi="宋体"/>
          <w:szCs w:val="21"/>
        </w:rPr>
        <w:t xml:space="preserve">…… </w:t>
      </w:r>
    </w:p>
    <w:p>
      <w:pPr>
        <w:spacing w:line="360" w:lineRule="auto"/>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29"/>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19"/>
        <w:gridCol w:w="679"/>
        <w:gridCol w:w="796"/>
        <w:gridCol w:w="883"/>
        <w:gridCol w:w="660"/>
        <w:gridCol w:w="462"/>
        <w:gridCol w:w="462"/>
        <w:gridCol w:w="657"/>
        <w:gridCol w:w="88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pPr>
              <w:spacing w:line="300" w:lineRule="auto"/>
              <w:jc w:val="center"/>
              <w:rPr>
                <w:rFonts w:ascii="Arial" w:hAnsi="Arial" w:eastAsia="宋体" w:cs="Times New Roman"/>
                <w:szCs w:val="24"/>
              </w:rPr>
            </w:pPr>
            <w:r>
              <w:rPr>
                <w:rFonts w:hint="eastAsia" w:ascii="Times New Roman" w:hAnsi="Times New Roman" w:eastAsia="宋体" w:cs="Times New Roman"/>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restart"/>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continue"/>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continue"/>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continue"/>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pPr>
              <w:spacing w:after="78" w:afterLines="25" w:line="300" w:lineRule="auto"/>
              <w:rPr>
                <w:rFonts w:ascii="Arial" w:hAnsi="Arial" w:eastAsia="宋体" w:cs="Times New Roman"/>
                <w:szCs w:val="24"/>
              </w:rPr>
            </w:pPr>
          </w:p>
        </w:tc>
      </w:tr>
    </w:tbl>
    <w:p>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4"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4"/>
    </w:p>
    <w:p>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35" w:name="_Hlk72074795"/>
      <w:r>
        <w:rPr>
          <w:rFonts w:hint="eastAsia" w:cs="Times New Roman" w:asciiTheme="minorEastAsia" w:hAnsiTheme="minorEastAsia"/>
          <w:b/>
          <w:szCs w:val="24"/>
        </w:rPr>
        <w:t>“原产地”是指该货物的实际生产加工地，而非品牌所在地</w:t>
      </w:r>
      <w:bookmarkEnd w:id="35"/>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hint="eastAsia"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hint="eastAsia"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78" w:afterLines="25" w:line="300" w:lineRule="auto"/>
        <w:rPr>
          <w:rFonts w:ascii="Arial" w:hAnsi="Arial" w:eastAsia="宋体" w:cs="Times New Roman"/>
          <w:b/>
          <w:szCs w:val="24"/>
        </w:rPr>
      </w:pPr>
    </w:p>
    <w:p>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jc w:val="both"/>
        <w:rPr>
          <w:b/>
          <w:bCs/>
          <w:color w:val="FF0000"/>
          <w:sz w:val="24"/>
        </w:rPr>
      </w:pPr>
    </w:p>
    <w:p>
      <w:pPr>
        <w:jc w:val="center"/>
        <w:rPr>
          <w:rFonts w:hint="eastAsia" w:ascii="黑体" w:eastAsia="黑体"/>
          <w:sz w:val="24"/>
          <w:szCs w:val="24"/>
        </w:rPr>
      </w:pPr>
      <w:r>
        <w:rPr>
          <w:rFonts w:hint="eastAsia"/>
          <w:b/>
          <w:bCs/>
          <w:color w:val="FF0000"/>
          <w:sz w:val="24"/>
        </w:rPr>
        <w:t>★</w:t>
      </w:r>
      <w:r>
        <w:rPr>
          <w:rFonts w:hint="eastAsia" w:ascii="黑体" w:eastAsia="黑体"/>
          <w:sz w:val="24"/>
          <w:szCs w:val="24"/>
        </w:rPr>
        <w:t>五、供应商情况表</w:t>
      </w:r>
    </w:p>
    <w:p>
      <w:pPr>
        <w:jc w:val="center"/>
        <w:rPr>
          <w:rFonts w:hint="eastAsia" w:ascii="宋体" w:hAnsi="宋体"/>
        </w:rPr>
      </w:pPr>
    </w:p>
    <w:p>
      <w:pPr>
        <w:pStyle w:val="5"/>
        <w:numPr>
          <w:ilvl w:val="0"/>
          <w:numId w:val="3"/>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Style w:val="24"/>
          <w:rFonts w:hint="eastAsia" w:ascii="Times New Roman" w:hAnsi="Times New Roman" w:cs="Times New Roman"/>
          <w:b w:val="0"/>
          <w:bCs w:val="0"/>
          <w:sz w:val="21"/>
          <w:szCs w:val="24"/>
        </w:rPr>
        <w:t>https://amr.sz.gov.cn/outer/entSelect/gs.html”。</w:t>
      </w:r>
      <w:r>
        <w:rPr>
          <w:rStyle w:val="24"/>
          <w:rFonts w:hint="eastAsia" w:ascii="Times New Roman" w:hAnsi="Times New Roman" w:cs="Times New Roman"/>
          <w:b w:val="0"/>
          <w:bCs w:val="0"/>
          <w:sz w:val="21"/>
          <w:szCs w:val="24"/>
        </w:rPr>
        <w:fldChar w:fldCharType="end"/>
      </w:r>
    </w:p>
    <w:p>
      <w:pPr>
        <w:rPr>
          <w:b/>
          <w:bCs/>
          <w:color w:val="FF0000"/>
          <w:highlight w:val="yellow"/>
        </w:rPr>
      </w:pPr>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p>
      <w:pPr>
        <w:pStyle w:val="5"/>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2、股东构成审查表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pPr>
        <w:pStyle w:val="5"/>
        <w:numPr>
          <w:ilvl w:val="0"/>
          <w:numId w:val="0"/>
        </w:numPr>
        <w:jc w:val="both"/>
        <w:rPr>
          <w:rFonts w:ascii="黑体" w:eastAsia="黑体"/>
          <w:b w:val="0"/>
          <w:sz w:val="24"/>
        </w:rPr>
      </w:pPr>
      <w:r>
        <w:rPr>
          <w:rFonts w:hint="eastAsia" w:ascii="黑体" w:hAnsi="宋体" w:eastAsia="黑体" w:cs="Times New Roman"/>
          <w:b w:val="0"/>
          <w:bCs/>
          <w:kern w:val="2"/>
          <w:sz w:val="24"/>
          <w:szCs w:val="32"/>
          <w:lang w:val="en-US" w:eastAsia="zh-CN" w:bidi="ar-SA"/>
        </w:rPr>
        <w:t>3、供应商基本情况表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4"/>
        <w:gridCol w:w="1528"/>
        <w:gridCol w:w="903"/>
        <w:gridCol w:w="751"/>
        <w:gridCol w:w="1145"/>
        <w:gridCol w:w="142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pPr>
        <w:pStyle w:val="2"/>
        <w:rPr>
          <w:rFonts w:hint="eastAsia"/>
        </w:rPr>
      </w:pPr>
    </w:p>
    <w:p>
      <w:pPr>
        <w:autoSpaceDE w:val="0"/>
        <w:autoSpaceDN w:val="0"/>
        <w:adjustRightInd w:val="0"/>
        <w:snapToGrid w:val="0"/>
        <w:jc w:val="left"/>
        <w:rPr>
          <w:rFonts w:ascii="Arial" w:hAnsi="Arial" w:eastAsia="宋体" w:cs="Times New Roman"/>
          <w:b/>
          <w:sz w:val="24"/>
          <w:szCs w:val="24"/>
        </w:rPr>
      </w:pPr>
    </w:p>
    <w:p>
      <w:pPr>
        <w:widowControl/>
        <w:jc w:val="center"/>
        <w:rPr>
          <w:rFonts w:ascii="Arial" w:hAnsi="Arial" w:eastAsia="宋体" w:cs="Times New Roman"/>
          <w:b/>
          <w:sz w:val="24"/>
          <w:szCs w:val="24"/>
        </w:rPr>
      </w:pPr>
    </w:p>
    <w:p>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widowControl/>
        <w:jc w:val="center"/>
        <w:rPr>
          <w:rFonts w:ascii="Arial" w:hAnsi="Arial" w:eastAsia="宋体" w:cs="Times New Roman"/>
          <w:szCs w:val="24"/>
        </w:rPr>
      </w:pPr>
      <w:r>
        <w:rPr>
          <w:rFonts w:ascii="Arial" w:hAnsi="Arial" w:eastAsia="宋体" w:cs="Times New Roman"/>
          <w:szCs w:val="24"/>
        </w:rPr>
        <w:br w:type="page"/>
      </w:r>
    </w:p>
    <w:p>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pPr>
        <w:pStyle w:val="5"/>
        <w:jc w:val="center"/>
        <w:rPr>
          <w:rFonts w:hint="eastAsia" w:ascii="黑体" w:eastAsia="黑体"/>
          <w:b w:val="0"/>
          <w:sz w:val="24"/>
        </w:rPr>
      </w:pPr>
      <w:r>
        <w:rPr>
          <w:rFonts w:hint="eastAsia" w:ascii="黑体" w:eastAsia="黑体"/>
          <w:b w:val="0"/>
          <w:sz w:val="24"/>
        </w:rPr>
        <w:t>一、</w:t>
      </w:r>
      <w:bookmarkStart w:id="36" w:name="_Hlk72092499"/>
      <w:r>
        <w:rPr>
          <w:rFonts w:hint="eastAsia" w:ascii="黑体" w:eastAsia="黑体"/>
          <w:b w:val="0"/>
          <w:sz w:val="24"/>
        </w:rPr>
        <w:t>法定代表人（负责人）证明书</w:t>
      </w:r>
      <w:bookmarkEnd w:id="36"/>
    </w:p>
    <w:p>
      <w:pPr>
        <w:rPr>
          <w:sz w:val="24"/>
        </w:rPr>
      </w:pPr>
    </w:p>
    <w:p>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4"/>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4"/>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jc w:val="center"/>
            </w:pPr>
          </w:p>
          <w:p>
            <w:pPr>
              <w:pStyle w:val="14"/>
              <w:jc w:val="center"/>
            </w:pPr>
          </w:p>
        </w:tc>
        <w:tc>
          <w:tcPr>
            <w:tcW w:w="4265" w:type="dxa"/>
          </w:tcPr>
          <w:p>
            <w:pPr>
              <w:jc w:val="center"/>
            </w:pPr>
            <w:r>
              <w:rPr>
                <w:rFonts w:hint="eastAsia"/>
              </w:rPr>
              <w:t>证件扫描件反面</w:t>
            </w:r>
          </w:p>
          <w:p>
            <w:pPr>
              <w:pStyle w:val="2"/>
              <w:jc w:val="center"/>
            </w:pPr>
          </w:p>
          <w:p>
            <w:pPr>
              <w:pStyle w:val="14"/>
              <w:jc w:val="center"/>
            </w:pPr>
          </w:p>
        </w:tc>
      </w:tr>
    </w:tbl>
    <w:p>
      <w:pPr>
        <w:rPr>
          <w:rFonts w:hint="eastAsia"/>
          <w:b/>
          <w:bCs/>
          <w:color w:val="FF0000"/>
          <w:szCs w:val="21"/>
          <w:u w:val="none"/>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rPr>
          <w:rFonts w:hint="eastAsia"/>
          <w:b/>
          <w:bCs/>
          <w:color w:val="FF0000"/>
          <w:szCs w:val="21"/>
          <w:u w:val="none"/>
        </w:rPr>
      </w:pPr>
    </w:p>
    <w:p>
      <w:pPr>
        <w:pStyle w:val="5"/>
        <w:spacing w:before="120" w:after="120"/>
        <w:jc w:val="center"/>
        <w:rPr>
          <w:rFonts w:hint="eastAsia" w:ascii="黑体" w:eastAsia="黑体"/>
          <w:b w:val="0"/>
          <w:sz w:val="24"/>
        </w:rPr>
      </w:pPr>
      <w:r>
        <w:rPr>
          <w:rFonts w:hint="eastAsia" w:ascii="黑体" w:eastAsia="黑体"/>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ascii="Times New Roman" w:eastAsia="宋体"/>
              </w:rPr>
              <w:t>证件扫描件正面</w:t>
            </w:r>
          </w:p>
          <w:p>
            <w:pPr>
              <w:pStyle w:val="2"/>
              <w:jc w:val="center"/>
            </w:pPr>
          </w:p>
          <w:p>
            <w:pPr>
              <w:pStyle w:val="14"/>
              <w:jc w:val="center"/>
            </w:pPr>
          </w:p>
        </w:tc>
        <w:tc>
          <w:tcPr>
            <w:tcW w:w="4265" w:type="dxa"/>
          </w:tcPr>
          <w:p>
            <w:pPr>
              <w:jc w:val="center"/>
            </w:pPr>
            <w:r>
              <w:rPr>
                <w:rFonts w:hint="eastAsia" w:ascii="Times New Roman" w:eastAsia="宋体"/>
              </w:rPr>
              <w:t>证件扫描件反面</w:t>
            </w:r>
          </w:p>
          <w:p>
            <w:pPr>
              <w:pStyle w:val="2"/>
              <w:jc w:val="center"/>
            </w:pPr>
          </w:p>
          <w:p>
            <w:pPr>
              <w:pStyle w:val="14"/>
              <w:jc w:val="center"/>
            </w:pPr>
          </w:p>
        </w:tc>
      </w:tr>
    </w:tbl>
    <w:p>
      <w:pPr>
        <w:tabs>
          <w:tab w:val="left" w:pos="651"/>
        </w:tabs>
        <w:snapToGrid w:val="0"/>
        <w:jc w:val="both"/>
        <w:rPr>
          <w:rFonts w:ascii="黑体" w:eastAsia="黑体"/>
          <w:kern w:val="0"/>
          <w:sz w:val="24"/>
          <w:szCs w:val="24"/>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7" w:name="_Hlk72092634"/>
      <w:r>
        <w:rPr>
          <w:rFonts w:hint="eastAsia" w:ascii="黑体" w:eastAsia="黑体"/>
          <w:kern w:val="0"/>
          <w:sz w:val="24"/>
          <w:szCs w:val="24"/>
        </w:rPr>
        <w:t>实质性条款响应情况表</w:t>
      </w:r>
      <w:bookmarkEnd w:id="37"/>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hint="eastAsia" w:cs="Times New Roman" w:asciiTheme="minorEastAsia" w:hAnsiTheme="minorEastAsia"/>
          <w:b/>
          <w:sz w:val="24"/>
          <w:szCs w:val="24"/>
        </w:rPr>
      </w:pPr>
    </w:p>
    <w:tbl>
      <w:tblPr>
        <w:tblStyle w:val="18"/>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hint="eastAsia"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pPr>
              <w:spacing w:line="300" w:lineRule="auto"/>
              <w:jc w:val="center"/>
              <w:rPr>
                <w:rFonts w:hint="eastAsia" w:ascii="宋体" w:hAnsi="宋体" w:eastAsia="宋体" w:cs="Times New Roman"/>
                <w:b/>
                <w:color w:val="FF0000"/>
                <w:kern w:val="0"/>
                <w:szCs w:val="21"/>
              </w:rPr>
            </w:pPr>
          </w:p>
        </w:tc>
      </w:tr>
    </w:tbl>
    <w:p>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pPr>
        <w:pStyle w:val="5"/>
        <w:jc w:val="center"/>
        <w:rPr>
          <w:rFonts w:hint="eastAsia"/>
          <w:sz w:val="24"/>
        </w:rPr>
      </w:pPr>
      <w:r>
        <w:rPr>
          <w:rFonts w:hint="eastAsia" w:ascii="黑体" w:eastAsia="黑体"/>
          <w:b w:val="0"/>
          <w:bCs w:val="0"/>
          <w:sz w:val="24"/>
          <w:szCs w:val="20"/>
        </w:rPr>
        <w:t>四、商务要求偏离表</w:t>
      </w:r>
    </w:p>
    <w:tbl>
      <w:tblPr>
        <w:tblStyle w:val="18"/>
        <w:tblW w:w="90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08"/>
        <w:gridCol w:w="4918"/>
        <w:gridCol w:w="973"/>
        <w:gridCol w:w="64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pPr>
              <w:jc w:val="center"/>
              <w:rPr>
                <w:b/>
              </w:rPr>
            </w:pPr>
            <w:r>
              <w:rPr>
                <w:rFonts w:hint="eastAsia"/>
                <w:sz w:val="24"/>
              </w:rPr>
              <w:t>序号</w:t>
            </w:r>
          </w:p>
        </w:tc>
        <w:tc>
          <w:tcPr>
            <w:tcW w:w="1408" w:type="dxa"/>
            <w:vAlign w:val="center"/>
          </w:tcPr>
          <w:p>
            <w:pPr>
              <w:jc w:val="center"/>
              <w:rPr>
                <w:b/>
              </w:rPr>
            </w:pPr>
            <w:r>
              <w:rPr>
                <w:rFonts w:hint="eastAsia"/>
                <w:b/>
              </w:rPr>
              <w:t>商务需求项</w:t>
            </w:r>
          </w:p>
        </w:tc>
        <w:tc>
          <w:tcPr>
            <w:tcW w:w="4918" w:type="dxa"/>
            <w:vAlign w:val="center"/>
          </w:tcPr>
          <w:p>
            <w:pPr>
              <w:jc w:val="center"/>
              <w:rPr>
                <w:b/>
              </w:rPr>
            </w:pPr>
            <w:r>
              <w:rPr>
                <w:rFonts w:hint="eastAsia"/>
                <w:sz w:val="24"/>
              </w:rPr>
              <w:t>招标商务要求</w:t>
            </w:r>
          </w:p>
        </w:tc>
        <w:tc>
          <w:tcPr>
            <w:tcW w:w="973" w:type="dxa"/>
            <w:vAlign w:val="center"/>
          </w:tcPr>
          <w:p>
            <w:pPr>
              <w:jc w:val="center"/>
              <w:rPr>
                <w:b/>
              </w:rPr>
            </w:pPr>
            <w:r>
              <w:rPr>
                <w:rFonts w:hint="eastAsia"/>
                <w:sz w:val="24"/>
              </w:rPr>
              <w:t>投标商务响应</w:t>
            </w:r>
          </w:p>
        </w:tc>
        <w:tc>
          <w:tcPr>
            <w:tcW w:w="642" w:type="dxa"/>
            <w:vAlign w:val="center"/>
          </w:tcPr>
          <w:p>
            <w:pPr>
              <w:jc w:val="center"/>
              <w:rPr>
                <w:b/>
              </w:rPr>
            </w:pPr>
            <w:r>
              <w:rPr>
                <w:rFonts w:hint="eastAsia"/>
              </w:rPr>
              <w:t>偏离情况</w:t>
            </w:r>
          </w:p>
        </w:tc>
        <w:tc>
          <w:tcPr>
            <w:tcW w:w="540" w:type="dxa"/>
            <w:vAlign w:val="center"/>
          </w:tcPr>
          <w:p>
            <w:pPr>
              <w:jc w:val="center"/>
              <w:rPr>
                <w:b/>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jc w:val="center"/>
              <w:rPr>
                <w:bCs/>
              </w:rPr>
            </w:pPr>
            <w:r>
              <w:rPr>
                <w:rFonts w:hint="eastAsia"/>
                <w:bCs/>
              </w:rPr>
              <w:t>1</w:t>
            </w:r>
          </w:p>
        </w:tc>
        <w:tc>
          <w:tcPr>
            <w:tcW w:w="1408" w:type="dxa"/>
          </w:tcPr>
          <w:p>
            <w:pPr>
              <w:jc w:val="center"/>
            </w:pPr>
            <w:r>
              <w:rPr>
                <w:rFonts w:hint="eastAsia"/>
              </w:rPr>
              <w:t>*</w:t>
            </w:r>
            <w:r>
              <w:t>***</w:t>
            </w:r>
          </w:p>
        </w:tc>
        <w:tc>
          <w:tcPr>
            <w:tcW w:w="4918" w:type="dxa"/>
          </w:tcPr>
          <w:p>
            <w:pPr>
              <w:jc w:val="center"/>
              <w:rPr>
                <w:b/>
              </w:rPr>
            </w:pPr>
            <w:r>
              <w:rPr>
                <w:rFonts w:hint="eastAsia"/>
                <w:bCs/>
                <w:szCs w:val="21"/>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jc w:val="center"/>
              <w:rPr>
                <w:bCs/>
              </w:rPr>
            </w:pPr>
            <w:r>
              <w:rPr>
                <w:bCs/>
              </w:rPr>
              <w:t>2</w:t>
            </w:r>
          </w:p>
        </w:tc>
        <w:tc>
          <w:tcPr>
            <w:tcW w:w="1408" w:type="dxa"/>
          </w:tcPr>
          <w:p>
            <w:pPr>
              <w:jc w:val="center"/>
            </w:pPr>
            <w:r>
              <w:rPr>
                <w:rFonts w:hint="eastAsia"/>
              </w:rPr>
              <w:t>****</w:t>
            </w:r>
          </w:p>
        </w:tc>
        <w:tc>
          <w:tcPr>
            <w:tcW w:w="4918" w:type="dxa"/>
          </w:tcPr>
          <w:p>
            <w:pPr>
              <w:jc w:val="center"/>
              <w:rPr>
                <w:bCs/>
                <w:szCs w:val="21"/>
              </w:rPr>
            </w:pPr>
            <w:r>
              <w:rPr>
                <w:rFonts w:hint="eastAsia"/>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pPr>
              <w:rPr>
                <w:bCs/>
                <w:szCs w:val="21"/>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jc w:val="center"/>
              <w:rPr>
                <w:bCs/>
              </w:rPr>
            </w:pPr>
            <w:r>
              <w:rPr>
                <w:rFonts w:hint="eastAsia"/>
              </w:rPr>
              <w:t>1</w:t>
            </w:r>
          </w:p>
        </w:tc>
        <w:tc>
          <w:tcPr>
            <w:tcW w:w="1408" w:type="dxa"/>
          </w:tcPr>
          <w:p>
            <w:pPr>
              <w:jc w:val="center"/>
            </w:pPr>
            <w:r>
              <w:rPr>
                <w:rFonts w:hint="eastAsia"/>
              </w:rPr>
              <w:t>****</w:t>
            </w:r>
          </w:p>
        </w:tc>
        <w:tc>
          <w:tcPr>
            <w:tcW w:w="4918" w:type="dxa"/>
          </w:tcPr>
          <w:p>
            <w:pPr>
              <w:jc w:val="center"/>
            </w:pPr>
            <w:r>
              <w:rPr>
                <w:rFonts w:hint="eastAsia"/>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pPr>
              <w:rPr>
                <w:bCs/>
                <w:szCs w:val="21"/>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jc w:val="center"/>
            </w:pPr>
            <w:r>
              <w:rPr>
                <w:rFonts w:hint="eastAsia"/>
              </w:rPr>
              <w:t>1</w:t>
            </w:r>
          </w:p>
        </w:tc>
        <w:tc>
          <w:tcPr>
            <w:tcW w:w="1408" w:type="dxa"/>
          </w:tcPr>
          <w:p>
            <w:pPr>
              <w:jc w:val="center"/>
            </w:pPr>
            <w:r>
              <w:rPr>
                <w:rFonts w:hint="eastAsia"/>
              </w:rPr>
              <w:t>****</w:t>
            </w:r>
          </w:p>
        </w:tc>
        <w:tc>
          <w:tcPr>
            <w:tcW w:w="4918" w:type="dxa"/>
          </w:tcPr>
          <w:p>
            <w:pPr>
              <w:jc w:val="center"/>
            </w:pPr>
            <w:r>
              <w:rPr>
                <w:rFonts w:hint="eastAsia"/>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bl>
    <w:p>
      <w:pPr>
        <w:ind w:firstLine="420" w:firstLineChars="200"/>
        <w:rPr>
          <w:bCs/>
          <w:szCs w:val="21"/>
        </w:rPr>
      </w:pPr>
      <w:r>
        <w:rPr>
          <w:rFonts w:hint="eastAsia"/>
          <w:bCs/>
          <w:szCs w:val="21"/>
        </w:rPr>
        <w:t>《商务要求偏离表》编制指引：</w:t>
      </w:r>
    </w:p>
    <w:p>
      <w:pPr>
        <w:ind w:firstLine="420" w:firstLineChars="200"/>
        <w:rPr>
          <w:bCs/>
          <w:szCs w:val="21"/>
        </w:rPr>
      </w:pPr>
      <w:r>
        <w:rPr>
          <w:rFonts w:hint="eastAsia"/>
          <w:bCs/>
          <w:szCs w:val="21"/>
        </w:rPr>
        <w:t>1、商务要求偏离表的序号、商务需求项、招标商务要求等栏目对应“用户需求书”中的“商务要求”章节相关内容。</w:t>
      </w:r>
    </w:p>
    <w:p>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pPr>
        <w:rPr>
          <w:bCs/>
          <w:szCs w:val="21"/>
        </w:rPr>
      </w:pPr>
      <w:r>
        <w:rPr>
          <w:rFonts w:hint="eastAsia"/>
          <w:bCs/>
          <w:szCs w:val="21"/>
        </w:rPr>
        <w:t>“投标商务响应”对比“招标商务要求”存在响应不全（包括未响应整项招标商务要求或者未响应一项招标商务要求的部分内容），均视为“负偏离”。</w:t>
      </w:r>
    </w:p>
    <w:p>
      <w:pPr>
        <w:ind w:firstLine="420" w:firstLineChars="200"/>
        <w:rPr>
          <w:bCs/>
          <w:szCs w:val="21"/>
        </w:rPr>
      </w:pPr>
      <w:r>
        <w:rPr>
          <w:rFonts w:hint="eastAsia"/>
          <w:bCs/>
          <w:szCs w:val="21"/>
        </w:rPr>
        <w:t>4、带★号条款为不可偏离条款，如未响应或出现负偏离的，将作投标无效处理。</w:t>
      </w:r>
    </w:p>
    <w:p>
      <w:pPr>
        <w:widowControl/>
        <w:jc w:val="left"/>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pPr>
        <w:pStyle w:val="5"/>
        <w:jc w:val="center"/>
        <w:rPr>
          <w:rFonts w:hint="eastAsia"/>
          <w:sz w:val="24"/>
        </w:rPr>
      </w:pPr>
      <w:r>
        <w:rPr>
          <w:rFonts w:hint="eastAsia" w:ascii="黑体" w:eastAsia="黑体"/>
          <w:b w:val="0"/>
          <w:sz w:val="24"/>
          <w:szCs w:val="24"/>
        </w:rPr>
        <w:t>五、技术要求偏离表</w:t>
      </w:r>
    </w:p>
    <w:tbl>
      <w:tblPr>
        <w:tblStyle w:val="18"/>
        <w:tblW w:w="875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3795"/>
        <w:gridCol w:w="2623"/>
        <w:gridCol w:w="71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pPr>
              <w:jc w:val="center"/>
              <w:rPr>
                <w:color w:val="000000" w:themeColor="text1"/>
                <w:szCs w:val="21"/>
                <w14:textFill>
                  <w14:solidFill>
                    <w14:schemeClr w14:val="tx1"/>
                  </w14:solidFill>
                </w14:textFill>
              </w:rPr>
            </w:pPr>
            <w:r>
              <w:rPr>
                <w:rFonts w:hint="eastAsia"/>
                <w:sz w:val="24"/>
              </w:rPr>
              <w:t>序号</w:t>
            </w:r>
          </w:p>
        </w:tc>
        <w:tc>
          <w:tcPr>
            <w:tcW w:w="772" w:type="dxa"/>
            <w:vAlign w:val="center"/>
          </w:tcPr>
          <w:p>
            <w:pPr>
              <w:jc w:val="center"/>
              <w:rPr>
                <w:color w:val="000000" w:themeColor="text1"/>
                <w:szCs w:val="21"/>
                <w14:textFill>
                  <w14:solidFill>
                    <w14:schemeClr w14:val="tx1"/>
                  </w14:solidFill>
                </w14:textFill>
              </w:rPr>
            </w:pPr>
            <w:r>
              <w:rPr>
                <w:rFonts w:hint="eastAsia"/>
                <w:sz w:val="24"/>
              </w:rPr>
              <w:t>货物名称</w:t>
            </w:r>
          </w:p>
        </w:tc>
        <w:tc>
          <w:tcPr>
            <w:tcW w:w="3795" w:type="dxa"/>
            <w:vAlign w:val="center"/>
          </w:tcPr>
          <w:p>
            <w:pPr>
              <w:jc w:val="center"/>
              <w:rPr>
                <w:color w:val="000000" w:themeColor="text1"/>
                <w:szCs w:val="21"/>
                <w14:textFill>
                  <w14:solidFill>
                    <w14:schemeClr w14:val="tx1"/>
                  </w14:solidFill>
                </w14:textFill>
              </w:rPr>
            </w:pPr>
            <w:r>
              <w:rPr>
                <w:rFonts w:hint="eastAsia"/>
                <w:sz w:val="24"/>
              </w:rPr>
              <w:t>招标技术要求</w:t>
            </w:r>
          </w:p>
        </w:tc>
        <w:tc>
          <w:tcPr>
            <w:tcW w:w="2623" w:type="dxa"/>
            <w:vAlign w:val="center"/>
          </w:tcPr>
          <w:p>
            <w:pPr>
              <w:jc w:val="center"/>
              <w:rPr>
                <w:color w:val="000000" w:themeColor="text1"/>
                <w:szCs w:val="21"/>
                <w14:textFill>
                  <w14:solidFill>
                    <w14:schemeClr w14:val="tx1"/>
                  </w14:solidFill>
                </w14:textFill>
              </w:rPr>
            </w:pPr>
            <w:r>
              <w:rPr>
                <w:rFonts w:hint="eastAsia"/>
                <w:sz w:val="24"/>
              </w:rPr>
              <w:t>投标技术响应</w:t>
            </w:r>
          </w:p>
        </w:tc>
        <w:tc>
          <w:tcPr>
            <w:tcW w:w="710" w:type="dxa"/>
            <w:vAlign w:val="center"/>
          </w:tcPr>
          <w:p>
            <w:pPr>
              <w:jc w:val="center"/>
              <w:rPr>
                <w:color w:val="000000" w:themeColor="text1"/>
                <w:szCs w:val="21"/>
                <w14:textFill>
                  <w14:solidFill>
                    <w14:schemeClr w14:val="tx1"/>
                  </w14:solidFill>
                </w14:textFill>
              </w:rPr>
            </w:pPr>
            <w:r>
              <w:rPr>
                <w:rFonts w:hint="eastAsia"/>
                <w:sz w:val="24"/>
              </w:rPr>
              <w:t>偏离情况</w:t>
            </w:r>
          </w:p>
        </w:tc>
        <w:tc>
          <w:tcPr>
            <w:tcW w:w="390" w:type="dxa"/>
            <w:vAlign w:val="center"/>
          </w:tcPr>
          <w:p>
            <w:pPr>
              <w:jc w:val="center"/>
              <w:rPr>
                <w:color w:val="000000" w:themeColor="text1"/>
                <w:szCs w:val="21"/>
                <w14:textFill>
                  <w14:solidFill>
                    <w14:schemeClr w14:val="tx1"/>
                  </w14:solidFill>
                </w14:textFill>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rStyle w:val="21"/>
                <w:b w:val="0"/>
                <w:bCs w:val="0"/>
                <w:color w:val="000000" w:themeColor="text1"/>
                <w:szCs w:val="21"/>
                <w14:textFill>
                  <w14:solidFill>
                    <w14:schemeClr w14:val="tx1"/>
                  </w14:solidFill>
                </w14:textFill>
              </w:rPr>
            </w:pPr>
          </w:p>
        </w:tc>
        <w:tc>
          <w:tcPr>
            <w:tcW w:w="710" w:type="dxa"/>
          </w:tcPr>
          <w:p>
            <w:pPr>
              <w:rPr>
                <w:rStyle w:val="21"/>
                <w:b w:val="0"/>
                <w:bCs w:val="0"/>
                <w:color w:val="000000" w:themeColor="text1"/>
                <w:szCs w:val="21"/>
                <w14:textFill>
                  <w14:solidFill>
                    <w14:schemeClr w14:val="tx1"/>
                  </w14:solidFill>
                </w14:textFill>
              </w:rPr>
            </w:pPr>
          </w:p>
        </w:tc>
        <w:tc>
          <w:tcPr>
            <w:tcW w:w="390" w:type="dxa"/>
          </w:tcPr>
          <w:p>
            <w:pPr>
              <w:rPr>
                <w:rStyle w:val="21"/>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b/>
                <w:bCs/>
                <w:color w:val="FF0000"/>
                <w:szCs w:val="21"/>
              </w:rPr>
            </w:pPr>
          </w:p>
        </w:tc>
        <w:tc>
          <w:tcPr>
            <w:tcW w:w="710" w:type="dxa"/>
          </w:tcPr>
          <w:p>
            <w:pPr>
              <w:rPr>
                <w:b/>
                <w:bCs/>
                <w:color w:val="FF0000"/>
                <w:szCs w:val="21"/>
              </w:rPr>
            </w:pPr>
          </w:p>
        </w:tc>
        <w:tc>
          <w:tcPr>
            <w:tcW w:w="390" w:type="dxa"/>
          </w:tcPr>
          <w:p>
            <w:pP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7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pPr>
              <w:jc w:val="center"/>
              <w:rPr>
                <w:b/>
                <w:bCs/>
                <w:color w:val="000000" w:themeColor="text1"/>
                <w:szCs w:val="21"/>
                <w14:textFill>
                  <w14:solidFill>
                    <w14:schemeClr w14:val="tx1"/>
                  </w14:solidFill>
                </w14:textFill>
              </w:rPr>
            </w:pPr>
            <w:r>
              <w:rPr>
                <w:rFonts w:hint="eastAsia"/>
              </w:rPr>
              <w:t>（填写相关内容）</w:t>
            </w:r>
          </w:p>
        </w:tc>
        <w:tc>
          <w:tcPr>
            <w:tcW w:w="2623" w:type="dxa"/>
          </w:tcPr>
          <w:p>
            <w:pPr>
              <w:rPr>
                <w:b/>
                <w:bCs/>
                <w:color w:val="FF0000"/>
                <w:szCs w:val="21"/>
              </w:rPr>
            </w:pPr>
          </w:p>
        </w:tc>
        <w:tc>
          <w:tcPr>
            <w:tcW w:w="710" w:type="dxa"/>
          </w:tcPr>
          <w:p>
            <w:pPr>
              <w:rPr>
                <w:b/>
                <w:bCs/>
                <w:color w:val="FF0000"/>
                <w:szCs w:val="21"/>
              </w:rPr>
            </w:pPr>
          </w:p>
        </w:tc>
        <w:tc>
          <w:tcPr>
            <w:tcW w:w="390" w:type="dxa"/>
          </w:tcPr>
          <w:p>
            <w:pP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pPr>
              <w:jc w:val="center"/>
              <w:rPr>
                <w:color w:val="000000" w:themeColor="text1"/>
                <w:szCs w:val="21"/>
                <w14:textFill>
                  <w14:solidFill>
                    <w14:schemeClr w14:val="tx1"/>
                  </w14:solidFill>
                </w14:textFill>
              </w:rPr>
            </w:pPr>
          </w:p>
        </w:tc>
        <w:tc>
          <w:tcPr>
            <w:tcW w:w="772" w:type="dxa"/>
            <w:vMerge w:val="continue"/>
          </w:tcPr>
          <w:p>
            <w:pP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pPr>
              <w:jc w:val="center"/>
              <w:rPr>
                <w:color w:val="000000" w:themeColor="text1"/>
                <w:szCs w:val="21"/>
                <w14:textFill>
                  <w14:solidFill>
                    <w14:schemeClr w14:val="tx1"/>
                  </w14:solidFill>
                </w14:textFill>
              </w:rPr>
            </w:pPr>
          </w:p>
        </w:tc>
        <w:tc>
          <w:tcPr>
            <w:tcW w:w="772" w:type="dxa"/>
            <w:vMerge w:val="continue"/>
          </w:tcPr>
          <w:p>
            <w:pP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pPr>
              <w:jc w:val="center"/>
              <w:rPr>
                <w:color w:val="000000" w:themeColor="text1"/>
                <w:szCs w:val="21"/>
                <w14:textFill>
                  <w14:solidFill>
                    <w14:schemeClr w14:val="tx1"/>
                  </w14:solidFill>
                </w14:textFill>
              </w:rPr>
            </w:pPr>
          </w:p>
        </w:tc>
        <w:tc>
          <w:tcPr>
            <w:tcW w:w="772" w:type="dxa"/>
            <w:vMerge w:val="continue"/>
          </w:tcPr>
          <w:p>
            <w:pP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bl>
    <w:p>
      <w:pPr>
        <w:rPr>
          <w:sz w:val="24"/>
        </w:rPr>
      </w:pPr>
    </w:p>
    <w:p>
      <w:pPr>
        <w:rPr>
          <w:szCs w:val="21"/>
        </w:rPr>
      </w:pPr>
      <w:bookmarkStart w:id="38" w:name="_Hlk72095977"/>
      <w:r>
        <w:rPr>
          <w:rFonts w:hint="eastAsia"/>
          <w:szCs w:val="21"/>
        </w:rPr>
        <w:t>证明资料【如有的话，提供的证明资料应统一编号（排序），格式自定】</w:t>
      </w:r>
      <w:bookmarkEnd w:id="38"/>
      <w:r>
        <w:rPr>
          <w:rFonts w:hint="eastAsia"/>
          <w:szCs w:val="21"/>
        </w:rPr>
        <w:t>：</w:t>
      </w:r>
    </w:p>
    <w:p>
      <w:pPr>
        <w:rPr>
          <w:b/>
          <w:szCs w:val="21"/>
        </w:rPr>
      </w:pPr>
    </w:p>
    <w:p>
      <w:pPr>
        <w:ind w:firstLine="420" w:firstLineChars="200"/>
        <w:rPr>
          <w:bCs/>
          <w:szCs w:val="21"/>
        </w:rPr>
      </w:pPr>
      <w:r>
        <w:rPr>
          <w:rFonts w:hint="eastAsia"/>
          <w:bCs/>
          <w:szCs w:val="21"/>
        </w:rPr>
        <w:t>《技术要求偏离表》编制指引：</w:t>
      </w:r>
    </w:p>
    <w:p>
      <w:pPr>
        <w:ind w:firstLine="420" w:firstLineChars="200"/>
        <w:rPr>
          <w:bCs/>
          <w:szCs w:val="21"/>
        </w:rPr>
      </w:pPr>
      <w:r>
        <w:rPr>
          <w:rFonts w:hint="eastAsia"/>
          <w:bCs/>
          <w:szCs w:val="21"/>
        </w:rPr>
        <w:t>1、技术要求偏离表的序号、货物名称、招标技术要求等栏目</w:t>
      </w:r>
      <w:bookmarkStart w:id="39" w:name="_Hlk72094407"/>
      <w:r>
        <w:rPr>
          <w:rFonts w:hint="eastAsia"/>
          <w:bCs/>
          <w:szCs w:val="21"/>
        </w:rPr>
        <w:t>对应“用户需求书”中的“技术要求”章节</w:t>
      </w:r>
      <w:bookmarkEnd w:id="39"/>
      <w:r>
        <w:rPr>
          <w:rFonts w:hint="eastAsia"/>
          <w:bCs/>
          <w:szCs w:val="21"/>
        </w:rPr>
        <w:t>相关内容。</w:t>
      </w:r>
    </w:p>
    <w:p>
      <w:pPr>
        <w:pStyle w:val="15"/>
        <w:spacing w:beforeAutospacing="0" w:afterAutospacing="0"/>
        <w:ind w:firstLine="420" w:firstLineChars="200"/>
        <w:jc w:val="both"/>
        <w:outlineLvl w:val="1"/>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40" w:name="_Hlk72158270"/>
      <w:r>
        <w:rPr>
          <w:rFonts w:hint="eastAsia"/>
          <w:bCs/>
          <w:szCs w:val="21"/>
        </w:rPr>
        <w:t>“偏离情况”</w:t>
      </w:r>
      <w:bookmarkEnd w:id="40"/>
      <w:r>
        <w:rPr>
          <w:rFonts w:hint="eastAsia"/>
          <w:bCs/>
          <w:szCs w:val="21"/>
        </w:rPr>
        <w:t>一栏填写如实填写“正偏离”、“负偏离”或“无偏离”，其中：</w:t>
      </w:r>
      <w:bookmarkStart w:id="41" w:name="_Hlk72093866"/>
      <w:r>
        <w:rPr>
          <w:rFonts w:hint="eastAsia"/>
          <w:bCs/>
          <w:szCs w:val="21"/>
        </w:rPr>
        <w:t>“正偏离”表示“投标响应优于招标技术要求”，“负偏离”表示“投标响应不满足招标技术要求”，“无偏离”表示“投标响应与招标技术要求一致”</w:t>
      </w:r>
      <w:bookmarkEnd w:id="41"/>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pPr>
        <w:ind w:firstLine="420" w:firstLineChars="200"/>
        <w:rPr>
          <w:bCs/>
          <w:szCs w:val="21"/>
        </w:rPr>
      </w:pPr>
      <w:r>
        <w:rPr>
          <w:bCs/>
          <w:szCs w:val="21"/>
        </w:rPr>
        <w:t>4</w:t>
      </w:r>
      <w:r>
        <w:rPr>
          <w:rFonts w:hint="eastAsia"/>
          <w:bCs/>
          <w:szCs w:val="21"/>
        </w:rPr>
        <w:t>、未要求提供证明资料的招标技术要求，可以不提供证明资料（如实响应即可）。</w:t>
      </w:r>
    </w:p>
    <w:p>
      <w:pPr>
        <w:ind w:firstLine="420" w:firstLineChars="200"/>
        <w:rPr>
          <w:bCs/>
          <w:szCs w:val="21"/>
        </w:rPr>
      </w:pPr>
      <w:r>
        <w:rPr>
          <w:rFonts w:hint="eastAsia"/>
          <w:bCs/>
          <w:szCs w:val="21"/>
        </w:rPr>
        <w:t>5、</w:t>
      </w:r>
      <w:bookmarkStart w:id="42" w:name="_Hlk72096106"/>
      <w:r>
        <w:rPr>
          <w:rFonts w:hint="eastAsia"/>
          <w:bCs/>
          <w:szCs w:val="21"/>
        </w:rPr>
        <w:t>证明资料条款响应要求</w:t>
      </w:r>
      <w:bookmarkEnd w:id="42"/>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3"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4" w:name="_Hlk73558164"/>
      <w:r>
        <w:rPr>
          <w:rFonts w:hint="eastAsia"/>
          <w:bCs/>
          <w:szCs w:val="21"/>
        </w:rPr>
        <w:t>且投标人在“偏离情况”一栏响应为“正偏离”或“无偏离”的，经评审委员会认定，将判定为负偏离。</w:t>
      </w:r>
      <w:bookmarkEnd w:id="43"/>
      <w:bookmarkEnd w:id="44"/>
    </w:p>
    <w:p>
      <w:pPr>
        <w:ind w:firstLine="420" w:firstLineChars="200"/>
        <w:rPr>
          <w:bCs/>
          <w:szCs w:val="21"/>
        </w:rPr>
      </w:pPr>
      <w:r>
        <w:rPr>
          <w:rFonts w:hint="eastAsia"/>
          <w:bCs/>
          <w:szCs w:val="21"/>
        </w:rPr>
        <w:t>6、</w:t>
      </w:r>
      <w:bookmarkStart w:id="45" w:name="_Hlk72096137"/>
      <w:r>
        <w:rPr>
          <w:rFonts w:hint="eastAsia"/>
          <w:bCs/>
          <w:szCs w:val="21"/>
        </w:rPr>
        <w:t>表后“证明资料”部分内容的编制</w:t>
      </w:r>
      <w:bookmarkEnd w:id="45"/>
      <w:r>
        <w:rPr>
          <w:rFonts w:hint="eastAsia"/>
          <w:bCs/>
          <w:szCs w:val="21"/>
        </w:rPr>
        <w:t>：提供的所有证明资料应当统一编号（排序），且证明资料的编号（顺序）、数量和名称（形式）均应与“说明”一栏所填内容保持一致（一一对应），以便评审委员会查看。</w:t>
      </w:r>
      <w:bookmarkStart w:id="46" w:name="_Hlk73558180"/>
      <w:r>
        <w:rPr>
          <w:rFonts w:hint="eastAsia"/>
          <w:bCs/>
          <w:szCs w:val="21"/>
        </w:rPr>
        <w:t>未按照招标文件要求在表后放置证明材料的供应商将承担不利后果，经评审委员会认定，相关技术要求将判定为负偏离。</w:t>
      </w:r>
      <w:bookmarkEnd w:id="46"/>
    </w:p>
    <w:p>
      <w:pPr>
        <w:ind w:firstLine="420" w:firstLineChars="200"/>
        <w:rPr>
          <w:bCs/>
          <w:szCs w:val="21"/>
        </w:rPr>
      </w:pPr>
      <w:r>
        <w:rPr>
          <w:rFonts w:hint="eastAsia"/>
          <w:bCs/>
          <w:szCs w:val="21"/>
        </w:rPr>
        <w:t>7、</w:t>
      </w:r>
      <w:bookmarkStart w:id="47" w:name="_Hlk72096176"/>
      <w:r>
        <w:rPr>
          <w:rFonts w:hint="eastAsia"/>
          <w:bCs/>
          <w:szCs w:val="21"/>
        </w:rPr>
        <w:t>证明资料的形式及其它具体要求</w:t>
      </w:r>
      <w:bookmarkEnd w:id="47"/>
      <w:r>
        <w:rPr>
          <w:rFonts w:hint="eastAsia"/>
          <w:bCs/>
          <w:szCs w:val="21"/>
        </w:rPr>
        <w:t>：</w:t>
      </w:r>
    </w:p>
    <w:p>
      <w:pPr>
        <w:ind w:firstLine="420" w:firstLineChars="200"/>
        <w:rPr>
          <w:bCs/>
          <w:szCs w:val="21"/>
        </w:rPr>
      </w:pPr>
      <w:r>
        <w:rPr>
          <w:rFonts w:hint="eastAsia"/>
          <w:bCs/>
          <w:szCs w:val="21"/>
        </w:rPr>
        <w:t>（1）除照片、图片（截图）及不需加盖公章的文字说明（技术说明）外，其它证明资料均要求为原件扫描件；</w:t>
      </w:r>
    </w:p>
    <w:p>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Cs/>
          <w:szCs w:val="21"/>
        </w:rPr>
      </w:pPr>
      <w:r>
        <w:rPr>
          <w:rFonts w:hint="eastAsia"/>
          <w:bCs/>
          <w:szCs w:val="21"/>
        </w:rPr>
        <w:t>其它证明资料的形式要求参照以上要求执行；</w:t>
      </w:r>
    </w:p>
    <w:p>
      <w:pPr>
        <w:ind w:firstLine="420" w:firstLineChars="200"/>
        <w:rPr>
          <w:bCs/>
          <w:szCs w:val="21"/>
        </w:rPr>
      </w:pPr>
      <w:r>
        <w:rPr>
          <w:rFonts w:hint="eastAsia"/>
          <w:bCs/>
          <w:szCs w:val="21"/>
        </w:rPr>
        <w:t>（4）证明资料均要求原件备查。</w:t>
      </w:r>
    </w:p>
    <w:p>
      <w:pPr>
        <w:ind w:firstLine="420" w:firstLineChars="200"/>
        <w:rPr>
          <w:bCs/>
          <w:szCs w:val="21"/>
        </w:rPr>
      </w:pPr>
      <w:r>
        <w:rPr>
          <w:rFonts w:hint="eastAsia"/>
          <w:bCs/>
          <w:szCs w:val="21"/>
        </w:rPr>
        <w:t>8、其它注意事项：</w:t>
      </w:r>
    </w:p>
    <w:p>
      <w:pPr>
        <w:ind w:firstLine="420" w:firstLineChars="200"/>
        <w:rPr>
          <w:bCs/>
          <w:szCs w:val="21"/>
        </w:rPr>
      </w:pPr>
      <w:r>
        <w:rPr>
          <w:rFonts w:hint="eastAsia"/>
          <w:bCs/>
          <w:szCs w:val="21"/>
        </w:rPr>
        <w:t>（1）评审委员会有权对投标人的响应情况作出判断（评审结论）；</w:t>
      </w:r>
    </w:p>
    <w:p>
      <w:pPr>
        <w:ind w:firstLine="420" w:firstLineChars="200"/>
        <w:rPr>
          <w:bCs/>
          <w:szCs w:val="21"/>
        </w:rPr>
      </w:pPr>
      <w:r>
        <w:rPr>
          <w:rFonts w:hint="eastAsia"/>
          <w:bCs/>
          <w:szCs w:val="21"/>
        </w:rPr>
        <w:t>（2）</w:t>
      </w:r>
      <w:bookmarkStart w:id="48"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48"/>
    </w:p>
    <w:p>
      <w:pPr>
        <w:ind w:firstLine="482" w:firstLineChars="200"/>
        <w:rPr>
          <w:b/>
          <w:sz w:val="24"/>
        </w:rPr>
      </w:pPr>
    </w:p>
    <w:p>
      <w:pPr>
        <w:ind w:firstLine="482" w:firstLineChars="200"/>
        <w:rPr>
          <w:b/>
          <w:sz w:val="24"/>
        </w:rPr>
      </w:pPr>
    </w:p>
    <w:p>
      <w:pPr>
        <w:ind w:firstLine="482" w:firstLineChars="200"/>
        <w:rPr>
          <w:b/>
          <w:sz w:val="24"/>
        </w:rPr>
      </w:pPr>
    </w:p>
    <w:p>
      <w:pPr>
        <w:rPr>
          <w:rFonts w:hint="eastAsia" w:ascii="宋体" w:hAnsi="宋体"/>
        </w:rPr>
      </w:pPr>
      <w:r>
        <w:rPr>
          <w:rFonts w:ascii="宋体" w:hAnsi="宋体" w:eastAsia="宋体" w:cs="Times New Roman"/>
          <w:color w:val="FF0000"/>
          <w:sz w:val="32"/>
          <w:szCs w:val="32"/>
        </w:rPr>
        <w:br w:type="page"/>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六、技术保障措施</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七、项目实施保障措施</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八、同类项目业绩</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九、投标人认为需要加以说明的其他内容</w:t>
      </w:r>
    </w:p>
    <w:p>
      <w:pPr>
        <w:widowControl/>
        <w:jc w:val="center"/>
        <w:rPr>
          <w:rFonts w:hint="eastAsia" w:ascii="黑体" w:hAnsi="宋体" w:eastAsia="黑体"/>
          <w:kern w:val="0"/>
          <w:sz w:val="24"/>
          <w:szCs w:val="20"/>
        </w:rPr>
      </w:pP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pPr>
        <w:spacing w:beforeLines="0" w:line="380" w:lineRule="exact"/>
        <w:ind w:firstLine="420" w:firstLineChars="200"/>
        <w:rPr>
          <w:color w:val="auto"/>
        </w:rPr>
      </w:pPr>
      <w:r>
        <w:rPr>
          <w:rFonts w:hint="eastAsia"/>
          <w:color w:val="auto"/>
        </w:rPr>
        <w:t>（三）项目负责人或者主要技术人员不是本单位人员的。</w:t>
      </w:r>
    </w:p>
    <w:p>
      <w:pPr>
        <w:spacing w:beforeLines="0" w:line="380" w:lineRule="exact"/>
        <w:ind w:firstLine="420" w:firstLineChars="200"/>
        <w:rPr>
          <w:color w:val="auto"/>
        </w:rPr>
      </w:pPr>
      <w:r>
        <w:rPr>
          <w:rFonts w:hint="eastAsia"/>
          <w:color w:val="auto"/>
        </w:rPr>
        <w:t>（四）投标保证金不是从投标供应商基本账户转出的。</w:t>
      </w:r>
    </w:p>
    <w:p>
      <w:pPr>
        <w:spacing w:beforeLines="0" w:line="380" w:lineRule="exact"/>
        <w:ind w:firstLine="420" w:firstLineChars="200"/>
        <w:rPr>
          <w:color w:val="auto"/>
        </w:rPr>
      </w:pPr>
      <w:r>
        <w:rPr>
          <w:rFonts w:hint="eastAsia"/>
          <w:color w:val="auto"/>
        </w:rPr>
        <w:t>（五）其他隐瞒真实情况、提供虚假资料的行为。</w:t>
      </w:r>
    </w:p>
    <w:p>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pPr>
        <w:spacing w:beforeLines="0" w:line="380" w:lineRule="exact"/>
        <w:ind w:firstLine="420" w:firstLineChars="200"/>
        <w:rPr>
          <w:color w:val="auto"/>
        </w:rPr>
      </w:pPr>
      <w:r>
        <w:rPr>
          <w:rFonts w:hint="eastAsia"/>
          <w:color w:val="auto"/>
        </w:rPr>
        <w:t>（一）投标供应商之间相互约定给予未中标的供应商利益补偿。</w:t>
      </w:r>
    </w:p>
    <w:p>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pPr>
        <w:spacing w:beforeLines="0" w:line="340" w:lineRule="exact"/>
        <w:ind w:firstLine="420" w:firstLineChars="200"/>
        <w:rPr>
          <w:color w:val="auto"/>
        </w:rPr>
      </w:pPr>
      <w:r>
        <w:rPr>
          <w:rFonts w:hint="eastAsia"/>
          <w:color w:val="auto"/>
        </w:rPr>
        <w:t>（四）不同投标供应商的投标文件或部分投标文件相互混装。</w:t>
      </w:r>
    </w:p>
    <w:p>
      <w:pPr>
        <w:spacing w:beforeLines="0" w:line="340" w:lineRule="exact"/>
        <w:ind w:firstLine="420" w:firstLineChars="200"/>
        <w:rPr>
          <w:color w:val="auto"/>
        </w:rPr>
      </w:pPr>
      <w:r>
        <w:rPr>
          <w:rFonts w:hint="eastAsia"/>
          <w:color w:val="auto"/>
        </w:rPr>
        <w:t>（五）不同投标供应商的投标文件内容存在非正常一致。</w:t>
      </w:r>
    </w:p>
    <w:p>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pPr>
        <w:spacing w:beforeLines="0" w:line="340" w:lineRule="exact"/>
        <w:ind w:firstLine="420" w:firstLineChars="200"/>
        <w:rPr>
          <w:color w:val="auto"/>
        </w:rPr>
      </w:pPr>
      <w:r>
        <w:rPr>
          <w:rFonts w:hint="eastAsia"/>
          <w:color w:val="auto"/>
        </w:rPr>
        <w:t>（七）不同投标人的投标报价呈规律性差异。</w:t>
      </w:r>
    </w:p>
    <w:p>
      <w:pPr>
        <w:spacing w:beforeLines="0" w:line="340" w:lineRule="exact"/>
        <w:ind w:firstLine="420" w:firstLineChars="200"/>
        <w:rPr>
          <w:color w:val="auto"/>
        </w:rPr>
      </w:pPr>
      <w:r>
        <w:rPr>
          <w:rFonts w:hint="eastAsia"/>
          <w:color w:val="auto"/>
        </w:rPr>
        <w:t>（八）不同投标人的投标保证金从同一单位或者个人的账户转出。</w:t>
      </w:r>
    </w:p>
    <w:p>
      <w:pPr>
        <w:spacing w:beforeLines="0" w:line="340" w:lineRule="exact"/>
        <w:ind w:firstLine="420" w:firstLineChars="200"/>
        <w:rPr>
          <w:color w:val="auto"/>
        </w:rPr>
      </w:pPr>
      <w:r>
        <w:rPr>
          <w:rFonts w:hint="eastAsia"/>
          <w:color w:val="auto"/>
        </w:rPr>
        <w:t>（九）主管部门依照法律、法规认定的其他情形。</w:t>
      </w:r>
    </w:p>
    <w:p>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3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pPr>
        <w:pStyle w:val="51"/>
        <w:keepNext w:val="0"/>
        <w:keepLines w:val="0"/>
        <w:pageBreakBefore w:val="0"/>
        <w:kinsoku/>
        <w:wordWrap/>
        <w:overflowPunct/>
        <w:topLinePunct w:val="0"/>
        <w:bidi w:val="0"/>
        <w:adjustRightInd/>
        <w:snapToGrid/>
        <w:ind w:firstLine="422" w:firstLineChars="200"/>
        <w:textAlignment w:val="auto"/>
        <w:rPr>
          <w:b/>
          <w:bCs/>
          <w:color w:val="auto"/>
          <w:lang w:val="en-US" w:eastAsia="zh-CN"/>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wordWrap/>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Pr>
        <w:widowControl/>
        <w:jc w:val="center"/>
        <w:rPr>
          <w:rFonts w:ascii="黑体" w:hAnsi="宋体" w:eastAsia="黑体"/>
          <w:kern w:val="0"/>
          <w:sz w:val="24"/>
          <w:szCs w:val="20"/>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hint="eastAsia" w:ascii="宋体" w:hAnsi="宋体" w:eastAsia="黑体" w:cs="Times New Roman"/>
          <w:bCs/>
          <w:kern w:val="44"/>
          <w:sz w:val="28"/>
          <w:szCs w:val="44"/>
        </w:rPr>
      </w:pPr>
      <w:bookmarkStart w:id="49" w:name="_Hlk72574405"/>
      <w:r>
        <w:rPr>
          <w:rFonts w:hint="eastAsia"/>
          <w:b/>
          <w:sz w:val="24"/>
        </w:rPr>
        <w:t>（仅供参考，具体以项目需求及采购结果为准）</w:t>
      </w:r>
      <w:bookmarkEnd w:id="49"/>
    </w:p>
    <w:p>
      <w:pPr>
        <w:snapToGrid w:val="0"/>
        <w:spacing w:line="300" w:lineRule="auto"/>
        <w:jc w:val="center"/>
        <w:rPr>
          <w:rFonts w:hint="eastAsia" w:ascii="仿宋" w:hAnsi="仿宋" w:eastAsia="仿宋" w:cs="Times New Roman"/>
          <w:sz w:val="28"/>
          <w:szCs w:val="28"/>
        </w:rPr>
      </w:pPr>
    </w:p>
    <w:p>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 用 说 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50" w:name="_Toc22209"/>
    </w:p>
    <w:p>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50"/>
    </w:p>
    <w:p>
      <w:pPr>
        <w:keepNext/>
        <w:keepLines/>
        <w:adjustRightInd w:val="0"/>
        <w:snapToGrid w:val="0"/>
        <w:spacing w:line="400" w:lineRule="exact"/>
        <w:jc w:val="center"/>
        <w:outlineLvl w:val="1"/>
        <w:rPr>
          <w:rFonts w:hint="eastAsia" w:ascii="黑体" w:hAnsi="华文中宋" w:eastAsia="黑体" w:cs="Times New Roman"/>
          <w:sz w:val="28"/>
          <w:szCs w:val="28"/>
        </w:rPr>
      </w:pPr>
    </w:p>
    <w:p>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line="400" w:lineRule="exact"/>
        <w:rPr>
          <w:rFonts w:eastAsia="宋体"/>
        </w:rPr>
      </w:pPr>
    </w:p>
    <w:p>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pPr>
        <w:numPr>
          <w:ilvl w:val="0"/>
          <w:numId w:val="6"/>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5"/>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pPr>
        <w:numPr>
          <w:ilvl w:val="0"/>
          <w:numId w:val="7"/>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pPr>
        <w:rPr>
          <w:rFonts w:eastAsia="宋体"/>
        </w:rPr>
      </w:pPr>
      <w:r>
        <w:rPr>
          <w:rFonts w:hint="eastAsia" w:eastAsia="宋体"/>
        </w:rPr>
        <w:br w:type="page"/>
      </w:r>
    </w:p>
    <w:p>
      <w:pPr>
        <w:ind w:firstLine="420" w:firstLineChars="200"/>
        <w:rPr>
          <w:rFonts w:ascii="Times New Roman" w:hAnsi="Times New Roman" w:eastAsia="宋体" w:cs="Times New Roman"/>
          <w:szCs w:val="21"/>
        </w:rPr>
      </w:pPr>
    </w:p>
    <w:tbl>
      <w:tblPr>
        <w:tblStyle w:val="1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pPr>
        <w:ind w:firstLine="527" w:firstLineChars="250"/>
        <w:rPr>
          <w:rFonts w:hint="eastAsia" w:ascii="宋体" w:hAnsi="宋体"/>
          <w:b/>
          <w:szCs w:val="21"/>
        </w:rPr>
      </w:pPr>
    </w:p>
    <w:p>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51" w:name="_Toc27624"/>
      <w:r>
        <w:rPr>
          <w:rFonts w:hint="eastAsia" w:ascii="黑体" w:hAnsi="黑体" w:eastAsia="黑体" w:cs="Times New Roman"/>
          <w:sz w:val="28"/>
          <w:szCs w:val="28"/>
        </w:rPr>
        <w:t>第二节 政府采购合同通用条款</w:t>
      </w:r>
      <w:bookmarkEnd w:id="51"/>
    </w:p>
    <w:p>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pPr>
        <w:numPr>
          <w:ilvl w:val="0"/>
          <w:numId w:val="8"/>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pPr>
        <w:numPr>
          <w:ilvl w:val="0"/>
          <w:numId w:val="9"/>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5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szCs w:val="21"/>
        </w:rPr>
        <w:t>。</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pPr>
        <w:numPr>
          <w:ilvl w:val="0"/>
          <w:numId w:val="1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pPr>
        <w:numPr>
          <w:ilvl w:val="0"/>
          <w:numId w:val="11"/>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53" w:name="_Toc20313"/>
    </w:p>
    <w:p>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53"/>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snapToGrid w:val="0"/>
              <w:jc w:val="center"/>
              <w:rPr>
                <w:rFonts w:eastAsia="宋体"/>
              </w:rPr>
            </w:pPr>
            <w:r>
              <w:rPr>
                <w:rFonts w:hint="eastAsia" w:ascii="宋体" w:hAnsi="宋体" w:eastAsia="宋体"/>
                <w:szCs w:val="21"/>
              </w:rPr>
              <w:t>第5.4款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货物质量缺陷</w:t>
            </w:r>
          </w:p>
          <w:p>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第二节</w:t>
            </w:r>
          </w:p>
          <w:p>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pPr>
              <w:adjustRightInd w:val="0"/>
              <w:snapToGrid w:val="0"/>
              <w:jc w:val="left"/>
              <w:rPr>
                <w:rFonts w:hint="eastAsia" w:ascii="宋体" w:hAnsi="宋体" w:eastAsia="宋体"/>
                <w:szCs w:val="21"/>
              </w:rPr>
            </w:pPr>
          </w:p>
        </w:tc>
      </w:tr>
    </w:tbl>
    <w:p>
      <w:pPr>
        <w:rPr>
          <w:rFonts w:eastAsia="宋体"/>
        </w:rPr>
      </w:pPr>
    </w:p>
    <w:p>
      <w:pPr>
        <w:widowControl/>
        <w:jc w:val="left"/>
        <w:rPr>
          <w:rFonts w:ascii="Arial" w:hAnsi="Arial" w:eastAsia="宋体" w:cs="Times New Roman"/>
          <w:color w:val="FF0000"/>
          <w:szCs w:val="24"/>
        </w:rPr>
      </w:pPr>
    </w:p>
    <w:p>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33"/>
        <w:keepNext/>
        <w:keepLines/>
        <w:numPr>
          <w:ilvl w:val="0"/>
          <w:numId w:val="12"/>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54" w:name="_Hlk72399513"/>
      <w:r>
        <w:rPr>
          <w:rFonts w:hint="eastAsia" w:asciiTheme="majorHAnsi" w:hAnsiTheme="majorHAnsi" w:eastAsiaTheme="majorEastAsia" w:cstheme="majorBidi"/>
          <w:b/>
          <w:bCs/>
          <w:sz w:val="28"/>
          <w:szCs w:val="28"/>
        </w:rPr>
        <w:t>总则</w:t>
      </w:r>
    </w:p>
    <w:bookmarkEnd w:id="54"/>
    <w:p>
      <w:pPr>
        <w:rPr>
          <w:rFonts w:hint="eastAsia" w:ascii="黑体" w:hAnsi="宋体" w:eastAsia="黑体"/>
          <w:sz w:val="24"/>
        </w:rPr>
      </w:pPr>
      <w:bookmarkStart w:id="55" w:name="_Hlk72439706"/>
      <w:r>
        <w:rPr>
          <w:rFonts w:hint="eastAsia" w:ascii="黑体" w:hAnsi="宋体" w:eastAsia="黑体"/>
          <w:sz w:val="24"/>
        </w:rPr>
        <w:t>1. 通用条款说明</w:t>
      </w:r>
    </w:p>
    <w:p>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6" w:name="_Hlk72399729"/>
      <w:r>
        <w:rPr>
          <w:rFonts w:hint="eastAsia" w:ascii="宋体" w:hAnsi="宋体"/>
          <w:szCs w:val="21"/>
        </w:rPr>
        <w:t>如有需要，政府集中采购机构可以对通用条款的内容进行补充。</w:t>
      </w:r>
      <w:bookmarkEnd w:id="56"/>
    </w:p>
    <w:p>
      <w:pPr>
        <w:ind w:firstLine="411" w:firstLineChars="196"/>
        <w:rPr>
          <w:rFonts w:hint="eastAsia" w:ascii="宋体" w:hAnsi="宋体"/>
          <w:szCs w:val="21"/>
        </w:rPr>
      </w:pPr>
      <w:r>
        <w:rPr>
          <w:rFonts w:hint="eastAsia" w:ascii="宋体" w:hAnsi="宋体"/>
          <w:szCs w:val="21"/>
        </w:rPr>
        <w:t>1.2招标文件分为第一册“专用条款”和第二册“通用条款”。</w:t>
      </w:r>
    </w:p>
    <w:p>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pPr>
        <w:rPr>
          <w:rFonts w:hint="eastAsia" w:ascii="黑体" w:hAnsi="宋体" w:eastAsia="黑体"/>
          <w:sz w:val="24"/>
        </w:rPr>
      </w:pPr>
      <w:r>
        <w:rPr>
          <w:rFonts w:hint="eastAsia" w:ascii="黑体" w:hAnsi="宋体" w:eastAsia="黑体"/>
          <w:sz w:val="24"/>
        </w:rPr>
        <w:t>3．定义</w:t>
      </w:r>
    </w:p>
    <w:p>
      <w:pPr>
        <w:ind w:firstLine="420" w:firstLineChars="200"/>
        <w:rPr>
          <w:rFonts w:hint="eastAsia" w:ascii="宋体" w:hAnsi="宋体"/>
          <w:szCs w:val="21"/>
        </w:rPr>
      </w:pPr>
      <w:r>
        <w:rPr>
          <w:rFonts w:ascii="宋体" w:hAnsi="宋体"/>
          <w:szCs w:val="21"/>
        </w:rPr>
        <w:t>招标文件中下列术语应解释为：</w:t>
      </w:r>
    </w:p>
    <w:p>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hint="eastAsia" w:ascii="宋体" w:hAnsi="宋体"/>
          <w:szCs w:val="21"/>
        </w:rPr>
      </w:pPr>
      <w:r>
        <w:rPr>
          <w:rFonts w:hint="eastAsia" w:ascii="宋体" w:hAnsi="宋体"/>
          <w:szCs w:val="21"/>
        </w:rPr>
        <w:t>3.6“合同”指由本次招标所产生的合同或合约文件；</w:t>
      </w:r>
    </w:p>
    <w:p>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pPr>
        <w:rPr>
          <w:rFonts w:hint="eastAsia" w:ascii="黑体" w:hAnsi="宋体" w:eastAsia="黑体"/>
          <w:sz w:val="24"/>
        </w:rPr>
      </w:pPr>
      <w:r>
        <w:rPr>
          <w:rFonts w:hint="eastAsia" w:ascii="黑体" w:hAnsi="宋体" w:eastAsia="黑体"/>
          <w:sz w:val="24"/>
        </w:rPr>
        <w:t xml:space="preserve">4. </w:t>
      </w:r>
      <w:bookmarkStart w:id="57" w:name="_Hlk72398643"/>
      <w:r>
        <w:rPr>
          <w:rFonts w:hint="eastAsia" w:ascii="黑体" w:hAnsi="宋体" w:eastAsia="黑体"/>
          <w:sz w:val="24"/>
        </w:rPr>
        <w:t>政府采购供应商责任</w:t>
      </w:r>
    </w:p>
    <w:p>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hint="eastAsia" w:ascii="黑体" w:hAnsi="宋体" w:eastAsia="黑体"/>
          <w:sz w:val="24"/>
        </w:rPr>
      </w:pPr>
      <w:r>
        <w:rPr>
          <w:rFonts w:hint="eastAsia" w:ascii="黑体" w:hAnsi="宋体" w:eastAsia="黑体"/>
          <w:sz w:val="24"/>
        </w:rPr>
        <w:t>5．投标人参加政府采购的条件</w:t>
      </w:r>
    </w:p>
    <w:p>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hint="eastAsia" w:ascii="宋体" w:hAnsi="宋体"/>
          <w:szCs w:val="21"/>
        </w:rPr>
      </w:pPr>
      <w:r>
        <w:rPr>
          <w:rFonts w:hint="eastAsia" w:ascii="宋体" w:hAnsi="宋体"/>
          <w:szCs w:val="21"/>
        </w:rPr>
        <w:t>5.2投标人资格要求</w:t>
      </w:r>
    </w:p>
    <w:p>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hint="eastAsia" w:ascii="宋体" w:hAnsi="宋体"/>
          <w:szCs w:val="21"/>
        </w:rPr>
      </w:pPr>
      <w:r>
        <w:rPr>
          <w:rFonts w:hint="eastAsia" w:ascii="宋体" w:hAnsi="宋体"/>
          <w:szCs w:val="21"/>
        </w:rPr>
        <w:t>5.3联合体投标</w:t>
      </w:r>
    </w:p>
    <w:p>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hint="eastAsia" w:ascii="宋体" w:hAnsi="宋体"/>
        </w:rPr>
      </w:pPr>
      <w:r>
        <w:rPr>
          <w:rFonts w:hint="eastAsia" w:ascii="宋体" w:hAnsi="宋体"/>
        </w:rPr>
        <w:t>（2）在投标截止前，投标联合体各方均应注册成政府集中采购机构供应商；</w:t>
      </w:r>
    </w:p>
    <w:p>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pPr>
        <w:rPr>
          <w:rFonts w:hint="eastAsia" w:ascii="黑体" w:hAnsi="宋体" w:eastAsia="黑体"/>
          <w:sz w:val="24"/>
        </w:rPr>
      </w:pPr>
      <w:r>
        <w:rPr>
          <w:rFonts w:hint="eastAsia" w:ascii="黑体" w:hAnsi="宋体" w:eastAsia="黑体"/>
          <w:sz w:val="24"/>
        </w:rPr>
        <w:t>6．政策导向</w:t>
      </w:r>
    </w:p>
    <w:p>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eastAsia="宋体"/>
        </w:rPr>
      </w:pPr>
      <w:r>
        <w:rPr>
          <w:rFonts w:hint="eastAsia" w:ascii="宋体" w:hAnsi="宋体"/>
        </w:rPr>
        <w:t>6.3  本项目支持投标人性别平等的相关政策。</w:t>
      </w:r>
    </w:p>
    <w:p>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8"/>
    </w:p>
    <w:p>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pPr>
        <w:rPr>
          <w:rFonts w:hint="eastAsia" w:ascii="黑体" w:hAnsi="宋体" w:eastAsia="黑体"/>
          <w:sz w:val="24"/>
        </w:rPr>
      </w:pPr>
      <w:r>
        <w:rPr>
          <w:rFonts w:hint="eastAsia" w:ascii="黑体" w:hAnsi="宋体" w:eastAsia="黑体"/>
          <w:sz w:val="24"/>
        </w:rPr>
        <w:t>8．投标费用</w:t>
      </w:r>
    </w:p>
    <w:p>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pPr>
        <w:rPr>
          <w:rFonts w:hint="eastAsia" w:ascii="黑体" w:hAnsi="宋体" w:eastAsia="黑体"/>
          <w:sz w:val="24"/>
        </w:rPr>
      </w:pPr>
      <w:r>
        <w:rPr>
          <w:rFonts w:hint="eastAsia" w:ascii="黑体" w:hAnsi="宋体" w:eastAsia="黑体"/>
          <w:sz w:val="24"/>
        </w:rPr>
        <w:t>9．踏勘现场</w:t>
      </w:r>
    </w:p>
    <w:p>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7"/>
    <w:p>
      <w:pPr>
        <w:ind w:firstLine="411" w:firstLineChars="196"/>
        <w:rPr>
          <w:rFonts w:hint="eastAsia" w:ascii="宋体" w:hAnsi="宋体"/>
        </w:rPr>
      </w:pPr>
    </w:p>
    <w:p>
      <w:pPr>
        <w:pStyle w:val="4"/>
        <w:numPr>
          <w:ilvl w:val="0"/>
          <w:numId w:val="13"/>
        </w:numPr>
        <w:spacing w:before="156" w:beforeLines="50" w:after="156" w:afterLines="50"/>
        <w:ind w:left="562" w:hanging="562"/>
        <w:rPr>
          <w:sz w:val="28"/>
          <w:szCs w:val="28"/>
        </w:rPr>
      </w:pPr>
      <w:r>
        <w:rPr>
          <w:rFonts w:hint="eastAsia"/>
          <w:sz w:val="28"/>
          <w:szCs w:val="28"/>
        </w:rPr>
        <w:t>招标文件</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9" w:name="_Hlk72399819"/>
      <w:r>
        <w:rPr>
          <w:rFonts w:hint="eastAsia" w:ascii="黑体" w:hAnsi="宋体" w:eastAsia="黑体"/>
          <w:sz w:val="24"/>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hint="eastAsia" w:ascii="宋体" w:hAnsi="宋体"/>
          <w:szCs w:val="21"/>
        </w:rPr>
      </w:pPr>
      <w:r>
        <w:rPr>
          <w:rFonts w:hint="eastAsia" w:ascii="宋体" w:hAnsi="宋体"/>
          <w:szCs w:val="21"/>
        </w:rPr>
        <w:t>招标文件包括下列内容：</w:t>
      </w:r>
    </w:p>
    <w:p>
      <w:pPr>
        <w:ind w:left="420" w:leftChars="200" w:firstLine="413" w:firstLineChars="196"/>
        <w:rPr>
          <w:rFonts w:hint="eastAsia" w:ascii="宋体" w:hAnsi="宋体"/>
          <w:b/>
          <w:szCs w:val="21"/>
        </w:rPr>
      </w:pPr>
      <w:r>
        <w:rPr>
          <w:rFonts w:hint="eastAsia" w:ascii="宋体" w:hAnsi="宋体"/>
          <w:b/>
          <w:szCs w:val="21"/>
        </w:rPr>
        <w:t>第一册  专用条款</w:t>
      </w:r>
    </w:p>
    <w:p>
      <w:pPr>
        <w:ind w:left="1079" w:leftChars="514"/>
        <w:rPr>
          <w:rFonts w:hint="eastAsia" w:ascii="宋体" w:hAnsi="宋体"/>
          <w:b/>
          <w:szCs w:val="21"/>
        </w:rPr>
      </w:pPr>
      <w:r>
        <w:rPr>
          <w:rFonts w:hint="eastAsia" w:ascii="宋体" w:hAnsi="宋体"/>
          <w:b/>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第三章  用户需求书</w:t>
      </w:r>
    </w:p>
    <w:p>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hint="eastAsia" w:ascii="宋体" w:hAnsi="宋体"/>
          <w:szCs w:val="21"/>
        </w:rPr>
      </w:pPr>
      <w:r>
        <w:rPr>
          <w:rFonts w:hint="eastAsia" w:ascii="宋体" w:hAnsi="宋体"/>
          <w:szCs w:val="21"/>
        </w:rPr>
        <w:t>第五章  合同条款及格式</w:t>
      </w:r>
    </w:p>
    <w:p>
      <w:pPr>
        <w:ind w:left="420" w:leftChars="200" w:firstLine="413" w:firstLineChars="196"/>
        <w:rPr>
          <w:rFonts w:hint="eastAsia" w:ascii="宋体" w:hAnsi="宋体"/>
          <w:b/>
          <w:szCs w:val="21"/>
        </w:rPr>
      </w:pPr>
      <w:r>
        <w:rPr>
          <w:rFonts w:hint="eastAsia" w:ascii="宋体" w:hAnsi="宋体"/>
          <w:b/>
          <w:szCs w:val="21"/>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pPr>
        <w:ind w:left="630" w:leftChars="300" w:firstLine="411" w:firstLineChars="196"/>
        <w:rPr>
          <w:rFonts w:hint="eastAsia" w:ascii="宋体" w:hAnsi="宋体"/>
          <w:szCs w:val="21"/>
        </w:rPr>
      </w:pPr>
      <w:r>
        <w:rPr>
          <w:rFonts w:hint="eastAsia" w:ascii="宋体" w:hAnsi="宋体"/>
          <w:szCs w:val="21"/>
        </w:rPr>
        <w:t>第十一章  质疑处理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9"/>
    </w:p>
    <w:p>
      <w:pPr>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投标文件的编制</w:t>
      </w:r>
    </w:p>
    <w:p>
      <w:pPr>
        <w:rPr>
          <w:rFonts w:hint="eastAsia" w:ascii="黑体" w:hAnsi="宋体" w:eastAsia="黑体"/>
          <w:sz w:val="24"/>
        </w:rPr>
      </w:pPr>
      <w:r>
        <w:rPr>
          <w:rFonts w:hint="eastAsia" w:ascii="黑体" w:hAnsi="宋体" w:eastAsia="黑体"/>
          <w:sz w:val="24"/>
        </w:rPr>
        <w:t>14．</w:t>
      </w:r>
      <w:bookmarkStart w:id="60" w:name="_Hlk72400236"/>
      <w:r>
        <w:rPr>
          <w:rFonts w:hint="eastAsia" w:ascii="黑体" w:hAnsi="宋体" w:eastAsia="黑体"/>
          <w:sz w:val="24"/>
        </w:rPr>
        <w:t>投标文件的语言及度量单位</w:t>
      </w:r>
    </w:p>
    <w:p>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0"/>
    <w:p>
      <w:pPr>
        <w:rPr>
          <w:rFonts w:hint="eastAsia" w:ascii="黑体" w:hAnsi="宋体" w:eastAsia="黑体"/>
          <w:sz w:val="24"/>
        </w:rPr>
      </w:pPr>
      <w:r>
        <w:rPr>
          <w:rFonts w:hint="eastAsia" w:ascii="黑体" w:hAnsi="宋体" w:eastAsia="黑体"/>
          <w:sz w:val="24"/>
        </w:rPr>
        <w:t>15．</w:t>
      </w:r>
      <w:bookmarkStart w:id="61" w:name="_Hlk72401567"/>
      <w:r>
        <w:rPr>
          <w:rFonts w:hint="eastAsia" w:ascii="黑体" w:hAnsi="宋体" w:eastAsia="黑体"/>
          <w:sz w:val="24"/>
        </w:rPr>
        <w:t>投标文件的组成</w:t>
      </w:r>
    </w:p>
    <w:p>
      <w:pPr>
        <w:ind w:firstLine="411" w:firstLineChars="196"/>
        <w:rPr>
          <w:rFonts w:hint="eastAsia" w:ascii="宋体" w:hAnsi="宋体"/>
          <w:szCs w:val="21"/>
        </w:rPr>
      </w:pPr>
      <w:r>
        <w:rPr>
          <w:rFonts w:hint="eastAsia" w:ascii="宋体" w:hAnsi="宋体"/>
          <w:szCs w:val="21"/>
        </w:rPr>
        <w:t>具体内容在招标文件专用条款中进行规定。</w:t>
      </w:r>
    </w:p>
    <w:p>
      <w:pPr>
        <w:rPr>
          <w:rFonts w:hint="eastAsia" w:ascii="黑体" w:hAnsi="宋体" w:eastAsia="黑体"/>
          <w:sz w:val="24"/>
        </w:rPr>
      </w:pPr>
      <w:r>
        <w:rPr>
          <w:rFonts w:ascii="黑体" w:hAnsi="宋体" w:eastAsia="黑体"/>
          <w:sz w:val="24"/>
        </w:rPr>
        <w:t>16．投标文件格式</w:t>
      </w:r>
    </w:p>
    <w:p>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hint="eastAsia" w:ascii="黑体" w:hAnsi="宋体" w:eastAsia="黑体"/>
          <w:sz w:val="24"/>
        </w:rPr>
      </w:pPr>
      <w:r>
        <w:rPr>
          <w:rFonts w:hint="eastAsia" w:ascii="黑体" w:hAnsi="宋体" w:eastAsia="黑体"/>
          <w:sz w:val="24"/>
        </w:rPr>
        <w:t>17．投标货币</w:t>
      </w:r>
    </w:p>
    <w:p>
      <w:pPr>
        <w:ind w:firstLine="411" w:firstLineChars="196"/>
        <w:rPr>
          <w:rFonts w:hint="eastAsia" w:ascii="宋体" w:hAnsi="宋体"/>
          <w:szCs w:val="21"/>
        </w:rPr>
      </w:pPr>
      <w:r>
        <w:rPr>
          <w:rFonts w:hint="eastAsia" w:ascii="宋体" w:hAnsi="宋体"/>
          <w:szCs w:val="21"/>
        </w:rPr>
        <w:t>本项目的投标报价应以人民币计。</w:t>
      </w:r>
    </w:p>
    <w:bookmarkEnd w:id="61"/>
    <w:p>
      <w:pPr>
        <w:rPr>
          <w:rFonts w:hint="eastAsia" w:ascii="黑体" w:hAnsi="宋体" w:eastAsia="黑体"/>
          <w:sz w:val="24"/>
        </w:rPr>
      </w:pPr>
      <w:r>
        <w:rPr>
          <w:rFonts w:hint="eastAsia" w:ascii="黑体" w:hAnsi="宋体" w:eastAsia="黑体"/>
          <w:sz w:val="24"/>
        </w:rPr>
        <w:t>18．</w:t>
      </w:r>
      <w:bookmarkStart w:id="62" w:name="_Hlk72401735"/>
      <w:r>
        <w:rPr>
          <w:rFonts w:hint="eastAsia" w:ascii="黑体" w:hAnsi="宋体" w:eastAsia="黑体"/>
          <w:sz w:val="24"/>
        </w:rPr>
        <w:t>证明投标文件投标技术方案的合格性和符合招标文件规定的文件要求</w:t>
      </w:r>
    </w:p>
    <w:p>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hint="eastAsia" w:ascii="宋体" w:hAnsi="宋体"/>
          <w:szCs w:val="21"/>
        </w:rPr>
      </w:pPr>
      <w:r>
        <w:rPr>
          <w:rFonts w:hint="eastAsia" w:ascii="宋体" w:hAnsi="宋体"/>
          <w:szCs w:val="21"/>
        </w:rPr>
        <w:t>18.2.1主要技术指标和性能的详细说明。</w:t>
      </w:r>
    </w:p>
    <w:p>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2"/>
    <w:p>
      <w:pPr>
        <w:rPr>
          <w:rFonts w:hint="eastAsia" w:ascii="黑体" w:hAnsi="宋体" w:eastAsia="黑体"/>
          <w:sz w:val="24"/>
        </w:rPr>
      </w:pPr>
      <w:r>
        <w:rPr>
          <w:rFonts w:hint="eastAsia" w:ascii="黑体" w:hAnsi="宋体" w:eastAsia="黑体"/>
          <w:sz w:val="24"/>
        </w:rPr>
        <w:t>19．</w:t>
      </w:r>
      <w:bookmarkStart w:id="63" w:name="_Hlk72402034"/>
      <w:r>
        <w:rPr>
          <w:rFonts w:hint="eastAsia" w:ascii="黑体" w:hAnsi="宋体" w:eastAsia="黑体"/>
          <w:sz w:val="24"/>
        </w:rPr>
        <w:t>投标文件其他证明文件的要求</w:t>
      </w:r>
    </w:p>
    <w:p>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4"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4"/>
    <w:p>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hint="eastAsia" w:ascii="黑体" w:hAnsi="宋体" w:eastAsia="黑体"/>
          <w:sz w:val="24"/>
        </w:rPr>
      </w:pPr>
      <w:r>
        <w:rPr>
          <w:rFonts w:hint="eastAsia" w:ascii="黑体" w:hAnsi="宋体" w:eastAsia="黑体"/>
          <w:sz w:val="24"/>
        </w:rPr>
        <w:t>20．投标有效期</w:t>
      </w:r>
    </w:p>
    <w:bookmarkEnd w:id="63"/>
    <w:p>
      <w:pPr>
        <w:ind w:firstLine="411" w:firstLineChars="196"/>
        <w:rPr>
          <w:rFonts w:hint="eastAsia" w:ascii="宋体" w:hAnsi="宋体"/>
          <w:szCs w:val="21"/>
        </w:rPr>
      </w:pPr>
      <w:bookmarkStart w:id="6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5"/>
    <w:p>
      <w:pPr>
        <w:rPr>
          <w:rFonts w:hint="eastAsia" w:ascii="黑体" w:hAnsi="宋体" w:eastAsia="黑体"/>
          <w:sz w:val="24"/>
        </w:rPr>
      </w:pPr>
      <w:r>
        <w:rPr>
          <w:rFonts w:hint="eastAsia" w:ascii="黑体" w:hAnsi="宋体" w:eastAsia="黑体"/>
          <w:sz w:val="24"/>
        </w:rPr>
        <w:t>21．</w:t>
      </w:r>
      <w:bookmarkStart w:id="66" w:name="_Hlk72402325"/>
      <w:r>
        <w:rPr>
          <w:rFonts w:hint="eastAsia" w:ascii="黑体" w:hAnsi="宋体" w:eastAsia="黑体"/>
          <w:sz w:val="24"/>
        </w:rPr>
        <w:t xml:space="preserve">关于投标保证金 </w:t>
      </w:r>
    </w:p>
    <w:p>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hint="eastAsia" w:ascii="黑体" w:hAnsi="宋体" w:eastAsia="黑体"/>
          <w:sz w:val="24"/>
        </w:rPr>
      </w:pPr>
      <w:r>
        <w:rPr>
          <w:rFonts w:hint="eastAsia" w:ascii="黑体" w:hAnsi="宋体" w:eastAsia="黑体"/>
          <w:sz w:val="24"/>
        </w:rPr>
        <w:t>22．投标人的替代方案</w:t>
      </w:r>
    </w:p>
    <w:p>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6"/>
    <w:p>
      <w:pPr>
        <w:rPr>
          <w:rFonts w:hint="eastAsia" w:ascii="黑体" w:hAnsi="宋体" w:eastAsia="黑体"/>
          <w:sz w:val="24"/>
        </w:rPr>
      </w:pPr>
      <w:r>
        <w:rPr>
          <w:rFonts w:hint="eastAsia" w:ascii="黑体" w:hAnsi="宋体" w:eastAsia="黑体"/>
          <w:sz w:val="24"/>
        </w:rPr>
        <w:t>23．</w:t>
      </w:r>
      <w:bookmarkStart w:id="6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rPr>
      </w:pPr>
      <w:r>
        <w:rPr>
          <w:rFonts w:hint="eastAsia" w:ascii="宋体" w:hAnsi="宋体"/>
        </w:rPr>
        <w:t>23.1投标人应准备所投项目的电子投标文件一份。</w:t>
      </w:r>
    </w:p>
    <w:p>
      <w:pPr>
        <w:ind w:firstLine="411" w:firstLineChars="196"/>
        <w:rPr>
          <w:rFonts w:hint="eastAsia" w:ascii="宋体" w:hAnsi="宋体"/>
        </w:rPr>
      </w:pPr>
      <w:r>
        <w:rPr>
          <w:rFonts w:hint="eastAsia" w:ascii="宋体" w:hAnsi="宋体"/>
        </w:rPr>
        <w:t>23.2投标人在使用《投标书编制软件》编制投标书时须注意：</w:t>
      </w:r>
    </w:p>
    <w:p>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hint="eastAsia" w:ascii="宋体" w:hAnsi="宋体"/>
        </w:rPr>
      </w:pPr>
      <w:r>
        <w:rPr>
          <w:rFonts w:hint="eastAsia" w:ascii="宋体" w:hAnsi="宋体"/>
        </w:rPr>
        <w:t>23.3电报、电话、传真形式的投标概不接受。</w:t>
      </w:r>
    </w:p>
    <w:p>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7"/>
    </w:p>
    <w:p>
      <w:pPr>
        <w:ind w:firstLine="411" w:firstLineChars="196"/>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投标文件的递交</w:t>
      </w:r>
    </w:p>
    <w:p>
      <w:pPr>
        <w:rPr>
          <w:rFonts w:hint="eastAsia" w:ascii="黑体" w:hAnsi="宋体" w:eastAsia="黑体"/>
          <w:sz w:val="24"/>
        </w:rPr>
      </w:pPr>
      <w:bookmarkStart w:id="68" w:name="_Hlk72405459"/>
      <w:r>
        <w:rPr>
          <w:rFonts w:hint="eastAsia" w:ascii="黑体" w:hAnsi="宋体" w:eastAsia="黑体"/>
          <w:sz w:val="24"/>
        </w:rPr>
        <w:t>24．投标文件的保密</w:t>
      </w:r>
    </w:p>
    <w:p>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pPr>
        <w:rPr>
          <w:rFonts w:hint="eastAsia" w:ascii="宋体" w:hAnsi="宋体"/>
          <w:b/>
        </w:rPr>
      </w:pPr>
      <w:r>
        <w:rPr>
          <w:rFonts w:hint="eastAsia" w:ascii="宋体" w:hAnsi="宋体"/>
          <w:b/>
        </w:rPr>
        <w:t>24.2若采购项目出现延期情况：</w:t>
      </w:r>
    </w:p>
    <w:p>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hint="eastAsia" w:ascii="黑体" w:hAnsi="宋体" w:eastAsia="黑体"/>
          <w:sz w:val="24"/>
        </w:rPr>
      </w:pPr>
      <w:r>
        <w:rPr>
          <w:rFonts w:hint="eastAsia" w:ascii="黑体" w:hAnsi="宋体" w:eastAsia="黑体"/>
          <w:sz w:val="24"/>
        </w:rPr>
        <w:t>25．上传投标文件及投标截止日期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hint="eastAsia" w:ascii="宋体" w:hAnsi="宋体"/>
        </w:rPr>
      </w:pPr>
    </w:p>
    <w:p>
      <w:pPr>
        <w:ind w:firstLine="411" w:firstLineChars="196"/>
        <w:rPr>
          <w:rFonts w:hint="eastAsia" w:ascii="宋体" w:hAnsi="宋体"/>
        </w:rPr>
      </w:pPr>
    </w:p>
    <w:bookmarkEnd w:id="68"/>
    <w:p>
      <w:pPr>
        <w:rPr>
          <w:rFonts w:hint="eastAsia" w:ascii="黑体" w:hAnsi="宋体" w:eastAsia="黑体"/>
          <w:sz w:val="24"/>
        </w:rPr>
      </w:pPr>
      <w:r>
        <w:rPr>
          <w:rFonts w:hint="eastAsia" w:ascii="黑体" w:hAnsi="宋体" w:eastAsia="黑体"/>
          <w:sz w:val="24"/>
        </w:rPr>
        <w:t>26. 样品、现场演示、方案讲解</w:t>
      </w:r>
    </w:p>
    <w:p>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pPr>
        <w:rPr>
          <w:rFonts w:hint="eastAsia" w:ascii="黑体" w:hAnsi="宋体" w:eastAsia="黑体"/>
          <w:sz w:val="24"/>
        </w:rPr>
      </w:pPr>
      <w:bookmarkStart w:id="6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69"/>
    <w:p>
      <w:pPr>
        <w:pStyle w:val="4"/>
        <w:numPr>
          <w:ilvl w:val="0"/>
          <w:numId w:val="13"/>
        </w:numPr>
        <w:spacing w:before="156" w:beforeLines="50" w:after="156" w:afterLines="50"/>
        <w:ind w:left="562" w:hanging="562"/>
        <w:rPr>
          <w:sz w:val="28"/>
          <w:szCs w:val="28"/>
        </w:rPr>
      </w:pPr>
      <w:r>
        <w:rPr>
          <w:rFonts w:hint="eastAsia"/>
          <w:sz w:val="28"/>
          <w:szCs w:val="28"/>
        </w:rPr>
        <w:t>开标</w:t>
      </w:r>
    </w:p>
    <w:p>
      <w:pPr>
        <w:rPr>
          <w:rFonts w:hint="eastAsia"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评审要求</w:t>
      </w:r>
    </w:p>
    <w:p>
      <w:pPr>
        <w:rPr>
          <w:rFonts w:hint="eastAsia" w:ascii="黑体" w:hAnsi="宋体" w:eastAsia="黑体"/>
          <w:sz w:val="24"/>
        </w:rPr>
      </w:pPr>
      <w:r>
        <w:rPr>
          <w:rFonts w:hint="eastAsia" w:ascii="黑体" w:hAnsi="宋体" w:eastAsia="黑体"/>
          <w:sz w:val="24"/>
        </w:rPr>
        <w:t>29．评审委员会组成</w:t>
      </w:r>
    </w:p>
    <w:p>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hint="eastAsia" w:ascii="宋体" w:hAnsi="宋体"/>
        </w:rPr>
      </w:pPr>
      <w:bookmarkStart w:id="7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hint="eastAsia" w:ascii="宋体" w:hAnsi="宋体"/>
        </w:rPr>
      </w:pPr>
      <w:r>
        <w:rPr>
          <w:rFonts w:hint="eastAsia" w:ascii="宋体" w:hAnsi="宋体"/>
        </w:rPr>
        <w:t>29.2评审定标应当遵循公平、公正、科学、择优的原则。</w:t>
      </w:r>
    </w:p>
    <w:p>
      <w:pPr>
        <w:ind w:firstLine="411" w:firstLineChars="196"/>
        <w:rPr>
          <w:rFonts w:hint="eastAsia" w:ascii="宋体" w:hAnsi="宋体"/>
        </w:rPr>
      </w:pPr>
      <w:r>
        <w:rPr>
          <w:rFonts w:hint="eastAsia" w:ascii="宋体" w:hAnsi="宋体"/>
        </w:rPr>
        <w:t>29.3评审活动依法进行，任何单位和个人不得非法干预评标过程和结果。</w:t>
      </w:r>
    </w:p>
    <w:p>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hint="eastAsia" w:ascii="黑体" w:hAnsi="宋体" w:eastAsia="黑体"/>
          <w:sz w:val="24"/>
        </w:rPr>
      </w:pPr>
      <w:r>
        <w:rPr>
          <w:rFonts w:hint="eastAsia" w:ascii="黑体" w:hAnsi="宋体" w:eastAsia="黑体"/>
          <w:sz w:val="24"/>
        </w:rPr>
        <w:t>30．向评审委员会提供的资料</w:t>
      </w:r>
    </w:p>
    <w:p>
      <w:pPr>
        <w:ind w:firstLine="411" w:firstLineChars="196"/>
        <w:rPr>
          <w:rFonts w:hint="eastAsia" w:ascii="宋体" w:hAnsi="宋体"/>
        </w:rPr>
      </w:pPr>
      <w:r>
        <w:rPr>
          <w:rFonts w:hint="eastAsia" w:ascii="宋体" w:hAnsi="宋体"/>
        </w:rPr>
        <w:t>30.1公开发布的招标文件，包括图纸、服务清单、答疑文件等；</w:t>
      </w:r>
    </w:p>
    <w:p>
      <w:pPr>
        <w:ind w:firstLine="411" w:firstLineChars="196"/>
        <w:rPr>
          <w:rFonts w:hint="eastAsia" w:ascii="宋体" w:hAnsi="宋体"/>
        </w:rPr>
      </w:pPr>
      <w:r>
        <w:rPr>
          <w:rFonts w:hint="eastAsia" w:ascii="宋体" w:hAnsi="宋体"/>
        </w:rPr>
        <w:t>30.2其他评标必须的资料。</w:t>
      </w:r>
    </w:p>
    <w:p>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hint="eastAsia" w:ascii="宋体" w:hAnsi="宋体"/>
        </w:rPr>
      </w:pPr>
      <w:r>
        <w:rPr>
          <w:rFonts w:hint="eastAsia" w:ascii="宋体" w:hAnsi="宋体"/>
        </w:rPr>
        <w:t>（1）招标的目的；</w:t>
      </w:r>
    </w:p>
    <w:p>
      <w:pPr>
        <w:ind w:firstLine="411" w:firstLineChars="196"/>
        <w:rPr>
          <w:rFonts w:hint="eastAsia" w:ascii="宋体" w:hAnsi="宋体"/>
        </w:rPr>
      </w:pPr>
      <w:r>
        <w:rPr>
          <w:rFonts w:hint="eastAsia" w:ascii="宋体" w:hAnsi="宋体"/>
        </w:rPr>
        <w:t>（2）招标项目需求的范围和性质；</w:t>
      </w:r>
    </w:p>
    <w:p>
      <w:pPr>
        <w:ind w:firstLine="411" w:firstLineChars="196"/>
        <w:rPr>
          <w:rFonts w:hint="eastAsia" w:ascii="宋体" w:hAnsi="宋体"/>
        </w:rPr>
      </w:pPr>
      <w:r>
        <w:rPr>
          <w:rFonts w:hint="eastAsia" w:ascii="宋体" w:hAnsi="宋体"/>
        </w:rPr>
        <w:t>（3）招标文件规定的投标人的资格、财政预算限额、商务条款；</w:t>
      </w:r>
    </w:p>
    <w:p>
      <w:pPr>
        <w:ind w:firstLine="411" w:firstLineChars="196"/>
        <w:rPr>
          <w:rFonts w:hint="eastAsia" w:ascii="宋体" w:hAnsi="宋体"/>
        </w:rPr>
      </w:pPr>
      <w:r>
        <w:rPr>
          <w:rFonts w:hint="eastAsia" w:ascii="宋体" w:hAnsi="宋体"/>
        </w:rPr>
        <w:t>（4）招标文件规定的评标程序、评标方法和评标因素；</w:t>
      </w:r>
    </w:p>
    <w:p>
      <w:pPr>
        <w:ind w:firstLine="411" w:firstLineChars="196"/>
        <w:rPr>
          <w:rFonts w:hint="eastAsia" w:ascii="宋体" w:hAnsi="宋体"/>
        </w:rPr>
      </w:pPr>
      <w:r>
        <w:rPr>
          <w:rFonts w:hint="eastAsia" w:ascii="宋体" w:hAnsi="宋体"/>
        </w:rPr>
        <w:t>（5）招标文件所列示的资格性审查表及符合性审查表。</w:t>
      </w:r>
    </w:p>
    <w:p>
      <w:pPr>
        <w:rPr>
          <w:rFonts w:hint="eastAsia" w:ascii="黑体" w:hAnsi="宋体" w:eastAsia="黑体"/>
          <w:sz w:val="24"/>
        </w:rPr>
      </w:pPr>
      <w:r>
        <w:rPr>
          <w:rFonts w:hint="eastAsia" w:ascii="黑体" w:hAnsi="宋体" w:eastAsia="黑体"/>
          <w:sz w:val="24"/>
        </w:rPr>
        <w:t>31．独立评审</w:t>
      </w:r>
    </w:p>
    <w:p>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4"/>
        <w:numPr>
          <w:ilvl w:val="0"/>
          <w:numId w:val="13"/>
        </w:numPr>
        <w:spacing w:before="156" w:beforeLines="50" w:after="156" w:afterLines="50"/>
        <w:ind w:left="562" w:hanging="562"/>
        <w:rPr>
          <w:sz w:val="28"/>
          <w:szCs w:val="28"/>
        </w:rPr>
      </w:pPr>
      <w:r>
        <w:rPr>
          <w:rFonts w:hint="eastAsia"/>
          <w:sz w:val="28"/>
          <w:szCs w:val="28"/>
        </w:rPr>
        <w:t>评审程序及评审方法</w:t>
      </w:r>
    </w:p>
    <w:p>
      <w:pPr>
        <w:rPr>
          <w:rFonts w:hint="eastAsia" w:ascii="黑体" w:hAnsi="宋体" w:eastAsia="黑体"/>
          <w:sz w:val="24"/>
        </w:rPr>
      </w:pPr>
      <w:r>
        <w:rPr>
          <w:rFonts w:hint="eastAsia" w:ascii="黑体" w:hAnsi="宋体" w:eastAsia="黑体"/>
          <w:sz w:val="24"/>
        </w:rPr>
        <w:t>32．投标文件初审</w:t>
      </w:r>
    </w:p>
    <w:p>
      <w:pPr>
        <w:ind w:firstLine="411" w:firstLineChars="196"/>
        <w:rPr>
          <w:rFonts w:hint="eastAsia" w:ascii="宋体" w:hAnsi="宋体"/>
        </w:rPr>
      </w:pPr>
      <w:r>
        <w:rPr>
          <w:rFonts w:hint="eastAsia" w:ascii="宋体" w:hAnsi="宋体"/>
        </w:rPr>
        <w:t>32.1投标文件初审包括资格性审查和符合性审查。</w:t>
      </w:r>
    </w:p>
    <w:p>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hint="eastAsia" w:ascii="宋体" w:hAnsi="宋体"/>
          <w:bCs/>
        </w:rPr>
      </w:pPr>
      <w:r>
        <w:rPr>
          <w:rFonts w:hint="eastAsia" w:ascii="宋体" w:hAnsi="宋体"/>
          <w:bCs/>
        </w:rPr>
        <w:t>32.3 投标文件初审中关于供应商家数的计算:</w:t>
      </w:r>
    </w:p>
    <w:p>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hint="eastAsia"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hint="eastAsia" w:ascii="宋体" w:hAnsi="宋体"/>
        </w:rPr>
      </w:pPr>
      <w:r>
        <w:rPr>
          <w:rFonts w:hint="eastAsia" w:ascii="宋体" w:hAnsi="宋体"/>
        </w:rPr>
        <w:t>32.4.3不同投标人的投标文件载明的项目管理成员或者联系人员为同一人；</w:t>
      </w:r>
    </w:p>
    <w:p>
      <w:pPr>
        <w:ind w:firstLine="411" w:firstLineChars="196"/>
        <w:rPr>
          <w:rFonts w:hint="eastAsia" w:ascii="宋体" w:hAnsi="宋体"/>
        </w:rPr>
      </w:pPr>
      <w:r>
        <w:rPr>
          <w:rFonts w:hint="eastAsia" w:ascii="宋体" w:hAnsi="宋体"/>
        </w:rPr>
        <w:t>32.4.4不同投标人的投标文件异常一致或者投标报价呈规律性差异；</w:t>
      </w:r>
    </w:p>
    <w:p>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hint="eastAsia" w:ascii="宋体" w:hAnsi="宋体"/>
        </w:rPr>
      </w:pPr>
      <w:r>
        <w:rPr>
          <w:rFonts w:hint="eastAsia" w:ascii="宋体" w:hAnsi="宋体"/>
        </w:rPr>
        <w:t>32.4.6投标供应商之间相互约定给予未中标的供应商利益补偿；</w:t>
      </w:r>
    </w:p>
    <w:p>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hint="eastAsia" w:ascii="宋体" w:hAnsi="宋体"/>
        </w:rPr>
      </w:pPr>
      <w:r>
        <w:rPr>
          <w:rFonts w:hint="eastAsia" w:ascii="宋体" w:hAnsi="宋体"/>
        </w:rPr>
        <w:t>32.4.8不同投标供应商的投标文件内容存在非正常一致；</w:t>
      </w:r>
    </w:p>
    <w:p>
      <w:pPr>
        <w:ind w:firstLine="411" w:firstLineChars="196"/>
        <w:rPr>
          <w:rFonts w:hint="eastAsia" w:ascii="宋体" w:hAnsi="宋体"/>
        </w:rPr>
      </w:pPr>
      <w:r>
        <w:rPr>
          <w:rFonts w:hint="eastAsia" w:ascii="宋体" w:hAnsi="宋体"/>
        </w:rPr>
        <w:t>32.4.9在同一单位工作人员为两家以上（含两家）供应商进行同一项投标活动；</w:t>
      </w:r>
    </w:p>
    <w:p>
      <w:pPr>
        <w:ind w:firstLine="411" w:firstLineChars="196"/>
        <w:rPr>
          <w:rFonts w:hint="eastAsia"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hint="eastAsia" w:ascii="黑体" w:hAnsi="宋体" w:eastAsia="黑体"/>
          <w:sz w:val="24"/>
        </w:rPr>
      </w:pPr>
      <w:r>
        <w:rPr>
          <w:rFonts w:hint="eastAsia" w:ascii="黑体" w:hAnsi="宋体" w:eastAsia="黑体"/>
          <w:sz w:val="24"/>
        </w:rPr>
        <w:t>33．澄清有关问题</w:t>
      </w:r>
    </w:p>
    <w:p>
      <w:pPr>
        <w:ind w:firstLine="411" w:firstLineChars="196"/>
        <w:rPr>
          <w:rFonts w:hint="eastAsia" w:ascii="宋体" w:hAnsi="宋体"/>
        </w:rPr>
      </w:pPr>
      <w:bookmarkStart w:id="7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1"/>
    </w:p>
    <w:p>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rPr>
          <w:rFonts w:hint="eastAsia" w:ascii="黑体" w:hAnsi="宋体" w:eastAsia="黑体"/>
          <w:sz w:val="24"/>
        </w:rPr>
      </w:pPr>
      <w:bookmarkStart w:id="72" w:name="_Toc100052400"/>
      <w:bookmarkStart w:id="73" w:name="_Toc73521669"/>
      <w:bookmarkStart w:id="74" w:name="_Toc73517673"/>
      <w:bookmarkStart w:id="75" w:name="_Toc73518151"/>
      <w:bookmarkStart w:id="76" w:name="_Toc73521581"/>
      <w:r>
        <w:rPr>
          <w:rFonts w:hint="eastAsia" w:ascii="黑体" w:hAnsi="宋体" w:eastAsia="黑体"/>
          <w:sz w:val="24"/>
        </w:rPr>
        <w:t>34．错误的修正</w:t>
      </w:r>
      <w:bookmarkEnd w:id="72"/>
      <w:bookmarkEnd w:id="73"/>
      <w:bookmarkEnd w:id="74"/>
      <w:bookmarkEnd w:id="75"/>
      <w:bookmarkEnd w:id="76"/>
    </w:p>
    <w:p>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hint="eastAsia" w:ascii="宋体" w:hAnsi="宋体"/>
          <w:szCs w:val="21"/>
        </w:rPr>
      </w:pPr>
      <w:r>
        <w:rPr>
          <w:rFonts w:hint="eastAsia" w:ascii="宋体" w:hAnsi="宋体"/>
          <w:szCs w:val="21"/>
        </w:rPr>
        <w:t>34.2大写金额和小写金额不一致的，以大写金额为准；</w:t>
      </w:r>
    </w:p>
    <w:p>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hint="eastAsia" w:ascii="黑体" w:hAnsi="宋体" w:eastAsia="黑体"/>
          <w:sz w:val="24"/>
        </w:rPr>
      </w:pPr>
      <w:r>
        <w:rPr>
          <w:rFonts w:hint="eastAsia" w:ascii="黑体" w:hAnsi="宋体" w:eastAsia="黑体"/>
          <w:sz w:val="24"/>
        </w:rPr>
        <w:t>35．投标文件的比较与评价</w:t>
      </w:r>
    </w:p>
    <w:p>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hint="eastAsia" w:ascii="黑体" w:hAnsi="宋体" w:eastAsia="黑体"/>
          <w:sz w:val="24"/>
        </w:rPr>
      </w:pPr>
      <w:r>
        <w:rPr>
          <w:rFonts w:hint="eastAsia" w:ascii="黑体" w:hAnsi="宋体" w:eastAsia="黑体"/>
          <w:sz w:val="24"/>
        </w:rPr>
        <w:t>36. 实地考察或资料查验</w:t>
      </w:r>
    </w:p>
    <w:p>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hint="eastAsia" w:ascii="黑体" w:hAnsi="宋体" w:eastAsia="黑体"/>
          <w:sz w:val="24"/>
        </w:rPr>
      </w:pPr>
      <w:r>
        <w:rPr>
          <w:rFonts w:hint="eastAsia" w:ascii="黑体" w:hAnsi="宋体" w:eastAsia="黑体"/>
          <w:sz w:val="24"/>
        </w:rPr>
        <w:t>37．评审方法</w:t>
      </w:r>
    </w:p>
    <w:p>
      <w:pPr>
        <w:ind w:firstLine="413" w:firstLineChars="196"/>
        <w:rPr>
          <w:rFonts w:hint="eastAsia" w:ascii="宋体" w:hAnsi="宋体"/>
          <w:b/>
          <w:bCs/>
          <w:szCs w:val="21"/>
        </w:rPr>
      </w:pPr>
      <w:bookmarkStart w:id="77" w:name="_Hlk72438142"/>
      <w:r>
        <w:rPr>
          <w:rFonts w:hint="eastAsia" w:ascii="宋体" w:hAnsi="宋体"/>
          <w:b/>
          <w:bCs/>
          <w:szCs w:val="21"/>
        </w:rPr>
        <w:t>37.1.1最低价法</w:t>
      </w:r>
    </w:p>
    <w:p>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3" w:firstLineChars="196"/>
        <w:rPr>
          <w:rFonts w:hint="eastAsia"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7"/>
    </w:p>
    <w:p>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hint="eastAsia" w:ascii="宋体" w:hAnsi="宋体"/>
          <w:b/>
          <w:bCs/>
          <w:szCs w:val="21"/>
        </w:rPr>
      </w:pPr>
      <w:r>
        <w:rPr>
          <w:rFonts w:hint="eastAsia" w:ascii="宋体" w:hAnsi="宋体"/>
          <w:b/>
          <w:bCs/>
          <w:szCs w:val="21"/>
        </w:rPr>
        <w:t>37.3重新评审的情形</w:t>
      </w:r>
    </w:p>
    <w:p>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定标及公示</w:t>
      </w:r>
    </w:p>
    <w:p>
      <w:pPr>
        <w:rPr>
          <w:rFonts w:hint="eastAsia" w:ascii="黑体" w:hAnsi="宋体" w:eastAsia="黑体"/>
          <w:sz w:val="24"/>
        </w:rPr>
      </w:pPr>
      <w:r>
        <w:rPr>
          <w:rFonts w:hint="eastAsia" w:ascii="黑体" w:hAnsi="宋体" w:eastAsia="黑体"/>
          <w:sz w:val="24"/>
        </w:rPr>
        <w:t>38．定标方法</w:t>
      </w:r>
    </w:p>
    <w:p>
      <w:pPr>
        <w:ind w:firstLine="411" w:firstLineChars="196"/>
        <w:rPr>
          <w:rFonts w:hint="eastAsia" w:ascii="宋体" w:hAnsi="宋体"/>
          <w:szCs w:val="21"/>
        </w:rPr>
      </w:pPr>
      <w:bookmarkStart w:id="78" w:name="_Hlk73782795"/>
      <w:r>
        <w:rPr>
          <w:rFonts w:hint="eastAsia" w:ascii="宋体" w:hAnsi="宋体"/>
          <w:szCs w:val="21"/>
        </w:rPr>
        <w:t>38.1非评定分离项目定标方法</w:t>
      </w:r>
    </w:p>
    <w:p>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宋体" w:hAnsi="宋体"/>
          <w:szCs w:val="21"/>
        </w:rPr>
      </w:pPr>
      <w:r>
        <w:rPr>
          <w:rFonts w:hint="eastAsia" w:ascii="宋体" w:hAnsi="宋体"/>
          <w:szCs w:val="21"/>
        </w:rPr>
        <w:t>38.2评定分离项目定标方法</w:t>
      </w:r>
    </w:p>
    <w:p>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hint="eastAsia" w:ascii="宋体" w:hAnsi="宋体"/>
          <w:szCs w:val="21"/>
        </w:rPr>
      </w:pPr>
      <w:r>
        <w:rPr>
          <w:rFonts w:hint="eastAsia" w:ascii="宋体" w:hAnsi="宋体"/>
          <w:szCs w:val="21"/>
        </w:rPr>
        <w:t>38.2.3</w:t>
      </w:r>
      <w:bookmarkStart w:id="8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9"/>
      <w:bookmarkEnd w:id="80"/>
    </w:p>
    <w:p>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78"/>
    </w:p>
    <w:p>
      <w:pPr>
        <w:rPr>
          <w:rFonts w:hint="eastAsia" w:ascii="黑体" w:hAnsi="宋体" w:eastAsia="黑体"/>
          <w:sz w:val="24"/>
        </w:rPr>
      </w:pPr>
      <w:r>
        <w:rPr>
          <w:rFonts w:hint="eastAsia" w:ascii="黑体" w:hAnsi="宋体" w:eastAsia="黑体"/>
          <w:sz w:val="24"/>
        </w:rPr>
        <w:t>39．编写评审报告</w:t>
      </w:r>
    </w:p>
    <w:p>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hint="eastAsia" w:ascii="黑体" w:hAnsi="宋体" w:eastAsia="黑体"/>
          <w:sz w:val="24"/>
        </w:rPr>
      </w:pPr>
      <w:r>
        <w:rPr>
          <w:rFonts w:hint="eastAsia" w:ascii="黑体" w:hAnsi="宋体" w:eastAsia="黑体"/>
          <w:sz w:val="24"/>
        </w:rPr>
        <w:t>40．中标公告</w:t>
      </w:r>
    </w:p>
    <w:p>
      <w:pPr>
        <w:ind w:firstLine="411" w:firstLineChars="196"/>
        <w:rPr>
          <w:rFonts w:hint="eastAsia" w:ascii="宋体" w:hAnsi="宋体"/>
          <w:szCs w:val="21"/>
        </w:rPr>
      </w:pPr>
      <w:r>
        <w:rPr>
          <w:rFonts w:hint="eastAsia" w:ascii="宋体" w:hAnsi="宋体"/>
          <w:szCs w:val="21"/>
        </w:rPr>
        <w:t>40.1</w:t>
      </w:r>
      <w:bookmarkStart w:id="8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1"/>
      <w:bookmarkStart w:id="8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2"/>
    <w:p>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pPr>
        <w:rPr>
          <w:rFonts w:hint="eastAsia" w:ascii="黑体" w:hAnsi="宋体" w:eastAsia="黑体"/>
          <w:sz w:val="24"/>
        </w:rPr>
      </w:pPr>
      <w:r>
        <w:rPr>
          <w:rFonts w:hint="eastAsia" w:ascii="黑体" w:hAnsi="宋体" w:eastAsia="黑体"/>
          <w:sz w:val="24"/>
        </w:rPr>
        <w:t>41．中标通知书</w:t>
      </w:r>
    </w:p>
    <w:p>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3"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3"/>
    </w:p>
    <w:p>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hint="eastAsia" w:ascii="宋体" w:hAnsi="宋体"/>
          <w:szCs w:val="21"/>
        </w:rPr>
      </w:pPr>
      <w:bookmarkStart w:id="84" w:name="_Hlk71407340"/>
      <w:r>
        <w:rPr>
          <w:rFonts w:hint="eastAsia" w:ascii="宋体" w:hAnsi="宋体"/>
          <w:szCs w:val="21"/>
        </w:rPr>
        <w:t>41.3因质疑投诉或其它原因导致项目结果变更或采购终止的，政府集中采购机构有权吊销中标通知书。</w:t>
      </w:r>
    </w:p>
    <w:bookmarkEnd w:id="84"/>
    <w:p>
      <w:pPr>
        <w:ind w:firstLine="411" w:firstLineChars="196"/>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公开招标失败的后续处理</w:t>
      </w:r>
    </w:p>
    <w:p>
      <w:pPr>
        <w:rPr>
          <w:rFonts w:hint="eastAsia" w:ascii="黑体" w:hAnsi="宋体" w:eastAsia="黑体"/>
          <w:sz w:val="24"/>
        </w:rPr>
      </w:pPr>
      <w:r>
        <w:rPr>
          <w:rFonts w:hint="eastAsia" w:ascii="黑体" w:hAnsi="宋体" w:eastAsia="黑体"/>
          <w:sz w:val="24"/>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hint="eastAsia" w:ascii="黑体" w:hAnsi="宋体" w:eastAsia="黑体"/>
          <w:sz w:val="24"/>
        </w:rPr>
      </w:pPr>
    </w:p>
    <w:p>
      <w:pPr>
        <w:pStyle w:val="4"/>
        <w:numPr>
          <w:ilvl w:val="0"/>
          <w:numId w:val="13"/>
        </w:numPr>
        <w:spacing w:before="156" w:beforeLines="50" w:after="156" w:afterLines="50"/>
        <w:ind w:left="562" w:hanging="562"/>
        <w:rPr>
          <w:sz w:val="28"/>
          <w:szCs w:val="28"/>
        </w:rPr>
      </w:pPr>
      <w:bookmarkStart w:id="85" w:name="_Hlk72439043"/>
      <w:r>
        <w:rPr>
          <w:rFonts w:hint="eastAsia"/>
          <w:sz w:val="28"/>
          <w:szCs w:val="28"/>
        </w:rPr>
        <w:t>合同的授予与备案</w:t>
      </w:r>
      <w:bookmarkEnd w:id="85"/>
    </w:p>
    <w:p>
      <w:pPr>
        <w:rPr>
          <w:rFonts w:hint="eastAsia" w:ascii="黑体" w:hAnsi="宋体" w:eastAsia="黑体"/>
          <w:sz w:val="24"/>
        </w:rPr>
      </w:pPr>
      <w:bookmarkStart w:id="86" w:name="_Toc73518157"/>
      <w:bookmarkStart w:id="87" w:name="_Toc73517679"/>
      <w:bookmarkStart w:id="88" w:name="_Toc73521586"/>
      <w:bookmarkStart w:id="89" w:name="_Toc100052408"/>
      <w:bookmarkStart w:id="90" w:name="_Toc73521674"/>
      <w:bookmarkStart w:id="91" w:name="_Hlk72439088"/>
      <w:r>
        <w:rPr>
          <w:rFonts w:hint="eastAsia" w:ascii="黑体" w:hAnsi="宋体" w:eastAsia="黑体"/>
          <w:sz w:val="24"/>
        </w:rPr>
        <w:t>43．合同授予标准</w:t>
      </w:r>
      <w:bookmarkEnd w:id="86"/>
      <w:bookmarkEnd w:id="87"/>
      <w:bookmarkEnd w:id="88"/>
      <w:bookmarkEnd w:id="89"/>
      <w:bookmarkEnd w:id="90"/>
    </w:p>
    <w:p>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pPr>
        <w:rPr>
          <w:rFonts w:hint="eastAsia" w:ascii="黑体" w:hAnsi="宋体" w:eastAsia="黑体"/>
          <w:sz w:val="24"/>
        </w:rPr>
      </w:pPr>
      <w:bookmarkStart w:id="92" w:name="_Toc73517680"/>
      <w:bookmarkStart w:id="93" w:name="_Toc73518158"/>
      <w:bookmarkStart w:id="94" w:name="_Toc73521675"/>
      <w:bookmarkStart w:id="95" w:name="_Toc100052409"/>
      <w:bookmarkStart w:id="96" w:name="_Toc73521587"/>
      <w:r>
        <w:rPr>
          <w:rFonts w:hint="eastAsia" w:ascii="黑体" w:hAnsi="宋体" w:eastAsia="黑体"/>
          <w:sz w:val="24"/>
        </w:rPr>
        <w:t>44．</w:t>
      </w:r>
      <w:bookmarkEnd w:id="92"/>
      <w:bookmarkEnd w:id="93"/>
      <w:bookmarkEnd w:id="94"/>
      <w:bookmarkEnd w:id="95"/>
      <w:bookmarkEnd w:id="96"/>
      <w:r>
        <w:rPr>
          <w:rFonts w:hint="eastAsia" w:ascii="黑体" w:hAnsi="宋体" w:eastAsia="黑体"/>
          <w:sz w:val="24"/>
        </w:rPr>
        <w:t>接受和拒绝任何或所有投标的权力</w:t>
      </w:r>
    </w:p>
    <w:p>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hint="eastAsia" w:ascii="黑体" w:hAnsi="宋体" w:eastAsia="黑体"/>
          <w:sz w:val="24"/>
        </w:rPr>
      </w:pPr>
      <w:bookmarkStart w:id="97" w:name="_Toc100052410"/>
      <w:bookmarkStart w:id="98" w:name="_Toc73517682"/>
      <w:bookmarkStart w:id="99" w:name="_Toc73521677"/>
      <w:bookmarkStart w:id="100" w:name="_Toc73521589"/>
      <w:bookmarkStart w:id="101" w:name="_Toc73518160"/>
      <w:r>
        <w:rPr>
          <w:rFonts w:hint="eastAsia" w:ascii="黑体" w:hAnsi="宋体" w:eastAsia="黑体"/>
          <w:sz w:val="24"/>
        </w:rPr>
        <w:t>45．合同的签订</w:t>
      </w:r>
      <w:bookmarkEnd w:id="97"/>
      <w:bookmarkEnd w:id="98"/>
      <w:bookmarkEnd w:id="99"/>
      <w:bookmarkEnd w:id="100"/>
      <w:bookmarkEnd w:id="101"/>
    </w:p>
    <w:p>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pPr>
        <w:rPr>
          <w:rFonts w:hint="eastAsia" w:ascii="黑体" w:hAnsi="宋体" w:eastAsia="黑体"/>
          <w:sz w:val="24"/>
        </w:rPr>
      </w:pPr>
      <w:bookmarkStart w:id="102" w:name="_Toc73517683"/>
      <w:bookmarkStart w:id="103" w:name="_Toc100052411"/>
      <w:bookmarkStart w:id="104" w:name="_Toc73521590"/>
      <w:bookmarkStart w:id="105" w:name="_Toc73521678"/>
      <w:bookmarkStart w:id="106" w:name="_Toc73518161"/>
      <w:r>
        <w:rPr>
          <w:rFonts w:hint="eastAsia" w:ascii="黑体" w:hAnsi="宋体" w:eastAsia="黑体"/>
          <w:sz w:val="24"/>
        </w:rPr>
        <w:t>46．履约担保</w:t>
      </w:r>
      <w:bookmarkEnd w:id="102"/>
      <w:bookmarkEnd w:id="103"/>
      <w:bookmarkEnd w:id="104"/>
      <w:bookmarkEnd w:id="105"/>
      <w:bookmarkEnd w:id="106"/>
    </w:p>
    <w:p>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hint="eastAsia" w:ascii="黑体" w:hAnsi="宋体" w:eastAsia="黑体"/>
          <w:sz w:val="24"/>
        </w:rPr>
      </w:pPr>
      <w:r>
        <w:rPr>
          <w:rFonts w:hint="eastAsia" w:ascii="黑体" w:hAnsi="宋体" w:eastAsia="黑体"/>
          <w:sz w:val="24"/>
        </w:rPr>
        <w:t>47. 合同备案</w:t>
      </w:r>
    </w:p>
    <w:p>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pPr>
        <w:rPr>
          <w:rFonts w:hint="eastAsia" w:ascii="黑体" w:hAnsi="宋体" w:eastAsia="黑体"/>
          <w:sz w:val="24"/>
        </w:rPr>
      </w:pPr>
      <w:r>
        <w:rPr>
          <w:rFonts w:hint="eastAsia" w:ascii="黑体" w:hAnsi="宋体" w:eastAsia="黑体"/>
          <w:sz w:val="24"/>
        </w:rPr>
        <w:t>49. 项目验收</w:t>
      </w:r>
    </w:p>
    <w:p>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hint="eastAsia" w:ascii="黑体" w:hAnsi="宋体" w:eastAsia="黑体"/>
          <w:sz w:val="24"/>
        </w:rPr>
      </w:pPr>
      <w:r>
        <w:rPr>
          <w:rFonts w:hint="eastAsia" w:ascii="黑体" w:hAnsi="宋体" w:eastAsia="黑体"/>
          <w:sz w:val="24"/>
        </w:rPr>
        <w:t>50. 宣传</w:t>
      </w:r>
    </w:p>
    <w:p>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hint="eastAsia" w:ascii="宋体" w:hAnsi="宋体"/>
        </w:rPr>
      </w:pPr>
      <w:r>
        <w:rPr>
          <w:rFonts w:ascii="宋体" w:hAnsi="宋体"/>
        </w:rPr>
        <w:t>a.名片、宣传册、广告标语等；</w:t>
      </w:r>
    </w:p>
    <w:p>
      <w:pPr>
        <w:ind w:left="210" w:leftChars="100" w:firstLine="411" w:firstLineChars="196"/>
        <w:rPr>
          <w:rFonts w:hint="eastAsia" w:ascii="宋体" w:hAnsi="宋体"/>
        </w:rPr>
      </w:pPr>
      <w:r>
        <w:rPr>
          <w:rFonts w:ascii="宋体" w:hAnsi="宋体"/>
        </w:rPr>
        <w:t>b.案例介绍、推广等；</w:t>
      </w:r>
    </w:p>
    <w:p>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pPr>
        <w:rPr>
          <w:rFonts w:hint="eastAsia" w:ascii="黑体" w:hAnsi="宋体" w:eastAsia="黑体"/>
          <w:sz w:val="24"/>
        </w:rPr>
      </w:pPr>
      <w:r>
        <w:rPr>
          <w:rFonts w:hint="eastAsia" w:ascii="黑体" w:hAnsi="宋体" w:eastAsia="黑体"/>
          <w:sz w:val="24"/>
        </w:rPr>
        <w:t>51. 供应商违法责任</w:t>
      </w:r>
    </w:p>
    <w:p>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hint="eastAsia" w:ascii="宋体" w:hAnsi="宋体"/>
          <w:szCs w:val="21"/>
        </w:rPr>
      </w:pPr>
      <w:r>
        <w:rPr>
          <w:rFonts w:hint="eastAsia" w:ascii="宋体" w:hAnsi="宋体"/>
          <w:szCs w:val="21"/>
        </w:rPr>
        <w:t>（1）在采购活动中应当回避而未回避的；</w:t>
      </w:r>
    </w:p>
    <w:p>
      <w:pPr>
        <w:ind w:firstLine="411" w:firstLineChars="196"/>
        <w:rPr>
          <w:rFonts w:hint="eastAsia" w:ascii="宋体" w:hAnsi="宋体"/>
          <w:szCs w:val="21"/>
        </w:rPr>
      </w:pPr>
      <w:r>
        <w:rPr>
          <w:rFonts w:hint="eastAsia" w:ascii="宋体" w:hAnsi="宋体"/>
          <w:szCs w:val="21"/>
        </w:rPr>
        <w:t>（2）未按本条例规定签订、履行采购合同，造成严重后果的；</w:t>
      </w:r>
    </w:p>
    <w:p>
      <w:pPr>
        <w:ind w:firstLine="411" w:firstLineChars="196"/>
        <w:rPr>
          <w:rFonts w:hint="eastAsia" w:ascii="宋体" w:hAnsi="宋体"/>
          <w:szCs w:val="21"/>
        </w:rPr>
      </w:pPr>
      <w:r>
        <w:rPr>
          <w:rFonts w:hint="eastAsia" w:ascii="宋体" w:hAnsi="宋体"/>
          <w:szCs w:val="21"/>
        </w:rPr>
        <w:t>（3）隐瞒真实情况，提供虚假资料的；</w:t>
      </w:r>
    </w:p>
    <w:p>
      <w:pPr>
        <w:ind w:firstLine="411" w:firstLineChars="196"/>
        <w:rPr>
          <w:rFonts w:hint="eastAsia" w:ascii="宋体" w:hAnsi="宋体"/>
          <w:szCs w:val="21"/>
        </w:rPr>
      </w:pPr>
      <w:r>
        <w:rPr>
          <w:rFonts w:hint="eastAsia" w:ascii="宋体" w:hAnsi="宋体"/>
          <w:szCs w:val="21"/>
        </w:rPr>
        <w:t>（4）以非法手段排斥其他供应商参与竞争的；</w:t>
      </w:r>
    </w:p>
    <w:p>
      <w:pPr>
        <w:ind w:firstLine="411" w:firstLineChars="196"/>
        <w:rPr>
          <w:rFonts w:hint="eastAsia" w:ascii="宋体" w:hAnsi="宋体"/>
          <w:szCs w:val="21"/>
        </w:rPr>
      </w:pPr>
      <w:r>
        <w:rPr>
          <w:rFonts w:hint="eastAsia" w:ascii="宋体" w:hAnsi="宋体"/>
          <w:szCs w:val="21"/>
        </w:rPr>
        <w:t>（5）与其他采购参加人串通投标的；</w:t>
      </w:r>
    </w:p>
    <w:p>
      <w:pPr>
        <w:ind w:firstLine="411" w:firstLineChars="196"/>
        <w:rPr>
          <w:rFonts w:hint="eastAsia" w:ascii="宋体" w:hAnsi="宋体"/>
          <w:szCs w:val="21"/>
        </w:rPr>
      </w:pPr>
      <w:r>
        <w:rPr>
          <w:rFonts w:hint="eastAsia" w:ascii="宋体" w:hAnsi="宋体"/>
          <w:szCs w:val="21"/>
        </w:rPr>
        <w:t>（6）恶意投诉的；</w:t>
      </w:r>
    </w:p>
    <w:p>
      <w:pPr>
        <w:ind w:firstLine="411" w:firstLineChars="196"/>
        <w:rPr>
          <w:rFonts w:hint="eastAsia" w:ascii="宋体" w:hAnsi="宋体"/>
          <w:szCs w:val="21"/>
        </w:rPr>
      </w:pPr>
      <w:r>
        <w:rPr>
          <w:rFonts w:hint="eastAsia" w:ascii="宋体" w:hAnsi="宋体"/>
          <w:szCs w:val="21"/>
        </w:rPr>
        <w:t>（7）向采购项目相关人行贿或者提供其他不当利益的；</w:t>
      </w:r>
    </w:p>
    <w:p>
      <w:pPr>
        <w:ind w:firstLine="411" w:firstLineChars="196"/>
        <w:rPr>
          <w:rFonts w:hint="eastAsia" w:ascii="宋体" w:hAnsi="宋体"/>
          <w:szCs w:val="21"/>
        </w:rPr>
      </w:pPr>
      <w:r>
        <w:rPr>
          <w:rFonts w:hint="eastAsia" w:ascii="宋体" w:hAnsi="宋体"/>
          <w:szCs w:val="21"/>
        </w:rPr>
        <w:t>（8）阻碍、抗拒主管部门监督检查的；</w:t>
      </w:r>
    </w:p>
    <w:p>
      <w:pPr>
        <w:ind w:firstLine="411" w:firstLineChars="196"/>
        <w:rPr>
          <w:rFonts w:hint="eastAsia" w:ascii="宋体" w:hAnsi="宋体"/>
          <w:szCs w:val="21"/>
        </w:rPr>
      </w:pPr>
      <w:r>
        <w:rPr>
          <w:rFonts w:hint="eastAsia" w:ascii="宋体" w:hAnsi="宋体"/>
          <w:szCs w:val="21"/>
        </w:rPr>
        <w:t>（9）其他违反本条例规定的行为。</w:t>
      </w:r>
    </w:p>
    <w:p>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7" w:name="_Hlk72440769"/>
      <w:r>
        <w:rPr>
          <w:rFonts w:hint="eastAsia" w:ascii="宋体" w:hAnsi="宋体"/>
          <w:szCs w:val="21"/>
        </w:rPr>
        <w:t>政府集中采购机构或采购人不予退还其交纳的谈判保证金，情节严重的，并由主管部门</w:t>
      </w:r>
      <w:bookmarkEnd w:id="107"/>
      <w:r>
        <w:rPr>
          <w:rFonts w:hint="eastAsia" w:ascii="宋体" w:hAnsi="宋体"/>
          <w:szCs w:val="21"/>
        </w:rPr>
        <w:t>记入供应商诚信档案，予以通报：</w:t>
      </w:r>
    </w:p>
    <w:p>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1"/>
    <w:p>
      <w:pPr>
        <w:pStyle w:val="4"/>
        <w:numPr>
          <w:ilvl w:val="0"/>
          <w:numId w:val="13"/>
        </w:numPr>
        <w:spacing w:before="156" w:beforeLines="50" w:after="156" w:afterLines="50"/>
        <w:ind w:left="562" w:hanging="562"/>
        <w:rPr>
          <w:sz w:val="28"/>
          <w:szCs w:val="28"/>
        </w:rPr>
      </w:pPr>
      <w:r>
        <w:rPr>
          <w:rFonts w:hint="eastAsia"/>
          <w:sz w:val="28"/>
          <w:szCs w:val="28"/>
        </w:rPr>
        <w:t>质疑处理</w:t>
      </w:r>
    </w:p>
    <w:p>
      <w:pPr>
        <w:rPr>
          <w:rFonts w:hint="eastAsia" w:ascii="黑体" w:hAnsi="宋体" w:eastAsia="黑体"/>
          <w:sz w:val="24"/>
        </w:rPr>
      </w:pPr>
      <w:r>
        <w:rPr>
          <w:rFonts w:hint="eastAsia" w:ascii="黑体" w:hAnsi="宋体" w:eastAsia="黑体"/>
          <w:sz w:val="24"/>
        </w:rPr>
        <w:t>52.质疑提出与答复</w:t>
      </w:r>
    </w:p>
    <w:p>
      <w:pPr>
        <w:rPr>
          <w:rFonts w:hint="eastAsia" w:ascii="宋体" w:hAnsi="宋体"/>
          <w:szCs w:val="21"/>
        </w:rPr>
      </w:pPr>
      <w:r>
        <w:rPr>
          <w:rFonts w:hint="eastAsia" w:ascii="宋体" w:hAnsi="宋体"/>
          <w:szCs w:val="21"/>
        </w:rPr>
        <w:t xml:space="preserve">    52.1提出质疑</w:t>
      </w:r>
    </w:p>
    <w:p>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hint="eastAsia" w:ascii="宋体" w:hAnsi="宋体"/>
          <w:szCs w:val="21"/>
        </w:rPr>
      </w:pPr>
      <w:r>
        <w:rPr>
          <w:rFonts w:hint="eastAsia" w:ascii="宋体" w:hAnsi="宋体"/>
          <w:szCs w:val="21"/>
        </w:rPr>
        <w:t xml:space="preserve">    52.2</w:t>
      </w:r>
      <w:r>
        <w:rPr>
          <w:rFonts w:ascii="宋体" w:hAnsi="宋体"/>
          <w:szCs w:val="21"/>
        </w:rPr>
        <w:t>法律依据</w:t>
      </w:r>
    </w:p>
    <w:p>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08" w:name="_Hlk75374941"/>
      <w:r>
        <w:rPr>
          <w:rFonts w:hint="eastAsia" w:ascii="宋体" w:hAnsi="宋体"/>
          <w:szCs w:val="21"/>
        </w:rPr>
        <w:t>以联合体形式参与的，质疑应当由组成联合体的所有成员共同提出</w:t>
      </w:r>
      <w:bookmarkEnd w:id="108"/>
      <w:r>
        <w:rPr>
          <w:rFonts w:hint="eastAsia" w:ascii="宋体" w:hAnsi="宋体"/>
          <w:szCs w:val="21"/>
        </w:rPr>
        <w:t>；</w:t>
      </w:r>
    </w:p>
    <w:p>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hint="eastAsia" w:ascii="宋体" w:hAnsi="宋体"/>
          <w:szCs w:val="21"/>
        </w:rPr>
      </w:pPr>
      <w:r>
        <w:rPr>
          <w:rFonts w:hint="eastAsia" w:ascii="宋体" w:hAnsi="宋体"/>
          <w:szCs w:val="21"/>
        </w:rPr>
        <w:t xml:space="preserve">    自收文之日起七个工作日内。</w:t>
      </w:r>
    </w:p>
    <w:p>
      <w:pPr>
        <w:rPr>
          <w:rFonts w:hint="eastAsia" w:ascii="宋体" w:hAnsi="宋体"/>
          <w:szCs w:val="21"/>
        </w:rPr>
      </w:pPr>
      <w:r>
        <w:rPr>
          <w:rFonts w:hint="eastAsia" w:ascii="宋体" w:hAnsi="宋体"/>
          <w:szCs w:val="21"/>
        </w:rPr>
        <w:t xml:space="preserve">    52.8投诉</w:t>
      </w:r>
    </w:p>
    <w:p>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hint="eastAsia" w:ascii="黑体" w:hAnsi="宋体" w:eastAsia="黑体"/>
          <w:sz w:val="24"/>
        </w:rPr>
      </w:pPr>
      <w:r>
        <w:rPr>
          <w:rFonts w:hint="eastAsia" w:ascii="黑体" w:hAnsi="宋体" w:eastAsia="黑体"/>
          <w:sz w:val="24"/>
        </w:rPr>
        <w:t>53. 质疑后续处理</w:t>
      </w:r>
    </w:p>
    <w:p>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55"/>
    </w:p>
    <w:p>
      <w:pPr>
        <w:rPr>
          <w:b/>
          <w:color w:val="FF0000"/>
          <w:sz w:val="52"/>
          <w:szCs w:val="52"/>
        </w:rPr>
      </w:pPr>
    </w:p>
    <w:p>
      <w:pPr>
        <w:rPr>
          <w:rFonts w:hint="eastAsia" w:ascii="宋体" w:hAnsi="宋体" w:eastAsia="黑体" w:cs="Times New Roman"/>
          <w:b/>
          <w:bCs/>
          <w:color w:val="0000FF"/>
          <w:kern w:val="44"/>
          <w:sz w:val="36"/>
          <w:szCs w:val="44"/>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t xml:space="preserve">- </w:t>
    </w:r>
    <w:r>
      <w:fldChar w:fldCharType="begin"/>
    </w:r>
    <w:r>
      <w:instrText xml:space="preserve"> PAGE </w:instrText>
    </w:r>
    <w:r>
      <w:fldChar w:fldCharType="separate"/>
    </w:r>
    <w:r>
      <w:t>29</w:t>
    </w:r>
    <w:r>
      <w:fldChar w:fldCharType="end"/>
    </w:r>
    <w: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pPr>
          <w:pStyle w:val="12"/>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2"/>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0686203"/>
    <w:multiLevelType w:val="singleLevel"/>
    <w:tmpl w:val="D0686203"/>
    <w:lvl w:ilvl="0" w:tentative="0">
      <w:start w:val="2"/>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1CBBE0"/>
    <w:multiLevelType w:val="singleLevel"/>
    <w:tmpl w:val="721CBBE0"/>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4"/>
  </w:num>
  <w:num w:numId="2">
    <w:abstractNumId w:val="0"/>
  </w:num>
  <w:num w:numId="3">
    <w:abstractNumId w:val="11"/>
  </w:num>
  <w:num w:numId="4">
    <w:abstractNumId w:val="1"/>
  </w:num>
  <w:num w:numId="5">
    <w:abstractNumId w:val="12"/>
  </w:num>
  <w:num w:numId="6">
    <w:abstractNumId w:val="3"/>
  </w:num>
  <w:num w:numId="7">
    <w:abstractNumId w:val="8"/>
  </w:num>
  <w:num w:numId="8">
    <w:abstractNumId w:val="6"/>
  </w:num>
  <w:num w:numId="9">
    <w:abstractNumId w:val="5"/>
  </w:num>
  <w:num w:numId="10">
    <w:abstractNumId w:val="2"/>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0EA9"/>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22DC"/>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233A"/>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8D1303"/>
    <w:rsid w:val="01CA5CC8"/>
    <w:rsid w:val="01E70628"/>
    <w:rsid w:val="021444D5"/>
    <w:rsid w:val="02226211"/>
    <w:rsid w:val="02771997"/>
    <w:rsid w:val="0293255D"/>
    <w:rsid w:val="02987B74"/>
    <w:rsid w:val="02E25F12"/>
    <w:rsid w:val="030516AD"/>
    <w:rsid w:val="033E13D6"/>
    <w:rsid w:val="038A3F97"/>
    <w:rsid w:val="03993BA4"/>
    <w:rsid w:val="03A66B69"/>
    <w:rsid w:val="03D06ACE"/>
    <w:rsid w:val="03E017D2"/>
    <w:rsid w:val="042C4F6C"/>
    <w:rsid w:val="04446205"/>
    <w:rsid w:val="047255F5"/>
    <w:rsid w:val="048C54B6"/>
    <w:rsid w:val="049A4077"/>
    <w:rsid w:val="050808FC"/>
    <w:rsid w:val="05130EC4"/>
    <w:rsid w:val="05452235"/>
    <w:rsid w:val="055A330C"/>
    <w:rsid w:val="05696B81"/>
    <w:rsid w:val="05A21435"/>
    <w:rsid w:val="05F52269"/>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121B08"/>
    <w:rsid w:val="09B4074E"/>
    <w:rsid w:val="09B47989"/>
    <w:rsid w:val="09CB6A81"/>
    <w:rsid w:val="0A0106F5"/>
    <w:rsid w:val="0A0F43A2"/>
    <w:rsid w:val="0A522CFE"/>
    <w:rsid w:val="0A537E82"/>
    <w:rsid w:val="0A670558"/>
    <w:rsid w:val="0AD31B13"/>
    <w:rsid w:val="0B1F1512"/>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CF3634C"/>
    <w:rsid w:val="0D0227BA"/>
    <w:rsid w:val="0D5F19BA"/>
    <w:rsid w:val="0D605732"/>
    <w:rsid w:val="0D6A5091"/>
    <w:rsid w:val="0D844388"/>
    <w:rsid w:val="0DEE34CD"/>
    <w:rsid w:val="0E0661A0"/>
    <w:rsid w:val="0E0B7D94"/>
    <w:rsid w:val="0E230C39"/>
    <w:rsid w:val="0E607F86"/>
    <w:rsid w:val="0E8A0CB9"/>
    <w:rsid w:val="0E9C279A"/>
    <w:rsid w:val="0EB421D9"/>
    <w:rsid w:val="0ECF2A4F"/>
    <w:rsid w:val="0F142273"/>
    <w:rsid w:val="0F5B4403"/>
    <w:rsid w:val="0F5D008C"/>
    <w:rsid w:val="0F6541C3"/>
    <w:rsid w:val="0F6627A1"/>
    <w:rsid w:val="0F9A5CF8"/>
    <w:rsid w:val="0FD3114F"/>
    <w:rsid w:val="0FE46009"/>
    <w:rsid w:val="0FEE5EBF"/>
    <w:rsid w:val="108300B5"/>
    <w:rsid w:val="108654B0"/>
    <w:rsid w:val="108C64EF"/>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2A02ED2"/>
    <w:rsid w:val="13192CDB"/>
    <w:rsid w:val="13280779"/>
    <w:rsid w:val="134F24D1"/>
    <w:rsid w:val="13982333"/>
    <w:rsid w:val="139D188B"/>
    <w:rsid w:val="13AA7707"/>
    <w:rsid w:val="13B71069"/>
    <w:rsid w:val="13FF3EF7"/>
    <w:rsid w:val="144E2788"/>
    <w:rsid w:val="14806439"/>
    <w:rsid w:val="149C1746"/>
    <w:rsid w:val="14E4477F"/>
    <w:rsid w:val="15BD1BCA"/>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735E22"/>
    <w:rsid w:val="194505FE"/>
    <w:rsid w:val="19687E48"/>
    <w:rsid w:val="196B1CEA"/>
    <w:rsid w:val="198E1EAE"/>
    <w:rsid w:val="19E05949"/>
    <w:rsid w:val="19E80331"/>
    <w:rsid w:val="19FB3499"/>
    <w:rsid w:val="1A24288D"/>
    <w:rsid w:val="1B1B5294"/>
    <w:rsid w:val="1B356450"/>
    <w:rsid w:val="1B434F04"/>
    <w:rsid w:val="1B9C14FB"/>
    <w:rsid w:val="1BEB4F4B"/>
    <w:rsid w:val="1BEF4851"/>
    <w:rsid w:val="1BFE3C79"/>
    <w:rsid w:val="1C2C01A7"/>
    <w:rsid w:val="1C3154D0"/>
    <w:rsid w:val="1C4F3541"/>
    <w:rsid w:val="1C584649"/>
    <w:rsid w:val="1C792E22"/>
    <w:rsid w:val="1CB01607"/>
    <w:rsid w:val="1CB57848"/>
    <w:rsid w:val="1CBF2475"/>
    <w:rsid w:val="1CF4323C"/>
    <w:rsid w:val="1D2A0352"/>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707EAF"/>
    <w:rsid w:val="219537A4"/>
    <w:rsid w:val="21C36564"/>
    <w:rsid w:val="21DF0EC4"/>
    <w:rsid w:val="221C055F"/>
    <w:rsid w:val="22525E8C"/>
    <w:rsid w:val="228D0920"/>
    <w:rsid w:val="22F02729"/>
    <w:rsid w:val="230A7A8F"/>
    <w:rsid w:val="23290736"/>
    <w:rsid w:val="23362D65"/>
    <w:rsid w:val="236E5E5F"/>
    <w:rsid w:val="2378337E"/>
    <w:rsid w:val="237E5141"/>
    <w:rsid w:val="239A32F4"/>
    <w:rsid w:val="23A61C99"/>
    <w:rsid w:val="23C5440E"/>
    <w:rsid w:val="23F30C56"/>
    <w:rsid w:val="24266C7C"/>
    <w:rsid w:val="244A2F6C"/>
    <w:rsid w:val="246A64EC"/>
    <w:rsid w:val="248E0882"/>
    <w:rsid w:val="24AB04CD"/>
    <w:rsid w:val="24B85FE4"/>
    <w:rsid w:val="24D67678"/>
    <w:rsid w:val="24FE4F91"/>
    <w:rsid w:val="251417B8"/>
    <w:rsid w:val="2524556B"/>
    <w:rsid w:val="252E63EA"/>
    <w:rsid w:val="25440C67"/>
    <w:rsid w:val="25493224"/>
    <w:rsid w:val="25551BC9"/>
    <w:rsid w:val="256533FF"/>
    <w:rsid w:val="25714E00"/>
    <w:rsid w:val="25A53D6F"/>
    <w:rsid w:val="25E847EB"/>
    <w:rsid w:val="267047E0"/>
    <w:rsid w:val="26793FA2"/>
    <w:rsid w:val="26A1632F"/>
    <w:rsid w:val="270F7B55"/>
    <w:rsid w:val="272532E2"/>
    <w:rsid w:val="273B6B9C"/>
    <w:rsid w:val="27427F2B"/>
    <w:rsid w:val="276C3345"/>
    <w:rsid w:val="276F2332"/>
    <w:rsid w:val="27857F9B"/>
    <w:rsid w:val="2795721C"/>
    <w:rsid w:val="27A641C3"/>
    <w:rsid w:val="27A6670B"/>
    <w:rsid w:val="27C546B8"/>
    <w:rsid w:val="282633A8"/>
    <w:rsid w:val="284461F5"/>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0D55C1"/>
    <w:rsid w:val="2A840919"/>
    <w:rsid w:val="2A930A9D"/>
    <w:rsid w:val="2A967EB2"/>
    <w:rsid w:val="2AD417E1"/>
    <w:rsid w:val="2B065713"/>
    <w:rsid w:val="2B0D2CED"/>
    <w:rsid w:val="2B2411B6"/>
    <w:rsid w:val="2B2871E7"/>
    <w:rsid w:val="2B9057FA"/>
    <w:rsid w:val="2BA9299F"/>
    <w:rsid w:val="2BBA0C84"/>
    <w:rsid w:val="2BF832AE"/>
    <w:rsid w:val="2BFE65C2"/>
    <w:rsid w:val="2C02412C"/>
    <w:rsid w:val="2C1665B8"/>
    <w:rsid w:val="2C295297"/>
    <w:rsid w:val="2C493B09"/>
    <w:rsid w:val="2C6E17C2"/>
    <w:rsid w:val="2D205D35"/>
    <w:rsid w:val="2D7F69DE"/>
    <w:rsid w:val="2DB16F26"/>
    <w:rsid w:val="2DB3388B"/>
    <w:rsid w:val="2DC0604D"/>
    <w:rsid w:val="2DCA6ECC"/>
    <w:rsid w:val="2E0A056F"/>
    <w:rsid w:val="2E815E80"/>
    <w:rsid w:val="2E954277"/>
    <w:rsid w:val="2ED53A12"/>
    <w:rsid w:val="2EDF69A7"/>
    <w:rsid w:val="2F1A79DF"/>
    <w:rsid w:val="2F2A413F"/>
    <w:rsid w:val="2F363171"/>
    <w:rsid w:val="2F487431"/>
    <w:rsid w:val="2FB32CCE"/>
    <w:rsid w:val="30311375"/>
    <w:rsid w:val="30473F91"/>
    <w:rsid w:val="306058C5"/>
    <w:rsid w:val="30B023A9"/>
    <w:rsid w:val="30C714A1"/>
    <w:rsid w:val="311772A4"/>
    <w:rsid w:val="31186537"/>
    <w:rsid w:val="312A7037"/>
    <w:rsid w:val="31B92B8B"/>
    <w:rsid w:val="32326CFB"/>
    <w:rsid w:val="324D032D"/>
    <w:rsid w:val="324D78CD"/>
    <w:rsid w:val="3257574A"/>
    <w:rsid w:val="329E21EF"/>
    <w:rsid w:val="32FB3683"/>
    <w:rsid w:val="32FD564D"/>
    <w:rsid w:val="3328091C"/>
    <w:rsid w:val="338F3097"/>
    <w:rsid w:val="33A51F6D"/>
    <w:rsid w:val="33C06DA7"/>
    <w:rsid w:val="342509B8"/>
    <w:rsid w:val="34297F29"/>
    <w:rsid w:val="344A5876"/>
    <w:rsid w:val="344D1C33"/>
    <w:rsid w:val="348820F0"/>
    <w:rsid w:val="348E47AF"/>
    <w:rsid w:val="34AE6BFF"/>
    <w:rsid w:val="34CA3E45"/>
    <w:rsid w:val="34D34153"/>
    <w:rsid w:val="35381EF4"/>
    <w:rsid w:val="355E745E"/>
    <w:rsid w:val="359202CF"/>
    <w:rsid w:val="359758E5"/>
    <w:rsid w:val="359D5EEA"/>
    <w:rsid w:val="35BA1D81"/>
    <w:rsid w:val="35D02BA5"/>
    <w:rsid w:val="35D46B3A"/>
    <w:rsid w:val="35E8637E"/>
    <w:rsid w:val="35FC7E3E"/>
    <w:rsid w:val="36085C11"/>
    <w:rsid w:val="361B0127"/>
    <w:rsid w:val="363C3B17"/>
    <w:rsid w:val="36474247"/>
    <w:rsid w:val="365612FD"/>
    <w:rsid w:val="36756424"/>
    <w:rsid w:val="3677309A"/>
    <w:rsid w:val="36AD2EE7"/>
    <w:rsid w:val="36F40B16"/>
    <w:rsid w:val="370C52DF"/>
    <w:rsid w:val="370C5E5F"/>
    <w:rsid w:val="374B6987"/>
    <w:rsid w:val="374D6BA3"/>
    <w:rsid w:val="375A306E"/>
    <w:rsid w:val="37AA6440"/>
    <w:rsid w:val="37AF0A14"/>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71445"/>
    <w:rsid w:val="3A503980"/>
    <w:rsid w:val="3A886145"/>
    <w:rsid w:val="3A8D72B7"/>
    <w:rsid w:val="3AB900AC"/>
    <w:rsid w:val="3AC52EF5"/>
    <w:rsid w:val="3AC91083"/>
    <w:rsid w:val="3B007A89"/>
    <w:rsid w:val="3B027CA5"/>
    <w:rsid w:val="3B0A5A2B"/>
    <w:rsid w:val="3B2E2848"/>
    <w:rsid w:val="3B5D4EDB"/>
    <w:rsid w:val="3B81506E"/>
    <w:rsid w:val="3BA60D07"/>
    <w:rsid w:val="3BA6272A"/>
    <w:rsid w:val="3BAC0F6E"/>
    <w:rsid w:val="3BB22833"/>
    <w:rsid w:val="3BC4775F"/>
    <w:rsid w:val="3BE27C97"/>
    <w:rsid w:val="3BE473AB"/>
    <w:rsid w:val="3C9A513B"/>
    <w:rsid w:val="3CCD2793"/>
    <w:rsid w:val="3CFA57E4"/>
    <w:rsid w:val="3D0221DE"/>
    <w:rsid w:val="3D092B74"/>
    <w:rsid w:val="3D1E60DF"/>
    <w:rsid w:val="3D2B44D7"/>
    <w:rsid w:val="3DE2791A"/>
    <w:rsid w:val="3E053B4B"/>
    <w:rsid w:val="3E151A9D"/>
    <w:rsid w:val="3E2174C3"/>
    <w:rsid w:val="3E375EB7"/>
    <w:rsid w:val="3E38205E"/>
    <w:rsid w:val="3E9E5F37"/>
    <w:rsid w:val="3EA47C68"/>
    <w:rsid w:val="3EC45EF4"/>
    <w:rsid w:val="3ED03C16"/>
    <w:rsid w:val="3EEB27FE"/>
    <w:rsid w:val="3EF25F54"/>
    <w:rsid w:val="3F3423F7"/>
    <w:rsid w:val="3F8E1B07"/>
    <w:rsid w:val="40161AFD"/>
    <w:rsid w:val="401D10DD"/>
    <w:rsid w:val="403326AF"/>
    <w:rsid w:val="408B6047"/>
    <w:rsid w:val="409A517D"/>
    <w:rsid w:val="40AF442B"/>
    <w:rsid w:val="40E165AE"/>
    <w:rsid w:val="411C75E7"/>
    <w:rsid w:val="41540B2E"/>
    <w:rsid w:val="415E333C"/>
    <w:rsid w:val="418F600A"/>
    <w:rsid w:val="419B5FD1"/>
    <w:rsid w:val="419E1DAA"/>
    <w:rsid w:val="420D5851"/>
    <w:rsid w:val="424B3CDF"/>
    <w:rsid w:val="426D19F0"/>
    <w:rsid w:val="42D31F27"/>
    <w:rsid w:val="42D33CD5"/>
    <w:rsid w:val="42DD037E"/>
    <w:rsid w:val="42FC5208"/>
    <w:rsid w:val="43341596"/>
    <w:rsid w:val="436F7EA2"/>
    <w:rsid w:val="43860D47"/>
    <w:rsid w:val="43ED0DC6"/>
    <w:rsid w:val="43FB4652"/>
    <w:rsid w:val="43FF1225"/>
    <w:rsid w:val="4410457F"/>
    <w:rsid w:val="44265D5C"/>
    <w:rsid w:val="445F4788"/>
    <w:rsid w:val="449633BF"/>
    <w:rsid w:val="44B32884"/>
    <w:rsid w:val="44C147DB"/>
    <w:rsid w:val="44D94857"/>
    <w:rsid w:val="44E73A68"/>
    <w:rsid w:val="45117DDD"/>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CF42A1"/>
    <w:rsid w:val="48FF5824"/>
    <w:rsid w:val="49266FC3"/>
    <w:rsid w:val="492B03C7"/>
    <w:rsid w:val="49307A8A"/>
    <w:rsid w:val="493C6A78"/>
    <w:rsid w:val="49425710"/>
    <w:rsid w:val="494D38A5"/>
    <w:rsid w:val="498E5824"/>
    <w:rsid w:val="49DE053E"/>
    <w:rsid w:val="4A201EF6"/>
    <w:rsid w:val="4A49107C"/>
    <w:rsid w:val="4A625D30"/>
    <w:rsid w:val="4A6617BA"/>
    <w:rsid w:val="4A767D68"/>
    <w:rsid w:val="4B475260"/>
    <w:rsid w:val="4B4B65BB"/>
    <w:rsid w:val="4B4C2876"/>
    <w:rsid w:val="4B9E1324"/>
    <w:rsid w:val="4BBF201F"/>
    <w:rsid w:val="4BC045B9"/>
    <w:rsid w:val="4BE17463"/>
    <w:rsid w:val="4C5317C1"/>
    <w:rsid w:val="4C596AD0"/>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95F5C"/>
    <w:rsid w:val="500B71A4"/>
    <w:rsid w:val="502E60F8"/>
    <w:rsid w:val="50334005"/>
    <w:rsid w:val="50572C95"/>
    <w:rsid w:val="505E4B9C"/>
    <w:rsid w:val="50A30487"/>
    <w:rsid w:val="50DD1804"/>
    <w:rsid w:val="51A52CE0"/>
    <w:rsid w:val="520D262F"/>
    <w:rsid w:val="52195EFA"/>
    <w:rsid w:val="529674E9"/>
    <w:rsid w:val="52B1378F"/>
    <w:rsid w:val="535D3873"/>
    <w:rsid w:val="53876B42"/>
    <w:rsid w:val="54153BAB"/>
    <w:rsid w:val="543E18F6"/>
    <w:rsid w:val="546B1FBF"/>
    <w:rsid w:val="54996B2C"/>
    <w:rsid w:val="54FA7CE1"/>
    <w:rsid w:val="550A7A2A"/>
    <w:rsid w:val="554A7E27"/>
    <w:rsid w:val="555E1B24"/>
    <w:rsid w:val="556A04C9"/>
    <w:rsid w:val="558F102F"/>
    <w:rsid w:val="559E5653"/>
    <w:rsid w:val="55AB3C2F"/>
    <w:rsid w:val="55BA31FE"/>
    <w:rsid w:val="55E16072"/>
    <w:rsid w:val="55EC35D4"/>
    <w:rsid w:val="560E52F8"/>
    <w:rsid w:val="561A4621"/>
    <w:rsid w:val="56383CF3"/>
    <w:rsid w:val="56455CD4"/>
    <w:rsid w:val="565C42B5"/>
    <w:rsid w:val="56902993"/>
    <w:rsid w:val="56AE76A6"/>
    <w:rsid w:val="56D4209E"/>
    <w:rsid w:val="56DB2C2D"/>
    <w:rsid w:val="56E4418B"/>
    <w:rsid w:val="56EC7829"/>
    <w:rsid w:val="57064221"/>
    <w:rsid w:val="5773022F"/>
    <w:rsid w:val="57770C7B"/>
    <w:rsid w:val="57DF277D"/>
    <w:rsid w:val="57E50495"/>
    <w:rsid w:val="580A1AEF"/>
    <w:rsid w:val="58776655"/>
    <w:rsid w:val="58B74216"/>
    <w:rsid w:val="58C16652"/>
    <w:rsid w:val="590752B6"/>
    <w:rsid w:val="591F15CA"/>
    <w:rsid w:val="592D0FB2"/>
    <w:rsid w:val="596D67DA"/>
    <w:rsid w:val="59760D08"/>
    <w:rsid w:val="599E6993"/>
    <w:rsid w:val="59A60DC8"/>
    <w:rsid w:val="59AC5554"/>
    <w:rsid w:val="5A564466"/>
    <w:rsid w:val="5A902780"/>
    <w:rsid w:val="5A9F4737"/>
    <w:rsid w:val="5AAE2C06"/>
    <w:rsid w:val="5AE8436A"/>
    <w:rsid w:val="5AF80325"/>
    <w:rsid w:val="5B6339F0"/>
    <w:rsid w:val="5BA20303"/>
    <w:rsid w:val="5BF6561B"/>
    <w:rsid w:val="5BFA4C14"/>
    <w:rsid w:val="5C2A6C04"/>
    <w:rsid w:val="5C3543D2"/>
    <w:rsid w:val="5C406532"/>
    <w:rsid w:val="5C4E69BE"/>
    <w:rsid w:val="5CE36031"/>
    <w:rsid w:val="5CFC5838"/>
    <w:rsid w:val="5DB26EB1"/>
    <w:rsid w:val="5DBA559D"/>
    <w:rsid w:val="5DBF6577"/>
    <w:rsid w:val="5DFE3EA4"/>
    <w:rsid w:val="5E465887"/>
    <w:rsid w:val="5E473A9D"/>
    <w:rsid w:val="5E804CC0"/>
    <w:rsid w:val="5E8425FB"/>
    <w:rsid w:val="5EE50BC0"/>
    <w:rsid w:val="5F0664A4"/>
    <w:rsid w:val="5F181B76"/>
    <w:rsid w:val="5F463D55"/>
    <w:rsid w:val="5FD4389C"/>
    <w:rsid w:val="5FEC48FC"/>
    <w:rsid w:val="6013374F"/>
    <w:rsid w:val="60B116A2"/>
    <w:rsid w:val="60B42F40"/>
    <w:rsid w:val="60B7767B"/>
    <w:rsid w:val="60CC348A"/>
    <w:rsid w:val="60D24296"/>
    <w:rsid w:val="610A1B10"/>
    <w:rsid w:val="61221DAA"/>
    <w:rsid w:val="61696F59"/>
    <w:rsid w:val="61D672CA"/>
    <w:rsid w:val="61E63AF5"/>
    <w:rsid w:val="626A2DAC"/>
    <w:rsid w:val="62784498"/>
    <w:rsid w:val="62A86D6B"/>
    <w:rsid w:val="62C25DC1"/>
    <w:rsid w:val="63293771"/>
    <w:rsid w:val="637C0DF3"/>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EF58FA"/>
    <w:rsid w:val="65FE7BFD"/>
    <w:rsid w:val="66397220"/>
    <w:rsid w:val="66AF4C3B"/>
    <w:rsid w:val="66EC6F90"/>
    <w:rsid w:val="66F2031E"/>
    <w:rsid w:val="677C3AAE"/>
    <w:rsid w:val="67AA7E58"/>
    <w:rsid w:val="67AB0BF9"/>
    <w:rsid w:val="67E662B3"/>
    <w:rsid w:val="68077DF9"/>
    <w:rsid w:val="680F6F74"/>
    <w:rsid w:val="68382663"/>
    <w:rsid w:val="686314D3"/>
    <w:rsid w:val="6888718C"/>
    <w:rsid w:val="68E5527F"/>
    <w:rsid w:val="69A578CA"/>
    <w:rsid w:val="6A7343B6"/>
    <w:rsid w:val="6AA656A7"/>
    <w:rsid w:val="6AB029CA"/>
    <w:rsid w:val="6AB40090"/>
    <w:rsid w:val="6ADE7537"/>
    <w:rsid w:val="6AE34B4E"/>
    <w:rsid w:val="6B1F6200"/>
    <w:rsid w:val="6B4A3375"/>
    <w:rsid w:val="6B825FC3"/>
    <w:rsid w:val="6B8359E9"/>
    <w:rsid w:val="6B9D0892"/>
    <w:rsid w:val="6C613F7C"/>
    <w:rsid w:val="6C631880"/>
    <w:rsid w:val="6C636C8C"/>
    <w:rsid w:val="6C6D16B4"/>
    <w:rsid w:val="6C806253"/>
    <w:rsid w:val="6CB542C8"/>
    <w:rsid w:val="6CD74FCF"/>
    <w:rsid w:val="6CF748E0"/>
    <w:rsid w:val="6D15191A"/>
    <w:rsid w:val="6D52620C"/>
    <w:rsid w:val="6D7D3037"/>
    <w:rsid w:val="6D8E14DE"/>
    <w:rsid w:val="6D934609"/>
    <w:rsid w:val="6DAE50AD"/>
    <w:rsid w:val="6DD624F7"/>
    <w:rsid w:val="6DDA2238"/>
    <w:rsid w:val="6E0E1EE1"/>
    <w:rsid w:val="6E5A21EA"/>
    <w:rsid w:val="6EB8009F"/>
    <w:rsid w:val="6EC72090"/>
    <w:rsid w:val="6F0A3093"/>
    <w:rsid w:val="6F834B73"/>
    <w:rsid w:val="6F857F81"/>
    <w:rsid w:val="6F883155"/>
    <w:rsid w:val="6FC6124D"/>
    <w:rsid w:val="6FC62348"/>
    <w:rsid w:val="6FE10E18"/>
    <w:rsid w:val="6FE309EC"/>
    <w:rsid w:val="6FEC14A9"/>
    <w:rsid w:val="6FEC6252"/>
    <w:rsid w:val="70130316"/>
    <w:rsid w:val="702E23C7"/>
    <w:rsid w:val="70A15EF2"/>
    <w:rsid w:val="70C96037"/>
    <w:rsid w:val="70CB230C"/>
    <w:rsid w:val="71193CAD"/>
    <w:rsid w:val="712A6878"/>
    <w:rsid w:val="71B752F6"/>
    <w:rsid w:val="721E46BD"/>
    <w:rsid w:val="72271FEC"/>
    <w:rsid w:val="722E41C4"/>
    <w:rsid w:val="72655E48"/>
    <w:rsid w:val="72712F6C"/>
    <w:rsid w:val="72824C4C"/>
    <w:rsid w:val="728A3B01"/>
    <w:rsid w:val="729D4E7D"/>
    <w:rsid w:val="72D93738"/>
    <w:rsid w:val="73434202"/>
    <w:rsid w:val="734819F2"/>
    <w:rsid w:val="735B7378"/>
    <w:rsid w:val="737A608E"/>
    <w:rsid w:val="73A806E2"/>
    <w:rsid w:val="73BC418E"/>
    <w:rsid w:val="741D2E7E"/>
    <w:rsid w:val="744B56A6"/>
    <w:rsid w:val="74A16CBA"/>
    <w:rsid w:val="74CB28DA"/>
    <w:rsid w:val="74D53759"/>
    <w:rsid w:val="74F33BDF"/>
    <w:rsid w:val="750556C0"/>
    <w:rsid w:val="752B5D11"/>
    <w:rsid w:val="752C70F1"/>
    <w:rsid w:val="75387844"/>
    <w:rsid w:val="753903C8"/>
    <w:rsid w:val="75CC2E8E"/>
    <w:rsid w:val="75DC4AB5"/>
    <w:rsid w:val="75EF406B"/>
    <w:rsid w:val="76391AC6"/>
    <w:rsid w:val="765B7C8E"/>
    <w:rsid w:val="76707B96"/>
    <w:rsid w:val="76726D86"/>
    <w:rsid w:val="768D36C7"/>
    <w:rsid w:val="76C3504D"/>
    <w:rsid w:val="7702703F"/>
    <w:rsid w:val="770422FE"/>
    <w:rsid w:val="7746449A"/>
    <w:rsid w:val="775546DD"/>
    <w:rsid w:val="778C3E77"/>
    <w:rsid w:val="7796215A"/>
    <w:rsid w:val="779807BE"/>
    <w:rsid w:val="77B635DF"/>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6C7707"/>
    <w:rsid w:val="7A7206F1"/>
    <w:rsid w:val="7AA46F38"/>
    <w:rsid w:val="7B467F1D"/>
    <w:rsid w:val="7BA7772C"/>
    <w:rsid w:val="7BB12A63"/>
    <w:rsid w:val="7C0924C9"/>
    <w:rsid w:val="7C507B69"/>
    <w:rsid w:val="7C711A95"/>
    <w:rsid w:val="7C8D4919"/>
    <w:rsid w:val="7CBA4FE2"/>
    <w:rsid w:val="7CD24A22"/>
    <w:rsid w:val="7D121F1E"/>
    <w:rsid w:val="7D2F777E"/>
    <w:rsid w:val="7D5660EF"/>
    <w:rsid w:val="7D574D28"/>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 w:val="7FE8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5"/>
    <w:next w:val="6"/>
    <w:link w:val="35"/>
    <w:semiHidden/>
    <w:unhideWhenUsed/>
    <w:qFormat/>
    <w:uiPriority w:val="9"/>
    <w:pPr>
      <w:spacing w:line="416" w:lineRule="auto"/>
      <w:outlineLvl w:val="1"/>
    </w:pPr>
    <w:rPr>
      <w:rFonts w:asciiTheme="majorHAnsi" w:hAnsiTheme="majorHAnsi" w:eastAsiaTheme="majorEastAsia" w:cstheme="majorBidi"/>
      <w:sz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pPr>
    <w:rPr>
      <w:szCs w:val="20"/>
    </w:rPr>
  </w:style>
  <w:style w:type="paragraph" w:styleId="8">
    <w:name w:val="Document Map"/>
    <w:basedOn w:val="1"/>
    <w:link w:val="34"/>
    <w:semiHidden/>
    <w:unhideWhenUsed/>
    <w:qFormat/>
    <w:uiPriority w:val="99"/>
    <w:rPr>
      <w:rFonts w:ascii="宋体" w:eastAsia="宋体"/>
      <w:sz w:val="18"/>
      <w:szCs w:val="18"/>
    </w:rPr>
  </w:style>
  <w:style w:type="paragraph" w:styleId="9">
    <w:name w:val="annotation text"/>
    <w:basedOn w:val="1"/>
    <w:link w:val="36"/>
    <w:unhideWhenUsed/>
    <w:qFormat/>
    <w:uiPriority w:val="99"/>
    <w:pPr>
      <w:jc w:val="left"/>
    </w:pPr>
  </w:style>
  <w:style w:type="paragraph" w:styleId="10">
    <w:name w:val="Plain Text"/>
    <w:basedOn w:val="1"/>
    <w:qFormat/>
    <w:uiPriority w:val="0"/>
    <w:rPr>
      <w:rFonts w:ascii="宋体" w:hAnsi="Courier New"/>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line="360" w:lineRule="auto"/>
    </w:pPr>
    <w:rPr>
      <w:sz w:val="24"/>
    </w:rPr>
  </w:style>
  <w:style w:type="paragraph" w:styleId="15">
    <w:name w:val="Normal (Web)"/>
    <w:basedOn w:val="1"/>
    <w:link w:val="31"/>
    <w:qFormat/>
    <w:uiPriority w:val="99"/>
    <w:pPr>
      <w:widowControl/>
      <w:spacing w:before="100" w:beforeAutospacing="1" w:afterAutospacing="1"/>
      <w:jc w:val="left"/>
    </w:pPr>
    <w:rPr>
      <w:rFonts w:ascii="宋体" w:hAnsi="宋体"/>
      <w:sz w:val="24"/>
      <w:szCs w:val="24"/>
    </w:rPr>
  </w:style>
  <w:style w:type="paragraph" w:styleId="1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7">
    <w:name w:val="annotation subject"/>
    <w:basedOn w:val="9"/>
    <w:next w:val="9"/>
    <w:link w:val="38"/>
    <w:semiHidden/>
    <w:unhideWhenUsed/>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paragraph" w:customStyle="1" w:styleId="26">
    <w:name w:val="正文内容格式"/>
    <w:basedOn w:val="1"/>
    <w:qFormat/>
    <w:uiPriority w:val="0"/>
    <w:pPr>
      <w:widowControl/>
      <w:ind w:firstLine="482"/>
      <w:textAlignment w:val="baseline"/>
    </w:pPr>
    <w:rPr>
      <w:rFonts w:eastAsia="仿宋_GB2312"/>
      <w:kern w:val="0"/>
      <w:sz w:val="28"/>
    </w:rPr>
  </w:style>
  <w:style w:type="paragraph" w:styleId="27">
    <w:name w:val="Quote"/>
    <w:next w:val="1"/>
    <w:qFormat/>
    <w:uiPriority w:val="2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8">
    <w:name w:val="页眉 字符"/>
    <w:basedOn w:val="20"/>
    <w:link w:val="13"/>
    <w:qFormat/>
    <w:uiPriority w:val="99"/>
    <w:rPr>
      <w:sz w:val="18"/>
      <w:szCs w:val="18"/>
    </w:rPr>
  </w:style>
  <w:style w:type="character" w:customStyle="1" w:styleId="29">
    <w:name w:val="页脚 字符"/>
    <w:basedOn w:val="20"/>
    <w:link w:val="12"/>
    <w:qFormat/>
    <w:uiPriority w:val="99"/>
    <w:rPr>
      <w:sz w:val="18"/>
      <w:szCs w:val="18"/>
    </w:rPr>
  </w:style>
  <w:style w:type="character" w:customStyle="1" w:styleId="30">
    <w:name w:val="批注框文本 字符"/>
    <w:basedOn w:val="20"/>
    <w:link w:val="11"/>
    <w:semiHidden/>
    <w:qFormat/>
    <w:uiPriority w:val="99"/>
    <w:rPr>
      <w:sz w:val="18"/>
      <w:szCs w:val="18"/>
    </w:rPr>
  </w:style>
  <w:style w:type="character" w:customStyle="1" w:styleId="31">
    <w:name w:val="普通(网站) 字符"/>
    <w:link w:val="15"/>
    <w:qFormat/>
    <w:uiPriority w:val="99"/>
    <w:rPr>
      <w:rFonts w:ascii="宋体" w:hAnsi="宋体"/>
      <w:sz w:val="24"/>
      <w:szCs w:val="24"/>
    </w:rPr>
  </w:style>
  <w:style w:type="character" w:customStyle="1" w:styleId="32">
    <w:name w:val="标题 1 字符"/>
    <w:basedOn w:val="20"/>
    <w:link w:val="3"/>
    <w:qFormat/>
    <w:uiPriority w:val="0"/>
    <w:rPr>
      <w:rFonts w:ascii="Arial" w:hAnsi="Arial" w:eastAsia="宋体" w:cs="Times New Roman"/>
      <w:b/>
      <w:bCs/>
      <w:kern w:val="44"/>
      <w:sz w:val="44"/>
      <w:szCs w:val="44"/>
    </w:rPr>
  </w:style>
  <w:style w:type="paragraph" w:styleId="33">
    <w:name w:val="List Paragraph"/>
    <w:basedOn w:val="1"/>
    <w:qFormat/>
    <w:uiPriority w:val="34"/>
    <w:pPr>
      <w:ind w:firstLine="420" w:firstLineChars="200"/>
    </w:pPr>
  </w:style>
  <w:style w:type="character" w:customStyle="1" w:styleId="34">
    <w:name w:val="文档结构图 字符"/>
    <w:basedOn w:val="20"/>
    <w:link w:val="8"/>
    <w:semiHidden/>
    <w:qFormat/>
    <w:uiPriority w:val="99"/>
    <w:rPr>
      <w:rFonts w:ascii="宋体" w:eastAsia="宋体"/>
      <w:sz w:val="18"/>
      <w:szCs w:val="18"/>
    </w:rPr>
  </w:style>
  <w:style w:type="character" w:customStyle="1" w:styleId="35">
    <w:name w:val="标题 2 字符"/>
    <w:basedOn w:val="20"/>
    <w:link w:val="4"/>
    <w:semiHidden/>
    <w:qFormat/>
    <w:uiPriority w:val="9"/>
    <w:rPr>
      <w:rFonts w:asciiTheme="majorHAnsi" w:hAnsiTheme="majorHAnsi" w:eastAsiaTheme="majorEastAsia" w:cstheme="majorBidi"/>
      <w:b/>
      <w:bCs/>
      <w:sz w:val="32"/>
      <w:szCs w:val="32"/>
    </w:rPr>
  </w:style>
  <w:style w:type="character" w:customStyle="1" w:styleId="36">
    <w:name w:val="批注文字 字符"/>
    <w:basedOn w:val="20"/>
    <w:link w:val="9"/>
    <w:qFormat/>
    <w:uiPriority w:val="99"/>
  </w:style>
  <w:style w:type="character" w:customStyle="1" w:styleId="37">
    <w:name w:val="标题 3 Char"/>
    <w:qFormat/>
    <w:uiPriority w:val="0"/>
    <w:rPr>
      <w:rFonts w:ascii="黑体" w:eastAsia="黑体"/>
      <w:bCs/>
      <w:sz w:val="30"/>
    </w:rPr>
  </w:style>
  <w:style w:type="character" w:customStyle="1" w:styleId="38">
    <w:name w:val="批注主题 字符"/>
    <w:basedOn w:val="36"/>
    <w:link w:val="17"/>
    <w:semiHidden/>
    <w:qFormat/>
    <w:uiPriority w:val="99"/>
    <w:rPr>
      <w:b/>
      <w:bCs/>
    </w:rPr>
  </w:style>
  <w:style w:type="table" w:customStyle="1" w:styleId="39">
    <w:name w:val="网格型1"/>
    <w:basedOn w:val="18"/>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1">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font21"/>
    <w:basedOn w:val="20"/>
    <w:qFormat/>
    <w:uiPriority w:val="0"/>
    <w:rPr>
      <w:rFonts w:hint="eastAsia" w:ascii="宋体" w:hAnsi="宋体" w:eastAsia="宋体" w:cs="宋体"/>
      <w:color w:val="000000"/>
      <w:sz w:val="22"/>
      <w:szCs w:val="22"/>
      <w:u w:val="none"/>
    </w:rPr>
  </w:style>
  <w:style w:type="character" w:customStyle="1" w:styleId="46">
    <w:name w:val="font31"/>
    <w:basedOn w:val="20"/>
    <w:qFormat/>
    <w:uiPriority w:val="0"/>
    <w:rPr>
      <w:rFonts w:hint="eastAsia" w:ascii="宋体" w:hAnsi="宋体" w:eastAsia="宋体" w:cs="宋体"/>
      <w:color w:val="000000"/>
      <w:sz w:val="22"/>
      <w:szCs w:val="22"/>
      <w:u w:val="none"/>
    </w:rPr>
  </w:style>
  <w:style w:type="character" w:customStyle="1" w:styleId="47">
    <w:name w:val="font51"/>
    <w:basedOn w:val="20"/>
    <w:qFormat/>
    <w:uiPriority w:val="0"/>
    <w:rPr>
      <w:rFonts w:hint="eastAsia" w:ascii="宋体" w:hAnsi="宋体" w:eastAsia="宋体" w:cs="宋体"/>
      <w:color w:val="000000"/>
      <w:sz w:val="21"/>
      <w:szCs w:val="21"/>
      <w:u w:val="none"/>
    </w:rPr>
  </w:style>
  <w:style w:type="character" w:customStyle="1" w:styleId="48">
    <w:name w:val="font61"/>
    <w:basedOn w:val="20"/>
    <w:qFormat/>
    <w:uiPriority w:val="0"/>
    <w:rPr>
      <w:rFonts w:hint="default" w:ascii="Times New Roman" w:hAnsi="Times New Roman" w:cs="Times New Roman"/>
      <w:color w:val="000000"/>
      <w:sz w:val="21"/>
      <w:szCs w:val="21"/>
      <w:u w:val="none"/>
    </w:rPr>
  </w:style>
  <w:style w:type="paragraph" w:customStyle="1" w:styleId="49">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font41"/>
    <w:qFormat/>
    <w:uiPriority w:val="0"/>
    <w:rPr>
      <w:rFonts w:hint="eastAsia" w:ascii="宋体" w:hAnsi="宋体" w:eastAsia="宋体"/>
      <w:color w:val="000000"/>
      <w:kern w:val="2"/>
      <w:sz w:val="18"/>
      <w:u w:val="none"/>
    </w:rPr>
  </w:style>
  <w:style w:type="paragraph" w:styleId="5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2">
    <w:name w:val="fontstyle01"/>
    <w:basedOn w:val="20"/>
    <w:qFormat/>
    <w:uiPriority w:val="0"/>
    <w:rPr>
      <w:rFonts w:hint="eastAsia" w:ascii="宋体" w:hAnsi="宋体" w:eastAsia="宋体"/>
      <w:color w:val="000000"/>
      <w:sz w:val="22"/>
      <w:szCs w:val="22"/>
    </w:rPr>
  </w:style>
  <w:style w:type="character" w:customStyle="1" w:styleId="53">
    <w:name w:val="font81"/>
    <w:basedOn w:val="20"/>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64869</Words>
  <Characters>69765</Characters>
  <Lines>470</Lines>
  <Paragraphs>132</Paragraphs>
  <TotalTime>0</TotalTime>
  <ScaleCrop>false</ScaleCrop>
  <LinksUpToDate>false</LinksUpToDate>
  <CharactersWithSpaces>73556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DELL</cp:lastModifiedBy>
  <cp:lastPrinted>2021-01-15T01:17:00Z</cp:lastPrinted>
  <dcterms:modified xsi:type="dcterms:W3CDTF">2025-06-19T07:03:22Z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76B82E144768413DB6478A3E93F5B61B_13</vt:lpwstr>
  </property>
</Properties>
</file>