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54" w:firstLineChars="1300"/>
        <w:rPr>
          <w:rFonts w:ascii="宋体" w:hAnsi="宋体"/>
          <w:color w:val="FF0000"/>
          <w:szCs w:val="21"/>
        </w:rPr>
      </w:pPr>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yellow"/>
          <w:lang w:val="en-US" w:eastAsia="zh-CN"/>
        </w:rPr>
      </w:pPr>
      <w:r>
        <w:rPr>
          <w:rFonts w:hint="eastAsia" w:ascii="宋体" w:hAnsi="宋体" w:eastAsia="宋体" w:cs="宋体"/>
          <w:b/>
          <w:bCs/>
          <w:color w:val="FF0000"/>
          <w:sz w:val="21"/>
          <w:szCs w:val="21"/>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二、《深圳经济特区政府采购条例实施细则》第七十五条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三、《深圳经济特区政府采购条例实施细则》第七十七条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b w:val="0"/>
          <w:bCs/>
          <w:color w:val="FF0000"/>
          <w:sz w:val="20"/>
          <w:szCs w:val="20"/>
          <w:lang w:val="en-US" w:eastAsia="zh-CN"/>
        </w:rPr>
        <w:t>四</w:t>
      </w:r>
      <w:r>
        <w:rPr>
          <w:rFonts w:hint="eastAsia" w:ascii="Times New Roman" w:eastAsia="宋体"/>
          <w:b w:val="0"/>
          <w:bCs/>
          <w:color w:val="FF0000"/>
          <w:sz w:val="20"/>
          <w:szCs w:val="20"/>
          <w:lang w:val="en-US" w:eastAsia="zh-CN"/>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为避免出现不同供应商投标文件的文件制作机器码、文件创建标识码、IP地址一致的异常情况，建议各供应商编制、上传投标文件时不要使用公共电脑设备或公共网络。</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Times New Roman" w:eastAsia="宋体"/>
          <w:b w:val="0"/>
          <w:bCs/>
          <w:color w:val="FF0000"/>
          <w:sz w:val="20"/>
          <w:szCs w:val="20"/>
          <w:lang w:val="en-US" w:eastAsia="zh-CN"/>
        </w:rPr>
      </w:pPr>
      <w:r>
        <w:rPr>
          <w:rFonts w:hint="eastAsia" w:ascii="Times New Roman" w:eastAsia="宋体"/>
          <w:b w:val="0"/>
          <w:bCs/>
          <w:color w:val="FF0000"/>
          <w:sz w:val="20"/>
          <w:szCs w:val="20"/>
          <w:lang w:val="en-US"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lang w:eastAsia="zh-CN"/>
        </w:rPr>
        <w:t>、</w:t>
      </w:r>
      <w:r>
        <w:rPr>
          <w:rFonts w:hint="eastAsia" w:ascii="宋体" w:hAnsi="宋体"/>
          <w:color w:val="FF0000"/>
          <w:sz w:val="20"/>
          <w:szCs w:val="20"/>
        </w:rPr>
        <w:t>依法吊销其营业</w:t>
      </w:r>
      <w:r>
        <w:rPr>
          <w:rFonts w:hint="eastAsia" w:hAnsi="宋体"/>
          <w:color w:val="FF0000"/>
          <w:sz w:val="20"/>
          <w:szCs w:val="20"/>
          <w:lang w:val="en-US" w:eastAsia="zh-CN"/>
        </w:rPr>
        <w:t>执照等行政处罚，</w:t>
      </w:r>
      <w:r>
        <w:rPr>
          <w:rFonts w:hint="eastAsia" w:ascii="宋体" w:hAnsi="宋体"/>
          <w:color w:val="FF0000"/>
          <w:sz w:val="20"/>
          <w:szCs w:val="20"/>
        </w:rPr>
        <w:t>构成犯罪的，依法追究刑事责任</w:t>
      </w:r>
      <w:r>
        <w:rPr>
          <w:rFonts w:hint="eastAsia" w:ascii="Times New Roman" w:eastAsia="宋体"/>
          <w:b w:val="0"/>
          <w:bCs/>
          <w:color w:val="FF0000"/>
          <w:sz w:val="20"/>
          <w:szCs w:val="20"/>
          <w:lang w:val="en-US" w:eastAsia="zh-CN"/>
        </w:rPr>
        <w:t>，请各供应商独立编制、上传投标文件，妥善保管和使用电子秘钥。</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22" w:firstLineChars="200"/>
        <w:textAlignment w:val="auto"/>
        <w:rPr>
          <w:rFonts w:hint="eastAsia"/>
          <w:lang w:val="en-US" w:eastAsia="zh-CN"/>
        </w:rPr>
      </w:pPr>
      <w:r>
        <w:rPr>
          <w:rFonts w:hint="eastAsia" w:ascii="Times New Roman" w:eastAsia="宋体"/>
          <w:b/>
          <w:color w:val="FF0000"/>
          <w:lang w:val="en-US" w:eastAsia="zh-CN"/>
        </w:rPr>
        <w:t>五</w:t>
      </w:r>
      <w:r>
        <w:rPr>
          <w:rFonts w:hint="eastAsia"/>
          <w:b/>
          <w:color w:val="FF0000"/>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pPr>
        <w:pStyle w:val="51"/>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lang w:val="en-US" w:eastAsia="zh-CN"/>
        </w:rPr>
      </w:pPr>
    </w:p>
    <w:p>
      <w:pPr>
        <w:pStyle w:val="16"/>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jc w:val="both"/>
        <w:textAlignment w:val="auto"/>
        <w:outlineLvl w:val="1"/>
        <w:rPr>
          <w:rFonts w:hint="eastAsia" w:ascii="黑体" w:hAnsi="宋体" w:eastAsia="黑体" w:cs="黑体"/>
          <w:kern w:val="0"/>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r>
        <w:rPr>
          <w:rFonts w:hint="eastAsia" w:ascii="Times New Roman" w:hAnsi="Times New Roman" w:eastAsia="宋体" w:cs="Times New Roman"/>
          <w:b/>
          <w:color w:val="FF0000"/>
          <w:kern w:val="2"/>
          <w:sz w:val="21"/>
          <w:szCs w:val="24"/>
          <w:lang w:val="en-US" w:eastAsia="zh-CN" w:bidi="ar-SA"/>
        </w:rPr>
        <w:t>注：“特别警示条款”和《政府采购违法行为风险知悉确认书》用于对供应商违法行为的提醒，不作为供应商资格性审查及符合性审查条件。</w:t>
      </w:r>
    </w:p>
    <w:p>
      <w:pPr>
        <w:widowControl/>
        <w:spacing w:beforeAutospacing="1" w:afterAutospacing="1"/>
        <w:jc w:val="center"/>
        <w:outlineLvl w:val="0"/>
        <w:rPr>
          <w:rFonts w:hint="eastAsia" w:ascii="黑体" w:hAnsi="宋体" w:eastAsia="黑体" w:cs="黑体"/>
          <w:kern w:val="0"/>
          <w:sz w:val="40"/>
          <w:szCs w:val="40"/>
        </w:rPr>
      </w:pPr>
      <w:r>
        <w:rPr>
          <w:rFonts w:hint="eastAsia" w:ascii="黑体" w:hAnsi="宋体" w:eastAsia="黑体" w:cs="黑体"/>
          <w:kern w:val="0"/>
          <w:sz w:val="40"/>
          <w:szCs w:val="40"/>
        </w:rPr>
        <w:t>招标文件信息</w:t>
      </w:r>
    </w:p>
    <w:tbl>
      <w:tblPr>
        <w:tblStyle w:val="19"/>
        <w:tblW w:w="4999"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6" w:type="dxa"/>
          <w:left w:w="36" w:type="dxa"/>
          <w:bottom w:w="36" w:type="dxa"/>
          <w:right w:w="36" w:type="dxa"/>
        </w:tblCellMar>
      </w:tblPr>
      <w:tblGrid>
        <w:gridCol w:w="2879"/>
        <w:gridCol w:w="5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ascii="宋体" w:hAnsi="宋体" w:eastAsia="宋体" w:cs="Times New Roman"/>
                <w:sz w:val="28"/>
                <w:szCs w:val="28"/>
              </w:rPr>
            </w:pPr>
            <w:r>
              <w:rPr>
                <w:rFonts w:ascii="宋体" w:hAnsi="宋体" w:eastAsia="宋体" w:cs="Times New Roman"/>
                <w:sz w:val="28"/>
                <w:szCs w:val="28"/>
              </w:rPr>
              <w:t>项目编号：</w:t>
            </w:r>
          </w:p>
        </w:tc>
        <w:tc>
          <w:tcPr>
            <w:tcW w:w="3285" w:type="pct"/>
            <w:vAlign w:val="center"/>
          </w:tcPr>
          <w:p>
            <w:pPr>
              <w:spacing w:line="290" w:lineRule="exact"/>
              <w:jc w:val="center"/>
              <w:rPr>
                <w:rFonts w:hint="default" w:ascii="宋体" w:hAnsi="宋体" w:eastAsia="宋体" w:cs="Times New Roman"/>
                <w:sz w:val="28"/>
                <w:szCs w:val="28"/>
                <w:lang w:val="en-US" w:eastAsia="zh-CN"/>
              </w:rPr>
            </w:pPr>
            <w:r>
              <w:rPr>
                <w:rFonts w:hint="eastAsia" w:ascii="宋体" w:hAnsi="宋体" w:eastAsia="宋体" w:cs="Times New Roman"/>
                <w:sz w:val="28"/>
                <w:szCs w:val="28"/>
                <w:lang w:val="en-US" w:eastAsia="zh-CN"/>
              </w:rPr>
              <w:t xml:space="preserve">LHAZXCG-2025-00053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ascii="宋体" w:hAnsi="宋体" w:eastAsia="宋体" w:cs="Times New Roman"/>
                <w:sz w:val="28"/>
                <w:szCs w:val="28"/>
              </w:rPr>
            </w:pPr>
            <w:r>
              <w:rPr>
                <w:rFonts w:ascii="宋体" w:hAnsi="宋体" w:eastAsia="宋体" w:cs="Times New Roman"/>
                <w:sz w:val="28"/>
                <w:szCs w:val="28"/>
              </w:rPr>
              <w:t>项目名称：</w:t>
            </w:r>
          </w:p>
        </w:tc>
        <w:tc>
          <w:tcPr>
            <w:tcW w:w="3285" w:type="pct"/>
            <w:vAlign w:val="center"/>
          </w:tcPr>
          <w:p>
            <w:pPr>
              <w:spacing w:line="290" w:lineRule="exact"/>
              <w:jc w:val="center"/>
              <w:rPr>
                <w:rFonts w:hint="default" w:ascii="宋体" w:hAnsi="宋体" w:eastAsia="宋体" w:cs="Times New Roman"/>
                <w:sz w:val="28"/>
                <w:szCs w:val="28"/>
                <w:lang w:val="en-US" w:eastAsia="zh-CN"/>
              </w:rPr>
            </w:pPr>
            <w:r>
              <w:rPr>
                <w:rFonts w:hint="default" w:ascii="宋体" w:hAnsi="宋体" w:eastAsia="宋体" w:cs="Times New Roman"/>
                <w:sz w:val="28"/>
                <w:szCs w:val="28"/>
                <w:lang w:val="en-US" w:eastAsia="zh-CN"/>
              </w:rPr>
              <w:t>人民路学校(</w:t>
            </w:r>
            <w:r>
              <w:rPr>
                <w:rFonts w:hint="eastAsia" w:ascii="宋体" w:hAnsi="宋体" w:eastAsia="宋体" w:cs="Times New Roman"/>
                <w:sz w:val="28"/>
                <w:szCs w:val="28"/>
                <w:lang w:val="en-US" w:eastAsia="zh-CN"/>
              </w:rPr>
              <w:t>扩班设备采购</w:t>
            </w:r>
            <w:r>
              <w:rPr>
                <w:rFonts w:hint="default" w:ascii="宋体" w:hAnsi="宋体" w:eastAsia="宋体" w:cs="Times New Roman"/>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ascii="宋体" w:hAnsi="宋体" w:eastAsia="宋体" w:cs="Times New Roman"/>
                <w:sz w:val="28"/>
                <w:szCs w:val="28"/>
              </w:rPr>
            </w:pPr>
            <w:r>
              <w:rPr>
                <w:rFonts w:ascii="宋体" w:hAnsi="宋体" w:eastAsia="宋体" w:cs="Times New Roman"/>
                <w:sz w:val="28"/>
                <w:szCs w:val="28"/>
              </w:rPr>
              <w:t>包</w:t>
            </w:r>
            <w:r>
              <w:rPr>
                <w:rFonts w:hint="eastAsia" w:ascii="宋体" w:hAnsi="宋体" w:eastAsia="宋体" w:cs="Times New Roman"/>
                <w:sz w:val="28"/>
                <w:szCs w:val="28"/>
              </w:rPr>
              <w:t xml:space="preserve">    </w:t>
            </w:r>
            <w:r>
              <w:rPr>
                <w:rFonts w:ascii="宋体" w:hAnsi="宋体" w:eastAsia="宋体" w:cs="Times New Roman"/>
                <w:sz w:val="28"/>
                <w:szCs w:val="28"/>
              </w:rPr>
              <w:t>号：</w:t>
            </w:r>
          </w:p>
        </w:tc>
        <w:tc>
          <w:tcPr>
            <w:tcW w:w="3285" w:type="pct"/>
            <w:vAlign w:val="center"/>
          </w:tcPr>
          <w:p>
            <w:pPr>
              <w:spacing w:line="290" w:lineRule="exact"/>
              <w:jc w:val="center"/>
              <w:rPr>
                <w:rFonts w:ascii="宋体" w:hAnsi="宋体" w:eastAsia="宋体" w:cs="Times New Roman"/>
                <w:sz w:val="28"/>
                <w:szCs w:val="28"/>
              </w:rPr>
            </w:pPr>
            <w:r>
              <w:rPr>
                <w:rFonts w:ascii="宋体" w:hAnsi="宋体" w:eastAsia="宋体" w:cs="Times New Roman"/>
                <w:sz w:val="28"/>
                <w:szCs w:val="2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ascii="宋体" w:hAnsi="宋体" w:eastAsia="宋体" w:cs="Times New Roman"/>
                <w:sz w:val="28"/>
                <w:szCs w:val="28"/>
              </w:rPr>
            </w:pPr>
            <w:r>
              <w:rPr>
                <w:rFonts w:ascii="宋体" w:hAnsi="宋体" w:eastAsia="宋体" w:cs="Times New Roman"/>
                <w:sz w:val="28"/>
                <w:szCs w:val="28"/>
              </w:rPr>
              <w:t>项目类型：</w:t>
            </w:r>
          </w:p>
        </w:tc>
        <w:tc>
          <w:tcPr>
            <w:tcW w:w="3285" w:type="pct"/>
            <w:vAlign w:val="center"/>
          </w:tcPr>
          <w:p>
            <w:pPr>
              <w:spacing w:line="290" w:lineRule="exact"/>
              <w:jc w:val="center"/>
              <w:rPr>
                <w:rFonts w:ascii="宋体" w:hAnsi="宋体" w:eastAsia="宋体" w:cs="Times New Roman"/>
                <w:sz w:val="28"/>
                <w:szCs w:val="28"/>
              </w:rPr>
            </w:pPr>
            <w:r>
              <w:rPr>
                <w:rFonts w:hint="eastAsia" w:ascii="宋体" w:hAnsi="宋体" w:eastAsia="宋体" w:cs="Times New Roman"/>
                <w:sz w:val="28"/>
                <w:szCs w:val="28"/>
              </w:rPr>
              <w:t>货物</w:t>
            </w:r>
            <w:r>
              <w:rPr>
                <w:rFonts w:ascii="宋体" w:hAnsi="宋体" w:eastAsia="宋体" w:cs="Times New Roman"/>
                <w:sz w:val="28"/>
                <w:szCs w:val="28"/>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ascii="宋体" w:hAnsi="宋体" w:eastAsia="宋体" w:cs="Times New Roman"/>
                <w:sz w:val="28"/>
                <w:szCs w:val="28"/>
              </w:rPr>
            </w:pPr>
            <w:r>
              <w:rPr>
                <w:rFonts w:ascii="宋体" w:hAnsi="宋体" w:eastAsia="宋体" w:cs="Times New Roman"/>
                <w:sz w:val="28"/>
                <w:szCs w:val="28"/>
              </w:rPr>
              <w:t>采购方式：</w:t>
            </w:r>
          </w:p>
        </w:tc>
        <w:tc>
          <w:tcPr>
            <w:tcW w:w="3285" w:type="pct"/>
            <w:vAlign w:val="center"/>
          </w:tcPr>
          <w:p>
            <w:pPr>
              <w:spacing w:line="290" w:lineRule="exact"/>
              <w:jc w:val="center"/>
              <w:rPr>
                <w:rFonts w:ascii="宋体" w:hAnsi="宋体" w:eastAsia="宋体" w:cs="Times New Roman"/>
                <w:sz w:val="28"/>
                <w:szCs w:val="28"/>
              </w:rPr>
            </w:pPr>
            <w:r>
              <w:rPr>
                <w:rFonts w:ascii="宋体" w:hAnsi="宋体" w:eastAsia="宋体" w:cs="Times New Roman"/>
                <w:sz w:val="28"/>
                <w:szCs w:val="28"/>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ascii="宋体" w:hAnsi="宋体" w:eastAsia="宋体" w:cs="Times New Roman"/>
                <w:sz w:val="28"/>
                <w:szCs w:val="28"/>
              </w:rPr>
            </w:pPr>
            <w:r>
              <w:rPr>
                <w:rFonts w:ascii="宋体" w:hAnsi="宋体" w:eastAsia="宋体" w:cs="Times New Roman"/>
                <w:sz w:val="28"/>
                <w:szCs w:val="28"/>
              </w:rPr>
              <w:t>货币类型：</w:t>
            </w:r>
          </w:p>
        </w:tc>
        <w:tc>
          <w:tcPr>
            <w:tcW w:w="3285" w:type="pct"/>
            <w:vAlign w:val="center"/>
          </w:tcPr>
          <w:p>
            <w:pPr>
              <w:spacing w:line="290" w:lineRule="exact"/>
              <w:jc w:val="center"/>
              <w:rPr>
                <w:rFonts w:ascii="宋体" w:hAnsi="宋体" w:eastAsia="宋体" w:cs="Times New Roman"/>
                <w:sz w:val="28"/>
                <w:szCs w:val="28"/>
              </w:rPr>
            </w:pPr>
            <w:r>
              <w:rPr>
                <w:rFonts w:ascii="宋体" w:hAnsi="宋体" w:eastAsia="宋体" w:cs="Times New Roman"/>
                <w:sz w:val="28"/>
                <w:szCs w:val="28"/>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ascii="宋体" w:hAnsi="宋体" w:eastAsia="宋体" w:cs="Times New Roman"/>
                <w:sz w:val="28"/>
                <w:szCs w:val="28"/>
              </w:rPr>
            </w:pPr>
            <w:r>
              <w:rPr>
                <w:rFonts w:ascii="宋体" w:hAnsi="宋体" w:eastAsia="宋体" w:cs="Times New Roman"/>
                <w:sz w:val="28"/>
                <w:szCs w:val="28"/>
              </w:rPr>
              <w:t>评标方法：</w:t>
            </w:r>
          </w:p>
        </w:tc>
        <w:tc>
          <w:tcPr>
            <w:tcW w:w="3285" w:type="pct"/>
            <w:vAlign w:val="center"/>
          </w:tcPr>
          <w:p>
            <w:pPr>
              <w:spacing w:line="290" w:lineRule="exact"/>
              <w:jc w:val="center"/>
              <w:rPr>
                <w:rFonts w:ascii="宋体" w:hAnsi="宋体" w:eastAsia="宋体" w:cs="Times New Roman"/>
                <w:sz w:val="28"/>
                <w:szCs w:val="28"/>
              </w:rPr>
            </w:pPr>
            <w:r>
              <w:rPr>
                <w:rFonts w:ascii="宋体" w:hAnsi="宋体" w:eastAsia="宋体" w:cs="Times New Roman"/>
                <w:sz w:val="28"/>
                <w:szCs w:val="28"/>
              </w:rPr>
              <w:t>综合评分法</w:t>
            </w:r>
          </w:p>
        </w:tc>
      </w:tr>
    </w:tbl>
    <w:p>
      <w:pPr>
        <w:tabs>
          <w:tab w:val="left" w:pos="2790"/>
        </w:tabs>
        <w:snapToGrid w:val="0"/>
        <w:spacing w:line="440" w:lineRule="exact"/>
        <w:jc w:val="left"/>
        <w:rPr>
          <w:rFonts w:hint="eastAsia" w:asciiTheme="minorEastAsia" w:hAnsiTheme="minorEastAsia"/>
          <w:sz w:val="30"/>
          <w:szCs w:val="30"/>
        </w:rPr>
      </w:pPr>
    </w:p>
    <w:p>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资格性审查表</w:t>
      </w:r>
    </w:p>
    <w:tbl>
      <w:tblPr>
        <w:tblStyle w:val="19"/>
        <w:tblW w:w="946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66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hint="eastAsia" w:ascii="宋体" w:hAnsi="宋体" w:eastAsia="宋体" w:cs="宋体"/>
                <w:szCs w:val="21"/>
              </w:rPr>
            </w:pPr>
            <w:r>
              <w:rPr>
                <w:rFonts w:ascii="宋体" w:hAnsi="宋体" w:eastAsia="宋体" w:cs="Times New Roman"/>
                <w:szCs w:val="21"/>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hint="eastAsia" w:ascii="宋体" w:hAnsi="宋体" w:eastAsia="宋体" w:cs="宋体"/>
                <w:szCs w:val="21"/>
              </w:rPr>
            </w:pPr>
            <w:r>
              <w:rPr>
                <w:rFonts w:ascii="宋体" w:hAnsi="宋体" w:eastAsia="宋体" w:cs="Times New Roman"/>
                <w:szCs w:val="21"/>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hint="eastAsia" w:ascii="宋体" w:hAnsi="宋体" w:eastAsia="宋体" w:cs="宋体"/>
                <w:szCs w:val="21"/>
              </w:rPr>
            </w:pPr>
            <w:r>
              <w:rPr>
                <w:rFonts w:ascii="宋体" w:hAnsi="宋体" w:eastAsia="宋体" w:cs="Times New Roman"/>
                <w:szCs w:val="21"/>
              </w:rPr>
              <w:t>1</w:t>
            </w:r>
          </w:p>
        </w:tc>
        <w:tc>
          <w:tcPr>
            <w:tcW w:w="8669" w:type="dxa"/>
            <w:tcBorders>
              <w:top w:val="single" w:color="000000" w:sz="8" w:space="0"/>
              <w:left w:val="single" w:color="000000" w:sz="8" w:space="0"/>
              <w:bottom w:val="single" w:color="000000" w:sz="8" w:space="0"/>
              <w:right w:val="single" w:color="000000" w:sz="8" w:space="0"/>
            </w:tcBorders>
          </w:tcPr>
          <w:p>
            <w:pPr>
              <w:spacing w:line="290" w:lineRule="exact"/>
              <w:rPr>
                <w:rFonts w:hint="eastAsia" w:ascii="宋体" w:hAnsi="宋体" w:eastAsia="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pPr>
        <w:tabs>
          <w:tab w:val="left" w:pos="2790"/>
        </w:tabs>
        <w:snapToGrid w:val="0"/>
        <w:jc w:val="center"/>
        <w:rPr>
          <w:rFonts w:hint="eastAsia" w:ascii="黑体" w:hAnsi="黑体" w:eastAsia="黑体" w:cs="Times New Roman"/>
          <w:sz w:val="40"/>
          <w:szCs w:val="40"/>
        </w:rPr>
      </w:pPr>
    </w:p>
    <w:p>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符合性审查表</w:t>
      </w:r>
    </w:p>
    <w:tbl>
      <w:tblPr>
        <w:tblStyle w:val="19"/>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pPr>
              <w:rPr>
                <w:szCs w:val="21"/>
              </w:rPr>
            </w:pPr>
            <w:r>
              <w:rPr>
                <w:rFonts w:hint="eastAsia"/>
                <w:lang w:val="en-US" w:eastAsia="zh-CN"/>
              </w:rPr>
              <w:t>不得</w:t>
            </w:r>
            <w:r>
              <w:rPr>
                <w:rFonts w:hint="eastAsia"/>
              </w:rPr>
              <w:t>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ascii="宋体" w:hAnsi="宋体" w:cs="宋体"/>
                <w:kern w:val="0"/>
                <w:szCs w:val="21"/>
                <w:lang w:bidi="ar"/>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pPr>
              <w:rPr>
                <w:szCs w:val="21"/>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ascii="宋体" w:hAnsi="宋体" w:cs="宋体"/>
                <w:kern w:val="0"/>
                <w:szCs w:val="21"/>
                <w:lang w:bidi="ar"/>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pPr>
              <w:rPr>
                <w:szCs w:val="21"/>
              </w:rPr>
            </w:pPr>
            <w:r>
              <w:rPr>
                <w:rFonts w:hint="eastAsia"/>
              </w:rPr>
              <w:t>分项报价或投标总价</w:t>
            </w:r>
            <w:r>
              <w:rPr>
                <w:rFonts w:hint="eastAsia"/>
                <w:lang w:val="en-US" w:eastAsia="zh-CN"/>
              </w:rPr>
              <w:t>不得</w:t>
            </w:r>
            <w:r>
              <w:rPr>
                <w:rFonts w:hint="eastAsia"/>
              </w:rPr>
              <w:t>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ascii="宋体" w:hAnsi="宋体" w:cs="宋体"/>
                <w:kern w:val="0"/>
                <w:szCs w:val="21"/>
                <w:lang w:bidi="ar"/>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pPr>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ascii="宋体" w:hAnsi="宋体" w:cs="宋体"/>
                <w:kern w:val="0"/>
                <w:szCs w:val="21"/>
                <w:lang w:bidi="ar"/>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pPr>
              <w:rPr>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ascii="宋体" w:hAnsi="宋体" w:cs="宋体"/>
                <w:kern w:val="0"/>
                <w:szCs w:val="21"/>
                <w:lang w:bidi="ar"/>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pPr>
              <w:rPr>
                <w:szCs w:val="21"/>
              </w:rPr>
            </w:pPr>
            <w:r>
              <w:rPr>
                <w:rFonts w:hint="eastAsia"/>
              </w:rPr>
              <w:t>未按招标文件所提供的样式填写《投标函》；未按招标文件所提供的《政府采购投标及履约承诺函》进行承诺；未按招标文件对投标文件组成的要求提供投标文件；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ascii="宋体" w:hAnsi="宋体" w:cs="宋体"/>
                <w:kern w:val="0"/>
                <w:szCs w:val="21"/>
                <w:lang w:bidi="ar"/>
              </w:rPr>
            </w:pPr>
            <w:r>
              <w:rPr>
                <w:rFonts w:hint="eastAsia" w:ascii="宋体" w:hAnsi="宋体" w:cs="宋体"/>
                <w:kern w:val="0"/>
                <w:szCs w:val="21"/>
                <w:lang w:bidi="ar"/>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r>
              <w:rPr>
                <w:rFonts w:hint="eastAsia"/>
                <w:color w:val="auto"/>
                <w:lang w:val="en-US" w:eastAsia="zh-CN"/>
              </w:rPr>
              <w:t>采购标的/服务</w:t>
            </w:r>
            <w:r>
              <w:rPr>
                <w:rFonts w:hint="eastAsia" w:ascii="Times New Roman" w:eastAsia="宋体"/>
                <w:color w:val="auto"/>
                <w:lang w:val="en-US" w:eastAsia="zh-CN"/>
              </w:rPr>
              <w:t>清单</w:t>
            </w:r>
            <w:r>
              <w:rPr>
                <w:rFonts w:hint="eastAsia"/>
                <w:color w:val="auto"/>
                <w:lang w:val="en-US" w:eastAsia="zh-CN"/>
              </w:rPr>
              <w:t>/报价等任意一类</w:t>
            </w:r>
            <w:r>
              <w:rPr>
                <w:rFonts w:hint="eastAsia" w:ascii="Times New Roman" w:eastAsia="宋体"/>
                <w:color w:val="auto"/>
                <w:lang w:val="en-US" w:eastAsia="zh-CN"/>
              </w:rPr>
              <w:t>有缺漏项或响应不全</w:t>
            </w:r>
            <w:r>
              <w:rPr>
                <w:rFonts w:hint="eastAsia"/>
                <w:color w:val="auto"/>
                <w:lang w:val="en-US" w:eastAsia="zh-CN"/>
              </w:rPr>
              <w:t>，</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ascii="宋体" w:hAnsi="宋体" w:cs="宋体"/>
                <w:kern w:val="0"/>
                <w:szCs w:val="21"/>
                <w:lang w:bidi="ar"/>
              </w:rPr>
            </w:pPr>
            <w:r>
              <w:rPr>
                <w:rFonts w:ascii="宋体" w:hAnsi="宋体" w:cs="宋体"/>
                <w:kern w:val="0"/>
                <w:szCs w:val="21"/>
                <w:lang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pPr>
              <w:rPr>
                <w:szCs w:val="21"/>
              </w:rPr>
            </w:pPr>
            <w:r>
              <w:rPr>
                <w:rFonts w:hint="eastAsia"/>
              </w:rPr>
              <w:t>投标文件存在列放位置错误，导致属于信息公开情形的没有被公开；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ascii="宋体" w:hAnsi="宋体" w:cs="宋体"/>
                <w:kern w:val="0"/>
                <w:szCs w:val="21"/>
                <w:lang w:bidi="ar"/>
              </w:rPr>
            </w:pPr>
            <w:r>
              <w:rPr>
                <w:rFonts w:ascii="宋体" w:hAnsi="宋体" w:cs="宋体"/>
                <w:kern w:val="0"/>
                <w:szCs w:val="21"/>
                <w:lang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pPr>
              <w:rPr>
                <w:szCs w:val="21"/>
              </w:rPr>
            </w:pPr>
            <w:r>
              <w:rPr>
                <w:rFonts w:hint="eastAsia"/>
              </w:rPr>
              <w:t>投标文件电子文档</w:t>
            </w:r>
            <w:r>
              <w:rPr>
                <w:rFonts w:hint="eastAsia"/>
                <w:lang w:val="en-US" w:eastAsia="zh-CN"/>
              </w:rPr>
              <w:t>不得</w:t>
            </w:r>
            <w:r>
              <w:rPr>
                <w:rFonts w:hint="eastAsia"/>
              </w:rPr>
              <w:t>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ascii="宋体" w:hAnsi="宋体" w:cs="宋体"/>
                <w:kern w:val="0"/>
                <w:szCs w:val="21"/>
                <w:lang w:bidi="ar"/>
              </w:rPr>
            </w:pPr>
            <w:r>
              <w:rPr>
                <w:rFonts w:ascii="宋体" w:hAnsi="宋体" w:cs="宋体"/>
                <w:kern w:val="0"/>
                <w:szCs w:val="21"/>
                <w:lang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pPr>
              <w:rPr>
                <w:szCs w:val="21"/>
              </w:rPr>
            </w:pPr>
            <w:r>
              <w:rPr>
                <w:rFonts w:hint="eastAsia"/>
              </w:rPr>
              <w:t>投标文件用不属于本公司的电子密钥或电子营业执照进行加密的；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ascii="宋体" w:hAnsi="宋体" w:cs="宋体"/>
                <w:kern w:val="0"/>
                <w:szCs w:val="21"/>
                <w:lang w:bidi="ar"/>
              </w:rPr>
            </w:pPr>
            <w:r>
              <w:rPr>
                <w:rFonts w:hint="eastAsia" w:ascii="宋体" w:hAnsi="宋体" w:cs="宋体"/>
                <w:kern w:val="0"/>
                <w:szCs w:val="21"/>
                <w:lang w:bidi="ar"/>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pPr>
              <w:widowControl/>
              <w:jc w:val="left"/>
              <w:textAlignment w:val="top"/>
              <w:rPr>
                <w:rFonts w:eastAsia="宋体"/>
                <w:szCs w:val="24"/>
              </w:rPr>
            </w:pPr>
            <w:r>
              <w:rPr>
                <w:rFonts w:hint="eastAsia" w:ascii="Times New Roman" w:hAnsi="Times New Roman" w:eastAsia="宋体" w:cs="Times New Roman"/>
                <w:sz w:val="21"/>
                <w:szCs w:val="24"/>
              </w:rPr>
              <w:t>不同投标供应商投标文件“文件制作机器码”一致</w:t>
            </w:r>
            <w:r>
              <w:rPr>
                <w:rFonts w:hint="eastAsia" w:ascii="Times New Roman" w:hAnsi="Times New Roman" w:eastAsia="宋体" w:cs="Times New Roman"/>
                <w:sz w:val="21"/>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ascii="宋体" w:hAnsi="宋体" w:cs="宋体"/>
                <w:kern w:val="0"/>
                <w:szCs w:val="21"/>
                <w:lang w:bidi="ar"/>
              </w:rPr>
            </w:pPr>
            <w:r>
              <w:rPr>
                <w:rFonts w:hint="eastAsia" w:ascii="宋体" w:hAnsi="宋体" w:cs="宋体"/>
                <w:kern w:val="0"/>
                <w:szCs w:val="21"/>
                <w:lang w:bidi="ar"/>
              </w:rPr>
              <w:t>12</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pPr>
              <w:widowControl/>
              <w:jc w:val="left"/>
              <w:textAlignment w:val="top"/>
              <w:rPr>
                <w:rFonts w:eastAsia="宋体"/>
                <w:szCs w:val="24"/>
              </w:rPr>
            </w:pPr>
            <w:r>
              <w:rPr>
                <w:rFonts w:hint="eastAsia" w:ascii="Times New Roman" w:hAnsi="Times New Roman" w:eastAsia="宋体" w:cs="Times New Roman"/>
                <w:sz w:val="21"/>
                <w:szCs w:val="24"/>
              </w:rPr>
              <w:t>不同投标供应商投标文件“文件创建标识码”一致</w:t>
            </w:r>
            <w:r>
              <w:rPr>
                <w:rFonts w:hint="eastAsia" w:ascii="Times New Roman" w:hAnsi="Times New Roman" w:eastAsia="宋体" w:cs="Times New Roman"/>
                <w:sz w:val="21"/>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ascii="宋体" w:hAnsi="宋体" w:cs="宋体"/>
                <w:kern w:val="0"/>
                <w:szCs w:val="21"/>
                <w:lang w:bidi="ar"/>
              </w:rPr>
            </w:pPr>
            <w:r>
              <w:rPr>
                <w:rFonts w:hint="eastAsia" w:ascii="宋体" w:hAnsi="宋体" w:cs="宋体"/>
                <w:kern w:val="0"/>
                <w:szCs w:val="21"/>
                <w:lang w:bidi="ar"/>
              </w:rPr>
              <w:t>13</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pPr>
              <w:rPr>
                <w:szCs w:val="21"/>
              </w:rPr>
            </w:pPr>
            <w:r>
              <w:rPr>
                <w:rFonts w:hint="eastAsia"/>
              </w:rPr>
              <w:t>法律、法规、规章、规范性文件规定的其他情形。</w:t>
            </w:r>
          </w:p>
        </w:tc>
      </w:tr>
    </w:tbl>
    <w:p>
      <w:pPr>
        <w:tabs>
          <w:tab w:val="left" w:pos="2790"/>
        </w:tabs>
        <w:snapToGrid w:val="0"/>
        <w:jc w:val="left"/>
        <w:rPr>
          <w:sz w:val="24"/>
          <w:szCs w:val="24"/>
        </w:rPr>
      </w:pPr>
    </w:p>
    <w:p>
      <w:pPr>
        <w:tabs>
          <w:tab w:val="left" w:pos="2790"/>
        </w:tabs>
        <w:snapToGrid w:val="0"/>
        <w:jc w:val="left"/>
        <w:rPr>
          <w:sz w:val="24"/>
          <w:szCs w:val="24"/>
        </w:rPr>
      </w:pPr>
    </w:p>
    <w:p>
      <w:pPr>
        <w:tabs>
          <w:tab w:val="left" w:pos="2790"/>
        </w:tabs>
        <w:snapToGrid w:val="0"/>
        <w:jc w:val="left"/>
        <w:rPr>
          <w:sz w:val="24"/>
          <w:szCs w:val="24"/>
        </w:rPr>
      </w:pPr>
    </w:p>
    <w:p>
      <w:pPr>
        <w:tabs>
          <w:tab w:val="left" w:pos="2790"/>
        </w:tabs>
        <w:snapToGrid w:val="0"/>
        <w:jc w:val="left"/>
        <w:rPr>
          <w:sz w:val="24"/>
          <w:szCs w:val="24"/>
        </w:rPr>
      </w:pPr>
    </w:p>
    <w:p>
      <w:pPr>
        <w:pStyle w:val="16"/>
        <w:jc w:val="center"/>
        <w:outlineLvl w:val="0"/>
        <w:rPr>
          <w:rFonts w:hint="eastAsia" w:ascii="黑体" w:eastAsia="黑体"/>
          <w:sz w:val="40"/>
          <w:szCs w:val="40"/>
        </w:rPr>
      </w:pPr>
      <w:r>
        <w:rPr>
          <w:rFonts w:hint="eastAsia" w:ascii="黑体" w:hAnsi="黑体" w:eastAsia="黑体"/>
          <w:sz w:val="40"/>
          <w:szCs w:val="40"/>
        </w:rPr>
        <w:t>评标信息</w:t>
      </w:r>
    </w:p>
    <w:tbl>
      <w:tblPr>
        <w:tblStyle w:val="19"/>
        <w:tblW w:w="9224"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3"/>
        <w:gridCol w:w="353"/>
        <w:gridCol w:w="485"/>
        <w:gridCol w:w="1665"/>
        <w:gridCol w:w="787"/>
        <w:gridCol w:w="5768"/>
        <w:gridCol w:w="8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83" w:type="dxa"/>
          <w:tblCellSpacing w:w="0" w:type="dxa"/>
          <w:jc w:val="center"/>
        </w:trPr>
        <w:tc>
          <w:tcPr>
            <w:tcW w:w="9141" w:type="dxa"/>
            <w:gridSpan w:val="6"/>
            <w:shd w:val="clear" w:color="auto" w:fill="auto"/>
            <w:vAlign w:val="center"/>
          </w:tcPr>
          <w:p>
            <w:pPr>
              <w:jc w:val="left"/>
              <w:rPr>
                <w:rFonts w:ascii="宋体"/>
                <w:b/>
                <w:bCs/>
                <w:sz w:val="24"/>
              </w:rPr>
            </w:pPr>
            <w:r>
              <w:rPr>
                <w:b/>
                <w:bCs/>
              </w:rPr>
              <w:t>评标方法：综合评分法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83" w:type="dxa"/>
          <w:tblCellSpacing w:w="0" w:type="dxa"/>
          <w:jc w:val="center"/>
        </w:trPr>
        <w:tc>
          <w:tcPr>
            <w:tcW w:w="9141" w:type="dxa"/>
            <w:gridSpan w:val="6"/>
            <w:shd w:val="clear" w:color="auto" w:fill="auto"/>
            <w:vAlign w:val="center"/>
          </w:tcPr>
          <w:p>
            <w:pPr>
              <w:ind w:firstLine="420"/>
              <w:rPr>
                <w:rFonts w:eastAsia="宋体"/>
                <w:szCs w:val="21"/>
              </w:rPr>
            </w:pPr>
            <w:r>
              <w:rPr>
                <w:szCs w:val="21"/>
              </w:rPr>
              <w:t>综合评分法，</w:t>
            </w:r>
            <w:r>
              <w:rPr>
                <w:rFonts w:hint="eastAsia"/>
                <w:szCs w:val="21"/>
              </w:rPr>
              <w:t>是指投标文件满足招标文件全部实质性要求，且按照评审因素的量化指标评审得分排名前列</w:t>
            </w:r>
            <w:r>
              <w:rPr>
                <w:szCs w:val="21"/>
              </w:rPr>
              <w:t>的投标人为中标候选人的评标方法。</w:t>
            </w:r>
          </w:p>
          <w:p>
            <w:pPr>
              <w:ind w:firstLine="420"/>
            </w:pPr>
          </w:p>
          <w:p>
            <w:pPr>
              <w:ind w:firstLine="420"/>
              <w:rPr>
                <w:szCs w:val="21"/>
              </w:rPr>
            </w:pPr>
            <w:r>
              <w:rPr>
                <w:szCs w:val="21"/>
              </w:rPr>
              <w:t>价格分计算方法：</w:t>
            </w:r>
          </w:p>
          <w:p>
            <w:pPr>
              <w:pStyle w:val="16"/>
              <w:spacing w:beforeAutospacing="0" w:afterAutospacing="0"/>
              <w:ind w:left="420"/>
              <w:rPr>
                <w:rFonts w:hint="eastAsia"/>
                <w:sz w:val="21"/>
                <w:szCs w:val="21"/>
              </w:rPr>
            </w:pPr>
            <w:r>
              <w:rPr>
                <w:sz w:val="21"/>
                <w:szCs w:val="21"/>
              </w:rPr>
              <w:t xml:space="preserve">采用低价优先法计算，即满足招标文件要求且投标价格最低的投标报价为评标基准价，其价格分为满分。其他投标人的价格分统一按照下列公式计算：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pPr>
              <w:pStyle w:val="16"/>
              <w:spacing w:beforeAutospacing="0" w:afterAutospacing="0"/>
              <w:ind w:left="420"/>
              <w:rPr>
                <w:rFonts w:hint="eastAsia"/>
              </w:rPr>
            </w:pPr>
            <w:r>
              <w:rPr>
                <w:rFonts w:hint="eastAsia"/>
                <w:sz w:val="21"/>
                <w:szCs w:val="21"/>
              </w:rPr>
              <w:t>因落实政府采购政策进行价格调整的，以调整后的价格计算评标基准价和投标报价。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ascii="宋体" w:hAnsi="宋体" w:cs="宋体"/>
                <w:b/>
                <w:bCs/>
                <w:szCs w:val="21"/>
              </w:rPr>
            </w:pPr>
            <w:r>
              <w:rPr>
                <w:rFonts w:hint="eastAsia" w:ascii="宋体" w:hAnsi="宋体" w:cs="宋体"/>
                <w:b/>
                <w:bCs/>
                <w:szCs w:val="21"/>
              </w:rPr>
              <w:t>序号</w:t>
            </w:r>
          </w:p>
        </w:tc>
        <w:tc>
          <w:tcPr>
            <w:tcW w:w="293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ascii="宋体" w:hAnsi="宋体" w:cs="宋体"/>
                <w:b/>
                <w:bCs/>
                <w:szCs w:val="21"/>
              </w:rPr>
            </w:pPr>
            <w:r>
              <w:rPr>
                <w:rFonts w:hint="eastAsia" w:ascii="宋体" w:hAnsi="宋体" w:cs="宋体"/>
                <w:b/>
                <w:bCs/>
                <w:szCs w:val="21"/>
              </w:rPr>
              <w:t>评分项</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ascii="宋体" w:hAnsi="宋体" w:cs="宋体"/>
                <w:b/>
                <w:bCs/>
                <w:szCs w:val="21"/>
              </w:rPr>
            </w:pPr>
            <w:r>
              <w:rPr>
                <w:rFonts w:hint="eastAsia" w:ascii="宋体" w:hAnsi="宋体" w:cs="宋体"/>
                <w:b/>
                <w:bCs/>
                <w:szCs w:val="21"/>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jc w:val="center"/>
              <w:rPr>
                <w:rFonts w:ascii="宋体" w:hAnsi="宋体" w:cs="宋体"/>
                <w:b/>
                <w:bCs/>
                <w:szCs w:val="21"/>
              </w:rPr>
            </w:pPr>
            <w:r>
              <w:rPr>
                <w:rFonts w:hint="eastAsia" w:ascii="宋体" w:hAnsi="宋体" w:cs="宋体"/>
                <w:b/>
                <w:bCs/>
                <w:szCs w:val="21"/>
              </w:rPr>
              <w:t>1</w:t>
            </w:r>
          </w:p>
        </w:tc>
        <w:tc>
          <w:tcPr>
            <w:tcW w:w="293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jc w:val="center"/>
              <w:rPr>
                <w:rFonts w:ascii="宋体" w:hAnsi="宋体" w:cs="宋体"/>
                <w:b/>
                <w:bCs/>
                <w:szCs w:val="21"/>
              </w:rPr>
            </w:pPr>
            <w:r>
              <w:rPr>
                <w:rFonts w:hint="eastAsia" w:ascii="宋体" w:hAnsi="宋体" w:cs="宋体"/>
                <w:b/>
                <w:bCs/>
                <w:szCs w:val="21"/>
              </w:rPr>
              <w:t>价格</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jc w:val="center"/>
              <w:rPr>
                <w:rFonts w:ascii="宋体" w:hAnsi="宋体" w:cs="宋体"/>
                <w:b/>
                <w:bCs/>
                <w:szCs w:val="21"/>
              </w:rPr>
            </w:pPr>
            <w:r>
              <w:rPr>
                <w:rFonts w:hint="eastAsia" w:ascii="宋体" w:hAnsi="宋体" w:cs="宋体"/>
                <w:b/>
                <w:bCs/>
                <w:szCs w:val="21"/>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jc w:val="center"/>
              <w:rPr>
                <w:rFonts w:ascii="宋体" w:hAnsi="宋体" w:cs="宋体"/>
                <w:b/>
                <w:bCs/>
                <w:szCs w:val="21"/>
              </w:rPr>
            </w:pPr>
            <w:r>
              <w:rPr>
                <w:rFonts w:hint="eastAsia" w:ascii="宋体" w:hAnsi="宋体" w:cs="宋体"/>
                <w:b/>
                <w:bCs/>
                <w:szCs w:val="21"/>
              </w:rPr>
              <w:t>2</w:t>
            </w:r>
          </w:p>
        </w:tc>
        <w:tc>
          <w:tcPr>
            <w:tcW w:w="293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jc w:val="center"/>
              <w:rPr>
                <w:rFonts w:ascii="宋体" w:hAnsi="宋体" w:cs="宋体"/>
                <w:b/>
                <w:bCs/>
                <w:szCs w:val="21"/>
              </w:rPr>
            </w:pPr>
            <w:r>
              <w:rPr>
                <w:rFonts w:hint="eastAsia" w:ascii="宋体" w:hAnsi="宋体" w:cs="宋体"/>
                <w:b/>
                <w:bCs/>
                <w:szCs w:val="21"/>
              </w:rPr>
              <w:t>技术部分</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jc w:val="center"/>
              <w:rPr>
                <w:rFonts w:hint="default" w:ascii="宋体" w:hAnsi="宋体" w:cs="宋体" w:eastAsiaTheme="minorEastAsia"/>
                <w:b/>
                <w:bCs/>
                <w:szCs w:val="21"/>
                <w:lang w:val="en-US" w:eastAsia="zh-CN"/>
              </w:rPr>
            </w:pPr>
            <w:r>
              <w:rPr>
                <w:rFonts w:hint="eastAsia" w:ascii="宋体" w:hAnsi="宋体" w:cs="宋体"/>
                <w:b/>
                <w:bCs/>
                <w:szCs w:val="21"/>
                <w:lang w:val="en-US" w:eastAsia="zh-CN"/>
              </w:rPr>
              <w:t>58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ascii="宋体" w:hAnsi="宋体" w:cs="宋体"/>
                <w:szCs w:val="21"/>
              </w:rPr>
            </w:pPr>
            <w:r>
              <w:rPr>
                <w:rFonts w:hint="eastAsia" w:ascii="宋体" w:hAnsi="宋体" w:cs="宋体"/>
                <w:szCs w:val="21"/>
              </w:rPr>
              <w:t>序号</w:t>
            </w:r>
          </w:p>
        </w:tc>
        <w:tc>
          <w:tcPr>
            <w:tcW w:w="166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ascii="宋体" w:hAnsi="宋体" w:cs="宋体"/>
                <w:szCs w:val="21"/>
              </w:rPr>
            </w:pPr>
            <w:r>
              <w:rPr>
                <w:rFonts w:hint="eastAsia" w:ascii="宋体" w:hAnsi="宋体" w:cs="宋体"/>
                <w:szCs w:val="21"/>
              </w:rPr>
              <w:t>评分因素</w:t>
            </w:r>
          </w:p>
        </w:tc>
        <w:tc>
          <w:tcPr>
            <w:tcW w:w="78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ascii="宋体" w:hAnsi="宋体" w:cs="宋体"/>
                <w:szCs w:val="21"/>
              </w:rPr>
            </w:pPr>
            <w:r>
              <w:rPr>
                <w:rFonts w:hint="eastAsia" w:ascii="宋体" w:hAnsi="宋体" w:cs="宋体"/>
                <w:szCs w:val="21"/>
              </w:rPr>
              <w:t>权重</w:t>
            </w:r>
            <w:r>
              <w:rPr>
                <w:rFonts w:hint="eastAsia" w:ascii="宋体" w:hAnsi="宋体" w:cs="宋体"/>
                <w:bCs/>
                <w:szCs w:val="21"/>
              </w:rPr>
              <w:t>（%）</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ascii="宋体" w:hAnsi="宋体" w:cs="宋体"/>
                <w:szCs w:val="21"/>
              </w:rPr>
            </w:pPr>
            <w:r>
              <w:rPr>
                <w:rFonts w:hint="eastAsia" w:ascii="宋体" w:hAnsi="宋体" w:cs="宋体"/>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idowControl/>
              <w:wordWrap w:val="0"/>
              <w:jc w:val="center"/>
              <w:textAlignment w:val="top"/>
              <w:rPr>
                <w:rFonts w:ascii="宋体" w:hAnsi="宋体" w:cs="宋体"/>
                <w:szCs w:val="21"/>
              </w:rPr>
            </w:pPr>
            <w:r>
              <w:rPr>
                <w:rFonts w:ascii="宋体" w:hAnsi="宋体" w:cs="宋体"/>
                <w:kern w:val="0"/>
                <w:szCs w:val="21"/>
                <w:lang w:bidi="ar"/>
              </w:rPr>
              <w:t>1</w:t>
            </w:r>
          </w:p>
        </w:tc>
        <w:tc>
          <w:tcPr>
            <w:tcW w:w="166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360" w:lineRule="auto"/>
              <w:jc w:val="center"/>
              <w:rPr>
                <w:rFonts w:ascii="宋体" w:hAnsi="宋体" w:cs="宋体"/>
                <w:szCs w:val="21"/>
              </w:rPr>
            </w:pPr>
            <w:r>
              <w:rPr>
                <w:rFonts w:hint="eastAsia" w:ascii="宋体" w:hAnsi="宋体" w:cs="宋体"/>
                <w:szCs w:val="21"/>
              </w:rPr>
              <w:t>技术保障措施</w:t>
            </w:r>
          </w:p>
        </w:tc>
        <w:tc>
          <w:tcPr>
            <w:tcW w:w="78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360" w:lineRule="auto"/>
              <w:jc w:val="center"/>
              <w:rPr>
                <w:rFonts w:ascii="宋体" w:hAnsi="宋体" w:cs="宋体"/>
                <w:szCs w:val="21"/>
              </w:rPr>
            </w:pPr>
            <w:r>
              <w:rPr>
                <w:rFonts w:ascii="宋体" w:hAnsi="宋体" w:cs="宋体"/>
                <w:szCs w:val="21"/>
              </w:rPr>
              <w:t>3</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wordWrap w:val="0"/>
              <w:rPr>
                <w:rFonts w:ascii="宋体" w:hAnsi="宋体" w:cs="宋体"/>
                <w:b/>
                <w:bCs/>
                <w:szCs w:val="21"/>
              </w:rPr>
            </w:pPr>
            <w:r>
              <w:rPr>
                <w:rFonts w:hint="eastAsia" w:ascii="宋体" w:hAnsi="宋体" w:cs="宋体"/>
                <w:b/>
                <w:bCs/>
                <w:szCs w:val="21"/>
              </w:rPr>
              <w:t>考察内容：</w:t>
            </w:r>
          </w:p>
          <w:p>
            <w:pPr>
              <w:wordWrap w:val="0"/>
              <w:rPr>
                <w:rFonts w:ascii="宋体" w:hAnsi="宋体" w:cs="宋体"/>
                <w:szCs w:val="21"/>
              </w:rPr>
            </w:pPr>
            <w:r>
              <w:rPr>
                <w:rFonts w:hint="eastAsia" w:ascii="宋体" w:hAnsi="宋体" w:cs="宋体"/>
                <w:szCs w:val="21"/>
              </w:rPr>
              <w:t>投标人提供项目方案中包括：</w:t>
            </w:r>
          </w:p>
          <w:p>
            <w:pPr>
              <w:wordWrap w:val="0"/>
              <w:rPr>
                <w:rFonts w:ascii="宋体" w:hAnsi="宋体" w:cs="宋体"/>
                <w:szCs w:val="21"/>
              </w:rPr>
            </w:pPr>
            <w:r>
              <w:rPr>
                <w:rFonts w:hint="eastAsia" w:ascii="宋体" w:hAnsi="宋体" w:cs="宋体"/>
                <w:szCs w:val="21"/>
              </w:rPr>
              <w:t>1、工作措施；</w:t>
            </w:r>
          </w:p>
          <w:p>
            <w:pPr>
              <w:wordWrap w:val="0"/>
              <w:rPr>
                <w:rFonts w:ascii="宋体" w:hAnsi="宋体" w:cs="宋体"/>
                <w:szCs w:val="21"/>
              </w:rPr>
            </w:pPr>
            <w:r>
              <w:rPr>
                <w:rFonts w:hint="eastAsia" w:ascii="宋体" w:hAnsi="宋体" w:cs="宋体"/>
                <w:szCs w:val="21"/>
              </w:rPr>
              <w:t>2、工作方法；</w:t>
            </w:r>
          </w:p>
          <w:p>
            <w:pPr>
              <w:wordWrap w:val="0"/>
              <w:rPr>
                <w:rFonts w:ascii="宋体" w:hAnsi="宋体" w:cs="宋体"/>
                <w:szCs w:val="21"/>
              </w:rPr>
            </w:pPr>
            <w:r>
              <w:rPr>
                <w:rFonts w:hint="eastAsia" w:ascii="宋体" w:hAnsi="宋体" w:cs="宋体"/>
                <w:szCs w:val="21"/>
              </w:rPr>
              <w:t>3、工作手段；</w:t>
            </w:r>
            <w:r>
              <w:rPr>
                <w:rFonts w:hint="eastAsia" w:ascii="宋体" w:hAnsi="宋体" w:cs="宋体"/>
                <w:szCs w:val="21"/>
              </w:rPr>
              <w:tab/>
            </w:r>
          </w:p>
          <w:p>
            <w:pPr>
              <w:wordWrap w:val="0"/>
              <w:rPr>
                <w:rFonts w:ascii="宋体" w:hAnsi="宋体" w:cs="宋体"/>
                <w:szCs w:val="21"/>
              </w:rPr>
            </w:pPr>
            <w:r>
              <w:rPr>
                <w:rFonts w:hint="eastAsia" w:ascii="宋体" w:hAnsi="宋体" w:cs="宋体"/>
                <w:szCs w:val="21"/>
              </w:rPr>
              <w:t>4、工作流程等方面服务内容。</w:t>
            </w:r>
          </w:p>
          <w:p>
            <w:pPr>
              <w:wordWrap w:val="0"/>
              <w:rPr>
                <w:rFonts w:ascii="宋体" w:hAnsi="宋体" w:cs="宋体"/>
                <w:b/>
                <w:bCs/>
                <w:szCs w:val="21"/>
              </w:rPr>
            </w:pPr>
            <w:r>
              <w:rPr>
                <w:rFonts w:hint="eastAsia" w:ascii="宋体" w:hAnsi="宋体" w:cs="宋体"/>
                <w:b/>
                <w:bCs/>
                <w:szCs w:val="21"/>
              </w:rPr>
              <w:t>评审标准：</w:t>
            </w:r>
          </w:p>
          <w:p>
            <w:pPr>
              <w:wordWrap w:val="0"/>
              <w:rPr>
                <w:rFonts w:ascii="宋体" w:hAnsi="宋体" w:cs="宋体"/>
                <w:szCs w:val="21"/>
              </w:rPr>
            </w:pPr>
            <w:r>
              <w:rPr>
                <w:rFonts w:hint="eastAsia" w:ascii="宋体" w:hAnsi="宋体" w:cs="宋体"/>
                <w:szCs w:val="21"/>
              </w:rPr>
              <w:t>评审委</w:t>
            </w:r>
            <w:r>
              <w:rPr>
                <w:rFonts w:ascii="宋体" w:hAnsi="宋体" w:cs="宋体"/>
                <w:szCs w:val="21"/>
              </w:rPr>
              <w:t>员会根据招标文件的需求和投</w:t>
            </w:r>
            <w:r>
              <w:rPr>
                <w:rFonts w:hint="eastAsia" w:ascii="宋体" w:hAnsi="宋体" w:cs="宋体"/>
                <w:szCs w:val="21"/>
              </w:rPr>
              <w:t>标文件的响应情况，进行评价及分档评分：</w:t>
            </w:r>
          </w:p>
          <w:p>
            <w:pPr>
              <w:wordWrap w:val="0"/>
              <w:rPr>
                <w:rFonts w:ascii="宋体" w:hAnsi="宋体" w:cs="宋体"/>
                <w:szCs w:val="21"/>
              </w:rPr>
            </w:pPr>
            <w:r>
              <w:rPr>
                <w:rFonts w:ascii="宋体" w:hAnsi="宋体" w:cs="宋体"/>
                <w:szCs w:val="21"/>
              </w:rPr>
              <w:t>每满足以上任意一点得</w:t>
            </w:r>
            <w:r>
              <w:rPr>
                <w:rFonts w:hint="eastAsia" w:ascii="宋体" w:hAnsi="宋体" w:cs="宋体"/>
                <w:szCs w:val="21"/>
                <w:lang w:val="en-US" w:eastAsia="zh-CN"/>
              </w:rPr>
              <w:t>15</w:t>
            </w:r>
            <w:r>
              <w:rPr>
                <w:rFonts w:ascii="宋体" w:hAnsi="宋体" w:cs="宋体"/>
                <w:szCs w:val="21"/>
              </w:rPr>
              <w:t>分，未满足不得分，本小项最高得</w:t>
            </w:r>
            <w:r>
              <w:rPr>
                <w:rFonts w:hint="eastAsia" w:ascii="宋体" w:hAnsi="宋体" w:cs="宋体"/>
                <w:szCs w:val="21"/>
                <w:lang w:val="en-US" w:eastAsia="zh-CN"/>
              </w:rPr>
              <w:t>60</w:t>
            </w:r>
            <w:r>
              <w:rPr>
                <w:rFonts w:ascii="宋体" w:hAnsi="宋体" w:cs="宋体"/>
                <w:szCs w:val="21"/>
              </w:rPr>
              <w:t>分。</w:t>
            </w:r>
          </w:p>
          <w:p>
            <w:pPr>
              <w:wordWrap w:val="0"/>
              <w:rPr>
                <w:rFonts w:ascii="宋体" w:hAnsi="宋体" w:cs="宋体"/>
                <w:szCs w:val="21"/>
              </w:rPr>
            </w:pPr>
            <w:r>
              <w:rPr>
                <w:rFonts w:ascii="宋体" w:hAnsi="宋体" w:cs="宋体"/>
                <w:szCs w:val="21"/>
              </w:rPr>
              <w:t>在此基础上，专家根据各供应商的具体响应内容按照量化的评审因素指标进一步评审：</w:t>
            </w:r>
          </w:p>
          <w:p>
            <w:pPr>
              <w:wordWrap w:val="0"/>
              <w:rPr>
                <w:rFonts w:ascii="宋体" w:hAnsi="宋体" w:cs="宋体"/>
                <w:szCs w:val="21"/>
              </w:rPr>
            </w:pPr>
            <w:r>
              <w:rPr>
                <w:rFonts w:ascii="宋体" w:hAnsi="宋体" w:cs="宋体"/>
                <w:szCs w:val="21"/>
              </w:rPr>
              <w:t>评审为优（项目方案完善，内容和安排考虑周到，针对性强）的加</w:t>
            </w:r>
            <w:r>
              <w:rPr>
                <w:rFonts w:hint="eastAsia" w:ascii="宋体" w:hAnsi="宋体" w:cs="宋体"/>
                <w:szCs w:val="21"/>
                <w:lang w:val="en-US" w:eastAsia="zh-CN"/>
              </w:rPr>
              <w:t>4</w:t>
            </w:r>
            <w:r>
              <w:rPr>
                <w:rFonts w:ascii="宋体" w:hAnsi="宋体" w:cs="宋体"/>
                <w:szCs w:val="21"/>
              </w:rPr>
              <w:t>0分；</w:t>
            </w:r>
          </w:p>
          <w:p>
            <w:pPr>
              <w:wordWrap w:val="0"/>
              <w:rPr>
                <w:rFonts w:ascii="宋体" w:hAnsi="宋体" w:cs="宋体"/>
                <w:szCs w:val="21"/>
              </w:rPr>
            </w:pPr>
            <w:r>
              <w:rPr>
                <w:rFonts w:ascii="宋体" w:hAnsi="宋体" w:cs="宋体"/>
                <w:szCs w:val="21"/>
              </w:rPr>
              <w:t>评价为良（项目方案较完善，内容和安排考虑较周到，针对性教强）的加</w:t>
            </w:r>
            <w:r>
              <w:rPr>
                <w:rFonts w:hint="eastAsia" w:ascii="宋体" w:hAnsi="宋体" w:cs="宋体"/>
                <w:szCs w:val="21"/>
                <w:lang w:val="en-US" w:eastAsia="zh-CN"/>
              </w:rPr>
              <w:t>20</w:t>
            </w:r>
            <w:r>
              <w:rPr>
                <w:rFonts w:ascii="宋体" w:hAnsi="宋体" w:cs="宋体"/>
                <w:szCs w:val="21"/>
              </w:rPr>
              <w:t>分；</w:t>
            </w:r>
          </w:p>
          <w:p>
            <w:pPr>
              <w:wordWrap w:val="0"/>
              <w:rPr>
                <w:rFonts w:ascii="宋体" w:hAnsi="宋体" w:cs="宋体"/>
                <w:szCs w:val="21"/>
              </w:rPr>
            </w:pPr>
            <w:r>
              <w:rPr>
                <w:rFonts w:ascii="宋体" w:hAnsi="宋体" w:cs="宋体"/>
                <w:szCs w:val="21"/>
              </w:rPr>
              <w:t>评价为中（项目方案一般，内容和安排考虑基本周到，针对性一般）的加10分；</w:t>
            </w:r>
          </w:p>
          <w:p>
            <w:pPr>
              <w:wordWrap w:val="0"/>
              <w:rPr>
                <w:rFonts w:asciiTheme="minorEastAsia" w:hAnsiTheme="minorEastAsia" w:eastAsiaTheme="minorEastAsia" w:cstheme="minorEastAsia"/>
                <w:sz w:val="21"/>
                <w:szCs w:val="21"/>
              </w:rPr>
            </w:pPr>
            <w:r>
              <w:rPr>
                <w:rFonts w:ascii="宋体" w:hAnsi="宋体" w:cs="宋体"/>
                <w:szCs w:val="21"/>
              </w:rPr>
              <w:t>评价为差（项目方案不完善，内容和安排考虑欠周到，没有响应用户需求或未提供的）的不</w:t>
            </w:r>
            <w:r>
              <w:rPr>
                <w:rFonts w:hint="eastAsia" w:ascii="宋体" w:hAnsi="宋体" w:cs="宋体"/>
                <w:szCs w:val="21"/>
              </w:rPr>
              <w:t>加</w:t>
            </w:r>
            <w:r>
              <w:rPr>
                <w:rFonts w:ascii="宋体" w:hAnsi="宋体" w:cs="宋体"/>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restart"/>
            <w:tcBorders>
              <w:top w:val="single" w:color="000000" w:sz="8" w:space="0"/>
              <w:left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idowControl/>
              <w:wordWrap w:val="0"/>
              <w:jc w:val="center"/>
              <w:textAlignment w:val="top"/>
              <w:rPr>
                <w:rFonts w:ascii="宋体" w:hAnsi="宋体" w:cs="宋体"/>
                <w:szCs w:val="21"/>
              </w:rPr>
            </w:pPr>
            <w:r>
              <w:rPr>
                <w:rFonts w:hint="eastAsia" w:ascii="宋体" w:hAnsi="宋体" w:cs="宋体"/>
                <w:kern w:val="0"/>
                <w:szCs w:val="21"/>
                <w:lang w:val="en-US" w:eastAsia="zh-CN" w:bidi="ar"/>
              </w:rPr>
              <w:t>2</w:t>
            </w:r>
          </w:p>
        </w:tc>
        <w:tc>
          <w:tcPr>
            <w:tcW w:w="166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ordWrap w:val="0"/>
              <w:spacing w:line="360" w:lineRule="auto"/>
              <w:jc w:val="center"/>
              <w:rPr>
                <w:rFonts w:ascii="宋体" w:hAnsi="宋体" w:cs="宋体"/>
                <w:szCs w:val="21"/>
              </w:rPr>
            </w:pPr>
            <w:r>
              <w:rPr>
                <w:rFonts w:hint="eastAsia" w:ascii="宋体" w:hAnsi="宋体" w:cs="宋体"/>
                <w:szCs w:val="21"/>
              </w:rPr>
              <w:t>项目实施保障措施</w:t>
            </w:r>
          </w:p>
        </w:tc>
        <w:tc>
          <w:tcPr>
            <w:tcW w:w="78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ordWrap w:val="0"/>
              <w:spacing w:line="360" w:lineRule="auto"/>
              <w:jc w:val="center"/>
              <w:rPr>
                <w:rFonts w:ascii="宋体" w:hAnsi="宋体" w:cs="宋体"/>
                <w:szCs w:val="21"/>
              </w:rPr>
            </w:pPr>
            <w:r>
              <w:rPr>
                <w:rFonts w:hint="eastAsia" w:ascii="宋体" w:hAnsi="宋体" w:cs="宋体"/>
                <w:szCs w:val="21"/>
                <w:lang w:val="en-US" w:eastAsia="zh-CN"/>
              </w:rPr>
              <w:t>4</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jc w:val="left"/>
              <w:rPr>
                <w:rFonts w:ascii="宋体" w:hAnsi="宋体" w:cs="宋体"/>
                <w:b/>
                <w:bCs/>
                <w:szCs w:val="21"/>
              </w:rPr>
            </w:pPr>
            <w:r>
              <w:rPr>
                <w:rFonts w:hint="eastAsia" w:ascii="宋体" w:hAnsi="宋体" w:cs="宋体"/>
                <w:b/>
                <w:bCs/>
                <w:szCs w:val="21"/>
              </w:rPr>
              <w:t>考察内容：</w:t>
            </w:r>
          </w:p>
          <w:p>
            <w:pPr>
              <w:jc w:val="left"/>
              <w:rPr>
                <w:rFonts w:ascii="宋体" w:hAnsi="宋体" w:cs="宋体"/>
                <w:szCs w:val="21"/>
              </w:rPr>
            </w:pPr>
            <w:r>
              <w:rPr>
                <w:rFonts w:hint="eastAsia" w:ascii="宋体" w:hAnsi="宋体" w:cs="宋体"/>
                <w:szCs w:val="21"/>
              </w:rPr>
              <w:t>投标人提供项目实施保障措施方案中包括：</w:t>
            </w:r>
          </w:p>
          <w:p>
            <w:pPr>
              <w:jc w:val="left"/>
              <w:rPr>
                <w:rFonts w:ascii="宋体" w:hAnsi="宋体" w:cs="宋体"/>
                <w:szCs w:val="21"/>
              </w:rPr>
            </w:pPr>
            <w:r>
              <w:rPr>
                <w:rFonts w:hint="eastAsia" w:ascii="宋体" w:hAnsi="宋体" w:cs="宋体"/>
                <w:szCs w:val="21"/>
              </w:rPr>
              <w:t>（1）施工组织架构；</w:t>
            </w:r>
          </w:p>
          <w:p>
            <w:pPr>
              <w:jc w:val="left"/>
              <w:rPr>
                <w:rFonts w:ascii="宋体" w:hAnsi="宋体" w:cs="宋体"/>
                <w:szCs w:val="21"/>
              </w:rPr>
            </w:pPr>
            <w:r>
              <w:rPr>
                <w:rFonts w:hint="eastAsia" w:ascii="宋体" w:hAnsi="宋体" w:cs="宋体"/>
                <w:szCs w:val="21"/>
              </w:rPr>
              <w:t>（2）施工方案；</w:t>
            </w:r>
          </w:p>
          <w:p>
            <w:pPr>
              <w:rPr>
                <w:rFonts w:ascii="宋体" w:hAnsi="宋体" w:cs="宋体"/>
                <w:szCs w:val="21"/>
              </w:rPr>
            </w:pPr>
            <w:r>
              <w:rPr>
                <w:rFonts w:hint="eastAsia" w:ascii="宋体" w:hAnsi="宋体" w:cs="宋体"/>
                <w:szCs w:val="21"/>
              </w:rPr>
              <w:t>（3）进度计划；</w:t>
            </w:r>
          </w:p>
          <w:p>
            <w:pPr>
              <w:rPr>
                <w:rFonts w:ascii="宋体" w:hAnsi="宋体" w:cs="宋体"/>
                <w:szCs w:val="21"/>
              </w:rPr>
            </w:pPr>
            <w:r>
              <w:rPr>
                <w:rFonts w:hint="eastAsia" w:ascii="宋体" w:hAnsi="宋体" w:cs="宋体"/>
                <w:szCs w:val="21"/>
              </w:rPr>
              <w:t>（4）潜在安全隐患及安全保障措施。</w:t>
            </w:r>
          </w:p>
          <w:p>
            <w:pPr>
              <w:rPr>
                <w:rFonts w:ascii="宋体" w:hAnsi="宋体" w:cs="宋体"/>
                <w:b/>
                <w:bCs/>
                <w:szCs w:val="21"/>
              </w:rPr>
            </w:pPr>
            <w:r>
              <w:rPr>
                <w:rFonts w:ascii="宋体" w:hAnsi="宋体" w:cs="宋体"/>
                <w:b/>
                <w:bCs/>
                <w:szCs w:val="21"/>
              </w:rPr>
              <w:t>评审标准：</w:t>
            </w:r>
          </w:p>
          <w:p>
            <w:pPr>
              <w:rPr>
                <w:rFonts w:ascii="宋体" w:hAnsi="宋体" w:cs="宋体"/>
                <w:szCs w:val="21"/>
              </w:rPr>
            </w:pPr>
            <w:r>
              <w:rPr>
                <w:rFonts w:hint="eastAsia" w:ascii="宋体" w:hAnsi="宋体" w:cs="宋体"/>
                <w:szCs w:val="21"/>
              </w:rPr>
              <w:t>评审委员会根据招标文件的需求和投标文件的响应情况，进行评价及分档评分：</w:t>
            </w:r>
          </w:p>
          <w:p>
            <w:pPr>
              <w:rPr>
                <w:rFonts w:ascii="宋体" w:hAnsi="宋体" w:cs="宋体"/>
                <w:szCs w:val="21"/>
              </w:rPr>
            </w:pPr>
            <w:r>
              <w:rPr>
                <w:rFonts w:hint="eastAsia" w:ascii="宋体" w:hAnsi="宋体" w:cs="宋体"/>
                <w:szCs w:val="21"/>
              </w:rPr>
              <w:t>每满足以上任意一点得</w:t>
            </w:r>
            <w:r>
              <w:rPr>
                <w:rFonts w:hint="eastAsia" w:ascii="宋体" w:hAnsi="宋体" w:cs="宋体"/>
                <w:szCs w:val="21"/>
                <w:lang w:val="en-US" w:eastAsia="zh-CN"/>
              </w:rPr>
              <w:t>15</w:t>
            </w:r>
            <w:r>
              <w:rPr>
                <w:rFonts w:hint="eastAsia" w:ascii="宋体" w:hAnsi="宋体" w:cs="宋体"/>
                <w:szCs w:val="21"/>
              </w:rPr>
              <w:t>分，未满足不得分，本小项最高得</w:t>
            </w:r>
            <w:r>
              <w:rPr>
                <w:rFonts w:hint="eastAsia" w:ascii="宋体" w:hAnsi="宋体" w:cs="宋体"/>
                <w:szCs w:val="21"/>
                <w:lang w:val="en-US" w:eastAsia="zh-CN"/>
              </w:rPr>
              <w:t>6</w:t>
            </w:r>
            <w:r>
              <w:rPr>
                <w:rFonts w:hint="eastAsia" w:ascii="宋体" w:hAnsi="宋体" w:cs="宋体"/>
                <w:szCs w:val="21"/>
              </w:rPr>
              <w:t>0分。</w:t>
            </w:r>
          </w:p>
          <w:p>
            <w:pPr>
              <w:rPr>
                <w:rFonts w:ascii="宋体" w:hAnsi="宋体" w:cs="宋体"/>
                <w:szCs w:val="21"/>
              </w:rPr>
            </w:pPr>
            <w:r>
              <w:rPr>
                <w:rFonts w:hint="eastAsia" w:ascii="宋体" w:hAnsi="宋体" w:cs="宋体"/>
                <w:szCs w:val="21"/>
              </w:rPr>
              <w:t>在此基础上，专家根据各供应商的具体响应内容按照量化的评审因素指标进一步评审：</w:t>
            </w:r>
          </w:p>
          <w:p>
            <w:pPr>
              <w:rPr>
                <w:rFonts w:ascii="宋体" w:hAnsi="宋体" w:cs="宋体"/>
                <w:szCs w:val="21"/>
              </w:rPr>
            </w:pPr>
            <w:r>
              <w:rPr>
                <w:rFonts w:hint="eastAsia" w:ascii="宋体" w:hAnsi="宋体" w:cs="宋体"/>
                <w:szCs w:val="21"/>
              </w:rPr>
              <w:t xml:space="preserve">评审为优（施工组织方案契合项目需求、安全措施具体、内容具体详细、可操作性强）的加 </w:t>
            </w:r>
            <w:r>
              <w:rPr>
                <w:rFonts w:hint="eastAsia" w:ascii="宋体" w:hAnsi="宋体" w:cs="宋体"/>
                <w:szCs w:val="21"/>
                <w:lang w:val="en-US" w:eastAsia="zh-CN"/>
              </w:rPr>
              <w:t>4</w:t>
            </w:r>
            <w:r>
              <w:rPr>
                <w:rFonts w:hint="eastAsia" w:ascii="宋体" w:hAnsi="宋体" w:cs="宋体"/>
                <w:szCs w:val="21"/>
              </w:rPr>
              <w:t>0分；</w:t>
            </w:r>
          </w:p>
          <w:p>
            <w:pPr>
              <w:rPr>
                <w:rFonts w:ascii="宋体" w:hAnsi="宋体" w:cs="宋体"/>
                <w:szCs w:val="21"/>
              </w:rPr>
            </w:pPr>
            <w:r>
              <w:rPr>
                <w:rFonts w:hint="eastAsia" w:ascii="宋体" w:hAnsi="宋体" w:cs="宋体"/>
                <w:szCs w:val="21"/>
              </w:rPr>
              <w:t>评价为良（施工组织方案较契合项目需求、安全措施较具体、内容较具体详细、可操作性较强）的加</w:t>
            </w:r>
            <w:r>
              <w:rPr>
                <w:rFonts w:hint="eastAsia" w:ascii="宋体" w:hAnsi="宋体" w:cs="宋体"/>
                <w:szCs w:val="21"/>
                <w:lang w:val="en-US" w:eastAsia="zh-CN"/>
              </w:rPr>
              <w:t>20</w:t>
            </w:r>
            <w:r>
              <w:rPr>
                <w:rFonts w:hint="eastAsia" w:ascii="宋体" w:hAnsi="宋体" w:cs="宋体"/>
                <w:szCs w:val="21"/>
              </w:rPr>
              <w:t>分；</w:t>
            </w:r>
          </w:p>
          <w:p>
            <w:pPr>
              <w:rPr>
                <w:rFonts w:ascii="宋体" w:hAnsi="宋体" w:cs="宋体"/>
                <w:szCs w:val="21"/>
              </w:rPr>
            </w:pPr>
            <w:r>
              <w:rPr>
                <w:rFonts w:hint="eastAsia" w:ascii="宋体" w:hAnsi="宋体" w:cs="宋体"/>
                <w:szCs w:val="21"/>
              </w:rPr>
              <w:t>评价为中（施工组织方案基本满足项目需求、有相应安全措施举措、内容不全面、可操作性一般）的加 10分；</w:t>
            </w:r>
          </w:p>
          <w:p>
            <w:pPr>
              <w:rPr>
                <w:rFonts w:asciiTheme="minorEastAsia" w:hAnsiTheme="minorEastAsia" w:eastAsiaTheme="minorEastAsia" w:cstheme="minorEastAsia"/>
                <w:szCs w:val="21"/>
              </w:rPr>
            </w:pPr>
            <w:r>
              <w:rPr>
                <w:rFonts w:hint="eastAsia" w:ascii="宋体" w:hAnsi="宋体" w:cs="宋体"/>
                <w:szCs w:val="21"/>
              </w:rPr>
              <w:t>评价为差（施工组织方案不满足项目需求、缺乏相应安全措施举措、内容不全面、缺乏可操作性或没有响应用户需求或未提供的）的不加分。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left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idowControl/>
              <w:wordWrap w:val="0"/>
              <w:jc w:val="center"/>
              <w:textAlignment w:val="top"/>
              <w:rPr>
                <w:rFonts w:ascii="宋体" w:hAnsi="宋体"/>
                <w:szCs w:val="21"/>
              </w:rPr>
            </w:pPr>
            <w:r>
              <w:rPr>
                <w:rFonts w:hint="eastAsia" w:ascii="宋体" w:hAnsi="宋体" w:cs="宋体"/>
                <w:kern w:val="0"/>
                <w:szCs w:val="21"/>
                <w:lang w:val="en-US" w:eastAsia="zh-CN" w:bidi="ar"/>
              </w:rPr>
              <w:t>3</w:t>
            </w:r>
          </w:p>
        </w:tc>
        <w:tc>
          <w:tcPr>
            <w:tcW w:w="166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idowControl w:val="0"/>
              <w:spacing w:line="240" w:lineRule="exact"/>
              <w:jc w:val="center"/>
              <w:rPr>
                <w:rFonts w:ascii="宋体" w:hAnsi="宋体" w:cs="宋体"/>
                <w:kern w:val="0"/>
                <w:szCs w:val="21"/>
              </w:rPr>
            </w:pPr>
            <w:r>
              <w:rPr>
                <w:rFonts w:hint="eastAsia" w:ascii="宋体" w:hAnsi="宋体" w:eastAsia="宋体" w:cs="宋体"/>
                <w:sz w:val="21"/>
                <w:szCs w:val="21"/>
                <w:lang w:eastAsia="zh-CN"/>
              </w:rPr>
              <w:t>一般参数技术规格偏离情况</w:t>
            </w:r>
          </w:p>
        </w:tc>
        <w:tc>
          <w:tcPr>
            <w:tcW w:w="78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idowControl w:val="0"/>
              <w:spacing w:line="240" w:lineRule="exact"/>
              <w:jc w:val="center"/>
              <w:rPr>
                <w:rFonts w:ascii="宋体" w:hAnsi="宋体" w:cs="宋体"/>
                <w:szCs w:val="21"/>
              </w:rPr>
            </w:pPr>
            <w:r>
              <w:rPr>
                <w:rFonts w:hint="eastAsia" w:ascii="宋体" w:hAnsi="宋体" w:eastAsia="宋体" w:cs="宋体"/>
                <w:kern w:val="2"/>
                <w:sz w:val="21"/>
                <w:szCs w:val="21"/>
                <w:lang w:eastAsia="zh-CN"/>
              </w:rPr>
              <w:t>1</w:t>
            </w:r>
            <w:r>
              <w:rPr>
                <w:rFonts w:hint="eastAsia" w:ascii="宋体" w:hAnsi="宋体" w:cs="宋体"/>
                <w:kern w:val="2"/>
                <w:sz w:val="21"/>
                <w:szCs w:val="21"/>
                <w:lang w:val="en-US" w:eastAsia="zh-CN"/>
              </w:rPr>
              <w:t>2</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idowControl w:val="0"/>
              <w:spacing w:line="240" w:lineRule="auto"/>
              <w:jc w:val="left"/>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考察内容：</w:t>
            </w:r>
          </w:p>
          <w:p>
            <w:pPr>
              <w:widowControl w:val="0"/>
              <w:spacing w:line="240" w:lineRule="auto"/>
              <w:ind w:firstLine="420" w:firstLineChars="20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评审委员会根据《技术规格偏离表》（以下简称“偏离表”）响应情况进行打分，全部满足的得100分，一般参数每负偏离一项扣</w:t>
            </w:r>
            <w:r>
              <w:rPr>
                <w:rFonts w:hint="eastAsia" w:ascii="宋体" w:hAnsi="宋体" w:cs="宋体"/>
                <w:kern w:val="2"/>
                <w:sz w:val="21"/>
                <w:szCs w:val="21"/>
                <w:lang w:val="en-US" w:eastAsia="zh-CN"/>
              </w:rPr>
              <w:t>1</w:t>
            </w:r>
            <w:r>
              <w:rPr>
                <w:rFonts w:hint="eastAsia" w:ascii="宋体" w:hAnsi="宋体" w:eastAsia="宋体" w:cs="宋体"/>
                <w:kern w:val="2"/>
                <w:sz w:val="21"/>
                <w:szCs w:val="21"/>
                <w:lang w:eastAsia="zh-CN"/>
              </w:rPr>
              <w:t>分扣完为止。</w:t>
            </w:r>
          </w:p>
          <w:p>
            <w:pPr>
              <w:widowControl w:val="0"/>
              <w:spacing w:line="240" w:lineRule="auto"/>
              <w:jc w:val="left"/>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证明文件：</w:t>
            </w:r>
          </w:p>
          <w:p>
            <w:pPr>
              <w:widowControl w:val="0"/>
              <w:spacing w:line="240" w:lineRule="auto"/>
              <w:ind w:firstLine="420" w:firstLineChars="200"/>
              <w:jc w:val="left"/>
              <w:rPr>
                <w:rFonts w:ascii="宋体" w:hAnsi="宋体" w:cs="宋体"/>
                <w:szCs w:val="21"/>
              </w:rPr>
            </w:pPr>
            <w:r>
              <w:rPr>
                <w:rFonts w:hint="eastAsia" w:ascii="宋体" w:hAnsi="宋体" w:eastAsia="宋体" w:cs="宋体"/>
                <w:kern w:val="2"/>
                <w:sz w:val="21"/>
                <w:szCs w:val="21"/>
                <w:lang w:eastAsia="zh-CN"/>
              </w:rPr>
              <w:t>偏离表应如实对应填写所投产品的具体参数。投标人的“技术规格响应情况”“技术规格偏离情况”等与客观实际保持一致，响应不实且情节严重的，经查实，将依法记入供应商诚信档案或受到行政处罚。未提供或未按要求提供或提供的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left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idowControl/>
              <w:wordWrap w:val="0"/>
              <w:jc w:val="center"/>
              <w:textAlignment w:val="top"/>
              <w:rPr>
                <w:rFonts w:ascii="宋体" w:hAnsi="宋体" w:eastAsiaTheme="minorEastAsia"/>
                <w:szCs w:val="21"/>
              </w:rPr>
            </w:pPr>
            <w:r>
              <w:rPr>
                <w:rFonts w:hint="eastAsia" w:ascii="宋体" w:hAnsi="宋体" w:cs="宋体"/>
                <w:kern w:val="0"/>
                <w:szCs w:val="21"/>
                <w:lang w:val="en-US" w:eastAsia="zh-CN" w:bidi="ar"/>
              </w:rPr>
              <w:t>4</w:t>
            </w:r>
          </w:p>
        </w:tc>
        <w:tc>
          <w:tcPr>
            <w:tcW w:w="166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idowControl w:val="0"/>
              <w:spacing w:line="240" w:lineRule="exact"/>
              <w:jc w:val="center"/>
              <w:rPr>
                <w:rFonts w:ascii="宋体" w:hAnsi="宋体" w:cs="宋体"/>
                <w:kern w:val="0"/>
                <w:szCs w:val="21"/>
              </w:rPr>
            </w:pPr>
            <w:r>
              <w:rPr>
                <w:rFonts w:hint="eastAsia" w:ascii="宋体" w:hAnsi="宋体" w:eastAsia="宋体" w:cs="宋体"/>
                <w:sz w:val="21"/>
                <w:szCs w:val="21"/>
                <w:lang w:eastAsia="zh-CN"/>
              </w:rPr>
              <w:t>重点参数技术规格偏离情况</w:t>
            </w:r>
          </w:p>
        </w:tc>
        <w:tc>
          <w:tcPr>
            <w:tcW w:w="78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idowControl w:val="0"/>
              <w:spacing w:line="240" w:lineRule="exact"/>
              <w:jc w:val="center"/>
              <w:rPr>
                <w:rFonts w:ascii="宋体" w:hAnsi="宋体" w:cs="宋体" w:eastAsiaTheme="minorEastAsia"/>
                <w:szCs w:val="21"/>
              </w:rPr>
            </w:pPr>
            <w:r>
              <w:rPr>
                <w:rFonts w:hint="eastAsia" w:ascii="宋体" w:hAnsi="宋体" w:cs="宋体"/>
                <w:kern w:val="2"/>
                <w:sz w:val="21"/>
                <w:szCs w:val="21"/>
                <w:lang w:val="en-US" w:eastAsia="zh-CN"/>
              </w:rPr>
              <w:t>39</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widowControl w:val="0"/>
              <w:kinsoku/>
              <w:overflowPunct/>
              <w:topLinePunct w:val="0"/>
              <w:autoSpaceDE/>
              <w:autoSpaceDN/>
              <w:bidi w:val="0"/>
              <w:adjustRightInd/>
              <w:snapToGrid/>
              <w:spacing w:line="360" w:lineRule="exact"/>
              <w:jc w:val="left"/>
              <w:textAlignment w:val="auto"/>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考察内容：</w:t>
            </w:r>
          </w:p>
          <w:p>
            <w:pPr>
              <w:keepNext w:val="0"/>
              <w:keepLines w:val="0"/>
              <w:pageBreakBefore w:val="0"/>
              <w:widowControl w:val="0"/>
              <w:kinsoku/>
              <w:overflowPunct/>
              <w:topLinePunct w:val="0"/>
              <w:autoSpaceDE/>
              <w:autoSpaceDN/>
              <w:bidi w:val="0"/>
              <w:adjustRightInd/>
              <w:snapToGrid/>
              <w:spacing w:line="240" w:lineRule="auto"/>
              <w:ind w:firstLine="420" w:firstLineChars="200"/>
              <w:jc w:val="left"/>
              <w:textAlignment w:val="auto"/>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评审委员会根据《技术规格偏离表》（以下简称“偏离表”）响应情况进行打分，全部满足的得100分，重点技术参数▲项每负偏离一项扣</w:t>
            </w:r>
            <w:r>
              <w:rPr>
                <w:rFonts w:hint="eastAsia" w:ascii="宋体" w:hAnsi="宋体" w:cs="宋体"/>
                <w:kern w:val="2"/>
                <w:sz w:val="21"/>
                <w:szCs w:val="21"/>
                <w:lang w:val="en-US" w:eastAsia="zh-CN"/>
              </w:rPr>
              <w:t>8</w:t>
            </w:r>
            <w:r>
              <w:rPr>
                <w:rFonts w:hint="eastAsia" w:ascii="宋体" w:hAnsi="宋体" w:eastAsia="宋体" w:cs="宋体"/>
                <w:kern w:val="2"/>
                <w:sz w:val="21"/>
                <w:szCs w:val="21"/>
                <w:lang w:eastAsia="zh-CN"/>
              </w:rPr>
              <w:t>分。扣完为止。</w:t>
            </w:r>
          </w:p>
          <w:p>
            <w:pPr>
              <w:keepNext w:val="0"/>
              <w:keepLines w:val="0"/>
              <w:pageBreakBefore w:val="0"/>
              <w:widowControl w:val="0"/>
              <w:kinsoku/>
              <w:overflowPunct/>
              <w:topLinePunct w:val="0"/>
              <w:autoSpaceDE/>
              <w:autoSpaceDN/>
              <w:bidi w:val="0"/>
              <w:adjustRightInd/>
              <w:snapToGrid/>
              <w:spacing w:line="360" w:lineRule="exact"/>
              <w:jc w:val="left"/>
              <w:textAlignment w:val="auto"/>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证明文件：</w:t>
            </w:r>
          </w:p>
          <w:p>
            <w:pPr>
              <w:widowControl w:val="0"/>
              <w:spacing w:line="240" w:lineRule="auto"/>
              <w:ind w:firstLine="420" w:firstLineChars="200"/>
              <w:jc w:val="left"/>
              <w:rPr>
                <w:rFonts w:ascii="宋体" w:hAnsi="宋体" w:cs="宋体"/>
                <w:szCs w:val="21"/>
              </w:rPr>
            </w:pPr>
            <w:r>
              <w:rPr>
                <w:rFonts w:hint="eastAsia" w:ascii="宋体" w:hAnsi="宋体" w:eastAsia="宋体" w:cs="宋体"/>
                <w:kern w:val="2"/>
                <w:sz w:val="21"/>
                <w:szCs w:val="21"/>
                <w:lang w:eastAsia="zh-CN"/>
              </w:rPr>
              <w:t>偏离表应如实对应填写所投产品的具体参数。如要求提供“厂家网站截图/说明书/厂家出具的参数文件/检验报告”等证明资料的，需按要求提供相关证明资料；提供的证明资料与所填写内容不一致的，以证明资料为准。证明材料不能满足招标要求的，该项按负偏离处理。投标人的“技术规格响应情况”“技术规格偏离情况”等与客观实际保持一致，响应不实且情节严重的，经查实，将依法记入供应商诚信档案或受到行政处罚。未提供或未按要求提供或提供的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restart"/>
            <w:tcBorders>
              <w:top w:val="single" w:color="000000" w:sz="8" w:space="0"/>
              <w:left w:val="single" w:color="000000" w:sz="8" w:space="0"/>
              <w:right w:val="single" w:color="000000" w:sz="8" w:space="0"/>
            </w:tcBorders>
            <w:shd w:val="clear" w:color="auto" w:fill="FFFFFF" w:themeFill="background1"/>
          </w:tcPr>
          <w:p>
            <w:pPr>
              <w:snapToGrid w:val="0"/>
              <w:jc w:val="center"/>
              <w:rPr>
                <w:rFonts w:ascii="宋体" w:hAnsi="宋体" w:cs="宋体"/>
                <w:b/>
                <w:bCs/>
                <w:szCs w:val="21"/>
              </w:rPr>
            </w:pPr>
            <w:r>
              <w:rPr>
                <w:rFonts w:hint="eastAsia" w:ascii="宋体" w:hAnsi="宋体" w:cs="宋体"/>
                <w:b/>
                <w:bCs/>
                <w:szCs w:val="21"/>
              </w:rPr>
              <w:t>3</w:t>
            </w:r>
          </w:p>
        </w:tc>
        <w:tc>
          <w:tcPr>
            <w:tcW w:w="293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jc w:val="center"/>
              <w:rPr>
                <w:rFonts w:ascii="宋体" w:hAnsi="宋体" w:cs="宋体"/>
                <w:b/>
                <w:bCs/>
                <w:szCs w:val="21"/>
              </w:rPr>
            </w:pPr>
            <w:r>
              <w:rPr>
                <w:rFonts w:hint="eastAsia" w:asciiTheme="minorEastAsia" w:hAnsiTheme="minorEastAsia"/>
                <w:b/>
                <w:bCs/>
                <w:szCs w:val="21"/>
              </w:rPr>
              <w:t>商务</w:t>
            </w:r>
            <w:r>
              <w:rPr>
                <w:rFonts w:hint="eastAsia" w:ascii="宋体" w:hAnsi="宋体" w:cs="宋体"/>
                <w:b/>
                <w:bCs/>
                <w:szCs w:val="21"/>
              </w:rPr>
              <w:t>部分</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jc w:val="center"/>
              <w:rPr>
                <w:rFonts w:hint="eastAsia" w:ascii="宋体" w:hAnsi="宋体" w:cs="宋体" w:eastAsiaTheme="minorEastAsia"/>
                <w:b/>
                <w:bCs/>
                <w:szCs w:val="21"/>
                <w:lang w:eastAsia="zh-CN"/>
              </w:rPr>
            </w:pPr>
            <w:r>
              <w:rPr>
                <w:rFonts w:hint="eastAsia" w:ascii="宋体" w:hAnsi="宋体" w:cs="宋体"/>
                <w:b/>
                <w:bCs/>
                <w:szCs w:val="21"/>
                <w:lang w:val="en-US" w:eastAsia="zh-CN"/>
              </w:rPr>
              <w:t>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left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ascii="宋体" w:hAnsi="宋体" w:cs="宋体"/>
                <w:szCs w:val="21"/>
              </w:rPr>
            </w:pPr>
            <w:r>
              <w:rPr>
                <w:rFonts w:hint="eastAsia" w:ascii="宋体" w:hAnsi="宋体" w:cs="宋体"/>
                <w:szCs w:val="21"/>
              </w:rPr>
              <w:t>序号</w:t>
            </w:r>
          </w:p>
        </w:tc>
        <w:tc>
          <w:tcPr>
            <w:tcW w:w="166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ascii="宋体" w:hAnsi="宋体" w:cs="宋体"/>
                <w:szCs w:val="21"/>
              </w:rPr>
            </w:pPr>
            <w:r>
              <w:rPr>
                <w:rFonts w:hint="eastAsia" w:ascii="宋体" w:hAnsi="宋体" w:cs="宋体"/>
                <w:szCs w:val="21"/>
              </w:rPr>
              <w:t>评分因素</w:t>
            </w:r>
          </w:p>
        </w:tc>
        <w:tc>
          <w:tcPr>
            <w:tcW w:w="78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ascii="宋体" w:hAnsi="宋体" w:cs="宋体"/>
                <w:szCs w:val="21"/>
              </w:rPr>
            </w:pPr>
            <w:r>
              <w:rPr>
                <w:rFonts w:hint="eastAsia" w:ascii="宋体" w:hAnsi="宋体" w:cs="宋体"/>
                <w:szCs w:val="21"/>
              </w:rPr>
              <w:t>权重</w:t>
            </w:r>
            <w:r>
              <w:rPr>
                <w:rFonts w:hint="eastAsia" w:ascii="宋体" w:hAnsi="宋体" w:cs="宋体"/>
                <w:bCs/>
                <w:szCs w:val="21"/>
              </w:rPr>
              <w:t>（%）</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ascii="宋体" w:hAnsi="宋体" w:cs="宋体"/>
                <w:szCs w:val="21"/>
              </w:rPr>
            </w:pPr>
            <w:r>
              <w:rPr>
                <w:rFonts w:hint="eastAsia" w:ascii="宋体" w:hAnsi="宋体" w:cs="宋体"/>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left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pageBreakBefore w:val="0"/>
              <w:kinsoku/>
              <w:overflowPunct/>
              <w:topLinePunct w:val="0"/>
              <w:autoSpaceDE/>
              <w:autoSpaceDN/>
              <w:bidi w:val="0"/>
              <w:adjustRightInd/>
              <w:spacing w:beforeAutospacing="0" w:afterAutospacing="0" w:line="360" w:lineRule="auto"/>
              <w:ind w:left="0" w:leftChars="0" w:right="0" w:rightChars="0" w:firstLine="0" w:firstLineChars="0"/>
              <w:jc w:val="center"/>
              <w:rPr>
                <w:rFonts w:ascii="宋体" w:hAnsi="宋体" w:cs="宋体"/>
                <w:szCs w:val="21"/>
              </w:rPr>
            </w:pPr>
            <w:r>
              <w:rPr>
                <w:rFonts w:hint="eastAsia" w:ascii="宋体" w:hAnsi="宋体" w:cs="宋体"/>
                <w:sz w:val="21"/>
                <w:szCs w:val="21"/>
                <w:highlight w:val="none"/>
                <w:lang w:val="en-US" w:eastAsia="zh-CN"/>
              </w:rPr>
              <w:t>1</w:t>
            </w:r>
          </w:p>
        </w:tc>
        <w:tc>
          <w:tcPr>
            <w:tcW w:w="166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360" w:lineRule="auto"/>
              <w:jc w:val="center"/>
              <w:rPr>
                <w:rFonts w:ascii="宋体" w:hAnsi="宋体" w:cs="宋体"/>
                <w:szCs w:val="21"/>
              </w:rPr>
            </w:pPr>
            <w:r>
              <w:rPr>
                <w:rFonts w:hint="eastAsia" w:ascii="宋体" w:hAnsi="宋体" w:cs="宋体"/>
                <w:szCs w:val="21"/>
              </w:rPr>
              <w:t>免费保修期内售后服务条款偏离情况</w:t>
            </w:r>
          </w:p>
        </w:tc>
        <w:tc>
          <w:tcPr>
            <w:tcW w:w="78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360" w:lineRule="auto"/>
              <w:jc w:val="center"/>
              <w:rPr>
                <w:rFonts w:ascii="宋体" w:hAnsi="宋体" w:cs="宋体"/>
                <w:szCs w:val="21"/>
              </w:rPr>
            </w:pPr>
            <w:r>
              <w:rPr>
                <w:rFonts w:hint="eastAsia" w:ascii="宋体" w:hAnsi="宋体" w:cs="宋体"/>
                <w:szCs w:val="21"/>
                <w:lang w:val="en-US" w:eastAsia="zh-CN"/>
              </w:rPr>
              <w:t>3</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rPr>
                <w:rFonts w:ascii="宋体" w:hAnsi="宋体" w:cs="宋体"/>
                <w:b/>
                <w:bCs/>
                <w:szCs w:val="21"/>
              </w:rPr>
            </w:pPr>
            <w:r>
              <w:rPr>
                <w:rFonts w:hint="eastAsia" w:ascii="宋体" w:hAnsi="宋体" w:cs="宋体"/>
                <w:b/>
                <w:bCs/>
                <w:szCs w:val="21"/>
              </w:rPr>
              <w:t>考察内容：</w:t>
            </w:r>
          </w:p>
          <w:p>
            <w:pPr>
              <w:rPr>
                <w:rFonts w:ascii="宋体" w:hAnsi="宋体" w:cs="宋体" w:eastAsiaTheme="minorEastAsia"/>
                <w:szCs w:val="21"/>
              </w:rPr>
            </w:pPr>
            <w:r>
              <w:rPr>
                <w:rFonts w:hint="eastAsia"/>
                <w:szCs w:val="21"/>
              </w:rPr>
              <w:t>投标人应如实填写</w:t>
            </w:r>
            <w:r>
              <w:rPr>
                <w:rFonts w:hint="eastAsia" w:ascii="宋体" w:hAnsi="宋体" w:cs="宋体"/>
                <w:szCs w:val="21"/>
              </w:rPr>
              <w:t>商务要求偏离表（免费保修期内售后服务条款偏离情况），评审委员会根据响应情况进行打分，全部满足要求的得100分，实质性条款除外，每负偏离一项扣50分，扣完为止。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left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pageBreakBefore w:val="0"/>
              <w:kinsoku/>
              <w:overflowPunct/>
              <w:topLinePunct w:val="0"/>
              <w:autoSpaceDE/>
              <w:autoSpaceDN/>
              <w:bidi w:val="0"/>
              <w:adjustRightInd/>
              <w:spacing w:beforeAutospacing="0" w:afterAutospacing="0" w:line="360" w:lineRule="auto"/>
              <w:ind w:left="0" w:leftChars="0" w:right="0" w:rightChars="0" w:firstLine="0" w:firstLineChars="0"/>
              <w:jc w:val="center"/>
              <w:rPr>
                <w:rFonts w:ascii="宋体" w:hAnsi="宋体" w:cs="宋体"/>
                <w:szCs w:val="21"/>
              </w:rPr>
            </w:pPr>
            <w:r>
              <w:rPr>
                <w:rFonts w:hint="eastAsia" w:ascii="宋体" w:hAnsi="宋体" w:cs="宋体"/>
                <w:sz w:val="21"/>
                <w:szCs w:val="21"/>
                <w:highlight w:val="none"/>
                <w:lang w:val="en-US" w:eastAsia="zh-CN"/>
              </w:rPr>
              <w:t>2</w:t>
            </w:r>
          </w:p>
        </w:tc>
        <w:tc>
          <w:tcPr>
            <w:tcW w:w="166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360" w:lineRule="auto"/>
              <w:jc w:val="center"/>
              <w:rPr>
                <w:rFonts w:ascii="宋体" w:hAnsi="宋体"/>
                <w:szCs w:val="21"/>
              </w:rPr>
            </w:pPr>
            <w:r>
              <w:rPr>
                <w:rFonts w:hint="eastAsia" w:ascii="宋体" w:hAnsi="宋体" w:cs="宋体"/>
                <w:szCs w:val="21"/>
              </w:rPr>
              <w:t>免费保修期外售后服务条款偏离情况</w:t>
            </w:r>
          </w:p>
        </w:tc>
        <w:tc>
          <w:tcPr>
            <w:tcW w:w="78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360" w:lineRule="auto"/>
              <w:jc w:val="center"/>
              <w:rPr>
                <w:rFonts w:ascii="宋体" w:hAnsi="宋体"/>
                <w:szCs w:val="21"/>
              </w:rPr>
            </w:pPr>
            <w:r>
              <w:rPr>
                <w:rFonts w:hint="eastAsia" w:ascii="宋体" w:hAnsi="宋体" w:cs="宋体"/>
                <w:szCs w:val="21"/>
              </w:rPr>
              <w:t>2</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rPr>
                <w:rFonts w:ascii="宋体" w:hAnsi="宋体" w:cs="宋体"/>
                <w:b/>
                <w:bCs/>
                <w:szCs w:val="21"/>
              </w:rPr>
            </w:pPr>
            <w:r>
              <w:rPr>
                <w:rFonts w:hint="eastAsia" w:ascii="宋体" w:hAnsi="宋体" w:cs="宋体"/>
                <w:b/>
                <w:bCs/>
                <w:szCs w:val="21"/>
              </w:rPr>
              <w:t>考察内容：</w:t>
            </w:r>
          </w:p>
          <w:p>
            <w:pPr>
              <w:rPr>
                <w:szCs w:val="20"/>
              </w:rPr>
            </w:pPr>
            <w:r>
              <w:rPr>
                <w:rFonts w:hint="eastAsia" w:ascii="宋体" w:hAnsi="宋体" w:cs="宋体"/>
                <w:szCs w:val="21"/>
              </w:rPr>
              <w:t>投标人应如实填写商务要求偏离表（免费保修期外售后服务条款偏离情况），评审委员会根据响应情况进行打分，全部满足要求的得100分，否则不得分。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tcBorders>
              <w:left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pageBreakBefore w:val="0"/>
              <w:kinsoku/>
              <w:overflowPunct/>
              <w:topLinePunct w:val="0"/>
              <w:autoSpaceDE/>
              <w:autoSpaceDN/>
              <w:bidi w:val="0"/>
              <w:adjustRightInd/>
              <w:spacing w:beforeAutospacing="0" w:afterAutospacing="0" w:line="240" w:lineRule="auto"/>
              <w:ind w:left="0" w:leftChars="0" w:right="0" w:rightChars="0" w:firstLine="0" w:firstLineChars="0"/>
              <w:jc w:val="center"/>
              <w:rPr>
                <w:rFonts w:ascii="宋体" w:hAnsi="宋体" w:cs="宋体"/>
                <w:szCs w:val="21"/>
              </w:rPr>
            </w:pPr>
            <w:r>
              <w:rPr>
                <w:rFonts w:hint="eastAsia" w:ascii="宋体" w:hAnsi="宋体" w:cs="宋体"/>
                <w:sz w:val="21"/>
                <w:szCs w:val="21"/>
                <w:highlight w:val="none"/>
                <w:lang w:val="en-US" w:eastAsia="zh-CN"/>
              </w:rPr>
              <w:t>3</w:t>
            </w:r>
          </w:p>
        </w:tc>
        <w:tc>
          <w:tcPr>
            <w:tcW w:w="166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pageBreakBefore w:val="0"/>
              <w:kinsoku/>
              <w:overflowPunct/>
              <w:topLinePunct w:val="0"/>
              <w:autoSpaceDE/>
              <w:autoSpaceDN/>
              <w:bidi w:val="0"/>
              <w:adjustRightInd/>
              <w:spacing w:beforeAutospacing="0" w:afterAutospacing="0" w:line="360" w:lineRule="auto"/>
              <w:ind w:left="0" w:leftChars="0" w:right="0" w:rightChars="0" w:firstLine="0" w:firstLineChars="0"/>
              <w:jc w:val="center"/>
              <w:rPr>
                <w:rFonts w:ascii="宋体" w:hAnsi="宋体" w:eastAsiaTheme="minorEastAsia"/>
                <w:szCs w:val="21"/>
              </w:rPr>
            </w:pPr>
            <w:r>
              <w:rPr>
                <w:rFonts w:hint="eastAsia" w:ascii="宋体" w:hAnsi="宋体" w:eastAsia="宋体" w:cs="宋体"/>
                <w:sz w:val="21"/>
                <w:szCs w:val="21"/>
                <w:highlight w:val="none"/>
              </w:rPr>
              <w:t>同类项目业绩</w:t>
            </w:r>
          </w:p>
        </w:tc>
        <w:tc>
          <w:tcPr>
            <w:tcW w:w="78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pageBreakBefore w:val="0"/>
              <w:kinsoku/>
              <w:overflowPunct/>
              <w:topLinePunct w:val="0"/>
              <w:autoSpaceDE/>
              <w:autoSpaceDN/>
              <w:bidi w:val="0"/>
              <w:adjustRightInd/>
              <w:spacing w:beforeAutospacing="0" w:afterAutospacing="0" w:line="360" w:lineRule="auto"/>
              <w:ind w:left="0" w:leftChars="0" w:right="0" w:rightChars="0" w:firstLine="0" w:firstLineChars="0"/>
              <w:jc w:val="center"/>
              <w:rPr>
                <w:rFonts w:ascii="宋体" w:hAnsi="宋体" w:cs="宋体"/>
                <w:szCs w:val="21"/>
              </w:rPr>
            </w:pPr>
            <w:r>
              <w:rPr>
                <w:rFonts w:hint="eastAsia" w:ascii="宋体" w:hAnsi="宋体" w:cs="宋体"/>
                <w:sz w:val="21"/>
                <w:szCs w:val="21"/>
                <w:highlight w:val="none"/>
                <w:lang w:val="en-US" w:eastAsia="zh-CN"/>
              </w:rPr>
              <w:t>2</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widowControl w:val="0"/>
              <w:kinsoku/>
              <w:overflowPunct/>
              <w:topLinePunct w:val="0"/>
              <w:autoSpaceDE/>
              <w:autoSpaceDN/>
              <w:bidi w:val="0"/>
              <w:adjustRightInd/>
              <w:snapToGrid/>
              <w:spacing w:beforeAutospacing="0" w:afterAutospacing="0" w:line="240" w:lineRule="auto"/>
              <w:ind w:left="0" w:leftChars="0" w:right="0" w:firstLine="0" w:firstLineChars="0"/>
              <w:jc w:val="both"/>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考察内容：</w:t>
            </w:r>
          </w:p>
          <w:p>
            <w:pPr>
              <w:keepNext w:val="0"/>
              <w:keepLines w:val="0"/>
              <w:pageBreakBefore w:val="0"/>
              <w:widowControl w:val="0"/>
              <w:kinsoku/>
              <w:overflowPunct/>
              <w:topLinePunct w:val="0"/>
              <w:autoSpaceDE/>
              <w:autoSpaceDN/>
              <w:bidi w:val="0"/>
              <w:adjustRightInd/>
              <w:snapToGrid/>
              <w:spacing w:beforeAutospacing="0" w:afterAutospacing="0" w:line="240" w:lineRule="auto"/>
              <w:ind w:left="0" w:leftChars="0" w:right="0" w:firstLine="0" w:firstLineChars="0"/>
              <w:jc w:val="both"/>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2023</w:t>
            </w:r>
            <w:r>
              <w:rPr>
                <w:rFonts w:hint="eastAsia" w:ascii="宋体" w:hAnsi="宋体" w:eastAsia="宋体" w:cs="宋体"/>
                <w:sz w:val="21"/>
                <w:szCs w:val="21"/>
                <w:highlight w:val="none"/>
              </w:rPr>
              <w:t>年1月1日至本项目投标截止之日（以合同签订时间为准），投标人每提供1个</w:t>
            </w:r>
            <w:r>
              <w:rPr>
                <w:rFonts w:hint="eastAsia" w:ascii="宋体" w:hAnsi="宋体" w:cs="宋体"/>
                <w:b/>
                <w:szCs w:val="21"/>
              </w:rPr>
              <w:t>学校</w:t>
            </w:r>
            <w:r>
              <w:rPr>
                <w:rFonts w:hint="eastAsia" w:ascii="宋体" w:hAnsi="宋体" w:cs="宋体"/>
                <w:b/>
                <w:szCs w:val="21"/>
                <w:lang w:val="en-US" w:eastAsia="zh-CN"/>
              </w:rPr>
              <w:t>功能室设备采购</w:t>
            </w:r>
            <w:r>
              <w:rPr>
                <w:rFonts w:hint="eastAsia" w:ascii="宋体" w:hAnsi="宋体" w:eastAsia="宋体" w:cs="宋体"/>
                <w:sz w:val="21"/>
                <w:szCs w:val="21"/>
                <w:highlight w:val="none"/>
              </w:rPr>
              <w:t>类业绩的得</w:t>
            </w:r>
            <w:r>
              <w:rPr>
                <w:rFonts w:hint="eastAsia" w:ascii="宋体" w:hAnsi="宋体" w:cs="宋体"/>
                <w:sz w:val="21"/>
                <w:szCs w:val="21"/>
                <w:highlight w:val="none"/>
                <w:lang w:val="en-US" w:eastAsia="zh-CN"/>
              </w:rPr>
              <w:t>50</w:t>
            </w:r>
            <w:r>
              <w:rPr>
                <w:rFonts w:hint="eastAsia" w:ascii="宋体" w:hAnsi="宋体" w:eastAsia="宋体" w:cs="宋体"/>
                <w:sz w:val="21"/>
                <w:szCs w:val="21"/>
                <w:highlight w:val="none"/>
              </w:rPr>
              <w:t>分，最高得100分，原件备查。</w:t>
            </w:r>
          </w:p>
          <w:p>
            <w:pPr>
              <w:keepNext w:val="0"/>
              <w:keepLines w:val="0"/>
              <w:pageBreakBefore w:val="0"/>
              <w:widowControl w:val="0"/>
              <w:kinsoku/>
              <w:wordWrap w:val="0"/>
              <w:overflowPunct/>
              <w:topLinePunct w:val="0"/>
              <w:autoSpaceDE/>
              <w:autoSpaceDN/>
              <w:bidi w:val="0"/>
              <w:adjustRightInd/>
              <w:snapToGrid/>
              <w:spacing w:beforeAutospacing="0" w:afterAutospacing="0" w:line="240" w:lineRule="auto"/>
              <w:ind w:left="0" w:leftChars="0" w:right="0" w:firstLine="0" w:firstLineChars="0"/>
              <w:jc w:val="both"/>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证明文件：</w:t>
            </w:r>
          </w:p>
          <w:p>
            <w:pPr>
              <w:keepNext w:val="0"/>
              <w:keepLines w:val="0"/>
              <w:pageBreakBefore w:val="0"/>
              <w:widowControl w:val="0"/>
              <w:kinsoku/>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ascii="宋体" w:hAnsi="宋体" w:cs="宋体"/>
                <w:szCs w:val="21"/>
              </w:rPr>
            </w:pPr>
            <w:r>
              <w:rPr>
                <w:rFonts w:hint="eastAsia" w:ascii="宋体" w:hAnsi="宋体" w:eastAsia="宋体" w:cs="宋体"/>
                <w:sz w:val="21"/>
                <w:szCs w:val="21"/>
                <w:highlight w:val="none"/>
                <w:lang w:eastAsia="zh-CN"/>
              </w:rPr>
              <w:t>需同时提供：①经验项目合同关键页（含签订合同双方的单位名称、合同项目名称、含签订合同双方的落款盖章、签订日期的关键页）；②项目验收合格的验收报告（加盖甲方公章或业务章）（未提供或未按要求提供或提供的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jc w:val="center"/>
              <w:rPr>
                <w:rFonts w:ascii="宋体" w:hAnsi="宋体" w:cs="宋体"/>
                <w:b/>
                <w:bCs/>
                <w:szCs w:val="21"/>
              </w:rPr>
            </w:pPr>
            <w:r>
              <w:rPr>
                <w:rFonts w:hint="eastAsia" w:ascii="宋体" w:hAnsi="宋体" w:cs="宋体"/>
                <w:b/>
                <w:bCs/>
                <w:szCs w:val="21"/>
              </w:rPr>
              <w:t>4</w:t>
            </w:r>
          </w:p>
        </w:tc>
        <w:tc>
          <w:tcPr>
            <w:tcW w:w="293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jc w:val="center"/>
              <w:rPr>
                <w:rFonts w:ascii="宋体" w:hAnsi="宋体" w:cs="宋体"/>
                <w:b/>
                <w:bCs/>
                <w:szCs w:val="21"/>
              </w:rPr>
            </w:pPr>
            <w:r>
              <w:rPr>
                <w:rFonts w:hint="eastAsia" w:ascii="宋体" w:hAnsi="宋体" w:cs="宋体"/>
                <w:b/>
                <w:bCs/>
                <w:szCs w:val="21"/>
              </w:rPr>
              <w:t>其他部分</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jc w:val="center"/>
              <w:rPr>
                <w:rFonts w:ascii="宋体" w:hAnsi="宋体" w:cs="宋体"/>
                <w:b/>
                <w:bCs/>
                <w:szCs w:val="21"/>
              </w:rPr>
            </w:pPr>
            <w:r>
              <w:rPr>
                <w:rFonts w:hint="eastAsia" w:ascii="宋体" w:hAnsi="宋体" w:cs="宋体"/>
                <w:b/>
                <w:bCs/>
                <w:szCs w:val="21"/>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ascii="宋体" w:hAnsi="宋体" w:cs="宋体"/>
                <w:szCs w:val="21"/>
              </w:rPr>
            </w:pPr>
            <w:r>
              <w:rPr>
                <w:rFonts w:hint="eastAsia" w:ascii="宋体" w:hAnsi="宋体" w:cs="宋体"/>
                <w:szCs w:val="21"/>
              </w:rPr>
              <w:t>序号</w:t>
            </w:r>
          </w:p>
        </w:tc>
        <w:tc>
          <w:tcPr>
            <w:tcW w:w="166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ascii="宋体" w:hAnsi="宋体" w:cs="宋体"/>
                <w:szCs w:val="21"/>
              </w:rPr>
            </w:pPr>
            <w:r>
              <w:rPr>
                <w:rFonts w:hint="eastAsia" w:ascii="宋体" w:hAnsi="宋体" w:cs="宋体"/>
                <w:szCs w:val="21"/>
              </w:rPr>
              <w:t>评分因素</w:t>
            </w:r>
          </w:p>
        </w:tc>
        <w:tc>
          <w:tcPr>
            <w:tcW w:w="78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ascii="宋体" w:hAnsi="宋体" w:cs="宋体"/>
                <w:szCs w:val="21"/>
              </w:rPr>
            </w:pPr>
            <w:r>
              <w:rPr>
                <w:rFonts w:hint="eastAsia" w:ascii="宋体" w:hAnsi="宋体" w:cs="宋体"/>
                <w:szCs w:val="21"/>
              </w:rPr>
              <w:t>权重</w:t>
            </w:r>
            <w:r>
              <w:rPr>
                <w:rFonts w:hint="eastAsia" w:ascii="宋体" w:hAnsi="宋体" w:cs="宋体"/>
                <w:bCs/>
                <w:szCs w:val="21"/>
              </w:rPr>
              <w:t>（%）</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ascii="宋体" w:hAnsi="宋体" w:cs="宋体"/>
                <w:szCs w:val="21"/>
              </w:rPr>
            </w:pPr>
            <w:r>
              <w:rPr>
                <w:rFonts w:hint="eastAsia" w:ascii="宋体" w:hAnsi="宋体" w:cs="宋体"/>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ascii="宋体" w:hAnsi="宋体" w:cs="宋体"/>
                <w:szCs w:val="21"/>
              </w:rPr>
            </w:pPr>
            <w:r>
              <w:rPr>
                <w:rFonts w:hint="eastAsia" w:ascii="宋体" w:hAnsi="宋体" w:cs="宋体"/>
                <w:szCs w:val="21"/>
              </w:rPr>
              <w:t>1</w:t>
            </w:r>
          </w:p>
        </w:tc>
        <w:tc>
          <w:tcPr>
            <w:tcW w:w="166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ascii="宋体" w:hAnsi="宋体" w:cs="宋体"/>
                <w:szCs w:val="21"/>
              </w:rPr>
            </w:pPr>
            <w:r>
              <w:rPr>
                <w:rFonts w:hint="eastAsia" w:ascii="宋体" w:hAnsi="宋体" w:cs="宋体"/>
                <w:szCs w:val="21"/>
              </w:rPr>
              <w:t>诚信情况</w:t>
            </w:r>
          </w:p>
        </w:tc>
        <w:tc>
          <w:tcPr>
            <w:tcW w:w="78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ascii="宋体" w:hAnsi="宋体" w:cs="宋体"/>
                <w:szCs w:val="21"/>
              </w:rPr>
            </w:pPr>
            <w:r>
              <w:rPr>
                <w:rFonts w:hint="eastAsia" w:ascii="宋体" w:hAnsi="宋体" w:cs="宋体"/>
                <w:szCs w:val="21"/>
              </w:rPr>
              <w:t>5</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pStyle w:val="2"/>
              <w:wordWrap w:val="0"/>
              <w:spacing w:line="240" w:lineRule="auto"/>
            </w:pPr>
            <w:r>
              <w:rPr>
                <w:rFonts w:hint="eastAsia" w:asciiTheme="minorEastAsia" w:hAnsiTheme="minorEastAsia" w:cstheme="minorEastAsia"/>
                <w:b w:val="0"/>
                <w:bCs w:val="0"/>
                <w:sz w:val="21"/>
                <w:szCs w:val="21"/>
              </w:rPr>
              <w:t>投标人存在 《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查询渠道：通过“信用中国”（www.creditchina.gov.cn，下载信用信息报告）、“中国政府采购网”（www.ccgp.gov.cn）以及“深圳市政府采购监管网”（http://zfcg.sz.gov.cn）查询供应商信用信息，信用信息以开标当日的查询结果为准。</w:t>
            </w:r>
          </w:p>
        </w:tc>
      </w:tr>
    </w:tbl>
    <w:p>
      <w:pPr>
        <w:jc w:val="center"/>
        <w:rPr>
          <w:b/>
          <w:sz w:val="120"/>
          <w:szCs w:val="120"/>
        </w:rPr>
      </w:pPr>
    </w:p>
    <w:p>
      <w:pPr>
        <w:rPr>
          <w:rFonts w:hint="eastAsia"/>
          <w:b/>
          <w:sz w:val="120"/>
          <w:szCs w:val="120"/>
        </w:rPr>
      </w:pPr>
      <w:r>
        <w:rPr>
          <w:rFonts w:hint="eastAsia"/>
          <w:b/>
          <w:sz w:val="120"/>
          <w:szCs w:val="120"/>
        </w:rPr>
        <w:br w:type="page"/>
      </w:r>
    </w:p>
    <w:p>
      <w:pPr>
        <w:rPr>
          <w:rFonts w:hint="eastAsia"/>
        </w:rPr>
      </w:pPr>
    </w:p>
    <w:p>
      <w:pPr>
        <w:pStyle w:val="2"/>
        <w:rPr>
          <w:rFonts w:hint="eastAsia"/>
          <w:b/>
          <w:sz w:val="120"/>
          <w:szCs w:val="120"/>
        </w:rPr>
      </w:pPr>
    </w:p>
    <w:p>
      <w:pPr>
        <w:jc w:val="center"/>
        <w:rPr>
          <w:b/>
          <w:sz w:val="120"/>
          <w:szCs w:val="120"/>
        </w:rPr>
      </w:pPr>
      <w:r>
        <w:rPr>
          <w:rFonts w:hint="eastAsia"/>
          <w:b/>
          <w:sz w:val="120"/>
          <w:szCs w:val="120"/>
        </w:rPr>
        <w:t>自行采购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（货物类）</w:t>
      </w:r>
    </w:p>
    <w:p/>
    <w:p/>
    <w:p/>
    <w:p/>
    <w:p/>
    <w:p/>
    <w:p/>
    <w:p/>
    <w:p/>
    <w:p/>
    <w:p/>
    <w:p/>
    <w:p>
      <w:pPr>
        <w:jc w:val="center"/>
        <w:rPr>
          <w:b/>
          <w:sz w:val="44"/>
          <w:szCs w:val="44"/>
        </w:rPr>
      </w:pPr>
      <w:r>
        <w:rPr>
          <w:rFonts w:hint="eastAsia" w:ascii="宋体" w:hAnsi="宋体"/>
          <w:b/>
          <w:sz w:val="44"/>
          <w:szCs w:val="44"/>
        </w:rPr>
        <w:t>深圳公共资源交易中心</w:t>
      </w:r>
    </w:p>
    <w:p>
      <w:pPr>
        <w:jc w:val="center"/>
        <w:rPr>
          <w:b/>
          <w:sz w:val="44"/>
          <w:szCs w:val="44"/>
        </w:rPr>
      </w:pPr>
      <w:r>
        <w:rPr>
          <w:rFonts w:hint="eastAsia" w:ascii="宋体" w:hAnsi="宋体"/>
          <w:b/>
          <w:sz w:val="44"/>
          <w:szCs w:val="44"/>
        </w:rPr>
        <w:t>（</w:t>
      </w:r>
      <w:r>
        <w:rPr>
          <w:b/>
          <w:sz w:val="44"/>
          <w:szCs w:val="44"/>
        </w:rPr>
        <w:t>20</w:t>
      </w:r>
      <w:r>
        <w:rPr>
          <w:rFonts w:hint="eastAsia"/>
          <w:b/>
          <w:sz w:val="44"/>
          <w:szCs w:val="44"/>
        </w:rPr>
        <w:t>2</w:t>
      </w:r>
      <w:r>
        <w:rPr>
          <w:rFonts w:hint="eastAsia"/>
          <w:b/>
          <w:sz w:val="44"/>
          <w:szCs w:val="44"/>
          <w:lang w:val="en-US" w:eastAsia="zh-CN"/>
        </w:rPr>
        <w:t>5</w:t>
      </w:r>
      <w:r>
        <w:rPr>
          <w:rFonts w:hint="eastAsia" w:ascii="宋体" w:hAnsi="宋体"/>
          <w:b/>
          <w:sz w:val="44"/>
          <w:szCs w:val="44"/>
        </w:rPr>
        <w:t>）</w:t>
      </w:r>
    </w:p>
    <w:p>
      <w:pPr>
        <w:ind w:firstLine="6786" w:firstLineChars="1300"/>
        <w:jc w:val="center"/>
        <w:rPr>
          <w:bCs/>
          <w:color w:val="FF0000"/>
        </w:rPr>
      </w:pPr>
      <w:r>
        <w:rPr>
          <w:rFonts w:hint="eastAsia"/>
          <w:b/>
          <w:color w:val="FF0000"/>
          <w:sz w:val="52"/>
          <w:szCs w:val="52"/>
        </w:rPr>
        <w:br w:type="page"/>
      </w:r>
    </w:p>
    <w:p>
      <w:pPr>
        <w:snapToGrid w:val="0"/>
        <w:spacing w:line="360" w:lineRule="exact"/>
        <w:jc w:val="left"/>
        <w:rPr>
          <w:rFonts w:hint="eastAsia" w:ascii="宋体" w:hAnsi="宋体" w:eastAsia="宋体" w:cs="宋体"/>
          <w:color w:val="000000"/>
          <w:kern w:val="0"/>
          <w:sz w:val="24"/>
          <w:szCs w:val="24"/>
        </w:rPr>
      </w:pPr>
    </w:p>
    <w:p>
      <w:pPr>
        <w:snapToGrid w:val="0"/>
        <w:spacing w:line="360" w:lineRule="exact"/>
        <w:jc w:val="left"/>
        <w:rPr>
          <w:rFonts w:hint="eastAsia" w:ascii="宋体" w:hAnsi="宋体" w:eastAsia="宋体" w:cs="宋体"/>
          <w:color w:val="000000"/>
          <w:kern w:val="0"/>
          <w:sz w:val="24"/>
          <w:szCs w:val="24"/>
        </w:rPr>
      </w:pPr>
    </w:p>
    <w:p>
      <w:pPr>
        <w:snapToGrid w:val="0"/>
        <w:spacing w:line="360" w:lineRule="exact"/>
        <w:jc w:val="left"/>
        <w:rPr>
          <w:rFonts w:hint="eastAsia" w:ascii="宋体" w:hAnsi="宋体" w:eastAsia="宋体" w:cs="宋体"/>
          <w:color w:val="000000"/>
          <w:kern w:val="0"/>
          <w:sz w:val="24"/>
          <w:szCs w:val="24"/>
        </w:rPr>
      </w:pPr>
    </w:p>
    <w:p>
      <w:pPr>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目   录</w:t>
      </w:r>
    </w:p>
    <w:p>
      <w:pPr>
        <w:rPr>
          <w:b/>
          <w:sz w:val="24"/>
          <w:szCs w:val="24"/>
        </w:rPr>
      </w:pPr>
      <w:r>
        <w:rPr>
          <w:rFonts w:hint="eastAsia"/>
          <w:b/>
          <w:sz w:val="24"/>
          <w:szCs w:val="24"/>
        </w:rPr>
        <w:t>第一册  专用条款</w:t>
      </w:r>
    </w:p>
    <w:p>
      <w:pPr>
        <w:ind w:left="630" w:leftChars="300" w:firstLine="411" w:firstLineChars="196"/>
        <w:rPr>
          <w:rFonts w:hint="eastAsia" w:ascii="宋体" w:hAnsi="宋体"/>
          <w:szCs w:val="21"/>
        </w:rPr>
      </w:pPr>
      <w:r>
        <w:rPr>
          <w:rFonts w:hint="eastAsia" w:ascii="宋体" w:hAnsi="宋体"/>
          <w:szCs w:val="21"/>
        </w:rPr>
        <w:tab/>
      </w:r>
      <w:r>
        <w:rPr>
          <w:rFonts w:hint="eastAsia" w:ascii="宋体" w:hAnsi="宋体"/>
          <w:szCs w:val="21"/>
        </w:rPr>
        <w:t>关键信息</w:t>
      </w:r>
    </w:p>
    <w:p>
      <w:pPr>
        <w:ind w:left="630" w:leftChars="300" w:firstLine="411" w:firstLineChars="196"/>
        <w:rPr>
          <w:rFonts w:hint="eastAsia" w:ascii="宋体" w:hAnsi="宋体"/>
          <w:szCs w:val="21"/>
        </w:rPr>
      </w:pPr>
      <w:r>
        <w:rPr>
          <w:rFonts w:hint="eastAsia" w:ascii="宋体" w:hAnsi="宋体"/>
          <w:szCs w:val="21"/>
        </w:rPr>
        <w:t>第一章  招标公告</w:t>
      </w:r>
    </w:p>
    <w:p>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pPr>
        <w:ind w:left="630" w:leftChars="300" w:firstLine="411" w:firstLineChars="196"/>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411" w:firstLineChars="196"/>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411" w:firstLineChars="196"/>
        <w:rPr>
          <w:rFonts w:hint="eastAsia" w:ascii="宋体" w:hAnsi="宋体"/>
          <w:szCs w:val="21"/>
        </w:rPr>
      </w:pPr>
      <w:r>
        <w:rPr>
          <w:rFonts w:hint="eastAsia" w:ascii="宋体" w:hAnsi="宋体"/>
          <w:szCs w:val="21"/>
        </w:rPr>
        <w:t>第五章  合同条款及格式</w:t>
      </w:r>
    </w:p>
    <w:p>
      <w:pPr>
        <w:rPr>
          <w:b/>
          <w:sz w:val="24"/>
        </w:rPr>
      </w:pPr>
    </w:p>
    <w:p>
      <w:pPr>
        <w:rPr>
          <w:b/>
          <w:sz w:val="24"/>
          <w:szCs w:val="24"/>
        </w:rPr>
      </w:pPr>
      <w:r>
        <w:rPr>
          <w:rFonts w:hint="eastAsia"/>
          <w:b/>
          <w:sz w:val="24"/>
          <w:szCs w:val="24"/>
        </w:rPr>
        <w:t>第二册  通用条款</w:t>
      </w:r>
    </w:p>
    <w:p>
      <w:pPr>
        <w:ind w:left="630" w:leftChars="300" w:firstLine="411" w:firstLineChars="196"/>
        <w:rPr>
          <w:rFonts w:hint="eastAsia" w:ascii="宋体" w:hAnsi="宋体"/>
          <w:szCs w:val="21"/>
        </w:rPr>
      </w:pPr>
      <w:r>
        <w:rPr>
          <w:rFonts w:hint="eastAsia" w:ascii="宋体" w:hAnsi="宋体"/>
          <w:szCs w:val="21"/>
        </w:rPr>
        <w:t>第一章  总则</w:t>
      </w:r>
    </w:p>
    <w:p>
      <w:pPr>
        <w:ind w:left="630" w:leftChars="300" w:firstLine="411" w:firstLineChars="196"/>
        <w:rPr>
          <w:rFonts w:hint="eastAsia" w:ascii="宋体" w:hAnsi="宋体"/>
          <w:szCs w:val="21"/>
        </w:rPr>
      </w:pPr>
      <w:r>
        <w:rPr>
          <w:rFonts w:hint="eastAsia" w:ascii="宋体" w:hAnsi="宋体"/>
          <w:szCs w:val="21"/>
        </w:rPr>
        <w:t>第二章  招标文件</w:t>
      </w:r>
    </w:p>
    <w:p>
      <w:pPr>
        <w:ind w:left="630" w:leftChars="300" w:firstLine="411" w:firstLineChars="196"/>
        <w:rPr>
          <w:rFonts w:hint="eastAsia" w:ascii="宋体" w:hAnsi="宋体"/>
          <w:szCs w:val="21"/>
        </w:rPr>
      </w:pPr>
      <w:r>
        <w:rPr>
          <w:rFonts w:hint="eastAsia" w:ascii="宋体" w:hAnsi="宋体"/>
          <w:szCs w:val="21"/>
        </w:rPr>
        <w:t>第三章  投标文件的编制</w:t>
      </w:r>
    </w:p>
    <w:p>
      <w:pPr>
        <w:ind w:left="630" w:leftChars="300" w:firstLine="411" w:firstLineChars="196"/>
        <w:rPr>
          <w:rFonts w:hint="eastAsia" w:ascii="宋体" w:hAnsi="宋体"/>
          <w:szCs w:val="21"/>
        </w:rPr>
      </w:pPr>
      <w:r>
        <w:rPr>
          <w:rFonts w:hint="eastAsia" w:ascii="宋体" w:hAnsi="宋体"/>
          <w:szCs w:val="21"/>
        </w:rPr>
        <w:t>第四章  投标文件的递交</w:t>
      </w:r>
    </w:p>
    <w:p>
      <w:pPr>
        <w:ind w:left="630" w:leftChars="300" w:firstLine="411" w:firstLineChars="196"/>
        <w:rPr>
          <w:rFonts w:hint="eastAsia" w:ascii="宋体" w:hAnsi="宋体"/>
          <w:szCs w:val="21"/>
        </w:rPr>
      </w:pPr>
      <w:r>
        <w:rPr>
          <w:rFonts w:hint="eastAsia" w:ascii="宋体" w:hAnsi="宋体"/>
          <w:szCs w:val="21"/>
        </w:rPr>
        <w:t>第五章  开标</w:t>
      </w:r>
    </w:p>
    <w:p>
      <w:pPr>
        <w:ind w:left="630" w:leftChars="300" w:firstLine="411" w:firstLineChars="196"/>
        <w:rPr>
          <w:rFonts w:hint="eastAsia" w:ascii="宋体" w:hAnsi="宋体"/>
          <w:szCs w:val="21"/>
        </w:rPr>
      </w:pPr>
      <w:r>
        <w:rPr>
          <w:rFonts w:hint="eastAsia" w:ascii="宋体" w:hAnsi="宋体"/>
          <w:szCs w:val="21"/>
        </w:rPr>
        <w:t>第六章  评审要求</w:t>
      </w:r>
    </w:p>
    <w:p>
      <w:pPr>
        <w:ind w:left="630" w:leftChars="300" w:firstLine="411" w:firstLineChars="196"/>
        <w:rPr>
          <w:rFonts w:hint="eastAsia" w:ascii="宋体" w:hAnsi="宋体"/>
          <w:szCs w:val="21"/>
        </w:rPr>
      </w:pPr>
      <w:r>
        <w:rPr>
          <w:rFonts w:hint="eastAsia" w:ascii="宋体" w:hAnsi="宋体"/>
          <w:szCs w:val="21"/>
        </w:rPr>
        <w:t>第七章  评审程序及评审方法</w:t>
      </w:r>
    </w:p>
    <w:p>
      <w:pPr>
        <w:ind w:left="630" w:leftChars="300" w:firstLine="411" w:firstLineChars="196"/>
        <w:rPr>
          <w:rFonts w:hint="eastAsia" w:ascii="宋体" w:hAnsi="宋体"/>
          <w:szCs w:val="21"/>
        </w:rPr>
      </w:pPr>
      <w:r>
        <w:rPr>
          <w:rFonts w:hint="eastAsia" w:ascii="宋体" w:hAnsi="宋体"/>
          <w:szCs w:val="21"/>
        </w:rPr>
        <w:t>第八章  定标及公示</w:t>
      </w:r>
    </w:p>
    <w:p>
      <w:pPr>
        <w:ind w:left="630" w:leftChars="300" w:firstLine="411" w:firstLineChars="196"/>
        <w:rPr>
          <w:rFonts w:hint="eastAsia" w:ascii="宋体" w:hAnsi="宋体"/>
          <w:szCs w:val="21"/>
        </w:rPr>
      </w:pPr>
      <w:r>
        <w:rPr>
          <w:rFonts w:hint="eastAsia" w:ascii="宋体" w:hAnsi="宋体"/>
          <w:szCs w:val="21"/>
        </w:rPr>
        <w:t>第九章  公开招标失败的后续处理</w:t>
      </w:r>
    </w:p>
    <w:p>
      <w:pPr>
        <w:ind w:left="630" w:leftChars="300" w:firstLine="411" w:firstLineChars="196"/>
        <w:rPr>
          <w:rFonts w:hint="eastAsia" w:ascii="宋体" w:hAnsi="宋体"/>
          <w:szCs w:val="21"/>
        </w:rPr>
      </w:pPr>
      <w:r>
        <w:rPr>
          <w:rFonts w:hint="eastAsia" w:ascii="宋体" w:hAnsi="宋体"/>
          <w:szCs w:val="21"/>
        </w:rPr>
        <w:t>第十章  合同的授予与备案</w:t>
      </w:r>
    </w:p>
    <w:p>
      <w:r>
        <w:rPr>
          <w:rFonts w:hint="eastAsia"/>
        </w:rPr>
        <w:t xml:space="preserve">          第十一章  质疑处理</w:t>
      </w:r>
    </w:p>
    <w:p/>
    <w:p/>
    <w:p>
      <w:pPr>
        <w:widowControl/>
        <w:jc w:val="left"/>
      </w:pPr>
      <w:r>
        <w:br w:type="page"/>
      </w:r>
    </w:p>
    <w:p>
      <w:pPr>
        <w:pStyle w:val="4"/>
        <w:spacing w:after="78"/>
        <w:jc w:val="center"/>
        <w:rPr>
          <w:sz w:val="32"/>
          <w:szCs w:val="32"/>
        </w:rPr>
      </w:pPr>
      <w:r>
        <w:rPr>
          <w:rFonts w:hint="eastAsia"/>
          <w:sz w:val="32"/>
          <w:szCs w:val="32"/>
        </w:rPr>
        <w:t>第一册  专用条款</w:t>
      </w:r>
    </w:p>
    <w:p>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第一章  招标公告</w:t>
      </w:r>
    </w:p>
    <w:p>
      <w:pPr>
        <w:spacing w:line="360" w:lineRule="auto"/>
        <w:rPr>
          <w:rFonts w:hint="eastAsia" w:ascii="宋体" w:hAnsi="宋体" w:cs="宋体"/>
          <w:b/>
          <w:bCs/>
          <w:kern w:val="0"/>
          <w:szCs w:val="21"/>
        </w:rPr>
      </w:pPr>
      <w:r>
        <w:rPr>
          <w:rFonts w:hint="eastAsia" w:ascii="宋体" w:hAnsi="宋体" w:cs="宋体"/>
          <w:b/>
          <w:bCs/>
          <w:kern w:val="0"/>
          <w:szCs w:val="21"/>
        </w:rPr>
        <w:t>申请人的资格要求：</w:t>
      </w:r>
    </w:p>
    <w:p>
      <w:pPr>
        <w:ind w:firstLine="630" w:firstLineChars="300"/>
        <w:rPr>
          <w:rFonts w:hint="eastAsia" w:ascii="宋体" w:hAnsi="宋体" w:eastAsia="宋体" w:cs="宋体"/>
          <w:kern w:val="0"/>
          <w:szCs w:val="21"/>
          <w:lang w:eastAsia="zh-CN"/>
        </w:rPr>
      </w:pPr>
      <w:r>
        <w:rPr>
          <w:rFonts w:hint="eastAsia" w:ascii="宋体" w:hAnsi="宋体" w:cs="宋体"/>
          <w:kern w:val="0"/>
          <w:szCs w:val="21"/>
        </w:rPr>
        <w:t>1</w:t>
      </w:r>
      <w:r>
        <w:rPr>
          <w:rFonts w:ascii="宋体" w:hAnsi="宋体" w:cs="宋体"/>
          <w:kern w:val="0"/>
          <w:szCs w:val="21"/>
        </w:rPr>
        <w:t>.</w:t>
      </w:r>
      <w:r>
        <w:rPr>
          <w:rFonts w:hint="eastAsia" w:ascii="宋体" w:hAnsi="宋体" w:eastAsia="宋体" w:cs="宋体"/>
          <w:sz w:val="21"/>
          <w:szCs w:val="21"/>
          <w:highlight w:val="none"/>
          <w:lang w:eastAsia="zh-CN"/>
        </w:rPr>
        <w:t>具有独立承担民事责任的能力（提供营业执照或事业单位法人证书等证明资料扫描件，原件备查，分公司参与投标的，须提供分公司营业执照、其所属集团(或总公司)等具有独立法人资格的组织</w:t>
      </w:r>
      <w:r>
        <w:rPr>
          <w:rFonts w:hint="eastAsia" w:ascii="宋体" w:hAnsi="宋体" w:cs="宋体"/>
          <w:sz w:val="21"/>
          <w:szCs w:val="21"/>
          <w:highlight w:val="none"/>
          <w:lang w:eastAsia="zh-CN"/>
        </w:rPr>
        <w:t>的营业执照及其</w:t>
      </w:r>
      <w:r>
        <w:rPr>
          <w:rFonts w:hint="eastAsia" w:ascii="宋体" w:hAnsi="宋体" w:eastAsia="宋体" w:cs="宋体"/>
          <w:sz w:val="21"/>
          <w:szCs w:val="21"/>
          <w:highlight w:val="none"/>
          <w:lang w:eastAsia="zh-CN"/>
        </w:rPr>
        <w:t>出具的载明愿为其参与本项目投标的行为以及履约等行为承担民事责任的加盖总公司公章的授权函）</w:t>
      </w:r>
      <w:r>
        <w:rPr>
          <w:rFonts w:hint="eastAsia" w:ascii="宋体" w:hAnsi="宋体" w:cs="宋体"/>
          <w:sz w:val="2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30" w:firstLineChars="300"/>
        <w:textAlignment w:val="auto"/>
        <w:rPr>
          <w:rFonts w:hint="default" w:ascii="宋体" w:hAnsi="宋体" w:eastAsia="宋体" w:cs="宋体"/>
          <w:sz w:val="21"/>
          <w:szCs w:val="21"/>
          <w:highlight w:val="none"/>
          <w:lang w:val="en-US" w:eastAsia="zh-CN"/>
        </w:rPr>
      </w:pPr>
      <w:r>
        <w:rPr>
          <w:rFonts w:hint="eastAsia" w:ascii="宋体" w:hAnsi="宋体" w:cs="宋体"/>
          <w:color w:val="FF0000"/>
          <w:kern w:val="0"/>
          <w:szCs w:val="21"/>
        </w:rPr>
        <w:t>2.</w:t>
      </w:r>
      <w:bookmarkStart w:id="0" w:name="OLE_LINK9"/>
      <w:r>
        <w:rPr>
          <w:rFonts w:hint="eastAsia" w:ascii="宋体" w:hAnsi="宋体" w:cs="宋体"/>
          <w:color w:val="FF0000"/>
          <w:kern w:val="0"/>
          <w:szCs w:val="21"/>
        </w:rPr>
        <w:t>本项</w:t>
      </w:r>
      <w:bookmarkStart w:id="1" w:name="OLE_LINK8"/>
      <w:r>
        <w:rPr>
          <w:rFonts w:hint="eastAsia" w:ascii="宋体" w:hAnsi="宋体" w:cs="宋体"/>
          <w:color w:val="FF0000"/>
          <w:kern w:val="0"/>
          <w:szCs w:val="21"/>
        </w:rPr>
        <w:t>目不接受联合体投标</w:t>
      </w:r>
      <w:bookmarkEnd w:id="1"/>
      <w:r>
        <w:rPr>
          <w:rFonts w:hint="eastAsia" w:ascii="宋体" w:hAnsi="宋体" w:cs="宋体"/>
          <w:color w:val="FF0000"/>
          <w:kern w:val="0"/>
          <w:szCs w:val="21"/>
          <w:lang w:val="en-US" w:eastAsia="zh-CN"/>
        </w:rPr>
        <w:t>，</w:t>
      </w:r>
      <w:bookmarkStart w:id="2" w:name="OLE_LINK7"/>
      <w:r>
        <w:rPr>
          <w:rFonts w:hint="eastAsia" w:ascii="宋体" w:hAnsi="宋体" w:cs="宋体"/>
          <w:color w:val="FF0000"/>
          <w:kern w:val="0"/>
          <w:szCs w:val="21"/>
        </w:rPr>
        <w:t>不接受投标人选用进口产品参与投标，详见招标文件</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第三章 用户需求书</w:t>
      </w:r>
      <w:r>
        <w:rPr>
          <w:rFonts w:hint="eastAsia" w:ascii="宋体" w:hAnsi="宋体" w:cs="宋体"/>
          <w:color w:val="FF0000"/>
          <w:kern w:val="0"/>
          <w:szCs w:val="21"/>
        </w:rPr>
        <w:t>”</w:t>
      </w:r>
      <w:bookmarkEnd w:id="2"/>
      <w:r>
        <w:rPr>
          <w:rFonts w:hint="eastAsia" w:ascii="宋体" w:hAnsi="宋体" w:cs="宋体"/>
          <w:color w:val="FF0000"/>
          <w:kern w:val="0"/>
          <w:szCs w:val="21"/>
        </w:rPr>
        <w:t>；</w:t>
      </w:r>
      <w:bookmarkEnd w:id="0"/>
    </w:p>
    <w:p>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pPr>
        <w:ind w:firstLine="630" w:firstLineChars="3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pPr>
        <w:ind w:firstLine="630" w:firstLineChars="3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r>
        <w:rPr>
          <w:rFonts w:hint="eastAsia" w:ascii="宋体" w:hAnsi="宋体" w:cs="宋体"/>
          <w:kern w:val="0"/>
          <w:szCs w:val="21"/>
          <w:lang w:val="en-US" w:eastAsia="zh-CN"/>
        </w:rPr>
        <w:t>；</w:t>
      </w:r>
    </w:p>
    <w:p>
      <w:pPr>
        <w:ind w:firstLine="630" w:firstLineChars="3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（由供应商在《政府采购投标及履约承诺函》中作出声明）</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w:t>
      </w:r>
    </w:p>
    <w:p>
      <w:pPr>
        <w:ind w:firstLine="630" w:firstLineChars="300"/>
        <w:rPr>
          <w:rFonts w:hint="eastAsia" w:ascii="宋体" w:hAnsi="宋体" w:eastAsia="宋体" w:cs="宋体"/>
          <w:kern w:val="0"/>
          <w:szCs w:val="21"/>
          <w:lang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kern w:val="0"/>
          <w:szCs w:val="21"/>
          <w:lang w:val="en-US" w:eastAsia="zh-CN"/>
        </w:rPr>
        <w:t>；</w:t>
      </w:r>
    </w:p>
    <w:p>
      <w:pPr>
        <w:ind w:firstLine="630" w:firstLineChars="300"/>
        <w:rPr>
          <w:rFonts w:hint="eastAsia" w:ascii="宋体" w:hAnsi="宋体" w:cs="宋体"/>
          <w:kern w:val="0"/>
          <w:szCs w:val="21"/>
          <w:highlight w:val="none"/>
        </w:rPr>
      </w:pPr>
      <w:r>
        <w:rPr>
          <w:rFonts w:hint="eastAsia" w:ascii="宋体" w:hAnsi="宋体" w:cs="宋体"/>
          <w:kern w:val="0"/>
          <w:szCs w:val="21"/>
          <w:highlight w:val="none"/>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ind w:firstLine="630" w:firstLineChars="3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.本项目是（否）专门面向中小企业采购：</w:t>
      </w:r>
      <w:r>
        <w:rPr>
          <w:rFonts w:hint="eastAsia" w:ascii="宋体" w:hAnsi="宋体" w:cs="宋体"/>
          <w:b/>
          <w:bCs/>
          <w:color w:val="FF0000"/>
          <w:kern w:val="0"/>
          <w:szCs w:val="21"/>
          <w:highlight w:val="none"/>
          <w:lang w:val="en-US" w:eastAsia="zh-CN"/>
        </w:rPr>
        <w:t>否</w:t>
      </w:r>
      <w:r>
        <w:rPr>
          <w:rFonts w:hint="eastAsia" w:ascii="宋体" w:hAnsi="宋体" w:cs="宋体"/>
          <w:b/>
          <w:bCs/>
          <w:color w:val="FF0000"/>
          <w:kern w:val="0"/>
          <w:szCs w:val="21"/>
          <w:highlight w:val="none"/>
        </w:rPr>
        <w:t>。</w:t>
      </w:r>
    </w:p>
    <w:p>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ind w:firstLine="420" w:firstLineChars="200"/>
        <w:rPr>
          <w:rFonts w:hint="eastAsia" w:ascii="宋体" w:hAnsi="宋体"/>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pPr>
        <w:snapToGrid w:val="0"/>
        <w:spacing w:line="300" w:lineRule="auto"/>
        <w:ind w:firstLine="480" w:firstLineChars="200"/>
        <w:rPr>
          <w:rFonts w:ascii="Arial" w:hAnsi="Arial" w:eastAsia="宋体" w:cs="Times New Roman"/>
          <w:sz w:val="24"/>
          <w:szCs w:val="24"/>
        </w:rPr>
      </w:pPr>
    </w:p>
    <w:p>
      <w:pPr>
        <w:spacing w:after="78" w:afterLines="25"/>
        <w:jc w:val="center"/>
        <w:rPr>
          <w:b/>
          <w:color w:val="FF0000"/>
          <w:sz w:val="30"/>
          <w:szCs w:val="30"/>
        </w:rPr>
      </w:pPr>
      <w:r>
        <w:rPr>
          <w:rFonts w:hint="eastAsia" w:ascii="Arial" w:hAnsi="Arial" w:eastAsia="宋体" w:cs="Times New Roman"/>
          <w:b/>
          <w:color w:val="FF0000"/>
          <w:sz w:val="30"/>
          <w:szCs w:val="30"/>
        </w:rPr>
        <w:t>完整公告内容以网站公布信息为准，详见：深圳政府采购自行采购系统</w:t>
      </w:r>
      <w:r>
        <w:rPr>
          <w:rFonts w:hint="eastAsia"/>
          <w:b/>
          <w:color w:val="FF0000"/>
          <w:sz w:val="30"/>
          <w:szCs w:val="30"/>
        </w:rPr>
        <w:t>网（https://zxcg.szggzy.com/home/index.html）</w:t>
      </w:r>
    </w:p>
    <w:p>
      <w:pPr>
        <w:spacing w:after="78" w:afterLines="25"/>
        <w:rPr>
          <w:rFonts w:ascii="Arial" w:hAnsi="Arial" w:eastAsia="宋体" w:cs="Times New Roman"/>
          <w:b/>
          <w:color w:val="FF0000"/>
          <w:sz w:val="30"/>
          <w:szCs w:val="30"/>
        </w:rPr>
      </w:pPr>
    </w:p>
    <w:p>
      <w:pPr>
        <w:keepNext/>
        <w:keepLines/>
        <w:spacing w:before="260" w:after="260" w:line="416" w:lineRule="auto"/>
        <w:jc w:val="center"/>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 xml:space="preserve">第二章 </w:t>
      </w:r>
      <w:bookmarkStart w:id="3" w:name="_Hlk71926094"/>
      <w:r>
        <w:rPr>
          <w:rFonts w:hint="eastAsia" w:ascii="宋体" w:hAnsi="宋体" w:eastAsia="宋体" w:cs="Times New Roman"/>
          <w:b/>
          <w:bCs/>
          <w:kern w:val="0"/>
          <w:sz w:val="28"/>
          <w:szCs w:val="28"/>
        </w:rPr>
        <w:t>对通用条款的补充内容及其他关键信息</w:t>
      </w:r>
      <w:bookmarkEnd w:id="3"/>
    </w:p>
    <w:p>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bookmarkStart w:id="4" w:name="_Toc100052364"/>
      <w:bookmarkStart w:id="5" w:name="_Toc73518117"/>
      <w:bookmarkStart w:id="6" w:name="_Toc73517639"/>
      <w:bookmarkStart w:id="7" w:name="_Toc60631620"/>
      <w:bookmarkStart w:id="8" w:name="_Toc73521547"/>
      <w:bookmarkStart w:id="9" w:name="_Toc101074876"/>
      <w:bookmarkStart w:id="10" w:name="_Toc73521635"/>
      <w:bookmarkStart w:id="11" w:name="_Toc60560625"/>
      <w:r>
        <w:rPr>
          <w:rFonts w:hint="eastAsia" w:ascii="宋体" w:hAnsi="宋体" w:eastAsia="宋体" w:cs="Times New Roman"/>
          <w:b/>
          <w:bCs/>
          <w:kern w:val="0"/>
          <w:sz w:val="24"/>
          <w:szCs w:val="24"/>
        </w:rPr>
        <w:t>一、对通用条款的补充内容</w:t>
      </w:r>
    </w:p>
    <w:tbl>
      <w:tblPr>
        <w:tblStyle w:val="19"/>
        <w:tblW w:w="95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1755"/>
        <w:gridCol w:w="679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b/>
                <w:bCs/>
              </w:rPr>
            </w:pPr>
            <w:r>
              <w:rPr>
                <w:rFonts w:hint="eastAsia" w:ascii="宋体" w:hAnsi="宋体"/>
                <w:b/>
                <w:bCs/>
              </w:rPr>
              <w:t>通用条款序号</w:t>
            </w:r>
          </w:p>
        </w:tc>
        <w:tc>
          <w:tcPr>
            <w:tcW w:w="1755" w:type="dxa"/>
            <w:vAlign w:val="center"/>
          </w:tcPr>
          <w:p>
            <w:pPr>
              <w:jc w:val="center"/>
              <w:rPr>
                <w:rFonts w:hint="eastAsia" w:ascii="宋体" w:hAnsi="宋体"/>
                <w:b/>
                <w:bCs/>
              </w:rPr>
            </w:pPr>
            <w:r>
              <w:rPr>
                <w:rFonts w:hint="eastAsia" w:ascii="宋体" w:hAnsi="宋体"/>
                <w:b/>
                <w:bCs/>
              </w:rPr>
              <w:t>涉及事项</w:t>
            </w:r>
          </w:p>
        </w:tc>
        <w:tc>
          <w:tcPr>
            <w:tcW w:w="6795" w:type="dxa"/>
            <w:vAlign w:val="center"/>
          </w:tcPr>
          <w:p>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3</w:t>
            </w:r>
            <w:r>
              <w:rPr>
                <w:rFonts w:ascii="宋体" w:hAnsi="宋体"/>
              </w:rPr>
              <w:t>.1</w:t>
            </w:r>
          </w:p>
        </w:tc>
        <w:tc>
          <w:tcPr>
            <w:tcW w:w="1755" w:type="dxa"/>
            <w:vAlign w:val="center"/>
          </w:tcPr>
          <w:p>
            <w:pPr>
              <w:jc w:val="center"/>
            </w:pPr>
            <w:r>
              <w:rPr>
                <w:rFonts w:hint="eastAsia"/>
              </w:rPr>
              <w:t>采购人</w:t>
            </w:r>
          </w:p>
        </w:tc>
        <w:tc>
          <w:tcPr>
            <w:tcW w:w="6795" w:type="dxa"/>
            <w:vAlign w:val="center"/>
          </w:tcPr>
          <w:p>
            <w:pPr>
              <w:jc w:val="left"/>
              <w:rPr>
                <w:rFonts w:hint="eastAsia" w:ascii="宋体" w:hAnsi="宋体"/>
              </w:rPr>
            </w:pPr>
            <w:r>
              <w:rPr>
                <w:rFonts w:hint="eastAsia" w:ascii="宋体" w:hAnsi="宋体"/>
              </w:rPr>
              <w:t>深圳市龙华区建筑工务署</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3</w:t>
            </w:r>
            <w:r>
              <w:rPr>
                <w:rFonts w:ascii="宋体" w:hAnsi="宋体"/>
              </w:rPr>
              <w:t>.2</w:t>
            </w:r>
          </w:p>
        </w:tc>
        <w:tc>
          <w:tcPr>
            <w:tcW w:w="1755" w:type="dxa"/>
            <w:vAlign w:val="center"/>
          </w:tcPr>
          <w:p>
            <w:pPr>
              <w:jc w:val="center"/>
              <w:rPr>
                <w:rFonts w:hint="eastAsia" w:ascii="宋体" w:hAnsi="宋体"/>
              </w:rPr>
            </w:pPr>
            <w:r>
              <w:rPr>
                <w:rFonts w:hint="eastAsia" w:ascii="宋体" w:hAnsi="宋体"/>
              </w:rPr>
              <w:t>政府集中采购机构</w:t>
            </w:r>
          </w:p>
        </w:tc>
        <w:tc>
          <w:tcPr>
            <w:tcW w:w="6795" w:type="dxa"/>
            <w:vAlign w:val="center"/>
          </w:tcPr>
          <w:p>
            <w:pPr>
              <w:jc w:val="left"/>
              <w:rPr>
                <w:rFonts w:hint="eastAsia" w:ascii="宋体" w:hAnsi="宋体"/>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rPr>
              <w:t>深圳公共资源交易中心</w:t>
            </w:r>
            <w:r>
              <w:rPr>
                <w:rFonts w:hint="eastAsia" w:ascii="Arial" w:hAnsi="Arial" w:eastAsia="宋体" w:cs="Times New Roman"/>
                <w:szCs w:val="24"/>
              </w:rPr>
              <w:t>。本项目具体由深圳公共资源交易中心（深圳交易集团有限公司龙华分公司）执行</w:t>
            </w:r>
            <w:r>
              <w:rPr>
                <w:rFonts w:hint="eastAsia" w:ascii="Arial" w:hAnsi="Arial" w:eastAsia="宋体" w:cs="Times New Roman"/>
                <w:bCs/>
                <w:szCs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5</w:t>
            </w:r>
            <w:r>
              <w:rPr>
                <w:rFonts w:ascii="宋体" w:hAnsi="宋体"/>
              </w:rPr>
              <w:t>.3</w:t>
            </w:r>
          </w:p>
        </w:tc>
        <w:tc>
          <w:tcPr>
            <w:tcW w:w="1755" w:type="dxa"/>
            <w:vAlign w:val="center"/>
          </w:tcPr>
          <w:p>
            <w:pPr>
              <w:jc w:val="center"/>
              <w:rPr>
                <w:rFonts w:hint="eastAsia" w:ascii="宋体" w:hAnsi="宋体"/>
              </w:rPr>
            </w:pPr>
            <w:r>
              <w:rPr>
                <w:rFonts w:hint="eastAsia" w:ascii="宋体" w:hAnsi="宋体"/>
              </w:rPr>
              <w:t>联合体投标</w:t>
            </w:r>
          </w:p>
        </w:tc>
        <w:tc>
          <w:tcPr>
            <w:tcW w:w="6795" w:type="dxa"/>
            <w:vAlign w:val="center"/>
          </w:tcPr>
          <w:p>
            <w:pPr>
              <w:jc w:val="left"/>
              <w:rPr>
                <w:rFonts w:ascii="Arial" w:hAnsi="Arial" w:eastAsia="宋体" w:cs="Times New Roman"/>
                <w:szCs w:val="24"/>
                <w:highlight w:val="none"/>
              </w:rPr>
            </w:pPr>
            <w:r>
              <w:rPr>
                <w:rFonts w:hint="eastAsia" w:ascii="Arial" w:hAnsi="Arial" w:eastAsia="宋体" w:cs="Times New Roman"/>
                <w:szCs w:val="24"/>
                <w:highlight w:val="none"/>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9</w:t>
            </w:r>
          </w:p>
        </w:tc>
        <w:tc>
          <w:tcPr>
            <w:tcW w:w="1755" w:type="dxa"/>
            <w:vAlign w:val="center"/>
          </w:tcPr>
          <w:p>
            <w:pPr>
              <w:jc w:val="center"/>
              <w:rPr>
                <w:rFonts w:hint="eastAsia" w:ascii="宋体" w:hAnsi="宋体"/>
                <w:b/>
                <w:bCs/>
                <w:highlight w:val="yellow"/>
              </w:rPr>
            </w:pPr>
            <w:r>
              <w:rPr>
                <w:rFonts w:hint="eastAsia" w:ascii="宋体" w:hAnsi="宋体"/>
              </w:rPr>
              <w:t>踏勘现场</w:t>
            </w:r>
          </w:p>
        </w:tc>
        <w:tc>
          <w:tcPr>
            <w:tcW w:w="6795" w:type="dxa"/>
            <w:vAlign w:val="center"/>
          </w:tcPr>
          <w:p>
            <w:pPr>
              <w:pageBreakBefore w:val="0"/>
              <w:kinsoku/>
              <w:overflowPunct/>
              <w:topLinePunct w:val="0"/>
              <w:autoSpaceDE/>
              <w:autoSpaceDN/>
              <w:bidi w:val="0"/>
              <w:spacing w:beforeAutospacing="0" w:afterAutospacing="0" w:line="240" w:lineRule="auto"/>
              <w:ind w:left="0" w:leftChars="0" w:right="0" w:rightChars="0" w:firstLine="0" w:firstLineChars="0"/>
              <w:jc w:val="left"/>
              <w:rPr>
                <w:rFonts w:hint="eastAsia" w:ascii="Arial" w:hAnsi="Arial" w:cs="Times New Roman" w:eastAsiaTheme="minorEastAsia"/>
                <w:szCs w:val="24"/>
                <w:highlight w:val="none"/>
                <w:lang w:eastAsia="zh-CN"/>
              </w:rPr>
            </w:pPr>
            <w:r>
              <w:rPr>
                <w:rFonts w:hint="eastAsia" w:ascii="宋体" w:hAnsi="宋体" w:eastAsia="宋体" w:cs="宋体"/>
                <w:highlight w:val="none"/>
                <w:lang w:eastAsia="zh-CN"/>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1</w:t>
            </w:r>
            <w:r>
              <w:rPr>
                <w:rFonts w:ascii="宋体" w:hAnsi="宋体"/>
              </w:rPr>
              <w:t>0</w:t>
            </w:r>
          </w:p>
        </w:tc>
        <w:tc>
          <w:tcPr>
            <w:tcW w:w="1755" w:type="dxa"/>
            <w:vAlign w:val="center"/>
          </w:tcPr>
          <w:p>
            <w:pPr>
              <w:jc w:val="center"/>
              <w:rPr>
                <w:rFonts w:hint="eastAsia" w:ascii="宋体" w:hAnsi="宋体"/>
              </w:rPr>
            </w:pPr>
            <w:r>
              <w:rPr>
                <w:rFonts w:hint="eastAsia" w:ascii="宋体" w:hAnsi="宋体"/>
              </w:rPr>
              <w:t>标前会议</w:t>
            </w:r>
          </w:p>
        </w:tc>
        <w:tc>
          <w:tcPr>
            <w:tcW w:w="6795" w:type="dxa"/>
            <w:vAlign w:val="center"/>
          </w:tcPr>
          <w:p>
            <w:pPr>
              <w:pageBreakBefore w:val="0"/>
              <w:kinsoku/>
              <w:overflowPunct/>
              <w:topLinePunct w:val="0"/>
              <w:autoSpaceDE/>
              <w:autoSpaceDN/>
              <w:bidi w:val="0"/>
              <w:spacing w:beforeAutospacing="0" w:afterAutospacing="0" w:line="240" w:lineRule="auto"/>
              <w:ind w:left="0" w:leftChars="0" w:right="0" w:rightChars="0" w:firstLine="0" w:firstLineChars="0"/>
              <w:jc w:val="left"/>
              <w:rPr>
                <w:rFonts w:hint="eastAsia" w:ascii="Arial" w:hAnsi="Arial" w:eastAsia="宋体" w:cs="Times New Roman"/>
                <w:szCs w:val="24"/>
                <w:highlight w:val="none"/>
              </w:rPr>
            </w:pPr>
            <w:r>
              <w:rPr>
                <w:rFonts w:hint="eastAsia" w:ascii="宋体" w:hAnsi="宋体" w:eastAsia="宋体" w:cs="宋体"/>
                <w:highlight w:val="none"/>
                <w:lang w:eastAsia="zh-CN"/>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1755" w:type="dxa"/>
            <w:vAlign w:val="center"/>
          </w:tcPr>
          <w:p>
            <w:pPr>
              <w:jc w:val="center"/>
              <w:rPr>
                <w:rFonts w:hint="eastAsia" w:ascii="宋体" w:hAnsi="宋体"/>
              </w:rPr>
            </w:pPr>
            <w:r>
              <w:rPr>
                <w:rFonts w:hint="eastAsia" w:ascii="宋体" w:hAnsi="宋体"/>
              </w:rPr>
              <w:t>招标文件的澄清和修改</w:t>
            </w:r>
          </w:p>
        </w:tc>
        <w:tc>
          <w:tcPr>
            <w:tcW w:w="6795" w:type="dxa"/>
            <w:vAlign w:val="center"/>
          </w:tcPr>
          <w:p>
            <w:pPr>
              <w:jc w:val="left"/>
              <w:rPr>
                <w:rFonts w:hint="eastAsia" w:ascii="宋体" w:hAnsi="宋体"/>
              </w:rPr>
            </w:pPr>
            <w:r>
              <w:rPr>
                <w:rFonts w:hint="eastAsia" w:ascii="宋体" w:hAnsi="宋体"/>
              </w:rPr>
              <w:t>不晚于投标截止日三日前，投标人有义务在招标期间在政府集中采购机构网站浏览与本项目有关的澄清和修改信息。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2</w:t>
            </w:r>
            <w:r>
              <w:rPr>
                <w:rFonts w:ascii="宋体" w:hAnsi="宋体"/>
              </w:rPr>
              <w:t>0</w:t>
            </w:r>
          </w:p>
        </w:tc>
        <w:tc>
          <w:tcPr>
            <w:tcW w:w="1755" w:type="dxa"/>
            <w:vAlign w:val="center"/>
          </w:tcPr>
          <w:p>
            <w:pPr>
              <w:jc w:val="center"/>
              <w:rPr>
                <w:rFonts w:hint="eastAsia" w:ascii="宋体" w:hAnsi="宋体"/>
              </w:rPr>
            </w:pPr>
            <w:r>
              <w:rPr>
                <w:rFonts w:hint="eastAsia" w:ascii="宋体" w:hAnsi="宋体"/>
              </w:rPr>
              <w:t>投标有效期</w:t>
            </w:r>
          </w:p>
        </w:tc>
        <w:tc>
          <w:tcPr>
            <w:tcW w:w="6795" w:type="dxa"/>
            <w:vAlign w:val="center"/>
          </w:tcPr>
          <w:p>
            <w:pPr>
              <w:jc w:val="left"/>
              <w:rPr>
                <w:rFonts w:hint="eastAsia" w:ascii="宋体" w:hAnsi="宋体"/>
              </w:rPr>
            </w:pPr>
            <w:r>
              <w:rPr>
                <w:rFonts w:hint="eastAsia" w:ascii="宋体" w:hAnsi="宋体"/>
              </w:rPr>
              <w:t>120日历天（从投标截止之日算起）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2</w:t>
            </w:r>
            <w:r>
              <w:rPr>
                <w:rFonts w:ascii="宋体" w:hAnsi="宋体"/>
              </w:rPr>
              <w:t>2</w:t>
            </w:r>
          </w:p>
        </w:tc>
        <w:tc>
          <w:tcPr>
            <w:tcW w:w="1755" w:type="dxa"/>
            <w:vAlign w:val="center"/>
          </w:tcPr>
          <w:p>
            <w:pPr>
              <w:jc w:val="center"/>
              <w:rPr>
                <w:rFonts w:hint="eastAsia" w:ascii="宋体" w:hAnsi="宋体"/>
              </w:rPr>
            </w:pPr>
            <w:r>
              <w:rPr>
                <w:rFonts w:hint="eastAsia" w:ascii="宋体" w:hAnsi="宋体"/>
              </w:rPr>
              <w:t>投标人的替代方案</w:t>
            </w:r>
          </w:p>
        </w:tc>
        <w:tc>
          <w:tcPr>
            <w:tcW w:w="6795" w:type="dxa"/>
            <w:vAlign w:val="center"/>
          </w:tcPr>
          <w:p>
            <w:pPr>
              <w:jc w:val="left"/>
              <w:rPr>
                <w:rFonts w:hint="eastAsia" w:ascii="宋体" w:hAnsi="宋体"/>
              </w:rPr>
            </w:pPr>
            <w:r>
              <w:rPr>
                <w:rFonts w:hint="eastAsia" w:ascii="宋体" w:hAnsi="宋体"/>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2</w:t>
            </w:r>
            <w:r>
              <w:rPr>
                <w:rFonts w:ascii="宋体" w:hAnsi="宋体"/>
              </w:rPr>
              <w:t>5</w:t>
            </w:r>
          </w:p>
        </w:tc>
        <w:tc>
          <w:tcPr>
            <w:tcW w:w="1755" w:type="dxa"/>
            <w:vAlign w:val="center"/>
          </w:tcPr>
          <w:p>
            <w:pPr>
              <w:jc w:val="center"/>
              <w:rPr>
                <w:rFonts w:hint="eastAsia" w:ascii="宋体" w:hAnsi="宋体"/>
              </w:rPr>
            </w:pPr>
            <w:r>
              <w:rPr>
                <w:rFonts w:hint="eastAsia" w:ascii="宋体" w:hAnsi="宋体"/>
              </w:rPr>
              <w:t>投标文件的大小</w:t>
            </w:r>
          </w:p>
        </w:tc>
        <w:tc>
          <w:tcPr>
            <w:tcW w:w="6795" w:type="dxa"/>
            <w:vAlign w:val="center"/>
          </w:tcPr>
          <w:p>
            <w:pPr>
              <w:jc w:val="left"/>
              <w:rPr>
                <w:rFonts w:hint="eastAsia" w:ascii="宋体" w:hAnsi="宋体"/>
              </w:rPr>
            </w:pPr>
            <w:r>
              <w:rPr>
                <w:rFonts w:hint="eastAsia" w:ascii="宋体" w:hAnsi="宋体"/>
              </w:rPr>
              <w:t>投标文件大小不得超过100MB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2</w:t>
            </w:r>
            <w:r>
              <w:rPr>
                <w:rFonts w:ascii="宋体" w:hAnsi="宋体"/>
              </w:rPr>
              <w:t>6</w:t>
            </w:r>
          </w:p>
        </w:tc>
        <w:tc>
          <w:tcPr>
            <w:tcW w:w="1755" w:type="dxa"/>
            <w:vAlign w:val="center"/>
          </w:tcPr>
          <w:p>
            <w:pPr>
              <w:jc w:val="center"/>
              <w:rPr>
                <w:rFonts w:hint="eastAsia" w:ascii="宋体" w:hAnsi="宋体"/>
              </w:rPr>
            </w:pPr>
            <w:r>
              <w:rPr>
                <w:rFonts w:hint="eastAsia" w:ascii="宋体" w:hAnsi="宋体"/>
              </w:rPr>
              <w:t>样品、现场演示、方案讲解</w:t>
            </w:r>
          </w:p>
        </w:tc>
        <w:tc>
          <w:tcPr>
            <w:tcW w:w="6795" w:type="dxa"/>
            <w:vAlign w:val="center"/>
          </w:tcPr>
          <w:p>
            <w:pPr>
              <w:jc w:val="left"/>
              <w:rPr>
                <w:rFonts w:hint="eastAsia" w:ascii="宋体" w:hAnsi="宋体" w:eastAsiaTheme="minorEastAsia"/>
                <w:lang w:val="en-US" w:eastAsia="zh-CN"/>
              </w:rPr>
            </w:pPr>
            <w:r>
              <w:rPr>
                <w:rFonts w:hint="eastAsia" w:ascii="宋体" w:hAnsi="宋体"/>
                <w:lang w:val="en-US" w:eastAsia="zh-CN"/>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3</w:t>
            </w:r>
            <w:r>
              <w:rPr>
                <w:rFonts w:ascii="宋体" w:hAnsi="宋体"/>
              </w:rPr>
              <w:t>7</w:t>
            </w:r>
          </w:p>
        </w:tc>
        <w:tc>
          <w:tcPr>
            <w:tcW w:w="1755" w:type="dxa"/>
            <w:vAlign w:val="center"/>
          </w:tcPr>
          <w:p>
            <w:pPr>
              <w:jc w:val="center"/>
              <w:rPr>
                <w:rFonts w:hint="eastAsia" w:ascii="宋体" w:hAnsi="宋体"/>
              </w:rPr>
            </w:pPr>
            <w:r>
              <w:rPr>
                <w:rFonts w:hint="eastAsia" w:ascii="宋体" w:hAnsi="宋体"/>
              </w:rPr>
              <w:t>评审方法</w:t>
            </w:r>
          </w:p>
        </w:tc>
        <w:tc>
          <w:tcPr>
            <w:tcW w:w="6795" w:type="dxa"/>
            <w:vAlign w:val="center"/>
          </w:tcPr>
          <w:p>
            <w:pPr>
              <w:jc w:val="left"/>
              <w:rPr>
                <w:rFonts w:hint="eastAsia" w:ascii="宋体" w:hAnsi="宋体"/>
              </w:rPr>
            </w:pPr>
            <w:r>
              <w:rPr>
                <w:rFonts w:ascii="宋体" w:hAnsi="宋体"/>
                <w:b/>
                <w:bCs/>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3</w:t>
            </w:r>
            <w:r>
              <w:rPr>
                <w:rFonts w:ascii="宋体" w:hAnsi="宋体"/>
              </w:rPr>
              <w:t>8</w:t>
            </w:r>
          </w:p>
        </w:tc>
        <w:tc>
          <w:tcPr>
            <w:tcW w:w="1755" w:type="dxa"/>
            <w:vAlign w:val="center"/>
          </w:tcPr>
          <w:p>
            <w:pPr>
              <w:jc w:val="center"/>
              <w:rPr>
                <w:rFonts w:hint="eastAsia" w:ascii="宋体" w:hAnsi="宋体"/>
              </w:rPr>
            </w:pPr>
            <w:r>
              <w:rPr>
                <w:rFonts w:hint="eastAsia" w:ascii="宋体" w:hAnsi="宋体"/>
              </w:rPr>
              <w:t>定标方法</w:t>
            </w:r>
          </w:p>
        </w:tc>
        <w:tc>
          <w:tcPr>
            <w:tcW w:w="6795" w:type="dxa"/>
            <w:vAlign w:val="center"/>
          </w:tcPr>
          <w:p>
            <w:pPr>
              <w:jc w:val="left"/>
              <w:rPr>
                <w:rFonts w:hint="eastAsia" w:ascii="宋体" w:hAnsi="宋体"/>
                <w:b/>
                <w:bCs/>
                <w:highlight w:val="yellow"/>
              </w:rPr>
            </w:pPr>
            <w:r>
              <w:rPr>
                <w:rFonts w:hint="eastAsia" w:ascii="宋体" w:hAnsi="宋体" w:eastAsia="宋体" w:cs="Times New Roman"/>
                <w:b/>
                <w:bCs/>
                <w:szCs w:val="21"/>
                <w:highlight w:val="none"/>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4</w:t>
            </w:r>
            <w:r>
              <w:rPr>
                <w:rFonts w:ascii="宋体" w:hAnsi="宋体"/>
              </w:rPr>
              <w:t>6</w:t>
            </w:r>
          </w:p>
        </w:tc>
        <w:tc>
          <w:tcPr>
            <w:tcW w:w="1755" w:type="dxa"/>
            <w:vAlign w:val="center"/>
          </w:tcPr>
          <w:p>
            <w:pPr>
              <w:jc w:val="center"/>
              <w:rPr>
                <w:rFonts w:hint="eastAsia" w:ascii="宋体" w:hAnsi="宋体"/>
              </w:rPr>
            </w:pPr>
            <w:r>
              <w:rPr>
                <w:rFonts w:hint="eastAsia" w:ascii="宋体" w:hAnsi="宋体"/>
              </w:rPr>
              <w:t>履约担保</w:t>
            </w:r>
          </w:p>
        </w:tc>
        <w:tc>
          <w:tcPr>
            <w:tcW w:w="6795" w:type="dxa"/>
            <w:vAlign w:val="center"/>
          </w:tcPr>
          <w:p>
            <w:pPr>
              <w:jc w:val="left"/>
              <w:rPr>
                <w:rFonts w:hint="eastAsia" w:ascii="宋体" w:hAnsi="宋体"/>
              </w:rPr>
            </w:pPr>
            <w:r>
              <w:rPr>
                <w:rFonts w:hint="eastAsia" w:ascii="宋体" w:hAnsi="宋体"/>
              </w:rPr>
              <w:t>不需要</w:t>
            </w:r>
          </w:p>
        </w:tc>
      </w:tr>
      <w:bookmarkEnd w:id="4"/>
      <w:bookmarkEnd w:id="5"/>
      <w:bookmarkEnd w:id="6"/>
      <w:bookmarkEnd w:id="7"/>
      <w:bookmarkEnd w:id="8"/>
      <w:bookmarkEnd w:id="9"/>
      <w:bookmarkEnd w:id="10"/>
      <w:bookmarkEnd w:id="11"/>
    </w:tbl>
    <w:p>
      <w:pPr>
        <w:widowControl/>
        <w:jc w:val="center"/>
        <w:rPr>
          <w:szCs w:val="21"/>
        </w:rPr>
      </w:pPr>
      <w:r>
        <w:rPr>
          <w:rFonts w:hint="eastAsia"/>
          <w:szCs w:val="21"/>
        </w:rPr>
        <w:t>备注：本表是通用条款相关条款的补充和明确，如与通用条款内容相冲突的，以本表为准。</w:t>
      </w:r>
    </w:p>
    <w:p>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二、其他关键信息</w:t>
      </w:r>
    </w:p>
    <w:p>
      <w:pPr>
        <w:tabs>
          <w:tab w:val="left" w:pos="720"/>
        </w:tabs>
        <w:rPr>
          <w:rFonts w:hint="eastAsia" w:ascii="黑体" w:hAnsi="宋体" w:eastAsia="黑体"/>
          <w:sz w:val="24"/>
        </w:rPr>
      </w:pPr>
      <w:r>
        <w:rPr>
          <w:rFonts w:hint="eastAsia" w:ascii="黑体" w:hAnsi="宋体" w:eastAsia="黑体"/>
          <w:sz w:val="24"/>
        </w:rPr>
        <w:t>（一）</w:t>
      </w:r>
      <w:r>
        <w:rPr>
          <w:rFonts w:hint="eastAsia" w:ascii="黑体" w:hAnsi="宋体" w:eastAsia="黑体"/>
          <w:bCs/>
          <w:sz w:val="24"/>
        </w:rPr>
        <w:t>与“对通用条款的补充内容”章节相关的事项</w:t>
      </w:r>
    </w:p>
    <w:p>
      <w:pPr>
        <w:tabs>
          <w:tab w:val="left" w:pos="720"/>
        </w:tabs>
        <w:rPr>
          <w:rFonts w:hint="eastAsia" w:ascii="黑体" w:hAnsi="宋体" w:eastAsia="黑体"/>
          <w:bCs/>
          <w:sz w:val="24"/>
        </w:rPr>
      </w:pPr>
      <w:r>
        <w:rPr>
          <w:rFonts w:hint="eastAsia" w:ascii="黑体" w:hAnsi="宋体" w:eastAsia="黑体"/>
          <w:bCs/>
          <w:sz w:val="24"/>
        </w:rPr>
        <w:t>1、评标定标信息</w:t>
      </w:r>
    </w:p>
    <w:p>
      <w:pPr>
        <w:jc w:val="center"/>
      </w:pPr>
      <w:r>
        <w:rPr>
          <w:rFonts w:hint="eastAsia"/>
          <w:b/>
        </w:rPr>
        <w:t>非评定分离项目</w:t>
      </w:r>
    </w:p>
    <w:tbl>
      <w:tblPr>
        <w:tblStyle w:val="2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3235"/>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评标方法</w:t>
            </w:r>
          </w:p>
        </w:tc>
        <w:tc>
          <w:tcPr>
            <w:tcW w:w="3235" w:type="dxa"/>
          </w:tcPr>
          <w:p>
            <w:pPr>
              <w:jc w:val="center"/>
              <w:rPr>
                <w:rFonts w:eastAsia="宋体"/>
              </w:rPr>
            </w:pPr>
            <w:r>
              <w:rPr>
                <w:rFonts w:hint="eastAsia"/>
              </w:rPr>
              <w:sym w:font="Wingdings" w:char="00FE"/>
            </w:r>
            <w:r>
              <w:rPr>
                <w:rFonts w:hint="eastAsia"/>
              </w:rPr>
              <w:t>综合评分法</w:t>
            </w:r>
          </w:p>
        </w:tc>
        <w:tc>
          <w:tcPr>
            <w:tcW w:w="2450" w:type="dxa"/>
          </w:tcPr>
          <w:p>
            <w:pPr>
              <w:jc w:val="center"/>
            </w:pPr>
            <w:r>
              <w:rPr>
                <w:rFonts w:hint="eastAsia" w:ascii="Times New Roman" w:eastAsia="宋体"/>
              </w:rPr>
              <w:sym w:font="Wingdings" w:char="00A8"/>
            </w:r>
            <w:r>
              <w:rPr>
                <w:rFonts w:hint="eastAsia" w:ascii="Times New Roman" w:eastAsia="宋体"/>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候选中标供应商家数</w:t>
            </w:r>
          </w:p>
        </w:tc>
        <w:tc>
          <w:tcPr>
            <w:tcW w:w="3235" w:type="dxa"/>
          </w:tcPr>
          <w:p>
            <w:pPr>
              <w:jc w:val="center"/>
              <w:rPr>
                <w:rFonts w:eastAsia="宋体"/>
              </w:rPr>
            </w:pPr>
            <w:r>
              <w:rPr>
                <w:rFonts w:hint="eastAsia" w:eastAsia="宋体"/>
              </w:rPr>
              <w:t>3</w:t>
            </w:r>
          </w:p>
        </w:tc>
        <w:tc>
          <w:tcPr>
            <w:tcW w:w="2450" w:type="dxa"/>
          </w:tcPr>
          <w:p>
            <w:pPr>
              <w:jc w:val="center"/>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中标供应商家数</w:t>
            </w:r>
          </w:p>
        </w:tc>
        <w:tc>
          <w:tcPr>
            <w:tcW w:w="3235" w:type="dxa"/>
          </w:tcPr>
          <w:p>
            <w:pPr>
              <w:jc w:val="center"/>
            </w:pPr>
            <w:r>
              <w:rPr>
                <w:rFonts w:hint="eastAsia"/>
              </w:rPr>
              <w:t>1</w:t>
            </w:r>
          </w:p>
        </w:tc>
        <w:tc>
          <w:tcPr>
            <w:tcW w:w="2450" w:type="dxa"/>
          </w:tcPr>
          <w:p>
            <w:pPr>
              <w:jc w:val="center"/>
            </w:pPr>
            <w:r>
              <w:rPr>
                <w:rFonts w:hint="eastAsia"/>
              </w:rPr>
              <w:t>1</w:t>
            </w:r>
          </w:p>
        </w:tc>
      </w:tr>
    </w:tbl>
    <w:p>
      <w:pPr>
        <w:tabs>
          <w:tab w:val="left" w:pos="720"/>
        </w:tabs>
        <w:rPr>
          <w:rFonts w:hint="eastAsia" w:ascii="黑体" w:hAnsi="宋体" w:eastAsia="黑体"/>
          <w:sz w:val="24"/>
        </w:rPr>
      </w:pPr>
      <w:r>
        <w:rPr>
          <w:rFonts w:hint="eastAsia" w:ascii="黑体" w:hAnsi="宋体" w:eastAsia="黑体"/>
          <w:sz w:val="24"/>
        </w:rPr>
        <w:t>（二）其他事项</w:t>
      </w:r>
    </w:p>
    <w:p>
      <w:pPr>
        <w:tabs>
          <w:tab w:val="left" w:pos="720"/>
        </w:tabs>
        <w:rPr>
          <w:rFonts w:hint="eastAsia" w:ascii="黑体" w:hAnsi="宋体" w:eastAsia="黑体"/>
          <w:sz w:val="24"/>
        </w:rPr>
      </w:pPr>
      <w:r>
        <w:rPr>
          <w:rFonts w:hint="eastAsia" w:ascii="黑体" w:hAnsi="宋体" w:eastAsia="黑体"/>
          <w:sz w:val="24"/>
        </w:rPr>
        <w:t>1、关于享受优惠政策的主体、价格扣除比例及采购标的所属行业</w:t>
      </w:r>
    </w:p>
    <w:p>
      <w:pPr>
        <w:ind w:firstLine="413" w:firstLineChars="196"/>
        <w:rPr>
          <w:rFonts w:hint="eastAsia" w:ascii="宋体" w:hAnsi="宋体"/>
          <w:color w:val="FF0000"/>
        </w:rPr>
      </w:pPr>
      <w:r>
        <w:rPr>
          <w:rFonts w:hint="eastAsia" w:ascii="宋体" w:hAnsi="宋体"/>
          <w:b/>
          <w:bCs/>
          <w:color w:val="FF0000"/>
          <w:highlight w:val="yellow"/>
        </w:rPr>
        <w:t>（1）</w:t>
      </w:r>
      <w:r>
        <w:rPr>
          <w:rFonts w:hint="eastAsia"/>
          <w:b/>
          <w:bCs/>
          <w:color w:val="FF0000"/>
          <w:highlight w:val="yellow"/>
        </w:rPr>
        <w:t>专门面向中小企业采购的项目（包括联合体或分包预留中小企业份额的项目），不再执行价格扣除比例。</w:t>
      </w:r>
    </w:p>
    <w:p>
      <w:pPr>
        <w:ind w:firstLine="411" w:firstLineChars="196"/>
        <w:rPr>
          <w:rFonts w:ascii="Arial" w:hAnsi="Arial" w:eastAsia="宋体" w:cs="Times New Roman"/>
          <w:b/>
          <w:color w:val="0000FF"/>
          <w:szCs w:val="21"/>
          <w:highlight w:val="yellow"/>
        </w:rPr>
      </w:pPr>
      <w:r>
        <w:rPr>
          <w:rFonts w:hint="eastAsia" w:ascii="宋体" w:hAnsi="宋体"/>
          <w:highlight w:val="none"/>
        </w:rPr>
        <w:t>（2）</w:t>
      </w:r>
      <w:r>
        <w:rPr>
          <w:rFonts w:hint="eastAsia"/>
          <w:highlight w:val="none"/>
        </w:rPr>
        <w:t>非</w:t>
      </w:r>
      <w:r>
        <w:rPr>
          <w:rFonts w:hint="eastAsia" w:ascii="Times New Roman" w:eastAsia="宋体"/>
          <w:highlight w:val="none"/>
        </w:rPr>
        <w:t>专门面向中小企业采购的项目，</w:t>
      </w:r>
      <w:r>
        <w:rPr>
          <w:rFonts w:hint="eastAsia"/>
          <w:highlight w:val="none"/>
        </w:rPr>
        <w:t>应</w:t>
      </w:r>
      <w:r>
        <w:rPr>
          <w:rFonts w:hint="eastAsia" w:ascii="Times New Roman" w:eastAsia="宋体"/>
          <w:highlight w:val="none"/>
        </w:rPr>
        <w:t>执行价格扣除比例</w:t>
      </w:r>
      <w:r>
        <w:rPr>
          <w:rFonts w:hint="eastAsia"/>
          <w:highlight w:val="none"/>
        </w:rPr>
        <w:t>：</w:t>
      </w:r>
      <w:r>
        <w:rPr>
          <w:rFonts w:hint="eastAsia" w:ascii="宋体" w:hAnsi="宋体"/>
          <w:highlight w:val="none"/>
        </w:rPr>
        <w:t>投标人提供的货物（以招标文件用户需求书“货物需求明细”的“货物名称”一栏为准）全部均由优惠主体制造的，对其投标总价给予</w:t>
      </w:r>
      <w:r>
        <w:rPr>
          <w:rFonts w:hint="eastAsia" w:ascii="宋体" w:hAnsi="宋体"/>
          <w:b/>
          <w:bCs/>
          <w:highlight w:val="none"/>
          <w:u w:val="single"/>
        </w:rPr>
        <w:t xml:space="preserve"> </w:t>
      </w:r>
      <w:r>
        <w:rPr>
          <w:rFonts w:hint="eastAsia" w:ascii="宋体" w:hAnsi="宋体"/>
          <w:b/>
          <w:bCs/>
          <w:highlight w:val="none"/>
          <w:u w:val="single"/>
          <w:lang w:val="en-US" w:eastAsia="zh-CN"/>
        </w:rPr>
        <w:t>10%</w:t>
      </w:r>
      <w:r>
        <w:rPr>
          <w:rFonts w:hint="eastAsia" w:ascii="宋体" w:hAnsi="宋体" w:eastAsia="宋体" w:cs="Times New Roman"/>
          <w:b/>
          <w:bCs/>
          <w:sz w:val="24"/>
          <w:szCs w:val="24"/>
          <w:highlight w:val="none"/>
          <w:u w:val="single"/>
        </w:rPr>
        <w:t xml:space="preserve"> </w:t>
      </w:r>
      <w:r>
        <w:rPr>
          <w:rFonts w:hint="eastAsia" w:ascii="宋体" w:hAnsi="宋体"/>
          <w:b/>
          <w:bCs/>
          <w:highlight w:val="none"/>
        </w:rPr>
        <w:t>的</w:t>
      </w:r>
      <w:r>
        <w:rPr>
          <w:rFonts w:hint="eastAsia" w:ascii="宋体" w:hAnsi="宋体"/>
          <w:highlight w:val="none"/>
        </w:rPr>
        <w:t>扣除，用扣除后的价格参与评审。满足多项优惠政策的企业，不重复享受多项价格扣除政策。</w:t>
      </w:r>
      <w:r>
        <w:rPr>
          <w:rFonts w:hint="eastAsia" w:ascii="Arial" w:hAnsi="Arial" w:eastAsia="宋体" w:cs="Times New Roman"/>
          <w:b/>
          <w:szCs w:val="21"/>
          <w:highlight w:val="none"/>
        </w:rPr>
        <w:t>政策调整后价格仅作为评审依据，不作为中标价格。</w:t>
      </w:r>
    </w:p>
    <w:p>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备注：</w:t>
      </w:r>
      <w:r>
        <w:rPr>
          <w:rFonts w:hint="eastAsia" w:asciiTheme="minorEastAsia" w:hAnsiTheme="minorEastAsia" w:cstheme="minorEastAsia"/>
          <w:b/>
          <w:bCs/>
          <w:szCs w:val="21"/>
        </w:rPr>
        <w:t>（a）</w:t>
      </w:r>
      <w:r>
        <w:rPr>
          <w:rFonts w:hint="eastAsia" w:asciiTheme="minorEastAsia" w:hAnsiTheme="minorEastAsia" w:cstheme="minorEastAsia"/>
          <w:szCs w:val="21"/>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宋体" w:hAnsi="宋体"/>
        </w:rPr>
        <w:t>根据《财政部 司法部关于政府采购支持监狱企业发展有关问题的通知》(财库〔2014〕68号)，在政府采购活动中，监狱企业视同小型、微型企业；根据《关于促进残疾人就业政府采购政策的通知》(财库〔2017〕141号)，在政府采购活动中，残疾人福利性单位视同小型、微型企业；</w:t>
      </w:r>
      <w:r>
        <w:rPr>
          <w:rFonts w:hint="eastAsia" w:asciiTheme="minorEastAsia" w:hAnsiTheme="minorEastAsia" w:cstheme="minorEastAsia"/>
          <w:b/>
          <w:bCs/>
          <w:szCs w:val="21"/>
        </w:rPr>
        <w:t>(b)</w:t>
      </w:r>
      <w:r>
        <w:rPr>
          <w:rFonts w:hint="eastAsia" w:asciiTheme="minorEastAsia" w:hAnsiTheme="minorEastAsia" w:cstheme="minorEastAsia"/>
          <w:szCs w:val="21"/>
        </w:rPr>
        <w:t>优惠主体制造是指货物由优惠主体生产且使用该优惠主体商号或者注册商标；投标人提供的货物既有优惠主体制造货物，又有非优惠主体制造货物的，不给予价格扣除。</w:t>
      </w:r>
    </w:p>
    <w:p>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（3）</w:t>
      </w:r>
      <w:bookmarkStart w:id="12" w:name="_Hlk71970739"/>
      <w:r>
        <w:rPr>
          <w:rFonts w:hint="eastAsia" w:asciiTheme="minorEastAsia" w:hAnsiTheme="minorEastAsia" w:cstheme="minorEastAsia"/>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中小企业声明函》中相关企业（货物制造商）所属行业应当与采购标的所属行业相一致，标的所属行业以招标文件第一册第三章用户需求书“货物清单明细”的“标的所属行业”一栏为准。</w:t>
      </w:r>
      <w:bookmarkEnd w:id="12"/>
    </w:p>
    <w:p>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4）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（5）享受价格扣除获得政府采购合同的，小微企业不得将合同分包给大中型企业。</w:t>
      </w:r>
    </w:p>
    <w:p>
      <w:pPr>
        <w:tabs>
          <w:tab w:val="left" w:pos="720"/>
        </w:tabs>
        <w:ind w:firstLine="480" w:firstLineChars="200"/>
        <w:rPr>
          <w:rFonts w:hint="eastAsia" w:ascii="黑体" w:hAnsi="宋体" w:eastAsia="黑体"/>
          <w:sz w:val="24"/>
        </w:rPr>
      </w:pPr>
    </w:p>
    <w:p>
      <w:pPr>
        <w:tabs>
          <w:tab w:val="left" w:pos="720"/>
        </w:tabs>
        <w:rPr>
          <w:rFonts w:hint="eastAsia" w:ascii="宋体" w:hAnsi="宋体"/>
          <w:b/>
          <w:bCs/>
          <w:color w:val="FF0000"/>
        </w:rPr>
      </w:pPr>
      <w:r>
        <w:rPr>
          <w:rFonts w:hint="eastAsia" w:ascii="宋体" w:hAnsi="宋体" w:eastAsia="宋体" w:cs="宋体"/>
          <w:b/>
          <w:bCs/>
          <w:szCs w:val="24"/>
        </w:rPr>
        <w:t>2.</w:t>
      </w:r>
      <w:r>
        <w:rPr>
          <w:rFonts w:ascii="宋体" w:hAnsi="宋体"/>
          <w:b/>
          <w:bCs/>
          <w:color w:val="FF0000"/>
        </w:rPr>
        <w:t>本项目为代理服务项目，将向中标</w:t>
      </w:r>
      <w:r>
        <w:rPr>
          <w:rFonts w:hint="eastAsia" w:ascii="宋体" w:hAnsi="宋体"/>
          <w:b/>
          <w:bCs/>
          <w:color w:val="FF0000"/>
        </w:rPr>
        <w:t>（成交）</w:t>
      </w:r>
      <w:r>
        <w:rPr>
          <w:rFonts w:ascii="宋体" w:hAnsi="宋体"/>
          <w:b/>
          <w:bCs/>
          <w:color w:val="FF0000"/>
        </w:rPr>
        <w:t>供应商收取代理服务费</w:t>
      </w:r>
      <w:r>
        <w:rPr>
          <w:rFonts w:hint="eastAsia" w:ascii="宋体" w:hAnsi="宋体"/>
          <w:b/>
          <w:bCs/>
          <w:color w:val="FF0000"/>
        </w:rPr>
        <w:t>。</w:t>
      </w:r>
    </w:p>
    <w:p>
      <w:pPr>
        <w:widowControl/>
        <w:ind w:firstLine="420"/>
        <w:jc w:val="left"/>
        <w:rPr>
          <w:rFonts w:hint="eastAsia" w:ascii="宋体" w:hAnsi="宋体"/>
          <w:color w:val="FF0000"/>
          <w:szCs w:val="21"/>
        </w:rPr>
      </w:pPr>
      <w:r>
        <w:rPr>
          <w:rFonts w:hint="eastAsia" w:ascii="宋体" w:hAnsi="宋体"/>
          <w:color w:val="FF0000"/>
          <w:szCs w:val="21"/>
        </w:rPr>
        <w:t>中标（成交）供应商在领取《中标（成交）通知书》之前须向深圳公共资源交易中心（深圳交易集团有限公司龙华分公司）交纳代理服务费。若因中标（成交）供应商交纳代理服务费所产生的时间影响到合同签订的，由中标（成交）供应商自行承担责任。代理服务费标准参照下列标准收取。本项目类型为</w:t>
      </w:r>
      <w:r>
        <w:rPr>
          <w:rFonts w:hint="eastAsia" w:ascii="宋体" w:hAnsi="宋体"/>
          <w:b/>
          <w:bCs/>
          <w:color w:val="FF0000"/>
          <w:szCs w:val="21"/>
          <w:u w:val="single"/>
        </w:rPr>
        <w:t>货物采购</w:t>
      </w:r>
      <w:r>
        <w:rPr>
          <w:rFonts w:hint="eastAsia" w:ascii="宋体" w:hAnsi="宋体"/>
          <w:color w:val="FF0000"/>
          <w:szCs w:val="21"/>
        </w:rPr>
        <w:t>：</w:t>
      </w:r>
    </w:p>
    <w:p>
      <w:pPr>
        <w:widowControl/>
        <w:ind w:firstLine="420"/>
        <w:jc w:val="left"/>
        <w:rPr>
          <w:rFonts w:hint="eastAsia" w:ascii="宋体" w:hAnsi="宋体"/>
          <w:color w:val="FF0000"/>
          <w:szCs w:val="21"/>
        </w:rPr>
      </w:pPr>
      <w:r>
        <w:rPr>
          <w:rFonts w:hint="eastAsia" w:ascii="宋体" w:hAnsi="宋体"/>
          <w:color w:val="FF0000"/>
          <w:szCs w:val="21"/>
        </w:rPr>
        <w:t>（1）代理服务费以《中标（成交）通知书》确定的中标（成交）金额作为计算基数，按差额定率累进法计算。</w:t>
      </w:r>
    </w:p>
    <w:p>
      <w:pPr>
        <w:widowControl/>
        <w:ind w:firstLine="420"/>
        <w:jc w:val="left"/>
        <w:rPr>
          <w:rFonts w:hint="eastAsia" w:ascii="宋体" w:hAnsi="宋体"/>
          <w:color w:val="FF0000"/>
          <w:szCs w:val="21"/>
        </w:rPr>
      </w:pPr>
      <w:r>
        <w:rPr>
          <w:rFonts w:hint="eastAsia" w:ascii="宋体" w:hAnsi="宋体"/>
          <w:color w:val="FF0000"/>
          <w:szCs w:val="21"/>
        </w:rPr>
        <w:t>（2）中标（成交）金额的各部分费率如下表：</w:t>
      </w:r>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中标（成交）金额</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货物采购</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服务采购</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100万元以下</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1.5%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1.5%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100万元（含）-500万元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1.1%</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0.8%</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500万元（含）-1000万元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0.8%</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0.45%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1000万元（含）-5000万元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0.25%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5000万元（含）-1亿元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0.25%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0.1%</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1亿元（含）-5亿元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5亿元（含）-10亿元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0.035%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0.035%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10亿元（含）-50亿元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0.008%</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0.008%</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50亿元（含）-100亿元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0.006%</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0.006%</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100亿元（含）以上</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0.004%</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0.004%</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0.004%</w:t>
            </w:r>
          </w:p>
        </w:tc>
      </w:tr>
    </w:tbl>
    <w:p>
      <w:pPr>
        <w:widowControl/>
        <w:ind w:firstLine="420"/>
        <w:jc w:val="left"/>
        <w:rPr>
          <w:rFonts w:hint="eastAsia" w:ascii="宋体" w:hAnsi="宋体"/>
          <w:color w:val="FF0000"/>
          <w:szCs w:val="21"/>
        </w:rPr>
      </w:pPr>
      <w:r>
        <w:rPr>
          <w:rFonts w:hint="eastAsia" w:ascii="宋体" w:hAnsi="宋体"/>
          <w:color w:val="FF0000"/>
          <w:szCs w:val="21"/>
        </w:rPr>
        <w:t>备注：1.每宗交易代理服务费不低于 5000 元；</w:t>
      </w:r>
    </w:p>
    <w:p>
      <w:pPr>
        <w:widowControl/>
        <w:ind w:firstLine="420"/>
        <w:jc w:val="left"/>
        <w:rPr>
          <w:rFonts w:hint="eastAsia" w:ascii="宋体" w:hAnsi="宋体"/>
          <w:color w:val="FF0000"/>
          <w:szCs w:val="21"/>
        </w:rPr>
      </w:pPr>
      <w:r>
        <w:rPr>
          <w:rFonts w:hint="eastAsia" w:ascii="宋体" w:hAnsi="宋体"/>
          <w:color w:val="FF0000"/>
          <w:szCs w:val="21"/>
        </w:rPr>
        <w:t>2.对于报总价的采购类项目，中标（成交）价为中标（成交）金额；对于报单价或折扣或费率的采购类项目，中标（成交）价为预算上限金额或经委托方与代理方确定的支付上限金额。</w:t>
      </w:r>
    </w:p>
    <w:p>
      <w:pPr>
        <w:widowControl/>
        <w:ind w:firstLine="420"/>
        <w:jc w:val="left"/>
        <w:rPr>
          <w:rFonts w:hint="eastAsia" w:ascii="宋体" w:hAnsi="宋体"/>
          <w:color w:val="FF0000"/>
          <w:szCs w:val="21"/>
        </w:rPr>
      </w:pPr>
      <w:r>
        <w:rPr>
          <w:rFonts w:hint="eastAsia" w:ascii="宋体" w:hAnsi="宋体"/>
          <w:color w:val="FF0000"/>
          <w:szCs w:val="21"/>
        </w:rPr>
        <w:t>如某货物采购项目，中标（成交）金额为600万元，总共交纳的代理服务费的具体计算过程如下：</w:t>
      </w:r>
    </w:p>
    <w:p>
      <w:pPr>
        <w:widowControl/>
        <w:ind w:firstLine="420"/>
        <w:jc w:val="left"/>
        <w:rPr>
          <w:rFonts w:hint="eastAsia" w:ascii="宋体" w:hAnsi="宋体"/>
          <w:color w:val="FF0000"/>
          <w:szCs w:val="21"/>
        </w:rPr>
      </w:pPr>
      <w:r>
        <w:rPr>
          <w:rFonts w:hint="eastAsia" w:ascii="宋体" w:hAnsi="宋体"/>
          <w:color w:val="FF0000"/>
          <w:szCs w:val="21"/>
        </w:rPr>
        <w:t>标准代理服务费＝（100万以下部分的代理服务费）+（100万～500万部分的代理服务费）+（500万～600万部分的代理服务费）＝100万元×1.5%+（500-100）万元×1.1%+（600-500）万元×0.8%=1.5万元+4.4万元+0.8万元＝6.7万元</w:t>
      </w:r>
    </w:p>
    <w:p>
      <w:pPr>
        <w:widowControl/>
        <w:ind w:firstLine="420"/>
        <w:jc w:val="left"/>
        <w:rPr>
          <w:rFonts w:hint="eastAsia" w:ascii="宋体" w:hAnsi="宋体" w:eastAsia="黑体" w:cs="Times New Roman"/>
          <w:bCs/>
          <w:kern w:val="44"/>
          <w:szCs w:val="21"/>
        </w:rPr>
      </w:pPr>
      <w:r>
        <w:rPr>
          <w:rFonts w:hint="eastAsia" w:ascii="宋体" w:hAnsi="宋体"/>
          <w:color w:val="FF0000"/>
          <w:szCs w:val="21"/>
        </w:rPr>
        <w:t>（3）中标（成交）供应商成交后，必须按规定采用银行对公转账方式向深圳交易集团有限公司直接交纳代理服务费，交纳信息及要求按照缴款（付款）通知书执行。</w:t>
      </w:r>
    </w:p>
    <w:p>
      <w:pPr>
        <w:widowControl/>
        <w:ind w:firstLine="420"/>
        <w:jc w:val="left"/>
        <w:rPr>
          <w:rFonts w:hint="eastAsia" w:ascii="宋体" w:hAnsi="宋体"/>
          <w:color w:val="FF0000"/>
          <w:szCs w:val="21"/>
        </w:rPr>
      </w:pPr>
    </w:p>
    <w:p>
      <w:pPr>
        <w:widowControl/>
        <w:ind w:firstLine="420"/>
        <w:jc w:val="left"/>
        <w:rPr>
          <w:rFonts w:hint="eastAsia" w:ascii="宋体" w:hAnsi="宋体" w:eastAsia="黑体" w:cs="Times New Roman"/>
          <w:bCs/>
          <w:kern w:val="44"/>
          <w:szCs w:val="21"/>
        </w:rPr>
      </w:pPr>
    </w:p>
    <w:p>
      <w:pPr>
        <w:widowControl/>
        <w:jc w:val="left"/>
        <w:rPr>
          <w:rFonts w:hint="eastAsia" w:ascii="宋体" w:hAnsi="宋体" w:eastAsia="黑体" w:cs="Times New Roman"/>
          <w:bCs/>
          <w:kern w:val="44"/>
          <w:sz w:val="28"/>
          <w:szCs w:val="44"/>
        </w:rPr>
      </w:pPr>
      <w:r>
        <w:rPr>
          <w:rFonts w:ascii="宋体" w:hAnsi="宋体" w:eastAsia="黑体" w:cs="Times New Roman"/>
          <w:bCs/>
          <w:kern w:val="44"/>
          <w:sz w:val="28"/>
          <w:szCs w:val="44"/>
        </w:rPr>
        <w:br w:type="page"/>
      </w:r>
    </w:p>
    <w:p>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第三章 用户需求书</w:t>
      </w:r>
    </w:p>
    <w:p>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一、项目基本信息</w:t>
      </w:r>
    </w:p>
    <w:tbl>
      <w:tblPr>
        <w:tblStyle w:val="19"/>
        <w:tblW w:w="8931" w:type="dxa"/>
        <w:jc w:val="center"/>
        <w:tblLayout w:type="fixed"/>
        <w:tblCellMar>
          <w:top w:w="15" w:type="dxa"/>
          <w:left w:w="15" w:type="dxa"/>
          <w:bottom w:w="15" w:type="dxa"/>
          <w:right w:w="15" w:type="dxa"/>
        </w:tblCellMar>
      </w:tblPr>
      <w:tblGrid>
        <w:gridCol w:w="710"/>
        <w:gridCol w:w="2693"/>
        <w:gridCol w:w="2906"/>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0" w:themeFill="text2" w:themeFillTint="33"/>
            <w:vAlign w:val="center"/>
          </w:tcPr>
          <w:p>
            <w:pPr>
              <w:jc w:val="center"/>
            </w:pPr>
            <w:r>
              <w:rPr>
                <w:rFonts w:hint="eastAsia"/>
              </w:rPr>
              <w:t>序号</w:t>
            </w:r>
          </w:p>
        </w:tc>
        <w:tc>
          <w:tcPr>
            <w:tcW w:w="2693" w:type="dxa"/>
            <w:tcBorders>
              <w:top w:val="single" w:color="000000" w:sz="4" w:space="0"/>
              <w:left w:val="single" w:color="auto" w:sz="4" w:space="0"/>
              <w:bottom w:val="single" w:color="000000" w:sz="4" w:space="0"/>
              <w:right w:val="single" w:color="000000" w:sz="4" w:space="0"/>
            </w:tcBorders>
            <w:shd w:val="clear" w:color="auto" w:fill="C6D9F0" w:themeFill="text2" w:themeFillTint="33"/>
            <w:vAlign w:val="center"/>
          </w:tcPr>
          <w:p>
            <w:pPr>
              <w:jc w:val="center"/>
            </w:pPr>
            <w:r>
              <w:rPr>
                <w:rFonts w:hint="eastAsia"/>
              </w:rPr>
              <w:t>项目编号</w:t>
            </w:r>
          </w:p>
        </w:tc>
        <w:tc>
          <w:tcPr>
            <w:tcW w:w="2906"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pPr>
              <w:jc w:val="center"/>
            </w:pPr>
            <w:r>
              <w:rPr>
                <w:rFonts w:hint="eastAsia"/>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pPr>
              <w:jc w:val="center"/>
            </w:pPr>
            <w:r>
              <w:rPr>
                <w:rFonts w:hint="eastAsia" w:asciiTheme="minorEastAsia" w:hAnsiTheme="minorEastAsia"/>
                <w:sz w:val="24"/>
                <w:szCs w:val="24"/>
              </w:rPr>
              <w:t>财政预算限额（元）</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Theme="minorEastAsia" w:hAnsiTheme="minorEastAsia"/>
                <w:sz w:val="24"/>
                <w:szCs w:val="24"/>
              </w:rPr>
            </w:pPr>
            <w:r>
              <w:rPr>
                <w:rFonts w:hint="eastAsia" w:asciiTheme="minorEastAsia" w:hAnsiTheme="minorEastAsia"/>
                <w:sz w:val="24"/>
                <w:szCs w:val="24"/>
              </w:rPr>
              <w:t>1</w:t>
            </w:r>
          </w:p>
        </w:tc>
        <w:tc>
          <w:tcPr>
            <w:tcW w:w="2693" w:type="dxa"/>
            <w:tcBorders>
              <w:top w:val="single" w:color="000000" w:sz="4" w:space="0"/>
              <w:left w:val="single" w:color="auto" w:sz="4" w:space="0"/>
              <w:bottom w:val="single" w:color="000000" w:sz="4" w:space="0"/>
              <w:right w:val="single" w:color="000000" w:sz="4" w:space="0"/>
            </w:tcBorders>
            <w:vAlign w:val="center"/>
          </w:tcPr>
          <w:p>
            <w:pPr>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 xml:space="preserve"> LHAZXCG-2025-00053</w:t>
            </w:r>
          </w:p>
        </w:tc>
        <w:tc>
          <w:tcPr>
            <w:tcW w:w="2906" w:type="dxa"/>
            <w:tcBorders>
              <w:top w:val="single" w:color="000000" w:sz="4" w:space="0"/>
              <w:left w:val="single" w:color="000000" w:sz="4" w:space="0"/>
              <w:right w:val="single" w:color="000000" w:sz="4" w:space="0"/>
            </w:tcBorders>
            <w:vAlign w:val="center"/>
          </w:tcPr>
          <w:p>
            <w:pPr>
              <w:jc w:val="center"/>
              <w:rPr>
                <w:rFonts w:hint="eastAsia" w:eastAsia="宋体"/>
                <w:lang w:eastAsia="zh-CN"/>
              </w:rPr>
            </w:pPr>
            <w:r>
              <w:rPr>
                <w:rFonts w:hint="eastAsia" w:eastAsia="宋体"/>
                <w:lang w:eastAsia="zh-CN"/>
              </w:rPr>
              <w:t>人民路学校(</w:t>
            </w:r>
            <w:r>
              <w:rPr>
                <w:rFonts w:hint="eastAsia" w:eastAsia="宋体"/>
                <w:lang w:val="en-US" w:eastAsia="zh-CN"/>
              </w:rPr>
              <w:t>扩班设备采购</w:t>
            </w:r>
            <w:r>
              <w:rPr>
                <w:rFonts w:hint="eastAsia" w:eastAsia="宋体"/>
                <w:lang w:eastAsia="zh-CN"/>
              </w:rPr>
              <w:t>)</w:t>
            </w:r>
          </w:p>
        </w:tc>
        <w:tc>
          <w:tcPr>
            <w:tcW w:w="2622" w:type="dxa"/>
            <w:vMerge w:val="restart"/>
            <w:tcBorders>
              <w:top w:val="single" w:color="000000" w:sz="4" w:space="0"/>
              <w:left w:val="single" w:color="000000" w:sz="4" w:space="0"/>
              <w:right w:val="single" w:color="000000" w:sz="4" w:space="0"/>
            </w:tcBorders>
            <w:vAlign w:val="center"/>
          </w:tcPr>
          <w:p>
            <w:pPr>
              <w:jc w:val="center"/>
              <w:rPr>
                <w:rFonts w:hint="default" w:asciiTheme="minorEastAsia" w:hAnsiTheme="minorEastAsia" w:eastAsiaTheme="minorEastAsia"/>
                <w:sz w:val="24"/>
                <w:szCs w:val="24"/>
                <w:lang w:val="en-US" w:eastAsia="zh-CN"/>
              </w:rPr>
            </w:pPr>
            <w:r>
              <w:rPr>
                <w:rFonts w:hint="default" w:asciiTheme="minorEastAsia" w:hAnsiTheme="minorEastAsia" w:eastAsiaTheme="minorEastAsia"/>
                <w:sz w:val="24"/>
                <w:szCs w:val="24"/>
                <w:lang w:val="en-US" w:eastAsia="zh-CN"/>
              </w:rPr>
              <w:t>962550.00</w:t>
            </w:r>
          </w:p>
        </w:tc>
      </w:tr>
      <w:tr>
        <w:tblPrEx>
          <w:tblCellMar>
            <w:top w:w="15" w:type="dxa"/>
            <w:left w:w="15" w:type="dxa"/>
            <w:bottom w:w="15" w:type="dxa"/>
            <w:right w:w="15" w:type="dxa"/>
          </w:tblCellMar>
        </w:tblPrEx>
        <w:trPr>
          <w:trHeight w:val="172" w:hRule="atLeast"/>
          <w:jc w:val="center"/>
        </w:trPr>
        <w:tc>
          <w:tcPr>
            <w:tcW w:w="6309" w:type="dxa"/>
            <w:gridSpan w:val="3"/>
            <w:tcBorders>
              <w:top w:val="single" w:color="000000" w:sz="4" w:space="0"/>
              <w:left w:val="single" w:color="000000" w:sz="4" w:space="0"/>
              <w:bottom w:val="single" w:color="auto" w:sz="4" w:space="0"/>
              <w:right w:val="single" w:color="000000" w:sz="4" w:space="0"/>
            </w:tcBorders>
            <w:vAlign w:val="center"/>
          </w:tcPr>
          <w:p>
            <w:pPr>
              <w:jc w:val="center"/>
            </w:pPr>
            <w:r>
              <w:rPr>
                <w:rFonts w:hint="eastAsia"/>
              </w:rPr>
              <w:t>合计（元）</w:t>
            </w:r>
          </w:p>
        </w:tc>
        <w:tc>
          <w:tcPr>
            <w:tcW w:w="2622" w:type="dxa"/>
            <w:vMerge w:val="continue"/>
            <w:tcBorders>
              <w:left w:val="single" w:color="000000" w:sz="4" w:space="0"/>
              <w:bottom w:val="single" w:color="auto" w:sz="4" w:space="0"/>
              <w:right w:val="single" w:color="000000" w:sz="4" w:space="0"/>
            </w:tcBorders>
            <w:vAlign w:val="center"/>
          </w:tcPr>
          <w:p>
            <w:pPr>
              <w:jc w:val="center"/>
              <w:rPr>
                <w:rFonts w:hint="eastAsia" w:asciiTheme="minorEastAsia" w:hAnsiTheme="minorEastAsia"/>
                <w:sz w:val="24"/>
                <w:szCs w:val="24"/>
              </w:rPr>
            </w:pPr>
          </w:p>
        </w:tc>
      </w:tr>
    </w:tbl>
    <w:p>
      <w:pPr>
        <w:rPr>
          <w:sz w:val="24"/>
          <w:szCs w:val="24"/>
        </w:rPr>
      </w:pPr>
    </w:p>
    <w:p>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二、</w:t>
      </w:r>
      <w:r>
        <w:rPr>
          <w:rFonts w:hint="eastAsia" w:ascii="Arial" w:hAnsi="Arial" w:eastAsia="宋体" w:cs="Times New Roman"/>
          <w:b/>
          <w:color w:val="FF0000"/>
          <w:sz w:val="32"/>
          <w:szCs w:val="32"/>
        </w:rPr>
        <w:t>★</w:t>
      </w:r>
      <w:r>
        <w:rPr>
          <w:rFonts w:hint="eastAsia" w:ascii="Arial" w:hAnsi="Arial" w:eastAsia="宋体" w:cs="Times New Roman"/>
          <w:b/>
          <w:sz w:val="32"/>
          <w:szCs w:val="32"/>
        </w:rPr>
        <w:t>货物需求明细</w:t>
      </w:r>
    </w:p>
    <w:p>
      <w:r>
        <w:rPr>
          <w:rFonts w:hint="eastAsia" w:ascii="宋体" w:hAnsi="宋体"/>
          <w:b/>
          <w:color w:val="FF0000"/>
          <w:sz w:val="32"/>
          <w:szCs w:val="32"/>
        </w:rPr>
        <w:t>本项目核心产品为：</w:t>
      </w:r>
      <w:r>
        <w:rPr>
          <w:rFonts w:hint="eastAsia" w:ascii="宋体" w:hAnsi="宋体"/>
          <w:b/>
          <w:color w:val="FF0000"/>
          <w:sz w:val="32"/>
          <w:szCs w:val="32"/>
          <w:u w:val="single"/>
        </w:rPr>
        <w:t xml:space="preserve"> 教学一体机 </w:t>
      </w:r>
    </w:p>
    <w:tbl>
      <w:tblPr>
        <w:tblStyle w:val="19"/>
        <w:tblW w:w="784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6"/>
        <w:gridCol w:w="1872"/>
        <w:gridCol w:w="972"/>
        <w:gridCol w:w="1080"/>
        <w:gridCol w:w="1140"/>
        <w:gridCol w:w="1200"/>
        <w:gridCol w:w="8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货物名称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是否接受进口</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是否专门面向中小企业</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标的所属行业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IP网络有源音箱</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拒绝进口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教学一体机</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2"/>
                <w:szCs w:val="22"/>
                <w:u w:val="none"/>
                <w:lang w:val="en-US" w:eastAsia="zh-CN" w:bidi="ar"/>
              </w:rPr>
              <w:t>拒绝进口，核心产品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无线展台</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拒绝进口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扩声主机</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拒绝进口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无线麦</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拒绝进口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多功能讲台</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拒绝进口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办公椅</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拒绝进口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万向黑板</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拒绝进口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后墙板</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拒绝进口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辅材</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拒绝进口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可升降午休课桌椅</w:t>
            </w:r>
          </w:p>
        </w:tc>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拒绝进口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窗帘</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拒绝进口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衬带</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拒绝进口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窗帘轨道</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拒绝进口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学生书包柜</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拒绝进口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班级卫生柜</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拒绝进口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w:t>
            </w:r>
          </w:p>
        </w:tc>
      </w:tr>
    </w:tbl>
    <w:p>
      <w:pPr>
        <w:rPr>
          <w:color w:val="FF0000"/>
        </w:rPr>
      </w:pPr>
      <w:r>
        <w:rPr>
          <w:rFonts w:hint="eastAsia"/>
          <w:color w:val="FF0000"/>
        </w:rPr>
        <w:t>备注：</w:t>
      </w:r>
    </w:p>
    <w:p>
      <w:pPr>
        <w:ind w:firstLine="420" w:firstLineChars="200"/>
        <w:rPr>
          <w:color w:val="FF0000"/>
        </w:rPr>
      </w:pPr>
      <w:r>
        <w:rPr>
          <w:rFonts w:hint="eastAsia"/>
          <w:color w:val="FF0000"/>
        </w:rPr>
        <w:t>1、“备注”栏注明有“接受进口”或“允许进口”的产品允许投标人选用进口产品参与投标，但不排斥国内产品投标；未注明“接受进口”或“允许进口”的产品均不接受进口产品投标。</w:t>
      </w:r>
    </w:p>
    <w:p>
      <w:pPr>
        <w:ind w:firstLine="420" w:firstLineChars="200"/>
        <w:rPr>
          <w:color w:val="FF0000"/>
        </w:rPr>
      </w:pPr>
      <w:r>
        <w:rPr>
          <w:rFonts w:hint="eastAsia"/>
          <w:color w:val="FF0000"/>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ind w:firstLine="420" w:firstLineChars="200"/>
        <w:rPr>
          <w:color w:val="FF0000"/>
        </w:rPr>
      </w:pPr>
      <w:r>
        <w:rPr>
          <w:rFonts w:hint="eastAsia"/>
          <w:color w:val="FF0000"/>
        </w:rPr>
        <w:t>3、如注明有单价控制金额的产品，投标人对该产品的报价不得超过控制金额，否则将作投标无效处理。</w:t>
      </w:r>
    </w:p>
    <w:p>
      <w:pPr>
        <w:ind w:firstLine="420" w:firstLineChars="200"/>
        <w:rPr>
          <w:color w:val="FF0000"/>
        </w:rPr>
      </w:pPr>
      <w:r>
        <w:rPr>
          <w:rFonts w:hint="eastAsia"/>
          <w:color w:val="FF0000"/>
        </w:rPr>
        <w:t>4、根据《政府采购货物和服务招标投标管理办法》（财政部令第87号）第三十一条规定，单一产品项目或非单一产品项目中的核心产品均应明确品牌，投标人未填报品牌的将作投标无效处理。</w:t>
      </w:r>
    </w:p>
    <w:p>
      <w:pPr>
        <w:pStyle w:val="6"/>
        <w:jc w:val="center"/>
        <w:outlineLvl w:val="2"/>
      </w:pPr>
      <w:bookmarkStart w:id="13" w:name="_Toc128884461"/>
      <w:r>
        <w:rPr>
          <w:rFonts w:hint="eastAsia"/>
        </w:rPr>
        <w:t>三、实质性条款</w:t>
      </w:r>
    </w:p>
    <w:tbl>
      <w:tblPr>
        <w:tblStyle w:val="19"/>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5" w:type="dxa"/>
            <w:vAlign w:val="center"/>
          </w:tcPr>
          <w:p>
            <w:r>
              <w:rPr>
                <w:rFonts w:hint="eastAsia"/>
              </w:rPr>
              <w:t>序号</w:t>
            </w:r>
          </w:p>
        </w:tc>
        <w:tc>
          <w:tcPr>
            <w:tcW w:w="7483" w:type="dxa"/>
            <w:vAlign w:val="center"/>
          </w:tcPr>
          <w:p>
            <w:pPr>
              <w:jc w:val="center"/>
            </w:pPr>
            <w:r>
              <w:rPr>
                <w:rFonts w:hint="eastAsia"/>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pPr>
              <w:jc w:val="center"/>
            </w:pPr>
            <w:r>
              <w:rPr>
                <w:rFonts w:hint="eastAsia"/>
              </w:rPr>
              <w:t>1</w:t>
            </w:r>
          </w:p>
        </w:tc>
        <w:tc>
          <w:tcPr>
            <w:tcW w:w="7483" w:type="dxa"/>
          </w:tcPr>
          <w:p>
            <w:pPr>
              <w:jc w:val="center"/>
            </w:pPr>
            <w:r>
              <w:rPr>
                <w:rFonts w:hint="eastAsia"/>
              </w:rPr>
              <w:t>本项目招标文件中所有带★号条款内容</w:t>
            </w:r>
          </w:p>
        </w:tc>
      </w:tr>
      <w:bookmarkEnd w:id="13"/>
    </w:tbl>
    <w:p>
      <w:pPr>
        <w:rPr>
          <w:b/>
          <w:color w:val="FF0000"/>
        </w:rPr>
      </w:pPr>
      <w:r>
        <w:rPr>
          <w:rFonts w:hint="eastAsia"/>
          <w:b/>
          <w:color w:val="FF0000"/>
        </w:rPr>
        <w:t>注</w:t>
      </w:r>
      <w:r>
        <w:rPr>
          <w:rFonts w:hint="eastAsia"/>
        </w:rPr>
        <w:t>：</w:t>
      </w:r>
      <w:r>
        <w:rPr>
          <w:rFonts w:hint="eastAsia"/>
          <w:b/>
          <w:color w:val="FF0000"/>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pPr>
        <w:keepNext/>
        <w:keepLines/>
        <w:tabs>
          <w:tab w:val="left" w:pos="1680"/>
        </w:tabs>
        <w:spacing w:before="260" w:after="78" w:afterLines="25"/>
        <w:jc w:val="center"/>
        <w:outlineLvl w:val="2"/>
        <w:rPr>
          <w:rFonts w:ascii="Arial" w:hAnsi="Arial" w:eastAsia="宋体" w:cs="Times New Roman"/>
          <w:b/>
          <w:bCs/>
          <w:color w:val="FF0000"/>
          <w:sz w:val="32"/>
          <w:szCs w:val="32"/>
        </w:rPr>
      </w:pPr>
      <w:r>
        <w:rPr>
          <w:rFonts w:hint="eastAsia"/>
          <w:b/>
          <w:color w:val="FF0000"/>
          <w:sz w:val="32"/>
          <w:szCs w:val="32"/>
        </w:rPr>
        <w:t>四</w:t>
      </w:r>
      <w:r>
        <w:rPr>
          <w:rFonts w:hint="eastAsia" w:ascii="Arial" w:hAnsi="Arial" w:eastAsia="宋体" w:cs="Times New Roman"/>
          <w:b/>
          <w:bCs/>
          <w:color w:val="FF0000"/>
          <w:sz w:val="32"/>
          <w:szCs w:val="32"/>
        </w:rPr>
        <w:t>、商务和服务条款要求</w:t>
      </w:r>
    </w:p>
    <w:p>
      <w:pPr>
        <w:ind w:firstLine="422" w:firstLineChars="200"/>
        <w:rPr>
          <w:b/>
        </w:rPr>
      </w:pPr>
      <w:r>
        <w:rPr>
          <w:rFonts w:hint="eastAsia"/>
          <w:b/>
          <w:szCs w:val="21"/>
        </w:rPr>
        <w:t>说明：</w:t>
      </w:r>
      <w:r>
        <w:rPr>
          <w:b/>
        </w:rPr>
        <w:t>1</w:t>
      </w:r>
      <w:r>
        <w:rPr>
          <w:rFonts w:hint="eastAsia"/>
          <w:b/>
        </w:rPr>
        <w:t>、评分时，如对一项招标商务要求（以划分框为准）中的内容存在两处（或以上）负偏离的，在评分时只作一项负偏离扣分。</w:t>
      </w:r>
    </w:p>
    <w:p>
      <w:pPr>
        <w:numPr>
          <w:ilvl w:val="0"/>
          <w:numId w:val="1"/>
        </w:numPr>
        <w:ind w:firstLine="422" w:firstLineChars="200"/>
        <w:rPr>
          <w:rFonts w:hint="eastAsia"/>
          <w:b/>
          <w:szCs w:val="21"/>
        </w:rPr>
      </w:pPr>
      <w:r>
        <w:rPr>
          <w:rFonts w:hint="eastAsia"/>
          <w:b/>
          <w:szCs w:val="21"/>
        </w:rPr>
        <w:t>带★号条款为不可偏离条款，不作为评分准则中的评分内容，如未响应或出现负偏离的，将作投标无效处理；带“</w:t>
      </w:r>
      <w:r>
        <w:t>▲</w:t>
      </w:r>
      <w:r>
        <w:rPr>
          <w:rFonts w:hint="eastAsia"/>
          <w:b/>
          <w:szCs w:val="21"/>
        </w:rPr>
        <w:t>”指标项为重要参数，负偏离时依相关评分准则内容作重点扣分处理。</w:t>
      </w:r>
    </w:p>
    <w:tbl>
      <w:tblPr>
        <w:tblStyle w:val="19"/>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57"/>
        <w:gridCol w:w="6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0" w:type="dxa"/>
            <w:vAlign w:val="center"/>
          </w:tcPr>
          <w:p>
            <w:pPr>
              <w:jc w:val="center"/>
              <w:rPr>
                <w:b/>
              </w:rPr>
            </w:pPr>
            <w:r>
              <w:rPr>
                <w:rFonts w:hint="eastAsia"/>
                <w:b/>
              </w:rPr>
              <w:t>序号</w:t>
            </w:r>
          </w:p>
        </w:tc>
        <w:tc>
          <w:tcPr>
            <w:tcW w:w="1457" w:type="dxa"/>
            <w:vAlign w:val="center"/>
          </w:tcPr>
          <w:p>
            <w:pPr>
              <w:jc w:val="center"/>
              <w:rPr>
                <w:b/>
              </w:rPr>
            </w:pPr>
            <w:r>
              <w:rPr>
                <w:rFonts w:hint="eastAsia"/>
                <w:b/>
              </w:rPr>
              <w:t>商务需求项</w:t>
            </w:r>
          </w:p>
        </w:tc>
        <w:tc>
          <w:tcPr>
            <w:tcW w:w="6523" w:type="dxa"/>
            <w:vAlign w:val="center"/>
          </w:tcPr>
          <w:p>
            <w:pPr>
              <w:jc w:val="center"/>
              <w:rPr>
                <w:b/>
              </w:rPr>
            </w:pPr>
            <w:r>
              <w:rPr>
                <w:rFonts w:hint="eastAsia"/>
                <w:b/>
              </w:rPr>
              <w:t>招标商务要求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820" w:type="dxa"/>
            <w:gridSpan w:val="3"/>
          </w:tcPr>
          <w:p>
            <w:pPr>
              <w:rPr>
                <w:b/>
              </w:rPr>
            </w:pPr>
            <w:r>
              <w:rPr>
                <w:rFonts w:hint="eastAsia"/>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40" w:type="dxa"/>
            <w:vAlign w:val="center"/>
          </w:tcPr>
          <w:p>
            <w:pPr>
              <w:jc w:val="center"/>
              <w:rPr>
                <w:bCs/>
              </w:rPr>
            </w:pPr>
            <w:r>
              <w:rPr>
                <w:rFonts w:hint="eastAsia"/>
                <w:bCs/>
              </w:rPr>
              <w:t>1</w:t>
            </w:r>
          </w:p>
        </w:tc>
        <w:tc>
          <w:tcPr>
            <w:tcW w:w="1457" w:type="dxa"/>
          </w:tcPr>
          <w:p>
            <w:pPr>
              <w:jc w:val="center"/>
            </w:pPr>
            <w:r>
              <w:rPr>
                <w:rFonts w:hint="eastAsia"/>
              </w:rPr>
              <w:t>维修响应及故障解决时间</w:t>
            </w:r>
          </w:p>
        </w:tc>
        <w:tc>
          <w:tcPr>
            <w:tcW w:w="6523" w:type="dxa"/>
          </w:tcPr>
          <w:p>
            <w:pPr>
              <w:rPr>
                <w:b/>
              </w:rPr>
            </w:pPr>
            <w:r>
              <w:rPr>
                <w:rFonts w:hint="eastAsia"/>
                <w:bCs/>
                <w:szCs w:val="21"/>
              </w:rPr>
              <w:t>在免费保修期内，一旦发生质量问题，中标人保证在接到通知</w:t>
            </w:r>
            <w:r>
              <w:rPr>
                <w:rFonts w:hint="eastAsia"/>
                <w:bCs/>
                <w:szCs w:val="21"/>
                <w:lang w:val="en-US" w:eastAsia="zh-CN"/>
              </w:rPr>
              <w:t>24</w:t>
            </w:r>
            <w:r>
              <w:rPr>
                <w:rFonts w:hint="eastAsia"/>
                <w:bCs/>
                <w:szCs w:val="21"/>
              </w:rPr>
              <w:t>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40" w:type="dxa"/>
            <w:vMerge w:val="restart"/>
            <w:vAlign w:val="center"/>
          </w:tcPr>
          <w:p>
            <w:pPr>
              <w:jc w:val="center"/>
              <w:rPr>
                <w:szCs w:val="21"/>
              </w:rPr>
            </w:pPr>
            <w:r>
              <w:rPr>
                <w:rFonts w:hint="eastAsia"/>
                <w:szCs w:val="21"/>
              </w:rPr>
              <w:t>2</w:t>
            </w:r>
          </w:p>
        </w:tc>
        <w:tc>
          <w:tcPr>
            <w:tcW w:w="1457" w:type="dxa"/>
            <w:vMerge w:val="restart"/>
            <w:vAlign w:val="center"/>
          </w:tcPr>
          <w:p>
            <w:pPr>
              <w:jc w:val="center"/>
              <w:rPr>
                <w:szCs w:val="21"/>
              </w:rPr>
            </w:pPr>
            <w:r>
              <w:rPr>
                <w:rFonts w:hint="eastAsia"/>
                <w:szCs w:val="21"/>
              </w:rPr>
              <w:t>免费保修期</w:t>
            </w:r>
          </w:p>
        </w:tc>
        <w:tc>
          <w:tcPr>
            <w:tcW w:w="6523" w:type="dxa"/>
          </w:tcPr>
          <w:p>
            <w:pPr>
              <w:rPr>
                <w:b/>
                <w:szCs w:val="21"/>
              </w:rPr>
            </w:pPr>
            <w:r>
              <w:rPr>
                <w:rFonts w:hint="eastAsia"/>
                <w:bCs/>
                <w:szCs w:val="21"/>
              </w:rPr>
              <w:t>★1</w:t>
            </w:r>
            <w:r>
              <w:rPr>
                <w:bCs/>
                <w:szCs w:val="21"/>
              </w:rPr>
              <w:t>.</w:t>
            </w:r>
            <w:r>
              <w:rPr>
                <w:rFonts w:hint="eastAsia"/>
                <w:bCs/>
                <w:szCs w:val="21"/>
              </w:rPr>
              <w:t>货物免费保修期</w:t>
            </w:r>
            <w:r>
              <w:rPr>
                <w:rFonts w:hint="eastAsia"/>
                <w:bCs/>
                <w:color w:val="FF0000"/>
                <w:szCs w:val="21"/>
                <w:u w:val="single"/>
              </w:rPr>
              <w:t xml:space="preserve">  </w:t>
            </w:r>
            <w:r>
              <w:rPr>
                <w:rFonts w:hint="eastAsia"/>
                <w:bCs/>
                <w:color w:val="FF0000"/>
                <w:szCs w:val="21"/>
                <w:u w:val="single"/>
                <w:lang w:val="en-US" w:eastAsia="zh-CN"/>
              </w:rPr>
              <w:t>2</w:t>
            </w:r>
            <w:r>
              <w:rPr>
                <w:rFonts w:hint="eastAsia"/>
                <w:bCs/>
                <w:color w:val="FF0000"/>
                <w:szCs w:val="21"/>
                <w:u w:val="single"/>
              </w:rPr>
              <w:t xml:space="preserve"> </w:t>
            </w:r>
            <w:r>
              <w:rPr>
                <w:rFonts w:hint="eastAsia"/>
                <w:bCs/>
                <w:color w:val="FF0000"/>
                <w:szCs w:val="21"/>
              </w:rPr>
              <w:t>年，</w:t>
            </w:r>
            <w:r>
              <w:rPr>
                <w:rFonts w:hint="eastAsia"/>
                <w:bCs/>
                <w:szCs w:val="21"/>
              </w:rPr>
              <w:t>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40" w:type="dxa"/>
            <w:vMerge w:val="continue"/>
            <w:vAlign w:val="center"/>
          </w:tcPr>
          <w:p>
            <w:pPr>
              <w:jc w:val="center"/>
              <w:rPr>
                <w:b/>
              </w:rPr>
            </w:pPr>
          </w:p>
        </w:tc>
        <w:tc>
          <w:tcPr>
            <w:tcW w:w="1457" w:type="dxa"/>
            <w:vMerge w:val="continue"/>
            <w:vAlign w:val="center"/>
          </w:tcPr>
          <w:p/>
        </w:tc>
        <w:tc>
          <w:tcPr>
            <w:tcW w:w="6523" w:type="dxa"/>
            <w:vAlign w:val="center"/>
          </w:tcPr>
          <w:p>
            <w:pPr>
              <w:rPr>
                <w:bCs/>
                <w:szCs w:val="21"/>
              </w:rPr>
            </w:pPr>
            <w:r>
              <w:rPr>
                <w:rFonts w:hint="eastAsia"/>
                <w:bCs/>
                <w:szCs w:val="21"/>
              </w:rPr>
              <w:t>★2</w:t>
            </w:r>
            <w:r>
              <w:rPr>
                <w:bCs/>
                <w:szCs w:val="21"/>
              </w:rPr>
              <w:t>.</w:t>
            </w:r>
            <w:r>
              <w:rPr>
                <w:rFonts w:hint="eastAsia"/>
                <w:bCs/>
                <w:szCs w:val="21"/>
              </w:rPr>
              <w:t>免费保修期内，</w:t>
            </w:r>
            <w:r>
              <w:rPr>
                <w:rFonts w:hint="eastAsia"/>
                <w:color w:val="000000"/>
                <w:szCs w:val="21"/>
              </w:rPr>
              <w:t>所有服务及配件全部免费。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40" w:type="dxa"/>
            <w:vAlign w:val="center"/>
          </w:tcPr>
          <w:p>
            <w:pPr>
              <w:jc w:val="center"/>
              <w:rPr>
                <w:b/>
              </w:rPr>
            </w:pPr>
            <w:r>
              <w:rPr>
                <w:rFonts w:hint="eastAsia"/>
                <w:szCs w:val="21"/>
              </w:rPr>
              <w:t>3</w:t>
            </w:r>
          </w:p>
        </w:tc>
        <w:tc>
          <w:tcPr>
            <w:tcW w:w="1457" w:type="dxa"/>
            <w:vAlign w:val="center"/>
          </w:tcPr>
          <w:p>
            <w:pPr>
              <w:jc w:val="center"/>
              <w:rPr>
                <w:b/>
              </w:rPr>
            </w:pPr>
            <w:r>
              <w:rPr>
                <w:rFonts w:hint="eastAsia"/>
                <w:szCs w:val="21"/>
              </w:rPr>
              <w:t>技术文件</w:t>
            </w:r>
          </w:p>
        </w:tc>
        <w:tc>
          <w:tcPr>
            <w:tcW w:w="6523" w:type="dxa"/>
            <w:vAlign w:val="center"/>
          </w:tcPr>
          <w:p>
            <w:pPr>
              <w:rPr>
                <w:bCs/>
              </w:rPr>
            </w:pPr>
            <w:r>
              <w:rPr>
                <w:rFonts w:hint="eastAsia"/>
                <w:bCs/>
              </w:rPr>
              <w:t>供应商应提供全套、完整的书面技术资料，包括仪器说明书、操作手册、简单维修说明、图纸等。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40" w:type="dxa"/>
            <w:vAlign w:val="center"/>
          </w:tcPr>
          <w:p>
            <w:pPr>
              <w:jc w:val="center"/>
              <w:rPr>
                <w:bCs/>
              </w:rPr>
            </w:pPr>
            <w:r>
              <w:rPr>
                <w:rFonts w:hint="eastAsia"/>
                <w:bCs/>
              </w:rPr>
              <w:t>4</w:t>
            </w:r>
          </w:p>
        </w:tc>
        <w:tc>
          <w:tcPr>
            <w:tcW w:w="1457" w:type="dxa"/>
            <w:vAlign w:val="center"/>
          </w:tcPr>
          <w:p>
            <w:pPr>
              <w:jc w:val="center"/>
              <w:rPr>
                <w:bCs/>
              </w:rPr>
            </w:pPr>
            <w:r>
              <w:rPr>
                <w:rFonts w:hint="eastAsia"/>
                <w:szCs w:val="21"/>
              </w:rPr>
              <w:t>安装调试</w:t>
            </w:r>
          </w:p>
        </w:tc>
        <w:tc>
          <w:tcPr>
            <w:tcW w:w="6523" w:type="dxa"/>
            <w:vAlign w:val="center"/>
          </w:tcPr>
          <w:p>
            <w:pPr>
              <w:rPr>
                <w:rFonts w:hint="default" w:ascii="Times New Roman" w:hAnsi="Times New Roman" w:eastAsia="宋体" w:cs="Times New Roman"/>
                <w:bCs/>
                <w:lang w:val="en-US"/>
              </w:rPr>
            </w:pPr>
            <w:r>
              <w:rPr>
                <w:rFonts w:hint="eastAsia" w:ascii="Times New Roman" w:hAnsi="Times New Roman" w:eastAsia="宋体" w:cs="Times New Roman"/>
                <w:bCs/>
              </w:rPr>
              <w:t>中标人在合同生效后应</w:t>
            </w:r>
            <w:r>
              <w:rPr>
                <w:rFonts w:hint="eastAsia" w:ascii="Times New Roman" w:hAnsi="Times New Roman" w:eastAsia="宋体" w:cs="Times New Roman"/>
                <w:bCs/>
                <w:lang w:val="en-US" w:eastAsia="zh-CN"/>
              </w:rPr>
              <w:t>按</w:t>
            </w:r>
            <w:r>
              <w:rPr>
                <w:rFonts w:hint="eastAsia" w:ascii="Times New Roman" w:hAnsi="Times New Roman" w:eastAsia="宋体" w:cs="Times New Roman"/>
                <w:bCs/>
              </w:rPr>
              <w:t>采购人（用户）</w:t>
            </w:r>
            <w:r>
              <w:rPr>
                <w:rFonts w:hint="eastAsia" w:ascii="Times New Roman" w:hAnsi="Times New Roman" w:eastAsia="宋体" w:cs="Times New Roman"/>
                <w:bCs/>
                <w:lang w:val="en-US" w:eastAsia="zh-CN"/>
              </w:rPr>
              <w:t>要求在指定位置安装设备并调试。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20" w:type="dxa"/>
            <w:gridSpan w:val="3"/>
            <w:vAlign w:val="center"/>
          </w:tcPr>
          <w:p>
            <w:pPr>
              <w:spacing w:line="360" w:lineRule="exact"/>
              <w:rPr>
                <w:rFonts w:ascii="宋体" w:hAnsi="宋体"/>
                <w:b/>
              </w:rPr>
            </w:pPr>
            <w:r>
              <w:rPr>
                <w:rFonts w:hint="eastAsia" w:ascii="宋体" w:hAnsi="宋体"/>
                <w:b/>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restart"/>
            <w:vAlign w:val="center"/>
          </w:tcPr>
          <w:p>
            <w:pPr>
              <w:spacing w:line="360" w:lineRule="exact"/>
              <w:jc w:val="center"/>
              <w:rPr>
                <w:rFonts w:ascii="宋体" w:hAnsi="宋体"/>
                <w:b/>
                <w:sz w:val="20"/>
                <w:szCs w:val="20"/>
              </w:rPr>
            </w:pPr>
            <w:r>
              <w:rPr>
                <w:rFonts w:hint="eastAsia" w:ascii="宋体" w:hAnsi="宋体"/>
                <w:b/>
                <w:sz w:val="20"/>
                <w:szCs w:val="20"/>
              </w:rPr>
              <w:t>1</w:t>
            </w:r>
          </w:p>
        </w:tc>
        <w:tc>
          <w:tcPr>
            <w:tcW w:w="1457" w:type="dxa"/>
            <w:vMerge w:val="restart"/>
            <w:vAlign w:val="center"/>
          </w:tcPr>
          <w:p>
            <w:pPr>
              <w:spacing w:line="360" w:lineRule="exact"/>
              <w:jc w:val="center"/>
              <w:rPr>
                <w:rFonts w:ascii="宋体" w:hAnsi="宋体"/>
                <w:b/>
                <w:color w:val="000000"/>
                <w:sz w:val="20"/>
                <w:szCs w:val="20"/>
              </w:rPr>
            </w:pPr>
            <w:r>
              <w:rPr>
                <w:rStyle w:val="22"/>
                <w:rFonts w:hint="eastAsia" w:ascii="宋体" w:hAnsi="宋体" w:cs="宋体"/>
                <w:color w:val="000000"/>
                <w:sz w:val="20"/>
                <w:szCs w:val="20"/>
              </w:rPr>
              <w:t>维修零配件、消耗品和延续保修合同的报价</w:t>
            </w:r>
          </w:p>
        </w:tc>
        <w:tc>
          <w:tcPr>
            <w:tcW w:w="6523" w:type="dxa"/>
            <w:vAlign w:val="center"/>
          </w:tcPr>
          <w:p>
            <w:pPr>
              <w:spacing w:line="36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1.1由设备制造商提供售后服务，</w:t>
            </w:r>
            <w:r>
              <w:rPr>
                <w:rFonts w:hint="eastAsia" w:ascii="宋体" w:hAnsi="宋体" w:eastAsia="宋体" w:cs="宋体"/>
                <w:color w:val="000000"/>
                <w:sz w:val="21"/>
                <w:szCs w:val="21"/>
                <w:u w:val="single"/>
                <w:lang w:val="en-US" w:eastAsia="zh-CN"/>
              </w:rPr>
              <w:t xml:space="preserve"> 1 </w:t>
            </w:r>
            <w:r>
              <w:rPr>
                <w:rFonts w:hint="eastAsia" w:ascii="宋体" w:hAnsi="宋体" w:eastAsia="宋体" w:cs="宋体"/>
                <w:color w:val="000000"/>
                <w:sz w:val="21"/>
                <w:szCs w:val="21"/>
                <w:lang w:val="en-US" w:eastAsia="zh-CN"/>
              </w:rPr>
              <w:t>小时内响应，</w:t>
            </w:r>
            <w:r>
              <w:rPr>
                <w:rFonts w:hint="eastAsia" w:ascii="宋体" w:hAnsi="宋体" w:eastAsia="宋体" w:cs="宋体"/>
                <w:color w:val="000000"/>
                <w:sz w:val="21"/>
                <w:szCs w:val="21"/>
                <w:u w:val="single"/>
                <w:lang w:val="en-US" w:eastAsia="zh-CN"/>
              </w:rPr>
              <w:t xml:space="preserve"> 24 </w:t>
            </w:r>
            <w:r>
              <w:rPr>
                <w:rFonts w:hint="eastAsia" w:ascii="宋体" w:hAnsi="宋体" w:eastAsia="宋体" w:cs="宋体"/>
                <w:color w:val="000000"/>
                <w:sz w:val="21"/>
                <w:szCs w:val="21"/>
                <w:lang w:val="en-US" w:eastAsia="zh-CN"/>
              </w:rPr>
              <w:t>小时维修到位，并在</w:t>
            </w:r>
            <w:r>
              <w:rPr>
                <w:rFonts w:hint="eastAsia" w:ascii="宋体" w:hAnsi="宋体" w:eastAsia="宋体" w:cs="宋体"/>
                <w:color w:val="000000"/>
                <w:sz w:val="21"/>
                <w:szCs w:val="21"/>
                <w:u w:val="single"/>
                <w:lang w:val="en-US" w:eastAsia="zh-CN"/>
              </w:rPr>
              <w:t>48</w:t>
            </w:r>
            <w:r>
              <w:rPr>
                <w:rFonts w:hint="eastAsia" w:ascii="宋体" w:hAnsi="宋体" w:eastAsia="宋体" w:cs="宋体"/>
                <w:color w:val="000000"/>
                <w:sz w:val="21"/>
                <w:szCs w:val="21"/>
                <w:lang w:val="en-US" w:eastAsia="zh-CN"/>
              </w:rPr>
              <w:t>小时内消除故障（不可抗力情况除外）。消耗品和零配件供应及时，特殊情况下可提供备用机。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40" w:type="dxa"/>
            <w:vMerge w:val="continue"/>
            <w:vAlign w:val="center"/>
          </w:tcPr>
          <w:p>
            <w:pPr>
              <w:spacing w:line="360" w:lineRule="exact"/>
              <w:jc w:val="center"/>
              <w:rPr>
                <w:rFonts w:ascii="宋体" w:hAnsi="宋体"/>
                <w:b/>
              </w:rPr>
            </w:pPr>
          </w:p>
        </w:tc>
        <w:tc>
          <w:tcPr>
            <w:tcW w:w="1457" w:type="dxa"/>
            <w:vMerge w:val="continue"/>
            <w:vAlign w:val="center"/>
          </w:tcPr>
          <w:p>
            <w:pPr>
              <w:spacing w:line="360" w:lineRule="exact"/>
              <w:rPr>
                <w:rStyle w:val="22"/>
                <w:rFonts w:ascii="宋体" w:hAnsi="宋体" w:cs="宋体"/>
                <w:color w:val="000000"/>
                <w:sz w:val="20"/>
                <w:szCs w:val="20"/>
              </w:rPr>
            </w:pPr>
          </w:p>
        </w:tc>
        <w:tc>
          <w:tcPr>
            <w:tcW w:w="6523" w:type="dxa"/>
            <w:vAlign w:val="center"/>
          </w:tcPr>
          <w:p>
            <w:pPr>
              <w:spacing w:line="360" w:lineRule="exac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1.2</w:t>
            </w:r>
            <w:r>
              <w:rPr>
                <w:rFonts w:hint="eastAsia" w:ascii="宋体" w:hAnsi="宋体"/>
              </w:rPr>
              <w:t>免费保修期满后，</w:t>
            </w:r>
            <w:r>
              <w:rPr>
                <w:rFonts w:hint="eastAsia" w:ascii="宋体" w:hAnsi="宋体"/>
                <w:szCs w:val="21"/>
              </w:rPr>
              <w:t>中标人</w:t>
            </w:r>
            <w:r>
              <w:rPr>
                <w:rFonts w:hint="eastAsia" w:ascii="宋体" w:hAnsi="宋体"/>
              </w:rPr>
              <w:t>应继续支持维修，并以优惠价供应维修零配件、消耗品和延续保修合同。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20" w:type="dxa"/>
            <w:gridSpan w:val="3"/>
            <w:vAlign w:val="center"/>
          </w:tcPr>
          <w:p>
            <w:pPr>
              <w:spacing w:line="360" w:lineRule="exact"/>
              <w:rPr>
                <w:rFonts w:ascii="宋体" w:hAnsi="宋体"/>
                <w:b/>
              </w:rPr>
            </w:pPr>
            <w:r>
              <w:rPr>
                <w:rFonts w:hint="eastAsia"/>
                <w:bCs/>
                <w:szCs w:val="21"/>
              </w:rPr>
              <w:t>★</w:t>
            </w:r>
            <w:r>
              <w:rPr>
                <w:rFonts w:hint="eastAsia" w:ascii="宋体" w:hAnsi="宋体"/>
                <w:b/>
              </w:rPr>
              <w:t>（三）其他商务要求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restart"/>
            <w:vAlign w:val="center"/>
          </w:tcPr>
          <w:p>
            <w:pPr>
              <w:spacing w:line="360" w:lineRule="exact"/>
              <w:jc w:val="center"/>
              <w:rPr>
                <w:rFonts w:hint="eastAsia" w:ascii="宋体" w:hAnsi="宋体" w:eastAsia="宋体"/>
                <w:b/>
                <w:sz w:val="20"/>
                <w:szCs w:val="20"/>
                <w:lang w:eastAsia="zh-CN"/>
              </w:rPr>
            </w:pPr>
            <w:r>
              <w:rPr>
                <w:rFonts w:hint="eastAsia" w:ascii="宋体" w:hAnsi="宋体"/>
                <w:b/>
                <w:sz w:val="20"/>
                <w:szCs w:val="20"/>
                <w:lang w:eastAsia="zh-CN"/>
              </w:rPr>
              <w:t>1</w:t>
            </w:r>
          </w:p>
        </w:tc>
        <w:tc>
          <w:tcPr>
            <w:tcW w:w="1457" w:type="dxa"/>
            <w:vMerge w:val="restart"/>
            <w:vAlign w:val="center"/>
          </w:tcPr>
          <w:p>
            <w:pPr>
              <w:spacing w:line="360" w:lineRule="exact"/>
              <w:jc w:val="center"/>
              <w:rPr>
                <w:rFonts w:hint="eastAsia" w:ascii="宋体" w:hAnsi="宋体"/>
                <w:b/>
                <w:sz w:val="20"/>
                <w:szCs w:val="20"/>
              </w:rPr>
            </w:pPr>
            <w:r>
              <w:rPr>
                <w:rFonts w:hint="eastAsia" w:ascii="宋体" w:hAnsi="宋体"/>
                <w:b/>
                <w:sz w:val="20"/>
                <w:szCs w:val="20"/>
              </w:rPr>
              <w:t>违约责任</w:t>
            </w:r>
          </w:p>
        </w:tc>
        <w:tc>
          <w:tcPr>
            <w:tcW w:w="6523" w:type="dxa"/>
            <w:vAlign w:val="top"/>
          </w:tcPr>
          <w:p>
            <w:pPr>
              <w:spacing w:line="360" w:lineRule="exact"/>
              <w:rPr>
                <w:rFonts w:hint="eastAsia" w:ascii="宋体" w:hAnsi="宋体" w:cs="宋体"/>
                <w:color w:val="000000"/>
                <w:sz w:val="21"/>
                <w:szCs w:val="21"/>
              </w:rPr>
            </w:pPr>
            <w:r>
              <w:rPr>
                <w:rFonts w:hint="eastAsia" w:ascii="宋体" w:hAnsi="宋体" w:cs="宋体"/>
                <w:color w:val="000000"/>
                <w:sz w:val="21"/>
                <w:szCs w:val="21"/>
                <w:lang w:val="en-US" w:eastAsia="zh-CN"/>
              </w:rPr>
              <w:t>1</w:t>
            </w:r>
            <w:r>
              <w:rPr>
                <w:rFonts w:hint="eastAsia" w:ascii="宋体" w:hAnsi="宋体" w:cs="宋体"/>
                <w:color w:val="000000"/>
                <w:sz w:val="21"/>
                <w:szCs w:val="21"/>
              </w:rPr>
              <w:t>.2</w:t>
            </w:r>
            <w:r>
              <w:rPr>
                <w:rFonts w:hint="eastAsia" w:ascii="宋体" w:hAnsi="宋体"/>
                <w:szCs w:val="21"/>
              </w:rPr>
              <w:t>中标人</w:t>
            </w:r>
            <w:r>
              <w:rPr>
                <w:rFonts w:hint="eastAsia"/>
              </w:rPr>
              <w:t>逾期未交货物的，</w:t>
            </w:r>
            <w:r>
              <w:rPr>
                <w:rFonts w:hint="eastAsia" w:ascii="宋体" w:hAnsi="宋体"/>
                <w:szCs w:val="21"/>
              </w:rPr>
              <w:t>中标人</w:t>
            </w:r>
            <w:r>
              <w:rPr>
                <w:rFonts w:hint="eastAsia"/>
              </w:rPr>
              <w:t>向采购人每日偿付货物款</w:t>
            </w:r>
            <w:r>
              <w:rPr>
                <w:rFonts w:hint="eastAsia" w:ascii="宋体" w:hAnsi="宋体"/>
                <w:color w:val="0000FF"/>
                <w:u w:val="single"/>
              </w:rPr>
              <w:t xml:space="preserve"> </w:t>
            </w:r>
            <w:r>
              <w:rPr>
                <w:rFonts w:hint="eastAsia" w:ascii="宋体" w:hAnsi="宋体"/>
                <w:color w:val="0000FF"/>
                <w:u w:val="single"/>
                <w:lang w:val="en-US" w:eastAsia="zh-CN"/>
              </w:rPr>
              <w:t>1%</w:t>
            </w:r>
            <w:r>
              <w:rPr>
                <w:rFonts w:hint="eastAsia" w:ascii="宋体" w:hAnsi="宋体"/>
                <w:color w:val="0000FF"/>
                <w:u w:val="single"/>
              </w:rPr>
              <w:t xml:space="preserve">   </w:t>
            </w:r>
            <w:r>
              <w:rPr>
                <w:rFonts w:hint="eastAsia"/>
              </w:rPr>
              <w:t>的违约金。</w:t>
            </w:r>
            <w:r>
              <w:rPr>
                <w:rFonts w:hint="eastAsia" w:ascii="宋体" w:hAnsi="宋体"/>
                <w:szCs w:val="21"/>
              </w:rPr>
              <w:t>中标人</w:t>
            </w:r>
            <w:r>
              <w:rPr>
                <w:rFonts w:hint="eastAsia"/>
              </w:rPr>
              <w:t>超过交货期限</w:t>
            </w:r>
            <w:r>
              <w:rPr>
                <w:rFonts w:hint="eastAsia" w:ascii="宋体" w:hAnsi="宋体"/>
                <w:color w:val="0000FF"/>
                <w:u w:val="single"/>
              </w:rPr>
              <w:t xml:space="preserve">  </w:t>
            </w:r>
            <w:r>
              <w:rPr>
                <w:rFonts w:hint="eastAsia" w:ascii="宋体" w:hAnsi="宋体"/>
                <w:color w:val="0000FF"/>
                <w:u w:val="single"/>
                <w:lang w:val="en-US" w:eastAsia="zh-CN"/>
              </w:rPr>
              <w:t>10</w:t>
            </w:r>
            <w:r>
              <w:rPr>
                <w:rFonts w:hint="eastAsia" w:ascii="宋体" w:hAnsi="宋体"/>
                <w:color w:val="0000FF"/>
                <w:u w:val="single"/>
              </w:rPr>
              <w:t xml:space="preserve">  </w:t>
            </w:r>
            <w:r>
              <w:rPr>
                <w:rFonts w:hint="eastAsia" w:ascii="宋体" w:hAnsi="宋体"/>
                <w:color w:val="000000" w:themeColor="text1"/>
                <w:u w:val="none"/>
                <w14:textFill>
                  <w14:solidFill>
                    <w14:schemeClr w14:val="tx1"/>
                  </w14:solidFill>
                </w14:textFill>
              </w:rPr>
              <w:t>日</w:t>
            </w:r>
            <w:r>
              <w:rPr>
                <w:rFonts w:hint="eastAsia"/>
              </w:rPr>
              <w:t>仍未交货，采购人有权</w:t>
            </w:r>
            <w:r>
              <w:rPr>
                <w:rFonts w:hint="eastAsia"/>
                <w:lang w:val="en-US" w:eastAsia="zh-CN"/>
              </w:rPr>
              <w:t>依法</w:t>
            </w:r>
            <w:r>
              <w:rPr>
                <w:rFonts w:hint="eastAsia"/>
              </w:rPr>
              <w:t>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vAlign w:val="center"/>
          </w:tcPr>
          <w:p>
            <w:pPr>
              <w:spacing w:line="360" w:lineRule="exact"/>
              <w:jc w:val="center"/>
              <w:rPr>
                <w:rFonts w:hint="eastAsia" w:ascii="宋体" w:hAnsi="宋体"/>
                <w:b/>
                <w:sz w:val="20"/>
                <w:szCs w:val="20"/>
              </w:rPr>
            </w:pPr>
          </w:p>
        </w:tc>
        <w:tc>
          <w:tcPr>
            <w:tcW w:w="1457" w:type="dxa"/>
            <w:vMerge w:val="continue"/>
            <w:vAlign w:val="center"/>
          </w:tcPr>
          <w:p>
            <w:pPr>
              <w:spacing w:line="360" w:lineRule="exact"/>
              <w:jc w:val="center"/>
              <w:rPr>
                <w:rFonts w:hint="eastAsia" w:ascii="宋体" w:hAnsi="宋体"/>
                <w:b/>
                <w:sz w:val="20"/>
                <w:szCs w:val="20"/>
              </w:rPr>
            </w:pPr>
          </w:p>
        </w:tc>
        <w:tc>
          <w:tcPr>
            <w:tcW w:w="6523" w:type="dxa"/>
            <w:vAlign w:val="top"/>
          </w:tcPr>
          <w:p>
            <w:pPr>
              <w:spacing w:line="360" w:lineRule="exact"/>
              <w:rPr>
                <w:rFonts w:hint="eastAsia" w:ascii="宋体" w:hAnsi="宋体" w:cs="宋体"/>
                <w:color w:val="000000"/>
                <w:sz w:val="21"/>
                <w:szCs w:val="21"/>
              </w:rPr>
            </w:pPr>
            <w:r>
              <w:rPr>
                <w:rFonts w:hint="eastAsia" w:ascii="宋体" w:hAnsi="宋体" w:cs="宋体"/>
                <w:color w:val="000000"/>
                <w:sz w:val="21"/>
                <w:szCs w:val="21"/>
                <w:lang w:val="en-US" w:eastAsia="zh-CN"/>
              </w:rPr>
              <w:t>1</w:t>
            </w:r>
            <w:r>
              <w:rPr>
                <w:rFonts w:hint="eastAsia" w:ascii="宋体" w:hAnsi="宋体" w:cs="宋体"/>
                <w:color w:val="000000"/>
                <w:sz w:val="21"/>
                <w:szCs w:val="21"/>
              </w:rPr>
              <w:t>.2中标人所交付产品不符合其投标承诺的，或在投标阶段为了中标而盲目虚假承诺、低价恶性竞争，在履约阶段则通过偷工减料、以次充好而获取利润的，</w:t>
            </w:r>
            <w:r>
              <w:rPr>
                <w:rFonts w:hint="eastAsia" w:ascii="宋体" w:hAnsi="宋体" w:cs="宋体"/>
                <w:color w:val="000000"/>
                <w:sz w:val="21"/>
                <w:szCs w:val="21"/>
                <w:lang w:val="en-US" w:eastAsia="zh-CN"/>
              </w:rPr>
              <w:t>采购人</w:t>
            </w:r>
            <w:r>
              <w:rPr>
                <w:rFonts w:hint="eastAsia" w:ascii="宋体" w:hAnsi="宋体" w:cs="宋体"/>
                <w:color w:val="000000"/>
                <w:sz w:val="21"/>
                <w:szCs w:val="21"/>
              </w:rPr>
              <w:t>将根据标的的性质以及损失的大小，可以合理选择要求</w:t>
            </w:r>
            <w:r>
              <w:rPr>
                <w:rFonts w:hint="eastAsia" w:ascii="宋体" w:hAnsi="宋体" w:cs="宋体"/>
                <w:color w:val="000000"/>
                <w:sz w:val="21"/>
                <w:szCs w:val="21"/>
                <w:lang w:val="en-US" w:eastAsia="zh-CN"/>
              </w:rPr>
              <w:t>中标人</w:t>
            </w:r>
            <w:r>
              <w:rPr>
                <w:rFonts w:hint="eastAsia" w:ascii="宋体" w:hAnsi="宋体" w:cs="宋体"/>
                <w:color w:val="000000"/>
                <w:sz w:val="21"/>
                <w:szCs w:val="21"/>
              </w:rPr>
              <w:t>承担修理、更换、重作、退货、减少价款或者报酬等违约责任。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vAlign w:val="center"/>
          </w:tcPr>
          <w:p>
            <w:pPr>
              <w:spacing w:line="360" w:lineRule="exact"/>
              <w:jc w:val="center"/>
              <w:rPr>
                <w:rFonts w:hint="eastAsia" w:ascii="宋体" w:hAnsi="宋体"/>
                <w:b/>
                <w:sz w:val="20"/>
                <w:szCs w:val="20"/>
              </w:rPr>
            </w:pPr>
          </w:p>
        </w:tc>
        <w:tc>
          <w:tcPr>
            <w:tcW w:w="1457" w:type="dxa"/>
            <w:vMerge w:val="continue"/>
            <w:vAlign w:val="center"/>
          </w:tcPr>
          <w:p>
            <w:pPr>
              <w:spacing w:line="360" w:lineRule="exact"/>
              <w:jc w:val="center"/>
              <w:rPr>
                <w:rFonts w:hint="eastAsia" w:ascii="宋体" w:hAnsi="宋体"/>
                <w:b/>
                <w:sz w:val="20"/>
                <w:szCs w:val="20"/>
              </w:rPr>
            </w:pPr>
          </w:p>
        </w:tc>
        <w:tc>
          <w:tcPr>
            <w:tcW w:w="6523" w:type="dxa"/>
            <w:vAlign w:val="top"/>
          </w:tcPr>
          <w:p>
            <w:pPr>
              <w:spacing w:line="360" w:lineRule="exact"/>
              <w:rPr>
                <w:rFonts w:hint="eastAsia" w:ascii="宋体" w:hAnsi="宋体" w:cs="宋体"/>
                <w:color w:val="000000"/>
                <w:sz w:val="21"/>
                <w:szCs w:val="21"/>
              </w:rPr>
            </w:pPr>
            <w:r>
              <w:rPr>
                <w:rFonts w:hint="eastAsia" w:ascii="宋体" w:hAnsi="宋体" w:cs="宋体"/>
                <w:color w:val="000000"/>
                <w:sz w:val="21"/>
                <w:szCs w:val="21"/>
                <w:lang w:val="en-US" w:eastAsia="zh-CN"/>
              </w:rPr>
              <w:t>1</w:t>
            </w:r>
            <w:r>
              <w:rPr>
                <w:rFonts w:hint="eastAsia" w:ascii="宋体" w:hAnsi="宋体" w:cs="宋体"/>
                <w:color w:val="000000"/>
                <w:sz w:val="21"/>
                <w:szCs w:val="21"/>
              </w:rPr>
              <w:t>.3在中标人承诺的或国家规定的质量保证期内（取两者中最长的期限），如经中标人两次维修或更换，货物仍不能达到招标文件要求及投标文件承诺的质量标准，采购人有权退货，中标人应退回全部货款并赔偿采购人因此遭受的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restart"/>
            <w:vAlign w:val="center"/>
          </w:tcPr>
          <w:p>
            <w:pPr>
              <w:spacing w:line="360" w:lineRule="exact"/>
              <w:jc w:val="center"/>
              <w:rPr>
                <w:rFonts w:hint="eastAsia" w:ascii="宋体" w:hAnsi="宋体" w:eastAsia="宋体"/>
                <w:b/>
                <w:bCs w:val="0"/>
                <w:sz w:val="20"/>
                <w:szCs w:val="20"/>
                <w:lang w:eastAsia="zh-CN"/>
              </w:rPr>
            </w:pPr>
            <w:bookmarkStart w:id="14" w:name="_Hlk72260973"/>
            <w:r>
              <w:rPr>
                <w:rFonts w:hint="eastAsia" w:ascii="宋体" w:hAnsi="宋体"/>
                <w:b/>
                <w:bCs w:val="0"/>
                <w:sz w:val="20"/>
                <w:szCs w:val="20"/>
                <w:lang w:val="en-US" w:eastAsia="zh-CN"/>
              </w:rPr>
              <w:t>2</w:t>
            </w:r>
          </w:p>
        </w:tc>
        <w:tc>
          <w:tcPr>
            <w:tcW w:w="1457" w:type="dxa"/>
            <w:vMerge w:val="restart"/>
            <w:vAlign w:val="center"/>
          </w:tcPr>
          <w:p>
            <w:pPr>
              <w:spacing w:line="360" w:lineRule="exact"/>
              <w:jc w:val="center"/>
              <w:rPr>
                <w:rFonts w:hint="default" w:ascii="宋体" w:hAnsi="宋体" w:eastAsia="宋体"/>
                <w:b/>
                <w:bCs w:val="0"/>
                <w:sz w:val="20"/>
                <w:szCs w:val="20"/>
                <w:lang w:val="en-US" w:eastAsia="zh-CN"/>
              </w:rPr>
            </w:pPr>
            <w:r>
              <w:rPr>
                <w:rFonts w:hint="eastAsia" w:ascii="宋体" w:hAnsi="宋体"/>
                <w:b/>
                <w:bCs w:val="0"/>
                <w:sz w:val="20"/>
                <w:szCs w:val="20"/>
              </w:rPr>
              <w:t>交货</w:t>
            </w:r>
            <w:r>
              <w:rPr>
                <w:rFonts w:hint="eastAsia" w:ascii="宋体" w:hAnsi="宋体"/>
                <w:b/>
                <w:bCs w:val="0"/>
                <w:sz w:val="20"/>
                <w:szCs w:val="20"/>
                <w:lang w:val="en-US" w:eastAsia="zh-CN"/>
              </w:rPr>
              <w:t>及付款要求</w:t>
            </w:r>
          </w:p>
        </w:tc>
        <w:tc>
          <w:tcPr>
            <w:tcW w:w="6523" w:type="dxa"/>
            <w:vAlign w:val="center"/>
          </w:tcPr>
          <w:p>
            <w:pPr>
              <w:spacing w:line="360" w:lineRule="auto"/>
              <w:rPr>
                <w:rFonts w:hint="default" w:eastAsia="宋体"/>
                <w:lang w:val="en-US" w:eastAsia="zh-CN"/>
              </w:rPr>
            </w:pPr>
            <w:r>
              <w:rPr>
                <w:rFonts w:hint="eastAsia"/>
                <w:color w:val="FF0000"/>
                <w:lang w:val="en-US" w:eastAsia="zh-CN"/>
              </w:rPr>
              <w:t>2</w:t>
            </w:r>
            <w:r>
              <w:rPr>
                <w:rFonts w:hint="eastAsia"/>
                <w:color w:val="FF0000"/>
              </w:rPr>
              <w:t>.1履约时间和地点：投标供应商在签订合同之日起</w:t>
            </w:r>
            <w:r>
              <w:rPr>
                <w:rFonts w:hint="eastAsia"/>
                <w:color w:val="FF0000"/>
                <w:lang w:val="en-US" w:eastAsia="zh-CN"/>
              </w:rPr>
              <w:t>20</w:t>
            </w:r>
            <w:r>
              <w:rPr>
                <w:rFonts w:hint="eastAsia"/>
                <w:color w:val="FF0000"/>
              </w:rPr>
              <w:t>天内根据采购人的供货通知一次性或分批交货，交货地点为采购人指定地点。（因分批交货产生的运输、安装及保管等相关费用已包含在合同价内。）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40" w:type="dxa"/>
            <w:vMerge w:val="continue"/>
            <w:vAlign w:val="center"/>
          </w:tcPr>
          <w:p>
            <w:pPr>
              <w:spacing w:line="360" w:lineRule="exact"/>
              <w:jc w:val="center"/>
              <w:rPr>
                <w:rFonts w:ascii="宋体" w:hAnsi="宋体"/>
                <w:b/>
                <w:bCs w:val="0"/>
                <w:sz w:val="20"/>
                <w:szCs w:val="20"/>
              </w:rPr>
            </w:pPr>
          </w:p>
        </w:tc>
        <w:tc>
          <w:tcPr>
            <w:tcW w:w="1457" w:type="dxa"/>
            <w:vMerge w:val="continue"/>
            <w:vAlign w:val="center"/>
          </w:tcPr>
          <w:p>
            <w:pPr>
              <w:spacing w:line="360" w:lineRule="exact"/>
              <w:jc w:val="center"/>
              <w:rPr>
                <w:rFonts w:ascii="宋体" w:hAnsi="宋体"/>
                <w:b/>
                <w:bCs w:val="0"/>
                <w:sz w:val="20"/>
                <w:szCs w:val="20"/>
              </w:rPr>
            </w:pPr>
          </w:p>
        </w:tc>
        <w:tc>
          <w:tcPr>
            <w:tcW w:w="6523" w:type="dxa"/>
            <w:vAlign w:val="center"/>
          </w:tcPr>
          <w:p>
            <w:pPr>
              <w:spacing w:line="36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2.2付款期限和方式：</w:t>
            </w:r>
          </w:p>
          <w:p>
            <w:pPr>
              <w:spacing w:line="360" w:lineRule="exact"/>
              <w:rPr>
                <w:rFonts w:hint="eastAsia" w:ascii="宋体" w:hAnsi="宋体" w:cs="宋体"/>
                <w:color w:val="000000"/>
                <w:szCs w:val="21"/>
              </w:rPr>
            </w:pPr>
            <w:r>
              <w:rPr>
                <w:rFonts w:hint="eastAsia" w:ascii="宋体" w:hAnsi="宋体" w:cs="宋体"/>
                <w:color w:val="000000"/>
                <w:szCs w:val="21"/>
              </w:rPr>
              <w:t>1.合同签订后30个工作日内，采购人向中标供应商支付合同总价【30%】的款项；</w:t>
            </w:r>
          </w:p>
          <w:p>
            <w:pPr>
              <w:spacing w:line="360" w:lineRule="exact"/>
              <w:rPr>
                <w:rFonts w:hint="eastAsia" w:ascii="宋体" w:hAnsi="宋体" w:cs="宋体"/>
                <w:color w:val="000000"/>
                <w:szCs w:val="21"/>
              </w:rPr>
            </w:pPr>
            <w:r>
              <w:rPr>
                <w:rFonts w:hint="eastAsia" w:ascii="宋体" w:hAnsi="宋体" w:cs="宋体"/>
                <w:color w:val="000000"/>
                <w:szCs w:val="21"/>
              </w:rPr>
              <w:t>2、全部货物送到采购人指定地点完成安装，验收合格且区教育局落实项目资金后15个工作日内，采购人向中标供应商支付合同总价【50%】的款项。</w:t>
            </w:r>
          </w:p>
          <w:p>
            <w:pPr>
              <w:spacing w:line="360" w:lineRule="exact"/>
              <w:rPr>
                <w:rFonts w:hint="eastAsia" w:ascii="宋体" w:hAnsi="宋体" w:eastAsia="宋体" w:cs="宋体"/>
                <w:color w:val="000000"/>
                <w:sz w:val="21"/>
                <w:szCs w:val="21"/>
                <w:lang w:val="en-US" w:eastAsia="zh-CN"/>
              </w:rPr>
            </w:pPr>
            <w:r>
              <w:rPr>
                <w:rFonts w:hint="eastAsia" w:ascii="宋体" w:hAnsi="宋体" w:cs="宋体"/>
                <w:color w:val="000000"/>
                <w:szCs w:val="21"/>
              </w:rPr>
              <w:t>3.验收合格2年且区教育局落实项目资金后，支付剩余合同总价的【20%】尾款。</w:t>
            </w:r>
          </w:p>
          <w:p>
            <w:pPr>
              <w:spacing w:line="36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注：1.根据《关于促进政府采购公平竞争优化营商环境的通知》（财库〔2019〕38号）有关要求，对于满足合同约定支付条件的，采购人原则上应当自收到发票后10个工作日内将资金支付到合同约定的供应商账户。</w:t>
            </w:r>
          </w:p>
          <w:p>
            <w:pPr>
              <w:spacing w:line="360" w:lineRule="exac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区教育局和使用方应协助采购人申请资金计划，采购人按财政集中支付程序办理付款手续即视为采购人履行付款义务，因中标供应商原因或财政支付程序导致付款延迟，采购人不承担任何责任，中标供应商应继续履行合同约定义务，中标供应商自行解决由此引起的劳务、材料、设备、资金等一切纠纷，并承担因此而发生的相应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40" w:type="dxa"/>
            <w:vAlign w:val="center"/>
          </w:tcPr>
          <w:p>
            <w:pPr>
              <w:spacing w:line="360" w:lineRule="exact"/>
              <w:jc w:val="center"/>
              <w:rPr>
                <w:rFonts w:hint="default" w:ascii="宋体" w:hAnsi="宋体"/>
                <w:b/>
                <w:bCs w:val="0"/>
                <w:sz w:val="20"/>
                <w:szCs w:val="20"/>
                <w:lang w:val="en-US" w:eastAsia="zh-CN"/>
              </w:rPr>
            </w:pPr>
            <w:r>
              <w:rPr>
                <w:rFonts w:hint="eastAsia" w:ascii="宋体" w:hAnsi="宋体"/>
                <w:b/>
                <w:bCs w:val="0"/>
                <w:sz w:val="20"/>
                <w:szCs w:val="20"/>
                <w:lang w:val="en-US" w:eastAsia="zh-CN"/>
              </w:rPr>
              <w:t>3</w:t>
            </w:r>
          </w:p>
        </w:tc>
        <w:tc>
          <w:tcPr>
            <w:tcW w:w="1457" w:type="dxa"/>
            <w:vAlign w:val="center"/>
          </w:tcPr>
          <w:p>
            <w:pPr>
              <w:spacing w:line="360" w:lineRule="exact"/>
              <w:jc w:val="center"/>
              <w:rPr>
                <w:rStyle w:val="22"/>
                <w:rFonts w:hint="eastAsia" w:ascii="宋体" w:hAnsi="宋体" w:cs="宋体"/>
                <w:b/>
                <w:bCs w:val="0"/>
                <w:color w:val="000000"/>
                <w:sz w:val="20"/>
                <w:szCs w:val="20"/>
              </w:rPr>
            </w:pPr>
            <w:r>
              <w:rPr>
                <w:rFonts w:hint="eastAsia" w:ascii="宋体" w:hAnsi="宋体" w:cs="宋体"/>
                <w:b/>
                <w:bCs w:val="0"/>
                <w:color w:val="000000"/>
                <w:sz w:val="20"/>
                <w:szCs w:val="20"/>
              </w:rPr>
              <w:t>验收条件</w:t>
            </w:r>
          </w:p>
        </w:tc>
        <w:tc>
          <w:tcPr>
            <w:tcW w:w="6523" w:type="dxa"/>
            <w:vAlign w:val="center"/>
          </w:tcPr>
          <w:p>
            <w:pPr>
              <w:spacing w:line="360" w:lineRule="exact"/>
              <w:rPr>
                <w:rFonts w:hint="eastAsia" w:ascii="宋体" w:hAnsi="宋体" w:cs="宋体"/>
                <w:color w:val="000000"/>
                <w:sz w:val="20"/>
                <w:szCs w:val="20"/>
                <w:lang w:val="en-US" w:eastAsia="zh-CN"/>
              </w:rPr>
            </w:pPr>
            <w:r>
              <w:rPr>
                <w:rFonts w:hint="eastAsia" w:ascii="宋体" w:hAnsi="宋体" w:cs="宋体"/>
                <w:bCs/>
                <w:szCs w:val="21"/>
              </w:rPr>
              <w:t>投标人货物经</w:t>
            </w:r>
            <w:r>
              <w:rPr>
                <w:rFonts w:hint="eastAsia" w:ascii="宋体" w:hAnsi="宋体" w:cs="宋体"/>
                <w:bCs/>
                <w:szCs w:val="21"/>
                <w:lang w:eastAsia="zh-CN"/>
              </w:rPr>
              <w:t>使用方及采购人</w:t>
            </w:r>
            <w:r>
              <w:rPr>
                <w:rFonts w:hint="eastAsia" w:ascii="宋体" w:hAnsi="宋体" w:cs="宋体"/>
                <w:bCs/>
                <w:szCs w:val="21"/>
              </w:rPr>
              <w:t>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restart"/>
            <w:vAlign w:val="center"/>
          </w:tcPr>
          <w:p>
            <w:pPr>
              <w:spacing w:line="360" w:lineRule="exact"/>
              <w:jc w:val="center"/>
              <w:rPr>
                <w:rFonts w:hint="default" w:ascii="宋体" w:hAnsi="宋体"/>
                <w:b/>
                <w:bCs w:val="0"/>
                <w:sz w:val="20"/>
                <w:szCs w:val="20"/>
                <w:lang w:val="en-US" w:eastAsia="zh-CN"/>
              </w:rPr>
            </w:pPr>
            <w:r>
              <w:rPr>
                <w:rFonts w:hint="eastAsia" w:ascii="宋体" w:hAnsi="宋体"/>
                <w:b/>
                <w:bCs w:val="0"/>
                <w:sz w:val="20"/>
                <w:szCs w:val="20"/>
                <w:lang w:val="en-US" w:eastAsia="zh-CN"/>
              </w:rPr>
              <w:t>4</w:t>
            </w:r>
          </w:p>
        </w:tc>
        <w:tc>
          <w:tcPr>
            <w:tcW w:w="1457" w:type="dxa"/>
            <w:vMerge w:val="restart"/>
            <w:vAlign w:val="center"/>
          </w:tcPr>
          <w:p>
            <w:pPr>
              <w:spacing w:line="360" w:lineRule="exact"/>
              <w:jc w:val="center"/>
              <w:rPr>
                <w:rStyle w:val="22"/>
                <w:rFonts w:hint="eastAsia" w:ascii="宋体" w:hAnsi="宋体" w:cs="宋体"/>
                <w:b/>
                <w:bCs w:val="0"/>
                <w:color w:val="000000"/>
                <w:sz w:val="20"/>
                <w:szCs w:val="20"/>
              </w:rPr>
            </w:pPr>
            <w:r>
              <w:rPr>
                <w:rFonts w:hint="eastAsia" w:ascii="宋体" w:hAnsi="宋体" w:cs="宋体"/>
                <w:b/>
                <w:bCs w:val="0"/>
                <w:color w:val="000000"/>
                <w:sz w:val="20"/>
                <w:szCs w:val="20"/>
              </w:rPr>
              <w:t>争议解决方法</w:t>
            </w:r>
          </w:p>
        </w:tc>
        <w:tc>
          <w:tcPr>
            <w:tcW w:w="6523" w:type="dxa"/>
            <w:vAlign w:val="center"/>
          </w:tcPr>
          <w:p>
            <w:pPr>
              <w:spacing w:line="360" w:lineRule="exact"/>
              <w:rPr>
                <w:rFonts w:hint="eastAsia"/>
                <w:lang w:val="en-US" w:eastAsia="zh-CN"/>
              </w:rPr>
            </w:pPr>
            <w:r>
              <w:rPr>
                <w:rFonts w:hint="eastAsia"/>
                <w:lang w:val="en-US" w:eastAsia="zh-CN"/>
              </w:rPr>
              <w:t>4.1</w:t>
            </w:r>
            <w:r>
              <w:rPr>
                <w:rFonts w:hint="eastAsia"/>
              </w:rPr>
              <w:t>违约责任：如投标供应商未按照投标文件中承诺的时间交货或提供服务，投标供应商应承担延期交货和延期服务的违约责任</w:t>
            </w:r>
            <w:r>
              <w:rPr>
                <w:rFonts w:hint="eastAsia"/>
                <w:lang w:eastAsia="zh-CN"/>
              </w:rPr>
              <w:t>，</w:t>
            </w:r>
            <w:r>
              <w:rPr>
                <w:rFonts w:hint="eastAsia" w:ascii="宋体" w:hAnsi="宋体" w:cs="宋体"/>
              </w:rPr>
              <w:t>并赔偿采购人因此造成的实际经济损失</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vAlign w:val="center"/>
          </w:tcPr>
          <w:p>
            <w:pPr>
              <w:spacing w:line="360" w:lineRule="exact"/>
              <w:jc w:val="center"/>
              <w:rPr>
                <w:rFonts w:hint="eastAsia" w:ascii="宋体" w:hAnsi="宋体"/>
                <w:b/>
                <w:bCs w:val="0"/>
                <w:sz w:val="20"/>
                <w:szCs w:val="20"/>
                <w:lang w:val="en-US" w:eastAsia="zh-CN"/>
              </w:rPr>
            </w:pPr>
          </w:p>
        </w:tc>
        <w:tc>
          <w:tcPr>
            <w:tcW w:w="1457" w:type="dxa"/>
            <w:vMerge w:val="continue"/>
            <w:vAlign w:val="center"/>
          </w:tcPr>
          <w:p>
            <w:pPr>
              <w:spacing w:line="360" w:lineRule="exact"/>
              <w:jc w:val="center"/>
              <w:rPr>
                <w:rFonts w:hint="eastAsia" w:ascii="宋体" w:hAnsi="宋体" w:cs="宋体"/>
                <w:b/>
                <w:bCs w:val="0"/>
                <w:color w:val="000000"/>
                <w:sz w:val="20"/>
                <w:szCs w:val="20"/>
              </w:rPr>
            </w:pPr>
          </w:p>
        </w:tc>
        <w:tc>
          <w:tcPr>
            <w:tcW w:w="6523" w:type="dxa"/>
            <w:vAlign w:val="center"/>
          </w:tcPr>
          <w:p>
            <w:pPr>
              <w:spacing w:line="36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4.2中标人所交设备的品种、型号、规格、质量、功能、技术参数等方面不能实质性满足招标文件要求的，采购人有权拒绝收货，中标人向采购人偿付项目采购金额【10】%的违约金；造成严重后果的，根据《深圳经济特区政府采购条例》第五十七条第（二）款规定，由主管部门对中标人进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vAlign w:val="center"/>
          </w:tcPr>
          <w:p>
            <w:pPr>
              <w:spacing w:line="360" w:lineRule="exact"/>
              <w:jc w:val="center"/>
              <w:rPr>
                <w:rFonts w:hint="eastAsia" w:ascii="宋体" w:hAnsi="宋体"/>
                <w:b/>
                <w:bCs w:val="0"/>
                <w:sz w:val="20"/>
                <w:szCs w:val="20"/>
                <w:lang w:val="en-US" w:eastAsia="zh-CN"/>
              </w:rPr>
            </w:pPr>
          </w:p>
        </w:tc>
        <w:tc>
          <w:tcPr>
            <w:tcW w:w="1457" w:type="dxa"/>
            <w:vMerge w:val="continue"/>
            <w:vAlign w:val="center"/>
          </w:tcPr>
          <w:p>
            <w:pPr>
              <w:spacing w:line="360" w:lineRule="exact"/>
              <w:jc w:val="center"/>
              <w:rPr>
                <w:rFonts w:hint="eastAsia" w:ascii="宋体" w:hAnsi="宋体" w:cs="宋体"/>
                <w:b/>
                <w:bCs w:val="0"/>
                <w:color w:val="000000"/>
                <w:sz w:val="20"/>
                <w:szCs w:val="20"/>
              </w:rPr>
            </w:pPr>
          </w:p>
        </w:tc>
        <w:tc>
          <w:tcPr>
            <w:tcW w:w="6523" w:type="dxa"/>
            <w:vAlign w:val="center"/>
          </w:tcPr>
          <w:p>
            <w:pPr>
              <w:pStyle w:val="2"/>
              <w:spacing w:line="360" w:lineRule="auto"/>
              <w:rPr>
                <w:rFonts w:hint="eastAsia" w:ascii="宋体" w:hAnsi="宋体" w:cs="宋体"/>
                <w:color w:val="000000"/>
                <w:sz w:val="20"/>
                <w:szCs w:val="20"/>
              </w:rPr>
            </w:pPr>
            <w:r>
              <w:rPr>
                <w:rFonts w:hint="eastAsia" w:ascii="宋体" w:hAnsi="宋体" w:cs="宋体"/>
                <w:color w:val="000000"/>
                <w:sz w:val="20"/>
                <w:szCs w:val="20"/>
                <w:lang w:val="en-US" w:eastAsia="zh-CN"/>
              </w:rPr>
              <w:t>4.3</w:t>
            </w:r>
            <w:r>
              <w:rPr>
                <w:rFonts w:hint="eastAsia" w:ascii="宋体" w:hAnsi="宋体" w:cs="宋体"/>
                <w:color w:val="000000"/>
                <w:sz w:val="20"/>
                <w:szCs w:val="20"/>
              </w:rPr>
              <w:t>争议解决方法：</w:t>
            </w:r>
          </w:p>
          <w:p>
            <w:pPr>
              <w:pStyle w:val="2"/>
              <w:spacing w:line="360" w:lineRule="auto"/>
              <w:rPr>
                <w:rFonts w:hint="eastAsia" w:ascii="宋体" w:hAnsi="宋体" w:cs="宋体"/>
                <w:b w:val="0"/>
                <w:bCs w:val="0"/>
                <w:color w:val="000000"/>
                <w:sz w:val="21"/>
                <w:szCs w:val="21"/>
              </w:rPr>
            </w:pPr>
            <w:r>
              <w:rPr>
                <w:rFonts w:hint="eastAsia" w:ascii="宋体" w:hAnsi="宋体" w:cs="宋体"/>
                <w:b w:val="0"/>
                <w:bCs w:val="0"/>
                <w:color w:val="000000"/>
                <w:sz w:val="21"/>
                <w:szCs w:val="21"/>
                <w:lang w:val="en-US" w:eastAsia="zh-CN"/>
              </w:rPr>
              <w:t>a.</w:t>
            </w:r>
            <w:r>
              <w:rPr>
                <w:rFonts w:hint="eastAsia" w:ascii="宋体" w:hAnsi="宋体" w:cs="宋体"/>
                <w:b w:val="0"/>
                <w:bCs w:val="0"/>
                <w:color w:val="000000"/>
                <w:sz w:val="21"/>
                <w:szCs w:val="21"/>
              </w:rPr>
              <w:t>因货物的质量问题发生争议的，应当邀请国家认可的质量检测机构对货物质量进行鉴定。货物符合标准的，鉴定费由采购人承担；货物不符合质量标准的，鉴定费由中标人承担。</w:t>
            </w:r>
          </w:p>
          <w:p>
            <w:pPr>
              <w:spacing w:line="360" w:lineRule="auto"/>
              <w:rPr>
                <w:rFonts w:hint="eastAsia"/>
                <w:lang w:val="en-US" w:eastAsia="zh-CN"/>
              </w:rPr>
            </w:pPr>
            <w:r>
              <w:rPr>
                <w:rFonts w:hint="eastAsia"/>
                <w:lang w:val="en-US" w:eastAsia="zh-CN"/>
              </w:rPr>
              <w:t xml:space="preserve">b. </w:t>
            </w:r>
            <w:r>
              <w:rPr>
                <w:rFonts w:hint="eastAsia"/>
              </w:rPr>
              <w:t>因履行本</w:t>
            </w:r>
            <w:bookmarkStart w:id="109" w:name="_GoBack"/>
            <w:bookmarkEnd w:id="109"/>
            <w:r>
              <w:rPr>
                <w:rFonts w:hint="eastAsia"/>
              </w:rPr>
              <w:t>合同引起的或与本合同有关的争议，采购人、</w:t>
            </w:r>
            <w:r>
              <w:rPr>
                <w:rFonts w:hint="eastAsia" w:ascii="宋体" w:hAnsi="宋体"/>
                <w:szCs w:val="21"/>
              </w:rPr>
              <w:t>中标人</w:t>
            </w:r>
            <w:r>
              <w:rPr>
                <w:rFonts w:hint="eastAsia"/>
              </w:rPr>
              <w:t>双方应首先通过友好协商解决，如果协商不能解决争议，则向采购人所在地有管辖权的人民法院提起诉讼；</w:t>
            </w:r>
          </w:p>
        </w:tc>
      </w:tr>
      <w:bookmark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Align w:val="center"/>
          </w:tcPr>
          <w:p>
            <w:pPr>
              <w:spacing w:line="360" w:lineRule="exact"/>
              <w:jc w:val="center"/>
              <w:rPr>
                <w:rFonts w:hint="eastAsia" w:ascii="宋体" w:hAnsi="宋体" w:eastAsia="宋体"/>
                <w:b/>
                <w:sz w:val="20"/>
                <w:szCs w:val="20"/>
                <w:lang w:eastAsia="zh-CN"/>
              </w:rPr>
            </w:pPr>
            <w:r>
              <w:rPr>
                <w:rFonts w:hint="eastAsia" w:ascii="宋体" w:hAnsi="宋体"/>
                <w:b/>
                <w:sz w:val="20"/>
                <w:szCs w:val="20"/>
                <w:lang w:val="en-US" w:eastAsia="zh-CN"/>
              </w:rPr>
              <w:t>5</w:t>
            </w:r>
          </w:p>
        </w:tc>
        <w:tc>
          <w:tcPr>
            <w:tcW w:w="1457" w:type="dxa"/>
            <w:vAlign w:val="center"/>
          </w:tcPr>
          <w:p>
            <w:pPr>
              <w:spacing w:line="360" w:lineRule="exact"/>
              <w:jc w:val="center"/>
              <w:rPr>
                <w:rFonts w:ascii="宋体" w:hAnsi="宋体"/>
                <w:color w:val="000000"/>
                <w:sz w:val="20"/>
                <w:szCs w:val="20"/>
              </w:rPr>
            </w:pPr>
            <w:r>
              <w:rPr>
                <w:rStyle w:val="22"/>
                <w:rFonts w:hint="eastAsia" w:ascii="宋体" w:hAnsi="宋体" w:cs="宋体"/>
                <w:color w:val="000000"/>
                <w:sz w:val="20"/>
                <w:szCs w:val="20"/>
              </w:rPr>
              <w:t>运输、安装条件</w:t>
            </w:r>
          </w:p>
        </w:tc>
        <w:tc>
          <w:tcPr>
            <w:tcW w:w="6523" w:type="dxa"/>
            <w:vAlign w:val="center"/>
          </w:tcPr>
          <w:p>
            <w:pPr>
              <w:spacing w:line="360" w:lineRule="exact"/>
              <w:rPr>
                <w:rFonts w:ascii="宋体" w:hAnsi="宋体"/>
                <w:bCs/>
                <w:color w:val="000000"/>
                <w:sz w:val="21"/>
                <w:szCs w:val="21"/>
              </w:rPr>
            </w:pPr>
            <w:r>
              <w:rPr>
                <w:rFonts w:hint="eastAsia" w:ascii="宋体" w:hAnsi="宋体" w:cs="宋体"/>
                <w:color w:val="000000"/>
                <w:sz w:val="21"/>
                <w:szCs w:val="21"/>
                <w:lang w:val="en-US" w:eastAsia="zh-CN"/>
              </w:rPr>
              <w:t>5</w:t>
            </w:r>
            <w:r>
              <w:rPr>
                <w:rFonts w:hint="eastAsia" w:ascii="宋体" w:hAnsi="宋体" w:cs="宋体"/>
                <w:color w:val="000000"/>
                <w:sz w:val="21"/>
                <w:szCs w:val="21"/>
              </w:rPr>
              <w:t>.1 投标供应商须在签订合同之日起 3天内向采购人提供设备的运行、安装、使用环境要求。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restart"/>
            <w:vAlign w:val="center"/>
          </w:tcPr>
          <w:p>
            <w:pPr>
              <w:spacing w:line="360" w:lineRule="exact"/>
              <w:jc w:val="center"/>
              <w:rPr>
                <w:rFonts w:hint="eastAsia" w:ascii="宋体" w:hAnsi="宋体" w:eastAsia="宋体"/>
                <w:b/>
                <w:sz w:val="20"/>
                <w:szCs w:val="20"/>
                <w:lang w:eastAsia="zh-CN"/>
              </w:rPr>
            </w:pPr>
            <w:r>
              <w:rPr>
                <w:rFonts w:hint="eastAsia" w:ascii="宋体" w:hAnsi="宋体"/>
                <w:b/>
                <w:sz w:val="20"/>
                <w:szCs w:val="20"/>
                <w:lang w:val="en-US" w:eastAsia="zh-CN"/>
              </w:rPr>
              <w:t>6</w:t>
            </w:r>
          </w:p>
        </w:tc>
        <w:tc>
          <w:tcPr>
            <w:tcW w:w="1457" w:type="dxa"/>
            <w:vMerge w:val="restart"/>
            <w:vAlign w:val="center"/>
          </w:tcPr>
          <w:p>
            <w:pPr>
              <w:spacing w:line="360" w:lineRule="exact"/>
              <w:jc w:val="center"/>
              <w:rPr>
                <w:rFonts w:ascii="宋体" w:hAnsi="宋体"/>
                <w:b/>
                <w:sz w:val="20"/>
                <w:szCs w:val="20"/>
              </w:rPr>
            </w:pPr>
            <w:r>
              <w:rPr>
                <w:rFonts w:ascii="宋体" w:hAnsi="宋体"/>
                <w:b/>
                <w:sz w:val="20"/>
                <w:szCs w:val="20"/>
              </w:rPr>
              <w:t>培训</w:t>
            </w:r>
          </w:p>
        </w:tc>
        <w:tc>
          <w:tcPr>
            <w:tcW w:w="6523" w:type="dxa"/>
          </w:tcPr>
          <w:p>
            <w:pPr>
              <w:widowControl/>
              <w:jc w:val="left"/>
              <w:rPr>
                <w:rFonts w:ascii="宋体" w:hAnsi="宋体" w:cs="宋体"/>
                <w:color w:val="000000"/>
                <w:sz w:val="21"/>
                <w:szCs w:val="21"/>
              </w:rPr>
            </w:pPr>
            <w:r>
              <w:rPr>
                <w:rFonts w:hint="eastAsia" w:ascii="宋体" w:hAnsi="宋体" w:cs="宋体"/>
                <w:color w:val="000000"/>
                <w:sz w:val="21"/>
                <w:szCs w:val="21"/>
                <w:lang w:val="en-US" w:eastAsia="zh-CN"/>
              </w:rPr>
              <w:t>6</w:t>
            </w:r>
            <w:r>
              <w:rPr>
                <w:rFonts w:hint="eastAsia" w:ascii="宋体" w:hAnsi="宋体" w:cs="宋体"/>
                <w:color w:val="000000"/>
                <w:sz w:val="21"/>
                <w:szCs w:val="21"/>
              </w:rPr>
              <w:t>.1投标供应商应派专业技术人员免费对采购单位指定人员进行定期培训及指导，直至其完全掌握设备的基本故障处理技术。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vAlign w:val="center"/>
          </w:tcPr>
          <w:p>
            <w:pPr>
              <w:spacing w:line="360" w:lineRule="exact"/>
              <w:jc w:val="center"/>
              <w:rPr>
                <w:rFonts w:ascii="宋体" w:hAnsi="宋体"/>
                <w:b/>
                <w:sz w:val="20"/>
                <w:szCs w:val="20"/>
              </w:rPr>
            </w:pPr>
          </w:p>
        </w:tc>
        <w:tc>
          <w:tcPr>
            <w:tcW w:w="1457" w:type="dxa"/>
            <w:vMerge w:val="continue"/>
            <w:vAlign w:val="center"/>
          </w:tcPr>
          <w:p>
            <w:pPr>
              <w:spacing w:line="360" w:lineRule="exact"/>
              <w:rPr>
                <w:rFonts w:ascii="宋体" w:hAnsi="宋体"/>
                <w:b/>
                <w:sz w:val="20"/>
                <w:szCs w:val="20"/>
              </w:rPr>
            </w:pPr>
          </w:p>
        </w:tc>
        <w:tc>
          <w:tcPr>
            <w:tcW w:w="6523" w:type="dxa"/>
          </w:tcPr>
          <w:p>
            <w:pPr>
              <w:widowControl/>
              <w:jc w:val="left"/>
              <w:rPr>
                <w:rFonts w:ascii="宋体" w:hAnsi="宋体" w:cs="宋体"/>
                <w:color w:val="000000"/>
                <w:sz w:val="21"/>
                <w:szCs w:val="21"/>
              </w:rPr>
            </w:pPr>
            <w:r>
              <w:rPr>
                <w:rFonts w:hint="eastAsia" w:ascii="宋体" w:hAnsi="宋体" w:cs="宋体"/>
                <w:color w:val="000000"/>
                <w:sz w:val="21"/>
                <w:szCs w:val="21"/>
                <w:lang w:val="en-US" w:eastAsia="zh-CN"/>
              </w:rPr>
              <w:t>6</w:t>
            </w:r>
            <w:r>
              <w:rPr>
                <w:rFonts w:hint="eastAsia" w:ascii="宋体" w:hAnsi="宋体" w:cs="宋体"/>
                <w:color w:val="000000"/>
                <w:sz w:val="21"/>
                <w:szCs w:val="21"/>
              </w:rPr>
              <w:t>.2 现场培训：投标供应商应提供现场技术培训，保证使用人员正常操作设备的各种功能。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restart"/>
            <w:vAlign w:val="center"/>
          </w:tcPr>
          <w:p>
            <w:pPr>
              <w:spacing w:line="360" w:lineRule="exact"/>
              <w:jc w:val="center"/>
              <w:rPr>
                <w:rFonts w:hint="eastAsia" w:ascii="宋体" w:hAnsi="宋体" w:eastAsia="宋体"/>
                <w:b/>
                <w:sz w:val="20"/>
                <w:szCs w:val="20"/>
                <w:lang w:eastAsia="zh-CN"/>
              </w:rPr>
            </w:pPr>
            <w:r>
              <w:rPr>
                <w:rFonts w:hint="eastAsia" w:ascii="宋体" w:hAnsi="宋体"/>
                <w:b/>
                <w:sz w:val="20"/>
                <w:szCs w:val="20"/>
                <w:lang w:val="en-US" w:eastAsia="zh-CN"/>
              </w:rPr>
              <w:t>7</w:t>
            </w:r>
          </w:p>
        </w:tc>
        <w:tc>
          <w:tcPr>
            <w:tcW w:w="1457" w:type="dxa"/>
            <w:vMerge w:val="restart"/>
            <w:vAlign w:val="center"/>
          </w:tcPr>
          <w:p>
            <w:pPr>
              <w:spacing w:line="360" w:lineRule="exact"/>
              <w:jc w:val="center"/>
              <w:rPr>
                <w:rFonts w:ascii="宋体" w:hAnsi="宋体"/>
                <w:b/>
                <w:sz w:val="20"/>
                <w:szCs w:val="20"/>
              </w:rPr>
            </w:pPr>
            <w:r>
              <w:rPr>
                <w:rFonts w:ascii="宋体" w:hAnsi="宋体"/>
                <w:b/>
                <w:sz w:val="20"/>
                <w:szCs w:val="20"/>
              </w:rPr>
              <w:t>知识产权</w:t>
            </w:r>
          </w:p>
        </w:tc>
        <w:tc>
          <w:tcPr>
            <w:tcW w:w="6523" w:type="dxa"/>
          </w:tcPr>
          <w:p>
            <w:pPr>
              <w:rPr>
                <w:sz w:val="21"/>
                <w:szCs w:val="21"/>
              </w:rPr>
            </w:pPr>
            <w:r>
              <w:rPr>
                <w:rFonts w:hint="eastAsia" w:ascii="宋体" w:hAnsi="宋体" w:cs="宋体"/>
                <w:color w:val="000000"/>
                <w:sz w:val="21"/>
                <w:szCs w:val="21"/>
                <w:lang w:val="en-US" w:eastAsia="zh-CN"/>
              </w:rPr>
              <w:t>7</w:t>
            </w:r>
            <w:r>
              <w:rPr>
                <w:rFonts w:hint="eastAsia" w:ascii="宋体" w:hAnsi="宋体" w:cs="宋体"/>
                <w:color w:val="000000"/>
                <w:sz w:val="21"/>
                <w:szCs w:val="21"/>
              </w:rPr>
              <w:t>.1涉及采购标的的知识产权归属、处理的，</w:t>
            </w:r>
            <w:r>
              <w:rPr>
                <w:rFonts w:hint="eastAsia" w:ascii="宋体" w:hAnsi="宋体" w:cs="宋体"/>
                <w:color w:val="000000"/>
                <w:sz w:val="21"/>
                <w:szCs w:val="21"/>
                <w:lang w:val="en-US" w:eastAsia="zh-CN"/>
              </w:rPr>
              <w:t>应</w:t>
            </w:r>
            <w:r>
              <w:rPr>
                <w:rFonts w:hint="eastAsia" w:ascii="宋体" w:hAnsi="宋体" w:cs="宋体"/>
                <w:color w:val="000000"/>
                <w:sz w:val="21"/>
                <w:szCs w:val="21"/>
              </w:rPr>
              <w:t>约定知识产权的归属和处理方式。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vAlign w:val="center"/>
          </w:tcPr>
          <w:p>
            <w:pPr>
              <w:spacing w:line="360" w:lineRule="exact"/>
              <w:jc w:val="center"/>
              <w:rPr>
                <w:rFonts w:ascii="宋体" w:hAnsi="宋体"/>
                <w:b/>
              </w:rPr>
            </w:pPr>
          </w:p>
        </w:tc>
        <w:tc>
          <w:tcPr>
            <w:tcW w:w="1457" w:type="dxa"/>
            <w:vMerge w:val="continue"/>
            <w:vAlign w:val="center"/>
          </w:tcPr>
          <w:p>
            <w:pPr>
              <w:spacing w:line="360" w:lineRule="exact"/>
              <w:rPr>
                <w:rFonts w:ascii="宋体" w:hAnsi="宋体"/>
                <w:b/>
              </w:rPr>
            </w:pPr>
          </w:p>
        </w:tc>
        <w:tc>
          <w:tcPr>
            <w:tcW w:w="6523" w:type="dxa"/>
          </w:tcPr>
          <w:p>
            <w:pPr>
              <w:widowControl/>
              <w:jc w:val="left"/>
              <w:rPr>
                <w:rFonts w:ascii="宋体" w:hAnsi="宋体" w:cs="宋体"/>
                <w:color w:val="000000"/>
                <w:sz w:val="21"/>
                <w:szCs w:val="21"/>
              </w:rPr>
            </w:pPr>
            <w:r>
              <w:rPr>
                <w:rFonts w:hint="eastAsia" w:ascii="宋体" w:hAnsi="宋体" w:cs="宋体"/>
                <w:color w:val="000000"/>
                <w:sz w:val="21"/>
                <w:szCs w:val="21"/>
                <w:lang w:val="en-US" w:eastAsia="zh-CN"/>
              </w:rPr>
              <w:t>7</w:t>
            </w:r>
            <w:r>
              <w:rPr>
                <w:rFonts w:hint="eastAsia" w:ascii="宋体" w:hAnsi="宋体" w:cs="宋体"/>
                <w:color w:val="000000"/>
                <w:sz w:val="21"/>
                <w:szCs w:val="21"/>
              </w:rPr>
              <w:t>.2采购人购买产品后，有权对该产品与其他设备进行配套、整合或适当改进，而免受侵犯专利权的起诉。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Align w:val="center"/>
          </w:tcPr>
          <w:p>
            <w:pPr>
              <w:spacing w:line="360" w:lineRule="exact"/>
              <w:jc w:val="center"/>
              <w:rPr>
                <w:rFonts w:hint="eastAsia" w:ascii="宋体" w:hAnsi="宋体" w:eastAsia="宋体"/>
                <w:b/>
                <w:lang w:eastAsia="zh-CN"/>
              </w:rPr>
            </w:pPr>
            <w:r>
              <w:rPr>
                <w:rFonts w:hint="eastAsia"/>
                <w:b/>
                <w:lang w:val="en-US" w:eastAsia="zh-CN"/>
              </w:rPr>
              <w:t>8</w:t>
            </w:r>
          </w:p>
        </w:tc>
        <w:tc>
          <w:tcPr>
            <w:tcW w:w="1457" w:type="dxa"/>
            <w:vAlign w:val="center"/>
          </w:tcPr>
          <w:p>
            <w:pPr>
              <w:spacing w:line="360" w:lineRule="exact"/>
              <w:jc w:val="center"/>
              <w:rPr>
                <w:rFonts w:ascii="宋体" w:hAnsi="宋体"/>
                <w:b/>
              </w:rPr>
            </w:pPr>
            <w:r>
              <w:rPr>
                <w:rFonts w:ascii="宋体" w:hAnsi="宋体"/>
                <w:b/>
                <w:color w:val="000000"/>
                <w:sz w:val="20"/>
                <w:szCs w:val="20"/>
              </w:rPr>
              <w:t>其他</w:t>
            </w:r>
          </w:p>
        </w:tc>
        <w:tc>
          <w:tcPr>
            <w:tcW w:w="6523" w:type="dxa"/>
          </w:tcPr>
          <w:p>
            <w:pPr>
              <w:widowControl/>
              <w:jc w:val="left"/>
              <w:rPr>
                <w:rFonts w:hint="eastAsia" w:ascii="宋体" w:hAnsi="宋体" w:cs="宋体"/>
                <w:color w:val="000000"/>
                <w:sz w:val="21"/>
                <w:szCs w:val="21"/>
              </w:rPr>
            </w:pPr>
            <w:r>
              <w:rPr>
                <w:rFonts w:hint="eastAsia" w:ascii="宋体" w:hAnsi="宋体" w:cs="宋体"/>
                <w:color w:val="000000"/>
                <w:sz w:val="21"/>
                <w:szCs w:val="21"/>
                <w:lang w:val="en-US" w:eastAsia="zh-CN"/>
              </w:rPr>
              <w:t>8</w:t>
            </w:r>
            <w:r>
              <w:rPr>
                <w:rFonts w:hint="eastAsia" w:ascii="宋体" w:hAnsi="宋体" w:cs="宋体"/>
                <w:color w:val="000000"/>
                <w:sz w:val="21"/>
                <w:szCs w:val="21"/>
              </w:rPr>
              <w:t>.1投标供应商应按其投标文件中的承诺，进行其他售后服务工作。</w:t>
            </w:r>
          </w:p>
        </w:tc>
      </w:tr>
    </w:tbl>
    <w:p>
      <w:pPr>
        <w:keepNext/>
        <w:keepLines/>
        <w:tabs>
          <w:tab w:val="left" w:pos="1680"/>
        </w:tabs>
        <w:spacing w:before="260" w:after="78" w:afterLines="25"/>
        <w:jc w:val="center"/>
        <w:outlineLvl w:val="2"/>
        <w:rPr>
          <w:rFonts w:ascii="Arial" w:hAnsi="Arial" w:eastAsia="宋体" w:cs="Times New Roman"/>
          <w:b/>
          <w:bCs/>
          <w:sz w:val="32"/>
          <w:szCs w:val="32"/>
        </w:rPr>
      </w:pPr>
      <w:r>
        <w:rPr>
          <w:rFonts w:hint="eastAsia" w:ascii="Arial" w:hAnsi="Arial" w:eastAsia="宋体" w:cs="Times New Roman"/>
          <w:b/>
          <w:bCs/>
          <w:sz w:val="32"/>
          <w:szCs w:val="32"/>
        </w:rPr>
        <w:t>五、技术要求部分</w:t>
      </w:r>
    </w:p>
    <w:tbl>
      <w:tblPr>
        <w:tblStyle w:val="19"/>
        <w:tblpPr w:leftFromText="180" w:rightFromText="180" w:vertAnchor="text" w:horzAnchor="page" w:tblpXSpec="center" w:tblpY="250"/>
        <w:tblOverlap w:val="never"/>
        <w:tblW w:w="99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5"/>
        <w:gridCol w:w="960"/>
        <w:gridCol w:w="81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货物名称</w:t>
            </w: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招标技术要求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8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IP网络有源音箱</w:t>
            </w: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1、壁挂式音箱设计。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2、内置≥1路网络硬件音频解码模块,具有≥1路RJ45网络接口，≥100Mbps传输速率。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3、支持≥1路音频线路输入接口，具有独立的音量调节功能。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4、设备集成有数字功放，功率≥2×20W（MAX），≥一路接主音箱，≥一路外接到副音箱。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5、内置≥2级优先级功能设计：(1)AUX与网路背景音乐信号同级，混音输出。(2)网络报警信号优先AUX与网络背景音乐信号。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6、支持IPv6、IPv4网络协议。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7、音频格式:MP3。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8、采样率：8KHz～48KHz。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9、音频模式：16位CD音质。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10、频率响应:150Hz~16KHz(+1/-3dB)。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11、辅助线路输入电平:350mV工业标准压线接线端子。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12、谐波失真：≤1%。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13、信噪比：＞65dB。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14、设备包含安装及调试（含配套辅材）。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微软雅黑" w:hAnsi="微软雅黑" w:eastAsia="微软雅黑" w:cs="微软雅黑"/>
                <w:b/>
                <w:bCs/>
                <w:i w:val="0"/>
                <w:iCs w:val="0"/>
                <w:color w:val="FF0000"/>
                <w:sz w:val="22"/>
                <w:szCs w:val="22"/>
                <w:u w:val="none"/>
              </w:rPr>
            </w:pPr>
            <w:r>
              <w:rPr>
                <w:rFonts w:hint="eastAsia" w:ascii="微软雅黑" w:hAnsi="微软雅黑" w:eastAsia="微软雅黑" w:cs="微软雅黑"/>
                <w:b/>
                <w:bCs/>
                <w:i w:val="0"/>
                <w:iCs w:val="0"/>
                <w:color w:val="FF0000"/>
                <w:kern w:val="0"/>
                <w:sz w:val="22"/>
                <w:szCs w:val="22"/>
                <w:u w:val="none"/>
                <w:lang w:val="en-US" w:eastAsia="zh-CN" w:bidi="ar"/>
              </w:rPr>
              <w:t>★15</w:t>
            </w:r>
            <w:r>
              <w:rPr>
                <w:rFonts w:hint="eastAsia" w:ascii="宋体" w:hAnsi="宋体" w:eastAsia="宋体" w:cs="宋体"/>
                <w:b/>
                <w:bCs/>
                <w:i w:val="0"/>
                <w:iCs w:val="0"/>
                <w:color w:val="FF0000"/>
                <w:kern w:val="0"/>
                <w:sz w:val="22"/>
                <w:szCs w:val="22"/>
                <w:u w:val="none"/>
                <w:lang w:val="en-US" w:eastAsia="zh-CN" w:bidi="ar"/>
              </w:rPr>
              <w:t>、所投产品必须与学校网络广播主机</w:t>
            </w:r>
            <w:r>
              <w:rPr>
                <w:rFonts w:hint="eastAsia" w:ascii="宋体" w:hAnsi="宋体" w:cs="宋体"/>
                <w:b/>
                <w:bCs/>
                <w:i w:val="0"/>
                <w:iCs w:val="0"/>
                <w:color w:val="FF0000"/>
                <w:kern w:val="0"/>
                <w:sz w:val="22"/>
                <w:szCs w:val="22"/>
                <w:u w:val="none"/>
                <w:lang w:val="en-US" w:eastAsia="zh-CN" w:bidi="ar"/>
              </w:rPr>
              <w:t>（型号：T-7700A）</w:t>
            </w:r>
            <w:r>
              <w:rPr>
                <w:rFonts w:hint="eastAsia" w:ascii="宋体" w:hAnsi="宋体" w:eastAsia="宋体" w:cs="宋体"/>
                <w:b/>
                <w:bCs/>
                <w:i w:val="0"/>
                <w:iCs w:val="0"/>
                <w:color w:val="FF0000"/>
                <w:kern w:val="0"/>
                <w:sz w:val="22"/>
                <w:szCs w:val="22"/>
                <w:u w:val="none"/>
                <w:lang w:val="en-US" w:eastAsia="zh-CN" w:bidi="ar"/>
              </w:rPr>
              <w:t>对接，保证系统运行正常，投标时提供对接承诺函（格式自拟，如虚假响应，承诺人依法承担相应责任）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8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教学一体机</w:t>
            </w: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1、整机屏幕：≥86英寸液晶显示器。分辨率：≥3840×2160，显示比例16:9。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2、采用红外触控技术，支持Windows系统中进行40点或以上触控，支持在Android系统中进行40点或以上触控。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3、整机屏幕触摸有效识别高度不超过1.5mm，即触摸物体距离玻璃外表面高度不超过1.5mm时，触摸屏识别为点击操作。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课堂智能反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5、整机视网膜蓝光危害（蓝光加权辐射亮度LB）满足IEC TR 62778:2014蓝光危害RG0级别。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6、整机全通道支持纸质护眼模式，可实现画面纹理的实时调整；支持纸质纹理：牛皮纸、素描纸、宣纸、水彩纸、水纹纸；支持透明度调节；支持色温调节。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7、整机侧边栏内置朗读工具，通过整机麦克风监测教室中学生的朗读情况，并以游戏化界面反馈学生朗读音量大小。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▲8、整机内置2.2声道扬声器，位于设备上边框，顶置朝前发声，前朝向10W高音扬声器2个，上朝向20W中低音扬声器2个，额定总功率60W。</w:t>
            </w:r>
            <w:r>
              <w:rPr>
                <w:rFonts w:hint="eastAsia" w:ascii="宋体" w:hAnsi="宋体" w:eastAsia="宋体" w:cs="宋体"/>
                <w:b/>
                <w:bCs/>
                <w:i w:val="0"/>
                <w:iCs w:val="0"/>
                <w:color w:val="FF0000"/>
                <w:kern w:val="0"/>
                <w:sz w:val="22"/>
                <w:szCs w:val="22"/>
                <w:u w:val="none"/>
                <w:lang w:val="en-US" w:eastAsia="zh-CN" w:bidi="ar"/>
              </w:rPr>
              <w:t>(投标时同时提供:①由第三方检验检测机构出具并加盖(或带有)CMA标志的检验检测报告扫描件:②上述检验检测报告在全国认证认可信息公共服务平台(认e云)(http://cx.cnca.cn/)的信息查询记录截图。注:对应参数(检验检测项)在检验检测报告中进行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9、整机内置非独立外扩展的8阵列麦克风，拾音角度≥180°，可用于对教室环境音频进行采集，拾音距离≥12m。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▲10、整机侧边栏内置自习工具，通过整机麦克风监测教室中学生音量大小，当学生音量大于阈值时，屏幕自动弹窗提醒进行自习纪律干预。</w:t>
            </w:r>
            <w:r>
              <w:rPr>
                <w:rFonts w:hint="eastAsia" w:ascii="宋体" w:hAnsi="宋体" w:eastAsia="宋体" w:cs="宋体"/>
                <w:b/>
                <w:bCs/>
                <w:i w:val="0"/>
                <w:iCs w:val="0"/>
                <w:color w:val="FF0000"/>
                <w:kern w:val="0"/>
                <w:sz w:val="22"/>
                <w:szCs w:val="22"/>
                <w:u w:val="none"/>
                <w:lang w:val="en-US" w:eastAsia="zh-CN" w:bidi="ar"/>
              </w:rPr>
              <w:t>(投标时同时提供:①由第三方检验检测机构出具并加盖(或带有)CMA标志的检验检测报告扫描件:②上述检验检测报告在全国认证认可信息公共服务平台(认e云)(http://cx.cnca.cn/)的信息查询记录截图。注:对应参数(检验检测项)在检验检测报告中进行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11、整机Windows通道支持文件传输应用，支持通过扫码、wifi直联、超声三种方式与手机进行握手连接，实现文件传输功能。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整机上边框内置非独立式摄像头，采用一体化集成设计，摄像头数量≥4个。整机上边框内置非独立式广角高清摄像头，视场角≥142度且水平视场角≥121度，支持输出4:3、16:9比例的图片和视频；在清晰度为2592 x 1944分辨率的情况下，支持不低于30帧的视频输出。</w:t>
            </w:r>
            <w:r>
              <w:rPr>
                <w:rFonts w:hint="eastAsia" w:ascii="宋体" w:hAnsi="宋体" w:eastAsia="宋体" w:cs="宋体"/>
                <w:b/>
                <w:bCs/>
                <w:i w:val="0"/>
                <w:iCs w:val="0"/>
                <w:color w:val="FF0000"/>
                <w:kern w:val="0"/>
                <w:sz w:val="22"/>
                <w:szCs w:val="22"/>
                <w:u w:val="none"/>
                <w:lang w:val="en-US" w:eastAsia="zh-CN" w:bidi="ar"/>
              </w:rPr>
              <w:t>(投标时同时提供:①由第三方检验检测机构出具并加盖(或带有)CMA标志的检验检测报告扫描件:②上述检验检测报告在全国认证认可信息公共服务平台(认e云)(http://cx.cnca.cn/)的信息查询记录截图。注:对应参数(检验检测项)在检验检测报告中进行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13、整机全通道侧边栏快捷菜单包含如下小工具：批注、降半屏、截屏、放大镜、倒计时、日历、聚光灯、秒表、冻屏、倒数日、答题、节拍器。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14、整机支持上边框内置非独立摄像头模组，同时输出至少3路视频流，同时支持课堂远程巡课、课堂教学数据采集、本地画面预览（拍照或视频录制）。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15、内置OPS要求：搭载Intel 酷睿系列i5或以上性能CPU；内存：≥8GB；硬盘：≥256 GB SSD固态硬盘；和整机的连接采用万兆级接口，传输速率≥10Gbps。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互动教学软件要求为使用方全体教师配备个人账号，形成一体的信息化教学账号体系；根据教师账号信息将教师云空间匹配至对应学校、学科校本资源库。支持通过数字账号、微信二维码、硬件密钥方式登录教师个人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17、互动教学课件支持开放式云分享：分享者可将互动课件、课件组以公开或加密的web链接和二维码形式进行分享，分享链接可设置访问有效期。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互动教学软件为教师备课节省大量时间，支持中英文、数学公式的编辑输入，可快速输入方程组、脱式运算，提供不少于70个数学符号及模板；预置不少于40个常用数学公式，无需编辑一键插入，输入内容可用不同颜色标记及重复编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19、互动教学软件要求支持为长方体、圆柱体、圆锥等几何体的各面、棱分别填涂颜色，并且可通过360°旋转观察涂色面与未涂色面。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多学科课件库：提供涵盖小学语文、数学、英语全部教学章节的不少于80000份的交互式课件。课件支持直接预览并下载，预览时支持拖动课堂活动、形状、几何、文本等元素；下载时课件可同步至教师个人云课件存储空间；课件支持教师在线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8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无线展台</w:t>
            </w: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1、可移动无线展台,无需布线。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2、主机具备显示屏幕，可实时预览拍摄的范围和画面。支持通过双击大屏画面任意位置，即时改变对焦位置，可对立体物体的局部进行精确对焦。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3、俯拍情况下，拍摄角度可覆盖A3画幅。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4、自带屏幕，可将拍摄的范围和画面清晰实时的呈现。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5、支持5G wifi无线传输。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6、支持≥4台无线展台画面实时对比。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7、采用≥1300W像素自动对焦摄像头，支持4K超高清实时视频流传输。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8、自带电池，采用type C充电接口，支持≥5V2A快速充电。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9、支持二维码扫描加入网络、绑定无线网络。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10、展台机身上有四个按键，实现开关机、模式切换、画面旋转、启动功能，可实现一键启动展台画面、画面旋转、拍照、录像等功能，同时也支持在展台软件上进行同样的操作。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▲11、摄像头臂上下可在0-90°任意位置弯折悬停、前后可180°旋转、主机和支架可分离机构设计，能俯拍作业，水平拍摄，手持拍摄。</w:t>
            </w:r>
            <w:r>
              <w:rPr>
                <w:rFonts w:hint="eastAsia" w:ascii="宋体" w:hAnsi="宋体" w:eastAsia="宋体" w:cs="宋体"/>
                <w:b/>
                <w:bCs/>
                <w:i w:val="0"/>
                <w:iCs w:val="0"/>
                <w:color w:val="FF0000"/>
                <w:kern w:val="0"/>
                <w:sz w:val="22"/>
                <w:szCs w:val="22"/>
                <w:u w:val="none"/>
                <w:lang w:val="en-US" w:eastAsia="zh-CN" w:bidi="ar"/>
              </w:rPr>
              <w:t>(投标时同时提供:①由第三方检验检测机构出具并加盖(或带有)CMA标志的检验检测报告扫描件:②上述检验检测报告在全国认证认可信息公共服务平台(认e云)(http://cx.cnca.cn/)的信息查询记录截图。注:对应参数(检验检测项)在检验检测报告中进行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8" w:hRule="atLeast"/>
          <w:jc w:val="center"/>
        </w:trPr>
        <w:tc>
          <w:tcPr>
            <w:tcW w:w="8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扩声主机</w:t>
            </w: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1、额定功率：≥60W(15Wx4)。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2、发声方式：共振发声，通过振动马达驱动发声板发出声音；发声角度为面声源，声音以平面的方式向外传播。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8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无线麦</w:t>
            </w: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1、工作频段：2.4G （2400-2483MHz）。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2、输入源：内置麦克风+3.5mm外置麦克风接口。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3、充电接口：Type-C接口。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8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多功能讲台</w:t>
            </w: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1、讲台尺寸：≥1400L*600D*690-1140H（mm)/副柜尺寸：≥1000L*400D*600H（mm)。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2、采用E1级环保实木多层免漆夹板制作，厚度为18mm。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3、讲台桌面具有毫米级精度点动升降功能，升降运行速度：≤26mm/s，采用磁控技术，升降反应快，运行启动无延时，升降范围：≥760~1030mm。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4、讲台桌面桌面升降支持遇阻回退功能，遇阻灵敏度高，遇阻方向支持上、下。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5、讲台桌面升降具有手动复位功能。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6、讲台桌面升降具有存储高度位置功能，高度位置通过手控器可以任意设置。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▲7、多功能讲台有害物质限量依据SZJG 52-2016《家具成品及原辅材料中有害物质限量》，甲醛释放量</w:t>
            </w:r>
            <w:r>
              <w:rPr>
                <w:rFonts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0.03mg/m</w:t>
            </w:r>
            <w:r>
              <w:rPr>
                <w:rFonts w:hint="eastAsia" w:ascii="宋体" w:hAnsi="宋体" w:eastAsia="宋体" w:cs="宋体"/>
                <w:i w:val="0"/>
                <w:iCs w:val="0"/>
                <w:color w:val="000000"/>
                <w:kern w:val="0"/>
                <w:sz w:val="22"/>
                <w:szCs w:val="22"/>
                <w:u w:val="none"/>
                <w:vertAlign w:val="superscript"/>
                <w:lang w:val="en-US" w:eastAsia="zh-CN" w:bidi="ar"/>
              </w:rPr>
              <w:t>3</w:t>
            </w:r>
            <w:r>
              <w:rPr>
                <w:rFonts w:hint="eastAsia" w:ascii="宋体" w:hAnsi="宋体" w:eastAsia="宋体" w:cs="宋体"/>
                <w:i w:val="0"/>
                <w:iCs w:val="0"/>
                <w:color w:val="000000"/>
                <w:kern w:val="0"/>
                <w:sz w:val="22"/>
                <w:szCs w:val="22"/>
                <w:u w:val="none"/>
                <w:lang w:val="en-US" w:eastAsia="zh-CN" w:bidi="ar"/>
              </w:rPr>
              <w:t>、苯释放量≤0.002mg/m</w:t>
            </w:r>
            <w:r>
              <w:rPr>
                <w:rFonts w:hint="eastAsia" w:ascii="宋体" w:hAnsi="宋体" w:eastAsia="宋体" w:cs="宋体"/>
                <w:i w:val="0"/>
                <w:iCs w:val="0"/>
                <w:color w:val="000000"/>
                <w:kern w:val="0"/>
                <w:sz w:val="22"/>
                <w:szCs w:val="22"/>
                <w:u w:val="none"/>
                <w:vertAlign w:val="superscript"/>
                <w:lang w:val="en-US" w:eastAsia="zh-CN" w:bidi="ar"/>
              </w:rPr>
              <w:t>3</w:t>
            </w:r>
            <w:r>
              <w:rPr>
                <w:rFonts w:hint="eastAsia" w:ascii="宋体" w:hAnsi="宋体" w:eastAsia="宋体" w:cs="宋体"/>
                <w:i w:val="0"/>
                <w:iCs w:val="0"/>
                <w:color w:val="000000"/>
                <w:kern w:val="0"/>
                <w:sz w:val="22"/>
                <w:szCs w:val="22"/>
                <w:u w:val="none"/>
                <w:lang w:val="en-US" w:eastAsia="zh-CN" w:bidi="ar"/>
              </w:rPr>
              <w:t>、甲苯释放量≤0.002mg/m</w:t>
            </w:r>
            <w:r>
              <w:rPr>
                <w:rFonts w:hint="eastAsia" w:ascii="宋体" w:hAnsi="宋体" w:eastAsia="宋体" w:cs="宋体"/>
                <w:i w:val="0"/>
                <w:iCs w:val="0"/>
                <w:color w:val="000000"/>
                <w:kern w:val="0"/>
                <w:sz w:val="22"/>
                <w:szCs w:val="22"/>
                <w:u w:val="none"/>
                <w:vertAlign w:val="superscript"/>
                <w:lang w:val="en-US" w:eastAsia="zh-CN" w:bidi="ar"/>
              </w:rPr>
              <w:t>3</w:t>
            </w:r>
            <w:r>
              <w:rPr>
                <w:rFonts w:hint="eastAsia" w:ascii="宋体" w:hAnsi="宋体" w:eastAsia="宋体" w:cs="宋体"/>
                <w:i w:val="0"/>
                <w:iCs w:val="0"/>
                <w:color w:val="000000"/>
                <w:kern w:val="0"/>
                <w:sz w:val="22"/>
                <w:szCs w:val="22"/>
                <w:u w:val="none"/>
                <w:lang w:val="en-US" w:eastAsia="zh-CN" w:bidi="ar"/>
              </w:rPr>
              <w:t>、二甲苯释放量≤0.002mg/m</w:t>
            </w:r>
            <w:r>
              <w:rPr>
                <w:rFonts w:hint="eastAsia" w:ascii="宋体" w:hAnsi="宋体" w:eastAsia="宋体" w:cs="宋体"/>
                <w:i w:val="0"/>
                <w:iCs w:val="0"/>
                <w:color w:val="000000"/>
                <w:kern w:val="0"/>
                <w:sz w:val="22"/>
                <w:szCs w:val="22"/>
                <w:u w:val="none"/>
                <w:vertAlign w:val="superscript"/>
                <w:lang w:val="en-US" w:eastAsia="zh-CN" w:bidi="ar"/>
              </w:rPr>
              <w:t>3</w:t>
            </w:r>
            <w:r>
              <w:rPr>
                <w:rFonts w:hint="eastAsia" w:ascii="宋体" w:hAnsi="宋体" w:eastAsia="宋体" w:cs="宋体"/>
                <w:i w:val="0"/>
                <w:iCs w:val="0"/>
                <w:color w:val="000000"/>
                <w:kern w:val="0"/>
                <w:sz w:val="22"/>
                <w:szCs w:val="22"/>
                <w:u w:val="none"/>
                <w:lang w:val="en-US" w:eastAsia="zh-CN" w:bidi="ar"/>
              </w:rPr>
              <w:t>及总挥发性有机化合物（TVOC）释放量≤0.45mg/m</w:t>
            </w:r>
            <w:r>
              <w:rPr>
                <w:rFonts w:hint="eastAsia" w:ascii="宋体" w:hAnsi="宋体" w:eastAsia="宋体" w:cs="宋体"/>
                <w:i w:val="0"/>
                <w:iCs w:val="0"/>
                <w:color w:val="000000"/>
                <w:kern w:val="0"/>
                <w:sz w:val="22"/>
                <w:szCs w:val="22"/>
                <w:u w:val="none"/>
                <w:vertAlign w:val="superscript"/>
                <w:lang w:val="en-US" w:eastAsia="zh-CN" w:bidi="ar"/>
              </w:rPr>
              <w:t>3</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b/>
                <w:bCs/>
                <w:i w:val="0"/>
                <w:iCs w:val="0"/>
                <w:color w:val="FF0000"/>
                <w:kern w:val="0"/>
                <w:sz w:val="22"/>
                <w:szCs w:val="22"/>
                <w:u w:val="none"/>
                <w:lang w:val="en-US" w:eastAsia="zh-CN" w:bidi="ar"/>
              </w:rPr>
              <w:t>(投标时同时提供:①由第三方检验检测机构出具并加盖(或带有)CMA标志的检验检测报告扫描件:②上述检验检测报告在全国认证认可信息公共服务平台(认e云)(http://cx.cnca.cn/)的信息查询记录截图。注:对应参数(检验检测项)在检验检测报告中进行标注。须提供多功能讲台成品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8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办公椅</w:t>
            </w: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1、规格：≥605L*470D*1015H~1110H（±20mm）；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2、尼龙复合材质座椅靠背，背板大直径镂空，透气性极佳，S型曲线包裹，提供整个背部支撑，可180度后仰，12万次弯曲测试仅0.01变型，四点U形承托，受力均匀；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3、扶手支架采用尼龙复合材质（尼龙+纤材质），升降扶手，不设档高度自由调节，可升降，扶手面手感柔软舒适，联动扶手，手臂覆盖100%。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4、座垫为W型减压透气坐垫，贴合臂部及大腿曲线，调整坐姿，减轻腰背压力，座垫透气、不闷热，采用魔术贴固定，可拆卸。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5、椅脚：加厚尼龙加纤五星椅脚，防爆发底盘及气压棒。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6、设计：在原椅子上根据人体工学设计再增加头枕，伸展自如。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办公椅环保性能、力学性能及物理性能良好：甲醛释放量≤0.04mg/m²h;阻燃性要求达到阻燃Ⅰ级，通过香烟抗引燃特性试验；力学性能要求座面冲击、底座静载荷及椅背往复耐久性均合格，座椅零部件无断裂或豁裂现象，座椅结构无松动，升降机构和旋转机构无失灵等；均可通过QB/T 2280-2016《办公家具、办公椅》标准检测；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▲8、材质环保：办公椅甲醛释放量、苯释放量、甲苯释放量、二甲苯释放量及总挥发性有机化合物（TVOC）释放量均符合SZJG 52-2016《家具成品及原辅材料中有害物质限量》；</w:t>
            </w:r>
            <w:r>
              <w:rPr>
                <w:rFonts w:hint="eastAsia" w:ascii="宋体" w:hAnsi="宋体" w:eastAsia="宋体" w:cs="宋体"/>
                <w:b/>
                <w:bCs/>
                <w:i w:val="0"/>
                <w:iCs w:val="0"/>
                <w:color w:val="FF0000"/>
                <w:kern w:val="0"/>
                <w:sz w:val="22"/>
                <w:szCs w:val="22"/>
                <w:u w:val="none"/>
                <w:lang w:val="en-US" w:eastAsia="zh-CN" w:bidi="ar"/>
              </w:rPr>
              <w:t>(投标时同时提供:①由第三方检验检测机构出具并加盖(或带有)CMA或CNAS标志的检验检测报告扫描件:②上述检验检测报告在全国认证认可信息公共服务平台(认e云)(http://cx.cnca.cn/)的信息查询记录截图。注:对应参数(检验检测项)在检验检测报告中进行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8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万向黑板</w:t>
            </w: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1、规格：≥4100mm×1240mm。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2、面板采用厚度≥0.3mm烤漆面板。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3、背板材料：厚度≥0.20mm的镀锌钢板。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8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后墙板</w:t>
            </w: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1、整套规格：≥5400*1230mm。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2、由一块绿板跟2块软木板组合。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电源线，网线及PVC线槽等。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8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可升降午休课桌椅</w:t>
            </w: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1、课桌桌面材质：ABS塑料（塑胶）一体注塑成型，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2、课桌面板尺寸：（W600×D400×H24mm）±2mm。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3、课桌抽斗内径尺寸（宽442mm×深332mm×高90mm）±2mm、采用PP+GF15%（环保材质），一体注塑成型。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4、抽斗两侧预留多排透气孔，横向6排±1排，竖向25排±2排，透气孔尺寸直径5mm±0.5。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5、课桌采用可调式升降结构：采用上下安全升降结构组合成，课桌桌腿升降器由中间传动轴连接课桌的左右腿活动立管，可以同时升降。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6、课桌组件装置安全性：桌腿外侧外观无外露螺丝五金件，左右腿都可以调整高度。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7、课桌桌面可以根据午休要求可以45°倾斜调整。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8、课桌桌面四周为圆角，桌面三边设计有台阶防止学生学具掉落。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9、课椅靠背材质：PP塑料（塑胶）；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10、课椅靠背尺寸：（W450*D458*H197 mm）±2mm。（需符合GB/T3976-2014《学校课桌椅功能尺寸及技术要求》）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11、课椅靠背表面设计通风孔，通风孔呈金叉3V型排列，相邻通风孔的夹角为120°，尺寸14*4±0.5mm。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12、课椅座垫材质：PP 塑料（塑胶）。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13、课椅座垫尺寸：（460*407*80 mm）±2mm。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14、课椅座垫表面设计通风孔，通风孔呈金叉3V型排列，相邻通风孔的夹角为120°，尺寸14*4±0.5mm。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15、头枕采用环保 PP 塑料一级新料一体注塑成型；尺寸：（W274*D198*H60mm）±5mm。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16、头枕可拉伸，可以拉伸最小103mm±2mm，后座带有头枕的固定装置，上下拉伸有波珠定位。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17、腿托采用环保 PP 塑料一级新料一体注塑成型。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18、腿托整体安装好外径尺寸为：（335*238mm *65 mm）±2mm。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19、腿托两段设计，一段向前拉伸253mm±2mm，二段旋转180°，翻转后腿托前端和座垫前端可达到470mm。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▲20、课桌椅整套设备依据GB/T35607-2024《绿色产品评价  家具》要求：甲醛释放量≤0.02mg/m3、苯≤0.002mg/m3、甲苯≤0.002mg/m3、二甲苯≤0.002mg/m3、TVOC≤0.03mg/m3。</w:t>
            </w:r>
            <w:r>
              <w:rPr>
                <w:rFonts w:hint="eastAsia" w:ascii="宋体" w:hAnsi="宋体" w:eastAsia="宋体" w:cs="宋体"/>
                <w:b/>
                <w:bCs/>
                <w:i w:val="0"/>
                <w:iCs w:val="0"/>
                <w:color w:val="FF0000"/>
                <w:kern w:val="0"/>
                <w:sz w:val="22"/>
                <w:szCs w:val="22"/>
                <w:u w:val="none"/>
                <w:lang w:val="en-US" w:eastAsia="zh-CN" w:bidi="ar"/>
              </w:rPr>
              <w:t>(投标时同时提供:①由第三方检验检测机构出具并加盖(或带有)CMA标志的检验检测报告扫描件:②上述检验检测报告在全国认证认可信息公共服务平台(认e云)(http://cx.cnca.cn/)的信息查询记录截图。注:提供课桌椅整套设备的检测报告，对应参数(检验检测项)在检验检测报告中进行标注。送检单位与投标品牌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2"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▲21、课桌椅有害物质含量依据QB/T4071-2021《课桌椅》及GB 28481-2012《塑料家具中有害物质限量》满足：邻苯二甲酸二丁酯(DBP)≤0.001％、邻苯二甲酸丁基苄酯(BBP)≤0.001％、邻苯二甲酸-2-乙基己基酯(DEHP)≤0.001％、邻苯二甲酸二正辛酯(DNOP)≤0.001％、邻苯二甲酸二异壬酯(DINP)≤0.005％、邻苯二甲酸二异癸酯(DIDP)≤0.005％，16种多环芳烃(PAH)总量≤0.2mg/kg、多溴联苯(PBB) ≤5mg/kg；、多溴二苯醚(PBDE)≤5mg/kg；可溶性铅 Pb≤2mg/kg、可溶性镉 Cd≤0.5mg/kg、可溶性铬 Cr≤1mg/kg、可溶性汞 Hg≤1mg/kg。</w:t>
            </w:r>
            <w:r>
              <w:rPr>
                <w:rFonts w:hint="eastAsia" w:ascii="宋体" w:hAnsi="宋体" w:eastAsia="宋体" w:cs="宋体"/>
                <w:b/>
                <w:bCs/>
                <w:i w:val="0"/>
                <w:iCs w:val="0"/>
                <w:color w:val="FF0000"/>
                <w:kern w:val="0"/>
                <w:sz w:val="22"/>
                <w:szCs w:val="22"/>
                <w:u w:val="none"/>
                <w:lang w:val="en-US" w:eastAsia="zh-CN" w:bidi="ar"/>
              </w:rPr>
              <w:t>(投标时同时提供:①由第三方检验检测机构出具并加盖(或带有)CMA标志的检验检测报告扫描件:②上述检验检测报告在全国认证认可信息公共服务平台(认e云)(http://cx.cnca.cn/)的信息查询记录截图。注:提供课桌椅整套设备的检测报告，对应参数(检验检测项)在检验检测报告中进行标注。送检单位与投标品牌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▲22、课桌椅表面依据GB/T 24128-2018《塑料塑料防霉剂的防霉效果评估》及QB/T 4071-2021《课桌椅》检测标准满足:课桌椅表面耐污染,防霉等级不低于1级。</w:t>
            </w:r>
            <w:r>
              <w:rPr>
                <w:rFonts w:hint="eastAsia" w:ascii="宋体" w:hAnsi="宋体" w:eastAsia="宋体" w:cs="宋体"/>
                <w:b/>
                <w:bCs/>
                <w:i w:val="0"/>
                <w:iCs w:val="0"/>
                <w:color w:val="FF0000"/>
                <w:kern w:val="0"/>
                <w:sz w:val="22"/>
                <w:szCs w:val="22"/>
                <w:u w:val="none"/>
                <w:lang w:val="en-US" w:eastAsia="zh-CN" w:bidi="ar"/>
              </w:rPr>
              <w:t>(投标时同时提供:①由第三方检验检测机构出具并加盖(或带有)CMA标志的检验检测报告扫描件:②上述检验检测报告在全国认证认可信息公共服务平台(认e云)(http://cx.cnca.cn/)的信息查询记录截图。注:提供课桌椅整套设备的检测报告，对应参数(检验检测项)在检验检测报告中进行标注。送检单位与投标品牌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8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窗帘</w:t>
            </w: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1、窗帘成分：100%聚酯纤维，有阻燃性能。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2、断裂强力（N）：经向≥3200N、纬向≥1000N，检测方法：GB/T 3923.1-2013。异味：检测结果无异味，检测方法：GB 18401-2010 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52"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▲3、耐水色牢度（级）：变色：≥4-5级；沾色：≥4-5级，检测方法：GB/T 5713-2013。</w:t>
            </w:r>
            <w:r>
              <w:rPr>
                <w:rFonts w:hint="eastAsia" w:ascii="宋体" w:hAnsi="宋体" w:eastAsia="宋体" w:cs="宋体"/>
                <w:b/>
                <w:bCs/>
                <w:i w:val="0"/>
                <w:iCs w:val="0"/>
                <w:color w:val="FF0000"/>
                <w:kern w:val="0"/>
                <w:sz w:val="22"/>
                <w:szCs w:val="22"/>
                <w:u w:val="none"/>
                <w:lang w:val="en-US" w:eastAsia="zh-CN" w:bidi="ar"/>
              </w:rPr>
              <w:t>（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4、可分解致癌芳香胺染料：测试结果符合标准要求，检测方法：GB/T 17592-2011,GB/T 23344-2009。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5、致癌染料：检测结果未检出，检测方法：GB/T 20382-2006。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6、致敏性分散染料：检测结果未检出，检测方法：GB/T 20383-2006。）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▲7、耐皂洗色牢度：变色≥4-5级，沾色≥4-5级，检测方法：GB/T 3921-2008A(1)。</w:t>
            </w:r>
            <w:r>
              <w:rPr>
                <w:rFonts w:hint="eastAsia" w:ascii="宋体" w:hAnsi="宋体" w:eastAsia="宋体" w:cs="宋体"/>
                <w:b/>
                <w:bCs/>
                <w:i w:val="0"/>
                <w:iCs w:val="0"/>
                <w:color w:val="FF0000"/>
                <w:kern w:val="0"/>
                <w:sz w:val="22"/>
                <w:szCs w:val="22"/>
                <w:u w:val="none"/>
                <w:lang w:val="en-US" w:eastAsia="zh-CN" w:bidi="ar"/>
              </w:rPr>
              <w:t>（投标时同时提供：①由第三方检验检测机构出具并加盖（或带有）CMA标志的检验检测报告扫描件，原件备查；②上述检验检测报告在全国认证认可信息公共服务平台（认e云）（http://cx.cnca.cn/）的信息查询记录截图。注：对应参数（检验检测项）在检验检测报告中进行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8、耐唾液色牢度：变色≥3级，沾色≥3级；（测试方法：GB/T 18886-2019）。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9、水洗尺寸变化率：≦-0.3（测试方法：GB/T8628-2013、GB/T8629-2017、GB/T8630-2013）。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10、耐磨性能：&gt;30000次（测试方法：GB/T21196.2-2007）。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衬带</w:t>
            </w: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1、成分：100%聚酯纤维（测试方法：FZ/T 01057.2-4-2007，GB/T2910.11-2009）。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2、甲醛含量(mg/kg)：≦300  （测试方法：GB/T 2912.1-2009。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3、异味：无异味（测试方法：GB18401-2010）。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4、可分解致癌芳香胺染料：≦20（测试方法：GB/T17592-2011和GB/T23344-2009）。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5、致癌染料：禁用（测试方法：GB/T20382-2006）。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6、水洗尺寸变化率：≦-0.5（测试方法：GB/T8628-2013、GB/T8629-2017、GB/T8630-2013）。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窗帘轨道</w:t>
            </w: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1、轨道材质符合GB/T6892-2015《一般工业用铝及铝合金挤压型材》标准的要求。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2、角度偏差：≦±2度。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3、弯曲度：1米长度上&lt;1MM。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4、力学性能：规定非比例延伸强度≥150N/mm2，抗拉强度≥180N/mm2。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5、型材的低倍试片上不允许有裂纹、缩尾存在。型材低倍试片上的光亮晶粒、非金属夹杂、外来金属夹杂物及白斑、初晶等点状缺陷不准许多于两点，且每点直径不大于0.5mm。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6、型材低倍组织试样上允许存在长度≤0.3mm的氧化膜，长度&gt;0.3mm～2.0mm的氧化膜≤4点；长度&gt;2.0mm的氧化膜不允许存在。型材低倍组织试样周边上的成层深度不准许超过0.5mm。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jc w:val="center"/>
        </w:trPr>
        <w:tc>
          <w:tcPr>
            <w:tcW w:w="8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学生书包柜</w:t>
            </w: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1、单门尺寸：高315mm*宽380mm*深500mm（±5mm），底座80mm；单侧板（25mm）、双侧板（49mm）、上下板（40mm）、顶板(40mm)、门板（25mm）。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2、采用环保ABS+高性能HIPS全新工程塑料注塑成型。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3、柜门与柜体连接采用上下同轴结构连接，门板左侧上下角采用软胶防护角害；门板拉手采用椭圆一体式设计。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4、门板铰链采用一体绞链（规格：27.5*27*20mm）。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5、侧板前端上下侧设有定位块（规格：40*35.4*16.6mm）增加柜体使用的稳固性。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6、门内侧装有一个宽186mm*高78mm的储物盒。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7、产品甲醛释放量符合国家标准，测试参考标准：GB/T 18584-2001《室内装饰装修材料木家具中有害物质限量》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8、产品冲击强度符合测试要求；测试参考标准：GB/T 1043.1-2008 《塑料 简支梁冲击性能的测定》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▲9、产品依据GB/T 32487-2016《塑料家具通用技术条件》：产品塑料件耐冷热循环（应无裂纹、鼓泡、变色、起皱）符合标准，硬度（邵氏D硬度）≥HD78。</w:t>
            </w:r>
            <w:r>
              <w:rPr>
                <w:rFonts w:hint="eastAsia" w:ascii="宋体" w:hAnsi="宋体" w:eastAsia="宋体" w:cs="宋体"/>
                <w:b/>
                <w:bCs/>
                <w:i w:val="0"/>
                <w:iCs w:val="0"/>
                <w:color w:val="FF0000"/>
                <w:kern w:val="0"/>
                <w:sz w:val="22"/>
                <w:szCs w:val="22"/>
                <w:u w:val="none"/>
                <w:lang w:val="en-US" w:eastAsia="zh-CN" w:bidi="ar"/>
              </w:rPr>
              <w:t>(投标时同时提供:①由第三方检验检测机构出具并加盖(或带有)CMA标志的检验检测报告扫描件:②上述检验检测报告在全国认证认可信息公共服务平台(认e云)(http://cx.cnca.cn/)的信息查询记录截图。对应参数(检验检测项)在检验检测报告中进行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▲10、产品依据GB/T 35607-2024《绿色产品评价 家具》检测，苯、甲苯、二甲苯、TVOC均未检出。</w:t>
            </w:r>
            <w:r>
              <w:rPr>
                <w:rFonts w:hint="eastAsia" w:ascii="宋体" w:hAnsi="宋体" w:eastAsia="宋体" w:cs="宋体"/>
                <w:b/>
                <w:bCs/>
                <w:i w:val="0"/>
                <w:iCs w:val="0"/>
                <w:color w:val="FF0000"/>
                <w:kern w:val="0"/>
                <w:sz w:val="22"/>
                <w:szCs w:val="22"/>
                <w:u w:val="none"/>
                <w:lang w:val="en-US" w:eastAsia="zh-CN" w:bidi="ar"/>
              </w:rPr>
              <w:t>(投标时同时提供:①由第三方检验检测机构出具并加盖(或带有)CMA标志的检验检测报告扫描件:②上述检验检测报告在全国认证认可信息公共服务平台(认e云)(http://cx.cnca.cn/)的信息查询记录截图。对应参数(检验检测项)在检验检测报告中进行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班级卫生柜</w:t>
            </w:r>
          </w:p>
        </w:tc>
        <w:tc>
          <w:tcPr>
            <w:tcW w:w="8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尺寸：≥高1340mm*宽380mm*深500mm；门板材质为高性能PVC。</w:t>
            </w:r>
          </w:p>
        </w:tc>
      </w:tr>
    </w:tbl>
    <w:p>
      <w:pPr>
        <w:rPr>
          <w:rFonts w:hint="eastAsia" w:ascii="宋体" w:hAnsi="宋体" w:eastAsia="宋体" w:cs="Times New Roman"/>
          <w:b/>
          <w:color w:val="FF0000"/>
          <w:szCs w:val="21"/>
        </w:rPr>
      </w:pPr>
    </w:p>
    <w:p>
      <w:pPr>
        <w:rPr>
          <w:rFonts w:hint="eastAsia" w:ascii="宋体" w:hAnsi="宋体" w:eastAsia="宋体" w:cs="Times New Roman"/>
          <w:b/>
          <w:color w:val="FF0000"/>
          <w:szCs w:val="21"/>
          <w:highlight w:val="yellow"/>
        </w:rPr>
      </w:pPr>
      <w:r>
        <w:rPr>
          <w:rFonts w:hint="eastAsia" w:ascii="宋体" w:hAnsi="宋体" w:eastAsia="宋体" w:cs="Times New Roman"/>
          <w:b/>
          <w:color w:val="FF0000"/>
          <w:szCs w:val="21"/>
        </w:rPr>
        <w:t>1、带</w:t>
      </w:r>
      <w:r>
        <w:rPr>
          <w:rFonts w:hint="eastAsia" w:ascii="宋体" w:hAnsi="宋体" w:eastAsia="宋体" w:cs="Times New Roman"/>
          <w:b/>
          <w:bCs/>
          <w:color w:val="FF0000"/>
          <w:szCs w:val="21"/>
        </w:rPr>
        <w:t>★</w:t>
      </w:r>
      <w:r>
        <w:rPr>
          <w:rFonts w:hint="eastAsia" w:ascii="宋体" w:hAnsi="宋体" w:eastAsia="宋体" w:cs="Times New Roman"/>
          <w:b/>
          <w:color w:val="FF0000"/>
          <w:szCs w:val="21"/>
        </w:rPr>
        <w:t>号要求为不可偏离要求，如出现负偏离，将导致投标无效。带▲号参数为重要参数，其他参数（非▲号参数）为普通参数，如出现负偏离，将按照评分准则做扣分处理。</w:t>
      </w:r>
      <w:r>
        <w:rPr>
          <w:rFonts w:hint="eastAsia" w:ascii="宋体" w:hAnsi="宋体" w:eastAsia="宋体" w:cs="Times New Roman"/>
          <w:b/>
          <w:color w:val="FF0000"/>
          <w:szCs w:val="21"/>
          <w:highlight w:val="yellow"/>
        </w:rPr>
        <w:t>如注明要求提供相关佐证材料的，需以佐证材料作为是否偏离的依据。</w:t>
      </w:r>
    </w:p>
    <w:p>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2、所列的技术</w:t>
      </w:r>
      <w:r>
        <w:rPr>
          <w:rFonts w:ascii="Calibri" w:hAnsi="Calibri" w:eastAsia="宋体" w:cs="Times New Roman"/>
          <w:color w:val="FF0000"/>
          <w:szCs w:val="21"/>
        </w:rPr>
        <w:t>参数</w:t>
      </w:r>
      <w:r>
        <w:rPr>
          <w:rFonts w:hint="eastAsia" w:ascii="Calibri" w:hAnsi="Calibri" w:eastAsia="宋体" w:cs="Times New Roman"/>
          <w:color w:val="FF0000"/>
          <w:szCs w:val="21"/>
        </w:rPr>
        <w:t>需求中如出现品牌信息仅供参考，不作为参数要求，目的只为投标人更清楚地了解采购需求，投标人可提供其他品牌设备投标。</w:t>
      </w:r>
    </w:p>
    <w:p>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3、如有</w:t>
      </w:r>
      <w:r>
        <w:rPr>
          <w:rFonts w:ascii="Calibri" w:hAnsi="Calibri" w:eastAsia="宋体" w:cs="Times New Roman"/>
          <w:color w:val="FF0000"/>
          <w:szCs w:val="21"/>
        </w:rPr>
        <w:t>方案表述中有出现类似可实现、</w:t>
      </w:r>
      <w:r>
        <w:rPr>
          <w:rFonts w:hint="eastAsia" w:ascii="Calibri" w:hAnsi="Calibri" w:eastAsia="宋体" w:cs="Times New Roman"/>
          <w:color w:val="FF0000"/>
          <w:szCs w:val="21"/>
        </w:rPr>
        <w:t>实现</w:t>
      </w:r>
      <w:r>
        <w:rPr>
          <w:rFonts w:ascii="Calibri" w:hAnsi="Calibri" w:eastAsia="宋体" w:cs="Times New Roman"/>
          <w:color w:val="FF0000"/>
          <w:szCs w:val="21"/>
        </w:rPr>
        <w:t>、</w:t>
      </w:r>
      <w:r>
        <w:rPr>
          <w:rFonts w:hint="eastAsia" w:ascii="Calibri" w:hAnsi="Calibri" w:eastAsia="宋体" w:cs="Times New Roman"/>
          <w:color w:val="FF0000"/>
          <w:szCs w:val="21"/>
        </w:rPr>
        <w:t>可</w:t>
      </w:r>
      <w:r>
        <w:rPr>
          <w:rFonts w:ascii="Calibri" w:hAnsi="Calibri" w:eastAsia="宋体" w:cs="Times New Roman"/>
          <w:color w:val="FF0000"/>
          <w:szCs w:val="21"/>
        </w:rPr>
        <w:t>支持、支持</w:t>
      </w:r>
      <w:r>
        <w:rPr>
          <w:rFonts w:hint="eastAsia" w:ascii="Calibri" w:hAnsi="Calibri" w:eastAsia="宋体" w:cs="Times New Roman"/>
          <w:color w:val="FF0000"/>
          <w:szCs w:val="21"/>
        </w:rPr>
        <w:t>等</w:t>
      </w:r>
      <w:r>
        <w:rPr>
          <w:rFonts w:ascii="Calibri" w:hAnsi="Calibri" w:eastAsia="宋体" w:cs="Times New Roman"/>
          <w:color w:val="FF0000"/>
          <w:szCs w:val="21"/>
        </w:rPr>
        <w:t>描述的，均表示方案需要实现的功能或</w:t>
      </w:r>
      <w:r>
        <w:rPr>
          <w:rFonts w:hint="eastAsia" w:ascii="Calibri" w:hAnsi="Calibri" w:eastAsia="宋体" w:cs="Times New Roman"/>
          <w:color w:val="FF0000"/>
          <w:szCs w:val="21"/>
        </w:rPr>
        <w:t>应满足的</w:t>
      </w:r>
      <w:r>
        <w:rPr>
          <w:rFonts w:ascii="Calibri" w:hAnsi="Calibri" w:eastAsia="宋体" w:cs="Times New Roman"/>
          <w:color w:val="FF0000"/>
          <w:szCs w:val="21"/>
        </w:rPr>
        <w:t>要求，即项目在验收时无须增加其他</w:t>
      </w:r>
      <w:r>
        <w:rPr>
          <w:rFonts w:hint="eastAsia" w:ascii="Calibri" w:hAnsi="Calibri" w:eastAsia="宋体" w:cs="Times New Roman"/>
          <w:color w:val="FF0000"/>
          <w:szCs w:val="21"/>
        </w:rPr>
        <w:t>额外</w:t>
      </w:r>
      <w:r>
        <w:rPr>
          <w:rFonts w:ascii="Calibri" w:hAnsi="Calibri" w:eastAsia="宋体" w:cs="Times New Roman"/>
          <w:color w:val="FF0000"/>
          <w:szCs w:val="21"/>
        </w:rPr>
        <w:t>设备</w:t>
      </w:r>
      <w:r>
        <w:rPr>
          <w:rFonts w:hint="eastAsia" w:ascii="Calibri" w:hAnsi="Calibri" w:eastAsia="宋体" w:cs="Times New Roman"/>
          <w:color w:val="FF0000"/>
          <w:szCs w:val="21"/>
        </w:rPr>
        <w:t>或</w:t>
      </w:r>
      <w:r>
        <w:rPr>
          <w:rFonts w:ascii="Calibri" w:hAnsi="Calibri" w:eastAsia="宋体" w:cs="Times New Roman"/>
          <w:color w:val="FF0000"/>
          <w:szCs w:val="21"/>
        </w:rPr>
        <w:t>系统</w:t>
      </w:r>
      <w:r>
        <w:rPr>
          <w:rFonts w:hint="eastAsia" w:ascii="Calibri" w:hAnsi="Calibri" w:eastAsia="宋体" w:cs="Times New Roman"/>
          <w:color w:val="FF0000"/>
          <w:szCs w:val="21"/>
        </w:rPr>
        <w:t>，</w:t>
      </w:r>
      <w:r>
        <w:rPr>
          <w:rFonts w:ascii="Calibri" w:hAnsi="Calibri" w:eastAsia="宋体" w:cs="Times New Roman"/>
          <w:color w:val="FF0000"/>
          <w:szCs w:val="21"/>
        </w:rPr>
        <w:t>使用本项目中的设备或</w:t>
      </w:r>
      <w:r>
        <w:rPr>
          <w:rFonts w:hint="eastAsia" w:ascii="Calibri" w:hAnsi="Calibri" w:eastAsia="宋体" w:cs="Times New Roman"/>
          <w:color w:val="FF0000"/>
          <w:szCs w:val="21"/>
        </w:rPr>
        <w:t>系统</w:t>
      </w:r>
      <w:r>
        <w:rPr>
          <w:rFonts w:ascii="Calibri" w:hAnsi="Calibri" w:eastAsia="宋体" w:cs="Times New Roman"/>
          <w:color w:val="FF0000"/>
          <w:szCs w:val="21"/>
        </w:rPr>
        <w:t>即能实现</w:t>
      </w:r>
      <w:r>
        <w:rPr>
          <w:rFonts w:hint="eastAsia" w:ascii="Calibri" w:hAnsi="Calibri" w:eastAsia="宋体" w:cs="Times New Roman"/>
          <w:color w:val="FF0000"/>
          <w:szCs w:val="21"/>
        </w:rPr>
        <w:t>相应功能</w:t>
      </w:r>
      <w:r>
        <w:rPr>
          <w:rFonts w:ascii="Calibri" w:hAnsi="Calibri" w:eastAsia="宋体" w:cs="Times New Roman"/>
          <w:color w:val="FF0000"/>
          <w:szCs w:val="21"/>
        </w:rPr>
        <w:t>或</w:t>
      </w:r>
      <w:r>
        <w:rPr>
          <w:rFonts w:hint="eastAsia" w:ascii="Calibri" w:hAnsi="Calibri" w:eastAsia="宋体" w:cs="Times New Roman"/>
          <w:color w:val="FF0000"/>
          <w:szCs w:val="21"/>
        </w:rPr>
        <w:t>满足相关</w:t>
      </w:r>
      <w:r>
        <w:rPr>
          <w:rFonts w:ascii="Calibri" w:hAnsi="Calibri" w:eastAsia="宋体" w:cs="Times New Roman"/>
          <w:color w:val="FF0000"/>
          <w:szCs w:val="21"/>
        </w:rPr>
        <w:t>要求。</w:t>
      </w:r>
    </w:p>
    <w:p>
      <w:pPr>
        <w:spacing w:after="78"/>
        <w:jc w:val="left"/>
        <w:rPr>
          <w:rFonts w:ascii="Calibri" w:hAnsi="Calibri" w:eastAsia="宋体" w:cs="Times New Roman"/>
          <w:color w:val="FF0000"/>
          <w:szCs w:val="21"/>
        </w:rPr>
      </w:pPr>
      <w:r>
        <w:rPr>
          <w:rFonts w:ascii="Calibri" w:hAnsi="Calibri" w:eastAsia="宋体" w:cs="Times New Roman"/>
          <w:color w:val="FF0000"/>
          <w:szCs w:val="21"/>
        </w:rPr>
        <w:t>4、针对招标文件产品技术参数如涉及相关既定值、单向范围值、区间范围值的，投标技术参数响应方式举例说明如下：</w:t>
      </w:r>
    </w:p>
    <w:p>
      <w:pPr>
        <w:spacing w:after="78"/>
        <w:jc w:val="left"/>
        <w:rPr>
          <w:rFonts w:ascii="Calibri" w:hAnsi="Calibri" w:eastAsia="宋体" w:cs="Times New Roman"/>
          <w:color w:val="FF0000"/>
          <w:szCs w:val="21"/>
        </w:rPr>
      </w:pPr>
      <w:r>
        <w:rPr>
          <w:rFonts w:ascii="Calibri" w:hAnsi="Calibri" w:eastAsia="宋体" w:cs="Times New Roman"/>
          <w:color w:val="FF0000"/>
          <w:szCs w:val="21"/>
        </w:rPr>
        <w:t>（1）涉及相关既定值的，例：招标技术参数要求值为“20L”，投标技术参数响应值与“20L”不一致的，均视为负偏离；</w:t>
      </w:r>
    </w:p>
    <w:p>
      <w:pPr>
        <w:spacing w:after="78"/>
        <w:jc w:val="left"/>
        <w:rPr>
          <w:rFonts w:ascii="Calibri" w:hAnsi="Calibri" w:eastAsia="宋体" w:cs="Times New Roman"/>
          <w:color w:val="FF0000"/>
          <w:szCs w:val="21"/>
        </w:rPr>
      </w:pPr>
      <w:r>
        <w:rPr>
          <w:rFonts w:ascii="Calibri" w:hAnsi="Calibri" w:eastAsia="宋体" w:cs="Times New Roman"/>
          <w:color w:val="FF0000"/>
          <w:szCs w:val="21"/>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pPr>
        <w:spacing w:after="78"/>
        <w:jc w:val="left"/>
        <w:rPr>
          <w:rFonts w:ascii="Calibri" w:hAnsi="Calibri" w:eastAsia="宋体" w:cs="Times New Roman"/>
          <w:color w:val="FF0000"/>
          <w:szCs w:val="21"/>
        </w:rPr>
      </w:pPr>
      <w:r>
        <w:rPr>
          <w:rFonts w:ascii="Calibri" w:hAnsi="Calibri" w:eastAsia="宋体" w:cs="Times New Roman"/>
          <w:color w:val="FF0000"/>
          <w:szCs w:val="21"/>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pPr>
        <w:spacing w:after="78"/>
        <w:jc w:val="left"/>
        <w:rPr>
          <w:rFonts w:hint="eastAsia" w:ascii="Calibri" w:hAnsi="Calibri" w:eastAsia="宋体" w:cs="Times New Roman"/>
          <w:color w:val="FF0000"/>
          <w:szCs w:val="21"/>
          <w:lang w:val="en-US" w:eastAsia="zh-CN"/>
        </w:rPr>
      </w:pPr>
      <w:r>
        <w:rPr>
          <w:rFonts w:hint="eastAsia" w:ascii="Calibri" w:hAnsi="Calibri" w:eastAsia="宋体" w:cs="Times New Roman"/>
          <w:color w:val="FF0000"/>
          <w:szCs w:val="21"/>
          <w:lang w:eastAsia="zh-CN"/>
        </w:rPr>
        <w:t>（</w:t>
      </w:r>
      <w:r>
        <w:rPr>
          <w:rFonts w:hint="eastAsia" w:ascii="Calibri" w:hAnsi="Calibri" w:eastAsia="宋体" w:cs="Times New Roman"/>
          <w:color w:val="FF0000"/>
          <w:szCs w:val="21"/>
          <w:lang w:val="en-US" w:eastAsia="zh-CN"/>
        </w:rPr>
        <w:t>4</w:t>
      </w:r>
      <w:r>
        <w:rPr>
          <w:rFonts w:hint="eastAsia" w:ascii="Calibri" w:hAnsi="Calibri" w:eastAsia="宋体" w:cs="Times New Roman"/>
          <w:color w:val="FF0000"/>
          <w:szCs w:val="21"/>
          <w:lang w:eastAsia="zh-CN"/>
        </w:rPr>
        <w:t>）</w:t>
      </w:r>
      <w:r>
        <w:rPr>
          <w:rFonts w:hint="eastAsia" w:ascii="Calibri" w:hAnsi="Calibri" w:eastAsia="宋体" w:cs="Times New Roman"/>
          <w:color w:val="FF0000"/>
          <w:szCs w:val="21"/>
          <w:lang w:val="en-US" w:eastAsia="zh-CN"/>
        </w:rPr>
        <w:t>检验（检测）报告若要求具有CMA、CNAS等标识的，若有材料证明相关检测事项不在实施该项检测的机构许可（认可）CMA、CNAS等资质范围或检测范围内的，该检验（检测）报告视为不满足招标文件要求，作负偏离处理。</w:t>
      </w:r>
    </w:p>
    <w:p>
      <w:pPr>
        <w:pStyle w:val="2"/>
        <w:rPr>
          <w:rFonts w:hint="eastAsia" w:eastAsia="宋体"/>
          <w:lang w:eastAsia="zh-CN"/>
        </w:rPr>
      </w:pPr>
    </w:p>
    <w:p>
      <w:pPr>
        <w:pStyle w:val="6"/>
        <w:spacing w:before="156" w:beforeLines="50" w:after="156" w:afterLines="50" w:line="416" w:lineRule="auto"/>
        <w:jc w:val="center"/>
        <w:rPr>
          <w:rFonts w:hint="eastAsia"/>
          <w:szCs w:val="28"/>
        </w:rPr>
      </w:pPr>
      <w:r>
        <w:rPr>
          <w:rFonts w:hint="eastAsia"/>
          <w:szCs w:val="28"/>
        </w:rPr>
        <w:t>六、其他重要条款</w:t>
      </w:r>
    </w:p>
    <w:p>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ind w:firstLine="420" w:firstLineChars="200"/>
        <w:rPr>
          <w:bCs/>
          <w:szCs w:val="21"/>
        </w:rPr>
      </w:pPr>
      <w:r>
        <w:rPr>
          <w:rFonts w:hint="eastAsia"/>
          <w:bCs/>
          <w:szCs w:val="21"/>
        </w:rPr>
        <w:t>2、投标人应充分了解项目的位置、情况、道路及任何其它足以影响投标报价的情况，任何因忽视或误解项目情况而导致的索赔或服务期限延长申请将不获批准。</w:t>
      </w:r>
    </w:p>
    <w:p>
      <w:pPr>
        <w:ind w:firstLine="420" w:firstLineChars="200"/>
        <w:rPr>
          <w:bCs/>
          <w:szCs w:val="21"/>
        </w:rPr>
      </w:pPr>
      <w:r>
        <w:rPr>
          <w:rFonts w:hint="eastAsia"/>
          <w:bCs/>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pPr>
        <w:ind w:firstLine="420" w:firstLineChars="200"/>
        <w:rPr>
          <w:rFonts w:hint="eastAsia" w:ascii="宋体" w:hAnsi="宋体" w:eastAsia="宋体" w:cs="Times New Roman"/>
          <w:b/>
          <w:bCs/>
          <w:kern w:val="0"/>
          <w:sz w:val="28"/>
          <w:szCs w:val="28"/>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pPr>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br w:type="page"/>
      </w:r>
    </w:p>
    <w:p>
      <w:pPr>
        <w:keepNext/>
        <w:keepLines/>
        <w:adjustRightInd w:val="0"/>
        <w:spacing w:line="320" w:lineRule="atLeast"/>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第四章</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 xml:space="preserve"> 投标文件组成要求及格式</w:t>
      </w:r>
    </w:p>
    <w:p>
      <w:pPr>
        <w:pStyle w:val="2"/>
      </w:pPr>
      <w:bookmarkStart w:id="15" w:name="_Hlk72257167"/>
    </w:p>
    <w:bookmarkEnd w:id="15"/>
    <w:p>
      <w:pPr>
        <w:widowControl/>
        <w:spacing w:line="320" w:lineRule="atLeast"/>
        <w:jc w:val="left"/>
        <w:outlineLvl w:val="2"/>
        <w:rPr>
          <w:rFonts w:hint="eastAsia" w:ascii="宋体" w:hAnsi="宋体" w:eastAsia="黑体" w:cs="Times New Roman"/>
          <w:bCs/>
          <w:kern w:val="44"/>
          <w:sz w:val="24"/>
          <w:szCs w:val="24"/>
        </w:rPr>
      </w:pPr>
      <w:r>
        <w:rPr>
          <w:rFonts w:hint="eastAsia" w:ascii="宋体" w:hAnsi="宋体" w:eastAsia="黑体" w:cs="Times New Roman"/>
          <w:bCs/>
          <w:kern w:val="44"/>
          <w:sz w:val="24"/>
          <w:szCs w:val="24"/>
        </w:rPr>
        <w:t>投标文件组成：</w:t>
      </w:r>
    </w:p>
    <w:p>
      <w:pPr>
        <w:ind w:firstLine="1200" w:firstLineChars="500"/>
        <w:outlineLvl w:val="0"/>
        <w:rPr>
          <w:rFonts w:hint="eastAsia" w:ascii="宋体" w:hAnsi="宋体"/>
          <w:sz w:val="24"/>
        </w:rPr>
      </w:pPr>
      <w:bookmarkStart w:id="16" w:name="_Hlk72257771"/>
      <w:r>
        <w:rPr>
          <w:rFonts w:hint="eastAsia" w:ascii="宋体" w:hAnsi="宋体"/>
          <w:sz w:val="24"/>
        </w:rPr>
        <w:t>1.投标文件正文，主要包括以下内容：</w:t>
      </w:r>
    </w:p>
    <w:p>
      <w:pPr>
        <w:ind w:left="718" w:leftChars="342" w:firstLine="1417" w:firstLineChars="675"/>
        <w:rPr>
          <w:szCs w:val="21"/>
        </w:rPr>
      </w:pPr>
      <w:r>
        <w:rPr>
          <w:rFonts w:hint="eastAsia"/>
          <w:szCs w:val="21"/>
        </w:rPr>
        <w:t>（1）</w:t>
      </w:r>
      <w:bookmarkStart w:id="17" w:name="_Hlk72070784"/>
      <w:r>
        <w:rPr>
          <w:rFonts w:hint="eastAsia"/>
          <w:szCs w:val="21"/>
        </w:rPr>
        <w:t>投标函</w:t>
      </w:r>
      <w:bookmarkEnd w:id="17"/>
    </w:p>
    <w:p>
      <w:pPr>
        <w:ind w:left="718" w:leftChars="342" w:firstLine="1417" w:firstLineChars="675"/>
        <w:rPr>
          <w:szCs w:val="21"/>
        </w:rPr>
      </w:pPr>
      <w:r>
        <w:rPr>
          <w:rFonts w:hint="eastAsia"/>
          <w:szCs w:val="21"/>
        </w:rPr>
        <w:t>（2）</w:t>
      </w:r>
      <w:bookmarkStart w:id="18" w:name="_Hlk72062521"/>
      <w:r>
        <w:rPr>
          <w:rFonts w:hint="eastAsia"/>
          <w:szCs w:val="21"/>
        </w:rPr>
        <w:t>政府采购投标及履约承诺函</w:t>
      </w:r>
      <w:bookmarkEnd w:id="18"/>
    </w:p>
    <w:p>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pPr>
        <w:ind w:left="718" w:leftChars="342" w:firstLine="1417" w:firstLineChars="675"/>
        <w:rPr>
          <w:szCs w:val="21"/>
        </w:rPr>
      </w:pPr>
      <w:bookmarkStart w:id="19" w:name="_Hlk72257201"/>
      <w:r>
        <w:rPr>
          <w:rFonts w:hint="eastAsia"/>
          <w:szCs w:val="21"/>
        </w:rPr>
        <w:t>（</w:t>
      </w:r>
      <w:r>
        <w:rPr>
          <w:szCs w:val="21"/>
        </w:rPr>
        <w:t>4</w:t>
      </w:r>
      <w:r>
        <w:rPr>
          <w:rFonts w:hint="eastAsia"/>
          <w:szCs w:val="21"/>
        </w:rPr>
        <w:t>）项目详细报价</w:t>
      </w:r>
    </w:p>
    <w:bookmarkEnd w:id="19"/>
    <w:p>
      <w:pPr>
        <w:ind w:left="718" w:leftChars="342" w:firstLine="1417" w:firstLineChars="675"/>
        <w:rPr>
          <w:rFonts w:hint="eastAsia" w:eastAsiaTheme="minorEastAsia"/>
          <w:szCs w:val="21"/>
          <w:lang w:eastAsia="zh-CN"/>
        </w:rPr>
      </w:pPr>
      <w:r>
        <w:rPr>
          <w:rFonts w:hint="eastAsia"/>
          <w:szCs w:val="21"/>
        </w:rPr>
        <w:t>（5）</w:t>
      </w:r>
      <w:r>
        <w:rPr>
          <w:rFonts w:hint="eastAsia"/>
          <w:szCs w:val="21"/>
          <w:lang w:eastAsia="zh-CN"/>
        </w:rPr>
        <w:t>供应商情况表</w:t>
      </w:r>
    </w:p>
    <w:p>
      <w:pPr>
        <w:ind w:firstLine="1200" w:firstLineChars="500"/>
        <w:outlineLvl w:val="0"/>
        <w:rPr>
          <w:rFonts w:hint="eastAsia" w:ascii="宋体" w:hAnsi="宋体"/>
          <w:sz w:val="24"/>
        </w:rPr>
      </w:pPr>
      <w:r>
        <w:rPr>
          <w:rFonts w:hint="eastAsia" w:ascii="宋体" w:hAnsi="宋体"/>
          <w:sz w:val="24"/>
        </w:rPr>
        <w:t>2.投标文件附件：主要包括以下内容：</w:t>
      </w:r>
    </w:p>
    <w:p>
      <w:pPr>
        <w:ind w:firstLine="2100" w:firstLineChars="1000"/>
        <w:rPr>
          <w:szCs w:val="21"/>
        </w:rPr>
      </w:pPr>
      <w:r>
        <w:rPr>
          <w:rFonts w:hint="eastAsia"/>
          <w:szCs w:val="21"/>
        </w:rPr>
        <w:t>（1）法定代表人（负责人）证明书</w:t>
      </w:r>
    </w:p>
    <w:p>
      <w:pPr>
        <w:ind w:left="718" w:leftChars="342" w:firstLine="1417" w:firstLineChars="675"/>
        <w:rPr>
          <w:szCs w:val="21"/>
        </w:rPr>
      </w:pPr>
      <w:r>
        <w:rPr>
          <w:rFonts w:hint="eastAsia"/>
          <w:szCs w:val="21"/>
        </w:rPr>
        <w:t>（2）投标文件签署授权委托书</w:t>
      </w:r>
    </w:p>
    <w:p>
      <w:pPr>
        <w:ind w:left="718" w:leftChars="342" w:firstLine="1417" w:firstLineChars="675"/>
        <w:rPr>
          <w:szCs w:val="21"/>
        </w:rPr>
      </w:pPr>
      <w:r>
        <w:rPr>
          <w:rFonts w:hint="eastAsia"/>
          <w:szCs w:val="21"/>
        </w:rPr>
        <w:t>（3）实质性条款响应情况表</w:t>
      </w:r>
    </w:p>
    <w:p>
      <w:pPr>
        <w:ind w:left="718" w:leftChars="342" w:firstLine="1417" w:firstLineChars="675"/>
        <w:rPr>
          <w:szCs w:val="21"/>
        </w:rPr>
      </w:pPr>
      <w:r>
        <w:rPr>
          <w:rFonts w:hint="eastAsia"/>
          <w:szCs w:val="21"/>
        </w:rPr>
        <w:t>（</w:t>
      </w:r>
      <w:r>
        <w:rPr>
          <w:szCs w:val="21"/>
        </w:rPr>
        <w:t>4</w:t>
      </w:r>
      <w:r>
        <w:rPr>
          <w:rFonts w:hint="eastAsia"/>
          <w:szCs w:val="21"/>
        </w:rPr>
        <w:t>）商务要求偏离表</w:t>
      </w:r>
    </w:p>
    <w:p>
      <w:pPr>
        <w:ind w:left="718" w:leftChars="342" w:firstLine="1417" w:firstLineChars="675"/>
        <w:rPr>
          <w:szCs w:val="21"/>
        </w:rPr>
      </w:pPr>
      <w:r>
        <w:rPr>
          <w:rFonts w:hint="eastAsia"/>
          <w:szCs w:val="21"/>
        </w:rPr>
        <w:t>（</w:t>
      </w:r>
      <w:r>
        <w:rPr>
          <w:szCs w:val="21"/>
        </w:rPr>
        <w:t>5</w:t>
      </w:r>
      <w:r>
        <w:rPr>
          <w:rFonts w:hint="eastAsia"/>
          <w:szCs w:val="21"/>
        </w:rPr>
        <w:t>）技术要求偏离表</w:t>
      </w:r>
    </w:p>
    <w:p>
      <w:pPr>
        <w:ind w:left="718" w:leftChars="342" w:firstLine="1417" w:firstLineChars="675"/>
        <w:rPr>
          <w:rFonts w:hint="eastAsia" w:eastAsiaTheme="minorEastAsia"/>
          <w:szCs w:val="21"/>
          <w:lang w:eastAsia="zh-CN"/>
        </w:rPr>
      </w:pPr>
      <w:r>
        <w:rPr>
          <w:rFonts w:hint="eastAsia"/>
          <w:szCs w:val="21"/>
        </w:rPr>
        <w:t>（6）</w:t>
      </w:r>
      <w:r>
        <w:rPr>
          <w:rFonts w:hint="eastAsia"/>
          <w:szCs w:val="21"/>
          <w:lang w:eastAsia="zh-CN"/>
        </w:rPr>
        <w:t>技术</w:t>
      </w:r>
      <w:r>
        <w:rPr>
          <w:rFonts w:hint="eastAsia"/>
          <w:szCs w:val="21"/>
        </w:rPr>
        <w:t>保障措施</w:t>
      </w:r>
    </w:p>
    <w:p>
      <w:pPr>
        <w:ind w:left="718" w:leftChars="342" w:firstLine="1417" w:firstLineChars="675"/>
        <w:rPr>
          <w:rFonts w:hint="eastAsia"/>
          <w:szCs w:val="21"/>
          <w:lang w:eastAsia="zh-CN"/>
        </w:rPr>
      </w:pPr>
      <w:r>
        <w:rPr>
          <w:rFonts w:hint="eastAsia"/>
          <w:szCs w:val="21"/>
          <w:lang w:val="en-US" w:eastAsia="zh-CN"/>
        </w:rPr>
        <w:t>（7</w:t>
      </w:r>
      <w:r>
        <w:rPr>
          <w:rFonts w:hint="eastAsia"/>
          <w:szCs w:val="21"/>
          <w:lang w:eastAsia="zh-CN"/>
        </w:rPr>
        <w:t>）</w:t>
      </w:r>
      <w:r>
        <w:rPr>
          <w:rFonts w:hint="eastAsia" w:ascii="宋体" w:hAnsi="宋体" w:cs="宋体"/>
          <w:szCs w:val="21"/>
        </w:rPr>
        <w:t>项目实施保障措施</w:t>
      </w:r>
    </w:p>
    <w:p>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8</w:t>
      </w:r>
      <w:r>
        <w:rPr>
          <w:rFonts w:hint="eastAsia"/>
          <w:szCs w:val="21"/>
          <w:lang w:eastAsia="zh-CN"/>
        </w:rPr>
        <w:t>）同类项目业绩</w:t>
      </w:r>
    </w:p>
    <w:p>
      <w:pPr>
        <w:ind w:left="718" w:leftChars="342" w:firstLine="1417" w:firstLineChars="675"/>
        <w:rPr>
          <w:szCs w:val="21"/>
        </w:rPr>
      </w:pPr>
      <w:r>
        <w:rPr>
          <w:rFonts w:hint="eastAsia"/>
          <w:szCs w:val="21"/>
          <w:lang w:eastAsia="zh-CN"/>
        </w:rPr>
        <w:t>（</w:t>
      </w:r>
      <w:r>
        <w:rPr>
          <w:rFonts w:hint="eastAsia"/>
          <w:szCs w:val="21"/>
          <w:lang w:val="en-US" w:eastAsia="zh-CN"/>
        </w:rPr>
        <w:t>9</w:t>
      </w:r>
      <w:r>
        <w:rPr>
          <w:rFonts w:hint="eastAsia"/>
          <w:szCs w:val="21"/>
          <w:lang w:eastAsia="zh-CN"/>
        </w:rPr>
        <w:t>）</w:t>
      </w:r>
      <w:r>
        <w:rPr>
          <w:rFonts w:hint="eastAsia"/>
          <w:szCs w:val="21"/>
        </w:rPr>
        <w:t>投标人认为需要加以说明的其他内容</w:t>
      </w:r>
    </w:p>
    <w:p>
      <w:pPr>
        <w:spacing w:line="320" w:lineRule="atLeast"/>
        <w:rPr>
          <w:rFonts w:hint="eastAsia" w:ascii="宋体" w:hAnsi="宋体"/>
          <w:b/>
          <w:sz w:val="24"/>
          <w:szCs w:val="24"/>
        </w:rPr>
      </w:pPr>
      <w:r>
        <w:rPr>
          <w:rFonts w:hint="eastAsia" w:ascii="宋体" w:hAnsi="宋体"/>
          <w:b/>
          <w:sz w:val="24"/>
          <w:szCs w:val="24"/>
        </w:rPr>
        <w:t>备注：</w:t>
      </w:r>
    </w:p>
    <w:p>
      <w:pPr>
        <w:snapToGrid w:val="0"/>
        <w:spacing w:line="320" w:lineRule="atLeast"/>
        <w:ind w:firstLine="482" w:firstLineChars="200"/>
        <w:rPr>
          <w:rFonts w:hint="eastAsia" w:ascii="宋体" w:hAnsi="宋体"/>
          <w:b/>
          <w:sz w:val="24"/>
          <w:szCs w:val="24"/>
        </w:rPr>
      </w:pPr>
      <w:r>
        <w:rPr>
          <w:rFonts w:hint="eastAsia" w:ascii="宋体" w:hAnsi="宋体"/>
          <w:b/>
          <w:sz w:val="24"/>
          <w:szCs w:val="24"/>
        </w:rPr>
        <w:t>1.本项目为网上电子投标项目，投标文件不需法人或授权委托人另行签字，无需加盖单位公章，招标文件另有规定的除外。</w:t>
      </w:r>
    </w:p>
    <w:p>
      <w:pPr>
        <w:snapToGrid w:val="0"/>
        <w:spacing w:after="78" w:afterLines="25"/>
        <w:ind w:firstLine="482" w:firstLineChars="200"/>
        <w:rPr>
          <w:rFonts w:hint="eastAsia" w:ascii="宋体" w:hAnsi="宋体" w:eastAsia="黑体" w:cs="Times New Roman"/>
          <w:bCs/>
          <w:kern w:val="44"/>
          <w:sz w:val="32"/>
          <w:szCs w:val="32"/>
        </w:rPr>
      </w:pPr>
      <w:bookmarkStart w:id="20" w:name="_Hlk72263559"/>
      <w:r>
        <w:rPr>
          <w:rFonts w:hint="eastAsia" w:ascii="宋体" w:hAnsi="宋体"/>
          <w:b/>
          <w:sz w:val="24"/>
          <w:szCs w:val="24"/>
        </w:rPr>
        <w:t>2.关于填写“开标一览表”的说明：“开标一览表”中除“投标总价”外，其他信息不作评审依据。</w:t>
      </w:r>
      <w:bookmarkEnd w:id="16"/>
      <w:bookmarkEnd w:id="20"/>
      <w:r>
        <w:rPr>
          <w:rFonts w:ascii="宋体" w:hAnsi="宋体" w:eastAsia="黑体" w:cs="Times New Roman"/>
          <w:bCs/>
          <w:kern w:val="44"/>
          <w:sz w:val="32"/>
          <w:szCs w:val="32"/>
        </w:rPr>
        <w:br w:type="page"/>
      </w:r>
    </w:p>
    <w:p>
      <w:pPr>
        <w:widowControl/>
        <w:jc w:val="left"/>
        <w:outlineLvl w:val="2"/>
        <w:rPr>
          <w:rFonts w:hint="eastAsia" w:ascii="宋体" w:hAnsi="宋体" w:eastAsia="宋体" w:cs="宋体"/>
          <w:b/>
          <w:color w:val="FF0000"/>
          <w:kern w:val="0"/>
          <w:sz w:val="32"/>
          <w:szCs w:val="32"/>
        </w:rPr>
      </w:pPr>
      <w:r>
        <w:rPr>
          <w:rFonts w:hint="eastAsia" w:ascii="宋体" w:hAnsi="宋体" w:eastAsia="宋体" w:cs="宋体"/>
          <w:b/>
          <w:color w:val="FF0000"/>
          <w:kern w:val="0"/>
          <w:sz w:val="32"/>
          <w:szCs w:val="32"/>
        </w:rPr>
        <w:t>（一）投标文件正文</w:t>
      </w:r>
    </w:p>
    <w:p>
      <w:pPr>
        <w:pStyle w:val="6"/>
        <w:jc w:val="center"/>
        <w:rPr>
          <w:rFonts w:hint="eastAsia" w:ascii="黑体" w:eastAsia="黑体"/>
          <w:b w:val="0"/>
          <w:sz w:val="24"/>
        </w:rPr>
      </w:pPr>
      <w:r>
        <w:rPr>
          <w:rFonts w:hint="eastAsia" w:ascii="黑体" w:eastAsia="黑体"/>
          <w:b w:val="0"/>
          <w:sz w:val="24"/>
        </w:rPr>
        <w:t>一、投标函</w:t>
      </w:r>
    </w:p>
    <w:p>
      <w:pPr>
        <w:spacing w:line="360" w:lineRule="auto"/>
        <w:rPr>
          <w:rFonts w:hint="eastAsia" w:ascii="宋体" w:hAnsi="宋体"/>
          <w:szCs w:val="21"/>
        </w:rPr>
      </w:pPr>
      <w:bookmarkStart w:id="21"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pPr>
        <w:ind w:firstLine="420" w:firstLineChars="200"/>
        <w:rPr>
          <w:rFonts w:hint="eastAsia" w:ascii="宋体" w:hAnsi="宋体"/>
          <w:szCs w:val="21"/>
        </w:rPr>
      </w:pPr>
      <w:bookmarkStart w:id="22" w:name="_Hlk73818812"/>
      <w:r>
        <w:rPr>
          <w:rFonts w:hint="eastAsia"/>
          <w:szCs w:val="21"/>
        </w:rPr>
        <w:t>1、根据已收到贵单位的项目编号为</w:t>
      </w:r>
      <w:r>
        <w:rPr>
          <w:rFonts w:hint="eastAsia"/>
          <w:szCs w:val="21"/>
          <w:u w:val="thick"/>
        </w:rPr>
        <w:t xml:space="preserve">                 </w:t>
      </w:r>
      <w:r>
        <w:rPr>
          <w:rFonts w:hint="eastAsia"/>
          <w:szCs w:val="21"/>
        </w:rPr>
        <w:t>的</w:t>
      </w:r>
      <w:r>
        <w:rPr>
          <w:rFonts w:hint="eastAsia"/>
          <w:szCs w:val="21"/>
          <w:u w:val="thick"/>
        </w:rPr>
        <w:t xml:space="preserve">   （项目名称）   </w:t>
      </w:r>
      <w:r>
        <w:rPr>
          <w:rFonts w:hint="eastAsia"/>
          <w:szCs w:val="21"/>
        </w:rPr>
        <w:t>项目的招标文件，遵照《深圳经济特区政府采购条例》和《深圳网上政府采购管理暂行办法》等有关规定，我单位经研究上述招标文件的专用条款及通用条款后，</w:t>
      </w:r>
      <w:bookmarkStart w:id="23" w:name="_Hlk72263588"/>
      <w:r>
        <w:rPr>
          <w:rFonts w:hint="eastAsia"/>
          <w:szCs w:val="21"/>
        </w:rPr>
        <w:t>愿意按照招标文件要求承包上述项目并修补其任何缺陷。</w:t>
      </w:r>
      <w:bookmarkEnd w:id="23"/>
    </w:p>
    <w:p>
      <w:pPr>
        <w:ind w:firstLine="420" w:firstLineChars="200"/>
        <w:rPr>
          <w:rFonts w:hint="eastAsia" w:ascii="宋体" w:hAnsi="宋体"/>
          <w:szCs w:val="21"/>
        </w:rPr>
      </w:pPr>
      <w:r>
        <w:rPr>
          <w:rFonts w:ascii="宋体" w:hAnsi="宋体"/>
          <w:szCs w:val="21"/>
        </w:rPr>
        <w:t>2</w:t>
      </w:r>
      <w:r>
        <w:rPr>
          <w:rFonts w:hint="eastAsia" w:ascii="宋体" w:hAnsi="宋体"/>
          <w:szCs w:val="21"/>
        </w:rPr>
        <w:t>、</w:t>
      </w:r>
      <w:bookmarkStart w:id="24" w:name="_Hlk73819847"/>
      <w:r>
        <w:rPr>
          <w:rFonts w:hint="eastAsia" w:ascii="宋体" w:hAnsi="宋体"/>
          <w:szCs w:val="21"/>
        </w:rPr>
        <w:t>投标价格见</w:t>
      </w:r>
      <w:r>
        <w:rPr>
          <w:rFonts w:hint="eastAsia"/>
          <w:szCs w:val="21"/>
        </w:rPr>
        <w:t>投标书编制软件中《开标一览表》中填写的投标总价。</w:t>
      </w:r>
      <w:bookmarkEnd w:id="24"/>
    </w:p>
    <w:p>
      <w:pPr>
        <w:ind w:firstLine="420" w:firstLineChars="200"/>
        <w:rPr>
          <w:rFonts w:hint="eastAsia" w:ascii="宋体" w:hAnsi="宋体"/>
          <w:szCs w:val="21"/>
        </w:rPr>
      </w:pPr>
      <w:r>
        <w:rPr>
          <w:rFonts w:hint="eastAsia" w:ascii="宋体" w:hAnsi="宋体"/>
          <w:szCs w:val="21"/>
        </w:rPr>
        <w:t>3、如果我单位中标，我单位将按照招标文件的要求足额提交履约担保。</w:t>
      </w:r>
    </w:p>
    <w:p>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pPr>
        <w:ind w:left="420" w:leftChars="20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22"/>
    </w:p>
    <w:p>
      <w:pPr>
        <w:ind w:left="420" w:leftChars="200"/>
        <w:rPr>
          <w:rFonts w:hint="eastAsia"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pPr>
        <w:ind w:left="420" w:leftChars="200" w:firstLine="210" w:firstLineChars="100"/>
        <w:rPr>
          <w:szCs w:val="21"/>
        </w:rPr>
      </w:pPr>
    </w:p>
    <w:p>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xml:space="preserve">  ；  </w:t>
      </w:r>
    </w:p>
    <w:p>
      <w:pPr>
        <w:ind w:left="420" w:leftChars="200" w:firstLine="210" w:firstLineChars="100"/>
        <w:rPr>
          <w:szCs w:val="21"/>
        </w:rPr>
      </w:pPr>
      <w:r>
        <w:rPr>
          <w:rFonts w:hint="eastAsia"/>
          <w:szCs w:val="21"/>
        </w:rPr>
        <w:t>单位地址：</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pPr>
        <w:rPr>
          <w:rFonts w:hint="eastAsia" w:ascii="黑体" w:hAnsi="宋体" w:eastAsia="黑体"/>
        </w:rPr>
      </w:pPr>
    </w:p>
    <w:p>
      <w:pPr>
        <w:rPr>
          <w:rFonts w:hint="eastAsia" w:ascii="黑体" w:hAnsi="宋体" w:eastAsia="黑体"/>
        </w:rPr>
      </w:pPr>
    </w:p>
    <w:bookmarkEnd w:id="21"/>
    <w:p>
      <w:pPr>
        <w:pStyle w:val="6"/>
        <w:jc w:val="center"/>
        <w:rPr>
          <w:rFonts w:hint="eastAsia" w:ascii="黑体" w:eastAsia="黑体"/>
          <w:b w:val="0"/>
          <w:sz w:val="24"/>
        </w:rPr>
      </w:pPr>
      <w:r>
        <w:rPr>
          <w:rFonts w:hint="eastAsia" w:ascii="黑体" w:eastAsia="黑体"/>
          <w:b w:val="0"/>
          <w:sz w:val="24"/>
        </w:rPr>
        <w:t>二、政府采购投标及履约承诺函</w:t>
      </w:r>
    </w:p>
    <w:p>
      <w:pPr>
        <w:rPr>
          <w:rFonts w:hint="eastAsia" w:ascii="宋体" w:hAnsi="宋体"/>
          <w:color w:val="FF0000"/>
          <w:szCs w:val="21"/>
        </w:rPr>
      </w:pPr>
      <w:bookmarkStart w:id="25" w:name="_Hlk72257530"/>
      <w:r>
        <w:rPr>
          <w:rFonts w:hint="eastAsia" w:ascii="宋体" w:hAnsi="宋体"/>
          <w:color w:val="FF0000"/>
          <w:szCs w:val="21"/>
        </w:rPr>
        <w:t>致：</w:t>
      </w:r>
      <w:r>
        <w:rPr>
          <w:rFonts w:hint="eastAsia" w:ascii="宋体" w:hAnsi="宋体"/>
          <w:color w:val="FF0000"/>
          <w:szCs w:val="21"/>
          <w:u w:val="single"/>
        </w:rPr>
        <w:t>深圳公共资源交易中心</w:t>
      </w:r>
    </w:p>
    <w:p>
      <w:pPr>
        <w:ind w:right="-815" w:firstLine="420" w:firstLineChars="200"/>
        <w:rPr>
          <w:rFonts w:ascii="宋体" w:hAnsi="宋体"/>
          <w:szCs w:val="21"/>
        </w:rPr>
      </w:pPr>
      <w:r>
        <w:rPr>
          <w:rFonts w:hint="eastAsia" w:ascii="宋体" w:hAnsi="宋体"/>
          <w:szCs w:val="21"/>
        </w:rPr>
        <w:t>我单位承诺：</w:t>
      </w:r>
    </w:p>
    <w:p>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pPr>
        <w:ind w:firstLine="420" w:firstLineChars="200"/>
        <w:rPr>
          <w:rFonts w:hint="eastAsia"/>
          <w:lang w:eastAsia="zh-CN"/>
        </w:rPr>
      </w:pPr>
      <w:r>
        <w:rPr>
          <w:rFonts w:hint="eastAsia" w:ascii="宋体" w:hAnsi="宋体"/>
          <w:szCs w:val="21"/>
        </w:rPr>
        <w:t>4.我单位</w:t>
      </w:r>
      <w:r>
        <w:rPr>
          <w:rFonts w:hint="eastAsia"/>
        </w:rPr>
        <w:t>未被列入失信被执行人、重大税收违法案件当事人名单、政府采购严重违法失信行为记录名单</w:t>
      </w:r>
      <w:r>
        <w:rPr>
          <w:rFonts w:hint="eastAsia"/>
          <w:lang w:eastAsia="zh-CN"/>
        </w:rPr>
        <w:t>。</w:t>
      </w:r>
    </w:p>
    <w:p>
      <w:pPr>
        <w:ind w:firstLine="420" w:firstLineChars="200"/>
        <w:rPr>
          <w:rFonts w:hint="eastAsia"/>
          <w:lang w:eastAsia="zh-CN"/>
        </w:rPr>
      </w:pPr>
      <w:r>
        <w:rPr>
          <w:rFonts w:hint="eastAsia" w:ascii="Times New Roman" w:eastAsia="宋体"/>
          <w:color w:val="FF0000"/>
          <w:lang w:val="en-US" w:eastAsia="zh-CN"/>
        </w:rPr>
        <w:t>5.我单位不存在《深圳市财政局政府采购供应商信用信息管理办法》（深财规〔2023〕3号）列明的严重违法失信行为。</w:t>
      </w:r>
    </w:p>
    <w:p>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ascii="宋体" w:hAnsi="宋体" w:cs="宋体"/>
          <w:b/>
          <w:kern w:val="0"/>
          <w:szCs w:val="21"/>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eastAsia="宋体"/>
          <w:lang w:eastAsia="zh-CN"/>
        </w:rPr>
        <w:t>（</w:t>
      </w:r>
      <w:r>
        <w:rPr>
          <w:rFonts w:hint="eastAsia"/>
        </w:rPr>
        <w:t>财库〔2023〕7号）</w:t>
      </w:r>
      <w:r>
        <w:rPr>
          <w:rFonts w:hint="eastAsia" w:ascii="Times New Roman" w:eastAsia="宋体"/>
          <w:lang w:val="en-US" w:eastAsia="zh-CN"/>
        </w:rPr>
        <w:t>要求。若所投产品涉及国家强制性标准的，所投产品应符合国家强制性标准相关要求。</w:t>
      </w:r>
    </w:p>
    <w:p>
      <w:pPr>
        <w:ind w:firstLine="420" w:firstLineChars="200"/>
        <w:rPr>
          <w:rFonts w:hint="eastAsia"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pPr>
        <w:ind w:firstLine="420" w:firstLineChars="200"/>
        <w:rPr>
          <w:rFonts w:hint="eastAsia" w:ascii="宋体" w:hAnsi="宋体"/>
          <w:b w:val="0"/>
          <w:bCs/>
        </w:rPr>
      </w:pPr>
      <w:r>
        <w:rPr>
          <w:rFonts w:hint="eastAsia" w:ascii="宋体" w:hAnsi="宋体"/>
          <w:b w:val="0"/>
          <w:bCs/>
        </w:rPr>
        <w:t>1</w:t>
      </w:r>
      <w:r>
        <w:rPr>
          <w:rFonts w:hint="eastAsia" w:ascii="宋体" w:hAnsi="宋体"/>
          <w:b w:val="0"/>
          <w:bCs/>
          <w:lang w:val="en-US" w:eastAsia="zh-CN"/>
        </w:rPr>
        <w:t>3</w:t>
      </w:r>
      <w:r>
        <w:rPr>
          <w:rFonts w:hint="eastAsia" w:ascii="宋体" w:hAnsi="宋体"/>
          <w:b w:val="0"/>
          <w:bCs/>
        </w:rPr>
        <w:t>.</w:t>
      </w:r>
      <w:bookmarkStart w:id="26" w:name="OLE_LINK12"/>
      <w:bookmarkStart w:id="27" w:name="OLE_LINK3"/>
      <w:r>
        <w:rPr>
          <w:rFonts w:hint="eastAsia" w:ascii="宋体" w:hAnsi="宋体"/>
          <w:b w:val="0"/>
          <w:bCs/>
        </w:rPr>
        <w:t>我单位保证，符合《中华人民共和国政府采购法实施条例》第十八条规定，与其他投标供应商不存在单位负责人为同一人或者存在直接控股、管理关系；</w:t>
      </w:r>
      <w:r>
        <w:rPr>
          <w:rFonts w:hint="eastAsia" w:ascii="宋体" w:hAnsi="宋体"/>
          <w:b w:val="0"/>
          <w:bCs/>
          <w:color w:val="auto"/>
          <w:lang w:val="en-US" w:eastAsia="zh-CN"/>
        </w:rPr>
        <w:t>不存在为</w:t>
      </w:r>
      <w:r>
        <w:rPr>
          <w:rFonts w:hint="eastAsia" w:ascii="宋体" w:hAnsi="宋体"/>
          <w:b w:val="0"/>
          <w:bCs/>
        </w:rPr>
        <w:t>本次采购项目提供整体设计、规范编制或者项目管理、监理、检测等服务的情</w:t>
      </w:r>
      <w:r>
        <w:rPr>
          <w:rFonts w:hint="eastAsia" w:ascii="宋体" w:hAnsi="宋体"/>
          <w:b w:val="0"/>
          <w:bCs/>
          <w:color w:val="auto"/>
        </w:rPr>
        <w:t>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bookmarkEnd w:id="26"/>
      <w:r>
        <w:rPr>
          <w:rFonts w:hint="eastAsia" w:ascii="宋体" w:hAnsi="宋体"/>
          <w:b w:val="0"/>
          <w:bCs/>
          <w:color w:val="auto"/>
          <w:lang w:eastAsia="zh-CN"/>
        </w:rPr>
        <w:t>。</w:t>
      </w:r>
      <w:bookmarkEnd w:id="27"/>
    </w:p>
    <w:p>
      <w:pPr>
        <w:ind w:firstLine="422" w:firstLineChars="200"/>
        <w:rPr>
          <w:rFonts w:hint="eastAsia" w:ascii="宋体" w:hAnsi="宋体"/>
          <w:b/>
          <w:bCs w:val="0"/>
          <w:sz w:val="21"/>
          <w:lang w:val="en-US" w:eastAsia="zh-CN"/>
        </w:rPr>
      </w:pPr>
      <w:r>
        <w:rPr>
          <w:rFonts w:hint="eastAsia" w:ascii="宋体" w:hAnsi="宋体"/>
          <w:b/>
          <w:bCs w:val="0"/>
          <w:sz w:val="21"/>
          <w:lang w:val="en-US" w:eastAsia="zh-CN"/>
        </w:rPr>
        <w:t>14.我单位清楚，如存在违反投标承诺行为情节严重的，将根据《深圳市财政局关于印发&lt;深圳市财政局政府采购供应商信用信息管理办法&gt;的通知》，依法被列入失信信息。</w:t>
      </w:r>
    </w:p>
    <w:p>
      <w:pPr>
        <w:ind w:firstLine="422" w:firstLineChars="200"/>
        <w:rPr>
          <w:rFonts w:hint="eastAsia" w:ascii="宋体" w:hAnsi="宋体"/>
          <w:b/>
          <w:bCs w:val="0"/>
          <w:sz w:val="21"/>
          <w:lang w:val="en-US" w:eastAsia="zh-CN"/>
        </w:rPr>
      </w:pPr>
    </w:p>
    <w:p>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pPr>
        <w:spacing w:before="78" w:beforeLines="25" w:after="78" w:afterLines="25"/>
        <w:ind w:firstLine="5460" w:firstLineChars="2600"/>
        <w:rPr>
          <w:rFonts w:hint="eastAsia" w:ascii="宋体" w:hAnsi="宋体"/>
          <w:szCs w:val="21"/>
        </w:rPr>
      </w:pPr>
      <w:r>
        <w:rPr>
          <w:rFonts w:hint="eastAsia" w:ascii="宋体" w:hAnsi="宋体"/>
          <w:szCs w:val="21"/>
        </w:rPr>
        <w:t xml:space="preserve">                                    </w:t>
      </w:r>
    </w:p>
    <w:bookmarkEnd w:id="25"/>
    <w:p>
      <w:pPr>
        <w:spacing w:before="78" w:beforeLines="25" w:after="78" w:afterLines="25"/>
        <w:jc w:val="right"/>
        <w:rPr>
          <w:rFonts w:eastAsia="宋体"/>
          <w:color w:val="FF0000"/>
        </w:rPr>
      </w:pPr>
      <w:r>
        <w:rPr>
          <w:rFonts w:hint="eastAsia"/>
          <w:color w:val="FF0000"/>
          <w:szCs w:val="21"/>
        </w:rPr>
        <w:t>投标人：</w:t>
      </w:r>
      <w:r>
        <w:rPr>
          <w:rFonts w:hint="eastAsia"/>
          <w:color w:val="FF0000"/>
          <w:szCs w:val="21"/>
          <w:u w:val="thick"/>
        </w:rPr>
        <w:t xml:space="preserve">                           </w:t>
      </w:r>
      <w:r>
        <w:rPr>
          <w:rFonts w:hint="eastAsia"/>
          <w:color w:val="FF0000"/>
          <w:szCs w:val="21"/>
        </w:rPr>
        <w:t>.</w:t>
      </w:r>
    </w:p>
    <w:p>
      <w:pPr>
        <w:jc w:val="right"/>
        <w:rPr>
          <w:rFonts w:hint="eastAsia" w:ascii="宋体" w:hAnsi="宋体"/>
          <w:color w:val="FF0000"/>
          <w:szCs w:val="21"/>
        </w:rPr>
      </w:pPr>
      <w:r>
        <w:rPr>
          <w:rFonts w:hint="eastAsia" w:ascii="宋体" w:hAnsi="宋体"/>
          <w:color w:val="FF0000"/>
          <w:szCs w:val="21"/>
        </w:rPr>
        <w:t>日期：</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ascii="宋体" w:hAnsi="宋体"/>
          <w:color w:val="FF0000"/>
          <w:szCs w:val="21"/>
        </w:rPr>
        <w:t>日</w:t>
      </w:r>
    </w:p>
    <w:p>
      <w:pPr>
        <w:ind w:firstLine="645"/>
        <w:rPr>
          <w:rFonts w:hint="eastAsia" w:ascii="宋体" w:hAnsi="宋体"/>
          <w:szCs w:val="21"/>
        </w:rPr>
      </w:pPr>
    </w:p>
    <w:p>
      <w:pPr>
        <w:rPr>
          <w:rFonts w:ascii="宋体"/>
          <w:b/>
          <w:szCs w:val="21"/>
        </w:rPr>
      </w:pPr>
    </w:p>
    <w:p>
      <w:pPr>
        <w:ind w:firstLine="482" w:firstLineChars="200"/>
        <w:jc w:val="center"/>
        <w:rPr>
          <w:rFonts w:hint="eastAsia" w:hAnsi="宋体"/>
          <w:b/>
          <w:bCs/>
          <w:sz w:val="24"/>
        </w:rPr>
      </w:pPr>
    </w:p>
    <w:p>
      <w:pPr>
        <w:pStyle w:val="6"/>
        <w:jc w:val="center"/>
        <w:rPr>
          <w:rFonts w:hint="eastAsia" w:ascii="黑体" w:eastAsia="黑体"/>
          <w:b w:val="0"/>
          <w:sz w:val="24"/>
          <w:szCs w:val="24"/>
        </w:rPr>
      </w:pPr>
      <w:r>
        <w:rPr>
          <w:rFonts w:hint="eastAsia" w:ascii="黑体" w:eastAsia="黑体"/>
          <w:b w:val="0"/>
          <w:sz w:val="24"/>
          <w:szCs w:val="24"/>
        </w:rPr>
        <w:t>三、投标人情况及资格证明文件</w:t>
      </w:r>
    </w:p>
    <w:p>
      <w:pPr>
        <w:rPr>
          <w:b/>
          <w:bCs/>
          <w:sz w:val="24"/>
        </w:rPr>
      </w:pPr>
    </w:p>
    <w:p>
      <w:pPr>
        <w:ind w:firstLine="2640" w:firstLineChars="1100"/>
        <w:outlineLvl w:val="3"/>
        <w:rPr>
          <w:rFonts w:hint="eastAsia" w:ascii="黑体" w:hAnsi="宋体" w:eastAsia="黑体"/>
          <w:bCs/>
          <w:kern w:val="0"/>
          <w:sz w:val="24"/>
          <w:szCs w:val="32"/>
        </w:rPr>
      </w:pPr>
      <w:bookmarkStart w:id="28" w:name="_Hlk72257590"/>
      <w:r>
        <w:rPr>
          <w:rFonts w:hint="eastAsia" w:ascii="黑体" w:hAnsi="宋体" w:eastAsia="黑体"/>
          <w:bCs/>
          <w:kern w:val="0"/>
          <w:sz w:val="24"/>
          <w:szCs w:val="32"/>
        </w:rPr>
        <w:t>（一）投标人资格证明文件</w:t>
      </w:r>
    </w:p>
    <w:p>
      <w:pPr>
        <w:spacing w:before="156" w:beforeLines="50"/>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供应商基本情况表》为必填内容，须按照相应格式及节点在“信息不公开部分”提供。）</w:t>
      </w:r>
    </w:p>
    <w:p>
      <w:pPr>
        <w:rPr>
          <w:b/>
          <w:bCs/>
          <w:sz w:val="24"/>
        </w:rPr>
      </w:pPr>
    </w:p>
    <w:p>
      <w:pPr>
        <w:ind w:firstLine="480" w:firstLineChars="200"/>
        <w:outlineLvl w:val="3"/>
        <w:rPr>
          <w:rFonts w:hint="eastAsia" w:ascii="黑体" w:hAnsi="宋体" w:eastAsia="黑体"/>
          <w:bCs/>
          <w:kern w:val="0"/>
          <w:sz w:val="24"/>
          <w:szCs w:val="32"/>
        </w:rPr>
      </w:pPr>
      <w:bookmarkStart w:id="29" w:name="_Hlk72257908"/>
      <w:r>
        <w:rPr>
          <w:rFonts w:hint="eastAsia" w:ascii="黑体" w:hAnsi="宋体" w:eastAsia="黑体"/>
          <w:bCs/>
          <w:kern w:val="0"/>
          <w:sz w:val="24"/>
          <w:szCs w:val="32"/>
        </w:rPr>
        <w:t>（二）中小企业声明函、残疾人福利性单位声明函及监狱企业声明函</w:t>
      </w:r>
    </w:p>
    <w:bookmarkEnd w:id="28"/>
    <w:p>
      <w:pPr>
        <w:jc w:val="left"/>
        <w:outlineLvl w:val="3"/>
        <w:rPr>
          <w:rFonts w:hint="eastAsia" w:ascii="黑体" w:hAnsi="宋体" w:eastAsia="黑体"/>
          <w:bCs/>
          <w:kern w:val="0"/>
          <w:sz w:val="24"/>
          <w:szCs w:val="32"/>
        </w:rPr>
      </w:pP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30"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《工业和信息化部、国家统计局、国家发展和改革委员会、财政部关于印发中小企业划型标准规定的通知》（工信部联企业〔2011〕300号</w:t>
      </w:r>
      <w:bookmarkEnd w:id="30"/>
      <w:r>
        <w:rPr>
          <w:rFonts w:hint="eastAsia" w:ascii="黑体" w:hAnsi="黑体" w:eastAsia="黑体"/>
          <w:color w:val="FF0000"/>
          <w:szCs w:val="21"/>
        </w:rPr>
        <w:t>）</w:t>
      </w:r>
    </w:p>
    <w:p>
      <w:pPr>
        <w:ind w:firstLine="420" w:firstLineChars="200"/>
        <w:outlineLvl w:val="3"/>
        <w:rPr>
          <w:rFonts w:ascii="黑体" w:hAnsi="黑体" w:eastAsia="黑体"/>
          <w:color w:val="FF0000"/>
          <w:szCs w:val="21"/>
        </w:rPr>
      </w:pPr>
      <w:r>
        <w:rPr>
          <w:rFonts w:hint="eastAsia" w:ascii="黑体" w:hAnsi="黑体" w:eastAsia="黑体"/>
          <w:color w:val="FF0000"/>
          <w:szCs w:val="21"/>
        </w:rPr>
        <w:t>(3)《统计上大中小微型企业划分办法(2017)》（国统字〔2017〕213号）</w:t>
      </w:r>
    </w:p>
    <w:p>
      <w:pPr>
        <w:ind w:firstLine="420" w:firstLineChars="200"/>
        <w:outlineLvl w:val="3"/>
        <w:rPr>
          <w:rFonts w:ascii="黑体" w:hAnsi="黑体" w:eastAsia="黑体"/>
          <w:color w:val="FF0000"/>
          <w:szCs w:val="21"/>
        </w:rPr>
      </w:pPr>
      <w:r>
        <w:rPr>
          <w:rFonts w:hint="eastAsia" w:ascii="黑体" w:hAnsi="黑体" w:eastAsia="黑体"/>
          <w:color w:val="FF0000"/>
          <w:szCs w:val="21"/>
        </w:rPr>
        <w:t>(4)《关于促进残疾人就业政府采购政策的通知》（财库〔2017〕141号）</w:t>
      </w:r>
    </w:p>
    <w:p>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明细”的“服务需求名称（标的名称）”一栏为准）；如果涉及多项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（标的）为同一企业</w:t>
      </w:r>
      <w:r>
        <w:rPr>
          <w:rFonts w:hint="eastAsia" w:ascii="黑体" w:hAnsi="宋体" w:eastAsia="黑体"/>
          <w:bCs/>
          <w:color w:val="FF0000"/>
          <w:kern w:val="0"/>
          <w:szCs w:val="21"/>
          <w:lang w:val="en-US" w:eastAsia="zh-CN"/>
        </w:rPr>
        <w:t>承接的</w:t>
      </w:r>
      <w:r>
        <w:rPr>
          <w:rFonts w:hint="eastAsia" w:ascii="黑体" w:hAnsi="宋体" w:eastAsia="黑体"/>
          <w:bCs/>
          <w:color w:val="FF0000"/>
          <w:kern w:val="0"/>
          <w:szCs w:val="21"/>
        </w:rPr>
        <w:t>，“标的名称”下划线处可以如实填写多项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eastAsia="zh-CN"/>
        </w:rPr>
        <w:t>服务承接商</w:t>
      </w:r>
      <w:r>
        <w:rPr>
          <w:rFonts w:hint="eastAsia" w:ascii="黑体" w:hAnsi="宋体" w:eastAsia="黑体"/>
          <w:b/>
          <w:bCs w:val="0"/>
          <w:color w:val="FF0000"/>
          <w:kern w:val="0"/>
          <w:szCs w:val="21"/>
        </w:rPr>
        <w:t>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w:t>
      </w:r>
      <w:r>
        <w:rPr>
          <w:rFonts w:hint="eastAsia" w:ascii="黑体" w:hAnsi="宋体" w:eastAsia="黑体"/>
          <w:bCs/>
          <w:color w:val="FF0000"/>
          <w:kern w:val="0"/>
          <w:szCs w:val="21"/>
          <w:lang w:eastAsia="zh-CN"/>
        </w:rPr>
        <w:t>服务承接商</w:t>
      </w:r>
      <w:r>
        <w:rPr>
          <w:rFonts w:hint="eastAsia" w:ascii="黑体" w:hAnsi="宋体" w:eastAsia="黑体"/>
          <w:bCs/>
          <w:color w:val="FF0000"/>
          <w:kern w:val="0"/>
          <w:szCs w:val="21"/>
        </w:rPr>
        <w:t>是否属于采购文件所属行业的中型企业/小型企业/微型企业。</w:t>
      </w:r>
    </w:p>
    <w:p>
      <w:pPr>
        <w:pStyle w:val="51"/>
        <w:ind w:firstLine="420" w:firstLineChars="200"/>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w:t>
      </w:r>
      <w:r>
        <w:rPr>
          <w:rFonts w:hint="eastAsia" w:ascii="黑体" w:hAnsi="宋体" w:eastAsia="黑体"/>
          <w:bCs/>
          <w:color w:val="FF0000"/>
          <w:kern w:val="0"/>
          <w:szCs w:val="21"/>
          <w:lang w:eastAsia="zh-CN"/>
        </w:rPr>
        <w:t>。</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5、本项目属于服务类项目，相关服务承接商应当为中小企业或残疾人福利性单位或监狱企业，如包含硬件设备、产品等货物采购的，不再对其中涉及的货物制造商作出要求。</w:t>
      </w:r>
    </w:p>
    <w:p>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ind w:firstLine="420" w:firstLineChars="200"/>
      </w:pPr>
      <w:r>
        <w:rPr>
          <w:rFonts w:hint="eastAsia" w:ascii="黑体" w:hAnsi="宋体" w:eastAsia="黑体"/>
          <w:bCs/>
          <w:color w:val="FF0000"/>
          <w:kern w:val="0"/>
          <w:szCs w:val="21"/>
          <w:lang w:val="en-US"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pPr>
    </w:p>
    <w:p>
      <w:pPr>
        <w:numPr>
          <w:ilvl w:val="0"/>
          <w:numId w:val="2"/>
        </w:numPr>
        <w:jc w:val="center"/>
        <w:outlineLvl w:val="3"/>
        <w:rPr>
          <w:b/>
          <w:sz w:val="24"/>
        </w:rPr>
      </w:pPr>
      <w:r>
        <w:rPr>
          <w:b/>
          <w:sz w:val="24"/>
        </w:rPr>
        <w:t>中小企业声明函（货物）</w:t>
      </w:r>
    </w:p>
    <w:p>
      <w:pPr>
        <w:pStyle w:val="2"/>
      </w:pPr>
    </w:p>
    <w:p>
      <w:pPr>
        <w:pStyle w:val="15"/>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cstheme="minorEastAsia"/>
          <w:b/>
          <w:bCs/>
          <w:i/>
          <w:iCs/>
          <w:sz w:val="21"/>
          <w:szCs w:val="21"/>
          <w:u w:val="single"/>
        </w:rPr>
        <w:t xml:space="preserve">    （单位名称）    </w:t>
      </w:r>
      <w:r>
        <w:rPr>
          <w:rFonts w:hint="eastAsia" w:asciiTheme="minorEastAsia" w:hAnsiTheme="minorEastAsia" w:cstheme="minorEastAsia"/>
          <w:sz w:val="21"/>
          <w:szCs w:val="21"/>
        </w:rPr>
        <w:t>的</w:t>
      </w:r>
      <w:r>
        <w:rPr>
          <w:rFonts w:hint="eastAsia" w:asciiTheme="minorEastAsia" w:hAnsiTheme="minorEastAsia" w:cstheme="minorEastAsia"/>
          <w:b/>
          <w:bCs/>
          <w:i/>
          <w:iCs/>
          <w:sz w:val="21"/>
          <w:szCs w:val="21"/>
          <w:u w:val="single"/>
        </w:rPr>
        <w:t xml:space="preserve">    （项目名称）    </w:t>
      </w:r>
      <w:r>
        <w:rPr>
          <w:rFonts w:hint="eastAsia" w:asciiTheme="minorEastAsia" w:hAnsiTheme="minorEastAsia" w:cstheme="minorEastAsia"/>
          <w:sz w:val="21"/>
          <w:szCs w:val="21"/>
        </w:rPr>
        <w:t>采购活动，提供的货物全部由符合政策要求的中小企业制造。相关企业（含联合体中的中小企业、签订分包意向协议的中小企业）的具体情况如下：</w:t>
      </w:r>
    </w:p>
    <w:p>
      <w:pPr>
        <w:pStyle w:val="15"/>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1.</w:t>
      </w:r>
      <w:r>
        <w:rPr>
          <w:rFonts w:hint="eastAsia" w:asciiTheme="minorEastAsia" w:hAnsiTheme="minorEastAsia" w:cstheme="minorEastAsia"/>
          <w:b/>
          <w:bCs/>
          <w:i/>
          <w:iCs/>
          <w:sz w:val="21"/>
          <w:szCs w:val="21"/>
          <w:u w:val="single"/>
        </w:rPr>
        <w:t xml:space="preserve">    （标的名称）     </w:t>
      </w:r>
      <w:r>
        <w:rPr>
          <w:rFonts w:hint="eastAsia" w:asciiTheme="minorEastAsia" w:hAnsiTheme="minorEastAsia" w:cstheme="minorEastAsia"/>
          <w:sz w:val="21"/>
          <w:szCs w:val="21"/>
        </w:rPr>
        <w:t>，属于</w:t>
      </w:r>
      <w:r>
        <w:rPr>
          <w:rFonts w:hint="eastAsia" w:asciiTheme="minorEastAsia" w:hAnsiTheme="minorEastAsia" w:cstheme="minorEastAsia"/>
          <w:b/>
          <w:bCs/>
          <w:i/>
          <w:iCs/>
          <w:sz w:val="21"/>
          <w:szCs w:val="21"/>
          <w:u w:val="single"/>
        </w:rPr>
        <w:t xml:space="preserve">    （采购文件中明确的所属行业）    </w:t>
      </w:r>
      <w:r>
        <w:rPr>
          <w:rFonts w:hint="eastAsia" w:asciiTheme="minorEastAsia" w:hAnsiTheme="minorEastAsia" w:cstheme="minorEastAsia"/>
          <w:sz w:val="21"/>
          <w:szCs w:val="21"/>
        </w:rPr>
        <w:t>行业；制造商为</w:t>
      </w:r>
      <w:r>
        <w:rPr>
          <w:rFonts w:hint="eastAsia" w:asciiTheme="minorEastAsia" w:hAnsi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cstheme="minorEastAsia"/>
          <w:sz w:val="21"/>
          <w:szCs w:val="21"/>
        </w:rPr>
        <w:t>，从业人员</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人，营业收入为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万元，资产总额为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万元，属于</w:t>
      </w:r>
      <w:r>
        <w:rPr>
          <w:rFonts w:hint="eastAsia" w:asciiTheme="minorEastAsia" w:hAnsiTheme="minorEastAsia" w:cstheme="minorEastAsia"/>
          <w:b/>
          <w:bCs/>
          <w:i/>
          <w:iCs/>
          <w:sz w:val="21"/>
          <w:szCs w:val="21"/>
          <w:u w:val="single"/>
        </w:rPr>
        <w:t xml:space="preserve">    （中型企业、小型企业、微型企业）    </w:t>
      </w:r>
      <w:r>
        <w:rPr>
          <w:rFonts w:hint="eastAsia" w:asciiTheme="minorEastAsia" w:hAnsiTheme="minorEastAsia" w:cstheme="minorEastAsia"/>
          <w:sz w:val="21"/>
          <w:szCs w:val="21"/>
        </w:rPr>
        <w:t>；</w:t>
      </w:r>
    </w:p>
    <w:p>
      <w:pPr>
        <w:pStyle w:val="15"/>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2.</w:t>
      </w:r>
      <w:r>
        <w:rPr>
          <w:rFonts w:hint="eastAsia" w:asciiTheme="minorEastAsia" w:hAnsiTheme="minorEastAsia" w:cstheme="minorEastAsia"/>
          <w:b/>
          <w:bCs/>
          <w:i/>
          <w:iCs/>
          <w:sz w:val="21"/>
          <w:szCs w:val="21"/>
          <w:u w:val="single"/>
        </w:rPr>
        <w:t xml:space="preserve">    （标的名称）     </w:t>
      </w:r>
      <w:r>
        <w:rPr>
          <w:rFonts w:hint="eastAsia" w:asciiTheme="minorEastAsia" w:hAnsiTheme="minorEastAsia" w:cstheme="minorEastAsia"/>
          <w:sz w:val="21"/>
          <w:szCs w:val="21"/>
        </w:rPr>
        <w:t>，属于</w:t>
      </w:r>
      <w:r>
        <w:rPr>
          <w:rFonts w:hint="eastAsia" w:asciiTheme="minorEastAsia" w:hAnsiTheme="minorEastAsia" w:cstheme="minorEastAsia"/>
          <w:b/>
          <w:bCs/>
          <w:i/>
          <w:iCs/>
          <w:sz w:val="21"/>
          <w:szCs w:val="21"/>
          <w:u w:val="single"/>
        </w:rPr>
        <w:t xml:space="preserve">    （采购文件中明确的所属行业）    </w:t>
      </w:r>
      <w:r>
        <w:rPr>
          <w:rFonts w:hint="eastAsia" w:asciiTheme="minorEastAsia" w:hAnsiTheme="minorEastAsia" w:cstheme="minorEastAsia"/>
          <w:sz w:val="21"/>
          <w:szCs w:val="21"/>
        </w:rPr>
        <w:t>行业；制造商为</w:t>
      </w:r>
      <w:r>
        <w:rPr>
          <w:rFonts w:hint="eastAsia" w:asciiTheme="minorEastAsia" w:hAnsi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cstheme="minorEastAsia"/>
          <w:sz w:val="21"/>
          <w:szCs w:val="21"/>
        </w:rPr>
        <w:t>，从业人员</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人，营业收入为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万元，资产总额为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万元，属于</w:t>
      </w:r>
      <w:r>
        <w:rPr>
          <w:rFonts w:hint="eastAsia" w:asciiTheme="minorEastAsia" w:hAnsiTheme="minorEastAsia" w:cstheme="minorEastAsia"/>
          <w:b/>
          <w:bCs/>
          <w:i/>
          <w:iCs/>
          <w:sz w:val="21"/>
          <w:szCs w:val="21"/>
          <w:u w:val="single"/>
        </w:rPr>
        <w:t xml:space="preserve">    （中型企业、小型企业、微型企业）    </w:t>
      </w:r>
      <w:r>
        <w:rPr>
          <w:rFonts w:hint="eastAsia" w:asciiTheme="minorEastAsia" w:hAnsiTheme="minorEastAsia" w:cstheme="minorEastAsia"/>
          <w:sz w:val="21"/>
          <w:szCs w:val="21"/>
        </w:rPr>
        <w:t>；</w:t>
      </w:r>
    </w:p>
    <w:p>
      <w:pPr>
        <w:pStyle w:val="15"/>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w:t>
      </w:r>
    </w:p>
    <w:p>
      <w:pPr>
        <w:pStyle w:val="15"/>
        <w:ind w:firstLine="420" w:firstLineChars="200"/>
        <w:rPr>
          <w:rFonts w:hint="eastAsia" w:asciiTheme="minorEastAsia" w:hAnsiTheme="minorEastAsia" w:cstheme="minorEastAsia"/>
          <w:sz w:val="21"/>
          <w:szCs w:val="21"/>
        </w:rPr>
      </w:pPr>
    </w:p>
    <w:p>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以上企业，不属于大企业的分支机构，不存在控股股东为大企业的情形，也不存在与大企业的负责人为同一人的情形。</w:t>
      </w:r>
    </w:p>
    <w:p>
      <w:pPr>
        <w:spacing w:line="360" w:lineRule="auto"/>
        <w:ind w:firstLine="420" w:firstLineChars="200"/>
        <w:rPr>
          <w:rFonts w:hint="eastAsia" w:asciiTheme="minorEastAsia" w:hAnsiTheme="minorEastAsia" w:cstheme="minorEastAsia"/>
          <w:szCs w:val="21"/>
        </w:rPr>
      </w:pPr>
      <w:bookmarkStart w:id="31" w:name="_Hlk73562203"/>
      <w:r>
        <w:rPr>
          <w:rFonts w:hint="eastAsia" w:asciiTheme="minorEastAsia" w:hAnsiTheme="minorEastAsia" w:cstheme="minorEastAsia"/>
          <w:szCs w:val="21"/>
        </w:rPr>
        <w:t>本投标人对上述声明内容的真实性负责。如有虚假，将依法承担相应责任。</w:t>
      </w:r>
    </w:p>
    <w:p>
      <w:pPr>
        <w:spacing w:line="360" w:lineRule="auto"/>
        <w:ind w:firstLine="420" w:firstLineChars="200"/>
        <w:rPr>
          <w:rFonts w:ascii="Times New Roman" w:hAnsi="Times New Roman" w:eastAsia="宋体" w:cs="Times New Roman"/>
          <w:sz w:val="24"/>
          <w:szCs w:val="24"/>
        </w:rPr>
      </w:pPr>
      <w:r>
        <w:rPr>
          <w:rFonts w:hint="eastAsia" w:asciiTheme="minorEastAsia" w:hAnsiTheme="minorEastAsia" w:cstheme="minorEastAsia"/>
          <w:szCs w:val="21"/>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1"/>
    </w:p>
    <w:p>
      <w:pPr>
        <w:ind w:firstLine="420" w:firstLineChars="200"/>
        <w:outlineLvl w:val="3"/>
        <w:rPr>
          <w:rFonts w:hint="eastAsia" w:ascii="宋体" w:hAnsi="宋体"/>
          <w:bCs/>
          <w:color w:val="FF0000"/>
          <w:kern w:val="0"/>
          <w:szCs w:val="21"/>
        </w:rPr>
      </w:pPr>
    </w:p>
    <w:p/>
    <w:p>
      <w:pPr>
        <w:ind w:firstLine="420" w:firstLineChars="200"/>
      </w:pPr>
    </w:p>
    <w:p>
      <w:pPr>
        <w:jc w:val="center"/>
        <w:outlineLvl w:val="3"/>
        <w:rPr>
          <w:b/>
          <w:sz w:val="24"/>
        </w:rPr>
      </w:pPr>
      <w:r>
        <w:rPr>
          <w:rFonts w:hint="eastAsia"/>
          <w:b/>
          <w:sz w:val="24"/>
        </w:rPr>
        <w:t>2、残疾人福利性单位声明函（货物类）</w:t>
      </w:r>
    </w:p>
    <w:p>
      <w:pPr>
        <w:rPr>
          <w:b/>
          <w:bCs/>
        </w:rPr>
      </w:pPr>
    </w:p>
    <w:p>
      <w:pPr>
        <w:spacing w:line="360" w:lineRule="auto"/>
        <w:ind w:firstLine="420" w:firstLineChars="200"/>
        <w:rPr>
          <w:rFonts w:hint="eastAsia" w:asciiTheme="minorEastAsia" w:hAnsiTheme="minorEastAsia" w:cstheme="minorEastAsia"/>
          <w:szCs w:val="21"/>
        </w:rPr>
      </w:pPr>
      <w:bookmarkStart w:id="32" w:name="_Hlk73562331"/>
      <w:bookmarkStart w:id="33" w:name="_Hlk73562245"/>
      <w:r>
        <w:rPr>
          <w:rFonts w:hint="eastAsia" w:asciiTheme="minorEastAsia" w:hAnsi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cstheme="minorEastAsia"/>
          <w:b/>
          <w:bCs/>
          <w:i/>
          <w:iCs/>
          <w:szCs w:val="21"/>
          <w:u w:val="single"/>
        </w:rPr>
        <w:t xml:space="preserve">    （单位名称）    </w:t>
      </w:r>
      <w:r>
        <w:rPr>
          <w:rFonts w:hint="eastAsia" w:asciiTheme="minorEastAsia" w:hAnsiTheme="minorEastAsia" w:cstheme="minorEastAsia"/>
          <w:szCs w:val="21"/>
        </w:rPr>
        <w:t>单位的</w:t>
      </w:r>
      <w:r>
        <w:rPr>
          <w:rFonts w:hint="eastAsia" w:asciiTheme="minorEastAsia" w:hAnsiTheme="minorEastAsia" w:cstheme="minorEastAsia"/>
          <w:b/>
          <w:bCs/>
          <w:i/>
          <w:iCs/>
          <w:szCs w:val="21"/>
          <w:u w:val="single"/>
        </w:rPr>
        <w:t xml:space="preserve">    （项目名称）    </w:t>
      </w:r>
      <w:r>
        <w:rPr>
          <w:rFonts w:hint="eastAsia" w:asciiTheme="minorEastAsia" w:hAnsiTheme="minorEastAsia" w:cstheme="minorEastAsia"/>
          <w:szCs w:val="21"/>
        </w:rPr>
        <w:t>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本单位对上述声明的真实性负责。如有虚假，将依法承担相应责任。</w:t>
      </w:r>
    </w:p>
    <w:p>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bookmarkEnd w:id="32"/>
    </w:p>
    <w:bookmarkEnd w:id="33"/>
    <w:p>
      <w:pPr>
        <w:ind w:firstLine="420" w:firstLineChars="200"/>
        <w:rPr>
          <w:rFonts w:hint="eastAsia" w:ascii="宋体" w:hAnsi="宋体"/>
          <w:szCs w:val="21"/>
        </w:rPr>
      </w:pPr>
    </w:p>
    <w:p>
      <w:pPr>
        <w:ind w:firstLine="420" w:firstLineChars="200"/>
        <w:rPr>
          <w:rFonts w:hint="eastAsia" w:ascii="宋体" w:hAnsi="宋体"/>
          <w:szCs w:val="21"/>
        </w:rPr>
      </w:pPr>
    </w:p>
    <w:p>
      <w:pPr>
        <w:jc w:val="center"/>
        <w:outlineLvl w:val="3"/>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pPr>
        <w:spacing w:line="360" w:lineRule="auto"/>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szCs w:val="21"/>
        </w:rPr>
        <w:t>参加</w:t>
      </w:r>
      <w:r>
        <w:rPr>
          <w:rFonts w:ascii="宋体" w:hAnsi="宋体"/>
          <w:b/>
          <w:bCs/>
          <w:i/>
          <w:iCs/>
          <w:szCs w:val="21"/>
          <w:u w:val="single"/>
        </w:rPr>
        <w:t>（</w:t>
      </w:r>
      <w:r>
        <w:rPr>
          <w:rFonts w:hint="eastAsia" w:ascii="宋体" w:hAnsi="宋体"/>
          <w:b/>
          <w:bCs/>
          <w:i/>
          <w:iCs/>
          <w:szCs w:val="21"/>
          <w:u w:val="single"/>
        </w:rPr>
        <w:t>采购人</w:t>
      </w:r>
      <w:r>
        <w:rPr>
          <w:rFonts w:ascii="宋体" w:hAnsi="宋体"/>
          <w:b/>
          <w:bCs/>
          <w:i/>
          <w:iCs/>
          <w:szCs w:val="21"/>
          <w:u w:val="single"/>
        </w:rPr>
        <w:t>名称）</w:t>
      </w:r>
      <w:r>
        <w:rPr>
          <w:rFonts w:ascii="宋体" w:hAnsi="宋体"/>
          <w:szCs w:val="21"/>
        </w:rPr>
        <w:t>的</w:t>
      </w:r>
      <w:r>
        <w:rPr>
          <w:rFonts w:ascii="宋体" w:hAnsi="宋体"/>
          <w:b/>
          <w:bCs/>
          <w:i/>
          <w:iCs/>
          <w:szCs w:val="21"/>
          <w:u w:val="single"/>
        </w:rPr>
        <w:t>（项目名称）</w:t>
      </w:r>
      <w:r>
        <w:rPr>
          <w:rFonts w:ascii="宋体" w:hAnsi="宋体"/>
          <w:szCs w:val="21"/>
        </w:rPr>
        <w:t>采购活动，提供的货物全部由符合政策要求的</w:t>
      </w:r>
      <w:r>
        <w:rPr>
          <w:rFonts w:hint="eastAsia" w:ascii="宋体" w:hAnsi="宋体"/>
          <w:szCs w:val="21"/>
        </w:rPr>
        <w:t>监狱企业</w:t>
      </w:r>
      <w:r>
        <w:rPr>
          <w:rFonts w:ascii="宋体" w:hAnsi="宋体"/>
          <w:szCs w:val="21"/>
        </w:rPr>
        <w:t>制造。相关</w:t>
      </w:r>
      <w:r>
        <w:rPr>
          <w:rFonts w:hint="eastAsia" w:ascii="宋体" w:hAnsi="宋体"/>
          <w:szCs w:val="21"/>
        </w:rPr>
        <w:t>监狱企业</w:t>
      </w:r>
      <w:r>
        <w:rPr>
          <w:rFonts w:ascii="宋体" w:hAnsi="宋体"/>
          <w:szCs w:val="21"/>
        </w:rPr>
        <w:t>的具体情况如下：</w:t>
      </w:r>
    </w:p>
    <w:p>
      <w:pPr>
        <w:spacing w:line="360" w:lineRule="auto"/>
        <w:ind w:firstLine="420" w:firstLineChars="200"/>
        <w:rPr>
          <w:rFonts w:hint="eastAsia" w:ascii="宋体" w:hAnsi="宋体"/>
          <w:szCs w:val="21"/>
        </w:rPr>
      </w:pPr>
      <w:r>
        <w:rPr>
          <w:rFonts w:ascii="宋体" w:hAnsi="宋体"/>
          <w:szCs w:val="21"/>
        </w:rPr>
        <w:t>1.</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ascii="宋体" w:hAnsi="宋体"/>
          <w:szCs w:val="21"/>
        </w:rPr>
        <w:t>；</w:t>
      </w:r>
    </w:p>
    <w:p>
      <w:pPr>
        <w:spacing w:line="360" w:lineRule="auto"/>
        <w:ind w:firstLine="420" w:firstLineChars="200"/>
        <w:rPr>
          <w:rFonts w:hint="eastAsia" w:ascii="宋体" w:hAnsi="宋体"/>
          <w:szCs w:val="21"/>
        </w:rPr>
      </w:pPr>
      <w:r>
        <w:rPr>
          <w:rFonts w:ascii="宋体" w:hAnsi="宋体"/>
          <w:szCs w:val="21"/>
        </w:rPr>
        <w:t>2.</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hint="eastAsia" w:ascii="宋体" w:hAnsi="宋体"/>
          <w:szCs w:val="21"/>
        </w:rPr>
        <w:t>。</w:t>
      </w:r>
    </w:p>
    <w:p>
      <w:pPr>
        <w:spacing w:line="360" w:lineRule="auto"/>
        <w:ind w:firstLine="420" w:firstLineChars="200"/>
        <w:outlineLvl w:val="3"/>
        <w:rPr>
          <w:rFonts w:hint="eastAsia" w:ascii="宋体" w:hAnsi="宋体"/>
          <w:szCs w:val="21"/>
        </w:rPr>
      </w:pPr>
      <w:r>
        <w:rPr>
          <w:rFonts w:ascii="宋体" w:hAnsi="宋体"/>
          <w:szCs w:val="21"/>
        </w:rPr>
        <w:t xml:space="preserve">…… </w:t>
      </w:r>
    </w:p>
    <w:p>
      <w:pPr>
        <w:spacing w:line="360" w:lineRule="auto"/>
        <w:ind w:firstLine="420" w:firstLineChars="200"/>
        <w:rPr>
          <w:rFonts w:hint="eastAsia" w:ascii="宋体" w:hAnsi="宋体"/>
          <w:szCs w:val="21"/>
        </w:rPr>
      </w:pPr>
      <w:r>
        <w:rPr>
          <w:rFonts w:ascii="宋体" w:hAnsi="宋体"/>
          <w:szCs w:val="21"/>
        </w:rPr>
        <w:t>本</w:t>
      </w:r>
      <w:r>
        <w:rPr>
          <w:rFonts w:hint="eastAsia" w:ascii="宋体" w:hAnsi="宋体"/>
          <w:szCs w:val="21"/>
        </w:rPr>
        <w:t>投标人</w:t>
      </w:r>
      <w:r>
        <w:rPr>
          <w:rFonts w:ascii="宋体" w:hAnsi="宋体"/>
          <w:szCs w:val="21"/>
        </w:rPr>
        <w:t>对上述声明内容的真实性负责。如有虚假，将依法承担相应责任。</w:t>
      </w:r>
    </w:p>
    <w:p>
      <w:pPr>
        <w:spacing w:line="360" w:lineRule="auto"/>
        <w:ind w:firstLine="420" w:firstLineChars="200"/>
        <w:rPr>
          <w:b/>
          <w:bCs/>
          <w:color w:val="FF0000"/>
          <w:szCs w:val="21"/>
        </w:rPr>
      </w:pPr>
      <w:r>
        <w:rPr>
          <w:rFonts w:hint="eastAsia" w:ascii="宋体" w:hAnsi="宋体"/>
          <w:szCs w:val="21"/>
        </w:rPr>
        <w:t>附：省级以上监狱管理局、戒毒管理局（含新疆生产建设兵团）出具的监狱企业证明文件。</w:t>
      </w:r>
      <w:bookmarkEnd w:id="29"/>
    </w:p>
    <w:p>
      <w:pPr>
        <w:keepNext/>
        <w:keepLines/>
        <w:pageBreakBefore/>
        <w:adjustRightInd w:val="0"/>
        <w:snapToGrid w:val="0"/>
        <w:spacing w:line="360" w:lineRule="auto"/>
        <w:jc w:val="center"/>
        <w:textAlignment w:val="baseline"/>
        <w:outlineLvl w:val="3"/>
        <w:rPr>
          <w:rFonts w:hint="eastAsia" w:ascii="宋体" w:hAnsi="宋体" w:eastAsia="宋体" w:cs="Times New Roman"/>
          <w:b/>
          <w:bCs/>
          <w:kern w:val="0"/>
          <w:sz w:val="24"/>
          <w:szCs w:val="20"/>
        </w:rPr>
      </w:pPr>
      <w:r>
        <w:rPr>
          <w:rFonts w:hint="eastAsia" w:ascii="黑体" w:eastAsia="黑体"/>
          <w:sz w:val="24"/>
          <w:szCs w:val="24"/>
        </w:rPr>
        <w:t>四、</w:t>
      </w:r>
      <w:r>
        <w:rPr>
          <w:rFonts w:hint="eastAsia" w:ascii="宋体" w:hAnsi="宋体" w:eastAsia="宋体" w:cs="Times New Roman"/>
          <w:b/>
          <w:bCs/>
          <w:kern w:val="0"/>
          <w:sz w:val="24"/>
          <w:szCs w:val="20"/>
        </w:rPr>
        <w:t>分项报价清单</w:t>
      </w:r>
    </w:p>
    <w:p>
      <w:pPr>
        <w:spacing w:after="78" w:afterLines="25" w:line="300" w:lineRule="auto"/>
        <w:rPr>
          <w:rFonts w:ascii="Arial" w:hAnsi="Arial" w:eastAsia="宋体" w:cs="Arial"/>
          <w:szCs w:val="24"/>
        </w:rPr>
      </w:pPr>
      <w:r>
        <w:rPr>
          <w:rFonts w:hint="eastAsia" w:ascii="Arial" w:hAnsi="Arial" w:eastAsia="宋体" w:cs="Arial"/>
          <w:color w:val="000000"/>
          <w:szCs w:val="24"/>
        </w:rPr>
        <w:t>投标单位（投标人）名称：</w:t>
      </w:r>
      <w:r>
        <w:rPr>
          <w:rFonts w:ascii="Arial" w:hAnsi="Arial" w:eastAsia="宋体" w:cs="Arial"/>
          <w:color w:val="000000"/>
          <w:szCs w:val="24"/>
          <w:u w:val="single"/>
        </w:rPr>
        <w:t xml:space="preserve">                          </w:t>
      </w:r>
    </w:p>
    <w:p>
      <w:pPr>
        <w:tabs>
          <w:tab w:val="left" w:pos="720"/>
        </w:tabs>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（一）项目报价表</w:t>
      </w:r>
    </w:p>
    <w:tbl>
      <w:tblPr>
        <w:tblStyle w:val="1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519"/>
        <w:gridCol w:w="679"/>
        <w:gridCol w:w="796"/>
        <w:gridCol w:w="883"/>
        <w:gridCol w:w="660"/>
        <w:gridCol w:w="462"/>
        <w:gridCol w:w="462"/>
        <w:gridCol w:w="657"/>
        <w:gridCol w:w="880"/>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7" w:type="pct"/>
          </w:tcPr>
          <w:p>
            <w:pPr>
              <w:spacing w:line="300" w:lineRule="auto"/>
              <w:jc w:val="center"/>
              <w:rPr>
                <w:rFonts w:ascii="Arial" w:hAnsi="Arial" w:eastAsia="宋体" w:cs="Times New Roman"/>
                <w:szCs w:val="24"/>
              </w:rPr>
            </w:pPr>
            <w:r>
              <w:rPr>
                <w:rFonts w:hint="eastAsia" w:ascii="Arial" w:hAnsi="Arial" w:eastAsia="宋体" w:cs="Times New Roman"/>
                <w:szCs w:val="24"/>
              </w:rPr>
              <w:t>序号</w:t>
            </w:r>
          </w:p>
        </w:tc>
        <w:tc>
          <w:tcPr>
            <w:tcW w:w="903"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货物名称</w:t>
            </w:r>
          </w:p>
        </w:tc>
        <w:tc>
          <w:tcPr>
            <w:tcW w:w="409"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品牌</w:t>
            </w:r>
          </w:p>
        </w:tc>
        <w:tc>
          <w:tcPr>
            <w:tcW w:w="478"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规格/型号</w:t>
            </w:r>
          </w:p>
        </w:tc>
        <w:tc>
          <w:tcPr>
            <w:tcW w:w="529" w:type="pct"/>
            <w:vAlign w:val="center"/>
          </w:tcPr>
          <w:p>
            <w:pPr>
              <w:spacing w:line="300" w:lineRule="auto"/>
              <w:jc w:val="center"/>
              <w:rPr>
                <w:rFonts w:ascii="Arial" w:hAnsi="Arial" w:eastAsia="宋体" w:cs="Times New Roman"/>
                <w:b/>
                <w:szCs w:val="24"/>
              </w:rPr>
            </w:pPr>
            <w:r>
              <w:rPr>
                <w:rFonts w:hint="eastAsia" w:ascii="Arial" w:hAnsi="Arial" w:eastAsia="宋体" w:cs="Times New Roman"/>
                <w:bCs/>
                <w:szCs w:val="24"/>
              </w:rPr>
              <w:t>制造商名称</w:t>
            </w:r>
          </w:p>
        </w:tc>
        <w:tc>
          <w:tcPr>
            <w:tcW w:w="395"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原产地</w:t>
            </w:r>
          </w:p>
        </w:tc>
        <w:tc>
          <w:tcPr>
            <w:tcW w:w="282"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数量</w:t>
            </w:r>
          </w:p>
        </w:tc>
        <w:tc>
          <w:tcPr>
            <w:tcW w:w="282" w:type="pct"/>
          </w:tcPr>
          <w:p>
            <w:pPr>
              <w:spacing w:line="300" w:lineRule="auto"/>
              <w:jc w:val="center"/>
              <w:rPr>
                <w:rFonts w:ascii="Arial" w:hAnsi="Arial" w:eastAsia="宋体" w:cs="Times New Roman"/>
                <w:szCs w:val="24"/>
              </w:rPr>
            </w:pPr>
            <w:r>
              <w:rPr>
                <w:rFonts w:hint="eastAsia" w:ascii="Arial" w:hAnsi="Arial" w:eastAsia="宋体" w:cs="Times New Roman"/>
                <w:szCs w:val="24"/>
              </w:rPr>
              <w:t>单位</w:t>
            </w:r>
          </w:p>
        </w:tc>
        <w:tc>
          <w:tcPr>
            <w:tcW w:w="396"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单价(元)</w:t>
            </w:r>
          </w:p>
        </w:tc>
        <w:tc>
          <w:tcPr>
            <w:tcW w:w="527"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合价(元)</w:t>
            </w:r>
          </w:p>
        </w:tc>
        <w:tc>
          <w:tcPr>
            <w:tcW w:w="527" w:type="pct"/>
            <w:vAlign w:val="center"/>
          </w:tcPr>
          <w:p>
            <w:pPr>
              <w:spacing w:line="300" w:lineRule="auto"/>
              <w:jc w:val="center"/>
              <w:rPr>
                <w:rFonts w:ascii="Arial" w:hAnsi="Arial" w:eastAsia="宋体" w:cs="Times New Roman"/>
                <w:szCs w:val="24"/>
              </w:rPr>
            </w:pPr>
            <w:r>
              <w:rPr>
                <w:rFonts w:hint="eastAsia" w:ascii="Times New Roman" w:hAnsi="Times New Roman" w:eastAsia="宋体" w:cs="Times New Roman"/>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vAlign w:val="center"/>
          </w:tcPr>
          <w:p>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1</w:t>
            </w:r>
          </w:p>
        </w:tc>
        <w:tc>
          <w:tcPr>
            <w:tcW w:w="903" w:type="pct"/>
            <w:vAlign w:val="center"/>
          </w:tcPr>
          <w:p>
            <w:pPr>
              <w:spacing w:after="78" w:afterLines="25" w:line="300" w:lineRule="auto"/>
              <w:rPr>
                <w:rFonts w:ascii="Arial" w:hAnsi="Arial" w:eastAsia="宋体" w:cs="Times New Roman"/>
                <w:b/>
                <w:szCs w:val="24"/>
              </w:rPr>
            </w:pPr>
          </w:p>
        </w:tc>
        <w:tc>
          <w:tcPr>
            <w:tcW w:w="409" w:type="pct"/>
          </w:tcPr>
          <w:p>
            <w:pPr>
              <w:spacing w:after="78" w:afterLines="25" w:line="300" w:lineRule="auto"/>
              <w:rPr>
                <w:rFonts w:ascii="Arial" w:hAnsi="Arial" w:eastAsia="宋体" w:cs="Times New Roman"/>
                <w:szCs w:val="24"/>
              </w:rPr>
            </w:pPr>
          </w:p>
        </w:tc>
        <w:tc>
          <w:tcPr>
            <w:tcW w:w="478" w:type="pct"/>
          </w:tcPr>
          <w:p>
            <w:pPr>
              <w:spacing w:after="78" w:afterLines="25" w:line="300" w:lineRule="auto"/>
              <w:rPr>
                <w:rFonts w:ascii="Arial" w:hAnsi="Arial" w:eastAsia="宋体" w:cs="Times New Roman"/>
                <w:szCs w:val="24"/>
              </w:rPr>
            </w:pPr>
          </w:p>
        </w:tc>
        <w:tc>
          <w:tcPr>
            <w:tcW w:w="529" w:type="pct"/>
          </w:tcPr>
          <w:p>
            <w:pPr>
              <w:spacing w:after="78" w:afterLines="25" w:line="300" w:lineRule="auto"/>
              <w:rPr>
                <w:rFonts w:ascii="Arial" w:hAnsi="Arial" w:eastAsia="宋体" w:cs="Times New Roman"/>
                <w:szCs w:val="24"/>
              </w:rPr>
            </w:pPr>
          </w:p>
        </w:tc>
        <w:tc>
          <w:tcPr>
            <w:tcW w:w="395"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396" w:type="pct"/>
          </w:tcPr>
          <w:p>
            <w:pPr>
              <w:spacing w:after="78" w:afterLines="25" w:line="300" w:lineRule="auto"/>
              <w:rPr>
                <w:rFonts w:ascii="Arial" w:hAnsi="Arial" w:eastAsia="宋体" w:cs="Times New Roman"/>
                <w:szCs w:val="24"/>
              </w:rPr>
            </w:pPr>
          </w:p>
        </w:tc>
        <w:tc>
          <w:tcPr>
            <w:tcW w:w="527" w:type="pct"/>
          </w:tcPr>
          <w:p>
            <w:pPr>
              <w:spacing w:after="78" w:afterLines="25" w:line="300" w:lineRule="auto"/>
              <w:rPr>
                <w:rFonts w:ascii="Arial" w:hAnsi="Arial" w:eastAsia="宋体" w:cs="Times New Roman"/>
                <w:szCs w:val="24"/>
              </w:rPr>
            </w:pPr>
          </w:p>
        </w:tc>
        <w:tc>
          <w:tcPr>
            <w:tcW w:w="527" w:type="pct"/>
            <w:vMerge w:val="restart"/>
          </w:tcPr>
          <w:p>
            <w:pPr>
              <w:spacing w:after="78" w:afterLines="25" w:line="300" w:lineRule="auto"/>
              <w:rPr>
                <w:rFonts w:ascii="Arial" w:hAnsi="Arial"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67" w:type="pct"/>
          </w:tcPr>
          <w:p>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2</w:t>
            </w:r>
          </w:p>
        </w:tc>
        <w:tc>
          <w:tcPr>
            <w:tcW w:w="903" w:type="pct"/>
          </w:tcPr>
          <w:p>
            <w:pPr>
              <w:spacing w:after="78" w:afterLines="25" w:line="300" w:lineRule="auto"/>
              <w:rPr>
                <w:rFonts w:ascii="Arial" w:hAnsi="Arial" w:eastAsia="宋体" w:cs="Times New Roman"/>
                <w:b/>
                <w:szCs w:val="24"/>
              </w:rPr>
            </w:pPr>
          </w:p>
        </w:tc>
        <w:tc>
          <w:tcPr>
            <w:tcW w:w="409" w:type="pct"/>
          </w:tcPr>
          <w:p>
            <w:pPr>
              <w:spacing w:after="78" w:afterLines="25" w:line="300" w:lineRule="auto"/>
              <w:rPr>
                <w:rFonts w:ascii="Arial" w:hAnsi="Arial" w:eastAsia="宋体" w:cs="Times New Roman"/>
                <w:szCs w:val="24"/>
              </w:rPr>
            </w:pPr>
          </w:p>
        </w:tc>
        <w:tc>
          <w:tcPr>
            <w:tcW w:w="478" w:type="pct"/>
          </w:tcPr>
          <w:p>
            <w:pPr>
              <w:spacing w:after="78" w:afterLines="25" w:line="300" w:lineRule="auto"/>
              <w:rPr>
                <w:rFonts w:ascii="Arial" w:hAnsi="Arial" w:eastAsia="宋体" w:cs="Times New Roman"/>
                <w:szCs w:val="24"/>
              </w:rPr>
            </w:pPr>
          </w:p>
        </w:tc>
        <w:tc>
          <w:tcPr>
            <w:tcW w:w="529" w:type="pct"/>
          </w:tcPr>
          <w:p>
            <w:pPr>
              <w:spacing w:after="78" w:afterLines="25" w:line="300" w:lineRule="auto"/>
              <w:rPr>
                <w:rFonts w:ascii="Arial" w:hAnsi="Arial" w:eastAsia="宋体" w:cs="Times New Roman"/>
                <w:szCs w:val="24"/>
              </w:rPr>
            </w:pPr>
          </w:p>
        </w:tc>
        <w:tc>
          <w:tcPr>
            <w:tcW w:w="395"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396" w:type="pct"/>
          </w:tcPr>
          <w:p>
            <w:pPr>
              <w:spacing w:after="78" w:afterLines="25" w:line="300" w:lineRule="auto"/>
              <w:rPr>
                <w:rFonts w:ascii="Arial" w:hAnsi="Arial" w:eastAsia="宋体" w:cs="Times New Roman"/>
                <w:szCs w:val="24"/>
              </w:rPr>
            </w:pPr>
          </w:p>
        </w:tc>
        <w:tc>
          <w:tcPr>
            <w:tcW w:w="527" w:type="pct"/>
          </w:tcPr>
          <w:p>
            <w:pPr>
              <w:spacing w:after="78" w:afterLines="25" w:line="300" w:lineRule="auto"/>
              <w:rPr>
                <w:rFonts w:ascii="Arial" w:hAnsi="Arial" w:eastAsia="宋体" w:cs="Times New Roman"/>
                <w:szCs w:val="24"/>
              </w:rPr>
            </w:pPr>
          </w:p>
        </w:tc>
        <w:tc>
          <w:tcPr>
            <w:tcW w:w="527" w:type="pct"/>
            <w:vMerge w:val="continue"/>
          </w:tcPr>
          <w:p>
            <w:pPr>
              <w:spacing w:after="78" w:afterLines="25" w:line="300" w:lineRule="auto"/>
              <w:rPr>
                <w:rFonts w:ascii="Arial" w:hAnsi="Arial"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67" w:type="pct"/>
          </w:tcPr>
          <w:p>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3</w:t>
            </w:r>
          </w:p>
        </w:tc>
        <w:tc>
          <w:tcPr>
            <w:tcW w:w="903" w:type="pct"/>
          </w:tcPr>
          <w:p>
            <w:pPr>
              <w:spacing w:after="78" w:afterLines="25" w:line="300" w:lineRule="auto"/>
              <w:rPr>
                <w:rFonts w:ascii="Arial" w:hAnsi="Arial" w:eastAsia="宋体" w:cs="Times New Roman"/>
                <w:b/>
                <w:szCs w:val="24"/>
              </w:rPr>
            </w:pPr>
          </w:p>
        </w:tc>
        <w:tc>
          <w:tcPr>
            <w:tcW w:w="409" w:type="pct"/>
          </w:tcPr>
          <w:p>
            <w:pPr>
              <w:spacing w:after="78" w:afterLines="25" w:line="300" w:lineRule="auto"/>
              <w:rPr>
                <w:rFonts w:ascii="Arial" w:hAnsi="Arial" w:eastAsia="宋体" w:cs="Times New Roman"/>
                <w:szCs w:val="24"/>
              </w:rPr>
            </w:pPr>
          </w:p>
        </w:tc>
        <w:tc>
          <w:tcPr>
            <w:tcW w:w="478" w:type="pct"/>
          </w:tcPr>
          <w:p>
            <w:pPr>
              <w:spacing w:after="78" w:afterLines="25" w:line="300" w:lineRule="auto"/>
              <w:rPr>
                <w:rFonts w:ascii="Arial" w:hAnsi="Arial" w:eastAsia="宋体" w:cs="Times New Roman"/>
                <w:szCs w:val="24"/>
              </w:rPr>
            </w:pPr>
          </w:p>
        </w:tc>
        <w:tc>
          <w:tcPr>
            <w:tcW w:w="529" w:type="pct"/>
          </w:tcPr>
          <w:p>
            <w:pPr>
              <w:spacing w:after="78" w:afterLines="25" w:line="300" w:lineRule="auto"/>
              <w:rPr>
                <w:rFonts w:ascii="Arial" w:hAnsi="Arial" w:eastAsia="宋体" w:cs="Times New Roman"/>
                <w:szCs w:val="24"/>
              </w:rPr>
            </w:pPr>
          </w:p>
        </w:tc>
        <w:tc>
          <w:tcPr>
            <w:tcW w:w="395"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396" w:type="pct"/>
          </w:tcPr>
          <w:p>
            <w:pPr>
              <w:spacing w:after="78" w:afterLines="25" w:line="300" w:lineRule="auto"/>
              <w:rPr>
                <w:rFonts w:ascii="Arial" w:hAnsi="Arial" w:eastAsia="宋体" w:cs="Times New Roman"/>
                <w:szCs w:val="24"/>
              </w:rPr>
            </w:pPr>
          </w:p>
        </w:tc>
        <w:tc>
          <w:tcPr>
            <w:tcW w:w="527" w:type="pct"/>
          </w:tcPr>
          <w:p>
            <w:pPr>
              <w:spacing w:after="78" w:afterLines="25" w:line="300" w:lineRule="auto"/>
              <w:rPr>
                <w:rFonts w:ascii="Arial" w:hAnsi="Arial" w:eastAsia="宋体" w:cs="Times New Roman"/>
                <w:szCs w:val="24"/>
              </w:rPr>
            </w:pPr>
          </w:p>
        </w:tc>
        <w:tc>
          <w:tcPr>
            <w:tcW w:w="527" w:type="pct"/>
            <w:vMerge w:val="continue"/>
          </w:tcPr>
          <w:p>
            <w:pPr>
              <w:spacing w:after="78" w:afterLines="25" w:line="300" w:lineRule="auto"/>
              <w:rPr>
                <w:rFonts w:ascii="Arial" w:hAnsi="Arial"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67" w:type="pct"/>
          </w:tcPr>
          <w:p>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w:t>
            </w:r>
          </w:p>
        </w:tc>
        <w:tc>
          <w:tcPr>
            <w:tcW w:w="903" w:type="pct"/>
          </w:tcPr>
          <w:p>
            <w:pPr>
              <w:spacing w:after="78" w:afterLines="25" w:line="300" w:lineRule="auto"/>
              <w:rPr>
                <w:rFonts w:ascii="Arial" w:hAnsi="Arial" w:eastAsia="宋体" w:cs="Times New Roman"/>
                <w:b/>
                <w:szCs w:val="24"/>
              </w:rPr>
            </w:pPr>
          </w:p>
        </w:tc>
        <w:tc>
          <w:tcPr>
            <w:tcW w:w="409" w:type="pct"/>
          </w:tcPr>
          <w:p>
            <w:pPr>
              <w:spacing w:after="78" w:afterLines="25" w:line="300" w:lineRule="auto"/>
              <w:rPr>
                <w:rFonts w:ascii="Arial" w:hAnsi="Arial" w:eastAsia="宋体" w:cs="Times New Roman"/>
                <w:szCs w:val="24"/>
              </w:rPr>
            </w:pPr>
          </w:p>
        </w:tc>
        <w:tc>
          <w:tcPr>
            <w:tcW w:w="478" w:type="pct"/>
          </w:tcPr>
          <w:p>
            <w:pPr>
              <w:spacing w:after="78" w:afterLines="25" w:line="300" w:lineRule="auto"/>
              <w:rPr>
                <w:rFonts w:ascii="Arial" w:hAnsi="Arial" w:eastAsia="宋体" w:cs="Times New Roman"/>
                <w:szCs w:val="24"/>
              </w:rPr>
            </w:pPr>
          </w:p>
        </w:tc>
        <w:tc>
          <w:tcPr>
            <w:tcW w:w="529" w:type="pct"/>
          </w:tcPr>
          <w:p>
            <w:pPr>
              <w:spacing w:after="78" w:afterLines="25" w:line="300" w:lineRule="auto"/>
              <w:rPr>
                <w:rFonts w:ascii="Arial" w:hAnsi="Arial" w:eastAsia="宋体" w:cs="Times New Roman"/>
                <w:szCs w:val="24"/>
              </w:rPr>
            </w:pPr>
          </w:p>
        </w:tc>
        <w:tc>
          <w:tcPr>
            <w:tcW w:w="395"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396" w:type="pct"/>
          </w:tcPr>
          <w:p>
            <w:pPr>
              <w:spacing w:after="78" w:afterLines="25" w:line="300" w:lineRule="auto"/>
              <w:rPr>
                <w:rFonts w:ascii="Arial" w:hAnsi="Arial" w:eastAsia="宋体" w:cs="Times New Roman"/>
                <w:szCs w:val="24"/>
              </w:rPr>
            </w:pPr>
          </w:p>
        </w:tc>
        <w:tc>
          <w:tcPr>
            <w:tcW w:w="527" w:type="pct"/>
          </w:tcPr>
          <w:p>
            <w:pPr>
              <w:spacing w:after="78" w:afterLines="25" w:line="300" w:lineRule="auto"/>
              <w:rPr>
                <w:rFonts w:ascii="Arial" w:hAnsi="Arial" w:eastAsia="宋体" w:cs="Times New Roman"/>
                <w:szCs w:val="24"/>
              </w:rPr>
            </w:pPr>
          </w:p>
        </w:tc>
        <w:tc>
          <w:tcPr>
            <w:tcW w:w="527" w:type="pct"/>
            <w:vMerge w:val="continue"/>
          </w:tcPr>
          <w:p>
            <w:pPr>
              <w:spacing w:after="78" w:afterLines="25" w:line="300" w:lineRule="auto"/>
              <w:rPr>
                <w:rFonts w:ascii="Arial" w:hAnsi="Arial"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984" w:type="pct"/>
            <w:gridSpan w:val="6"/>
          </w:tcPr>
          <w:p>
            <w:pPr>
              <w:spacing w:after="78" w:afterLines="25" w:line="300" w:lineRule="auto"/>
              <w:jc w:val="center"/>
              <w:rPr>
                <w:rFonts w:ascii="Arial" w:hAnsi="Arial" w:eastAsia="宋体" w:cs="Times New Roman"/>
                <w:szCs w:val="24"/>
              </w:rPr>
            </w:pPr>
            <w:r>
              <w:rPr>
                <w:rFonts w:hint="eastAsia" w:ascii="Arial" w:hAnsi="Arial" w:eastAsia="宋体" w:cs="Times New Roman"/>
                <w:b/>
                <w:szCs w:val="24"/>
              </w:rPr>
              <w:t>投标总价</w:t>
            </w:r>
            <w:r>
              <w:rPr>
                <w:rFonts w:hint="eastAsia" w:ascii="Arial" w:hAnsi="Arial" w:eastAsia="宋体" w:cs="Times New Roman"/>
                <w:szCs w:val="24"/>
              </w:rPr>
              <w:t>（以上各项之和；币种：人民币；单位：元）</w:t>
            </w:r>
          </w:p>
        </w:tc>
        <w:tc>
          <w:tcPr>
            <w:tcW w:w="2015" w:type="pct"/>
            <w:gridSpan w:val="5"/>
          </w:tcPr>
          <w:p>
            <w:pPr>
              <w:spacing w:after="78" w:afterLines="25" w:line="300" w:lineRule="auto"/>
              <w:rPr>
                <w:rFonts w:ascii="Arial" w:hAnsi="Arial" w:eastAsia="宋体" w:cs="Times New Roman"/>
                <w:szCs w:val="24"/>
              </w:rPr>
            </w:pPr>
          </w:p>
        </w:tc>
      </w:tr>
    </w:tbl>
    <w:p>
      <w:pPr>
        <w:snapToGrid w:val="0"/>
        <w:rPr>
          <w:rFonts w:hint="eastAsia" w:cs="Times New Roman" w:asciiTheme="minorEastAsia" w:hAnsiTheme="minorEastAsia"/>
          <w:b/>
          <w:szCs w:val="24"/>
        </w:rPr>
      </w:pPr>
      <w:r>
        <w:rPr>
          <w:rFonts w:hint="eastAsia" w:cs="Times New Roman" w:asciiTheme="minorEastAsia" w:hAnsiTheme="minorEastAsia"/>
          <w:b/>
          <w:szCs w:val="24"/>
        </w:rPr>
        <w:t>填写说明：</w:t>
      </w:r>
    </w:p>
    <w:p>
      <w:pPr>
        <w:snapToGrid w:val="0"/>
        <w:rPr>
          <w:rFonts w:hint="eastAsia" w:cs="Times New Roman" w:asciiTheme="minorEastAsia" w:hAnsiTheme="minorEastAsia"/>
          <w:b/>
          <w:szCs w:val="24"/>
        </w:rPr>
      </w:pPr>
      <w:r>
        <w:rPr>
          <w:rFonts w:hint="eastAsia" w:cs="Times New Roman" w:asciiTheme="minorEastAsia" w:hAnsiTheme="minorEastAsia"/>
          <w:b/>
          <w:szCs w:val="24"/>
        </w:rPr>
        <w:t>1.本表可按同样格式扩展。</w:t>
      </w:r>
    </w:p>
    <w:p>
      <w:pPr>
        <w:snapToGrid w:val="0"/>
        <w:rPr>
          <w:rFonts w:hint="eastAsia" w:cs="Times New Roman" w:asciiTheme="minorEastAsia" w:hAnsiTheme="minorEastAsia"/>
          <w:b/>
          <w:szCs w:val="24"/>
        </w:rPr>
      </w:pPr>
      <w:r>
        <w:rPr>
          <w:rFonts w:hint="eastAsia" w:cs="Times New Roman" w:asciiTheme="minorEastAsia" w:hAnsiTheme="minorEastAsia"/>
          <w:b/>
          <w:szCs w:val="24"/>
        </w:rPr>
        <w:t>2. “品牌”可以与商标一致，也可以填写便于区分其他公司商品的制造商简称或者制造商认可的品牌名称。</w:t>
      </w:r>
    </w:p>
    <w:p>
      <w:pPr>
        <w:snapToGrid w:val="0"/>
        <w:rPr>
          <w:rFonts w:hint="eastAsia" w:cs="Times New Roman" w:asciiTheme="minorEastAsia" w:hAnsiTheme="minorEastAsia"/>
          <w:b/>
          <w:szCs w:val="24"/>
        </w:rPr>
      </w:pPr>
      <w:r>
        <w:rPr>
          <w:rFonts w:hint="eastAsia" w:cs="Times New Roman" w:asciiTheme="minorEastAsia" w:hAnsiTheme="minorEastAsia"/>
          <w:b/>
          <w:szCs w:val="24"/>
        </w:rPr>
        <w:t>3.如所投货物属于定制类的非量产货物或无具体型号的货物，可以在“规格/型号”一栏仅填写规格信息而不填写型号信息（型号信息用“定制”描述即可）；</w:t>
      </w:r>
      <w:bookmarkStart w:id="34" w:name="_Hlk73646428"/>
      <w:r>
        <w:rPr>
          <w:rFonts w:hint="eastAsia" w:cs="Times New Roman" w:asciiTheme="minorEastAsia" w:hAnsiTheme="minorEastAsia"/>
          <w:b/>
          <w:szCs w:val="24"/>
        </w:rPr>
        <w:t>此类填写错误或缺漏（所投货物为定制类的非量产货物但供应商却错误填报了型号）可能带来的不利后果由供应商承担。</w:t>
      </w:r>
      <w:bookmarkEnd w:id="34"/>
    </w:p>
    <w:p>
      <w:pPr>
        <w:snapToGrid w:val="0"/>
        <w:rPr>
          <w:rFonts w:hint="eastAsia" w:cs="Times New Roman" w:asciiTheme="minorEastAsia" w:hAnsiTheme="minorEastAsia"/>
          <w:b/>
          <w:szCs w:val="24"/>
        </w:rPr>
      </w:pPr>
      <w:r>
        <w:rPr>
          <w:rFonts w:hint="eastAsia" w:cs="Times New Roman" w:asciiTheme="minorEastAsia" w:hAnsiTheme="minorEastAsia"/>
          <w:b/>
          <w:szCs w:val="24"/>
        </w:rPr>
        <w:t>4.</w:t>
      </w:r>
      <w:bookmarkStart w:id="35" w:name="_Hlk72074795"/>
      <w:r>
        <w:rPr>
          <w:rFonts w:hint="eastAsia" w:cs="Times New Roman" w:asciiTheme="minorEastAsia" w:hAnsiTheme="minorEastAsia"/>
          <w:b/>
          <w:szCs w:val="24"/>
        </w:rPr>
        <w:t>“原产地”是指该货物的实际生产加工地，而非品牌所在地</w:t>
      </w:r>
      <w:bookmarkEnd w:id="35"/>
      <w:r>
        <w:rPr>
          <w:rFonts w:hint="eastAsia" w:cs="Times New Roman" w:asciiTheme="minorEastAsia" w:hAnsiTheme="minorEastAsia"/>
          <w:b/>
          <w:szCs w:val="24"/>
        </w:rPr>
        <w:t>。</w:t>
      </w:r>
    </w:p>
    <w:p>
      <w:pPr>
        <w:snapToGrid w:val="0"/>
        <w:rPr>
          <w:rFonts w:hint="eastAsia" w:cs="Times New Roman" w:asciiTheme="minorEastAsia" w:hAnsiTheme="minorEastAsia"/>
          <w:b/>
          <w:szCs w:val="24"/>
        </w:rPr>
      </w:pPr>
      <w:r>
        <w:rPr>
          <w:rFonts w:hint="eastAsia" w:cs="Times New Roman" w:asciiTheme="minorEastAsia" w:hAnsiTheme="minorEastAsia"/>
          <w:b/>
          <w:szCs w:val="24"/>
        </w:rPr>
        <w:t>5.所投货物均应填写制造商名称。“制造商”是指产品制造厂商，产品代工制造的，应填写接受委托生产制造的制造商。</w:t>
      </w:r>
    </w:p>
    <w:p>
      <w:pPr>
        <w:snapToGrid w:val="0"/>
        <w:rPr>
          <w:rFonts w:hint="eastAsia" w:cs="Times New Roman" w:asciiTheme="minorEastAsia" w:hAnsiTheme="minorEastAsia"/>
          <w:b/>
          <w:szCs w:val="24"/>
        </w:rPr>
      </w:pPr>
      <w:r>
        <w:rPr>
          <w:rFonts w:hint="eastAsia" w:cs="Times New Roman" w:asciiTheme="minorEastAsia" w:hAnsiTheme="minorEastAsia"/>
          <w:b/>
          <w:szCs w:val="24"/>
        </w:rPr>
        <w:t>6.以上分项报价表的投标总价应当与开标一览表的投标总价一致。</w:t>
      </w:r>
    </w:p>
    <w:p>
      <w:pPr>
        <w:snapToGrid w:val="0"/>
        <w:rPr>
          <w:rFonts w:hint="eastAsia" w:cs="Times New Roman" w:asciiTheme="minorEastAsia" w:hAnsiTheme="minorEastAsia"/>
          <w:b/>
          <w:szCs w:val="24"/>
        </w:rPr>
      </w:pPr>
      <w:r>
        <w:rPr>
          <w:rFonts w:hint="eastAsia" w:cs="Times New Roman" w:asciiTheme="minorEastAsia" w:hAnsiTheme="minorEastAsia"/>
          <w:b/>
          <w:szCs w:val="24"/>
        </w:rPr>
        <w:t>7.单价、合价和投标总价为包干价，即三者均应包含货物的价款、包装、运输、装卸、安装、调试、技术指导、培训、咨询、服务、保险、税费、检测、验收合格交付使用之前以及技术和售后服务等其他各项有关费用。</w:t>
      </w:r>
    </w:p>
    <w:p>
      <w:pPr>
        <w:snapToGrid w:val="0"/>
        <w:rPr>
          <w:rFonts w:hint="eastAsia" w:cs="Times New Roman" w:asciiTheme="minorEastAsia" w:hAnsiTheme="minorEastAsia"/>
          <w:b/>
          <w:szCs w:val="24"/>
        </w:rPr>
      </w:pPr>
      <w:r>
        <w:rPr>
          <w:rFonts w:hint="eastAsia" w:cs="Times New Roman" w:asciiTheme="minorEastAsia" w:hAnsiTheme="minorEastAsia"/>
          <w:b/>
          <w:szCs w:val="24"/>
        </w:rPr>
        <w:t>8.所有价格应按“招标文件”中规定的货币单位填写；投标总价应为以上各分项价格之和；投标总价和项目报价表中单个采购预算条目报价均不得超过对应的财政预算限额，否则将导致投标无效。</w:t>
      </w:r>
    </w:p>
    <w:p>
      <w:pPr>
        <w:snapToGrid w:val="0"/>
        <w:rPr>
          <w:rFonts w:hint="eastAsia" w:cs="Times New Roman" w:asciiTheme="minorEastAsia" w:hAnsiTheme="minorEastAsia"/>
          <w:b/>
          <w:szCs w:val="24"/>
        </w:rPr>
      </w:pPr>
    </w:p>
    <w:p>
      <w:pPr>
        <w:snapToGrid w:val="0"/>
        <w:rPr>
          <w:rFonts w:hint="eastAsia" w:cs="Times New Roman" w:asciiTheme="minorEastAsia" w:hAnsiTheme="minorEastAsia"/>
          <w:b/>
          <w:color w:val="FF0000"/>
          <w:szCs w:val="24"/>
        </w:rPr>
      </w:pPr>
      <w:r>
        <w:rPr>
          <w:rFonts w:hint="eastAsia" w:cs="Times New Roman" w:asciiTheme="minorEastAsia" w:hAnsiTheme="minorEastAsia"/>
          <w:bCs/>
          <w:color w:val="FF0000"/>
          <w:szCs w:val="24"/>
        </w:rPr>
        <w:t>★</w:t>
      </w:r>
      <w:r>
        <w:rPr>
          <w:rFonts w:hint="eastAsia" w:cs="Times New Roman" w:asciiTheme="minorEastAsia" w:hAnsiTheme="minorEastAsia"/>
          <w:b/>
          <w:color w:val="FF0000"/>
          <w:szCs w:val="24"/>
        </w:rPr>
        <w:t>填写</w:t>
      </w:r>
      <w:r>
        <w:rPr>
          <w:rFonts w:cs="Times New Roman" w:asciiTheme="minorEastAsia" w:hAnsiTheme="minorEastAsia"/>
          <w:b/>
          <w:color w:val="FF0000"/>
          <w:szCs w:val="24"/>
        </w:rPr>
        <w:t>要求：</w:t>
      </w:r>
    </w:p>
    <w:p>
      <w:pPr>
        <w:snapToGrid w:val="0"/>
        <w:rPr>
          <w:rFonts w:hint="eastAsia" w:cs="Times New Roman" w:asciiTheme="minorEastAsia" w:hAnsiTheme="minorEastAsia"/>
          <w:b/>
          <w:color w:val="FF0000"/>
          <w:szCs w:val="24"/>
        </w:rPr>
      </w:pPr>
      <w:r>
        <w:rPr>
          <w:rFonts w:cs="Times New Roman" w:asciiTheme="minorEastAsia" w:hAnsiTheme="minorEastAsia"/>
          <w:b/>
          <w:color w:val="FF0000"/>
          <w:szCs w:val="24"/>
        </w:rPr>
        <w:t>1.</w:t>
      </w:r>
      <w:r>
        <w:rPr>
          <w:rFonts w:hint="eastAsia" w:cs="Times New Roman" w:asciiTheme="minorEastAsia" w:hAnsiTheme="minorEastAsia"/>
          <w:b/>
          <w:color w:val="FF0000"/>
          <w:szCs w:val="24"/>
        </w:rPr>
        <w:t>《分项报价清单》</w:t>
      </w:r>
      <w:r>
        <w:rPr>
          <w:rFonts w:cs="Times New Roman" w:asciiTheme="minorEastAsia" w:hAnsiTheme="minorEastAsia"/>
          <w:b/>
          <w:color w:val="FF0000"/>
          <w:szCs w:val="24"/>
        </w:rPr>
        <w:t>所有价格应</w:t>
      </w:r>
      <w:r>
        <w:rPr>
          <w:rFonts w:hint="eastAsia" w:cs="Times New Roman" w:asciiTheme="minorEastAsia" w:hAnsiTheme="minorEastAsia"/>
          <w:b/>
          <w:color w:val="FF0000"/>
          <w:szCs w:val="24"/>
        </w:rPr>
        <w:t>以人民币为结算单位填写</w:t>
      </w:r>
      <w:r>
        <w:rPr>
          <w:rFonts w:cs="Times New Roman" w:asciiTheme="minorEastAsia" w:hAnsiTheme="minorEastAsia"/>
          <w:b/>
          <w:color w:val="FF0000"/>
          <w:szCs w:val="24"/>
        </w:rPr>
        <w:t>；</w:t>
      </w:r>
    </w:p>
    <w:p>
      <w:pPr>
        <w:snapToGrid w:val="0"/>
        <w:rPr>
          <w:rFonts w:hint="eastAsia" w:cs="Times New Roman" w:asciiTheme="minorEastAsia" w:hAnsiTheme="minorEastAsia"/>
          <w:b/>
          <w:color w:val="FF0000"/>
          <w:szCs w:val="24"/>
        </w:rPr>
      </w:pPr>
      <w:r>
        <w:rPr>
          <w:rFonts w:cs="Times New Roman" w:asciiTheme="minorEastAsia" w:hAnsiTheme="minorEastAsia"/>
          <w:b/>
          <w:color w:val="FF0000"/>
          <w:szCs w:val="24"/>
        </w:rPr>
        <w:t>2.</w:t>
      </w:r>
      <w:r>
        <w:rPr>
          <w:rFonts w:hint="eastAsia" w:cs="Times New Roman" w:asciiTheme="minorEastAsia" w:hAnsiTheme="minorEastAsia"/>
          <w:b/>
          <w:color w:val="FF0000"/>
          <w:szCs w:val="24"/>
        </w:rPr>
        <w:t>《（一）项目报价表》</w:t>
      </w:r>
      <w:r>
        <w:rPr>
          <w:rFonts w:cs="Times New Roman" w:asciiTheme="minorEastAsia" w:hAnsiTheme="minorEastAsia"/>
          <w:b/>
          <w:color w:val="FF0000"/>
          <w:szCs w:val="24"/>
        </w:rPr>
        <w:t>可根据</w:t>
      </w:r>
      <w:r>
        <w:rPr>
          <w:rFonts w:hint="eastAsia" w:cs="Times New Roman" w:asciiTheme="minorEastAsia" w:hAnsiTheme="minorEastAsia"/>
          <w:b/>
          <w:color w:val="FF0000"/>
          <w:szCs w:val="24"/>
        </w:rPr>
        <w:t>实际需要</w:t>
      </w:r>
      <w:r>
        <w:rPr>
          <w:rFonts w:cs="Times New Roman" w:asciiTheme="minorEastAsia" w:hAnsiTheme="minorEastAsia"/>
          <w:b/>
          <w:color w:val="FF0000"/>
          <w:szCs w:val="24"/>
        </w:rPr>
        <w:t>增加</w:t>
      </w:r>
      <w:r>
        <w:rPr>
          <w:rFonts w:hint="eastAsia" w:cs="Times New Roman" w:asciiTheme="minorEastAsia" w:hAnsiTheme="minorEastAsia"/>
          <w:b/>
          <w:color w:val="FF0000"/>
          <w:szCs w:val="24"/>
        </w:rPr>
        <w:t>相关</w:t>
      </w:r>
      <w:r>
        <w:rPr>
          <w:rFonts w:cs="Times New Roman" w:asciiTheme="minorEastAsia" w:hAnsiTheme="minorEastAsia"/>
          <w:b/>
          <w:color w:val="FF0000"/>
          <w:szCs w:val="24"/>
        </w:rPr>
        <w:t>内容，但原</w:t>
      </w:r>
      <w:r>
        <w:rPr>
          <w:rFonts w:hint="eastAsia" w:cs="Times New Roman" w:asciiTheme="minorEastAsia" w:hAnsiTheme="minorEastAsia"/>
          <w:b/>
          <w:color w:val="FF0000"/>
          <w:szCs w:val="24"/>
        </w:rPr>
        <w:t>有</w:t>
      </w:r>
      <w:r>
        <w:rPr>
          <w:rFonts w:cs="Times New Roman" w:asciiTheme="minorEastAsia" w:hAnsiTheme="minorEastAsia"/>
          <w:b/>
          <w:color w:val="FF0000"/>
          <w:szCs w:val="24"/>
        </w:rPr>
        <w:t>的格式</w:t>
      </w:r>
      <w:r>
        <w:rPr>
          <w:rFonts w:hint="eastAsia" w:cs="Times New Roman" w:asciiTheme="minorEastAsia" w:hAnsiTheme="minorEastAsia"/>
          <w:b/>
          <w:color w:val="FF0000"/>
          <w:szCs w:val="24"/>
        </w:rPr>
        <w:t>内容</w:t>
      </w:r>
      <w:r>
        <w:rPr>
          <w:rFonts w:cs="Times New Roman" w:asciiTheme="minorEastAsia" w:hAnsiTheme="minorEastAsia"/>
          <w:b/>
          <w:color w:val="FF0000"/>
          <w:szCs w:val="24"/>
        </w:rPr>
        <w:t>不得删减；</w:t>
      </w:r>
    </w:p>
    <w:p>
      <w:pPr>
        <w:snapToGrid w:val="0"/>
        <w:rPr>
          <w:rFonts w:hint="eastAsia" w:cs="Times New Roman" w:asciiTheme="minorEastAsia" w:hAnsiTheme="minorEastAsia"/>
          <w:b/>
          <w:color w:val="FF0000"/>
          <w:szCs w:val="24"/>
        </w:rPr>
      </w:pPr>
      <w:r>
        <w:rPr>
          <w:rFonts w:hint="eastAsia" w:cs="Times New Roman" w:asciiTheme="minorEastAsia" w:hAnsiTheme="minorEastAsia"/>
          <w:b/>
          <w:color w:val="FF0000"/>
          <w:szCs w:val="24"/>
        </w:rPr>
        <w:t>3.</w:t>
      </w:r>
      <w:r>
        <w:rPr>
          <w:rFonts w:cs="Times New Roman" w:asciiTheme="minorEastAsia" w:hAnsiTheme="minorEastAsia"/>
          <w:b/>
          <w:color w:val="FF0000"/>
          <w:szCs w:val="24"/>
        </w:rPr>
        <w:t>如</w:t>
      </w:r>
      <w:r>
        <w:rPr>
          <w:rFonts w:hint="eastAsia" w:cs="Times New Roman" w:asciiTheme="minorEastAsia" w:hAnsiTheme="minorEastAsia"/>
          <w:b/>
          <w:color w:val="FF0000"/>
          <w:szCs w:val="24"/>
        </w:rPr>
        <w:t>未提供《（一）项目报价表》或者</w:t>
      </w:r>
      <w:r>
        <w:rPr>
          <w:rFonts w:cs="Times New Roman" w:asciiTheme="minorEastAsia" w:hAnsiTheme="minorEastAsia"/>
          <w:b/>
          <w:color w:val="FF0000"/>
          <w:szCs w:val="24"/>
        </w:rPr>
        <w:t>不按</w:t>
      </w:r>
      <w:r>
        <w:rPr>
          <w:rFonts w:hint="eastAsia" w:cs="Times New Roman" w:asciiTheme="minorEastAsia" w:hAnsiTheme="minorEastAsia"/>
          <w:b/>
          <w:color w:val="FF0000"/>
          <w:szCs w:val="24"/>
        </w:rPr>
        <w:t>《第三章 用户需求书：二、货物需求明细》</w:t>
      </w:r>
      <w:r>
        <w:rPr>
          <w:rFonts w:cs="Times New Roman" w:asciiTheme="minorEastAsia" w:hAnsiTheme="minorEastAsia"/>
          <w:b/>
          <w:color w:val="FF0000"/>
          <w:szCs w:val="24"/>
        </w:rPr>
        <w:t>要求填报、漏报或错报</w:t>
      </w:r>
      <w:r>
        <w:rPr>
          <w:rFonts w:hint="eastAsia" w:cs="Times New Roman" w:asciiTheme="minorEastAsia" w:hAnsiTheme="minorEastAsia"/>
          <w:b/>
          <w:color w:val="FF0000"/>
          <w:szCs w:val="24"/>
        </w:rPr>
        <w:t>的将作</w:t>
      </w:r>
      <w:r>
        <w:rPr>
          <w:rFonts w:cs="Times New Roman" w:asciiTheme="minorEastAsia" w:hAnsiTheme="minorEastAsia"/>
          <w:b/>
          <w:color w:val="FF0000"/>
          <w:szCs w:val="24"/>
        </w:rPr>
        <w:t>投标无效处理。</w:t>
      </w:r>
    </w:p>
    <w:p>
      <w:pPr>
        <w:tabs>
          <w:tab w:val="left" w:pos="720"/>
        </w:tabs>
        <w:rPr>
          <w:rFonts w:ascii="Times New Roman" w:hAnsi="Times New Roman" w:eastAsia="宋体" w:cs="Times New Roman"/>
          <w:b/>
          <w:sz w:val="24"/>
          <w:szCs w:val="24"/>
        </w:rPr>
      </w:pPr>
    </w:p>
    <w:p>
      <w:pPr>
        <w:tabs>
          <w:tab w:val="left" w:pos="720"/>
        </w:tabs>
        <w:rPr>
          <w:rFonts w:ascii="Times New Roman" w:hAnsi="Times New Roman" w:eastAsia="宋体" w:cs="Times New Roman"/>
          <w:b/>
          <w:color w:val="FF0000"/>
          <w:sz w:val="24"/>
          <w:szCs w:val="24"/>
        </w:rPr>
      </w:pPr>
      <w:r>
        <w:rPr>
          <w:rFonts w:hint="eastAsia" w:ascii="Times New Roman" w:hAnsi="Times New Roman" w:eastAsia="宋体" w:cs="Times New Roman"/>
          <w:b/>
          <w:color w:val="FF0000"/>
          <w:sz w:val="24"/>
          <w:szCs w:val="24"/>
        </w:rPr>
        <w:t>（二）核心产品品牌</w:t>
      </w:r>
    </w:p>
    <w:p>
      <w:pPr>
        <w:rPr>
          <w:rFonts w:ascii="Times New Roman" w:hAnsi="Times New Roman" w:eastAsia="宋体" w:cs="Times New Roman"/>
          <w:color w:val="FF0000"/>
          <w:sz w:val="24"/>
          <w:szCs w:val="24"/>
        </w:rPr>
      </w:pPr>
      <w:r>
        <w:rPr>
          <w:rFonts w:hint="eastAsia" w:ascii="Times New Roman" w:hAnsi="Times New Roman" w:eastAsia="宋体" w:cs="Times New Roman"/>
          <w:b/>
          <w:color w:val="FF0000"/>
          <w:sz w:val="24"/>
          <w:szCs w:val="24"/>
        </w:rPr>
        <w:t>我单位所投核心产品的品牌为：</w:t>
      </w:r>
      <w:r>
        <w:rPr>
          <w:rFonts w:hint="eastAsia" w:ascii="Times New Roman" w:hAnsi="Times New Roman" w:eastAsia="宋体" w:cs="Times New Roman"/>
          <w:color w:val="FF0000"/>
          <w:sz w:val="24"/>
          <w:szCs w:val="24"/>
          <w:u w:val="single"/>
        </w:rPr>
        <w:t xml:space="preserve">               </w:t>
      </w:r>
      <w:r>
        <w:rPr>
          <w:rFonts w:hint="eastAsia" w:ascii="Times New Roman" w:hAnsi="Times New Roman" w:eastAsia="宋体" w:cs="Times New Roman"/>
          <w:color w:val="FF0000"/>
          <w:sz w:val="24"/>
          <w:szCs w:val="24"/>
        </w:rPr>
        <w:t>。</w:t>
      </w:r>
    </w:p>
    <w:p>
      <w:pPr>
        <w:rPr>
          <w:rFonts w:ascii="Arial" w:hAnsi="Arial" w:eastAsia="宋体" w:cs="Times New Roman"/>
          <w:b/>
          <w:szCs w:val="24"/>
        </w:rPr>
      </w:pPr>
      <w:r>
        <w:rPr>
          <w:rFonts w:hint="eastAsia" w:ascii="宋体" w:hAnsi="宋体" w:eastAsia="宋体" w:cs="Times New Roman"/>
          <w:color w:val="FF0000"/>
          <w:sz w:val="24"/>
          <w:szCs w:val="24"/>
        </w:rPr>
        <w:t>备注：单一产品采购项目，核心产品即为该单一产品。</w:t>
      </w:r>
    </w:p>
    <w:p>
      <w:pPr>
        <w:spacing w:after="78" w:afterLines="25" w:line="300" w:lineRule="auto"/>
        <w:rPr>
          <w:rFonts w:ascii="Arial" w:hAnsi="Arial" w:eastAsia="宋体" w:cs="Times New Roman"/>
          <w:b/>
          <w:szCs w:val="24"/>
        </w:rPr>
      </w:pPr>
    </w:p>
    <w:p>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（三）可选配件报价清单（非项目需求要求的必备配件，此部分不包括在总报价内）</w:t>
      </w:r>
    </w:p>
    <w:p>
      <w:pPr>
        <w:ind w:firstLine="422" w:firstLineChars="200"/>
        <w:rPr>
          <w:rFonts w:hint="eastAsia" w:hAnsi="宋体"/>
          <w:b/>
          <w:bCs/>
          <w:szCs w:val="21"/>
        </w:rPr>
      </w:pPr>
      <w:r>
        <w:rPr>
          <w:rFonts w:hint="eastAsia" w:hAnsi="宋体"/>
          <w:b/>
          <w:bCs/>
          <w:szCs w:val="21"/>
        </w:rPr>
        <w:t>注：格式可以参照《（一）项目报价表》表格，并提供相应的品牌/规格/型号、原产地、制造商信息（没有品牌、型号的，用“定制”描述即可）、单价等详细信息</w:t>
      </w:r>
    </w:p>
    <w:p>
      <w:pPr>
        <w:ind w:firstLine="422" w:firstLineChars="200"/>
        <w:rPr>
          <w:rFonts w:hint="eastAsia" w:hAnsi="宋体"/>
          <w:b/>
          <w:bCs/>
          <w:szCs w:val="21"/>
        </w:rPr>
      </w:pPr>
    </w:p>
    <w:p>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（四）供应商认为需要涉及的其他内容报价清单</w:t>
      </w:r>
    </w:p>
    <w:p>
      <w:pPr>
        <w:jc w:val="both"/>
        <w:rPr>
          <w:b/>
          <w:bCs/>
          <w:color w:val="FF0000"/>
          <w:sz w:val="24"/>
        </w:rPr>
      </w:pPr>
    </w:p>
    <w:p>
      <w:pPr>
        <w:jc w:val="center"/>
        <w:rPr>
          <w:rFonts w:hint="eastAsia" w:ascii="黑体" w:eastAsia="黑体"/>
          <w:sz w:val="24"/>
          <w:szCs w:val="24"/>
        </w:rPr>
      </w:pPr>
      <w:r>
        <w:rPr>
          <w:rFonts w:hint="eastAsia"/>
          <w:b/>
          <w:bCs/>
          <w:color w:val="FF0000"/>
          <w:sz w:val="24"/>
        </w:rPr>
        <w:t>★</w:t>
      </w:r>
      <w:r>
        <w:rPr>
          <w:rFonts w:hint="eastAsia" w:ascii="黑体" w:eastAsia="黑体"/>
          <w:sz w:val="24"/>
          <w:szCs w:val="24"/>
        </w:rPr>
        <w:t>五、供应商情况表</w:t>
      </w:r>
    </w:p>
    <w:p>
      <w:pPr>
        <w:jc w:val="center"/>
        <w:rPr>
          <w:rFonts w:hint="eastAsia" w:ascii="宋体" w:hAnsi="宋体"/>
        </w:rPr>
      </w:pPr>
    </w:p>
    <w:p>
      <w:pPr>
        <w:pStyle w:val="6"/>
        <w:numPr>
          <w:ilvl w:val="0"/>
          <w:numId w:val="3"/>
        </w:numPr>
        <w:spacing w:before="0" w:after="0" w:line="360" w:lineRule="auto"/>
        <w:rPr>
          <w:rFonts w:ascii="Times New Roman" w:hAnsi="Times New Roman" w:cs="Times New Roman"/>
          <w:b w:val="0"/>
          <w:bCs w:val="0"/>
          <w:sz w:val="21"/>
          <w:szCs w:val="24"/>
        </w:rPr>
      </w:pPr>
      <w:r>
        <w:rPr>
          <w:rFonts w:hint="eastAsia" w:ascii="Times New Roman" w:hAnsi="Times New Roman" w:cs="Times New Roman"/>
          <w:b w:val="0"/>
          <w:bCs w:val="0"/>
          <w:sz w:val="21"/>
          <w:szCs w:val="24"/>
        </w:rPr>
        <w:t>提供投标人所在地的市场监督管理部门“商事登记簿查询（商事主体登记及备案信息查询）”查询截图；参考示例“深圳市市场监督管理局——商事登记簿查询（商事主体登记及备案信息查询）：</w:t>
      </w:r>
      <w:r>
        <w:fldChar w:fldCharType="begin"/>
      </w:r>
      <w:r>
        <w:instrText xml:space="preserve"> HYPERLINK "https://amr.sz.gov.cn/outer/entSelect/gs.html" </w:instrText>
      </w:r>
      <w:r>
        <w:fldChar w:fldCharType="separate"/>
      </w:r>
      <w:r>
        <w:rPr>
          <w:rStyle w:val="25"/>
          <w:rFonts w:hint="eastAsia" w:ascii="Times New Roman" w:hAnsi="Times New Roman" w:cs="Times New Roman"/>
          <w:b w:val="0"/>
          <w:bCs w:val="0"/>
          <w:sz w:val="21"/>
          <w:szCs w:val="24"/>
        </w:rPr>
        <w:t>https://amr.sz.gov.cn/outer/entSelect/gs.html”。</w:t>
      </w:r>
      <w:r>
        <w:rPr>
          <w:rStyle w:val="25"/>
          <w:rFonts w:hint="eastAsia" w:ascii="Times New Roman" w:hAnsi="Times New Roman" w:cs="Times New Roman"/>
          <w:b w:val="0"/>
          <w:bCs w:val="0"/>
          <w:sz w:val="21"/>
          <w:szCs w:val="24"/>
        </w:rPr>
        <w:fldChar w:fldCharType="end"/>
      </w:r>
    </w:p>
    <w:p>
      <w:pPr>
        <w:rPr>
          <w:b/>
          <w:bCs/>
          <w:color w:val="FF0000"/>
          <w:highlight w:val="yellow"/>
        </w:rPr>
      </w:pPr>
      <w:r>
        <w:rPr>
          <w:rFonts w:hint="eastAsia"/>
          <w:b/>
          <w:bCs/>
          <w:color w:val="FF0000"/>
          <w:highlight w:val="yellow"/>
        </w:rPr>
        <w:t>提示：如果投标供应商</w:t>
      </w:r>
      <w:r>
        <w:rPr>
          <w:rFonts w:ascii="宋体" w:hAnsi="宋体"/>
          <w:b/>
          <w:bCs/>
          <w:color w:val="FF0000"/>
          <w:highlight w:val="yellow"/>
        </w:rPr>
        <w:t>存在单位负责人为同一人</w:t>
      </w:r>
      <w:r>
        <w:rPr>
          <w:rFonts w:hint="eastAsia" w:ascii="宋体" w:hAnsi="宋体"/>
          <w:b/>
          <w:bCs/>
          <w:color w:val="FF0000"/>
          <w:highlight w:val="yellow"/>
        </w:rPr>
        <w:t>，</w:t>
      </w:r>
      <w:r>
        <w:rPr>
          <w:rFonts w:ascii="宋体" w:hAnsi="宋体"/>
          <w:b/>
          <w:bCs/>
          <w:color w:val="FF0000"/>
          <w:highlight w:val="yellow"/>
        </w:rPr>
        <w:t>或者存在直接控股、</w:t>
      </w:r>
      <w:r>
        <w:rPr>
          <w:rFonts w:hint="eastAsia" w:ascii="宋体" w:hAnsi="宋体"/>
          <w:b/>
          <w:bCs/>
          <w:color w:val="FF0000"/>
          <w:highlight w:val="yellow"/>
        </w:rPr>
        <w:t>间接控股、</w:t>
      </w:r>
      <w:r>
        <w:rPr>
          <w:rFonts w:ascii="宋体" w:hAnsi="宋体"/>
          <w:b/>
          <w:bCs/>
          <w:color w:val="FF0000"/>
          <w:highlight w:val="yellow"/>
        </w:rPr>
        <w:t>管理关系</w:t>
      </w:r>
      <w:r>
        <w:rPr>
          <w:rFonts w:hint="eastAsia" w:ascii="宋体" w:hAnsi="宋体"/>
          <w:b/>
          <w:bCs/>
          <w:color w:val="FF0000"/>
          <w:highlight w:val="yellow"/>
        </w:rPr>
        <w:t>等情形，将被纳入交易监管平台产生示警信息，由此产生的负面影响，由投标人自行承担。</w:t>
      </w:r>
    </w:p>
    <w:p/>
    <w:p>
      <w:pPr>
        <w:pStyle w:val="6"/>
        <w:spacing w:before="0" w:after="0" w:line="360" w:lineRule="auto"/>
        <w:rPr>
          <w:rFonts w:ascii="Times New Roman" w:hAnsi="Times New Roman" w:cs="Times New Roman"/>
          <w:b w:val="0"/>
          <w:bCs w:val="0"/>
          <w:sz w:val="21"/>
          <w:szCs w:val="24"/>
        </w:rPr>
      </w:pPr>
      <w:r>
        <w:rPr>
          <w:rFonts w:hint="eastAsia" w:ascii="Times New Roman" w:hAnsi="Times New Roman" w:cs="Times New Roman"/>
          <w:b w:val="0"/>
          <w:bCs w:val="0"/>
          <w:sz w:val="21"/>
          <w:szCs w:val="24"/>
        </w:rPr>
        <w:t>2、股东构成审查表</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14"/>
        <w:gridCol w:w="63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投标人名称</w:t>
            </w:r>
          </w:p>
        </w:tc>
        <w:tc>
          <w:tcPr>
            <w:tcW w:w="63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cs="Segoe UI Symbol"/>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本单位负责人（法定代表人）姓名</w:t>
            </w:r>
          </w:p>
        </w:tc>
        <w:tc>
          <w:tcPr>
            <w:tcW w:w="63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cs="Segoe UI Symbol"/>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是否存在本单位的控股股东</w:t>
            </w:r>
          </w:p>
        </w:tc>
        <w:tc>
          <w:tcPr>
            <w:tcW w:w="63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cs="Segoe UI Symbol"/>
                <w:color w:val="000000"/>
                <w:kern w:val="0"/>
                <w:szCs w:val="21"/>
                <w:u w:val="single"/>
              </w:rPr>
            </w:pPr>
            <w:r>
              <w:rPr>
                <w:rFonts w:hint="eastAsia" w:ascii="宋体" w:hAnsi="宋体" w:cs="Segoe UI Symbol"/>
                <w:color w:val="000000"/>
                <w:kern w:val="0"/>
                <w:szCs w:val="21"/>
              </w:rPr>
              <w:t>□是，其控股股东为：</w:t>
            </w:r>
            <w:r>
              <w:rPr>
                <w:rFonts w:hint="eastAsia" w:ascii="宋体" w:hAnsi="宋体" w:cs="Segoe UI Symbol"/>
                <w:color w:val="000000"/>
                <w:kern w:val="0"/>
                <w:szCs w:val="21"/>
                <w:u w:val="single"/>
              </w:rPr>
              <w:t xml:space="preserve">              </w:t>
            </w:r>
            <w:r>
              <w:rPr>
                <w:rFonts w:hint="eastAsia" w:ascii="宋体" w:hAnsi="宋体" w:cs="Segoe UI Symbol"/>
                <w:color w:val="000000"/>
                <w:kern w:val="0"/>
                <w:szCs w:val="21"/>
              </w:rPr>
              <w:t>，股份占比：</w:t>
            </w:r>
            <w:r>
              <w:rPr>
                <w:rFonts w:hint="eastAsia" w:ascii="宋体" w:hAnsi="宋体" w:cs="Segoe UI Symbol"/>
                <w:color w:val="000000"/>
                <w:kern w:val="0"/>
                <w:szCs w:val="21"/>
                <w:u w:val="single"/>
              </w:rPr>
              <w:t xml:space="preserve">           </w:t>
            </w:r>
            <w:r>
              <w:rPr>
                <w:rFonts w:hint="eastAsia" w:ascii="宋体" w:hAnsi="宋体" w:cs="Segoe UI Symbol"/>
                <w:color w:val="000000"/>
                <w:kern w:val="0"/>
                <w:szCs w:val="21"/>
              </w:rPr>
              <w:t>；</w:t>
            </w:r>
          </w:p>
          <w:p>
            <w:pPr>
              <w:autoSpaceDE w:val="0"/>
              <w:autoSpaceDN w:val="0"/>
              <w:adjustRightInd w:val="0"/>
              <w:snapToGrid w:val="0"/>
              <w:jc w:val="left"/>
              <w:rPr>
                <w:rFonts w:hint="eastAsia" w:ascii="宋体" w:hAnsi="宋体" w:cs="Segoe UI Symbol"/>
                <w:color w:val="000000"/>
                <w:kern w:val="0"/>
                <w:szCs w:val="21"/>
              </w:rPr>
            </w:pPr>
            <w:r>
              <w:rPr>
                <w:rFonts w:hint="eastAsia" w:ascii="宋体" w:hAnsi="宋体" w:cs="Segoe UI Symbol"/>
                <w:color w:val="000000"/>
                <w:kern w:val="0"/>
                <w:szCs w:val="21"/>
              </w:rPr>
              <w:t>其他主要股东及其股份占比：</w:t>
            </w:r>
            <w:r>
              <w:rPr>
                <w:rFonts w:hint="eastAsia" w:ascii="宋体" w:hAnsi="宋体" w:cs="Segoe UI Symbol"/>
                <w:color w:val="000000"/>
                <w:kern w:val="0"/>
                <w:szCs w:val="21"/>
                <w:u w:val="single"/>
              </w:rPr>
              <w:t xml:space="preserve">                               </w:t>
            </w:r>
            <w:r>
              <w:rPr>
                <w:rFonts w:hint="eastAsia" w:ascii="宋体" w:hAnsi="宋体" w:cs="Segoe UI Symbol"/>
                <w:color w:val="000000"/>
                <w:kern w:val="0"/>
                <w:szCs w:val="21"/>
              </w:rPr>
              <w:t>。</w:t>
            </w:r>
          </w:p>
          <w:p>
            <w:pPr>
              <w:autoSpaceDE w:val="0"/>
              <w:autoSpaceDN w:val="0"/>
              <w:adjustRightInd w:val="0"/>
              <w:snapToGrid w:val="0"/>
              <w:jc w:val="left"/>
              <w:rPr>
                <w:rFonts w:hint="eastAsia" w:ascii="宋体" w:hAnsi="宋体"/>
                <w:b/>
                <w:bCs/>
                <w:color w:val="000000"/>
                <w:szCs w:val="21"/>
              </w:rPr>
            </w:pPr>
            <w:r>
              <w:rPr>
                <w:rFonts w:hint="eastAsia" w:ascii="宋体" w:hAnsi="宋体" w:cs="Segoe UI Symbol"/>
                <w:color w:val="000000"/>
                <w:kern w:val="0"/>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是否存在“与本单位存在管理关系的单位”</w:t>
            </w:r>
          </w:p>
        </w:tc>
        <w:tc>
          <w:tcPr>
            <w:tcW w:w="63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cs="Segoe UI Symbol"/>
                <w:color w:val="000000"/>
                <w:kern w:val="0"/>
                <w:szCs w:val="21"/>
                <w:u w:val="single"/>
              </w:rPr>
            </w:pPr>
            <w:r>
              <w:rPr>
                <w:rFonts w:hint="eastAsia" w:ascii="宋体" w:hAnsi="宋体" w:cs="Segoe UI Symbol"/>
                <w:color w:val="000000"/>
                <w:kern w:val="0"/>
                <w:szCs w:val="21"/>
              </w:rPr>
              <w:t>□是，该单位为：</w:t>
            </w:r>
            <w:r>
              <w:rPr>
                <w:rFonts w:hint="eastAsia" w:ascii="宋体" w:hAnsi="宋体" w:cs="Segoe UI Symbol"/>
                <w:color w:val="000000"/>
                <w:kern w:val="0"/>
                <w:szCs w:val="21"/>
                <w:u w:val="single"/>
              </w:rPr>
              <w:t xml:space="preserve">                                          </w:t>
            </w:r>
          </w:p>
          <w:p>
            <w:pPr>
              <w:autoSpaceDE w:val="0"/>
              <w:autoSpaceDN w:val="0"/>
              <w:adjustRightInd w:val="0"/>
              <w:snapToGrid w:val="0"/>
              <w:jc w:val="left"/>
              <w:rPr>
                <w:rFonts w:hint="eastAsia" w:ascii="宋体" w:hAnsi="宋体"/>
                <w:b/>
                <w:bCs/>
                <w:color w:val="000000"/>
                <w:szCs w:val="21"/>
              </w:rPr>
            </w:pPr>
            <w:r>
              <w:rPr>
                <w:rFonts w:hint="eastAsia" w:ascii="宋体" w:hAnsi="宋体" w:cs="Segoe UI Symbol"/>
                <w:color w:val="000000"/>
                <w:kern w:val="0"/>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7"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是否存在“与招标人有利害关系”的情况</w:t>
            </w:r>
          </w:p>
        </w:tc>
        <w:tc>
          <w:tcPr>
            <w:tcW w:w="63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cs="Segoe UI Symbol"/>
                <w:color w:val="000000"/>
                <w:kern w:val="0"/>
                <w:szCs w:val="21"/>
                <w:u w:val="single"/>
              </w:rPr>
            </w:pPr>
            <w:r>
              <w:rPr>
                <w:rFonts w:hint="eastAsia" w:ascii="宋体" w:hAnsi="宋体" w:cs="Segoe UI Symbol"/>
                <w:color w:val="000000"/>
                <w:kern w:val="0"/>
                <w:szCs w:val="21"/>
              </w:rPr>
              <w:t>□是，与招标人的关系为：</w:t>
            </w:r>
            <w:r>
              <w:rPr>
                <w:rFonts w:hint="eastAsia" w:ascii="宋体" w:hAnsi="宋体" w:cs="Segoe UI Symbol"/>
                <w:color w:val="000000"/>
                <w:kern w:val="0"/>
                <w:szCs w:val="21"/>
                <w:u w:val="single"/>
              </w:rPr>
              <w:t xml:space="preserve">                                   </w:t>
            </w:r>
          </w:p>
          <w:p>
            <w:pPr>
              <w:autoSpaceDE w:val="0"/>
              <w:autoSpaceDN w:val="0"/>
              <w:adjustRightInd w:val="0"/>
              <w:snapToGrid w:val="0"/>
              <w:jc w:val="left"/>
              <w:rPr>
                <w:rFonts w:hint="eastAsia" w:ascii="宋体" w:hAnsi="宋体" w:cs="Segoe UI Symbol"/>
                <w:color w:val="000000"/>
                <w:kern w:val="0"/>
                <w:szCs w:val="21"/>
              </w:rPr>
            </w:pPr>
            <w:r>
              <w:rPr>
                <w:rFonts w:hint="eastAsia" w:ascii="宋体" w:hAnsi="宋体" w:cs="Segoe UI Symbol"/>
                <w:color w:val="000000"/>
                <w:kern w:val="0"/>
                <w:szCs w:val="21"/>
              </w:rPr>
              <w:t>□否</w:t>
            </w:r>
          </w:p>
        </w:tc>
      </w:tr>
    </w:tbl>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注：</w:t>
      </w:r>
    </w:p>
    <w:p>
      <w:pPr>
        <w:autoSpaceDE w:val="0"/>
        <w:autoSpaceDN w:val="0"/>
        <w:adjustRightInd w:val="0"/>
        <w:snapToGrid w:val="0"/>
        <w:jc w:val="left"/>
        <w:rPr>
          <w:rFonts w:hint="eastAsia" w:ascii="宋体" w:hAnsi="宋体"/>
          <w:bCs/>
          <w:color w:val="000000"/>
          <w:szCs w:val="21"/>
        </w:rPr>
      </w:pPr>
      <w:r>
        <w:rPr>
          <w:rFonts w:hint="eastAsia" w:ascii="宋体" w:hAnsi="宋体"/>
          <w:bCs/>
          <w:color w:val="000000"/>
          <w:szCs w:val="21"/>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pPr>
        <w:autoSpaceDE w:val="0"/>
        <w:autoSpaceDN w:val="0"/>
        <w:adjustRightInd w:val="0"/>
        <w:snapToGrid w:val="0"/>
        <w:jc w:val="left"/>
        <w:rPr>
          <w:rFonts w:hint="eastAsia" w:ascii="宋体" w:hAnsi="宋体"/>
          <w:bCs/>
          <w:color w:val="000000"/>
          <w:szCs w:val="21"/>
        </w:rPr>
      </w:pPr>
      <w:r>
        <w:rPr>
          <w:rFonts w:hint="eastAsia" w:ascii="宋体" w:hAnsi="宋体"/>
          <w:bCs/>
          <w:color w:val="000000"/>
          <w:szCs w:val="21"/>
        </w:rPr>
        <w:t>2、投标人需如实填写上述信息，如查实上述信息与实际不符，视为提供虚假证明材料骗取中标，投标人应承担相应法律后果。</w:t>
      </w:r>
    </w:p>
    <w:p>
      <w:pPr>
        <w:pStyle w:val="6"/>
        <w:numPr>
          <w:ilvl w:val="0"/>
          <w:numId w:val="0"/>
        </w:numPr>
        <w:jc w:val="both"/>
        <w:rPr>
          <w:rFonts w:ascii="黑体" w:eastAsia="黑体"/>
          <w:b w:val="0"/>
          <w:sz w:val="24"/>
        </w:rPr>
      </w:pPr>
      <w:r>
        <w:rPr>
          <w:rFonts w:hint="eastAsia" w:ascii="黑体" w:hAnsi="宋体" w:eastAsia="黑体" w:cs="Times New Roman"/>
          <w:b w:val="0"/>
          <w:bCs/>
          <w:kern w:val="2"/>
          <w:sz w:val="24"/>
          <w:szCs w:val="32"/>
          <w:lang w:val="en-US" w:eastAsia="zh-CN" w:bidi="ar-SA"/>
        </w:rPr>
        <w:t>3、供应商基本情况表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4"/>
        <w:gridCol w:w="1528"/>
        <w:gridCol w:w="903"/>
        <w:gridCol w:w="751"/>
        <w:gridCol w:w="1145"/>
        <w:gridCol w:w="1428"/>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1427"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项目名称及编号</w:t>
            </w:r>
          </w:p>
        </w:tc>
        <w:tc>
          <w:tcPr>
            <w:tcW w:w="1669" w:type="pct"/>
            <w:gridSpan w:val="2"/>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529"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0"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275"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275"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275" w:type="pct"/>
            <w:gridSpan w:val="2"/>
            <w:noWrap w:val="0"/>
            <w:vAlign w:val="center"/>
          </w:tcPr>
          <w:p>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left"/>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宋体" w:hAnsi="宋体" w:eastAsia="宋体" w:cs="宋体"/>
                <w:b/>
                <w:bCs/>
                <w:color w:val="FF0000"/>
                <w:sz w:val="21"/>
                <w:szCs w:val="21"/>
                <w:highlight w:val="none"/>
                <w:vertAlign w:val="baseline"/>
                <w:lang w:val="en-US" w:eastAsia="zh-CN"/>
              </w:rPr>
            </w:pPr>
            <w:r>
              <w:rPr>
                <w:rFonts w:hint="default" w:ascii="宋体" w:hAnsi="宋体" w:eastAsia="宋体" w:cs="宋体"/>
                <w:b/>
                <w:bCs/>
                <w:color w:val="FF0000"/>
                <w:sz w:val="21"/>
                <w:szCs w:val="21"/>
                <w:highlight w:val="none"/>
                <w:vertAlign w:val="baseline"/>
                <w:lang w:val="en-US" w:eastAsia="zh-CN"/>
              </w:rPr>
              <w:t>说明：1.同一关联关系类型有多个主体的，应分行填写。</w:t>
            </w:r>
          </w:p>
          <w:p>
            <w:pPr>
              <w:snapToGrid w:val="0"/>
              <w:jc w:val="left"/>
              <w:rPr>
                <w:rFonts w:hint="eastAsia" w:ascii="宋体" w:hAnsi="宋体" w:eastAsia="宋体" w:cs="宋体"/>
                <w:color w:val="auto"/>
                <w:sz w:val="21"/>
                <w:szCs w:val="21"/>
                <w:highlight w:val="none"/>
                <w:vertAlign w:val="baseline"/>
                <w:lang w:val="en-US" w:eastAsia="zh-CN"/>
              </w:rPr>
            </w:pPr>
            <w:r>
              <w:rPr>
                <w:rFonts w:hint="default" w:ascii="宋体" w:hAnsi="宋体" w:eastAsia="宋体" w:cs="宋体"/>
                <w:b/>
                <w:bCs/>
                <w:color w:val="FF0000"/>
                <w:sz w:val="21"/>
                <w:szCs w:val="21"/>
                <w:highlight w:val="none"/>
                <w:vertAlign w:val="baseline"/>
                <w:lang w:val="en-US" w:eastAsia="zh-CN"/>
              </w:rPr>
              <w:t>2.《供应商基本情况表》为必填内容，若存在异常且不符合要求的供应商资格性审查将不予通过，作投标无效处理。</w:t>
            </w:r>
          </w:p>
        </w:tc>
      </w:tr>
    </w:tbl>
    <w:p>
      <w:pPr>
        <w:pStyle w:val="2"/>
        <w:rPr>
          <w:rFonts w:hint="eastAsia"/>
        </w:rPr>
      </w:pPr>
    </w:p>
    <w:p>
      <w:pPr>
        <w:autoSpaceDE w:val="0"/>
        <w:autoSpaceDN w:val="0"/>
        <w:adjustRightInd w:val="0"/>
        <w:snapToGrid w:val="0"/>
        <w:jc w:val="left"/>
        <w:rPr>
          <w:rFonts w:ascii="Arial" w:hAnsi="Arial" w:eastAsia="宋体" w:cs="Times New Roman"/>
          <w:b/>
          <w:sz w:val="24"/>
          <w:szCs w:val="24"/>
        </w:rPr>
      </w:pPr>
    </w:p>
    <w:p>
      <w:pPr>
        <w:widowControl/>
        <w:jc w:val="center"/>
        <w:rPr>
          <w:rFonts w:ascii="Arial" w:hAnsi="Arial" w:eastAsia="宋体" w:cs="Times New Roman"/>
          <w:b/>
          <w:sz w:val="24"/>
          <w:szCs w:val="24"/>
        </w:rPr>
      </w:pPr>
    </w:p>
    <w:p>
      <w:pPr>
        <w:widowControl/>
        <w:jc w:val="center"/>
        <w:rPr>
          <w:rFonts w:ascii="Arial" w:hAnsi="Arial" w:eastAsia="宋体" w:cs="Times New Roman"/>
          <w:b/>
          <w:sz w:val="24"/>
          <w:szCs w:val="24"/>
        </w:rPr>
      </w:pPr>
      <w:r>
        <w:rPr>
          <w:rFonts w:hint="eastAsia" w:ascii="Arial" w:hAnsi="Arial" w:eastAsia="宋体" w:cs="Times New Roman"/>
          <w:b/>
          <w:sz w:val="24"/>
          <w:szCs w:val="24"/>
        </w:rPr>
        <w:t>（本章未提供的招标要求的其他文件格式由供应商自拟）</w:t>
      </w:r>
    </w:p>
    <w:p>
      <w:pPr>
        <w:widowControl/>
        <w:jc w:val="center"/>
        <w:rPr>
          <w:rFonts w:ascii="Arial" w:hAnsi="Arial" w:eastAsia="宋体" w:cs="Times New Roman"/>
          <w:szCs w:val="24"/>
        </w:rPr>
      </w:pPr>
      <w:r>
        <w:rPr>
          <w:rFonts w:ascii="Arial" w:hAnsi="Arial" w:eastAsia="宋体" w:cs="Times New Roman"/>
          <w:szCs w:val="24"/>
        </w:rPr>
        <w:br w:type="page"/>
      </w:r>
    </w:p>
    <w:p>
      <w:pPr>
        <w:spacing w:after="78" w:afterLines="25" w:line="300" w:lineRule="auto"/>
        <w:outlineLvl w:val="2"/>
        <w:rPr>
          <w:rFonts w:ascii="Arial" w:hAnsi="Arial" w:eastAsia="宋体" w:cs="Times New Roman"/>
          <w:b/>
          <w:color w:val="FF0000"/>
          <w:sz w:val="32"/>
          <w:szCs w:val="32"/>
        </w:rPr>
      </w:pPr>
      <w:r>
        <w:rPr>
          <w:rFonts w:hint="eastAsia" w:ascii="Arial" w:hAnsi="Arial" w:eastAsia="宋体" w:cs="Times New Roman"/>
          <w:b/>
          <w:color w:val="FF0000"/>
          <w:sz w:val="32"/>
          <w:szCs w:val="32"/>
        </w:rPr>
        <w:t>（二）投标文件附件</w:t>
      </w:r>
    </w:p>
    <w:p>
      <w:pPr>
        <w:pStyle w:val="6"/>
        <w:jc w:val="center"/>
        <w:rPr>
          <w:rFonts w:hint="eastAsia" w:ascii="黑体" w:eastAsia="黑体"/>
          <w:b w:val="0"/>
          <w:sz w:val="24"/>
        </w:rPr>
      </w:pPr>
      <w:r>
        <w:rPr>
          <w:rFonts w:hint="eastAsia" w:ascii="黑体" w:eastAsia="黑体"/>
          <w:b w:val="0"/>
          <w:sz w:val="24"/>
        </w:rPr>
        <w:t>一、</w:t>
      </w:r>
      <w:bookmarkStart w:id="36" w:name="_Hlk72092499"/>
      <w:r>
        <w:rPr>
          <w:rFonts w:hint="eastAsia" w:ascii="黑体" w:eastAsia="黑体"/>
          <w:b w:val="0"/>
          <w:sz w:val="24"/>
        </w:rPr>
        <w:t>法定代表人（负责人）证明书</w:t>
      </w:r>
      <w:bookmarkEnd w:id="36"/>
    </w:p>
    <w:p>
      <w:pPr>
        <w:rPr>
          <w:sz w:val="24"/>
        </w:rPr>
      </w:pPr>
    </w:p>
    <w:p>
      <w:pPr>
        <w:spacing w:line="360" w:lineRule="auto"/>
        <w:ind w:firstLine="420" w:firstLineChars="200"/>
        <w:rPr>
          <w:rFonts w:eastAsia="宋体"/>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特此证明。</w:t>
      </w:r>
    </w:p>
    <w:p>
      <w:pPr>
        <w:spacing w:line="360" w:lineRule="auto"/>
        <w:ind w:firstLine="420" w:firstLineChars="200"/>
        <w:rPr>
          <w:szCs w:val="21"/>
        </w:rPr>
      </w:pPr>
      <w:r>
        <w:rPr>
          <w:rFonts w:hint="eastAsia"/>
          <w:szCs w:val="21"/>
        </w:rPr>
        <w:t>说明：1、法定代表人为投标人（企业事业单位、国家机关、社会团体）的主要行政负责人。</w:t>
      </w:r>
    </w:p>
    <w:p>
      <w:pPr>
        <w:numPr>
          <w:ilvl w:val="0"/>
          <w:numId w:val="4"/>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pPr>
        <w:numPr>
          <w:ilvl w:val="0"/>
          <w:numId w:val="4"/>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pPr>
        <w:numPr>
          <w:ilvl w:val="0"/>
          <w:numId w:val="4"/>
        </w:numPr>
        <w:spacing w:line="360" w:lineRule="auto"/>
        <w:ind w:firstLine="420" w:firstLineChars="200"/>
        <w:rPr>
          <w:szCs w:val="21"/>
        </w:rPr>
      </w:pPr>
      <w:r>
        <w:rPr>
          <w:rFonts w:hint="eastAsia"/>
          <w:szCs w:val="21"/>
        </w:rPr>
        <w:t>内容必须填写真实、清楚，涂改无效，不得转让、买卖。</w:t>
      </w:r>
    </w:p>
    <w:tbl>
      <w:tblPr>
        <w:tblStyle w:val="2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4" w:type="dxa"/>
          </w:tcPr>
          <w:p>
            <w:pPr>
              <w:jc w:val="center"/>
            </w:pPr>
            <w:r>
              <w:rPr>
                <w:rFonts w:hint="eastAsia"/>
              </w:rPr>
              <w:t>证件扫描件正面</w:t>
            </w:r>
          </w:p>
          <w:p>
            <w:pPr>
              <w:pStyle w:val="2"/>
              <w:jc w:val="center"/>
            </w:pPr>
          </w:p>
          <w:p>
            <w:pPr>
              <w:pStyle w:val="15"/>
              <w:jc w:val="center"/>
            </w:pPr>
          </w:p>
        </w:tc>
        <w:tc>
          <w:tcPr>
            <w:tcW w:w="4265" w:type="dxa"/>
          </w:tcPr>
          <w:p>
            <w:pPr>
              <w:jc w:val="center"/>
            </w:pPr>
            <w:r>
              <w:rPr>
                <w:rFonts w:hint="eastAsia"/>
              </w:rPr>
              <w:t>证件扫描件反面</w:t>
            </w:r>
          </w:p>
          <w:p>
            <w:pPr>
              <w:pStyle w:val="2"/>
              <w:jc w:val="center"/>
            </w:pPr>
          </w:p>
          <w:p>
            <w:pPr>
              <w:pStyle w:val="15"/>
              <w:jc w:val="center"/>
            </w:pPr>
          </w:p>
        </w:tc>
      </w:tr>
    </w:tbl>
    <w:p>
      <w:pPr>
        <w:rPr>
          <w:rFonts w:hint="eastAsia"/>
          <w:b/>
          <w:bCs/>
          <w:color w:val="FF0000"/>
          <w:szCs w:val="21"/>
          <w:u w:val="none"/>
        </w:rPr>
      </w:pPr>
      <w:r>
        <w:rPr>
          <w:rFonts w:hint="eastAsia"/>
          <w:b/>
          <w:bCs/>
          <w:color w:val="FF0000"/>
          <w:szCs w:val="21"/>
          <w:u w:val="none"/>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pPr>
        <w:rPr>
          <w:rFonts w:hint="eastAsia"/>
          <w:b/>
          <w:bCs/>
          <w:color w:val="FF0000"/>
          <w:szCs w:val="21"/>
          <w:u w:val="none"/>
        </w:rPr>
      </w:pPr>
    </w:p>
    <w:p>
      <w:pPr>
        <w:pStyle w:val="6"/>
        <w:spacing w:before="120" w:after="120"/>
        <w:jc w:val="center"/>
        <w:rPr>
          <w:rFonts w:hint="eastAsia" w:ascii="黑体" w:eastAsia="黑体"/>
          <w:b w:val="0"/>
          <w:sz w:val="24"/>
        </w:rPr>
      </w:pPr>
      <w:r>
        <w:rPr>
          <w:rFonts w:hint="eastAsia" w:ascii="黑体" w:eastAsia="黑体"/>
          <w:b w:val="0"/>
          <w:sz w:val="24"/>
        </w:rPr>
        <w:t>二、投标文件签署授权委托书</w:t>
      </w:r>
    </w:p>
    <w:p>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szCs w:val="21"/>
        </w:rPr>
      </w:pPr>
      <w:r>
        <w:rPr>
          <w:rFonts w:hint="eastAsia"/>
          <w:szCs w:val="21"/>
        </w:rPr>
        <w:t>代理人无转委托权，特此委托。</w:t>
      </w:r>
    </w:p>
    <w:p>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eastAsia="宋体"/>
          <w:szCs w:val="21"/>
        </w:rPr>
        <w:t>；</w:t>
      </w:r>
    </w:p>
    <w:p>
      <w:pPr>
        <w:spacing w:line="360" w:lineRule="auto"/>
        <w:ind w:firstLine="420" w:firstLineChars="200"/>
        <w:rPr>
          <w:rFonts w:eastAsia="宋体"/>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2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pPr>
            <w:r>
              <w:rPr>
                <w:rFonts w:hint="eastAsia" w:ascii="Times New Roman" w:eastAsia="宋体"/>
              </w:rPr>
              <w:t>证件扫描件正面</w:t>
            </w:r>
          </w:p>
          <w:p>
            <w:pPr>
              <w:pStyle w:val="2"/>
              <w:jc w:val="center"/>
            </w:pPr>
          </w:p>
          <w:p>
            <w:pPr>
              <w:pStyle w:val="15"/>
              <w:jc w:val="center"/>
            </w:pPr>
          </w:p>
        </w:tc>
        <w:tc>
          <w:tcPr>
            <w:tcW w:w="4265" w:type="dxa"/>
          </w:tcPr>
          <w:p>
            <w:pPr>
              <w:jc w:val="center"/>
            </w:pPr>
            <w:r>
              <w:rPr>
                <w:rFonts w:hint="eastAsia" w:ascii="Times New Roman" w:eastAsia="宋体"/>
              </w:rPr>
              <w:t>证件扫描件反面</w:t>
            </w:r>
          </w:p>
          <w:p>
            <w:pPr>
              <w:pStyle w:val="2"/>
              <w:jc w:val="center"/>
            </w:pPr>
          </w:p>
          <w:p>
            <w:pPr>
              <w:pStyle w:val="15"/>
              <w:jc w:val="center"/>
            </w:pPr>
          </w:p>
        </w:tc>
      </w:tr>
    </w:tbl>
    <w:p>
      <w:pPr>
        <w:tabs>
          <w:tab w:val="left" w:pos="651"/>
        </w:tabs>
        <w:snapToGrid w:val="0"/>
        <w:jc w:val="both"/>
        <w:rPr>
          <w:rFonts w:ascii="黑体" w:eastAsia="黑体"/>
          <w:kern w:val="0"/>
          <w:sz w:val="24"/>
          <w:szCs w:val="24"/>
        </w:rPr>
      </w:pPr>
      <w:r>
        <w:rPr>
          <w:rFonts w:hint="eastAsia"/>
          <w:b/>
          <w:bCs/>
          <w:color w:val="FF0000"/>
          <w:szCs w:val="21"/>
          <w:u w:val="none"/>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pPr>
        <w:tabs>
          <w:tab w:val="left" w:pos="651"/>
        </w:tabs>
        <w:snapToGrid w:val="0"/>
        <w:jc w:val="center"/>
        <w:rPr>
          <w:rFonts w:ascii="黑体" w:eastAsia="黑体"/>
          <w:kern w:val="0"/>
          <w:sz w:val="24"/>
          <w:szCs w:val="24"/>
        </w:rPr>
      </w:pPr>
    </w:p>
    <w:p>
      <w:pPr>
        <w:tabs>
          <w:tab w:val="left" w:pos="651"/>
        </w:tabs>
        <w:snapToGrid w:val="0"/>
        <w:jc w:val="center"/>
        <w:rPr>
          <w:rFonts w:ascii="黑体" w:eastAsia="黑体"/>
          <w:kern w:val="0"/>
          <w:sz w:val="24"/>
          <w:szCs w:val="24"/>
        </w:rPr>
      </w:pPr>
    </w:p>
    <w:p>
      <w:pPr>
        <w:tabs>
          <w:tab w:val="left" w:pos="651"/>
        </w:tabs>
        <w:snapToGrid w:val="0"/>
        <w:jc w:val="center"/>
        <w:rPr>
          <w:rFonts w:ascii="黑体" w:eastAsia="黑体"/>
          <w:kern w:val="0"/>
          <w:sz w:val="24"/>
          <w:szCs w:val="24"/>
        </w:rPr>
      </w:pPr>
    </w:p>
    <w:p>
      <w:pPr>
        <w:tabs>
          <w:tab w:val="left" w:pos="651"/>
        </w:tabs>
        <w:snapToGrid w:val="0"/>
        <w:jc w:val="center"/>
        <w:rPr>
          <w:rFonts w:hint="eastAsia" w:ascii="宋体" w:hAnsi="宋体" w:eastAsia="宋体" w:cs="Times New Roman"/>
          <w:b/>
          <w:bCs/>
          <w:kern w:val="0"/>
          <w:sz w:val="24"/>
          <w:szCs w:val="20"/>
        </w:rPr>
      </w:pPr>
      <w:r>
        <w:rPr>
          <w:rFonts w:hint="eastAsia" w:ascii="黑体" w:eastAsia="黑体"/>
          <w:kern w:val="0"/>
          <w:sz w:val="24"/>
          <w:szCs w:val="24"/>
        </w:rPr>
        <w:t>三、</w:t>
      </w:r>
      <w:bookmarkStart w:id="37" w:name="_Hlk72092634"/>
      <w:r>
        <w:rPr>
          <w:rFonts w:hint="eastAsia" w:ascii="黑体" w:eastAsia="黑体"/>
          <w:kern w:val="0"/>
          <w:sz w:val="24"/>
          <w:szCs w:val="24"/>
        </w:rPr>
        <w:t>实质性条款响应情况表</w:t>
      </w:r>
      <w:bookmarkEnd w:id="37"/>
    </w:p>
    <w:p>
      <w:pPr>
        <w:snapToGrid w:val="0"/>
        <w:rPr>
          <w:rFonts w:ascii="Arial" w:hAnsi="Arial" w:eastAsia="宋体" w:cs="Arial"/>
          <w:sz w:val="24"/>
          <w:szCs w:val="24"/>
        </w:rPr>
      </w:pPr>
      <w:r>
        <w:rPr>
          <w:rFonts w:hint="eastAsia" w:ascii="Arial" w:hAnsi="Arial" w:eastAsia="宋体" w:cs="Arial"/>
          <w:color w:val="000000"/>
          <w:sz w:val="24"/>
          <w:szCs w:val="24"/>
        </w:rPr>
        <w:t>投标单位（投标人）名称：</w:t>
      </w:r>
      <w:r>
        <w:rPr>
          <w:rFonts w:ascii="Arial" w:hAnsi="Arial" w:eastAsia="宋体" w:cs="Arial"/>
          <w:color w:val="000000"/>
          <w:sz w:val="24"/>
          <w:szCs w:val="24"/>
          <w:u w:val="single"/>
        </w:rPr>
        <w:t xml:space="preserve">                         </w:t>
      </w:r>
    </w:p>
    <w:p>
      <w:pPr>
        <w:snapToGrid w:val="0"/>
        <w:rPr>
          <w:rFonts w:hint="eastAsia" w:cs="Times New Roman" w:asciiTheme="minorEastAsia" w:hAnsiTheme="minorEastAsia"/>
          <w:b/>
          <w:sz w:val="24"/>
          <w:szCs w:val="24"/>
        </w:rPr>
      </w:pPr>
    </w:p>
    <w:tbl>
      <w:tblPr>
        <w:tblStyle w:val="19"/>
        <w:tblW w:w="940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2176"/>
        <w:gridCol w:w="1732"/>
        <w:gridCol w:w="992"/>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602" w:type="dxa"/>
            <w:vAlign w:val="center"/>
          </w:tcPr>
          <w:p>
            <w:pPr>
              <w:jc w:val="center"/>
              <w:rPr>
                <w:rFonts w:hint="eastAsia" w:ascii="宋体" w:hAnsi="宋体" w:eastAsia="宋体" w:cs="Arial"/>
                <w:b/>
                <w:szCs w:val="21"/>
              </w:rPr>
            </w:pPr>
            <w:r>
              <w:rPr>
                <w:rFonts w:hint="eastAsia" w:ascii="宋体" w:hAnsi="宋体" w:eastAsia="宋体" w:cs="Arial"/>
                <w:b/>
                <w:szCs w:val="21"/>
              </w:rPr>
              <w:t>序号</w:t>
            </w:r>
          </w:p>
        </w:tc>
        <w:tc>
          <w:tcPr>
            <w:tcW w:w="3901" w:type="dxa"/>
            <w:vAlign w:val="center"/>
          </w:tcPr>
          <w:p>
            <w:pPr>
              <w:jc w:val="center"/>
              <w:rPr>
                <w:rFonts w:hint="eastAsia" w:ascii="宋体" w:hAnsi="宋体" w:eastAsia="宋体" w:cs="Arial"/>
                <w:b/>
                <w:szCs w:val="21"/>
              </w:rPr>
            </w:pPr>
            <w:r>
              <w:rPr>
                <w:rFonts w:hint="eastAsia" w:ascii="宋体" w:hAnsi="宋体" w:eastAsia="宋体" w:cs="Arial"/>
                <w:b/>
                <w:szCs w:val="21"/>
              </w:rPr>
              <w:t>实质性条款具体内容</w:t>
            </w:r>
          </w:p>
        </w:tc>
        <w:tc>
          <w:tcPr>
            <w:tcW w:w="2176" w:type="dxa"/>
            <w:vAlign w:val="center"/>
          </w:tcPr>
          <w:p>
            <w:pPr>
              <w:jc w:val="center"/>
              <w:rPr>
                <w:rFonts w:hint="eastAsia" w:ascii="宋体" w:hAnsi="宋体" w:eastAsia="宋体" w:cs="Arial"/>
                <w:b/>
                <w:szCs w:val="21"/>
              </w:rPr>
            </w:pPr>
            <w:r>
              <w:rPr>
                <w:rFonts w:hint="eastAsia" w:ascii="宋体" w:hAnsi="宋体" w:eastAsia="宋体" w:cs="Arial"/>
                <w:b/>
                <w:szCs w:val="21"/>
              </w:rPr>
              <w:t>投标文件响应</w:t>
            </w:r>
          </w:p>
        </w:tc>
        <w:tc>
          <w:tcPr>
            <w:tcW w:w="1732" w:type="dxa"/>
          </w:tcPr>
          <w:p>
            <w:pPr>
              <w:spacing w:before="156" w:beforeLines="50"/>
              <w:jc w:val="center"/>
              <w:rPr>
                <w:rFonts w:hint="eastAsia" w:ascii="宋体" w:hAnsi="宋体" w:eastAsia="宋体" w:cs="Arial"/>
                <w:b/>
                <w:szCs w:val="21"/>
              </w:rPr>
            </w:pPr>
            <w:r>
              <w:rPr>
                <w:rFonts w:hint="eastAsia" w:ascii="宋体" w:hAnsi="宋体" w:eastAsia="宋体" w:cs="Arial"/>
                <w:b/>
                <w:szCs w:val="21"/>
              </w:rPr>
              <w:t>偏离情况</w:t>
            </w:r>
          </w:p>
        </w:tc>
        <w:tc>
          <w:tcPr>
            <w:tcW w:w="992" w:type="dxa"/>
            <w:vAlign w:val="center"/>
          </w:tcPr>
          <w:p>
            <w:pPr>
              <w:jc w:val="center"/>
              <w:rPr>
                <w:rFonts w:hint="eastAsia" w:ascii="宋体" w:hAnsi="宋体" w:eastAsia="宋体" w:cs="Arial"/>
                <w:b/>
                <w:szCs w:val="21"/>
              </w:rPr>
            </w:pPr>
            <w:r>
              <w:rPr>
                <w:rFonts w:hint="eastAsia" w:ascii="宋体" w:hAnsi="宋体" w:eastAsia="宋体" w:cs="Arial"/>
                <w:b/>
                <w:szCs w:val="21"/>
              </w:rPr>
              <w:t>说明</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602" w:type="dxa"/>
            <w:vAlign w:val="center"/>
          </w:tcPr>
          <w:p>
            <w:pPr>
              <w:spacing w:line="300" w:lineRule="auto"/>
              <w:jc w:val="center"/>
              <w:rPr>
                <w:rFonts w:hint="eastAsia" w:ascii="宋体" w:hAnsi="宋体" w:eastAsia="宋体" w:cs="Times New Roman"/>
                <w:b/>
                <w:color w:val="FF0000"/>
                <w:kern w:val="0"/>
                <w:szCs w:val="21"/>
              </w:rPr>
            </w:pPr>
            <w:r>
              <w:rPr>
                <w:rFonts w:hint="eastAsia" w:ascii="宋体" w:hAnsi="宋体" w:eastAsia="宋体" w:cs="Times New Roman"/>
                <w:b/>
                <w:color w:val="FF0000"/>
                <w:kern w:val="0"/>
                <w:szCs w:val="21"/>
              </w:rPr>
              <w:t>1</w:t>
            </w:r>
          </w:p>
        </w:tc>
        <w:tc>
          <w:tcPr>
            <w:tcW w:w="3901" w:type="dxa"/>
            <w:vAlign w:val="center"/>
          </w:tcPr>
          <w:p>
            <w:pPr>
              <w:spacing w:line="300" w:lineRule="auto"/>
              <w:jc w:val="center"/>
              <w:rPr>
                <w:rFonts w:hint="eastAsia" w:ascii="宋体" w:hAnsi="宋体" w:eastAsia="宋体" w:cs="Times New Roman"/>
                <w:b/>
                <w:color w:val="FF0000"/>
                <w:kern w:val="0"/>
                <w:szCs w:val="21"/>
              </w:rPr>
            </w:pPr>
            <w:r>
              <w:rPr>
                <w:rFonts w:hint="eastAsia" w:ascii="宋体" w:hAnsi="宋体" w:eastAsia="宋体" w:cs="Times New Roman"/>
                <w:b/>
                <w:color w:val="FF0000"/>
                <w:kern w:val="0"/>
                <w:szCs w:val="21"/>
              </w:rPr>
              <w:t>本项目招标文件中所有带★号条款内容</w:t>
            </w:r>
          </w:p>
        </w:tc>
        <w:tc>
          <w:tcPr>
            <w:tcW w:w="2176" w:type="dxa"/>
            <w:vAlign w:val="center"/>
          </w:tcPr>
          <w:p>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完全响应</w:t>
            </w:r>
          </w:p>
        </w:tc>
        <w:tc>
          <w:tcPr>
            <w:tcW w:w="1732" w:type="dxa"/>
            <w:vAlign w:val="center"/>
          </w:tcPr>
          <w:p>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无偏离</w:t>
            </w:r>
          </w:p>
        </w:tc>
        <w:tc>
          <w:tcPr>
            <w:tcW w:w="992" w:type="dxa"/>
            <w:vAlign w:val="center"/>
          </w:tcPr>
          <w:p>
            <w:pPr>
              <w:spacing w:line="300" w:lineRule="auto"/>
              <w:jc w:val="center"/>
              <w:rPr>
                <w:rFonts w:hint="eastAsia" w:ascii="宋体" w:hAnsi="宋体" w:eastAsia="宋体" w:cs="Times New Roman"/>
                <w:b/>
                <w:color w:val="FF0000"/>
                <w:kern w:val="0"/>
                <w:szCs w:val="21"/>
              </w:rPr>
            </w:pPr>
          </w:p>
        </w:tc>
      </w:tr>
    </w:tbl>
    <w:p>
      <w:pPr>
        <w:snapToGrid w:val="0"/>
        <w:rPr>
          <w:rFonts w:hint="eastAsia" w:cs="Times New Roman" w:asciiTheme="minorEastAsia" w:hAnsiTheme="minorEastAsia"/>
          <w:b/>
          <w:sz w:val="24"/>
          <w:szCs w:val="24"/>
        </w:rPr>
      </w:pPr>
      <w:r>
        <w:rPr>
          <w:rFonts w:hint="eastAsia" w:ascii="宋体" w:hAnsi="宋体" w:eastAsia="宋体" w:cs="Times New Roman"/>
          <w:b/>
          <w:sz w:val="24"/>
          <w:szCs w:val="24"/>
        </w:rPr>
        <w:t>填写说明：</w:t>
      </w:r>
    </w:p>
    <w:p>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1、上表所列各项均为不可负偏离条款。</w:t>
      </w:r>
    </w:p>
    <w:p>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2、“投标文件响应”一栏应当详细填写投标人自身响应情况，而不能不合理照搬照抄招标文件实质性条款具体内容。</w:t>
      </w:r>
      <w:r>
        <w:rPr>
          <w:rFonts w:hint="eastAsia" w:ascii="宋体" w:hAnsi="宋体" w:cs="宋体"/>
          <w:b/>
          <w:bCs/>
          <w:sz w:val="24"/>
          <w:szCs w:val="24"/>
        </w:rPr>
        <w:t>如完全满足实质性条款具体内容可填写“完全响应”，除招标文件另有注明外，不强制要求逐条列出响应。</w:t>
      </w:r>
    </w:p>
    <w:p>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3、“偏离情况”一栏应填写</w:t>
      </w:r>
      <w:r>
        <w:rPr>
          <w:rFonts w:hint="eastAsia" w:ascii="宋体" w:hAnsi="宋体" w:cs="宋体"/>
          <w:sz w:val="24"/>
          <w:szCs w:val="24"/>
        </w:rPr>
        <w:t>“</w:t>
      </w:r>
      <w:r>
        <w:rPr>
          <w:rFonts w:hint="eastAsia" w:ascii="宋体" w:hAnsi="宋体" w:cs="宋体"/>
          <w:b/>
          <w:bCs/>
          <w:sz w:val="24"/>
          <w:szCs w:val="24"/>
        </w:rPr>
        <w:t>正偏离</w:t>
      </w:r>
      <w:r>
        <w:rPr>
          <w:rFonts w:hint="eastAsia" w:ascii="宋体" w:hAnsi="宋体" w:cs="宋体"/>
          <w:sz w:val="24"/>
          <w:szCs w:val="24"/>
        </w:rPr>
        <w:t>”或“</w:t>
      </w:r>
      <w:r>
        <w:rPr>
          <w:rFonts w:hint="eastAsia" w:ascii="宋体" w:hAnsi="宋体" w:cs="宋体"/>
          <w:b/>
          <w:bCs/>
          <w:sz w:val="24"/>
          <w:szCs w:val="24"/>
        </w:rPr>
        <w:t>负偏离</w:t>
      </w:r>
      <w:r>
        <w:rPr>
          <w:rFonts w:hint="eastAsia" w:ascii="宋体" w:hAnsi="宋体" w:cs="宋体"/>
          <w:sz w:val="24"/>
          <w:szCs w:val="24"/>
        </w:rPr>
        <w:t>”或“</w:t>
      </w:r>
      <w:r>
        <w:rPr>
          <w:rFonts w:hint="eastAsia" w:ascii="宋体" w:hAnsi="宋体" w:cs="宋体"/>
          <w:b/>
          <w:bCs/>
          <w:sz w:val="24"/>
          <w:szCs w:val="24"/>
        </w:rPr>
        <w:t>无偏离</w:t>
      </w:r>
      <w:r>
        <w:rPr>
          <w:rFonts w:hint="eastAsia" w:ascii="宋体" w:hAnsi="宋体" w:cs="宋体"/>
          <w:sz w:val="24"/>
          <w:szCs w:val="24"/>
        </w:rPr>
        <w:t>”</w:t>
      </w:r>
      <w:r>
        <w:rPr>
          <w:rFonts w:hint="eastAsia" w:ascii="宋体" w:hAnsi="宋体" w:cs="宋体"/>
          <w:bCs/>
          <w:sz w:val="24"/>
          <w:szCs w:val="24"/>
        </w:rPr>
        <w:t>，“正偏离”表示“投标响应优于实质性条款具体内容要求”，“负偏离”表示“投标响应不满足实质性条款具体内容要求”，“无偏离”表示“投标响应与实质性条款具体内容要求一致”。</w:t>
      </w:r>
    </w:p>
    <w:p>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4、评审委员会有权对投标响应情况作出判断。</w:t>
      </w:r>
    </w:p>
    <w:p>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5、实质性响应条款“投标响应情况”与投标文件其它内容冲突的，以实质性响应条款“投标响应情况”为准。</w:t>
      </w:r>
    </w:p>
    <w:p>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6、以上实质性条款中要求提供证明材料，需如实提供证明材料扫描件，在“说明”一栏中列明证明材料的位置，以便评审；未要求提供证明材料的，投标人可以不提供。</w:t>
      </w:r>
    </w:p>
    <w:p>
      <w:pPr>
        <w:rPr>
          <w:rFonts w:hint="eastAsia" w:ascii="宋体" w:hAnsi="宋体" w:eastAsia="宋体" w:cs="Times New Roman"/>
          <w:b/>
          <w:bCs/>
          <w:kern w:val="0"/>
          <w:sz w:val="24"/>
          <w:szCs w:val="20"/>
        </w:rPr>
      </w:pPr>
      <w:r>
        <w:rPr>
          <w:rFonts w:hint="eastAsia" w:ascii="宋体" w:hAnsi="宋体" w:eastAsia="宋体" w:cs="Times New Roman"/>
          <w:b/>
          <w:bCs/>
          <w:kern w:val="0"/>
          <w:sz w:val="24"/>
          <w:szCs w:val="20"/>
        </w:rPr>
        <w:br w:type="page"/>
      </w:r>
    </w:p>
    <w:p>
      <w:pPr>
        <w:pStyle w:val="6"/>
        <w:jc w:val="center"/>
        <w:rPr>
          <w:rFonts w:hint="eastAsia"/>
          <w:sz w:val="24"/>
        </w:rPr>
      </w:pPr>
      <w:r>
        <w:rPr>
          <w:rFonts w:hint="eastAsia" w:ascii="黑体" w:eastAsia="黑体"/>
          <w:b w:val="0"/>
          <w:bCs w:val="0"/>
          <w:sz w:val="24"/>
          <w:szCs w:val="20"/>
        </w:rPr>
        <w:t>四、商务要求偏离表</w:t>
      </w:r>
    </w:p>
    <w:tbl>
      <w:tblPr>
        <w:tblStyle w:val="19"/>
        <w:tblW w:w="9091"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408"/>
        <w:gridCol w:w="4918"/>
        <w:gridCol w:w="973"/>
        <w:gridCol w:w="642"/>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0" w:type="dxa"/>
            <w:vAlign w:val="center"/>
          </w:tcPr>
          <w:p>
            <w:pPr>
              <w:jc w:val="center"/>
              <w:rPr>
                <w:b/>
              </w:rPr>
            </w:pPr>
            <w:r>
              <w:rPr>
                <w:rFonts w:hint="eastAsia"/>
                <w:sz w:val="24"/>
              </w:rPr>
              <w:t>序号</w:t>
            </w:r>
          </w:p>
        </w:tc>
        <w:tc>
          <w:tcPr>
            <w:tcW w:w="1408" w:type="dxa"/>
            <w:vAlign w:val="center"/>
          </w:tcPr>
          <w:p>
            <w:pPr>
              <w:jc w:val="center"/>
              <w:rPr>
                <w:b/>
              </w:rPr>
            </w:pPr>
            <w:r>
              <w:rPr>
                <w:rFonts w:hint="eastAsia"/>
                <w:b/>
              </w:rPr>
              <w:t>商务需求项</w:t>
            </w:r>
          </w:p>
        </w:tc>
        <w:tc>
          <w:tcPr>
            <w:tcW w:w="4918" w:type="dxa"/>
            <w:vAlign w:val="center"/>
          </w:tcPr>
          <w:p>
            <w:pPr>
              <w:jc w:val="center"/>
              <w:rPr>
                <w:b/>
              </w:rPr>
            </w:pPr>
            <w:r>
              <w:rPr>
                <w:rFonts w:hint="eastAsia"/>
                <w:sz w:val="24"/>
              </w:rPr>
              <w:t>招标商务要求</w:t>
            </w:r>
          </w:p>
        </w:tc>
        <w:tc>
          <w:tcPr>
            <w:tcW w:w="973" w:type="dxa"/>
            <w:vAlign w:val="center"/>
          </w:tcPr>
          <w:p>
            <w:pPr>
              <w:jc w:val="center"/>
              <w:rPr>
                <w:b/>
              </w:rPr>
            </w:pPr>
            <w:r>
              <w:rPr>
                <w:rFonts w:hint="eastAsia"/>
                <w:sz w:val="24"/>
              </w:rPr>
              <w:t>投标商务响应</w:t>
            </w:r>
          </w:p>
        </w:tc>
        <w:tc>
          <w:tcPr>
            <w:tcW w:w="642" w:type="dxa"/>
            <w:vAlign w:val="center"/>
          </w:tcPr>
          <w:p>
            <w:pPr>
              <w:jc w:val="center"/>
              <w:rPr>
                <w:b/>
              </w:rPr>
            </w:pPr>
            <w:r>
              <w:rPr>
                <w:rFonts w:hint="eastAsia"/>
              </w:rPr>
              <w:t>偏离情况</w:t>
            </w:r>
          </w:p>
        </w:tc>
        <w:tc>
          <w:tcPr>
            <w:tcW w:w="540" w:type="dxa"/>
            <w:vAlign w:val="center"/>
          </w:tcPr>
          <w:p>
            <w:pPr>
              <w:jc w:val="center"/>
              <w:rPr>
                <w:b/>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91" w:type="dxa"/>
            <w:gridSpan w:val="6"/>
          </w:tcPr>
          <w:p>
            <w:pPr>
              <w:rPr>
                <w:b/>
              </w:rPr>
            </w:pPr>
            <w:r>
              <w:rPr>
                <w:rFonts w:hint="eastAsia"/>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pPr>
              <w:jc w:val="center"/>
              <w:rPr>
                <w:bCs/>
              </w:rPr>
            </w:pPr>
            <w:r>
              <w:rPr>
                <w:rFonts w:hint="eastAsia"/>
                <w:bCs/>
              </w:rPr>
              <w:t>1</w:t>
            </w:r>
          </w:p>
        </w:tc>
        <w:tc>
          <w:tcPr>
            <w:tcW w:w="1408" w:type="dxa"/>
          </w:tcPr>
          <w:p>
            <w:pPr>
              <w:jc w:val="center"/>
            </w:pPr>
            <w:r>
              <w:rPr>
                <w:rFonts w:hint="eastAsia"/>
              </w:rPr>
              <w:t>*</w:t>
            </w:r>
            <w:r>
              <w:t>***</w:t>
            </w:r>
          </w:p>
        </w:tc>
        <w:tc>
          <w:tcPr>
            <w:tcW w:w="4918" w:type="dxa"/>
          </w:tcPr>
          <w:p>
            <w:pPr>
              <w:jc w:val="center"/>
              <w:rPr>
                <w:b/>
              </w:rPr>
            </w:pPr>
            <w:r>
              <w:rPr>
                <w:rFonts w:hint="eastAsia"/>
                <w:bCs/>
                <w:szCs w:val="21"/>
              </w:rPr>
              <w:t>（填写相关内容）</w:t>
            </w:r>
          </w:p>
        </w:tc>
        <w:tc>
          <w:tcPr>
            <w:tcW w:w="973" w:type="dxa"/>
          </w:tcPr>
          <w:p>
            <w:pPr>
              <w:rPr>
                <w:bCs/>
                <w:szCs w:val="21"/>
              </w:rPr>
            </w:pPr>
          </w:p>
        </w:tc>
        <w:tc>
          <w:tcPr>
            <w:tcW w:w="642" w:type="dxa"/>
          </w:tcPr>
          <w:p>
            <w:pPr>
              <w:rPr>
                <w:bCs/>
                <w:szCs w:val="21"/>
              </w:rPr>
            </w:pPr>
          </w:p>
        </w:tc>
        <w:tc>
          <w:tcPr>
            <w:tcW w:w="540" w:type="dxa"/>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pPr>
              <w:jc w:val="center"/>
              <w:rPr>
                <w:bCs/>
              </w:rPr>
            </w:pPr>
            <w:r>
              <w:rPr>
                <w:bCs/>
              </w:rPr>
              <w:t>2</w:t>
            </w:r>
          </w:p>
        </w:tc>
        <w:tc>
          <w:tcPr>
            <w:tcW w:w="1408" w:type="dxa"/>
          </w:tcPr>
          <w:p>
            <w:pPr>
              <w:jc w:val="center"/>
            </w:pPr>
            <w:r>
              <w:rPr>
                <w:rFonts w:hint="eastAsia"/>
              </w:rPr>
              <w:t>****</w:t>
            </w:r>
          </w:p>
        </w:tc>
        <w:tc>
          <w:tcPr>
            <w:tcW w:w="4918" w:type="dxa"/>
          </w:tcPr>
          <w:p>
            <w:pPr>
              <w:jc w:val="center"/>
              <w:rPr>
                <w:bCs/>
                <w:szCs w:val="21"/>
              </w:rPr>
            </w:pPr>
            <w:r>
              <w:rPr>
                <w:rFonts w:hint="eastAsia"/>
              </w:rPr>
              <w:t>（填写相关内容）</w:t>
            </w:r>
          </w:p>
        </w:tc>
        <w:tc>
          <w:tcPr>
            <w:tcW w:w="973" w:type="dxa"/>
          </w:tcPr>
          <w:p>
            <w:pPr>
              <w:rPr>
                <w:bCs/>
                <w:szCs w:val="21"/>
              </w:rPr>
            </w:pPr>
          </w:p>
        </w:tc>
        <w:tc>
          <w:tcPr>
            <w:tcW w:w="642" w:type="dxa"/>
          </w:tcPr>
          <w:p>
            <w:pPr>
              <w:rPr>
                <w:bCs/>
                <w:szCs w:val="21"/>
              </w:rPr>
            </w:pPr>
          </w:p>
        </w:tc>
        <w:tc>
          <w:tcPr>
            <w:tcW w:w="540" w:type="dxa"/>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vAlign w:val="center"/>
          </w:tcPr>
          <w:p>
            <w:pPr>
              <w:rPr>
                <w:bCs/>
                <w:szCs w:val="21"/>
              </w:rPr>
            </w:pPr>
            <w:r>
              <w:rPr>
                <w:rFonts w:hint="eastAsia"/>
                <w:b/>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pPr>
              <w:jc w:val="center"/>
              <w:rPr>
                <w:bCs/>
              </w:rPr>
            </w:pPr>
            <w:r>
              <w:rPr>
                <w:rFonts w:hint="eastAsia"/>
              </w:rPr>
              <w:t>1</w:t>
            </w:r>
          </w:p>
        </w:tc>
        <w:tc>
          <w:tcPr>
            <w:tcW w:w="1408" w:type="dxa"/>
          </w:tcPr>
          <w:p>
            <w:pPr>
              <w:jc w:val="center"/>
            </w:pPr>
            <w:r>
              <w:rPr>
                <w:rFonts w:hint="eastAsia"/>
              </w:rPr>
              <w:t>****</w:t>
            </w:r>
          </w:p>
        </w:tc>
        <w:tc>
          <w:tcPr>
            <w:tcW w:w="4918" w:type="dxa"/>
          </w:tcPr>
          <w:p>
            <w:pPr>
              <w:jc w:val="center"/>
            </w:pPr>
            <w:r>
              <w:rPr>
                <w:rFonts w:hint="eastAsia"/>
              </w:rPr>
              <w:t>（填写相关内容）</w:t>
            </w:r>
          </w:p>
        </w:tc>
        <w:tc>
          <w:tcPr>
            <w:tcW w:w="973" w:type="dxa"/>
          </w:tcPr>
          <w:p>
            <w:pPr>
              <w:rPr>
                <w:bCs/>
                <w:szCs w:val="21"/>
              </w:rPr>
            </w:pPr>
          </w:p>
        </w:tc>
        <w:tc>
          <w:tcPr>
            <w:tcW w:w="642" w:type="dxa"/>
          </w:tcPr>
          <w:p>
            <w:pPr>
              <w:rPr>
                <w:bCs/>
                <w:szCs w:val="21"/>
              </w:rPr>
            </w:pPr>
          </w:p>
        </w:tc>
        <w:tc>
          <w:tcPr>
            <w:tcW w:w="540" w:type="dxa"/>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tcPr>
          <w:p>
            <w:pPr>
              <w:rPr>
                <w:bCs/>
                <w:szCs w:val="21"/>
              </w:rPr>
            </w:pPr>
            <w:r>
              <w:rPr>
                <w:rFonts w:hint="eastAsia"/>
                <w:b/>
              </w:rPr>
              <w:t>（三）其他商务要求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pPr>
              <w:jc w:val="center"/>
            </w:pPr>
            <w:r>
              <w:rPr>
                <w:rFonts w:hint="eastAsia"/>
              </w:rPr>
              <w:t>1</w:t>
            </w:r>
          </w:p>
        </w:tc>
        <w:tc>
          <w:tcPr>
            <w:tcW w:w="1408" w:type="dxa"/>
          </w:tcPr>
          <w:p>
            <w:pPr>
              <w:jc w:val="center"/>
            </w:pPr>
            <w:r>
              <w:rPr>
                <w:rFonts w:hint="eastAsia"/>
              </w:rPr>
              <w:t>****</w:t>
            </w:r>
          </w:p>
        </w:tc>
        <w:tc>
          <w:tcPr>
            <w:tcW w:w="4918" w:type="dxa"/>
          </w:tcPr>
          <w:p>
            <w:pPr>
              <w:jc w:val="center"/>
            </w:pPr>
            <w:r>
              <w:rPr>
                <w:rFonts w:hint="eastAsia"/>
              </w:rPr>
              <w:t>（填写相关内容）</w:t>
            </w:r>
          </w:p>
        </w:tc>
        <w:tc>
          <w:tcPr>
            <w:tcW w:w="973" w:type="dxa"/>
          </w:tcPr>
          <w:p>
            <w:pPr>
              <w:rPr>
                <w:bCs/>
                <w:szCs w:val="21"/>
              </w:rPr>
            </w:pPr>
          </w:p>
        </w:tc>
        <w:tc>
          <w:tcPr>
            <w:tcW w:w="642" w:type="dxa"/>
          </w:tcPr>
          <w:p>
            <w:pPr>
              <w:rPr>
                <w:bCs/>
                <w:szCs w:val="21"/>
              </w:rPr>
            </w:pPr>
          </w:p>
        </w:tc>
        <w:tc>
          <w:tcPr>
            <w:tcW w:w="540" w:type="dxa"/>
          </w:tcPr>
          <w:p>
            <w:pPr>
              <w:rPr>
                <w:bCs/>
                <w:szCs w:val="21"/>
              </w:rPr>
            </w:pPr>
          </w:p>
        </w:tc>
      </w:tr>
    </w:tbl>
    <w:p>
      <w:pPr>
        <w:ind w:firstLine="420" w:firstLineChars="200"/>
        <w:rPr>
          <w:bCs/>
          <w:szCs w:val="21"/>
        </w:rPr>
      </w:pPr>
      <w:r>
        <w:rPr>
          <w:rFonts w:hint="eastAsia"/>
          <w:bCs/>
          <w:szCs w:val="21"/>
        </w:rPr>
        <w:t>《商务要求偏离表》编制指引：</w:t>
      </w:r>
    </w:p>
    <w:p>
      <w:pPr>
        <w:ind w:firstLine="420" w:firstLineChars="200"/>
        <w:rPr>
          <w:bCs/>
          <w:szCs w:val="21"/>
        </w:rPr>
      </w:pPr>
      <w:r>
        <w:rPr>
          <w:rFonts w:hint="eastAsia"/>
          <w:bCs/>
          <w:szCs w:val="21"/>
        </w:rPr>
        <w:t>1、商务要求偏离表的序号、商务需求项、招标商务要求等栏目对应“用户需求书”中的“商务要求”章节相关内容。</w:t>
      </w:r>
    </w:p>
    <w:p>
      <w:pPr>
        <w:ind w:firstLine="420" w:firstLineChars="200"/>
        <w:rPr>
          <w:bCs/>
          <w:szCs w:val="21"/>
        </w:rPr>
      </w:pPr>
      <w:r>
        <w:rPr>
          <w:bCs/>
          <w:szCs w:val="21"/>
        </w:rPr>
        <w:t>2</w:t>
      </w:r>
      <w:r>
        <w:rPr>
          <w:rFonts w:hint="eastAsia"/>
          <w:bCs/>
          <w:szCs w:val="21"/>
        </w:rPr>
        <w:t>、“投标商务响应”一栏必须一一对照“招标商务要求”，详细填写自身响应情况，而不能不合理照搬照抄招标文件的商务要求，以体现具体响应情况。</w:t>
      </w:r>
    </w:p>
    <w:p>
      <w:pPr>
        <w:ind w:firstLine="420" w:firstLineChars="200"/>
        <w:rPr>
          <w:bCs/>
          <w:color w:val="FF0000"/>
          <w:szCs w:val="21"/>
        </w:rPr>
      </w:pPr>
      <w:r>
        <w:rPr>
          <w:bCs/>
          <w:szCs w:val="21"/>
        </w:rPr>
        <w:t>3</w:t>
      </w:r>
      <w:r>
        <w:rPr>
          <w:rFonts w:hint="eastAsia"/>
          <w:bCs/>
          <w:szCs w:val="21"/>
        </w:rPr>
        <w:t>、“偏离情况”一栏填写如实填写“正偏离”、“负偏离”或“无偏离”，其中：“正偏离”表示“投标响应优于招标商务要求”，“负偏离”表示“投标响应不满足招标商务要求”，“无偏离”表示“投标响应与招标商务要求一致”。</w:t>
      </w:r>
    </w:p>
    <w:p>
      <w:pPr>
        <w:rPr>
          <w:bCs/>
          <w:szCs w:val="21"/>
        </w:rPr>
      </w:pPr>
      <w:r>
        <w:rPr>
          <w:rFonts w:hint="eastAsia"/>
          <w:bCs/>
          <w:szCs w:val="21"/>
        </w:rPr>
        <w:t>“投标商务响应”对比“招标商务要求”存在响应不全（包括未响应整项招标商务要求或者未响应一项招标商务要求的部分内容），均视为“负偏离”。</w:t>
      </w:r>
    </w:p>
    <w:p>
      <w:pPr>
        <w:ind w:firstLine="420" w:firstLineChars="200"/>
        <w:rPr>
          <w:bCs/>
          <w:szCs w:val="21"/>
        </w:rPr>
      </w:pPr>
      <w:r>
        <w:rPr>
          <w:rFonts w:hint="eastAsia"/>
          <w:bCs/>
          <w:szCs w:val="21"/>
        </w:rPr>
        <w:t>4、带★号条款为不可偏离条款，如未响应或出现负偏离的，将作投标无效处理。</w:t>
      </w:r>
    </w:p>
    <w:p>
      <w:pPr>
        <w:widowControl/>
        <w:jc w:val="left"/>
        <w:rPr>
          <w:rFonts w:hint="eastAsia" w:ascii="宋体" w:hAnsi="宋体" w:eastAsia="宋体" w:cs="Times New Roman"/>
          <w:color w:val="FF0000"/>
          <w:sz w:val="32"/>
          <w:szCs w:val="32"/>
        </w:rPr>
      </w:pPr>
      <w:r>
        <w:rPr>
          <w:rFonts w:ascii="宋体" w:hAnsi="宋体" w:eastAsia="宋体" w:cs="Times New Roman"/>
          <w:color w:val="FF0000"/>
          <w:sz w:val="32"/>
          <w:szCs w:val="32"/>
        </w:rPr>
        <w:br w:type="page"/>
      </w:r>
    </w:p>
    <w:p>
      <w:pPr>
        <w:pStyle w:val="6"/>
        <w:jc w:val="center"/>
        <w:rPr>
          <w:rFonts w:hint="eastAsia"/>
          <w:sz w:val="24"/>
        </w:rPr>
      </w:pPr>
      <w:r>
        <w:rPr>
          <w:rFonts w:hint="eastAsia" w:ascii="黑体" w:eastAsia="黑体"/>
          <w:b w:val="0"/>
          <w:sz w:val="24"/>
          <w:szCs w:val="24"/>
        </w:rPr>
        <w:t>五、技术要求偏离表</w:t>
      </w:r>
    </w:p>
    <w:tbl>
      <w:tblPr>
        <w:tblStyle w:val="19"/>
        <w:tblW w:w="8754"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772"/>
        <w:gridCol w:w="3795"/>
        <w:gridCol w:w="2623"/>
        <w:gridCol w:w="710"/>
        <w:gridCol w:w="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64" w:type="dxa"/>
            <w:vAlign w:val="center"/>
          </w:tcPr>
          <w:p>
            <w:pPr>
              <w:jc w:val="center"/>
              <w:rPr>
                <w:color w:val="000000" w:themeColor="text1"/>
                <w:szCs w:val="21"/>
                <w14:textFill>
                  <w14:solidFill>
                    <w14:schemeClr w14:val="tx1"/>
                  </w14:solidFill>
                </w14:textFill>
              </w:rPr>
            </w:pPr>
            <w:r>
              <w:rPr>
                <w:rFonts w:hint="eastAsia"/>
                <w:sz w:val="24"/>
              </w:rPr>
              <w:t>序号</w:t>
            </w:r>
          </w:p>
        </w:tc>
        <w:tc>
          <w:tcPr>
            <w:tcW w:w="772" w:type="dxa"/>
            <w:vAlign w:val="center"/>
          </w:tcPr>
          <w:p>
            <w:pPr>
              <w:jc w:val="center"/>
              <w:rPr>
                <w:color w:val="000000" w:themeColor="text1"/>
                <w:szCs w:val="21"/>
                <w14:textFill>
                  <w14:solidFill>
                    <w14:schemeClr w14:val="tx1"/>
                  </w14:solidFill>
                </w14:textFill>
              </w:rPr>
            </w:pPr>
            <w:r>
              <w:rPr>
                <w:rFonts w:hint="eastAsia"/>
                <w:sz w:val="24"/>
              </w:rPr>
              <w:t>货物名称</w:t>
            </w:r>
          </w:p>
        </w:tc>
        <w:tc>
          <w:tcPr>
            <w:tcW w:w="3795" w:type="dxa"/>
            <w:vAlign w:val="center"/>
          </w:tcPr>
          <w:p>
            <w:pPr>
              <w:jc w:val="center"/>
              <w:rPr>
                <w:color w:val="000000" w:themeColor="text1"/>
                <w:szCs w:val="21"/>
                <w14:textFill>
                  <w14:solidFill>
                    <w14:schemeClr w14:val="tx1"/>
                  </w14:solidFill>
                </w14:textFill>
              </w:rPr>
            </w:pPr>
            <w:r>
              <w:rPr>
                <w:rFonts w:hint="eastAsia"/>
                <w:sz w:val="24"/>
              </w:rPr>
              <w:t>招标技术要求</w:t>
            </w:r>
          </w:p>
        </w:tc>
        <w:tc>
          <w:tcPr>
            <w:tcW w:w="2623" w:type="dxa"/>
            <w:vAlign w:val="center"/>
          </w:tcPr>
          <w:p>
            <w:pPr>
              <w:jc w:val="center"/>
              <w:rPr>
                <w:color w:val="000000" w:themeColor="text1"/>
                <w:szCs w:val="21"/>
                <w14:textFill>
                  <w14:solidFill>
                    <w14:schemeClr w14:val="tx1"/>
                  </w14:solidFill>
                </w14:textFill>
              </w:rPr>
            </w:pPr>
            <w:r>
              <w:rPr>
                <w:rFonts w:hint="eastAsia"/>
                <w:sz w:val="24"/>
              </w:rPr>
              <w:t>投标技术响应</w:t>
            </w:r>
          </w:p>
        </w:tc>
        <w:tc>
          <w:tcPr>
            <w:tcW w:w="710" w:type="dxa"/>
            <w:vAlign w:val="center"/>
          </w:tcPr>
          <w:p>
            <w:pPr>
              <w:jc w:val="center"/>
              <w:rPr>
                <w:color w:val="000000" w:themeColor="text1"/>
                <w:szCs w:val="21"/>
                <w14:textFill>
                  <w14:solidFill>
                    <w14:schemeClr w14:val="tx1"/>
                  </w14:solidFill>
                </w14:textFill>
              </w:rPr>
            </w:pPr>
            <w:r>
              <w:rPr>
                <w:rFonts w:hint="eastAsia"/>
                <w:sz w:val="24"/>
              </w:rPr>
              <w:t>偏离情况</w:t>
            </w:r>
          </w:p>
        </w:tc>
        <w:tc>
          <w:tcPr>
            <w:tcW w:w="390" w:type="dxa"/>
            <w:vAlign w:val="center"/>
          </w:tcPr>
          <w:p>
            <w:pPr>
              <w:jc w:val="center"/>
              <w:rPr>
                <w:color w:val="000000" w:themeColor="text1"/>
                <w:szCs w:val="21"/>
                <w14:textFill>
                  <w14:solidFill>
                    <w14:schemeClr w14:val="tx1"/>
                  </w14:solidFill>
                </w14:textFill>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restar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772" w:type="dxa"/>
            <w:vMerge w:val="restar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设备</w:t>
            </w: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rStyle w:val="22"/>
                <w:b w:val="0"/>
                <w:bCs w:val="0"/>
                <w:color w:val="000000" w:themeColor="text1"/>
                <w:szCs w:val="21"/>
                <w14:textFill>
                  <w14:solidFill>
                    <w14:schemeClr w14:val="tx1"/>
                  </w14:solidFill>
                </w14:textFill>
              </w:rPr>
            </w:pPr>
          </w:p>
        </w:tc>
        <w:tc>
          <w:tcPr>
            <w:tcW w:w="710" w:type="dxa"/>
          </w:tcPr>
          <w:p>
            <w:pPr>
              <w:rPr>
                <w:rStyle w:val="22"/>
                <w:b w:val="0"/>
                <w:bCs w:val="0"/>
                <w:color w:val="000000" w:themeColor="text1"/>
                <w:szCs w:val="21"/>
                <w14:textFill>
                  <w14:solidFill>
                    <w14:schemeClr w14:val="tx1"/>
                  </w14:solidFill>
                </w14:textFill>
              </w:rPr>
            </w:pPr>
          </w:p>
        </w:tc>
        <w:tc>
          <w:tcPr>
            <w:tcW w:w="390" w:type="dxa"/>
          </w:tcPr>
          <w:p>
            <w:pPr>
              <w:rPr>
                <w:rStyle w:val="22"/>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pPr>
              <w:rPr>
                <w:b/>
                <w:bCs/>
                <w:color w:val="FF0000"/>
                <w:szCs w:val="21"/>
              </w:rPr>
            </w:pPr>
          </w:p>
        </w:tc>
        <w:tc>
          <w:tcPr>
            <w:tcW w:w="710" w:type="dxa"/>
          </w:tcPr>
          <w:p>
            <w:pPr>
              <w:rPr>
                <w:b/>
                <w:bCs/>
                <w:color w:val="FF0000"/>
                <w:szCs w:val="21"/>
              </w:rPr>
            </w:pPr>
          </w:p>
        </w:tc>
        <w:tc>
          <w:tcPr>
            <w:tcW w:w="390" w:type="dxa"/>
          </w:tcPr>
          <w:p>
            <w:pPr>
              <w:rPr>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464" w:type="dxa"/>
            <w:vMerge w:val="restar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772" w:type="dxa"/>
            <w:vMerge w:val="restar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设备</w:t>
            </w:r>
          </w:p>
        </w:tc>
        <w:tc>
          <w:tcPr>
            <w:tcW w:w="3795" w:type="dxa"/>
          </w:tcPr>
          <w:p>
            <w:pPr>
              <w:jc w:val="center"/>
              <w:rPr>
                <w:b/>
                <w:bCs/>
                <w:color w:val="000000" w:themeColor="text1"/>
                <w:szCs w:val="21"/>
                <w14:textFill>
                  <w14:solidFill>
                    <w14:schemeClr w14:val="tx1"/>
                  </w14:solidFill>
                </w14:textFill>
              </w:rPr>
            </w:pPr>
            <w:r>
              <w:rPr>
                <w:rFonts w:hint="eastAsia"/>
              </w:rPr>
              <w:t>（填写相关内容）</w:t>
            </w:r>
          </w:p>
        </w:tc>
        <w:tc>
          <w:tcPr>
            <w:tcW w:w="2623" w:type="dxa"/>
          </w:tcPr>
          <w:p>
            <w:pPr>
              <w:rPr>
                <w:b/>
                <w:bCs/>
                <w:color w:val="FF0000"/>
                <w:szCs w:val="21"/>
              </w:rPr>
            </w:pPr>
          </w:p>
        </w:tc>
        <w:tc>
          <w:tcPr>
            <w:tcW w:w="710" w:type="dxa"/>
          </w:tcPr>
          <w:p>
            <w:pPr>
              <w:rPr>
                <w:b/>
                <w:bCs/>
                <w:color w:val="FF0000"/>
                <w:szCs w:val="21"/>
              </w:rPr>
            </w:pPr>
          </w:p>
        </w:tc>
        <w:tc>
          <w:tcPr>
            <w:tcW w:w="390" w:type="dxa"/>
          </w:tcPr>
          <w:p>
            <w:pPr>
              <w:rPr>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bl>
    <w:p>
      <w:pPr>
        <w:rPr>
          <w:sz w:val="24"/>
        </w:rPr>
      </w:pPr>
    </w:p>
    <w:p>
      <w:pPr>
        <w:rPr>
          <w:szCs w:val="21"/>
        </w:rPr>
      </w:pPr>
      <w:bookmarkStart w:id="38" w:name="_Hlk72095977"/>
      <w:r>
        <w:rPr>
          <w:rFonts w:hint="eastAsia"/>
          <w:szCs w:val="21"/>
        </w:rPr>
        <w:t>证明资料【如有的话，提供的证明资料应统一编号（排序），格式自定】</w:t>
      </w:r>
      <w:bookmarkEnd w:id="38"/>
      <w:r>
        <w:rPr>
          <w:rFonts w:hint="eastAsia"/>
          <w:szCs w:val="21"/>
        </w:rPr>
        <w:t>：</w:t>
      </w:r>
    </w:p>
    <w:p>
      <w:pPr>
        <w:rPr>
          <w:b/>
          <w:szCs w:val="21"/>
        </w:rPr>
      </w:pPr>
    </w:p>
    <w:p>
      <w:pPr>
        <w:ind w:firstLine="420" w:firstLineChars="200"/>
        <w:rPr>
          <w:bCs/>
          <w:szCs w:val="21"/>
        </w:rPr>
      </w:pPr>
      <w:r>
        <w:rPr>
          <w:rFonts w:hint="eastAsia"/>
          <w:bCs/>
          <w:szCs w:val="21"/>
        </w:rPr>
        <w:t>《技术要求偏离表》编制指引：</w:t>
      </w:r>
    </w:p>
    <w:p>
      <w:pPr>
        <w:ind w:firstLine="420" w:firstLineChars="200"/>
        <w:rPr>
          <w:bCs/>
          <w:szCs w:val="21"/>
        </w:rPr>
      </w:pPr>
      <w:r>
        <w:rPr>
          <w:rFonts w:hint="eastAsia"/>
          <w:bCs/>
          <w:szCs w:val="21"/>
        </w:rPr>
        <w:t>1、技术要求偏离表的序号、货物名称、招标技术要求等栏目</w:t>
      </w:r>
      <w:bookmarkStart w:id="39" w:name="_Hlk72094407"/>
      <w:r>
        <w:rPr>
          <w:rFonts w:hint="eastAsia"/>
          <w:bCs/>
          <w:szCs w:val="21"/>
        </w:rPr>
        <w:t>对应“用户需求书”中的“技术要求”章节</w:t>
      </w:r>
      <w:bookmarkEnd w:id="39"/>
      <w:r>
        <w:rPr>
          <w:rFonts w:hint="eastAsia"/>
          <w:bCs/>
          <w:szCs w:val="21"/>
        </w:rPr>
        <w:t>相关内容。</w:t>
      </w:r>
    </w:p>
    <w:p>
      <w:pPr>
        <w:pStyle w:val="16"/>
        <w:spacing w:beforeAutospacing="0" w:afterAutospacing="0"/>
        <w:ind w:firstLine="420" w:firstLineChars="200"/>
        <w:jc w:val="both"/>
        <w:outlineLvl w:val="1"/>
        <w:rPr>
          <w:rFonts w:ascii="Times New Roman" w:hAnsi="Times New Roman" w:eastAsia="宋体" w:cs="Times New Roman"/>
          <w:bCs/>
          <w:color w:val="FF0000"/>
          <w:sz w:val="21"/>
          <w:szCs w:val="21"/>
        </w:rPr>
      </w:pPr>
      <w:r>
        <w:rPr>
          <w:bCs/>
          <w:sz w:val="21"/>
          <w:szCs w:val="21"/>
        </w:rPr>
        <w:t>2</w:t>
      </w:r>
      <w:r>
        <w:rPr>
          <w:rFonts w:hint="eastAsia"/>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Cs/>
          <w:color w:val="FF0000"/>
          <w:sz w:val="21"/>
          <w:szCs w:val="21"/>
        </w:rPr>
        <w:t>“投标技术响应”必须与</w:t>
      </w:r>
      <w:r>
        <w:rPr>
          <w:rFonts w:hint="eastAsia" w:cs="Times New Roman"/>
          <w:bCs/>
          <w:color w:val="FF0000"/>
          <w:sz w:val="21"/>
          <w:szCs w:val="21"/>
        </w:rPr>
        <w:t>所投产品</w:t>
      </w:r>
      <w:r>
        <w:rPr>
          <w:rFonts w:hint="eastAsia" w:ascii="Times New Roman" w:hAnsi="Times New Roman" w:eastAsia="宋体" w:cs="Times New Roman"/>
          <w:bCs/>
          <w:color w:val="FF0000"/>
          <w:sz w:val="21"/>
          <w:szCs w:val="21"/>
        </w:rPr>
        <w:t>客观实际保持一致，响应不实且情节严重的，经查实，将依法记入供应商诚信档案或受到行政处罚。</w:t>
      </w:r>
    </w:p>
    <w:p>
      <w:pPr>
        <w:ind w:firstLine="420" w:firstLineChars="200"/>
        <w:rPr>
          <w:rFonts w:ascii="Times New Roman" w:hAnsi="Times New Roman" w:eastAsia="宋体" w:cs="Times New Roman"/>
          <w:bCs/>
          <w:color w:val="FF0000"/>
          <w:szCs w:val="21"/>
        </w:rPr>
      </w:pPr>
      <w:r>
        <w:rPr>
          <w:bCs/>
          <w:szCs w:val="21"/>
        </w:rPr>
        <w:t>3</w:t>
      </w:r>
      <w:r>
        <w:rPr>
          <w:rFonts w:hint="eastAsia"/>
          <w:bCs/>
          <w:szCs w:val="21"/>
        </w:rPr>
        <w:t>、</w:t>
      </w:r>
      <w:bookmarkStart w:id="40" w:name="_Hlk72158270"/>
      <w:r>
        <w:rPr>
          <w:rFonts w:hint="eastAsia"/>
          <w:bCs/>
          <w:szCs w:val="21"/>
        </w:rPr>
        <w:t>“偏离情况”</w:t>
      </w:r>
      <w:bookmarkEnd w:id="40"/>
      <w:r>
        <w:rPr>
          <w:rFonts w:hint="eastAsia"/>
          <w:bCs/>
          <w:szCs w:val="21"/>
        </w:rPr>
        <w:t>一栏填写如实填写“正偏离”、“负偏离”或“无偏离”，其中：</w:t>
      </w:r>
      <w:bookmarkStart w:id="41" w:name="_Hlk72093866"/>
      <w:r>
        <w:rPr>
          <w:rFonts w:hint="eastAsia"/>
          <w:bCs/>
          <w:szCs w:val="21"/>
        </w:rPr>
        <w:t>“正偏离”表示“投标响应优于招标技术要求”，“负偏离”表示“投标响应不满足招标技术要求”，“无偏离”表示“投标响应与招标技术要求一致”</w:t>
      </w:r>
      <w:bookmarkEnd w:id="41"/>
      <w:r>
        <w:rPr>
          <w:rFonts w:hint="eastAsia"/>
          <w:bCs/>
          <w:szCs w:val="21"/>
        </w:rPr>
        <w:t>。“投标技术响应”对比“招标技术要求”存在响应不全（包括未响应整项招标技术要求或者未响应一项招标技术要求的部分内容），均视为“负偏离”。带★号条款为不可负偏离条款，不作为评分准则中的评分内容</w:t>
      </w:r>
      <w:r>
        <w:rPr>
          <w:rFonts w:hint="eastAsia" w:eastAsia="宋体"/>
          <w:bCs/>
          <w:szCs w:val="21"/>
        </w:rPr>
        <w:t>，</w:t>
      </w:r>
      <w:r>
        <w:rPr>
          <w:rFonts w:hint="eastAsia"/>
          <w:bCs/>
          <w:szCs w:val="21"/>
        </w:rPr>
        <w:t>如未响应或出现负偏离的，将做投标无效处理。</w:t>
      </w:r>
      <w:r>
        <w:rPr>
          <w:rFonts w:hint="eastAsia" w:ascii="Times New Roman" w:hAnsi="Times New Roman" w:eastAsia="宋体" w:cs="Times New Roman"/>
          <w:bCs/>
          <w:color w:val="FF0000"/>
          <w:szCs w:val="21"/>
        </w:rPr>
        <w:t>“偏离情况”必须与所投产品客观实际保持一致，响应不实且情节严重的，经查实，将依法记入供应商诚信档案或受到行政处罚。</w:t>
      </w:r>
    </w:p>
    <w:p>
      <w:pPr>
        <w:ind w:firstLine="420" w:firstLineChars="200"/>
        <w:rPr>
          <w:bCs/>
          <w:szCs w:val="21"/>
        </w:rPr>
      </w:pPr>
      <w:r>
        <w:rPr>
          <w:bCs/>
          <w:szCs w:val="21"/>
        </w:rPr>
        <w:t>4</w:t>
      </w:r>
      <w:r>
        <w:rPr>
          <w:rFonts w:hint="eastAsia"/>
          <w:bCs/>
          <w:szCs w:val="21"/>
        </w:rPr>
        <w:t>、未要求提供证明资料的招标技术要求，可以不提供证明资料（如实响应即可）。</w:t>
      </w:r>
    </w:p>
    <w:p>
      <w:pPr>
        <w:ind w:firstLine="420" w:firstLineChars="200"/>
        <w:rPr>
          <w:bCs/>
          <w:szCs w:val="21"/>
        </w:rPr>
      </w:pPr>
      <w:r>
        <w:rPr>
          <w:rFonts w:hint="eastAsia"/>
          <w:bCs/>
          <w:szCs w:val="21"/>
        </w:rPr>
        <w:t>5、</w:t>
      </w:r>
      <w:bookmarkStart w:id="42" w:name="_Hlk72096106"/>
      <w:r>
        <w:rPr>
          <w:rFonts w:hint="eastAsia"/>
          <w:bCs/>
          <w:szCs w:val="21"/>
        </w:rPr>
        <w:t>证明资料条款响应要求</w:t>
      </w:r>
      <w:bookmarkEnd w:id="42"/>
      <w:r>
        <w:rPr>
          <w:rFonts w:hint="eastAsia"/>
          <w:bCs/>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43" w:name="_Hlk73558782"/>
      <w:r>
        <w:rPr>
          <w:rFonts w:hint="eastAsia"/>
          <w:bCs/>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44" w:name="_Hlk73558164"/>
      <w:r>
        <w:rPr>
          <w:rFonts w:hint="eastAsia"/>
          <w:bCs/>
          <w:szCs w:val="21"/>
        </w:rPr>
        <w:t>且投标人在“偏离情况”一栏响应为“正偏离”或“无偏离”的，经评审委员会认定，将判定为负偏离。</w:t>
      </w:r>
      <w:bookmarkEnd w:id="43"/>
      <w:bookmarkEnd w:id="44"/>
    </w:p>
    <w:p>
      <w:pPr>
        <w:ind w:firstLine="420" w:firstLineChars="200"/>
        <w:rPr>
          <w:bCs/>
          <w:szCs w:val="21"/>
        </w:rPr>
      </w:pPr>
      <w:r>
        <w:rPr>
          <w:rFonts w:hint="eastAsia"/>
          <w:bCs/>
          <w:szCs w:val="21"/>
        </w:rPr>
        <w:t>6、</w:t>
      </w:r>
      <w:bookmarkStart w:id="45" w:name="_Hlk72096137"/>
      <w:r>
        <w:rPr>
          <w:rFonts w:hint="eastAsia"/>
          <w:bCs/>
          <w:szCs w:val="21"/>
        </w:rPr>
        <w:t>表后“证明资料”部分内容的编制</w:t>
      </w:r>
      <w:bookmarkEnd w:id="45"/>
      <w:r>
        <w:rPr>
          <w:rFonts w:hint="eastAsia"/>
          <w:bCs/>
          <w:szCs w:val="21"/>
        </w:rPr>
        <w:t>：提供的所有证明资料应当统一编号（排序），且证明资料的编号（顺序）、数量和名称（形式）均应与“说明”一栏所填内容保持一致（一一对应），以便评审委员会查看。</w:t>
      </w:r>
      <w:bookmarkStart w:id="46" w:name="_Hlk73558180"/>
      <w:r>
        <w:rPr>
          <w:rFonts w:hint="eastAsia"/>
          <w:bCs/>
          <w:szCs w:val="21"/>
        </w:rPr>
        <w:t>未按照招标文件要求在表后放置证明材料的供应商将承担不利后果，经评审委员会认定，相关技术要求将判定为负偏离。</w:t>
      </w:r>
      <w:bookmarkEnd w:id="46"/>
    </w:p>
    <w:p>
      <w:pPr>
        <w:ind w:firstLine="420" w:firstLineChars="200"/>
        <w:rPr>
          <w:bCs/>
          <w:szCs w:val="21"/>
        </w:rPr>
      </w:pPr>
      <w:r>
        <w:rPr>
          <w:rFonts w:hint="eastAsia"/>
          <w:bCs/>
          <w:szCs w:val="21"/>
        </w:rPr>
        <w:t>7、</w:t>
      </w:r>
      <w:bookmarkStart w:id="47" w:name="_Hlk72096176"/>
      <w:r>
        <w:rPr>
          <w:rFonts w:hint="eastAsia"/>
          <w:bCs/>
          <w:szCs w:val="21"/>
        </w:rPr>
        <w:t>证明资料的形式及其它具体要求</w:t>
      </w:r>
      <w:bookmarkEnd w:id="47"/>
      <w:r>
        <w:rPr>
          <w:rFonts w:hint="eastAsia"/>
          <w:bCs/>
          <w:szCs w:val="21"/>
        </w:rPr>
        <w:t>：</w:t>
      </w:r>
    </w:p>
    <w:p>
      <w:pPr>
        <w:ind w:firstLine="420" w:firstLineChars="200"/>
        <w:rPr>
          <w:bCs/>
          <w:szCs w:val="21"/>
        </w:rPr>
      </w:pPr>
      <w:r>
        <w:rPr>
          <w:rFonts w:hint="eastAsia"/>
          <w:bCs/>
          <w:szCs w:val="21"/>
        </w:rPr>
        <w:t>（1）除照片、图片（截图）及不需加盖公章的文字说明（技术说明）外，其它证明资料均要求为原件扫描件；</w:t>
      </w:r>
    </w:p>
    <w:p>
      <w:pPr>
        <w:ind w:firstLine="420" w:firstLineChars="200"/>
        <w:rPr>
          <w:bCs/>
          <w:szCs w:val="21"/>
        </w:rPr>
      </w:pPr>
      <w:r>
        <w:rPr>
          <w:rFonts w:hint="eastAsia"/>
          <w:bCs/>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bCs/>
          <w:szCs w:val="21"/>
        </w:rPr>
      </w:pPr>
      <w:r>
        <w:rPr>
          <w:rFonts w:hint="eastAsia"/>
          <w:bCs/>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bCs/>
          <w:szCs w:val="21"/>
        </w:rPr>
      </w:pPr>
      <w:r>
        <w:rPr>
          <w:rFonts w:hint="eastAsia"/>
          <w:bCs/>
          <w:szCs w:val="21"/>
        </w:rPr>
        <w:t>我国政府机构出具的产品检验和核准证件应为证件正面、背面和附件标注的全部具体内容；产品检验和核准证件的尺寸和清晰度应该能够在电脑上被阅读、识别和判断；</w:t>
      </w:r>
    </w:p>
    <w:p>
      <w:pPr>
        <w:ind w:firstLine="420" w:firstLineChars="200"/>
        <w:rPr>
          <w:bCs/>
          <w:szCs w:val="21"/>
        </w:rPr>
      </w:pPr>
      <w:r>
        <w:rPr>
          <w:rFonts w:hint="eastAsia"/>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bCs/>
          <w:szCs w:val="21"/>
        </w:rPr>
      </w:pPr>
      <w:r>
        <w:rPr>
          <w:rFonts w:hint="eastAsia"/>
          <w:bCs/>
          <w:szCs w:val="21"/>
        </w:rPr>
        <w:t>其它证明资料的形式要求参照以上要求执行；</w:t>
      </w:r>
    </w:p>
    <w:p>
      <w:pPr>
        <w:ind w:firstLine="420" w:firstLineChars="200"/>
        <w:rPr>
          <w:bCs/>
          <w:szCs w:val="21"/>
        </w:rPr>
      </w:pPr>
      <w:r>
        <w:rPr>
          <w:rFonts w:hint="eastAsia"/>
          <w:bCs/>
          <w:szCs w:val="21"/>
        </w:rPr>
        <w:t>（4）证明资料均要求原件备查。</w:t>
      </w:r>
    </w:p>
    <w:p>
      <w:pPr>
        <w:ind w:firstLine="420" w:firstLineChars="200"/>
        <w:rPr>
          <w:bCs/>
          <w:szCs w:val="21"/>
        </w:rPr>
      </w:pPr>
      <w:r>
        <w:rPr>
          <w:rFonts w:hint="eastAsia"/>
          <w:bCs/>
          <w:szCs w:val="21"/>
        </w:rPr>
        <w:t>8、其它注意事项：</w:t>
      </w:r>
    </w:p>
    <w:p>
      <w:pPr>
        <w:ind w:firstLine="420" w:firstLineChars="200"/>
        <w:rPr>
          <w:bCs/>
          <w:szCs w:val="21"/>
        </w:rPr>
      </w:pPr>
      <w:r>
        <w:rPr>
          <w:rFonts w:hint="eastAsia"/>
          <w:bCs/>
          <w:szCs w:val="21"/>
        </w:rPr>
        <w:t>（1）评审委员会有权对投标人的响应情况作出判断（评审结论）；</w:t>
      </w:r>
    </w:p>
    <w:p>
      <w:pPr>
        <w:ind w:firstLine="420" w:firstLineChars="200"/>
        <w:rPr>
          <w:bCs/>
          <w:szCs w:val="21"/>
        </w:rPr>
      </w:pPr>
      <w:r>
        <w:rPr>
          <w:rFonts w:hint="eastAsia"/>
          <w:bCs/>
          <w:szCs w:val="21"/>
        </w:rPr>
        <w:t>（2）</w:t>
      </w:r>
      <w:bookmarkStart w:id="48" w:name="_Hlk72158213"/>
      <w:r>
        <w:rPr>
          <w:rFonts w:hint="eastAsia"/>
          <w:bCs/>
          <w:szCs w:val="21"/>
        </w:rPr>
        <w:t>评审委员会有权对以谋取中标为目的的技术规格模糊响应（如有意不合理照搬照抄招标文件的技术要求）或虚假响应予以认定，并视情况经政府集中采购机构报主管部门进行处理。</w:t>
      </w:r>
      <w:bookmarkEnd w:id="48"/>
    </w:p>
    <w:p>
      <w:pPr>
        <w:ind w:firstLine="482" w:firstLineChars="200"/>
        <w:rPr>
          <w:b/>
          <w:sz w:val="24"/>
        </w:rPr>
      </w:pPr>
    </w:p>
    <w:p>
      <w:pPr>
        <w:ind w:firstLine="482" w:firstLineChars="200"/>
        <w:rPr>
          <w:b/>
          <w:sz w:val="24"/>
        </w:rPr>
      </w:pPr>
    </w:p>
    <w:p>
      <w:pPr>
        <w:ind w:firstLine="482" w:firstLineChars="200"/>
        <w:rPr>
          <w:b/>
          <w:sz w:val="24"/>
        </w:rPr>
      </w:pPr>
    </w:p>
    <w:p>
      <w:pPr>
        <w:rPr>
          <w:rFonts w:hint="eastAsia" w:ascii="宋体" w:hAnsi="宋体"/>
        </w:rPr>
      </w:pPr>
      <w:r>
        <w:rPr>
          <w:rFonts w:ascii="宋体" w:hAnsi="宋体" w:eastAsia="宋体" w:cs="Times New Roman"/>
          <w:color w:val="FF0000"/>
          <w:sz w:val="32"/>
          <w:szCs w:val="32"/>
        </w:rPr>
        <w:br w:type="page"/>
      </w:r>
    </w:p>
    <w:p>
      <w:pPr>
        <w:ind w:left="718" w:leftChars="342" w:firstLine="1620" w:firstLineChars="675"/>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六、技术保障措施</w:t>
      </w:r>
    </w:p>
    <w:p>
      <w:pPr>
        <w:ind w:left="718" w:leftChars="342" w:firstLine="1620" w:firstLineChars="675"/>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七、项目实施保障措施</w:t>
      </w:r>
    </w:p>
    <w:p>
      <w:pPr>
        <w:ind w:left="718" w:leftChars="342" w:firstLine="1620" w:firstLineChars="675"/>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八、同类项目业绩</w:t>
      </w:r>
    </w:p>
    <w:p>
      <w:pPr>
        <w:ind w:left="718" w:leftChars="342" w:firstLine="1620" w:firstLineChars="675"/>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九、投标人认为需要加以说明的其他内容</w:t>
      </w:r>
    </w:p>
    <w:p>
      <w:pPr>
        <w:widowControl/>
        <w:jc w:val="center"/>
        <w:rPr>
          <w:rFonts w:hint="eastAsia" w:ascii="黑体" w:hAnsi="宋体" w:eastAsia="黑体"/>
          <w:kern w:val="0"/>
          <w:sz w:val="24"/>
          <w:szCs w:val="20"/>
        </w:rPr>
      </w:pPr>
    </w:p>
    <w:p>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pPr>
        <w:widowControl/>
        <w:jc w:val="center"/>
        <w:rPr>
          <w:rFonts w:ascii="黑体" w:hAnsi="宋体" w:eastAsia="黑体"/>
          <w:kern w:val="0"/>
          <w:sz w:val="24"/>
          <w:szCs w:val="20"/>
        </w:rPr>
      </w:pPr>
    </w:p>
    <w:p>
      <w:pPr>
        <w:spacing w:before="0" w:beforeLines="0" w:after="157" w:afterLines="50" w:line="360" w:lineRule="exact"/>
        <w:ind w:firstLine="482" w:firstLineChars="200"/>
        <w:rPr>
          <w:rFonts w:hint="eastAsia" w:eastAsia="宋体" w:cs="Times New Roman"/>
          <w:b/>
          <w:bCs/>
          <w:color w:val="auto"/>
          <w:sz w:val="24"/>
          <w:lang w:val="en-US" w:eastAsia="zh-CN"/>
        </w:rPr>
      </w:pPr>
      <w:r>
        <w:rPr>
          <w:rFonts w:hint="eastAsia"/>
          <w:b/>
          <w:bCs/>
          <w:color w:val="auto"/>
          <w:sz w:val="24"/>
          <w:lang w:eastAsia="zh-CN"/>
        </w:rPr>
        <w:t>我</w:t>
      </w:r>
      <w:r>
        <w:rPr>
          <w:rFonts w:hint="eastAsia" w:ascii="Calibri" w:hAnsi="Calibri" w:eastAsia="宋体" w:cs="Times New Roman"/>
          <w:b/>
          <w:bCs/>
          <w:color w:val="auto"/>
          <w:sz w:val="24"/>
          <w:szCs w:val="24"/>
          <w:lang w:val="en-US" w:eastAsia="zh-CN"/>
        </w:rPr>
        <w:t>单位</w:t>
      </w:r>
      <w:r>
        <w:rPr>
          <w:rFonts w:hint="eastAsia" w:eastAsia="宋体"/>
          <w:b/>
          <w:bCs/>
          <w:color w:val="auto"/>
          <w:sz w:val="24"/>
        </w:rPr>
        <w:t>在</w:t>
      </w:r>
      <w:r>
        <w:rPr>
          <w:rFonts w:hint="eastAsia"/>
          <w:b/>
          <w:bCs/>
          <w:color w:val="auto"/>
          <w:sz w:val="24"/>
        </w:rPr>
        <w:t>投标前已充分知悉以下情形为参与政府采购活动时的重大风险事项，并承诺已对下述风险提示事项重点排查，</w:t>
      </w:r>
      <w:r>
        <w:rPr>
          <w:rFonts w:hint="eastAsia" w:eastAsia="宋体" w:cs="Times New Roman"/>
          <w:b/>
          <w:bCs/>
          <w:color w:val="auto"/>
          <w:sz w:val="24"/>
          <w:lang w:val="en-US" w:eastAsia="zh-CN"/>
        </w:rPr>
        <w:t>若存在下述情况，我单位愿意依法承担被记入供应商诚信档案、罚款、取消参与政府采购资格、吊销营业执照等处罚；构成犯罪的，依法承担刑事责任。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pPr>
        <w:spacing w:before="157" w:beforeLines="50" w:line="380" w:lineRule="exact"/>
        <w:ind w:firstLine="422" w:firstLineChars="200"/>
        <w:rPr>
          <w:b/>
          <w:color w:val="auto"/>
        </w:rPr>
      </w:pPr>
      <w:r>
        <w:rPr>
          <w:rFonts w:hint="eastAsia"/>
          <w:b/>
          <w:color w:val="auto"/>
        </w:rPr>
        <w:t>一、</w:t>
      </w:r>
      <w:r>
        <w:rPr>
          <w:rFonts w:hint="eastAsia"/>
          <w:b/>
          <w:color w:val="auto"/>
          <w:lang w:eastAsia="zh-CN"/>
        </w:rPr>
        <w:t>我</w:t>
      </w:r>
      <w:r>
        <w:rPr>
          <w:rFonts w:hint="eastAsia"/>
          <w:b/>
          <w:color w:val="auto"/>
          <w:lang w:val="en-US" w:eastAsia="zh-CN"/>
        </w:rPr>
        <w:t>单位</w:t>
      </w:r>
      <w:r>
        <w:rPr>
          <w:rFonts w:hint="eastAsia"/>
          <w:b/>
          <w:color w:val="auto"/>
        </w:rPr>
        <w:t>已充分知悉“隐瞒真实情况，提供虚假资料”的法定情形，包括但不限于：</w:t>
      </w:r>
    </w:p>
    <w:p>
      <w:pPr>
        <w:spacing w:beforeLines="0" w:line="380" w:lineRule="exact"/>
        <w:ind w:firstLine="420" w:firstLineChars="200"/>
        <w:rPr>
          <w:color w:val="auto"/>
        </w:rPr>
      </w:pPr>
      <w:r>
        <w:rPr>
          <w:rFonts w:hint="eastAsia"/>
          <w:color w:val="auto"/>
        </w:rPr>
        <w:t>（一）通过转让或者租借等方式从其他单位获取资格或者资质证书投标的</w:t>
      </w:r>
      <w:r>
        <w:rPr>
          <w:rFonts w:hint="eastAsia"/>
          <w:color w:val="auto"/>
          <w:highlight w:val="none"/>
        </w:rPr>
        <w:t>。</w:t>
      </w:r>
    </w:p>
    <w:p>
      <w:pPr>
        <w:spacing w:beforeLines="0" w:line="380" w:lineRule="exact"/>
        <w:ind w:firstLine="420" w:firstLineChars="200"/>
        <w:rPr>
          <w:color w:val="auto"/>
        </w:rPr>
      </w:pPr>
      <w:r>
        <w:rPr>
          <w:rFonts w:hint="eastAsia"/>
          <w:color w:val="auto"/>
        </w:rPr>
        <w:t>（二）由其他单位或者其他单位负责人在投标供应商编制的投标文件上加盖印章或者签字的。</w:t>
      </w:r>
    </w:p>
    <w:p>
      <w:pPr>
        <w:spacing w:beforeLines="0" w:line="380" w:lineRule="exact"/>
        <w:ind w:firstLine="420" w:firstLineChars="200"/>
        <w:rPr>
          <w:color w:val="auto"/>
        </w:rPr>
      </w:pPr>
      <w:r>
        <w:rPr>
          <w:rFonts w:hint="eastAsia"/>
          <w:color w:val="auto"/>
        </w:rPr>
        <w:t>（三）项目负责人或者主要技术人员不是本单位人员的。</w:t>
      </w:r>
    </w:p>
    <w:p>
      <w:pPr>
        <w:spacing w:beforeLines="0" w:line="380" w:lineRule="exact"/>
        <w:ind w:firstLine="420" w:firstLineChars="200"/>
        <w:rPr>
          <w:color w:val="auto"/>
        </w:rPr>
      </w:pPr>
      <w:r>
        <w:rPr>
          <w:rFonts w:hint="eastAsia"/>
          <w:color w:val="auto"/>
        </w:rPr>
        <w:t>（四）投标保证金不是从投标供应商基本账户转出的。</w:t>
      </w:r>
    </w:p>
    <w:p>
      <w:pPr>
        <w:spacing w:beforeLines="0" w:line="380" w:lineRule="exact"/>
        <w:ind w:firstLine="420" w:firstLineChars="200"/>
        <w:rPr>
          <w:color w:val="auto"/>
        </w:rPr>
      </w:pPr>
      <w:r>
        <w:rPr>
          <w:rFonts w:hint="eastAsia"/>
          <w:color w:val="auto"/>
        </w:rPr>
        <w:t>（五）其他隐瞒真实情况、提供虚假资料的行为。</w:t>
      </w:r>
    </w:p>
    <w:p>
      <w:pPr>
        <w:spacing w:beforeLines="0" w:line="380" w:lineRule="exact"/>
        <w:ind w:firstLine="422" w:firstLineChars="200"/>
        <w:rPr>
          <w:b/>
          <w:color w:val="auto"/>
        </w:rPr>
      </w:pPr>
      <w:r>
        <w:rPr>
          <w:rFonts w:hint="eastAsia"/>
          <w:b/>
          <w:color w:val="auto"/>
        </w:rPr>
        <w:t>二、</w:t>
      </w:r>
      <w:r>
        <w:rPr>
          <w:rFonts w:hint="eastAsia"/>
          <w:b/>
          <w:color w:val="auto"/>
          <w:lang w:eastAsia="zh-CN"/>
        </w:rPr>
        <w:t>我</w:t>
      </w:r>
      <w:r>
        <w:rPr>
          <w:rFonts w:hint="eastAsia"/>
          <w:b/>
          <w:color w:val="auto"/>
          <w:lang w:val="en-US" w:eastAsia="zh-CN"/>
        </w:rPr>
        <w:t>单位</w:t>
      </w:r>
      <w:r>
        <w:rPr>
          <w:rFonts w:hint="eastAsia"/>
          <w:b/>
          <w:color w:val="auto"/>
        </w:rPr>
        <w:t>已充分知悉“与其他采购参加人串通投标”的法定情形，包括但不限于：</w:t>
      </w:r>
    </w:p>
    <w:p>
      <w:pPr>
        <w:spacing w:beforeLines="0" w:line="380" w:lineRule="exact"/>
        <w:ind w:firstLine="420" w:firstLineChars="200"/>
        <w:rPr>
          <w:color w:val="auto"/>
        </w:rPr>
      </w:pPr>
      <w:r>
        <w:rPr>
          <w:rFonts w:hint="eastAsia"/>
          <w:color w:val="auto"/>
        </w:rPr>
        <w:t>（一）投标供应商之间相互约定给予未中标的供应商利益补偿。</w:t>
      </w:r>
    </w:p>
    <w:p>
      <w:pPr>
        <w:spacing w:beforeLines="0" w:line="380" w:lineRule="exact"/>
        <w:ind w:firstLine="420" w:firstLineChars="200"/>
        <w:rPr>
          <w:color w:val="auto"/>
        </w:rPr>
      </w:pPr>
      <w:r>
        <w:rPr>
          <w:rFonts w:hint="eastAsia"/>
          <w:color w:val="auto"/>
        </w:rPr>
        <w:t>（二）不同投标供应商的法定代表人、主要经营负责人、项目投标授权代表人、项目负责人、主要技术人员为同一人、属同一单位或者在同一单位缴纳社会保险。</w:t>
      </w:r>
    </w:p>
    <w:p>
      <w:pPr>
        <w:spacing w:beforeLines="0" w:line="340" w:lineRule="exact"/>
        <w:ind w:firstLine="420" w:firstLineChars="200"/>
        <w:rPr>
          <w:color w:val="auto"/>
        </w:rPr>
      </w:pPr>
      <w:r>
        <w:rPr>
          <w:rFonts w:hint="eastAsia"/>
          <w:color w:val="auto"/>
        </w:rPr>
        <w:t>（三）不同投标供应商的投标文件由同一单位或者同一人编制，或者由同一人分阶段参与编制的。</w:t>
      </w:r>
    </w:p>
    <w:p>
      <w:pPr>
        <w:spacing w:beforeLines="0" w:line="340" w:lineRule="exact"/>
        <w:ind w:firstLine="420" w:firstLineChars="200"/>
        <w:rPr>
          <w:color w:val="auto"/>
        </w:rPr>
      </w:pPr>
      <w:r>
        <w:rPr>
          <w:rFonts w:hint="eastAsia"/>
          <w:color w:val="auto"/>
        </w:rPr>
        <w:t>（四）不同投标供应商的投标文件或部分投标文件相互混装。</w:t>
      </w:r>
    </w:p>
    <w:p>
      <w:pPr>
        <w:spacing w:beforeLines="0" w:line="340" w:lineRule="exact"/>
        <w:ind w:firstLine="420" w:firstLineChars="200"/>
        <w:rPr>
          <w:color w:val="auto"/>
        </w:rPr>
      </w:pPr>
      <w:r>
        <w:rPr>
          <w:rFonts w:hint="eastAsia"/>
          <w:color w:val="auto"/>
        </w:rPr>
        <w:t>（五）不同投标供应商的投标文件内容存在非正常一致。</w:t>
      </w:r>
    </w:p>
    <w:p>
      <w:pPr>
        <w:spacing w:beforeLines="0" w:line="340" w:lineRule="exact"/>
        <w:ind w:firstLine="420" w:firstLineChars="200"/>
        <w:rPr>
          <w:color w:val="auto"/>
        </w:rPr>
      </w:pPr>
      <w:r>
        <w:rPr>
          <w:rFonts w:hint="eastAsia"/>
          <w:color w:val="auto"/>
        </w:rPr>
        <w:t>（六）由同一单位工作人员为两家以上（含两家）供应商进行同一项投标活动的。</w:t>
      </w:r>
    </w:p>
    <w:p>
      <w:pPr>
        <w:spacing w:beforeLines="0" w:line="340" w:lineRule="exact"/>
        <w:ind w:firstLine="420" w:firstLineChars="200"/>
        <w:rPr>
          <w:color w:val="auto"/>
        </w:rPr>
      </w:pPr>
      <w:r>
        <w:rPr>
          <w:rFonts w:hint="eastAsia"/>
          <w:color w:val="auto"/>
        </w:rPr>
        <w:t>（七）不同投标人的投标报价呈规律性差异。</w:t>
      </w:r>
    </w:p>
    <w:p>
      <w:pPr>
        <w:spacing w:beforeLines="0" w:line="340" w:lineRule="exact"/>
        <w:ind w:firstLine="420" w:firstLineChars="200"/>
        <w:rPr>
          <w:color w:val="auto"/>
        </w:rPr>
      </w:pPr>
      <w:r>
        <w:rPr>
          <w:rFonts w:hint="eastAsia"/>
          <w:color w:val="auto"/>
        </w:rPr>
        <w:t>（八）不同投标人的投标保证金从同一单位或者个人的账户转出。</w:t>
      </w:r>
    </w:p>
    <w:p>
      <w:pPr>
        <w:spacing w:beforeLines="0" w:line="340" w:lineRule="exact"/>
        <w:ind w:firstLine="420" w:firstLineChars="200"/>
        <w:rPr>
          <w:color w:val="auto"/>
        </w:rPr>
      </w:pPr>
      <w:r>
        <w:rPr>
          <w:rFonts w:hint="eastAsia"/>
          <w:color w:val="auto"/>
        </w:rPr>
        <w:t>（九）主管部门依照法律、法规认定的其他情形。</w:t>
      </w:r>
    </w:p>
    <w:p>
      <w:pPr>
        <w:spacing w:beforeLines="0" w:line="340" w:lineRule="exact"/>
        <w:ind w:firstLine="422" w:firstLineChars="200"/>
        <w:rPr>
          <w:b/>
          <w:color w:val="auto"/>
        </w:rPr>
      </w:pPr>
      <w:r>
        <w:rPr>
          <w:rFonts w:hint="eastAsia"/>
          <w:b/>
          <w:color w:val="auto"/>
        </w:rPr>
        <w:t>三、</w:t>
      </w:r>
      <w:r>
        <w:rPr>
          <w:rFonts w:hint="eastAsia"/>
          <w:b/>
          <w:color w:val="auto"/>
          <w:lang w:eastAsia="zh-CN"/>
        </w:rPr>
        <w:t>我</w:t>
      </w:r>
      <w:r>
        <w:rPr>
          <w:rFonts w:hint="eastAsia"/>
          <w:b/>
          <w:color w:val="auto"/>
          <w:lang w:val="en-US" w:eastAsia="zh-CN"/>
        </w:rPr>
        <w:t>单位</w:t>
      </w:r>
      <w:r>
        <w:rPr>
          <w:rFonts w:hint="eastAsia"/>
          <w:b/>
          <w:color w:val="auto"/>
        </w:rPr>
        <w:t>已充分知悉下列情形</w:t>
      </w:r>
      <w:r>
        <w:rPr>
          <w:rFonts w:hint="eastAsia"/>
          <w:b/>
          <w:color w:val="auto"/>
          <w:lang w:eastAsia="zh-CN"/>
        </w:rPr>
        <w:t>存在</w:t>
      </w:r>
      <w:r>
        <w:rPr>
          <w:rFonts w:hint="eastAsia"/>
          <w:b/>
          <w:color w:val="auto"/>
        </w:rPr>
        <w:t>法律风险，在投标前已对相关风险事项进行排</w:t>
      </w:r>
      <w:r>
        <w:rPr>
          <w:rFonts w:hint="eastAsia"/>
          <w:b/>
          <w:color w:val="auto"/>
          <w:highlight w:val="none"/>
        </w:rPr>
        <w:t>查。</w:t>
      </w:r>
    </w:p>
    <w:p>
      <w:pPr>
        <w:spacing w:beforeLines="0" w:line="340" w:lineRule="exact"/>
        <w:ind w:firstLine="420" w:firstLineChars="200"/>
        <w:rPr>
          <w:b/>
          <w:color w:val="auto"/>
        </w:rPr>
      </w:pPr>
      <w:r>
        <w:rPr>
          <w:rFonts w:hint="eastAsia"/>
          <w:color w:val="auto"/>
        </w:rPr>
        <w:t>（一）对于从其他主体获取的投标资料，</w:t>
      </w:r>
      <w:r>
        <w:rPr>
          <w:rFonts w:hint="eastAsia"/>
          <w:color w:val="auto"/>
          <w:lang w:eastAsia="zh-CN"/>
        </w:rPr>
        <w:t>我</w:t>
      </w:r>
      <w:r>
        <w:rPr>
          <w:rFonts w:hint="eastAsia"/>
          <w:color w:val="auto"/>
          <w:lang w:val="en-US" w:eastAsia="zh-CN"/>
        </w:rPr>
        <w:t>单位</w:t>
      </w:r>
      <w:r>
        <w:rPr>
          <w:rFonts w:hint="eastAsia"/>
          <w:color w:val="auto"/>
        </w:rPr>
        <w:t>应审慎核查，确保</w:t>
      </w:r>
      <w:r>
        <w:rPr>
          <w:rFonts w:hint="eastAsia"/>
          <w:color w:val="auto"/>
          <w:lang w:eastAsia="zh-CN"/>
        </w:rPr>
        <w:t>其</w:t>
      </w:r>
      <w:r>
        <w:rPr>
          <w:rFonts w:hint="eastAsia"/>
          <w:color w:val="auto"/>
        </w:rPr>
        <w:t>真实性。</w:t>
      </w:r>
      <w:r>
        <w:rPr>
          <w:rFonts w:hint="eastAsia"/>
          <w:b/>
          <w:color w:val="auto"/>
        </w:rPr>
        <w:t>如主管部门查实投标文件中存在虚假资料的，无论相关资料是否由第三方或本公司员工提供，均不影响主管部门对供应商存在“隐瞒真实情况，提供虚假资料”违法行为的认定。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color w:val="auto"/>
        </w:rPr>
      </w:pPr>
      <w:r>
        <w:rPr>
          <w:rFonts w:hint="eastAsia"/>
          <w:color w:val="auto"/>
        </w:rPr>
        <w:t>（二）对于涉及国家机关出具的公文、证件、证明材料等文件，一旦涉嫌虚假，经查实，主管部门将依法从严处理，并移送有关部门追究法律责任；涉嫌犯罪的，移送司法机关</w:t>
      </w:r>
      <w:r>
        <w:rPr>
          <w:rFonts w:hint="eastAsia"/>
          <w:color w:val="auto"/>
          <w:lang w:eastAsia="zh-CN"/>
        </w:rPr>
        <w:t>处理</w:t>
      </w:r>
      <w:r>
        <w:rPr>
          <w:rFonts w:hint="eastAsia"/>
          <w:color w:val="auto"/>
        </w:rPr>
        <w:t>。</w:t>
      </w:r>
    </w:p>
    <w:p>
      <w:pPr>
        <w:spacing w:beforeLines="0" w:line="340" w:lineRule="exact"/>
        <w:ind w:firstLine="420" w:firstLineChars="200"/>
        <w:rPr>
          <w:color w:val="auto"/>
        </w:rPr>
      </w:pPr>
      <w:r>
        <w:rPr>
          <w:rFonts w:hint="eastAsia"/>
          <w:color w:val="auto"/>
        </w:rPr>
        <w:t>（</w:t>
      </w:r>
      <w:r>
        <w:rPr>
          <w:rFonts w:hint="eastAsia"/>
          <w:color w:val="auto"/>
          <w:lang w:eastAsia="zh-CN"/>
        </w:rPr>
        <w:t>三</w:t>
      </w:r>
      <w:r>
        <w:rPr>
          <w:rFonts w:hint="eastAsia"/>
          <w:color w:val="auto"/>
        </w:rPr>
        <w:t>）</w:t>
      </w:r>
      <w:r>
        <w:rPr>
          <w:rFonts w:hint="eastAsia"/>
          <w:color w:val="auto"/>
          <w:lang w:eastAsia="zh-CN"/>
        </w:rPr>
        <w:t>我</w:t>
      </w:r>
      <w:r>
        <w:rPr>
          <w:rFonts w:hint="eastAsia"/>
          <w:color w:val="auto"/>
          <w:lang w:val="en-US" w:eastAsia="zh-CN"/>
        </w:rPr>
        <w:t>单位</w:t>
      </w:r>
      <w:r>
        <w:rPr>
          <w:rFonts w:hint="eastAsia"/>
          <w:color w:val="auto"/>
        </w:rPr>
        <w:t>对投标电子密钥</w:t>
      </w:r>
      <w:r>
        <w:rPr>
          <w:rFonts w:hint="eastAsia"/>
          <w:color w:val="auto"/>
          <w:lang w:eastAsia="zh-CN"/>
        </w:rPr>
        <w:t>或</w:t>
      </w:r>
      <w:r>
        <w:rPr>
          <w:rFonts w:hint="eastAsia"/>
          <w:color w:val="auto"/>
          <w:lang w:val="en-US" w:eastAsia="zh-CN"/>
        </w:rPr>
        <w:t>电子营业执照</w:t>
      </w:r>
      <w:r>
        <w:rPr>
          <w:rFonts w:hint="eastAsia"/>
          <w:color w:val="auto"/>
        </w:rPr>
        <w:t>负有妥善保管、及时变更和续期等主体责任</w:t>
      </w:r>
      <w:r>
        <w:rPr>
          <w:rFonts w:hint="eastAsia"/>
          <w:color w:val="auto"/>
          <w:lang w:eastAsia="zh-CN"/>
        </w:rPr>
        <w:t>；</w:t>
      </w:r>
      <w:r>
        <w:rPr>
          <w:rFonts w:hint="eastAsia"/>
          <w:color w:val="auto"/>
        </w:rPr>
        <w:t>使用电子密钥</w:t>
      </w:r>
      <w:r>
        <w:rPr>
          <w:rFonts w:hint="eastAsia"/>
          <w:color w:val="auto"/>
          <w:lang w:eastAsia="zh-CN"/>
        </w:rPr>
        <w:t>或</w:t>
      </w:r>
      <w:r>
        <w:rPr>
          <w:rFonts w:hint="eastAsia"/>
          <w:color w:val="auto"/>
          <w:lang w:val="en-US" w:eastAsia="zh-CN"/>
        </w:rPr>
        <w:t>电子营业执照</w:t>
      </w:r>
      <w:r>
        <w:rPr>
          <w:rFonts w:hint="eastAsia"/>
          <w:color w:val="auto"/>
        </w:rPr>
        <w:t>在深圳政府采购网站进行的活动，均具有法律效力，须承担相应的法律后果。</w:t>
      </w:r>
      <w:r>
        <w:rPr>
          <w:rFonts w:hint="eastAsia"/>
          <w:color w:val="auto"/>
          <w:lang w:eastAsia="zh-CN"/>
        </w:rPr>
        <w:t>若</w:t>
      </w:r>
      <w:r>
        <w:rPr>
          <w:rFonts w:hint="eastAsia"/>
          <w:b/>
          <w:bCs/>
          <w:color w:val="auto"/>
        </w:rPr>
        <w:t>擅自将投标密钥</w:t>
      </w:r>
      <w:r>
        <w:rPr>
          <w:rFonts w:hint="eastAsia"/>
          <w:b/>
          <w:bCs/>
          <w:color w:val="auto"/>
          <w:lang w:eastAsia="zh-CN"/>
        </w:rPr>
        <w:t>或</w:t>
      </w:r>
      <w:r>
        <w:rPr>
          <w:rFonts w:hint="eastAsia"/>
          <w:b/>
          <w:bCs/>
          <w:color w:val="auto"/>
          <w:lang w:val="en-US" w:eastAsia="zh-CN"/>
        </w:rPr>
        <w:t>电子营业执照</w:t>
      </w:r>
      <w:r>
        <w:rPr>
          <w:rFonts w:hint="eastAsia"/>
          <w:b/>
          <w:bCs/>
          <w:color w:val="auto"/>
        </w:rPr>
        <w:t>出借他人使用所造成的法律后果，由</w:t>
      </w:r>
      <w:r>
        <w:rPr>
          <w:rFonts w:hint="eastAsia"/>
          <w:b/>
          <w:bCs/>
          <w:color w:val="auto"/>
          <w:lang w:eastAsia="zh-CN"/>
        </w:rPr>
        <w:t>我</w:t>
      </w:r>
      <w:r>
        <w:rPr>
          <w:rFonts w:hint="eastAsia"/>
          <w:b/>
          <w:bCs/>
          <w:color w:val="auto"/>
          <w:lang w:val="en-US" w:eastAsia="zh-CN"/>
        </w:rPr>
        <w:t>单位</w:t>
      </w:r>
      <w:r>
        <w:rPr>
          <w:rFonts w:hint="eastAsia"/>
          <w:b/>
          <w:bCs/>
          <w:color w:val="auto"/>
        </w:rPr>
        <w:t>自行承担</w:t>
      </w:r>
      <w:r>
        <w:rPr>
          <w:rFonts w:hint="eastAsia"/>
          <w:color w:val="auto"/>
        </w:rPr>
        <w:t>。</w:t>
      </w:r>
    </w:p>
    <w:p>
      <w:pPr>
        <w:spacing w:beforeLines="0" w:line="340" w:lineRule="exact"/>
        <w:ind w:firstLine="422" w:firstLineChars="200"/>
        <w:rPr>
          <w:b/>
          <w:color w:val="auto"/>
        </w:rPr>
      </w:pPr>
      <w:r>
        <w:rPr>
          <w:rFonts w:hint="eastAsia"/>
          <w:b/>
          <w:color w:val="auto"/>
        </w:rPr>
        <w:t>四、</w:t>
      </w:r>
      <w:r>
        <w:rPr>
          <w:rFonts w:hint="eastAsia"/>
          <w:b/>
          <w:color w:val="auto"/>
          <w:lang w:eastAsia="zh-CN"/>
        </w:rPr>
        <w:t>我</w:t>
      </w:r>
      <w:r>
        <w:rPr>
          <w:rFonts w:hint="eastAsia"/>
          <w:b/>
          <w:color w:val="auto"/>
          <w:lang w:val="en-US" w:eastAsia="zh-CN"/>
        </w:rPr>
        <w:t>单位</w:t>
      </w:r>
      <w:r>
        <w:rPr>
          <w:rFonts w:hint="eastAsia"/>
          <w:b/>
          <w:color w:val="auto"/>
        </w:rPr>
        <w:t>已充分知悉政府采购违法、违规行为的法律</w:t>
      </w:r>
      <w:r>
        <w:rPr>
          <w:rFonts w:hint="eastAsia"/>
          <w:b/>
          <w:color w:val="auto"/>
          <w:highlight w:val="none"/>
        </w:rPr>
        <w:t>后果。</w:t>
      </w:r>
    </w:p>
    <w:p>
      <w:pPr>
        <w:spacing w:beforeLines="0" w:line="340" w:lineRule="exact"/>
        <w:ind w:firstLine="420" w:firstLineChars="200"/>
        <w:rPr>
          <w:color w:val="auto"/>
          <w:highlight w:val="none"/>
        </w:rPr>
      </w:pPr>
      <w:r>
        <w:rPr>
          <w:rFonts w:hint="eastAsia"/>
          <w:color w:val="auto"/>
        </w:rPr>
        <w:t>经查实，若</w:t>
      </w:r>
      <w:r>
        <w:rPr>
          <w:rFonts w:hint="eastAsia"/>
          <w:color w:val="auto"/>
          <w:lang w:eastAsia="zh-CN"/>
        </w:rPr>
        <w:t>我</w:t>
      </w:r>
      <w:r>
        <w:rPr>
          <w:rFonts w:hint="eastAsia"/>
          <w:color w:val="auto"/>
          <w:lang w:val="en-US" w:eastAsia="zh-CN"/>
        </w:rPr>
        <w:t>单位</w:t>
      </w:r>
      <w:r>
        <w:rPr>
          <w:rFonts w:hint="eastAsia"/>
          <w:color w:val="auto"/>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color w:val="auto"/>
          <w:highlight w:val="none"/>
        </w:rPr>
        <w:t>分之二十以上千分之三十以下罚款，由市场监管部门依法吊销营业执照。</w:t>
      </w:r>
    </w:p>
    <w:p>
      <w:pPr>
        <w:spacing w:beforeLines="0" w:line="340" w:lineRule="exact"/>
        <w:ind w:firstLine="420" w:firstLineChars="200"/>
        <w:rPr>
          <w:color w:val="auto"/>
          <w:highlight w:val="yellow"/>
        </w:rPr>
      </w:pPr>
      <w:r>
        <w:rPr>
          <w:rFonts w:hint="eastAsia"/>
          <w:color w:val="auto"/>
          <w:highlight w:val="yellow"/>
        </w:rPr>
        <w:t>以下文字请投标供应商抄写并确认：“</w:t>
      </w:r>
      <w:r>
        <w:rPr>
          <w:rFonts w:hint="eastAsia"/>
          <w:color w:val="auto"/>
          <w:highlight w:val="yellow"/>
          <w:lang w:eastAsia="zh-CN"/>
        </w:rPr>
        <w:t>我</w:t>
      </w:r>
      <w:r>
        <w:rPr>
          <w:rFonts w:hint="eastAsia"/>
          <w:color w:val="auto"/>
          <w:highlight w:val="yellow"/>
          <w:lang w:val="en-US" w:eastAsia="zh-CN"/>
        </w:rPr>
        <w:t>单位</w:t>
      </w:r>
      <w:r>
        <w:rPr>
          <w:rFonts w:hint="eastAsia"/>
          <w:color w:val="auto"/>
          <w:highlight w:val="yellow"/>
        </w:rPr>
        <w:t>已仔细阅读《政府采购违法行为风险知悉确认书》，充分知悉违法行为的法律后果，并承诺将严谨、诚信、依法依规参与政府采购活动”。</w:t>
      </w:r>
    </w:p>
    <w:tbl>
      <w:tblPr>
        <w:tblStyle w:val="39"/>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pPr>
              <w:autoSpaceDE w:val="0"/>
              <w:autoSpaceDN w:val="0"/>
              <w:spacing w:beforeLines="0" w:line="340" w:lineRule="exact"/>
              <w:ind w:firstLine="1866"/>
              <w:rPr>
                <w:rFonts w:ascii="宋体" w:hAnsi="宋体" w:eastAsia="宋体"/>
                <w:color w:val="auto"/>
                <w:spacing w:val="-4"/>
                <w:kern w:val="0"/>
                <w:szCs w:val="21"/>
                <w:highlight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pPr>
              <w:autoSpaceDE w:val="0"/>
              <w:autoSpaceDN w:val="0"/>
              <w:spacing w:beforeLines="0" w:line="340" w:lineRule="exact"/>
              <w:ind w:firstLine="1866"/>
              <w:rPr>
                <w:rFonts w:ascii="宋体" w:hAnsi="宋体" w:eastAsia="宋体"/>
                <w:color w:val="auto"/>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pPr>
              <w:autoSpaceDE w:val="0"/>
              <w:autoSpaceDN w:val="0"/>
              <w:spacing w:beforeLines="0" w:line="340" w:lineRule="exact"/>
              <w:ind w:firstLine="1866"/>
              <w:rPr>
                <w:rFonts w:ascii="宋体" w:hAnsi="宋体" w:eastAsia="宋体"/>
                <w:color w:val="auto"/>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pPr>
              <w:autoSpaceDE w:val="0"/>
              <w:autoSpaceDN w:val="0"/>
              <w:spacing w:beforeLines="0" w:line="340" w:lineRule="exact"/>
              <w:ind w:firstLine="1866"/>
              <w:rPr>
                <w:rFonts w:ascii="宋体" w:hAnsi="宋体" w:eastAsia="宋体"/>
                <w:color w:val="auto"/>
                <w:spacing w:val="-4"/>
                <w:kern w:val="0"/>
                <w:szCs w:val="21"/>
              </w:rPr>
            </w:pPr>
          </w:p>
        </w:tc>
      </w:tr>
    </w:tbl>
    <w:p>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rPr>
      </w:pPr>
    </w:p>
    <w:p>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lang w:eastAsia="zh-CN"/>
        </w:rPr>
        <w:t>单位</w:t>
      </w:r>
      <w:r>
        <w:rPr>
          <w:rFonts w:hint="eastAsia" w:ascii="宋体" w:hAnsi="宋体" w:eastAsia="宋体"/>
          <w:color w:val="auto"/>
          <w:spacing w:val="-4"/>
          <w:kern w:val="0"/>
          <w:szCs w:val="21"/>
        </w:rPr>
        <w:t>负责人签名：</w:t>
      </w:r>
      <w:r>
        <w:rPr>
          <w:rFonts w:hint="eastAsia" w:ascii="宋体" w:hAnsi="宋体" w:eastAsia="宋体"/>
          <w:color w:val="auto"/>
          <w:spacing w:val="-4"/>
          <w:kern w:val="0"/>
          <w:szCs w:val="21"/>
          <w:u w:val="single"/>
        </w:rPr>
        <w:t xml:space="preserve">              </w:t>
      </w:r>
    </w:p>
    <w:p>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u w:val="single"/>
        </w:rPr>
      </w:pPr>
      <w:r>
        <w:rPr>
          <w:rFonts w:hint="eastAsia" w:ascii="宋体" w:hAnsi="宋体" w:eastAsia="宋体"/>
          <w:color w:val="auto"/>
          <w:spacing w:val="-4"/>
          <w:kern w:val="0"/>
          <w:szCs w:val="21"/>
          <w:lang w:val="en-US" w:eastAsia="zh-CN"/>
        </w:rPr>
        <w:t xml:space="preserve">                                 </w:t>
      </w:r>
      <w:r>
        <w:rPr>
          <w:rFonts w:hint="eastAsia" w:ascii="宋体" w:hAnsi="宋体" w:eastAsia="宋体"/>
          <w:color w:val="auto"/>
          <w:spacing w:val="-4"/>
          <w:kern w:val="0"/>
          <w:szCs w:val="21"/>
          <w:lang w:eastAsia="zh-CN"/>
        </w:rPr>
        <w:t>（加盖</w:t>
      </w:r>
      <w:r>
        <w:rPr>
          <w:rFonts w:hint="eastAsia" w:ascii="宋体" w:hAnsi="宋体" w:eastAsia="宋体"/>
          <w:color w:val="auto"/>
          <w:spacing w:val="-4"/>
          <w:kern w:val="0"/>
          <w:szCs w:val="21"/>
        </w:rPr>
        <w:t>公章</w:t>
      </w:r>
      <w:r>
        <w:rPr>
          <w:rFonts w:hint="eastAsia" w:ascii="宋体" w:hAnsi="宋体" w:eastAsia="宋体"/>
          <w:color w:val="auto"/>
          <w:spacing w:val="-4"/>
          <w:kern w:val="0"/>
          <w:szCs w:val="21"/>
          <w:lang w:eastAsia="zh-CN"/>
        </w:rPr>
        <w:t>）</w:t>
      </w:r>
    </w:p>
    <w:p>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rPr>
        <w:t xml:space="preserve">     日期：</w:t>
      </w:r>
      <w:r>
        <w:rPr>
          <w:rFonts w:hint="eastAsia" w:ascii="宋体" w:hAnsi="宋体" w:eastAsia="宋体"/>
          <w:color w:val="auto"/>
          <w:spacing w:val="-4"/>
          <w:kern w:val="0"/>
          <w:szCs w:val="21"/>
          <w:u w:val="single"/>
        </w:rPr>
        <w:t xml:space="preserve">              </w:t>
      </w:r>
    </w:p>
    <w:p>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rPr>
      </w:pPr>
    </w:p>
    <w:p>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06" w:firstLineChars="200"/>
        <w:jc w:val="left"/>
        <w:textAlignment w:val="auto"/>
        <w:rPr>
          <w:rFonts w:hint="eastAsia" w:ascii="宋体" w:hAnsi="宋体" w:eastAsia="宋体"/>
          <w:b/>
          <w:bCs/>
          <w:color w:val="auto"/>
          <w:spacing w:val="-4"/>
          <w:kern w:val="0"/>
          <w:szCs w:val="21"/>
          <w:highlight w:val="none"/>
        </w:rPr>
      </w:pPr>
      <w:r>
        <w:rPr>
          <w:rFonts w:hint="eastAsia" w:ascii="宋体" w:hAnsi="宋体" w:eastAsia="宋体"/>
          <w:b/>
          <w:bCs/>
          <w:color w:val="auto"/>
          <w:spacing w:val="-4"/>
          <w:kern w:val="0"/>
          <w:szCs w:val="21"/>
        </w:rPr>
        <w:t>注：</w:t>
      </w:r>
      <w:r>
        <w:rPr>
          <w:rFonts w:hint="eastAsia" w:ascii="宋体" w:hAnsi="宋体"/>
          <w:b/>
          <w:bCs/>
          <w:color w:val="auto"/>
          <w:spacing w:val="-4"/>
          <w:kern w:val="0"/>
          <w:szCs w:val="21"/>
          <w:lang w:val="en-US" w:eastAsia="zh-CN"/>
        </w:rPr>
        <w:t>1.</w:t>
      </w:r>
      <w:r>
        <w:rPr>
          <w:rFonts w:hint="eastAsia" w:ascii="宋体" w:hAnsi="宋体" w:eastAsia="宋体"/>
          <w:b/>
          <w:bCs/>
          <w:color w:val="auto"/>
          <w:spacing w:val="-4"/>
          <w:kern w:val="0"/>
          <w:szCs w:val="21"/>
          <w:lang w:eastAsia="zh-CN"/>
        </w:rPr>
        <w:t>《</w:t>
      </w:r>
      <w:r>
        <w:rPr>
          <w:rFonts w:hint="eastAsia" w:ascii="宋体" w:hAnsi="宋体" w:eastAsia="宋体"/>
          <w:b/>
          <w:bCs/>
          <w:color w:val="auto"/>
          <w:spacing w:val="-4"/>
          <w:kern w:val="0"/>
          <w:szCs w:val="21"/>
          <w:lang w:val="en-US" w:eastAsia="zh-CN"/>
        </w:rPr>
        <w:t>政府采购违法行为风险知悉确认书</w:t>
      </w:r>
      <w:r>
        <w:rPr>
          <w:rFonts w:hint="eastAsia" w:ascii="宋体" w:hAnsi="宋体" w:eastAsia="宋体"/>
          <w:b/>
          <w:bCs/>
          <w:color w:val="auto"/>
          <w:spacing w:val="-4"/>
          <w:kern w:val="0"/>
          <w:szCs w:val="21"/>
          <w:lang w:eastAsia="zh-CN"/>
        </w:rPr>
        <w:t>》需由</w:t>
      </w:r>
      <w:r>
        <w:rPr>
          <w:rFonts w:hint="eastAsia" w:ascii="宋体" w:hAnsi="宋体" w:eastAsia="宋体"/>
          <w:b/>
          <w:bCs/>
          <w:color w:val="auto"/>
          <w:spacing w:val="-4"/>
          <w:kern w:val="0"/>
          <w:szCs w:val="21"/>
          <w:highlight w:val="none"/>
        </w:rPr>
        <w:t>投标供应商负责人签字并加盖单位公章后，扫描上传至投标文件一并提交。</w:t>
      </w:r>
    </w:p>
    <w:p>
      <w:pPr>
        <w:pStyle w:val="51"/>
        <w:keepNext w:val="0"/>
        <w:keepLines w:val="0"/>
        <w:pageBreakBefore w:val="0"/>
        <w:kinsoku/>
        <w:wordWrap/>
        <w:overflowPunct/>
        <w:topLinePunct w:val="0"/>
        <w:bidi w:val="0"/>
        <w:adjustRightInd/>
        <w:snapToGrid/>
        <w:ind w:firstLine="422" w:firstLineChars="200"/>
        <w:textAlignment w:val="auto"/>
        <w:rPr>
          <w:b/>
          <w:bCs/>
          <w:color w:val="auto"/>
          <w:lang w:val="en-US" w:eastAsia="zh-CN"/>
        </w:rPr>
      </w:pPr>
      <w:r>
        <w:rPr>
          <w:rFonts w:hint="eastAsia"/>
          <w:b/>
          <w:bCs/>
          <w:color w:val="auto"/>
          <w:lang w:val="en-US" w:eastAsia="zh-CN"/>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pPr>
        <w:widowControl/>
        <w:wordWrap/>
        <w:autoSpaceDE w:val="0"/>
        <w:autoSpaceDN w:val="0"/>
        <w:spacing w:line="400" w:lineRule="exact"/>
        <w:ind w:right="1414" w:firstLine="480" w:firstLineChars="200"/>
        <w:jc w:val="right"/>
        <w:rPr>
          <w:rFonts w:eastAsiaTheme="minorEastAsia"/>
          <w:kern w:val="0"/>
          <w:sz w:val="24"/>
        </w:rPr>
      </w:pPr>
    </w:p>
    <w:p>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pPr>
        <w:pStyle w:val="2"/>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eastAsia="宋体"/>
          <w:szCs w:val="21"/>
          <w:u w:val="none"/>
          <w:lang w:eastAsia="zh-CN"/>
        </w:rPr>
        <w:t>；</w:t>
      </w:r>
    </w:p>
    <w:p>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pPr>
        <w:widowControl/>
        <w:tabs>
          <w:tab w:val="left" w:pos="8200"/>
        </w:tabs>
        <w:wordWrap/>
        <w:autoSpaceDE w:val="0"/>
        <w:autoSpaceDN w:val="0"/>
        <w:spacing w:line="400" w:lineRule="exact"/>
        <w:ind w:right="1414" w:firstLine="406" w:firstLineChars="200"/>
        <w:jc w:val="both"/>
        <w:rPr>
          <w:rFonts w:hint="eastAsia" w:ascii="宋体" w:hAnsi="宋体" w:eastAsiaTheme="minorEastAsia"/>
          <w:b/>
          <w:bCs/>
          <w:color w:val="FF0000"/>
          <w:spacing w:val="-4"/>
          <w:kern w:val="0"/>
          <w:szCs w:val="21"/>
          <w:lang w:val="en-US" w:eastAsia="zh-CN"/>
        </w:rPr>
      </w:pPr>
    </w:p>
    <w:p>
      <w:pPr>
        <w:ind w:firstLine="720" w:firstLineChars="300"/>
        <w:rPr>
          <w:sz w:val="24"/>
        </w:rPr>
      </w:pPr>
    </w:p>
    <w:p>
      <w:pPr>
        <w:widowControl/>
        <w:spacing w:line="360" w:lineRule="auto"/>
        <w:jc w:val="left"/>
        <w:rPr>
          <w:rFonts w:eastAsiaTheme="minorEastAsia"/>
          <w:b/>
          <w:bCs/>
          <w:kern w:val="0"/>
          <w:sz w:val="24"/>
        </w:rPr>
      </w:pPr>
    </w:p>
    <w:p>
      <w:pPr>
        <w:widowControl/>
        <w:jc w:val="center"/>
        <w:rPr>
          <w:rFonts w:ascii="黑体" w:hAnsi="宋体" w:eastAsia="黑体"/>
          <w:kern w:val="0"/>
          <w:sz w:val="24"/>
          <w:szCs w:val="20"/>
        </w:r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pPr>
        <w:widowControl/>
        <w:jc w:val="center"/>
        <w:rPr>
          <w:rFonts w:ascii="黑体" w:hAnsi="宋体" w:eastAsia="黑体"/>
          <w:kern w:val="0"/>
          <w:sz w:val="24"/>
          <w:szCs w:val="20"/>
        </w:rPr>
      </w:pPr>
    </w:p>
    <w:p>
      <w:pPr>
        <w:spacing w:after="78" w:afterLines="25" w:line="300" w:lineRule="auto"/>
        <w:rPr>
          <w:rFonts w:ascii="Arial" w:hAnsi="Arial" w:eastAsia="宋体" w:cs="Times New Roman"/>
          <w:sz w:val="24"/>
          <w:szCs w:val="24"/>
        </w:rPr>
      </w:pPr>
    </w:p>
    <w:p>
      <w:pPr>
        <w:spacing w:after="78" w:afterLines="25" w:line="300" w:lineRule="auto"/>
        <w:rPr>
          <w:rFonts w:ascii="Arial" w:hAnsi="Arial" w:eastAsia="宋体" w:cs="Times New Roman"/>
          <w:sz w:val="24"/>
          <w:szCs w:val="24"/>
        </w:rPr>
      </w:pPr>
    </w:p>
    <w:p>
      <w:pPr>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br w:type="page"/>
      </w:r>
    </w:p>
    <w:p>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第五章  合同条款及格式</w:t>
      </w:r>
    </w:p>
    <w:p>
      <w:pPr>
        <w:widowControl/>
        <w:jc w:val="center"/>
        <w:rPr>
          <w:rFonts w:hint="eastAsia" w:ascii="宋体" w:hAnsi="宋体" w:eastAsia="黑体" w:cs="Times New Roman"/>
          <w:bCs/>
          <w:kern w:val="44"/>
          <w:sz w:val="28"/>
          <w:szCs w:val="44"/>
        </w:rPr>
      </w:pPr>
      <w:bookmarkStart w:id="49" w:name="_Hlk72574405"/>
      <w:r>
        <w:rPr>
          <w:rFonts w:hint="eastAsia"/>
          <w:b/>
          <w:sz w:val="24"/>
        </w:rPr>
        <w:t>（仅供参考，具体以项目需求及采购结果为准）</w:t>
      </w:r>
      <w:bookmarkEnd w:id="49"/>
    </w:p>
    <w:p>
      <w:pPr>
        <w:snapToGrid w:val="0"/>
        <w:spacing w:line="300" w:lineRule="auto"/>
        <w:jc w:val="center"/>
        <w:rPr>
          <w:rFonts w:hint="eastAsia" w:ascii="仿宋" w:hAnsi="仿宋" w:eastAsia="仿宋" w:cs="Times New Roman"/>
          <w:sz w:val="28"/>
          <w:szCs w:val="28"/>
        </w:rPr>
      </w:pPr>
    </w:p>
    <w:p>
      <w:pPr>
        <w:jc w:val="cente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t>政府采购货物买卖合同</w:t>
      </w:r>
    </w:p>
    <w:p>
      <w:pPr>
        <w:jc w:val="cente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t>（试行）</w:t>
      </w:r>
    </w:p>
    <w:p>
      <w:pPr>
        <w:rPr>
          <w:rFonts w:hint="eastAsia" w:ascii="宋体" w:hAnsi="宋体" w:eastAsia="宋体" w:cs="宋体"/>
          <w:b/>
          <w:bCs/>
          <w:spacing w:val="-20"/>
          <w:kern w:val="44"/>
          <w:sz w:val="40"/>
          <w:szCs w:val="40"/>
        </w:rPr>
      </w:pPr>
    </w:p>
    <w:p>
      <w:pPr>
        <w:rPr>
          <w:rFonts w:hint="eastAsia" w:ascii="宋体" w:hAnsi="宋体" w:eastAsia="宋体" w:cs="宋体"/>
          <w:b/>
          <w:bCs/>
          <w:spacing w:val="-20"/>
          <w:kern w:val="44"/>
          <w:sz w:val="40"/>
          <w:szCs w:val="40"/>
        </w:rPr>
      </w:pPr>
    </w:p>
    <w:p>
      <w:pPr>
        <w:rPr>
          <w:rFonts w:hint="eastAsia" w:ascii="宋体" w:hAnsi="宋体" w:eastAsia="宋体" w:cs="宋体"/>
          <w:b/>
          <w:bCs/>
          <w:spacing w:val="-20"/>
          <w:kern w:val="44"/>
          <w:sz w:val="40"/>
          <w:szCs w:val="40"/>
        </w:rPr>
      </w:pPr>
    </w:p>
    <w:p>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pPr>
        <w:rPr>
          <w:rFonts w:eastAsia="宋体"/>
        </w:rPr>
      </w:pPr>
    </w:p>
    <w:p>
      <w:pPr>
        <w:rPr>
          <w:rFonts w:eastAsia="黑体"/>
          <w:sz w:val="44"/>
          <w:szCs w:val="44"/>
        </w:rPr>
      </w:pPr>
      <w:r>
        <w:rPr>
          <w:rFonts w:eastAsia="黑体"/>
          <w:sz w:val="44"/>
          <w:szCs w:val="44"/>
        </w:rPr>
        <w:br w:type="page"/>
      </w:r>
    </w:p>
    <w:p>
      <w:pPr>
        <w:rPr>
          <w:rFonts w:eastAsia="黑体"/>
          <w:sz w:val="44"/>
          <w:szCs w:val="44"/>
        </w:rPr>
      </w:pPr>
    </w:p>
    <w:p>
      <w:pPr>
        <w:rPr>
          <w:rFonts w:eastAsia="黑体"/>
          <w:sz w:val="44"/>
          <w:szCs w:val="44"/>
        </w:rPr>
      </w:pPr>
    </w:p>
    <w:p>
      <w:pPr>
        <w:jc w:val="center"/>
        <w:rPr>
          <w:rFonts w:eastAsia="黑体"/>
          <w:sz w:val="44"/>
          <w:szCs w:val="44"/>
        </w:rPr>
      </w:pPr>
      <w:r>
        <w:rPr>
          <w:rFonts w:hint="eastAsia" w:eastAsia="黑体"/>
          <w:sz w:val="44"/>
          <w:szCs w:val="44"/>
        </w:rPr>
        <w:t>使 用 说 明</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pPr>
        <w:ind w:firstLine="640" w:firstLineChars="200"/>
        <w:rPr>
          <w:rFonts w:eastAsia="黑体"/>
          <w:sz w:val="44"/>
          <w:szCs w:val="44"/>
        </w:rPr>
      </w:pP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pPr>
        <w:ind w:firstLine="880" w:firstLineChars="200"/>
        <w:rPr>
          <w:rFonts w:eastAsia="黑体"/>
          <w:sz w:val="44"/>
          <w:szCs w:val="44"/>
        </w:rPr>
        <w:sectPr>
          <w:headerReference r:id="rId6" w:type="default"/>
          <w:footerReference r:id="rId7" w:type="default"/>
          <w:pgSz w:w="11906" w:h="16838"/>
          <w:pgMar w:top="1440" w:right="1800" w:bottom="1440" w:left="1800" w:header="851" w:footer="992" w:gutter="0"/>
          <w:cols w:space="425" w:num="1"/>
          <w:docGrid w:type="lines" w:linePitch="312" w:charSpace="0"/>
        </w:sectPr>
      </w:pPr>
    </w:p>
    <w:p>
      <w:pPr>
        <w:keepNext/>
        <w:keepLines/>
        <w:adjustRightInd w:val="0"/>
        <w:snapToGrid w:val="0"/>
        <w:spacing w:line="400" w:lineRule="exact"/>
        <w:jc w:val="center"/>
        <w:outlineLvl w:val="1"/>
        <w:rPr>
          <w:rFonts w:hint="eastAsia" w:ascii="黑体" w:hAnsi="黑体" w:eastAsia="黑体" w:cs="Times New Roman"/>
          <w:b/>
          <w:bCs/>
          <w:sz w:val="28"/>
          <w:szCs w:val="28"/>
        </w:rPr>
      </w:pPr>
      <w:bookmarkStart w:id="50" w:name="_Toc22209"/>
    </w:p>
    <w:p>
      <w:pPr>
        <w:keepNext/>
        <w:keepLines/>
        <w:adjustRightInd w:val="0"/>
        <w:snapToGrid w:val="0"/>
        <w:spacing w:line="400" w:lineRule="exact"/>
        <w:jc w:val="center"/>
        <w:outlineLvl w:val="1"/>
        <w:rPr>
          <w:rFonts w:hint="eastAsia" w:ascii="黑体" w:hAnsi="华文中宋" w:eastAsia="黑体" w:cs="Times New Roman"/>
          <w:sz w:val="28"/>
          <w:szCs w:val="28"/>
        </w:rPr>
      </w:pPr>
      <w:r>
        <w:rPr>
          <w:rFonts w:hint="eastAsia" w:ascii="黑体" w:hAnsi="黑体" w:eastAsia="黑体" w:cs="Times New Roman"/>
          <w:sz w:val="28"/>
          <w:szCs w:val="28"/>
        </w:rPr>
        <w:t xml:space="preserve">第一节 </w:t>
      </w:r>
      <w:r>
        <w:rPr>
          <w:rFonts w:hint="eastAsia" w:ascii="黑体" w:hAnsi="华文中宋" w:eastAsia="黑体" w:cs="Times New Roman"/>
          <w:sz w:val="28"/>
          <w:szCs w:val="28"/>
        </w:rPr>
        <w:t>政府采购合同协议书</w:t>
      </w:r>
      <w:bookmarkEnd w:id="50"/>
    </w:p>
    <w:p>
      <w:pPr>
        <w:keepNext/>
        <w:keepLines/>
        <w:adjustRightInd w:val="0"/>
        <w:snapToGrid w:val="0"/>
        <w:spacing w:line="400" w:lineRule="exact"/>
        <w:jc w:val="center"/>
        <w:outlineLvl w:val="1"/>
        <w:rPr>
          <w:rFonts w:hint="eastAsia" w:ascii="黑体" w:hAnsi="华文中宋" w:eastAsia="黑体" w:cs="Times New Roman"/>
          <w:sz w:val="28"/>
          <w:szCs w:val="28"/>
        </w:rPr>
      </w:pPr>
    </w:p>
    <w:p>
      <w:pPr>
        <w:adjustRightInd w:val="0"/>
        <w:snapToGrid w:val="0"/>
        <w:spacing w:line="400" w:lineRule="exact"/>
        <w:rPr>
          <w:rFonts w:hint="eastAsia"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rPr>
        <w:t>（采购人、受采购人委托签订合同的单位或采购</w:t>
      </w:r>
      <w:r>
        <w:rPr>
          <w:rFonts w:hint="eastAsia" w:ascii="宋体" w:hAnsi="宋体" w:eastAsia="宋体"/>
          <w:szCs w:val="21"/>
        </w:rPr>
        <w:tab/>
      </w:r>
      <w:r>
        <w:rPr>
          <w:rFonts w:hint="eastAsia" w:ascii="宋体" w:hAnsi="宋体" w:eastAsia="宋体"/>
          <w:szCs w:val="21"/>
        </w:rPr>
        <w:t xml:space="preserve">                                   文件约定的合同甲方）</w:t>
      </w:r>
    </w:p>
    <w:p>
      <w:pPr>
        <w:adjustRightInd w:val="0"/>
        <w:snapToGrid w:val="0"/>
        <w:spacing w:line="400" w:lineRule="exact"/>
        <w:rPr>
          <w:rFonts w:hint="eastAsia" w:ascii="宋体" w:hAnsi="宋体" w:eastAsia="宋体"/>
          <w:szCs w:val="21"/>
        </w:rPr>
      </w:pPr>
      <w:r>
        <w:rPr>
          <w:rFonts w:hint="eastAsia" w:ascii="宋体" w:hAnsi="宋体" w:eastAsia="宋体"/>
          <w:szCs w:val="21"/>
        </w:rPr>
        <w:t>乙方1（全称）：</w:t>
      </w:r>
      <w:r>
        <w:rPr>
          <w:rFonts w:hint="eastAsia" w:ascii="宋体" w:hAnsi="宋体" w:eastAsia="宋体"/>
          <w:szCs w:val="21"/>
          <w:u w:val="single"/>
        </w:rPr>
        <w:t xml:space="preserve">                       </w:t>
      </w:r>
      <w:r>
        <w:rPr>
          <w:rFonts w:hint="eastAsia" w:ascii="宋体" w:hAnsi="宋体" w:eastAsia="宋体"/>
          <w:szCs w:val="21"/>
        </w:rPr>
        <w:t>（供应商）</w:t>
      </w:r>
    </w:p>
    <w:p>
      <w:pPr>
        <w:adjustRightInd w:val="0"/>
        <w:snapToGrid w:val="0"/>
        <w:spacing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adjustRightInd w:val="0"/>
        <w:snapToGrid w:val="0"/>
        <w:spacing w:line="400" w:lineRule="exact"/>
        <w:rPr>
          <w:rFonts w:hint="eastAsia" w:ascii="宋体" w:hAnsi="宋体" w:eastAsia="宋体"/>
          <w:szCs w:val="21"/>
        </w:rPr>
      </w:pPr>
      <w:r>
        <w:rPr>
          <w:rFonts w:hint="eastAsia" w:eastAsia="宋体"/>
        </w:rPr>
        <w:t>乙方</w:t>
      </w:r>
      <w:r>
        <w:rPr>
          <w:rFonts w:hint="eastAsia" w:ascii="宋体" w:hAnsi="宋体" w:eastAsia="宋体"/>
          <w:szCs w:val="21"/>
        </w:rPr>
        <w:t>3</w:t>
      </w:r>
      <w:r>
        <w:rPr>
          <w:rFonts w:hint="eastAsia" w:eastAsia="宋体"/>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spacing w:line="400" w:lineRule="exact"/>
        <w:rPr>
          <w:rFonts w:eastAsia="宋体"/>
        </w:rPr>
      </w:pPr>
    </w:p>
    <w:p>
      <w:pPr>
        <w:adjustRightInd w:val="0"/>
        <w:snapToGrid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 xml:space="preserve">依据《中华人民共和国民法典》《中华人民共和国政府采购法》《深圳经济特区政府采购条例》等有关的法律法规，以及本采购项目的招标文件等采购文件、乙方的《投标（响应）文件》及《中标（成交）通知书》，甲乙双方同意签订本合同。具体情况及要求如下：     </w:t>
      </w:r>
    </w:p>
    <w:p>
      <w:pPr>
        <w:numPr>
          <w:ilvl w:val="0"/>
          <w:numId w:val="5"/>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项目信息</w:t>
      </w:r>
    </w:p>
    <w:p>
      <w:pPr>
        <w:numPr>
          <w:ilvl w:val="0"/>
          <w:numId w:val="6"/>
        </w:numPr>
        <w:adjustRightInd w:val="0"/>
        <w:snapToGrid w:val="0"/>
        <w:spacing w:line="400" w:lineRule="exact"/>
        <w:ind w:firstLine="420" w:firstLineChars="200"/>
        <w:rPr>
          <w:rFonts w:hint="eastAsia" w:ascii="宋体" w:hAnsi="宋体" w:eastAsia="宋体" w:cs="Times New Roman"/>
          <w:szCs w:val="21"/>
          <w:u w:val="single"/>
        </w:rPr>
      </w:pPr>
      <w:r>
        <w:rPr>
          <w:rFonts w:hint="eastAsia" w:ascii="宋体" w:hAnsi="宋体" w:eastAsia="宋体" w:cs="Times New Roman"/>
          <w:szCs w:val="21"/>
        </w:rPr>
        <w:t>采购项目名称：</w:t>
      </w:r>
      <w:r>
        <w:rPr>
          <w:rFonts w:hint="eastAsia" w:ascii="宋体" w:hAnsi="宋体" w:eastAsia="宋体"/>
          <w:szCs w:val="21"/>
          <w:u w:val="single"/>
        </w:rPr>
        <w:t xml:space="preserve">                                            </w:t>
      </w:r>
    </w:p>
    <w:p>
      <w:pPr>
        <w:numPr>
          <w:ilvl w:val="255"/>
          <w:numId w:val="0"/>
        </w:numPr>
        <w:tabs>
          <w:tab w:val="left" w:pos="999"/>
        </w:tabs>
        <w:adjustRightInd w:val="0"/>
        <w:snapToGrid w:val="0"/>
        <w:spacing w:line="400" w:lineRule="exact"/>
        <w:rPr>
          <w:rFonts w:hint="eastAsia" w:ascii="宋体" w:hAnsi="宋体" w:eastAsia="宋体" w:cs="Times New Roman"/>
          <w:szCs w:val="21"/>
        </w:rPr>
      </w:pPr>
      <w:r>
        <w:rPr>
          <w:rFonts w:hint="eastAsia" w:ascii="宋体" w:hAnsi="宋体" w:eastAsia="宋体" w:cs="Times New Roman"/>
          <w:szCs w:val="21"/>
        </w:rPr>
        <w:t xml:space="preserve">         采购项目编号：</w:t>
      </w:r>
      <w:r>
        <w:rPr>
          <w:rFonts w:ascii="宋体" w:hAnsi="宋体" w:eastAsia="宋体" w:cs="Times New Roman"/>
          <w:szCs w:val="21"/>
          <w:u w:val="single"/>
        </w:rPr>
        <w:t xml:space="preserve">                                          </w:t>
      </w:r>
    </w:p>
    <w:p>
      <w:pPr>
        <w:adjustRightInd w:val="0"/>
        <w:snapToGrid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（2）采购计划编号：</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 xml:space="preserve"> </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（3）项目内容：</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 xml:space="preserve">     采购标的及数量（台/套</w:t>
      </w:r>
      <w:r>
        <w:rPr>
          <w:rFonts w:ascii="宋体" w:hAnsi="宋体" w:eastAsia="宋体"/>
          <w:szCs w:val="21"/>
          <w:lang w:val="en"/>
        </w:rPr>
        <w:t>/</w:t>
      </w:r>
      <w:r>
        <w:rPr>
          <w:rFonts w:hint="eastAsia" w:ascii="宋体" w:hAnsi="宋体" w:eastAsia="宋体"/>
          <w:szCs w:val="21"/>
          <w:lang w:val="en"/>
        </w:rPr>
        <w:t>个</w:t>
      </w:r>
      <w:r>
        <w:rPr>
          <w:rFonts w:ascii="宋体" w:hAnsi="宋体" w:eastAsia="宋体"/>
          <w:szCs w:val="21"/>
          <w:lang w:val="en"/>
        </w:rPr>
        <w:t>/</w:t>
      </w:r>
      <w:r>
        <w:rPr>
          <w:rFonts w:hint="eastAsia" w:ascii="宋体" w:hAnsi="宋体" w:eastAsia="宋体"/>
          <w:szCs w:val="21"/>
          <w:lang w:val="en"/>
        </w:rPr>
        <w:t>架</w:t>
      </w:r>
      <w:r>
        <w:rPr>
          <w:rFonts w:ascii="宋体" w:hAnsi="宋体" w:eastAsia="宋体"/>
          <w:szCs w:val="21"/>
          <w:lang w:val="en"/>
        </w:rPr>
        <w:t>/</w:t>
      </w:r>
      <w:r>
        <w:rPr>
          <w:rFonts w:hint="eastAsia" w:ascii="宋体" w:hAnsi="宋体" w:eastAsia="宋体"/>
          <w:szCs w:val="21"/>
          <w:lang w:val="en"/>
        </w:rPr>
        <w:t>组等</w:t>
      </w:r>
      <w:r>
        <w:rPr>
          <w:rFonts w:hint="eastAsia" w:ascii="宋体" w:hAnsi="宋体" w:eastAsia="宋体"/>
          <w:szCs w:val="21"/>
        </w:rPr>
        <w:t>）：</w:t>
      </w:r>
      <w:r>
        <w:rPr>
          <w:rFonts w:hint="eastAsia" w:ascii="宋体" w:hAnsi="宋体" w:eastAsia="宋体"/>
          <w:szCs w:val="21"/>
          <w:u w:val="single"/>
        </w:rPr>
        <w:t xml:space="preserve">                       </w:t>
      </w:r>
      <w:r>
        <w:rPr>
          <w:rFonts w:hint="eastAsia" w:ascii="宋体" w:hAnsi="宋体" w:eastAsia="宋体"/>
          <w:szCs w:val="21"/>
        </w:rPr>
        <w:t xml:space="preserve">            </w:t>
      </w:r>
      <w:r>
        <w:rPr>
          <w:rFonts w:hint="eastAsia" w:ascii="宋体" w:hAnsi="宋体" w:eastAsia="宋体"/>
          <w:szCs w:val="21"/>
          <w:u w:val="single"/>
        </w:rPr>
        <w:t xml:space="preserve">                  </w:t>
      </w:r>
      <w:r>
        <w:rPr>
          <w:rFonts w:hint="eastAsia" w:ascii="宋体" w:hAnsi="宋体" w:eastAsia="宋体"/>
          <w:szCs w:val="21"/>
        </w:rPr>
        <w:t xml:space="preserve"> </w:t>
      </w:r>
    </w:p>
    <w:p>
      <w:pPr>
        <w:numPr>
          <w:ilvl w:val="255"/>
          <w:numId w:val="0"/>
        </w:numPr>
        <w:adjustRightInd w:val="0"/>
        <w:snapToGrid w:val="0"/>
        <w:spacing w:line="400" w:lineRule="exact"/>
        <w:ind w:firstLine="420" w:firstLineChars="200"/>
        <w:rPr>
          <w:rFonts w:hint="eastAsia" w:ascii="宋体" w:hAnsi="宋体" w:eastAsia="宋体" w:cs="宋体"/>
          <w:szCs w:val="21"/>
          <w:lang w:val="en"/>
        </w:rPr>
      </w:pPr>
      <w:r>
        <w:rPr>
          <w:rFonts w:hint="eastAsia" w:ascii="宋体" w:hAnsi="宋体" w:eastAsia="宋体"/>
          <w:szCs w:val="21"/>
        </w:rPr>
        <w:t xml:space="preserve">     </w:t>
      </w:r>
      <w:r>
        <w:rPr>
          <w:rFonts w:hint="eastAsia" w:ascii="宋体" w:hAnsi="宋体" w:eastAsia="宋体" w:cs="宋体"/>
          <w:szCs w:val="21"/>
        </w:rPr>
        <w:t>品牌：</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lang w:val="en"/>
        </w:rPr>
        <w:t xml:space="preserve">     </w:t>
      </w:r>
      <w:r>
        <w:rPr>
          <w:rFonts w:hint="eastAsia" w:ascii="宋体" w:hAnsi="宋体" w:eastAsia="宋体" w:cs="宋体"/>
          <w:szCs w:val="21"/>
        </w:rPr>
        <w:t>规格型号：</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p>
    <w:p>
      <w:pPr>
        <w:adjustRightInd w:val="0"/>
        <w:snapToGrid w:val="0"/>
        <w:spacing w:line="400" w:lineRule="exact"/>
        <w:ind w:firstLine="945" w:firstLineChars="450"/>
        <w:rPr>
          <w:rFonts w:hint="eastAsia" w:ascii="宋体" w:hAnsi="宋体" w:eastAsia="宋体"/>
          <w:szCs w:val="21"/>
          <w:u w:val="single"/>
        </w:rPr>
      </w:pPr>
      <w:r>
        <w:rPr>
          <w:rFonts w:hint="eastAsia" w:ascii="宋体" w:hAnsi="宋体" w:eastAsia="宋体"/>
          <w:szCs w:val="21"/>
        </w:rPr>
        <w:t>采购标的的技术要求、商务要求具体见附件。</w:t>
      </w:r>
    </w:p>
    <w:p>
      <w:pPr>
        <w:numPr>
          <w:ilvl w:val="255"/>
          <w:numId w:val="0"/>
        </w:numPr>
        <w:adjustRightInd w:val="0"/>
        <w:snapToGrid w:val="0"/>
        <w:spacing w:line="400" w:lineRule="exact"/>
        <w:ind w:firstLine="945" w:firstLineChars="450"/>
        <w:rPr>
          <w:rFonts w:hint="eastAsia" w:ascii="宋体" w:hAnsi="宋体" w:eastAsia="宋体" w:cs="宋体"/>
          <w:szCs w:val="21"/>
        </w:rPr>
      </w:pPr>
      <w:r>
        <w:rPr>
          <w:rFonts w:hint="eastAsia" w:ascii="汉仪书宋二S" w:hAnsi="汉仪书宋二S" w:eastAsia="汉仪书宋二S" w:cs="汉仪书宋二S"/>
          <w:szCs w:val="21"/>
        </w:rPr>
        <w:t>①</w:t>
      </w:r>
      <w:r>
        <w:rPr>
          <w:rFonts w:hint="eastAsia" w:ascii="宋体" w:hAnsi="宋体" w:eastAsia="宋体" w:cs="宋体"/>
          <w:szCs w:val="21"/>
        </w:rPr>
        <w:t>涉及信息类产品，请填写该产品关键部件的品牌、型号：</w:t>
      </w:r>
    </w:p>
    <w:p>
      <w:pPr>
        <w:numPr>
          <w:ilvl w:val="255"/>
          <w:numId w:val="0"/>
        </w:numPr>
        <w:adjustRightInd w:val="0"/>
        <w:snapToGrid w:val="0"/>
        <w:spacing w:line="400" w:lineRule="exact"/>
        <w:ind w:firstLine="420" w:firstLineChars="200"/>
        <w:rPr>
          <w:rFonts w:hint="eastAsia" w:ascii="宋体" w:hAnsi="宋体" w:eastAsia="宋体" w:cs="宋体"/>
          <w:kern w:val="0"/>
          <w:szCs w:val="21"/>
          <w:u w:val="single"/>
        </w:rPr>
      </w:pPr>
      <w:r>
        <w:rPr>
          <w:rFonts w:hint="eastAsia" w:ascii="宋体" w:hAnsi="宋体" w:eastAsia="宋体" w:cs="宋体"/>
          <w:szCs w:val="21"/>
        </w:rPr>
        <w:t xml:space="preserve">     标的名称：</w:t>
      </w:r>
      <w:r>
        <w:rPr>
          <w:rFonts w:hint="eastAsia" w:ascii="宋体" w:hAnsi="宋体" w:eastAsia="宋体" w:cs="宋体"/>
          <w:kern w:val="0"/>
          <w:szCs w:val="21"/>
          <w:u w:val="single"/>
        </w:rPr>
        <w:t xml:space="preserve">      </w:t>
      </w:r>
      <w:r>
        <w:rPr>
          <w:rFonts w:ascii="宋体" w:hAnsi="宋体" w:eastAsia="宋体" w:cs="宋体"/>
          <w:kern w:val="0"/>
          <w:szCs w:val="21"/>
          <w:u w:val="single"/>
          <w:lang w:val="en"/>
        </w:rPr>
        <w:t xml:space="preserve">               </w:t>
      </w:r>
      <w:r>
        <w:rPr>
          <w:rFonts w:hint="eastAsia" w:ascii="宋体" w:hAnsi="宋体" w:eastAsia="宋体" w:cs="宋体"/>
          <w:kern w:val="0"/>
          <w:szCs w:val="21"/>
          <w:u w:val="single"/>
        </w:rPr>
        <w:t xml:space="preserve">    </w:t>
      </w:r>
    </w:p>
    <w:p>
      <w:pPr>
        <w:numPr>
          <w:ilvl w:val="255"/>
          <w:numId w:val="0"/>
        </w:num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r>
        <w:rPr>
          <w:rFonts w:hint="eastAsia" w:ascii="宋体" w:hAnsi="宋体" w:eastAsia="宋体" w:cs="宋体"/>
          <w:szCs w:val="21"/>
        </w:rPr>
        <w:t>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p>
    <w:p>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（注：关键部件是指财政部会同有关部门发布的政府采购需求标准规定的需要通过国家有关部门指定的测评机构开展的安全可靠测评的软硬件，如CPU芯片、操作系统、数据库等。）</w:t>
      </w:r>
    </w:p>
    <w:p>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汉仪书宋二S" w:hAnsi="汉仪书宋二S" w:eastAsia="汉仪书宋二S" w:cs="汉仪书宋二S"/>
          <w:szCs w:val="21"/>
        </w:rPr>
        <w:t>②</w:t>
      </w:r>
      <w:r>
        <w:rPr>
          <w:rFonts w:hint="eastAsia" w:ascii="宋体" w:hAnsi="宋体" w:eastAsia="宋体" w:cs="宋体"/>
          <w:szCs w:val="21"/>
        </w:rPr>
        <w:t>涉及车辆采购，请填写是否属于新能源汽车：</w:t>
      </w:r>
    </w:p>
    <w:p>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是，《政府采购品目分类目录》底级品目名称：</w:t>
      </w:r>
      <w:r>
        <w:rPr>
          <w:rFonts w:hint="eastAsia" w:ascii="宋体" w:hAnsi="宋体" w:eastAsia="宋体" w:cs="宋体"/>
          <w:szCs w:val="21"/>
          <w:u w:val="single"/>
        </w:rPr>
        <w:t xml:space="preserve">     </w:t>
      </w:r>
      <w:r>
        <w:rPr>
          <w:rFonts w:hint="eastAsia" w:ascii="宋体" w:hAnsi="宋体" w:eastAsia="宋体" w:cs="宋体"/>
          <w:szCs w:val="21"/>
        </w:rPr>
        <w:t xml:space="preserve"> 数量：</w:t>
      </w:r>
      <w:r>
        <w:rPr>
          <w:rFonts w:hint="eastAsia" w:ascii="宋体" w:hAnsi="宋体" w:eastAsia="宋体" w:cs="宋体"/>
          <w:szCs w:val="21"/>
          <w:u w:val="single"/>
        </w:rPr>
        <w:t xml:space="preserve">    </w:t>
      </w:r>
      <w:r>
        <w:rPr>
          <w:rFonts w:hint="eastAsia" w:ascii="宋体" w:hAnsi="宋体" w:eastAsia="宋体" w:cs="宋体"/>
          <w:szCs w:val="21"/>
        </w:rPr>
        <w:t xml:space="preserve"> 金额：</w:t>
      </w:r>
      <w:r>
        <w:rPr>
          <w:rFonts w:hint="eastAsia" w:ascii="宋体" w:hAnsi="宋体" w:eastAsia="宋体" w:cs="宋体"/>
          <w:szCs w:val="21"/>
          <w:u w:val="single"/>
        </w:rPr>
        <w:t xml:space="preserve">     </w:t>
      </w:r>
      <w:r>
        <w:rPr>
          <w:rFonts w:hint="eastAsia" w:ascii="宋体" w:hAnsi="宋体" w:eastAsia="宋体" w:cs="宋体"/>
          <w:szCs w:val="21"/>
        </w:rPr>
        <w:t xml:space="preserve"> </w:t>
      </w:r>
    </w:p>
    <w:p>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否</w:t>
      </w:r>
    </w:p>
    <w:p>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ascii="宋体" w:hAnsi="宋体" w:eastAsia="宋体" w:cs="宋体"/>
          <w:szCs w:val="21"/>
          <w:lang w:val="en"/>
        </w:rPr>
        <w:t>4</w:t>
      </w:r>
      <w:r>
        <w:rPr>
          <w:rFonts w:hint="eastAsia" w:ascii="宋体" w:hAnsi="宋体" w:eastAsia="宋体" w:cs="宋体"/>
          <w:szCs w:val="21"/>
        </w:rPr>
        <w:t>）政府采购组织形式：</w:t>
      </w:r>
      <w:r>
        <w:rPr>
          <w:rFonts w:hint="eastAsia" w:ascii="宋体" w:hAnsi="宋体" w:eastAsia="宋体" w:cs="宋体"/>
          <w:szCs w:val="21"/>
        </w:rPr>
        <w:sym w:font="Wingdings" w:char="00A8"/>
      </w:r>
      <w:r>
        <w:rPr>
          <w:rFonts w:hint="eastAsia" w:ascii="宋体" w:hAnsi="宋体" w:eastAsia="宋体" w:cs="宋体"/>
          <w:szCs w:val="21"/>
        </w:rPr>
        <w:t xml:space="preserve">集中采购    </w:t>
      </w:r>
      <w:r>
        <w:rPr>
          <w:rFonts w:hint="eastAsia" w:ascii="宋体" w:hAnsi="宋体" w:eastAsia="宋体" w:cs="宋体"/>
          <w:szCs w:val="21"/>
        </w:rPr>
        <w:sym w:font="Wingdings" w:char="00A8"/>
      </w:r>
      <w:r>
        <w:rPr>
          <w:rFonts w:hint="eastAsia" w:ascii="宋体" w:hAnsi="宋体" w:eastAsia="宋体" w:cs="宋体"/>
          <w:szCs w:val="21"/>
        </w:rPr>
        <w:t>自行采购</w:t>
      </w:r>
    </w:p>
    <w:p>
      <w:pPr>
        <w:numPr>
          <w:ilvl w:val="255"/>
          <w:numId w:val="0"/>
        </w:numPr>
        <w:autoSpaceDE w:val="0"/>
        <w:autoSpaceDN w:val="0"/>
        <w:adjustRightInd w:val="0"/>
        <w:snapToGrid w:val="0"/>
        <w:spacing w:line="400" w:lineRule="exact"/>
        <w:ind w:left="210" w:leftChars="100" w:firstLine="210" w:firstLineChars="100"/>
        <w:rPr>
          <w:rFonts w:hint="eastAsia" w:ascii="宋体" w:hAnsi="宋体" w:eastAsia="宋体" w:cs="宋体"/>
          <w:szCs w:val="21"/>
          <w:u w:val="single"/>
        </w:rPr>
      </w:pPr>
      <w:r>
        <w:rPr>
          <w:rFonts w:hint="eastAsia" w:ascii="宋体" w:hAnsi="宋体" w:eastAsia="宋体" w:cs="宋体"/>
          <w:szCs w:val="21"/>
        </w:rPr>
        <w:t>（</w:t>
      </w:r>
      <w:r>
        <w:rPr>
          <w:rFonts w:ascii="宋体" w:hAnsi="宋体" w:eastAsia="宋体" w:cs="宋体"/>
          <w:szCs w:val="21"/>
          <w:lang w:val="en"/>
        </w:rPr>
        <w:t>5</w:t>
      </w:r>
      <w:r>
        <w:rPr>
          <w:rFonts w:hint="eastAsia" w:ascii="宋体" w:hAnsi="宋体" w:eastAsia="宋体" w:cs="宋体"/>
          <w:szCs w:val="21"/>
        </w:rPr>
        <w:t>）政府采购方式：</w:t>
      </w:r>
      <w:r>
        <w:rPr>
          <w:rFonts w:hint="eastAsia" w:ascii="宋体" w:hAnsi="宋体" w:eastAsia="宋体" w:cs="宋体"/>
          <w:szCs w:val="21"/>
        </w:rPr>
        <w:sym w:font="Wingdings" w:char="00A8"/>
      </w:r>
      <w:r>
        <w:rPr>
          <w:rFonts w:hint="eastAsia" w:ascii="宋体" w:hAnsi="宋体" w:eastAsia="宋体" w:cs="宋体"/>
          <w:szCs w:val="21"/>
        </w:rPr>
        <w:t xml:space="preserve">公开招标  </w:t>
      </w:r>
      <w:r>
        <w:rPr>
          <w:rFonts w:hint="eastAsia" w:ascii="宋体" w:hAnsi="宋体" w:eastAsia="宋体" w:cs="宋体"/>
          <w:szCs w:val="21"/>
        </w:rPr>
        <w:sym w:font="Wingdings" w:char="00A8"/>
      </w:r>
      <w:r>
        <w:rPr>
          <w:rFonts w:hint="eastAsia" w:ascii="宋体" w:hAnsi="宋体" w:eastAsia="宋体" w:cs="宋体"/>
          <w:szCs w:val="21"/>
        </w:rPr>
        <w:t>竞争性谈判</w:t>
      </w:r>
      <w:r>
        <w:rPr>
          <w:rFonts w:hint="eastAsia" w:ascii="宋体" w:hAnsi="宋体" w:eastAsia="华文楷体" w:cs="宋体"/>
          <w:sz w:val="22"/>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 xml:space="preserve">单一来源  </w:t>
      </w:r>
      <w:r>
        <w:rPr>
          <w:rFonts w:hint="eastAsia" w:ascii="宋体" w:hAnsi="宋体" w:eastAsia="宋体" w:cs="宋体"/>
          <w:szCs w:val="21"/>
        </w:rPr>
        <w:sym w:font="Wingdings" w:char="00A8"/>
      </w:r>
      <w:r>
        <w:rPr>
          <w:rFonts w:hint="eastAsia" w:ascii="宋体" w:hAnsi="宋体" w:eastAsia="宋体" w:cs="宋体"/>
          <w:szCs w:val="21"/>
        </w:rPr>
        <w:t xml:space="preserve">竞价  </w:t>
      </w:r>
      <w:r>
        <w:rPr>
          <w:rFonts w:hint="eastAsia" w:ascii="宋体" w:hAnsi="宋体" w:eastAsia="宋体" w:cs="宋体"/>
          <w:szCs w:val="21"/>
        </w:rPr>
        <w:sym w:font="Wingdings" w:char="00A8"/>
      </w:r>
      <w:r>
        <w:rPr>
          <w:rFonts w:hint="eastAsia" w:ascii="宋体" w:hAnsi="宋体" w:eastAsia="宋体" w:cs="宋体"/>
          <w:szCs w:val="21"/>
        </w:rPr>
        <w:t xml:space="preserve">框架协议 </w:t>
      </w:r>
      <w:r>
        <w:rPr>
          <w:rFonts w:hint="eastAsia" w:ascii="宋体" w:hAnsi="宋体" w:eastAsia="宋体" w:cs="宋体"/>
          <w:szCs w:val="21"/>
        </w:rPr>
        <w:sym w:font="Wingdings" w:char="00A8"/>
      </w:r>
      <w:r>
        <w:rPr>
          <w:rFonts w:hint="eastAsia" w:ascii="宋体" w:hAnsi="宋体" w:eastAsia="宋体" w:cs="宋体"/>
          <w:szCs w:val="21"/>
        </w:rPr>
        <w:t>其他：</w:t>
      </w:r>
      <w:r>
        <w:rPr>
          <w:rFonts w:hint="eastAsia" w:ascii="宋体" w:hAnsi="宋体" w:eastAsia="宋体" w:cs="宋体"/>
          <w:szCs w:val="21"/>
          <w:u w:val="single"/>
        </w:rPr>
        <w:t xml:space="preserve">          </w:t>
      </w:r>
    </w:p>
    <w:p>
      <w:pPr>
        <w:numPr>
          <w:ilvl w:val="255"/>
          <w:numId w:val="0"/>
        </w:numPr>
        <w:autoSpaceDE w:val="0"/>
        <w:autoSpaceDN w:val="0"/>
        <w:adjustRightInd w:val="0"/>
        <w:snapToGrid w:val="0"/>
        <w:spacing w:line="400" w:lineRule="exact"/>
        <w:ind w:firstLine="420"/>
        <w:rPr>
          <w:rFonts w:hint="eastAsia" w:ascii="宋体" w:hAnsi="宋体" w:eastAsia="宋体" w:cs="宋体"/>
          <w:szCs w:val="21"/>
        </w:rPr>
      </w:pPr>
      <w:r>
        <w:rPr>
          <w:rFonts w:hint="eastAsia" w:ascii="宋体" w:hAnsi="宋体" w:eastAsia="宋体" w:cs="宋体"/>
          <w:szCs w:val="21"/>
        </w:rPr>
        <w:t>（注：在框架协议采购的第二阶段，可选择使用该合同文本）</w:t>
      </w:r>
    </w:p>
    <w:p>
      <w:pPr>
        <w:numPr>
          <w:ilvl w:val="255"/>
          <w:numId w:val="0"/>
        </w:numPr>
        <w:autoSpaceDE w:val="0"/>
        <w:autoSpaceDN w:val="0"/>
        <w:adjustRightInd w:val="0"/>
        <w:snapToGrid w:val="0"/>
        <w:spacing w:line="400" w:lineRule="exact"/>
        <w:ind w:firstLine="220" w:firstLineChars="100"/>
        <w:rPr>
          <w:rFonts w:hint="eastAsia" w:ascii="宋体" w:hAnsi="宋体" w:eastAsia="宋体" w:cs="Times New Roman"/>
          <w:szCs w:val="21"/>
        </w:rPr>
      </w:pPr>
      <w:r>
        <w:rPr>
          <w:rFonts w:hint="eastAsia" w:ascii="宋体" w:hAnsi="宋体" w:eastAsia="华文楷体" w:cs="华文楷体"/>
          <w:sz w:val="22"/>
          <w:szCs w:val="21"/>
        </w:rPr>
        <w:t xml:space="preserve"> （</w:t>
      </w:r>
      <w:r>
        <w:rPr>
          <w:rFonts w:ascii="宋体" w:hAnsi="宋体" w:eastAsia="华文楷体" w:cs="华文楷体"/>
          <w:sz w:val="22"/>
          <w:szCs w:val="21"/>
          <w:lang w:val="en"/>
        </w:rPr>
        <w:t>6</w:t>
      </w:r>
      <w:r>
        <w:rPr>
          <w:rFonts w:hint="eastAsia" w:ascii="宋体" w:hAnsi="宋体" w:eastAsia="华文楷体" w:cs="华文楷体"/>
          <w:sz w:val="22"/>
          <w:szCs w:val="21"/>
        </w:rPr>
        <w:t>）</w:t>
      </w:r>
      <w:r>
        <w:rPr>
          <w:rFonts w:hint="eastAsia" w:ascii="宋体" w:hAnsi="宋体" w:eastAsia="宋体" w:cs="Times New Roman"/>
          <w:szCs w:val="21"/>
        </w:rPr>
        <w:t>中标（成交）采购标的制造商是否为中小企业：</w:t>
      </w:r>
      <w:r>
        <w:rPr>
          <w:rFonts w:hint="eastAsia" w:ascii="宋体" w:hAnsi="宋体" w:eastAsia="宋体" w:cs="Times New Roman"/>
          <w:szCs w:val="21"/>
        </w:rPr>
        <w:sym w:font="Wingdings" w:char="00A8"/>
      </w:r>
      <w:r>
        <w:rPr>
          <w:rFonts w:hint="eastAsia" w:ascii="宋体" w:hAnsi="宋体" w:eastAsia="宋体" w:cs="Times New Roman"/>
          <w:szCs w:val="21"/>
        </w:rPr>
        <w:t xml:space="preserve">是      </w:t>
      </w:r>
      <w:r>
        <w:rPr>
          <w:rFonts w:hint="eastAsia" w:ascii="宋体" w:hAnsi="宋体" w:eastAsia="宋体" w:cs="Times New Roman"/>
          <w:szCs w:val="21"/>
        </w:rPr>
        <w:sym w:font="Wingdings" w:char="00A8"/>
      </w:r>
      <w:r>
        <w:rPr>
          <w:rFonts w:hint="eastAsia" w:ascii="宋体" w:hAnsi="宋体" w:eastAsia="宋体" w:cs="Times New Roman"/>
          <w:szCs w:val="21"/>
        </w:rPr>
        <w:t>否</w:t>
      </w:r>
    </w:p>
    <w:p>
      <w:pPr>
        <w:numPr>
          <w:ilvl w:val="255"/>
          <w:numId w:val="0"/>
        </w:numPr>
        <w:adjustRightInd w:val="0"/>
        <w:snapToGrid w:val="0"/>
        <w:spacing w:line="400" w:lineRule="exact"/>
        <w:rPr>
          <w:rFonts w:hint="eastAsia" w:ascii="宋体" w:hAnsi="宋体" w:eastAsia="宋体"/>
          <w:iCs/>
          <w:szCs w:val="21"/>
        </w:rPr>
      </w:pPr>
      <w:r>
        <w:rPr>
          <w:rFonts w:hint="eastAsia" w:ascii="宋体" w:hAnsi="宋体" w:eastAsia="宋体"/>
          <w:szCs w:val="21"/>
        </w:rPr>
        <w:t xml:space="preserve">         本合同是否为专门面向中小企业的采购合同（中小企业预留合同）：</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255"/>
          <w:numId w:val="0"/>
        </w:numPr>
        <w:adjustRightInd w:val="0"/>
        <w:snapToGrid w:val="0"/>
        <w:spacing w:line="400" w:lineRule="exact"/>
        <w:rPr>
          <w:rFonts w:hint="eastAsia" w:ascii="宋体" w:hAnsi="宋体" w:eastAsia="宋体"/>
          <w:iCs/>
          <w:szCs w:val="21"/>
        </w:rPr>
      </w:pPr>
      <w:r>
        <w:rPr>
          <w:rFonts w:hint="eastAsia" w:eastAsia="宋体"/>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255"/>
          <w:numId w:val="0"/>
        </w:numPr>
        <w:adjustRightInd w:val="0"/>
        <w:snapToGrid w:val="0"/>
        <w:spacing w:line="400" w:lineRule="exact"/>
        <w:rPr>
          <w:rFonts w:hint="eastAsia" w:ascii="宋体" w:hAnsi="宋体" w:eastAsia="宋体"/>
          <w:iCs/>
          <w:szCs w:val="21"/>
        </w:rPr>
      </w:pPr>
      <w:r>
        <w:rPr>
          <w:rFonts w:hint="eastAsia" w:eastAsia="宋体"/>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snapToGrid w:val="0"/>
        <w:spacing w:line="400" w:lineRule="exact"/>
        <w:rPr>
          <w:rFonts w:eastAsia="宋体"/>
        </w:rPr>
      </w:pPr>
      <w:r>
        <w:rPr>
          <w:rFonts w:hint="eastAsia" w:eastAsia="宋体"/>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w:t>
      </w:r>
      <w:r>
        <w:rPr>
          <w:rFonts w:ascii="宋体" w:hAnsi="宋体" w:eastAsia="宋体"/>
          <w:szCs w:val="21"/>
          <w:lang w:val="e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line="400" w:lineRule="exact"/>
        <w:ind w:firstLine="840" w:firstLineChars="400"/>
        <w:rPr>
          <w:rFonts w:hint="eastAsia" w:ascii="宋体" w:hAnsi="宋体" w:eastAsia="宋体"/>
          <w:szCs w:val="21"/>
          <w:u w:val="single"/>
        </w:rPr>
      </w:pPr>
      <w:r>
        <w:rPr>
          <w:rFonts w:hint="eastAsia" w:ascii="宋体" w:hAnsi="宋体" w:eastAsia="宋体"/>
          <w:szCs w:val="21"/>
        </w:rPr>
        <w:t xml:space="preserve"> 分包主要内容：</w:t>
      </w:r>
      <w:r>
        <w:rPr>
          <w:rFonts w:hint="eastAsia" w:ascii="宋体" w:hAnsi="宋体" w:eastAsia="宋体"/>
          <w:szCs w:val="21"/>
          <w:u w:val="single"/>
        </w:rPr>
        <w:t xml:space="preserve">                                            </w:t>
      </w:r>
    </w:p>
    <w:p>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分包供应商/制造商名称（如供应商和制造商不同，请分别填写）：</w:t>
      </w:r>
    </w:p>
    <w:p>
      <w:pPr>
        <w:adjustRightInd w:val="0"/>
        <w:snapToGrid w:val="0"/>
        <w:spacing w:line="400" w:lineRule="exact"/>
        <w:ind w:firstLine="840" w:firstLineChars="400"/>
        <w:rPr>
          <w:rFonts w:hint="eastAsia" w:ascii="宋体" w:hAnsi="宋体" w:eastAsia="宋体"/>
          <w:szCs w:val="21"/>
          <w:u w:val="single"/>
        </w:rPr>
      </w:pPr>
      <w:r>
        <w:rPr>
          <w:rFonts w:hint="eastAsia" w:ascii="宋体" w:hAnsi="宋体" w:eastAsia="宋体"/>
          <w:szCs w:val="21"/>
        </w:rPr>
        <w:t xml:space="preserve"> </w:t>
      </w:r>
      <w:r>
        <w:rPr>
          <w:rFonts w:hint="eastAsia" w:ascii="宋体" w:hAnsi="宋体" w:eastAsia="宋体"/>
          <w:szCs w:val="21"/>
          <w:u w:val="single"/>
        </w:rPr>
        <w:t xml:space="preserve">                                                          </w:t>
      </w:r>
    </w:p>
    <w:p>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分包供应商/制造商类型（如果供应商和制造商不同，只填写制造商类型）：</w:t>
      </w:r>
    </w:p>
    <w:p>
      <w:pPr>
        <w:adjustRightInd w:val="0"/>
        <w:snapToGrid w:val="0"/>
        <w:spacing w:line="400" w:lineRule="exact"/>
        <w:ind w:firstLine="840" w:firstLineChars="400"/>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 xml:space="preserve">小微型企业  </w:t>
      </w:r>
    </w:p>
    <w:p>
      <w:pPr>
        <w:adjustRightInd w:val="0"/>
        <w:snapToGrid w:val="0"/>
        <w:spacing w:line="400" w:lineRule="exact"/>
        <w:ind w:firstLine="840" w:firstLineChars="400"/>
        <w:rPr>
          <w:rFonts w:eastAsia="华文楷体"/>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残疾人福利性单位 </w:t>
      </w:r>
      <w:r>
        <w:rPr>
          <w:rFonts w:hint="eastAsia" w:ascii="宋体" w:hAnsi="宋体" w:eastAsia="宋体"/>
          <w:iCs/>
          <w:szCs w:val="21"/>
        </w:rPr>
        <w:sym w:font="Wingdings" w:char="00A8"/>
      </w:r>
      <w:r>
        <w:rPr>
          <w:rFonts w:hint="eastAsia" w:ascii="宋体" w:hAnsi="宋体" w:eastAsia="宋体"/>
          <w:iCs/>
          <w:szCs w:val="21"/>
        </w:rPr>
        <w:t xml:space="preserve">监狱企业 </w:t>
      </w:r>
      <w:r>
        <w:rPr>
          <w:rFonts w:hint="eastAsia" w:ascii="宋体" w:hAnsi="宋体" w:eastAsia="宋体"/>
          <w:iCs/>
          <w:szCs w:val="21"/>
        </w:rPr>
        <w:sym w:font="Wingdings" w:char="00A8"/>
      </w:r>
      <w:r>
        <w:rPr>
          <w:rFonts w:hint="eastAsia" w:ascii="宋体" w:hAnsi="宋体" w:eastAsia="宋体"/>
          <w:iCs/>
          <w:szCs w:val="21"/>
        </w:rPr>
        <w:t>其他</w:t>
      </w:r>
    </w:p>
    <w:p>
      <w:pPr>
        <w:numPr>
          <w:ilvl w:val="255"/>
          <w:numId w:val="0"/>
        </w:numPr>
        <w:adjustRightInd w:val="0"/>
        <w:snapToGrid w:val="0"/>
        <w:spacing w:line="400" w:lineRule="exact"/>
        <w:rPr>
          <w:rFonts w:hint="eastAsia" w:ascii="宋体" w:hAnsi="宋体" w:eastAsia="宋体" w:cs="宋体"/>
          <w:iCs/>
          <w:szCs w:val="21"/>
        </w:rPr>
      </w:pPr>
      <w:r>
        <w:rPr>
          <w:rFonts w:hint="eastAsia" w:ascii="宋体" w:hAnsi="宋体" w:eastAsia="宋体"/>
          <w:szCs w:val="21"/>
        </w:rPr>
        <w:t xml:space="preserve">    </w:t>
      </w:r>
      <w:r>
        <w:rPr>
          <w:rFonts w:hint="eastAsia" w:ascii="宋体" w:hAnsi="宋体" w:eastAsia="宋体" w:cs="宋体"/>
          <w:szCs w:val="21"/>
        </w:rPr>
        <w:t>（</w:t>
      </w:r>
      <w:r>
        <w:rPr>
          <w:rFonts w:ascii="宋体" w:hAnsi="宋体" w:eastAsia="宋体" w:cs="宋体"/>
          <w:szCs w:val="21"/>
          <w:lang w:val="en"/>
        </w:rPr>
        <w:t>8</w:t>
      </w:r>
      <w:r>
        <w:rPr>
          <w:rFonts w:hint="eastAsia" w:ascii="宋体" w:hAnsi="宋体" w:eastAsia="宋体" w:cs="宋体"/>
          <w:szCs w:val="21"/>
        </w:rPr>
        <w:t>）中标（成交）供应商是否为外商投资企业：</w:t>
      </w:r>
      <w:r>
        <w:rPr>
          <w:rFonts w:hint="eastAsia" w:ascii="宋体" w:hAnsi="宋体" w:eastAsia="宋体" w:cs="宋体"/>
          <w:iCs/>
          <w:szCs w:val="21"/>
        </w:rPr>
        <w:sym w:font="Wingdings" w:char="00A8"/>
      </w:r>
      <w:r>
        <w:rPr>
          <w:rFonts w:hint="eastAsia" w:ascii="宋体" w:hAnsi="宋体" w:eastAsia="宋体" w:cs="宋体"/>
          <w:iCs/>
          <w:szCs w:val="21"/>
        </w:rPr>
        <w:t xml:space="preserve">是       </w:t>
      </w:r>
      <w:r>
        <w:rPr>
          <w:rFonts w:hint="eastAsia" w:ascii="宋体" w:hAnsi="宋体" w:eastAsia="宋体" w:cs="宋体"/>
          <w:iCs/>
          <w:szCs w:val="21"/>
        </w:rPr>
        <w:sym w:font="Wingdings" w:char="00A8"/>
      </w:r>
      <w:r>
        <w:rPr>
          <w:rFonts w:hint="eastAsia" w:ascii="宋体" w:hAnsi="宋体" w:eastAsia="宋体" w:cs="宋体"/>
          <w:iCs/>
          <w:szCs w:val="21"/>
        </w:rPr>
        <w:t>否</w:t>
      </w:r>
    </w:p>
    <w:p>
      <w:pPr>
        <w:tabs>
          <w:tab w:val="left" w:pos="1340"/>
        </w:tabs>
        <w:autoSpaceDE w:val="0"/>
        <w:autoSpaceDN w:val="0"/>
        <w:adjustRightInd w:val="0"/>
        <w:spacing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 xml:space="preserve">     外商投资企业类型：</w:t>
      </w:r>
      <w:r>
        <w:rPr>
          <w:rFonts w:hint="eastAsia" w:ascii="宋体" w:hAnsi="宋体" w:eastAsia="宋体" w:cs="宋体"/>
          <w:iCs/>
          <w:szCs w:val="21"/>
        </w:rPr>
        <w:sym w:font="Wingdings" w:char="00A8"/>
      </w:r>
      <w:r>
        <w:rPr>
          <w:rFonts w:hint="eastAsia" w:ascii="宋体" w:hAnsi="宋体" w:eastAsia="宋体" w:cs="宋体"/>
          <w:szCs w:val="21"/>
        </w:rPr>
        <w:t xml:space="preserve">全部由外国投资者投资  </w:t>
      </w:r>
      <w:r>
        <w:rPr>
          <w:rFonts w:hint="eastAsia" w:ascii="宋体" w:hAnsi="宋体" w:eastAsia="宋体" w:cs="宋体"/>
          <w:iCs/>
          <w:szCs w:val="21"/>
        </w:rPr>
        <w:sym w:font="Wingdings" w:char="00A8"/>
      </w:r>
      <w:r>
        <w:rPr>
          <w:rFonts w:hint="eastAsia" w:ascii="宋体" w:hAnsi="宋体" w:eastAsia="宋体" w:cs="宋体"/>
          <w:iCs/>
          <w:szCs w:val="21"/>
        </w:rPr>
        <w:t>部分由外国投资者投资</w:t>
      </w:r>
    </w:p>
    <w:p>
      <w:pPr>
        <w:numPr>
          <w:ilvl w:val="255"/>
          <w:numId w:val="0"/>
        </w:num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ascii="宋体" w:hAnsi="宋体" w:eastAsia="宋体" w:cs="宋体"/>
          <w:szCs w:val="21"/>
          <w:lang w:val="en"/>
        </w:rPr>
        <w:t>9</w:t>
      </w:r>
      <w:r>
        <w:rPr>
          <w:rFonts w:hint="eastAsia" w:ascii="宋体" w:hAnsi="宋体" w:eastAsia="宋体" w:cs="宋体"/>
          <w:szCs w:val="21"/>
        </w:rPr>
        <w:t>）是否涉及进口产品：</w:t>
      </w:r>
    </w:p>
    <w:p>
      <w:pPr>
        <w:numPr>
          <w:ilvl w:val="255"/>
          <w:numId w:val="0"/>
        </w:numPr>
        <w:adjustRightInd w:val="0"/>
        <w:snapToGrid w:val="0"/>
        <w:spacing w:line="400" w:lineRule="exact"/>
        <w:ind w:firstLine="840" w:firstLineChars="400"/>
        <w:rPr>
          <w:rFonts w:hint="eastAsia" w:ascii="宋体" w:hAnsi="宋体" w:eastAsia="宋体" w:cs="宋体"/>
          <w:szCs w:val="21"/>
          <w:u w:val="single"/>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是，《政府采购品目分类目录》底级品目名称：</w:t>
      </w:r>
      <w:r>
        <w:rPr>
          <w:rFonts w:hint="eastAsia" w:ascii="宋体" w:hAnsi="宋体" w:eastAsia="宋体" w:cs="宋体"/>
          <w:szCs w:val="21"/>
          <w:u w:val="single"/>
        </w:rPr>
        <w:t xml:space="preserve">         </w:t>
      </w:r>
      <w:r>
        <w:rPr>
          <w:rFonts w:hint="eastAsia" w:ascii="宋体" w:hAnsi="宋体" w:eastAsia="宋体" w:cs="宋体"/>
          <w:szCs w:val="21"/>
        </w:rPr>
        <w:t xml:space="preserve"> 金额：</w:t>
      </w:r>
      <w:r>
        <w:rPr>
          <w:rFonts w:hint="eastAsia" w:ascii="宋体" w:hAnsi="宋体" w:eastAsia="宋体" w:cs="宋体"/>
          <w:szCs w:val="21"/>
          <w:u w:val="single"/>
        </w:rPr>
        <w:t xml:space="preserve">        </w:t>
      </w:r>
    </w:p>
    <w:p>
      <w:pPr>
        <w:numPr>
          <w:ilvl w:val="255"/>
          <w:numId w:val="0"/>
        </w:numPr>
        <w:adjustRightInd w:val="0"/>
        <w:snapToGrid w:val="0"/>
        <w:spacing w:line="400" w:lineRule="exact"/>
        <w:ind w:firstLine="840" w:firstLineChars="400"/>
        <w:rPr>
          <w:rFonts w:hint="eastAsia" w:ascii="宋体" w:hAnsi="宋体" w:eastAsia="宋体"/>
          <w:szCs w:val="21"/>
        </w:rPr>
      </w:pPr>
      <w:r>
        <w:rPr>
          <w:rFonts w:hint="eastAsia" w:ascii="宋体" w:hAnsi="宋体" w:eastAsia="宋体" w:cs="宋体"/>
          <w:szCs w:val="21"/>
        </w:rPr>
        <w:t xml:space="preserve">        国别：</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规格型号：</w:t>
      </w:r>
      <w:r>
        <w:rPr>
          <w:rFonts w:hint="eastAsia" w:ascii="宋体" w:hAnsi="宋体" w:eastAsia="宋体" w:cs="宋体"/>
          <w:szCs w:val="21"/>
          <w:u w:val="single"/>
        </w:rPr>
        <w:t xml:space="preserve">        </w:t>
      </w:r>
      <w:r>
        <w:rPr>
          <w:rFonts w:hint="eastAsia" w:ascii="宋体" w:hAnsi="宋体" w:eastAsia="宋体"/>
          <w:szCs w:val="21"/>
        </w:rPr>
        <w:t xml:space="preserve">      </w:t>
      </w:r>
    </w:p>
    <w:p>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否</w:t>
      </w:r>
    </w:p>
    <w:p>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（1</w:t>
      </w:r>
      <w:r>
        <w:rPr>
          <w:rFonts w:ascii="宋体" w:hAnsi="宋体" w:eastAsia="宋体"/>
          <w:szCs w:val="21"/>
          <w:lang w:val="en"/>
        </w:rPr>
        <w:t>0</w:t>
      </w:r>
      <w:r>
        <w:rPr>
          <w:rFonts w:hint="eastAsia" w:ascii="宋体" w:hAnsi="宋体" w:eastAsia="宋体"/>
          <w:szCs w:val="21"/>
        </w:rPr>
        <w:t>）是否涉及节能产品：</w:t>
      </w:r>
    </w:p>
    <w:p>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是，《节能产品政府采购品目清单》的底级品目名称：</w:t>
      </w:r>
      <w:r>
        <w:rPr>
          <w:rFonts w:hint="eastAsia" w:ascii="宋体" w:hAnsi="宋体" w:eastAsia="宋体"/>
          <w:szCs w:val="21"/>
          <w:u w:val="single"/>
        </w:rPr>
        <w:t xml:space="preserve">         </w:t>
      </w:r>
      <w:r>
        <w:rPr>
          <w:rFonts w:hint="eastAsia" w:ascii="宋体" w:hAnsi="宋体" w:eastAsia="宋体"/>
          <w:iCs/>
          <w:szCs w:val="21"/>
        </w:rPr>
        <w:t xml:space="preserve">     </w:t>
      </w:r>
    </w:p>
    <w:p>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szCs w:val="21"/>
        </w:rPr>
        <w:sym w:font="Wingdings" w:char="00A8"/>
      </w:r>
      <w:r>
        <w:rPr>
          <w:rFonts w:hint="eastAsia" w:ascii="宋体" w:hAnsi="宋体" w:eastAsia="宋体"/>
          <w:szCs w:val="21"/>
        </w:rPr>
        <w:t>否</w:t>
      </w:r>
    </w:p>
    <w:p>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是否涉及环境标志产品：</w:t>
      </w:r>
    </w:p>
    <w:p>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是，《环境标志产品政府采购品目清单》的底级品目名称：</w:t>
      </w:r>
      <w:r>
        <w:rPr>
          <w:rFonts w:hint="eastAsia" w:ascii="宋体" w:hAnsi="宋体" w:eastAsia="宋体"/>
          <w:szCs w:val="21"/>
          <w:u w:val="single"/>
        </w:rPr>
        <w:t xml:space="preserve">         </w:t>
      </w:r>
      <w:r>
        <w:rPr>
          <w:rFonts w:hint="eastAsia" w:ascii="宋体" w:hAnsi="宋体" w:eastAsia="宋体"/>
          <w:iCs/>
          <w:szCs w:val="21"/>
        </w:rPr>
        <w:t xml:space="preserve"> </w:t>
      </w:r>
    </w:p>
    <w:p>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szCs w:val="21"/>
        </w:rPr>
        <w:sym w:font="Wingdings" w:char="00A8"/>
      </w:r>
      <w:r>
        <w:rPr>
          <w:rFonts w:hint="eastAsia" w:ascii="宋体" w:hAnsi="宋体" w:eastAsia="宋体"/>
          <w:szCs w:val="21"/>
        </w:rPr>
        <w:t>否</w:t>
      </w:r>
    </w:p>
    <w:p>
      <w:pPr>
        <w:numPr>
          <w:ilvl w:val="255"/>
          <w:numId w:val="0"/>
        </w:numPr>
        <w:autoSpaceDE w:val="0"/>
        <w:autoSpaceDN w:val="0"/>
        <w:adjustRightInd w:val="0"/>
        <w:snapToGrid w:val="0"/>
        <w:spacing w:line="400" w:lineRule="exact"/>
        <w:rPr>
          <w:rFonts w:hint="eastAsia" w:ascii="宋体" w:hAnsi="宋体" w:eastAsia="宋体" w:cs="Times New Roman"/>
          <w:szCs w:val="21"/>
        </w:rPr>
      </w:pPr>
      <w:r>
        <w:rPr>
          <w:rFonts w:hint="eastAsia" w:ascii="宋体" w:hAnsi="宋体" w:eastAsia="华文楷体" w:cs="华文楷体"/>
          <w:szCs w:val="21"/>
        </w:rPr>
        <w:t xml:space="preserve">          </w:t>
      </w:r>
      <w:r>
        <w:rPr>
          <w:rFonts w:hint="eastAsia" w:ascii="宋体" w:hAnsi="宋体" w:eastAsia="宋体" w:cs="Times New Roman"/>
          <w:szCs w:val="21"/>
        </w:rPr>
        <w:t xml:space="preserve">是否涉及绿色产品： </w:t>
      </w:r>
    </w:p>
    <w:p>
      <w:pPr>
        <w:autoSpaceDE w:val="0"/>
        <w:autoSpaceDN w:val="0"/>
        <w:adjustRightInd w:val="0"/>
        <w:spacing w:line="400" w:lineRule="exact"/>
        <w:ind w:firstLine="420"/>
        <w:rPr>
          <w:rFonts w:hint="eastAsia" w:ascii="宋体" w:hAnsi="宋体" w:eastAsia="宋体" w:cs="华文楷体"/>
          <w:sz w:val="22"/>
          <w:szCs w:val="21"/>
          <w:u w:val="single"/>
        </w:rPr>
      </w:pPr>
      <w:r>
        <w:rPr>
          <w:rFonts w:hint="eastAsia" w:ascii="宋体" w:hAnsi="宋体" w:eastAsia="宋体" w:cs="Times New Roman"/>
          <w:szCs w:val="21"/>
        </w:rPr>
        <w:t xml:space="preserve">     </w:t>
      </w:r>
      <w:r>
        <w:rPr>
          <w:rFonts w:hint="eastAsia" w:ascii="宋体" w:hAnsi="宋体" w:eastAsia="宋体" w:cs="Times New Roman"/>
          <w:szCs w:val="21"/>
        </w:rPr>
        <w:sym w:font="Wingdings" w:char="00A8"/>
      </w:r>
      <w:r>
        <w:rPr>
          <w:rFonts w:hint="eastAsia" w:ascii="宋体" w:hAnsi="宋体" w:eastAsia="宋体" w:cs="Times New Roman"/>
          <w:szCs w:val="21"/>
        </w:rPr>
        <w:t>是，绿色产品政府采购相关政策确定的底级品目名称：</w:t>
      </w:r>
      <w:r>
        <w:rPr>
          <w:rFonts w:hint="eastAsia" w:ascii="宋体" w:hAnsi="宋体" w:eastAsia="宋体" w:cs="华文楷体"/>
          <w:sz w:val="22"/>
          <w:szCs w:val="21"/>
          <w:u w:val="single"/>
        </w:rPr>
        <w:t xml:space="preserve">         </w:t>
      </w:r>
    </w:p>
    <w:p>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pPr>
        <w:autoSpaceDE w:val="0"/>
        <w:autoSpaceDN w:val="0"/>
        <w:adjustRightInd w:val="0"/>
        <w:spacing w:line="400" w:lineRule="exact"/>
        <w:ind w:firstLine="420"/>
        <w:rPr>
          <w:rFonts w:hint="eastAsia" w:ascii="宋体" w:hAnsi="宋体" w:eastAsia="华文楷体" w:cs="华文楷体"/>
          <w:szCs w:val="21"/>
        </w:rPr>
      </w:pPr>
      <w:r>
        <w:rPr>
          <w:rFonts w:hint="eastAsia" w:ascii="宋体" w:hAnsi="宋体" w:eastAsia="宋体" w:cs="Times New Roman"/>
          <w:szCs w:val="21"/>
        </w:rPr>
        <w:t xml:space="preserve">     </w:t>
      </w:r>
      <w:r>
        <w:rPr>
          <w:rFonts w:hint="eastAsia" w:ascii="宋体" w:hAnsi="宋体" w:eastAsia="宋体" w:cs="Times New Roman"/>
          <w:szCs w:val="21"/>
        </w:rPr>
        <w:sym w:font="Wingdings" w:char="00A8"/>
      </w:r>
      <w:r>
        <w:rPr>
          <w:rFonts w:hint="eastAsia" w:ascii="宋体" w:hAnsi="宋体" w:eastAsia="宋体" w:cs="Times New Roman"/>
          <w:szCs w:val="21"/>
        </w:rPr>
        <w:t>否</w:t>
      </w:r>
    </w:p>
    <w:p>
      <w:pPr>
        <w:numPr>
          <w:ilvl w:val="255"/>
          <w:numId w:val="0"/>
        </w:numPr>
        <w:adjustRightInd w:val="0"/>
        <w:snapToGrid w:val="0"/>
        <w:spacing w:line="400" w:lineRule="exact"/>
        <w:rPr>
          <w:rFonts w:hint="eastAsia" w:ascii="宋体" w:hAnsi="宋体" w:eastAsia="宋体"/>
          <w:szCs w:val="21"/>
        </w:rPr>
      </w:pPr>
      <w:r>
        <w:rPr>
          <w:rFonts w:hint="eastAsia" w:ascii="宋体" w:hAnsi="宋体" w:eastAsia="宋体"/>
          <w:szCs w:val="21"/>
        </w:rPr>
        <w:t xml:space="preserve">    （1</w:t>
      </w:r>
      <w:r>
        <w:rPr>
          <w:rFonts w:ascii="宋体" w:hAnsi="宋体" w:eastAsia="宋体"/>
          <w:szCs w:val="21"/>
          <w:lang w:val="en"/>
        </w:rPr>
        <w:t>1</w:t>
      </w:r>
      <w:r>
        <w:rPr>
          <w:rFonts w:hint="eastAsia" w:ascii="宋体" w:hAnsi="宋体" w:eastAsia="宋体"/>
          <w:szCs w:val="21"/>
        </w:rPr>
        <w:t>）涉及商品包装和快递包装的，是否参考《商品包装政府采购需求标准（试行）》、《快递包装政府采购需求标准（试行）》明确产品及相关快递服务的具体包装要求：</w:t>
      </w:r>
    </w:p>
    <w:p>
      <w:pPr>
        <w:numPr>
          <w:ilvl w:val="255"/>
          <w:numId w:val="0"/>
        </w:num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 xml:space="preserve">是       </w:t>
      </w:r>
      <w:r>
        <w:rPr>
          <w:rFonts w:hint="eastAsia" w:ascii="宋体" w:hAnsi="宋体" w:eastAsia="宋体"/>
          <w:szCs w:val="21"/>
        </w:rPr>
        <w:sym w:font="Wingdings" w:char="00A8"/>
      </w:r>
      <w:r>
        <w:rPr>
          <w:rFonts w:hint="eastAsia" w:ascii="宋体" w:hAnsi="宋体" w:eastAsia="宋体"/>
          <w:szCs w:val="21"/>
        </w:rPr>
        <w:t xml:space="preserve">否      </w:t>
      </w:r>
      <w:r>
        <w:rPr>
          <w:rFonts w:hint="eastAsia" w:ascii="宋体" w:hAnsi="宋体" w:eastAsia="宋体"/>
          <w:szCs w:val="21"/>
        </w:rPr>
        <w:sym w:font="Wingdings" w:char="00A8"/>
      </w:r>
      <w:r>
        <w:rPr>
          <w:rFonts w:hint="eastAsia" w:ascii="宋体" w:hAnsi="宋体" w:eastAsia="宋体"/>
          <w:szCs w:val="21"/>
        </w:rPr>
        <w:t>不涉及</w:t>
      </w:r>
    </w:p>
    <w:p>
      <w:pPr>
        <w:numPr>
          <w:ilvl w:val="0"/>
          <w:numId w:val="5"/>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合同金额</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p>
    <w:p>
      <w:pPr>
        <w:adjustRightInd w:val="0"/>
        <w:snapToGrid w:val="0"/>
        <w:spacing w:line="400" w:lineRule="exact"/>
        <w:rPr>
          <w:rFonts w:hint="eastAsia" w:ascii="宋体" w:hAnsi="宋体" w:eastAsia="宋体"/>
          <w:szCs w:val="21"/>
          <w:u w:val="single"/>
        </w:rPr>
      </w:pPr>
      <w:r>
        <w:rPr>
          <w:rFonts w:hint="eastAsia" w:ascii="宋体" w:hAnsi="宋体" w:eastAsia="宋体"/>
          <w:szCs w:val="21"/>
        </w:rPr>
        <w:t xml:space="preserve">                 大写：</w:t>
      </w:r>
      <w:r>
        <w:rPr>
          <w:rFonts w:hint="eastAsia" w:ascii="宋体" w:hAnsi="宋体" w:eastAsia="宋体"/>
          <w:szCs w:val="21"/>
          <w:u w:val="single"/>
        </w:rPr>
        <w:t xml:space="preserve">                           </w:t>
      </w:r>
    </w:p>
    <w:p>
      <w:pPr>
        <w:adjustRightInd w:val="0"/>
        <w:snapToGrid w:val="0"/>
        <w:spacing w:line="400" w:lineRule="exact"/>
        <w:rPr>
          <w:rFonts w:hint="eastAsia" w:ascii="宋体" w:hAnsi="宋体" w:eastAsia="宋体"/>
          <w:szCs w:val="21"/>
        </w:rPr>
      </w:pPr>
      <w:r>
        <w:rPr>
          <w:rFonts w:hint="eastAsia" w:ascii="宋体" w:hAnsi="宋体" w:eastAsia="宋体"/>
          <w:szCs w:val="21"/>
        </w:rPr>
        <w:t xml:space="preserve">         分包金额（如有）小写：</w:t>
      </w:r>
      <w:r>
        <w:rPr>
          <w:rFonts w:hint="eastAsia" w:ascii="宋体" w:hAnsi="宋体" w:eastAsia="宋体"/>
          <w:szCs w:val="21"/>
          <w:u w:val="single"/>
        </w:rPr>
        <w:t xml:space="preserve">                   </w:t>
      </w:r>
    </w:p>
    <w:p>
      <w:pPr>
        <w:adjustRightInd w:val="0"/>
        <w:snapToGrid w:val="0"/>
        <w:spacing w:line="400" w:lineRule="exact"/>
        <w:rPr>
          <w:rFonts w:hint="eastAsia" w:ascii="宋体" w:hAnsi="宋体" w:eastAsia="宋体"/>
          <w:szCs w:val="21"/>
          <w:u w:val="single"/>
        </w:rPr>
      </w:pPr>
      <w:r>
        <w:rPr>
          <w:rFonts w:hint="eastAsia" w:ascii="宋体" w:hAnsi="宋体" w:eastAsia="宋体"/>
          <w:szCs w:val="21"/>
        </w:rPr>
        <w:t xml:space="preserve">                     大写：</w:t>
      </w:r>
      <w:r>
        <w:rPr>
          <w:rFonts w:hint="eastAsia" w:ascii="宋体" w:hAnsi="宋体" w:eastAsia="宋体"/>
          <w:szCs w:val="21"/>
          <w:u w:val="single"/>
        </w:rPr>
        <w:t xml:space="preserve">                       </w:t>
      </w:r>
    </w:p>
    <w:p>
      <w:pPr>
        <w:adjustRightInd w:val="0"/>
        <w:snapToGrid w:val="0"/>
        <w:spacing w:line="400" w:lineRule="exact"/>
        <w:rPr>
          <w:rFonts w:hint="eastAsia" w:ascii="宋体" w:hAnsi="宋体" w:eastAsia="宋体"/>
          <w:szCs w:val="21"/>
        </w:rPr>
      </w:pPr>
      <w:r>
        <w:rPr>
          <w:rFonts w:hint="eastAsia" w:ascii="宋体" w:hAnsi="宋体" w:eastAsia="宋体"/>
          <w:szCs w:val="21"/>
        </w:rPr>
        <w:t xml:space="preserve">    （注：固定单价合同应填写单价和最高限价）</w:t>
      </w:r>
    </w:p>
    <w:p>
      <w:pPr>
        <w:numPr>
          <w:ilvl w:val="255"/>
          <w:numId w:val="0"/>
        </w:numPr>
        <w:adjustRightInd w:val="0"/>
        <w:snapToGrid w:val="0"/>
        <w:spacing w:line="400" w:lineRule="exact"/>
        <w:rPr>
          <w:rFonts w:hint="eastAsia" w:ascii="宋体" w:hAnsi="宋体" w:eastAsia="宋体"/>
          <w:szCs w:val="21"/>
        </w:rPr>
      </w:pPr>
      <w:r>
        <w:rPr>
          <w:rFonts w:hint="eastAsia" w:ascii="宋体" w:hAnsi="宋体" w:eastAsia="宋体"/>
          <w:szCs w:val="21"/>
        </w:rPr>
        <w:t xml:space="preserve">    （2）合同定价方式（采用组合定价方式的，可以勾选多项）：</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 xml:space="preserve">固定单价 </w:t>
      </w:r>
      <w:r>
        <w:rPr>
          <w:rFonts w:hint="eastAsia" w:ascii="宋体" w:hAnsi="宋体" w:eastAsia="宋体"/>
          <w:iCs/>
          <w:szCs w:val="21"/>
        </w:rPr>
        <w:sym w:font="Wingdings" w:char="00A8"/>
      </w:r>
      <w:r>
        <w:rPr>
          <w:rFonts w:hint="eastAsia" w:ascii="宋体" w:hAnsi="宋体" w:eastAsia="宋体"/>
          <w:iCs/>
          <w:szCs w:val="21"/>
        </w:rPr>
        <w:t xml:space="preserve">固定费率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 xml:space="preserve">绩效激励 </w:t>
      </w:r>
      <w:r>
        <w:rPr>
          <w:rFonts w:hint="eastAsia" w:ascii="宋体" w:hAnsi="宋体" w:eastAsia="宋体"/>
          <w:iCs/>
          <w:szCs w:val="21"/>
        </w:rPr>
        <w:sym w:font="Wingdings" w:char="00A8"/>
      </w:r>
      <w:r>
        <w:rPr>
          <w:rFonts w:hint="eastAsia" w:ascii="宋体" w:hAnsi="宋体" w:eastAsia="宋体"/>
          <w:iCs/>
          <w:szCs w:val="21"/>
        </w:rPr>
        <w:t>其他</w:t>
      </w:r>
      <w:r>
        <w:rPr>
          <w:rFonts w:hint="eastAsia" w:ascii="宋体" w:hAnsi="宋体" w:eastAsia="宋体"/>
          <w:szCs w:val="21"/>
          <w:u w:val="single"/>
        </w:rPr>
        <w:t xml:space="preserve">       </w:t>
      </w:r>
    </w:p>
    <w:p>
      <w:pPr>
        <w:spacing w:line="400" w:lineRule="exact"/>
        <w:ind w:firstLine="420" w:firstLineChars="200"/>
        <w:rPr>
          <w:rFonts w:ascii="Times New Roman" w:hAnsi="Times New Roman" w:eastAsia="宋体" w:cs="Times New Roman"/>
          <w:szCs w:val="21"/>
        </w:rPr>
      </w:pPr>
      <w:r>
        <w:rPr>
          <w:rFonts w:hint="eastAsia" w:ascii="宋体" w:hAnsi="宋体" w:eastAsia="宋体" w:cs="Times New Roman"/>
          <w:szCs w:val="21"/>
        </w:rPr>
        <w:t>（3）付款方式（按项目实际勾选填写）：</w:t>
      </w:r>
    </w:p>
    <w:p>
      <w:pPr>
        <w:adjustRightInd w:val="0"/>
        <w:snapToGrid w:val="0"/>
        <w:spacing w:line="400" w:lineRule="exact"/>
        <w:ind w:firstLine="630" w:firstLineChars="300"/>
        <w:rPr>
          <w:rFonts w:hint="eastAsia"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（应明确一次性支付合同款项的条件）                    </w:t>
      </w:r>
    </w:p>
    <w:p>
      <w:pPr>
        <w:snapToGrid w:val="0"/>
        <w:spacing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（应明确分期支付合同款项的各期比例和支付条件，各期支付条件应与分期履约验收情况挂钩） </w:t>
      </w:r>
      <w:r>
        <w:rPr>
          <w:rFonts w:hint="eastAsia" w:ascii="宋体" w:hAnsi="宋体" w:eastAsia="宋体"/>
          <w:szCs w:val="21"/>
        </w:rPr>
        <w:t>，其中涉及预付款的：</w:t>
      </w:r>
      <w:r>
        <w:rPr>
          <w:rFonts w:hint="eastAsia" w:ascii="宋体" w:hAnsi="宋体" w:eastAsia="宋体"/>
          <w:szCs w:val="21"/>
          <w:u w:val="single"/>
        </w:rPr>
        <w:t xml:space="preserve"> （应明确预付款的支付比例和支付条件） </w:t>
      </w:r>
    </w:p>
    <w:p>
      <w:pPr>
        <w:adjustRightInd w:val="0"/>
        <w:snapToGrid w:val="0"/>
        <w:spacing w:line="400" w:lineRule="exact"/>
        <w:ind w:firstLine="630" w:firstLineChars="300"/>
        <w:rPr>
          <w:rFonts w:hint="eastAsia"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pPr>
        <w:adjustRightInd w:val="0"/>
        <w:snapToGrid w:val="0"/>
        <w:spacing w:line="400" w:lineRule="exact"/>
        <w:ind w:firstLine="630" w:firstLineChars="300"/>
        <w:rPr>
          <w:rFonts w:hint="eastAsia"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pPr>
        <w:numPr>
          <w:ilvl w:val="0"/>
          <w:numId w:val="5"/>
        </w:numPr>
        <w:adjustRightInd w:val="0"/>
        <w:snapToGrid w:val="0"/>
        <w:spacing w:line="400" w:lineRule="exact"/>
        <w:ind w:firstLine="422" w:firstLineChars="200"/>
        <w:rPr>
          <w:rFonts w:hint="eastAsia" w:ascii="宋体" w:hAnsi="宋体" w:eastAsia="宋体"/>
          <w:b/>
          <w:szCs w:val="21"/>
          <w:u w:val="single"/>
        </w:rPr>
      </w:pPr>
      <w:r>
        <w:rPr>
          <w:rFonts w:hint="eastAsia" w:ascii="宋体" w:hAnsi="宋体" w:eastAsia="宋体"/>
          <w:b/>
          <w:szCs w:val="21"/>
        </w:rPr>
        <w:t>合同履行</w:t>
      </w:r>
    </w:p>
    <w:p>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adjustRightInd w:val="0"/>
        <w:snapToGrid w:val="0"/>
        <w:spacing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（2）履约地点</w:t>
      </w:r>
      <w:r>
        <w:rPr>
          <w:rFonts w:hint="eastAsia" w:ascii="宋体" w:hAnsi="宋体" w:eastAsia="宋体" w:cs="宋体"/>
          <w:bCs/>
          <w:szCs w:val="21"/>
        </w:rPr>
        <w:t>：</w:t>
      </w:r>
      <w:r>
        <w:rPr>
          <w:rFonts w:hint="eastAsia" w:ascii="宋体" w:hAnsi="宋体" w:eastAsia="宋体" w:cs="宋体"/>
          <w:szCs w:val="21"/>
          <w:u w:val="single"/>
        </w:rPr>
        <w:t xml:space="preserve">                             </w:t>
      </w:r>
    </w:p>
    <w:p>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（3）履约担保：</w:t>
      </w:r>
      <w:r>
        <w:rPr>
          <w:rFonts w:hint="eastAsia" w:ascii="宋体" w:hAnsi="宋体" w:eastAsia="宋体" w:cs="宋体"/>
        </w:rPr>
        <w:t>是否收取履约保证金：</w:t>
      </w:r>
      <w:r>
        <w:rPr>
          <w:rFonts w:hint="eastAsia" w:ascii="宋体" w:hAnsi="宋体" w:eastAsia="宋体" w:cs="宋体"/>
          <w:szCs w:val="21"/>
        </w:rPr>
        <w:sym w:font="Wingdings" w:char="00A8"/>
      </w:r>
      <w:r>
        <w:rPr>
          <w:rFonts w:hint="eastAsia" w:ascii="宋体" w:hAnsi="宋体" w:eastAsia="宋体" w:cs="宋体"/>
          <w:szCs w:val="21"/>
        </w:rPr>
        <w:t xml:space="preserve">是    </w:t>
      </w:r>
      <w:r>
        <w:rPr>
          <w:rFonts w:hint="eastAsia" w:ascii="宋体" w:hAnsi="宋体" w:eastAsia="宋体" w:cs="宋体"/>
          <w:szCs w:val="21"/>
        </w:rPr>
        <w:sym w:font="Wingdings" w:char="00A8"/>
      </w:r>
      <w:r>
        <w:rPr>
          <w:rFonts w:hint="eastAsia" w:ascii="宋体" w:hAnsi="宋体" w:eastAsia="宋体" w:cs="宋体"/>
          <w:szCs w:val="21"/>
        </w:rPr>
        <w:t>否</w:t>
      </w:r>
    </w:p>
    <w:p>
      <w:pPr>
        <w:autoSpaceDE w:val="0"/>
        <w:autoSpaceDN w:val="0"/>
        <w:adjustRightInd w:val="0"/>
        <w:spacing w:line="400" w:lineRule="exact"/>
        <w:ind w:firstLine="440" w:firstLineChars="200"/>
        <w:rPr>
          <w:rFonts w:hint="eastAsia" w:ascii="宋体" w:hAnsi="宋体" w:eastAsia="宋体" w:cs="宋体"/>
          <w:szCs w:val="21"/>
        </w:rPr>
      </w:pPr>
      <w:r>
        <w:rPr>
          <w:rFonts w:hint="eastAsia" w:ascii="宋体" w:hAnsi="宋体" w:eastAsia="华文楷体" w:cs="宋体"/>
          <w:bCs/>
          <w:sz w:val="22"/>
          <w:szCs w:val="21"/>
        </w:rPr>
        <w:t xml:space="preserve">  </w:t>
      </w:r>
      <w:r>
        <w:rPr>
          <w:rFonts w:hint="eastAsia" w:ascii="宋体" w:hAnsi="宋体" w:eastAsia="宋体" w:cs="宋体"/>
          <w:szCs w:val="21"/>
        </w:rPr>
        <w:t xml:space="preserve">  收取履约保证金形式：</w:t>
      </w:r>
      <w:r>
        <w:rPr>
          <w:rFonts w:hint="eastAsia" w:ascii="宋体" w:hAnsi="宋体" w:eastAsia="宋体" w:cs="宋体"/>
          <w:bCs/>
          <w:szCs w:val="21"/>
          <w:u w:val="single"/>
        </w:rPr>
        <w:t xml:space="preserve">                            </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收取履约保证金金额：</w:t>
      </w:r>
      <w:r>
        <w:rPr>
          <w:rFonts w:hint="eastAsia" w:ascii="宋体" w:hAnsi="宋体" w:eastAsia="宋体" w:cs="宋体"/>
          <w:bCs/>
          <w:szCs w:val="21"/>
          <w:u w:val="single"/>
        </w:rPr>
        <w:t xml:space="preserve">                            </w:t>
      </w:r>
    </w:p>
    <w:p>
      <w:pPr>
        <w:snapToGrid w:val="0"/>
        <w:spacing w:line="400" w:lineRule="exact"/>
        <w:ind w:firstLine="420" w:firstLineChars="200"/>
        <w:rPr>
          <w:rFonts w:hint="eastAsia" w:ascii="宋体" w:hAnsi="宋体" w:eastAsia="宋体" w:cs="宋体"/>
        </w:rPr>
      </w:pPr>
      <w:r>
        <w:rPr>
          <w:rFonts w:hint="eastAsia" w:ascii="宋体" w:hAnsi="宋体" w:eastAsia="宋体" w:cs="宋体"/>
          <w:bCs/>
          <w:szCs w:val="21"/>
        </w:rPr>
        <w:t xml:space="preserve">    履约担保期限：</w:t>
      </w:r>
      <w:r>
        <w:rPr>
          <w:rFonts w:hint="eastAsia" w:ascii="宋体" w:hAnsi="宋体" w:eastAsia="宋体" w:cs="宋体"/>
          <w:bCs/>
          <w:szCs w:val="21"/>
          <w:u w:val="single"/>
        </w:rPr>
        <w:t xml:space="preserve">                                  </w:t>
      </w:r>
    </w:p>
    <w:p>
      <w:pPr>
        <w:adjustRightInd w:val="0"/>
        <w:snapToGrid w:val="0"/>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p>
    <w:p>
      <w:pPr>
        <w:adjustRightInd w:val="0"/>
        <w:snapToGrid w:val="0"/>
        <w:spacing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（5）风险处置措施和替代方案：</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pPr>
        <w:numPr>
          <w:ilvl w:val="0"/>
          <w:numId w:val="5"/>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合同验收</w:t>
      </w:r>
    </w:p>
    <w:p>
      <w:pPr>
        <w:numPr>
          <w:ilvl w:val="0"/>
          <w:numId w:val="7"/>
        </w:num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Cs w:val="21"/>
        </w:rPr>
        <w:sym w:font="Wingdings" w:char="00A8"/>
      </w:r>
      <w:r>
        <w:rPr>
          <w:rFonts w:hint="eastAsia" w:ascii="宋体" w:hAnsi="宋体" w:eastAsia="宋体"/>
          <w:bCs/>
          <w:szCs w:val="21"/>
        </w:rPr>
        <w:t xml:space="preserve">自行组织 </w:t>
      </w:r>
      <w:r>
        <w:rPr>
          <w:rFonts w:hint="eastAsia" w:ascii="宋体" w:hAnsi="宋体" w:eastAsia="宋体" w:cs="宋体"/>
          <w:szCs w:val="21"/>
        </w:rPr>
        <w:sym w:font="Wingdings" w:char="00A8"/>
      </w:r>
      <w:r>
        <w:rPr>
          <w:rFonts w:hint="eastAsia" w:ascii="宋体" w:hAnsi="宋体" w:eastAsia="宋体"/>
          <w:bCs/>
          <w:szCs w:val="21"/>
        </w:rPr>
        <w:t>委托第三方组织</w:t>
      </w:r>
    </w:p>
    <w:p>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验收主体：</w:t>
      </w:r>
      <w:r>
        <w:rPr>
          <w:rFonts w:hint="eastAsia" w:ascii="宋体" w:hAnsi="宋体" w:eastAsia="宋体"/>
          <w:bCs/>
          <w:szCs w:val="21"/>
          <w:u w:val="single"/>
        </w:rPr>
        <w:t xml:space="preserve">                  </w:t>
      </w:r>
    </w:p>
    <w:p>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是否邀请本项目的其他供应商参加验收：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是否邀请专家参加验收：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是否邀请服务对象参加验收：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是否邀请第三方检测机构参加验收：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是否进行抽查检测：</w:t>
      </w:r>
      <w:r>
        <w:rPr>
          <w:rFonts w:hint="eastAsia" w:ascii="宋体" w:hAnsi="宋体" w:eastAsia="宋体" w:cs="宋体"/>
          <w:szCs w:val="21"/>
        </w:rPr>
        <w:sym w:font="Wingdings" w:char="00A8"/>
      </w:r>
      <w:r>
        <w:rPr>
          <w:rFonts w:hint="eastAsia" w:ascii="宋体" w:hAnsi="宋体" w:eastAsia="宋体"/>
          <w:bCs/>
          <w:szCs w:val="21"/>
        </w:rPr>
        <w:t>是，抽查比例：</w:t>
      </w:r>
      <w:r>
        <w:rPr>
          <w:rFonts w:hint="eastAsia" w:ascii="宋体" w:hAnsi="宋体" w:eastAsia="宋体"/>
          <w:bCs/>
          <w:szCs w:val="21"/>
          <w:u w:val="single"/>
        </w:rPr>
        <w:t xml:space="preserve">        </w:t>
      </w: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否</w:t>
      </w:r>
    </w:p>
    <w:p>
      <w:pPr>
        <w:adjustRightInd w:val="0"/>
        <w:snapToGrid w:val="0"/>
        <w:spacing w:line="400" w:lineRule="exact"/>
        <w:ind w:firstLine="840" w:firstLineChars="400"/>
        <w:rPr>
          <w:rFonts w:hint="eastAsia" w:ascii="宋体" w:hAnsi="宋体" w:eastAsia="宋体"/>
          <w:bCs/>
          <w:szCs w:val="21"/>
          <w:u w:val="single"/>
        </w:rPr>
      </w:pPr>
      <w:r>
        <w:rPr>
          <w:rFonts w:hint="eastAsia" w:ascii="宋体" w:hAnsi="宋体" w:eastAsia="宋体"/>
          <w:bCs/>
          <w:szCs w:val="21"/>
        </w:rPr>
        <w:t>是否存在破坏性检测：</w:t>
      </w:r>
      <w:r>
        <w:rPr>
          <w:rFonts w:hint="eastAsia" w:ascii="宋体" w:hAnsi="宋体" w:eastAsia="宋体" w:cs="宋体"/>
          <w:szCs w:val="21"/>
        </w:rPr>
        <w:sym w:font="Wingdings" w:char="00A8"/>
      </w:r>
      <w:r>
        <w:rPr>
          <w:rFonts w:hint="eastAsia" w:ascii="宋体" w:hAnsi="宋体" w:eastAsia="宋体"/>
          <w:bCs/>
          <w:szCs w:val="21"/>
        </w:rPr>
        <w:t>是，</w:t>
      </w:r>
      <w:r>
        <w:rPr>
          <w:rFonts w:hint="eastAsia" w:ascii="宋体" w:hAnsi="宋体" w:eastAsia="宋体"/>
          <w:bCs/>
          <w:szCs w:val="21"/>
          <w:u w:val="single"/>
        </w:rPr>
        <w:t>（应明确对被破坏的检测产品的处理方式）</w:t>
      </w:r>
    </w:p>
    <w:p>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否</w:t>
      </w:r>
    </w:p>
    <w:p>
      <w:pPr>
        <w:adjustRightInd w:val="0"/>
        <w:snapToGrid w:val="0"/>
        <w:spacing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 xml:space="preserve">（计划于何时验收/供应商提出验收申请之日起   日内组织验收） </w:t>
      </w:r>
    </w:p>
    <w:p>
      <w:p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Cs w:val="21"/>
        </w:rPr>
        <w:sym w:font="Wingdings" w:char="00A8"/>
      </w:r>
      <w:r>
        <w:rPr>
          <w:rFonts w:hint="eastAsia" w:ascii="宋体" w:hAnsi="宋体" w:eastAsia="宋体"/>
          <w:bCs/>
          <w:szCs w:val="21"/>
        </w:rPr>
        <w:t xml:space="preserve">一次性验收         </w:t>
      </w:r>
    </w:p>
    <w:p>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分期/分项验收：</w:t>
      </w:r>
      <w:r>
        <w:rPr>
          <w:rFonts w:hint="eastAsia" w:ascii="宋体" w:hAnsi="宋体" w:eastAsia="宋体"/>
          <w:bCs/>
          <w:szCs w:val="21"/>
          <w:u w:val="single"/>
        </w:rPr>
        <w:t xml:space="preserve"> （应明确分期</w:t>
      </w:r>
      <w:r>
        <w:rPr>
          <w:rFonts w:ascii="宋体" w:hAnsi="宋体" w:eastAsia="宋体"/>
          <w:bCs/>
          <w:szCs w:val="21"/>
          <w:u w:val="single"/>
          <w:lang w:val="en"/>
        </w:rPr>
        <w:t>/</w:t>
      </w:r>
      <w:r>
        <w:rPr>
          <w:rFonts w:hint="eastAsia" w:ascii="宋体" w:hAnsi="宋体" w:eastAsia="宋体"/>
          <w:bCs/>
          <w:szCs w:val="21"/>
          <w:u w:val="single"/>
          <w:lang w:val="en"/>
        </w:rPr>
        <w:t>分项验收的工作安排</w:t>
      </w:r>
      <w:r>
        <w:rPr>
          <w:rFonts w:hint="eastAsia" w:ascii="宋体" w:hAnsi="宋体" w:eastAsia="宋体"/>
          <w:bCs/>
          <w:szCs w:val="21"/>
          <w:u w:val="single"/>
        </w:rPr>
        <w:t xml:space="preserve">）  </w:t>
      </w:r>
    </w:p>
    <w:p>
      <w:p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（应当包括每一项技术和商务要求的履约情况，特别是落实政府采购扶持中小企业，支持绿色发展和乡村振兴等政策情况）                                      </w:t>
      </w:r>
    </w:p>
    <w:p>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（7）是否以采购活动中供应商提供的样品作为参考：</w:t>
      </w:r>
      <w:r>
        <w:rPr>
          <w:rFonts w:hint="eastAsia" w:ascii="宋体" w:hAnsi="宋体" w:eastAsia="宋体" w:cs="宋体"/>
          <w:szCs w:val="21"/>
        </w:rPr>
        <w:sym w:font="Wingdings" w:char="00A8"/>
      </w:r>
      <w:r>
        <w:rPr>
          <w:rFonts w:hint="eastAsia" w:ascii="宋体" w:hAnsi="宋体" w:eastAsia="宋体" w:cs="宋体"/>
          <w:bCs/>
          <w:szCs w:val="21"/>
        </w:rPr>
        <w:t xml:space="preserve">是  </w:t>
      </w:r>
      <w:r>
        <w:rPr>
          <w:rFonts w:hint="eastAsia" w:ascii="宋体" w:hAnsi="宋体" w:eastAsia="宋体" w:cs="宋体"/>
          <w:szCs w:val="21"/>
        </w:rPr>
        <w:sym w:font="Wingdings" w:char="00A8"/>
      </w:r>
      <w:r>
        <w:rPr>
          <w:rFonts w:hint="eastAsia" w:ascii="宋体" w:hAnsi="宋体" w:eastAsia="宋体" w:cs="宋体"/>
          <w:bCs/>
          <w:szCs w:val="21"/>
        </w:rPr>
        <w:t>否</w:t>
      </w:r>
    </w:p>
    <w:p>
      <w:pPr>
        <w:adjustRightInd w:val="0"/>
        <w:snapToGrid w:val="0"/>
        <w:spacing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（产权过户登记等）          </w:t>
      </w:r>
    </w:p>
    <w:p>
      <w:pPr>
        <w:numPr>
          <w:ilvl w:val="0"/>
          <w:numId w:val="5"/>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（1）政府采购合同协议书及其变更、补充协议</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（2）政府采购合同专用条款</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（3）政府采购合同通用条款</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（4）中标（成交）通知书</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（5）投标（响应）文件</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（6）采购文件</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（7）有关技术文件，图纸</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（8）</w:t>
      </w:r>
      <w:r>
        <w:rPr>
          <w:rFonts w:hint="eastAsia" w:ascii="宋体" w:hAnsi="宋体" w:eastAsia="宋体" w:cs="宋体"/>
          <w:color w:val="000000"/>
          <w:szCs w:val="21"/>
        </w:rPr>
        <w:t>国家法律、行政法规和规章制度规定或合同约定的作为合同组成部分的其他文件</w:t>
      </w:r>
    </w:p>
    <w:p>
      <w:pPr>
        <w:numPr>
          <w:ilvl w:val="0"/>
          <w:numId w:val="5"/>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合同生效</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pPr>
        <w:numPr>
          <w:ilvl w:val="0"/>
          <w:numId w:val="5"/>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合同份数</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份，甲方执</w:t>
      </w:r>
      <w:r>
        <w:rPr>
          <w:rFonts w:hint="eastAsia" w:ascii="宋体" w:hAnsi="宋体" w:eastAsia="宋体"/>
          <w:szCs w:val="21"/>
          <w:u w:val="single"/>
        </w:rPr>
        <w:t xml:space="preserve">    </w:t>
      </w:r>
      <w:r>
        <w:rPr>
          <w:rFonts w:hint="eastAsia" w:ascii="宋体" w:hAnsi="宋体" w:eastAsia="宋体"/>
          <w:szCs w:val="21"/>
        </w:rPr>
        <w:t>份，乙方执</w:t>
      </w:r>
      <w:r>
        <w:rPr>
          <w:rFonts w:hint="eastAsia" w:ascii="宋体" w:hAnsi="宋体" w:eastAsia="宋体"/>
          <w:szCs w:val="21"/>
          <w:u w:val="single"/>
        </w:rPr>
        <w:t xml:space="preserve">    </w:t>
      </w:r>
      <w:r>
        <w:rPr>
          <w:rFonts w:hint="eastAsia" w:ascii="宋体" w:hAnsi="宋体" w:eastAsia="宋体"/>
          <w:szCs w:val="21"/>
        </w:rPr>
        <w:t>份，均具有同等法律效力。</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pPr>
        <w:adjustRightInd w:val="0"/>
        <w:snapToGrid w:val="0"/>
        <w:spacing w:line="400" w:lineRule="exact"/>
        <w:ind w:firstLine="420" w:firstLineChars="200"/>
        <w:rPr>
          <w:rFonts w:eastAsia="宋体"/>
        </w:rPr>
      </w:pPr>
      <w:r>
        <w:rPr>
          <w:rFonts w:hint="eastAsia" w:ascii="宋体" w:hAnsi="宋体" w:eastAsia="宋体"/>
          <w:szCs w:val="21"/>
        </w:rPr>
        <w:t>附件：具体标的及其技术要求和商务要求、联合协议、分包意向协议等。</w:t>
      </w:r>
    </w:p>
    <w:p>
      <w:pPr>
        <w:rPr>
          <w:rFonts w:eastAsia="宋体"/>
        </w:rPr>
      </w:pPr>
      <w:r>
        <w:rPr>
          <w:rFonts w:hint="eastAsia" w:eastAsia="宋体"/>
        </w:rPr>
        <w:br w:type="page"/>
      </w:r>
    </w:p>
    <w:p>
      <w:pPr>
        <w:ind w:firstLine="420" w:firstLineChars="200"/>
        <w:rPr>
          <w:rFonts w:ascii="Times New Roman" w:hAnsi="Times New Roman" w:eastAsia="宋体" w:cs="Times New Roman"/>
          <w:szCs w:val="21"/>
        </w:rPr>
      </w:pPr>
    </w:p>
    <w:tbl>
      <w:tblPr>
        <w:tblStyle w:val="19"/>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rPr>
              <w:t>、受采购人委托签订合同的单位或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（公章或合同章）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拥有者性别</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住  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住  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通信地址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pPr>
              <w:adjustRightInd w:val="0"/>
              <w:snapToGrid w:val="0"/>
              <w:spacing w:before="156" w:beforeLines="50" w:line="360" w:lineRule="auto"/>
              <w:jc w:val="left"/>
              <w:rPr>
                <w:rFonts w:ascii="Times New Roman" w:hAnsi="Times New Roman" w:eastAsia="宋体" w:cs="Times New Roman"/>
                <w:spacing w:val="20"/>
                <w:szCs w:val="21"/>
              </w:rPr>
            </w:pPr>
            <w:r>
              <w:rPr>
                <w:rFonts w:hint="eastAsia" w:ascii="宋体" w:hAnsi="宋体" w:eastAsia="宋体" w:cs="Times New Roman"/>
                <w:szCs w:val="21"/>
              </w:rPr>
              <w:t>注：涉及联合体或其他合同主体的信息应按上表格式加列。</w:t>
            </w:r>
          </w:p>
        </w:tc>
      </w:tr>
    </w:tbl>
    <w:p>
      <w:pPr>
        <w:ind w:firstLine="527" w:firstLineChars="250"/>
        <w:rPr>
          <w:rFonts w:hint="eastAsia" w:ascii="宋体" w:hAnsi="宋体"/>
          <w:b/>
          <w:szCs w:val="21"/>
        </w:rPr>
      </w:pPr>
    </w:p>
    <w:p>
      <w:pPr>
        <w:keepNext/>
        <w:keepLines/>
        <w:adjustRightInd w:val="0"/>
        <w:snapToGrid w:val="0"/>
        <w:spacing w:before="156" w:beforeLines="50" w:line="360" w:lineRule="auto"/>
        <w:jc w:val="center"/>
        <w:outlineLvl w:val="1"/>
        <w:rPr>
          <w:rFonts w:hint="eastAsia" w:ascii="黑体" w:hAnsi="黑体" w:eastAsia="黑体" w:cs="Times New Roman"/>
          <w:b/>
          <w:bCs/>
          <w:sz w:val="28"/>
          <w:szCs w:val="28"/>
        </w:rPr>
      </w:pPr>
      <w:bookmarkStart w:id="51" w:name="_Toc27624"/>
      <w:r>
        <w:rPr>
          <w:rFonts w:hint="eastAsia" w:ascii="黑体" w:hAnsi="黑体" w:eastAsia="黑体" w:cs="Times New Roman"/>
          <w:sz w:val="28"/>
          <w:szCs w:val="28"/>
        </w:rPr>
        <w:t>第二节 政府采购合同通用条款</w:t>
      </w:r>
      <w:bookmarkEnd w:id="51"/>
    </w:p>
    <w:p>
      <w:pPr>
        <w:tabs>
          <w:tab w:val="left" w:pos="8820"/>
          <w:tab w:val="left" w:pos="9345"/>
          <w:tab w:val="left" w:pos="9765"/>
        </w:tabs>
        <w:adjustRightInd w:val="0"/>
        <w:snapToGrid w:val="0"/>
        <w:spacing w:line="400" w:lineRule="exact"/>
        <w:jc w:val="left"/>
        <w:rPr>
          <w:rFonts w:hint="eastAsia" w:ascii="宋体" w:hAnsi="宋体" w:eastAsia="宋体"/>
          <w:b/>
          <w:bCs/>
          <w:sz w:val="24"/>
        </w:rPr>
      </w:pPr>
      <w:r>
        <w:rPr>
          <w:rFonts w:hint="eastAsia" w:ascii="宋体" w:hAnsi="宋体" w:eastAsia="宋体"/>
          <w:b/>
          <w:sz w:val="24"/>
        </w:rPr>
        <w:t xml:space="preserve">1. </w:t>
      </w:r>
      <w:r>
        <w:rPr>
          <w:rFonts w:hint="eastAsia" w:ascii="宋体" w:hAnsi="宋体" w:eastAsia="宋体"/>
          <w:b/>
          <w:bCs/>
          <w:sz w:val="24"/>
        </w:rPr>
        <w:t>定义</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1.1合同当事人</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（1）采购人（以下称甲方）是指使用财政性资金，通过政府采购方式向供应商购买货物及其相关服务的国家机关、事业单位、团体组织。</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（2）供应商（以下称乙方）是指参加政府采购活动并且中标（成交），向采购人提供合同约定的货物及其相关服务的法人、非法人组织或者自然人。</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szCs w:val="21"/>
        </w:rPr>
        <w:t>。</w:t>
      </w:r>
    </w:p>
    <w:p>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1.2本合同下列术语应解释为：</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szCs w:val="21"/>
        </w:rPr>
        <w:t>国家法律、行政法规和规章制度规定或合同约定的作为合同组成部分的其他文件</w:t>
      </w:r>
      <w:r>
        <w:rPr>
          <w:rFonts w:hint="eastAsia" w:ascii="宋体" w:hAnsi="宋体" w:eastAsia="宋体"/>
          <w:szCs w:val="21"/>
        </w:rPr>
        <w:t>。</w:t>
      </w:r>
    </w:p>
    <w:p>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（2）“合同价款”系指根据本合同规定乙方在全面履行合同义务后甲方应支付给乙方的价款。</w:t>
      </w:r>
    </w:p>
    <w:p>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szCs w:val="21"/>
        </w:rPr>
        <w:t>（3）“货物”系指乙方根据本合同规定须向甲方提供的各种形态和种类的物品，包括原材料、设备、产品（</w:t>
      </w:r>
      <w:r>
        <w:rPr>
          <w:rFonts w:hint="eastAsia" w:ascii="宋体" w:hAnsi="宋体" w:eastAsia="宋体"/>
          <w:color w:val="000000"/>
          <w:szCs w:val="21"/>
        </w:rPr>
        <w:t>包括软件）及相关的其备品备件、工具、手册及</w:t>
      </w:r>
      <w:r>
        <w:rPr>
          <w:rFonts w:ascii="宋体" w:hAnsi="宋体" w:eastAsia="宋体"/>
          <w:color w:val="000000"/>
          <w:szCs w:val="21"/>
          <w:lang w:val="en"/>
        </w:rPr>
        <w:t>其他</w:t>
      </w:r>
      <w:r>
        <w:rPr>
          <w:rFonts w:hint="eastAsia" w:ascii="宋体" w:hAnsi="宋体" w:eastAsia="宋体"/>
          <w:color w:val="000000"/>
          <w:szCs w:val="21"/>
        </w:rPr>
        <w:t>技术资料和材料等。</w:t>
      </w:r>
    </w:p>
    <w:p>
      <w:pPr>
        <w:adjustRightInd w:val="0"/>
        <w:snapToGrid w:val="0"/>
        <w:spacing w:line="400" w:lineRule="exact"/>
        <w:ind w:firstLine="420" w:firstLineChars="200"/>
        <w:jc w:val="left"/>
        <w:rPr>
          <w:rFonts w:hint="eastAsia" w:ascii="宋体" w:hAnsi="宋体" w:eastAsia="宋体"/>
          <w:color w:val="000000"/>
          <w:szCs w:val="21"/>
          <w:highlight w:val="yellow"/>
        </w:rPr>
      </w:pPr>
      <w:r>
        <w:rPr>
          <w:rFonts w:hint="eastAsia" w:ascii="宋体" w:hAnsi="宋体" w:eastAsia="宋体"/>
          <w:color w:val="000000"/>
          <w:szCs w:val="21"/>
        </w:rPr>
        <w:t>（4）“</w:t>
      </w:r>
      <w:r>
        <w:rPr>
          <w:rFonts w:hint="eastAsia" w:ascii="宋体" w:hAnsi="宋体" w:eastAsia="宋体"/>
          <w:szCs w:val="21"/>
        </w:rPr>
        <w:t>相关</w:t>
      </w:r>
      <w:r>
        <w:rPr>
          <w:rFonts w:hint="eastAsia" w:ascii="宋体" w:hAnsi="宋体" w:eastAsia="宋体"/>
          <w:color w:val="000000"/>
          <w:szCs w:val="21"/>
        </w:rPr>
        <w:t>服务”系指根据合同规定，乙方应提供的与货物有关的技术、管理和</w:t>
      </w:r>
      <w:r>
        <w:rPr>
          <w:rFonts w:ascii="宋体" w:hAnsi="宋体" w:eastAsia="宋体"/>
          <w:color w:val="000000"/>
          <w:szCs w:val="21"/>
          <w:lang w:val="en"/>
        </w:rPr>
        <w:t>其他</w:t>
      </w:r>
      <w:r>
        <w:rPr>
          <w:rFonts w:hint="eastAsia" w:ascii="宋体" w:hAnsi="宋体" w:eastAsia="宋体"/>
          <w:color w:val="000000"/>
          <w:szCs w:val="21"/>
        </w:rPr>
        <w:t>服务，包括但不限于：管理和质量保证、运输、保险、检验、现场准备、安装、集成、调试、培训、维修、废弃处置、技术支持等以及合同中规定乙方应承担的</w:t>
      </w:r>
      <w:r>
        <w:rPr>
          <w:rFonts w:ascii="宋体" w:hAnsi="宋体" w:eastAsia="宋体"/>
          <w:color w:val="000000"/>
          <w:szCs w:val="21"/>
          <w:lang w:val="en"/>
        </w:rPr>
        <w:t>其他</w:t>
      </w:r>
      <w:r>
        <w:rPr>
          <w:rFonts w:hint="eastAsia" w:ascii="宋体" w:hAnsi="宋体" w:eastAsia="宋体"/>
          <w:color w:val="000000"/>
          <w:szCs w:val="21"/>
        </w:rPr>
        <w:t>义务。</w:t>
      </w:r>
    </w:p>
    <w:p>
      <w:pPr>
        <w:adjustRightInd w:val="0"/>
        <w:snapToGrid w:val="0"/>
        <w:spacing w:line="400" w:lineRule="exact"/>
        <w:ind w:firstLine="420" w:firstLineChars="200"/>
        <w:jc w:val="left"/>
        <w:rPr>
          <w:rFonts w:hint="eastAsia" w:ascii="宋体" w:hAnsi="宋体" w:eastAsia="宋体"/>
          <w:color w:val="000000"/>
          <w:szCs w:val="21"/>
          <w:highlight w:val="yellow"/>
        </w:rPr>
      </w:pPr>
      <w:r>
        <w:rPr>
          <w:rFonts w:hint="eastAsia" w:ascii="宋体" w:hAnsi="宋体" w:eastAsia="宋体"/>
          <w:color w:val="000000"/>
          <w:szCs w:val="21"/>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（6）</w:t>
      </w:r>
      <w:r>
        <w:rPr>
          <w:rFonts w:hint="eastAsia" w:ascii="宋体" w:hAnsi="宋体" w:eastAsia="宋体"/>
          <w:szCs w:val="21"/>
        </w:rPr>
        <w:t>“联合体”系指由两个以上的自然人、法人或者非法人组织组成，以一个供应商的身份共同参加政府采购的主体</w:t>
      </w:r>
      <w:r>
        <w:rPr>
          <w:rFonts w:hint="eastAsia" w:ascii="宋体" w:hAnsi="宋体" w:eastAsia="宋体"/>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b/>
          <w:bCs/>
          <w:color w:val="000000"/>
          <w:szCs w:val="21"/>
        </w:rPr>
        <w:t>政府采购合同专用条款</w:t>
      </w:r>
      <w:r>
        <w:rPr>
          <w:rFonts w:hint="eastAsia" w:ascii="宋体" w:hAnsi="宋体" w:eastAsia="宋体"/>
          <w:color w:val="000000"/>
          <w:szCs w:val="21"/>
        </w:rPr>
        <w:t>】。</w:t>
      </w:r>
    </w:p>
    <w:p>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（7）其他术语解释，见【</w:t>
      </w:r>
      <w:r>
        <w:rPr>
          <w:rFonts w:hint="eastAsia" w:ascii="宋体" w:hAnsi="宋体" w:eastAsia="宋体"/>
          <w:b/>
          <w:bCs/>
          <w:color w:val="000000"/>
          <w:szCs w:val="21"/>
        </w:rPr>
        <w:t>政府采购合同专用条款</w:t>
      </w:r>
      <w:r>
        <w:rPr>
          <w:rFonts w:hint="eastAsia" w:ascii="宋体" w:hAnsi="宋体" w:eastAsia="宋体"/>
          <w:color w:val="000000"/>
          <w:szCs w:val="21"/>
        </w:rPr>
        <w:t>】。</w:t>
      </w:r>
    </w:p>
    <w:p>
      <w:pPr>
        <w:numPr>
          <w:ilvl w:val="0"/>
          <w:numId w:val="8"/>
        </w:num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color w:val="000000"/>
          <w:sz w:val="24"/>
        </w:rPr>
        <w:t>合同标的及金额</w:t>
      </w:r>
    </w:p>
    <w:p>
      <w:pPr>
        <w:autoSpaceDE w:val="0"/>
        <w:autoSpaceDN w:val="0"/>
        <w:adjustRightInd w:val="0"/>
        <w:snapToGrid w:val="0"/>
        <w:spacing w:line="400" w:lineRule="exact"/>
        <w:ind w:firstLine="420" w:firstLineChars="200"/>
        <w:jc w:val="left"/>
        <w:rPr>
          <w:rFonts w:hint="eastAsia" w:ascii="宋体" w:hAnsi="宋体" w:eastAsia="宋体"/>
          <w:b/>
          <w:bCs/>
          <w:i/>
          <w:iCs/>
          <w:color w:val="000000"/>
          <w:szCs w:val="21"/>
        </w:rPr>
      </w:pPr>
      <w:r>
        <w:rPr>
          <w:rFonts w:hint="eastAsia" w:ascii="宋体" w:hAnsi="宋体" w:eastAsia="宋体"/>
          <w:color w:val="000000"/>
          <w:szCs w:val="21"/>
        </w:rPr>
        <w:t>2.1 合同标的及金额应与中标（成交）结果一致。乙方为履行本合同而发生的所有费用均应包含在合同价款中，甲方不再另行支付</w:t>
      </w:r>
      <w:r>
        <w:rPr>
          <w:rFonts w:ascii="宋体" w:hAnsi="宋体" w:eastAsia="宋体"/>
          <w:color w:val="000000"/>
          <w:szCs w:val="21"/>
          <w:lang w:val="en"/>
        </w:rPr>
        <w:t>其他</w:t>
      </w:r>
      <w:r>
        <w:rPr>
          <w:rFonts w:hint="eastAsia" w:ascii="宋体" w:hAnsi="宋体" w:eastAsia="宋体"/>
          <w:color w:val="000000"/>
          <w:szCs w:val="21"/>
        </w:rPr>
        <w:t>任何费用。</w:t>
      </w:r>
    </w:p>
    <w:p>
      <w:pPr>
        <w:adjustRightInd w:val="0"/>
        <w:snapToGrid w:val="0"/>
        <w:spacing w:line="400" w:lineRule="exact"/>
        <w:jc w:val="left"/>
        <w:rPr>
          <w:rFonts w:hint="eastAsia" w:ascii="宋体" w:hAnsi="宋体" w:eastAsia="宋体"/>
          <w:b/>
          <w:color w:val="000000"/>
          <w:sz w:val="24"/>
        </w:rPr>
      </w:pPr>
      <w:r>
        <w:rPr>
          <w:rFonts w:hint="eastAsia" w:ascii="宋体" w:hAnsi="宋体" w:eastAsia="宋体"/>
          <w:b/>
          <w:color w:val="000000"/>
          <w:sz w:val="24"/>
        </w:rPr>
        <w:t>3. 履行合同的时间、地点和方式</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3.1 </w:t>
      </w:r>
      <w:r>
        <w:rPr>
          <w:rFonts w:hint="eastAsia" w:ascii="宋体" w:hAnsi="宋体" w:eastAsia="宋体" w:cs="宋体"/>
          <w:szCs w:val="21"/>
        </w:rPr>
        <w:t>乙方应当在约定的时间、地点，按照约定方式履行合同。</w:t>
      </w:r>
    </w:p>
    <w:p>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4. 甲方的权利和义务</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4.1</w:t>
      </w:r>
      <w:r>
        <w:rPr>
          <w:rFonts w:ascii="宋体" w:hAnsi="宋体" w:eastAsia="宋体"/>
          <w:color w:val="000000"/>
          <w:szCs w:val="21"/>
        </w:rPr>
        <w:t xml:space="preserve"> 签署合同后，甲方</w:t>
      </w:r>
      <w:r>
        <w:rPr>
          <w:rFonts w:hint="eastAsia" w:ascii="宋体" w:hAnsi="宋体" w:eastAsia="宋体"/>
          <w:color w:val="000000"/>
          <w:szCs w:val="21"/>
        </w:rPr>
        <w:t>应</w:t>
      </w:r>
      <w:r>
        <w:rPr>
          <w:rFonts w:ascii="宋体" w:hAnsi="宋体" w:eastAsia="宋体"/>
          <w:color w:val="000000"/>
          <w:szCs w:val="21"/>
        </w:rPr>
        <w:t>确定</w:t>
      </w:r>
      <w:r>
        <w:rPr>
          <w:rFonts w:hint="eastAsia" w:ascii="宋体" w:hAnsi="宋体" w:eastAsia="宋体"/>
          <w:color w:val="000000"/>
          <w:szCs w:val="21"/>
        </w:rPr>
        <w:t>项目负责人（或项目联系人）</w:t>
      </w:r>
      <w:r>
        <w:rPr>
          <w:rFonts w:ascii="宋体" w:hAnsi="宋体" w:eastAsia="宋体"/>
          <w:color w:val="000000"/>
          <w:szCs w:val="21"/>
        </w:rPr>
        <w:t>，负责与本合同有关的事务。</w:t>
      </w:r>
      <w:r>
        <w:rPr>
          <w:rFonts w:hint="eastAsia" w:ascii="宋体" w:hAnsi="宋体" w:eastAsia="宋体"/>
          <w:color w:val="000000"/>
          <w:szCs w:val="21"/>
        </w:rPr>
        <w:t>甲方有权对乙方的履约行为进行检查，并</w:t>
      </w:r>
      <w:r>
        <w:rPr>
          <w:rFonts w:ascii="宋体" w:hAnsi="宋体" w:eastAsia="宋体"/>
          <w:color w:val="000000"/>
          <w:szCs w:val="21"/>
        </w:rPr>
        <w:t>及时确认乙方提交的事项</w:t>
      </w:r>
      <w:r>
        <w:rPr>
          <w:rFonts w:hint="eastAsia" w:ascii="宋体" w:hAnsi="宋体" w:eastAsia="宋体"/>
          <w:color w:val="000000"/>
          <w:szCs w:val="21"/>
        </w:rPr>
        <w:t>。甲方应当</w:t>
      </w:r>
      <w:r>
        <w:rPr>
          <w:rFonts w:ascii="宋体" w:hAnsi="宋体" w:eastAsia="宋体"/>
          <w:color w:val="000000"/>
          <w:szCs w:val="21"/>
        </w:rPr>
        <w:t>配合乙方完成</w:t>
      </w:r>
      <w:r>
        <w:rPr>
          <w:rFonts w:hint="eastAsia" w:ascii="宋体" w:hAnsi="宋体" w:eastAsia="宋体"/>
          <w:color w:val="000000"/>
          <w:szCs w:val="21"/>
        </w:rPr>
        <w:t>相关项目</w:t>
      </w:r>
      <w:r>
        <w:rPr>
          <w:rFonts w:ascii="宋体" w:hAnsi="宋体" w:eastAsia="宋体"/>
          <w:color w:val="000000"/>
          <w:szCs w:val="21"/>
        </w:rPr>
        <w:t>实施工作。</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4.2 </w:t>
      </w:r>
      <w:r>
        <w:rPr>
          <w:rFonts w:ascii="宋体" w:hAnsi="宋体" w:eastAsia="宋体"/>
          <w:color w:val="000000"/>
          <w:szCs w:val="21"/>
        </w:rPr>
        <w:t>甲方有权要求乙方按时提交各阶段有关</w:t>
      </w:r>
      <w:r>
        <w:rPr>
          <w:rFonts w:hint="eastAsia" w:ascii="宋体" w:hAnsi="宋体" w:eastAsia="宋体"/>
          <w:color w:val="000000"/>
          <w:szCs w:val="21"/>
        </w:rPr>
        <w:t>安排计划</w:t>
      </w:r>
      <w:r>
        <w:rPr>
          <w:rFonts w:ascii="宋体" w:hAnsi="宋体" w:eastAsia="宋体"/>
          <w:color w:val="000000"/>
          <w:szCs w:val="21"/>
        </w:rPr>
        <w:t>，并有权</w:t>
      </w:r>
      <w:r>
        <w:rPr>
          <w:rFonts w:hint="eastAsia" w:ascii="宋体" w:hAnsi="宋体" w:eastAsia="宋体"/>
          <w:color w:val="000000"/>
          <w:szCs w:val="21"/>
        </w:rPr>
        <w:t>定期核对乙方提供货物数量、规格、质量等内容。甲方</w:t>
      </w:r>
      <w:r>
        <w:rPr>
          <w:rFonts w:ascii="宋体" w:hAnsi="宋体" w:eastAsia="宋体"/>
          <w:color w:val="000000"/>
          <w:szCs w:val="21"/>
        </w:rPr>
        <w:t>有权督促乙方工作并要求乙方</w:t>
      </w:r>
      <w:r>
        <w:rPr>
          <w:rFonts w:hint="eastAsia" w:ascii="宋体" w:hAnsi="宋体" w:eastAsia="宋体"/>
          <w:color w:val="000000"/>
          <w:szCs w:val="21"/>
        </w:rPr>
        <w:t>更</w:t>
      </w:r>
      <w:r>
        <w:rPr>
          <w:rFonts w:ascii="宋体" w:hAnsi="宋体" w:eastAsia="宋体"/>
          <w:color w:val="000000"/>
          <w:szCs w:val="21"/>
        </w:rPr>
        <w:t>换不符合要求的</w:t>
      </w:r>
      <w:r>
        <w:rPr>
          <w:rFonts w:hint="eastAsia" w:ascii="宋体" w:hAnsi="宋体" w:eastAsia="宋体"/>
          <w:color w:val="000000"/>
          <w:szCs w:val="21"/>
        </w:rPr>
        <w:t>货物</w:t>
      </w:r>
      <w:r>
        <w:rPr>
          <w:rFonts w:ascii="宋体" w:hAnsi="宋体" w:eastAsia="宋体"/>
          <w:color w:val="000000"/>
          <w:szCs w:val="21"/>
        </w:rPr>
        <w:t>。</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w:t>
      </w:r>
      <w:r>
        <w:rPr>
          <w:rFonts w:ascii="宋体" w:hAnsi="宋体" w:eastAsia="宋体"/>
          <w:color w:val="000000"/>
          <w:szCs w:val="21"/>
        </w:rPr>
        <w:t>3</w:t>
      </w:r>
      <w:r>
        <w:rPr>
          <w:rFonts w:hint="eastAsia" w:ascii="宋体" w:hAnsi="宋体" w:eastAsia="宋体"/>
          <w:color w:val="000000"/>
          <w:szCs w:val="21"/>
        </w:rPr>
        <w:t xml:space="preserve"> </w:t>
      </w:r>
      <w:r>
        <w:rPr>
          <w:rFonts w:ascii="宋体" w:hAnsi="宋体" w:eastAsia="宋体"/>
          <w:color w:val="000000"/>
          <w:szCs w:val="21"/>
        </w:rPr>
        <w:t>甲方</w:t>
      </w:r>
      <w:r>
        <w:rPr>
          <w:rFonts w:hint="eastAsia" w:ascii="宋体" w:hAnsi="宋体" w:eastAsia="宋体"/>
          <w:color w:val="000000"/>
          <w:szCs w:val="21"/>
        </w:rPr>
        <w:t>有权要求乙方对缺陷部分予以修复，并按合同约定享有货物保修及其他合同约定的权利。</w:t>
      </w:r>
    </w:p>
    <w:p>
      <w:pPr>
        <w:snapToGrid w:val="0"/>
        <w:spacing w:line="400" w:lineRule="exact"/>
        <w:ind w:firstLine="420" w:firstLineChars="200"/>
        <w:rPr>
          <w:rFonts w:eastAsia="华文楷体"/>
        </w:rPr>
      </w:pPr>
      <w:r>
        <w:rPr>
          <w:rFonts w:ascii="宋体" w:hAnsi="宋体" w:eastAsia="宋体"/>
          <w:color w:val="000000"/>
          <w:szCs w:val="21"/>
        </w:rPr>
        <w:t>4.4 甲方应当按照合同约定及时对交付的货物进行验收</w:t>
      </w:r>
      <w:r>
        <w:rPr>
          <w:rFonts w:hint="eastAsia" w:ascii="宋体" w:hAnsi="宋体" w:eastAsia="宋体"/>
          <w:color w:val="000000"/>
          <w:szCs w:val="21"/>
        </w:rPr>
        <w:t>，</w:t>
      </w:r>
      <w:r>
        <w:rPr>
          <w:rFonts w:hint="eastAsia" w:ascii="宋体" w:hAnsi="宋体" w:eastAsia="宋体" w:cs="宋体"/>
          <w:szCs w:val="21"/>
        </w:rPr>
        <w:t>未</w:t>
      </w:r>
      <w:r>
        <w:rPr>
          <w:rFonts w:hint="eastAsia" w:ascii="宋体" w:hAnsi="宋体" w:eastAsia="宋体"/>
          <w:color w:val="000000"/>
          <w:szCs w:val="21"/>
        </w:rPr>
        <w:t>在</w:t>
      </w:r>
      <w:r>
        <w:rPr>
          <w:rFonts w:hint="eastAsia" w:ascii="宋体" w:hAnsi="宋体" w:eastAsia="宋体" w:cs="宋体"/>
          <w:b/>
          <w:bCs/>
          <w:szCs w:val="21"/>
        </w:rPr>
        <w:t>【政府采购合同专用条款】</w:t>
      </w:r>
      <w:r>
        <w:rPr>
          <w:rFonts w:hint="eastAsia" w:ascii="宋体" w:hAnsi="宋体" w:eastAsia="宋体" w:cs="宋体"/>
          <w:szCs w:val="21"/>
        </w:rPr>
        <w:t>约定的期限内对乙方履约提出任何异议或者向乙方作出任何说明的，</w:t>
      </w:r>
      <w:r>
        <w:rPr>
          <w:rFonts w:hint="eastAsia" w:ascii="宋体" w:hAnsi="宋体" w:eastAsia="宋体"/>
          <w:color w:val="000000"/>
          <w:szCs w:val="21"/>
        </w:rPr>
        <w:t>视为验收通过。</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ascii="宋体" w:hAnsi="宋体" w:eastAsia="宋体"/>
          <w:color w:val="000000"/>
          <w:szCs w:val="21"/>
        </w:rPr>
        <w:t>4</w:t>
      </w:r>
      <w:r>
        <w:rPr>
          <w:rFonts w:hint="eastAsia" w:ascii="宋体" w:hAnsi="宋体" w:eastAsia="宋体"/>
          <w:color w:val="000000"/>
          <w:szCs w:val="21"/>
        </w:rPr>
        <w:t>.</w:t>
      </w:r>
      <w:r>
        <w:rPr>
          <w:rFonts w:ascii="宋体" w:hAnsi="宋体" w:eastAsia="宋体"/>
          <w:color w:val="000000"/>
          <w:szCs w:val="21"/>
        </w:rPr>
        <w:t xml:space="preserve">5 </w:t>
      </w:r>
      <w:r>
        <w:rPr>
          <w:rFonts w:hint="eastAsia" w:ascii="宋体" w:hAnsi="宋体" w:eastAsia="宋体"/>
          <w:color w:val="000000"/>
          <w:szCs w:val="21"/>
        </w:rPr>
        <w:t>甲方应当根据合同约定及时向乙方支付合同价款</w:t>
      </w:r>
      <w:r>
        <w:rPr>
          <w:rFonts w:ascii="宋体" w:hAnsi="宋体" w:eastAsia="宋体"/>
          <w:color w:val="000000"/>
          <w:szCs w:val="21"/>
        </w:rPr>
        <w:t>，不得以内部人员变更、履行内部付款流程等为由，拒绝或迟延支付。</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4.6</w:t>
      </w:r>
      <w:r>
        <w:rPr>
          <w:rFonts w:ascii="宋体" w:hAnsi="宋体" w:eastAsia="宋体"/>
          <w:color w:val="000000"/>
          <w:szCs w:val="21"/>
        </w:rPr>
        <w:t xml:space="preserve"> </w:t>
      </w:r>
      <w:r>
        <w:rPr>
          <w:rFonts w:hint="eastAsia" w:ascii="宋体" w:hAnsi="宋体" w:eastAsia="宋体"/>
          <w:color w:val="000000"/>
          <w:szCs w:val="21"/>
        </w:rPr>
        <w:t>国家法律法规规定及</w:t>
      </w:r>
      <w:r>
        <w:rPr>
          <w:rFonts w:hint="eastAsia" w:ascii="宋体" w:hAnsi="宋体" w:eastAsia="宋体" w:cs="宋体"/>
          <w:b/>
          <w:bCs/>
          <w:szCs w:val="21"/>
        </w:rPr>
        <w:t>【政府采购合同专用条款】</w:t>
      </w:r>
      <w:r>
        <w:rPr>
          <w:rFonts w:hint="eastAsia" w:ascii="宋体" w:hAnsi="宋体" w:eastAsia="宋体"/>
          <w:color w:val="000000"/>
          <w:szCs w:val="21"/>
        </w:rPr>
        <w:t>约定应由甲方承担的其他义务和责任。</w:t>
      </w:r>
    </w:p>
    <w:p>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5. 乙方的权利和义务</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5.1 </w:t>
      </w:r>
      <w:r>
        <w:rPr>
          <w:rFonts w:ascii="宋体" w:hAnsi="宋体" w:eastAsia="宋体"/>
          <w:color w:val="000000"/>
          <w:szCs w:val="21"/>
        </w:rPr>
        <w:t>签署合同后，乙方</w:t>
      </w:r>
      <w:r>
        <w:rPr>
          <w:rFonts w:hint="eastAsia" w:ascii="宋体" w:hAnsi="宋体" w:eastAsia="宋体"/>
          <w:color w:val="000000"/>
          <w:szCs w:val="21"/>
        </w:rPr>
        <w:t>应</w:t>
      </w:r>
      <w:r>
        <w:rPr>
          <w:rFonts w:ascii="宋体" w:hAnsi="宋体" w:eastAsia="宋体"/>
          <w:color w:val="000000"/>
          <w:szCs w:val="21"/>
        </w:rPr>
        <w:t>确定</w:t>
      </w:r>
      <w:r>
        <w:rPr>
          <w:rFonts w:hint="eastAsia" w:ascii="宋体" w:hAnsi="宋体" w:eastAsia="宋体"/>
          <w:color w:val="000000"/>
          <w:szCs w:val="21"/>
        </w:rPr>
        <w:t>项目负责人（或项目联系人）</w:t>
      </w:r>
      <w:r>
        <w:rPr>
          <w:rFonts w:ascii="宋体" w:hAnsi="宋体" w:eastAsia="宋体"/>
          <w:color w:val="000000"/>
          <w:szCs w:val="21"/>
        </w:rPr>
        <w:t>，负责与本合同有关的事务。</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5.</w:t>
      </w:r>
      <w:r>
        <w:rPr>
          <w:rFonts w:ascii="宋体" w:hAnsi="宋体" w:eastAsia="宋体"/>
          <w:color w:val="000000"/>
          <w:szCs w:val="21"/>
        </w:rPr>
        <w:t>2 乙方应按照合同要求</w:t>
      </w:r>
      <w:r>
        <w:rPr>
          <w:rFonts w:hint="eastAsia" w:ascii="宋体" w:hAnsi="宋体" w:eastAsia="宋体"/>
          <w:color w:val="000000"/>
          <w:szCs w:val="21"/>
        </w:rPr>
        <w:t>履约</w:t>
      </w:r>
      <w:r>
        <w:rPr>
          <w:rFonts w:ascii="宋体" w:hAnsi="宋体" w:eastAsia="宋体"/>
          <w:color w:val="000000"/>
          <w:szCs w:val="21"/>
        </w:rPr>
        <w:t>，充分合理安排，确保</w:t>
      </w:r>
      <w:r>
        <w:rPr>
          <w:rFonts w:hint="eastAsia" w:ascii="宋体" w:hAnsi="宋体" w:eastAsia="宋体"/>
          <w:color w:val="000000"/>
          <w:szCs w:val="21"/>
        </w:rPr>
        <w:t>提供的货物及相关服务符合合同有关</w:t>
      </w:r>
      <w:r>
        <w:rPr>
          <w:rFonts w:ascii="宋体" w:hAnsi="宋体" w:eastAsia="宋体"/>
          <w:color w:val="000000"/>
          <w:szCs w:val="21"/>
        </w:rPr>
        <w:t>要求</w:t>
      </w:r>
      <w:r>
        <w:rPr>
          <w:rFonts w:hint="eastAsia" w:ascii="宋体" w:hAnsi="宋体" w:eastAsia="宋体"/>
          <w:color w:val="000000"/>
          <w:szCs w:val="21"/>
        </w:rPr>
        <w:t>。接受项目行业管理部门及政府有关部门的指导，配合甲方的履约检查及验收，并</w:t>
      </w:r>
      <w:r>
        <w:rPr>
          <w:rFonts w:ascii="宋体" w:hAnsi="宋体" w:eastAsia="宋体"/>
          <w:color w:val="000000"/>
          <w:szCs w:val="21"/>
        </w:rPr>
        <w:t>负责项目实施过程中的所有协调工作。</w:t>
      </w:r>
    </w:p>
    <w:p>
      <w:pPr>
        <w:spacing w:line="400" w:lineRule="exact"/>
        <w:ind w:firstLine="369" w:firstLineChars="176"/>
        <w:rPr>
          <w:rFonts w:hint="eastAsia" w:ascii="宋体" w:hAnsi="宋体" w:eastAsia="宋体" w:cs="宋体"/>
          <w:color w:val="000000"/>
          <w:szCs w:val="21"/>
        </w:rPr>
      </w:pPr>
      <w:r>
        <w:rPr>
          <w:rFonts w:hint="eastAsia" w:ascii="宋体" w:hAnsi="宋体" w:eastAsia="宋体" w:cs="Times New Roman"/>
          <w:color w:val="000000"/>
          <w:szCs w:val="21"/>
        </w:rPr>
        <w:t>5.</w:t>
      </w:r>
      <w:r>
        <w:rPr>
          <w:rFonts w:ascii="宋体" w:hAnsi="宋体" w:eastAsia="宋体" w:cs="Times New Roman"/>
          <w:color w:val="000000"/>
          <w:szCs w:val="21"/>
        </w:rPr>
        <w:t>3</w:t>
      </w:r>
      <w:r>
        <w:rPr>
          <w:rFonts w:hint="eastAsia" w:ascii="宋体" w:hAnsi="宋体" w:eastAsia="宋体" w:cs="Times New Roman"/>
          <w:color w:val="000000"/>
          <w:szCs w:val="21"/>
        </w:rPr>
        <w:t>乙方有权</w:t>
      </w:r>
      <w:r>
        <w:rPr>
          <w:rFonts w:hint="eastAsia" w:ascii="宋体" w:hAnsi="宋体" w:eastAsia="宋体" w:cs="宋体"/>
          <w:color w:val="000000"/>
          <w:szCs w:val="21"/>
        </w:rPr>
        <w:t>根据合同约定向甲方收取合同价款。</w:t>
      </w:r>
    </w:p>
    <w:p>
      <w:pPr>
        <w:spacing w:line="400" w:lineRule="exact"/>
        <w:ind w:firstLine="369" w:firstLineChars="176"/>
        <w:rPr>
          <w:rFonts w:hint="eastAsia" w:ascii="宋体" w:hAnsi="宋体" w:eastAsia="宋体" w:cs="宋体"/>
          <w:color w:val="000000"/>
          <w:szCs w:val="21"/>
        </w:rPr>
      </w:pPr>
      <w:r>
        <w:rPr>
          <w:rFonts w:hint="eastAsia" w:ascii="宋体" w:hAnsi="宋体" w:eastAsia="宋体" w:cs="Times New Roman"/>
          <w:color w:val="000000"/>
          <w:szCs w:val="21"/>
        </w:rPr>
        <w:t>5.</w:t>
      </w:r>
      <w:r>
        <w:rPr>
          <w:rFonts w:ascii="宋体" w:hAnsi="宋体" w:eastAsia="宋体" w:cs="Times New Roman"/>
          <w:color w:val="000000"/>
          <w:szCs w:val="21"/>
        </w:rPr>
        <w:t>4</w:t>
      </w:r>
      <w:r>
        <w:rPr>
          <w:rFonts w:hint="eastAsia" w:ascii="宋体" w:hAnsi="宋体" w:eastAsia="宋体" w:cs="宋体"/>
          <w:color w:val="000000"/>
          <w:szCs w:val="21"/>
        </w:rPr>
        <w:t>国家法律法规规定</w:t>
      </w:r>
      <w:r>
        <w:rPr>
          <w:rFonts w:hint="eastAsia" w:ascii="宋体" w:hAnsi="宋体" w:eastAsia="宋体" w:cs="Times New Roman"/>
          <w:color w:val="000000"/>
          <w:szCs w:val="21"/>
        </w:rPr>
        <w:t>及</w:t>
      </w:r>
      <w:r>
        <w:rPr>
          <w:rFonts w:hint="eastAsia" w:ascii="宋体" w:hAnsi="宋体" w:eastAsia="宋体" w:cs="宋体"/>
          <w:b/>
          <w:bCs/>
          <w:szCs w:val="21"/>
        </w:rPr>
        <w:t>【政府采购合同专用条款】</w:t>
      </w:r>
      <w:r>
        <w:rPr>
          <w:rFonts w:hint="eastAsia" w:ascii="宋体" w:hAnsi="宋体" w:eastAsia="宋体" w:cs="宋体"/>
          <w:szCs w:val="21"/>
        </w:rPr>
        <w:t>约定应</w:t>
      </w:r>
      <w:r>
        <w:rPr>
          <w:rFonts w:hint="eastAsia" w:ascii="宋体" w:hAnsi="宋体" w:eastAsia="宋体" w:cs="宋体"/>
          <w:color w:val="000000"/>
          <w:szCs w:val="21"/>
        </w:rPr>
        <w:t>由乙方承担的其他义务和责任。</w:t>
      </w:r>
    </w:p>
    <w:p>
      <w:pPr>
        <w:numPr>
          <w:ilvl w:val="0"/>
          <w:numId w:val="9"/>
        </w:num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合同履行</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6.1 甲乙双方应当按照</w:t>
      </w:r>
      <w:r>
        <w:rPr>
          <w:rFonts w:hint="eastAsia" w:ascii="宋体" w:hAnsi="宋体" w:eastAsia="宋体" w:cs="宋体"/>
          <w:b/>
          <w:bCs/>
          <w:szCs w:val="21"/>
        </w:rPr>
        <w:t>【政府采购合同专用条款】</w:t>
      </w:r>
      <w:r>
        <w:rPr>
          <w:rFonts w:hint="eastAsia" w:ascii="宋体" w:hAnsi="宋体" w:eastAsia="宋体"/>
          <w:color w:val="000000"/>
          <w:szCs w:val="21"/>
        </w:rPr>
        <w:t>约定顺序履行合同义务；如果没有先后顺序的，应当同时履行。</w:t>
      </w:r>
    </w:p>
    <w:p>
      <w:pPr>
        <w:autoSpaceDE w:val="0"/>
        <w:autoSpaceDN w:val="0"/>
        <w:adjustRightInd w:val="0"/>
        <w:snapToGrid w:val="0"/>
        <w:spacing w:line="400" w:lineRule="exact"/>
        <w:ind w:firstLine="420" w:firstLineChars="200"/>
        <w:jc w:val="left"/>
        <w:rPr>
          <w:rFonts w:eastAsia="宋体"/>
        </w:rPr>
      </w:pPr>
      <w:r>
        <w:rPr>
          <w:rFonts w:hint="eastAsia" w:ascii="宋体" w:hAnsi="宋体" w:eastAsia="宋体"/>
          <w:color w:val="000000"/>
          <w:szCs w:val="21"/>
        </w:rPr>
        <w:t>6.2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7. 货物包装、运输、保险和交付要求</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7.1 本合同</w:t>
      </w:r>
      <w:r>
        <w:rPr>
          <w:rFonts w:hint="eastAsia" w:ascii="宋体" w:hAnsi="宋体" w:eastAsia="宋体"/>
          <w:bCs/>
          <w:color w:val="000000"/>
          <w:szCs w:val="21"/>
        </w:rPr>
        <w:t>涉及商品包装、快递包装的，</w:t>
      </w:r>
      <w:r>
        <w:rPr>
          <w:rFonts w:hint="eastAsia" w:ascii="宋体" w:hAnsi="宋体" w:eastAsia="宋体"/>
          <w:color w:val="000000"/>
          <w:szCs w:val="21"/>
        </w:rPr>
        <w:t>除</w:t>
      </w:r>
      <w:r>
        <w:rPr>
          <w:rFonts w:hint="eastAsia" w:ascii="宋体" w:hAnsi="宋体" w:eastAsia="宋体"/>
          <w:b/>
          <w:color w:val="000000"/>
          <w:szCs w:val="21"/>
        </w:rPr>
        <w:t>【政府采购合同专用条款】</w:t>
      </w:r>
      <w:r>
        <w:rPr>
          <w:rFonts w:hint="eastAsia" w:ascii="宋体" w:hAnsi="宋体" w:eastAsia="宋体"/>
          <w:bCs/>
          <w:color w:val="000000"/>
          <w:szCs w:val="21"/>
        </w:rPr>
        <w:t>另有约定外，</w:t>
      </w:r>
      <w:r>
        <w:rPr>
          <w:rFonts w:hint="eastAsia" w:ascii="宋体" w:hAnsi="宋体" w:eastAsia="宋体"/>
          <w:color w:val="000000"/>
          <w:szCs w:val="21"/>
        </w:rPr>
        <w:t>包装应适应远距离运输、防潮、防震、防锈和防野蛮装卸等要求，确保货物安全无损地运抵</w:t>
      </w:r>
      <w:r>
        <w:rPr>
          <w:rFonts w:hint="eastAsia" w:ascii="宋体" w:hAnsi="宋体" w:eastAsia="宋体"/>
          <w:b/>
          <w:color w:val="000000"/>
          <w:szCs w:val="21"/>
        </w:rPr>
        <w:t>【政府采购合同专用条款】</w:t>
      </w:r>
      <w:r>
        <w:rPr>
          <w:rFonts w:hint="eastAsia" w:ascii="宋体" w:hAnsi="宋体" w:eastAsia="宋体"/>
          <w:bCs/>
          <w:color w:val="000000"/>
          <w:szCs w:val="21"/>
        </w:rPr>
        <w:t>约定的</w:t>
      </w:r>
      <w:r>
        <w:rPr>
          <w:rFonts w:hint="eastAsia" w:ascii="宋体" w:hAnsi="宋体" w:eastAsia="宋体"/>
          <w:color w:val="000000"/>
          <w:szCs w:val="21"/>
        </w:rPr>
        <w:t>指定现场。</w:t>
      </w:r>
    </w:p>
    <w:p>
      <w:pPr>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7.2 除</w:t>
      </w:r>
      <w:r>
        <w:rPr>
          <w:rFonts w:hint="eastAsia" w:ascii="宋体" w:hAnsi="宋体" w:eastAsia="宋体"/>
          <w:b/>
          <w:color w:val="000000"/>
          <w:szCs w:val="21"/>
        </w:rPr>
        <w:t>【政府采购合同专用条款】</w:t>
      </w:r>
      <w:r>
        <w:rPr>
          <w:rFonts w:hint="eastAsia" w:ascii="宋体" w:hAnsi="宋体" w:eastAsia="宋体"/>
          <w:bCs/>
          <w:color w:val="000000"/>
          <w:szCs w:val="21"/>
        </w:rPr>
        <w:t>另有约定外，</w:t>
      </w:r>
      <w:r>
        <w:rPr>
          <w:rFonts w:hint="eastAsia" w:ascii="宋体" w:hAnsi="宋体" w:eastAsia="宋体"/>
          <w:color w:val="000000"/>
          <w:szCs w:val="21"/>
        </w:rPr>
        <w:t>乙方负责办理将货物运抵本合同规定的交货地点，并装卸、交付至甲方的一切运输事项，相关费用应包含在合同价款中。</w:t>
      </w:r>
    </w:p>
    <w:p>
      <w:pPr>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7.3 货物保险要求按</w:t>
      </w:r>
      <w:r>
        <w:rPr>
          <w:rFonts w:hint="eastAsia" w:ascii="宋体" w:hAnsi="宋体" w:eastAsia="宋体"/>
          <w:b/>
          <w:color w:val="000000"/>
          <w:szCs w:val="21"/>
        </w:rPr>
        <w:t>【政府采购合同专用条款】</w:t>
      </w:r>
      <w:r>
        <w:rPr>
          <w:rFonts w:hint="eastAsia" w:ascii="宋体" w:hAnsi="宋体" w:eastAsia="宋体"/>
          <w:bCs/>
          <w:color w:val="000000"/>
          <w:szCs w:val="21"/>
        </w:rPr>
        <w:t>规定执行</w:t>
      </w:r>
      <w:r>
        <w:rPr>
          <w:rFonts w:hint="eastAsia" w:ascii="宋体" w:hAnsi="宋体" w:eastAsia="宋体"/>
          <w:color w:val="000000"/>
          <w:szCs w:val="21"/>
        </w:rPr>
        <w:t>。</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7.5 </w:t>
      </w:r>
      <w:r>
        <w:rPr>
          <w:rFonts w:hint="eastAsia" w:ascii="宋体" w:hAnsi="宋体" w:eastAsia="宋体" w:cs="宋体"/>
          <w:color w:val="000000"/>
          <w:szCs w:val="21"/>
        </w:rPr>
        <w:t>乙方在运输到达之前应提前通知甲方，并提示货物运输装卸的注意事项，甲方配合乙方做好货物的接收工作。</w:t>
      </w:r>
    </w:p>
    <w:p>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Times New Roman"/>
          <w:color w:val="000000"/>
          <w:szCs w:val="21"/>
        </w:rPr>
        <w:t>7.6 如因包装、运输问题导致货物损毁、丢失或者品质下降，甲方有权要求降价、换货、拒收部分或整批货物，由此产生的费用和损失，均由乙方承担。</w:t>
      </w:r>
    </w:p>
    <w:p>
      <w:pPr>
        <w:adjustRightInd w:val="0"/>
        <w:snapToGrid w:val="0"/>
        <w:spacing w:line="400" w:lineRule="exact"/>
        <w:jc w:val="left"/>
        <w:rPr>
          <w:rFonts w:hint="eastAsia" w:ascii="宋体" w:hAnsi="宋体" w:eastAsia="宋体"/>
          <w:b/>
          <w:sz w:val="24"/>
        </w:rPr>
      </w:pPr>
      <w:r>
        <w:rPr>
          <w:rFonts w:hint="eastAsia" w:ascii="宋体" w:hAnsi="宋体" w:eastAsia="宋体"/>
          <w:b/>
          <w:color w:val="000000"/>
          <w:sz w:val="24"/>
        </w:rPr>
        <w:t xml:space="preserve">8. </w:t>
      </w:r>
      <w:r>
        <w:rPr>
          <w:rFonts w:hint="eastAsia" w:ascii="宋体" w:hAnsi="宋体" w:eastAsia="宋体"/>
          <w:b/>
          <w:sz w:val="24"/>
        </w:rPr>
        <w:t>质量标准和保证</w:t>
      </w:r>
    </w:p>
    <w:p>
      <w:pPr>
        <w:adjustRightInd w:val="0"/>
        <w:snapToGrid w:val="0"/>
        <w:spacing w:line="400" w:lineRule="exact"/>
        <w:ind w:firstLine="420" w:firstLineChars="200"/>
        <w:jc w:val="left"/>
        <w:rPr>
          <w:rFonts w:hint="eastAsia" w:ascii="宋体" w:hAnsi="宋体" w:eastAsia="宋体" w:cs="Courier New"/>
          <w:b/>
          <w:szCs w:val="21"/>
        </w:rPr>
      </w:pPr>
      <w:r>
        <w:rPr>
          <w:rFonts w:hint="eastAsia" w:ascii="宋体" w:hAnsi="宋体" w:eastAsia="宋体" w:cs="Courier New"/>
          <w:szCs w:val="21"/>
        </w:rPr>
        <w:t>8.1 质量标准</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（1）本合同下提供的货物应符合合同</w:t>
      </w:r>
      <w:r>
        <w:rPr>
          <w:rFonts w:hint="eastAsia" w:ascii="宋体" w:hAnsi="宋体" w:eastAsia="宋体" w:cs="宋体"/>
          <w:color w:val="000000"/>
          <w:szCs w:val="21"/>
        </w:rPr>
        <w:t>约定的</w:t>
      </w:r>
      <w:r>
        <w:rPr>
          <w:rFonts w:hint="eastAsia" w:ascii="宋体" w:hAnsi="宋体" w:eastAsia="宋体" w:cs="宋体"/>
          <w:szCs w:val="21"/>
        </w:rPr>
        <w:t>品牌、规格型号、技术性能、配置、质量、数量等要求。</w:t>
      </w:r>
      <w:r>
        <w:rPr>
          <w:rFonts w:hint="eastAsia" w:ascii="宋体" w:hAnsi="宋体" w:eastAsia="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adjustRightInd w:val="0"/>
        <w:snapToGrid w:val="0"/>
        <w:spacing w:line="400" w:lineRule="exact"/>
        <w:ind w:firstLine="420" w:firstLineChars="200"/>
        <w:jc w:val="left"/>
        <w:rPr>
          <w:rFonts w:hint="eastAsia" w:ascii="宋体" w:hAnsi="宋体" w:eastAsia="宋体" w:cs="Courier New"/>
          <w:szCs w:val="21"/>
        </w:rPr>
      </w:pPr>
      <w:r>
        <w:rPr>
          <w:rFonts w:hint="eastAsia" w:ascii="宋体" w:hAnsi="宋体" w:eastAsia="宋体" w:cs="Courier New"/>
          <w:szCs w:val="21"/>
        </w:rPr>
        <w:t>（2）采用中华人民共和国法定计量单位。</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（3）乙方所提供的货物应符合国家有关安全、环保、卫生的规定。</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8.2 保证</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（1）乙方应保证提供的货物完全符合合同规定的质量、规格和性能要求。乙方应保证货物在正确安装、正常使用和保养条件下，</w:t>
      </w:r>
      <w:r>
        <w:rPr>
          <w:rFonts w:hint="eastAsia" w:ascii="宋体" w:hAnsi="宋体" w:eastAsia="宋体" w:cs="宋体"/>
          <w:szCs w:val="21"/>
        </w:rPr>
        <w:t>在其使用寿命期内具备合同约定的性能</w:t>
      </w:r>
      <w:r>
        <w:rPr>
          <w:rFonts w:hint="eastAsia" w:ascii="宋体" w:hAnsi="宋体" w:eastAsia="宋体"/>
          <w:szCs w:val="21"/>
        </w:rPr>
        <w:t>。存在质量保证期的，货物最终交付验收合格后在</w:t>
      </w:r>
      <w:r>
        <w:rPr>
          <w:rFonts w:hint="eastAsia" w:ascii="宋体" w:hAnsi="宋体" w:eastAsia="宋体"/>
          <w:b/>
          <w:szCs w:val="21"/>
        </w:rPr>
        <w:t>【政府采购合同专用条款】</w:t>
      </w:r>
      <w:r>
        <w:rPr>
          <w:rFonts w:hint="eastAsia" w:ascii="宋体" w:hAnsi="宋体" w:eastAsia="宋体"/>
          <w:szCs w:val="21"/>
        </w:rPr>
        <w:t>规定或乙方书面承诺（两者以较长的为准）的质量保证期内，本保证保持有效。</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（2）在质量保证期内所发现的缺陷，甲方应尽快以书面形式通知乙方。</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（3）乙方收到通知后，应在</w:t>
      </w:r>
      <w:r>
        <w:rPr>
          <w:rFonts w:hint="eastAsia" w:ascii="宋体" w:hAnsi="宋体" w:eastAsia="宋体"/>
          <w:b/>
          <w:szCs w:val="21"/>
        </w:rPr>
        <w:t>【政府采购合同专用条款】</w:t>
      </w:r>
      <w:r>
        <w:rPr>
          <w:rFonts w:hint="eastAsia" w:ascii="宋体" w:hAnsi="宋体" w:eastAsia="宋体"/>
          <w:szCs w:val="21"/>
        </w:rPr>
        <w:t>规定的响应时间内以合理的速度免费维修或更换有缺陷的货物或部件。</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rPr>
        <w:t>5</w:t>
      </w:r>
      <w:r>
        <w:rPr>
          <w:rFonts w:hint="eastAsia" w:ascii="宋体" w:hAnsi="宋体" w:eastAsia="宋体"/>
          <w:szCs w:val="21"/>
        </w:rPr>
        <w:t>.1条规定以书面形式</w:t>
      </w:r>
      <w:r>
        <w:rPr>
          <w:rFonts w:hint="eastAsia" w:ascii="宋体" w:hAnsi="宋体" w:eastAsia="宋体"/>
          <w:color w:val="000000"/>
          <w:szCs w:val="21"/>
        </w:rPr>
        <w:t>追究</w:t>
      </w:r>
      <w:r>
        <w:rPr>
          <w:rFonts w:hint="eastAsia" w:ascii="宋体" w:hAnsi="宋体" w:eastAsia="宋体"/>
          <w:szCs w:val="21"/>
        </w:rPr>
        <w:t>乙方</w:t>
      </w:r>
      <w:r>
        <w:rPr>
          <w:rFonts w:hint="eastAsia" w:ascii="宋体" w:hAnsi="宋体" w:eastAsia="宋体"/>
          <w:color w:val="000000"/>
          <w:szCs w:val="21"/>
        </w:rPr>
        <w:t>的违约责任</w:t>
      </w:r>
      <w:r>
        <w:rPr>
          <w:rFonts w:hint="eastAsia" w:ascii="宋体" w:hAnsi="宋体" w:eastAsia="宋体"/>
          <w:szCs w:val="21"/>
        </w:rPr>
        <w:t>。</w:t>
      </w:r>
    </w:p>
    <w:p>
      <w:pPr>
        <w:adjustRightInd w:val="0"/>
        <w:snapToGrid w:val="0"/>
        <w:spacing w:line="400" w:lineRule="exact"/>
        <w:ind w:firstLine="420" w:firstLineChars="200"/>
        <w:jc w:val="left"/>
        <w:rPr>
          <w:rFonts w:eastAsia="宋体"/>
        </w:rPr>
      </w:pPr>
      <w:r>
        <w:rPr>
          <w:rFonts w:hint="eastAsia" w:ascii="宋体" w:hAnsi="宋体" w:eastAsia="宋体"/>
          <w:szCs w:val="21"/>
        </w:rPr>
        <w:t>（5）乙方在约定的时间内未能弥补缺陷，甲方可采取必要的补救措施，但其风险和费用将由乙方承担，甲方根据合同约定对乙方行使的其他权利不受影响。</w:t>
      </w:r>
    </w:p>
    <w:p>
      <w:pPr>
        <w:adjustRightInd w:val="0"/>
        <w:snapToGrid w:val="0"/>
        <w:spacing w:line="400" w:lineRule="exact"/>
        <w:jc w:val="left"/>
        <w:rPr>
          <w:rFonts w:hint="eastAsia" w:ascii="宋体" w:hAnsi="宋体" w:eastAsia="宋体"/>
          <w:b/>
          <w:bCs/>
          <w:sz w:val="24"/>
        </w:rPr>
      </w:pPr>
      <w:r>
        <w:rPr>
          <w:rFonts w:hint="eastAsia" w:ascii="宋体" w:hAnsi="宋体" w:eastAsia="宋体"/>
          <w:b/>
          <w:bCs/>
          <w:color w:val="000000"/>
          <w:sz w:val="24"/>
        </w:rPr>
        <w:t>9</w:t>
      </w:r>
      <w:r>
        <w:rPr>
          <w:rFonts w:hint="eastAsia" w:ascii="宋体" w:hAnsi="宋体" w:eastAsia="宋体"/>
          <w:b/>
          <w:bCs/>
          <w:sz w:val="24"/>
        </w:rPr>
        <w:t>.</w:t>
      </w:r>
      <w:r>
        <w:rPr>
          <w:rFonts w:hint="eastAsia" w:ascii="宋体" w:hAnsi="宋体" w:eastAsia="宋体"/>
          <w:b/>
          <w:bCs/>
          <w:color w:val="000000"/>
          <w:sz w:val="24"/>
        </w:rPr>
        <w:t xml:space="preserve"> </w:t>
      </w:r>
      <w:r>
        <w:rPr>
          <w:rFonts w:hint="eastAsia" w:ascii="宋体" w:hAnsi="宋体" w:eastAsia="宋体"/>
          <w:b/>
          <w:bCs/>
          <w:sz w:val="24"/>
        </w:rPr>
        <w:t>权利瑕疵担保</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9.1 乙方保证对其出售的货物享有合法的权利。</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9.2 </w:t>
      </w:r>
      <w:r>
        <w:rPr>
          <w:rFonts w:hint="eastAsia" w:ascii="宋体" w:hAnsi="宋体" w:eastAsia="宋体" w:cs="宋体"/>
          <w:szCs w:val="15"/>
        </w:rPr>
        <w:t>乙方保证在交付的货物上不存在抵押权等担保物权。</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9.3 如甲方使用上述货物构成对第三人侵权的，则由乙方承担全部责任。</w:t>
      </w:r>
    </w:p>
    <w:p>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10. 知识产权保护</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color w:val="000000"/>
          <w:szCs w:val="21"/>
        </w:rPr>
        <w:t>10.1 乙方对其所销售的货物应当享有知识产权或经权利人合法授权，保证没有侵犯任</w:t>
      </w:r>
      <w:r>
        <w:rPr>
          <w:rFonts w:hint="eastAsia" w:ascii="宋体" w:hAnsi="宋体" w:eastAsia="宋体"/>
          <w:szCs w:val="21"/>
        </w:rPr>
        <w:t>何第三人的知识产权等权利。</w:t>
      </w:r>
      <w:bookmarkStart w:id="52"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52"/>
      <w:r>
        <w:rPr>
          <w:rFonts w:hint="eastAsia" w:ascii="宋体" w:hAnsi="宋体" w:eastAsia="宋体"/>
          <w:szCs w:val="21"/>
        </w:rPr>
        <w:t>。</w:t>
      </w:r>
    </w:p>
    <w:p>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11. 保密义务</w:t>
      </w:r>
    </w:p>
    <w:p>
      <w:pPr>
        <w:autoSpaceDE w:val="0"/>
        <w:autoSpaceDN w:val="0"/>
        <w:adjustRightInd w:val="0"/>
        <w:snapToGrid w:val="0"/>
        <w:spacing w:line="400" w:lineRule="exact"/>
        <w:ind w:firstLine="420" w:firstLineChars="200"/>
        <w:jc w:val="left"/>
        <w:rPr>
          <w:rFonts w:hint="eastAsia" w:ascii="宋体" w:hAnsi="宋体" w:eastAsia="宋体" w:cs="宋体"/>
          <w:szCs w:val="15"/>
        </w:rPr>
      </w:pPr>
      <w:r>
        <w:rPr>
          <w:rFonts w:hint="eastAsia" w:ascii="宋体" w:hAnsi="宋体" w:eastAsia="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12. 合同价款支付</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12.1 合同价款支付按照国库集中支付制度及财政管理相关规定执行。</w:t>
      </w:r>
    </w:p>
    <w:p>
      <w:pPr>
        <w:keepNext/>
        <w:keepLines/>
        <w:spacing w:line="400" w:lineRule="exact"/>
        <w:ind w:firstLine="420" w:firstLineChars="200"/>
        <w:outlineLvl w:val="1"/>
        <w:rPr>
          <w:rFonts w:ascii="Arial" w:hAnsi="Arial" w:eastAsia="宋体" w:cs="Times New Roman"/>
          <w:b/>
          <w:bCs/>
          <w:sz w:val="24"/>
          <w:szCs w:val="32"/>
        </w:rPr>
      </w:pPr>
      <w:r>
        <w:rPr>
          <w:rFonts w:hint="eastAsia" w:ascii="宋体" w:hAnsi="宋体" w:eastAsia="宋体" w:cs="Times New Roman"/>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szCs w:val="21"/>
        </w:rPr>
        <w:t>政府采购合同专用条款</w:t>
      </w:r>
      <w:r>
        <w:rPr>
          <w:rFonts w:hint="eastAsia" w:ascii="宋体" w:hAnsi="宋体" w:eastAsia="宋体" w:cs="Times New Roman"/>
          <w:szCs w:val="21"/>
        </w:rPr>
        <w:t>】中约定。</w:t>
      </w:r>
    </w:p>
    <w:p>
      <w:pPr>
        <w:spacing w:line="400" w:lineRule="exact"/>
        <w:rPr>
          <w:rFonts w:hint="eastAsia" w:ascii="宋体" w:hAnsi="宋体" w:eastAsia="宋体" w:cs="Times New Roman"/>
          <w:b/>
          <w:bCs/>
          <w:sz w:val="24"/>
          <w:szCs w:val="24"/>
        </w:rPr>
      </w:pPr>
      <w:r>
        <w:rPr>
          <w:rFonts w:hint="eastAsia" w:ascii="宋体" w:hAnsi="宋体" w:eastAsia="宋体" w:cs="Times New Roman"/>
          <w:b/>
          <w:bCs/>
          <w:sz w:val="24"/>
          <w:szCs w:val="24"/>
        </w:rPr>
        <w:t>13. 履约保证金</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 xml:space="preserve">13.1 </w:t>
      </w:r>
      <w:r>
        <w:rPr>
          <w:rFonts w:hint="eastAsia" w:ascii="宋体" w:hAnsi="宋体" w:eastAsia="宋体" w:cs="宋体"/>
          <w:szCs w:val="15"/>
        </w:rPr>
        <w:t>乙方应当以支票、汇票、本票或者金融机构、担保机构出具的保函等非现金形式提交。</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13.2 如果乙方出现</w:t>
      </w:r>
      <w:r>
        <w:rPr>
          <w:rFonts w:hint="eastAsia" w:ascii="宋体" w:hAnsi="宋体" w:eastAsia="宋体" w:cs="宋体"/>
          <w:b/>
          <w:bCs/>
          <w:szCs w:val="15"/>
        </w:rPr>
        <w:t>【政府采购合同专用条款】</w:t>
      </w:r>
      <w:r>
        <w:rPr>
          <w:rFonts w:hint="eastAsia" w:ascii="宋体" w:hAnsi="宋体" w:eastAsia="宋体" w:cs="宋体"/>
          <w:szCs w:val="15"/>
        </w:rPr>
        <w:t>约定情形的</w:t>
      </w:r>
      <w:r>
        <w:rPr>
          <w:rFonts w:hint="eastAsia" w:ascii="宋体" w:hAnsi="宋体" w:eastAsia="宋体"/>
          <w:szCs w:val="21"/>
        </w:rPr>
        <w:t>，履约保证金不予退还；如果乙方未能按合同约定全面履行义务，甲方有权从履约保证金中取得补偿或赔偿，且不影响甲方要求乙方承担合同约定的超过履约保证金的违约责任的权利。</w:t>
      </w:r>
    </w:p>
    <w:p>
      <w:pPr>
        <w:spacing w:line="400" w:lineRule="exact"/>
        <w:ind w:firstLine="420"/>
        <w:rPr>
          <w:rFonts w:eastAsia="宋体"/>
        </w:rPr>
      </w:pPr>
      <w:r>
        <w:rPr>
          <w:rFonts w:hint="eastAsia" w:ascii="宋体" w:hAnsi="宋体" w:eastAsia="宋体"/>
          <w:szCs w:val="21"/>
        </w:rPr>
        <w:t>13.3 甲方在项目通过验收后按照</w:t>
      </w:r>
      <w:r>
        <w:rPr>
          <w:rFonts w:hint="eastAsia" w:ascii="宋体" w:hAnsi="宋体" w:eastAsia="宋体"/>
          <w:b/>
          <w:szCs w:val="21"/>
        </w:rPr>
        <w:t>【政府采购合同专用条款】</w:t>
      </w:r>
      <w:r>
        <w:rPr>
          <w:rFonts w:hint="eastAsia" w:ascii="宋体" w:hAnsi="宋体" w:eastAsia="宋体"/>
          <w:szCs w:val="21"/>
        </w:rPr>
        <w:t>规定的时间内将履约保证金退还乙方；逾期退还的，乙方可要求甲方支付违约金，违约金按照</w:t>
      </w:r>
      <w:r>
        <w:rPr>
          <w:rFonts w:hint="eastAsia" w:ascii="宋体" w:hAnsi="宋体" w:eastAsia="宋体"/>
          <w:b/>
          <w:szCs w:val="21"/>
        </w:rPr>
        <w:t>【政府采购合同专用条款】</w:t>
      </w:r>
      <w:r>
        <w:rPr>
          <w:rFonts w:hint="eastAsia" w:ascii="宋体" w:hAnsi="宋体" w:eastAsia="宋体"/>
          <w:szCs w:val="21"/>
        </w:rPr>
        <w:t>规定支付。</w:t>
      </w:r>
    </w:p>
    <w:p>
      <w:p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bCs/>
          <w:sz w:val="24"/>
        </w:rPr>
        <w:t xml:space="preserve">14. </w:t>
      </w:r>
      <w:r>
        <w:rPr>
          <w:rFonts w:hint="eastAsia" w:eastAsia="宋体"/>
          <w:b/>
          <w:sz w:val="24"/>
        </w:rPr>
        <w:t>售后</w:t>
      </w:r>
      <w:r>
        <w:rPr>
          <w:rFonts w:hint="eastAsia" w:ascii="宋体" w:hAnsi="宋体" w:eastAsia="宋体"/>
          <w:b/>
          <w:sz w:val="24"/>
        </w:rPr>
        <w:t>服务</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14.1 除项目不涉及或采购活动中明确约定无须承担外，乙方还应提供下列服务：</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（1）货物的现场移动、安装、调试、启动监督及技术支持；</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（2）提供货物组装和维修所需的专用工具和辅助材料；</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（3）在</w:t>
      </w:r>
      <w:r>
        <w:rPr>
          <w:rFonts w:hint="eastAsia" w:ascii="宋体" w:hAnsi="宋体" w:eastAsia="宋体" w:cs="宋体"/>
          <w:b/>
          <w:bCs/>
          <w:szCs w:val="15"/>
        </w:rPr>
        <w:t>【政府采购合同专用条款】</w:t>
      </w:r>
      <w:r>
        <w:rPr>
          <w:rFonts w:hint="eastAsia" w:ascii="宋体" w:hAnsi="宋体" w:eastAsia="宋体"/>
          <w:szCs w:val="21"/>
        </w:rPr>
        <w:t>约定的期限内对所有的货物实施运行监督、维修，但前提条件是该服务并不能免除乙方在质量保证期内所承担的义务；</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（4）在制造商所在地或指定现场就货物的安装、启动、运营、维护、废弃处置等对甲方操作人员进行培训</w:t>
      </w:r>
      <w:r>
        <w:rPr>
          <w:rFonts w:hint="eastAsia" w:ascii="宋体" w:hAnsi="宋体" w:eastAsia="宋体" w:cs="宋体"/>
          <w:szCs w:val="15"/>
        </w:rPr>
        <w:t>；</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（5）依照法律、行政法规的规定或者按照</w:t>
      </w:r>
      <w:r>
        <w:rPr>
          <w:rFonts w:hint="eastAsia" w:ascii="宋体" w:hAnsi="宋体" w:eastAsia="宋体" w:cs="宋体"/>
          <w:b/>
          <w:bCs/>
          <w:szCs w:val="21"/>
        </w:rPr>
        <w:t>【政府采购合同专用条款】</w:t>
      </w:r>
      <w:r>
        <w:rPr>
          <w:rFonts w:hint="eastAsia" w:ascii="宋体" w:hAnsi="宋体" w:eastAsia="宋体" w:cs="宋体"/>
          <w:szCs w:val="21"/>
        </w:rPr>
        <w:t>约定，货物在有效使用年限届满后应予回收的，乙方负有自行或者委托第三人对货物予以回收的义务；</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（6）</w:t>
      </w:r>
      <w:r>
        <w:rPr>
          <w:rFonts w:hint="eastAsia" w:ascii="宋体" w:hAnsi="宋体" w:eastAsia="宋体"/>
          <w:b/>
          <w:szCs w:val="21"/>
        </w:rPr>
        <w:t>【政府采购合同专用条款】</w:t>
      </w:r>
      <w:r>
        <w:rPr>
          <w:rFonts w:hint="eastAsia" w:ascii="宋体" w:hAnsi="宋体" w:eastAsia="宋体"/>
          <w:szCs w:val="21"/>
        </w:rPr>
        <w:t>规定由乙方提供的其他服务。</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14.2 乙方提供的售后服务的费用已包含在合同价款中，甲方不再另行支付。</w:t>
      </w:r>
    </w:p>
    <w:p>
      <w:pPr>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15. 违约责任</w:t>
      </w:r>
    </w:p>
    <w:p>
      <w:pPr>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15.1质量瑕疵的违约责任</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乙方提供的产品不符合合同约定的质量标准或存在产品质量缺陷，甲方有权要求乙方根据</w:t>
      </w:r>
      <w:r>
        <w:rPr>
          <w:rFonts w:hint="eastAsia" w:ascii="宋体" w:hAnsi="宋体" w:eastAsia="宋体"/>
          <w:b/>
          <w:szCs w:val="21"/>
        </w:rPr>
        <w:t>【政府采购合同专用条款】</w:t>
      </w:r>
      <w:r>
        <w:rPr>
          <w:rFonts w:hint="eastAsia" w:ascii="宋体" w:hAnsi="宋体" w:eastAsia="宋体"/>
          <w:bCs/>
          <w:szCs w:val="21"/>
        </w:rPr>
        <w:t>要求</w:t>
      </w:r>
      <w:r>
        <w:rPr>
          <w:rFonts w:hint="eastAsia" w:ascii="宋体" w:hAnsi="宋体" w:eastAsia="宋体"/>
          <w:szCs w:val="21"/>
        </w:rPr>
        <w:t>及时修理、重作、更换，并承担由此给甲方造成的损失。</w:t>
      </w:r>
    </w:p>
    <w:p>
      <w:pPr>
        <w:autoSpaceDE w:val="0"/>
        <w:autoSpaceDN w:val="0"/>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15.2 迟延交货的违约责任</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（2）如果乙方没有按照合同规定的时间交货和提供相关服务，甲方有权从货款中扣除误期赔偿费而不影响合同项下的其他补救方法，赔偿费按</w:t>
      </w:r>
      <w:r>
        <w:rPr>
          <w:rFonts w:hint="eastAsia" w:ascii="宋体" w:hAnsi="宋体" w:eastAsia="宋体"/>
          <w:b/>
          <w:szCs w:val="21"/>
        </w:rPr>
        <w:t>【政府采购合同专用条款】</w:t>
      </w:r>
      <w:r>
        <w:rPr>
          <w:rFonts w:hint="eastAsia" w:ascii="宋体" w:hAnsi="宋体" w:eastAsia="宋体"/>
          <w:szCs w:val="21"/>
        </w:rPr>
        <w:t>规定执行。如果涉及公共利益，且赔偿金额无法弥补公共利益损失，甲方可要求继续履行或者采取其他补救措施。</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15.3 迟延支付的违约责任</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甲方存在迟延支付乙方合同款项的，应当承担</w:t>
      </w:r>
      <w:r>
        <w:rPr>
          <w:rFonts w:hint="eastAsia" w:ascii="宋体" w:hAnsi="宋体" w:eastAsia="宋体"/>
          <w:b/>
          <w:bCs/>
          <w:szCs w:val="21"/>
        </w:rPr>
        <w:t>【政府采购合同专用条款】</w:t>
      </w:r>
      <w:r>
        <w:rPr>
          <w:rFonts w:hint="eastAsia" w:ascii="宋体" w:hAnsi="宋体" w:eastAsia="宋体"/>
          <w:szCs w:val="21"/>
        </w:rPr>
        <w:t>规定的逾期付款利息。</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bCs/>
          <w:szCs w:val="21"/>
        </w:rPr>
        <w:t>15.4其他违约责任根据项目实际需要按</w:t>
      </w:r>
      <w:r>
        <w:rPr>
          <w:rFonts w:hint="eastAsia" w:ascii="宋体" w:hAnsi="宋体" w:eastAsia="宋体"/>
          <w:b/>
          <w:bCs/>
          <w:szCs w:val="21"/>
        </w:rPr>
        <w:t>【政府采购合同专用条款】</w:t>
      </w:r>
      <w:r>
        <w:rPr>
          <w:rFonts w:hint="eastAsia" w:ascii="宋体" w:hAnsi="宋体" w:eastAsia="宋体"/>
          <w:szCs w:val="21"/>
        </w:rPr>
        <w:t>规定执行。</w:t>
      </w:r>
    </w:p>
    <w:p>
      <w:pPr>
        <w:numPr>
          <w:ilvl w:val="0"/>
          <w:numId w:val="10"/>
        </w:num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合同变更、中止与终止</w:t>
      </w:r>
    </w:p>
    <w:p>
      <w:pPr>
        <w:adjustRightInd w:val="0"/>
        <w:snapToGrid w:val="0"/>
        <w:spacing w:line="400" w:lineRule="exact"/>
        <w:jc w:val="left"/>
        <w:rPr>
          <w:rFonts w:hint="eastAsia" w:ascii="宋体" w:hAnsi="宋体" w:eastAsia="宋体"/>
          <w:szCs w:val="21"/>
        </w:rPr>
      </w:pPr>
      <w:r>
        <w:rPr>
          <w:rFonts w:hint="eastAsia" w:ascii="宋体" w:hAnsi="宋体" w:eastAsia="宋体"/>
          <w:szCs w:val="21"/>
        </w:rPr>
        <w:t xml:space="preserve">    16.1合同的变更</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政府采购合同履行中，在不改变合同其他条款的前提下，甲方可以在合同价款10%的范围内追加与合同标的相同的货物，并就此与乙方协商一致后签订补充协议。</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16.2合同的中止</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（1）合同履行过程中因供应商就采购文件、采购过程或结果提起投诉的，甲方认为有必要的，可以中止合同的履行。</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宋体"/>
          <w:szCs w:val="21"/>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rPr>
          <w:rFonts w:eastAsia="宋体"/>
        </w:rPr>
      </w:pPr>
      <w:r>
        <w:rPr>
          <w:rFonts w:hint="eastAsia" w:ascii="宋体" w:hAnsi="宋体" w:eastAsia="宋体"/>
          <w:szCs w:val="21"/>
        </w:rPr>
        <w:t>（4）甲方不得以行政区划调整、政府换届、机构或者职能调整以及相关责任人更替为由中止合同。</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16.3合同的终止</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（1）合同因有效期限届满而终止；</w:t>
      </w:r>
    </w:p>
    <w:p>
      <w:pPr>
        <w:snapToGrid w:val="0"/>
        <w:spacing w:line="400" w:lineRule="exact"/>
        <w:ind w:firstLine="420" w:firstLineChars="200"/>
        <w:rPr>
          <w:rFonts w:hint="eastAsia" w:ascii="宋体" w:hAnsi="宋体" w:eastAsia="宋体" w:cs="宋体"/>
          <w:szCs w:val="21"/>
        </w:rPr>
      </w:pPr>
      <w:r>
        <w:rPr>
          <w:rFonts w:hint="eastAsia" w:ascii="宋体" w:hAnsi="宋体" w:eastAsia="宋体"/>
          <w:szCs w:val="21"/>
        </w:rPr>
        <w:t>（2）乙方未按合同约定履行，构成根本性违约的，甲方有权终止合同，</w:t>
      </w:r>
      <w:r>
        <w:rPr>
          <w:rFonts w:hint="eastAsia" w:ascii="宋体" w:hAnsi="宋体" w:eastAsia="宋体" w:cs="宋体"/>
          <w:szCs w:val="21"/>
        </w:rPr>
        <w:t>并追究乙方的违约责任</w:t>
      </w:r>
      <w:r>
        <w:rPr>
          <w:rFonts w:hint="eastAsia" w:ascii="宋体" w:hAnsi="宋体" w:eastAsia="宋体"/>
          <w:szCs w:val="21"/>
        </w:rPr>
        <w:t>。</w:t>
      </w:r>
    </w:p>
    <w:p>
      <w:pPr>
        <w:autoSpaceDE w:val="0"/>
        <w:autoSpaceDN w:val="0"/>
        <w:adjustRightInd w:val="0"/>
        <w:spacing w:line="400" w:lineRule="exact"/>
        <w:ind w:firstLine="440" w:firstLineChars="200"/>
        <w:rPr>
          <w:rFonts w:hint="eastAsia" w:ascii="宋体" w:hAnsi="宋体" w:eastAsia="华文楷体" w:cs="华文楷体"/>
          <w:sz w:val="22"/>
          <w:szCs w:val="21"/>
        </w:rPr>
      </w:pPr>
      <w:r>
        <w:rPr>
          <w:rFonts w:hint="eastAsia" w:ascii="宋体" w:hAnsi="宋体" w:eastAsia="华文楷体" w:cs="华文楷体"/>
          <w:sz w:val="22"/>
          <w:szCs w:val="21"/>
        </w:rPr>
        <w:t xml:space="preserve">16.4 </w:t>
      </w:r>
      <w:r>
        <w:rPr>
          <w:rFonts w:hint="eastAsia" w:ascii="宋体" w:hAnsi="宋体" w:eastAsia="宋体" w:cs="Times New Roman"/>
          <w:szCs w:val="21"/>
        </w:rPr>
        <w:t>涉及国家利益、社会公共利益的情形</w:t>
      </w:r>
    </w:p>
    <w:p>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宋体"/>
          <w:szCs w:val="21"/>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17. 合同分包</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17.1 乙方不得将合同转包给其他供应商。涉及合同分包的，乙方应根据采购文件和投标（响应）文件规定进行合同分包。</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17.2 乙方执行政府采购政策向中小企业依法分包的，乙方应当按采购文件和投标（响应）文件签订分包意向协议，分包意向协议属于本合同组成部分。</w:t>
      </w:r>
    </w:p>
    <w:p>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18. 不可抗力</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18.1 不可抗力是指合同双方不能预见、不能避免且不能克服的客观情况。</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18.2 任何一方对由于不可抗力造成的部分或全部不能履行合同不承担违约责任。但迟延履行后发生不可抗力的，不能免除责任。</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19. 解决争议的方法</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19.1 因本合同及合同有关事项发生的争议，由甲乙双方友好协商解决。协商不成时，可以向有关组织申请调解。合同一方或双方不愿调解或调解不成的，可以通过仲裁或诉讼的方式解决争议。</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19.2 选择仲裁的，应在</w:t>
      </w:r>
      <w:r>
        <w:rPr>
          <w:rFonts w:hint="eastAsia" w:ascii="宋体" w:hAnsi="宋体" w:eastAsia="宋体" w:cs="宋体"/>
          <w:b/>
          <w:bCs/>
          <w:szCs w:val="21"/>
        </w:rPr>
        <w:t>【政府采购合同专用条款】</w:t>
      </w:r>
      <w:r>
        <w:rPr>
          <w:rFonts w:hint="eastAsia" w:ascii="宋体" w:hAnsi="宋体" w:eastAsia="宋体" w:cs="宋体"/>
          <w:szCs w:val="21"/>
        </w:rPr>
        <w:t>中明确仲裁机构及仲裁地；通过诉讼方式解决的，可以在</w:t>
      </w:r>
      <w:r>
        <w:rPr>
          <w:rFonts w:hint="eastAsia" w:ascii="宋体" w:hAnsi="宋体" w:eastAsia="宋体" w:cs="宋体"/>
          <w:b/>
          <w:bCs/>
          <w:szCs w:val="21"/>
        </w:rPr>
        <w:t>【政府采购合同专用条款】</w:t>
      </w:r>
      <w:r>
        <w:rPr>
          <w:rFonts w:hint="eastAsia" w:ascii="宋体" w:hAnsi="宋体" w:eastAsia="宋体" w:cs="宋体"/>
          <w:szCs w:val="21"/>
        </w:rPr>
        <w:t>中进一步约定选择与争议有实际联系的地点的人民法院管辖，但管辖法院的约定不得违反级别管辖和专属管辖的规定。</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19.3 如甲乙双方有争议的事项不影响合同其他部分的履行，在争议解决期间，合同其他部分应当继续履行。</w:t>
      </w:r>
    </w:p>
    <w:p>
      <w:pPr>
        <w:autoSpaceDE w:val="0"/>
        <w:autoSpaceDN w:val="0"/>
        <w:adjustRightInd w:val="0"/>
        <w:snapToGrid w:val="0"/>
        <w:spacing w:line="400" w:lineRule="exact"/>
        <w:jc w:val="left"/>
        <w:rPr>
          <w:rFonts w:hint="eastAsia" w:ascii="宋体" w:hAnsi="宋体" w:eastAsia="宋体"/>
          <w:sz w:val="24"/>
        </w:rPr>
      </w:pPr>
      <w:r>
        <w:rPr>
          <w:rFonts w:hint="eastAsia" w:ascii="宋体" w:hAnsi="宋体" w:eastAsia="宋体"/>
          <w:b/>
          <w:sz w:val="24"/>
        </w:rPr>
        <w:t>20. 政府采购政策</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 xml:space="preserve">20.1 </w:t>
      </w:r>
      <w:r>
        <w:rPr>
          <w:rFonts w:hint="eastAsia" w:ascii="宋体" w:hAnsi="宋体" w:eastAsia="宋体" w:cs="宋体"/>
          <w:lang w:val="en-GB"/>
        </w:rPr>
        <w:t>本合同应当按照规定执行政府采购政策。</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ascii="宋体" w:hAnsi="宋体" w:eastAsia="宋体"/>
          <w:szCs w:val="21"/>
        </w:rPr>
        <w:t>2</w:t>
      </w:r>
      <w:r>
        <w:rPr>
          <w:rFonts w:hint="eastAsia" w:ascii="宋体" w:hAnsi="宋体" w:eastAsia="宋体"/>
          <w:szCs w:val="21"/>
        </w:rPr>
        <w:t>0.2 本合同依法执行政府采购政策的方式和内容，属于合同履约验收的范围。</w:t>
      </w:r>
      <w:r>
        <w:rPr>
          <w:rFonts w:hint="eastAsia" w:ascii="宋体" w:hAnsi="宋体" w:eastAsia="宋体" w:cs="宋体"/>
        </w:rPr>
        <w:t>甲乙双方</w:t>
      </w:r>
      <w:r>
        <w:rPr>
          <w:rFonts w:hint="eastAsia" w:ascii="宋体" w:hAnsi="宋体" w:eastAsia="宋体" w:cs="宋体"/>
          <w:lang w:val="en-GB"/>
        </w:rPr>
        <w:t>未按规定要求执行政府采购政策造成损失的</w:t>
      </w:r>
      <w:r>
        <w:rPr>
          <w:rFonts w:hint="eastAsia" w:ascii="宋体" w:hAnsi="宋体" w:eastAsia="宋体"/>
          <w:szCs w:val="21"/>
        </w:rPr>
        <w:t>，有过错的一方应当承担赔偿责任，双方都有过错的，各自承担相应的责任。</w:t>
      </w:r>
    </w:p>
    <w:p>
      <w:pPr>
        <w:spacing w:line="400" w:lineRule="exact"/>
        <w:ind w:firstLine="420" w:firstLineChars="200"/>
        <w:rPr>
          <w:rFonts w:ascii="Calibri" w:hAnsi="Calibri" w:eastAsia="宋体" w:cs="Times New Roman"/>
        </w:rPr>
      </w:pPr>
      <w:r>
        <w:rPr>
          <w:rFonts w:ascii="宋体" w:hAnsi="宋体" w:eastAsia="宋体" w:cs="Times New Roman"/>
          <w:szCs w:val="21"/>
        </w:rPr>
        <w:t>2</w:t>
      </w:r>
      <w:r>
        <w:rPr>
          <w:rFonts w:hint="eastAsia" w:ascii="宋体" w:hAnsi="宋体" w:eastAsia="宋体" w:cs="Times New Roman"/>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21. 法律适用</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21.1 本合同的订立、生效、解释、履行及与本合同有关的争议解决，均适用法律、行政法规。</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21.2 本合同条款与法律、行政法规的强制性规定不一致的，双方当事人应按照法律、行政法规的强制性规定修改本合同的相关条款。</w:t>
      </w:r>
    </w:p>
    <w:p>
      <w:pPr>
        <w:numPr>
          <w:ilvl w:val="255"/>
          <w:numId w:val="0"/>
        </w:num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22. 通知</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22.1 本合同任何一方向对方发出的通知、信件、数据电文等，应当发送至本合同第一部分《政府采购合同协议书》所约定的通讯地址、联系人、联系电话或电子邮箱。</w:t>
      </w:r>
    </w:p>
    <w:p>
      <w:pPr>
        <w:autoSpaceDE w:val="0"/>
        <w:autoSpaceDN w:val="0"/>
        <w:adjustRightInd w:val="0"/>
        <w:spacing w:line="400" w:lineRule="exact"/>
        <w:rPr>
          <w:rFonts w:hint="eastAsia" w:ascii="华文楷体" w:hAnsi="华文楷体" w:eastAsia="华文楷体" w:cs="华文楷体"/>
          <w:szCs w:val="21"/>
        </w:rPr>
      </w:pPr>
      <w:r>
        <w:rPr>
          <w:rFonts w:hint="eastAsia" w:ascii="宋体" w:hAnsi="宋体" w:eastAsia="宋体" w:cs="宋体"/>
          <w:szCs w:val="21"/>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22.3本合同一方给另一方的通知均应采用书面形式，传真或快递送到本合同中规定的对方的地址和办理签收手续。</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22.4通知以送达之日或通知书中规定的生效之日起生效，两者中以较迟之日为准。</w:t>
      </w:r>
    </w:p>
    <w:p>
      <w:pPr>
        <w:numPr>
          <w:ilvl w:val="0"/>
          <w:numId w:val="11"/>
        </w:numPr>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合同未尽事项</w:t>
      </w:r>
    </w:p>
    <w:p>
      <w:pPr>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23.1合同未尽事项见</w:t>
      </w:r>
      <w:r>
        <w:rPr>
          <w:rFonts w:hint="eastAsia" w:ascii="宋体" w:hAnsi="宋体" w:eastAsia="宋体"/>
          <w:b/>
          <w:szCs w:val="21"/>
        </w:rPr>
        <w:t>【政府采购合同专用条款】</w:t>
      </w:r>
      <w:r>
        <w:rPr>
          <w:rFonts w:hint="eastAsia" w:ascii="宋体" w:hAnsi="宋体" w:eastAsia="宋体"/>
          <w:bCs/>
          <w:szCs w:val="21"/>
        </w:rPr>
        <w:t>。</w:t>
      </w:r>
    </w:p>
    <w:p>
      <w:pPr>
        <w:adjustRightInd w:val="0"/>
        <w:snapToGrid w:val="0"/>
        <w:spacing w:line="400" w:lineRule="exact"/>
        <w:jc w:val="left"/>
        <w:rPr>
          <w:rFonts w:hint="eastAsia" w:ascii="黑体" w:hAnsi="华文中宋" w:eastAsia="黑体"/>
          <w:sz w:val="28"/>
          <w:szCs w:val="28"/>
        </w:rPr>
      </w:pPr>
      <w:r>
        <w:rPr>
          <w:rFonts w:hint="eastAsia" w:ascii="宋体" w:hAnsi="宋体" w:eastAsia="宋体"/>
          <w:bCs/>
          <w:szCs w:val="21"/>
        </w:rPr>
        <w:t xml:space="preserve">    23.2 合同附件与合同正文具有同等的法律效力。</w:t>
      </w:r>
      <w:bookmarkStart w:id="53" w:name="_Toc20313"/>
    </w:p>
    <w:p>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pPr>
        <w:keepNext/>
        <w:keepLines/>
        <w:adjustRightInd w:val="0"/>
        <w:snapToGrid w:val="0"/>
        <w:spacing w:line="360" w:lineRule="auto"/>
        <w:jc w:val="center"/>
        <w:outlineLvl w:val="1"/>
        <w:rPr>
          <w:rFonts w:hint="eastAsia" w:ascii="黑体" w:hAnsi="华文中宋" w:eastAsia="黑体" w:cs="Times New Roman"/>
          <w:sz w:val="28"/>
          <w:szCs w:val="28"/>
        </w:rPr>
      </w:pPr>
      <w:r>
        <w:rPr>
          <w:rFonts w:hint="eastAsia" w:ascii="黑体" w:hAnsi="华文中宋" w:eastAsia="黑体" w:cs="Times New Roman"/>
          <w:sz w:val="28"/>
          <w:szCs w:val="28"/>
        </w:rPr>
        <w:t>第三节 政府采购合同专用条款</w:t>
      </w:r>
      <w:bookmarkEnd w:id="53"/>
    </w:p>
    <w:tbl>
      <w:tblPr>
        <w:tblStyle w:val="19"/>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第1.2（6）项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联合体具体要求</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cs="Times New Roman"/>
                <w:szCs w:val="21"/>
              </w:rPr>
            </w:pPr>
            <w:r>
              <w:rPr>
                <w:rFonts w:hint="eastAsia" w:ascii="宋体" w:hAnsi="宋体" w:eastAsia="宋体"/>
                <w:szCs w:val="21"/>
              </w:rPr>
              <w:t>第1.2（7）项</w:t>
            </w:r>
          </w:p>
        </w:tc>
        <w:tc>
          <w:tcPr>
            <w:tcW w:w="1742" w:type="dxa"/>
            <w:vAlign w:val="center"/>
          </w:tcPr>
          <w:p>
            <w:pPr>
              <w:adjustRightInd w:val="0"/>
              <w:snapToGrid w:val="0"/>
              <w:jc w:val="left"/>
              <w:rPr>
                <w:rFonts w:hint="eastAsia" w:ascii="宋体" w:hAnsi="宋体" w:eastAsia="宋体" w:cs="Times New Roman"/>
                <w:szCs w:val="21"/>
              </w:rPr>
            </w:pPr>
            <w:r>
              <w:rPr>
                <w:rFonts w:hint="eastAsia" w:ascii="宋体" w:hAnsi="宋体" w:eastAsia="宋体"/>
                <w:szCs w:val="21"/>
              </w:rPr>
              <w:t>其他术语解释</w:t>
            </w:r>
          </w:p>
        </w:tc>
        <w:tc>
          <w:tcPr>
            <w:tcW w:w="5170" w:type="dxa"/>
            <w:vAlign w:val="center"/>
          </w:tcPr>
          <w:p>
            <w:pPr>
              <w:adjustRightInd w:val="0"/>
              <w:snapToGrid w:val="0"/>
              <w:jc w:val="left"/>
              <w:rPr>
                <w:rFonts w:hint="eastAsia" w:ascii="宋体" w:hAnsi="宋体" w:eastAsia="宋体"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第4.4款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履约验收中甲方提出异议或作出说明的期限</w:t>
            </w:r>
          </w:p>
        </w:tc>
        <w:tc>
          <w:tcPr>
            <w:tcW w:w="5170" w:type="dxa"/>
            <w:vAlign w:val="center"/>
          </w:tcPr>
          <w:p>
            <w:pPr>
              <w:adjustRightInd w:val="0"/>
              <w:snapToGrid w:val="0"/>
              <w:jc w:val="left"/>
              <w:rPr>
                <w:rFonts w:hint="eastAsia" w:ascii="宋体" w:hAnsi="宋体" w:eastAsia="宋体"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第4.6款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约定甲方承担的其他义务和责任</w:t>
            </w:r>
          </w:p>
        </w:tc>
        <w:tc>
          <w:tcPr>
            <w:tcW w:w="5170" w:type="dxa"/>
            <w:vAlign w:val="center"/>
          </w:tcPr>
          <w:p>
            <w:pPr>
              <w:adjustRightInd w:val="0"/>
              <w:snapToGrid w:val="0"/>
              <w:jc w:val="left"/>
              <w:rPr>
                <w:rFonts w:hint="eastAsia" w:ascii="宋体" w:hAnsi="宋体" w:eastAsia="宋体"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snapToGrid w:val="0"/>
              <w:jc w:val="center"/>
              <w:rPr>
                <w:rFonts w:eastAsia="宋体"/>
              </w:rPr>
            </w:pPr>
            <w:r>
              <w:rPr>
                <w:rFonts w:hint="eastAsia" w:ascii="宋体" w:hAnsi="宋体" w:eastAsia="宋体"/>
                <w:szCs w:val="21"/>
              </w:rPr>
              <w:t>第5.4款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约定乙方承担的其他义务和责任</w:t>
            </w:r>
          </w:p>
        </w:tc>
        <w:tc>
          <w:tcPr>
            <w:tcW w:w="5170" w:type="dxa"/>
            <w:vAlign w:val="center"/>
          </w:tcPr>
          <w:p>
            <w:pPr>
              <w:adjustRightInd w:val="0"/>
              <w:snapToGrid w:val="0"/>
              <w:jc w:val="left"/>
              <w:rPr>
                <w:rFonts w:hint="eastAsia" w:ascii="宋体" w:hAnsi="宋体" w:eastAsia="宋体"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snapToGrid w:val="0"/>
              <w:jc w:val="center"/>
              <w:rPr>
                <w:rFonts w:hint="eastAsia" w:ascii="宋体" w:hAnsi="宋体" w:eastAsia="宋体"/>
                <w:szCs w:val="21"/>
              </w:rPr>
            </w:pPr>
            <w:r>
              <w:rPr>
                <w:rFonts w:hint="eastAsia" w:ascii="宋体" w:hAnsi="宋体" w:eastAsia="宋体"/>
                <w:szCs w:val="21"/>
              </w:rPr>
              <w:t>第6.1款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履行合同义务的顺序</w:t>
            </w:r>
          </w:p>
        </w:tc>
        <w:tc>
          <w:tcPr>
            <w:tcW w:w="5170" w:type="dxa"/>
            <w:vAlign w:val="center"/>
          </w:tcPr>
          <w:p>
            <w:pPr>
              <w:adjustRightInd w:val="0"/>
              <w:snapToGrid w:val="0"/>
              <w:jc w:val="left"/>
              <w:rPr>
                <w:rFonts w:hint="eastAsia" w:ascii="宋体" w:hAnsi="宋体" w:eastAsia="宋体"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第7.1款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包装特殊要求</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hint="eastAsia" w:ascii="宋体" w:hAnsi="宋体" w:eastAsia="宋体"/>
                <w:szCs w:val="21"/>
              </w:rPr>
            </w:pP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指定现场</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第7.2款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运输特殊要求</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第7.3款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保险要求</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第8.2（1）项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质量保证期</w:t>
            </w:r>
          </w:p>
        </w:tc>
        <w:tc>
          <w:tcPr>
            <w:tcW w:w="5170" w:type="dxa"/>
            <w:vAlign w:val="center"/>
          </w:tcPr>
          <w:p>
            <w:pPr>
              <w:autoSpaceDE w:val="0"/>
              <w:autoSpaceDN w:val="0"/>
              <w:adjustRightInd w:val="0"/>
              <w:snapToGrid w:val="0"/>
              <w:ind w:firstLine="420" w:firstLineChars="20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第8.2（3）项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货物质量缺陷</w:t>
            </w:r>
          </w:p>
          <w:p>
            <w:pPr>
              <w:adjustRightInd w:val="0"/>
              <w:snapToGrid w:val="0"/>
              <w:jc w:val="left"/>
              <w:rPr>
                <w:rFonts w:hint="eastAsia" w:ascii="宋体" w:hAnsi="宋体" w:eastAsia="宋体"/>
                <w:szCs w:val="21"/>
              </w:rPr>
            </w:pPr>
            <w:r>
              <w:rPr>
                <w:rFonts w:hint="eastAsia" w:ascii="宋体" w:hAnsi="宋体" w:eastAsia="宋体"/>
                <w:szCs w:val="21"/>
              </w:rPr>
              <w:t>响应时间</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第二节</w:t>
            </w:r>
          </w:p>
          <w:p>
            <w:pPr>
              <w:autoSpaceDE w:val="0"/>
              <w:autoSpaceDN w:val="0"/>
              <w:adjustRightInd w:val="0"/>
              <w:spacing w:line="400" w:lineRule="exact"/>
              <w:jc w:val="center"/>
              <w:rPr>
                <w:rFonts w:hint="eastAsia" w:ascii="华文楷体" w:hAnsi="华文楷体" w:eastAsia="华文楷体" w:cs="华文楷体"/>
                <w:sz w:val="22"/>
                <w:szCs w:val="21"/>
              </w:rPr>
            </w:pPr>
            <w:r>
              <w:rPr>
                <w:rFonts w:hint="eastAsia" w:ascii="宋体" w:hAnsi="宋体" w:eastAsia="宋体" w:cs="宋体"/>
                <w:sz w:val="22"/>
                <w:szCs w:val="21"/>
              </w:rPr>
              <w:t>第11.1款</w:t>
            </w:r>
          </w:p>
        </w:tc>
        <w:tc>
          <w:tcPr>
            <w:tcW w:w="1742" w:type="dxa"/>
            <w:vAlign w:val="center"/>
          </w:tcPr>
          <w:p>
            <w:pPr>
              <w:adjustRightInd w:val="0"/>
              <w:snapToGrid w:val="0"/>
              <w:rPr>
                <w:rFonts w:hint="eastAsia" w:ascii="宋体" w:hAnsi="宋体" w:eastAsia="宋体"/>
                <w:szCs w:val="21"/>
              </w:rPr>
            </w:pPr>
            <w:r>
              <w:rPr>
                <w:rFonts w:hint="eastAsia" w:ascii="宋体" w:hAnsi="宋体" w:eastAsia="宋体"/>
                <w:szCs w:val="21"/>
              </w:rPr>
              <w:t>其他应当保密的信息</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第12.2款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合同价款支付时间</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第13.2款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履约保证金不予退还的情形</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第13.3款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履约保证金退还时间及逾期退还的违约金</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第14.1（3）项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运行监督、维修期限</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第14.1（5）项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货物回收的约定</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第14.1（6）项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乙方提供的其他服务</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第15.1款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修理、重作、更换相关具体规定</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第15.2（2）项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迟延交货赔偿费</w:t>
            </w:r>
          </w:p>
        </w:tc>
        <w:tc>
          <w:tcPr>
            <w:tcW w:w="5170" w:type="dxa"/>
            <w:vAlign w:val="center"/>
          </w:tcPr>
          <w:p>
            <w:pPr>
              <w:adjustRightInd w:val="0"/>
              <w:snapToGrid w:val="0"/>
              <w:jc w:val="left"/>
              <w:rPr>
                <w:rFonts w:hint="eastAsia"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第15.3款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pPr>
              <w:adjustRightInd w:val="0"/>
              <w:snapToGrid w:val="0"/>
              <w:jc w:val="left"/>
              <w:rPr>
                <w:rFonts w:hint="eastAsia"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第15.4款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hint="eastAsia"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pPr>
              <w:adjustRightInd w:val="0"/>
              <w:snapToGrid w:val="0"/>
              <w:jc w:val="left"/>
              <w:rPr>
                <w:rFonts w:hint="eastAsia"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第19.2款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hint="eastAsia" w:ascii="宋体" w:hAnsi="宋体" w:eastAsia="宋体"/>
                <w:szCs w:val="21"/>
              </w:rPr>
            </w:pPr>
            <w:r>
              <w:rPr>
                <w:rFonts w:hint="eastAsia" w:ascii="宋体" w:hAnsi="宋体" w:eastAsia="宋体"/>
                <w:szCs w:val="21"/>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hint="eastAsia" w:ascii="宋体" w:hAnsi="宋体" w:eastAsia="宋体" w:cs="宋体"/>
                <w:iCs/>
                <w:szCs w:val="21"/>
              </w:rPr>
            </w:pPr>
            <w:r>
              <w:rPr>
                <w:rFonts w:hint="eastAsia" w:ascii="宋体" w:hAnsi="宋体" w:eastAsia="宋体" w:cs="宋体"/>
                <w:iCs/>
                <w:szCs w:val="21"/>
              </w:rPr>
              <w:t>因本合同及合同有关事项发生的争议，按下列第</w:t>
            </w:r>
            <w:r>
              <w:rPr>
                <w:rFonts w:hint="eastAsia" w:ascii="宋体" w:hAnsi="宋体" w:eastAsia="宋体" w:cs="宋体"/>
                <w:iCs/>
                <w:szCs w:val="21"/>
                <w:u w:val="single"/>
              </w:rPr>
              <w:t xml:space="preserve">   </w:t>
            </w:r>
            <w:r>
              <w:rPr>
                <w:rFonts w:hint="eastAsia" w:ascii="宋体" w:hAnsi="宋体" w:eastAsia="宋体" w:cs="宋体"/>
                <w:iCs/>
                <w:szCs w:val="21"/>
              </w:rPr>
              <w:t>种方式解决：</w:t>
            </w:r>
          </w:p>
          <w:p>
            <w:pPr>
              <w:autoSpaceDE w:val="0"/>
              <w:autoSpaceDN w:val="0"/>
              <w:adjustRightInd w:val="0"/>
              <w:snapToGrid w:val="0"/>
              <w:spacing w:line="400" w:lineRule="exact"/>
              <w:jc w:val="left"/>
              <w:rPr>
                <w:rFonts w:hint="eastAsia" w:ascii="宋体" w:hAnsi="宋体" w:eastAsia="宋体" w:cs="宋体"/>
                <w:iCs/>
                <w:szCs w:val="21"/>
              </w:rPr>
            </w:pPr>
            <w:r>
              <w:rPr>
                <w:rFonts w:hint="eastAsia" w:ascii="宋体" w:hAnsi="宋体" w:eastAsia="宋体" w:cs="宋体"/>
                <w:iCs/>
                <w:szCs w:val="21"/>
              </w:rPr>
              <w:t>（1）向</w:t>
            </w:r>
            <w:r>
              <w:rPr>
                <w:rFonts w:hint="eastAsia" w:ascii="宋体" w:hAnsi="宋体" w:eastAsia="宋体" w:cs="宋体"/>
                <w:iCs/>
                <w:szCs w:val="21"/>
                <w:u w:val="single"/>
              </w:rPr>
              <w:t xml:space="preserve">                    </w:t>
            </w:r>
            <w:r>
              <w:rPr>
                <w:rFonts w:hint="eastAsia" w:ascii="宋体" w:hAnsi="宋体" w:eastAsia="宋体" w:cs="宋体"/>
                <w:iCs/>
                <w:szCs w:val="21"/>
              </w:rPr>
              <w:t>仲裁委员会申请仲裁，仲裁地点为</w:t>
            </w:r>
            <w:r>
              <w:rPr>
                <w:rFonts w:hint="eastAsia" w:ascii="宋体" w:hAnsi="宋体" w:eastAsia="宋体" w:cs="宋体"/>
                <w:iCs/>
                <w:szCs w:val="21"/>
                <w:u w:val="single"/>
              </w:rPr>
              <w:t xml:space="preserve">           </w:t>
            </w:r>
            <w:r>
              <w:rPr>
                <w:rFonts w:hint="eastAsia" w:ascii="宋体" w:hAnsi="宋体" w:eastAsia="宋体" w:cs="宋体"/>
                <w:iCs/>
                <w:szCs w:val="21"/>
              </w:rPr>
              <w:t>；</w:t>
            </w:r>
          </w:p>
          <w:p>
            <w:pPr>
              <w:adjustRightInd w:val="0"/>
              <w:snapToGrid w:val="0"/>
              <w:jc w:val="left"/>
              <w:rPr>
                <w:rFonts w:hint="eastAsia" w:ascii="宋体" w:hAnsi="宋体" w:eastAsia="宋体"/>
                <w:szCs w:val="21"/>
                <w:u w:val="single"/>
              </w:rPr>
            </w:pPr>
            <w:r>
              <w:rPr>
                <w:rFonts w:hint="eastAsia" w:ascii="宋体" w:hAnsi="宋体" w:eastAsia="宋体" w:cs="宋体"/>
                <w:iCs/>
                <w:szCs w:val="21"/>
              </w:rPr>
              <w:t>（2）向</w:t>
            </w:r>
            <w:r>
              <w:rPr>
                <w:rFonts w:hint="eastAsia" w:ascii="宋体" w:hAnsi="宋体" w:eastAsia="宋体" w:cs="宋体"/>
                <w:iCs/>
                <w:szCs w:val="21"/>
                <w:u w:val="single"/>
              </w:rPr>
              <w:t xml:space="preserve">                    </w:t>
            </w:r>
            <w:r>
              <w:rPr>
                <w:rFonts w:hint="eastAsia" w:ascii="宋体" w:hAnsi="宋体" w:eastAsia="宋体" w:cs="宋体"/>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第23.1款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bCs/>
                <w:szCs w:val="21"/>
              </w:rPr>
              <w:t>其他专用条款</w:t>
            </w:r>
          </w:p>
        </w:tc>
        <w:tc>
          <w:tcPr>
            <w:tcW w:w="5170" w:type="dxa"/>
            <w:vAlign w:val="center"/>
          </w:tcPr>
          <w:p>
            <w:pPr>
              <w:adjustRightInd w:val="0"/>
              <w:snapToGrid w:val="0"/>
              <w:jc w:val="left"/>
              <w:rPr>
                <w:rFonts w:hint="eastAsia" w:ascii="宋体" w:hAnsi="宋体" w:eastAsia="宋体"/>
                <w:szCs w:val="21"/>
              </w:rPr>
            </w:pPr>
          </w:p>
        </w:tc>
      </w:tr>
    </w:tbl>
    <w:p>
      <w:pPr>
        <w:rPr>
          <w:rFonts w:eastAsia="宋体"/>
        </w:rPr>
      </w:pPr>
    </w:p>
    <w:p>
      <w:pPr>
        <w:widowControl/>
        <w:jc w:val="left"/>
        <w:rPr>
          <w:rFonts w:ascii="Arial" w:hAnsi="Arial" w:eastAsia="宋体" w:cs="Times New Roman"/>
          <w:color w:val="FF0000"/>
          <w:szCs w:val="24"/>
        </w:rPr>
      </w:pPr>
    </w:p>
    <w:p>
      <w:pPr>
        <w:widowControl/>
        <w:jc w:val="left"/>
        <w:rPr>
          <w:rFonts w:hint="eastAsia" w:ascii="宋体" w:hAnsi="宋体" w:eastAsia="黑体" w:cs="Times New Roman"/>
          <w:b/>
          <w:bCs/>
          <w:color w:val="0000FF"/>
          <w:kern w:val="44"/>
          <w:sz w:val="36"/>
          <w:szCs w:val="44"/>
        </w:rPr>
      </w:pPr>
      <w:r>
        <w:rPr>
          <w:rFonts w:ascii="宋体" w:hAnsi="宋体" w:eastAsia="黑体" w:cs="Times New Roman"/>
          <w:b/>
          <w:bCs/>
          <w:color w:val="0000FF"/>
          <w:kern w:val="44"/>
          <w:sz w:val="36"/>
          <w:szCs w:val="44"/>
        </w:rPr>
        <w:br w:type="page"/>
      </w:r>
    </w:p>
    <w:p>
      <w:pPr>
        <w:keepNext/>
        <w:keepLines/>
        <w:spacing w:before="340" w:after="78"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第二册  通用条款（公开招标）</w:t>
      </w:r>
    </w:p>
    <w:p>
      <w:pPr>
        <w:pStyle w:val="33"/>
        <w:keepNext/>
        <w:keepLines/>
        <w:numPr>
          <w:ilvl w:val="0"/>
          <w:numId w:val="12"/>
        </w:numPr>
        <w:tabs>
          <w:tab w:val="left" w:pos="720"/>
        </w:tabs>
        <w:adjustRightInd w:val="0"/>
        <w:spacing w:before="156" w:beforeLines="50" w:after="156" w:afterLines="50"/>
        <w:ind w:firstLineChars="0"/>
        <w:jc w:val="center"/>
        <w:textAlignment w:val="baseline"/>
        <w:outlineLvl w:val="1"/>
        <w:rPr>
          <w:rFonts w:asciiTheme="majorHAnsi" w:hAnsiTheme="majorHAnsi" w:eastAsiaTheme="majorEastAsia" w:cstheme="majorBidi"/>
          <w:b/>
          <w:bCs/>
          <w:sz w:val="28"/>
          <w:szCs w:val="28"/>
        </w:rPr>
      </w:pPr>
      <w:bookmarkStart w:id="54" w:name="_Hlk72399513"/>
      <w:r>
        <w:rPr>
          <w:rFonts w:hint="eastAsia" w:asciiTheme="majorHAnsi" w:hAnsiTheme="majorHAnsi" w:eastAsiaTheme="majorEastAsia" w:cstheme="majorBidi"/>
          <w:b/>
          <w:bCs/>
          <w:sz w:val="28"/>
          <w:szCs w:val="28"/>
        </w:rPr>
        <w:t>总则</w:t>
      </w:r>
    </w:p>
    <w:bookmarkEnd w:id="54"/>
    <w:p>
      <w:pPr>
        <w:rPr>
          <w:rFonts w:hint="eastAsia" w:ascii="黑体" w:hAnsi="宋体" w:eastAsia="黑体"/>
          <w:sz w:val="24"/>
        </w:rPr>
      </w:pPr>
      <w:bookmarkStart w:id="55" w:name="_Hlk72439706"/>
      <w:r>
        <w:rPr>
          <w:rFonts w:hint="eastAsia" w:ascii="黑体" w:hAnsi="宋体" w:eastAsia="黑体"/>
          <w:sz w:val="24"/>
        </w:rPr>
        <w:t>1. 通用条款说明</w:t>
      </w:r>
    </w:p>
    <w:p>
      <w:pPr>
        <w:ind w:firstLine="411" w:firstLineChars="196"/>
        <w:rPr>
          <w:rFonts w:hint="eastAsia"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56" w:name="_Hlk72399729"/>
      <w:r>
        <w:rPr>
          <w:rFonts w:hint="eastAsia" w:ascii="宋体" w:hAnsi="宋体"/>
          <w:szCs w:val="21"/>
        </w:rPr>
        <w:t>如有需要，政府集中采购机构可以对通用条款的内容进行补充。</w:t>
      </w:r>
      <w:bookmarkEnd w:id="56"/>
    </w:p>
    <w:p>
      <w:pPr>
        <w:ind w:firstLine="411" w:firstLineChars="196"/>
        <w:rPr>
          <w:rFonts w:hint="eastAsia" w:ascii="宋体" w:hAnsi="宋体"/>
          <w:szCs w:val="21"/>
        </w:rPr>
      </w:pPr>
      <w:r>
        <w:rPr>
          <w:rFonts w:hint="eastAsia" w:ascii="宋体" w:hAnsi="宋体"/>
          <w:szCs w:val="21"/>
        </w:rPr>
        <w:t>1.2招标文件分为第一册“专用条款”和第二册“通用条款”。</w:t>
      </w:r>
    </w:p>
    <w:p>
      <w:pPr>
        <w:ind w:firstLine="411" w:firstLineChars="196"/>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pPr>
        <w:ind w:firstLine="411" w:firstLineChars="196"/>
        <w:rPr>
          <w:rFonts w:hint="eastAsia" w:ascii="宋体" w:hAnsi="宋体"/>
          <w:szCs w:val="21"/>
        </w:rPr>
      </w:pPr>
      <w:r>
        <w:rPr>
          <w:rFonts w:hint="eastAsia" w:ascii="宋体" w:hAnsi="宋体"/>
          <w:szCs w:val="21"/>
        </w:rPr>
        <w:t>1.4“通用条款”是适用于政府采购公开招标项目的基础性条款，具有普遍性和通用性。</w:t>
      </w:r>
    </w:p>
    <w:p>
      <w:pPr>
        <w:ind w:firstLine="411" w:firstLineChars="196"/>
        <w:rPr>
          <w:rFonts w:hint="eastAsia" w:ascii="宋体" w:hAnsi="宋体"/>
          <w:szCs w:val="21"/>
        </w:rPr>
      </w:pPr>
      <w:r>
        <w:rPr>
          <w:rFonts w:hint="eastAsia" w:ascii="宋体" w:hAnsi="宋体"/>
          <w:szCs w:val="21"/>
        </w:rPr>
        <w:t>1.5 “专用条款”和“通用条款”表述不一致或有冲突时，以“专用条款”为准。</w:t>
      </w:r>
    </w:p>
    <w:p>
      <w:pPr>
        <w:rPr>
          <w:rFonts w:hint="eastAsia"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pPr>
        <w:ind w:firstLine="411" w:firstLineChars="196"/>
        <w:rPr>
          <w:rFonts w:hint="eastAsia" w:ascii="宋体" w:hAnsi="宋体"/>
          <w:szCs w:val="21"/>
        </w:rPr>
      </w:pPr>
      <w:r>
        <w:rPr>
          <w:rFonts w:hint="eastAsia" w:ascii="宋体" w:hAnsi="宋体"/>
          <w:szCs w:val="21"/>
        </w:rPr>
        <w:t>本项目参照《深圳经济特区政府采购条例》、《深圳经济特区政府采购条例实施细则》及政府采购其他法律法规，通过公开招标方式确定中标供应商。</w:t>
      </w:r>
    </w:p>
    <w:p>
      <w:pPr>
        <w:rPr>
          <w:rFonts w:hint="eastAsia" w:ascii="黑体" w:hAnsi="宋体" w:eastAsia="黑体"/>
          <w:sz w:val="24"/>
        </w:rPr>
      </w:pPr>
      <w:r>
        <w:rPr>
          <w:rFonts w:hint="eastAsia" w:ascii="黑体" w:hAnsi="宋体" w:eastAsia="黑体"/>
          <w:sz w:val="24"/>
        </w:rPr>
        <w:t>3．定义</w:t>
      </w:r>
    </w:p>
    <w:p>
      <w:pPr>
        <w:ind w:firstLine="420" w:firstLineChars="200"/>
        <w:rPr>
          <w:rFonts w:hint="eastAsia" w:ascii="宋体" w:hAnsi="宋体"/>
          <w:szCs w:val="21"/>
        </w:rPr>
      </w:pPr>
      <w:r>
        <w:rPr>
          <w:rFonts w:ascii="宋体" w:hAnsi="宋体"/>
          <w:szCs w:val="21"/>
        </w:rPr>
        <w:t>招标文件中下列术语应解释为：</w:t>
      </w:r>
    </w:p>
    <w:p>
      <w:pPr>
        <w:ind w:firstLine="411" w:firstLineChars="196"/>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pPr>
        <w:ind w:firstLine="411" w:firstLineChars="196"/>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pPr>
        <w:ind w:firstLine="411" w:firstLineChars="196"/>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pPr>
        <w:ind w:firstLine="411" w:firstLineChars="196"/>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pPr>
        <w:ind w:firstLine="411" w:firstLineChars="196"/>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pPr>
        <w:ind w:firstLine="411" w:firstLineChars="196"/>
        <w:rPr>
          <w:rFonts w:hint="eastAsia" w:ascii="宋体" w:hAnsi="宋体"/>
          <w:szCs w:val="21"/>
        </w:rPr>
      </w:pPr>
      <w:r>
        <w:rPr>
          <w:rFonts w:hint="eastAsia" w:ascii="宋体" w:hAnsi="宋体"/>
          <w:szCs w:val="21"/>
        </w:rPr>
        <w:t>3.6“合同”指由本次招标所产生的合同或合约文件；</w:t>
      </w:r>
    </w:p>
    <w:p>
      <w:pPr>
        <w:ind w:firstLine="411" w:firstLineChars="196"/>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深圳公共资源交易中心（深圳交易集团有限公司龙华分公司）</w:t>
      </w:r>
      <w:r>
        <w:rPr>
          <w:rFonts w:hint="eastAsia" w:ascii="宋体" w:hAnsi="宋体"/>
          <w:szCs w:val="21"/>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pPr>
        <w:ind w:firstLine="411" w:firstLineChars="196"/>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深圳公共资源交易中心（深圳交易集团有限公司龙华分公司）</w:t>
      </w:r>
      <w:r>
        <w:rPr>
          <w:rFonts w:hint="eastAsia" w:ascii="宋体" w:hAnsi="宋体"/>
          <w:szCs w:val="21"/>
        </w:rPr>
        <w:t>网站上传电子投标文件；</w:t>
      </w:r>
    </w:p>
    <w:p>
      <w:pPr>
        <w:ind w:firstLine="411" w:firstLineChars="196"/>
        <w:rPr>
          <w:rFonts w:hint="eastAsia" w:ascii="宋体" w:hAnsi="宋体"/>
          <w:szCs w:val="21"/>
        </w:rPr>
      </w:pPr>
      <w:r>
        <w:rPr>
          <w:rFonts w:hint="eastAsia" w:ascii="宋体" w:hAnsi="宋体"/>
          <w:szCs w:val="21"/>
        </w:rPr>
        <w:t>3.9招标文件中的标题或题名仅起引导作用，而不应视为对招标文件内容的理解和解释。</w:t>
      </w:r>
    </w:p>
    <w:p>
      <w:pPr>
        <w:rPr>
          <w:rFonts w:hint="eastAsia" w:ascii="黑体" w:hAnsi="宋体" w:eastAsia="黑体"/>
          <w:sz w:val="24"/>
        </w:rPr>
      </w:pPr>
      <w:r>
        <w:rPr>
          <w:rFonts w:hint="eastAsia" w:ascii="黑体" w:hAnsi="宋体" w:eastAsia="黑体"/>
          <w:sz w:val="24"/>
        </w:rPr>
        <w:t xml:space="preserve">4. </w:t>
      </w:r>
      <w:bookmarkStart w:id="57" w:name="_Hlk72398643"/>
      <w:r>
        <w:rPr>
          <w:rFonts w:hint="eastAsia" w:ascii="黑体" w:hAnsi="宋体" w:eastAsia="黑体"/>
          <w:sz w:val="24"/>
        </w:rPr>
        <w:t>政府采购供应商责任</w:t>
      </w:r>
    </w:p>
    <w:p>
      <w:pPr>
        <w:ind w:firstLine="411" w:firstLineChars="196"/>
        <w:rPr>
          <w:rFonts w:hint="eastAsia" w:ascii="宋体" w:hAnsi="宋体"/>
          <w:szCs w:val="21"/>
        </w:rPr>
      </w:pPr>
      <w:r>
        <w:rPr>
          <w:rFonts w:hint="eastAsia" w:ascii="宋体" w:hAnsi="宋体"/>
          <w:szCs w:val="21"/>
        </w:rPr>
        <w:t>4.1欢迎诚信、有实力和有社会责任心的供应商参与政府采购事业。</w:t>
      </w:r>
    </w:p>
    <w:p>
      <w:pPr>
        <w:ind w:firstLine="411" w:firstLineChars="196"/>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pPr>
        <w:rPr>
          <w:rFonts w:hint="eastAsia" w:ascii="黑体" w:hAnsi="宋体" w:eastAsia="黑体"/>
          <w:sz w:val="24"/>
        </w:rPr>
      </w:pPr>
      <w:r>
        <w:rPr>
          <w:rFonts w:hint="eastAsia" w:ascii="黑体" w:hAnsi="宋体" w:eastAsia="黑体"/>
          <w:sz w:val="24"/>
        </w:rPr>
        <w:t>5．投标人参加政府采购的条件</w:t>
      </w:r>
    </w:p>
    <w:p>
      <w:pPr>
        <w:ind w:firstLine="411" w:firstLineChars="196"/>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pPr>
        <w:ind w:firstLine="411" w:firstLineChars="196"/>
        <w:rPr>
          <w:rFonts w:hint="eastAsia" w:ascii="宋体" w:hAnsi="宋体"/>
          <w:szCs w:val="21"/>
        </w:rPr>
      </w:pPr>
      <w:r>
        <w:rPr>
          <w:rFonts w:hint="eastAsia" w:ascii="宋体" w:hAnsi="宋体"/>
          <w:szCs w:val="21"/>
        </w:rPr>
        <w:t>5.2投标人资格要求</w:t>
      </w:r>
    </w:p>
    <w:p>
      <w:pPr>
        <w:ind w:firstLine="411" w:firstLineChars="196"/>
        <w:rPr>
          <w:rFonts w:hint="eastAsia" w:ascii="宋体" w:hAnsi="宋体"/>
          <w:szCs w:val="21"/>
        </w:rPr>
      </w:pPr>
      <w:r>
        <w:rPr>
          <w:rFonts w:hint="eastAsia" w:ascii="宋体" w:hAnsi="宋体"/>
          <w:szCs w:val="21"/>
        </w:rPr>
        <w:t>参加本项目的投标人应具备的资格条件详见本项目招标公告中 “投标人资格要求”（即申请人的资格要求）的内容。</w:t>
      </w:r>
    </w:p>
    <w:p>
      <w:pPr>
        <w:ind w:firstLine="411" w:firstLineChars="196"/>
        <w:rPr>
          <w:rFonts w:hint="eastAsia" w:ascii="宋体" w:hAnsi="宋体"/>
          <w:szCs w:val="21"/>
        </w:rPr>
      </w:pPr>
      <w:r>
        <w:rPr>
          <w:rFonts w:hint="eastAsia" w:ascii="宋体" w:hAnsi="宋体"/>
          <w:szCs w:val="21"/>
        </w:rPr>
        <w:t>5.3联合体投标</w:t>
      </w:r>
    </w:p>
    <w:p>
      <w:pPr>
        <w:ind w:firstLine="411" w:firstLineChars="196"/>
        <w:rPr>
          <w:rFonts w:hint="eastAsia" w:ascii="宋体" w:hAnsi="宋体"/>
          <w:szCs w:val="21"/>
        </w:rPr>
      </w:pPr>
      <w:r>
        <w:rPr>
          <w:rFonts w:hint="eastAsia" w:ascii="宋体" w:hAnsi="宋体"/>
          <w:szCs w:val="21"/>
        </w:rPr>
        <w:t>5.3.1　以下有关联合体投标的条款仅适用于允许投标人组成联合体投标的项目。</w:t>
      </w:r>
    </w:p>
    <w:p>
      <w:pPr>
        <w:ind w:firstLine="411" w:firstLineChars="196"/>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pPr>
        <w:ind w:firstLine="411" w:firstLineChars="196"/>
        <w:rPr>
          <w:rFonts w:hint="eastAsia" w:ascii="宋体" w:hAnsi="宋体"/>
        </w:rPr>
      </w:pPr>
      <w:r>
        <w:rPr>
          <w:rFonts w:hint="eastAsia" w:ascii="宋体" w:hAnsi="宋体"/>
        </w:rPr>
        <w:t>（1）投标联合体各方参加政府采购活动应当具备下列条件：</w:t>
      </w:r>
      <w:r>
        <w:rPr>
          <w:rFonts w:ascii="宋体" w:hAnsi="宋体"/>
        </w:rPr>
        <w:t xml:space="preserve"> </w:t>
      </w:r>
    </w:p>
    <w:p>
      <w:pPr>
        <w:ind w:left="420" w:leftChars="200" w:firstLine="411" w:firstLineChars="196"/>
        <w:rPr>
          <w:rFonts w:hint="eastAsia" w:ascii="宋体" w:hAnsi="宋体"/>
        </w:rPr>
      </w:pPr>
      <w:r>
        <w:rPr>
          <w:rFonts w:hint="eastAsia" w:ascii="宋体" w:hAnsi="宋体"/>
        </w:rPr>
        <w:t>1、具有独立承担民事责任的能力；</w:t>
      </w:r>
      <w:r>
        <w:rPr>
          <w:rFonts w:ascii="宋体" w:hAnsi="宋体"/>
        </w:rPr>
        <w:t xml:space="preserve"> </w:t>
      </w:r>
    </w:p>
    <w:p>
      <w:pPr>
        <w:ind w:left="420" w:firstLine="411" w:firstLineChars="196"/>
        <w:rPr>
          <w:rFonts w:hint="eastAsia" w:ascii="宋体" w:hAnsi="宋体"/>
        </w:rPr>
      </w:pPr>
      <w:r>
        <w:rPr>
          <w:rFonts w:hint="eastAsia" w:ascii="宋体" w:hAnsi="宋体"/>
        </w:rPr>
        <w:t>2、有良好的商业信誉和健全的财务会计制度；</w:t>
      </w:r>
      <w:r>
        <w:rPr>
          <w:rFonts w:ascii="宋体" w:hAnsi="宋体"/>
        </w:rPr>
        <w:t xml:space="preserve"> </w:t>
      </w:r>
    </w:p>
    <w:p>
      <w:pPr>
        <w:ind w:left="420" w:leftChars="200" w:firstLine="411" w:firstLineChars="196"/>
        <w:rPr>
          <w:rFonts w:hint="eastAsia" w:ascii="宋体" w:hAnsi="宋体"/>
        </w:rPr>
      </w:pPr>
      <w:r>
        <w:rPr>
          <w:rFonts w:hint="eastAsia" w:ascii="宋体" w:hAnsi="宋体"/>
        </w:rPr>
        <w:t>3、具有履行合同所必需的设备和专业技术能力；</w:t>
      </w:r>
      <w:r>
        <w:rPr>
          <w:rFonts w:ascii="宋体" w:hAnsi="宋体"/>
        </w:rPr>
        <w:t xml:space="preserve"> </w:t>
      </w:r>
    </w:p>
    <w:p>
      <w:pPr>
        <w:ind w:left="420" w:leftChars="200" w:firstLine="411" w:firstLineChars="196"/>
        <w:rPr>
          <w:rFonts w:hint="eastAsia" w:ascii="宋体" w:hAnsi="宋体"/>
        </w:rPr>
      </w:pPr>
      <w:r>
        <w:rPr>
          <w:rFonts w:hint="eastAsia" w:ascii="宋体" w:hAnsi="宋体"/>
        </w:rPr>
        <w:t>4、有依法缴纳税收和社会保障资金的良好记录；</w:t>
      </w:r>
      <w:r>
        <w:rPr>
          <w:rFonts w:ascii="宋体" w:hAnsi="宋体"/>
        </w:rPr>
        <w:t xml:space="preserve"> </w:t>
      </w:r>
    </w:p>
    <w:p>
      <w:pPr>
        <w:ind w:left="420" w:leftChars="200" w:firstLine="411" w:firstLineChars="196"/>
        <w:rPr>
          <w:rFonts w:hint="eastAsia" w:ascii="宋体" w:hAnsi="宋体"/>
        </w:rPr>
      </w:pPr>
      <w:r>
        <w:rPr>
          <w:rFonts w:hint="eastAsia" w:ascii="宋体" w:hAnsi="宋体"/>
        </w:rPr>
        <w:t>5、参加政府采购活动前三年内，在经营活动中没有重大违法记录；</w:t>
      </w:r>
      <w:r>
        <w:rPr>
          <w:rFonts w:ascii="宋体" w:hAnsi="宋体"/>
        </w:rPr>
        <w:t xml:space="preserve"> </w:t>
      </w:r>
    </w:p>
    <w:p>
      <w:pPr>
        <w:ind w:left="420" w:leftChars="200" w:firstLine="411" w:firstLineChars="196"/>
        <w:rPr>
          <w:rFonts w:hint="eastAsia" w:ascii="宋体" w:hAnsi="宋体"/>
        </w:rPr>
      </w:pPr>
      <w:r>
        <w:rPr>
          <w:rFonts w:hint="eastAsia" w:ascii="宋体" w:hAnsi="宋体"/>
        </w:rPr>
        <w:t>6、法律、行政法规规定的其他条件。</w:t>
      </w:r>
      <w:r>
        <w:rPr>
          <w:rFonts w:ascii="宋体" w:hAnsi="宋体"/>
        </w:rPr>
        <w:t xml:space="preserve"> </w:t>
      </w:r>
    </w:p>
    <w:p>
      <w:pPr>
        <w:ind w:firstLine="411" w:firstLineChars="196"/>
        <w:rPr>
          <w:rFonts w:hint="eastAsia" w:ascii="宋体" w:hAnsi="宋体"/>
        </w:rPr>
      </w:pPr>
      <w:r>
        <w:rPr>
          <w:rFonts w:hint="eastAsia" w:ascii="宋体" w:hAnsi="宋体"/>
        </w:rPr>
        <w:t>（2）在投标截止前，投标联合体各方均应注册成政府集中采购机构供应商；</w:t>
      </w:r>
    </w:p>
    <w:p>
      <w:pPr>
        <w:ind w:firstLine="411" w:firstLineChars="196"/>
        <w:rPr>
          <w:rFonts w:hint="eastAsia" w:ascii="宋体" w:hAnsi="宋体"/>
        </w:rPr>
      </w:pPr>
      <w:r>
        <w:rPr>
          <w:rFonts w:hint="eastAsia" w:ascii="宋体" w:hAnsi="宋体"/>
        </w:rPr>
        <w:t>（3）联合体中有同类资质的供应商按照联合体分工承担相同工作的，应当按照资质等级较低的供应商确定资质等级；</w:t>
      </w:r>
    </w:p>
    <w:p>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pPr>
        <w:ind w:firstLine="411" w:firstLineChars="196"/>
        <w:rPr>
          <w:rFonts w:hint="eastAsia" w:ascii="宋体" w:hAnsi="宋体"/>
        </w:rPr>
      </w:pPr>
      <w:r>
        <w:rPr>
          <w:rFonts w:hint="eastAsia" w:ascii="宋体" w:hAnsi="宋体"/>
        </w:rPr>
        <w:t>（5）投标人的投标文件及中标后签署的合同协议对联合体各方均具法律约束力；</w:t>
      </w:r>
    </w:p>
    <w:p>
      <w:pPr>
        <w:ind w:firstLine="411" w:firstLineChars="196"/>
        <w:rPr>
          <w:rFonts w:hint="eastAsia" w:ascii="宋体" w:hAnsi="宋体"/>
        </w:rPr>
      </w:pPr>
      <w:r>
        <w:rPr>
          <w:rFonts w:hint="eastAsia" w:ascii="宋体" w:hAnsi="宋体"/>
        </w:rPr>
        <w:t>（6）联合体各方应当签订联合体投标协议，明确约定各方拟承担的工作和责任，并将该协议随投标文件一并递交给政府集中采购机构；</w:t>
      </w:r>
    </w:p>
    <w:p>
      <w:pPr>
        <w:ind w:firstLine="411" w:firstLineChars="196"/>
        <w:rPr>
          <w:rFonts w:hint="eastAsia" w:ascii="宋体" w:hAnsi="宋体"/>
        </w:rPr>
      </w:pPr>
      <w:r>
        <w:rPr>
          <w:rFonts w:hint="eastAsia" w:ascii="宋体" w:hAnsi="宋体"/>
        </w:rPr>
        <w:t>（7）联合体中标后，联合体各方应当共同与采购人签订合同，就中标项目向采购人承担连带责任；</w:t>
      </w:r>
    </w:p>
    <w:p>
      <w:pPr>
        <w:ind w:firstLine="411" w:firstLineChars="196"/>
        <w:rPr>
          <w:rFonts w:hint="eastAsia"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ind w:firstLine="411" w:firstLineChars="196"/>
        <w:rPr>
          <w:rFonts w:hint="eastAsia" w:ascii="宋体" w:hAnsi="宋体"/>
          <w:szCs w:val="21"/>
        </w:rPr>
      </w:pPr>
      <w:r>
        <w:rPr>
          <w:rFonts w:hint="eastAsia" w:ascii="宋体" w:hAnsi="宋体"/>
        </w:rPr>
        <w:t>（9）本通用条款中“投标人”一词亦指联合体各方，专用条款另有规定或说明的除外。</w:t>
      </w:r>
    </w:p>
    <w:p>
      <w:pPr>
        <w:rPr>
          <w:rFonts w:hint="eastAsia" w:ascii="黑体" w:hAnsi="宋体" w:eastAsia="黑体"/>
          <w:sz w:val="24"/>
        </w:rPr>
      </w:pPr>
      <w:r>
        <w:rPr>
          <w:rFonts w:hint="eastAsia" w:ascii="黑体" w:hAnsi="宋体" w:eastAsia="黑体"/>
          <w:sz w:val="24"/>
        </w:rPr>
        <w:t>6．政策导向</w:t>
      </w:r>
    </w:p>
    <w:p>
      <w:pPr>
        <w:ind w:firstLine="411" w:firstLineChars="196"/>
        <w:rPr>
          <w:rFonts w:hint="eastAsia" w:ascii="宋体" w:hAnsi="宋体"/>
        </w:rPr>
      </w:pPr>
      <w:r>
        <w:rPr>
          <w:rFonts w:hint="eastAsia" w:ascii="宋体" w:hAnsi="宋体"/>
        </w:rPr>
        <w:t>6.1</w:t>
      </w:r>
      <w:r>
        <w:rPr>
          <w:rFonts w:ascii="宋体" w:hAnsi="宋体"/>
        </w:rPr>
        <w:t xml:space="preserve">  </w:t>
      </w:r>
      <w:r>
        <w:rPr>
          <w:rFonts w:hint="eastAsia" w:ascii="宋体" w:hAnsi="宋体"/>
        </w:rPr>
        <w:t>政府采购支持本国产品、支持中小企业、监狱企业和残疾人福利性单位发展，支持乡村产业振兴，支持创新、节能减排、绿色环保等。</w:t>
      </w:r>
    </w:p>
    <w:p>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pPr>
        <w:ind w:firstLine="405"/>
        <w:rPr>
          <w:rFonts w:eastAsia="宋体"/>
        </w:rPr>
      </w:pPr>
      <w:r>
        <w:rPr>
          <w:rFonts w:hint="eastAsia" w:ascii="宋体" w:hAnsi="宋体"/>
        </w:rPr>
        <w:t>6.3  本项目支持投标人性别平等的相关政策。</w:t>
      </w:r>
    </w:p>
    <w:p>
      <w:pPr>
        <w:rPr>
          <w:rFonts w:hint="eastAsia" w:ascii="黑体" w:hAnsi="宋体" w:eastAsia="黑体"/>
          <w:sz w:val="24"/>
        </w:rPr>
      </w:pPr>
      <w:r>
        <w:rPr>
          <w:rFonts w:hint="eastAsia" w:ascii="黑体" w:hAnsi="宋体" w:eastAsia="黑体"/>
          <w:sz w:val="24"/>
        </w:rPr>
        <w:t>7. 本项目若涉及采购货物，则合格的货物及相应服务应满足以下要求：</w:t>
      </w:r>
    </w:p>
    <w:p>
      <w:pPr>
        <w:ind w:firstLine="411" w:firstLineChars="196"/>
        <w:rPr>
          <w:rFonts w:hint="eastAsia"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pPr>
        <w:ind w:firstLine="411" w:firstLineChars="196"/>
        <w:rPr>
          <w:rFonts w:hint="eastAsia" w:ascii="宋体" w:hAnsi="宋体"/>
        </w:rPr>
      </w:pPr>
      <w:r>
        <w:rPr>
          <w:rFonts w:hint="eastAsia" w:ascii="宋体" w:hAnsi="宋体"/>
        </w:rPr>
        <w:t>7.2  国产的货物及其有关服务必须符合中华人民共和国的设计、制造生产标准及行业标准。招标公告有其他要求的，亦应符合其要求。</w:t>
      </w:r>
    </w:p>
    <w:p>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58"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8"/>
    </w:p>
    <w:p>
      <w:pPr>
        <w:ind w:firstLine="411" w:firstLineChars="196"/>
        <w:rPr>
          <w:rFonts w:hint="eastAsia"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1" w:firstLineChars="196"/>
        <w:rPr>
          <w:rFonts w:hint="eastAsia" w:ascii="宋体" w:hAnsi="宋体"/>
        </w:rPr>
      </w:pPr>
      <w:r>
        <w:rPr>
          <w:rFonts w:hint="eastAsia" w:ascii="宋体" w:hAnsi="宋体"/>
        </w:rPr>
        <w:t>7.6  工期要求：投标人在投标时对其所投项目应提交交货进度、交货计划等，在合同规定的时间内完成项目实施工作。</w:t>
      </w:r>
    </w:p>
    <w:p>
      <w:pPr>
        <w:ind w:firstLine="411" w:firstLineChars="196"/>
        <w:rPr>
          <w:rFonts w:hint="eastAsia" w:ascii="宋体" w:hAnsi="宋体"/>
        </w:rPr>
      </w:pPr>
      <w:r>
        <w:rPr>
          <w:rFonts w:hint="eastAsia" w:ascii="宋体" w:hAnsi="宋体"/>
        </w:rPr>
        <w:t>7.7  投标人必须承担的设备运输、安装调试、验收检测和提供设备操作说明书、图纸等其他相关及类似的义务。</w:t>
      </w:r>
    </w:p>
    <w:p>
      <w:pPr>
        <w:rPr>
          <w:rFonts w:hint="eastAsia" w:ascii="黑体" w:hAnsi="宋体" w:eastAsia="黑体"/>
          <w:sz w:val="24"/>
        </w:rPr>
      </w:pPr>
      <w:r>
        <w:rPr>
          <w:rFonts w:hint="eastAsia" w:ascii="黑体" w:hAnsi="宋体" w:eastAsia="黑体"/>
          <w:sz w:val="24"/>
        </w:rPr>
        <w:t>8．投标费用</w:t>
      </w:r>
    </w:p>
    <w:p>
      <w:pPr>
        <w:ind w:firstLine="411" w:firstLineChars="196"/>
        <w:rPr>
          <w:rFonts w:hint="eastAsia" w:ascii="宋体" w:hAnsi="宋体"/>
          <w:szCs w:val="21"/>
        </w:rPr>
      </w:pPr>
      <w:r>
        <w:rPr>
          <w:rFonts w:hint="eastAsia" w:ascii="宋体" w:hAnsi="宋体"/>
          <w:szCs w:val="21"/>
        </w:rPr>
        <w:t>不论投标结果如何，投标人应承担其编制投标文件与递交投标文件所涉及的一切费用。</w:t>
      </w:r>
    </w:p>
    <w:p>
      <w:pPr>
        <w:rPr>
          <w:rFonts w:hint="eastAsia" w:ascii="黑体" w:hAnsi="宋体" w:eastAsia="黑体"/>
          <w:sz w:val="24"/>
        </w:rPr>
      </w:pPr>
      <w:r>
        <w:rPr>
          <w:rFonts w:hint="eastAsia" w:ascii="黑体" w:hAnsi="宋体" w:eastAsia="黑体"/>
          <w:sz w:val="24"/>
        </w:rPr>
        <w:t>9．踏勘现场</w:t>
      </w:r>
    </w:p>
    <w:p>
      <w:pPr>
        <w:ind w:firstLine="411" w:firstLineChars="196"/>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1" w:firstLineChars="196"/>
        <w:rPr>
          <w:rFonts w:hint="eastAsia"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pPr>
        <w:ind w:firstLine="411" w:firstLineChars="196"/>
        <w:rPr>
          <w:rFonts w:hint="eastAsia" w:ascii="宋体" w:hAnsi="宋体"/>
        </w:rPr>
      </w:pPr>
      <w:r>
        <w:rPr>
          <w:rFonts w:hint="eastAsia" w:ascii="宋体" w:hAnsi="宋体"/>
        </w:rPr>
        <w:t>9.3采购人应当通过政府集中采购机构向投标人提供有关现场的书面资料和数据。</w:t>
      </w:r>
    </w:p>
    <w:p>
      <w:pPr>
        <w:ind w:firstLine="411" w:firstLineChars="196"/>
        <w:rPr>
          <w:rFonts w:hint="eastAsia"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pPr>
        <w:ind w:firstLine="411" w:firstLineChars="196"/>
        <w:rPr>
          <w:rFonts w:hint="eastAsia"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pPr>
        <w:rPr>
          <w:rFonts w:hint="eastAsia"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ind w:firstLine="411" w:firstLineChars="196"/>
        <w:rPr>
          <w:rFonts w:hint="eastAsia"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57"/>
    <w:p>
      <w:pPr>
        <w:ind w:firstLine="411" w:firstLineChars="196"/>
        <w:rPr>
          <w:rFonts w:hint="eastAsia" w:ascii="宋体" w:hAnsi="宋体"/>
        </w:rPr>
      </w:pPr>
    </w:p>
    <w:p>
      <w:pPr>
        <w:pStyle w:val="5"/>
        <w:numPr>
          <w:ilvl w:val="0"/>
          <w:numId w:val="13"/>
        </w:numPr>
        <w:spacing w:before="156" w:beforeLines="50" w:after="156" w:afterLines="50"/>
        <w:ind w:left="562" w:hanging="562"/>
        <w:rPr>
          <w:sz w:val="28"/>
          <w:szCs w:val="28"/>
        </w:rPr>
      </w:pPr>
      <w:r>
        <w:rPr>
          <w:rFonts w:hint="eastAsia"/>
          <w:sz w:val="28"/>
          <w:szCs w:val="28"/>
        </w:rPr>
        <w:t>招标文件</w:t>
      </w:r>
    </w:p>
    <w:p>
      <w:pPr>
        <w:rPr>
          <w:rFonts w:hint="eastAsia"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59" w:name="_Hlk72399819"/>
      <w:r>
        <w:rPr>
          <w:rFonts w:hint="eastAsia" w:ascii="黑体" w:hAnsi="宋体" w:eastAsia="黑体"/>
          <w:sz w:val="24"/>
        </w:rPr>
        <w:t>招标文件的编制与组成</w:t>
      </w:r>
    </w:p>
    <w:p>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pPr>
        <w:ind w:firstLine="411" w:firstLineChars="196"/>
        <w:rPr>
          <w:rFonts w:hint="eastAsia" w:ascii="宋体" w:hAnsi="宋体"/>
          <w:szCs w:val="21"/>
        </w:rPr>
      </w:pPr>
      <w:r>
        <w:rPr>
          <w:rFonts w:hint="eastAsia" w:ascii="宋体" w:hAnsi="宋体"/>
          <w:szCs w:val="21"/>
        </w:rPr>
        <w:t>招标文件包括下列内容：</w:t>
      </w:r>
    </w:p>
    <w:p>
      <w:pPr>
        <w:ind w:left="420" w:leftChars="200" w:firstLine="413" w:firstLineChars="196"/>
        <w:rPr>
          <w:rFonts w:hint="eastAsia" w:ascii="宋体" w:hAnsi="宋体"/>
          <w:b/>
          <w:szCs w:val="21"/>
        </w:rPr>
      </w:pPr>
      <w:r>
        <w:rPr>
          <w:rFonts w:hint="eastAsia" w:ascii="宋体" w:hAnsi="宋体"/>
          <w:b/>
          <w:szCs w:val="21"/>
        </w:rPr>
        <w:t>第一册  专用条款</w:t>
      </w:r>
    </w:p>
    <w:p>
      <w:pPr>
        <w:ind w:left="1079" w:leftChars="514"/>
        <w:rPr>
          <w:rFonts w:hint="eastAsia" w:ascii="宋体" w:hAnsi="宋体"/>
          <w:b/>
          <w:szCs w:val="21"/>
        </w:rPr>
      </w:pPr>
      <w:r>
        <w:rPr>
          <w:rFonts w:hint="eastAsia" w:ascii="宋体" w:hAnsi="宋体"/>
          <w:b/>
          <w:szCs w:val="21"/>
        </w:rPr>
        <w:t>关键信息</w:t>
      </w:r>
    </w:p>
    <w:p>
      <w:pPr>
        <w:ind w:left="630" w:leftChars="300" w:firstLine="411" w:firstLineChars="196"/>
        <w:rPr>
          <w:rFonts w:hint="eastAsia" w:ascii="宋体" w:hAnsi="宋体"/>
          <w:szCs w:val="21"/>
        </w:rPr>
      </w:pPr>
      <w:r>
        <w:rPr>
          <w:rFonts w:hint="eastAsia" w:ascii="宋体" w:hAnsi="宋体"/>
          <w:szCs w:val="21"/>
        </w:rPr>
        <w:t>第一章  招标公告</w:t>
      </w:r>
    </w:p>
    <w:p>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pPr>
        <w:ind w:left="630" w:leftChars="300" w:firstLine="411" w:firstLineChars="196"/>
        <w:rPr>
          <w:rFonts w:hint="eastAsia" w:ascii="宋体" w:hAnsi="宋体"/>
          <w:szCs w:val="21"/>
        </w:rPr>
      </w:pPr>
      <w:r>
        <w:rPr>
          <w:rFonts w:hint="eastAsia" w:ascii="宋体" w:hAnsi="宋体"/>
          <w:szCs w:val="21"/>
        </w:rPr>
        <w:t>第三章  用户需求书</w:t>
      </w:r>
    </w:p>
    <w:p>
      <w:pPr>
        <w:ind w:left="630" w:leftChars="300" w:firstLine="411" w:firstLineChars="196"/>
        <w:rPr>
          <w:rFonts w:hint="eastAsia" w:ascii="宋体" w:hAnsi="宋体"/>
          <w:szCs w:val="21"/>
        </w:rPr>
      </w:pPr>
      <w:r>
        <w:rPr>
          <w:rFonts w:hint="eastAsia"/>
        </w:rPr>
        <w:t xml:space="preserve">第四章 </w:t>
      </w:r>
      <w:r>
        <w:t xml:space="preserve"> </w:t>
      </w:r>
      <w:r>
        <w:rPr>
          <w:rFonts w:hint="eastAsia"/>
        </w:rPr>
        <w:t>投标文件格式及附件</w:t>
      </w:r>
    </w:p>
    <w:p>
      <w:pPr>
        <w:ind w:left="630" w:leftChars="300" w:firstLine="411" w:firstLineChars="196"/>
        <w:rPr>
          <w:rFonts w:hint="eastAsia" w:ascii="宋体" w:hAnsi="宋体"/>
          <w:szCs w:val="21"/>
        </w:rPr>
      </w:pPr>
      <w:r>
        <w:rPr>
          <w:rFonts w:hint="eastAsia" w:ascii="宋体" w:hAnsi="宋体"/>
          <w:szCs w:val="21"/>
        </w:rPr>
        <w:t>第五章  合同条款及格式</w:t>
      </w:r>
    </w:p>
    <w:p>
      <w:pPr>
        <w:ind w:left="420" w:leftChars="200" w:firstLine="413" w:firstLineChars="196"/>
        <w:rPr>
          <w:rFonts w:hint="eastAsia" w:ascii="宋体" w:hAnsi="宋体"/>
          <w:b/>
          <w:szCs w:val="21"/>
        </w:rPr>
      </w:pPr>
      <w:r>
        <w:rPr>
          <w:rFonts w:hint="eastAsia" w:ascii="宋体" w:hAnsi="宋体"/>
          <w:b/>
          <w:szCs w:val="21"/>
        </w:rPr>
        <w:t>第二册  通用条款</w:t>
      </w:r>
    </w:p>
    <w:p>
      <w:pPr>
        <w:ind w:left="630" w:leftChars="300" w:firstLine="411" w:firstLineChars="196"/>
        <w:rPr>
          <w:rFonts w:hint="eastAsia" w:ascii="宋体" w:hAnsi="宋体"/>
          <w:szCs w:val="21"/>
        </w:rPr>
      </w:pPr>
      <w:r>
        <w:rPr>
          <w:rFonts w:hint="eastAsia" w:ascii="宋体" w:hAnsi="宋体"/>
          <w:szCs w:val="21"/>
        </w:rPr>
        <w:t>第一章  总则</w:t>
      </w:r>
    </w:p>
    <w:p>
      <w:pPr>
        <w:ind w:left="630" w:leftChars="300" w:firstLine="411" w:firstLineChars="196"/>
        <w:rPr>
          <w:rFonts w:hint="eastAsia" w:ascii="宋体" w:hAnsi="宋体"/>
          <w:szCs w:val="21"/>
        </w:rPr>
      </w:pPr>
      <w:r>
        <w:rPr>
          <w:rFonts w:hint="eastAsia" w:ascii="宋体" w:hAnsi="宋体"/>
          <w:szCs w:val="21"/>
        </w:rPr>
        <w:t>第二章  招标文件</w:t>
      </w:r>
    </w:p>
    <w:p>
      <w:pPr>
        <w:ind w:left="630" w:leftChars="300" w:firstLine="411" w:firstLineChars="196"/>
        <w:rPr>
          <w:rFonts w:hint="eastAsia" w:ascii="宋体" w:hAnsi="宋体"/>
          <w:szCs w:val="21"/>
        </w:rPr>
      </w:pPr>
      <w:r>
        <w:rPr>
          <w:rFonts w:hint="eastAsia" w:ascii="宋体" w:hAnsi="宋体"/>
          <w:szCs w:val="21"/>
        </w:rPr>
        <w:t>第三章  投标文件的编制</w:t>
      </w:r>
    </w:p>
    <w:p>
      <w:pPr>
        <w:ind w:left="630" w:leftChars="300" w:firstLine="411" w:firstLineChars="196"/>
        <w:rPr>
          <w:rFonts w:hint="eastAsia" w:ascii="宋体" w:hAnsi="宋体"/>
          <w:szCs w:val="21"/>
        </w:rPr>
      </w:pPr>
      <w:r>
        <w:rPr>
          <w:rFonts w:hint="eastAsia" w:ascii="宋体" w:hAnsi="宋体"/>
          <w:szCs w:val="21"/>
        </w:rPr>
        <w:t>第四章  投标文件的递交</w:t>
      </w:r>
    </w:p>
    <w:p>
      <w:pPr>
        <w:ind w:left="630" w:leftChars="300" w:firstLine="411" w:firstLineChars="196"/>
        <w:rPr>
          <w:rFonts w:hint="eastAsia" w:ascii="宋体" w:hAnsi="宋体"/>
          <w:szCs w:val="21"/>
        </w:rPr>
      </w:pPr>
      <w:r>
        <w:rPr>
          <w:rFonts w:hint="eastAsia" w:ascii="宋体" w:hAnsi="宋体"/>
          <w:szCs w:val="21"/>
        </w:rPr>
        <w:t>第五章  开标</w:t>
      </w:r>
    </w:p>
    <w:p>
      <w:pPr>
        <w:ind w:left="630" w:leftChars="300" w:firstLine="411" w:firstLineChars="196"/>
        <w:rPr>
          <w:rFonts w:hint="eastAsia" w:ascii="宋体" w:hAnsi="宋体"/>
          <w:szCs w:val="21"/>
        </w:rPr>
      </w:pPr>
      <w:r>
        <w:rPr>
          <w:rFonts w:hint="eastAsia" w:ascii="宋体" w:hAnsi="宋体"/>
          <w:szCs w:val="21"/>
        </w:rPr>
        <w:t>第六章  评审要求</w:t>
      </w:r>
    </w:p>
    <w:p>
      <w:pPr>
        <w:ind w:left="630" w:leftChars="300" w:firstLine="411" w:firstLineChars="196"/>
        <w:rPr>
          <w:rFonts w:hint="eastAsia" w:ascii="宋体" w:hAnsi="宋体"/>
          <w:szCs w:val="21"/>
        </w:rPr>
      </w:pPr>
      <w:r>
        <w:rPr>
          <w:rFonts w:hint="eastAsia" w:ascii="宋体" w:hAnsi="宋体"/>
          <w:szCs w:val="21"/>
        </w:rPr>
        <w:t>第七章  评审程序及评审方法</w:t>
      </w:r>
    </w:p>
    <w:p>
      <w:pPr>
        <w:ind w:left="630" w:leftChars="300" w:firstLine="411" w:firstLineChars="196"/>
        <w:rPr>
          <w:rFonts w:hint="eastAsia" w:ascii="宋体" w:hAnsi="宋体"/>
          <w:szCs w:val="21"/>
        </w:rPr>
      </w:pPr>
      <w:r>
        <w:rPr>
          <w:rFonts w:hint="eastAsia" w:ascii="宋体" w:hAnsi="宋体"/>
          <w:szCs w:val="21"/>
        </w:rPr>
        <w:t>第八章  定标及公示</w:t>
      </w:r>
    </w:p>
    <w:p>
      <w:pPr>
        <w:ind w:left="630" w:leftChars="300" w:firstLine="411" w:firstLineChars="196"/>
        <w:rPr>
          <w:rFonts w:hint="eastAsia" w:ascii="宋体" w:hAnsi="宋体"/>
          <w:szCs w:val="21"/>
        </w:rPr>
      </w:pPr>
      <w:r>
        <w:rPr>
          <w:rFonts w:hint="eastAsia" w:ascii="宋体" w:hAnsi="宋体"/>
          <w:szCs w:val="21"/>
        </w:rPr>
        <w:t>第九章  公开招标失败的后续处理</w:t>
      </w:r>
    </w:p>
    <w:p>
      <w:pPr>
        <w:ind w:left="630" w:leftChars="300" w:firstLine="411" w:firstLineChars="196"/>
        <w:rPr>
          <w:rFonts w:hint="eastAsia" w:ascii="宋体" w:hAnsi="宋体"/>
          <w:szCs w:val="21"/>
        </w:rPr>
      </w:pPr>
      <w:r>
        <w:rPr>
          <w:rFonts w:hint="eastAsia" w:ascii="宋体" w:hAnsi="宋体"/>
          <w:szCs w:val="21"/>
        </w:rPr>
        <w:t>第十章  合同的授予与备案</w:t>
      </w:r>
    </w:p>
    <w:p>
      <w:pPr>
        <w:ind w:left="630" w:leftChars="300" w:firstLine="411" w:firstLineChars="196"/>
        <w:rPr>
          <w:rFonts w:hint="eastAsia" w:ascii="宋体" w:hAnsi="宋体"/>
          <w:szCs w:val="21"/>
        </w:rPr>
      </w:pPr>
      <w:r>
        <w:rPr>
          <w:rFonts w:hint="eastAsia" w:ascii="宋体" w:hAnsi="宋体"/>
          <w:szCs w:val="21"/>
        </w:rPr>
        <w:t>第十一章  质疑处理</w:t>
      </w:r>
    </w:p>
    <w:p>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rPr>
          <w:rFonts w:hint="eastAsia"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pPr>
        <w:rPr>
          <w:rFonts w:hint="eastAsia" w:ascii="黑体" w:hAnsi="宋体" w:eastAsia="黑体"/>
          <w:sz w:val="24"/>
        </w:rPr>
      </w:pPr>
      <w:r>
        <w:rPr>
          <w:rFonts w:ascii="黑体" w:hAnsi="宋体" w:eastAsia="黑体"/>
          <w:sz w:val="24"/>
        </w:rPr>
        <w:t>1</w:t>
      </w:r>
      <w:r>
        <w:rPr>
          <w:rFonts w:hint="eastAsia" w:ascii="黑体" w:hAnsi="宋体" w:eastAsia="黑体"/>
          <w:sz w:val="24"/>
        </w:rPr>
        <w:t>3．招标文件的修改</w:t>
      </w:r>
    </w:p>
    <w:p>
      <w:pPr>
        <w:ind w:firstLine="411" w:firstLineChars="196"/>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pPr>
        <w:ind w:firstLine="411" w:firstLineChars="196"/>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pPr>
        <w:ind w:firstLine="411" w:firstLineChars="196"/>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ind w:firstLine="411" w:firstLineChars="196"/>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9"/>
    </w:p>
    <w:p>
      <w:pPr>
        <w:rPr>
          <w:rFonts w:hint="eastAsia" w:ascii="宋体" w:hAnsi="宋体"/>
          <w:szCs w:val="21"/>
        </w:rPr>
      </w:pPr>
    </w:p>
    <w:p>
      <w:pPr>
        <w:pStyle w:val="5"/>
        <w:numPr>
          <w:ilvl w:val="0"/>
          <w:numId w:val="13"/>
        </w:numPr>
        <w:spacing w:before="156" w:beforeLines="50" w:after="156" w:afterLines="50"/>
        <w:ind w:left="562" w:hanging="562"/>
        <w:rPr>
          <w:sz w:val="28"/>
          <w:szCs w:val="28"/>
        </w:rPr>
      </w:pPr>
      <w:r>
        <w:rPr>
          <w:rFonts w:hint="eastAsia"/>
          <w:sz w:val="28"/>
          <w:szCs w:val="28"/>
        </w:rPr>
        <w:t>投标文件的编制</w:t>
      </w:r>
    </w:p>
    <w:p>
      <w:pPr>
        <w:rPr>
          <w:rFonts w:hint="eastAsia" w:ascii="黑体" w:hAnsi="宋体" w:eastAsia="黑体"/>
          <w:sz w:val="24"/>
        </w:rPr>
      </w:pPr>
      <w:r>
        <w:rPr>
          <w:rFonts w:hint="eastAsia" w:ascii="黑体" w:hAnsi="宋体" w:eastAsia="黑体"/>
          <w:sz w:val="24"/>
        </w:rPr>
        <w:t>14．</w:t>
      </w:r>
      <w:bookmarkStart w:id="60" w:name="_Hlk72400236"/>
      <w:r>
        <w:rPr>
          <w:rFonts w:hint="eastAsia" w:ascii="黑体" w:hAnsi="宋体" w:eastAsia="黑体"/>
          <w:sz w:val="24"/>
        </w:rPr>
        <w:t>投标文件的语言及度量单位</w:t>
      </w:r>
    </w:p>
    <w:p>
      <w:pPr>
        <w:ind w:firstLine="411" w:firstLineChars="196"/>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ind w:firstLine="411" w:firstLineChars="196"/>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60"/>
    <w:p>
      <w:pPr>
        <w:rPr>
          <w:rFonts w:hint="eastAsia" w:ascii="黑体" w:hAnsi="宋体" w:eastAsia="黑体"/>
          <w:sz w:val="24"/>
        </w:rPr>
      </w:pPr>
      <w:r>
        <w:rPr>
          <w:rFonts w:hint="eastAsia" w:ascii="黑体" w:hAnsi="宋体" w:eastAsia="黑体"/>
          <w:sz w:val="24"/>
        </w:rPr>
        <w:t>15．</w:t>
      </w:r>
      <w:bookmarkStart w:id="61" w:name="_Hlk72401567"/>
      <w:r>
        <w:rPr>
          <w:rFonts w:hint="eastAsia" w:ascii="黑体" w:hAnsi="宋体" w:eastAsia="黑体"/>
          <w:sz w:val="24"/>
        </w:rPr>
        <w:t>投标文件的组成</w:t>
      </w:r>
    </w:p>
    <w:p>
      <w:pPr>
        <w:ind w:firstLine="411" w:firstLineChars="196"/>
        <w:rPr>
          <w:rFonts w:hint="eastAsia" w:ascii="宋体" w:hAnsi="宋体"/>
          <w:szCs w:val="21"/>
        </w:rPr>
      </w:pPr>
      <w:r>
        <w:rPr>
          <w:rFonts w:hint="eastAsia" w:ascii="宋体" w:hAnsi="宋体"/>
          <w:szCs w:val="21"/>
        </w:rPr>
        <w:t>具体内容在招标文件专用条款中进行规定。</w:t>
      </w:r>
    </w:p>
    <w:p>
      <w:pPr>
        <w:rPr>
          <w:rFonts w:hint="eastAsia" w:ascii="黑体" w:hAnsi="宋体" w:eastAsia="黑体"/>
          <w:sz w:val="24"/>
        </w:rPr>
      </w:pPr>
      <w:r>
        <w:rPr>
          <w:rFonts w:ascii="黑体" w:hAnsi="宋体" w:eastAsia="黑体"/>
          <w:sz w:val="24"/>
        </w:rPr>
        <w:t>16．投标文件格式</w:t>
      </w:r>
    </w:p>
    <w:p>
      <w:pPr>
        <w:ind w:firstLine="411" w:firstLineChars="196"/>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pPr>
        <w:rPr>
          <w:rFonts w:hint="eastAsia" w:ascii="黑体" w:hAnsi="宋体" w:eastAsia="黑体"/>
          <w:sz w:val="24"/>
        </w:rPr>
      </w:pPr>
      <w:r>
        <w:rPr>
          <w:rFonts w:hint="eastAsia" w:ascii="黑体" w:hAnsi="宋体" w:eastAsia="黑体"/>
          <w:sz w:val="24"/>
        </w:rPr>
        <w:t>17．投标货币</w:t>
      </w:r>
    </w:p>
    <w:p>
      <w:pPr>
        <w:ind w:firstLine="411" w:firstLineChars="196"/>
        <w:rPr>
          <w:rFonts w:hint="eastAsia" w:ascii="宋体" w:hAnsi="宋体"/>
          <w:szCs w:val="21"/>
        </w:rPr>
      </w:pPr>
      <w:r>
        <w:rPr>
          <w:rFonts w:hint="eastAsia" w:ascii="宋体" w:hAnsi="宋体"/>
          <w:szCs w:val="21"/>
        </w:rPr>
        <w:t>本项目的投标报价应以人民币计。</w:t>
      </w:r>
    </w:p>
    <w:bookmarkEnd w:id="61"/>
    <w:p>
      <w:pPr>
        <w:rPr>
          <w:rFonts w:hint="eastAsia" w:ascii="黑体" w:hAnsi="宋体" w:eastAsia="黑体"/>
          <w:sz w:val="24"/>
        </w:rPr>
      </w:pPr>
      <w:r>
        <w:rPr>
          <w:rFonts w:hint="eastAsia" w:ascii="黑体" w:hAnsi="宋体" w:eastAsia="黑体"/>
          <w:sz w:val="24"/>
        </w:rPr>
        <w:t>18．</w:t>
      </w:r>
      <w:bookmarkStart w:id="62" w:name="_Hlk72401735"/>
      <w:r>
        <w:rPr>
          <w:rFonts w:hint="eastAsia" w:ascii="黑体" w:hAnsi="宋体" w:eastAsia="黑体"/>
          <w:sz w:val="24"/>
        </w:rPr>
        <w:t>证明投标文件投标技术方案的合格性和符合招标文件规定的文件要求</w:t>
      </w:r>
    </w:p>
    <w:p>
      <w:pPr>
        <w:ind w:firstLine="411" w:firstLineChars="196"/>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hint="eastAsia" w:ascii="宋体" w:hAnsi="宋体"/>
          <w:szCs w:val="21"/>
        </w:rPr>
      </w:pPr>
      <w:r>
        <w:rPr>
          <w:rFonts w:hint="eastAsia" w:ascii="宋体" w:hAnsi="宋体"/>
          <w:szCs w:val="21"/>
        </w:rPr>
        <w:t>18.2.1主要技术指标和性能的详细说明。</w:t>
      </w:r>
    </w:p>
    <w:p>
      <w:pPr>
        <w:ind w:firstLine="411" w:firstLineChars="196"/>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pPr>
        <w:ind w:firstLine="411" w:firstLineChars="196"/>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1" w:firstLineChars="196"/>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pPr>
        <w:ind w:firstLine="411" w:firstLineChars="196"/>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pPr>
        <w:ind w:firstLine="411" w:firstLineChars="196"/>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62"/>
    <w:p>
      <w:pPr>
        <w:rPr>
          <w:rFonts w:hint="eastAsia" w:ascii="黑体" w:hAnsi="宋体" w:eastAsia="黑体"/>
          <w:sz w:val="24"/>
        </w:rPr>
      </w:pPr>
      <w:r>
        <w:rPr>
          <w:rFonts w:hint="eastAsia" w:ascii="黑体" w:hAnsi="宋体" w:eastAsia="黑体"/>
          <w:sz w:val="24"/>
        </w:rPr>
        <w:t>19．</w:t>
      </w:r>
      <w:bookmarkStart w:id="63" w:name="_Hlk72402034"/>
      <w:r>
        <w:rPr>
          <w:rFonts w:hint="eastAsia" w:ascii="黑体" w:hAnsi="宋体" w:eastAsia="黑体"/>
          <w:sz w:val="24"/>
        </w:rPr>
        <w:t>投标文件其他证明文件的要求</w:t>
      </w:r>
    </w:p>
    <w:p>
      <w:pPr>
        <w:rPr>
          <w:rFonts w:hint="eastAsia" w:ascii="宋体" w:hAnsi="宋体"/>
          <w:color w:val="FF0000"/>
          <w:szCs w:val="21"/>
        </w:rPr>
      </w:pPr>
      <w:r>
        <w:rPr>
          <w:rFonts w:hint="eastAsia" w:ascii="黑体" w:hAnsi="宋体" w:eastAsia="黑体"/>
          <w:sz w:val="24"/>
        </w:rPr>
        <w:t xml:space="preserve">    </w:t>
      </w:r>
      <w:r>
        <w:rPr>
          <w:rFonts w:hint="eastAsia" w:ascii="宋体" w:hAnsi="宋体"/>
          <w:szCs w:val="21"/>
        </w:rPr>
        <w:t>19.1</w:t>
      </w:r>
      <w:bookmarkStart w:id="64" w:name="_Hlk71407299"/>
      <w:r>
        <w:rPr>
          <w:rFonts w:hint="eastAsia" w:ascii="宋体" w:hAnsi="宋体"/>
          <w:szCs w:val="21"/>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64"/>
    <w:p>
      <w:pPr>
        <w:ind w:firstLine="411" w:firstLineChars="196"/>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hint="eastAsia" w:ascii="黑体" w:hAnsi="宋体" w:eastAsia="黑体"/>
          <w:sz w:val="24"/>
        </w:rPr>
      </w:pPr>
      <w:r>
        <w:rPr>
          <w:rFonts w:hint="eastAsia" w:ascii="黑体" w:hAnsi="宋体" w:eastAsia="黑体"/>
          <w:sz w:val="24"/>
        </w:rPr>
        <w:t>20．投标有效期</w:t>
      </w:r>
    </w:p>
    <w:bookmarkEnd w:id="63"/>
    <w:p>
      <w:pPr>
        <w:ind w:firstLine="411" w:firstLineChars="196"/>
        <w:rPr>
          <w:rFonts w:hint="eastAsia" w:ascii="宋体" w:hAnsi="宋体"/>
          <w:szCs w:val="21"/>
        </w:rPr>
      </w:pPr>
      <w:bookmarkStart w:id="65"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pPr>
        <w:ind w:firstLine="411" w:firstLineChars="196"/>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1" w:firstLineChars="196"/>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65"/>
    <w:p>
      <w:pPr>
        <w:rPr>
          <w:rFonts w:hint="eastAsia" w:ascii="黑体" w:hAnsi="宋体" w:eastAsia="黑体"/>
          <w:sz w:val="24"/>
        </w:rPr>
      </w:pPr>
      <w:r>
        <w:rPr>
          <w:rFonts w:hint="eastAsia" w:ascii="黑体" w:hAnsi="宋体" w:eastAsia="黑体"/>
          <w:sz w:val="24"/>
        </w:rPr>
        <w:t>21．</w:t>
      </w:r>
      <w:bookmarkStart w:id="66" w:name="_Hlk72402325"/>
      <w:r>
        <w:rPr>
          <w:rFonts w:hint="eastAsia" w:ascii="黑体" w:hAnsi="宋体" w:eastAsia="黑体"/>
          <w:sz w:val="24"/>
        </w:rPr>
        <w:t xml:space="preserve">关于投标保证金 </w:t>
      </w:r>
    </w:p>
    <w:p>
      <w:pPr>
        <w:rPr>
          <w:rFonts w:hint="eastAsia" w:ascii="宋体" w:hAnsi="宋体"/>
          <w:szCs w:val="21"/>
        </w:rPr>
      </w:pPr>
      <w:r>
        <w:rPr>
          <w:rFonts w:hint="eastAsia" w:ascii="宋体" w:hAnsi="宋体"/>
          <w:szCs w:val="21"/>
        </w:rPr>
        <w:t xml:space="preserve">    21.1</w:t>
      </w:r>
      <w:r>
        <w:rPr>
          <w:rFonts w:hint="eastAsia"/>
        </w:rPr>
        <w:t>根据《深圳市财政局关于调整政府采购投标（响应）保证金管理政策的通知》（深财购〔2021〕51号）文的规定，本项目不收取投标保证金。</w:t>
      </w:r>
    </w:p>
    <w:p>
      <w:pPr>
        <w:rPr>
          <w:rFonts w:hint="eastAsia" w:ascii="黑体" w:hAnsi="宋体" w:eastAsia="黑体"/>
          <w:sz w:val="24"/>
        </w:rPr>
      </w:pPr>
      <w:r>
        <w:rPr>
          <w:rFonts w:hint="eastAsia" w:ascii="黑体" w:hAnsi="宋体" w:eastAsia="黑体"/>
          <w:sz w:val="24"/>
        </w:rPr>
        <w:t>22．投标人的替代方案</w:t>
      </w:r>
    </w:p>
    <w:p>
      <w:pPr>
        <w:ind w:firstLine="411" w:firstLineChars="196"/>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1" w:firstLineChars="196"/>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6"/>
    <w:p>
      <w:pPr>
        <w:rPr>
          <w:rFonts w:hint="eastAsia" w:ascii="黑体" w:hAnsi="宋体" w:eastAsia="黑体"/>
          <w:sz w:val="24"/>
        </w:rPr>
      </w:pPr>
      <w:r>
        <w:rPr>
          <w:rFonts w:hint="eastAsia" w:ascii="黑体" w:hAnsi="宋体" w:eastAsia="黑体"/>
          <w:sz w:val="24"/>
        </w:rPr>
        <w:t>23．</w:t>
      </w:r>
      <w:bookmarkStart w:id="67"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pPr>
        <w:ind w:firstLine="411" w:firstLineChars="196"/>
        <w:rPr>
          <w:rFonts w:hint="eastAsia" w:ascii="宋体" w:hAnsi="宋体"/>
        </w:rPr>
      </w:pPr>
      <w:r>
        <w:rPr>
          <w:rFonts w:hint="eastAsia" w:ascii="宋体" w:hAnsi="宋体"/>
        </w:rPr>
        <w:t>23.1投标人应准备所投项目的电子投标文件一份。</w:t>
      </w:r>
    </w:p>
    <w:p>
      <w:pPr>
        <w:ind w:firstLine="411" w:firstLineChars="196"/>
        <w:rPr>
          <w:rFonts w:hint="eastAsia" w:ascii="宋体" w:hAnsi="宋体"/>
        </w:rPr>
      </w:pPr>
      <w:r>
        <w:rPr>
          <w:rFonts w:hint="eastAsia" w:ascii="宋体" w:hAnsi="宋体"/>
        </w:rPr>
        <w:t>23.2投标人在使用《投标书编制软件》编制投标书时须注意：</w:t>
      </w:r>
    </w:p>
    <w:p>
      <w:pPr>
        <w:ind w:firstLine="411" w:firstLineChars="196"/>
        <w:rPr>
          <w:rFonts w:hint="eastAsia"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pPr>
        <w:ind w:firstLine="411" w:firstLineChars="196"/>
        <w:rPr>
          <w:rFonts w:hint="eastAsia" w:ascii="宋体" w:hAnsi="宋体"/>
        </w:rPr>
      </w:pPr>
      <w:r>
        <w:rPr>
          <w:rFonts w:hint="eastAsia" w:ascii="宋体" w:hAnsi="宋体"/>
        </w:rPr>
        <w:t>23.2.2不能用非本公司的电子密钥加密本公司的投标文件，或者用其它公司的登录用户上传本公司的投标文件。</w:t>
      </w:r>
    </w:p>
    <w:p>
      <w:pPr>
        <w:ind w:firstLine="411" w:firstLineChars="196"/>
        <w:rPr>
          <w:rFonts w:hint="eastAsia" w:ascii="宋体" w:hAnsi="宋体"/>
        </w:rPr>
      </w:pPr>
      <w:r>
        <w:rPr>
          <w:rFonts w:hint="eastAsia" w:ascii="宋体" w:hAnsi="宋体"/>
        </w:rPr>
        <w:t>23.2.3要求用《投标书编制软件》编制投标书的包，不能用其它方式编制投标书。编制投标文件时，电脑须连通互联网。</w:t>
      </w:r>
    </w:p>
    <w:p>
      <w:pPr>
        <w:ind w:firstLine="411" w:firstLineChars="196"/>
        <w:rPr>
          <w:rFonts w:hint="eastAsia"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pPr>
        <w:ind w:firstLine="411" w:firstLineChars="196"/>
        <w:rPr>
          <w:rFonts w:hint="eastAsia"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pPr>
        <w:ind w:firstLine="411" w:firstLineChars="196"/>
        <w:rPr>
          <w:rFonts w:hint="eastAsia" w:ascii="宋体" w:hAnsi="宋体"/>
        </w:rPr>
      </w:pPr>
      <w:r>
        <w:rPr>
          <w:rFonts w:hint="eastAsia" w:ascii="宋体" w:hAnsi="宋体"/>
        </w:rPr>
        <w:t>23.2.7投标文件编写完成后，</w:t>
      </w:r>
      <w:r>
        <w:rPr>
          <w:rFonts w:hint="eastAsia" w:ascii="宋体" w:hAnsi="宋体"/>
          <w:b/>
        </w:rPr>
        <w:t>必须用属于投标人的电子密钥或电子营业执照进行加密，否则视同未盖公章，将导致投标文件无效。</w:t>
      </w:r>
    </w:p>
    <w:p>
      <w:pPr>
        <w:ind w:firstLine="411" w:firstLineChars="196"/>
        <w:rPr>
          <w:rFonts w:hint="eastAsia"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11" w:firstLineChars="196"/>
        <w:rPr>
          <w:rFonts w:hint="eastAsia"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pPr>
        <w:ind w:firstLine="411" w:firstLineChars="196"/>
        <w:rPr>
          <w:rFonts w:hint="eastAsia" w:ascii="宋体" w:hAnsi="宋体"/>
        </w:rPr>
      </w:pPr>
      <w:r>
        <w:rPr>
          <w:rFonts w:hint="eastAsia" w:ascii="宋体" w:hAnsi="宋体"/>
        </w:rPr>
        <w:t>23.3电报、电话、传真形式的投标概不接受。</w:t>
      </w:r>
    </w:p>
    <w:p>
      <w:pPr>
        <w:ind w:firstLine="413" w:firstLineChars="196"/>
        <w:rPr>
          <w:rFonts w:hint="eastAsia"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pPr>
        <w:ind w:firstLine="413" w:firstLineChars="196"/>
        <w:rPr>
          <w:rFonts w:hint="eastAsia"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67"/>
    </w:p>
    <w:p>
      <w:pPr>
        <w:ind w:firstLine="411" w:firstLineChars="196"/>
        <w:rPr>
          <w:rFonts w:hint="eastAsia" w:ascii="宋体" w:hAnsi="宋体"/>
          <w:szCs w:val="21"/>
        </w:rPr>
      </w:pPr>
    </w:p>
    <w:p>
      <w:pPr>
        <w:pStyle w:val="5"/>
        <w:numPr>
          <w:ilvl w:val="0"/>
          <w:numId w:val="13"/>
        </w:numPr>
        <w:spacing w:before="156" w:beforeLines="50" w:after="156" w:afterLines="50"/>
        <w:ind w:left="562" w:hanging="562"/>
        <w:rPr>
          <w:sz w:val="28"/>
          <w:szCs w:val="28"/>
        </w:rPr>
      </w:pPr>
      <w:r>
        <w:rPr>
          <w:rFonts w:hint="eastAsia"/>
          <w:sz w:val="28"/>
          <w:szCs w:val="28"/>
        </w:rPr>
        <w:t>投标文件的递交</w:t>
      </w:r>
    </w:p>
    <w:p>
      <w:pPr>
        <w:rPr>
          <w:rFonts w:hint="eastAsia" w:ascii="黑体" w:hAnsi="宋体" w:eastAsia="黑体"/>
          <w:sz w:val="24"/>
        </w:rPr>
      </w:pPr>
      <w:bookmarkStart w:id="68" w:name="_Hlk72405459"/>
      <w:r>
        <w:rPr>
          <w:rFonts w:hint="eastAsia" w:ascii="黑体" w:hAnsi="宋体" w:eastAsia="黑体"/>
          <w:sz w:val="24"/>
        </w:rPr>
        <w:t>24．投标文件的保密</w:t>
      </w:r>
    </w:p>
    <w:p>
      <w:pPr>
        <w:ind w:firstLine="411" w:firstLineChars="196"/>
        <w:rPr>
          <w:rFonts w:hint="eastAsia" w:ascii="宋体" w:hAnsi="宋体"/>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highlight w:val="yellow"/>
        </w:rPr>
        <w:t>(注意：加密的投标文件开标时须使用加密文件时使用的锁在项目规定时间内解密！)</w:t>
      </w:r>
    </w:p>
    <w:p>
      <w:pPr>
        <w:rPr>
          <w:rFonts w:hint="eastAsia" w:ascii="宋体" w:hAnsi="宋体"/>
          <w:b/>
        </w:rPr>
      </w:pPr>
      <w:r>
        <w:rPr>
          <w:rFonts w:hint="eastAsia" w:ascii="宋体" w:hAnsi="宋体"/>
          <w:b/>
        </w:rPr>
        <w:t>24.2若采购项目出现延期情况：</w:t>
      </w:r>
    </w:p>
    <w:p>
      <w:pPr>
        <w:ind w:firstLine="422" w:firstLineChars="200"/>
        <w:rPr>
          <w:rFonts w:hint="eastAsia"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pPr>
        <w:rPr>
          <w:rFonts w:hint="eastAsia" w:ascii="黑体" w:hAnsi="宋体" w:eastAsia="黑体"/>
          <w:sz w:val="24"/>
        </w:rPr>
      </w:pPr>
      <w:r>
        <w:rPr>
          <w:rFonts w:hint="eastAsia" w:ascii="黑体" w:hAnsi="宋体" w:eastAsia="黑体"/>
          <w:sz w:val="24"/>
        </w:rPr>
        <w:t>25．上传投标文件及投标截止日期</w:t>
      </w:r>
    </w:p>
    <w:p>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龙华分公司）（地址：深圳市龙华区观湖街道大和社区大和路288号宝观城锦鲤大厦办公楼22楼）协助上传，但上传过程中投标截止时间到达仍无法上传成功的，由投标人自行负责</w:t>
      </w:r>
      <w:r>
        <w:rPr>
          <w:rFonts w:hint="eastAsia" w:ascii="宋体" w:hAnsi="宋体"/>
        </w:rPr>
        <w:t>。</w:t>
      </w:r>
    </w:p>
    <w:p>
      <w:pPr>
        <w:ind w:firstLine="411" w:firstLineChars="196"/>
        <w:rPr>
          <w:rFonts w:hint="eastAsia"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pPr>
        <w:ind w:firstLine="411" w:firstLineChars="196"/>
        <w:rPr>
          <w:rFonts w:hint="eastAsia" w:ascii="宋体" w:hAnsi="宋体"/>
        </w:rPr>
      </w:pPr>
    </w:p>
    <w:p>
      <w:pPr>
        <w:ind w:firstLine="411" w:firstLineChars="196"/>
        <w:rPr>
          <w:rFonts w:hint="eastAsia" w:ascii="宋体" w:hAnsi="宋体"/>
        </w:rPr>
      </w:pPr>
    </w:p>
    <w:bookmarkEnd w:id="68"/>
    <w:p>
      <w:pPr>
        <w:rPr>
          <w:rFonts w:hint="eastAsia" w:ascii="黑体" w:hAnsi="宋体" w:eastAsia="黑体"/>
          <w:sz w:val="24"/>
        </w:rPr>
      </w:pPr>
      <w:r>
        <w:rPr>
          <w:rFonts w:hint="eastAsia" w:ascii="黑体" w:hAnsi="宋体" w:eastAsia="黑体"/>
          <w:sz w:val="24"/>
        </w:rPr>
        <w:t>26. 样品、现场演示、方案讲解</w:t>
      </w:r>
    </w:p>
    <w:p>
      <w:pPr>
        <w:ind w:firstLine="411" w:firstLineChars="196"/>
        <w:rPr>
          <w:rFonts w:hint="eastAsia" w:ascii="宋体" w:hAnsi="宋体"/>
          <w:szCs w:val="21"/>
        </w:rPr>
      </w:pPr>
      <w:r>
        <w:rPr>
          <w:rFonts w:hint="eastAsia" w:ascii="宋体" w:hAnsi="宋体"/>
          <w:szCs w:val="21"/>
        </w:rPr>
        <w:t>26.1 样品、现场演示、方案讲解等事项在招标文件专用条款中进行规定。</w:t>
      </w:r>
    </w:p>
    <w:p>
      <w:pPr>
        <w:rPr>
          <w:rFonts w:hint="eastAsia" w:ascii="黑体" w:hAnsi="宋体" w:eastAsia="黑体"/>
          <w:sz w:val="24"/>
        </w:rPr>
      </w:pPr>
      <w:bookmarkStart w:id="69"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pPr>
        <w:ind w:firstLine="411" w:firstLineChars="196"/>
        <w:rPr>
          <w:rFonts w:hint="eastAsia" w:ascii="宋体" w:hAnsi="宋体"/>
          <w:szCs w:val="21"/>
        </w:rPr>
      </w:pPr>
      <w:r>
        <w:rPr>
          <w:rFonts w:hint="eastAsia" w:ascii="宋体" w:hAnsi="宋体"/>
          <w:szCs w:val="21"/>
        </w:rPr>
        <w:t>27.4政府集中采购机构不退还投标文件，专用条款另有规定的除外。</w:t>
      </w:r>
    </w:p>
    <w:bookmarkEnd w:id="69"/>
    <w:p>
      <w:pPr>
        <w:pStyle w:val="5"/>
        <w:numPr>
          <w:ilvl w:val="0"/>
          <w:numId w:val="13"/>
        </w:numPr>
        <w:spacing w:before="156" w:beforeLines="50" w:after="156" w:afterLines="50"/>
        <w:ind w:left="562" w:hanging="562"/>
        <w:rPr>
          <w:sz w:val="28"/>
          <w:szCs w:val="28"/>
        </w:rPr>
      </w:pPr>
      <w:r>
        <w:rPr>
          <w:rFonts w:hint="eastAsia"/>
          <w:sz w:val="28"/>
          <w:szCs w:val="28"/>
        </w:rPr>
        <w:t>开标</w:t>
      </w:r>
    </w:p>
    <w:p>
      <w:pPr>
        <w:rPr>
          <w:rFonts w:hint="eastAsia" w:ascii="黑体" w:hAnsi="宋体" w:eastAsia="黑体"/>
          <w:sz w:val="24"/>
        </w:rPr>
      </w:pPr>
      <w:r>
        <w:rPr>
          <w:rFonts w:hint="eastAsia" w:ascii="黑体" w:hAnsi="宋体" w:eastAsia="黑体"/>
          <w:sz w:val="24"/>
        </w:rPr>
        <w:t>28．开标</w:t>
      </w:r>
    </w:p>
    <w:p>
      <w:pPr>
        <w:ind w:firstLine="359" w:firstLineChars="171"/>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深圳政府采购自行采购系统（https://trade.szggzy.com/ggzy/center/#/login）</w:t>
      </w:r>
      <w:r>
        <w:rPr>
          <w:rFonts w:hint="eastAsia" w:ascii="宋体" w:hAnsi="宋体"/>
          <w:szCs w:val="21"/>
        </w:rPr>
        <w:t>”，使用本单位制作电子投标文件同一个电子密钥进行在线解密、查询开标情况。</w:t>
      </w:r>
    </w:p>
    <w:p>
      <w:pPr>
        <w:ind w:firstLine="315" w:firstLineChars="15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ind w:firstLine="315" w:firstLineChars="150"/>
        <w:rPr>
          <w:rFonts w:hint="eastAsia" w:ascii="宋体" w:hAnsi="宋体"/>
          <w:szCs w:val="21"/>
        </w:rPr>
      </w:pPr>
    </w:p>
    <w:p>
      <w:pPr>
        <w:pStyle w:val="5"/>
        <w:numPr>
          <w:ilvl w:val="0"/>
          <w:numId w:val="13"/>
        </w:numPr>
        <w:spacing w:before="156" w:beforeLines="50" w:after="156" w:afterLines="50"/>
        <w:ind w:left="562" w:hanging="562"/>
        <w:rPr>
          <w:sz w:val="28"/>
          <w:szCs w:val="28"/>
        </w:rPr>
      </w:pPr>
      <w:r>
        <w:rPr>
          <w:rFonts w:hint="eastAsia"/>
          <w:sz w:val="28"/>
          <w:szCs w:val="28"/>
        </w:rPr>
        <w:t>评审要求</w:t>
      </w:r>
    </w:p>
    <w:p>
      <w:pPr>
        <w:rPr>
          <w:rFonts w:hint="eastAsia" w:ascii="黑体" w:hAnsi="宋体" w:eastAsia="黑体"/>
          <w:sz w:val="24"/>
        </w:rPr>
      </w:pPr>
      <w:r>
        <w:rPr>
          <w:rFonts w:hint="eastAsia" w:ascii="黑体" w:hAnsi="宋体" w:eastAsia="黑体"/>
          <w:sz w:val="24"/>
        </w:rPr>
        <w:t>29．评审委员会组成</w:t>
      </w:r>
    </w:p>
    <w:p>
      <w:pPr>
        <w:ind w:firstLine="411" w:firstLineChars="196"/>
        <w:rPr>
          <w:rFonts w:hint="eastAsia"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pPr>
        <w:ind w:firstLine="411" w:firstLineChars="196"/>
        <w:rPr>
          <w:rFonts w:hint="eastAsia" w:ascii="宋体" w:hAnsi="宋体"/>
        </w:rPr>
      </w:pPr>
      <w:bookmarkStart w:id="70"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70"/>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pPr>
        <w:ind w:firstLine="411" w:firstLineChars="196"/>
        <w:rPr>
          <w:rFonts w:hint="eastAsia" w:ascii="宋体" w:hAnsi="宋体"/>
        </w:rPr>
      </w:pPr>
      <w:r>
        <w:rPr>
          <w:rFonts w:hint="eastAsia" w:ascii="宋体" w:hAnsi="宋体"/>
        </w:rPr>
        <w:t>29.2评审定标应当遵循公平、公正、科学、择优的原则。</w:t>
      </w:r>
    </w:p>
    <w:p>
      <w:pPr>
        <w:ind w:firstLine="411" w:firstLineChars="196"/>
        <w:rPr>
          <w:rFonts w:hint="eastAsia" w:ascii="宋体" w:hAnsi="宋体"/>
        </w:rPr>
      </w:pPr>
      <w:r>
        <w:rPr>
          <w:rFonts w:hint="eastAsia" w:ascii="宋体" w:hAnsi="宋体"/>
        </w:rPr>
        <w:t>29.3评审活动依法进行，任何单位和个人不得非法干预评标过程和结果。</w:t>
      </w:r>
    </w:p>
    <w:p>
      <w:pPr>
        <w:ind w:firstLine="411" w:firstLineChars="196"/>
        <w:rPr>
          <w:rFonts w:hint="eastAsia" w:ascii="宋体" w:hAnsi="宋体"/>
        </w:rPr>
      </w:pPr>
      <w:r>
        <w:rPr>
          <w:rFonts w:hint="eastAsia" w:ascii="宋体" w:hAnsi="宋体"/>
        </w:rPr>
        <w:t>29.4评审过程中不允许违背评标程序或采用招标文件未载明的评标方法或评标因素进行评标。</w:t>
      </w:r>
    </w:p>
    <w:p>
      <w:pPr>
        <w:ind w:firstLine="411" w:firstLineChars="196"/>
        <w:rPr>
          <w:rFonts w:hint="eastAsia"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pPr>
        <w:rPr>
          <w:rFonts w:hint="eastAsia" w:ascii="黑体" w:hAnsi="宋体" w:eastAsia="黑体"/>
          <w:sz w:val="24"/>
        </w:rPr>
      </w:pPr>
      <w:r>
        <w:rPr>
          <w:rFonts w:hint="eastAsia" w:ascii="黑体" w:hAnsi="宋体" w:eastAsia="黑体"/>
          <w:sz w:val="24"/>
        </w:rPr>
        <w:t>30．向评审委员会提供的资料</w:t>
      </w:r>
    </w:p>
    <w:p>
      <w:pPr>
        <w:ind w:firstLine="411" w:firstLineChars="196"/>
        <w:rPr>
          <w:rFonts w:hint="eastAsia" w:ascii="宋体" w:hAnsi="宋体"/>
        </w:rPr>
      </w:pPr>
      <w:r>
        <w:rPr>
          <w:rFonts w:hint="eastAsia" w:ascii="宋体" w:hAnsi="宋体"/>
        </w:rPr>
        <w:t>30.1公开发布的招标文件，包括图纸、服务清单、答疑文件等；</w:t>
      </w:r>
    </w:p>
    <w:p>
      <w:pPr>
        <w:ind w:firstLine="411" w:firstLineChars="196"/>
        <w:rPr>
          <w:rFonts w:hint="eastAsia" w:ascii="宋体" w:hAnsi="宋体"/>
        </w:rPr>
      </w:pPr>
      <w:r>
        <w:rPr>
          <w:rFonts w:hint="eastAsia" w:ascii="宋体" w:hAnsi="宋体"/>
        </w:rPr>
        <w:t>30.2其他评标必须的资料。</w:t>
      </w:r>
    </w:p>
    <w:p>
      <w:pPr>
        <w:ind w:firstLine="411" w:firstLineChars="196"/>
        <w:rPr>
          <w:rFonts w:hint="eastAsia"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pPr>
        <w:ind w:firstLine="411" w:firstLineChars="196"/>
        <w:rPr>
          <w:rFonts w:hint="eastAsia" w:ascii="宋体" w:hAnsi="宋体"/>
        </w:rPr>
      </w:pPr>
      <w:r>
        <w:rPr>
          <w:rFonts w:hint="eastAsia" w:ascii="宋体" w:hAnsi="宋体"/>
        </w:rPr>
        <w:t>（1）招标的目的；</w:t>
      </w:r>
    </w:p>
    <w:p>
      <w:pPr>
        <w:ind w:firstLine="411" w:firstLineChars="196"/>
        <w:rPr>
          <w:rFonts w:hint="eastAsia" w:ascii="宋体" w:hAnsi="宋体"/>
        </w:rPr>
      </w:pPr>
      <w:r>
        <w:rPr>
          <w:rFonts w:hint="eastAsia" w:ascii="宋体" w:hAnsi="宋体"/>
        </w:rPr>
        <w:t>（2）招标项目需求的范围和性质；</w:t>
      </w:r>
    </w:p>
    <w:p>
      <w:pPr>
        <w:ind w:firstLine="411" w:firstLineChars="196"/>
        <w:rPr>
          <w:rFonts w:hint="eastAsia" w:ascii="宋体" w:hAnsi="宋体"/>
        </w:rPr>
      </w:pPr>
      <w:r>
        <w:rPr>
          <w:rFonts w:hint="eastAsia" w:ascii="宋体" w:hAnsi="宋体"/>
        </w:rPr>
        <w:t>（3）招标文件规定的投标人的资格、财政预算限额、商务条款；</w:t>
      </w:r>
    </w:p>
    <w:p>
      <w:pPr>
        <w:ind w:firstLine="411" w:firstLineChars="196"/>
        <w:rPr>
          <w:rFonts w:hint="eastAsia" w:ascii="宋体" w:hAnsi="宋体"/>
        </w:rPr>
      </w:pPr>
      <w:r>
        <w:rPr>
          <w:rFonts w:hint="eastAsia" w:ascii="宋体" w:hAnsi="宋体"/>
        </w:rPr>
        <w:t>（4）招标文件规定的评标程序、评标方法和评标因素；</w:t>
      </w:r>
    </w:p>
    <w:p>
      <w:pPr>
        <w:ind w:firstLine="411" w:firstLineChars="196"/>
        <w:rPr>
          <w:rFonts w:hint="eastAsia" w:ascii="宋体" w:hAnsi="宋体"/>
        </w:rPr>
      </w:pPr>
      <w:r>
        <w:rPr>
          <w:rFonts w:hint="eastAsia" w:ascii="宋体" w:hAnsi="宋体"/>
        </w:rPr>
        <w:t>（5）招标文件所列示的资格性审查表及符合性审查表。</w:t>
      </w:r>
    </w:p>
    <w:p>
      <w:pPr>
        <w:rPr>
          <w:rFonts w:hint="eastAsia" w:ascii="黑体" w:hAnsi="宋体" w:eastAsia="黑体"/>
          <w:sz w:val="24"/>
        </w:rPr>
      </w:pPr>
      <w:r>
        <w:rPr>
          <w:rFonts w:hint="eastAsia" w:ascii="黑体" w:hAnsi="宋体" w:eastAsia="黑体"/>
          <w:sz w:val="24"/>
        </w:rPr>
        <w:t>31．独立评审</w:t>
      </w:r>
    </w:p>
    <w:p>
      <w:pPr>
        <w:ind w:firstLine="411" w:firstLineChars="196"/>
        <w:rPr>
          <w:rFonts w:hint="eastAsia"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pPr>
        <w:ind w:firstLine="411" w:firstLineChars="196"/>
        <w:rPr>
          <w:rFonts w:hint="eastAsia" w:ascii="宋体" w:hAnsi="宋体"/>
          <w:bCs/>
          <w:szCs w:val="21"/>
        </w:rPr>
      </w:pPr>
    </w:p>
    <w:p>
      <w:pPr>
        <w:pStyle w:val="5"/>
        <w:numPr>
          <w:ilvl w:val="0"/>
          <w:numId w:val="13"/>
        </w:numPr>
        <w:spacing w:before="156" w:beforeLines="50" w:after="156" w:afterLines="50"/>
        <w:ind w:left="562" w:hanging="562"/>
        <w:rPr>
          <w:sz w:val="28"/>
          <w:szCs w:val="28"/>
        </w:rPr>
      </w:pPr>
      <w:r>
        <w:rPr>
          <w:rFonts w:hint="eastAsia"/>
          <w:sz w:val="28"/>
          <w:szCs w:val="28"/>
        </w:rPr>
        <w:t>评审程序及评审方法</w:t>
      </w:r>
    </w:p>
    <w:p>
      <w:pPr>
        <w:rPr>
          <w:rFonts w:hint="eastAsia" w:ascii="黑体" w:hAnsi="宋体" w:eastAsia="黑体"/>
          <w:sz w:val="24"/>
        </w:rPr>
      </w:pPr>
      <w:r>
        <w:rPr>
          <w:rFonts w:hint="eastAsia" w:ascii="黑体" w:hAnsi="宋体" w:eastAsia="黑体"/>
          <w:sz w:val="24"/>
        </w:rPr>
        <w:t>32．投标文件初审</w:t>
      </w:r>
    </w:p>
    <w:p>
      <w:pPr>
        <w:ind w:firstLine="411" w:firstLineChars="196"/>
        <w:rPr>
          <w:rFonts w:hint="eastAsia" w:ascii="宋体" w:hAnsi="宋体"/>
        </w:rPr>
      </w:pPr>
      <w:r>
        <w:rPr>
          <w:rFonts w:hint="eastAsia" w:ascii="宋体" w:hAnsi="宋体"/>
        </w:rPr>
        <w:t>32.1投标文件初审包括资格性审查和符合性审查。</w:t>
      </w:r>
    </w:p>
    <w:p>
      <w:pPr>
        <w:ind w:firstLine="411" w:firstLineChars="196"/>
        <w:rPr>
          <w:rFonts w:hint="eastAsia" w:ascii="宋体" w:hAnsi="宋体"/>
        </w:rPr>
      </w:pPr>
      <w:r>
        <w:rPr>
          <w:rFonts w:hint="eastAsia" w:ascii="宋体" w:hAnsi="宋体"/>
        </w:rPr>
        <w:t>资格性审查：依据法律法规和招标文件的规定，对投标文件中的资格证明等进行审查，以确定投标供应商是否具备投标资格。</w:t>
      </w:r>
    </w:p>
    <w:p>
      <w:pPr>
        <w:ind w:firstLine="411" w:firstLineChars="196"/>
        <w:rPr>
          <w:rFonts w:hint="eastAsia"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pPr>
        <w:ind w:firstLine="411" w:firstLineChars="196"/>
        <w:rPr>
          <w:rFonts w:hint="eastAsia" w:ascii="宋体" w:hAnsi="宋体"/>
        </w:rPr>
      </w:pPr>
      <w:r>
        <w:rPr>
          <w:rFonts w:hint="eastAsia" w:ascii="宋体" w:hAnsi="宋体"/>
        </w:rPr>
        <w:t>32.2 投标文件初审内容请详见《资格性审查表》和《符合性审查表》部分。投标人若有一条审查不通过则按投标无效处理。</w:t>
      </w:r>
    </w:p>
    <w:p>
      <w:pPr>
        <w:ind w:firstLine="411" w:firstLineChars="196"/>
        <w:rPr>
          <w:rFonts w:hint="eastAsia" w:ascii="宋体" w:hAnsi="宋体"/>
          <w:bCs/>
        </w:rPr>
      </w:pPr>
      <w:r>
        <w:rPr>
          <w:rFonts w:hint="eastAsia" w:ascii="宋体" w:hAnsi="宋体"/>
          <w:bCs/>
        </w:rPr>
        <w:t>32.3 投标文件初审中关于供应商家数的计算:</w:t>
      </w:r>
    </w:p>
    <w:p>
      <w:pPr>
        <w:ind w:firstLine="411" w:firstLineChars="196"/>
        <w:rPr>
          <w:rFonts w:hint="eastAsia" w:ascii="宋体" w:hAnsi="宋体"/>
          <w:bCs/>
        </w:rPr>
      </w:pPr>
      <w:r>
        <w:rPr>
          <w:rFonts w:hint="eastAsia" w:ascii="宋体" w:hAnsi="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1" w:firstLineChars="196"/>
        <w:rPr>
          <w:rFonts w:hint="eastAsia"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pPr>
        <w:ind w:firstLine="411" w:firstLineChars="196"/>
        <w:rPr>
          <w:rFonts w:hint="eastAsia"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hint="eastAsia" w:ascii="宋体" w:hAnsi="宋体"/>
        </w:rPr>
      </w:pPr>
      <w:r>
        <w:rPr>
          <w:rFonts w:hint="eastAsia" w:ascii="宋体" w:hAnsi="宋体"/>
        </w:rPr>
        <w:t>32.4投标人投标文件作无效处理的情形，具体包括但不限于以下：</w:t>
      </w:r>
    </w:p>
    <w:p>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pPr>
        <w:ind w:firstLine="411" w:firstLineChars="196"/>
        <w:rPr>
          <w:rFonts w:hint="eastAsia" w:ascii="宋体" w:hAnsi="宋体"/>
        </w:rPr>
      </w:pPr>
      <w:r>
        <w:rPr>
          <w:rFonts w:hint="eastAsia" w:ascii="宋体" w:hAnsi="宋体"/>
        </w:rPr>
        <w:t>32.4.3不同投标人的投标文件载明的项目管理成员或者联系人员为同一人；</w:t>
      </w:r>
    </w:p>
    <w:p>
      <w:pPr>
        <w:ind w:firstLine="411" w:firstLineChars="196"/>
        <w:rPr>
          <w:rFonts w:hint="eastAsia" w:ascii="宋体" w:hAnsi="宋体"/>
        </w:rPr>
      </w:pPr>
      <w:r>
        <w:rPr>
          <w:rFonts w:hint="eastAsia" w:ascii="宋体" w:hAnsi="宋体"/>
        </w:rPr>
        <w:t>32.4.4不同投标人的投标文件异常一致或者投标报价呈规律性差异；</w:t>
      </w:r>
    </w:p>
    <w:p>
      <w:pPr>
        <w:ind w:firstLine="411" w:firstLineChars="196"/>
        <w:rPr>
          <w:rFonts w:hint="eastAsia"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pPr>
        <w:ind w:firstLine="411" w:firstLineChars="196"/>
        <w:rPr>
          <w:rFonts w:hint="eastAsia" w:ascii="宋体" w:hAnsi="宋体"/>
        </w:rPr>
      </w:pPr>
      <w:r>
        <w:rPr>
          <w:rFonts w:hint="eastAsia" w:ascii="宋体" w:hAnsi="宋体"/>
        </w:rPr>
        <w:t>32.4.6投标供应商之间相互约定给予未中标的供应商利益补偿；</w:t>
      </w:r>
    </w:p>
    <w:p>
      <w:pPr>
        <w:ind w:firstLine="411" w:firstLineChars="196"/>
        <w:rPr>
          <w:rFonts w:hint="eastAsia"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pPr>
        <w:ind w:firstLine="411" w:firstLineChars="196"/>
        <w:rPr>
          <w:rFonts w:hint="eastAsia" w:ascii="宋体" w:hAnsi="宋体"/>
        </w:rPr>
      </w:pPr>
      <w:r>
        <w:rPr>
          <w:rFonts w:hint="eastAsia" w:ascii="宋体" w:hAnsi="宋体"/>
        </w:rPr>
        <w:t>32.4.8不同投标供应商的投标文件内容存在非正常一致；</w:t>
      </w:r>
    </w:p>
    <w:p>
      <w:pPr>
        <w:ind w:firstLine="411" w:firstLineChars="196"/>
        <w:rPr>
          <w:rFonts w:hint="eastAsia" w:ascii="宋体" w:hAnsi="宋体"/>
        </w:rPr>
      </w:pPr>
      <w:r>
        <w:rPr>
          <w:rFonts w:hint="eastAsia" w:ascii="宋体" w:hAnsi="宋体"/>
        </w:rPr>
        <w:t>32.4.9在同一单位工作人员为两家以上（含两家）供应商进行同一项投标活动；</w:t>
      </w:r>
    </w:p>
    <w:p>
      <w:pPr>
        <w:ind w:firstLine="411" w:firstLineChars="196"/>
        <w:rPr>
          <w:rFonts w:hint="eastAsia" w:ascii="宋体" w:hAnsi="宋体"/>
        </w:rPr>
      </w:pPr>
      <w:r>
        <w:rPr>
          <w:rFonts w:hint="eastAsia" w:ascii="宋体" w:hAnsi="宋体"/>
        </w:rPr>
        <w:t>32.4.10主管部门依照法律、法规认定的其他情形。</w:t>
      </w:r>
    </w:p>
    <w:p>
      <w:pPr>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pPr>
        <w:rPr>
          <w:rFonts w:hint="eastAsia" w:ascii="黑体" w:hAnsi="宋体" w:eastAsia="黑体"/>
          <w:sz w:val="24"/>
        </w:rPr>
      </w:pPr>
      <w:r>
        <w:rPr>
          <w:rFonts w:hint="eastAsia" w:ascii="黑体" w:hAnsi="宋体" w:eastAsia="黑体"/>
          <w:sz w:val="24"/>
        </w:rPr>
        <w:t>33．澄清有关问题</w:t>
      </w:r>
    </w:p>
    <w:p>
      <w:pPr>
        <w:ind w:firstLine="411" w:firstLineChars="196"/>
        <w:rPr>
          <w:rFonts w:hint="eastAsia" w:ascii="宋体" w:hAnsi="宋体"/>
        </w:rPr>
      </w:pPr>
      <w:bookmarkStart w:id="71"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71"/>
    </w:p>
    <w:p>
      <w:pPr>
        <w:ind w:firstLine="411" w:firstLineChars="196"/>
        <w:rPr>
          <w:rFonts w:hint="eastAsia"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pPr>
        <w:ind w:firstLine="411" w:firstLineChars="196"/>
        <w:rPr>
          <w:rFonts w:hint="eastAsia"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pPr>
        <w:ind w:firstLine="411" w:firstLineChars="196"/>
        <w:rPr>
          <w:rFonts w:hint="eastAsia"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1" w:firstLineChars="196"/>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pPr>
        <w:rPr>
          <w:rFonts w:hint="eastAsia" w:ascii="黑体" w:hAnsi="宋体" w:eastAsia="黑体"/>
          <w:sz w:val="24"/>
        </w:rPr>
      </w:pPr>
      <w:bookmarkStart w:id="72" w:name="_Toc73521581"/>
      <w:bookmarkStart w:id="73" w:name="_Toc100052400"/>
      <w:bookmarkStart w:id="74" w:name="_Toc73521669"/>
      <w:bookmarkStart w:id="75" w:name="_Toc73518151"/>
      <w:bookmarkStart w:id="76" w:name="_Toc73517673"/>
      <w:r>
        <w:rPr>
          <w:rFonts w:hint="eastAsia" w:ascii="黑体" w:hAnsi="宋体" w:eastAsia="黑体"/>
          <w:sz w:val="24"/>
        </w:rPr>
        <w:t>34．错误的修正</w:t>
      </w:r>
      <w:bookmarkEnd w:id="72"/>
      <w:bookmarkEnd w:id="73"/>
      <w:bookmarkEnd w:id="74"/>
      <w:bookmarkEnd w:id="75"/>
      <w:bookmarkEnd w:id="76"/>
    </w:p>
    <w:p>
      <w:pPr>
        <w:ind w:firstLine="411" w:firstLineChars="196"/>
        <w:rPr>
          <w:rFonts w:hint="eastAsia" w:ascii="宋体" w:hAnsi="宋体"/>
          <w:szCs w:val="21"/>
        </w:rPr>
      </w:pPr>
      <w:r>
        <w:rPr>
          <w:rFonts w:hint="eastAsia" w:ascii="宋体" w:hAnsi="宋体"/>
          <w:szCs w:val="21"/>
        </w:rPr>
        <w:t>投标文件报价出现前后不一致的，除专用条款另有规定外，按照下列规定修正：</w:t>
      </w:r>
    </w:p>
    <w:p>
      <w:pPr>
        <w:ind w:firstLine="411" w:firstLineChars="196"/>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pPr>
        <w:ind w:firstLine="411" w:firstLineChars="196"/>
        <w:rPr>
          <w:rFonts w:hint="eastAsia" w:ascii="宋体" w:hAnsi="宋体"/>
          <w:szCs w:val="21"/>
        </w:rPr>
      </w:pPr>
      <w:r>
        <w:rPr>
          <w:rFonts w:hint="eastAsia" w:ascii="宋体" w:hAnsi="宋体"/>
          <w:szCs w:val="21"/>
        </w:rPr>
        <w:t>34.2大写金额和小写金额不一致的，以大写金额为准；</w:t>
      </w:r>
    </w:p>
    <w:p>
      <w:pPr>
        <w:ind w:firstLine="411" w:firstLineChars="196"/>
        <w:rPr>
          <w:rFonts w:hint="eastAsia" w:ascii="宋体" w:hAnsi="宋体"/>
          <w:szCs w:val="21"/>
        </w:rPr>
      </w:pPr>
      <w:r>
        <w:rPr>
          <w:rFonts w:hint="eastAsia" w:ascii="宋体" w:hAnsi="宋体"/>
          <w:szCs w:val="21"/>
        </w:rPr>
        <w:t>34.3单价金额小数点或者百分比有明显错位，以开标一览表的总价为准，并修改单价；</w:t>
      </w:r>
    </w:p>
    <w:p>
      <w:pPr>
        <w:ind w:firstLine="411" w:firstLineChars="196"/>
        <w:rPr>
          <w:rFonts w:hint="eastAsia" w:ascii="宋体" w:hAnsi="宋体"/>
          <w:szCs w:val="21"/>
        </w:rPr>
      </w:pPr>
      <w:r>
        <w:rPr>
          <w:rFonts w:hint="eastAsia" w:ascii="宋体" w:hAnsi="宋体"/>
          <w:szCs w:val="21"/>
        </w:rPr>
        <w:t>34.4总价金额与按单价汇总金额不一致的，以单价金额计算结果为准。</w:t>
      </w:r>
    </w:p>
    <w:p>
      <w:pPr>
        <w:ind w:firstLine="411" w:firstLineChars="196"/>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pPr>
        <w:rPr>
          <w:rFonts w:hint="eastAsia" w:ascii="黑体" w:hAnsi="宋体" w:eastAsia="黑体"/>
          <w:sz w:val="24"/>
        </w:rPr>
      </w:pPr>
      <w:r>
        <w:rPr>
          <w:rFonts w:hint="eastAsia" w:ascii="黑体" w:hAnsi="宋体" w:eastAsia="黑体"/>
          <w:sz w:val="24"/>
        </w:rPr>
        <w:t>35．投标文件的比较与评价</w:t>
      </w:r>
    </w:p>
    <w:p>
      <w:pPr>
        <w:ind w:firstLine="411" w:firstLineChars="196"/>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1" w:firstLineChars="196"/>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pPr>
        <w:rPr>
          <w:rFonts w:hint="eastAsia" w:ascii="黑体" w:hAnsi="宋体" w:eastAsia="黑体"/>
          <w:sz w:val="24"/>
        </w:rPr>
      </w:pPr>
      <w:r>
        <w:rPr>
          <w:rFonts w:hint="eastAsia" w:ascii="黑体" w:hAnsi="宋体" w:eastAsia="黑体"/>
          <w:sz w:val="24"/>
        </w:rPr>
        <w:t>36. 实地考察或资料查验</w:t>
      </w:r>
    </w:p>
    <w:p>
      <w:pPr>
        <w:ind w:firstLine="411" w:firstLineChars="196"/>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pPr>
        <w:rPr>
          <w:rFonts w:hint="eastAsia" w:ascii="黑体" w:hAnsi="宋体" w:eastAsia="黑体"/>
          <w:sz w:val="24"/>
        </w:rPr>
      </w:pPr>
      <w:r>
        <w:rPr>
          <w:rFonts w:hint="eastAsia" w:ascii="黑体" w:hAnsi="宋体" w:eastAsia="黑体"/>
          <w:sz w:val="24"/>
        </w:rPr>
        <w:t>37．评审方法</w:t>
      </w:r>
    </w:p>
    <w:p>
      <w:pPr>
        <w:ind w:firstLine="413" w:firstLineChars="196"/>
        <w:rPr>
          <w:rFonts w:hint="eastAsia" w:ascii="宋体" w:hAnsi="宋体"/>
          <w:b/>
          <w:bCs/>
          <w:szCs w:val="21"/>
        </w:rPr>
      </w:pPr>
      <w:bookmarkStart w:id="77" w:name="_Hlk72438142"/>
      <w:r>
        <w:rPr>
          <w:rFonts w:hint="eastAsia" w:ascii="宋体" w:hAnsi="宋体"/>
          <w:b/>
          <w:bCs/>
          <w:szCs w:val="21"/>
        </w:rPr>
        <w:t>37.1.1最低价法</w:t>
      </w:r>
    </w:p>
    <w:p>
      <w:pPr>
        <w:ind w:firstLine="411" w:firstLineChars="196"/>
        <w:rPr>
          <w:rFonts w:hint="eastAsia" w:ascii="ˎ̥" w:hAnsi="ˎ̥"/>
        </w:rPr>
      </w:pPr>
      <w:r>
        <w:rPr>
          <w:rFonts w:ascii="ˎ̥" w:hAnsi="ˎ̥"/>
        </w:rPr>
        <w:t>最低价法，</w:t>
      </w:r>
      <w:r>
        <w:rPr>
          <w:rFonts w:hint="eastAsia" w:ascii="ˎ̥" w:hAnsi="ˎ̥"/>
        </w:rPr>
        <w:t>是指投标文件满足招标文件全部实质性要求，且投标报价最低的投标人为中标候选人的评标方法。</w:t>
      </w:r>
    </w:p>
    <w:p>
      <w:pPr>
        <w:ind w:firstLine="411" w:firstLineChars="196"/>
        <w:rPr>
          <w:rFonts w:hint="eastAsia" w:ascii="ˎ̥" w:hAnsi="ˎ̥" w:eastAsia="宋体"/>
        </w:rPr>
      </w:pPr>
      <w:r>
        <w:rPr>
          <w:rFonts w:hint="eastAsia" w:ascii="ˎ̥" w:hAnsi="ˎ̥"/>
        </w:rPr>
        <w:t>采用最低价法的，评标结果按投标报价由低到高顺序排列。投标报价相同的并列。投标文件满足招标文件全部实质性要求且投标报价最低的投标人为排名第一的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pPr>
        <w:ind w:firstLine="413" w:firstLineChars="196"/>
        <w:rPr>
          <w:rFonts w:hint="eastAsia" w:ascii="宋体" w:hAnsi="宋体"/>
          <w:b/>
          <w:bCs/>
          <w:szCs w:val="21"/>
        </w:rPr>
      </w:pPr>
      <w:r>
        <w:rPr>
          <w:rFonts w:hint="eastAsia" w:ascii="宋体" w:hAnsi="宋体"/>
          <w:b/>
          <w:bCs/>
          <w:szCs w:val="21"/>
        </w:rPr>
        <w:t>37.1.2综合评分法</w:t>
      </w:r>
    </w:p>
    <w:p>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p>
    <w:p>
      <w:pPr>
        <w:ind w:firstLine="411" w:firstLineChars="196"/>
        <w:rPr>
          <w:rFonts w:hint="eastAsia" w:ascii="ˎ̥" w:hAnsi="ˎ̥"/>
        </w:rPr>
      </w:pPr>
      <w:r>
        <w:rPr>
          <w:rFonts w:hint="eastAsia" w:ascii="ˎ̥" w:hAnsi="ˎ̥"/>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bookmarkEnd w:id="77"/>
    </w:p>
    <w:p>
      <w:pPr>
        <w:ind w:firstLine="413" w:firstLineChars="196"/>
        <w:rPr>
          <w:rFonts w:hint="eastAsia" w:ascii="宋体" w:hAnsi="宋体"/>
          <w:b/>
          <w:bCs/>
          <w:szCs w:val="21"/>
        </w:rPr>
      </w:pPr>
      <w:r>
        <w:rPr>
          <w:rFonts w:hint="eastAsia" w:ascii="宋体" w:hAnsi="宋体"/>
          <w:b/>
          <w:bCs/>
          <w:szCs w:val="21"/>
        </w:rPr>
        <w:t>37.2 本项目采用的评审方法见本项目招标文件第一册“专用条款”的相关内容。</w:t>
      </w:r>
    </w:p>
    <w:p>
      <w:pPr>
        <w:ind w:firstLine="413" w:firstLineChars="196"/>
        <w:rPr>
          <w:rFonts w:hint="eastAsia" w:ascii="宋体" w:hAnsi="宋体"/>
          <w:b/>
          <w:bCs/>
          <w:szCs w:val="21"/>
        </w:rPr>
      </w:pPr>
      <w:r>
        <w:rPr>
          <w:rFonts w:hint="eastAsia" w:ascii="宋体" w:hAnsi="宋体"/>
          <w:b/>
          <w:bCs/>
          <w:szCs w:val="21"/>
        </w:rPr>
        <w:t>37.3重新评审的情形</w:t>
      </w:r>
    </w:p>
    <w:p>
      <w:pPr>
        <w:ind w:firstLine="411" w:firstLineChars="196"/>
        <w:rPr>
          <w:rFonts w:hint="eastAsia" w:ascii="宋体" w:hAnsi="宋体"/>
          <w:b/>
          <w:bCs/>
          <w:szCs w:val="21"/>
        </w:rPr>
      </w:pPr>
      <w:r>
        <w:rPr>
          <w:rFonts w:hint="eastAsia" w:ascii="宋体" w:hAnsi="宋体" w:cs="宋体"/>
          <w:kern w:val="0"/>
          <w:szCs w:val="21"/>
        </w:rPr>
        <w:t>评审结果汇总完成后，除下列情形外，任何人不得修改评审结果：</w:t>
      </w:r>
    </w:p>
    <w:p>
      <w:pPr>
        <w:ind w:firstLine="411" w:firstLineChars="196"/>
        <w:rPr>
          <w:rFonts w:hint="eastAsia" w:ascii="宋体" w:hAnsi="宋体" w:cs="宋体"/>
          <w:kern w:val="0"/>
          <w:szCs w:val="21"/>
        </w:rPr>
      </w:pPr>
      <w:r>
        <w:rPr>
          <w:rFonts w:hint="eastAsia" w:ascii="宋体" w:hAnsi="宋体" w:cs="宋体"/>
          <w:kern w:val="0"/>
          <w:szCs w:val="21"/>
        </w:rPr>
        <w:t>37.3.1分值汇总计算错误的；</w:t>
      </w:r>
    </w:p>
    <w:p>
      <w:pPr>
        <w:ind w:firstLine="411" w:firstLineChars="196"/>
        <w:rPr>
          <w:rFonts w:hint="eastAsia" w:ascii="宋体" w:hAnsi="宋体" w:cs="宋体"/>
          <w:kern w:val="0"/>
          <w:szCs w:val="21"/>
        </w:rPr>
      </w:pPr>
      <w:r>
        <w:rPr>
          <w:rFonts w:hint="eastAsia" w:ascii="宋体" w:hAnsi="宋体" w:cs="宋体"/>
          <w:kern w:val="0"/>
          <w:szCs w:val="21"/>
        </w:rPr>
        <w:t>37.3.2分项评分超出评分标准范围的；</w:t>
      </w:r>
    </w:p>
    <w:p>
      <w:pPr>
        <w:ind w:firstLine="411" w:firstLineChars="196"/>
        <w:rPr>
          <w:rFonts w:hint="eastAsia" w:ascii="宋体" w:hAnsi="宋体" w:cs="宋体"/>
          <w:kern w:val="0"/>
          <w:szCs w:val="21"/>
        </w:rPr>
      </w:pPr>
      <w:r>
        <w:rPr>
          <w:rFonts w:hint="eastAsia" w:ascii="宋体" w:hAnsi="宋体" w:cs="宋体"/>
          <w:kern w:val="0"/>
          <w:szCs w:val="21"/>
        </w:rPr>
        <w:t>37.3.3评审委员会成员对客观评审因素评分不一致的；</w:t>
      </w:r>
    </w:p>
    <w:p>
      <w:pPr>
        <w:ind w:firstLine="411" w:firstLineChars="196"/>
        <w:rPr>
          <w:rFonts w:hint="eastAsia" w:ascii="宋体" w:hAnsi="宋体" w:cs="宋体"/>
          <w:kern w:val="0"/>
          <w:szCs w:val="21"/>
        </w:rPr>
      </w:pPr>
      <w:r>
        <w:rPr>
          <w:rFonts w:hint="eastAsia" w:ascii="宋体" w:hAnsi="宋体" w:cs="宋体"/>
          <w:kern w:val="0"/>
          <w:szCs w:val="21"/>
        </w:rPr>
        <w:t>37.3.4经评审委员会认定评分畸高、畸低的。</w:t>
      </w:r>
    </w:p>
    <w:p>
      <w:pPr>
        <w:ind w:firstLine="411" w:firstLineChars="196"/>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11" w:firstLineChars="196"/>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pPr>
        <w:ind w:firstLine="413" w:firstLineChars="196"/>
        <w:rPr>
          <w:rFonts w:hint="eastAsia" w:ascii="宋体" w:hAnsi="宋体"/>
          <w:b/>
          <w:bCs/>
          <w:szCs w:val="21"/>
        </w:rPr>
      </w:pPr>
      <w:r>
        <w:rPr>
          <w:rFonts w:hint="eastAsia" w:ascii="宋体" w:hAnsi="宋体"/>
          <w:b/>
          <w:bCs/>
          <w:szCs w:val="21"/>
        </w:rPr>
        <w:t xml:space="preserve"> 37.4重新组建评审委员会的情形</w:t>
      </w:r>
    </w:p>
    <w:p>
      <w:pPr>
        <w:ind w:firstLine="411" w:firstLineChars="196"/>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pPr>
        <w:ind w:firstLine="411" w:firstLineChars="196"/>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pPr>
        <w:ind w:firstLine="411" w:firstLineChars="196"/>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pPr>
        <w:ind w:firstLine="411" w:firstLineChars="196"/>
        <w:rPr>
          <w:rFonts w:hint="eastAsia" w:ascii="宋体" w:hAnsi="宋体" w:cs="宋体"/>
          <w:kern w:val="0"/>
          <w:szCs w:val="21"/>
        </w:rPr>
      </w:pPr>
      <w:r>
        <w:rPr>
          <w:rFonts w:hint="eastAsia" w:ascii="宋体" w:hAnsi="宋体" w:cs="宋体"/>
          <w:kern w:val="0"/>
          <w:szCs w:val="21"/>
        </w:rPr>
        <w:t>37.4.3评审委员会及其成员独立评标受到非法干预的；</w:t>
      </w:r>
    </w:p>
    <w:p>
      <w:pPr>
        <w:ind w:firstLine="411" w:firstLineChars="196"/>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pPr>
        <w:ind w:firstLine="411" w:firstLineChars="196"/>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pPr>
        <w:ind w:firstLine="411" w:firstLineChars="196"/>
        <w:rPr>
          <w:rFonts w:hint="eastAsia" w:ascii="宋体" w:hAnsi="宋体"/>
          <w:szCs w:val="21"/>
        </w:rPr>
      </w:pPr>
    </w:p>
    <w:p>
      <w:pPr>
        <w:pStyle w:val="5"/>
        <w:numPr>
          <w:ilvl w:val="0"/>
          <w:numId w:val="13"/>
        </w:numPr>
        <w:spacing w:before="156" w:beforeLines="50" w:after="156" w:afterLines="50"/>
        <w:ind w:left="562" w:hanging="562"/>
        <w:rPr>
          <w:sz w:val="28"/>
          <w:szCs w:val="28"/>
        </w:rPr>
      </w:pPr>
      <w:r>
        <w:rPr>
          <w:rFonts w:hint="eastAsia"/>
          <w:sz w:val="28"/>
          <w:szCs w:val="28"/>
        </w:rPr>
        <w:t>定标及公示</w:t>
      </w:r>
    </w:p>
    <w:p>
      <w:pPr>
        <w:rPr>
          <w:rFonts w:hint="eastAsia" w:ascii="黑体" w:hAnsi="宋体" w:eastAsia="黑体"/>
          <w:sz w:val="24"/>
        </w:rPr>
      </w:pPr>
      <w:r>
        <w:rPr>
          <w:rFonts w:hint="eastAsia" w:ascii="黑体" w:hAnsi="宋体" w:eastAsia="黑体"/>
          <w:sz w:val="24"/>
        </w:rPr>
        <w:t>38．定标方法</w:t>
      </w:r>
    </w:p>
    <w:p>
      <w:pPr>
        <w:ind w:firstLine="411" w:firstLineChars="196"/>
        <w:rPr>
          <w:rFonts w:hint="eastAsia" w:ascii="宋体" w:hAnsi="宋体"/>
          <w:szCs w:val="21"/>
        </w:rPr>
      </w:pPr>
      <w:bookmarkStart w:id="78" w:name="_Hlk73782795"/>
      <w:r>
        <w:rPr>
          <w:rFonts w:hint="eastAsia" w:ascii="宋体" w:hAnsi="宋体"/>
          <w:szCs w:val="21"/>
        </w:rPr>
        <w:t>38.1非评定分离项目定标方法</w:t>
      </w:r>
    </w:p>
    <w:p>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11" w:firstLineChars="196"/>
        <w:rPr>
          <w:rFonts w:hint="eastAsia" w:ascii="ˎ̥" w:hAnsi="ˎ̥"/>
        </w:rPr>
      </w:pPr>
      <w:r>
        <w:rPr>
          <w:rFonts w:hint="eastAsia" w:ascii="ˎ̥" w:hAnsi="ˎ̥"/>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pPr>
        <w:ind w:firstLine="411" w:firstLineChars="196"/>
        <w:rPr>
          <w:rFonts w:hint="eastAsia" w:ascii="ˎ̥" w:hAnsi="ˎ̥"/>
        </w:rPr>
      </w:pPr>
      <w:r>
        <w:rPr>
          <w:rFonts w:hint="eastAsia" w:ascii="ˎ̥" w:hAnsi="ˎ̥"/>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pPr>
        <w:ind w:firstLine="411" w:firstLineChars="196"/>
        <w:rPr>
          <w:rFonts w:hint="eastAsia" w:ascii="宋体" w:hAnsi="宋体"/>
          <w:szCs w:val="21"/>
        </w:rPr>
      </w:pPr>
      <w:r>
        <w:rPr>
          <w:rFonts w:hint="eastAsia" w:ascii="宋体" w:hAnsi="宋体"/>
          <w:szCs w:val="21"/>
        </w:rPr>
        <w:t>38.2评定分离项目定标方法</w:t>
      </w:r>
    </w:p>
    <w:p>
      <w:pPr>
        <w:ind w:firstLine="411" w:firstLineChars="196"/>
        <w:rPr>
          <w:rFonts w:hint="eastAsia"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1" w:firstLineChars="196"/>
      </w:pPr>
      <w:r>
        <w:rPr>
          <w:rFonts w:ascii="宋体" w:hAnsi="宋体"/>
          <w:szCs w:val="21"/>
        </w:rPr>
        <w:t xml:space="preserve">38.2.2 </w:t>
      </w:r>
      <w:bookmarkStart w:id="79"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pPr>
        <w:ind w:firstLine="411" w:firstLineChars="196"/>
        <w:rPr>
          <w:rFonts w:hint="eastAsia" w:ascii="宋体" w:hAnsi="宋体"/>
          <w:szCs w:val="21"/>
        </w:rPr>
      </w:pPr>
      <w:r>
        <w:rPr>
          <w:rFonts w:hint="eastAsia" w:ascii="宋体" w:hAnsi="宋体"/>
          <w:szCs w:val="21"/>
        </w:rPr>
        <w:t>38.2.3</w:t>
      </w:r>
      <w:bookmarkStart w:id="80"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79"/>
      <w:bookmarkEnd w:id="80"/>
    </w:p>
    <w:p>
      <w:pPr>
        <w:ind w:firstLine="411" w:firstLineChars="196"/>
        <w:rPr>
          <w:rFonts w:hint="eastAsia"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w:t>
      </w:r>
      <w:r>
        <w:t>深圳市财政局关于印发</w:t>
      </w:r>
      <w:r>
        <w:rPr>
          <w:rFonts w:hint="eastAsia" w:ascii="宋体" w:hAnsi="宋体"/>
        </w:rPr>
        <w:t>〈</w:t>
      </w:r>
      <w:r>
        <w:t>深圳市政府采购评标定标分离管理办法</w:t>
      </w:r>
      <w:r>
        <w:rPr>
          <w:rFonts w:hint="eastAsia" w:ascii="宋体" w:hAnsi="宋体"/>
        </w:rPr>
        <w:t>〉</w:t>
      </w:r>
      <w:r>
        <w:t>的通知</w:t>
      </w:r>
      <w:r>
        <w:rPr>
          <w:rFonts w:hint="eastAsia"/>
        </w:rPr>
        <w:t>》（深财规【2</w:t>
      </w:r>
      <w:r>
        <w:t>020</w:t>
      </w:r>
      <w:r>
        <w:rPr>
          <w:rFonts w:hint="eastAsia"/>
        </w:rPr>
        <w:t>】1号）执行。</w:t>
      </w:r>
    </w:p>
    <w:p>
      <w:pPr>
        <w:ind w:firstLine="411" w:firstLineChars="196"/>
        <w:rPr>
          <w:rFonts w:hint="eastAsia" w:ascii="宋体" w:hAnsi="宋体"/>
          <w:szCs w:val="21"/>
        </w:rPr>
      </w:pPr>
      <w:r>
        <w:rPr>
          <w:rFonts w:hint="eastAsia" w:ascii="宋体" w:hAnsi="宋体"/>
          <w:szCs w:val="21"/>
        </w:rPr>
        <w:t>说明：采购人及投标供应商应按照上述方法提前做好相关准备。</w:t>
      </w:r>
    </w:p>
    <w:p>
      <w:pPr>
        <w:ind w:firstLine="411" w:firstLineChars="196"/>
        <w:rPr>
          <w:rFonts w:hint="eastAsia" w:ascii="宋体" w:hAnsi="宋体"/>
          <w:szCs w:val="21"/>
        </w:rPr>
      </w:pPr>
      <w:r>
        <w:rPr>
          <w:rFonts w:hint="eastAsia" w:ascii="宋体" w:hAnsi="宋体"/>
          <w:szCs w:val="21"/>
        </w:rPr>
        <w:t>38.3专用条款另有规定的，按专用条款相关要求定标。</w:t>
      </w:r>
      <w:bookmarkEnd w:id="78"/>
    </w:p>
    <w:p>
      <w:pPr>
        <w:rPr>
          <w:rFonts w:hint="eastAsia" w:ascii="黑体" w:hAnsi="宋体" w:eastAsia="黑体"/>
          <w:sz w:val="24"/>
        </w:rPr>
      </w:pPr>
      <w:r>
        <w:rPr>
          <w:rFonts w:hint="eastAsia" w:ascii="黑体" w:hAnsi="宋体" w:eastAsia="黑体"/>
          <w:sz w:val="24"/>
        </w:rPr>
        <w:t>39．编写评审报告</w:t>
      </w:r>
    </w:p>
    <w:p>
      <w:pPr>
        <w:ind w:firstLine="411" w:firstLineChars="196"/>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hint="eastAsia" w:ascii="黑体" w:hAnsi="宋体" w:eastAsia="黑体"/>
          <w:sz w:val="24"/>
        </w:rPr>
      </w:pPr>
      <w:r>
        <w:rPr>
          <w:rFonts w:hint="eastAsia" w:ascii="黑体" w:hAnsi="宋体" w:eastAsia="黑体"/>
          <w:sz w:val="24"/>
        </w:rPr>
        <w:t>40．中标公告</w:t>
      </w:r>
    </w:p>
    <w:p>
      <w:pPr>
        <w:ind w:firstLine="411" w:firstLineChars="196"/>
        <w:rPr>
          <w:rFonts w:hint="eastAsia" w:ascii="宋体" w:hAnsi="宋体"/>
          <w:szCs w:val="21"/>
        </w:rPr>
      </w:pPr>
      <w:r>
        <w:rPr>
          <w:rFonts w:hint="eastAsia" w:ascii="宋体" w:hAnsi="宋体"/>
          <w:szCs w:val="21"/>
        </w:rPr>
        <w:t>40.1</w:t>
      </w:r>
      <w:bookmarkStart w:id="81"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rPr>
        <w:t>深圳政府采购自行采购系统</w:t>
      </w:r>
      <w:r>
        <w:rPr>
          <w:rFonts w:hint="eastAsia" w:ascii="宋体" w:hAnsi="宋体"/>
          <w:b/>
          <w:bCs/>
          <w:szCs w:val="21"/>
        </w:rPr>
        <w:t>（https://zxcg.szggzy.com/home/index.html）</w:t>
      </w:r>
      <w:r>
        <w:rPr>
          <w:rFonts w:hint="eastAsia" w:ascii="宋体" w:hAnsi="宋体"/>
          <w:szCs w:val="21"/>
        </w:rPr>
        <w:t>上发布中标结果公告。</w:t>
      </w:r>
      <w:bookmarkEnd w:id="81"/>
      <w:bookmarkStart w:id="82"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监督电话：0755-83948143。</w:t>
      </w:r>
      <w:r>
        <w:rPr>
          <w:rFonts w:hint="eastAsia" w:ascii="宋体" w:hAnsi="宋体"/>
          <w:szCs w:val="21"/>
        </w:rPr>
        <w:t>若在公示期内未提出质疑，则视为认同该评审结果。</w:t>
      </w:r>
    </w:p>
    <w:bookmarkEnd w:id="82"/>
    <w:p>
      <w:pPr>
        <w:ind w:firstLine="411" w:firstLineChars="196"/>
        <w:rPr>
          <w:rFonts w:hint="eastAsia" w:ascii="宋体" w:hAnsi="宋体"/>
          <w:szCs w:val="21"/>
        </w:rPr>
      </w:pPr>
      <w:r>
        <w:rPr>
          <w:rFonts w:hint="eastAsia" w:ascii="宋体" w:hAnsi="宋体"/>
          <w:szCs w:val="21"/>
        </w:rPr>
        <w:t>40.2质疑、投诉供应商应保证质疑、投诉内容的真实性和可靠性，并承担相应的法律责任。</w:t>
      </w:r>
    </w:p>
    <w:p>
      <w:pPr>
        <w:rPr>
          <w:rFonts w:hint="eastAsia" w:ascii="黑体" w:hAnsi="宋体" w:eastAsia="黑体"/>
          <w:sz w:val="24"/>
        </w:rPr>
      </w:pPr>
      <w:r>
        <w:rPr>
          <w:rFonts w:hint="eastAsia" w:ascii="黑体" w:hAnsi="宋体" w:eastAsia="黑体"/>
          <w:sz w:val="24"/>
        </w:rPr>
        <w:t>41．中标通知书</w:t>
      </w:r>
    </w:p>
    <w:p>
      <w:pPr>
        <w:ind w:firstLine="411" w:firstLineChars="196"/>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83" w:name="_Hlk72438863"/>
      <w:r>
        <w:rPr>
          <w:rFonts w:hint="eastAsia" w:ascii="宋体" w:hAnsi="宋体"/>
          <w:szCs w:val="21"/>
        </w:rPr>
        <w:t>中标公告公布以后无异常的情况下,中标供应商和采购人可自行登录</w:t>
      </w:r>
      <w:r>
        <w:rPr>
          <w:rFonts w:hint="eastAsia" w:ascii="宋体" w:hAnsi="宋体"/>
          <w:b/>
          <w:bCs/>
          <w:szCs w:val="21"/>
        </w:rPr>
        <w:t>“</w:t>
      </w:r>
      <w:r>
        <w:rPr>
          <w:rFonts w:hint="eastAsia" w:ascii="宋体" w:hAnsi="宋体"/>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83"/>
    </w:p>
    <w:p>
      <w:pPr>
        <w:ind w:firstLine="411" w:firstLineChars="196"/>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pPr>
        <w:ind w:firstLine="411" w:firstLineChars="196"/>
        <w:rPr>
          <w:rFonts w:hint="eastAsia" w:ascii="宋体" w:hAnsi="宋体"/>
          <w:szCs w:val="21"/>
        </w:rPr>
      </w:pPr>
      <w:bookmarkStart w:id="84" w:name="_Hlk71407340"/>
      <w:r>
        <w:rPr>
          <w:rFonts w:hint="eastAsia" w:ascii="宋体" w:hAnsi="宋体"/>
          <w:szCs w:val="21"/>
        </w:rPr>
        <w:t>41.3因质疑投诉或其它原因导致项目结果变更或采购终止的，政府集中采购机构有权吊销中标通知书。</w:t>
      </w:r>
    </w:p>
    <w:bookmarkEnd w:id="84"/>
    <w:p>
      <w:pPr>
        <w:ind w:firstLine="411" w:firstLineChars="196"/>
        <w:rPr>
          <w:rFonts w:hint="eastAsia" w:ascii="宋体" w:hAnsi="宋体"/>
          <w:szCs w:val="21"/>
        </w:rPr>
      </w:pPr>
    </w:p>
    <w:p>
      <w:pPr>
        <w:pStyle w:val="5"/>
        <w:numPr>
          <w:ilvl w:val="0"/>
          <w:numId w:val="13"/>
        </w:numPr>
        <w:spacing w:before="156" w:beforeLines="50" w:after="156" w:afterLines="50"/>
        <w:ind w:left="562" w:hanging="562"/>
        <w:rPr>
          <w:sz w:val="28"/>
          <w:szCs w:val="28"/>
        </w:rPr>
      </w:pPr>
      <w:r>
        <w:rPr>
          <w:rFonts w:hint="eastAsia"/>
          <w:sz w:val="28"/>
          <w:szCs w:val="28"/>
        </w:rPr>
        <w:t>公开招标失败的后续处理</w:t>
      </w:r>
    </w:p>
    <w:p>
      <w:pPr>
        <w:rPr>
          <w:rFonts w:hint="eastAsia" w:ascii="黑体" w:hAnsi="宋体" w:eastAsia="黑体"/>
          <w:sz w:val="24"/>
        </w:rPr>
      </w:pPr>
      <w:r>
        <w:rPr>
          <w:rFonts w:hint="eastAsia" w:ascii="黑体" w:hAnsi="宋体" w:eastAsia="黑体"/>
          <w:sz w:val="24"/>
        </w:rPr>
        <w:t>42．公开招标失败的处理</w:t>
      </w:r>
    </w:p>
    <w:p>
      <w:pPr>
        <w:ind w:firstLine="411" w:firstLineChars="196"/>
        <w:rPr>
          <w:rFonts w:hint="eastAsia"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pPr>
        <w:ind w:firstLine="411" w:firstLineChars="196"/>
        <w:rPr>
          <w:rFonts w:hint="eastAsia"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hint="eastAsia" w:ascii="宋体" w:hAnsi="宋体"/>
          <w:szCs w:val="21"/>
        </w:rPr>
      </w:pPr>
      <w:r>
        <w:rPr>
          <w:rFonts w:hint="eastAsia" w:ascii="宋体" w:hAnsi="宋体"/>
          <w:szCs w:val="21"/>
        </w:rPr>
        <w:t>42.3重新组织采购有以下两种组织形式：</w:t>
      </w:r>
    </w:p>
    <w:p>
      <w:pPr>
        <w:ind w:firstLine="411" w:firstLineChars="196"/>
        <w:rPr>
          <w:rFonts w:hint="eastAsia" w:ascii="宋体" w:hAnsi="宋体"/>
        </w:rPr>
      </w:pPr>
      <w:r>
        <w:rPr>
          <w:rFonts w:hint="eastAsia" w:ascii="宋体" w:hAnsi="宋体"/>
        </w:rPr>
        <w:t>（1）由政府集中采购机构重新组织公开招标；</w:t>
      </w:r>
    </w:p>
    <w:p>
      <w:pPr>
        <w:ind w:firstLine="411" w:firstLineChars="196"/>
        <w:rPr>
          <w:rFonts w:hint="eastAsia"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pPr>
        <w:ind w:firstLine="411" w:firstLineChars="196"/>
        <w:rPr>
          <w:rFonts w:hint="eastAsia" w:ascii="宋体" w:hAnsi="宋体"/>
        </w:rPr>
      </w:pPr>
      <w:r>
        <w:rPr>
          <w:rFonts w:hint="eastAsia" w:ascii="宋体" w:hAnsi="宋体"/>
        </w:rPr>
        <w:t>42.4公开招标失败的采购项目重新组织公开招标，由政府集中采购机构重新按公开招标流程组织采购活动。</w:t>
      </w:r>
    </w:p>
    <w:p>
      <w:pPr>
        <w:rPr>
          <w:rFonts w:hint="eastAsia"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pPr>
        <w:rPr>
          <w:rFonts w:hint="eastAsia" w:ascii="黑体" w:hAnsi="宋体" w:eastAsia="黑体"/>
          <w:sz w:val="24"/>
        </w:rPr>
      </w:pPr>
    </w:p>
    <w:p>
      <w:pPr>
        <w:pStyle w:val="5"/>
        <w:numPr>
          <w:ilvl w:val="0"/>
          <w:numId w:val="13"/>
        </w:numPr>
        <w:spacing w:before="156" w:beforeLines="50" w:after="156" w:afterLines="50"/>
        <w:ind w:left="562" w:hanging="562"/>
        <w:rPr>
          <w:sz w:val="28"/>
          <w:szCs w:val="28"/>
        </w:rPr>
      </w:pPr>
      <w:bookmarkStart w:id="85" w:name="_Hlk72439043"/>
      <w:r>
        <w:rPr>
          <w:rFonts w:hint="eastAsia"/>
          <w:sz w:val="28"/>
          <w:szCs w:val="28"/>
        </w:rPr>
        <w:t>合同的授予与备案</w:t>
      </w:r>
      <w:bookmarkEnd w:id="85"/>
    </w:p>
    <w:p>
      <w:pPr>
        <w:rPr>
          <w:rFonts w:hint="eastAsia" w:ascii="黑体" w:hAnsi="宋体" w:eastAsia="黑体"/>
          <w:sz w:val="24"/>
        </w:rPr>
      </w:pPr>
      <w:bookmarkStart w:id="86" w:name="_Toc73521674"/>
      <w:bookmarkStart w:id="87" w:name="_Toc73518157"/>
      <w:bookmarkStart w:id="88" w:name="_Toc100052408"/>
      <w:bookmarkStart w:id="89" w:name="_Toc73521586"/>
      <w:bookmarkStart w:id="90" w:name="_Toc73517679"/>
      <w:bookmarkStart w:id="91" w:name="_Hlk72439088"/>
      <w:r>
        <w:rPr>
          <w:rFonts w:hint="eastAsia" w:ascii="黑体" w:hAnsi="宋体" w:eastAsia="黑体"/>
          <w:sz w:val="24"/>
        </w:rPr>
        <w:t>43．合同授予标准</w:t>
      </w:r>
      <w:bookmarkEnd w:id="86"/>
      <w:bookmarkEnd w:id="87"/>
      <w:bookmarkEnd w:id="88"/>
      <w:bookmarkEnd w:id="89"/>
      <w:bookmarkEnd w:id="90"/>
    </w:p>
    <w:p>
      <w:pPr>
        <w:ind w:firstLine="411" w:firstLineChars="196"/>
        <w:rPr>
          <w:rFonts w:hint="eastAsia" w:ascii="宋体" w:hAnsi="宋体"/>
          <w:szCs w:val="21"/>
        </w:rPr>
      </w:pPr>
      <w:r>
        <w:rPr>
          <w:rFonts w:hint="eastAsia" w:ascii="宋体" w:hAnsi="宋体"/>
          <w:szCs w:val="21"/>
        </w:rPr>
        <w:t>本项目的合同将授予经本招标文件规定评审确定的中标供应商。</w:t>
      </w:r>
    </w:p>
    <w:p>
      <w:pPr>
        <w:rPr>
          <w:rFonts w:hint="eastAsia" w:ascii="黑体" w:hAnsi="宋体" w:eastAsia="黑体"/>
          <w:sz w:val="24"/>
        </w:rPr>
      </w:pPr>
      <w:bookmarkStart w:id="92" w:name="_Toc73521587"/>
      <w:bookmarkStart w:id="93" w:name="_Toc73517680"/>
      <w:bookmarkStart w:id="94" w:name="_Toc73521675"/>
      <w:bookmarkStart w:id="95" w:name="_Toc73518158"/>
      <w:bookmarkStart w:id="96" w:name="_Toc100052409"/>
      <w:r>
        <w:rPr>
          <w:rFonts w:hint="eastAsia" w:ascii="黑体" w:hAnsi="宋体" w:eastAsia="黑体"/>
          <w:sz w:val="24"/>
        </w:rPr>
        <w:t>44．</w:t>
      </w:r>
      <w:bookmarkEnd w:id="92"/>
      <w:bookmarkEnd w:id="93"/>
      <w:bookmarkEnd w:id="94"/>
      <w:bookmarkEnd w:id="95"/>
      <w:bookmarkEnd w:id="96"/>
      <w:r>
        <w:rPr>
          <w:rFonts w:hint="eastAsia" w:ascii="黑体" w:hAnsi="宋体" w:eastAsia="黑体"/>
          <w:sz w:val="24"/>
        </w:rPr>
        <w:t>接受和拒绝任何或所有投标的权力</w:t>
      </w:r>
    </w:p>
    <w:p>
      <w:pPr>
        <w:ind w:firstLine="411" w:firstLineChars="196"/>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hint="eastAsia" w:ascii="黑体" w:hAnsi="宋体" w:eastAsia="黑体"/>
          <w:sz w:val="24"/>
        </w:rPr>
      </w:pPr>
      <w:bookmarkStart w:id="97" w:name="_Toc73517682"/>
      <w:bookmarkStart w:id="98" w:name="_Toc73521677"/>
      <w:bookmarkStart w:id="99" w:name="_Toc73521589"/>
      <w:bookmarkStart w:id="100" w:name="_Toc73518160"/>
      <w:bookmarkStart w:id="101" w:name="_Toc100052410"/>
      <w:r>
        <w:rPr>
          <w:rFonts w:hint="eastAsia" w:ascii="黑体" w:hAnsi="宋体" w:eastAsia="黑体"/>
          <w:sz w:val="24"/>
        </w:rPr>
        <w:t>45．合同的签订</w:t>
      </w:r>
      <w:bookmarkEnd w:id="97"/>
      <w:bookmarkEnd w:id="98"/>
      <w:bookmarkEnd w:id="99"/>
      <w:bookmarkEnd w:id="100"/>
      <w:bookmarkEnd w:id="101"/>
    </w:p>
    <w:p>
      <w:pPr>
        <w:ind w:firstLine="411" w:firstLineChars="196"/>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pPr>
        <w:ind w:firstLine="411" w:firstLineChars="196"/>
        <w:rPr>
          <w:rFonts w:hint="eastAsia"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pPr>
        <w:ind w:firstLine="411" w:firstLineChars="196"/>
        <w:rPr>
          <w:rFonts w:hint="eastAsia" w:ascii="宋体" w:hAnsi="宋体"/>
          <w:szCs w:val="21"/>
        </w:rPr>
      </w:pPr>
      <w:r>
        <w:rPr>
          <w:rFonts w:hint="eastAsia" w:ascii="宋体" w:hAnsi="宋体"/>
          <w:szCs w:val="21"/>
        </w:rPr>
        <w:t>45.3中标人应当按照合同约定履行义务，完成中标项目，不得将中标项目转让（转包）给他人。</w:t>
      </w:r>
    </w:p>
    <w:p>
      <w:pPr>
        <w:rPr>
          <w:rFonts w:hint="eastAsia" w:ascii="黑体" w:hAnsi="宋体" w:eastAsia="黑体"/>
          <w:sz w:val="24"/>
        </w:rPr>
      </w:pPr>
      <w:bookmarkStart w:id="102" w:name="_Toc100052411"/>
      <w:bookmarkStart w:id="103" w:name="_Toc73521590"/>
      <w:bookmarkStart w:id="104" w:name="_Toc73518161"/>
      <w:bookmarkStart w:id="105" w:name="_Toc73521678"/>
      <w:bookmarkStart w:id="106" w:name="_Toc73517683"/>
      <w:r>
        <w:rPr>
          <w:rFonts w:hint="eastAsia" w:ascii="黑体" w:hAnsi="宋体" w:eastAsia="黑体"/>
          <w:sz w:val="24"/>
        </w:rPr>
        <w:t>46．履约担保</w:t>
      </w:r>
      <w:bookmarkEnd w:id="102"/>
      <w:bookmarkEnd w:id="103"/>
      <w:bookmarkEnd w:id="104"/>
      <w:bookmarkEnd w:id="105"/>
      <w:bookmarkEnd w:id="106"/>
    </w:p>
    <w:p>
      <w:pPr>
        <w:ind w:firstLine="411" w:firstLineChars="196"/>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pPr>
        <w:ind w:firstLine="411" w:firstLineChars="196"/>
        <w:rPr>
          <w:rFonts w:hint="eastAsia"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pPr>
        <w:rPr>
          <w:rFonts w:hint="eastAsia" w:ascii="黑体" w:hAnsi="宋体" w:eastAsia="黑体"/>
          <w:sz w:val="24"/>
        </w:rPr>
      </w:pPr>
      <w:r>
        <w:rPr>
          <w:rFonts w:hint="eastAsia" w:ascii="黑体" w:hAnsi="宋体" w:eastAsia="黑体"/>
          <w:sz w:val="24"/>
        </w:rPr>
        <w:t>47. 合同备案</w:t>
      </w:r>
    </w:p>
    <w:p>
      <w:pPr>
        <w:rPr>
          <w:rFonts w:hint="eastAsia" w:ascii="黑体" w:hAnsi="宋体" w:eastAsia="黑体"/>
          <w:sz w:val="24"/>
        </w:rPr>
      </w:pPr>
      <w:r>
        <w:rPr>
          <w:rFonts w:hint="eastAsia" w:ascii="宋体" w:hAnsi="宋体" w:eastAsia="宋体" w:cs="Times New Roman"/>
          <w:szCs w:val="21"/>
          <w:lang w:eastAsia="zh-Hans"/>
        </w:rPr>
        <w:t>采购人与中标供应商自中标通知书发出之日起10个工作日内签订政府采购合同，</w:t>
      </w:r>
      <w:r>
        <w:rPr>
          <w:rFonts w:hint="eastAsia" w:ascii="宋体" w:hAnsi="宋体" w:eastAsia="宋体" w:cs="Times New Roman"/>
          <w:szCs w:val="21"/>
        </w:rPr>
        <w:t>并按财政部门规定提交备案。</w:t>
      </w:r>
      <w:r>
        <w:rPr>
          <w:rFonts w:hint="eastAsia" w:ascii="黑体" w:hAnsi="宋体" w:eastAsia="黑体"/>
          <w:sz w:val="24"/>
        </w:rPr>
        <w:t>48. 合同变更</w:t>
      </w:r>
    </w:p>
    <w:p>
      <w:pPr>
        <w:ind w:firstLine="411" w:firstLineChars="196"/>
        <w:rPr>
          <w:rFonts w:hint="eastAsia" w:ascii="宋体" w:hAnsi="宋体"/>
          <w:szCs w:val="21"/>
        </w:rPr>
      </w:pPr>
      <w:r>
        <w:rPr>
          <w:rFonts w:hint="eastAsia" w:ascii="宋体" w:hAnsi="宋体"/>
          <w:szCs w:val="21"/>
        </w:rPr>
        <w:t>合同变更事宜按《深圳市财政局关于优化政府采购合同备案的通知》（深财发保〔2022〕2号）相关规定执行。</w:t>
      </w:r>
    </w:p>
    <w:p>
      <w:pPr>
        <w:rPr>
          <w:rFonts w:hint="eastAsia" w:ascii="黑体" w:hAnsi="宋体" w:eastAsia="黑体"/>
          <w:sz w:val="24"/>
        </w:rPr>
      </w:pPr>
      <w:r>
        <w:rPr>
          <w:rFonts w:hint="eastAsia" w:ascii="黑体" w:hAnsi="宋体" w:eastAsia="黑体"/>
          <w:sz w:val="24"/>
        </w:rPr>
        <w:t>49. 项目验收</w:t>
      </w:r>
    </w:p>
    <w:p>
      <w:pPr>
        <w:widowControl/>
        <w:ind w:right="176" w:firstLine="420"/>
        <w:jc w:val="left"/>
        <w:rPr>
          <w:rFonts w:hint="eastAsia" w:ascii="宋体" w:hAnsi="宋体"/>
        </w:rPr>
      </w:pPr>
      <w:r>
        <w:rPr>
          <w:rFonts w:hint="eastAsia" w:ascii="宋体" w:hAnsi="宋体"/>
        </w:rPr>
        <w:t>49.1采购人应当按照招标文件和合同规定的标准和方法，及时组织验收。</w:t>
      </w:r>
      <w:r>
        <w:rPr>
          <w:rFonts w:ascii="宋体" w:hAnsi="宋体"/>
        </w:rPr>
        <w:t xml:space="preserve"> </w:t>
      </w:r>
    </w:p>
    <w:p>
      <w:pPr>
        <w:rPr>
          <w:rFonts w:hint="eastAsia" w:ascii="黑体" w:hAnsi="宋体" w:eastAsia="黑体"/>
          <w:sz w:val="24"/>
        </w:rPr>
      </w:pPr>
      <w:r>
        <w:rPr>
          <w:rFonts w:hint="eastAsia" w:ascii="黑体" w:hAnsi="宋体" w:eastAsia="黑体"/>
          <w:sz w:val="24"/>
        </w:rPr>
        <w:t>50. 宣传</w:t>
      </w:r>
    </w:p>
    <w:p>
      <w:pPr>
        <w:ind w:left="210" w:leftChars="100" w:firstLine="411" w:firstLineChars="196"/>
        <w:rPr>
          <w:rFonts w:hint="eastAsia"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pPr>
        <w:ind w:left="210" w:leftChars="100" w:firstLine="411" w:firstLineChars="196"/>
        <w:rPr>
          <w:rFonts w:hint="eastAsia" w:ascii="宋体" w:hAnsi="宋体"/>
        </w:rPr>
      </w:pPr>
      <w:r>
        <w:rPr>
          <w:rFonts w:ascii="宋体" w:hAnsi="宋体"/>
        </w:rPr>
        <w:t>a.名片、宣传册、广告标语等；</w:t>
      </w:r>
    </w:p>
    <w:p>
      <w:pPr>
        <w:ind w:left="210" w:leftChars="100" w:firstLine="411" w:firstLineChars="196"/>
        <w:rPr>
          <w:rFonts w:hint="eastAsia" w:ascii="宋体" w:hAnsi="宋体"/>
        </w:rPr>
      </w:pPr>
      <w:r>
        <w:rPr>
          <w:rFonts w:ascii="宋体" w:hAnsi="宋体"/>
        </w:rPr>
        <w:t>b.案例介绍、推广等；</w:t>
      </w:r>
    </w:p>
    <w:p>
      <w:pPr>
        <w:ind w:left="210" w:leftChars="100" w:firstLine="411" w:firstLineChars="196"/>
        <w:rPr>
          <w:rFonts w:hint="eastAsia" w:ascii="宋体" w:hAnsi="宋体"/>
        </w:rPr>
      </w:pPr>
      <w:r>
        <w:rPr>
          <w:rFonts w:hint="eastAsia" w:ascii="宋体" w:hAnsi="宋体"/>
        </w:rPr>
        <w:t>c.工作</w:t>
      </w:r>
      <w:r>
        <w:rPr>
          <w:rFonts w:ascii="宋体" w:hAnsi="宋体"/>
        </w:rPr>
        <w:t>人员向其他消费群体宣传。</w:t>
      </w:r>
    </w:p>
    <w:p>
      <w:pPr>
        <w:rPr>
          <w:rFonts w:hint="eastAsia" w:ascii="黑体" w:hAnsi="宋体" w:eastAsia="黑体"/>
          <w:sz w:val="24"/>
        </w:rPr>
      </w:pPr>
      <w:r>
        <w:rPr>
          <w:rFonts w:hint="eastAsia" w:ascii="黑体" w:hAnsi="宋体" w:eastAsia="黑体"/>
          <w:sz w:val="24"/>
        </w:rPr>
        <w:t>51. 供应商违法责任</w:t>
      </w:r>
    </w:p>
    <w:p>
      <w:pPr>
        <w:ind w:firstLine="411" w:firstLineChars="196"/>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hint="eastAsia" w:ascii="宋体" w:hAnsi="宋体"/>
          <w:szCs w:val="21"/>
        </w:rPr>
      </w:pPr>
      <w:r>
        <w:rPr>
          <w:rFonts w:hint="eastAsia" w:ascii="宋体" w:hAnsi="宋体"/>
          <w:szCs w:val="21"/>
        </w:rPr>
        <w:t>（1）在采购活动中应当回避而未回避的；</w:t>
      </w:r>
    </w:p>
    <w:p>
      <w:pPr>
        <w:ind w:firstLine="411" w:firstLineChars="196"/>
        <w:rPr>
          <w:rFonts w:hint="eastAsia" w:ascii="宋体" w:hAnsi="宋体"/>
          <w:szCs w:val="21"/>
        </w:rPr>
      </w:pPr>
      <w:r>
        <w:rPr>
          <w:rFonts w:hint="eastAsia" w:ascii="宋体" w:hAnsi="宋体"/>
          <w:szCs w:val="21"/>
        </w:rPr>
        <w:t>（2）未按本条例规定签订、履行采购合同，造成严重后果的；</w:t>
      </w:r>
    </w:p>
    <w:p>
      <w:pPr>
        <w:ind w:firstLine="411" w:firstLineChars="196"/>
        <w:rPr>
          <w:rFonts w:hint="eastAsia" w:ascii="宋体" w:hAnsi="宋体"/>
          <w:szCs w:val="21"/>
        </w:rPr>
      </w:pPr>
      <w:r>
        <w:rPr>
          <w:rFonts w:hint="eastAsia" w:ascii="宋体" w:hAnsi="宋体"/>
          <w:szCs w:val="21"/>
        </w:rPr>
        <w:t>（3）隐瞒真实情况，提供虚假资料的；</w:t>
      </w:r>
    </w:p>
    <w:p>
      <w:pPr>
        <w:ind w:firstLine="411" w:firstLineChars="196"/>
        <w:rPr>
          <w:rFonts w:hint="eastAsia" w:ascii="宋体" w:hAnsi="宋体"/>
          <w:szCs w:val="21"/>
        </w:rPr>
      </w:pPr>
      <w:r>
        <w:rPr>
          <w:rFonts w:hint="eastAsia" w:ascii="宋体" w:hAnsi="宋体"/>
          <w:szCs w:val="21"/>
        </w:rPr>
        <w:t>（4）以非法手段排斥其他供应商参与竞争的；</w:t>
      </w:r>
    </w:p>
    <w:p>
      <w:pPr>
        <w:ind w:firstLine="411" w:firstLineChars="196"/>
        <w:rPr>
          <w:rFonts w:hint="eastAsia" w:ascii="宋体" w:hAnsi="宋体"/>
          <w:szCs w:val="21"/>
        </w:rPr>
      </w:pPr>
      <w:r>
        <w:rPr>
          <w:rFonts w:hint="eastAsia" w:ascii="宋体" w:hAnsi="宋体"/>
          <w:szCs w:val="21"/>
        </w:rPr>
        <w:t>（5）与其他采购参加人串通投标的；</w:t>
      </w:r>
    </w:p>
    <w:p>
      <w:pPr>
        <w:ind w:firstLine="411" w:firstLineChars="196"/>
        <w:rPr>
          <w:rFonts w:hint="eastAsia" w:ascii="宋体" w:hAnsi="宋体"/>
          <w:szCs w:val="21"/>
        </w:rPr>
      </w:pPr>
      <w:r>
        <w:rPr>
          <w:rFonts w:hint="eastAsia" w:ascii="宋体" w:hAnsi="宋体"/>
          <w:szCs w:val="21"/>
        </w:rPr>
        <w:t>（6）恶意投诉的；</w:t>
      </w:r>
    </w:p>
    <w:p>
      <w:pPr>
        <w:ind w:firstLine="411" w:firstLineChars="196"/>
        <w:rPr>
          <w:rFonts w:hint="eastAsia" w:ascii="宋体" w:hAnsi="宋体"/>
          <w:szCs w:val="21"/>
        </w:rPr>
      </w:pPr>
      <w:r>
        <w:rPr>
          <w:rFonts w:hint="eastAsia" w:ascii="宋体" w:hAnsi="宋体"/>
          <w:szCs w:val="21"/>
        </w:rPr>
        <w:t>（7）向采购项目相关人行贿或者提供其他不当利益的；</w:t>
      </w:r>
    </w:p>
    <w:p>
      <w:pPr>
        <w:ind w:firstLine="411" w:firstLineChars="196"/>
        <w:rPr>
          <w:rFonts w:hint="eastAsia" w:ascii="宋体" w:hAnsi="宋体"/>
          <w:szCs w:val="21"/>
        </w:rPr>
      </w:pPr>
      <w:r>
        <w:rPr>
          <w:rFonts w:hint="eastAsia" w:ascii="宋体" w:hAnsi="宋体"/>
          <w:szCs w:val="21"/>
        </w:rPr>
        <w:t>（8）阻碍、抗拒主管部门监督检查的；</w:t>
      </w:r>
    </w:p>
    <w:p>
      <w:pPr>
        <w:ind w:firstLine="411" w:firstLineChars="196"/>
        <w:rPr>
          <w:rFonts w:hint="eastAsia" w:ascii="宋体" w:hAnsi="宋体"/>
          <w:szCs w:val="21"/>
        </w:rPr>
      </w:pPr>
      <w:r>
        <w:rPr>
          <w:rFonts w:hint="eastAsia" w:ascii="宋体" w:hAnsi="宋体"/>
          <w:szCs w:val="21"/>
        </w:rPr>
        <w:t>（9）其他违反本条例规定的行为。</w:t>
      </w:r>
    </w:p>
    <w:p>
      <w:pPr>
        <w:ind w:firstLine="411" w:firstLineChars="196"/>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号）的要求，供应商在政府采购活动中出现《深圳经济特区政府采购条例实施细则》第八十条所列情形的，</w:t>
      </w:r>
      <w:bookmarkStart w:id="107" w:name="_Hlk72440769"/>
      <w:r>
        <w:rPr>
          <w:rFonts w:hint="eastAsia" w:ascii="宋体" w:hAnsi="宋体"/>
          <w:szCs w:val="21"/>
        </w:rPr>
        <w:t>政府集中采购机构或采购人不予退还其交纳的谈判保证金，情节严重的，并由主管部门</w:t>
      </w:r>
      <w:bookmarkEnd w:id="107"/>
      <w:r>
        <w:rPr>
          <w:rFonts w:hint="eastAsia" w:ascii="宋体" w:hAnsi="宋体"/>
          <w:szCs w:val="21"/>
        </w:rPr>
        <w:t>记入供应商诚信档案，予以通报：</w:t>
      </w:r>
    </w:p>
    <w:p>
      <w:pPr>
        <w:ind w:firstLine="411" w:firstLineChars="196"/>
        <w:rPr>
          <w:rFonts w:hint="eastAsia" w:ascii="宋体" w:hAnsi="宋体"/>
          <w:szCs w:val="21"/>
        </w:rPr>
      </w:pPr>
      <w:r>
        <w:rPr>
          <w:rFonts w:hint="eastAsia" w:ascii="宋体" w:hAnsi="宋体"/>
          <w:szCs w:val="21"/>
        </w:rPr>
        <w:t>（1</w:t>
      </w:r>
      <w:r>
        <w:rPr>
          <w:rFonts w:ascii="宋体" w:hAnsi="宋体"/>
          <w:szCs w:val="21"/>
        </w:rPr>
        <w:t>）投标截止后，撤销投标的；</w:t>
      </w:r>
    </w:p>
    <w:p>
      <w:pPr>
        <w:ind w:firstLine="411" w:firstLineChars="196"/>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pPr>
        <w:ind w:firstLine="411" w:firstLineChars="196"/>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pPr>
        <w:ind w:firstLine="411" w:firstLineChars="196"/>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91"/>
    <w:p>
      <w:pPr>
        <w:pStyle w:val="5"/>
        <w:numPr>
          <w:ilvl w:val="0"/>
          <w:numId w:val="13"/>
        </w:numPr>
        <w:spacing w:before="156" w:beforeLines="50" w:after="156" w:afterLines="50"/>
        <w:ind w:left="562" w:hanging="562"/>
        <w:rPr>
          <w:sz w:val="28"/>
          <w:szCs w:val="28"/>
        </w:rPr>
      </w:pPr>
      <w:r>
        <w:rPr>
          <w:rFonts w:hint="eastAsia"/>
          <w:sz w:val="28"/>
          <w:szCs w:val="28"/>
        </w:rPr>
        <w:t>质疑处理</w:t>
      </w:r>
    </w:p>
    <w:p>
      <w:pPr>
        <w:rPr>
          <w:rFonts w:hint="eastAsia" w:ascii="黑体" w:hAnsi="宋体" w:eastAsia="黑体"/>
          <w:sz w:val="24"/>
        </w:rPr>
      </w:pPr>
      <w:r>
        <w:rPr>
          <w:rFonts w:hint="eastAsia" w:ascii="黑体" w:hAnsi="宋体" w:eastAsia="黑体"/>
          <w:sz w:val="24"/>
        </w:rPr>
        <w:t>52.质疑提出与答复</w:t>
      </w:r>
    </w:p>
    <w:p>
      <w:pPr>
        <w:rPr>
          <w:rFonts w:hint="eastAsia" w:ascii="宋体" w:hAnsi="宋体"/>
          <w:szCs w:val="21"/>
        </w:rPr>
      </w:pPr>
      <w:r>
        <w:rPr>
          <w:rFonts w:hint="eastAsia" w:ascii="宋体" w:hAnsi="宋体"/>
          <w:szCs w:val="21"/>
        </w:rPr>
        <w:t xml:space="preserve">    52.1提出质疑</w:t>
      </w:r>
    </w:p>
    <w:p>
      <w:pPr>
        <w:rPr>
          <w:rFonts w:hint="eastAsia"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pPr>
        <w:rPr>
          <w:rFonts w:hint="eastAsia" w:ascii="宋体" w:hAnsi="宋体"/>
          <w:szCs w:val="21"/>
        </w:rPr>
      </w:pPr>
      <w:r>
        <w:rPr>
          <w:rFonts w:hint="eastAsia" w:ascii="宋体" w:hAnsi="宋体"/>
          <w:szCs w:val="21"/>
        </w:rPr>
        <w:t xml:space="preserve">    52.2</w:t>
      </w:r>
      <w:r>
        <w:rPr>
          <w:rFonts w:ascii="宋体" w:hAnsi="宋体"/>
          <w:szCs w:val="21"/>
        </w:rPr>
        <w:t>法律依据</w:t>
      </w:r>
    </w:p>
    <w:p>
      <w:pPr>
        <w:rPr>
          <w:rFonts w:hint="eastAsia"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pPr>
        <w:rPr>
          <w:rFonts w:hint="eastAsia"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pPr>
        <w:rPr>
          <w:rFonts w:hint="eastAsia" w:ascii="宋体" w:hAnsi="宋体"/>
          <w:szCs w:val="21"/>
        </w:rPr>
      </w:pPr>
      <w:r>
        <w:rPr>
          <w:rFonts w:hint="eastAsia" w:ascii="宋体" w:hAnsi="宋体"/>
          <w:szCs w:val="21"/>
        </w:rPr>
        <w:t xml:space="preserve">    52.3.1提出质疑的供应商应当是参与所质疑项目采购活动的供应商；</w:t>
      </w:r>
      <w:bookmarkStart w:id="108" w:name="_Hlk75374941"/>
      <w:r>
        <w:rPr>
          <w:rFonts w:hint="eastAsia" w:ascii="宋体" w:hAnsi="宋体"/>
          <w:szCs w:val="21"/>
        </w:rPr>
        <w:t>以联合体形式参与的，质疑应当由组成联合体的所有成员共同提出</w:t>
      </w:r>
      <w:bookmarkEnd w:id="108"/>
      <w:r>
        <w:rPr>
          <w:rFonts w:hint="eastAsia" w:ascii="宋体" w:hAnsi="宋体"/>
          <w:szCs w:val="21"/>
        </w:rPr>
        <w:t>；</w:t>
      </w:r>
    </w:p>
    <w:p>
      <w:pPr>
        <w:rPr>
          <w:rFonts w:hint="eastAsia"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ind w:firstLine="42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pPr>
        <w:ind w:firstLine="420"/>
        <w:rPr>
          <w:rFonts w:hint="eastAsia" w:ascii="宋体" w:hAnsi="宋体"/>
          <w:szCs w:val="21"/>
        </w:rPr>
      </w:pPr>
      <w:r>
        <w:rPr>
          <w:rFonts w:hint="eastAsia" w:ascii="宋体" w:hAnsi="宋体"/>
          <w:szCs w:val="21"/>
        </w:rPr>
        <w:t>（1）供应商的名称（或者姓名）、地址、邮编、邮箱、联系人及联系电话；</w:t>
      </w:r>
    </w:p>
    <w:p>
      <w:pPr>
        <w:ind w:firstLine="420" w:firstLineChars="200"/>
        <w:rPr>
          <w:rFonts w:hint="eastAsia" w:ascii="宋体" w:hAnsi="宋体"/>
          <w:szCs w:val="21"/>
        </w:rPr>
      </w:pPr>
      <w:r>
        <w:rPr>
          <w:rFonts w:hint="eastAsia" w:ascii="宋体" w:hAnsi="宋体"/>
          <w:szCs w:val="21"/>
        </w:rPr>
        <w:t>（2）质疑项目的名称、编号；</w:t>
      </w:r>
    </w:p>
    <w:p>
      <w:pPr>
        <w:ind w:firstLine="420" w:firstLineChars="200"/>
        <w:rPr>
          <w:rFonts w:hint="eastAsia" w:ascii="宋体" w:hAnsi="宋体"/>
          <w:szCs w:val="21"/>
        </w:rPr>
      </w:pPr>
      <w:r>
        <w:rPr>
          <w:rFonts w:hint="eastAsia" w:ascii="宋体" w:hAnsi="宋体"/>
          <w:szCs w:val="21"/>
        </w:rPr>
        <w:t>（3）具体、明确的质疑对象、质疑事项和质疑请求；</w:t>
      </w:r>
    </w:p>
    <w:p>
      <w:pPr>
        <w:ind w:firstLine="420" w:firstLineChars="200"/>
        <w:rPr>
          <w:rFonts w:hint="eastAsia" w:ascii="宋体" w:hAnsi="宋体"/>
          <w:szCs w:val="21"/>
        </w:rPr>
      </w:pPr>
      <w:r>
        <w:rPr>
          <w:rFonts w:hint="eastAsia" w:ascii="宋体" w:hAnsi="宋体"/>
          <w:szCs w:val="21"/>
        </w:rPr>
        <w:t>（4）因质疑事项而受损害的权益；</w:t>
      </w:r>
    </w:p>
    <w:p>
      <w:pPr>
        <w:ind w:firstLine="420" w:firstLineChars="200"/>
        <w:rPr>
          <w:rFonts w:hint="eastAsia" w:ascii="宋体" w:hAnsi="宋体"/>
          <w:szCs w:val="21"/>
        </w:rPr>
      </w:pPr>
      <w:r>
        <w:rPr>
          <w:rFonts w:hint="eastAsia" w:ascii="宋体" w:hAnsi="宋体"/>
          <w:szCs w:val="21"/>
        </w:rPr>
        <w:t>（5）事实依据；</w:t>
      </w:r>
    </w:p>
    <w:p>
      <w:pPr>
        <w:ind w:firstLine="420" w:firstLineChars="200"/>
        <w:rPr>
          <w:rFonts w:hint="eastAsia" w:ascii="宋体" w:hAnsi="宋体"/>
          <w:szCs w:val="21"/>
        </w:rPr>
      </w:pPr>
      <w:r>
        <w:rPr>
          <w:rFonts w:hint="eastAsia" w:ascii="宋体" w:hAnsi="宋体"/>
          <w:szCs w:val="21"/>
        </w:rPr>
        <w:t>（6）必要的法律依据；</w:t>
      </w:r>
    </w:p>
    <w:p>
      <w:pPr>
        <w:ind w:firstLine="420" w:firstLineChars="200"/>
        <w:rPr>
          <w:rFonts w:hint="eastAsia" w:ascii="宋体" w:hAnsi="宋体"/>
          <w:szCs w:val="21"/>
        </w:rPr>
      </w:pPr>
      <w:r>
        <w:rPr>
          <w:rFonts w:hint="eastAsia" w:ascii="宋体" w:hAnsi="宋体"/>
          <w:szCs w:val="21"/>
        </w:rPr>
        <w:t>（7）提出质疑的日期。</w:t>
      </w:r>
    </w:p>
    <w:p>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hint="eastAsia" w:ascii="宋体" w:hAnsi="宋体"/>
          <w:szCs w:val="21"/>
        </w:rPr>
      </w:pPr>
      <w:r>
        <w:rPr>
          <w:rFonts w:hint="eastAsia" w:ascii="宋体" w:hAnsi="宋体"/>
          <w:szCs w:val="21"/>
        </w:rPr>
        <w:t>52.5收文地点</w:t>
      </w:r>
    </w:p>
    <w:p>
      <w:pPr>
        <w:ind w:firstLine="422" w:firstLineChars="200"/>
        <w:rPr>
          <w:rFonts w:hint="eastAsia" w:ascii="宋体" w:hAnsi="宋体"/>
          <w:b/>
          <w:bCs/>
          <w:szCs w:val="21"/>
        </w:rPr>
      </w:pPr>
      <w:r>
        <w:rPr>
          <w:rFonts w:hint="eastAsia" w:ascii="宋体" w:hAnsi="宋体"/>
          <w:b/>
          <w:bCs/>
          <w:szCs w:val="21"/>
        </w:rPr>
        <w:t>地址：深圳公共资源交易中心（深圳交易集团有限公司龙华分公司）（地址：深圳市龙华区观湖街道大和社区大和路288号宝观城锦鲤大厦办公楼22楼）。</w:t>
      </w:r>
    </w:p>
    <w:p>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hint="eastAsia" w:ascii="仿宋" w:hAnsi="仿宋" w:eastAsia="仿宋"/>
          <w:sz w:val="28"/>
          <w:szCs w:val="28"/>
        </w:rPr>
      </w:pPr>
      <w:r>
        <w:rPr>
          <w:rFonts w:hint="eastAsia" w:ascii="宋体" w:hAnsi="宋体"/>
          <w:szCs w:val="21"/>
        </w:rPr>
        <w:t>52.6.2供应商提交的质疑材料不符合质疑条件的，视情况处理：</w:t>
      </w:r>
    </w:p>
    <w:p>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pPr>
        <w:ind w:firstLine="420" w:firstLineChars="200"/>
        <w:rPr>
          <w:rFonts w:hint="eastAsia" w:ascii="宋体" w:hAnsi="宋体"/>
          <w:szCs w:val="21"/>
        </w:rPr>
      </w:pPr>
      <w:r>
        <w:rPr>
          <w:rFonts w:hint="eastAsia" w:ascii="宋体" w:hAnsi="宋体"/>
          <w:szCs w:val="21"/>
        </w:rPr>
        <w:t>供应商提交的质疑存在下列情形之一的，不予受理：</w:t>
      </w:r>
    </w:p>
    <w:p>
      <w:pPr>
        <w:ind w:firstLine="420" w:firstLineChars="200"/>
        <w:rPr>
          <w:rFonts w:hint="eastAsia" w:ascii="宋体" w:hAnsi="宋体"/>
          <w:szCs w:val="21"/>
        </w:rPr>
      </w:pPr>
      <w:r>
        <w:rPr>
          <w:rFonts w:hint="eastAsia" w:ascii="宋体" w:hAnsi="宋体"/>
          <w:szCs w:val="21"/>
        </w:rPr>
        <w:t>（1）质疑主体不满足要求的；</w:t>
      </w:r>
    </w:p>
    <w:p>
      <w:pPr>
        <w:ind w:firstLine="420" w:firstLineChars="200"/>
        <w:rPr>
          <w:rFonts w:hint="eastAsia" w:ascii="宋体" w:hAnsi="宋体"/>
          <w:szCs w:val="21"/>
        </w:rPr>
      </w:pPr>
      <w:r>
        <w:rPr>
          <w:rFonts w:hint="eastAsia" w:ascii="宋体" w:hAnsi="宋体"/>
          <w:szCs w:val="21"/>
        </w:rPr>
        <w:t>（2）供应商自身权益未受到损害的；</w:t>
      </w:r>
    </w:p>
    <w:p>
      <w:pPr>
        <w:ind w:firstLine="420" w:firstLineChars="200"/>
        <w:rPr>
          <w:rFonts w:hint="eastAsia" w:ascii="宋体" w:hAnsi="宋体"/>
          <w:szCs w:val="21"/>
        </w:rPr>
      </w:pPr>
      <w:r>
        <w:rPr>
          <w:rFonts w:hint="eastAsia" w:ascii="宋体" w:hAnsi="宋体"/>
          <w:szCs w:val="21"/>
        </w:rPr>
        <w:t>（3）供应商未在法定质疑期限内提出质疑的；</w:t>
      </w:r>
    </w:p>
    <w:p>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pPr>
        <w:ind w:firstLine="420" w:firstLineChars="200"/>
        <w:rPr>
          <w:rFonts w:hint="eastAsia" w:ascii="宋体" w:hAnsi="宋体"/>
          <w:szCs w:val="21"/>
        </w:rPr>
      </w:pPr>
      <w:r>
        <w:rPr>
          <w:rFonts w:hint="eastAsia" w:ascii="宋体" w:hAnsi="宋体"/>
          <w:szCs w:val="21"/>
        </w:rPr>
        <w:t>（5）其他不符合受理条件情形的。</w:t>
      </w:r>
    </w:p>
    <w:p>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pPr>
        <w:rPr>
          <w:rFonts w:hint="eastAsia"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pPr>
        <w:rPr>
          <w:rFonts w:hint="eastAsia" w:ascii="宋体" w:hAnsi="宋体"/>
          <w:szCs w:val="21"/>
        </w:rPr>
      </w:pPr>
      <w:r>
        <w:rPr>
          <w:rFonts w:hint="eastAsia" w:ascii="宋体" w:hAnsi="宋体"/>
          <w:szCs w:val="21"/>
        </w:rPr>
        <w:t xml:space="preserve">    自收文之日起七个工作日内。</w:t>
      </w:r>
    </w:p>
    <w:p>
      <w:pPr>
        <w:rPr>
          <w:rFonts w:hint="eastAsia" w:ascii="宋体" w:hAnsi="宋体"/>
          <w:szCs w:val="21"/>
        </w:rPr>
      </w:pPr>
      <w:r>
        <w:rPr>
          <w:rFonts w:hint="eastAsia" w:ascii="宋体" w:hAnsi="宋体"/>
          <w:szCs w:val="21"/>
        </w:rPr>
        <w:t xml:space="preserve">    52.8投诉</w:t>
      </w:r>
    </w:p>
    <w:p>
      <w:pPr>
        <w:rPr>
          <w:rFonts w:hint="eastAsia" w:ascii="宋体" w:hAnsi="宋体"/>
          <w:szCs w:val="21"/>
        </w:rPr>
      </w:pPr>
      <w:r>
        <w:rPr>
          <w:rFonts w:hint="eastAsia" w:ascii="宋体" w:hAnsi="宋体"/>
          <w:szCs w:val="21"/>
        </w:rPr>
        <w:t xml:space="preserve">    对质疑答复不满意或者未在规定时间内答复的，提出质疑的供应商可以在答复期满后15个工作日内向本项目预算主管单位投诉。</w:t>
      </w:r>
    </w:p>
    <w:p>
      <w:pPr>
        <w:rPr>
          <w:rFonts w:hint="eastAsia" w:ascii="黑体" w:hAnsi="宋体" w:eastAsia="黑体"/>
          <w:sz w:val="24"/>
        </w:rPr>
      </w:pPr>
      <w:r>
        <w:rPr>
          <w:rFonts w:hint="eastAsia" w:ascii="黑体" w:hAnsi="宋体" w:eastAsia="黑体"/>
          <w:sz w:val="24"/>
        </w:rPr>
        <w:t>53. 质疑后续处理</w:t>
      </w:r>
    </w:p>
    <w:p>
      <w:pPr>
        <w:rPr>
          <w:rFonts w:hint="eastAsia" w:ascii="宋体" w:hAnsi="宋体"/>
          <w:szCs w:val="21"/>
        </w:rPr>
      </w:pPr>
      <w:r>
        <w:rPr>
          <w:rFonts w:hint="eastAsia" w:ascii="宋体" w:hAnsi="宋体"/>
          <w:szCs w:val="21"/>
        </w:rPr>
        <w:t xml:space="preserve">    53.1供应商质疑不成立，或者成立但未对中标、成交结果构成影响的，继续开展采购活动。</w:t>
      </w:r>
    </w:p>
    <w:p>
      <w:pPr>
        <w:jc w:val="center"/>
      </w:pPr>
      <w:r>
        <w:rPr>
          <w:rFonts w:hint="eastAsia" w:ascii="宋体" w:hAnsi="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t>---- END ----</w:t>
      </w:r>
    </w:p>
    <w:p>
      <w:pPr>
        <w:jc w:val="center"/>
        <w:rPr>
          <w:rFonts w:ascii="Times New Roman" w:hAnsi="Times New Roman" w:eastAsia="宋体" w:cs="Times New Roman"/>
          <w:szCs w:val="24"/>
        </w:rPr>
      </w:pPr>
      <w:r>
        <w:rPr>
          <w:rFonts w:ascii="Times New Roman" w:hAnsi="Times New Roman" w:eastAsia="宋体" w:cs="Times New Roman"/>
          <w:szCs w:val="24"/>
        </w:rPr>
        <w:t>---- END ----</w:t>
      </w:r>
      <w:bookmarkEnd w:id="55"/>
    </w:p>
    <w:p>
      <w:pPr>
        <w:rPr>
          <w:b/>
          <w:color w:val="FF0000"/>
          <w:sz w:val="52"/>
          <w:szCs w:val="52"/>
        </w:rPr>
      </w:pPr>
    </w:p>
    <w:p>
      <w:pPr>
        <w:rPr>
          <w:rFonts w:hint="eastAsia" w:ascii="宋体" w:hAnsi="宋体" w:eastAsia="黑体" w:cs="Times New Roman"/>
          <w:b/>
          <w:bCs/>
          <w:color w:val="0000FF"/>
          <w:kern w:val="44"/>
          <w:sz w:val="36"/>
          <w:szCs w:val="44"/>
        </w:rPr>
      </w:pPr>
    </w:p>
    <w:sectPr>
      <w:headerReference r:id="rId10" w:type="first"/>
      <w:footerReference r:id="rId13" w:type="first"/>
      <w:headerReference r:id="rId8" w:type="default"/>
      <w:footerReference r:id="rId11" w:type="default"/>
      <w:headerReference r:id="rId9" w:type="even"/>
      <w:footerReference r:id="rId12" w:type="even"/>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t xml:space="preserve">- </w:t>
    </w:r>
    <w:r>
      <w:fldChar w:fldCharType="begin"/>
    </w:r>
    <w:r>
      <w:instrText xml:space="preserve"> PAGE </w:instrText>
    </w:r>
    <w:r>
      <w:fldChar w:fldCharType="separate"/>
    </w:r>
    <w:r>
      <w:t>29</w:t>
    </w:r>
    <w:r>
      <w:fldChar w:fldCharType="end"/>
    </w:r>
    <w:r>
      <w:t xml:space="preserve"> -</w: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sz w:val="18"/>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sdtPr>
    <w:sdtContent>
      <w:p>
        <w:pPr>
          <w:pStyle w:val="13"/>
          <w:jc w:val="center"/>
        </w:pPr>
        <w:r>
          <w:fldChar w:fldCharType="begin"/>
        </w:r>
        <w:r>
          <w:instrText xml:space="preserve"> PAGE   \* MERGEFORMAT </w:instrText>
        </w:r>
        <w:r>
          <w:fldChar w:fldCharType="separate"/>
        </w:r>
        <w:r>
          <w:rPr>
            <w:lang w:val="zh-CN"/>
          </w:rPr>
          <w:t>29</w:t>
        </w:r>
        <w:r>
          <w:rPr>
            <w:lang w:val="zh-CN"/>
          </w:rPr>
          <w:fldChar w:fldCharType="end"/>
        </w:r>
      </w:p>
    </w:sdtContent>
  </w:sdt>
  <w:p>
    <w:pPr>
      <w:pStyle w:val="13"/>
      <w:spacing w:after="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after="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snapToGrid w:val="0"/>
      <w:rPr>
        <w:rFonts w:ascii="Times New Roman" w:hAnsi="Times New Roman" w:eastAsia="宋体" w:cs="Times New Roman"/>
        <w:sz w:val="18"/>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after="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0686203"/>
    <w:multiLevelType w:val="singleLevel"/>
    <w:tmpl w:val="D0686203"/>
    <w:lvl w:ilvl="0" w:tentative="0">
      <w:start w:val="2"/>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21CBBE0"/>
    <w:multiLevelType w:val="singleLevel"/>
    <w:tmpl w:val="721CBBE0"/>
    <w:lvl w:ilvl="0" w:tentative="0">
      <w:start w:val="1"/>
      <w:numFmt w:val="decimal"/>
      <w:suff w:val="nothing"/>
      <w:lvlText w:val="%1、"/>
      <w:lvlJc w:val="left"/>
    </w:lvl>
  </w:abstractNum>
  <w:abstractNum w:abstractNumId="12">
    <w:nsid w:val="7A0F6431"/>
    <w:multiLevelType w:val="singleLevel"/>
    <w:tmpl w:val="7A0F6431"/>
    <w:lvl w:ilvl="0" w:tentative="0">
      <w:start w:val="1"/>
      <w:numFmt w:val="decimal"/>
      <w:suff w:val="space"/>
      <w:lvlText w:val="%1."/>
      <w:lvlJc w:val="left"/>
    </w:lvl>
  </w:abstractNum>
  <w:num w:numId="1">
    <w:abstractNumId w:val="4"/>
  </w:num>
  <w:num w:numId="2">
    <w:abstractNumId w:val="0"/>
  </w:num>
  <w:num w:numId="3">
    <w:abstractNumId w:val="11"/>
  </w:num>
  <w:num w:numId="4">
    <w:abstractNumId w:val="1"/>
  </w:num>
  <w:num w:numId="5">
    <w:abstractNumId w:val="12"/>
  </w:num>
  <w:num w:numId="6">
    <w:abstractNumId w:val="3"/>
  </w:num>
  <w:num w:numId="7">
    <w:abstractNumId w:val="8"/>
  </w:num>
  <w:num w:numId="8">
    <w:abstractNumId w:val="6"/>
  </w:num>
  <w:num w:numId="9">
    <w:abstractNumId w:val="5"/>
  </w:num>
  <w:num w:numId="10">
    <w:abstractNumId w:val="2"/>
  </w:num>
  <w:num w:numId="11">
    <w:abstractNumId w:val="7"/>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1MDk5MWI1M2ZiZDkzYWFiOTFhMDJiNTBiNDJjNjcifQ=="/>
  </w:docVars>
  <w:rsids>
    <w:rsidRoot w:val="002B296E"/>
    <w:rsid w:val="00005740"/>
    <w:rsid w:val="00005B4D"/>
    <w:rsid w:val="0000723B"/>
    <w:rsid w:val="000102B3"/>
    <w:rsid w:val="00012263"/>
    <w:rsid w:val="00012DCA"/>
    <w:rsid w:val="00015451"/>
    <w:rsid w:val="00015C20"/>
    <w:rsid w:val="000165A0"/>
    <w:rsid w:val="00017ECC"/>
    <w:rsid w:val="000227FD"/>
    <w:rsid w:val="00024DCF"/>
    <w:rsid w:val="00027E40"/>
    <w:rsid w:val="00030B9F"/>
    <w:rsid w:val="00033591"/>
    <w:rsid w:val="00035243"/>
    <w:rsid w:val="00036C4D"/>
    <w:rsid w:val="00036CC4"/>
    <w:rsid w:val="0004487D"/>
    <w:rsid w:val="0004655D"/>
    <w:rsid w:val="00046AE3"/>
    <w:rsid w:val="00047161"/>
    <w:rsid w:val="00047F90"/>
    <w:rsid w:val="0005162F"/>
    <w:rsid w:val="00051863"/>
    <w:rsid w:val="000520B1"/>
    <w:rsid w:val="00055C90"/>
    <w:rsid w:val="000579F6"/>
    <w:rsid w:val="00071DC8"/>
    <w:rsid w:val="000722BF"/>
    <w:rsid w:val="00073BE1"/>
    <w:rsid w:val="000762AC"/>
    <w:rsid w:val="00076F24"/>
    <w:rsid w:val="00082568"/>
    <w:rsid w:val="00083BC2"/>
    <w:rsid w:val="00086895"/>
    <w:rsid w:val="0009130D"/>
    <w:rsid w:val="00094FCC"/>
    <w:rsid w:val="000A08E3"/>
    <w:rsid w:val="000A7A9D"/>
    <w:rsid w:val="000B3AC3"/>
    <w:rsid w:val="000B4D4A"/>
    <w:rsid w:val="000B587C"/>
    <w:rsid w:val="000B7A0E"/>
    <w:rsid w:val="000C0E1A"/>
    <w:rsid w:val="000C2BCB"/>
    <w:rsid w:val="000C4236"/>
    <w:rsid w:val="000C64E7"/>
    <w:rsid w:val="000C689A"/>
    <w:rsid w:val="000C7808"/>
    <w:rsid w:val="000D123C"/>
    <w:rsid w:val="000D5B9F"/>
    <w:rsid w:val="000E0D11"/>
    <w:rsid w:val="000E23D7"/>
    <w:rsid w:val="000E7DAA"/>
    <w:rsid w:val="000F1063"/>
    <w:rsid w:val="000F1328"/>
    <w:rsid w:val="000F2DF3"/>
    <w:rsid w:val="00102CAD"/>
    <w:rsid w:val="001031B0"/>
    <w:rsid w:val="00105092"/>
    <w:rsid w:val="0010582A"/>
    <w:rsid w:val="001075AD"/>
    <w:rsid w:val="00110CBD"/>
    <w:rsid w:val="00122477"/>
    <w:rsid w:val="001232EC"/>
    <w:rsid w:val="00123E98"/>
    <w:rsid w:val="00123EB7"/>
    <w:rsid w:val="00125B86"/>
    <w:rsid w:val="00125EA7"/>
    <w:rsid w:val="00133F32"/>
    <w:rsid w:val="00134804"/>
    <w:rsid w:val="00135452"/>
    <w:rsid w:val="00135D16"/>
    <w:rsid w:val="001423E8"/>
    <w:rsid w:val="0014403A"/>
    <w:rsid w:val="00145A2D"/>
    <w:rsid w:val="00147326"/>
    <w:rsid w:val="001477E0"/>
    <w:rsid w:val="001523C7"/>
    <w:rsid w:val="00152E85"/>
    <w:rsid w:val="001559D5"/>
    <w:rsid w:val="00157D5E"/>
    <w:rsid w:val="00160312"/>
    <w:rsid w:val="001604FE"/>
    <w:rsid w:val="00164113"/>
    <w:rsid w:val="00164DF0"/>
    <w:rsid w:val="00174F2C"/>
    <w:rsid w:val="001776D1"/>
    <w:rsid w:val="00183B03"/>
    <w:rsid w:val="00184F4C"/>
    <w:rsid w:val="00186AD1"/>
    <w:rsid w:val="00190D4E"/>
    <w:rsid w:val="00192AD1"/>
    <w:rsid w:val="00196ADD"/>
    <w:rsid w:val="001A0653"/>
    <w:rsid w:val="001A62A4"/>
    <w:rsid w:val="001B150F"/>
    <w:rsid w:val="001B3DCD"/>
    <w:rsid w:val="001B77F3"/>
    <w:rsid w:val="001C1026"/>
    <w:rsid w:val="001C146D"/>
    <w:rsid w:val="001C164F"/>
    <w:rsid w:val="001C1957"/>
    <w:rsid w:val="001C3631"/>
    <w:rsid w:val="001D0EB9"/>
    <w:rsid w:val="001D1A0E"/>
    <w:rsid w:val="001D4E88"/>
    <w:rsid w:val="001D5427"/>
    <w:rsid w:val="001D6F99"/>
    <w:rsid w:val="001E7D92"/>
    <w:rsid w:val="001F2FF4"/>
    <w:rsid w:val="001F4DAC"/>
    <w:rsid w:val="0020017A"/>
    <w:rsid w:val="0020780A"/>
    <w:rsid w:val="00210364"/>
    <w:rsid w:val="0021479B"/>
    <w:rsid w:val="00215571"/>
    <w:rsid w:val="00225BA9"/>
    <w:rsid w:val="00231E55"/>
    <w:rsid w:val="00234B58"/>
    <w:rsid w:val="0023517A"/>
    <w:rsid w:val="002360AF"/>
    <w:rsid w:val="002373AF"/>
    <w:rsid w:val="0024137C"/>
    <w:rsid w:val="002425D6"/>
    <w:rsid w:val="002428AB"/>
    <w:rsid w:val="00244C00"/>
    <w:rsid w:val="00245B43"/>
    <w:rsid w:val="00250418"/>
    <w:rsid w:val="002505A6"/>
    <w:rsid w:val="002549D4"/>
    <w:rsid w:val="0026325C"/>
    <w:rsid w:val="0026418F"/>
    <w:rsid w:val="0026450A"/>
    <w:rsid w:val="002709A8"/>
    <w:rsid w:val="00270C27"/>
    <w:rsid w:val="00271D87"/>
    <w:rsid w:val="00272EB2"/>
    <w:rsid w:val="002746A1"/>
    <w:rsid w:val="00280C2F"/>
    <w:rsid w:val="002823CE"/>
    <w:rsid w:val="00285DE2"/>
    <w:rsid w:val="00290910"/>
    <w:rsid w:val="00293B10"/>
    <w:rsid w:val="002961D1"/>
    <w:rsid w:val="002966B6"/>
    <w:rsid w:val="0029795C"/>
    <w:rsid w:val="002A0ED3"/>
    <w:rsid w:val="002A29E5"/>
    <w:rsid w:val="002A758C"/>
    <w:rsid w:val="002B296E"/>
    <w:rsid w:val="002B5C22"/>
    <w:rsid w:val="002B6A5A"/>
    <w:rsid w:val="002C3DA7"/>
    <w:rsid w:val="002C3F0A"/>
    <w:rsid w:val="002C500F"/>
    <w:rsid w:val="002C6B4A"/>
    <w:rsid w:val="002D2996"/>
    <w:rsid w:val="002D36C4"/>
    <w:rsid w:val="002D5EB6"/>
    <w:rsid w:val="002D63FF"/>
    <w:rsid w:val="002E0BE7"/>
    <w:rsid w:val="002E1005"/>
    <w:rsid w:val="002E4C9D"/>
    <w:rsid w:val="002E5DA1"/>
    <w:rsid w:val="002E63F0"/>
    <w:rsid w:val="002E6F35"/>
    <w:rsid w:val="002F006C"/>
    <w:rsid w:val="002F019C"/>
    <w:rsid w:val="002F403D"/>
    <w:rsid w:val="002F4FC9"/>
    <w:rsid w:val="002F54BE"/>
    <w:rsid w:val="00305131"/>
    <w:rsid w:val="00305CE7"/>
    <w:rsid w:val="00305DA0"/>
    <w:rsid w:val="003075D2"/>
    <w:rsid w:val="003103D1"/>
    <w:rsid w:val="00311E94"/>
    <w:rsid w:val="00315035"/>
    <w:rsid w:val="00321622"/>
    <w:rsid w:val="0032311B"/>
    <w:rsid w:val="00323813"/>
    <w:rsid w:val="00324CB2"/>
    <w:rsid w:val="00326B43"/>
    <w:rsid w:val="003277CD"/>
    <w:rsid w:val="0033310F"/>
    <w:rsid w:val="0033356C"/>
    <w:rsid w:val="00335A76"/>
    <w:rsid w:val="003402FF"/>
    <w:rsid w:val="00341AAD"/>
    <w:rsid w:val="00345849"/>
    <w:rsid w:val="00350F69"/>
    <w:rsid w:val="00353939"/>
    <w:rsid w:val="003553CD"/>
    <w:rsid w:val="00356426"/>
    <w:rsid w:val="00356A28"/>
    <w:rsid w:val="00362D56"/>
    <w:rsid w:val="0037109F"/>
    <w:rsid w:val="003710C6"/>
    <w:rsid w:val="003731BF"/>
    <w:rsid w:val="00373CC6"/>
    <w:rsid w:val="0037772B"/>
    <w:rsid w:val="003811DD"/>
    <w:rsid w:val="00384FDC"/>
    <w:rsid w:val="00387363"/>
    <w:rsid w:val="0039233C"/>
    <w:rsid w:val="003936FA"/>
    <w:rsid w:val="00395B93"/>
    <w:rsid w:val="003960E2"/>
    <w:rsid w:val="003A0898"/>
    <w:rsid w:val="003A13DC"/>
    <w:rsid w:val="003A22B2"/>
    <w:rsid w:val="003A283F"/>
    <w:rsid w:val="003A3EA6"/>
    <w:rsid w:val="003A5619"/>
    <w:rsid w:val="003B4BF9"/>
    <w:rsid w:val="003B627E"/>
    <w:rsid w:val="003C55EB"/>
    <w:rsid w:val="003D016D"/>
    <w:rsid w:val="003D1101"/>
    <w:rsid w:val="003D2AD2"/>
    <w:rsid w:val="003E32F8"/>
    <w:rsid w:val="003F0159"/>
    <w:rsid w:val="003F0EBF"/>
    <w:rsid w:val="003F1A85"/>
    <w:rsid w:val="0040232B"/>
    <w:rsid w:val="00411AD4"/>
    <w:rsid w:val="004142D5"/>
    <w:rsid w:val="004155CD"/>
    <w:rsid w:val="004159E6"/>
    <w:rsid w:val="00420DE3"/>
    <w:rsid w:val="00421174"/>
    <w:rsid w:val="00422460"/>
    <w:rsid w:val="004303AA"/>
    <w:rsid w:val="004308A1"/>
    <w:rsid w:val="00430AF8"/>
    <w:rsid w:val="00432891"/>
    <w:rsid w:val="0043317D"/>
    <w:rsid w:val="00434018"/>
    <w:rsid w:val="00435930"/>
    <w:rsid w:val="004370D7"/>
    <w:rsid w:val="004432FE"/>
    <w:rsid w:val="004437AE"/>
    <w:rsid w:val="004454D9"/>
    <w:rsid w:val="00446748"/>
    <w:rsid w:val="004468B4"/>
    <w:rsid w:val="0045104F"/>
    <w:rsid w:val="00460807"/>
    <w:rsid w:val="00460ABA"/>
    <w:rsid w:val="00460E5B"/>
    <w:rsid w:val="00461030"/>
    <w:rsid w:val="004621E5"/>
    <w:rsid w:val="00463D37"/>
    <w:rsid w:val="00471274"/>
    <w:rsid w:val="00471E81"/>
    <w:rsid w:val="00472409"/>
    <w:rsid w:val="00480F0D"/>
    <w:rsid w:val="00486E73"/>
    <w:rsid w:val="004A0C96"/>
    <w:rsid w:val="004A19DD"/>
    <w:rsid w:val="004A20E5"/>
    <w:rsid w:val="004A27E3"/>
    <w:rsid w:val="004A5261"/>
    <w:rsid w:val="004A7791"/>
    <w:rsid w:val="004B0CD6"/>
    <w:rsid w:val="004B3152"/>
    <w:rsid w:val="004B5FA8"/>
    <w:rsid w:val="004C3ADD"/>
    <w:rsid w:val="004D1052"/>
    <w:rsid w:val="004D7F2E"/>
    <w:rsid w:val="004E098B"/>
    <w:rsid w:val="004E2AEC"/>
    <w:rsid w:val="004E3FBD"/>
    <w:rsid w:val="004E41AC"/>
    <w:rsid w:val="004E5F5E"/>
    <w:rsid w:val="004E7B5C"/>
    <w:rsid w:val="004F1DAC"/>
    <w:rsid w:val="00501787"/>
    <w:rsid w:val="00501E4E"/>
    <w:rsid w:val="005038E9"/>
    <w:rsid w:val="00506897"/>
    <w:rsid w:val="00511618"/>
    <w:rsid w:val="00516147"/>
    <w:rsid w:val="0052007E"/>
    <w:rsid w:val="00524AB1"/>
    <w:rsid w:val="00530432"/>
    <w:rsid w:val="00532047"/>
    <w:rsid w:val="00535134"/>
    <w:rsid w:val="0053774E"/>
    <w:rsid w:val="00542088"/>
    <w:rsid w:val="0054303D"/>
    <w:rsid w:val="005436FB"/>
    <w:rsid w:val="0055085C"/>
    <w:rsid w:val="0055090F"/>
    <w:rsid w:val="005543A6"/>
    <w:rsid w:val="005554AD"/>
    <w:rsid w:val="005568B0"/>
    <w:rsid w:val="00557C1B"/>
    <w:rsid w:val="005668BA"/>
    <w:rsid w:val="00572D56"/>
    <w:rsid w:val="0057738E"/>
    <w:rsid w:val="00583993"/>
    <w:rsid w:val="00586861"/>
    <w:rsid w:val="0058780A"/>
    <w:rsid w:val="005901F0"/>
    <w:rsid w:val="005912AD"/>
    <w:rsid w:val="00591B30"/>
    <w:rsid w:val="00591BAF"/>
    <w:rsid w:val="00594982"/>
    <w:rsid w:val="005962CA"/>
    <w:rsid w:val="005A0B67"/>
    <w:rsid w:val="005A1E16"/>
    <w:rsid w:val="005A43AB"/>
    <w:rsid w:val="005A482C"/>
    <w:rsid w:val="005A579C"/>
    <w:rsid w:val="005A5B03"/>
    <w:rsid w:val="005B0170"/>
    <w:rsid w:val="005B1875"/>
    <w:rsid w:val="005B1FAC"/>
    <w:rsid w:val="005B3AB8"/>
    <w:rsid w:val="005B5597"/>
    <w:rsid w:val="005B629B"/>
    <w:rsid w:val="005B7B25"/>
    <w:rsid w:val="005C09EC"/>
    <w:rsid w:val="005C2223"/>
    <w:rsid w:val="005E513F"/>
    <w:rsid w:val="005E6307"/>
    <w:rsid w:val="005F0B55"/>
    <w:rsid w:val="005F0EA2"/>
    <w:rsid w:val="005F464F"/>
    <w:rsid w:val="00602045"/>
    <w:rsid w:val="006137B4"/>
    <w:rsid w:val="00622334"/>
    <w:rsid w:val="00623B5C"/>
    <w:rsid w:val="0062431E"/>
    <w:rsid w:val="0063178E"/>
    <w:rsid w:val="00634CA8"/>
    <w:rsid w:val="00634D11"/>
    <w:rsid w:val="006357F8"/>
    <w:rsid w:val="00637736"/>
    <w:rsid w:val="00642E74"/>
    <w:rsid w:val="0064411E"/>
    <w:rsid w:val="00650F5B"/>
    <w:rsid w:val="006530D0"/>
    <w:rsid w:val="00660418"/>
    <w:rsid w:val="00666B5D"/>
    <w:rsid w:val="00666D92"/>
    <w:rsid w:val="006706B4"/>
    <w:rsid w:val="0067242A"/>
    <w:rsid w:val="00673CED"/>
    <w:rsid w:val="00674722"/>
    <w:rsid w:val="006749FE"/>
    <w:rsid w:val="006762D5"/>
    <w:rsid w:val="006801A9"/>
    <w:rsid w:val="0068296E"/>
    <w:rsid w:val="00685EAE"/>
    <w:rsid w:val="006900CE"/>
    <w:rsid w:val="00690C3A"/>
    <w:rsid w:val="00693B11"/>
    <w:rsid w:val="00693C62"/>
    <w:rsid w:val="00693D42"/>
    <w:rsid w:val="00697AEC"/>
    <w:rsid w:val="006A4089"/>
    <w:rsid w:val="006A5F3A"/>
    <w:rsid w:val="006A6F0A"/>
    <w:rsid w:val="006B00E1"/>
    <w:rsid w:val="006B0A36"/>
    <w:rsid w:val="006B1275"/>
    <w:rsid w:val="006B1578"/>
    <w:rsid w:val="006B1F77"/>
    <w:rsid w:val="006B4428"/>
    <w:rsid w:val="006B56AA"/>
    <w:rsid w:val="006B6BCB"/>
    <w:rsid w:val="006B6F2B"/>
    <w:rsid w:val="006C4C6F"/>
    <w:rsid w:val="006C5C8C"/>
    <w:rsid w:val="006D0314"/>
    <w:rsid w:val="006D0EA9"/>
    <w:rsid w:val="006D1AD5"/>
    <w:rsid w:val="006D20BD"/>
    <w:rsid w:val="006D4663"/>
    <w:rsid w:val="006D66CE"/>
    <w:rsid w:val="006D77F1"/>
    <w:rsid w:val="006E37A8"/>
    <w:rsid w:val="006E4B2D"/>
    <w:rsid w:val="006E4D4C"/>
    <w:rsid w:val="006F75CA"/>
    <w:rsid w:val="00701086"/>
    <w:rsid w:val="00701EE1"/>
    <w:rsid w:val="007031C1"/>
    <w:rsid w:val="007037E0"/>
    <w:rsid w:val="007046E4"/>
    <w:rsid w:val="0070524E"/>
    <w:rsid w:val="00721A12"/>
    <w:rsid w:val="00726CBC"/>
    <w:rsid w:val="00731E2A"/>
    <w:rsid w:val="00734FD4"/>
    <w:rsid w:val="0074155C"/>
    <w:rsid w:val="00744A0C"/>
    <w:rsid w:val="0074718B"/>
    <w:rsid w:val="00750BEB"/>
    <w:rsid w:val="00751194"/>
    <w:rsid w:val="00752F41"/>
    <w:rsid w:val="007553E2"/>
    <w:rsid w:val="00755821"/>
    <w:rsid w:val="00760711"/>
    <w:rsid w:val="00760C63"/>
    <w:rsid w:val="007612BB"/>
    <w:rsid w:val="00761E34"/>
    <w:rsid w:val="00763D77"/>
    <w:rsid w:val="00764256"/>
    <w:rsid w:val="0076454F"/>
    <w:rsid w:val="00771537"/>
    <w:rsid w:val="007746E5"/>
    <w:rsid w:val="007764F5"/>
    <w:rsid w:val="0078066F"/>
    <w:rsid w:val="00783694"/>
    <w:rsid w:val="0079172F"/>
    <w:rsid w:val="00791F91"/>
    <w:rsid w:val="00792E1B"/>
    <w:rsid w:val="00793C07"/>
    <w:rsid w:val="00794DAC"/>
    <w:rsid w:val="007958AE"/>
    <w:rsid w:val="0079703B"/>
    <w:rsid w:val="0079727B"/>
    <w:rsid w:val="007A2280"/>
    <w:rsid w:val="007A5B9B"/>
    <w:rsid w:val="007A6674"/>
    <w:rsid w:val="007A7C7A"/>
    <w:rsid w:val="007B3C6D"/>
    <w:rsid w:val="007B48FC"/>
    <w:rsid w:val="007B743A"/>
    <w:rsid w:val="007C3FAA"/>
    <w:rsid w:val="007D1F29"/>
    <w:rsid w:val="007D2D0F"/>
    <w:rsid w:val="007D31C8"/>
    <w:rsid w:val="007D38B1"/>
    <w:rsid w:val="007D3AB6"/>
    <w:rsid w:val="007D4637"/>
    <w:rsid w:val="007D4C6C"/>
    <w:rsid w:val="007D4EC4"/>
    <w:rsid w:val="007D5983"/>
    <w:rsid w:val="007D65BA"/>
    <w:rsid w:val="007D72FB"/>
    <w:rsid w:val="007E4C94"/>
    <w:rsid w:val="007E5F04"/>
    <w:rsid w:val="007F1677"/>
    <w:rsid w:val="007F2C2A"/>
    <w:rsid w:val="007F5169"/>
    <w:rsid w:val="007F647E"/>
    <w:rsid w:val="007F7EC0"/>
    <w:rsid w:val="00801A38"/>
    <w:rsid w:val="00803B40"/>
    <w:rsid w:val="00806F28"/>
    <w:rsid w:val="00807B69"/>
    <w:rsid w:val="00810E85"/>
    <w:rsid w:val="00812244"/>
    <w:rsid w:val="00812D31"/>
    <w:rsid w:val="0081372D"/>
    <w:rsid w:val="008138A3"/>
    <w:rsid w:val="008140E8"/>
    <w:rsid w:val="008166D4"/>
    <w:rsid w:val="00817DB8"/>
    <w:rsid w:val="0082057C"/>
    <w:rsid w:val="008223B6"/>
    <w:rsid w:val="00830E2C"/>
    <w:rsid w:val="00835FB6"/>
    <w:rsid w:val="008363CE"/>
    <w:rsid w:val="00841109"/>
    <w:rsid w:val="00845602"/>
    <w:rsid w:val="00846672"/>
    <w:rsid w:val="00847127"/>
    <w:rsid w:val="00853091"/>
    <w:rsid w:val="00856054"/>
    <w:rsid w:val="00856105"/>
    <w:rsid w:val="0086614D"/>
    <w:rsid w:val="00867F98"/>
    <w:rsid w:val="0087225E"/>
    <w:rsid w:val="00872B38"/>
    <w:rsid w:val="00872CDB"/>
    <w:rsid w:val="008801A3"/>
    <w:rsid w:val="0088330C"/>
    <w:rsid w:val="00883AA8"/>
    <w:rsid w:val="008853B1"/>
    <w:rsid w:val="008859FC"/>
    <w:rsid w:val="00885C49"/>
    <w:rsid w:val="0089165B"/>
    <w:rsid w:val="008920BC"/>
    <w:rsid w:val="00896917"/>
    <w:rsid w:val="008976C8"/>
    <w:rsid w:val="008A1016"/>
    <w:rsid w:val="008A402F"/>
    <w:rsid w:val="008A73D1"/>
    <w:rsid w:val="008B2078"/>
    <w:rsid w:val="008B641C"/>
    <w:rsid w:val="008B6A92"/>
    <w:rsid w:val="008B6F21"/>
    <w:rsid w:val="008B7807"/>
    <w:rsid w:val="008C2951"/>
    <w:rsid w:val="008C4241"/>
    <w:rsid w:val="008C50F1"/>
    <w:rsid w:val="008C6819"/>
    <w:rsid w:val="008D3759"/>
    <w:rsid w:val="008D5DDF"/>
    <w:rsid w:val="008E2B32"/>
    <w:rsid w:val="008E6B4B"/>
    <w:rsid w:val="008F0E1B"/>
    <w:rsid w:val="008F59CA"/>
    <w:rsid w:val="008F615A"/>
    <w:rsid w:val="008F7FE5"/>
    <w:rsid w:val="00900B57"/>
    <w:rsid w:val="00904713"/>
    <w:rsid w:val="009059F6"/>
    <w:rsid w:val="00905D0E"/>
    <w:rsid w:val="00912406"/>
    <w:rsid w:val="009136FB"/>
    <w:rsid w:val="0091459A"/>
    <w:rsid w:val="00914845"/>
    <w:rsid w:val="00921A8A"/>
    <w:rsid w:val="009220BF"/>
    <w:rsid w:val="00922256"/>
    <w:rsid w:val="0092669F"/>
    <w:rsid w:val="00933427"/>
    <w:rsid w:val="009356F2"/>
    <w:rsid w:val="00937148"/>
    <w:rsid w:val="00940369"/>
    <w:rsid w:val="009454F4"/>
    <w:rsid w:val="00946EFC"/>
    <w:rsid w:val="00946F59"/>
    <w:rsid w:val="00950E98"/>
    <w:rsid w:val="0095203B"/>
    <w:rsid w:val="009537E3"/>
    <w:rsid w:val="00957952"/>
    <w:rsid w:val="009612CA"/>
    <w:rsid w:val="00962F8A"/>
    <w:rsid w:val="00963D52"/>
    <w:rsid w:val="00965A51"/>
    <w:rsid w:val="00970EA5"/>
    <w:rsid w:val="00973CA7"/>
    <w:rsid w:val="009757C4"/>
    <w:rsid w:val="0097679F"/>
    <w:rsid w:val="00987D22"/>
    <w:rsid w:val="009929A4"/>
    <w:rsid w:val="00993BB4"/>
    <w:rsid w:val="009974A8"/>
    <w:rsid w:val="009A0EA8"/>
    <w:rsid w:val="009A1BDE"/>
    <w:rsid w:val="009A6E5F"/>
    <w:rsid w:val="009B170E"/>
    <w:rsid w:val="009B1762"/>
    <w:rsid w:val="009B4107"/>
    <w:rsid w:val="009B6F40"/>
    <w:rsid w:val="009C1E9F"/>
    <w:rsid w:val="009C4AF0"/>
    <w:rsid w:val="009C75DB"/>
    <w:rsid w:val="009D062B"/>
    <w:rsid w:val="009D39E4"/>
    <w:rsid w:val="009D4278"/>
    <w:rsid w:val="009E444A"/>
    <w:rsid w:val="009E50FB"/>
    <w:rsid w:val="009E5DEE"/>
    <w:rsid w:val="009E66C2"/>
    <w:rsid w:val="009E6EF2"/>
    <w:rsid w:val="009F76F8"/>
    <w:rsid w:val="00A027FE"/>
    <w:rsid w:val="00A049ED"/>
    <w:rsid w:val="00A06F79"/>
    <w:rsid w:val="00A13404"/>
    <w:rsid w:val="00A13C69"/>
    <w:rsid w:val="00A13FD3"/>
    <w:rsid w:val="00A15662"/>
    <w:rsid w:val="00A15B4D"/>
    <w:rsid w:val="00A17A05"/>
    <w:rsid w:val="00A20B5D"/>
    <w:rsid w:val="00A21678"/>
    <w:rsid w:val="00A21934"/>
    <w:rsid w:val="00A249CD"/>
    <w:rsid w:val="00A26BE9"/>
    <w:rsid w:val="00A3093B"/>
    <w:rsid w:val="00A30D3A"/>
    <w:rsid w:val="00A32364"/>
    <w:rsid w:val="00A33CFD"/>
    <w:rsid w:val="00A40BCE"/>
    <w:rsid w:val="00A50064"/>
    <w:rsid w:val="00A51785"/>
    <w:rsid w:val="00A52400"/>
    <w:rsid w:val="00A53AEC"/>
    <w:rsid w:val="00A55EDA"/>
    <w:rsid w:val="00A57355"/>
    <w:rsid w:val="00A610B1"/>
    <w:rsid w:val="00A63E72"/>
    <w:rsid w:val="00A665D9"/>
    <w:rsid w:val="00A66F56"/>
    <w:rsid w:val="00A675A0"/>
    <w:rsid w:val="00A7451A"/>
    <w:rsid w:val="00A83A06"/>
    <w:rsid w:val="00A925B1"/>
    <w:rsid w:val="00A92A0C"/>
    <w:rsid w:val="00A95ABA"/>
    <w:rsid w:val="00AA0D1E"/>
    <w:rsid w:val="00AA1328"/>
    <w:rsid w:val="00AA42D3"/>
    <w:rsid w:val="00AA470C"/>
    <w:rsid w:val="00AA5E0D"/>
    <w:rsid w:val="00AA6718"/>
    <w:rsid w:val="00AB0EAD"/>
    <w:rsid w:val="00AB2F6A"/>
    <w:rsid w:val="00AB6537"/>
    <w:rsid w:val="00AC01BC"/>
    <w:rsid w:val="00AC108C"/>
    <w:rsid w:val="00AC6148"/>
    <w:rsid w:val="00AD25EB"/>
    <w:rsid w:val="00AD273D"/>
    <w:rsid w:val="00AD3773"/>
    <w:rsid w:val="00AD6720"/>
    <w:rsid w:val="00AD732E"/>
    <w:rsid w:val="00AE1C0F"/>
    <w:rsid w:val="00AE2AFA"/>
    <w:rsid w:val="00AE7D66"/>
    <w:rsid w:val="00AF1DF5"/>
    <w:rsid w:val="00AF7704"/>
    <w:rsid w:val="00AF79C5"/>
    <w:rsid w:val="00B13D11"/>
    <w:rsid w:val="00B1422D"/>
    <w:rsid w:val="00B1504B"/>
    <w:rsid w:val="00B16D72"/>
    <w:rsid w:val="00B17FE0"/>
    <w:rsid w:val="00B20EEA"/>
    <w:rsid w:val="00B21464"/>
    <w:rsid w:val="00B27CA4"/>
    <w:rsid w:val="00B31267"/>
    <w:rsid w:val="00B35B9A"/>
    <w:rsid w:val="00B35E87"/>
    <w:rsid w:val="00B372CB"/>
    <w:rsid w:val="00B37D32"/>
    <w:rsid w:val="00B41ECA"/>
    <w:rsid w:val="00B45AD9"/>
    <w:rsid w:val="00B46B50"/>
    <w:rsid w:val="00B51FC7"/>
    <w:rsid w:val="00B532E2"/>
    <w:rsid w:val="00B55775"/>
    <w:rsid w:val="00B600C1"/>
    <w:rsid w:val="00B61F3D"/>
    <w:rsid w:val="00B63142"/>
    <w:rsid w:val="00B63FE9"/>
    <w:rsid w:val="00B66E98"/>
    <w:rsid w:val="00B70040"/>
    <w:rsid w:val="00B70889"/>
    <w:rsid w:val="00B75E35"/>
    <w:rsid w:val="00B762CF"/>
    <w:rsid w:val="00B7694F"/>
    <w:rsid w:val="00B810FB"/>
    <w:rsid w:val="00B822DC"/>
    <w:rsid w:val="00B85510"/>
    <w:rsid w:val="00B86F8C"/>
    <w:rsid w:val="00B87097"/>
    <w:rsid w:val="00B935F7"/>
    <w:rsid w:val="00B94787"/>
    <w:rsid w:val="00B96CF9"/>
    <w:rsid w:val="00B97368"/>
    <w:rsid w:val="00B97861"/>
    <w:rsid w:val="00BA0C36"/>
    <w:rsid w:val="00BA2DFA"/>
    <w:rsid w:val="00BA5985"/>
    <w:rsid w:val="00BA6DCA"/>
    <w:rsid w:val="00BB2E37"/>
    <w:rsid w:val="00BB3B9D"/>
    <w:rsid w:val="00BB475D"/>
    <w:rsid w:val="00BB612C"/>
    <w:rsid w:val="00BB74E8"/>
    <w:rsid w:val="00BC0022"/>
    <w:rsid w:val="00BC2E32"/>
    <w:rsid w:val="00BC3702"/>
    <w:rsid w:val="00BC3723"/>
    <w:rsid w:val="00BC3A0B"/>
    <w:rsid w:val="00BC4367"/>
    <w:rsid w:val="00BC79A5"/>
    <w:rsid w:val="00BD1749"/>
    <w:rsid w:val="00BD19A7"/>
    <w:rsid w:val="00BD4173"/>
    <w:rsid w:val="00BD7D8C"/>
    <w:rsid w:val="00BE2354"/>
    <w:rsid w:val="00BE5E00"/>
    <w:rsid w:val="00BE7E28"/>
    <w:rsid w:val="00BF134C"/>
    <w:rsid w:val="00BF53C2"/>
    <w:rsid w:val="00BF55BD"/>
    <w:rsid w:val="00C036E1"/>
    <w:rsid w:val="00C06DAA"/>
    <w:rsid w:val="00C13727"/>
    <w:rsid w:val="00C148C6"/>
    <w:rsid w:val="00C14B6A"/>
    <w:rsid w:val="00C15825"/>
    <w:rsid w:val="00C174A1"/>
    <w:rsid w:val="00C24AC7"/>
    <w:rsid w:val="00C25258"/>
    <w:rsid w:val="00C255CE"/>
    <w:rsid w:val="00C26177"/>
    <w:rsid w:val="00C27633"/>
    <w:rsid w:val="00C27BEA"/>
    <w:rsid w:val="00C35401"/>
    <w:rsid w:val="00C3712E"/>
    <w:rsid w:val="00C435E6"/>
    <w:rsid w:val="00C443E4"/>
    <w:rsid w:val="00C446EE"/>
    <w:rsid w:val="00C51F32"/>
    <w:rsid w:val="00C520EF"/>
    <w:rsid w:val="00C5244A"/>
    <w:rsid w:val="00C56E41"/>
    <w:rsid w:val="00C609D6"/>
    <w:rsid w:val="00C622B3"/>
    <w:rsid w:val="00C67553"/>
    <w:rsid w:val="00C676A9"/>
    <w:rsid w:val="00C67EFD"/>
    <w:rsid w:val="00C719FB"/>
    <w:rsid w:val="00C71C81"/>
    <w:rsid w:val="00C71F2E"/>
    <w:rsid w:val="00C720B8"/>
    <w:rsid w:val="00C72488"/>
    <w:rsid w:val="00C741BF"/>
    <w:rsid w:val="00C746A8"/>
    <w:rsid w:val="00C77F0C"/>
    <w:rsid w:val="00C835AC"/>
    <w:rsid w:val="00C85BA9"/>
    <w:rsid w:val="00C867A5"/>
    <w:rsid w:val="00C86A3C"/>
    <w:rsid w:val="00C87A3B"/>
    <w:rsid w:val="00C87D50"/>
    <w:rsid w:val="00C901A7"/>
    <w:rsid w:val="00C9117D"/>
    <w:rsid w:val="00C91D5D"/>
    <w:rsid w:val="00CA1F6D"/>
    <w:rsid w:val="00CA5ACE"/>
    <w:rsid w:val="00CB2684"/>
    <w:rsid w:val="00CB7888"/>
    <w:rsid w:val="00CB7DE1"/>
    <w:rsid w:val="00CD0810"/>
    <w:rsid w:val="00CD0871"/>
    <w:rsid w:val="00CD15AC"/>
    <w:rsid w:val="00CD3BC6"/>
    <w:rsid w:val="00CD7D7E"/>
    <w:rsid w:val="00CE00DF"/>
    <w:rsid w:val="00CE0851"/>
    <w:rsid w:val="00CE2815"/>
    <w:rsid w:val="00CE52DC"/>
    <w:rsid w:val="00CF1384"/>
    <w:rsid w:val="00CF2476"/>
    <w:rsid w:val="00CF31A3"/>
    <w:rsid w:val="00CF53F3"/>
    <w:rsid w:val="00D0005C"/>
    <w:rsid w:val="00D01223"/>
    <w:rsid w:val="00D0531F"/>
    <w:rsid w:val="00D0649F"/>
    <w:rsid w:val="00D06A2B"/>
    <w:rsid w:val="00D07388"/>
    <w:rsid w:val="00D101DB"/>
    <w:rsid w:val="00D137A0"/>
    <w:rsid w:val="00D14DA8"/>
    <w:rsid w:val="00D152BD"/>
    <w:rsid w:val="00D17566"/>
    <w:rsid w:val="00D20765"/>
    <w:rsid w:val="00D22980"/>
    <w:rsid w:val="00D23242"/>
    <w:rsid w:val="00D23D28"/>
    <w:rsid w:val="00D3713E"/>
    <w:rsid w:val="00D40D69"/>
    <w:rsid w:val="00D43946"/>
    <w:rsid w:val="00D463F3"/>
    <w:rsid w:val="00D46E2E"/>
    <w:rsid w:val="00D526AB"/>
    <w:rsid w:val="00D54B44"/>
    <w:rsid w:val="00D65A9A"/>
    <w:rsid w:val="00D6748D"/>
    <w:rsid w:val="00D67EFB"/>
    <w:rsid w:val="00D8046B"/>
    <w:rsid w:val="00D825BB"/>
    <w:rsid w:val="00D9165B"/>
    <w:rsid w:val="00DA03A3"/>
    <w:rsid w:val="00DA044F"/>
    <w:rsid w:val="00DA0F19"/>
    <w:rsid w:val="00DA1172"/>
    <w:rsid w:val="00DA4D0F"/>
    <w:rsid w:val="00DA72AF"/>
    <w:rsid w:val="00DB05CE"/>
    <w:rsid w:val="00DB09FD"/>
    <w:rsid w:val="00DB214F"/>
    <w:rsid w:val="00DC0B27"/>
    <w:rsid w:val="00DC0DC3"/>
    <w:rsid w:val="00DC5979"/>
    <w:rsid w:val="00DC683E"/>
    <w:rsid w:val="00DD7ACC"/>
    <w:rsid w:val="00DD7C86"/>
    <w:rsid w:val="00DE210F"/>
    <w:rsid w:val="00DE6729"/>
    <w:rsid w:val="00DE780F"/>
    <w:rsid w:val="00DF005C"/>
    <w:rsid w:val="00DF193F"/>
    <w:rsid w:val="00DF25E1"/>
    <w:rsid w:val="00DF45C1"/>
    <w:rsid w:val="00DF63D3"/>
    <w:rsid w:val="00E01277"/>
    <w:rsid w:val="00E0373F"/>
    <w:rsid w:val="00E07FC2"/>
    <w:rsid w:val="00E10C3F"/>
    <w:rsid w:val="00E1277C"/>
    <w:rsid w:val="00E16381"/>
    <w:rsid w:val="00E16BE0"/>
    <w:rsid w:val="00E20FDC"/>
    <w:rsid w:val="00E21413"/>
    <w:rsid w:val="00E22D57"/>
    <w:rsid w:val="00E278B7"/>
    <w:rsid w:val="00E30D44"/>
    <w:rsid w:val="00E329CC"/>
    <w:rsid w:val="00E35F37"/>
    <w:rsid w:val="00E426CB"/>
    <w:rsid w:val="00E4477C"/>
    <w:rsid w:val="00E53672"/>
    <w:rsid w:val="00E5578E"/>
    <w:rsid w:val="00E604F1"/>
    <w:rsid w:val="00E61DE2"/>
    <w:rsid w:val="00E71B7C"/>
    <w:rsid w:val="00E72E33"/>
    <w:rsid w:val="00E7592D"/>
    <w:rsid w:val="00E826CD"/>
    <w:rsid w:val="00E8442D"/>
    <w:rsid w:val="00E854A1"/>
    <w:rsid w:val="00E93D2E"/>
    <w:rsid w:val="00E9738B"/>
    <w:rsid w:val="00E97895"/>
    <w:rsid w:val="00E97ED5"/>
    <w:rsid w:val="00EA233A"/>
    <w:rsid w:val="00EA6339"/>
    <w:rsid w:val="00EB051B"/>
    <w:rsid w:val="00EB0F3C"/>
    <w:rsid w:val="00EB2414"/>
    <w:rsid w:val="00EB4289"/>
    <w:rsid w:val="00EB44C9"/>
    <w:rsid w:val="00EB5B32"/>
    <w:rsid w:val="00EB75BE"/>
    <w:rsid w:val="00EC1A0F"/>
    <w:rsid w:val="00EC2883"/>
    <w:rsid w:val="00EC3753"/>
    <w:rsid w:val="00EC40A2"/>
    <w:rsid w:val="00EC4659"/>
    <w:rsid w:val="00EC4D83"/>
    <w:rsid w:val="00EC69E5"/>
    <w:rsid w:val="00ED4FC7"/>
    <w:rsid w:val="00ED59E6"/>
    <w:rsid w:val="00EE126C"/>
    <w:rsid w:val="00EE2C1D"/>
    <w:rsid w:val="00EF10A6"/>
    <w:rsid w:val="00EF1CEA"/>
    <w:rsid w:val="00EF299F"/>
    <w:rsid w:val="00EF31F9"/>
    <w:rsid w:val="00EF4E8F"/>
    <w:rsid w:val="00EF5AA6"/>
    <w:rsid w:val="00EF6432"/>
    <w:rsid w:val="00EF6661"/>
    <w:rsid w:val="00F013C6"/>
    <w:rsid w:val="00F035C6"/>
    <w:rsid w:val="00F04A50"/>
    <w:rsid w:val="00F0516B"/>
    <w:rsid w:val="00F05E51"/>
    <w:rsid w:val="00F0669D"/>
    <w:rsid w:val="00F17533"/>
    <w:rsid w:val="00F21003"/>
    <w:rsid w:val="00F211FE"/>
    <w:rsid w:val="00F21E92"/>
    <w:rsid w:val="00F238BB"/>
    <w:rsid w:val="00F23BD1"/>
    <w:rsid w:val="00F246C6"/>
    <w:rsid w:val="00F43EFC"/>
    <w:rsid w:val="00F446EB"/>
    <w:rsid w:val="00F4506A"/>
    <w:rsid w:val="00F508E5"/>
    <w:rsid w:val="00F571BE"/>
    <w:rsid w:val="00F5795E"/>
    <w:rsid w:val="00F57B77"/>
    <w:rsid w:val="00F6136F"/>
    <w:rsid w:val="00F6601D"/>
    <w:rsid w:val="00F67588"/>
    <w:rsid w:val="00F70F28"/>
    <w:rsid w:val="00F72CA9"/>
    <w:rsid w:val="00F739A8"/>
    <w:rsid w:val="00F742EC"/>
    <w:rsid w:val="00F8221A"/>
    <w:rsid w:val="00F87390"/>
    <w:rsid w:val="00F940B3"/>
    <w:rsid w:val="00F95BD0"/>
    <w:rsid w:val="00FA593E"/>
    <w:rsid w:val="00FB45E4"/>
    <w:rsid w:val="00FC18D7"/>
    <w:rsid w:val="00FC62F9"/>
    <w:rsid w:val="00FC6BE7"/>
    <w:rsid w:val="00FD2FD3"/>
    <w:rsid w:val="00FD5E8F"/>
    <w:rsid w:val="00FE26CC"/>
    <w:rsid w:val="00FE48A3"/>
    <w:rsid w:val="00FE692E"/>
    <w:rsid w:val="00FE78A2"/>
    <w:rsid w:val="00FF3E28"/>
    <w:rsid w:val="01031527"/>
    <w:rsid w:val="012C1C02"/>
    <w:rsid w:val="014063FE"/>
    <w:rsid w:val="01721FEB"/>
    <w:rsid w:val="01722330"/>
    <w:rsid w:val="018D1303"/>
    <w:rsid w:val="01CA5CC8"/>
    <w:rsid w:val="01E70628"/>
    <w:rsid w:val="021444D5"/>
    <w:rsid w:val="02226211"/>
    <w:rsid w:val="02771997"/>
    <w:rsid w:val="0293255D"/>
    <w:rsid w:val="02987B74"/>
    <w:rsid w:val="02E25F12"/>
    <w:rsid w:val="030516AD"/>
    <w:rsid w:val="033E13D6"/>
    <w:rsid w:val="038A3F97"/>
    <w:rsid w:val="03993BA4"/>
    <w:rsid w:val="03A66B69"/>
    <w:rsid w:val="03D06ACE"/>
    <w:rsid w:val="03E017D2"/>
    <w:rsid w:val="042C4F6C"/>
    <w:rsid w:val="04446205"/>
    <w:rsid w:val="047255F5"/>
    <w:rsid w:val="048C54B6"/>
    <w:rsid w:val="049A4077"/>
    <w:rsid w:val="050808FC"/>
    <w:rsid w:val="05130EC4"/>
    <w:rsid w:val="05452235"/>
    <w:rsid w:val="055A330C"/>
    <w:rsid w:val="05696B81"/>
    <w:rsid w:val="05A21435"/>
    <w:rsid w:val="05F52269"/>
    <w:rsid w:val="06127C3D"/>
    <w:rsid w:val="06215480"/>
    <w:rsid w:val="062E1176"/>
    <w:rsid w:val="063E255E"/>
    <w:rsid w:val="065D710A"/>
    <w:rsid w:val="069468A4"/>
    <w:rsid w:val="06AB5681"/>
    <w:rsid w:val="06D86E6E"/>
    <w:rsid w:val="06E710CA"/>
    <w:rsid w:val="06E94E42"/>
    <w:rsid w:val="07101435"/>
    <w:rsid w:val="072B0FB7"/>
    <w:rsid w:val="07724E37"/>
    <w:rsid w:val="07B37245"/>
    <w:rsid w:val="07EC1177"/>
    <w:rsid w:val="08A54D99"/>
    <w:rsid w:val="08D916F2"/>
    <w:rsid w:val="08E33B14"/>
    <w:rsid w:val="09121B08"/>
    <w:rsid w:val="09B14CEA"/>
    <w:rsid w:val="09B4074E"/>
    <w:rsid w:val="09B47989"/>
    <w:rsid w:val="09CB6A81"/>
    <w:rsid w:val="0A0106F5"/>
    <w:rsid w:val="0A0F43A2"/>
    <w:rsid w:val="0A522CFE"/>
    <w:rsid w:val="0A537E82"/>
    <w:rsid w:val="0A670558"/>
    <w:rsid w:val="0AD31B13"/>
    <w:rsid w:val="0B1F1512"/>
    <w:rsid w:val="0B5C3158"/>
    <w:rsid w:val="0B845139"/>
    <w:rsid w:val="0B913B41"/>
    <w:rsid w:val="0BB023D2"/>
    <w:rsid w:val="0BC027C4"/>
    <w:rsid w:val="0BC750CE"/>
    <w:rsid w:val="0BE16F32"/>
    <w:rsid w:val="0C204376"/>
    <w:rsid w:val="0C254A1B"/>
    <w:rsid w:val="0C526FE5"/>
    <w:rsid w:val="0C6875C2"/>
    <w:rsid w:val="0C9866B9"/>
    <w:rsid w:val="0CA77331"/>
    <w:rsid w:val="0CB16402"/>
    <w:rsid w:val="0CEC0DE7"/>
    <w:rsid w:val="0CF3634C"/>
    <w:rsid w:val="0D0227BA"/>
    <w:rsid w:val="0D5F19BA"/>
    <w:rsid w:val="0D605732"/>
    <w:rsid w:val="0D6A5091"/>
    <w:rsid w:val="0D844388"/>
    <w:rsid w:val="0DEE34CD"/>
    <w:rsid w:val="0E0661A0"/>
    <w:rsid w:val="0E0B7D94"/>
    <w:rsid w:val="0E230C39"/>
    <w:rsid w:val="0E607F86"/>
    <w:rsid w:val="0E8A0CB9"/>
    <w:rsid w:val="0E9C279A"/>
    <w:rsid w:val="0EB421D9"/>
    <w:rsid w:val="0ECF2A4F"/>
    <w:rsid w:val="0F142273"/>
    <w:rsid w:val="0F5B4403"/>
    <w:rsid w:val="0F5D008C"/>
    <w:rsid w:val="0F6541C3"/>
    <w:rsid w:val="0F6627A1"/>
    <w:rsid w:val="0F9A5CF8"/>
    <w:rsid w:val="0FD3114F"/>
    <w:rsid w:val="0FE46009"/>
    <w:rsid w:val="0FEE5EBF"/>
    <w:rsid w:val="108300B5"/>
    <w:rsid w:val="108654B0"/>
    <w:rsid w:val="108C64EF"/>
    <w:rsid w:val="10BE733F"/>
    <w:rsid w:val="10CA1840"/>
    <w:rsid w:val="10CF3F1B"/>
    <w:rsid w:val="10D97CD5"/>
    <w:rsid w:val="10FC5772"/>
    <w:rsid w:val="11093651"/>
    <w:rsid w:val="11662604"/>
    <w:rsid w:val="11796EDC"/>
    <w:rsid w:val="118B0DEE"/>
    <w:rsid w:val="119D5A3B"/>
    <w:rsid w:val="11C00B52"/>
    <w:rsid w:val="121C00A4"/>
    <w:rsid w:val="12273B86"/>
    <w:rsid w:val="12635AA8"/>
    <w:rsid w:val="127840D2"/>
    <w:rsid w:val="12900790"/>
    <w:rsid w:val="12900868"/>
    <w:rsid w:val="12A02ED2"/>
    <w:rsid w:val="13192CDB"/>
    <w:rsid w:val="13280779"/>
    <w:rsid w:val="134F24D1"/>
    <w:rsid w:val="13982333"/>
    <w:rsid w:val="139D188B"/>
    <w:rsid w:val="13AA7707"/>
    <w:rsid w:val="13B71069"/>
    <w:rsid w:val="13FF3EF7"/>
    <w:rsid w:val="144E2788"/>
    <w:rsid w:val="14806439"/>
    <w:rsid w:val="149C1746"/>
    <w:rsid w:val="14E4477F"/>
    <w:rsid w:val="15BD1BCA"/>
    <w:rsid w:val="15FB113C"/>
    <w:rsid w:val="16105DC5"/>
    <w:rsid w:val="166E7112"/>
    <w:rsid w:val="16730284"/>
    <w:rsid w:val="16753FFC"/>
    <w:rsid w:val="16B965DF"/>
    <w:rsid w:val="170E68D9"/>
    <w:rsid w:val="1741793A"/>
    <w:rsid w:val="1743234C"/>
    <w:rsid w:val="17933E49"/>
    <w:rsid w:val="17966F3F"/>
    <w:rsid w:val="179901BE"/>
    <w:rsid w:val="17C24EE1"/>
    <w:rsid w:val="17C27715"/>
    <w:rsid w:val="17C57205"/>
    <w:rsid w:val="17E4768B"/>
    <w:rsid w:val="17FC3BA5"/>
    <w:rsid w:val="182513C0"/>
    <w:rsid w:val="18397E11"/>
    <w:rsid w:val="18735E22"/>
    <w:rsid w:val="19237159"/>
    <w:rsid w:val="194505FE"/>
    <w:rsid w:val="19687E48"/>
    <w:rsid w:val="196B1CEA"/>
    <w:rsid w:val="198E1EAE"/>
    <w:rsid w:val="19E05949"/>
    <w:rsid w:val="19E80331"/>
    <w:rsid w:val="19FB3499"/>
    <w:rsid w:val="1A24288D"/>
    <w:rsid w:val="1B1B5294"/>
    <w:rsid w:val="1B356450"/>
    <w:rsid w:val="1B434F04"/>
    <w:rsid w:val="1B9C14FB"/>
    <w:rsid w:val="1BEB4F4B"/>
    <w:rsid w:val="1BEF4851"/>
    <w:rsid w:val="1BFE3C79"/>
    <w:rsid w:val="1C1357D3"/>
    <w:rsid w:val="1C2C01A7"/>
    <w:rsid w:val="1C3154D0"/>
    <w:rsid w:val="1C4F3541"/>
    <w:rsid w:val="1C584649"/>
    <w:rsid w:val="1C792E22"/>
    <w:rsid w:val="1CB01607"/>
    <w:rsid w:val="1CB57848"/>
    <w:rsid w:val="1CBF2475"/>
    <w:rsid w:val="1CF11B30"/>
    <w:rsid w:val="1CF4323C"/>
    <w:rsid w:val="1D2A0352"/>
    <w:rsid w:val="1D2D5631"/>
    <w:rsid w:val="1D345E0F"/>
    <w:rsid w:val="1D581D92"/>
    <w:rsid w:val="1D880AB9"/>
    <w:rsid w:val="1DAE2109"/>
    <w:rsid w:val="1DB9452C"/>
    <w:rsid w:val="1DDE5424"/>
    <w:rsid w:val="1DE33F41"/>
    <w:rsid w:val="1DE71C83"/>
    <w:rsid w:val="1E206809"/>
    <w:rsid w:val="1E5A0F1E"/>
    <w:rsid w:val="1E5A29B0"/>
    <w:rsid w:val="1E71779F"/>
    <w:rsid w:val="1E8A6AB3"/>
    <w:rsid w:val="1EBC700B"/>
    <w:rsid w:val="1EFB3211"/>
    <w:rsid w:val="1F103EA9"/>
    <w:rsid w:val="1F1D7927"/>
    <w:rsid w:val="1F784B5D"/>
    <w:rsid w:val="1FB14636"/>
    <w:rsid w:val="1FCA3C17"/>
    <w:rsid w:val="1FDB296A"/>
    <w:rsid w:val="1FE909DC"/>
    <w:rsid w:val="1FF42436"/>
    <w:rsid w:val="204333BD"/>
    <w:rsid w:val="20457135"/>
    <w:rsid w:val="20631369"/>
    <w:rsid w:val="20755F4B"/>
    <w:rsid w:val="20AF152F"/>
    <w:rsid w:val="21431371"/>
    <w:rsid w:val="2149055F"/>
    <w:rsid w:val="21513626"/>
    <w:rsid w:val="215C64E4"/>
    <w:rsid w:val="215D225D"/>
    <w:rsid w:val="21707EAF"/>
    <w:rsid w:val="219537A4"/>
    <w:rsid w:val="21C36564"/>
    <w:rsid w:val="21DF0EC4"/>
    <w:rsid w:val="221C055F"/>
    <w:rsid w:val="22525E8C"/>
    <w:rsid w:val="228D0920"/>
    <w:rsid w:val="22F02729"/>
    <w:rsid w:val="230A7A8F"/>
    <w:rsid w:val="23290736"/>
    <w:rsid w:val="23362D65"/>
    <w:rsid w:val="236E5E5F"/>
    <w:rsid w:val="2378337E"/>
    <w:rsid w:val="237E5141"/>
    <w:rsid w:val="239A32F4"/>
    <w:rsid w:val="23A61C99"/>
    <w:rsid w:val="23C5440E"/>
    <w:rsid w:val="23F30C56"/>
    <w:rsid w:val="24266C7C"/>
    <w:rsid w:val="244A2F6C"/>
    <w:rsid w:val="246A64EC"/>
    <w:rsid w:val="248E0882"/>
    <w:rsid w:val="24AB04CD"/>
    <w:rsid w:val="24B85FE4"/>
    <w:rsid w:val="24D67678"/>
    <w:rsid w:val="24FE4F91"/>
    <w:rsid w:val="251417B8"/>
    <w:rsid w:val="2524556B"/>
    <w:rsid w:val="252E63EA"/>
    <w:rsid w:val="25440C67"/>
    <w:rsid w:val="25493224"/>
    <w:rsid w:val="25551BC9"/>
    <w:rsid w:val="256533FF"/>
    <w:rsid w:val="25714E00"/>
    <w:rsid w:val="25946DD0"/>
    <w:rsid w:val="25A53D6F"/>
    <w:rsid w:val="25E847EB"/>
    <w:rsid w:val="267047E0"/>
    <w:rsid w:val="26793FA2"/>
    <w:rsid w:val="26A1632F"/>
    <w:rsid w:val="270F7B55"/>
    <w:rsid w:val="272532E2"/>
    <w:rsid w:val="273B6B9C"/>
    <w:rsid w:val="27427F2B"/>
    <w:rsid w:val="276C3345"/>
    <w:rsid w:val="276F2332"/>
    <w:rsid w:val="27857F9B"/>
    <w:rsid w:val="2795721C"/>
    <w:rsid w:val="27A641C3"/>
    <w:rsid w:val="27A6670B"/>
    <w:rsid w:val="27C546B8"/>
    <w:rsid w:val="282633A8"/>
    <w:rsid w:val="284461F5"/>
    <w:rsid w:val="286F1880"/>
    <w:rsid w:val="28A10C81"/>
    <w:rsid w:val="28BD0522"/>
    <w:rsid w:val="28DB6828"/>
    <w:rsid w:val="28EC2844"/>
    <w:rsid w:val="29114058"/>
    <w:rsid w:val="29745A9F"/>
    <w:rsid w:val="29895F6F"/>
    <w:rsid w:val="298E5CC2"/>
    <w:rsid w:val="29995DFC"/>
    <w:rsid w:val="29AC6F9B"/>
    <w:rsid w:val="29B91807"/>
    <w:rsid w:val="29C97866"/>
    <w:rsid w:val="29E821D3"/>
    <w:rsid w:val="29F75268"/>
    <w:rsid w:val="2A0D55C1"/>
    <w:rsid w:val="2A840919"/>
    <w:rsid w:val="2A930A9D"/>
    <w:rsid w:val="2A967EB2"/>
    <w:rsid w:val="2AD417E1"/>
    <w:rsid w:val="2B065713"/>
    <w:rsid w:val="2B0D2CED"/>
    <w:rsid w:val="2B2411B6"/>
    <w:rsid w:val="2B2871E7"/>
    <w:rsid w:val="2B9057FA"/>
    <w:rsid w:val="2BA9299F"/>
    <w:rsid w:val="2BBA0C84"/>
    <w:rsid w:val="2BF832AE"/>
    <w:rsid w:val="2BFE65C2"/>
    <w:rsid w:val="2C02412C"/>
    <w:rsid w:val="2C1665B8"/>
    <w:rsid w:val="2C295297"/>
    <w:rsid w:val="2C493B09"/>
    <w:rsid w:val="2C6E17C2"/>
    <w:rsid w:val="2D205D35"/>
    <w:rsid w:val="2D7F69DE"/>
    <w:rsid w:val="2DB16F26"/>
    <w:rsid w:val="2DB3388B"/>
    <w:rsid w:val="2DC0604D"/>
    <w:rsid w:val="2DCA6ECC"/>
    <w:rsid w:val="2E0A056F"/>
    <w:rsid w:val="2E815E80"/>
    <w:rsid w:val="2E954277"/>
    <w:rsid w:val="2ED53A12"/>
    <w:rsid w:val="2EDF69A7"/>
    <w:rsid w:val="2F1A79DF"/>
    <w:rsid w:val="2F2A413F"/>
    <w:rsid w:val="2F363171"/>
    <w:rsid w:val="2F487431"/>
    <w:rsid w:val="2F9A32C8"/>
    <w:rsid w:val="2FB32CCE"/>
    <w:rsid w:val="30311375"/>
    <w:rsid w:val="30473F91"/>
    <w:rsid w:val="306058C5"/>
    <w:rsid w:val="30B023A9"/>
    <w:rsid w:val="30C714A1"/>
    <w:rsid w:val="311772A4"/>
    <w:rsid w:val="31186537"/>
    <w:rsid w:val="312A7037"/>
    <w:rsid w:val="31B92B8B"/>
    <w:rsid w:val="32326CFB"/>
    <w:rsid w:val="324D032D"/>
    <w:rsid w:val="324D78CD"/>
    <w:rsid w:val="3257574A"/>
    <w:rsid w:val="329E21EF"/>
    <w:rsid w:val="32EB1216"/>
    <w:rsid w:val="32FB3683"/>
    <w:rsid w:val="32FD564D"/>
    <w:rsid w:val="3328091C"/>
    <w:rsid w:val="338C6DB2"/>
    <w:rsid w:val="338F3097"/>
    <w:rsid w:val="33A51F6D"/>
    <w:rsid w:val="33C06DA7"/>
    <w:rsid w:val="342509B8"/>
    <w:rsid w:val="34297F29"/>
    <w:rsid w:val="344A5876"/>
    <w:rsid w:val="344D1C33"/>
    <w:rsid w:val="348820F0"/>
    <w:rsid w:val="348E47AF"/>
    <w:rsid w:val="34AE6BFF"/>
    <w:rsid w:val="34CA3E45"/>
    <w:rsid w:val="34D34153"/>
    <w:rsid w:val="35381EF4"/>
    <w:rsid w:val="355E745E"/>
    <w:rsid w:val="359202CF"/>
    <w:rsid w:val="359758E5"/>
    <w:rsid w:val="359D5EEA"/>
    <w:rsid w:val="35BA1D81"/>
    <w:rsid w:val="35D02BA5"/>
    <w:rsid w:val="35D46B3A"/>
    <w:rsid w:val="35E8637E"/>
    <w:rsid w:val="35FC7E3E"/>
    <w:rsid w:val="36085C11"/>
    <w:rsid w:val="361B0127"/>
    <w:rsid w:val="363C3B17"/>
    <w:rsid w:val="36474247"/>
    <w:rsid w:val="365612FD"/>
    <w:rsid w:val="36756424"/>
    <w:rsid w:val="3677309A"/>
    <w:rsid w:val="36AD2EE7"/>
    <w:rsid w:val="36F40B16"/>
    <w:rsid w:val="370C52DF"/>
    <w:rsid w:val="370C5E5F"/>
    <w:rsid w:val="374B6987"/>
    <w:rsid w:val="374D6BA3"/>
    <w:rsid w:val="375A306E"/>
    <w:rsid w:val="37AA6440"/>
    <w:rsid w:val="37AF0A14"/>
    <w:rsid w:val="37CE1367"/>
    <w:rsid w:val="37D746BF"/>
    <w:rsid w:val="37E528A4"/>
    <w:rsid w:val="38085F26"/>
    <w:rsid w:val="38426065"/>
    <w:rsid w:val="38C84008"/>
    <w:rsid w:val="38CA5FD2"/>
    <w:rsid w:val="38EB0F04"/>
    <w:rsid w:val="38FE081E"/>
    <w:rsid w:val="39411452"/>
    <w:rsid w:val="397B72CC"/>
    <w:rsid w:val="397C49C3"/>
    <w:rsid w:val="39B22FFA"/>
    <w:rsid w:val="39BA7DF4"/>
    <w:rsid w:val="39C15930"/>
    <w:rsid w:val="3A173499"/>
    <w:rsid w:val="3A30022F"/>
    <w:rsid w:val="3A371445"/>
    <w:rsid w:val="3A503980"/>
    <w:rsid w:val="3A886145"/>
    <w:rsid w:val="3A8D72B7"/>
    <w:rsid w:val="3AB900AC"/>
    <w:rsid w:val="3AC52EF5"/>
    <w:rsid w:val="3AC91083"/>
    <w:rsid w:val="3B007A89"/>
    <w:rsid w:val="3B027CA5"/>
    <w:rsid w:val="3B0A5A2B"/>
    <w:rsid w:val="3B2E2848"/>
    <w:rsid w:val="3B3C726C"/>
    <w:rsid w:val="3B5D4EDB"/>
    <w:rsid w:val="3B81506E"/>
    <w:rsid w:val="3BA60D07"/>
    <w:rsid w:val="3BA6272A"/>
    <w:rsid w:val="3BAC0F6E"/>
    <w:rsid w:val="3BB22833"/>
    <w:rsid w:val="3BC4775F"/>
    <w:rsid w:val="3BE27C97"/>
    <w:rsid w:val="3BE473AB"/>
    <w:rsid w:val="3C9A513B"/>
    <w:rsid w:val="3CCD2793"/>
    <w:rsid w:val="3CFA57E4"/>
    <w:rsid w:val="3D0221DE"/>
    <w:rsid w:val="3D092B74"/>
    <w:rsid w:val="3D1E60DF"/>
    <w:rsid w:val="3D2B44D7"/>
    <w:rsid w:val="3DE2791A"/>
    <w:rsid w:val="3DE931F2"/>
    <w:rsid w:val="3E053B4B"/>
    <w:rsid w:val="3E151A9D"/>
    <w:rsid w:val="3E2174C3"/>
    <w:rsid w:val="3E375EB7"/>
    <w:rsid w:val="3E38205E"/>
    <w:rsid w:val="3E9E5F37"/>
    <w:rsid w:val="3EA47C68"/>
    <w:rsid w:val="3EC45EF4"/>
    <w:rsid w:val="3ED03C16"/>
    <w:rsid w:val="3EEB27FE"/>
    <w:rsid w:val="3EF25F54"/>
    <w:rsid w:val="3F3423F7"/>
    <w:rsid w:val="3F8E1B07"/>
    <w:rsid w:val="40161AFD"/>
    <w:rsid w:val="401D10DD"/>
    <w:rsid w:val="403326AF"/>
    <w:rsid w:val="408B6047"/>
    <w:rsid w:val="409A517D"/>
    <w:rsid w:val="40AF442B"/>
    <w:rsid w:val="40E165AE"/>
    <w:rsid w:val="411C75E7"/>
    <w:rsid w:val="41540B2E"/>
    <w:rsid w:val="415E333C"/>
    <w:rsid w:val="418F600A"/>
    <w:rsid w:val="419B5FD1"/>
    <w:rsid w:val="419E1DAA"/>
    <w:rsid w:val="420D5851"/>
    <w:rsid w:val="424B3CDF"/>
    <w:rsid w:val="426D19F0"/>
    <w:rsid w:val="42D31F27"/>
    <w:rsid w:val="42D33CD5"/>
    <w:rsid w:val="42DD037E"/>
    <w:rsid w:val="42FC5208"/>
    <w:rsid w:val="43341596"/>
    <w:rsid w:val="436F7EA2"/>
    <w:rsid w:val="43860D47"/>
    <w:rsid w:val="43ED0DC6"/>
    <w:rsid w:val="43FB4652"/>
    <w:rsid w:val="43FF1225"/>
    <w:rsid w:val="4410457F"/>
    <w:rsid w:val="44265D5C"/>
    <w:rsid w:val="445F4788"/>
    <w:rsid w:val="449633BF"/>
    <w:rsid w:val="44B32884"/>
    <w:rsid w:val="44C147DB"/>
    <w:rsid w:val="44D94857"/>
    <w:rsid w:val="44E73A68"/>
    <w:rsid w:val="45117DDD"/>
    <w:rsid w:val="45223845"/>
    <w:rsid w:val="45290298"/>
    <w:rsid w:val="45B51211"/>
    <w:rsid w:val="45BD6D52"/>
    <w:rsid w:val="45BF5F80"/>
    <w:rsid w:val="45E94130"/>
    <w:rsid w:val="45EF52CA"/>
    <w:rsid w:val="46276812"/>
    <w:rsid w:val="462955F1"/>
    <w:rsid w:val="462A4554"/>
    <w:rsid w:val="46517D32"/>
    <w:rsid w:val="465377A4"/>
    <w:rsid w:val="46753001"/>
    <w:rsid w:val="46821C9A"/>
    <w:rsid w:val="46E51A75"/>
    <w:rsid w:val="46F84891"/>
    <w:rsid w:val="473A07C7"/>
    <w:rsid w:val="47762C36"/>
    <w:rsid w:val="477C0DDF"/>
    <w:rsid w:val="480212E4"/>
    <w:rsid w:val="482B73A4"/>
    <w:rsid w:val="48C04CFB"/>
    <w:rsid w:val="48CF42A1"/>
    <w:rsid w:val="48FF5824"/>
    <w:rsid w:val="49266FC3"/>
    <w:rsid w:val="492B03C7"/>
    <w:rsid w:val="49307A8A"/>
    <w:rsid w:val="493C6A78"/>
    <w:rsid w:val="49425710"/>
    <w:rsid w:val="494D38A5"/>
    <w:rsid w:val="498E5824"/>
    <w:rsid w:val="49DE053E"/>
    <w:rsid w:val="4A201EF6"/>
    <w:rsid w:val="4A49107C"/>
    <w:rsid w:val="4A625D30"/>
    <w:rsid w:val="4A6617BA"/>
    <w:rsid w:val="4A767D68"/>
    <w:rsid w:val="4B475260"/>
    <w:rsid w:val="4B4B65BB"/>
    <w:rsid w:val="4B4C2876"/>
    <w:rsid w:val="4B9E1324"/>
    <w:rsid w:val="4BBF201F"/>
    <w:rsid w:val="4BC045B9"/>
    <w:rsid w:val="4BE17463"/>
    <w:rsid w:val="4C5317C1"/>
    <w:rsid w:val="4C596AD0"/>
    <w:rsid w:val="4CA26BF2"/>
    <w:rsid w:val="4CEE1E37"/>
    <w:rsid w:val="4D145F92"/>
    <w:rsid w:val="4D330192"/>
    <w:rsid w:val="4D461C73"/>
    <w:rsid w:val="4E092CA1"/>
    <w:rsid w:val="4E111A5A"/>
    <w:rsid w:val="4E4156DB"/>
    <w:rsid w:val="4E93713A"/>
    <w:rsid w:val="4F1456D4"/>
    <w:rsid w:val="4F754A92"/>
    <w:rsid w:val="4F9905AE"/>
    <w:rsid w:val="4FC33F25"/>
    <w:rsid w:val="4FD001C7"/>
    <w:rsid w:val="4FFF6109"/>
    <w:rsid w:val="50095F5C"/>
    <w:rsid w:val="500B71A4"/>
    <w:rsid w:val="502E60F8"/>
    <w:rsid w:val="50334005"/>
    <w:rsid w:val="50572C95"/>
    <w:rsid w:val="505E4B9C"/>
    <w:rsid w:val="50A30487"/>
    <w:rsid w:val="50DD1804"/>
    <w:rsid w:val="51A52CE0"/>
    <w:rsid w:val="520D262F"/>
    <w:rsid w:val="52195EFA"/>
    <w:rsid w:val="529674E9"/>
    <w:rsid w:val="52B1378F"/>
    <w:rsid w:val="535D3873"/>
    <w:rsid w:val="53876B42"/>
    <w:rsid w:val="54153BAB"/>
    <w:rsid w:val="543E18F6"/>
    <w:rsid w:val="546B1FBF"/>
    <w:rsid w:val="54996B2C"/>
    <w:rsid w:val="54FA7CE1"/>
    <w:rsid w:val="550A7A2A"/>
    <w:rsid w:val="554A7E27"/>
    <w:rsid w:val="555E1B24"/>
    <w:rsid w:val="556A04C9"/>
    <w:rsid w:val="558F102F"/>
    <w:rsid w:val="559E5653"/>
    <w:rsid w:val="55AB3C2F"/>
    <w:rsid w:val="55BA31FE"/>
    <w:rsid w:val="55E16072"/>
    <w:rsid w:val="55EC35D4"/>
    <w:rsid w:val="560E52F8"/>
    <w:rsid w:val="561A4621"/>
    <w:rsid w:val="56383CF3"/>
    <w:rsid w:val="56455CD4"/>
    <w:rsid w:val="565C42B5"/>
    <w:rsid w:val="56902993"/>
    <w:rsid w:val="56AE76A6"/>
    <w:rsid w:val="56D4209E"/>
    <w:rsid w:val="56DB2C2D"/>
    <w:rsid w:val="56E4418B"/>
    <w:rsid w:val="56EC7829"/>
    <w:rsid w:val="57064221"/>
    <w:rsid w:val="5773022F"/>
    <w:rsid w:val="57770C7B"/>
    <w:rsid w:val="57DF277D"/>
    <w:rsid w:val="57E50495"/>
    <w:rsid w:val="580A1AEF"/>
    <w:rsid w:val="58776655"/>
    <w:rsid w:val="58B74216"/>
    <w:rsid w:val="58C16652"/>
    <w:rsid w:val="590752B6"/>
    <w:rsid w:val="591F15CA"/>
    <w:rsid w:val="592D0FB2"/>
    <w:rsid w:val="596D67DA"/>
    <w:rsid w:val="59760D08"/>
    <w:rsid w:val="599E6993"/>
    <w:rsid w:val="59A60DC8"/>
    <w:rsid w:val="59AC5554"/>
    <w:rsid w:val="5A564466"/>
    <w:rsid w:val="5A902780"/>
    <w:rsid w:val="5A9F4737"/>
    <w:rsid w:val="5AAE2C06"/>
    <w:rsid w:val="5AE8436A"/>
    <w:rsid w:val="5AF80325"/>
    <w:rsid w:val="5B6339F0"/>
    <w:rsid w:val="5BA20303"/>
    <w:rsid w:val="5BF6561B"/>
    <w:rsid w:val="5BFA4C14"/>
    <w:rsid w:val="5C2A6C04"/>
    <w:rsid w:val="5C3543D2"/>
    <w:rsid w:val="5C406532"/>
    <w:rsid w:val="5C4E69BE"/>
    <w:rsid w:val="5CE36031"/>
    <w:rsid w:val="5CFC5838"/>
    <w:rsid w:val="5DB26EB1"/>
    <w:rsid w:val="5DBA559D"/>
    <w:rsid w:val="5DBF6577"/>
    <w:rsid w:val="5DFE3EA4"/>
    <w:rsid w:val="5E465887"/>
    <w:rsid w:val="5E473A9D"/>
    <w:rsid w:val="5E804CC0"/>
    <w:rsid w:val="5E8425FB"/>
    <w:rsid w:val="5EE50BC0"/>
    <w:rsid w:val="5F0664A4"/>
    <w:rsid w:val="5F181B76"/>
    <w:rsid w:val="5F463D55"/>
    <w:rsid w:val="5FD4389C"/>
    <w:rsid w:val="5FEC48FC"/>
    <w:rsid w:val="6013374F"/>
    <w:rsid w:val="607620C3"/>
    <w:rsid w:val="60B116A2"/>
    <w:rsid w:val="60B42F40"/>
    <w:rsid w:val="60B7767B"/>
    <w:rsid w:val="60CC348A"/>
    <w:rsid w:val="60D24296"/>
    <w:rsid w:val="610A1B10"/>
    <w:rsid w:val="61221DAA"/>
    <w:rsid w:val="61696F59"/>
    <w:rsid w:val="61D672CA"/>
    <w:rsid w:val="61E63AF5"/>
    <w:rsid w:val="626A2DAC"/>
    <w:rsid w:val="62784498"/>
    <w:rsid w:val="62A86D6B"/>
    <w:rsid w:val="62C25DC1"/>
    <w:rsid w:val="63293771"/>
    <w:rsid w:val="637C0DF3"/>
    <w:rsid w:val="637C7D45"/>
    <w:rsid w:val="639808F7"/>
    <w:rsid w:val="64565496"/>
    <w:rsid w:val="645F2960"/>
    <w:rsid w:val="64654C7D"/>
    <w:rsid w:val="646C7950"/>
    <w:rsid w:val="64BD496D"/>
    <w:rsid w:val="64BE25DF"/>
    <w:rsid w:val="64C44758"/>
    <w:rsid w:val="64F93617"/>
    <w:rsid w:val="65246D5E"/>
    <w:rsid w:val="655D3BA6"/>
    <w:rsid w:val="65655387"/>
    <w:rsid w:val="659A6BA8"/>
    <w:rsid w:val="65A50F20"/>
    <w:rsid w:val="65EF58FA"/>
    <w:rsid w:val="65FE7BFD"/>
    <w:rsid w:val="66397220"/>
    <w:rsid w:val="66AF4C3B"/>
    <w:rsid w:val="66EC6F90"/>
    <w:rsid w:val="66F2031E"/>
    <w:rsid w:val="677C3AAE"/>
    <w:rsid w:val="67AA7E58"/>
    <w:rsid w:val="67AB0BF9"/>
    <w:rsid w:val="67E662B3"/>
    <w:rsid w:val="68077DF9"/>
    <w:rsid w:val="680F6F74"/>
    <w:rsid w:val="68382663"/>
    <w:rsid w:val="686314D3"/>
    <w:rsid w:val="6888718C"/>
    <w:rsid w:val="68E5527F"/>
    <w:rsid w:val="69A578CA"/>
    <w:rsid w:val="6A7343B6"/>
    <w:rsid w:val="6AA656A7"/>
    <w:rsid w:val="6AB029CA"/>
    <w:rsid w:val="6AB40090"/>
    <w:rsid w:val="6AD32E40"/>
    <w:rsid w:val="6ADE7537"/>
    <w:rsid w:val="6AE34B4E"/>
    <w:rsid w:val="6B1F6200"/>
    <w:rsid w:val="6B4A3375"/>
    <w:rsid w:val="6B825FC3"/>
    <w:rsid w:val="6B8359E9"/>
    <w:rsid w:val="6B9D0892"/>
    <w:rsid w:val="6C613F7C"/>
    <w:rsid w:val="6C631880"/>
    <w:rsid w:val="6C636C8C"/>
    <w:rsid w:val="6C6D16B4"/>
    <w:rsid w:val="6C806253"/>
    <w:rsid w:val="6CB542C8"/>
    <w:rsid w:val="6CD74FCF"/>
    <w:rsid w:val="6CF748E0"/>
    <w:rsid w:val="6D15191A"/>
    <w:rsid w:val="6D52620C"/>
    <w:rsid w:val="6D7D3037"/>
    <w:rsid w:val="6D8E14DE"/>
    <w:rsid w:val="6D934609"/>
    <w:rsid w:val="6DAE50AD"/>
    <w:rsid w:val="6DD624F7"/>
    <w:rsid w:val="6DDA2238"/>
    <w:rsid w:val="6E0E1EE1"/>
    <w:rsid w:val="6E4364D0"/>
    <w:rsid w:val="6E5A21EA"/>
    <w:rsid w:val="6EB8009F"/>
    <w:rsid w:val="6EC72090"/>
    <w:rsid w:val="6F0A3093"/>
    <w:rsid w:val="6F834B73"/>
    <w:rsid w:val="6F857F81"/>
    <w:rsid w:val="6F883155"/>
    <w:rsid w:val="6FC6124D"/>
    <w:rsid w:val="6FC62348"/>
    <w:rsid w:val="6FDC27EA"/>
    <w:rsid w:val="6FE10E18"/>
    <w:rsid w:val="6FE309EC"/>
    <w:rsid w:val="6FEC14A9"/>
    <w:rsid w:val="6FEC6252"/>
    <w:rsid w:val="70130316"/>
    <w:rsid w:val="70142D87"/>
    <w:rsid w:val="702E23C7"/>
    <w:rsid w:val="70A15EF2"/>
    <w:rsid w:val="70C96037"/>
    <w:rsid w:val="70CB230C"/>
    <w:rsid w:val="71193CAD"/>
    <w:rsid w:val="712A6878"/>
    <w:rsid w:val="71B752F6"/>
    <w:rsid w:val="721E46BD"/>
    <w:rsid w:val="72271FEC"/>
    <w:rsid w:val="722E41C4"/>
    <w:rsid w:val="72655E48"/>
    <w:rsid w:val="72712F6C"/>
    <w:rsid w:val="72824C4C"/>
    <w:rsid w:val="728A3B01"/>
    <w:rsid w:val="729D4E7D"/>
    <w:rsid w:val="72D93738"/>
    <w:rsid w:val="73434202"/>
    <w:rsid w:val="734819F2"/>
    <w:rsid w:val="735B7378"/>
    <w:rsid w:val="737A608E"/>
    <w:rsid w:val="73A806E2"/>
    <w:rsid w:val="73BC418E"/>
    <w:rsid w:val="741D2E7E"/>
    <w:rsid w:val="744B56A6"/>
    <w:rsid w:val="74A16CBA"/>
    <w:rsid w:val="74CB28DA"/>
    <w:rsid w:val="74D53759"/>
    <w:rsid w:val="74F33BDF"/>
    <w:rsid w:val="750556C0"/>
    <w:rsid w:val="752B5D11"/>
    <w:rsid w:val="752C70F1"/>
    <w:rsid w:val="75387844"/>
    <w:rsid w:val="753903C8"/>
    <w:rsid w:val="75CC2E8E"/>
    <w:rsid w:val="75DC4AB5"/>
    <w:rsid w:val="75EF406B"/>
    <w:rsid w:val="76391AC6"/>
    <w:rsid w:val="765B7C8E"/>
    <w:rsid w:val="76707B96"/>
    <w:rsid w:val="76726D86"/>
    <w:rsid w:val="768D36C7"/>
    <w:rsid w:val="76C3504D"/>
    <w:rsid w:val="7702703F"/>
    <w:rsid w:val="770422FE"/>
    <w:rsid w:val="7746449A"/>
    <w:rsid w:val="775546DD"/>
    <w:rsid w:val="778C3E77"/>
    <w:rsid w:val="7796215A"/>
    <w:rsid w:val="779807BE"/>
    <w:rsid w:val="77B635DF"/>
    <w:rsid w:val="77E31CE9"/>
    <w:rsid w:val="78376C25"/>
    <w:rsid w:val="785B7ACE"/>
    <w:rsid w:val="78746DE5"/>
    <w:rsid w:val="789932F4"/>
    <w:rsid w:val="78A72AF0"/>
    <w:rsid w:val="78A8319C"/>
    <w:rsid w:val="790F6B0E"/>
    <w:rsid w:val="79134850"/>
    <w:rsid w:val="79200163"/>
    <w:rsid w:val="79261AEA"/>
    <w:rsid w:val="7956473D"/>
    <w:rsid w:val="798661F3"/>
    <w:rsid w:val="799314ED"/>
    <w:rsid w:val="79DC4F1F"/>
    <w:rsid w:val="79EE2C15"/>
    <w:rsid w:val="7A6C7707"/>
    <w:rsid w:val="7A7206F1"/>
    <w:rsid w:val="7AA46F38"/>
    <w:rsid w:val="7B467F1D"/>
    <w:rsid w:val="7BA7772C"/>
    <w:rsid w:val="7BB12A63"/>
    <w:rsid w:val="7C0924C9"/>
    <w:rsid w:val="7C507B69"/>
    <w:rsid w:val="7C711A95"/>
    <w:rsid w:val="7C8D4919"/>
    <w:rsid w:val="7CBA4FE2"/>
    <w:rsid w:val="7CD24A22"/>
    <w:rsid w:val="7D121F1E"/>
    <w:rsid w:val="7D2F777E"/>
    <w:rsid w:val="7D5660EF"/>
    <w:rsid w:val="7D574D28"/>
    <w:rsid w:val="7D5F0561"/>
    <w:rsid w:val="7D60202E"/>
    <w:rsid w:val="7D6458CE"/>
    <w:rsid w:val="7D8555F0"/>
    <w:rsid w:val="7D916095"/>
    <w:rsid w:val="7DB14637"/>
    <w:rsid w:val="7DC51E91"/>
    <w:rsid w:val="7E141A72"/>
    <w:rsid w:val="7E703977"/>
    <w:rsid w:val="7E963DC6"/>
    <w:rsid w:val="7EF02F3D"/>
    <w:rsid w:val="7F1B1599"/>
    <w:rsid w:val="7F5F65D1"/>
    <w:rsid w:val="7F606315"/>
    <w:rsid w:val="7F6210EB"/>
    <w:rsid w:val="7F8B73C1"/>
    <w:rsid w:val="7F961D37"/>
    <w:rsid w:val="7FAC3308"/>
    <w:rsid w:val="7FE87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qFormat/>
    <w:uiPriority w:val="0"/>
    <w:pPr>
      <w:keepNext/>
      <w:keepLines/>
      <w:spacing w:before="340" w:afterLines="25" w:line="578" w:lineRule="auto"/>
      <w:outlineLvl w:val="0"/>
    </w:pPr>
    <w:rPr>
      <w:rFonts w:ascii="Arial" w:hAnsi="Arial" w:eastAsia="宋体" w:cs="Times New Roman"/>
      <w:b/>
      <w:bCs/>
      <w:kern w:val="44"/>
      <w:sz w:val="44"/>
      <w:szCs w:val="44"/>
    </w:rPr>
  </w:style>
  <w:style w:type="paragraph" w:styleId="5">
    <w:name w:val="heading 2"/>
    <w:basedOn w:val="6"/>
    <w:next w:val="7"/>
    <w:link w:val="35"/>
    <w:semiHidden/>
    <w:unhideWhenUsed/>
    <w:qFormat/>
    <w:uiPriority w:val="9"/>
    <w:pPr>
      <w:spacing w:line="416" w:lineRule="auto"/>
      <w:outlineLvl w:val="1"/>
    </w:pPr>
    <w:rPr>
      <w:rFonts w:asciiTheme="majorHAnsi" w:hAnsiTheme="majorHAnsi" w:eastAsiaTheme="majorEastAsia" w:cstheme="majorBidi"/>
      <w:sz w:val="32"/>
    </w:rPr>
  </w:style>
  <w:style w:type="paragraph" w:styleId="6">
    <w:name w:val="heading 3"/>
    <w:basedOn w:val="7"/>
    <w:next w:val="1"/>
    <w:qFormat/>
    <w:uiPriority w:val="9"/>
    <w:pPr>
      <w:spacing w:before="260" w:after="260" w:line="240" w:lineRule="auto"/>
      <w:outlineLvl w:val="2"/>
    </w:pPr>
    <w:rPr>
      <w:rFonts w:ascii="宋体" w:hAnsi="宋体" w:eastAsia="宋体"/>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Quote"/>
    <w:next w:val="1"/>
    <w:qFormat/>
    <w:uiPriority w:val="29"/>
    <w:pPr>
      <w:widowControl w:val="0"/>
      <w:jc w:val="both"/>
    </w:pPr>
    <w:rPr>
      <w:rFonts w:ascii="Calibri" w:hAnsi="Calibri" w:cs="Calibri" w:eastAsiaTheme="minorEastAsia"/>
      <w:i/>
      <w:iCs/>
      <w:color w:val="000000"/>
      <w:kern w:val="2"/>
      <w:sz w:val="22"/>
      <w:szCs w:val="22"/>
      <w:lang w:val="en-US" w:eastAsia="zh-CN" w:bidi="ar-SA"/>
    </w:rPr>
  </w:style>
  <w:style w:type="paragraph" w:styleId="8">
    <w:name w:val="Normal Indent"/>
    <w:basedOn w:val="1"/>
    <w:qFormat/>
    <w:uiPriority w:val="0"/>
    <w:pPr>
      <w:ind w:firstLine="420"/>
    </w:pPr>
    <w:rPr>
      <w:szCs w:val="20"/>
    </w:rPr>
  </w:style>
  <w:style w:type="paragraph" w:styleId="9">
    <w:name w:val="Document Map"/>
    <w:basedOn w:val="1"/>
    <w:link w:val="34"/>
    <w:semiHidden/>
    <w:unhideWhenUsed/>
    <w:qFormat/>
    <w:uiPriority w:val="99"/>
    <w:rPr>
      <w:rFonts w:ascii="宋体" w:eastAsia="宋体"/>
      <w:sz w:val="18"/>
      <w:szCs w:val="18"/>
    </w:rPr>
  </w:style>
  <w:style w:type="paragraph" w:styleId="10">
    <w:name w:val="annotation text"/>
    <w:basedOn w:val="1"/>
    <w:link w:val="36"/>
    <w:unhideWhenUsed/>
    <w:qFormat/>
    <w:uiPriority w:val="99"/>
    <w:pPr>
      <w:jc w:val="left"/>
    </w:pPr>
  </w:style>
  <w:style w:type="paragraph" w:styleId="11">
    <w:name w:val="Plain Text"/>
    <w:basedOn w:val="1"/>
    <w:qFormat/>
    <w:uiPriority w:val="0"/>
    <w:rPr>
      <w:rFonts w:ascii="宋体" w:hAnsi="Courier New"/>
      <w:szCs w:val="20"/>
    </w:rPr>
  </w:style>
  <w:style w:type="paragraph" w:styleId="12">
    <w:name w:val="Balloon Text"/>
    <w:basedOn w:val="1"/>
    <w:link w:val="30"/>
    <w:semiHidden/>
    <w:unhideWhenUsed/>
    <w:qFormat/>
    <w:uiPriority w:val="99"/>
    <w:rPr>
      <w:sz w:val="18"/>
      <w:szCs w:val="18"/>
    </w:rPr>
  </w:style>
  <w:style w:type="paragraph" w:styleId="13">
    <w:name w:val="footer"/>
    <w:basedOn w:val="1"/>
    <w:link w:val="29"/>
    <w:unhideWhenUsed/>
    <w:qFormat/>
    <w:uiPriority w:val="99"/>
    <w:pPr>
      <w:tabs>
        <w:tab w:val="center" w:pos="4153"/>
        <w:tab w:val="right" w:pos="8306"/>
      </w:tabs>
      <w:snapToGrid w:val="0"/>
      <w:jc w:val="left"/>
    </w:pPr>
    <w:rPr>
      <w:sz w:val="1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2"/>
    <w:basedOn w:val="1"/>
    <w:qFormat/>
    <w:uiPriority w:val="0"/>
    <w:pPr>
      <w:spacing w:line="360" w:lineRule="auto"/>
    </w:pPr>
    <w:rPr>
      <w:sz w:val="24"/>
    </w:rPr>
  </w:style>
  <w:style w:type="paragraph" w:styleId="16">
    <w:name w:val="Normal (Web)"/>
    <w:basedOn w:val="1"/>
    <w:link w:val="31"/>
    <w:qFormat/>
    <w:uiPriority w:val="99"/>
    <w:pPr>
      <w:widowControl/>
      <w:spacing w:before="100" w:beforeAutospacing="1" w:afterAutospacing="1"/>
      <w:jc w:val="left"/>
    </w:pPr>
    <w:rPr>
      <w:rFonts w:ascii="宋体" w:hAnsi="宋体"/>
      <w:sz w:val="24"/>
      <w:szCs w:val="24"/>
    </w:rPr>
  </w:style>
  <w:style w:type="paragraph" w:styleId="17">
    <w:name w:val="Title"/>
    <w:basedOn w:val="1"/>
    <w:next w:val="1"/>
    <w:qFormat/>
    <w:uiPriority w:val="0"/>
    <w:pPr>
      <w:spacing w:before="240" w:after="60"/>
      <w:jc w:val="center"/>
      <w:outlineLvl w:val="0"/>
    </w:pPr>
    <w:rPr>
      <w:rFonts w:ascii="Arial" w:hAnsi="Arial" w:eastAsia="隶书" w:cs="Arial"/>
      <w:b/>
      <w:bCs/>
      <w:sz w:val="32"/>
      <w:szCs w:val="32"/>
    </w:rPr>
  </w:style>
  <w:style w:type="paragraph" w:styleId="18">
    <w:name w:val="annotation subject"/>
    <w:basedOn w:val="10"/>
    <w:next w:val="10"/>
    <w:link w:val="38"/>
    <w:semiHidden/>
    <w:unhideWhenUsed/>
    <w:qFormat/>
    <w:uiPriority w:val="99"/>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bCs/>
    </w:rPr>
  </w:style>
  <w:style w:type="character" w:styleId="23">
    <w:name w:val="page number"/>
    <w:basedOn w:val="21"/>
    <w:qFormat/>
    <w:uiPriority w:val="0"/>
  </w:style>
  <w:style w:type="character" w:styleId="24">
    <w:name w:val="FollowedHyperlink"/>
    <w:basedOn w:val="21"/>
    <w:semiHidden/>
    <w:unhideWhenUsed/>
    <w:qFormat/>
    <w:uiPriority w:val="99"/>
    <w:rPr>
      <w:color w:val="800080" w:themeColor="followedHyperlink"/>
      <w:u w:val="single"/>
      <w14:textFill>
        <w14:solidFill>
          <w14:schemeClr w14:val="folHlink"/>
        </w14:solidFill>
      </w14:textFill>
    </w:rPr>
  </w:style>
  <w:style w:type="character" w:styleId="25">
    <w:name w:val="Hyperlink"/>
    <w:basedOn w:val="21"/>
    <w:unhideWhenUsed/>
    <w:qFormat/>
    <w:uiPriority w:val="99"/>
    <w:rPr>
      <w:color w:val="0000FF" w:themeColor="hyperlink"/>
      <w:u w:val="single"/>
      <w14:textFill>
        <w14:solidFill>
          <w14:schemeClr w14:val="hlink"/>
        </w14:solidFill>
      </w14:textFill>
    </w:rPr>
  </w:style>
  <w:style w:type="character" w:styleId="26">
    <w:name w:val="annotation reference"/>
    <w:basedOn w:val="21"/>
    <w:semiHidden/>
    <w:unhideWhenUsed/>
    <w:qFormat/>
    <w:uiPriority w:val="99"/>
    <w:rPr>
      <w:sz w:val="21"/>
      <w:szCs w:val="21"/>
    </w:rPr>
  </w:style>
  <w:style w:type="paragraph" w:customStyle="1" w:styleId="27">
    <w:name w:val="正文内容格式"/>
    <w:basedOn w:val="1"/>
    <w:qFormat/>
    <w:uiPriority w:val="0"/>
    <w:pPr>
      <w:widowControl/>
      <w:ind w:firstLine="482"/>
      <w:textAlignment w:val="baseline"/>
    </w:pPr>
    <w:rPr>
      <w:rFonts w:eastAsia="仿宋_GB2312"/>
      <w:kern w:val="0"/>
      <w:sz w:val="28"/>
    </w:rPr>
  </w:style>
  <w:style w:type="character" w:customStyle="1" w:styleId="28">
    <w:name w:val="页眉 字符"/>
    <w:basedOn w:val="21"/>
    <w:link w:val="14"/>
    <w:qFormat/>
    <w:uiPriority w:val="99"/>
    <w:rPr>
      <w:sz w:val="18"/>
      <w:szCs w:val="18"/>
    </w:rPr>
  </w:style>
  <w:style w:type="character" w:customStyle="1" w:styleId="29">
    <w:name w:val="页脚 字符"/>
    <w:basedOn w:val="21"/>
    <w:link w:val="13"/>
    <w:qFormat/>
    <w:uiPriority w:val="99"/>
    <w:rPr>
      <w:sz w:val="18"/>
      <w:szCs w:val="18"/>
    </w:rPr>
  </w:style>
  <w:style w:type="character" w:customStyle="1" w:styleId="30">
    <w:name w:val="批注框文本 字符"/>
    <w:basedOn w:val="21"/>
    <w:link w:val="12"/>
    <w:semiHidden/>
    <w:qFormat/>
    <w:uiPriority w:val="99"/>
    <w:rPr>
      <w:sz w:val="18"/>
      <w:szCs w:val="18"/>
    </w:rPr>
  </w:style>
  <w:style w:type="character" w:customStyle="1" w:styleId="31">
    <w:name w:val="普通(网站) 字符"/>
    <w:link w:val="16"/>
    <w:qFormat/>
    <w:uiPriority w:val="99"/>
    <w:rPr>
      <w:rFonts w:ascii="宋体" w:hAnsi="宋体"/>
      <w:sz w:val="24"/>
      <w:szCs w:val="24"/>
    </w:rPr>
  </w:style>
  <w:style w:type="character" w:customStyle="1" w:styleId="32">
    <w:name w:val="标题 1 字符"/>
    <w:basedOn w:val="21"/>
    <w:link w:val="4"/>
    <w:qFormat/>
    <w:uiPriority w:val="0"/>
    <w:rPr>
      <w:rFonts w:ascii="Arial" w:hAnsi="Arial" w:eastAsia="宋体" w:cs="Times New Roman"/>
      <w:b/>
      <w:bCs/>
      <w:kern w:val="44"/>
      <w:sz w:val="44"/>
      <w:szCs w:val="44"/>
    </w:rPr>
  </w:style>
  <w:style w:type="paragraph" w:styleId="33">
    <w:name w:val="List Paragraph"/>
    <w:basedOn w:val="1"/>
    <w:qFormat/>
    <w:uiPriority w:val="34"/>
    <w:pPr>
      <w:ind w:firstLine="420" w:firstLineChars="200"/>
    </w:pPr>
  </w:style>
  <w:style w:type="character" w:customStyle="1" w:styleId="34">
    <w:name w:val="文档结构图 字符"/>
    <w:basedOn w:val="21"/>
    <w:link w:val="9"/>
    <w:semiHidden/>
    <w:qFormat/>
    <w:uiPriority w:val="99"/>
    <w:rPr>
      <w:rFonts w:ascii="宋体" w:eastAsia="宋体"/>
      <w:sz w:val="18"/>
      <w:szCs w:val="18"/>
    </w:rPr>
  </w:style>
  <w:style w:type="character" w:customStyle="1" w:styleId="35">
    <w:name w:val="标题 2 字符"/>
    <w:basedOn w:val="21"/>
    <w:link w:val="5"/>
    <w:semiHidden/>
    <w:qFormat/>
    <w:uiPriority w:val="9"/>
    <w:rPr>
      <w:rFonts w:asciiTheme="majorHAnsi" w:hAnsiTheme="majorHAnsi" w:eastAsiaTheme="majorEastAsia" w:cstheme="majorBidi"/>
      <w:b/>
      <w:bCs/>
      <w:sz w:val="32"/>
      <w:szCs w:val="32"/>
    </w:rPr>
  </w:style>
  <w:style w:type="character" w:customStyle="1" w:styleId="36">
    <w:name w:val="批注文字 字符"/>
    <w:basedOn w:val="21"/>
    <w:link w:val="10"/>
    <w:qFormat/>
    <w:uiPriority w:val="99"/>
  </w:style>
  <w:style w:type="character" w:customStyle="1" w:styleId="37">
    <w:name w:val="标题 3 Char"/>
    <w:qFormat/>
    <w:uiPriority w:val="0"/>
    <w:rPr>
      <w:rFonts w:ascii="黑体" w:eastAsia="黑体"/>
      <w:bCs/>
      <w:sz w:val="30"/>
    </w:rPr>
  </w:style>
  <w:style w:type="character" w:customStyle="1" w:styleId="38">
    <w:name w:val="批注主题 字符"/>
    <w:basedOn w:val="36"/>
    <w:link w:val="18"/>
    <w:semiHidden/>
    <w:qFormat/>
    <w:uiPriority w:val="99"/>
    <w:rPr>
      <w:b/>
      <w:bCs/>
    </w:rPr>
  </w:style>
  <w:style w:type="table" w:customStyle="1" w:styleId="39">
    <w:name w:val="网格型1"/>
    <w:basedOn w:val="19"/>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0">
    <w:name w:val="Table Paragraph"/>
    <w:qFormat/>
    <w:uiPriority w:val="1"/>
    <w:pPr>
      <w:widowControl w:val="0"/>
      <w:jc w:val="both"/>
    </w:pPr>
    <w:rPr>
      <w:rFonts w:ascii="宋体" w:hAnsi="宋体" w:eastAsia="宋体" w:cs="宋体"/>
      <w:kern w:val="2"/>
      <w:sz w:val="21"/>
      <w:szCs w:val="24"/>
      <w:lang w:val="zh-CN" w:eastAsia="zh-CN" w:bidi="zh-CN"/>
    </w:rPr>
  </w:style>
  <w:style w:type="paragraph" w:customStyle="1" w:styleId="41">
    <w:name w:val="Normal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3">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4">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5">
    <w:name w:val="font21"/>
    <w:basedOn w:val="21"/>
    <w:qFormat/>
    <w:uiPriority w:val="0"/>
    <w:rPr>
      <w:rFonts w:hint="eastAsia" w:ascii="宋体" w:hAnsi="宋体" w:eastAsia="宋体" w:cs="宋体"/>
      <w:color w:val="000000"/>
      <w:sz w:val="22"/>
      <w:szCs w:val="22"/>
      <w:u w:val="none"/>
    </w:rPr>
  </w:style>
  <w:style w:type="character" w:customStyle="1" w:styleId="46">
    <w:name w:val="font31"/>
    <w:basedOn w:val="21"/>
    <w:qFormat/>
    <w:uiPriority w:val="0"/>
    <w:rPr>
      <w:rFonts w:hint="eastAsia" w:ascii="宋体" w:hAnsi="宋体" w:eastAsia="宋体" w:cs="宋体"/>
      <w:color w:val="000000"/>
      <w:sz w:val="22"/>
      <w:szCs w:val="22"/>
      <w:u w:val="none"/>
    </w:rPr>
  </w:style>
  <w:style w:type="character" w:customStyle="1" w:styleId="47">
    <w:name w:val="font51"/>
    <w:basedOn w:val="21"/>
    <w:qFormat/>
    <w:uiPriority w:val="0"/>
    <w:rPr>
      <w:rFonts w:hint="eastAsia" w:ascii="宋体" w:hAnsi="宋体" w:eastAsia="宋体" w:cs="宋体"/>
      <w:color w:val="000000"/>
      <w:sz w:val="21"/>
      <w:szCs w:val="21"/>
      <w:u w:val="none"/>
    </w:rPr>
  </w:style>
  <w:style w:type="character" w:customStyle="1" w:styleId="48">
    <w:name w:val="font61"/>
    <w:basedOn w:val="21"/>
    <w:qFormat/>
    <w:uiPriority w:val="0"/>
    <w:rPr>
      <w:rFonts w:hint="default" w:ascii="Times New Roman" w:hAnsi="Times New Roman" w:cs="Times New Roman"/>
      <w:color w:val="000000"/>
      <w:sz w:val="21"/>
      <w:szCs w:val="21"/>
      <w:u w:val="none"/>
    </w:rPr>
  </w:style>
  <w:style w:type="paragraph" w:customStyle="1" w:styleId="49">
    <w:name w:val="pf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0">
    <w:name w:val="font41"/>
    <w:qFormat/>
    <w:uiPriority w:val="0"/>
    <w:rPr>
      <w:rFonts w:hint="eastAsia" w:ascii="宋体" w:hAnsi="宋体" w:eastAsia="宋体"/>
      <w:color w:val="000000"/>
      <w:kern w:val="2"/>
      <w:sz w:val="18"/>
      <w:u w:val="none"/>
    </w:rPr>
  </w:style>
  <w:style w:type="paragraph" w:styleId="51">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2">
    <w:name w:val="fontstyle01"/>
    <w:basedOn w:val="21"/>
    <w:qFormat/>
    <w:uiPriority w:val="0"/>
    <w:rPr>
      <w:rFonts w:hint="eastAsia" w:ascii="宋体" w:hAnsi="宋体" w:eastAsia="宋体"/>
      <w:color w:val="000000"/>
      <w:sz w:val="22"/>
      <w:szCs w:val="22"/>
    </w:rPr>
  </w:style>
  <w:style w:type="character" w:customStyle="1" w:styleId="53">
    <w:name w:val="font81"/>
    <w:basedOn w:val="21"/>
    <w:qFormat/>
    <w:uiPriority w:val="0"/>
    <w:rPr>
      <w:rFonts w:hint="default" w:ascii="Arial" w:hAnsi="Arial" w:cs="Arial"/>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80</Pages>
  <Words>64869</Words>
  <Characters>69765</Characters>
  <Lines>470</Lines>
  <Paragraphs>132</Paragraphs>
  <TotalTime>2</TotalTime>
  <ScaleCrop>false</ScaleCrop>
  <LinksUpToDate>false</LinksUpToDate>
  <CharactersWithSpaces>73556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2024-07-18T08:53:00Z</dcterms:created>
  <dc:creator>win7-1</dc:creator>
  <cp:lastModifiedBy>DELL</cp:lastModifiedBy>
  <cp:lastPrinted>2021-01-15T01:17:00Z</cp:lastPrinted>
  <dcterms:modified xsi:type="dcterms:W3CDTF">2025-07-15T08:33:29Z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76B82E144768413DB6478A3E93F5B61B_13</vt:lpwstr>
  </property>
</Properties>
</file>