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180AD">
      <w:pPr>
        <w:pStyle w:val="29"/>
        <w:spacing w:line="360" w:lineRule="auto"/>
        <w:ind w:firstLine="0" w:firstLineChars="0"/>
        <w:jc w:val="center"/>
        <w:rPr>
          <w:rFonts w:ascii="宋体" w:hAnsi="宋体" w:eastAsia="宋体"/>
          <w:b/>
          <w:color w:val="auto"/>
          <w:sz w:val="21"/>
          <w:szCs w:val="21"/>
        </w:rPr>
      </w:pPr>
      <w:bookmarkStart w:id="0" w:name="_Toc505689193"/>
      <w:r>
        <w:rPr>
          <w:rFonts w:hint="eastAsia" w:ascii="宋体" w:hAnsi="宋体" w:eastAsia="宋体"/>
          <w:b/>
          <w:color w:val="auto"/>
          <w:sz w:val="21"/>
          <w:szCs w:val="21"/>
        </w:rPr>
        <w:t>甲方合同编号：</w:t>
      </w:r>
    </w:p>
    <w:p w14:paraId="7E91913E">
      <w:pPr>
        <w:pStyle w:val="29"/>
        <w:spacing w:line="360" w:lineRule="auto"/>
        <w:ind w:firstLine="0" w:firstLineChars="0"/>
        <w:jc w:val="center"/>
        <w:rPr>
          <w:rFonts w:ascii="宋体" w:hAnsi="宋体" w:eastAsia="宋体"/>
          <w:b/>
          <w:color w:val="auto"/>
          <w:sz w:val="21"/>
          <w:szCs w:val="21"/>
        </w:rPr>
      </w:pPr>
      <w:r>
        <w:rPr>
          <w:rFonts w:hint="eastAsia" w:ascii="宋体" w:hAnsi="宋体" w:eastAsia="宋体"/>
          <w:b/>
          <w:color w:val="auto"/>
          <w:sz w:val="21"/>
          <w:szCs w:val="21"/>
        </w:rPr>
        <w:t>乙方合同编号：</w:t>
      </w:r>
    </w:p>
    <w:p w14:paraId="7CBF3DCE">
      <w:pPr>
        <w:pStyle w:val="29"/>
        <w:spacing w:line="360" w:lineRule="auto"/>
        <w:ind w:firstLine="0" w:firstLineChars="0"/>
        <w:jc w:val="center"/>
        <w:rPr>
          <w:rFonts w:hint="eastAsia" w:ascii="宋体" w:hAnsi="宋体" w:eastAsia="宋体"/>
          <w:b/>
          <w:color w:val="auto"/>
          <w:sz w:val="40"/>
          <w:szCs w:val="40"/>
        </w:rPr>
      </w:pPr>
      <w:bookmarkStart w:id="1" w:name="OLE_LINK1"/>
    </w:p>
    <w:p w14:paraId="24AAB03F">
      <w:pPr>
        <w:pStyle w:val="29"/>
        <w:spacing w:line="360" w:lineRule="auto"/>
        <w:ind w:firstLine="0" w:firstLineChars="0"/>
        <w:jc w:val="center"/>
        <w:rPr>
          <w:rFonts w:ascii="宋体" w:hAnsi="宋体" w:eastAsia="宋体"/>
          <w:b/>
          <w:color w:val="auto"/>
          <w:sz w:val="40"/>
          <w:szCs w:val="40"/>
        </w:rPr>
      </w:pPr>
      <w:r>
        <w:rPr>
          <w:rFonts w:hint="eastAsia" w:ascii="宋体" w:hAnsi="宋体" w:eastAsia="宋体"/>
          <w:b/>
          <w:color w:val="auto"/>
          <w:sz w:val="40"/>
          <w:szCs w:val="40"/>
        </w:rPr>
        <w:t>任丘深能环保有限公司</w:t>
      </w:r>
      <w:bookmarkEnd w:id="1"/>
      <w:r>
        <w:rPr>
          <w:rFonts w:hint="eastAsia" w:ascii="宋体" w:hAnsi="宋体" w:eastAsia="宋体"/>
          <w:b/>
          <w:color w:val="auto"/>
          <w:sz w:val="40"/>
          <w:szCs w:val="40"/>
        </w:rPr>
        <w:t xml:space="preserve"> </w:t>
      </w:r>
    </w:p>
    <w:p w14:paraId="0F3B2977">
      <w:pPr>
        <w:pStyle w:val="29"/>
        <w:spacing w:line="360" w:lineRule="auto"/>
        <w:ind w:firstLine="0" w:firstLineChars="0"/>
        <w:jc w:val="center"/>
        <w:rPr>
          <w:rFonts w:ascii="宋体" w:hAnsi="宋体" w:eastAsia="宋体"/>
          <w:b/>
          <w:color w:val="auto"/>
          <w:sz w:val="40"/>
          <w:szCs w:val="40"/>
        </w:rPr>
      </w:pPr>
      <w:r>
        <w:rPr>
          <w:rFonts w:hint="eastAsia" w:ascii="宋体" w:hAnsi="宋体" w:eastAsia="宋体"/>
          <w:b/>
          <w:color w:val="auto"/>
          <w:sz w:val="40"/>
          <w:szCs w:val="40"/>
          <w:lang w:eastAsia="zh-CN"/>
        </w:rPr>
        <w:t>2026年度</w:t>
      </w:r>
      <w:r>
        <w:rPr>
          <w:rFonts w:hint="eastAsia" w:ascii="宋体" w:hAnsi="宋体" w:eastAsia="宋体"/>
          <w:b/>
          <w:color w:val="auto"/>
          <w:sz w:val="40"/>
          <w:szCs w:val="40"/>
        </w:rPr>
        <w:t>飞灰稳定化处理</w:t>
      </w:r>
    </w:p>
    <w:p w14:paraId="1BC69F8E">
      <w:pPr>
        <w:pStyle w:val="29"/>
        <w:spacing w:line="360" w:lineRule="auto"/>
        <w:ind w:firstLine="0" w:firstLineChars="0"/>
        <w:jc w:val="center"/>
        <w:rPr>
          <w:rFonts w:ascii="宋体" w:hAnsi="宋体" w:eastAsia="宋体"/>
          <w:b/>
          <w:color w:val="auto"/>
          <w:sz w:val="40"/>
          <w:szCs w:val="40"/>
        </w:rPr>
      </w:pPr>
      <w:r>
        <w:rPr>
          <w:rFonts w:hint="eastAsia" w:ascii="宋体" w:hAnsi="宋体" w:eastAsia="宋体"/>
          <w:b/>
          <w:color w:val="auto"/>
          <w:sz w:val="40"/>
          <w:szCs w:val="40"/>
        </w:rPr>
        <w:t>承包合同</w:t>
      </w:r>
    </w:p>
    <w:p w14:paraId="266CBE79">
      <w:pPr>
        <w:spacing w:line="360" w:lineRule="auto"/>
        <w:rPr>
          <w:rFonts w:ascii="宋体" w:hAnsi="宋体"/>
          <w:b/>
          <w:color w:val="auto"/>
        </w:rPr>
      </w:pPr>
    </w:p>
    <w:p w14:paraId="336D1747">
      <w:pPr>
        <w:spacing w:line="360" w:lineRule="auto"/>
        <w:rPr>
          <w:rFonts w:ascii="宋体" w:hAnsi="宋体"/>
          <w:color w:val="auto"/>
        </w:rPr>
      </w:pPr>
    </w:p>
    <w:p w14:paraId="16EB5AEF">
      <w:pPr>
        <w:spacing w:line="360" w:lineRule="auto"/>
        <w:rPr>
          <w:rFonts w:ascii="宋体" w:hAnsi="宋体"/>
          <w:b/>
          <w:color w:val="auto"/>
          <w:sz w:val="72"/>
        </w:rPr>
      </w:pPr>
      <w:r>
        <w:rPr>
          <w:rFonts w:hint="eastAsia" w:ascii="宋体" w:hAnsi="宋体"/>
          <w:color w:val="auto"/>
        </w:rPr>
        <w:t xml:space="preserve">                  </w:t>
      </w:r>
    </w:p>
    <w:p w14:paraId="765D97DB">
      <w:pPr>
        <w:spacing w:line="360" w:lineRule="auto"/>
        <w:rPr>
          <w:rFonts w:ascii="宋体" w:hAnsi="宋体"/>
          <w:b/>
          <w:color w:val="auto"/>
          <w:sz w:val="32"/>
        </w:rPr>
      </w:pPr>
    </w:p>
    <w:p w14:paraId="2E54E45C">
      <w:pPr>
        <w:spacing w:line="360" w:lineRule="auto"/>
        <w:jc w:val="center"/>
        <w:rPr>
          <w:rFonts w:ascii="宋体" w:hAnsi="宋体"/>
          <w:b/>
          <w:color w:val="auto"/>
          <w:sz w:val="44"/>
        </w:rPr>
      </w:pPr>
    </w:p>
    <w:p w14:paraId="06BB2BB5">
      <w:pPr>
        <w:spacing w:line="360" w:lineRule="auto"/>
        <w:jc w:val="center"/>
        <w:rPr>
          <w:rFonts w:ascii="宋体" w:hAnsi="宋体"/>
          <w:b/>
          <w:color w:val="auto"/>
          <w:sz w:val="44"/>
        </w:rPr>
      </w:pPr>
    </w:p>
    <w:p w14:paraId="7EF87158">
      <w:pPr>
        <w:spacing w:line="360" w:lineRule="auto"/>
        <w:jc w:val="center"/>
        <w:rPr>
          <w:rFonts w:ascii="宋体" w:hAnsi="宋体"/>
          <w:b/>
          <w:color w:val="auto"/>
          <w:sz w:val="44"/>
        </w:rPr>
      </w:pPr>
    </w:p>
    <w:p w14:paraId="01D37040">
      <w:pPr>
        <w:spacing w:line="360" w:lineRule="auto"/>
        <w:rPr>
          <w:rFonts w:ascii="宋体" w:hAnsi="宋体"/>
          <w:b/>
          <w:color w:val="auto"/>
          <w:sz w:val="44"/>
        </w:rPr>
      </w:pPr>
    </w:p>
    <w:p w14:paraId="714F511C">
      <w:pPr>
        <w:spacing w:line="360" w:lineRule="auto"/>
        <w:rPr>
          <w:rFonts w:ascii="宋体" w:hAnsi="宋体"/>
          <w:b/>
          <w:color w:val="auto"/>
          <w:sz w:val="44"/>
        </w:rPr>
      </w:pPr>
    </w:p>
    <w:p w14:paraId="320AE7C6">
      <w:pPr>
        <w:spacing w:line="360" w:lineRule="auto"/>
        <w:ind w:firstLine="964" w:firstLineChars="300"/>
        <w:rPr>
          <w:rFonts w:ascii="宋体" w:hAnsi="宋体"/>
          <w:b/>
          <w:color w:val="auto"/>
          <w:sz w:val="32"/>
          <w:szCs w:val="32"/>
        </w:rPr>
      </w:pPr>
      <w:r>
        <w:rPr>
          <w:rFonts w:hint="eastAsia" w:ascii="宋体" w:hAnsi="宋体"/>
          <w:b/>
          <w:color w:val="auto"/>
          <w:sz w:val="32"/>
          <w:szCs w:val="32"/>
        </w:rPr>
        <w:t>甲方（发包方）：任丘深能环保有限公司</w:t>
      </w:r>
    </w:p>
    <w:p w14:paraId="7C3F23F4">
      <w:pPr>
        <w:spacing w:line="360" w:lineRule="auto"/>
        <w:ind w:firstLine="964" w:firstLineChars="300"/>
        <w:rPr>
          <w:rFonts w:ascii="宋体" w:hAnsi="宋体"/>
          <w:b/>
          <w:color w:val="auto"/>
          <w:sz w:val="32"/>
          <w:szCs w:val="32"/>
        </w:rPr>
      </w:pPr>
      <w:r>
        <w:rPr>
          <w:rFonts w:hint="eastAsia" w:ascii="宋体" w:hAnsi="宋体"/>
          <w:b/>
          <w:color w:val="auto"/>
          <w:sz w:val="32"/>
          <w:szCs w:val="32"/>
        </w:rPr>
        <w:t>乙方（承包方）：成都赢纳环保科技有限公司</w:t>
      </w:r>
    </w:p>
    <w:p w14:paraId="3AD67B08">
      <w:pPr>
        <w:spacing w:line="360" w:lineRule="auto"/>
        <w:ind w:firstLine="1928" w:firstLineChars="600"/>
        <w:rPr>
          <w:rFonts w:ascii="宋体" w:hAnsi="宋体"/>
          <w:b/>
          <w:color w:val="auto"/>
          <w:sz w:val="32"/>
          <w:szCs w:val="32"/>
        </w:rPr>
      </w:pPr>
    </w:p>
    <w:p w14:paraId="73EFC66A">
      <w:pPr>
        <w:spacing w:line="360" w:lineRule="auto"/>
        <w:jc w:val="center"/>
        <w:rPr>
          <w:rFonts w:hint="eastAsia" w:ascii="宋体" w:hAnsi="宋体"/>
          <w:b/>
          <w:color w:val="auto"/>
          <w:sz w:val="32"/>
          <w:szCs w:val="32"/>
        </w:rPr>
      </w:pPr>
    </w:p>
    <w:p w14:paraId="6E6AD287">
      <w:pPr>
        <w:pStyle w:val="22"/>
        <w:spacing w:line="360" w:lineRule="auto"/>
        <w:jc w:val="center"/>
        <w:rPr>
          <w:rFonts w:hint="default" w:hAnsi="宋体" w:eastAsia="宋体"/>
          <w:b/>
          <w:color w:val="auto"/>
          <w:sz w:val="32"/>
          <w:szCs w:val="32"/>
          <w:highlight w:val="none"/>
          <w:lang w:eastAsia="zh-CN"/>
        </w:rPr>
      </w:pPr>
      <w:r>
        <w:rPr>
          <w:rFonts w:hint="default" w:hAnsi="宋体"/>
          <w:b/>
          <w:color w:val="auto"/>
          <w:sz w:val="32"/>
          <w:szCs w:val="32"/>
          <w:highlight w:val="none"/>
          <w:lang w:val="en-US" w:eastAsia="zh-CN"/>
        </w:rPr>
        <w:t>任</w:t>
      </w:r>
      <w:r>
        <w:rPr>
          <w:rFonts w:hint="default" w:hAnsi="宋体"/>
          <w:b/>
          <w:color w:val="auto"/>
          <w:sz w:val="32"/>
          <w:szCs w:val="32"/>
          <w:highlight w:val="none"/>
        </w:rPr>
        <w:t xml:space="preserve"> </w:t>
      </w:r>
      <w:r>
        <w:rPr>
          <w:rFonts w:hint="default" w:hAnsi="宋体"/>
          <w:b/>
          <w:color w:val="auto"/>
          <w:sz w:val="32"/>
          <w:szCs w:val="32"/>
          <w:highlight w:val="none"/>
          <w:lang w:val="en-US" w:eastAsia="zh-CN"/>
        </w:rPr>
        <w:t>丘</w:t>
      </w:r>
    </w:p>
    <w:p w14:paraId="3BC8EDAE">
      <w:pPr>
        <w:pStyle w:val="5"/>
        <w:ind w:firstLine="0" w:firstLineChars="0"/>
        <w:rPr>
          <w:color w:val="auto"/>
        </w:rPr>
      </w:pPr>
    </w:p>
    <w:p w14:paraId="1C57955A">
      <w:pPr>
        <w:pStyle w:val="5"/>
        <w:ind w:firstLine="0" w:firstLineChars="0"/>
        <w:rPr>
          <w:color w:val="auto"/>
        </w:rPr>
      </w:pPr>
    </w:p>
    <w:sdt>
      <w:sdtPr>
        <w:rPr>
          <w:rFonts w:ascii="Times New Roman" w:hAnsi="Times New Roman" w:eastAsia="宋体" w:cs="Times New Roman"/>
          <w:b w:val="0"/>
          <w:bCs w:val="0"/>
          <w:color w:val="auto"/>
          <w:kern w:val="2"/>
          <w:sz w:val="21"/>
          <w:szCs w:val="24"/>
          <w:lang w:val="zh-CN"/>
        </w:rPr>
        <w:id w:val="-1354797911"/>
        <w:docPartObj>
          <w:docPartGallery w:val="Table of Contents"/>
          <w:docPartUnique/>
        </w:docPartObj>
      </w:sdtPr>
      <w:sdtEndPr>
        <w:rPr>
          <w:rFonts w:ascii="宋体" w:hAnsi="宋体" w:eastAsia="宋体" w:cs="Times New Roman"/>
          <w:b w:val="0"/>
          <w:bCs w:val="0"/>
          <w:color w:val="auto"/>
          <w:kern w:val="2"/>
          <w:sz w:val="24"/>
          <w:szCs w:val="24"/>
          <w:lang w:val="zh-CN"/>
        </w:rPr>
      </w:sdtEndPr>
      <w:sdtContent>
        <w:p w14:paraId="70A0D385">
          <w:pPr>
            <w:pStyle w:val="102"/>
            <w:jc w:val="center"/>
            <w:rPr>
              <w:color w:val="auto"/>
              <w:sz w:val="32"/>
              <w:szCs w:val="32"/>
              <w:lang w:val="zh-CN"/>
            </w:rPr>
          </w:pPr>
          <w:r>
            <w:rPr>
              <w:color w:val="auto"/>
              <w:sz w:val="32"/>
              <w:szCs w:val="32"/>
              <w:lang w:val="zh-CN"/>
            </w:rPr>
            <w:t>目录</w:t>
          </w:r>
        </w:p>
        <w:p w14:paraId="02919D14">
          <w:pPr>
            <w:spacing w:line="360" w:lineRule="auto"/>
            <w:rPr>
              <w:color w:val="auto"/>
              <w:lang w:val="zh-CN"/>
            </w:rPr>
          </w:pPr>
        </w:p>
        <w:p w14:paraId="125D4BD6">
          <w:pPr>
            <w:pStyle w:val="30"/>
            <w:spacing w:line="360" w:lineRule="auto"/>
            <w:rPr>
              <w:rFonts w:hint="eastAsia" w:ascii="宋体" w:hAnsi="宋体" w:eastAsia="宋体" w:cs="宋体"/>
              <w:b/>
              <w:bCs w:val="0"/>
              <w:smallCaps w:val="0"/>
              <w:color w:val="auto"/>
              <w:sz w:val="21"/>
              <w:szCs w:val="21"/>
            </w:rPr>
          </w:pPr>
          <w:r>
            <w:rPr>
              <w:b w:val="0"/>
              <w:smallCaps w:val="0"/>
              <w:color w:val="auto"/>
              <w:sz w:val="24"/>
              <w:szCs w:val="24"/>
            </w:rPr>
            <w:fldChar w:fldCharType="begin"/>
          </w:r>
          <w:r>
            <w:rPr>
              <w:color w:val="auto"/>
              <w:sz w:val="24"/>
              <w:szCs w:val="24"/>
            </w:rPr>
            <w:instrText xml:space="preserve"> TOC \o "1-3" \h \z \u </w:instrText>
          </w:r>
          <w:r>
            <w:rPr>
              <w:b w:val="0"/>
              <w:smallCaps w:val="0"/>
              <w:color w:val="auto"/>
              <w:sz w:val="24"/>
              <w:szCs w:val="24"/>
            </w:rPr>
            <w:fldChar w:fldCharType="separate"/>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"_Toc94196194"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一、</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承包范围和业务内容</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_Toc94196194 \h </w:instrText>
          </w:r>
          <w:r>
            <w:rPr>
              <w:rFonts w:hint="eastAsia" w:ascii="宋体" w:cs="宋体"/>
              <w:bCs w:val="0"/>
              <w:color w:val="auto"/>
              <w:sz w:val="21"/>
              <w:szCs w:val="21"/>
            </w:rPr>
            <w:fldChar w:fldCharType="separate"/>
          </w:r>
          <w:r>
            <w:rPr>
              <w:rFonts w:hint="eastAsia" w:ascii="宋体" w:cs="宋体"/>
              <w:bCs w:val="0"/>
              <w:color w:val="auto"/>
              <w:sz w:val="21"/>
              <w:szCs w:val="21"/>
            </w:rPr>
            <w:t>1</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131D4993">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"_Toc94196195"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二、</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承包方式</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_Toc94196195 \h </w:instrText>
          </w:r>
          <w:r>
            <w:rPr>
              <w:rFonts w:hint="eastAsia" w:ascii="宋体" w:cs="宋体"/>
              <w:bCs w:val="0"/>
              <w:color w:val="auto"/>
              <w:sz w:val="21"/>
              <w:szCs w:val="21"/>
            </w:rPr>
            <w:fldChar w:fldCharType="separate"/>
          </w:r>
          <w:r>
            <w:rPr>
              <w:rFonts w:hint="eastAsia" w:ascii="宋体" w:cs="宋体"/>
              <w:bCs w:val="0"/>
              <w:color w:val="auto"/>
              <w:sz w:val="21"/>
              <w:szCs w:val="21"/>
            </w:rPr>
            <w:t>1</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25ADD3EC">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"_Toc94196196"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三、</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服务期限</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_Toc94196196 \h </w:instrText>
          </w:r>
          <w:r>
            <w:rPr>
              <w:rFonts w:hint="eastAsia" w:ascii="宋体" w:cs="宋体"/>
              <w:bCs w:val="0"/>
              <w:color w:val="auto"/>
              <w:sz w:val="21"/>
              <w:szCs w:val="21"/>
            </w:rPr>
            <w:fldChar w:fldCharType="separate"/>
          </w:r>
          <w:r>
            <w:rPr>
              <w:rFonts w:hint="eastAsia" w:ascii="宋体" w:cs="宋体"/>
              <w:bCs w:val="0"/>
              <w:color w:val="auto"/>
              <w:sz w:val="21"/>
              <w:szCs w:val="21"/>
            </w:rPr>
            <w:t>1</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48DADB23">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"_Toc94196197"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四、</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合同价格</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_Toc94196197 \h </w:instrText>
          </w:r>
          <w:r>
            <w:rPr>
              <w:rFonts w:hint="eastAsia" w:ascii="宋体" w:cs="宋体"/>
              <w:bCs w:val="0"/>
              <w:color w:val="auto"/>
              <w:sz w:val="21"/>
              <w:szCs w:val="21"/>
            </w:rPr>
            <w:fldChar w:fldCharType="separate"/>
          </w:r>
          <w:r>
            <w:rPr>
              <w:rFonts w:hint="eastAsia" w:ascii="宋体" w:cs="宋体"/>
              <w:bCs w:val="0"/>
              <w:color w:val="auto"/>
              <w:sz w:val="21"/>
              <w:szCs w:val="21"/>
            </w:rPr>
            <w:t>2</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7A336B4C">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"_Toc94196198"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五、</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付款方式</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_Toc94196198 \h </w:instrText>
          </w:r>
          <w:r>
            <w:rPr>
              <w:rFonts w:hint="eastAsia" w:ascii="宋体" w:cs="宋体"/>
              <w:bCs w:val="0"/>
              <w:color w:val="auto"/>
              <w:sz w:val="21"/>
              <w:szCs w:val="21"/>
            </w:rPr>
            <w:fldChar w:fldCharType="separate"/>
          </w:r>
          <w:r>
            <w:rPr>
              <w:rFonts w:hint="eastAsia" w:ascii="宋体" w:cs="宋体"/>
              <w:bCs w:val="0"/>
              <w:color w:val="auto"/>
              <w:sz w:val="21"/>
              <w:szCs w:val="21"/>
            </w:rPr>
            <w:t>3</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41C047EF">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"_Toc94196199"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六、</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乙方郑重承诺</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_Toc94196199 \h </w:instrText>
          </w:r>
          <w:r>
            <w:rPr>
              <w:rFonts w:hint="eastAsia" w:ascii="宋体" w:cs="宋体"/>
              <w:bCs w:val="0"/>
              <w:color w:val="auto"/>
              <w:sz w:val="21"/>
              <w:szCs w:val="21"/>
            </w:rPr>
            <w:fldChar w:fldCharType="separate"/>
          </w:r>
          <w:r>
            <w:rPr>
              <w:rFonts w:hint="eastAsia" w:ascii="宋体" w:cs="宋体"/>
              <w:bCs w:val="0"/>
              <w:color w:val="auto"/>
              <w:sz w:val="21"/>
              <w:szCs w:val="21"/>
            </w:rPr>
            <w:t>4</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1F156FF3">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"_Toc94196200"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七、</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乙方的责任和义务</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_Toc94196200 \h </w:instrText>
          </w:r>
          <w:r>
            <w:rPr>
              <w:rFonts w:hint="eastAsia" w:ascii="宋体" w:cs="宋体"/>
              <w:bCs w:val="0"/>
              <w:color w:val="auto"/>
              <w:sz w:val="21"/>
              <w:szCs w:val="21"/>
            </w:rPr>
            <w:fldChar w:fldCharType="separate"/>
          </w:r>
          <w:r>
            <w:rPr>
              <w:rFonts w:hint="eastAsia" w:ascii="宋体" w:cs="宋体"/>
              <w:bCs w:val="0"/>
              <w:color w:val="auto"/>
              <w:sz w:val="21"/>
              <w:szCs w:val="21"/>
            </w:rPr>
            <w:t>5</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4B173E25">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"_Toc94196201"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八、</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甲方的责任和义务</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_Toc94196201 \h </w:instrText>
          </w:r>
          <w:r>
            <w:rPr>
              <w:rFonts w:hint="eastAsia" w:ascii="宋体" w:cs="宋体"/>
              <w:bCs w:val="0"/>
              <w:color w:val="auto"/>
              <w:sz w:val="21"/>
              <w:szCs w:val="21"/>
            </w:rPr>
            <w:fldChar w:fldCharType="separate"/>
          </w:r>
          <w:r>
            <w:rPr>
              <w:rFonts w:hint="eastAsia" w:ascii="宋体" w:cs="宋体"/>
              <w:bCs w:val="0"/>
              <w:color w:val="auto"/>
              <w:sz w:val="21"/>
              <w:szCs w:val="21"/>
            </w:rPr>
            <w:t>8</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56EE5284">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"_Toc94196202"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九、</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乙方指定的项目经理</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_Toc94196202 \h </w:instrText>
          </w:r>
          <w:r>
            <w:rPr>
              <w:rFonts w:hint="eastAsia" w:ascii="宋体" w:cs="宋体"/>
              <w:bCs w:val="0"/>
              <w:color w:val="auto"/>
              <w:sz w:val="21"/>
              <w:szCs w:val="21"/>
            </w:rPr>
            <w:fldChar w:fldCharType="separate"/>
          </w:r>
          <w:r>
            <w:rPr>
              <w:rFonts w:hint="eastAsia" w:ascii="宋体" w:cs="宋体"/>
              <w:bCs w:val="0"/>
              <w:color w:val="auto"/>
              <w:sz w:val="21"/>
              <w:szCs w:val="21"/>
            </w:rPr>
            <w:t>9</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484CA8AA">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"_Toc94196203" </w:instrText>
          </w:r>
          <w:r>
            <w:rPr>
              <w:rFonts w:hint="eastAsia" w:ascii="宋体" w:cs="宋体"/>
              <w:bCs w:val="0"/>
              <w:color w:val="auto"/>
              <w:sz w:val="21"/>
              <w:szCs w:val="21"/>
            </w:rPr>
            <w:fldChar w:fldCharType="separate"/>
          </w:r>
          <w:r>
            <w:rPr>
              <w:rStyle w:val="42"/>
              <w:rFonts w:hint="eastAsia" w:ascii="宋体" w:hAnsi="宋体" w:eastAsia="宋体" w:cs="宋体"/>
              <w:bCs w:val="0"/>
              <w:color w:val="auto"/>
              <w:sz w:val="21"/>
              <w:szCs w:val="21"/>
            </w:rPr>
            <w:t>十、</w:t>
          </w:r>
          <w:r>
            <w:rPr>
              <w:rFonts w:hint="eastAsia" w:ascii="宋体" w:hAnsi="宋体" w:eastAsia="宋体" w:cs="宋体"/>
              <w:b/>
              <w:bCs w:val="0"/>
              <w:smallCaps w:val="0"/>
              <w:color w:val="auto"/>
              <w:sz w:val="21"/>
              <w:szCs w:val="21"/>
            </w:rPr>
            <w:tab/>
          </w:r>
          <w:r>
            <w:rPr>
              <w:rStyle w:val="42"/>
              <w:rFonts w:hint="eastAsia" w:ascii="宋体" w:hAnsi="宋体" w:eastAsia="宋体" w:cs="宋体"/>
              <w:bCs w:val="0"/>
              <w:color w:val="auto"/>
              <w:sz w:val="21"/>
              <w:szCs w:val="21"/>
            </w:rPr>
            <w:t>服务及运营管理要求</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_Toc94196203 \h </w:instrText>
          </w:r>
          <w:r>
            <w:rPr>
              <w:rFonts w:hint="eastAsia" w:ascii="宋体" w:cs="宋体"/>
              <w:bCs w:val="0"/>
              <w:color w:val="auto"/>
              <w:sz w:val="21"/>
              <w:szCs w:val="21"/>
            </w:rPr>
            <w:fldChar w:fldCharType="separate"/>
          </w:r>
          <w:r>
            <w:rPr>
              <w:rFonts w:hint="eastAsia" w:ascii="宋体" w:cs="宋体"/>
              <w:bCs w:val="0"/>
              <w:color w:val="auto"/>
              <w:sz w:val="21"/>
              <w:szCs w:val="21"/>
            </w:rPr>
            <w:t>10</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4D2BB48E">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"_Toc94196204" </w:instrText>
          </w:r>
          <w:r>
            <w:rPr>
              <w:rFonts w:hint="eastAsia" w:ascii="宋体" w:cs="宋体"/>
              <w:bCs w:val="0"/>
              <w:color w:val="auto"/>
              <w:sz w:val="21"/>
              <w:szCs w:val="21"/>
            </w:rPr>
            <w:fldChar w:fldCharType="separate"/>
          </w:r>
          <w:r>
            <w:rPr>
              <w:rStyle w:val="42"/>
              <w:rFonts w:hint="eastAsia" w:ascii="宋体" w:hAnsi="宋体" w:eastAsia="宋体" w:cs="宋体"/>
              <w:bCs w:val="0"/>
              <w:color w:val="auto"/>
              <w:sz w:val="21"/>
              <w:szCs w:val="21"/>
            </w:rPr>
            <w:t>十一、</w:t>
          </w:r>
          <w:r>
            <w:rPr>
              <w:rFonts w:hint="eastAsia" w:ascii="宋体" w:hAnsi="宋体" w:eastAsia="宋体" w:cs="宋体"/>
              <w:b/>
              <w:bCs w:val="0"/>
              <w:smallCaps w:val="0"/>
              <w:color w:val="auto"/>
              <w:sz w:val="21"/>
              <w:szCs w:val="21"/>
            </w:rPr>
            <w:tab/>
          </w:r>
          <w:r>
            <w:rPr>
              <w:rStyle w:val="42"/>
              <w:rFonts w:hint="eastAsia" w:ascii="宋体" w:hAnsi="宋体" w:eastAsia="宋体" w:cs="宋体"/>
              <w:bCs w:val="0"/>
              <w:color w:val="auto"/>
              <w:sz w:val="21"/>
              <w:szCs w:val="21"/>
            </w:rPr>
            <w:t>质量标准</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_Toc94196204 \h </w:instrText>
          </w:r>
          <w:r>
            <w:rPr>
              <w:rFonts w:hint="eastAsia" w:ascii="宋体" w:cs="宋体"/>
              <w:bCs w:val="0"/>
              <w:color w:val="auto"/>
              <w:sz w:val="21"/>
              <w:szCs w:val="21"/>
            </w:rPr>
            <w:fldChar w:fldCharType="separate"/>
          </w:r>
          <w:r>
            <w:rPr>
              <w:rFonts w:hint="eastAsia" w:ascii="宋体" w:cs="宋体"/>
              <w:bCs w:val="0"/>
              <w:color w:val="auto"/>
              <w:sz w:val="21"/>
              <w:szCs w:val="21"/>
            </w:rPr>
            <w:t>12</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25FA5162">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"_Toc94196205"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十二、</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不可抗力</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_Toc94196205 \h </w:instrText>
          </w:r>
          <w:r>
            <w:rPr>
              <w:rFonts w:hint="eastAsia" w:ascii="宋体" w:cs="宋体"/>
              <w:bCs w:val="0"/>
              <w:color w:val="auto"/>
              <w:sz w:val="21"/>
              <w:szCs w:val="21"/>
            </w:rPr>
            <w:fldChar w:fldCharType="separate"/>
          </w:r>
          <w:r>
            <w:rPr>
              <w:rFonts w:hint="eastAsia" w:ascii="宋体" w:cs="宋体"/>
              <w:bCs w:val="0"/>
              <w:color w:val="auto"/>
              <w:sz w:val="21"/>
              <w:szCs w:val="21"/>
            </w:rPr>
            <w:t>14</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31F63BD0">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"_Toc94196206"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十三、</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组成合同的文件及解释顺序</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_Toc94196206 \h </w:instrText>
          </w:r>
          <w:r>
            <w:rPr>
              <w:rFonts w:hint="eastAsia" w:ascii="宋体" w:cs="宋体"/>
              <w:bCs w:val="0"/>
              <w:color w:val="auto"/>
              <w:sz w:val="21"/>
              <w:szCs w:val="21"/>
            </w:rPr>
            <w:fldChar w:fldCharType="separate"/>
          </w:r>
          <w:r>
            <w:rPr>
              <w:rFonts w:hint="eastAsia" w:ascii="宋体" w:cs="宋体"/>
              <w:bCs w:val="0"/>
              <w:color w:val="auto"/>
              <w:sz w:val="21"/>
              <w:szCs w:val="21"/>
            </w:rPr>
            <w:t>14</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62939DB5">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"_Toc94196207"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十四、</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违约责任</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_Toc94196207 \h </w:instrText>
          </w:r>
          <w:r>
            <w:rPr>
              <w:rFonts w:hint="eastAsia" w:ascii="宋体" w:cs="宋体"/>
              <w:bCs w:val="0"/>
              <w:color w:val="auto"/>
              <w:sz w:val="21"/>
              <w:szCs w:val="21"/>
            </w:rPr>
            <w:fldChar w:fldCharType="separate"/>
          </w:r>
          <w:r>
            <w:rPr>
              <w:rFonts w:hint="eastAsia" w:ascii="宋体" w:cs="宋体"/>
              <w:bCs w:val="0"/>
              <w:color w:val="auto"/>
              <w:sz w:val="21"/>
              <w:szCs w:val="21"/>
            </w:rPr>
            <w:t>14</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391FC848">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"_Toc94196208"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十五、</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争议与索赔</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_Toc94196208 \h </w:instrText>
          </w:r>
          <w:r>
            <w:rPr>
              <w:rFonts w:hint="eastAsia" w:ascii="宋体" w:cs="宋体"/>
              <w:bCs w:val="0"/>
              <w:color w:val="auto"/>
              <w:sz w:val="21"/>
              <w:szCs w:val="21"/>
            </w:rPr>
            <w:fldChar w:fldCharType="separate"/>
          </w:r>
          <w:r>
            <w:rPr>
              <w:rFonts w:hint="eastAsia" w:ascii="宋体" w:cs="宋体"/>
              <w:bCs w:val="0"/>
              <w:color w:val="auto"/>
              <w:sz w:val="21"/>
              <w:szCs w:val="21"/>
            </w:rPr>
            <w:t>16</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1C24A539">
          <w:pPr>
            <w:pStyle w:val="30"/>
            <w:spacing w:line="360" w:lineRule="auto"/>
            <w:rPr>
              <w:rFonts w:hint="eastAsia" w:ascii="宋体" w:hAnsi="宋体" w:eastAsia="宋体" w:cs="宋体"/>
              <w:b/>
              <w:bCs w:val="0"/>
              <w:smallCaps w:val="0"/>
              <w:color w:val="auto"/>
              <w:sz w:val="21"/>
              <w:szCs w:val="21"/>
            </w:rPr>
          </w:pPr>
          <w:r>
            <w:rPr>
              <w:rFonts w:hint="eastAsia" w:ascii="宋体" w:cs="宋体"/>
              <w:bCs w:val="0"/>
              <w:color w:val="auto"/>
              <w:sz w:val="21"/>
              <w:szCs w:val="21"/>
            </w:rPr>
            <w:fldChar w:fldCharType="begin"/>
          </w:r>
          <w:r>
            <w:rPr>
              <w:rFonts w:hint="eastAsia" w:ascii="宋体" w:cs="宋体"/>
              <w:bCs w:val="0"/>
              <w:color w:val="auto"/>
              <w:sz w:val="21"/>
              <w:szCs w:val="21"/>
            </w:rPr>
            <w:instrText xml:space="preserve"> HYPERLINK \l "_Toc94196209" </w:instrText>
          </w:r>
          <w:r>
            <w:rPr>
              <w:rFonts w:hint="eastAsia" w:ascii="宋体" w:cs="宋体"/>
              <w:bCs w:val="0"/>
              <w:color w:val="auto"/>
              <w:sz w:val="21"/>
              <w:szCs w:val="21"/>
            </w:rPr>
            <w:fldChar w:fldCharType="separate"/>
          </w:r>
          <w:r>
            <w:rPr>
              <w:rStyle w:val="42"/>
              <w:rFonts w:hint="eastAsia" w:ascii="宋体" w:eastAsia="宋体" w:cs="宋体"/>
              <w:bCs w:val="0"/>
              <w:color w:val="auto"/>
              <w:sz w:val="21"/>
              <w:szCs w:val="21"/>
            </w:rPr>
            <w:t>十六、</w:t>
          </w:r>
          <w:r>
            <w:rPr>
              <w:rFonts w:hint="eastAsia" w:ascii="宋体" w:hAnsi="宋体" w:eastAsia="宋体" w:cs="宋体"/>
              <w:b/>
              <w:bCs w:val="0"/>
              <w:smallCaps w:val="0"/>
              <w:color w:val="auto"/>
              <w:sz w:val="21"/>
              <w:szCs w:val="21"/>
            </w:rPr>
            <w:tab/>
          </w:r>
          <w:r>
            <w:rPr>
              <w:rStyle w:val="42"/>
              <w:rFonts w:hint="eastAsia" w:ascii="宋体" w:eastAsia="宋体" w:cs="宋体"/>
              <w:bCs w:val="0"/>
              <w:color w:val="auto"/>
              <w:sz w:val="21"/>
              <w:szCs w:val="21"/>
            </w:rPr>
            <w:t>其它</w:t>
          </w:r>
          <w:r>
            <w:rPr>
              <w:rFonts w:hint="eastAsia" w:ascii="宋体" w:cs="宋体"/>
              <w:bCs w:val="0"/>
              <w:color w:val="auto"/>
              <w:sz w:val="21"/>
              <w:szCs w:val="21"/>
            </w:rPr>
            <w:tab/>
          </w:r>
          <w:r>
            <w:rPr>
              <w:rFonts w:hint="eastAsia" w:ascii="宋体" w:cs="宋体"/>
              <w:bCs w:val="0"/>
              <w:color w:val="auto"/>
              <w:sz w:val="21"/>
              <w:szCs w:val="21"/>
            </w:rPr>
            <w:fldChar w:fldCharType="begin"/>
          </w:r>
          <w:r>
            <w:rPr>
              <w:rFonts w:hint="eastAsia" w:ascii="宋体" w:cs="宋体"/>
              <w:bCs w:val="0"/>
              <w:color w:val="auto"/>
              <w:sz w:val="21"/>
              <w:szCs w:val="21"/>
            </w:rPr>
            <w:instrText xml:space="preserve"> PAGEREF _Toc94196209 \h </w:instrText>
          </w:r>
          <w:r>
            <w:rPr>
              <w:rFonts w:hint="eastAsia" w:ascii="宋体" w:cs="宋体"/>
              <w:bCs w:val="0"/>
              <w:color w:val="auto"/>
              <w:sz w:val="21"/>
              <w:szCs w:val="21"/>
            </w:rPr>
            <w:fldChar w:fldCharType="separate"/>
          </w:r>
          <w:r>
            <w:rPr>
              <w:rFonts w:hint="eastAsia" w:ascii="宋体" w:cs="宋体"/>
              <w:bCs w:val="0"/>
              <w:color w:val="auto"/>
              <w:sz w:val="21"/>
              <w:szCs w:val="21"/>
            </w:rPr>
            <w:t>17</w:t>
          </w:r>
          <w:r>
            <w:rPr>
              <w:rFonts w:hint="eastAsia" w:ascii="宋体" w:cs="宋体"/>
              <w:bCs w:val="0"/>
              <w:color w:val="auto"/>
              <w:sz w:val="21"/>
              <w:szCs w:val="21"/>
            </w:rPr>
            <w:fldChar w:fldCharType="end"/>
          </w:r>
          <w:r>
            <w:rPr>
              <w:rFonts w:hint="eastAsia" w:ascii="宋体" w:cs="宋体"/>
              <w:bCs w:val="0"/>
              <w:color w:val="auto"/>
              <w:sz w:val="21"/>
              <w:szCs w:val="21"/>
            </w:rPr>
            <w:fldChar w:fldCharType="end"/>
          </w:r>
        </w:p>
        <w:p w14:paraId="5170746D">
          <w:pPr>
            <w:pStyle w:val="21"/>
            <w:spacing w:line="360" w:lineRule="auto"/>
            <w:rPr>
              <w:rFonts w:hint="eastAsia" w:ascii="宋体" w:hAnsi="宋体" w:eastAsia="宋体" w:cs="宋体"/>
              <w:b/>
              <w:bCs w:val="0"/>
              <w:iCs w:val="0"/>
              <w:color w:val="auto"/>
              <w:sz w:val="21"/>
              <w:szCs w:val="21"/>
            </w:rPr>
          </w:pPr>
          <w:r>
            <w:rPr>
              <w:rFonts w:hint="eastAsia" w:ascii="宋体" w:hAnsi="宋体" w:cs="宋体"/>
              <w:b/>
              <w:bCs w:val="0"/>
              <w:color w:val="auto"/>
              <w:sz w:val="21"/>
              <w:szCs w:val="21"/>
            </w:rPr>
            <w:fldChar w:fldCharType="begin"/>
          </w:r>
          <w:r>
            <w:rPr>
              <w:rFonts w:hint="eastAsia" w:ascii="宋体" w:hAnsi="宋体" w:cs="宋体"/>
              <w:b/>
              <w:bCs w:val="0"/>
              <w:color w:val="auto"/>
              <w:sz w:val="21"/>
              <w:szCs w:val="21"/>
            </w:rPr>
            <w:instrText xml:space="preserve"> HYPERLINK \l "_Toc94196210" </w:instrText>
          </w:r>
          <w:r>
            <w:rPr>
              <w:rFonts w:hint="eastAsia" w:ascii="宋体" w:hAnsi="宋体" w:cs="宋体"/>
              <w:b/>
              <w:bCs w:val="0"/>
              <w:color w:val="auto"/>
              <w:sz w:val="21"/>
              <w:szCs w:val="21"/>
            </w:rPr>
            <w:fldChar w:fldCharType="separate"/>
          </w:r>
          <w:r>
            <w:rPr>
              <w:rStyle w:val="42"/>
              <w:rFonts w:hint="eastAsia" w:ascii="宋体" w:hAnsi="宋体" w:cs="宋体"/>
              <w:b/>
              <w:bCs w:val="0"/>
              <w:color w:val="auto"/>
              <w:sz w:val="21"/>
              <w:szCs w:val="21"/>
            </w:rPr>
            <w:t>附件1.</w:t>
          </w:r>
          <w:r>
            <w:rPr>
              <w:rFonts w:hint="eastAsia" w:ascii="宋体" w:hAnsi="宋体" w:eastAsia="宋体" w:cs="宋体"/>
              <w:b/>
              <w:bCs w:val="0"/>
              <w:iCs w:val="0"/>
              <w:color w:val="auto"/>
              <w:sz w:val="21"/>
              <w:szCs w:val="21"/>
            </w:rPr>
            <w:tab/>
          </w:r>
          <w:r>
            <w:rPr>
              <w:rStyle w:val="42"/>
              <w:rFonts w:hint="eastAsia" w:ascii="宋体" w:hAnsi="宋体" w:cs="宋体"/>
              <w:b/>
              <w:bCs w:val="0"/>
              <w:color w:val="auto"/>
              <w:sz w:val="21"/>
              <w:szCs w:val="21"/>
            </w:rPr>
            <w:t>技术协议书</w:t>
          </w:r>
          <w:r>
            <w:rPr>
              <w:rFonts w:hint="eastAsia" w:ascii="宋体" w:hAnsi="宋体" w:eastAsia="宋体" w:cs="宋体"/>
              <w:b/>
              <w:bCs/>
              <w:color w:val="auto"/>
              <w:sz w:val="21"/>
              <w:szCs w:val="21"/>
              <w:lang w:val="en-US" w:eastAsia="zh-CN"/>
            </w:rPr>
            <w:t>（单独成册）</w:t>
          </w:r>
          <w:r>
            <w:rPr>
              <w:rFonts w:hint="eastAsia" w:ascii="宋体" w:hAnsi="宋体" w:cs="宋体"/>
              <w:b/>
              <w:bCs w:val="0"/>
              <w:color w:val="auto"/>
              <w:sz w:val="21"/>
              <w:szCs w:val="21"/>
            </w:rPr>
            <w:tab/>
          </w:r>
          <w:r>
            <w:rPr>
              <w:rFonts w:hint="eastAsia" w:ascii="宋体" w:hAnsi="宋体" w:cs="宋体"/>
              <w:b/>
              <w:bCs w:val="0"/>
              <w:color w:val="auto"/>
              <w:sz w:val="21"/>
              <w:szCs w:val="21"/>
            </w:rPr>
            <w:fldChar w:fldCharType="begin"/>
          </w:r>
          <w:r>
            <w:rPr>
              <w:rFonts w:hint="eastAsia" w:ascii="宋体" w:hAnsi="宋体" w:cs="宋体"/>
              <w:b/>
              <w:bCs w:val="0"/>
              <w:color w:val="auto"/>
              <w:sz w:val="21"/>
              <w:szCs w:val="21"/>
            </w:rPr>
            <w:instrText xml:space="preserve"> PAGEREF _Toc94196210 \h </w:instrText>
          </w:r>
          <w:r>
            <w:rPr>
              <w:rFonts w:hint="eastAsia" w:ascii="宋体" w:hAnsi="宋体" w:cs="宋体"/>
              <w:b/>
              <w:bCs w:val="0"/>
              <w:color w:val="auto"/>
              <w:sz w:val="21"/>
              <w:szCs w:val="21"/>
            </w:rPr>
            <w:fldChar w:fldCharType="separate"/>
          </w:r>
          <w:r>
            <w:rPr>
              <w:rFonts w:hint="eastAsia" w:ascii="宋体" w:hAnsi="宋体" w:cs="宋体"/>
              <w:b/>
              <w:bCs w:val="0"/>
              <w:color w:val="auto"/>
              <w:sz w:val="21"/>
              <w:szCs w:val="21"/>
            </w:rPr>
            <w:t>20</w:t>
          </w:r>
          <w:r>
            <w:rPr>
              <w:rFonts w:hint="eastAsia" w:ascii="宋体" w:hAnsi="宋体" w:cs="宋体"/>
              <w:b/>
              <w:bCs w:val="0"/>
              <w:color w:val="auto"/>
              <w:sz w:val="21"/>
              <w:szCs w:val="21"/>
            </w:rPr>
            <w:fldChar w:fldCharType="end"/>
          </w:r>
          <w:r>
            <w:rPr>
              <w:rFonts w:hint="eastAsia" w:ascii="宋体" w:hAnsi="宋体" w:cs="宋体"/>
              <w:b/>
              <w:bCs w:val="0"/>
              <w:color w:val="auto"/>
              <w:sz w:val="21"/>
              <w:szCs w:val="21"/>
            </w:rPr>
            <w:fldChar w:fldCharType="end"/>
          </w:r>
        </w:p>
        <w:p w14:paraId="2FAFF46C">
          <w:pPr>
            <w:pStyle w:val="21"/>
            <w:spacing w:line="360" w:lineRule="auto"/>
            <w:rPr>
              <w:rFonts w:hint="eastAsia" w:ascii="宋体" w:hAnsi="宋体" w:eastAsia="宋体" w:cs="宋体"/>
              <w:b/>
              <w:bCs w:val="0"/>
              <w:iCs w:val="0"/>
              <w:color w:val="auto"/>
              <w:sz w:val="21"/>
              <w:szCs w:val="21"/>
            </w:rPr>
          </w:pPr>
          <w:r>
            <w:rPr>
              <w:rFonts w:hint="eastAsia" w:ascii="宋体" w:hAnsi="宋体" w:cs="宋体"/>
              <w:b/>
              <w:bCs w:val="0"/>
              <w:color w:val="auto"/>
              <w:sz w:val="21"/>
              <w:szCs w:val="21"/>
            </w:rPr>
            <w:fldChar w:fldCharType="begin"/>
          </w:r>
          <w:r>
            <w:rPr>
              <w:rFonts w:hint="eastAsia" w:ascii="宋体" w:hAnsi="宋体" w:cs="宋体"/>
              <w:b/>
              <w:bCs w:val="0"/>
              <w:color w:val="auto"/>
              <w:sz w:val="21"/>
              <w:szCs w:val="21"/>
            </w:rPr>
            <w:instrText xml:space="preserve"> HYPERLINK \l "_Toc94196211" </w:instrText>
          </w:r>
          <w:r>
            <w:rPr>
              <w:rFonts w:hint="eastAsia" w:ascii="宋体" w:hAnsi="宋体" w:cs="宋体"/>
              <w:b/>
              <w:bCs w:val="0"/>
              <w:color w:val="auto"/>
              <w:sz w:val="21"/>
              <w:szCs w:val="21"/>
            </w:rPr>
            <w:fldChar w:fldCharType="separate"/>
          </w:r>
          <w:r>
            <w:rPr>
              <w:rStyle w:val="42"/>
              <w:rFonts w:hint="eastAsia" w:ascii="宋体" w:hAnsi="宋体" w:cs="宋体"/>
              <w:b/>
              <w:bCs w:val="0"/>
              <w:color w:val="auto"/>
              <w:sz w:val="21"/>
              <w:szCs w:val="21"/>
            </w:rPr>
            <w:t>附件2.</w:t>
          </w:r>
          <w:r>
            <w:rPr>
              <w:rFonts w:hint="eastAsia" w:ascii="宋体" w:hAnsi="宋体" w:eastAsia="宋体" w:cs="宋体"/>
              <w:b/>
              <w:bCs w:val="0"/>
              <w:iCs w:val="0"/>
              <w:color w:val="auto"/>
              <w:sz w:val="21"/>
              <w:szCs w:val="21"/>
            </w:rPr>
            <w:tab/>
          </w:r>
          <w:r>
            <w:rPr>
              <w:rStyle w:val="42"/>
              <w:rFonts w:hint="eastAsia" w:ascii="宋体" w:hAnsi="宋体" w:cs="宋体"/>
              <w:b/>
              <w:bCs w:val="0"/>
              <w:color w:val="auto"/>
              <w:sz w:val="21"/>
              <w:szCs w:val="21"/>
            </w:rPr>
            <w:t>安健环协议</w:t>
          </w:r>
          <w:r>
            <w:rPr>
              <w:rFonts w:hint="eastAsia" w:ascii="宋体" w:hAnsi="宋体" w:cs="宋体"/>
              <w:b/>
              <w:bCs w:val="0"/>
              <w:color w:val="auto"/>
              <w:sz w:val="21"/>
              <w:szCs w:val="21"/>
            </w:rPr>
            <w:tab/>
          </w:r>
          <w:r>
            <w:rPr>
              <w:rFonts w:hint="eastAsia" w:ascii="宋体" w:hAnsi="宋体" w:cs="宋体"/>
              <w:b/>
              <w:bCs w:val="0"/>
              <w:color w:val="auto"/>
              <w:sz w:val="21"/>
              <w:szCs w:val="21"/>
            </w:rPr>
            <w:fldChar w:fldCharType="begin"/>
          </w:r>
          <w:r>
            <w:rPr>
              <w:rFonts w:hint="eastAsia" w:ascii="宋体" w:hAnsi="宋体" w:cs="宋体"/>
              <w:b/>
              <w:bCs w:val="0"/>
              <w:color w:val="auto"/>
              <w:sz w:val="21"/>
              <w:szCs w:val="21"/>
            </w:rPr>
            <w:instrText xml:space="preserve"> PAGEREF _Toc94196211 \h </w:instrText>
          </w:r>
          <w:r>
            <w:rPr>
              <w:rFonts w:hint="eastAsia" w:ascii="宋体" w:hAnsi="宋体" w:cs="宋体"/>
              <w:b/>
              <w:bCs w:val="0"/>
              <w:color w:val="auto"/>
              <w:sz w:val="21"/>
              <w:szCs w:val="21"/>
            </w:rPr>
            <w:fldChar w:fldCharType="separate"/>
          </w:r>
          <w:r>
            <w:rPr>
              <w:rFonts w:hint="eastAsia" w:ascii="宋体" w:hAnsi="宋体" w:cs="宋体"/>
              <w:b/>
              <w:bCs w:val="0"/>
              <w:color w:val="auto"/>
              <w:sz w:val="21"/>
              <w:szCs w:val="21"/>
            </w:rPr>
            <w:t>21</w:t>
          </w:r>
          <w:r>
            <w:rPr>
              <w:rFonts w:hint="eastAsia" w:ascii="宋体" w:hAnsi="宋体" w:cs="宋体"/>
              <w:b/>
              <w:bCs w:val="0"/>
              <w:color w:val="auto"/>
              <w:sz w:val="21"/>
              <w:szCs w:val="21"/>
            </w:rPr>
            <w:fldChar w:fldCharType="end"/>
          </w:r>
          <w:r>
            <w:rPr>
              <w:rFonts w:hint="eastAsia" w:ascii="宋体" w:hAnsi="宋体" w:cs="宋体"/>
              <w:b/>
              <w:bCs w:val="0"/>
              <w:color w:val="auto"/>
              <w:sz w:val="21"/>
              <w:szCs w:val="21"/>
            </w:rPr>
            <w:fldChar w:fldCharType="end"/>
          </w:r>
        </w:p>
        <w:p w14:paraId="590A1997">
          <w:pPr>
            <w:pStyle w:val="21"/>
            <w:spacing w:line="360" w:lineRule="auto"/>
            <w:rPr>
              <w:rFonts w:asciiTheme="minorHAnsi" w:hAnsiTheme="minorHAnsi" w:eastAsiaTheme="minorEastAsia" w:cstheme="minorBidi"/>
              <w:iCs w:val="0"/>
              <w:color w:val="auto"/>
              <w:sz w:val="24"/>
              <w:szCs w:val="24"/>
            </w:rPr>
          </w:pPr>
          <w:r>
            <w:rPr>
              <w:rFonts w:hint="eastAsia" w:ascii="宋体" w:hAnsi="宋体" w:cs="宋体"/>
              <w:b/>
              <w:bCs w:val="0"/>
              <w:color w:val="auto"/>
              <w:sz w:val="21"/>
              <w:szCs w:val="21"/>
            </w:rPr>
            <w:fldChar w:fldCharType="begin"/>
          </w:r>
          <w:r>
            <w:rPr>
              <w:rFonts w:hint="eastAsia" w:ascii="宋体" w:hAnsi="宋体" w:cs="宋体"/>
              <w:b/>
              <w:bCs w:val="0"/>
              <w:color w:val="auto"/>
              <w:sz w:val="21"/>
              <w:szCs w:val="21"/>
            </w:rPr>
            <w:instrText xml:space="preserve"> HYPERLINK \l "_Toc94196212" </w:instrText>
          </w:r>
          <w:r>
            <w:rPr>
              <w:rFonts w:hint="eastAsia" w:ascii="宋体" w:hAnsi="宋体" w:cs="宋体"/>
              <w:b/>
              <w:bCs w:val="0"/>
              <w:color w:val="auto"/>
              <w:sz w:val="21"/>
              <w:szCs w:val="21"/>
            </w:rPr>
            <w:fldChar w:fldCharType="separate"/>
          </w:r>
          <w:r>
            <w:rPr>
              <w:rStyle w:val="42"/>
              <w:rFonts w:hint="eastAsia" w:ascii="宋体" w:hAnsi="宋体" w:cs="宋体"/>
              <w:b/>
              <w:bCs w:val="0"/>
              <w:color w:val="auto"/>
              <w:sz w:val="21"/>
              <w:szCs w:val="21"/>
            </w:rPr>
            <w:t>附件3.</w:t>
          </w:r>
          <w:r>
            <w:rPr>
              <w:rFonts w:hint="eastAsia" w:ascii="宋体" w:hAnsi="宋体" w:eastAsia="宋体" w:cs="宋体"/>
              <w:b/>
              <w:bCs w:val="0"/>
              <w:iCs w:val="0"/>
              <w:color w:val="auto"/>
              <w:sz w:val="21"/>
              <w:szCs w:val="21"/>
            </w:rPr>
            <w:tab/>
          </w:r>
          <w:r>
            <w:rPr>
              <w:rStyle w:val="42"/>
              <w:rFonts w:hint="eastAsia" w:ascii="宋体" w:hAnsi="宋体" w:cs="宋体"/>
              <w:b/>
              <w:bCs w:val="0"/>
              <w:color w:val="auto"/>
              <w:sz w:val="21"/>
              <w:szCs w:val="21"/>
            </w:rPr>
            <w:t>廉政合同</w:t>
          </w:r>
          <w:r>
            <w:rPr>
              <w:rFonts w:hint="eastAsia" w:ascii="宋体" w:hAnsi="宋体" w:cs="宋体"/>
              <w:b/>
              <w:bCs w:val="0"/>
              <w:color w:val="auto"/>
              <w:sz w:val="21"/>
              <w:szCs w:val="21"/>
            </w:rPr>
            <w:tab/>
          </w:r>
          <w:r>
            <w:rPr>
              <w:rFonts w:hint="eastAsia" w:ascii="宋体" w:hAnsi="宋体" w:cs="宋体"/>
              <w:b/>
              <w:bCs w:val="0"/>
              <w:color w:val="auto"/>
              <w:sz w:val="21"/>
              <w:szCs w:val="21"/>
            </w:rPr>
            <w:fldChar w:fldCharType="begin"/>
          </w:r>
          <w:r>
            <w:rPr>
              <w:rFonts w:hint="eastAsia" w:ascii="宋体" w:hAnsi="宋体" w:cs="宋体"/>
              <w:b/>
              <w:bCs w:val="0"/>
              <w:color w:val="auto"/>
              <w:sz w:val="21"/>
              <w:szCs w:val="21"/>
            </w:rPr>
            <w:instrText xml:space="preserve"> PAGEREF _Toc94196212 \h </w:instrText>
          </w:r>
          <w:r>
            <w:rPr>
              <w:rFonts w:hint="eastAsia" w:ascii="宋体" w:hAnsi="宋体" w:cs="宋体"/>
              <w:b/>
              <w:bCs w:val="0"/>
              <w:color w:val="auto"/>
              <w:sz w:val="21"/>
              <w:szCs w:val="21"/>
            </w:rPr>
            <w:fldChar w:fldCharType="separate"/>
          </w:r>
          <w:r>
            <w:rPr>
              <w:rFonts w:hint="eastAsia" w:ascii="宋体" w:hAnsi="宋体" w:cs="宋体"/>
              <w:b/>
              <w:bCs w:val="0"/>
              <w:color w:val="auto"/>
              <w:sz w:val="21"/>
              <w:szCs w:val="21"/>
            </w:rPr>
            <w:t>38</w:t>
          </w:r>
          <w:r>
            <w:rPr>
              <w:rFonts w:hint="eastAsia" w:ascii="宋体" w:hAnsi="宋体" w:cs="宋体"/>
              <w:b/>
              <w:bCs w:val="0"/>
              <w:color w:val="auto"/>
              <w:sz w:val="21"/>
              <w:szCs w:val="21"/>
            </w:rPr>
            <w:fldChar w:fldCharType="end"/>
          </w:r>
          <w:r>
            <w:rPr>
              <w:rFonts w:hint="eastAsia" w:ascii="宋体" w:hAnsi="宋体" w:cs="宋体"/>
              <w:b/>
              <w:bCs w:val="0"/>
              <w:color w:val="auto"/>
              <w:sz w:val="21"/>
              <w:szCs w:val="21"/>
            </w:rPr>
            <w:fldChar w:fldCharType="end"/>
          </w:r>
        </w:p>
        <w:p w14:paraId="58ACCB2E">
          <w:pPr>
            <w:pStyle w:val="22"/>
            <w:rPr>
              <w:rFonts w:hAnsi="宋体"/>
              <w:color w:val="auto"/>
              <w:sz w:val="24"/>
              <w:szCs w:val="24"/>
            </w:rPr>
          </w:pPr>
          <w:r>
            <w:rPr>
              <w:rFonts w:hAnsi="宋体"/>
              <w:bCs/>
              <w:color w:val="auto"/>
              <w:sz w:val="24"/>
              <w:szCs w:val="24"/>
              <w:lang w:val="zh-CN"/>
            </w:rPr>
            <w:fldChar w:fldCharType="end"/>
          </w:r>
        </w:p>
      </w:sdtContent>
    </w:sdt>
    <w:p w14:paraId="5FD9F19C">
      <w:pPr>
        <w:pStyle w:val="5"/>
        <w:ind w:firstLine="0" w:firstLineChars="0"/>
        <w:rPr>
          <w:color w:val="auto"/>
        </w:rPr>
      </w:pPr>
    </w:p>
    <w:p w14:paraId="2BC28849">
      <w:pPr>
        <w:bidi w:val="0"/>
      </w:pPr>
    </w:p>
    <w:p w14:paraId="7689850E">
      <w:pPr>
        <w:tabs>
          <w:tab w:val="left" w:pos="3546"/>
        </w:tabs>
        <w:bidi w:val="0"/>
        <w:jc w:val="left"/>
        <w:rPr>
          <w:rFonts w:hint="eastAsia" w:eastAsia="宋体"/>
          <w:lang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lang w:eastAsia="zh-CN"/>
        </w:rPr>
        <w:tab/>
      </w:r>
    </w:p>
    <w:bookmarkEnd w:id="0"/>
    <w:p w14:paraId="226199F6">
      <w:pPr>
        <w:spacing w:line="360" w:lineRule="auto"/>
        <w:ind w:firstLine="600" w:firstLineChars="250"/>
        <w:rPr>
          <w:rFonts w:ascii="宋体" w:hAnsi="宋体"/>
          <w:color w:val="auto"/>
          <w:sz w:val="24"/>
        </w:rPr>
      </w:pPr>
      <w:r>
        <w:rPr>
          <w:rFonts w:hint="eastAsia" w:ascii="宋体" w:hAnsi="宋体"/>
          <w:color w:val="auto"/>
          <w:sz w:val="24"/>
        </w:rPr>
        <w:t>甲乙双方经友好协商，确定乙方承担任丘深能环保有限公司</w:t>
      </w:r>
      <w:r>
        <w:rPr>
          <w:rFonts w:hint="eastAsia" w:ascii="宋体" w:hAnsi="宋体"/>
          <w:color w:val="auto"/>
          <w:sz w:val="24"/>
          <w:lang w:eastAsia="zh-CN"/>
        </w:rPr>
        <w:t>2026年度</w:t>
      </w:r>
      <w:r>
        <w:rPr>
          <w:rFonts w:hint="eastAsia" w:ascii="宋体" w:hAnsi="宋体"/>
          <w:color w:val="auto"/>
          <w:sz w:val="24"/>
        </w:rPr>
        <w:t>飞灰稳定化处理运营管理项目业务。依照《中华人民共和国民法典》及其他有关法律、法规、规章，并结合项目所在地有关规定及本现场服务的具体情况，遵循平等、自愿、公平和诚实信用的原则，经协商，双方就任丘深能环保有限公司</w:t>
      </w:r>
      <w:r>
        <w:rPr>
          <w:rFonts w:hint="eastAsia" w:ascii="宋体" w:hAnsi="宋体"/>
          <w:color w:val="auto"/>
          <w:sz w:val="24"/>
          <w:lang w:eastAsia="zh-CN"/>
        </w:rPr>
        <w:t>2026年度</w:t>
      </w:r>
      <w:r>
        <w:rPr>
          <w:rFonts w:hint="eastAsia" w:ascii="宋体" w:hAnsi="宋体"/>
          <w:color w:val="auto"/>
          <w:sz w:val="24"/>
        </w:rPr>
        <w:t>飞灰稳定化处理运营管理项目总承包事宜达成一致，同意签订本合同条款，双方共同遵守下列条款：</w:t>
      </w:r>
    </w:p>
    <w:p w14:paraId="122A1585">
      <w:pPr>
        <w:pStyle w:val="101"/>
        <w:snapToGrid w:val="0"/>
        <w:spacing w:line="360" w:lineRule="auto"/>
        <w:ind w:left="560" w:firstLine="0" w:firstLineChars="0"/>
        <w:outlineLvl w:val="1"/>
        <w:rPr>
          <w:rFonts w:ascii="黑体" w:hAnsi="宋体" w:eastAsia="黑体"/>
          <w:color w:val="auto"/>
          <w:sz w:val="28"/>
          <w:szCs w:val="32"/>
        </w:rPr>
      </w:pPr>
    </w:p>
    <w:p w14:paraId="1B1F3490">
      <w:pPr>
        <w:pStyle w:val="101"/>
        <w:numPr>
          <w:ilvl w:val="0"/>
          <w:numId w:val="8"/>
        </w:numPr>
        <w:snapToGrid w:val="0"/>
        <w:spacing w:line="360" w:lineRule="auto"/>
        <w:ind w:left="560" w:hanging="560" w:hangingChars="200"/>
        <w:outlineLvl w:val="1"/>
        <w:rPr>
          <w:rFonts w:ascii="黑体" w:hAnsi="宋体" w:eastAsia="黑体"/>
          <w:color w:val="auto"/>
          <w:sz w:val="28"/>
          <w:szCs w:val="32"/>
        </w:rPr>
      </w:pPr>
      <w:bookmarkStart w:id="2" w:name="_Toc94196194"/>
      <w:r>
        <w:rPr>
          <w:rFonts w:hint="eastAsia" w:ascii="黑体" w:hAnsi="宋体" w:eastAsia="黑体"/>
          <w:color w:val="auto"/>
          <w:sz w:val="28"/>
          <w:szCs w:val="32"/>
        </w:rPr>
        <w:t>承包范围和业务内容</w:t>
      </w:r>
      <w:bookmarkEnd w:id="2"/>
    </w:p>
    <w:p w14:paraId="7CB20CA4">
      <w:pPr>
        <w:snapToGrid w:val="0"/>
        <w:spacing w:line="360" w:lineRule="auto"/>
        <w:ind w:firstLine="600" w:firstLineChars="250"/>
        <w:rPr>
          <w:rFonts w:ascii="宋体" w:hAnsi="宋体"/>
          <w:color w:val="auto"/>
          <w:sz w:val="24"/>
        </w:rPr>
      </w:pPr>
      <w:r>
        <w:rPr>
          <w:rFonts w:hint="eastAsia" w:ascii="宋体" w:hAnsi="宋体"/>
          <w:color w:val="auto"/>
          <w:sz w:val="24"/>
        </w:rPr>
        <w:t>任丘深能环保有限公司</w:t>
      </w:r>
      <w:r>
        <w:rPr>
          <w:rFonts w:hint="eastAsia" w:ascii="宋体" w:hAnsi="宋体"/>
          <w:color w:val="auto"/>
          <w:sz w:val="24"/>
          <w:lang w:eastAsia="zh-CN"/>
        </w:rPr>
        <w:t>2026年度</w:t>
      </w:r>
      <w:r>
        <w:rPr>
          <w:rFonts w:hint="eastAsia" w:ascii="宋体" w:hAnsi="宋体"/>
          <w:color w:val="auto"/>
          <w:sz w:val="24"/>
        </w:rPr>
        <w:t>飞灰稳定化处理运营管理项目属于现场业务总承包项目（即乙方既是项目的用人单位又是用工单位），乙方及其派出人员负责直接完成任丘深能环保有限公司合同期内的飞灰稳定化处理</w:t>
      </w:r>
      <w:r>
        <w:rPr>
          <w:rFonts w:ascii="宋体" w:hAnsi="宋体"/>
          <w:color w:val="auto"/>
          <w:sz w:val="24"/>
        </w:rPr>
        <w:t>任务</w:t>
      </w:r>
      <w:r>
        <w:rPr>
          <w:rFonts w:hint="eastAsia" w:ascii="宋体" w:hAnsi="宋体"/>
          <w:color w:val="auto"/>
          <w:sz w:val="24"/>
        </w:rPr>
        <w:t>。</w:t>
      </w:r>
      <w:r>
        <w:rPr>
          <w:rFonts w:hint="eastAsia" w:hAnsi="宋体"/>
          <w:color w:val="auto"/>
          <w:sz w:val="24"/>
        </w:rPr>
        <w:t>本</w:t>
      </w:r>
      <w:r>
        <w:rPr>
          <w:rFonts w:hint="eastAsia" w:ascii="宋体" w:hAnsi="宋体"/>
          <w:color w:val="auto"/>
          <w:sz w:val="24"/>
        </w:rPr>
        <w:t>合同工作范围包括所有与合同相关的技术服务及管理</w:t>
      </w:r>
      <w:r>
        <w:rPr>
          <w:rFonts w:hint="eastAsia" w:hAnsi="宋体"/>
          <w:color w:val="auto"/>
          <w:sz w:val="24"/>
        </w:rPr>
        <w:t>，包括但不限于</w:t>
      </w:r>
      <w:r>
        <w:rPr>
          <w:rFonts w:hint="eastAsia"/>
          <w:color w:val="auto"/>
          <w:sz w:val="24"/>
        </w:rPr>
        <w:t>制定飞灰螯合稳定化处理方案、提供稳定化螯合处理药剂、负责飞灰螯合的运行操作、负责厂内螯合药剂的管理、负责飞灰螯合生产数据填报和资料建档、负责如实填写飞灰螯合物标签、负责提供纸质四联单及四联单的初步核对归档报送、负责原灰定期检测和调整运营加药方案、负责场地及设备清扫保洁、负责提供叉车及叉车的操作和日常维护保养、负责飞灰螯合物的包装、飞灰螯合物的养护管理及转移、负责飞灰暂存间的管理、负责指导飞灰螯合系统的维护检修、负责飞灰螯合设施备品备件申报等相关的运营管理服务。具体服务范围</w:t>
      </w:r>
      <w:r>
        <w:rPr>
          <w:rFonts w:hint="eastAsia" w:ascii="宋体" w:hAnsi="宋体"/>
          <w:color w:val="auto"/>
          <w:sz w:val="24"/>
        </w:rPr>
        <w:t>详见</w:t>
      </w:r>
      <w:r>
        <w:rPr>
          <w:rFonts w:hint="eastAsia" w:ascii="宋体" w:hAnsi="宋体"/>
          <w:color w:val="auto"/>
          <w:sz w:val="24"/>
          <w:lang w:eastAsia="zh-CN"/>
        </w:rPr>
        <w:t>本合同附件1技术协议书</w:t>
      </w:r>
      <w:r>
        <w:rPr>
          <w:rFonts w:hint="eastAsia" w:ascii="宋体" w:hAnsi="宋体"/>
          <w:color w:val="auto"/>
          <w:sz w:val="24"/>
        </w:rPr>
        <w:t>当中的具体规定。</w:t>
      </w:r>
    </w:p>
    <w:p w14:paraId="5F117E8E">
      <w:pPr>
        <w:snapToGrid w:val="0"/>
        <w:spacing w:line="360" w:lineRule="auto"/>
        <w:ind w:firstLine="600" w:firstLineChars="250"/>
        <w:rPr>
          <w:rFonts w:ascii="宋体" w:hAnsi="宋体"/>
          <w:color w:val="auto"/>
          <w:sz w:val="24"/>
        </w:rPr>
      </w:pPr>
    </w:p>
    <w:p w14:paraId="1FC5AE15">
      <w:pPr>
        <w:pStyle w:val="101"/>
        <w:numPr>
          <w:ilvl w:val="0"/>
          <w:numId w:val="8"/>
        </w:numPr>
        <w:snapToGrid w:val="0"/>
        <w:spacing w:line="360" w:lineRule="auto"/>
        <w:ind w:left="560" w:hanging="560" w:hangingChars="200"/>
        <w:outlineLvl w:val="1"/>
        <w:rPr>
          <w:rFonts w:ascii="黑体" w:hAnsi="宋体" w:eastAsia="黑体"/>
          <w:color w:val="auto"/>
          <w:sz w:val="28"/>
          <w:szCs w:val="32"/>
        </w:rPr>
      </w:pPr>
      <w:bookmarkStart w:id="3" w:name="_Toc94196195"/>
      <w:r>
        <w:rPr>
          <w:rFonts w:hint="eastAsia" w:ascii="黑体" w:hAnsi="宋体" w:eastAsia="黑体"/>
          <w:color w:val="auto"/>
          <w:sz w:val="28"/>
          <w:szCs w:val="32"/>
        </w:rPr>
        <w:t>承包方式</w:t>
      </w:r>
      <w:bookmarkEnd w:id="3"/>
      <w:r>
        <w:rPr>
          <w:rFonts w:hint="eastAsia" w:ascii="黑体" w:hAnsi="宋体" w:eastAsia="黑体"/>
          <w:color w:val="auto"/>
          <w:sz w:val="28"/>
          <w:szCs w:val="32"/>
        </w:rPr>
        <w:t xml:space="preserve"> </w:t>
      </w:r>
    </w:p>
    <w:p w14:paraId="490CF2E2">
      <w:pPr>
        <w:spacing w:line="360" w:lineRule="auto"/>
        <w:ind w:firstLine="480" w:firstLineChars="200"/>
        <w:rPr>
          <w:color w:val="auto"/>
          <w:sz w:val="24"/>
        </w:rPr>
      </w:pPr>
      <w:r>
        <w:rPr>
          <w:rFonts w:hint="eastAsia"/>
          <w:color w:val="auto"/>
          <w:sz w:val="24"/>
        </w:rPr>
        <w:t>本合同属于</w:t>
      </w:r>
      <w:r>
        <w:rPr>
          <w:color w:val="auto"/>
          <w:sz w:val="24"/>
        </w:rPr>
        <w:t>全过程</w:t>
      </w:r>
      <w:r>
        <w:rPr>
          <w:rFonts w:hint="eastAsia"/>
          <w:color w:val="auto"/>
          <w:sz w:val="24"/>
        </w:rPr>
        <w:t>总承包项目，采用在本合同运营期限内由乙方包工、包料、包质量、包达标、包安全、包风险的整体承包方式</w:t>
      </w:r>
      <w:r>
        <w:rPr>
          <w:rFonts w:hint="eastAsia" w:ascii="宋体" w:hAnsi="宋体"/>
          <w:color w:val="auto"/>
          <w:sz w:val="24"/>
        </w:rPr>
        <w:t>，</w:t>
      </w:r>
      <w:r>
        <w:rPr>
          <w:rFonts w:hint="eastAsia"/>
          <w:color w:val="auto"/>
          <w:sz w:val="24"/>
        </w:rPr>
        <w:t>乙方</w:t>
      </w:r>
      <w:r>
        <w:rPr>
          <w:rFonts w:hint="eastAsia" w:ascii="宋体" w:hAnsi="宋体"/>
          <w:color w:val="auto"/>
          <w:sz w:val="24"/>
        </w:rPr>
        <w:t>不得擅自再次转包或</w:t>
      </w:r>
      <w:r>
        <w:rPr>
          <w:rFonts w:ascii="宋体" w:hAnsi="宋体"/>
          <w:color w:val="auto"/>
          <w:sz w:val="24"/>
        </w:rPr>
        <w:t>分包</w:t>
      </w:r>
      <w:r>
        <w:rPr>
          <w:rFonts w:hint="eastAsia"/>
          <w:color w:val="auto"/>
          <w:sz w:val="24"/>
        </w:rPr>
        <w:t>。</w:t>
      </w:r>
    </w:p>
    <w:p w14:paraId="0E471748">
      <w:pPr>
        <w:spacing w:line="360" w:lineRule="auto"/>
        <w:ind w:firstLine="480" w:firstLineChars="200"/>
        <w:rPr>
          <w:color w:val="auto"/>
          <w:sz w:val="24"/>
        </w:rPr>
      </w:pPr>
    </w:p>
    <w:p w14:paraId="2BAB0B0D">
      <w:pPr>
        <w:pStyle w:val="101"/>
        <w:numPr>
          <w:ilvl w:val="0"/>
          <w:numId w:val="8"/>
        </w:numPr>
        <w:snapToGrid w:val="0"/>
        <w:spacing w:line="360" w:lineRule="auto"/>
        <w:ind w:left="560" w:hanging="560" w:hangingChars="200"/>
        <w:outlineLvl w:val="1"/>
        <w:rPr>
          <w:rFonts w:ascii="黑体" w:hAnsi="宋体" w:eastAsia="黑体"/>
          <w:color w:val="auto"/>
          <w:sz w:val="28"/>
          <w:szCs w:val="32"/>
        </w:rPr>
      </w:pPr>
      <w:bookmarkStart w:id="4" w:name="_Toc94196196"/>
      <w:r>
        <w:rPr>
          <w:rFonts w:hint="eastAsia" w:ascii="黑体" w:hAnsi="宋体" w:eastAsia="黑体"/>
          <w:color w:val="auto"/>
          <w:sz w:val="28"/>
          <w:szCs w:val="32"/>
        </w:rPr>
        <w:t>服务期限</w:t>
      </w:r>
      <w:bookmarkEnd w:id="4"/>
    </w:p>
    <w:p w14:paraId="348250BF">
      <w:pPr>
        <w:numPr>
          <w:ilvl w:val="0"/>
          <w:numId w:val="9"/>
        </w:numPr>
        <w:spacing w:line="360" w:lineRule="auto"/>
        <w:ind w:firstLine="480" w:firstLineChars="200"/>
        <w:rPr>
          <w:rFonts w:hint="eastAsia"/>
          <w:color w:val="auto"/>
          <w:sz w:val="24"/>
          <w:lang w:val="en-US" w:eastAsia="zh-CN"/>
        </w:rPr>
      </w:pPr>
      <w:r>
        <w:rPr>
          <w:rFonts w:hint="eastAsia"/>
          <w:color w:val="auto"/>
          <w:sz w:val="24"/>
        </w:rPr>
        <w:t>本合同运营期限共计</w:t>
      </w:r>
      <w:r>
        <w:rPr>
          <w:rFonts w:hint="eastAsia"/>
          <w:b/>
          <w:bCs/>
          <w:color w:val="auto"/>
          <w:sz w:val="24"/>
          <w:lang w:val="en-US" w:eastAsia="zh-CN"/>
        </w:rPr>
        <w:t>7</w:t>
      </w:r>
      <w:r>
        <w:rPr>
          <w:rFonts w:hint="eastAsia"/>
          <w:color w:val="auto"/>
          <w:sz w:val="24"/>
        </w:rPr>
        <w:t>个月，自2026年07月30日起至2027年02月28日止。</w:t>
      </w:r>
    </w:p>
    <w:p w14:paraId="0A7B265C">
      <w:pPr>
        <w:spacing w:line="360" w:lineRule="auto"/>
        <w:ind w:firstLine="480" w:firstLineChars="200"/>
        <w:jc w:val="left"/>
        <w:rPr>
          <w:color w:val="auto"/>
          <w:sz w:val="24"/>
        </w:rPr>
      </w:pPr>
      <w:r>
        <w:rPr>
          <w:rFonts w:hint="eastAsia"/>
          <w:color w:val="auto"/>
          <w:sz w:val="24"/>
          <w:lang w:val="en-US" w:eastAsia="zh-CN"/>
        </w:rPr>
        <w:t>2</w:t>
      </w:r>
      <w:r>
        <w:rPr>
          <w:rFonts w:hint="eastAsia"/>
          <w:color w:val="auto"/>
          <w:sz w:val="24"/>
        </w:rPr>
        <w:t>、工作地点：</w:t>
      </w:r>
      <w:r>
        <w:rPr>
          <w:rFonts w:hint="eastAsia" w:ascii="宋体" w:hAnsi="宋体" w:eastAsia="宋体" w:cs="宋体"/>
          <w:color w:val="auto"/>
          <w:sz w:val="24"/>
          <w:highlight w:val="none"/>
          <w:lang w:val="en-US" w:eastAsia="zh-CN"/>
        </w:rPr>
        <w:t>河北省沧州市任丘市议论堡乡石村村北1.32km。</w:t>
      </w:r>
    </w:p>
    <w:p w14:paraId="3C53BCFA">
      <w:pPr>
        <w:spacing w:line="360" w:lineRule="auto"/>
        <w:ind w:firstLine="480" w:firstLineChars="200"/>
        <w:rPr>
          <w:color w:val="auto"/>
          <w:sz w:val="24"/>
        </w:rPr>
      </w:pPr>
    </w:p>
    <w:p w14:paraId="106B5254">
      <w:pPr>
        <w:pStyle w:val="2"/>
        <w:rPr>
          <w:color w:val="auto"/>
        </w:rPr>
      </w:pPr>
    </w:p>
    <w:p w14:paraId="4F2963E9">
      <w:pPr>
        <w:pStyle w:val="101"/>
        <w:numPr>
          <w:ilvl w:val="0"/>
          <w:numId w:val="8"/>
        </w:numPr>
        <w:snapToGrid w:val="0"/>
        <w:spacing w:line="360" w:lineRule="auto"/>
        <w:ind w:left="560" w:hanging="560" w:hangingChars="200"/>
        <w:outlineLvl w:val="1"/>
        <w:rPr>
          <w:rFonts w:ascii="黑体" w:hAnsi="宋体" w:eastAsia="黑体"/>
          <w:color w:val="auto"/>
          <w:sz w:val="28"/>
        </w:rPr>
      </w:pPr>
      <w:bookmarkStart w:id="5" w:name="_Toc94196197"/>
      <w:r>
        <w:rPr>
          <w:rFonts w:hint="eastAsia" w:ascii="黑体" w:hAnsi="宋体" w:eastAsia="黑体"/>
          <w:color w:val="auto"/>
          <w:sz w:val="28"/>
        </w:rPr>
        <w:t>合同价格</w:t>
      </w:r>
      <w:bookmarkEnd w:id="5"/>
    </w:p>
    <w:p w14:paraId="57774FBC">
      <w:pPr>
        <w:pStyle w:val="22"/>
        <w:numPr>
          <w:ilvl w:val="0"/>
          <w:numId w:val="10"/>
        </w:numPr>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合同</w:t>
      </w:r>
      <w:r>
        <w:rPr>
          <w:rFonts w:asciiTheme="minorEastAsia" w:hAnsiTheme="minorEastAsia" w:eastAsiaTheme="minorEastAsia"/>
          <w:color w:val="auto"/>
          <w:sz w:val="24"/>
        </w:rPr>
        <w:t>价格</w:t>
      </w:r>
    </w:p>
    <w:tbl>
      <w:tblPr>
        <w:tblStyle w:val="36"/>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4"/>
        <w:gridCol w:w="1539"/>
        <w:gridCol w:w="1296"/>
        <w:gridCol w:w="1458"/>
        <w:gridCol w:w="1845"/>
        <w:gridCol w:w="1091"/>
      </w:tblGrid>
      <w:tr w14:paraId="1779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64" w:type="dxa"/>
            <w:vAlign w:val="center"/>
          </w:tcPr>
          <w:p w14:paraId="7CF80248">
            <w:pPr>
              <w:spacing w:line="360" w:lineRule="auto"/>
              <w:jc w:val="center"/>
              <w:rPr>
                <w:rFonts w:ascii="宋体" w:hAnsi="宋体"/>
                <w:color w:val="auto"/>
                <w:sz w:val="24"/>
              </w:rPr>
            </w:pPr>
            <w:r>
              <w:rPr>
                <w:rFonts w:hint="eastAsia" w:ascii="宋体" w:hAnsi="宋体"/>
                <w:color w:val="auto"/>
                <w:sz w:val="24"/>
              </w:rPr>
              <w:t>名称</w:t>
            </w:r>
          </w:p>
        </w:tc>
        <w:tc>
          <w:tcPr>
            <w:tcW w:w="1539" w:type="dxa"/>
            <w:vAlign w:val="center"/>
          </w:tcPr>
          <w:p w14:paraId="24E184B3">
            <w:pPr>
              <w:spacing w:line="360" w:lineRule="auto"/>
              <w:jc w:val="center"/>
              <w:rPr>
                <w:rFonts w:ascii="宋体" w:hAnsi="宋体"/>
                <w:color w:val="auto"/>
                <w:sz w:val="24"/>
              </w:rPr>
            </w:pPr>
            <w:r>
              <w:rPr>
                <w:rFonts w:hint="eastAsia" w:ascii="宋体" w:hAnsi="宋体"/>
                <w:color w:val="auto"/>
                <w:sz w:val="24"/>
              </w:rPr>
              <w:t>技术要求</w:t>
            </w:r>
          </w:p>
        </w:tc>
        <w:tc>
          <w:tcPr>
            <w:tcW w:w="1296" w:type="dxa"/>
            <w:vAlign w:val="center"/>
          </w:tcPr>
          <w:p w14:paraId="157677AA">
            <w:pPr>
              <w:spacing w:line="360" w:lineRule="auto"/>
              <w:jc w:val="center"/>
              <w:rPr>
                <w:rFonts w:ascii="宋体" w:hAnsi="宋体"/>
                <w:color w:val="auto"/>
                <w:sz w:val="24"/>
              </w:rPr>
            </w:pPr>
            <w:r>
              <w:rPr>
                <w:rFonts w:hint="eastAsia" w:ascii="宋体" w:hAnsi="宋体"/>
                <w:color w:val="auto"/>
                <w:sz w:val="24"/>
              </w:rPr>
              <w:t>暂估数量</w:t>
            </w:r>
          </w:p>
          <w:p w14:paraId="497882AC">
            <w:pPr>
              <w:spacing w:line="360" w:lineRule="auto"/>
              <w:jc w:val="center"/>
              <w:rPr>
                <w:rFonts w:ascii="宋体" w:hAnsi="宋体"/>
                <w:color w:val="auto"/>
                <w:sz w:val="24"/>
              </w:rPr>
            </w:pPr>
            <w:r>
              <w:rPr>
                <w:rFonts w:hint="eastAsia" w:ascii="宋体" w:hAnsi="宋体"/>
                <w:color w:val="auto"/>
                <w:sz w:val="24"/>
              </w:rPr>
              <w:t>（吨）</w:t>
            </w:r>
          </w:p>
        </w:tc>
        <w:tc>
          <w:tcPr>
            <w:tcW w:w="1458" w:type="dxa"/>
            <w:vAlign w:val="center"/>
          </w:tcPr>
          <w:p w14:paraId="302AE0E0">
            <w:pPr>
              <w:spacing w:line="360" w:lineRule="auto"/>
              <w:jc w:val="center"/>
              <w:rPr>
                <w:rFonts w:ascii="宋体" w:hAnsi="宋体"/>
                <w:color w:val="auto"/>
                <w:sz w:val="24"/>
              </w:rPr>
            </w:pPr>
            <w:r>
              <w:rPr>
                <w:rFonts w:hint="eastAsia" w:ascii="宋体" w:hAnsi="宋体"/>
                <w:color w:val="auto"/>
                <w:sz w:val="24"/>
              </w:rPr>
              <w:t>综合单价</w:t>
            </w:r>
          </w:p>
          <w:p w14:paraId="68B73F0A">
            <w:pPr>
              <w:spacing w:line="360" w:lineRule="auto"/>
              <w:jc w:val="center"/>
              <w:rPr>
                <w:rFonts w:ascii="宋体" w:hAnsi="宋体"/>
                <w:color w:val="auto"/>
                <w:sz w:val="24"/>
              </w:rPr>
            </w:pPr>
            <w:r>
              <w:rPr>
                <w:rFonts w:hint="eastAsia" w:ascii="宋体" w:hAnsi="宋体"/>
                <w:color w:val="auto"/>
                <w:sz w:val="24"/>
              </w:rPr>
              <w:t>（元/吨）</w:t>
            </w:r>
          </w:p>
        </w:tc>
        <w:tc>
          <w:tcPr>
            <w:tcW w:w="1845" w:type="dxa"/>
            <w:vAlign w:val="center"/>
          </w:tcPr>
          <w:p w14:paraId="01F9341F">
            <w:pPr>
              <w:spacing w:line="360" w:lineRule="auto"/>
              <w:jc w:val="center"/>
              <w:rPr>
                <w:rFonts w:ascii="宋体" w:hAnsi="宋体"/>
                <w:color w:val="auto"/>
                <w:sz w:val="24"/>
              </w:rPr>
            </w:pPr>
            <w:r>
              <w:rPr>
                <w:rFonts w:hint="eastAsia" w:ascii="宋体" w:hAnsi="宋体"/>
                <w:color w:val="auto"/>
                <w:sz w:val="24"/>
              </w:rPr>
              <w:t>暂估总价</w:t>
            </w:r>
          </w:p>
          <w:p w14:paraId="23CEB41E">
            <w:pPr>
              <w:spacing w:line="360" w:lineRule="auto"/>
              <w:jc w:val="center"/>
              <w:rPr>
                <w:rFonts w:ascii="宋体" w:hAnsi="宋体"/>
                <w:color w:val="auto"/>
                <w:sz w:val="24"/>
              </w:rPr>
            </w:pPr>
            <w:r>
              <w:rPr>
                <w:rFonts w:hint="eastAsia" w:ascii="宋体" w:hAnsi="宋体"/>
                <w:color w:val="auto"/>
                <w:sz w:val="24"/>
              </w:rPr>
              <w:t xml:space="preserve">（元）  </w:t>
            </w:r>
            <w:r>
              <w:rPr>
                <w:rFonts w:ascii="宋体" w:hAnsi="宋体"/>
                <w:color w:val="auto"/>
                <w:sz w:val="24"/>
              </w:rPr>
              <w:t xml:space="preserve">   </w:t>
            </w:r>
          </w:p>
        </w:tc>
        <w:tc>
          <w:tcPr>
            <w:tcW w:w="1091" w:type="dxa"/>
            <w:vAlign w:val="center"/>
          </w:tcPr>
          <w:p w14:paraId="1536B0A5">
            <w:pPr>
              <w:spacing w:line="360" w:lineRule="auto"/>
              <w:jc w:val="center"/>
              <w:rPr>
                <w:rFonts w:ascii="宋体" w:hAnsi="宋体"/>
                <w:color w:val="auto"/>
                <w:sz w:val="24"/>
              </w:rPr>
            </w:pPr>
            <w:r>
              <w:rPr>
                <w:rFonts w:hint="eastAsia" w:ascii="宋体" w:hAnsi="宋体"/>
                <w:color w:val="auto"/>
                <w:sz w:val="24"/>
              </w:rPr>
              <w:t>备注</w:t>
            </w:r>
          </w:p>
        </w:tc>
      </w:tr>
      <w:tr w14:paraId="5317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864" w:type="dxa"/>
            <w:vAlign w:val="center"/>
          </w:tcPr>
          <w:p w14:paraId="42DB2222">
            <w:pPr>
              <w:spacing w:line="360" w:lineRule="auto"/>
              <w:jc w:val="center"/>
              <w:rPr>
                <w:rFonts w:ascii="宋体" w:hAnsi="宋体"/>
                <w:color w:val="auto"/>
                <w:sz w:val="24"/>
              </w:rPr>
            </w:pPr>
            <w:r>
              <w:rPr>
                <w:rFonts w:hint="eastAsia"/>
                <w:color w:val="auto"/>
                <w:sz w:val="24"/>
              </w:rPr>
              <w:t xml:space="preserve">螯合处理达标的原灰  </w:t>
            </w:r>
          </w:p>
        </w:tc>
        <w:tc>
          <w:tcPr>
            <w:tcW w:w="1539" w:type="dxa"/>
            <w:vAlign w:val="center"/>
          </w:tcPr>
          <w:p w14:paraId="7553BD1A">
            <w:pPr>
              <w:spacing w:line="360" w:lineRule="auto"/>
              <w:jc w:val="center"/>
              <w:rPr>
                <w:rFonts w:ascii="宋体" w:hAnsi="宋体"/>
                <w:color w:val="auto"/>
                <w:sz w:val="24"/>
              </w:rPr>
            </w:pPr>
            <w:r>
              <w:rPr>
                <w:rFonts w:hint="eastAsia"/>
                <w:color w:val="auto"/>
                <w:sz w:val="24"/>
              </w:rPr>
              <w:t>详见</w:t>
            </w:r>
            <w:r>
              <w:rPr>
                <w:rFonts w:hint="eastAsia"/>
                <w:color w:val="auto"/>
                <w:sz w:val="24"/>
                <w:lang w:eastAsia="zh-CN"/>
              </w:rPr>
              <w:t>本合同附件1技术协议书</w:t>
            </w:r>
            <w:r>
              <w:rPr>
                <w:rFonts w:hint="eastAsia"/>
                <w:color w:val="auto"/>
                <w:sz w:val="24"/>
              </w:rPr>
              <w:t>要求</w:t>
            </w:r>
          </w:p>
        </w:tc>
        <w:tc>
          <w:tcPr>
            <w:tcW w:w="1296" w:type="dxa"/>
            <w:vAlign w:val="center"/>
          </w:tcPr>
          <w:p w14:paraId="4909BB22">
            <w:pPr>
              <w:spacing w:line="360" w:lineRule="auto"/>
              <w:jc w:val="center"/>
              <w:rPr>
                <w:rFonts w:ascii="宋体" w:hAnsi="宋体"/>
                <w:color w:val="auto"/>
                <w:sz w:val="24"/>
              </w:rPr>
            </w:pPr>
            <w:r>
              <w:rPr>
                <w:rFonts w:hint="eastAsia" w:ascii="宋体" w:hAnsi="宋体"/>
                <w:color w:val="auto"/>
                <w:sz w:val="24"/>
                <w:lang w:val="en-US" w:eastAsia="zh-CN"/>
              </w:rPr>
              <w:t>7000</w:t>
            </w:r>
            <w:r>
              <w:rPr>
                <w:rFonts w:ascii="宋体" w:hAnsi="宋体"/>
                <w:color w:val="auto"/>
                <w:sz w:val="24"/>
              </w:rPr>
              <w:t xml:space="preserve"> </w:t>
            </w:r>
          </w:p>
        </w:tc>
        <w:tc>
          <w:tcPr>
            <w:tcW w:w="1458" w:type="dxa"/>
            <w:vAlign w:val="center"/>
          </w:tcPr>
          <w:p w14:paraId="12465AA3">
            <w:pPr>
              <w:spacing w:line="360" w:lineRule="auto"/>
              <w:jc w:val="center"/>
              <w:rPr>
                <w:rFonts w:ascii="宋体" w:hAnsi="宋体"/>
                <w:color w:val="auto"/>
                <w:sz w:val="24"/>
              </w:rPr>
            </w:pPr>
            <w:r>
              <w:rPr>
                <w:rFonts w:hint="eastAsia" w:ascii="宋体" w:hAnsi="宋体"/>
                <w:color w:val="auto"/>
                <w:sz w:val="24"/>
                <w:lang w:val="en-US" w:eastAsia="zh-CN"/>
              </w:rPr>
              <w:t>99.00</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p>
        </w:tc>
        <w:tc>
          <w:tcPr>
            <w:tcW w:w="1845" w:type="dxa"/>
            <w:vAlign w:val="center"/>
          </w:tcPr>
          <w:p w14:paraId="0DAF0C1B">
            <w:pPr>
              <w:spacing w:line="360" w:lineRule="auto"/>
              <w:rPr>
                <w:rFonts w:hint="default" w:ascii="宋体" w:hAnsi="宋体" w:eastAsia=".PingFang-SC-Thin"/>
                <w:color w:val="auto"/>
                <w:sz w:val="24"/>
                <w:lang w:val="en-US" w:eastAsia="zh-CN"/>
              </w:rPr>
            </w:pPr>
            <w:r>
              <w:rPr>
                <w:rFonts w:ascii=".PingFang-SC-Thin" w:hAnsi=".PingFang-SC-Thin" w:eastAsia=".PingFang-SC-Thin"/>
                <w:color w:val="auto"/>
                <w:sz w:val="24"/>
              </w:rPr>
              <w:t xml:space="preserve"> </w:t>
            </w:r>
            <w:r>
              <w:rPr>
                <w:rFonts w:hint="eastAsia" w:ascii=".PingFang-SC-Thin" w:hAnsi=".PingFang-SC-Thin" w:eastAsia=".PingFang-SC-Thin"/>
                <w:color w:val="auto"/>
                <w:sz w:val="24"/>
              </w:rPr>
              <w:t xml:space="preserve"> </w:t>
            </w:r>
            <w:r>
              <w:rPr>
                <w:rFonts w:hint="eastAsia" w:ascii=".PingFang-SC-Thin" w:hAnsi=".PingFang-SC-Thin" w:eastAsia=".PingFang-SC-Thin"/>
                <w:color w:val="auto"/>
                <w:sz w:val="24"/>
                <w:lang w:val="en-US" w:eastAsia="zh-CN"/>
              </w:rPr>
              <w:t>693000.00</w:t>
            </w:r>
          </w:p>
        </w:tc>
        <w:tc>
          <w:tcPr>
            <w:tcW w:w="1091" w:type="dxa"/>
            <w:vAlign w:val="center"/>
          </w:tcPr>
          <w:p w14:paraId="4E11C365">
            <w:pPr>
              <w:spacing w:line="360" w:lineRule="auto"/>
              <w:rPr>
                <w:rFonts w:ascii="宋体" w:hAnsi="宋体"/>
                <w:color w:val="auto"/>
                <w:sz w:val="24"/>
              </w:rPr>
            </w:pPr>
          </w:p>
        </w:tc>
      </w:tr>
      <w:tr w14:paraId="6B5D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864" w:type="dxa"/>
            <w:vAlign w:val="center"/>
          </w:tcPr>
          <w:p w14:paraId="04E92D67">
            <w:pPr>
              <w:spacing w:line="360" w:lineRule="auto"/>
              <w:jc w:val="center"/>
              <w:rPr>
                <w:rFonts w:ascii="宋体" w:hAnsi="宋体"/>
                <w:color w:val="auto"/>
                <w:sz w:val="24"/>
              </w:rPr>
            </w:pPr>
            <w:r>
              <w:rPr>
                <w:rFonts w:hint="eastAsia" w:ascii="宋体" w:hAnsi="宋体"/>
                <w:color w:val="auto"/>
                <w:sz w:val="24"/>
              </w:rPr>
              <w:t>暂估总价</w:t>
            </w:r>
          </w:p>
        </w:tc>
        <w:tc>
          <w:tcPr>
            <w:tcW w:w="7229" w:type="dxa"/>
            <w:gridSpan w:val="5"/>
            <w:vAlign w:val="center"/>
          </w:tcPr>
          <w:p w14:paraId="5F539435">
            <w:pPr>
              <w:spacing w:line="360" w:lineRule="auto"/>
              <w:jc w:val="left"/>
              <w:rPr>
                <w:rFonts w:hint="default" w:ascii="宋体" w:eastAsia=".PingFang-SC-Thin"/>
                <w:color w:val="auto"/>
                <w:sz w:val="24"/>
                <w:lang w:val="en-US" w:eastAsia="zh-CN"/>
              </w:rPr>
            </w:pPr>
            <w:r>
              <w:rPr>
                <w:rFonts w:hint="eastAsia" w:ascii="宋体"/>
                <w:color w:val="auto"/>
                <w:sz w:val="24"/>
              </w:rPr>
              <w:t xml:space="preserve"> </w:t>
            </w:r>
            <w:r>
              <w:rPr>
                <w:rFonts w:hint="eastAsia" w:ascii=".PingFang-SC-Thin" w:hAnsi=".PingFang-SC-Thin" w:eastAsia=".PingFang-SC-Thin"/>
                <w:color w:val="auto"/>
                <w:sz w:val="24"/>
              </w:rPr>
              <w:t xml:space="preserve"> </w:t>
            </w:r>
            <w:r>
              <w:rPr>
                <w:rFonts w:hint="eastAsia" w:ascii=".PingFang-SC-Thin" w:hAnsi=".PingFang-SC-Thin" w:eastAsia=".PingFang-SC-Thin"/>
                <w:color w:val="auto"/>
                <w:sz w:val="24"/>
                <w:lang w:val="en-US" w:eastAsia="zh-CN"/>
              </w:rPr>
              <w:t>小写:693000.00</w:t>
            </w:r>
            <w:r>
              <w:rPr>
                <w:rFonts w:hint="eastAsia" w:ascii=".PingFang-SC-Thin" w:hAnsi=".PingFang-SC-Thin" w:eastAsia=".PingFang-SC-Thin"/>
                <w:color w:val="auto"/>
                <w:sz w:val="24"/>
              </w:rPr>
              <w:t xml:space="preserve">元，大写 </w:t>
            </w:r>
            <w:r>
              <w:rPr>
                <w:rFonts w:hint="eastAsia" w:ascii=".PingFang-SC-Thin" w:hAnsi=".PingFang-SC-Thin" w:eastAsia=".PingFang-SC-Thin"/>
                <w:color w:val="auto"/>
                <w:sz w:val="24"/>
                <w:lang w:val="en-US" w:eastAsia="zh-CN"/>
              </w:rPr>
              <w:t>:陆拾玖万叁仟元整</w:t>
            </w:r>
          </w:p>
        </w:tc>
      </w:tr>
      <w:tr w14:paraId="7205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64" w:type="dxa"/>
            <w:vAlign w:val="center"/>
          </w:tcPr>
          <w:p w14:paraId="6EE9BC13">
            <w:pPr>
              <w:spacing w:line="360" w:lineRule="auto"/>
              <w:jc w:val="center"/>
              <w:rPr>
                <w:rFonts w:ascii="宋体" w:hAnsi="宋体"/>
                <w:color w:val="auto"/>
                <w:sz w:val="24"/>
              </w:rPr>
            </w:pPr>
            <w:r>
              <w:rPr>
                <w:rFonts w:hint="eastAsia" w:ascii="宋体" w:hAnsi="宋体"/>
                <w:color w:val="auto"/>
                <w:sz w:val="24"/>
              </w:rPr>
              <w:t>数量</w:t>
            </w:r>
            <w:r>
              <w:rPr>
                <w:rFonts w:ascii="宋体" w:hAnsi="宋体"/>
                <w:color w:val="auto"/>
                <w:sz w:val="24"/>
              </w:rPr>
              <w:t>及单价说明</w:t>
            </w:r>
          </w:p>
        </w:tc>
        <w:tc>
          <w:tcPr>
            <w:tcW w:w="7229" w:type="dxa"/>
            <w:gridSpan w:val="5"/>
            <w:vAlign w:val="center"/>
          </w:tcPr>
          <w:p w14:paraId="27BE6114">
            <w:pPr>
              <w:spacing w:line="360" w:lineRule="auto"/>
              <w:ind w:firstLine="360" w:firstLineChars="150"/>
              <w:jc w:val="left"/>
              <w:rPr>
                <w:rFonts w:ascii="宋体"/>
                <w:color w:val="auto"/>
                <w:sz w:val="24"/>
              </w:rPr>
            </w:pPr>
            <w:r>
              <w:rPr>
                <w:rFonts w:hint="eastAsia" w:ascii="宋体"/>
                <w:color w:val="auto"/>
                <w:sz w:val="24"/>
              </w:rPr>
              <w:t>上表所列的暂估数量为合同期垃圾处理计划的原</w:t>
            </w:r>
            <w:r>
              <w:rPr>
                <w:rFonts w:ascii="宋体"/>
                <w:color w:val="auto"/>
                <w:sz w:val="24"/>
              </w:rPr>
              <w:t>灰量，</w:t>
            </w:r>
            <w:r>
              <w:rPr>
                <w:rFonts w:hint="eastAsia" w:ascii="宋体"/>
                <w:color w:val="auto"/>
                <w:sz w:val="24"/>
              </w:rPr>
              <w:t>结算时以实际螯合处理达标的原灰为准，超出暂估数量仍按本合同单价执行。</w:t>
            </w:r>
          </w:p>
        </w:tc>
      </w:tr>
      <w:tr w14:paraId="38D6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64" w:type="dxa"/>
            <w:vAlign w:val="center"/>
          </w:tcPr>
          <w:p w14:paraId="21CA2B12">
            <w:pPr>
              <w:spacing w:line="360" w:lineRule="auto"/>
              <w:jc w:val="center"/>
              <w:rPr>
                <w:rFonts w:ascii="宋体" w:hAnsi="宋体"/>
                <w:color w:val="auto"/>
                <w:sz w:val="24"/>
              </w:rPr>
            </w:pPr>
            <w:r>
              <w:rPr>
                <w:rFonts w:hint="eastAsia" w:ascii="宋体" w:hAnsi="宋体"/>
                <w:color w:val="auto"/>
                <w:sz w:val="24"/>
              </w:rPr>
              <w:t>计量方式</w:t>
            </w:r>
            <w:r>
              <w:rPr>
                <w:rFonts w:ascii="宋体" w:hAnsi="宋体"/>
                <w:color w:val="auto"/>
                <w:sz w:val="24"/>
              </w:rPr>
              <w:t>说明</w:t>
            </w:r>
          </w:p>
        </w:tc>
        <w:tc>
          <w:tcPr>
            <w:tcW w:w="7229" w:type="dxa"/>
            <w:gridSpan w:val="5"/>
          </w:tcPr>
          <w:p w14:paraId="593B8D86">
            <w:pPr>
              <w:spacing w:line="360" w:lineRule="auto"/>
              <w:jc w:val="left"/>
              <w:rPr>
                <w:color w:val="auto"/>
                <w:sz w:val="24"/>
              </w:rPr>
            </w:pPr>
            <w:r>
              <w:rPr>
                <w:rFonts w:hint="eastAsia"/>
                <w:color w:val="auto"/>
                <w:sz w:val="24"/>
              </w:rPr>
              <w:t>具体计量公式为：A=E-G-H</w:t>
            </w:r>
          </w:p>
          <w:p w14:paraId="05749AC3">
            <w:pPr>
              <w:spacing w:line="360" w:lineRule="auto"/>
              <w:jc w:val="left"/>
              <w:rPr>
                <w:color w:val="auto"/>
                <w:sz w:val="24"/>
              </w:rPr>
            </w:pPr>
            <w:r>
              <w:rPr>
                <w:rFonts w:hint="eastAsia"/>
                <w:color w:val="auto"/>
                <w:sz w:val="24"/>
              </w:rPr>
              <w:t>A：螯合处理达标的原灰量，单位：吨；</w:t>
            </w:r>
          </w:p>
          <w:p w14:paraId="7F697384">
            <w:pPr>
              <w:spacing w:line="360" w:lineRule="auto"/>
              <w:jc w:val="left"/>
              <w:rPr>
                <w:color w:val="auto"/>
                <w:sz w:val="24"/>
              </w:rPr>
            </w:pPr>
            <w:r>
              <w:rPr>
                <w:rFonts w:hint="eastAsia"/>
                <w:color w:val="auto"/>
                <w:sz w:val="24"/>
              </w:rPr>
              <w:t>E：飞灰螯合物外运填埋过磅量，单位：吨；（以甲方电厂地磅实际计量数为准）</w:t>
            </w:r>
          </w:p>
          <w:p w14:paraId="789F94A3">
            <w:pPr>
              <w:spacing w:line="360" w:lineRule="auto"/>
              <w:jc w:val="left"/>
              <w:rPr>
                <w:color w:val="auto"/>
                <w:sz w:val="24"/>
              </w:rPr>
            </w:pPr>
            <w:r>
              <w:rPr>
                <w:rFonts w:hint="eastAsia"/>
                <w:color w:val="auto"/>
                <w:sz w:val="24"/>
              </w:rPr>
              <w:t>G: 螯合药剂过磅量，单位：吨；（以甲方电厂地磅实际计量数为准）</w:t>
            </w:r>
          </w:p>
          <w:p w14:paraId="123001A4">
            <w:pPr>
              <w:spacing w:line="360" w:lineRule="auto"/>
              <w:jc w:val="left"/>
              <w:rPr>
                <w:color w:val="auto"/>
                <w:sz w:val="24"/>
              </w:rPr>
            </w:pPr>
            <w:r>
              <w:rPr>
                <w:rFonts w:hint="eastAsia"/>
                <w:color w:val="auto"/>
                <w:sz w:val="24"/>
              </w:rPr>
              <w:t>H：螯合过程中加入的水量，单位：吨。（以螯合剂配制罐入口电子流量计度数为准，甲方负责定期提供电子流量计第三方校验报告）</w:t>
            </w:r>
          </w:p>
          <w:p w14:paraId="152DF7AD">
            <w:pPr>
              <w:spacing w:line="360" w:lineRule="auto"/>
              <w:jc w:val="left"/>
              <w:rPr>
                <w:color w:val="auto"/>
                <w:sz w:val="24"/>
              </w:rPr>
            </w:pPr>
            <w:r>
              <w:rPr>
                <w:rFonts w:hint="eastAsia"/>
                <w:color w:val="auto"/>
                <w:sz w:val="24"/>
              </w:rPr>
              <w:t>注：1、甲方地磅系统故障时以双方认可的第三方计量数为准。</w:t>
            </w:r>
          </w:p>
          <w:p w14:paraId="3976FB4B">
            <w:pPr>
              <w:spacing w:line="360" w:lineRule="auto"/>
              <w:ind w:firstLine="480" w:firstLineChars="200"/>
              <w:jc w:val="left"/>
              <w:rPr>
                <w:color w:val="auto"/>
                <w:sz w:val="24"/>
              </w:rPr>
            </w:pPr>
            <w:r>
              <w:rPr>
                <w:rFonts w:hint="eastAsia"/>
                <w:color w:val="auto"/>
                <w:sz w:val="24"/>
              </w:rPr>
              <w:t>2、设备、仪表校验要求：由甲方负责按照法律或行业标准定期委托有资质单位对地磅及流量计进行校验，乙方须认同校验结果。</w:t>
            </w:r>
          </w:p>
        </w:tc>
      </w:tr>
    </w:tbl>
    <w:p w14:paraId="49A1D7F5">
      <w:pPr>
        <w:snapToGrid w:val="0"/>
        <w:spacing w:line="360" w:lineRule="auto"/>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w:t>
      </w:r>
      <w:r>
        <w:rPr>
          <w:rFonts w:ascii="宋体" w:hAnsi="宋体"/>
          <w:b/>
          <w:color w:val="auto"/>
          <w:sz w:val="24"/>
        </w:rPr>
        <w:t>本合同为</w:t>
      </w:r>
      <w:r>
        <w:rPr>
          <w:rFonts w:hint="eastAsia" w:ascii="宋体" w:hAnsi="宋体"/>
          <w:b/>
          <w:color w:val="auto"/>
          <w:sz w:val="24"/>
        </w:rPr>
        <w:t>固定</w:t>
      </w:r>
      <w:r>
        <w:rPr>
          <w:rFonts w:ascii="宋体" w:hAnsi="宋体"/>
          <w:b/>
          <w:color w:val="auto"/>
          <w:sz w:val="24"/>
        </w:rPr>
        <w:t>单价合同</w:t>
      </w:r>
      <w:r>
        <w:rPr>
          <w:rFonts w:ascii="宋体" w:hAnsi="宋体"/>
          <w:color w:val="auto"/>
          <w:sz w:val="24"/>
        </w:rPr>
        <w:t>，</w:t>
      </w:r>
      <w:r>
        <w:rPr>
          <w:rFonts w:hint="eastAsia" w:ascii="宋体" w:hAnsi="宋体"/>
          <w:color w:val="auto"/>
          <w:sz w:val="24"/>
        </w:rPr>
        <w:t>合同</w:t>
      </w:r>
      <w:r>
        <w:rPr>
          <w:rFonts w:ascii="宋体" w:hAnsi="宋体"/>
          <w:color w:val="auto"/>
          <w:sz w:val="24"/>
        </w:rPr>
        <w:t>单价</w:t>
      </w:r>
      <w:r>
        <w:rPr>
          <w:rFonts w:hint="eastAsia" w:ascii="宋体" w:hAnsi="宋体"/>
          <w:color w:val="auto"/>
          <w:sz w:val="24"/>
        </w:rPr>
        <w:t>不因物价上涨、运输方式变更等任何因素的改变而调整。</w:t>
      </w:r>
      <w:r>
        <w:rPr>
          <w:rFonts w:hint="eastAsia"/>
          <w:color w:val="auto"/>
          <w:sz w:val="24"/>
        </w:rPr>
        <w:t>合同</w:t>
      </w:r>
      <w:r>
        <w:rPr>
          <w:rFonts w:ascii="宋体" w:hAnsi="宋体"/>
          <w:color w:val="auto"/>
          <w:sz w:val="24"/>
        </w:rPr>
        <w:t>具体</w:t>
      </w:r>
      <w:r>
        <w:rPr>
          <w:rFonts w:hint="eastAsia" w:ascii="宋体" w:hAnsi="宋体"/>
          <w:color w:val="auto"/>
          <w:sz w:val="24"/>
        </w:rPr>
        <w:t>支付金额</w:t>
      </w:r>
      <w:r>
        <w:rPr>
          <w:rFonts w:hint="eastAsia"/>
          <w:bCs/>
          <w:color w:val="auto"/>
          <w:sz w:val="24"/>
        </w:rPr>
        <w:t>以乙方按合同要求实际进行</w:t>
      </w:r>
      <w:r>
        <w:rPr>
          <w:rFonts w:hint="eastAsia"/>
          <w:color w:val="auto"/>
          <w:sz w:val="24"/>
        </w:rPr>
        <w:t>螯合处理达标</w:t>
      </w:r>
      <w:r>
        <w:rPr>
          <w:rFonts w:hint="eastAsia"/>
          <w:bCs/>
          <w:color w:val="auto"/>
          <w:sz w:val="24"/>
        </w:rPr>
        <w:t>的原灰数量</w:t>
      </w:r>
      <w:r>
        <w:rPr>
          <w:rFonts w:hint="eastAsia" w:ascii="宋体" w:hAnsi="宋体"/>
          <w:color w:val="auto"/>
          <w:sz w:val="24"/>
        </w:rPr>
        <w:t>和本合同</w:t>
      </w:r>
      <w:r>
        <w:rPr>
          <w:rFonts w:ascii="宋体" w:hAnsi="宋体"/>
          <w:color w:val="auto"/>
          <w:sz w:val="24"/>
        </w:rPr>
        <w:t>单价为</w:t>
      </w:r>
      <w:r>
        <w:rPr>
          <w:rFonts w:hint="eastAsia" w:ascii="宋体" w:hAnsi="宋体"/>
          <w:color w:val="auto"/>
          <w:sz w:val="24"/>
        </w:rPr>
        <w:t>计算</w:t>
      </w:r>
      <w:r>
        <w:rPr>
          <w:rFonts w:ascii="宋体" w:hAnsi="宋体"/>
          <w:color w:val="auto"/>
          <w:sz w:val="24"/>
        </w:rPr>
        <w:t>依据</w:t>
      </w:r>
      <w:r>
        <w:rPr>
          <w:rFonts w:hint="eastAsia" w:ascii="宋体" w:hAnsi="宋体"/>
          <w:color w:val="auto"/>
          <w:sz w:val="24"/>
        </w:rPr>
        <w:t>来办理结算，若国家调整增值税税率，结算金额相应调整。</w:t>
      </w:r>
    </w:p>
    <w:p w14:paraId="18713911">
      <w:pPr>
        <w:snapToGrid w:val="0"/>
        <w:spacing w:line="360" w:lineRule="auto"/>
        <w:ind w:firstLine="480" w:firstLineChars="200"/>
        <w:rPr>
          <w:rFonts w:ascii="宋体" w:hAnsi="宋体"/>
          <w:color w:val="auto"/>
          <w:sz w:val="24"/>
        </w:rPr>
      </w:pPr>
      <w:r>
        <w:rPr>
          <w:rFonts w:hint="eastAsia" w:ascii="宋体" w:hAnsi="宋体"/>
          <w:color w:val="auto"/>
          <w:sz w:val="24"/>
        </w:rPr>
        <w:t>3、本合同价格已包含飞灰</w:t>
      </w:r>
      <w:r>
        <w:rPr>
          <w:rFonts w:ascii="宋体" w:hAnsi="宋体"/>
          <w:color w:val="auto"/>
          <w:sz w:val="24"/>
        </w:rPr>
        <w:t>处理药剂</w:t>
      </w:r>
      <w:r>
        <w:rPr>
          <w:rFonts w:hint="eastAsia" w:ascii="宋体" w:hAnsi="宋体"/>
          <w:color w:val="auto"/>
          <w:sz w:val="24"/>
        </w:rPr>
        <w:t>产品的供货、</w:t>
      </w:r>
      <w:r>
        <w:rPr>
          <w:rFonts w:hint="eastAsia" w:hAnsi="宋体"/>
          <w:color w:val="auto"/>
          <w:sz w:val="24"/>
        </w:rPr>
        <w:t>包装、运输、保险、现场装卸</w:t>
      </w:r>
      <w:r>
        <w:rPr>
          <w:rFonts w:hint="eastAsia" w:ascii="宋体" w:hAnsi="宋体"/>
          <w:color w:val="auto"/>
          <w:sz w:val="24"/>
        </w:rPr>
        <w:t>、</w:t>
      </w:r>
      <w:r>
        <w:rPr>
          <w:rFonts w:ascii="宋体" w:hAnsi="宋体"/>
          <w:color w:val="auto"/>
          <w:sz w:val="24"/>
        </w:rPr>
        <w:t>增值</w:t>
      </w:r>
      <w:r>
        <w:rPr>
          <w:rFonts w:hint="eastAsia" w:ascii="宋体" w:hAnsi="宋体"/>
          <w:color w:val="auto"/>
          <w:sz w:val="24"/>
        </w:rPr>
        <w:t>税、</w:t>
      </w:r>
      <w:r>
        <w:rPr>
          <w:rFonts w:ascii="宋体" w:hAnsi="宋体"/>
          <w:color w:val="auto"/>
          <w:sz w:val="24"/>
        </w:rPr>
        <w:t>原灰</w:t>
      </w:r>
      <w:r>
        <w:rPr>
          <w:rFonts w:hint="eastAsia" w:ascii="宋体" w:hAnsi="宋体"/>
          <w:color w:val="auto"/>
          <w:sz w:val="24"/>
        </w:rPr>
        <w:t>和</w:t>
      </w:r>
      <w:r>
        <w:rPr>
          <w:rFonts w:ascii="宋体" w:hAnsi="宋体"/>
          <w:color w:val="auto"/>
          <w:sz w:val="24"/>
        </w:rPr>
        <w:t>螯合物</w:t>
      </w:r>
      <w:r>
        <w:rPr>
          <w:rFonts w:hint="eastAsia" w:ascii="宋体" w:hAnsi="宋体"/>
          <w:color w:val="auto"/>
          <w:sz w:val="24"/>
        </w:rPr>
        <w:t>样品</w:t>
      </w:r>
      <w:r>
        <w:rPr>
          <w:rFonts w:ascii="宋体" w:hAnsi="宋体"/>
          <w:color w:val="auto"/>
          <w:sz w:val="24"/>
        </w:rPr>
        <w:t>检测费</w:t>
      </w:r>
      <w:r>
        <w:rPr>
          <w:rFonts w:hint="eastAsia" w:ascii="宋体" w:hAnsi="宋体"/>
          <w:color w:val="auto"/>
          <w:sz w:val="24"/>
        </w:rPr>
        <w:t>、</w:t>
      </w:r>
      <w:r>
        <w:rPr>
          <w:rFonts w:ascii="宋体" w:hAnsi="宋体" w:cs="Arial"/>
          <w:color w:val="auto"/>
          <w:sz w:val="24"/>
        </w:rPr>
        <w:t>现场</w:t>
      </w:r>
      <w:r>
        <w:rPr>
          <w:rFonts w:hint="eastAsia" w:ascii="宋体" w:hAnsi="宋体" w:cs="Arial"/>
          <w:color w:val="auto"/>
          <w:sz w:val="24"/>
        </w:rPr>
        <w:t>飞灰</w:t>
      </w:r>
      <w:r>
        <w:rPr>
          <w:rFonts w:ascii="宋体" w:hAnsi="宋体" w:cs="Arial"/>
          <w:color w:val="auto"/>
          <w:sz w:val="24"/>
        </w:rPr>
        <w:t>稳定化</w:t>
      </w:r>
      <w:r>
        <w:rPr>
          <w:rFonts w:hint="eastAsia" w:ascii="宋体" w:hAnsi="宋体" w:cs="Arial"/>
          <w:color w:val="auto"/>
          <w:sz w:val="24"/>
        </w:rPr>
        <w:t>螯合相关的运营管理服务</w:t>
      </w:r>
      <w:r>
        <w:rPr>
          <w:rFonts w:hint="eastAsia" w:ascii="宋体" w:hAnsi="宋体"/>
          <w:color w:val="auto"/>
          <w:sz w:val="24"/>
        </w:rPr>
        <w:t>等乙方</w:t>
      </w:r>
      <w:r>
        <w:rPr>
          <w:rFonts w:ascii="宋体" w:hAnsi="宋体"/>
          <w:color w:val="auto"/>
          <w:sz w:val="24"/>
        </w:rPr>
        <w:t>因履行</w:t>
      </w:r>
      <w:r>
        <w:rPr>
          <w:rFonts w:hint="eastAsia" w:ascii="宋体" w:hAnsi="宋体"/>
          <w:color w:val="auto"/>
          <w:sz w:val="24"/>
        </w:rPr>
        <w:t>本合同约定应承担的所有义务和工作的全部费用。</w:t>
      </w:r>
    </w:p>
    <w:p w14:paraId="40BCE7F1">
      <w:pPr>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、监管资金设置要求：a.监管资金金额大小：监管资金金额=月度飞灰稳定化处理预估量*飞灰稳定化处理单价*2</w:t>
      </w:r>
    </w:p>
    <w:p w14:paraId="6FF5C574">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 b.监管资金缴纳时间：预中标候选人收到监管资金缴纳通知书10天内缴纳，未在规定期限内缴纳足额监管资金的没收投标保证金，并取消中标资格。</w:t>
      </w:r>
    </w:p>
    <w:p w14:paraId="32D90D42">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注：</w:t>
      </w:r>
      <w:r>
        <w:rPr>
          <w:rFonts w:hint="eastAsia" w:ascii="宋体" w:hAnsi="宋体"/>
          <w:color w:val="auto"/>
          <w:sz w:val="24"/>
          <w:highlight w:val="none"/>
          <w:lang w:eastAsia="zh-CN"/>
        </w:rPr>
        <w:t>本合同附件1技术协议书</w:t>
      </w:r>
      <w:r>
        <w:rPr>
          <w:rFonts w:hint="eastAsia" w:ascii="宋体" w:hAnsi="宋体"/>
          <w:color w:val="auto"/>
          <w:sz w:val="24"/>
          <w:highlight w:val="none"/>
        </w:rPr>
        <w:t>中的运营监管标准有对项目的明确监管内容及考核标准。如</w:t>
      </w:r>
      <w:r>
        <w:rPr>
          <w:rFonts w:ascii="宋体" w:hAnsi="宋体"/>
          <w:color w:val="auto"/>
          <w:sz w:val="24"/>
          <w:highlight w:val="none"/>
        </w:rPr>
        <w:t>出现本合同及</w:t>
      </w:r>
      <w:r>
        <w:rPr>
          <w:rFonts w:hint="eastAsia" w:ascii="宋体" w:hAnsi="宋体"/>
          <w:color w:val="auto"/>
          <w:sz w:val="24"/>
          <w:highlight w:val="none"/>
          <w:lang w:eastAsia="zh-CN"/>
        </w:rPr>
        <w:t>本合同附件1技术协议书</w:t>
      </w:r>
      <w:r>
        <w:rPr>
          <w:rFonts w:hint="eastAsia" w:ascii="宋体" w:hAnsi="宋体"/>
          <w:color w:val="auto"/>
          <w:sz w:val="24"/>
          <w:highlight w:val="none"/>
        </w:rPr>
        <w:t>中</w:t>
      </w:r>
      <w:r>
        <w:rPr>
          <w:rFonts w:ascii="宋体" w:hAnsi="宋体"/>
          <w:color w:val="auto"/>
          <w:sz w:val="24"/>
          <w:highlight w:val="none"/>
        </w:rPr>
        <w:t>约定的乙方应承担违约责任的事项，</w:t>
      </w:r>
      <w:r>
        <w:rPr>
          <w:rFonts w:hint="eastAsia" w:ascii="宋体" w:hAnsi="宋体"/>
          <w:color w:val="auto"/>
          <w:sz w:val="24"/>
          <w:highlight w:val="none"/>
        </w:rPr>
        <w:t>则</w:t>
      </w:r>
      <w:r>
        <w:rPr>
          <w:rFonts w:ascii="宋体" w:hAnsi="宋体"/>
          <w:color w:val="auto"/>
          <w:sz w:val="24"/>
          <w:highlight w:val="none"/>
        </w:rPr>
        <w:t>甲方</w:t>
      </w:r>
      <w:r>
        <w:rPr>
          <w:rFonts w:hint="eastAsia" w:ascii="宋体" w:hAnsi="宋体"/>
          <w:color w:val="auto"/>
          <w:sz w:val="24"/>
          <w:highlight w:val="none"/>
        </w:rPr>
        <w:t>有权</w:t>
      </w:r>
      <w:r>
        <w:rPr>
          <w:rFonts w:ascii="宋体" w:hAnsi="宋体"/>
          <w:color w:val="auto"/>
          <w:sz w:val="24"/>
          <w:highlight w:val="none"/>
        </w:rPr>
        <w:t>在</w:t>
      </w:r>
      <w:r>
        <w:rPr>
          <w:rFonts w:hint="eastAsia" w:ascii="宋体" w:hAnsi="宋体"/>
          <w:color w:val="auto"/>
          <w:sz w:val="24"/>
          <w:highlight w:val="none"/>
        </w:rPr>
        <w:t>监管资金</w:t>
      </w:r>
      <w:r>
        <w:rPr>
          <w:rFonts w:ascii="宋体" w:hAnsi="宋体"/>
          <w:color w:val="auto"/>
          <w:sz w:val="24"/>
          <w:highlight w:val="none"/>
        </w:rPr>
        <w:t>中扣除相应的金额</w:t>
      </w:r>
      <w:r>
        <w:rPr>
          <w:rFonts w:hint="eastAsia" w:ascii="宋体" w:hAnsi="宋体"/>
          <w:color w:val="auto"/>
          <w:sz w:val="24"/>
          <w:highlight w:val="none"/>
        </w:rPr>
        <w:t>，</w:t>
      </w:r>
      <w:r>
        <w:rPr>
          <w:rFonts w:ascii="宋体" w:hAnsi="宋体"/>
          <w:color w:val="auto"/>
          <w:sz w:val="24"/>
          <w:highlight w:val="none"/>
        </w:rPr>
        <w:t>且</w:t>
      </w:r>
      <w:r>
        <w:rPr>
          <w:rFonts w:hint="eastAsia" w:ascii="宋体" w:hAnsi="宋体"/>
          <w:color w:val="auto"/>
          <w:sz w:val="24"/>
          <w:highlight w:val="none"/>
        </w:rPr>
        <w:t>乙方</w:t>
      </w:r>
      <w:r>
        <w:rPr>
          <w:rFonts w:ascii="宋体" w:hAnsi="宋体"/>
          <w:color w:val="auto"/>
          <w:sz w:val="24"/>
          <w:highlight w:val="none"/>
        </w:rPr>
        <w:t>需在</w:t>
      </w:r>
      <w:r>
        <w:rPr>
          <w:rFonts w:hint="eastAsia" w:ascii="宋体" w:hAnsi="宋体"/>
          <w:color w:val="auto"/>
          <w:sz w:val="24"/>
          <w:highlight w:val="none"/>
        </w:rPr>
        <w:t>10</w:t>
      </w:r>
      <w:r>
        <w:rPr>
          <w:rFonts w:ascii="宋体" w:hAnsi="宋体"/>
          <w:color w:val="auto"/>
          <w:sz w:val="24"/>
          <w:highlight w:val="none"/>
        </w:rPr>
        <w:t>日内</w:t>
      </w:r>
      <w:r>
        <w:rPr>
          <w:rFonts w:hint="eastAsia" w:ascii="宋体" w:hAnsi="宋体"/>
          <w:color w:val="auto"/>
          <w:sz w:val="24"/>
          <w:highlight w:val="none"/>
        </w:rPr>
        <w:t>向</w:t>
      </w:r>
      <w:r>
        <w:rPr>
          <w:rFonts w:ascii="宋体" w:hAnsi="宋体"/>
          <w:color w:val="auto"/>
          <w:sz w:val="24"/>
          <w:highlight w:val="none"/>
        </w:rPr>
        <w:t>甲方重新提交相应金额的</w:t>
      </w:r>
      <w:r>
        <w:rPr>
          <w:rFonts w:hint="eastAsia" w:ascii="宋体" w:hAnsi="宋体"/>
          <w:color w:val="auto"/>
          <w:sz w:val="24"/>
          <w:highlight w:val="none"/>
        </w:rPr>
        <w:t>监管资金</w:t>
      </w:r>
      <w:r>
        <w:rPr>
          <w:rFonts w:ascii="宋体" w:hAnsi="宋体"/>
          <w:color w:val="auto"/>
          <w:sz w:val="24"/>
          <w:highlight w:val="none"/>
        </w:rPr>
        <w:t>。</w:t>
      </w:r>
      <w:r>
        <w:rPr>
          <w:rFonts w:hint="eastAsia" w:ascii="宋体" w:hAnsi="宋体"/>
          <w:color w:val="auto"/>
          <w:sz w:val="24"/>
          <w:highlight w:val="none"/>
        </w:rPr>
        <w:t>在</w:t>
      </w:r>
      <w:r>
        <w:rPr>
          <w:rFonts w:ascii="宋体" w:hAnsi="宋体"/>
          <w:color w:val="auto"/>
          <w:sz w:val="24"/>
          <w:highlight w:val="none"/>
        </w:rPr>
        <w:t>本合同履行完毕后</w:t>
      </w:r>
      <w:r>
        <w:rPr>
          <w:rFonts w:hint="eastAsia" w:ascii="宋体" w:hAnsi="宋体"/>
          <w:color w:val="auto"/>
          <w:sz w:val="24"/>
          <w:highlight w:val="none"/>
        </w:rPr>
        <w:t>且乙方</w:t>
      </w:r>
      <w:r>
        <w:rPr>
          <w:rFonts w:ascii="宋体" w:hAnsi="宋体"/>
          <w:color w:val="auto"/>
          <w:sz w:val="24"/>
          <w:highlight w:val="none"/>
        </w:rPr>
        <w:t>无任何</w:t>
      </w:r>
      <w:r>
        <w:rPr>
          <w:rFonts w:hint="eastAsia" w:ascii="宋体" w:hAnsi="宋体"/>
          <w:color w:val="auto"/>
          <w:sz w:val="24"/>
          <w:highlight w:val="none"/>
        </w:rPr>
        <w:t>应</w:t>
      </w:r>
      <w:r>
        <w:rPr>
          <w:rFonts w:ascii="宋体" w:hAnsi="宋体"/>
          <w:color w:val="auto"/>
          <w:sz w:val="24"/>
          <w:highlight w:val="none"/>
        </w:rPr>
        <w:t>承担的违约责任，甲方</w:t>
      </w:r>
      <w:r>
        <w:rPr>
          <w:rFonts w:hint="eastAsia" w:ascii="宋体" w:hAnsi="宋体"/>
          <w:color w:val="auto"/>
          <w:sz w:val="24"/>
          <w:highlight w:val="none"/>
        </w:rPr>
        <w:t>则</w:t>
      </w:r>
      <w:r>
        <w:rPr>
          <w:rFonts w:ascii="宋体" w:hAnsi="宋体"/>
          <w:color w:val="auto"/>
          <w:sz w:val="24"/>
          <w:highlight w:val="none"/>
        </w:rPr>
        <w:t>将</w:t>
      </w:r>
      <w:r>
        <w:rPr>
          <w:rFonts w:hint="eastAsia" w:ascii="宋体" w:hAnsi="宋体"/>
          <w:color w:val="auto"/>
          <w:sz w:val="24"/>
          <w:highlight w:val="none"/>
        </w:rPr>
        <w:t>监管资金退还</w:t>
      </w:r>
      <w:r>
        <w:rPr>
          <w:rFonts w:ascii="宋体" w:hAnsi="宋体"/>
          <w:color w:val="auto"/>
          <w:sz w:val="24"/>
          <w:highlight w:val="none"/>
        </w:rPr>
        <w:t>给乙方</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不计利息</w:t>
      </w:r>
      <w:r>
        <w:rPr>
          <w:rFonts w:hint="eastAsia" w:ascii="宋体" w:hAnsi="宋体"/>
          <w:color w:val="auto"/>
          <w:sz w:val="24"/>
          <w:highlight w:val="none"/>
          <w:lang w:eastAsia="zh-CN"/>
        </w:rPr>
        <w:t>）</w:t>
      </w:r>
      <w:r>
        <w:rPr>
          <w:rFonts w:ascii="宋体" w:hAnsi="宋体"/>
          <w:color w:val="auto"/>
          <w:sz w:val="24"/>
          <w:highlight w:val="none"/>
        </w:rPr>
        <w:t>。如</w:t>
      </w:r>
      <w:r>
        <w:rPr>
          <w:rFonts w:hint="eastAsia" w:ascii="宋体" w:hAnsi="宋体"/>
          <w:color w:val="auto"/>
          <w:sz w:val="24"/>
          <w:highlight w:val="none"/>
        </w:rPr>
        <w:t>监管资金金额</w:t>
      </w:r>
      <w:r>
        <w:rPr>
          <w:rFonts w:ascii="宋体" w:hAnsi="宋体"/>
          <w:color w:val="auto"/>
          <w:sz w:val="24"/>
          <w:highlight w:val="none"/>
        </w:rPr>
        <w:t>不足以弥补乙方应承担的违约责任，则甲方有权从应支付给乙方的合同</w:t>
      </w:r>
      <w:r>
        <w:rPr>
          <w:rFonts w:hint="eastAsia" w:ascii="宋体" w:hAnsi="宋体"/>
          <w:color w:val="auto"/>
          <w:sz w:val="24"/>
          <w:highlight w:val="none"/>
        </w:rPr>
        <w:t>款项</w:t>
      </w:r>
      <w:r>
        <w:rPr>
          <w:rFonts w:ascii="宋体" w:hAnsi="宋体"/>
          <w:color w:val="auto"/>
          <w:sz w:val="24"/>
          <w:highlight w:val="none"/>
        </w:rPr>
        <w:t>中</w:t>
      </w:r>
      <w:r>
        <w:rPr>
          <w:rFonts w:hint="eastAsia" w:ascii="宋体" w:hAnsi="宋体"/>
          <w:color w:val="auto"/>
          <w:sz w:val="24"/>
          <w:highlight w:val="none"/>
        </w:rPr>
        <w:t>直接</w:t>
      </w:r>
      <w:r>
        <w:rPr>
          <w:rFonts w:ascii="宋体" w:hAnsi="宋体"/>
          <w:color w:val="auto"/>
          <w:sz w:val="24"/>
          <w:highlight w:val="none"/>
        </w:rPr>
        <w:t>扣除，仍不足部分继续向乙方追偿。</w:t>
      </w:r>
    </w:p>
    <w:p w14:paraId="1B784957">
      <w:pPr>
        <w:pStyle w:val="101"/>
        <w:numPr>
          <w:ilvl w:val="0"/>
          <w:numId w:val="8"/>
        </w:numPr>
        <w:snapToGrid w:val="0"/>
        <w:spacing w:line="360" w:lineRule="auto"/>
        <w:ind w:left="560" w:hanging="560" w:hangingChars="200"/>
        <w:outlineLvl w:val="1"/>
        <w:rPr>
          <w:rFonts w:ascii="黑体" w:hAnsi="宋体" w:eastAsia="黑体"/>
          <w:color w:val="auto"/>
          <w:sz w:val="28"/>
          <w:szCs w:val="32"/>
        </w:rPr>
      </w:pPr>
      <w:bookmarkStart w:id="6" w:name="_Toc94196198"/>
      <w:r>
        <w:rPr>
          <w:rFonts w:hint="eastAsia" w:ascii="黑体" w:hAnsi="宋体" w:eastAsia="黑体"/>
          <w:color w:val="auto"/>
          <w:sz w:val="28"/>
          <w:szCs w:val="32"/>
        </w:rPr>
        <w:t>付款方式</w:t>
      </w:r>
      <w:bookmarkEnd w:id="6"/>
    </w:p>
    <w:p w14:paraId="482E15DF">
      <w:pPr>
        <w:snapToGrid w:val="0"/>
        <w:spacing w:line="360" w:lineRule="auto"/>
        <w:ind w:firstLine="420" w:firstLineChars="175"/>
        <w:rPr>
          <w:rFonts w:ascii="宋体" w:hAnsi="宋体"/>
          <w:color w:val="auto"/>
          <w:sz w:val="24"/>
        </w:rPr>
      </w:pPr>
      <w:r>
        <w:rPr>
          <w:rFonts w:hint="eastAsia" w:ascii="宋体" w:hAnsi="宋体"/>
          <w:color w:val="auto"/>
          <w:sz w:val="24"/>
        </w:rPr>
        <w:t>1、货币种类：人民币。</w:t>
      </w:r>
    </w:p>
    <w:p w14:paraId="3EE8955B">
      <w:pPr>
        <w:snapToGrid w:val="0"/>
        <w:spacing w:line="360" w:lineRule="auto"/>
        <w:ind w:firstLine="424" w:firstLineChars="177"/>
        <w:rPr>
          <w:rFonts w:ascii="宋体" w:hAnsi="宋体"/>
          <w:color w:val="auto"/>
          <w:sz w:val="24"/>
        </w:rPr>
      </w:pPr>
      <w:r>
        <w:rPr>
          <w:rFonts w:hint="eastAsia" w:ascii="宋体" w:hAnsi="宋体"/>
          <w:color w:val="auto"/>
          <w:sz w:val="24"/>
        </w:rPr>
        <w:t>2、付款方式：银行转帐。</w:t>
      </w:r>
    </w:p>
    <w:p w14:paraId="24AED866">
      <w:pPr>
        <w:snapToGrid w:val="0"/>
        <w:spacing w:line="360" w:lineRule="auto"/>
        <w:ind w:firstLine="424" w:firstLineChars="177"/>
        <w:rPr>
          <w:rFonts w:ascii="宋体" w:hAnsi="宋体"/>
          <w:color w:val="auto"/>
          <w:sz w:val="24"/>
        </w:rPr>
      </w:pPr>
      <w:r>
        <w:rPr>
          <w:rFonts w:hint="eastAsia" w:ascii="宋体" w:hAnsi="宋体"/>
          <w:color w:val="auto"/>
          <w:sz w:val="24"/>
        </w:rPr>
        <w:t>3、合同</w:t>
      </w:r>
      <w:r>
        <w:rPr>
          <w:rFonts w:ascii="宋体" w:hAnsi="宋体"/>
          <w:color w:val="auto"/>
          <w:sz w:val="24"/>
        </w:rPr>
        <w:t>款项的支付：</w:t>
      </w:r>
    </w:p>
    <w:p w14:paraId="13999F38">
      <w:pPr>
        <w:snapToGrid w:val="0"/>
        <w:spacing w:line="360" w:lineRule="auto"/>
        <w:ind w:firstLine="424" w:firstLineChars="177"/>
        <w:rPr>
          <w:bCs/>
          <w:color w:val="auto"/>
          <w:sz w:val="24"/>
        </w:rPr>
      </w:pPr>
      <w:r>
        <w:rPr>
          <w:rFonts w:hint="eastAsia" w:ascii="宋体" w:hAnsi="宋体"/>
          <w:color w:val="auto"/>
          <w:sz w:val="24"/>
        </w:rPr>
        <w:t>3.1</w:t>
      </w:r>
      <w:r>
        <w:rPr>
          <w:rFonts w:hint="eastAsia"/>
          <w:b/>
          <w:bCs/>
          <w:color w:val="auto"/>
          <w:sz w:val="24"/>
        </w:rPr>
        <w:t>每期结算进度款=</w:t>
      </w:r>
      <w:r>
        <w:rPr>
          <w:b/>
          <w:bCs/>
          <w:color w:val="auto"/>
          <w:sz w:val="24"/>
        </w:rPr>
        <w:t xml:space="preserve"> </w:t>
      </w:r>
      <w:r>
        <w:rPr>
          <w:rFonts w:hint="eastAsia"/>
          <w:b/>
          <w:bCs/>
          <w:color w:val="auto"/>
          <w:sz w:val="24"/>
        </w:rPr>
        <w:t>合同综合</w:t>
      </w:r>
      <w:r>
        <w:rPr>
          <w:b/>
          <w:bCs/>
          <w:color w:val="auto"/>
          <w:sz w:val="24"/>
        </w:rPr>
        <w:t>单价</w:t>
      </w:r>
      <w:r>
        <w:rPr>
          <w:rFonts w:hint="eastAsia"/>
          <w:b/>
          <w:bCs/>
          <w:color w:val="auto"/>
          <w:sz w:val="24"/>
        </w:rPr>
        <w:t>×结算周期内乙方按合同要求处置达标的原灰重量（吨）</w:t>
      </w:r>
    </w:p>
    <w:p w14:paraId="3131E8B5">
      <w:pPr>
        <w:snapToGrid w:val="0"/>
        <w:spacing w:line="360" w:lineRule="auto"/>
        <w:ind w:firstLine="424" w:firstLineChars="177"/>
        <w:rPr>
          <w:rFonts w:ascii="宋体" w:hAnsi="宋体"/>
          <w:color w:val="auto"/>
          <w:sz w:val="24"/>
        </w:rPr>
      </w:pPr>
      <w:r>
        <w:rPr>
          <w:rFonts w:hint="eastAsia" w:ascii="宋体" w:hAnsi="宋体"/>
          <w:color w:val="auto"/>
          <w:sz w:val="24"/>
        </w:rPr>
        <w:t>3.2本</w:t>
      </w:r>
      <w:r>
        <w:rPr>
          <w:rFonts w:ascii="宋体" w:hAnsi="宋体"/>
          <w:color w:val="auto"/>
          <w:sz w:val="24"/>
        </w:rPr>
        <w:t>合同款项按照月结方式每月</w:t>
      </w:r>
      <w:r>
        <w:rPr>
          <w:rFonts w:hint="eastAsia" w:ascii="宋体" w:hAnsi="宋体"/>
          <w:color w:val="auto"/>
          <w:sz w:val="24"/>
        </w:rPr>
        <w:t>结算</w:t>
      </w:r>
      <w:r>
        <w:rPr>
          <w:rFonts w:ascii="宋体" w:hAnsi="宋体"/>
          <w:color w:val="auto"/>
          <w:sz w:val="24"/>
        </w:rPr>
        <w:t>一次</w:t>
      </w:r>
      <w:r>
        <w:rPr>
          <w:rFonts w:hint="eastAsia" w:ascii="宋体" w:hAnsi="宋体"/>
          <w:color w:val="auto"/>
          <w:sz w:val="24"/>
        </w:rPr>
        <w:t>。乙方每月</w:t>
      </w:r>
      <w:r>
        <w:rPr>
          <w:rFonts w:ascii="宋体" w:hAnsi="宋体"/>
          <w:color w:val="auto"/>
          <w:sz w:val="24"/>
        </w:rPr>
        <w:t>10</w:t>
      </w:r>
      <w:r>
        <w:rPr>
          <w:rFonts w:hint="eastAsia" w:ascii="宋体" w:hAnsi="宋体"/>
          <w:color w:val="auto"/>
          <w:sz w:val="24"/>
        </w:rPr>
        <w:t>号前</w:t>
      </w:r>
      <w:r>
        <w:rPr>
          <w:rFonts w:ascii="宋体" w:hAnsi="宋体"/>
          <w:color w:val="auto"/>
          <w:sz w:val="24"/>
        </w:rPr>
        <w:t>将</w:t>
      </w:r>
      <w:r>
        <w:rPr>
          <w:rFonts w:hint="eastAsia" w:ascii="宋体" w:hAnsi="宋体"/>
          <w:color w:val="auto"/>
          <w:sz w:val="24"/>
        </w:rPr>
        <w:t>上月实际按合同要求处置达标的原灰数量</w:t>
      </w:r>
      <w:r>
        <w:rPr>
          <w:rFonts w:ascii="宋体" w:hAnsi="宋体"/>
          <w:color w:val="auto"/>
          <w:sz w:val="24"/>
        </w:rPr>
        <w:t>汇总</w:t>
      </w:r>
      <w:r>
        <w:rPr>
          <w:rFonts w:hint="eastAsia" w:ascii="宋体" w:hAnsi="宋体"/>
          <w:color w:val="auto"/>
          <w:sz w:val="24"/>
        </w:rPr>
        <w:t>后，</w:t>
      </w:r>
      <w:r>
        <w:rPr>
          <w:rFonts w:ascii="宋体" w:hAnsi="宋体"/>
          <w:color w:val="auto"/>
          <w:sz w:val="24"/>
        </w:rPr>
        <w:t>根据</w:t>
      </w:r>
      <w:r>
        <w:rPr>
          <w:rFonts w:hint="eastAsia" w:ascii="宋体" w:hAnsi="宋体"/>
          <w:color w:val="auto"/>
          <w:sz w:val="24"/>
        </w:rPr>
        <w:t>本</w:t>
      </w:r>
      <w:r>
        <w:rPr>
          <w:rFonts w:ascii="宋体" w:hAnsi="宋体"/>
          <w:color w:val="auto"/>
          <w:sz w:val="24"/>
        </w:rPr>
        <w:t>合同单价</w:t>
      </w:r>
      <w:r>
        <w:rPr>
          <w:rFonts w:hint="eastAsia" w:ascii="宋体" w:hAnsi="宋体"/>
          <w:color w:val="auto"/>
          <w:sz w:val="24"/>
        </w:rPr>
        <w:t>计算本期</w:t>
      </w:r>
      <w:r>
        <w:rPr>
          <w:rFonts w:ascii="宋体" w:hAnsi="宋体"/>
          <w:color w:val="auto"/>
          <w:sz w:val="24"/>
        </w:rPr>
        <w:t>应支付</w:t>
      </w:r>
      <w:r>
        <w:rPr>
          <w:rFonts w:hint="eastAsia" w:ascii="宋体" w:hAnsi="宋体"/>
          <w:color w:val="auto"/>
          <w:sz w:val="24"/>
        </w:rPr>
        <w:t>的结算</w:t>
      </w:r>
      <w:r>
        <w:rPr>
          <w:rFonts w:ascii="宋体" w:hAnsi="宋体"/>
          <w:color w:val="auto"/>
          <w:sz w:val="24"/>
        </w:rPr>
        <w:t>金额，</w:t>
      </w:r>
      <w:r>
        <w:rPr>
          <w:rFonts w:hint="eastAsia" w:ascii="宋体" w:hAnsi="宋体"/>
          <w:color w:val="auto"/>
          <w:sz w:val="24"/>
        </w:rPr>
        <w:t>并</w:t>
      </w:r>
      <w:r>
        <w:rPr>
          <w:rFonts w:ascii="宋体" w:hAnsi="宋体"/>
          <w:color w:val="auto"/>
          <w:sz w:val="24"/>
        </w:rPr>
        <w:t>以</w:t>
      </w:r>
      <w:r>
        <w:rPr>
          <w:rFonts w:hint="eastAsia" w:ascii="宋体" w:hAnsi="宋体"/>
          <w:color w:val="auto"/>
          <w:sz w:val="24"/>
        </w:rPr>
        <w:t>对账单</w:t>
      </w:r>
      <w:r>
        <w:rPr>
          <w:rFonts w:ascii="宋体" w:hAnsi="宋体"/>
          <w:color w:val="auto"/>
          <w:sz w:val="24"/>
        </w:rPr>
        <w:t>的形式提交给甲方，</w:t>
      </w:r>
      <w:r>
        <w:rPr>
          <w:rFonts w:hint="eastAsia" w:ascii="宋体" w:hAnsi="宋体"/>
          <w:color w:val="auto"/>
          <w:sz w:val="24"/>
        </w:rPr>
        <w:t>甲方根据电厂现场的计量</w:t>
      </w:r>
      <w:r>
        <w:rPr>
          <w:rFonts w:ascii="宋体" w:hAnsi="宋体"/>
          <w:color w:val="auto"/>
          <w:sz w:val="24"/>
        </w:rPr>
        <w:t>清单</w:t>
      </w:r>
      <w:r>
        <w:rPr>
          <w:rFonts w:hint="eastAsia" w:ascii="宋体" w:hAnsi="宋体"/>
          <w:color w:val="auto"/>
          <w:sz w:val="24"/>
        </w:rPr>
        <w:t>、</w:t>
      </w:r>
      <w:r>
        <w:rPr>
          <w:rFonts w:ascii="宋体" w:hAnsi="宋体"/>
          <w:color w:val="auto"/>
          <w:sz w:val="24"/>
        </w:rPr>
        <w:t>处理凭证和</w:t>
      </w:r>
      <w:r>
        <w:rPr>
          <w:rFonts w:hint="eastAsia" w:ascii="宋体" w:hAnsi="宋体"/>
          <w:color w:val="auto"/>
          <w:sz w:val="24"/>
        </w:rPr>
        <w:t>乙方提供的对账</w:t>
      </w:r>
      <w:r>
        <w:rPr>
          <w:rFonts w:ascii="宋体" w:hAnsi="宋体"/>
          <w:color w:val="auto"/>
          <w:sz w:val="24"/>
        </w:rPr>
        <w:t>单</w:t>
      </w:r>
      <w:r>
        <w:rPr>
          <w:rFonts w:hint="eastAsia" w:ascii="宋体" w:hAnsi="宋体"/>
          <w:color w:val="auto"/>
          <w:sz w:val="24"/>
        </w:rPr>
        <w:t>经</w:t>
      </w:r>
      <w:r>
        <w:rPr>
          <w:rFonts w:ascii="宋体" w:hAnsi="宋体"/>
          <w:color w:val="auto"/>
          <w:sz w:val="24"/>
        </w:rPr>
        <w:t>审核无误后</w:t>
      </w:r>
      <w:r>
        <w:rPr>
          <w:rFonts w:hint="eastAsia" w:ascii="宋体" w:hAnsi="宋体"/>
          <w:color w:val="auto"/>
          <w:sz w:val="24"/>
        </w:rPr>
        <w:t>办理</w:t>
      </w:r>
      <w:r>
        <w:rPr>
          <w:rFonts w:ascii="宋体" w:hAnsi="宋体"/>
          <w:color w:val="auto"/>
          <w:sz w:val="24"/>
        </w:rPr>
        <w:t>结算</w:t>
      </w:r>
      <w:r>
        <w:rPr>
          <w:rFonts w:hint="eastAsia" w:ascii="宋体" w:hAnsi="宋体"/>
          <w:color w:val="auto"/>
          <w:sz w:val="24"/>
        </w:rPr>
        <w:t>。对账单</w:t>
      </w:r>
      <w:r>
        <w:rPr>
          <w:rFonts w:ascii="宋体" w:hAnsi="宋体"/>
          <w:color w:val="auto"/>
          <w:sz w:val="24"/>
        </w:rPr>
        <w:t>须包含</w:t>
      </w:r>
      <w:r>
        <w:rPr>
          <w:rFonts w:hint="eastAsia" w:ascii="宋体" w:hAnsi="宋体"/>
          <w:color w:val="auto"/>
          <w:sz w:val="24"/>
        </w:rPr>
        <w:t>飞灰螯合物外运填埋过磅量、螯合药剂过磅量</w:t>
      </w:r>
      <w:r>
        <w:rPr>
          <w:rFonts w:ascii="宋体" w:hAnsi="宋体"/>
          <w:color w:val="auto"/>
          <w:sz w:val="24"/>
        </w:rPr>
        <w:t>、</w:t>
      </w:r>
      <w:r>
        <w:rPr>
          <w:rFonts w:hint="eastAsia" w:ascii="宋体" w:hAnsi="宋体"/>
          <w:color w:val="auto"/>
          <w:sz w:val="24"/>
        </w:rPr>
        <w:t>螯合过程中加入水量、处置</w:t>
      </w:r>
      <w:r>
        <w:rPr>
          <w:rFonts w:ascii="宋体" w:hAnsi="宋体"/>
          <w:color w:val="auto"/>
          <w:sz w:val="24"/>
        </w:rPr>
        <w:t>达标的原灰数量和</w:t>
      </w:r>
      <w:r>
        <w:rPr>
          <w:rFonts w:hint="eastAsia" w:ascii="宋体" w:hAnsi="宋体"/>
          <w:color w:val="auto"/>
          <w:sz w:val="24"/>
        </w:rPr>
        <w:t>汇总金额，</w:t>
      </w:r>
      <w:r>
        <w:rPr>
          <w:rFonts w:hint="eastAsia" w:ascii="宋体" w:hAnsi="宋体"/>
          <w:b/>
          <w:color w:val="auto"/>
          <w:sz w:val="24"/>
        </w:rPr>
        <w:t>每次</w:t>
      </w:r>
      <w:r>
        <w:rPr>
          <w:rFonts w:ascii="宋体" w:hAnsi="宋体"/>
          <w:b/>
          <w:color w:val="auto"/>
          <w:sz w:val="24"/>
        </w:rPr>
        <w:t>付款前</w:t>
      </w:r>
      <w:r>
        <w:rPr>
          <w:rFonts w:hint="eastAsia" w:ascii="宋体" w:hAnsi="宋体"/>
          <w:b/>
          <w:color w:val="auto"/>
          <w:sz w:val="24"/>
        </w:rPr>
        <w:t>乙方</w:t>
      </w:r>
      <w:r>
        <w:rPr>
          <w:rFonts w:ascii="宋体" w:hAnsi="宋体"/>
          <w:b/>
          <w:color w:val="auto"/>
          <w:sz w:val="24"/>
        </w:rPr>
        <w:t>须</w:t>
      </w:r>
      <w:r>
        <w:rPr>
          <w:rFonts w:hint="eastAsia" w:ascii="宋体" w:hAnsi="宋体"/>
          <w:b/>
          <w:color w:val="auto"/>
          <w:sz w:val="24"/>
        </w:rPr>
        <w:t>提交对应结算</w:t>
      </w:r>
      <w:r>
        <w:rPr>
          <w:rFonts w:ascii="宋体" w:hAnsi="宋体"/>
          <w:b/>
          <w:color w:val="auto"/>
          <w:sz w:val="24"/>
        </w:rPr>
        <w:t>金额的</w:t>
      </w:r>
      <w:r>
        <w:rPr>
          <w:rFonts w:hint="eastAsia" w:ascii="宋体" w:hAnsi="宋体"/>
          <w:b/>
          <w:color w:val="auto"/>
          <w:sz w:val="24"/>
        </w:rPr>
        <w:t>增值税专用发票、申请周期内本项目乙方自有员工工资付讫凭证以及经</w:t>
      </w:r>
      <w:r>
        <w:rPr>
          <w:rFonts w:ascii="宋体" w:hAnsi="宋体"/>
          <w:b/>
          <w:color w:val="auto"/>
          <w:sz w:val="24"/>
        </w:rPr>
        <w:t>甲乙双方确认的月度评分表</w:t>
      </w:r>
      <w:r>
        <w:rPr>
          <w:rFonts w:ascii="宋体" w:hAnsi="宋体"/>
          <w:color w:val="auto"/>
          <w:sz w:val="24"/>
        </w:rPr>
        <w:t>，并按月度评分表的</w:t>
      </w:r>
      <w:r>
        <w:rPr>
          <w:rFonts w:hint="eastAsia" w:ascii="宋体" w:hAnsi="宋体"/>
          <w:color w:val="auto"/>
          <w:sz w:val="24"/>
        </w:rPr>
        <w:t>考评结果</w:t>
      </w:r>
      <w:r>
        <w:rPr>
          <w:rFonts w:ascii="宋体" w:hAnsi="宋体"/>
          <w:color w:val="auto"/>
          <w:sz w:val="24"/>
        </w:rPr>
        <w:t>执行</w:t>
      </w:r>
      <w:r>
        <w:rPr>
          <w:rFonts w:hint="eastAsia" w:ascii="宋体" w:hAnsi="宋体"/>
          <w:color w:val="auto"/>
          <w:sz w:val="24"/>
        </w:rPr>
        <w:t xml:space="preserve">。 </w:t>
      </w:r>
    </w:p>
    <w:p w14:paraId="57A5B24A">
      <w:pPr>
        <w:snapToGrid w:val="0"/>
        <w:spacing w:line="360" w:lineRule="auto"/>
        <w:ind w:firstLine="424" w:firstLineChars="177"/>
        <w:rPr>
          <w:rFonts w:ascii="宋体" w:hAnsi="宋体"/>
          <w:color w:val="auto"/>
          <w:sz w:val="24"/>
        </w:rPr>
      </w:pPr>
      <w:r>
        <w:rPr>
          <w:rFonts w:hint="eastAsia" w:ascii="宋体" w:hAnsi="宋体"/>
          <w:color w:val="auto"/>
          <w:sz w:val="24"/>
        </w:rPr>
        <w:t>3.3增值税发票的开具</w:t>
      </w:r>
    </w:p>
    <w:p w14:paraId="4DA56ACC">
      <w:pPr>
        <w:snapToGrid w:val="0"/>
        <w:spacing w:line="360" w:lineRule="auto"/>
        <w:ind w:firstLine="424" w:firstLineChars="177"/>
        <w:rPr>
          <w:bCs/>
          <w:color w:val="auto"/>
          <w:sz w:val="24"/>
        </w:rPr>
      </w:pPr>
      <w:r>
        <w:rPr>
          <w:rFonts w:hint="eastAsia" w:ascii="宋体" w:hAnsi="宋体"/>
          <w:color w:val="auto"/>
          <w:sz w:val="24"/>
        </w:rPr>
        <w:t>3.3.1结算周期内药剂金额=结算周期内实际使用飞灰螯合剂重量（吨）</w:t>
      </w:r>
      <w:r>
        <w:rPr>
          <w:rFonts w:hint="eastAsia"/>
          <w:bCs/>
          <w:color w:val="auto"/>
          <w:sz w:val="24"/>
        </w:rPr>
        <w:t>×合同约定飞灰螯合剂单价，该部分开具13%增值税发票。</w:t>
      </w:r>
    </w:p>
    <w:p w14:paraId="30834EBB">
      <w:pPr>
        <w:snapToGrid w:val="0"/>
        <w:spacing w:line="360" w:lineRule="auto"/>
        <w:ind w:firstLine="424" w:firstLineChars="177"/>
        <w:rPr>
          <w:bCs/>
          <w:color w:val="auto"/>
          <w:sz w:val="24"/>
        </w:rPr>
      </w:pPr>
      <w:r>
        <w:rPr>
          <w:rFonts w:hint="eastAsia"/>
          <w:bCs/>
          <w:color w:val="auto"/>
          <w:sz w:val="24"/>
        </w:rPr>
        <w:t>本合同飞灰螯合剂单价为：</w:t>
      </w:r>
      <w:r>
        <w:rPr>
          <w:rFonts w:hint="default"/>
          <w:bCs/>
          <w:color w:val="auto"/>
          <w:sz w:val="24"/>
          <w:highlight w:val="none"/>
          <w:lang w:val="en-US"/>
        </w:rPr>
        <w:t>2200元/吨</w:t>
      </w:r>
      <w:r>
        <w:rPr>
          <w:rFonts w:hint="eastAsia"/>
          <w:bCs/>
          <w:color w:val="auto"/>
          <w:sz w:val="24"/>
          <w:highlight w:val="none"/>
        </w:rPr>
        <w:t>。</w:t>
      </w:r>
    </w:p>
    <w:p w14:paraId="52877CA7">
      <w:pPr>
        <w:snapToGrid w:val="0"/>
        <w:spacing w:line="360" w:lineRule="auto"/>
        <w:ind w:firstLine="424" w:firstLineChars="177"/>
        <w:rPr>
          <w:rFonts w:ascii="宋体" w:hAnsi="宋体"/>
          <w:color w:val="auto"/>
          <w:sz w:val="24"/>
        </w:rPr>
      </w:pPr>
      <w:r>
        <w:rPr>
          <w:rFonts w:hint="eastAsia" w:ascii="宋体" w:hAnsi="宋体"/>
          <w:color w:val="auto"/>
          <w:sz w:val="24"/>
        </w:rPr>
        <w:t>3.3.2结算周期内运营金额=</w:t>
      </w:r>
      <w:r>
        <w:rPr>
          <w:rFonts w:hint="eastAsia"/>
          <w:bCs/>
          <w:color w:val="auto"/>
          <w:sz w:val="24"/>
        </w:rPr>
        <w:t>每期结算进度款—</w:t>
      </w:r>
      <w:r>
        <w:rPr>
          <w:rFonts w:hint="eastAsia" w:ascii="宋体" w:hAnsi="宋体"/>
          <w:color w:val="auto"/>
          <w:sz w:val="24"/>
        </w:rPr>
        <w:t>结算周期内药剂金额，该部分开具6%增值税发票。</w:t>
      </w:r>
    </w:p>
    <w:p w14:paraId="555F41C4">
      <w:pPr>
        <w:snapToGrid w:val="0"/>
        <w:spacing w:line="360" w:lineRule="auto"/>
        <w:ind w:firstLine="424" w:firstLineChars="177"/>
        <w:rPr>
          <w:rFonts w:ascii="宋体" w:hAnsi="宋体"/>
          <w:color w:val="auto"/>
          <w:sz w:val="24"/>
        </w:rPr>
      </w:pPr>
      <w:r>
        <w:rPr>
          <w:rFonts w:hint="eastAsia" w:ascii="宋体" w:hAnsi="宋体"/>
          <w:color w:val="auto"/>
          <w:sz w:val="24"/>
        </w:rPr>
        <w:t>3.3.3若国家调整增值税税率，结算金额相应调整。</w:t>
      </w:r>
    </w:p>
    <w:p w14:paraId="6A375E17">
      <w:pPr>
        <w:snapToGrid w:val="0"/>
        <w:spacing w:line="360" w:lineRule="auto"/>
        <w:ind w:firstLine="424" w:firstLineChars="177"/>
        <w:rPr>
          <w:rFonts w:ascii="宋体" w:hAnsi="宋体"/>
          <w:color w:val="auto"/>
          <w:sz w:val="24"/>
          <w:highlight w:val="none"/>
        </w:rPr>
      </w:pPr>
      <w:r>
        <w:rPr>
          <w:rFonts w:hint="eastAsia" w:ascii="宋体" w:hAnsi="宋体"/>
          <w:color w:val="auto"/>
          <w:sz w:val="24"/>
          <w:highlight w:val="none"/>
        </w:rPr>
        <w:t>3.3.4甲方开票</w:t>
      </w:r>
      <w:r>
        <w:rPr>
          <w:rFonts w:ascii="宋体" w:hAnsi="宋体"/>
          <w:color w:val="auto"/>
          <w:sz w:val="24"/>
          <w:highlight w:val="none"/>
        </w:rPr>
        <w:t>信息如下：</w:t>
      </w:r>
    </w:p>
    <w:p w14:paraId="04F7C1E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公司名称：</w:t>
      </w:r>
      <w:r>
        <w:rPr>
          <w:rFonts w:hint="eastAsia" w:ascii="宋体" w:hAnsi="宋体" w:eastAsia="宋体" w:cs="Times New Roman"/>
          <w:b/>
          <w:bCs/>
          <w:color w:val="auto"/>
          <w:sz w:val="24"/>
          <w:highlight w:val="none"/>
          <w:lang w:val="en-US" w:eastAsia="zh-CN"/>
        </w:rPr>
        <w:t>任丘深能环保有限公司</w:t>
      </w:r>
    </w:p>
    <w:p w14:paraId="03A605F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纳税人识别号：</w:t>
      </w:r>
      <w:r>
        <w:rPr>
          <w:rFonts w:hint="eastAsia" w:ascii="宋体" w:hAnsi="宋体" w:eastAsia="宋体" w:cs="Times New Roman"/>
          <w:b/>
          <w:bCs/>
          <w:color w:val="auto"/>
          <w:sz w:val="24"/>
          <w:highlight w:val="none"/>
          <w:lang w:val="en-US" w:eastAsia="zh-CN"/>
        </w:rPr>
        <w:t>91130982MA0DALF30Q</w:t>
      </w:r>
    </w:p>
    <w:p w14:paraId="6BE7F51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地址：</w:t>
      </w:r>
      <w:r>
        <w:rPr>
          <w:rFonts w:hint="eastAsia" w:ascii="宋体" w:hAnsi="宋体" w:eastAsia="宋体" w:cs="Times New Roman"/>
          <w:b/>
          <w:bCs/>
          <w:color w:val="auto"/>
          <w:sz w:val="24"/>
          <w:highlight w:val="none"/>
          <w:lang w:val="en-US" w:eastAsia="zh-CN"/>
        </w:rPr>
        <w:t>任丘市议论堡乡石村村北、议论堡第二砖厂（野王庄砖厂）南侧</w:t>
      </w:r>
    </w:p>
    <w:p w14:paraId="7380A35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电话：</w:t>
      </w:r>
      <w:r>
        <w:rPr>
          <w:rFonts w:hint="eastAsia" w:ascii="宋体" w:hAnsi="宋体" w:eastAsia="宋体" w:cs="Times New Roman"/>
          <w:b/>
          <w:bCs/>
          <w:color w:val="auto"/>
          <w:sz w:val="24"/>
          <w:highlight w:val="none"/>
          <w:lang w:val="en-US" w:eastAsia="zh-CN"/>
        </w:rPr>
        <w:t>0317-5288778</w:t>
      </w:r>
    </w:p>
    <w:p w14:paraId="164F706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开户行及帐号：</w:t>
      </w:r>
      <w:r>
        <w:rPr>
          <w:rFonts w:hint="eastAsia" w:ascii="宋体" w:hAnsi="宋体" w:eastAsia="宋体" w:cs="Times New Roman"/>
          <w:b/>
          <w:bCs/>
          <w:color w:val="auto"/>
          <w:sz w:val="24"/>
          <w:highlight w:val="none"/>
          <w:lang w:val="en-US" w:eastAsia="zh-CN"/>
        </w:rPr>
        <w:t>中国银行华北油田支行  1008 2746 5254</w:t>
      </w:r>
    </w:p>
    <w:p w14:paraId="18BAB7E0">
      <w:pPr>
        <w:snapToGrid w:val="0"/>
        <w:spacing w:after="156" w:afterLines="50" w:line="360" w:lineRule="auto"/>
        <w:ind w:firstLine="420" w:firstLineChars="175"/>
        <w:rPr>
          <w:rFonts w:ascii="宋体" w:hAnsi="宋体"/>
          <w:color w:val="auto"/>
          <w:sz w:val="24"/>
        </w:rPr>
      </w:pPr>
      <w:r>
        <w:rPr>
          <w:rFonts w:hint="eastAsia" w:ascii="宋体" w:hAnsi="宋体"/>
          <w:color w:val="auto"/>
          <w:sz w:val="24"/>
        </w:rPr>
        <w:t xml:space="preserve"> 5、甲方与银行发生的与执行合同有关的银行费用由甲方负担，乙方与银行发生的与执行合同有关的银行费用由乙方负担。</w:t>
      </w:r>
    </w:p>
    <w:p w14:paraId="69C6EFE5">
      <w:pPr>
        <w:pStyle w:val="101"/>
        <w:numPr>
          <w:ilvl w:val="0"/>
          <w:numId w:val="8"/>
        </w:numPr>
        <w:snapToGrid w:val="0"/>
        <w:spacing w:line="360" w:lineRule="auto"/>
        <w:ind w:left="560" w:hanging="560" w:hangingChars="200"/>
        <w:outlineLvl w:val="1"/>
        <w:rPr>
          <w:rFonts w:ascii="黑体" w:hAnsi="宋体" w:eastAsia="黑体"/>
          <w:color w:val="auto"/>
          <w:sz w:val="28"/>
          <w:szCs w:val="32"/>
        </w:rPr>
      </w:pPr>
      <w:bookmarkStart w:id="7" w:name="_Toc94196199"/>
      <w:r>
        <w:rPr>
          <w:rFonts w:hint="eastAsia" w:ascii="黑体" w:hAnsi="宋体" w:eastAsia="黑体"/>
          <w:color w:val="auto"/>
          <w:sz w:val="28"/>
          <w:szCs w:val="32"/>
        </w:rPr>
        <w:t>乙方郑重承诺</w:t>
      </w:r>
      <w:bookmarkEnd w:id="7"/>
    </w:p>
    <w:p w14:paraId="7A6A0740">
      <w:pPr>
        <w:widowControl/>
        <w:spacing w:line="360" w:lineRule="auto"/>
        <w:ind w:firstLine="482"/>
        <w:jc w:val="left"/>
        <w:rPr>
          <w:rFonts w:ascii="宋体" w:hAnsi="宋体"/>
          <w:color w:val="auto"/>
          <w:sz w:val="24"/>
        </w:rPr>
      </w:pPr>
      <w:r>
        <w:rPr>
          <w:rFonts w:hint="eastAsia" w:ascii="宋体" w:hAnsi="宋体"/>
          <w:color w:val="auto"/>
          <w:sz w:val="24"/>
        </w:rPr>
        <w:t>1、乙方及其派出人员将通过办理《</w:t>
      </w:r>
      <w:r>
        <w:rPr>
          <w:rFonts w:hint="eastAsia"/>
          <w:color w:val="auto"/>
          <w:sz w:val="24"/>
        </w:rPr>
        <w:t>依照合同委派现场服务人员入场确认单</w:t>
      </w:r>
      <w:r>
        <w:rPr>
          <w:rFonts w:hint="eastAsia" w:ascii="宋体" w:hAnsi="宋体"/>
          <w:color w:val="auto"/>
          <w:sz w:val="24"/>
        </w:rPr>
        <w:t>》和《</w:t>
      </w:r>
      <w:r>
        <w:rPr>
          <w:rFonts w:hint="eastAsia"/>
          <w:color w:val="auto"/>
          <w:sz w:val="24"/>
        </w:rPr>
        <w:t>依照合同委派现场服务人员</w:t>
      </w:r>
      <w:r>
        <w:rPr>
          <w:rFonts w:hint="eastAsia" w:ascii="宋体" w:hAnsi="宋体"/>
          <w:color w:val="auto"/>
          <w:sz w:val="24"/>
        </w:rPr>
        <w:t>劳动关系确认承诺书》的方式书面确认委托派出</w:t>
      </w:r>
      <w:r>
        <w:rPr>
          <w:rFonts w:hint="eastAsia"/>
          <w:color w:val="auto"/>
          <w:sz w:val="24"/>
        </w:rPr>
        <w:t>本合同的现场服务人员</w:t>
      </w:r>
      <w:r>
        <w:rPr>
          <w:rFonts w:hint="eastAsia" w:ascii="宋体" w:hAnsi="宋体"/>
          <w:color w:val="auto"/>
          <w:sz w:val="24"/>
        </w:rPr>
        <w:t>，尽职尽责地向甲方提供飞灰稳定化处理服务，维护甲方及垃圾发电厂的良好形象；尽力做好相关的教育、培训、预防和管理，尽最大努力避免对</w:t>
      </w:r>
      <w:r>
        <w:rPr>
          <w:rFonts w:hint="eastAsia" w:ascii="宋体" w:hAnsi="宋体"/>
          <w:color w:val="auto"/>
          <w:sz w:val="24"/>
          <w:lang w:val="en-US" w:eastAsia="zh-CN"/>
        </w:rPr>
        <w:t>甲</w:t>
      </w:r>
      <w:r>
        <w:rPr>
          <w:rFonts w:hint="eastAsia" w:ascii="宋体" w:hAnsi="宋体"/>
          <w:color w:val="auto"/>
          <w:sz w:val="24"/>
        </w:rPr>
        <w:t>方制造任何纠纷事故麻烦。</w:t>
      </w:r>
    </w:p>
    <w:p w14:paraId="659D2FDA">
      <w:pPr>
        <w:widowControl/>
        <w:spacing w:line="360" w:lineRule="auto"/>
        <w:ind w:firstLine="482"/>
        <w:jc w:val="left"/>
        <w:rPr>
          <w:rFonts w:ascii="宋体" w:hAnsi="宋体"/>
          <w:color w:val="auto"/>
          <w:sz w:val="24"/>
        </w:rPr>
      </w:pPr>
      <w:r>
        <w:rPr>
          <w:rFonts w:hint="eastAsia" w:ascii="宋体" w:hAnsi="宋体"/>
          <w:color w:val="auto"/>
          <w:sz w:val="24"/>
        </w:rPr>
        <w:t>2、为确保依法有效地执行好本合同，乙方保证依法用工，坚持合法化和人性化管理，将根据国家和项目所在省、市所颁布最新的法律、法规及规定的要求，上岗之日前已与所有派进甲方现场工作的人员书面签订劳动合同，建立合法合规的完善的劳动法律关系（包括但不限于劳动合同关系、工资保险关系和劳动用工手续等）。作为用人及用工单位将全力保障被派进甲方现场工作人员的合法权益，若乙方与被派进甲方现场工作的人员发生任何纠纷，或者乙方派进甲方现场工作的人员</w:t>
      </w:r>
      <w:r>
        <w:rPr>
          <w:rFonts w:ascii="宋体" w:hAnsi="宋体"/>
          <w:color w:val="auto"/>
          <w:sz w:val="24"/>
        </w:rPr>
        <w:t>发生事故伤害</w:t>
      </w:r>
      <w:r>
        <w:rPr>
          <w:rFonts w:hint="eastAsia" w:ascii="宋体" w:hAnsi="宋体"/>
          <w:color w:val="auto"/>
          <w:sz w:val="24"/>
        </w:rPr>
        <w:t>和死亡</w:t>
      </w:r>
      <w:r>
        <w:rPr>
          <w:rFonts w:ascii="宋体" w:hAnsi="宋体"/>
          <w:color w:val="auto"/>
          <w:sz w:val="24"/>
        </w:rPr>
        <w:t>或者按照职业病防治法规定被诊断、鉴定为职业病</w:t>
      </w:r>
      <w:r>
        <w:rPr>
          <w:rFonts w:hint="eastAsia" w:ascii="宋体" w:hAnsi="宋体"/>
          <w:color w:val="auto"/>
          <w:sz w:val="24"/>
        </w:rPr>
        <w:t>等任何事件或事故时，均完全属于乙方公司内部的纠纷或事件关系，且均由乙方与当事人（即乙方职工）之间自始至终全程（包括但不限于</w:t>
      </w:r>
      <w:r>
        <w:rPr>
          <w:rFonts w:ascii="宋体" w:hAnsi="宋体"/>
          <w:color w:val="auto"/>
          <w:sz w:val="24"/>
        </w:rPr>
        <w:t>受理</w:t>
      </w:r>
      <w:r>
        <w:rPr>
          <w:rFonts w:hint="eastAsia" w:ascii="宋体" w:hAnsi="宋体"/>
          <w:color w:val="auto"/>
          <w:sz w:val="24"/>
        </w:rPr>
        <w:t>、</w:t>
      </w:r>
      <w:r>
        <w:rPr>
          <w:rFonts w:ascii="宋体" w:hAnsi="宋体"/>
          <w:color w:val="auto"/>
          <w:sz w:val="24"/>
        </w:rPr>
        <w:t>调查核实</w:t>
      </w:r>
      <w:r>
        <w:rPr>
          <w:rFonts w:hint="eastAsia" w:ascii="宋体" w:hAnsi="宋体"/>
          <w:color w:val="auto"/>
          <w:sz w:val="24"/>
        </w:rPr>
        <w:t>、</w:t>
      </w:r>
      <w:r>
        <w:rPr>
          <w:rFonts w:ascii="宋体" w:hAnsi="宋体"/>
          <w:color w:val="auto"/>
          <w:sz w:val="24"/>
        </w:rPr>
        <w:t>提</w:t>
      </w:r>
      <w:r>
        <w:rPr>
          <w:rFonts w:hint="eastAsia" w:ascii="宋体" w:hAnsi="宋体"/>
          <w:color w:val="auto"/>
          <w:sz w:val="24"/>
        </w:rPr>
        <w:t>交报告、配合认定、安抚谈判、承担责任、支付赔偿等）独立自行处理，并作为用人和用工的单位最终承担全部责任及赔偿，且概与作为被服务方的甲方或垃圾发电厂等任何第三者无关。乙方及其派出人员均严格遵守和执行的法律、法规和规章包括但不限于下列范围：</w:t>
      </w:r>
    </w:p>
    <w:p w14:paraId="442F768A">
      <w:pPr>
        <w:widowControl/>
        <w:spacing w:line="360" w:lineRule="auto"/>
        <w:ind w:firstLine="482"/>
        <w:jc w:val="left"/>
        <w:rPr>
          <w:rFonts w:ascii="宋体" w:hAnsi="宋体"/>
          <w:color w:val="auto"/>
          <w:sz w:val="24"/>
        </w:rPr>
      </w:pPr>
      <w:r>
        <w:rPr>
          <w:rFonts w:hint="eastAsia" w:ascii="宋体" w:hAnsi="宋体"/>
          <w:color w:val="auto"/>
          <w:sz w:val="24"/>
        </w:rPr>
        <w:t>（1）《中华人民共和国劳动法》；</w:t>
      </w:r>
    </w:p>
    <w:p w14:paraId="75708CB9">
      <w:pPr>
        <w:widowControl/>
        <w:spacing w:line="360" w:lineRule="auto"/>
        <w:ind w:firstLine="482"/>
        <w:jc w:val="left"/>
        <w:rPr>
          <w:rFonts w:ascii="宋体" w:hAnsi="宋体"/>
          <w:color w:val="auto"/>
          <w:sz w:val="24"/>
        </w:rPr>
      </w:pPr>
      <w:r>
        <w:rPr>
          <w:rFonts w:hint="eastAsia" w:ascii="宋体" w:hAnsi="宋体"/>
          <w:color w:val="auto"/>
          <w:sz w:val="24"/>
        </w:rPr>
        <w:t>（2）《中华人民共和国劳动合同法》；</w:t>
      </w:r>
    </w:p>
    <w:p w14:paraId="399EA393">
      <w:pPr>
        <w:widowControl/>
        <w:spacing w:line="360" w:lineRule="auto"/>
        <w:ind w:firstLine="482"/>
        <w:jc w:val="left"/>
        <w:rPr>
          <w:rFonts w:ascii="宋体" w:hAnsi="宋体"/>
          <w:color w:val="auto"/>
          <w:sz w:val="24"/>
        </w:rPr>
      </w:pPr>
      <w:r>
        <w:rPr>
          <w:rFonts w:hint="eastAsia" w:ascii="宋体" w:hAnsi="宋体"/>
          <w:color w:val="auto"/>
          <w:sz w:val="24"/>
        </w:rPr>
        <w:t>（3）《中华人民共和国劳动合同法实施条例》；</w:t>
      </w:r>
    </w:p>
    <w:p w14:paraId="4BD28EE3">
      <w:pPr>
        <w:widowControl/>
        <w:spacing w:line="360" w:lineRule="auto"/>
        <w:ind w:firstLine="482"/>
        <w:jc w:val="left"/>
        <w:rPr>
          <w:rFonts w:ascii="宋体" w:hAnsi="宋体"/>
          <w:color w:val="auto"/>
          <w:sz w:val="24"/>
        </w:rPr>
      </w:pPr>
      <w:r>
        <w:rPr>
          <w:rFonts w:hint="eastAsia" w:ascii="宋体" w:hAnsi="宋体"/>
          <w:color w:val="auto"/>
          <w:sz w:val="24"/>
        </w:rPr>
        <w:t>（4）《中华人民共和国社会保险法》；</w:t>
      </w:r>
    </w:p>
    <w:p w14:paraId="7C1A0433">
      <w:pPr>
        <w:widowControl/>
        <w:spacing w:line="360" w:lineRule="auto"/>
        <w:ind w:firstLine="482"/>
        <w:jc w:val="left"/>
        <w:rPr>
          <w:rFonts w:ascii="宋体" w:hAnsi="宋体"/>
          <w:color w:val="auto"/>
          <w:sz w:val="24"/>
        </w:rPr>
      </w:pPr>
      <w:r>
        <w:rPr>
          <w:rFonts w:hint="eastAsia" w:ascii="宋体" w:hAnsi="宋体"/>
          <w:color w:val="auto"/>
          <w:sz w:val="24"/>
        </w:rPr>
        <w:t>（5）《中华人民共和国职业病防治法》；</w:t>
      </w:r>
    </w:p>
    <w:p w14:paraId="377E7EF6">
      <w:pPr>
        <w:widowControl/>
        <w:spacing w:line="360" w:lineRule="auto"/>
        <w:ind w:firstLine="482"/>
        <w:jc w:val="left"/>
        <w:rPr>
          <w:rFonts w:ascii="宋体" w:hAnsi="宋体"/>
          <w:color w:val="auto"/>
          <w:sz w:val="24"/>
        </w:rPr>
      </w:pPr>
      <w:r>
        <w:rPr>
          <w:rFonts w:hint="eastAsia" w:ascii="宋体" w:hAnsi="宋体"/>
          <w:color w:val="auto"/>
          <w:sz w:val="24"/>
        </w:rPr>
        <w:t>（6）《中华人民共和国安全生产法》；</w:t>
      </w:r>
    </w:p>
    <w:p w14:paraId="16B4E856">
      <w:pPr>
        <w:widowControl/>
        <w:spacing w:line="360" w:lineRule="auto"/>
        <w:ind w:firstLine="482"/>
        <w:jc w:val="left"/>
        <w:rPr>
          <w:rFonts w:ascii="宋体" w:hAnsi="宋体"/>
          <w:color w:val="auto"/>
          <w:sz w:val="24"/>
        </w:rPr>
      </w:pPr>
      <w:r>
        <w:rPr>
          <w:rFonts w:hint="eastAsia" w:ascii="宋体" w:hAnsi="宋体"/>
          <w:color w:val="auto"/>
          <w:sz w:val="24"/>
        </w:rPr>
        <w:t xml:space="preserve">（7）《中华人民共和国劳动争议调解仲裁法》； </w:t>
      </w:r>
    </w:p>
    <w:p w14:paraId="3ED7829A">
      <w:pPr>
        <w:widowControl/>
        <w:spacing w:line="360" w:lineRule="auto"/>
        <w:ind w:firstLine="482"/>
        <w:jc w:val="left"/>
        <w:rPr>
          <w:rFonts w:ascii="宋体" w:hAnsi="宋体"/>
          <w:color w:val="auto"/>
          <w:sz w:val="24"/>
        </w:rPr>
      </w:pPr>
      <w:r>
        <w:rPr>
          <w:rFonts w:hint="eastAsia" w:ascii="宋体" w:hAnsi="宋体"/>
          <w:color w:val="auto"/>
          <w:sz w:val="24"/>
        </w:rPr>
        <w:t>（8）《中华人民共和国企业劳动争议处理条例》；</w:t>
      </w:r>
    </w:p>
    <w:p w14:paraId="6D46D6C5">
      <w:pPr>
        <w:widowControl/>
        <w:spacing w:line="360" w:lineRule="auto"/>
        <w:ind w:firstLine="482"/>
        <w:jc w:val="left"/>
        <w:rPr>
          <w:rFonts w:ascii="宋体" w:hAnsi="宋体"/>
          <w:color w:val="auto"/>
          <w:sz w:val="24"/>
        </w:rPr>
      </w:pPr>
      <w:r>
        <w:rPr>
          <w:rFonts w:hint="eastAsia" w:ascii="宋体" w:hAnsi="宋体"/>
          <w:color w:val="auto"/>
          <w:sz w:val="24"/>
        </w:rPr>
        <w:t>（9）《中华人民共和国个人所得税法》；</w:t>
      </w:r>
    </w:p>
    <w:p w14:paraId="2F81AA6D">
      <w:pPr>
        <w:widowControl/>
        <w:spacing w:line="360" w:lineRule="auto"/>
        <w:ind w:firstLine="482"/>
        <w:jc w:val="left"/>
        <w:rPr>
          <w:rFonts w:ascii="宋体" w:hAnsi="宋体"/>
          <w:color w:val="auto"/>
          <w:sz w:val="24"/>
        </w:rPr>
      </w:pPr>
      <w:r>
        <w:rPr>
          <w:rFonts w:hint="eastAsia" w:ascii="宋体" w:hAnsi="宋体"/>
          <w:color w:val="auto"/>
          <w:sz w:val="24"/>
        </w:rPr>
        <w:t>（10）《中华人民共和国工会法》；</w:t>
      </w:r>
    </w:p>
    <w:p w14:paraId="5BF2BD9E">
      <w:pPr>
        <w:widowControl/>
        <w:spacing w:line="360" w:lineRule="auto"/>
        <w:ind w:firstLine="482"/>
        <w:jc w:val="left"/>
        <w:rPr>
          <w:rFonts w:ascii="宋体" w:hAnsi="宋体"/>
          <w:color w:val="auto"/>
          <w:sz w:val="24"/>
        </w:rPr>
      </w:pPr>
      <w:r>
        <w:rPr>
          <w:rFonts w:hint="eastAsia" w:ascii="宋体" w:hAnsi="宋体"/>
          <w:color w:val="auto"/>
          <w:sz w:val="24"/>
        </w:rPr>
        <w:t>（11）《中华人民共和国未成年人保护法》；</w:t>
      </w:r>
    </w:p>
    <w:p w14:paraId="1EB311A5">
      <w:pPr>
        <w:widowControl/>
        <w:spacing w:line="360" w:lineRule="auto"/>
        <w:ind w:firstLine="482"/>
        <w:jc w:val="left"/>
        <w:rPr>
          <w:rFonts w:ascii="宋体" w:hAnsi="宋体"/>
          <w:color w:val="auto"/>
          <w:sz w:val="24"/>
        </w:rPr>
      </w:pPr>
      <w:r>
        <w:rPr>
          <w:rFonts w:hint="eastAsia" w:ascii="宋体" w:hAnsi="宋体"/>
          <w:color w:val="auto"/>
          <w:sz w:val="24"/>
        </w:rPr>
        <w:t>（12）《中华人民共和国妇女权益保障法》；</w:t>
      </w:r>
    </w:p>
    <w:p w14:paraId="3C66DBB4">
      <w:pPr>
        <w:widowControl/>
        <w:spacing w:line="360" w:lineRule="auto"/>
        <w:ind w:firstLine="482"/>
        <w:jc w:val="left"/>
        <w:rPr>
          <w:rFonts w:ascii="宋体" w:hAnsi="宋体"/>
          <w:color w:val="auto"/>
          <w:sz w:val="24"/>
        </w:rPr>
      </w:pPr>
      <w:r>
        <w:rPr>
          <w:rFonts w:hint="eastAsia" w:ascii="宋体" w:hAnsi="宋体"/>
          <w:color w:val="auto"/>
          <w:sz w:val="24"/>
        </w:rPr>
        <w:t>（13）《职工带薪年休假条例》；</w:t>
      </w:r>
    </w:p>
    <w:p w14:paraId="3885D7B7">
      <w:pPr>
        <w:widowControl/>
        <w:spacing w:line="360" w:lineRule="auto"/>
        <w:ind w:firstLine="482"/>
        <w:jc w:val="left"/>
        <w:rPr>
          <w:rFonts w:ascii="宋体" w:hAnsi="宋体"/>
          <w:color w:val="auto"/>
          <w:sz w:val="24"/>
        </w:rPr>
      </w:pPr>
      <w:r>
        <w:rPr>
          <w:rFonts w:hint="eastAsia" w:ascii="宋体" w:hAnsi="宋体"/>
          <w:color w:val="auto"/>
          <w:sz w:val="24"/>
        </w:rPr>
        <w:t>（14）《最低工资规定》；</w:t>
      </w:r>
    </w:p>
    <w:p w14:paraId="208B1B16">
      <w:pPr>
        <w:widowControl/>
        <w:spacing w:line="360" w:lineRule="auto"/>
        <w:ind w:firstLine="482"/>
        <w:jc w:val="left"/>
        <w:rPr>
          <w:rFonts w:ascii="宋体" w:hAnsi="宋体"/>
          <w:color w:val="auto"/>
          <w:sz w:val="24"/>
        </w:rPr>
      </w:pPr>
      <w:r>
        <w:rPr>
          <w:rFonts w:hint="eastAsia" w:ascii="宋体" w:hAnsi="宋体"/>
          <w:color w:val="auto"/>
          <w:sz w:val="24"/>
        </w:rPr>
        <w:t>（15）《工伤保险条例》；</w:t>
      </w:r>
    </w:p>
    <w:p w14:paraId="2DF26954">
      <w:pPr>
        <w:widowControl/>
        <w:spacing w:line="360" w:lineRule="auto"/>
        <w:ind w:firstLine="482"/>
        <w:jc w:val="left"/>
        <w:rPr>
          <w:rFonts w:ascii="宋体" w:hAnsi="宋体"/>
          <w:color w:val="auto"/>
          <w:sz w:val="24"/>
        </w:rPr>
      </w:pPr>
      <w:r>
        <w:rPr>
          <w:rFonts w:hint="eastAsia" w:ascii="宋体" w:hAnsi="宋体"/>
          <w:color w:val="auto"/>
          <w:sz w:val="24"/>
        </w:rPr>
        <w:t>（16）《工伤认定办法》；</w:t>
      </w:r>
    </w:p>
    <w:p w14:paraId="50482EE3">
      <w:pPr>
        <w:widowControl/>
        <w:spacing w:line="360" w:lineRule="auto"/>
        <w:ind w:firstLine="482"/>
        <w:jc w:val="left"/>
        <w:rPr>
          <w:rFonts w:ascii="宋体" w:hAnsi="宋体"/>
          <w:color w:val="auto"/>
          <w:sz w:val="24"/>
        </w:rPr>
      </w:pPr>
      <w:r>
        <w:rPr>
          <w:rFonts w:hint="eastAsia" w:ascii="宋体" w:hAnsi="宋体"/>
          <w:color w:val="auto"/>
          <w:sz w:val="24"/>
        </w:rPr>
        <w:t>（17）《社会保险稽核办法》；</w:t>
      </w:r>
    </w:p>
    <w:p w14:paraId="5FC8474B">
      <w:pPr>
        <w:widowControl/>
        <w:spacing w:line="360" w:lineRule="auto"/>
        <w:ind w:firstLine="482"/>
        <w:jc w:val="left"/>
        <w:rPr>
          <w:rFonts w:ascii="宋体" w:hAnsi="宋体"/>
          <w:color w:val="auto"/>
          <w:sz w:val="24"/>
        </w:rPr>
      </w:pPr>
      <w:r>
        <w:rPr>
          <w:rFonts w:hint="eastAsia" w:ascii="宋体" w:hAnsi="宋体"/>
          <w:color w:val="auto"/>
          <w:sz w:val="24"/>
        </w:rPr>
        <w:t>（18）《禁止使用童工规定》；</w:t>
      </w:r>
    </w:p>
    <w:p w14:paraId="64275A0B">
      <w:pPr>
        <w:widowControl/>
        <w:spacing w:line="360" w:lineRule="auto"/>
        <w:ind w:firstLine="482"/>
        <w:jc w:val="left"/>
        <w:rPr>
          <w:rFonts w:ascii="宋体" w:hAnsi="宋体"/>
          <w:color w:val="auto"/>
          <w:sz w:val="24"/>
        </w:rPr>
      </w:pPr>
      <w:r>
        <w:rPr>
          <w:rFonts w:hint="eastAsia" w:ascii="宋体" w:hAnsi="宋体"/>
          <w:color w:val="auto"/>
          <w:sz w:val="24"/>
        </w:rPr>
        <w:t>（19）《失业保险条例》；</w:t>
      </w:r>
    </w:p>
    <w:p w14:paraId="0BE47EA2">
      <w:pPr>
        <w:widowControl/>
        <w:spacing w:line="360" w:lineRule="auto"/>
        <w:ind w:firstLine="482"/>
        <w:jc w:val="left"/>
        <w:rPr>
          <w:rFonts w:ascii="宋体" w:hAnsi="宋体" w:cs="宋体"/>
          <w:color w:val="auto"/>
          <w:sz w:val="24"/>
        </w:rPr>
      </w:pPr>
      <w:r>
        <w:rPr>
          <w:rFonts w:hint="eastAsia" w:ascii="宋体" w:hAnsi="宋体" w:cs="宋体"/>
          <w:color w:val="auto"/>
          <w:sz w:val="24"/>
        </w:rPr>
        <w:t>（20）其他国家及地区所更新或最新颁布的相关的法律、法规、规定；</w:t>
      </w:r>
    </w:p>
    <w:p w14:paraId="1C9D3372">
      <w:pPr>
        <w:widowControl/>
        <w:spacing w:line="360" w:lineRule="auto"/>
        <w:ind w:firstLine="482"/>
        <w:jc w:val="left"/>
        <w:rPr>
          <w:rFonts w:ascii="宋体" w:hAnsi="宋体"/>
          <w:color w:val="auto"/>
          <w:sz w:val="24"/>
        </w:rPr>
      </w:pPr>
      <w:r>
        <w:rPr>
          <w:rFonts w:hint="eastAsia" w:ascii="宋体" w:hAnsi="宋体" w:cs="宋体"/>
          <w:color w:val="auto"/>
          <w:sz w:val="24"/>
        </w:rPr>
        <w:t>（21）甲方及甲方电厂制定发布的规章制度。</w:t>
      </w:r>
    </w:p>
    <w:p w14:paraId="649A5DB4">
      <w:pPr>
        <w:pStyle w:val="101"/>
        <w:numPr>
          <w:ilvl w:val="0"/>
          <w:numId w:val="8"/>
        </w:numPr>
        <w:snapToGrid w:val="0"/>
        <w:spacing w:line="360" w:lineRule="auto"/>
        <w:ind w:left="560" w:hanging="560" w:hangingChars="200"/>
        <w:outlineLvl w:val="1"/>
        <w:rPr>
          <w:rFonts w:ascii="黑体" w:hAnsi="宋体" w:eastAsia="黑体"/>
          <w:color w:val="auto"/>
          <w:sz w:val="28"/>
          <w:szCs w:val="30"/>
        </w:rPr>
      </w:pPr>
      <w:bookmarkStart w:id="8" w:name="_Toc94196200"/>
      <w:r>
        <w:rPr>
          <w:rFonts w:hint="eastAsia" w:ascii="黑体" w:hAnsi="宋体" w:eastAsia="黑体"/>
          <w:color w:val="auto"/>
          <w:sz w:val="28"/>
          <w:szCs w:val="30"/>
        </w:rPr>
        <w:t>乙方的责任和义务</w:t>
      </w:r>
      <w:bookmarkEnd w:id="8"/>
    </w:p>
    <w:p w14:paraId="77D40028">
      <w:pPr>
        <w:widowControl/>
        <w:spacing w:line="360" w:lineRule="auto"/>
        <w:ind w:firstLine="482"/>
        <w:jc w:val="left"/>
        <w:rPr>
          <w:rFonts w:ascii="宋体" w:hAnsi="宋体"/>
          <w:color w:val="auto"/>
          <w:sz w:val="24"/>
        </w:rPr>
      </w:pPr>
      <w:r>
        <w:rPr>
          <w:rFonts w:hint="eastAsia" w:ascii="宋体" w:hAnsi="宋体"/>
          <w:color w:val="auto"/>
          <w:sz w:val="24"/>
        </w:rPr>
        <w:t>1、乙方及其现场派进人员必须严格遵守和执行国家和项目所在省、市的有关法律、法规及规定，乙方与其派到甲方电厂现场提供飞灰稳定化处理服务的员工（包括临时聘用员工和外来临时工作人员等）建立完善的劳动法律关系（包括但不限于劳动合同关系、工资保险关系和劳动用工手续等），所派出者均属乙方的员工或人员。乙方负责依法依规办理其与派进甲方现场工作的人员之间的劳动人事、工作安排、薪酬保险及安全保障等劳务或劳资方面相关的手续和独立承担全部责任及赔偿。若乙方与被派进甲方现场工作的人员发生任何纠纷，或者乙方派进甲方现场工作的人员</w:t>
      </w:r>
      <w:r>
        <w:rPr>
          <w:rFonts w:ascii="宋体" w:hAnsi="宋体"/>
          <w:color w:val="auto"/>
          <w:sz w:val="24"/>
        </w:rPr>
        <w:t>发生事故伤害</w:t>
      </w:r>
      <w:r>
        <w:rPr>
          <w:rFonts w:hint="eastAsia" w:ascii="宋体" w:hAnsi="宋体"/>
          <w:color w:val="auto"/>
          <w:sz w:val="24"/>
        </w:rPr>
        <w:t>和死亡</w:t>
      </w:r>
      <w:r>
        <w:rPr>
          <w:rFonts w:ascii="宋体" w:hAnsi="宋体"/>
          <w:color w:val="auto"/>
          <w:sz w:val="24"/>
        </w:rPr>
        <w:t>或者按照职业病防治法规定被诊断、鉴定为职业病</w:t>
      </w:r>
      <w:r>
        <w:rPr>
          <w:rFonts w:hint="eastAsia" w:ascii="宋体" w:hAnsi="宋体"/>
          <w:color w:val="auto"/>
          <w:sz w:val="24"/>
        </w:rPr>
        <w:t>等任何事件或事故时，均完全属于乙方公司内部的纠纷或事件关系，且均由乙方与当事人（即乙方职工）之间自始至终全程（包括但不限于</w:t>
      </w:r>
      <w:r>
        <w:rPr>
          <w:rFonts w:ascii="宋体" w:hAnsi="宋体"/>
          <w:color w:val="auto"/>
          <w:sz w:val="24"/>
        </w:rPr>
        <w:t>受理</w:t>
      </w:r>
      <w:r>
        <w:rPr>
          <w:rFonts w:hint="eastAsia" w:ascii="宋体" w:hAnsi="宋体"/>
          <w:color w:val="auto"/>
          <w:sz w:val="24"/>
        </w:rPr>
        <w:t>、</w:t>
      </w:r>
      <w:r>
        <w:rPr>
          <w:rFonts w:ascii="宋体" w:hAnsi="宋体"/>
          <w:color w:val="auto"/>
          <w:sz w:val="24"/>
        </w:rPr>
        <w:t>调查核实</w:t>
      </w:r>
      <w:r>
        <w:rPr>
          <w:rFonts w:hint="eastAsia" w:ascii="宋体" w:hAnsi="宋体"/>
          <w:color w:val="auto"/>
          <w:sz w:val="24"/>
        </w:rPr>
        <w:t>、</w:t>
      </w:r>
      <w:r>
        <w:rPr>
          <w:rFonts w:ascii="宋体" w:hAnsi="宋体"/>
          <w:color w:val="auto"/>
          <w:sz w:val="24"/>
        </w:rPr>
        <w:t>提</w:t>
      </w:r>
      <w:r>
        <w:rPr>
          <w:rFonts w:hint="eastAsia" w:ascii="宋体" w:hAnsi="宋体"/>
          <w:color w:val="auto"/>
          <w:sz w:val="24"/>
        </w:rPr>
        <w:t>交报告、配合认定、安抚谈判、承担责任、支付赔偿等）独立自行处理，并作为用人和用工的单位最终承担全部责任及赔偿，且概与作为被服务方的甲方或垃圾发电厂等任何第三者无关。若由此所造成或导致甲方或垃圾发电厂等任何第三者的罚款或赔偿等任何经济损失，均由乙方自行独立承担。</w:t>
      </w:r>
    </w:p>
    <w:p w14:paraId="01C7F39B">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2、为确保服务水平和质量，乙方须严格按本合同的规定派进人员，乙方应对派进人员进行为期不少于一周的岗前培训工作，并在上岗前参加甲方的面试。</w:t>
      </w:r>
    </w:p>
    <w:p w14:paraId="5551A678">
      <w:pPr>
        <w:spacing w:line="360" w:lineRule="auto"/>
        <w:ind w:firstLine="480" w:firstLineChars="200"/>
        <w:rPr>
          <w:rFonts w:ascii="宋体" w:hAnsi="宋体"/>
          <w:color w:val="auto"/>
          <w:sz w:val="24"/>
        </w:rPr>
      </w:pPr>
      <w:r>
        <w:rPr>
          <w:rFonts w:hint="eastAsia" w:ascii="宋体" w:hAnsi="宋体"/>
          <w:color w:val="auto"/>
          <w:sz w:val="24"/>
        </w:rPr>
        <w:t>3、乙方所派出的项目经理，</w:t>
      </w:r>
      <w:r>
        <w:rPr>
          <w:rFonts w:ascii="宋体" w:hAnsi="宋体"/>
          <w:color w:val="auto"/>
          <w:sz w:val="24"/>
        </w:rPr>
        <w:t>对</w:t>
      </w:r>
      <w:r>
        <w:rPr>
          <w:rFonts w:hint="eastAsia" w:ascii="宋体" w:hAnsi="宋体"/>
          <w:color w:val="auto"/>
          <w:sz w:val="24"/>
        </w:rPr>
        <w:t>乙方</w:t>
      </w:r>
      <w:r>
        <w:rPr>
          <w:rFonts w:hint="eastAsia"/>
          <w:color w:val="auto"/>
          <w:sz w:val="24"/>
        </w:rPr>
        <w:t>派进现场</w:t>
      </w:r>
      <w:r>
        <w:rPr>
          <w:rFonts w:hint="eastAsia" w:ascii="宋体" w:hAnsi="宋体"/>
          <w:color w:val="auto"/>
          <w:sz w:val="24"/>
        </w:rPr>
        <w:t>服务人员</w:t>
      </w:r>
      <w:r>
        <w:rPr>
          <w:rFonts w:ascii="宋体" w:hAnsi="宋体"/>
          <w:color w:val="auto"/>
          <w:sz w:val="24"/>
        </w:rPr>
        <w:t>的安全</w:t>
      </w:r>
      <w:r>
        <w:rPr>
          <w:rFonts w:hint="eastAsia" w:ascii="宋体" w:hAnsi="宋体"/>
          <w:color w:val="auto"/>
          <w:sz w:val="24"/>
        </w:rPr>
        <w:t>生产、维护等服务</w:t>
      </w:r>
      <w:r>
        <w:rPr>
          <w:rFonts w:ascii="宋体" w:hAnsi="宋体"/>
          <w:color w:val="auto"/>
          <w:sz w:val="24"/>
        </w:rPr>
        <w:t>工作负全面责任</w:t>
      </w:r>
      <w:r>
        <w:rPr>
          <w:rFonts w:hint="eastAsia"/>
          <w:color w:val="auto"/>
          <w:sz w:val="24"/>
        </w:rPr>
        <w:t>；全面督导及巡检现场服务情况；即时处理甲方现场投诉，并做好与甲方负责人的联系工作</w:t>
      </w:r>
      <w:r>
        <w:rPr>
          <w:rFonts w:hint="eastAsia" w:ascii="宋体" w:hAnsi="宋体"/>
          <w:color w:val="auto"/>
          <w:sz w:val="24"/>
        </w:rPr>
        <w:t>。</w:t>
      </w:r>
      <w:r>
        <w:rPr>
          <w:rFonts w:hint="eastAsia"/>
          <w:color w:val="auto"/>
          <w:sz w:val="24"/>
        </w:rPr>
        <w:t>项目经理不合格，不能很好地协调管理现场服务、质量和安全的，甲方有权要求更换项目经理，乙方须无条件接受。乙方未履行和遵守招标书、投标书（如有）和合同书及技术要求中所规定的职责，甲方有权解除承包合同。</w:t>
      </w:r>
    </w:p>
    <w:p w14:paraId="09D27E38">
      <w:pPr>
        <w:widowControl/>
        <w:spacing w:line="360" w:lineRule="auto"/>
        <w:ind w:firstLine="482"/>
        <w:jc w:val="left"/>
        <w:rPr>
          <w:rFonts w:ascii="宋体" w:hAnsi="宋体"/>
          <w:color w:val="auto"/>
          <w:sz w:val="24"/>
        </w:rPr>
      </w:pPr>
      <w:r>
        <w:rPr>
          <w:rFonts w:hint="eastAsia" w:ascii="宋体" w:hAnsi="宋体"/>
          <w:color w:val="auto"/>
          <w:sz w:val="24"/>
        </w:rPr>
        <w:t>4、乙方</w:t>
      </w:r>
      <w:r>
        <w:rPr>
          <w:rFonts w:hint="eastAsia"/>
          <w:color w:val="auto"/>
          <w:sz w:val="24"/>
        </w:rPr>
        <w:t>派出</w:t>
      </w:r>
      <w:r>
        <w:rPr>
          <w:rFonts w:hint="eastAsia" w:ascii="宋体" w:hAnsi="宋体"/>
          <w:color w:val="auto"/>
          <w:sz w:val="24"/>
        </w:rPr>
        <w:t>的现场服务</w:t>
      </w:r>
      <w:r>
        <w:rPr>
          <w:rFonts w:hint="eastAsia"/>
          <w:color w:val="auto"/>
          <w:sz w:val="24"/>
        </w:rPr>
        <w:t>人</w:t>
      </w:r>
      <w:r>
        <w:rPr>
          <w:rFonts w:hint="eastAsia" w:ascii="宋体" w:hAnsi="宋体"/>
          <w:color w:val="auto"/>
          <w:sz w:val="24"/>
        </w:rPr>
        <w:t>员应由乙方的项目经理统一调配使用，项目经理应按期、按质组织完成和解决甲方安排的计划、工作。</w:t>
      </w:r>
      <w:r>
        <w:rPr>
          <w:rFonts w:hint="eastAsia"/>
          <w:color w:val="auto"/>
          <w:sz w:val="24"/>
        </w:rPr>
        <w:t>乙方须确保本合同执行有效，爱护甲方的财物，注意言行举止以维护甲方的良好形象。</w:t>
      </w:r>
    </w:p>
    <w:p w14:paraId="4308FDB2">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5、乙方所派出的各专业技术负责人（班长），</w:t>
      </w:r>
      <w:r>
        <w:rPr>
          <w:rFonts w:ascii="宋体" w:hAnsi="宋体"/>
          <w:color w:val="auto"/>
          <w:sz w:val="24"/>
        </w:rPr>
        <w:t>在</w:t>
      </w:r>
      <w:r>
        <w:rPr>
          <w:rFonts w:hint="eastAsia" w:ascii="宋体" w:hAnsi="宋体"/>
          <w:color w:val="auto"/>
          <w:sz w:val="24"/>
        </w:rPr>
        <w:t>项目经理</w:t>
      </w:r>
      <w:r>
        <w:rPr>
          <w:rFonts w:ascii="宋体" w:hAnsi="宋体"/>
          <w:color w:val="auto"/>
          <w:sz w:val="24"/>
        </w:rPr>
        <w:t>的领导下</w:t>
      </w:r>
      <w:r>
        <w:rPr>
          <w:rFonts w:hint="eastAsia" w:ascii="宋体" w:hAnsi="宋体"/>
          <w:color w:val="auto"/>
          <w:sz w:val="24"/>
        </w:rPr>
        <w:t>，督促</w:t>
      </w:r>
      <w:r>
        <w:rPr>
          <w:rFonts w:ascii="宋体" w:hAnsi="宋体"/>
          <w:color w:val="auto"/>
          <w:sz w:val="24"/>
        </w:rPr>
        <w:t>并配合</w:t>
      </w:r>
      <w:r>
        <w:rPr>
          <w:rFonts w:hint="eastAsia" w:ascii="宋体" w:hAnsi="宋体"/>
          <w:color w:val="auto"/>
          <w:sz w:val="24"/>
        </w:rPr>
        <w:t>乙方现场所负责的生产、维护等工作，并</w:t>
      </w:r>
      <w:r>
        <w:rPr>
          <w:rFonts w:ascii="宋体" w:hAnsi="宋体"/>
          <w:color w:val="auto"/>
          <w:sz w:val="24"/>
        </w:rPr>
        <w:t>在</w:t>
      </w:r>
      <w:r>
        <w:rPr>
          <w:rFonts w:hint="eastAsia" w:ascii="宋体" w:hAnsi="宋体"/>
          <w:color w:val="auto"/>
          <w:sz w:val="24"/>
        </w:rPr>
        <w:t>项目经理</w:t>
      </w:r>
      <w:r>
        <w:rPr>
          <w:rFonts w:ascii="宋体" w:hAnsi="宋体"/>
          <w:color w:val="auto"/>
          <w:sz w:val="24"/>
        </w:rPr>
        <w:t>的领导下，组织解决</w:t>
      </w:r>
      <w:r>
        <w:rPr>
          <w:rFonts w:hint="eastAsia" w:ascii="宋体" w:hAnsi="宋体"/>
          <w:color w:val="auto"/>
          <w:sz w:val="24"/>
        </w:rPr>
        <w:t>生产、检修、维护</w:t>
      </w:r>
      <w:r>
        <w:rPr>
          <w:rFonts w:ascii="宋体" w:hAnsi="宋体"/>
          <w:color w:val="auto"/>
          <w:sz w:val="24"/>
        </w:rPr>
        <w:t>中出现的重大技术问题</w:t>
      </w:r>
      <w:r>
        <w:rPr>
          <w:rFonts w:hint="eastAsia" w:ascii="宋体" w:hAnsi="宋体"/>
          <w:color w:val="auto"/>
          <w:sz w:val="24"/>
        </w:rPr>
        <w:t>。</w:t>
      </w:r>
    </w:p>
    <w:p w14:paraId="7E6F447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6、乙方全面负责派进现场服务人员的生产运营及安全管理工作，负责运营方案的制定及执行。</w:t>
      </w:r>
    </w:p>
    <w:p w14:paraId="34F4B12B">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乙方派出的现场服务人员应严格遵守电力行业法律、法规、规程、标准以及甲方各项规章制度、安全/环境管理等的规定。对于违反电厂管理规定、工作安排的情况，乙方及其现场服务人员应接受电厂根据有关规定所做出的处理。</w:t>
      </w:r>
    </w:p>
    <w:p w14:paraId="53B8954E">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8、乙方负责按照标准发放的乙方现场服务人员工资部分应在次月15日前及时支付至乙方现场服务人员个人账户，并应在发放工资后14个工作日内向甲方电厂提交工资发放证明备案。若乙方向甲方电厂提交工资发放证明备案时间超过了5个工作日，则甲方可按照每人每次2000元收取违约金，并从乙方</w:t>
      </w:r>
      <w:r>
        <w:rPr>
          <w:rFonts w:hint="eastAsia"/>
          <w:bCs/>
          <w:color w:val="auto"/>
          <w:sz w:val="24"/>
          <w:lang w:val="en-US" w:eastAsia="zh-CN"/>
        </w:rPr>
        <w:t>监管资金</w:t>
      </w:r>
      <w:r>
        <w:rPr>
          <w:rFonts w:hint="eastAsia"/>
          <w:bCs/>
          <w:color w:val="auto"/>
          <w:sz w:val="24"/>
        </w:rPr>
        <w:t>或当期的结算款</w:t>
      </w:r>
      <w:r>
        <w:rPr>
          <w:rFonts w:hint="eastAsia" w:ascii="宋体" w:hAnsi="宋体"/>
          <w:color w:val="auto"/>
          <w:sz w:val="24"/>
        </w:rPr>
        <w:t>中直接扣除。</w:t>
      </w:r>
    </w:p>
    <w:p w14:paraId="067A78A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9、乙方有权要求甲方及时按合同规定支付合同费用，除非本合同另有约定，否则因甲方原因导致合同费用拖延支付，乙方保留要求给予赔偿的权利。</w:t>
      </w:r>
    </w:p>
    <w:p w14:paraId="24789728">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10、乙方应按政策法规及有关规定，为其派进现场服务人员在项目所在地期间提供必要的养老、医疗、工伤等保险。为保障派到甲方现场服务人员的健康和安全，乙方在甲方现场现有的健康和安全等防护条件基础上，根据服务的实际需要自行增加配备足够的健康和安全等方面的防护措施及防护用品，自行加强日常培训、预防和管理工作，以千方百计防止健康和安全等事件或事故的发生。乙方应按政策法规及有关规定做好派进现场服务人员在项目所在地期间的职业病预防工作，负责定期安排其派出人员进行身体检查，并承担派到现场提供日常清洁服务人员的健康、人身安全赔偿等相关责任。</w:t>
      </w:r>
    </w:p>
    <w:p w14:paraId="1974E0BB">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11、乙方承担其派进现场服务人员在项目所在地期间发生的一切意外、疾病、工伤及其他事件的全部责任，同时处理和支付由此发生的一切费用。</w:t>
      </w:r>
    </w:p>
    <w:p w14:paraId="6AA3FA40">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12、乙方派进现场服务人员必须经过安全/环境管理技术培训，经有关部门考试合格并持上岗；所有派进现场服务的作业人员中不得有未成年人和不适应现场安全工作的各类人员。从事甲方特殊工种工作时，需持有效证件，并经甲方考核合格后上岗。</w:t>
      </w:r>
    </w:p>
    <w:p w14:paraId="01E4B677">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13、乙方应按甲方要求及时更换不称职的派进现场服务人员（任一方提出辞退意见，双方协商决定后，两周内办完更换手续），并承担人员聘用和辞退的一切费用。乙方派进现场服务人员被甲方退回，而乙方未能及时更换或处理不当，给甲方或他人造成经济损失或伤害时乙方全部负责承担赔偿责任，甲方有权从乙方本合同的承包服务费支付中直接扣除。</w:t>
      </w:r>
    </w:p>
    <w:p w14:paraId="26D89A82">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14、乙方承诺严格按照本合同所规定的人员名单派出人员到现场提供服务，乙方已确定派出人员的任何换派变更或暂时离开项目所在地等均须事前经过甲方电厂的书面批准同意。除了因甲方要求或本合同中所规定的意外特殊情况之外，乙方已确定派出人员任何甲方之外原因而发生换派变更或暂时离开项目所在地时，乙方均须提前15天书面提出申请并经过甲方电厂书面同意。</w:t>
      </w:r>
    </w:p>
    <w:p w14:paraId="79B5D7CC">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15、乙方到岗的派进现场服务人员由于疾病、意外伤害（须提供正规医院出具的体检报告等相关证明材料）或其他不可抗力原因导致本人已无法继续胜任现场岗位工作之时，按照甲方要求填写《人员变更申请审批单》提出书面申请并经过甲方电厂书面同意之后的，则属于本合同规定的意外特殊情况，乙方因此而执行换派变更不属于合同违约行为。</w:t>
      </w:r>
    </w:p>
    <w:p w14:paraId="4B83AB92">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16、乙方须在所有派进现场服务人员上岗前向甲方电厂提交正规医院出具的体检报告，证明员工身体健康并可以胜任相关岗位的服务工作。</w:t>
      </w:r>
    </w:p>
    <w:p w14:paraId="54033255">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17、由于乙方派进现场服务人员</w:t>
      </w:r>
      <w:r>
        <w:rPr>
          <w:rFonts w:hint="eastAsia"/>
          <w:color w:val="auto"/>
          <w:sz w:val="24"/>
        </w:rPr>
        <w:t>违法违规及违章作业导致损坏财物及发生人员伤害事故，一切法律责任和经济赔偿均由乙方独自承担，</w:t>
      </w:r>
      <w:r>
        <w:rPr>
          <w:rFonts w:hint="eastAsia" w:ascii="宋体" w:hAnsi="宋体"/>
          <w:color w:val="auto"/>
          <w:sz w:val="24"/>
        </w:rPr>
        <w:t>而由此所造成的一切损失，甲方有权从乙方</w:t>
      </w:r>
      <w:r>
        <w:rPr>
          <w:rFonts w:hint="eastAsia"/>
          <w:bCs/>
          <w:color w:val="auto"/>
          <w:sz w:val="24"/>
          <w:lang w:val="en-US" w:eastAsia="zh-CN"/>
        </w:rPr>
        <w:t>监管资金</w:t>
      </w:r>
      <w:r>
        <w:rPr>
          <w:rFonts w:hint="eastAsia"/>
          <w:bCs/>
          <w:color w:val="auto"/>
          <w:sz w:val="24"/>
        </w:rPr>
        <w:t>或当期的结算款</w:t>
      </w:r>
      <w:r>
        <w:rPr>
          <w:rFonts w:hint="eastAsia" w:ascii="宋体" w:hAnsi="宋体"/>
          <w:color w:val="auto"/>
          <w:sz w:val="24"/>
        </w:rPr>
        <w:t>中直接扣除。</w:t>
      </w:r>
    </w:p>
    <w:p w14:paraId="5FC66180">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18、乙方负责妥善保管甲方给乙方派进现场服务人员所配备的个人工具，出现损坏和遗失的由乙方负责补齐。否则，甲方有权从乙方</w:t>
      </w:r>
      <w:r>
        <w:rPr>
          <w:rFonts w:hint="eastAsia"/>
          <w:bCs/>
          <w:color w:val="auto"/>
          <w:sz w:val="24"/>
          <w:lang w:val="en-US" w:eastAsia="zh-CN"/>
        </w:rPr>
        <w:t>监管资金</w:t>
      </w:r>
      <w:r>
        <w:rPr>
          <w:rFonts w:hint="eastAsia"/>
          <w:bCs/>
          <w:color w:val="auto"/>
          <w:sz w:val="24"/>
        </w:rPr>
        <w:t>或当期的结算款</w:t>
      </w:r>
      <w:r>
        <w:rPr>
          <w:rFonts w:hint="eastAsia" w:ascii="宋体" w:hAnsi="宋体"/>
          <w:color w:val="auto"/>
          <w:sz w:val="24"/>
        </w:rPr>
        <w:t>中直接扣除该损坏和遗失工具的相关费用。</w:t>
      </w:r>
    </w:p>
    <w:p w14:paraId="6A93826B">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19、乙方既是用人单位又是用工单位，乙方派出人员的劳动关系属于乙方，为乙方的员工或人员，以乙方名义为甲方提供本合同所约定的现场服务。乙方派出人员在到甲方现场服务上岗之日前，均应依法合规与其所派出的人员正式签订劳动合同，以建立完善的劳动法律关系（包括但不限于劳动合同关系、工资保险关系和劳动用工手续等）。所签订生效的劳动合同等用工合同文件，必须在该派出人员在到甲方现场服务上岗日提交壹份给甲方存档备查；且劳动合同等用工合同文件必须符合国家相关法律、法规的规定，且不得与本合同的有关条款或内容相抵触或相冲突或不一致，否则相抵触或冲突或不一致部分的条款或内容无效，且由此所造成或导致的任何一方的责任和损失赔偿等全部由乙方自行独立承担。</w:t>
      </w:r>
    </w:p>
    <w:p w14:paraId="7B3CB3D2">
      <w:pPr>
        <w:pStyle w:val="101"/>
        <w:numPr>
          <w:ilvl w:val="0"/>
          <w:numId w:val="8"/>
        </w:numPr>
        <w:snapToGrid w:val="0"/>
        <w:spacing w:line="360" w:lineRule="auto"/>
        <w:ind w:left="600" w:hanging="600" w:hangingChars="200"/>
        <w:outlineLvl w:val="1"/>
        <w:rPr>
          <w:rFonts w:ascii="黑体" w:hAnsi="宋体" w:eastAsia="黑体"/>
          <w:color w:val="auto"/>
          <w:sz w:val="30"/>
          <w:szCs w:val="30"/>
        </w:rPr>
      </w:pPr>
      <w:bookmarkStart w:id="9" w:name="_Toc94196201"/>
      <w:r>
        <w:rPr>
          <w:rFonts w:hint="eastAsia" w:ascii="黑体" w:hAnsi="宋体" w:eastAsia="黑体"/>
          <w:color w:val="auto"/>
          <w:sz w:val="30"/>
          <w:szCs w:val="30"/>
        </w:rPr>
        <w:t>甲方的责任和义务</w:t>
      </w:r>
      <w:bookmarkEnd w:id="9"/>
    </w:p>
    <w:p w14:paraId="3203216D">
      <w:pPr>
        <w:adjustRightInd w:val="0"/>
        <w:snapToGrid w:val="0"/>
        <w:spacing w:line="360" w:lineRule="auto"/>
        <w:ind w:firstLine="480"/>
        <w:rPr>
          <w:rFonts w:ascii="宋体" w:hAnsi="宋体"/>
          <w:color w:val="auto"/>
          <w:sz w:val="24"/>
        </w:rPr>
      </w:pPr>
      <w:r>
        <w:rPr>
          <w:rFonts w:hint="eastAsia" w:ascii="宋体" w:hAnsi="宋体"/>
          <w:color w:val="auto"/>
          <w:sz w:val="24"/>
        </w:rPr>
        <w:t>1、严格遵守和执行国家和项目所在省、市的有关法律、法规及规定。甲方负责对本项目飞灰稳定化处理服务管理制度的制订和宣传，有权制定相应的管理措施，以确保乙方按照合同及其它双方议定的标准执行。</w:t>
      </w:r>
    </w:p>
    <w:p w14:paraId="61109D3C">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2、甲方根据本合同规定和电厂生产需要对乙方派进现场服务人员的合法聘用和派进人员到岗等情况拥有资格核查监督权。包括但不限于核查乙方派出人员符合合同规定条件，特殊工种持证上岗，完成岗前安全/环境管理培训等情况。若乙方及其派进现场服务人员</w:t>
      </w:r>
      <w:r>
        <w:rPr>
          <w:rFonts w:hint="eastAsia" w:ascii="宋体"/>
          <w:color w:val="auto"/>
          <w:sz w:val="24"/>
        </w:rPr>
        <w:t>的服务工作达不到合同要求或</w:t>
      </w:r>
      <w:r>
        <w:rPr>
          <w:rFonts w:hint="eastAsia" w:ascii="宋体" w:hAnsi="宋体"/>
          <w:color w:val="auto"/>
          <w:sz w:val="24"/>
        </w:rPr>
        <w:t>违反本合同的规定，甲方有权进行监管处罚。</w:t>
      </w:r>
    </w:p>
    <w:p w14:paraId="29E1F64D">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3、甲方有权根据乙方派进现场服务人员表现和技术业务能力或因乙方派进现场服务人员有不服从甲方的监督和调度、工作失职、违反甲方电厂管理规定、或有其他违法的行为等情况，书面提出要求乙方对现场服务人员进行调整或换派变更，因乙方未能及时进行调整或换派变更现场服务人员给甲方造成的直接经济损失，甲方有权暂停或停止本合同的承包服务费的支付并从中或乙方</w:t>
      </w:r>
      <w:r>
        <w:rPr>
          <w:rFonts w:hint="eastAsia"/>
          <w:bCs/>
          <w:color w:val="auto"/>
          <w:sz w:val="24"/>
          <w:lang w:val="en-US" w:eastAsia="zh-CN"/>
        </w:rPr>
        <w:t>监管资金</w:t>
      </w:r>
      <w:r>
        <w:rPr>
          <w:rFonts w:hint="eastAsia"/>
          <w:bCs/>
          <w:color w:val="auto"/>
          <w:sz w:val="24"/>
        </w:rPr>
        <w:t>金或当期的结算款</w:t>
      </w:r>
      <w:r>
        <w:rPr>
          <w:rFonts w:hint="eastAsia" w:ascii="宋体" w:hAnsi="宋体"/>
          <w:color w:val="auto"/>
          <w:sz w:val="24"/>
        </w:rPr>
        <w:t>中直接扣除该直接经济损失的相关费用，或者乙方另行向甲方负责赔偿支付。</w:t>
      </w:r>
    </w:p>
    <w:p w14:paraId="0B99D11C">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4、当乙方未按规定为乙方派进现场服务人员购买医疗、工伤、伤亡商业保险时，甲方保留暂代乙方为上类人员购买各种必要的医疗、工伤、伤亡商业保险等的权利，并有权对由此发生的相关费用从应支付乙方</w:t>
      </w:r>
      <w:r>
        <w:rPr>
          <w:rFonts w:hint="eastAsia"/>
          <w:bCs/>
          <w:color w:val="auto"/>
          <w:sz w:val="24"/>
          <w:lang w:eastAsia="zh-CN"/>
        </w:rPr>
        <w:t>监管资金</w:t>
      </w:r>
      <w:r>
        <w:rPr>
          <w:rFonts w:hint="eastAsia"/>
          <w:bCs/>
          <w:color w:val="auto"/>
          <w:sz w:val="24"/>
        </w:rPr>
        <w:t>或当期的结算款</w:t>
      </w:r>
      <w:r>
        <w:rPr>
          <w:rFonts w:hint="eastAsia" w:ascii="宋体" w:hAnsi="宋体"/>
          <w:color w:val="auto"/>
          <w:sz w:val="24"/>
        </w:rPr>
        <w:t>中直接扣除。</w:t>
      </w:r>
    </w:p>
    <w:p w14:paraId="555D49B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5、乙方派进现场服务员人工在合同服务期内不得离开项目所在地，如因病、因私需要书面请假的，并由乙方安排适当人员予以暂时替代。</w:t>
      </w:r>
    </w:p>
    <w:p w14:paraId="350D867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6、甲方对乙方派出的在指定岗位工作的人员，将按甲方《员工劳动防护用品管理办法》和按甲方现场员工的标准及时提供除工作服和工作鞋以外相应的生产性劳保用品。但甲方该相应生产性劳保用品的提供，并不导致乙方其自身应独立根据服务的实际需要而增加配备足够的健康和安全等方面的防护措施及防护用品的任何责任和义务等发生转移、变更、减少、减轻、终止等任何形式的改变，即乙方派进现场服务员人的健康和安全等全部的责任和赔偿仍然由乙方全部独自承担。</w:t>
      </w:r>
    </w:p>
    <w:p w14:paraId="1251FAEF">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7、甲方为乙方派进现场服务的员工组织必要的文体、娱乐等活动，并经乙方书面同意可以代为购买各项文体、娱乐设备和设施，费用由乙方负担。</w:t>
      </w:r>
    </w:p>
    <w:p w14:paraId="713C8B45">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8、甲方应按本合同约定及时支付乙方服务费。</w:t>
      </w:r>
    </w:p>
    <w:p w14:paraId="7ADA8197">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9、对于</w:t>
      </w:r>
      <w:r>
        <w:rPr>
          <w:rFonts w:hint="eastAsia" w:ascii="宋体"/>
          <w:color w:val="auto"/>
          <w:sz w:val="24"/>
        </w:rPr>
        <w:t>作为用人和用工单位的</w:t>
      </w:r>
      <w:r>
        <w:rPr>
          <w:rFonts w:hint="eastAsia" w:ascii="宋体" w:hAnsi="宋体"/>
          <w:color w:val="auto"/>
          <w:sz w:val="24"/>
        </w:rPr>
        <w:t>乙方其自身本应独立主动地负责依法依规进行处理的任何纠纷或者事件，当因乙方拖延慢作为或回避不作为而</w:t>
      </w:r>
      <w:r>
        <w:rPr>
          <w:rFonts w:ascii="宋体" w:hAnsi="宋体"/>
          <w:color w:val="auto"/>
          <w:sz w:val="24"/>
        </w:rPr>
        <w:t>扩散</w:t>
      </w:r>
      <w:r>
        <w:rPr>
          <w:rFonts w:hint="eastAsia" w:ascii="宋体" w:hAnsi="宋体"/>
          <w:color w:val="auto"/>
          <w:sz w:val="24"/>
        </w:rPr>
        <w:t>漫延影响到或者损害到甲方的声誉形象等任何权益之时，甲方基于保护本身的权益免受伤害，有权选择主动参与到乙方该纠纷或者事件的合情合理调解和依法依规处理。但甲方对乙方该纠纷或者事件任何形式的参与和处理，并不导致乙方其自身本应独立承担的任何责任和义务等发生转移、变更、减少、减轻、终止等任何形式的改变，即乙方自身本应独立承担的任何责任和义务仍然由其全部承担。</w:t>
      </w:r>
    </w:p>
    <w:p w14:paraId="11107208">
      <w:pPr>
        <w:pStyle w:val="101"/>
        <w:numPr>
          <w:ilvl w:val="0"/>
          <w:numId w:val="8"/>
        </w:numPr>
        <w:snapToGrid w:val="0"/>
        <w:spacing w:line="360" w:lineRule="auto"/>
        <w:ind w:left="600" w:hanging="600" w:hangingChars="200"/>
        <w:outlineLvl w:val="1"/>
        <w:rPr>
          <w:rFonts w:ascii="黑体" w:hAnsi="宋体" w:eastAsia="黑体"/>
          <w:color w:val="auto"/>
          <w:sz w:val="30"/>
          <w:szCs w:val="30"/>
        </w:rPr>
      </w:pPr>
      <w:bookmarkStart w:id="10" w:name="_Toc94196202"/>
      <w:r>
        <w:rPr>
          <w:rFonts w:hint="eastAsia" w:ascii="黑体" w:hAnsi="宋体" w:eastAsia="黑体"/>
          <w:color w:val="auto"/>
          <w:sz w:val="30"/>
          <w:szCs w:val="30"/>
        </w:rPr>
        <w:t>乙方指定的项目经理</w:t>
      </w:r>
      <w:bookmarkEnd w:id="10"/>
    </w:p>
    <w:p w14:paraId="06648436">
      <w:pPr>
        <w:spacing w:line="360" w:lineRule="auto"/>
        <w:ind w:firstLine="480" w:firstLineChars="200"/>
        <w:rPr>
          <w:rFonts w:ascii="宋体" w:hAnsi="宋体"/>
          <w:color w:val="auto"/>
          <w:kern w:val="0"/>
          <w:sz w:val="24"/>
        </w:rPr>
      </w:pPr>
      <w:r>
        <w:rPr>
          <w:rFonts w:hint="eastAsia" w:ascii="宋体" w:hAnsi="宋体"/>
          <w:color w:val="auto"/>
          <w:kern w:val="0"/>
          <w:sz w:val="24"/>
        </w:rPr>
        <w:t>1、乙方应按要求指定项目经理，授权其代表乙方现场履行本合同约定的权力和义务。乙方指定的项目经理及其联系方式如下：</w:t>
      </w:r>
    </w:p>
    <w:p w14:paraId="076CFC71">
      <w:pPr>
        <w:spacing w:line="360" w:lineRule="auto"/>
        <w:ind w:firstLine="480" w:firstLineChars="200"/>
        <w:rPr>
          <w:rFonts w:ascii="宋体" w:hAnsi="宋体"/>
          <w:color w:val="auto"/>
          <w:kern w:val="0"/>
          <w:sz w:val="24"/>
        </w:rPr>
      </w:pPr>
      <w:r>
        <w:rPr>
          <w:rFonts w:hint="eastAsia" w:ascii="宋体" w:hAnsi="宋体"/>
          <w:color w:val="auto"/>
          <w:kern w:val="0"/>
          <w:sz w:val="24"/>
        </w:rPr>
        <w:t>乙方：</w:t>
      </w:r>
      <w:r>
        <w:rPr>
          <w:rFonts w:hint="eastAsia"/>
          <w:color w:val="auto"/>
          <w:sz w:val="24"/>
          <w:u w:val="single"/>
        </w:rPr>
        <w:t>成都赢纳环保科技有限公司</w:t>
      </w:r>
      <w:r>
        <w:rPr>
          <w:rFonts w:hint="eastAsia" w:ascii="宋体" w:hAnsi="宋体"/>
          <w:color w:val="auto"/>
          <w:kern w:val="0"/>
          <w:sz w:val="24"/>
        </w:rPr>
        <w:t xml:space="preserve"> </w:t>
      </w:r>
    </w:p>
    <w:p w14:paraId="39863770">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rPr>
        <w:t>项目现场负责人：</w:t>
      </w:r>
      <w:r>
        <w:rPr>
          <w:rFonts w:hint="eastAsia" w:ascii="宋体" w:hAnsi="宋体"/>
          <w:color w:val="auto"/>
          <w:kern w:val="0"/>
          <w:sz w:val="24"/>
          <w:highlight w:val="none"/>
          <w:u w:val="single"/>
        </w:rPr>
        <w:t>马志辉</w:t>
      </w:r>
    </w:p>
    <w:p w14:paraId="271F00A8">
      <w:pPr>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联系电话：</w:t>
      </w:r>
      <w:r>
        <w:rPr>
          <w:rFonts w:hint="eastAsia" w:ascii="宋体" w:hAnsi="宋体"/>
          <w:color w:val="auto"/>
          <w:kern w:val="0"/>
          <w:sz w:val="24"/>
          <w:highlight w:val="none"/>
          <w:u w:val="single"/>
        </w:rPr>
        <w:t>15176521521</w:t>
      </w:r>
    </w:p>
    <w:p w14:paraId="6EBF7D51">
      <w:pPr>
        <w:spacing w:line="360" w:lineRule="auto"/>
        <w:ind w:firstLine="480" w:firstLineChars="200"/>
        <w:rPr>
          <w:rFonts w:ascii="宋体" w:hAnsi="宋体"/>
          <w:color w:val="auto"/>
          <w:kern w:val="0"/>
          <w:sz w:val="24"/>
        </w:rPr>
      </w:pPr>
      <w:r>
        <w:rPr>
          <w:rFonts w:hint="eastAsia" w:ascii="宋体" w:hAnsi="宋体"/>
          <w:color w:val="auto"/>
          <w:kern w:val="0"/>
          <w:sz w:val="24"/>
        </w:rPr>
        <w:t>2、乙方根据合同发出的一切文件(包括致甲方或甲方电厂的通知)，均应以书面形式由项目经理签字后发出。</w:t>
      </w:r>
    </w:p>
    <w:p w14:paraId="7560712F">
      <w:pPr>
        <w:spacing w:line="360" w:lineRule="auto"/>
        <w:ind w:firstLine="480" w:firstLineChars="200"/>
        <w:rPr>
          <w:rFonts w:ascii="宋体" w:hAnsi="宋体"/>
          <w:color w:val="auto"/>
          <w:kern w:val="0"/>
          <w:sz w:val="24"/>
        </w:rPr>
      </w:pPr>
      <w:r>
        <w:rPr>
          <w:rFonts w:hint="eastAsia" w:ascii="宋体" w:hAnsi="宋体"/>
          <w:color w:val="auto"/>
          <w:kern w:val="0"/>
          <w:sz w:val="24"/>
        </w:rPr>
        <w:t>3、乙方应保证项目经理及时到位，保证现场服务过程中项目管理班子的稳定。若任命的项目经理未及时到位，甲方可按照合同条款中的约定对乙方进行相应处罚。如需更换项目经理，应至少提前7天以书面形式通知甲方，并经甲方书面同意。未经甲方书面同意，乙方不得更换项目经理。</w:t>
      </w:r>
    </w:p>
    <w:p w14:paraId="793FAF6A">
      <w:pPr>
        <w:spacing w:line="360" w:lineRule="auto"/>
        <w:ind w:firstLine="480" w:firstLineChars="200"/>
        <w:rPr>
          <w:rFonts w:ascii="黑体" w:eastAsia="黑体"/>
          <w:color w:val="auto"/>
          <w:sz w:val="28"/>
          <w:szCs w:val="28"/>
        </w:rPr>
      </w:pPr>
      <w:r>
        <w:rPr>
          <w:rFonts w:hint="eastAsia" w:ascii="宋体" w:hAnsi="宋体"/>
          <w:color w:val="auto"/>
          <w:kern w:val="0"/>
          <w:sz w:val="24"/>
        </w:rPr>
        <w:t>4、项目经理按合同规定代表乙方负责现场服务管理和进度计划的组织施工。在发生危及人身、财产安全和立即影响项目安危的紧急情况且无法与甲方取得联系时，项目经理应采取保证人身和财产安全的紧急措施，并在采取措施后马上向甲方报告。</w:t>
      </w:r>
    </w:p>
    <w:p w14:paraId="261EE0A2">
      <w:pPr>
        <w:pStyle w:val="101"/>
        <w:numPr>
          <w:ilvl w:val="0"/>
          <w:numId w:val="8"/>
        </w:numPr>
        <w:snapToGrid w:val="0"/>
        <w:spacing w:line="360" w:lineRule="auto"/>
        <w:ind w:left="600" w:hanging="600" w:hangingChars="200"/>
        <w:outlineLvl w:val="1"/>
        <w:rPr>
          <w:rFonts w:ascii="黑体" w:hAnsi="黑体" w:eastAsia="黑体"/>
          <w:color w:val="auto"/>
          <w:sz w:val="30"/>
          <w:szCs w:val="30"/>
        </w:rPr>
      </w:pPr>
      <w:bookmarkStart w:id="11" w:name="_Toc94196203"/>
      <w:r>
        <w:rPr>
          <w:rFonts w:hint="eastAsia" w:ascii="黑体" w:hAnsi="黑体" w:eastAsia="黑体"/>
          <w:color w:val="auto"/>
          <w:sz w:val="30"/>
          <w:szCs w:val="30"/>
        </w:rPr>
        <w:t>服务及运营管理要求</w:t>
      </w:r>
      <w:bookmarkEnd w:id="11"/>
      <w:r>
        <w:rPr>
          <w:rFonts w:ascii="宋体" w:hAnsi="宋体"/>
          <w:color w:val="auto"/>
          <w:sz w:val="30"/>
          <w:szCs w:val="30"/>
        </w:rPr>
        <w:t xml:space="preserve"> </w:t>
      </w:r>
    </w:p>
    <w:p w14:paraId="1B68740E">
      <w:pPr>
        <w:adjustRightInd w:val="0"/>
        <w:snapToGrid w:val="0"/>
        <w:spacing w:line="360" w:lineRule="auto"/>
        <w:ind w:firstLine="480"/>
        <w:rPr>
          <w:rFonts w:ascii="宋体" w:hAnsi="宋体"/>
          <w:color w:val="auto"/>
          <w:sz w:val="24"/>
        </w:rPr>
      </w:pPr>
      <w:bookmarkStart w:id="12" w:name="_Toc509846363"/>
      <w:r>
        <w:rPr>
          <w:rFonts w:ascii="宋体" w:hAnsi="宋体"/>
          <w:color w:val="auto"/>
          <w:sz w:val="24"/>
        </w:rPr>
        <w:t>1</w:t>
      </w:r>
      <w:r>
        <w:rPr>
          <w:rFonts w:hint="eastAsia" w:ascii="宋体" w:hAnsi="宋体"/>
          <w:color w:val="auto"/>
          <w:sz w:val="24"/>
        </w:rPr>
        <w:t>、乙方</w:t>
      </w:r>
      <w:r>
        <w:rPr>
          <w:rFonts w:ascii="宋体" w:hAnsi="宋体"/>
          <w:color w:val="auto"/>
          <w:sz w:val="24"/>
        </w:rPr>
        <w:t>须</w:t>
      </w:r>
      <w:r>
        <w:rPr>
          <w:rFonts w:hint="eastAsia" w:ascii="宋体" w:hAnsi="宋体"/>
          <w:color w:val="auto"/>
          <w:sz w:val="24"/>
        </w:rPr>
        <w:t>在合同期内无休连续性服务，</w:t>
      </w:r>
      <w:r>
        <w:rPr>
          <w:rFonts w:ascii="宋体" w:hAnsi="宋体"/>
          <w:color w:val="auto"/>
          <w:sz w:val="24"/>
        </w:rPr>
        <w:t>须保证</w:t>
      </w:r>
      <w:r>
        <w:rPr>
          <w:rFonts w:hint="eastAsia" w:ascii="宋体" w:hAnsi="宋体"/>
          <w:color w:val="auto"/>
          <w:sz w:val="24"/>
        </w:rPr>
        <w:t>可</w:t>
      </w:r>
      <w:r>
        <w:rPr>
          <w:rFonts w:ascii="宋体" w:hAnsi="宋体"/>
          <w:color w:val="auto"/>
          <w:sz w:val="24"/>
        </w:rPr>
        <w:t>连续</w:t>
      </w:r>
      <w:r>
        <w:rPr>
          <w:rFonts w:hint="eastAsia" w:ascii="宋体" w:hAnsi="宋体"/>
          <w:color w:val="auto"/>
          <w:sz w:val="24"/>
        </w:rPr>
        <w:t>提供</w:t>
      </w:r>
      <w:r>
        <w:rPr>
          <w:rFonts w:ascii="宋体" w:hAnsi="宋体"/>
          <w:color w:val="auto"/>
          <w:sz w:val="24"/>
        </w:rPr>
        <w:t>质量合格、数量</w:t>
      </w:r>
      <w:r>
        <w:rPr>
          <w:rFonts w:hint="eastAsia" w:ascii="宋体" w:hAnsi="宋体"/>
          <w:color w:val="auto"/>
          <w:sz w:val="24"/>
        </w:rPr>
        <w:t>足够</w:t>
      </w:r>
      <w:r>
        <w:rPr>
          <w:rFonts w:ascii="宋体" w:hAnsi="宋体"/>
          <w:color w:val="auto"/>
          <w:sz w:val="24"/>
        </w:rPr>
        <w:t>的飞灰处理药品</w:t>
      </w:r>
      <w:r>
        <w:rPr>
          <w:rFonts w:hint="eastAsia" w:ascii="宋体" w:hAnsi="宋体"/>
          <w:color w:val="auto"/>
          <w:sz w:val="24"/>
        </w:rPr>
        <w:t>（</w:t>
      </w:r>
      <w:r>
        <w:rPr>
          <w:rFonts w:ascii="宋体" w:hAnsi="宋体"/>
          <w:color w:val="auto"/>
          <w:sz w:val="24"/>
        </w:rPr>
        <w:t>包括但不限于：飞灰螯合药剂等</w:t>
      </w:r>
      <w:r>
        <w:rPr>
          <w:rFonts w:hint="eastAsia" w:ascii="宋体" w:hAnsi="宋体"/>
          <w:color w:val="auto"/>
          <w:sz w:val="24"/>
        </w:rPr>
        <w:t>确保</w:t>
      </w:r>
      <w:r>
        <w:rPr>
          <w:rFonts w:ascii="宋体" w:hAnsi="宋体"/>
          <w:color w:val="auto"/>
          <w:sz w:val="24"/>
        </w:rPr>
        <w:t>飞灰螯合稳定化处置达标</w:t>
      </w:r>
      <w:r>
        <w:rPr>
          <w:rFonts w:hint="eastAsia" w:ascii="宋体" w:hAnsi="宋体"/>
          <w:color w:val="auto"/>
          <w:sz w:val="24"/>
        </w:rPr>
        <w:t>所</w:t>
      </w:r>
      <w:r>
        <w:rPr>
          <w:rFonts w:ascii="宋体" w:hAnsi="宋体"/>
          <w:color w:val="auto"/>
          <w:sz w:val="24"/>
        </w:rPr>
        <w:t>使用的一切药剂</w:t>
      </w:r>
      <w:r>
        <w:rPr>
          <w:rFonts w:hint="eastAsia" w:ascii="宋体" w:hAnsi="宋体"/>
          <w:color w:val="auto"/>
          <w:sz w:val="24"/>
        </w:rPr>
        <w:t>）</w:t>
      </w:r>
      <w:r>
        <w:rPr>
          <w:rFonts w:ascii="宋体" w:hAnsi="宋体"/>
          <w:color w:val="auto"/>
          <w:sz w:val="24"/>
        </w:rPr>
        <w:t>，以保证</w:t>
      </w:r>
      <w:r>
        <w:rPr>
          <w:rFonts w:hint="eastAsia" w:ascii="宋体" w:hAnsi="宋体"/>
          <w:color w:val="auto"/>
          <w:sz w:val="24"/>
        </w:rPr>
        <w:t>甲方</w:t>
      </w:r>
      <w:r>
        <w:rPr>
          <w:rFonts w:ascii="宋体" w:hAnsi="宋体"/>
          <w:color w:val="auto"/>
          <w:sz w:val="24"/>
        </w:rPr>
        <w:t>电厂正常生产</w:t>
      </w:r>
      <w:r>
        <w:rPr>
          <w:rFonts w:hint="eastAsia" w:ascii="宋体" w:hAnsi="宋体"/>
          <w:color w:val="auto"/>
          <w:sz w:val="24"/>
        </w:rPr>
        <w:t>需求。若因乙方供货不及时、中断或药品质量问题引起的影响机组安全运行、环保运行的责任，则均由乙方承担。飞灰稳定化药剂的装卸工作由乙方自行负责。</w:t>
      </w:r>
    </w:p>
    <w:p w14:paraId="3E6EC67A">
      <w:pPr>
        <w:adjustRightInd w:val="0"/>
        <w:snapToGrid w:val="0"/>
        <w:spacing w:line="360" w:lineRule="auto"/>
        <w:ind w:firstLine="480"/>
        <w:rPr>
          <w:rFonts w:ascii="宋体" w:hAnsi="宋体"/>
          <w:color w:val="auto"/>
          <w:sz w:val="24"/>
        </w:rPr>
      </w:pPr>
      <w:r>
        <w:rPr>
          <w:rFonts w:hint="eastAsia" w:ascii="宋体" w:hAnsi="宋体"/>
          <w:color w:val="auto"/>
          <w:sz w:val="24"/>
        </w:rPr>
        <w:t>2、乙方</w:t>
      </w:r>
      <w:r>
        <w:rPr>
          <w:rFonts w:ascii="宋体" w:hAnsi="宋体"/>
          <w:color w:val="auto"/>
          <w:sz w:val="24"/>
        </w:rPr>
        <w:t>须</w:t>
      </w:r>
      <w:r>
        <w:rPr>
          <w:rFonts w:hint="eastAsia" w:ascii="宋体" w:hAnsi="宋体"/>
          <w:color w:val="auto"/>
          <w:sz w:val="24"/>
        </w:rPr>
        <w:t>制定飞灰螯合稳定化运行维护管理规定，编制巡检记录表并执行，每日飞灰螯合运营开始前和结束后，全面检查飞灰螯合设备是否正常，及时向甲方反馈。</w:t>
      </w:r>
    </w:p>
    <w:p w14:paraId="0039AE3D">
      <w:pPr>
        <w:adjustRightInd w:val="0"/>
        <w:snapToGrid w:val="0"/>
        <w:spacing w:line="360" w:lineRule="auto"/>
        <w:ind w:firstLine="480"/>
        <w:rPr>
          <w:rFonts w:ascii="宋体" w:hAnsi="宋体"/>
          <w:color w:val="auto"/>
          <w:sz w:val="24"/>
        </w:rPr>
      </w:pPr>
      <w:r>
        <w:rPr>
          <w:rFonts w:hint="eastAsia" w:ascii="宋体" w:hAnsi="宋体"/>
          <w:color w:val="auto"/>
          <w:sz w:val="24"/>
        </w:rPr>
        <w:t>3、乙方</w:t>
      </w:r>
      <w:r>
        <w:rPr>
          <w:rFonts w:ascii="宋体" w:hAnsi="宋体"/>
          <w:color w:val="auto"/>
          <w:sz w:val="24"/>
        </w:rPr>
        <w:t>须</w:t>
      </w:r>
      <w:r>
        <w:rPr>
          <w:rFonts w:hint="eastAsia" w:ascii="宋体" w:hAnsi="宋体"/>
          <w:color w:val="auto"/>
          <w:sz w:val="24"/>
        </w:rPr>
        <w:t>保证飞灰螯合设施区域的安全文明生产，做好区域文明卫生工作，包括设备夹层、螯合稳定化车间、控制室及周边道路等。负责外运合规处置废弃或损坏的托盘、螯合药剂桶及吨袋等。</w:t>
      </w:r>
    </w:p>
    <w:p w14:paraId="7BB8278F">
      <w:pPr>
        <w:adjustRightInd w:val="0"/>
        <w:snapToGrid w:val="0"/>
        <w:spacing w:line="360" w:lineRule="auto"/>
        <w:ind w:firstLine="480"/>
        <w:rPr>
          <w:rFonts w:ascii="宋体" w:hAnsi="宋体"/>
          <w:color w:val="auto"/>
          <w:sz w:val="24"/>
        </w:rPr>
      </w:pPr>
      <w:r>
        <w:rPr>
          <w:rFonts w:hint="eastAsia" w:ascii="宋体" w:hAnsi="宋体"/>
          <w:color w:val="auto"/>
          <w:sz w:val="24"/>
        </w:rPr>
        <w:t>4、乙方负责提供精通螯合药剂使用性能及飞灰螯合系统生产的技术人员常驻甲方，负责现场飞灰螯合生产运营。乙方负责提供操作工（其中含叉车司机），保证现场飞灰螯合药剂卸货、转运以及飞灰螯合物包装、转运等。</w:t>
      </w:r>
      <w:r>
        <w:rPr>
          <w:rFonts w:hint="eastAsia"/>
          <w:bCs/>
          <w:color w:val="auto"/>
          <w:sz w:val="24"/>
        </w:rPr>
        <w:t>等。以上人员须</w:t>
      </w:r>
      <w:r>
        <w:rPr>
          <w:rFonts w:hint="eastAsia" w:ascii="宋体" w:hAnsi="宋体"/>
          <w:color w:val="auto"/>
          <w:sz w:val="24"/>
        </w:rPr>
        <w:t>常驻甲方电厂，负责现场飞灰螯合生产运营等服务。乙方</w:t>
      </w:r>
      <w:r>
        <w:rPr>
          <w:color w:val="auto"/>
          <w:sz w:val="24"/>
          <w:lang w:bidi="ar"/>
        </w:rPr>
        <w:t>负责提供满足需求的叉车。叉车操作人员须持有叉车操作证，叉车需办理使用许可证并向当地质量监督管理部门进行特种设备备案。</w:t>
      </w:r>
      <w:r>
        <w:rPr>
          <w:rFonts w:hint="eastAsia"/>
          <w:color w:val="auto"/>
          <w:sz w:val="24"/>
          <w:lang w:bidi="ar"/>
        </w:rPr>
        <w:t>具体人员数量详见技术要求。</w:t>
      </w:r>
    </w:p>
    <w:p w14:paraId="34B27B69">
      <w:pPr>
        <w:adjustRightInd w:val="0"/>
        <w:snapToGrid w:val="0"/>
        <w:spacing w:line="360" w:lineRule="auto"/>
        <w:ind w:firstLine="480"/>
        <w:rPr>
          <w:rFonts w:ascii="宋体" w:hAnsi="宋体"/>
          <w:color w:val="auto"/>
          <w:sz w:val="24"/>
        </w:rPr>
      </w:pPr>
      <w:r>
        <w:rPr>
          <w:rFonts w:hint="eastAsia" w:ascii="宋体" w:hAnsi="宋体"/>
          <w:color w:val="auto"/>
          <w:sz w:val="24"/>
        </w:rPr>
        <w:t>以上常驻甲方人员不得轻易更换（除甲方要求），如有人员流动，乙方需提前两周向甲方提出书面申请，经甲方同意后，新入厂人员需在原岗位人员指导下进行运营工作至少两周，由甲方考核通过后方可上岗，需流动人员才可离厂。乙方驻厂技术人员必须遵守甲方电厂相关管理制度，乙方驻厂人员的主要职责和工作范围具体详见本合同附件</w:t>
      </w:r>
      <w:r>
        <w:rPr>
          <w:rFonts w:hint="eastAsia" w:ascii="宋体" w:hAnsi="宋体"/>
          <w:color w:val="auto"/>
          <w:sz w:val="24"/>
          <w:lang w:eastAsia="zh-CN"/>
        </w:rPr>
        <w:t>本合同附件1技术协议书</w:t>
      </w:r>
      <w:r>
        <w:rPr>
          <w:rFonts w:hint="eastAsia" w:ascii="宋体" w:hAnsi="宋体"/>
          <w:color w:val="auto"/>
          <w:sz w:val="24"/>
        </w:rPr>
        <w:t>的相关规定，乙方驻厂技术人员的相关费用均由乙方自行承担。</w:t>
      </w:r>
    </w:p>
    <w:p w14:paraId="4E83163E">
      <w:pPr>
        <w:adjustRightInd w:val="0"/>
        <w:snapToGrid w:val="0"/>
        <w:spacing w:line="360" w:lineRule="auto"/>
        <w:ind w:firstLine="480"/>
        <w:rPr>
          <w:rFonts w:ascii="宋体" w:hAnsi="宋体"/>
          <w:color w:val="auto"/>
          <w:sz w:val="24"/>
        </w:rPr>
      </w:pPr>
      <w:r>
        <w:rPr>
          <w:rFonts w:hint="eastAsia" w:ascii="宋体" w:hAnsi="宋体"/>
          <w:color w:val="auto"/>
          <w:sz w:val="24"/>
        </w:rPr>
        <w:t>5、乙方的驻厂技术人员主要职责为：组织飞灰螯合生产运行及负责安全环保管理；合理进行原灰定期分析，依据原灰成份变化及时调整螯合药剂成份或添加比例，确保飞灰螯合物达标；依据甲方现场工况变化，及时调整螯合药剂添加比例，确保飞灰螯合物达标；确保螯合药剂足量、及时地供应；及时申报飞灰螯合稳定化系统的必要备件；负责飞灰螯合生产数据填报和资料建档；负责四联单初步核对归档报送；接受甲方、生活垃圾填埋场及上级主管部门的监督管理；负责落实甲方合理安排的工作及其他合同要求工作（包括但不限于飞灰螯合系统的运行操作、飞灰螯合物的质量）。</w:t>
      </w:r>
    </w:p>
    <w:p w14:paraId="2F109B32">
      <w:pPr>
        <w:adjustRightInd w:val="0"/>
        <w:snapToGrid w:val="0"/>
        <w:spacing w:line="360" w:lineRule="auto"/>
        <w:ind w:firstLine="480"/>
        <w:rPr>
          <w:rFonts w:ascii="宋体" w:hAnsi="宋体"/>
          <w:color w:val="auto"/>
          <w:sz w:val="24"/>
        </w:rPr>
      </w:pPr>
      <w:r>
        <w:rPr>
          <w:rFonts w:hint="eastAsia" w:ascii="宋体" w:hAnsi="宋体"/>
          <w:color w:val="auto"/>
          <w:sz w:val="24"/>
        </w:rPr>
        <w:t>6、乙方配备专人对每天养护后螯合物进行含水率检测、浸出液制备，实验仪器使用甲方厂内设备，甲方电厂不定期进行样品抽检。</w:t>
      </w:r>
    </w:p>
    <w:p w14:paraId="6C20564C">
      <w:pPr>
        <w:adjustRightInd w:val="0"/>
        <w:snapToGrid w:val="0"/>
        <w:spacing w:line="360" w:lineRule="auto"/>
        <w:ind w:firstLine="480"/>
        <w:rPr>
          <w:rFonts w:ascii="宋体" w:hAnsi="宋体"/>
          <w:color w:val="auto"/>
          <w:sz w:val="24"/>
        </w:rPr>
      </w:pPr>
      <w:r>
        <w:rPr>
          <w:rFonts w:ascii="宋体" w:hAnsi="宋体"/>
          <w:color w:val="auto"/>
          <w:sz w:val="24"/>
        </w:rPr>
        <w:t>7、乙方需根据设备实际运行情况，每月20日前向甲方提出合理的备件申报计划，备件采购工作及费用由甲方负责，甲方的备件采购周期为3个月。</w:t>
      </w:r>
    </w:p>
    <w:p w14:paraId="3EBD3825">
      <w:pPr>
        <w:adjustRightInd w:val="0"/>
        <w:snapToGrid w:val="0"/>
        <w:spacing w:line="360" w:lineRule="auto"/>
        <w:ind w:firstLine="480"/>
        <w:rPr>
          <w:rFonts w:ascii="宋体" w:hAnsi="宋体"/>
          <w:color w:val="auto"/>
          <w:sz w:val="24"/>
        </w:rPr>
      </w:pPr>
      <w:r>
        <w:rPr>
          <w:rFonts w:hint="eastAsia" w:ascii="宋体" w:hAnsi="宋体"/>
          <w:color w:val="auto"/>
          <w:sz w:val="24"/>
        </w:rPr>
        <w:t>8、飞灰螯合设备出现故障和异常时，由甲方负责组织相应专业检修人员进行维护检修并验收，乙方需提供维护检修指导。如遇到短时间不能解决的技术难题，涉及到需要与设备原生产厂家沟通的工作，由甲方协助沟通，但乙方应有应急处置手段，以保证飞灰螯合生产顺利进行。</w:t>
      </w:r>
    </w:p>
    <w:p w14:paraId="1B593F54">
      <w:pPr>
        <w:adjustRightInd w:val="0"/>
        <w:snapToGrid w:val="0"/>
        <w:spacing w:line="360" w:lineRule="auto"/>
        <w:ind w:firstLine="480"/>
        <w:rPr>
          <w:rFonts w:ascii="宋体" w:hAnsi="宋体"/>
          <w:color w:val="auto"/>
          <w:sz w:val="24"/>
        </w:rPr>
      </w:pPr>
      <w:r>
        <w:rPr>
          <w:rFonts w:hint="eastAsia" w:ascii="宋体" w:hAnsi="宋体"/>
          <w:color w:val="auto"/>
          <w:sz w:val="24"/>
        </w:rPr>
        <w:t>9、乙方应及时进行飞灰螯合，</w:t>
      </w:r>
      <w:r>
        <w:rPr>
          <w:rFonts w:hint="eastAsia"/>
          <w:bCs/>
          <w:color w:val="auto"/>
          <w:sz w:val="24"/>
        </w:rPr>
        <w:t>应保持飞灰仓低料位运行，</w:t>
      </w:r>
      <w:r>
        <w:rPr>
          <w:rFonts w:hint="eastAsia" w:ascii="宋体" w:hAnsi="宋体"/>
          <w:color w:val="auto"/>
          <w:sz w:val="24"/>
        </w:rPr>
        <w:t>不得以任何借口影响甲方的安全、稳定、经济运行。如由于甲方原因（断水、断电及其他甲方无法通过努力克服的问题）造成系统无法运行，则由甲方负责委托有资质单位进行飞灰外运处置，乙方负责卸干灰工作。如由于乙方原因造成的系统无法运行，则由甲方委托有资质单位进行飞灰外运处置，所发生的委托处置费用由乙方负责。</w:t>
      </w:r>
    </w:p>
    <w:p w14:paraId="620808CA">
      <w:pPr>
        <w:adjustRightInd w:val="0"/>
        <w:snapToGrid w:val="0"/>
        <w:spacing w:line="360" w:lineRule="auto"/>
        <w:ind w:firstLine="480"/>
        <w:rPr>
          <w:rFonts w:ascii="宋体" w:hAnsi="宋体"/>
          <w:color w:val="auto"/>
          <w:sz w:val="24"/>
        </w:rPr>
      </w:pPr>
      <w:r>
        <w:rPr>
          <w:rFonts w:hint="eastAsia" w:ascii="宋体" w:hAnsi="宋体"/>
          <w:color w:val="auto"/>
          <w:sz w:val="24"/>
        </w:rPr>
        <w:t>10、甲方电厂飞灰成分随垃圾来源、季节变化较大，乙方应采取相应措施预先调整螯合药剂投加量，确保飞灰稳定化处理达标，甲方不对垃圾及原灰成分变化导致的稳定化处理效果负责。</w:t>
      </w:r>
    </w:p>
    <w:p w14:paraId="46C8C5F7">
      <w:pPr>
        <w:adjustRightInd w:val="0"/>
        <w:snapToGrid w:val="0"/>
        <w:spacing w:line="360" w:lineRule="auto"/>
        <w:ind w:firstLine="480"/>
        <w:rPr>
          <w:rFonts w:ascii="宋体" w:hAnsi="宋体"/>
          <w:color w:val="auto"/>
          <w:sz w:val="24"/>
        </w:rPr>
      </w:pPr>
      <w:r>
        <w:rPr>
          <w:rFonts w:hint="eastAsia" w:ascii="宋体" w:hAnsi="宋体"/>
          <w:color w:val="auto"/>
          <w:sz w:val="24"/>
        </w:rPr>
        <w:t>11、如遇不可预见因素，例如焚烧余热锅炉受热面爆管、焚烧炉其它故障进行压火或者停炉检修、导致进入灰仓的飞灰结块甚至带水等情况，乙方需提前制定处理方案，落实应对措施，在保证飞灰螯合物达标的前提下，将灰仓内飞灰及时生产完毕，确保飞灰仓不存灰。</w:t>
      </w:r>
    </w:p>
    <w:p w14:paraId="7067CB35">
      <w:pPr>
        <w:adjustRightInd w:val="0"/>
        <w:snapToGrid w:val="0"/>
        <w:spacing w:line="360" w:lineRule="auto"/>
        <w:ind w:firstLine="480"/>
        <w:rPr>
          <w:rFonts w:ascii="宋体" w:hAnsi="宋体"/>
          <w:color w:val="auto"/>
          <w:sz w:val="24"/>
        </w:rPr>
      </w:pPr>
      <w:r>
        <w:rPr>
          <w:rFonts w:ascii="宋体" w:hAnsi="宋体"/>
          <w:color w:val="auto"/>
          <w:sz w:val="24"/>
        </w:rPr>
        <w:t>1</w:t>
      </w:r>
      <w:r>
        <w:rPr>
          <w:rFonts w:hint="eastAsia" w:ascii="宋体" w:hAnsi="宋体"/>
          <w:color w:val="auto"/>
          <w:sz w:val="24"/>
        </w:rPr>
        <w:t>2、乙方</w:t>
      </w:r>
      <w:r>
        <w:rPr>
          <w:rFonts w:ascii="宋体" w:hAnsi="宋体"/>
          <w:color w:val="auto"/>
          <w:sz w:val="24"/>
        </w:rPr>
        <w:t>负责</w:t>
      </w:r>
      <w:r>
        <w:rPr>
          <w:rFonts w:hint="eastAsia" w:ascii="宋体" w:hAnsi="宋体"/>
          <w:color w:val="auto"/>
          <w:sz w:val="24"/>
        </w:rPr>
        <w:t>办理本合同</w:t>
      </w:r>
      <w:r>
        <w:rPr>
          <w:rFonts w:ascii="宋体" w:hAnsi="宋体"/>
          <w:color w:val="auto"/>
          <w:sz w:val="24"/>
        </w:rPr>
        <w:t>下飞灰处理药剂的</w:t>
      </w:r>
      <w:r>
        <w:rPr>
          <w:rFonts w:hint="eastAsia" w:ascii="宋体" w:hAnsi="宋体"/>
          <w:color w:val="auto"/>
          <w:sz w:val="24"/>
        </w:rPr>
        <w:t>运输</w:t>
      </w:r>
      <w:r>
        <w:rPr>
          <w:rFonts w:ascii="宋体" w:hAnsi="宋体"/>
          <w:color w:val="auto"/>
          <w:sz w:val="24"/>
        </w:rPr>
        <w:t>保险并承担费用，还应为其派驻甲方现场的服务人员购买</w:t>
      </w:r>
      <w:r>
        <w:rPr>
          <w:rFonts w:hint="eastAsia" w:ascii="宋体" w:hAnsi="宋体"/>
          <w:color w:val="auto"/>
          <w:sz w:val="24"/>
        </w:rPr>
        <w:t>社会保险及意外伤害险</w:t>
      </w:r>
      <w:r>
        <w:rPr>
          <w:rFonts w:ascii="宋体" w:hAnsi="宋体"/>
          <w:color w:val="auto"/>
          <w:sz w:val="24"/>
        </w:rPr>
        <w:t>并承担相关费用。</w:t>
      </w:r>
    </w:p>
    <w:p w14:paraId="62FD94D2">
      <w:pPr>
        <w:adjustRightInd w:val="0"/>
        <w:snapToGrid w:val="0"/>
        <w:spacing w:line="360" w:lineRule="auto"/>
        <w:ind w:firstLine="480"/>
        <w:rPr>
          <w:rFonts w:ascii="宋体" w:hAnsi="宋体"/>
          <w:color w:val="auto"/>
          <w:sz w:val="24"/>
        </w:rPr>
      </w:pPr>
      <w:r>
        <w:rPr>
          <w:rFonts w:ascii="宋体" w:hAnsi="宋体"/>
          <w:color w:val="auto"/>
          <w:sz w:val="24"/>
        </w:rPr>
        <w:t>1</w:t>
      </w:r>
      <w:r>
        <w:rPr>
          <w:rFonts w:hint="eastAsia" w:ascii="宋体" w:hAnsi="宋体"/>
          <w:color w:val="auto"/>
          <w:sz w:val="24"/>
        </w:rPr>
        <w:t>3、乙方须按照</w:t>
      </w:r>
      <w:r>
        <w:rPr>
          <w:rFonts w:hint="eastAsia" w:ascii="宋体" w:hAnsi="宋体"/>
          <w:color w:val="auto"/>
          <w:sz w:val="24"/>
          <w:lang w:eastAsia="zh-CN"/>
        </w:rPr>
        <w:t>本合同附件1技术协议书</w:t>
      </w:r>
      <w:r>
        <w:rPr>
          <w:rFonts w:hint="eastAsia" w:ascii="宋体" w:hAnsi="宋体"/>
          <w:color w:val="auto"/>
          <w:sz w:val="24"/>
        </w:rPr>
        <w:t>7.4条例行工作报告要求定期对飞灰螯合物进行分析确保满足甲方飞灰螯合要求，每天向甲方提供生产日报表，定期召开运营周例会以及及时参加飞灰螯合相关主题会议等。</w:t>
      </w:r>
    </w:p>
    <w:p w14:paraId="114CCE4B">
      <w:pPr>
        <w:adjustRightInd w:val="0"/>
        <w:snapToGrid w:val="0"/>
        <w:spacing w:line="360" w:lineRule="auto"/>
        <w:ind w:firstLine="480"/>
        <w:rPr>
          <w:rFonts w:ascii="宋体" w:hAnsi="宋体"/>
          <w:color w:val="auto"/>
          <w:sz w:val="24"/>
        </w:rPr>
      </w:pPr>
      <w:r>
        <w:rPr>
          <w:rFonts w:hint="eastAsia" w:ascii="宋体" w:hAnsi="宋体"/>
          <w:color w:val="auto"/>
          <w:sz w:val="24"/>
        </w:rPr>
        <w:t>14、每批次飞灰螯合中，飞灰、螯合剂、用水量均会记录入上位机中进行累计，乙方每日记录其累计值，管理所对每日数值进行监督抽查。乙方需按照甲方要求，填写飞灰螯合运行日报表、取样记录表、分析记录表、飞灰螯合物进入填埋场合格证等记录表。</w:t>
      </w:r>
    </w:p>
    <w:p w14:paraId="29BBC3C4">
      <w:pPr>
        <w:adjustRightInd w:val="0"/>
        <w:snapToGrid w:val="0"/>
        <w:spacing w:line="360" w:lineRule="auto"/>
        <w:ind w:firstLine="480"/>
        <w:rPr>
          <w:rFonts w:ascii="宋体" w:hAnsi="宋体"/>
          <w:color w:val="auto"/>
          <w:sz w:val="24"/>
        </w:rPr>
      </w:pPr>
      <w:r>
        <w:rPr>
          <w:rFonts w:ascii="宋体" w:hAnsi="宋体"/>
          <w:color w:val="auto"/>
          <w:sz w:val="24"/>
        </w:rPr>
        <w:t>1</w:t>
      </w:r>
      <w:r>
        <w:rPr>
          <w:rFonts w:hint="eastAsia" w:ascii="宋体" w:hAnsi="宋体"/>
          <w:color w:val="auto"/>
          <w:sz w:val="24"/>
        </w:rPr>
        <w:t>5、乙方须承担本项目环境污染责任，包括但不限于行政罚款、第三方追责、甲方品牌损失</w:t>
      </w:r>
      <w:r>
        <w:rPr>
          <w:rFonts w:ascii="宋体" w:hAnsi="宋体"/>
          <w:color w:val="auto"/>
          <w:sz w:val="24"/>
        </w:rPr>
        <w:t>。</w:t>
      </w:r>
    </w:p>
    <w:p w14:paraId="3D350D14">
      <w:pPr>
        <w:pStyle w:val="101"/>
        <w:numPr>
          <w:ilvl w:val="0"/>
          <w:numId w:val="8"/>
        </w:numPr>
        <w:snapToGrid w:val="0"/>
        <w:spacing w:line="360" w:lineRule="auto"/>
        <w:ind w:left="600" w:hanging="600" w:hangingChars="200"/>
        <w:outlineLvl w:val="1"/>
        <w:rPr>
          <w:rFonts w:ascii="黑体" w:hAnsi="黑体" w:eastAsia="黑体"/>
          <w:color w:val="auto"/>
          <w:sz w:val="30"/>
          <w:szCs w:val="30"/>
        </w:rPr>
      </w:pPr>
      <w:bookmarkStart w:id="13" w:name="_Toc94196204"/>
      <w:r>
        <w:rPr>
          <w:rFonts w:hint="eastAsia" w:ascii="黑体" w:hAnsi="黑体" w:eastAsia="黑体"/>
          <w:color w:val="auto"/>
          <w:sz w:val="30"/>
          <w:szCs w:val="30"/>
        </w:rPr>
        <w:t>质量标准</w:t>
      </w:r>
      <w:bookmarkEnd w:id="12"/>
      <w:bookmarkEnd w:id="13"/>
    </w:p>
    <w:p w14:paraId="20F2C588">
      <w:pPr>
        <w:adjustRightInd w:val="0"/>
        <w:snapToGrid w:val="0"/>
        <w:spacing w:line="360" w:lineRule="auto"/>
        <w:ind w:firstLine="480"/>
        <w:rPr>
          <w:rFonts w:ascii="宋体" w:hAnsi="宋体"/>
          <w:color w:val="auto"/>
          <w:sz w:val="24"/>
        </w:rPr>
      </w:pPr>
      <w:r>
        <w:rPr>
          <w:rFonts w:hint="eastAsia" w:ascii="宋体" w:hAnsi="宋体"/>
          <w:color w:val="auto"/>
          <w:sz w:val="24"/>
        </w:rPr>
        <w:t>1、质量标准: 本工程执行国家、电力、化工行业有关标准、规范、规程及规定，具体执行标准及要求详见</w:t>
      </w:r>
      <w:r>
        <w:rPr>
          <w:rFonts w:hint="eastAsia" w:ascii="宋体" w:hAnsi="宋体"/>
          <w:color w:val="auto"/>
          <w:sz w:val="24"/>
          <w:lang w:eastAsia="zh-CN"/>
        </w:rPr>
        <w:t>本合同附件1技术协议书</w:t>
      </w:r>
      <w:r>
        <w:rPr>
          <w:rFonts w:hint="eastAsia" w:ascii="宋体" w:hAnsi="宋体"/>
          <w:color w:val="auto"/>
          <w:sz w:val="24"/>
        </w:rPr>
        <w:t>相关约定，各标准之间有冲突的，以其中最高标准为依据。</w:t>
      </w:r>
    </w:p>
    <w:p w14:paraId="61225B85">
      <w:pPr>
        <w:adjustRightInd w:val="0"/>
        <w:snapToGrid w:val="0"/>
        <w:spacing w:line="360" w:lineRule="auto"/>
        <w:ind w:firstLine="480"/>
        <w:rPr>
          <w:rFonts w:ascii="宋体" w:hAnsi="宋体"/>
          <w:color w:val="auto"/>
          <w:sz w:val="24"/>
        </w:rPr>
      </w:pPr>
      <w:r>
        <w:rPr>
          <w:rFonts w:hint="eastAsia" w:ascii="宋体" w:hAnsi="宋体"/>
          <w:color w:val="auto"/>
          <w:sz w:val="24"/>
        </w:rPr>
        <w:t>2、乙方</w:t>
      </w:r>
      <w:r>
        <w:rPr>
          <w:rFonts w:ascii="宋体" w:hAnsi="宋体"/>
          <w:color w:val="auto"/>
          <w:sz w:val="24"/>
        </w:rPr>
        <w:t>应</w:t>
      </w:r>
      <w:r>
        <w:rPr>
          <w:rFonts w:hint="eastAsia" w:ascii="宋体" w:hAnsi="宋体"/>
          <w:color w:val="auto"/>
          <w:sz w:val="24"/>
        </w:rPr>
        <w:t>制定飞灰螯合稳定化方案，并有针对性的</w:t>
      </w:r>
      <w:r>
        <w:rPr>
          <w:rFonts w:ascii="宋体" w:hAnsi="宋体"/>
          <w:color w:val="auto"/>
          <w:sz w:val="24"/>
        </w:rPr>
        <w:t>开展</w:t>
      </w:r>
      <w:r>
        <w:rPr>
          <w:rFonts w:hint="eastAsia" w:ascii="宋体" w:hAnsi="宋体"/>
          <w:color w:val="auto"/>
          <w:sz w:val="24"/>
        </w:rPr>
        <w:t>原灰及飞灰螯合物</w:t>
      </w:r>
      <w:r>
        <w:rPr>
          <w:rFonts w:ascii="宋体" w:hAnsi="宋体"/>
          <w:color w:val="auto"/>
          <w:sz w:val="24"/>
        </w:rPr>
        <w:t>的自检，</w:t>
      </w:r>
      <w:r>
        <w:rPr>
          <w:rFonts w:hint="eastAsia" w:ascii="宋体" w:hAnsi="宋体"/>
          <w:color w:val="auto"/>
          <w:sz w:val="24"/>
        </w:rPr>
        <w:t>依据原灰的检测结果及时调整螯合剂的投加量，</w:t>
      </w:r>
      <w:r>
        <w:rPr>
          <w:rFonts w:ascii="宋体" w:hAnsi="宋体"/>
          <w:color w:val="auto"/>
          <w:sz w:val="24"/>
        </w:rPr>
        <w:t>以保证飞灰处理结果达标</w:t>
      </w:r>
      <w:r>
        <w:rPr>
          <w:rFonts w:hint="eastAsia" w:ascii="宋体" w:hAnsi="宋体"/>
          <w:color w:val="auto"/>
          <w:sz w:val="24"/>
        </w:rPr>
        <w:t>，</w:t>
      </w:r>
      <w:r>
        <w:rPr>
          <w:rFonts w:ascii="宋体" w:hAnsi="宋体"/>
          <w:color w:val="auto"/>
          <w:sz w:val="24"/>
        </w:rPr>
        <w:t>检测结果应无条件提供给</w:t>
      </w:r>
      <w:r>
        <w:rPr>
          <w:rFonts w:hint="eastAsia" w:ascii="宋体" w:hAnsi="宋体"/>
          <w:color w:val="auto"/>
          <w:sz w:val="24"/>
        </w:rPr>
        <w:t>甲方，自检</w:t>
      </w:r>
      <w:r>
        <w:rPr>
          <w:rFonts w:ascii="宋体" w:hAnsi="宋体"/>
          <w:color w:val="auto"/>
          <w:sz w:val="24"/>
        </w:rPr>
        <w:t>及取样</w:t>
      </w:r>
      <w:r>
        <w:rPr>
          <w:rFonts w:hint="eastAsia" w:ascii="宋体" w:hAnsi="宋体"/>
          <w:color w:val="auto"/>
          <w:sz w:val="24"/>
        </w:rPr>
        <w:t>的</w:t>
      </w:r>
      <w:r>
        <w:rPr>
          <w:rFonts w:ascii="宋体" w:hAnsi="宋体"/>
          <w:color w:val="auto"/>
          <w:sz w:val="24"/>
        </w:rPr>
        <w:t>具体</w:t>
      </w:r>
      <w:r>
        <w:rPr>
          <w:rFonts w:hint="eastAsia" w:ascii="宋体" w:hAnsi="宋体"/>
          <w:color w:val="auto"/>
          <w:sz w:val="24"/>
        </w:rPr>
        <w:t>内容和</w:t>
      </w:r>
      <w:r>
        <w:rPr>
          <w:rFonts w:ascii="宋体" w:hAnsi="宋体"/>
          <w:color w:val="auto"/>
          <w:sz w:val="24"/>
        </w:rPr>
        <w:t>要求</w:t>
      </w:r>
      <w:r>
        <w:rPr>
          <w:rFonts w:hint="eastAsia" w:ascii="宋体" w:hAnsi="宋体"/>
          <w:color w:val="auto"/>
          <w:sz w:val="24"/>
        </w:rPr>
        <w:t>详见</w:t>
      </w:r>
      <w:r>
        <w:rPr>
          <w:rFonts w:hint="eastAsia" w:ascii="宋体" w:hAnsi="宋体"/>
          <w:color w:val="auto"/>
          <w:sz w:val="24"/>
          <w:lang w:eastAsia="zh-CN"/>
        </w:rPr>
        <w:t>本合同附件1技术协议书</w:t>
      </w:r>
      <w:r>
        <w:rPr>
          <w:rFonts w:hint="eastAsia" w:ascii="宋体" w:hAnsi="宋体"/>
          <w:color w:val="auto"/>
          <w:sz w:val="24"/>
        </w:rPr>
        <w:t>。</w:t>
      </w:r>
    </w:p>
    <w:p w14:paraId="37319D8C">
      <w:pPr>
        <w:adjustRightInd w:val="0"/>
        <w:snapToGrid w:val="0"/>
        <w:spacing w:line="360" w:lineRule="auto"/>
        <w:ind w:firstLine="480"/>
        <w:rPr>
          <w:rFonts w:ascii="宋体" w:hAnsi="宋体"/>
          <w:color w:val="auto"/>
          <w:sz w:val="24"/>
        </w:rPr>
      </w:pPr>
      <w:r>
        <w:rPr>
          <w:rFonts w:hint="eastAsia" w:ascii="宋体" w:hAnsi="宋体"/>
          <w:color w:val="auto"/>
          <w:sz w:val="24"/>
        </w:rPr>
        <w:t>3、乙方</w:t>
      </w:r>
      <w:r>
        <w:rPr>
          <w:rFonts w:ascii="宋体" w:hAnsi="宋体"/>
          <w:color w:val="auto"/>
          <w:sz w:val="24"/>
        </w:rPr>
        <w:t>应保证所供</w:t>
      </w:r>
      <w:r>
        <w:rPr>
          <w:rFonts w:hint="eastAsia" w:ascii="宋体" w:hAnsi="宋体"/>
          <w:color w:val="auto"/>
          <w:sz w:val="24"/>
        </w:rPr>
        <w:t>药剂</w:t>
      </w:r>
      <w:r>
        <w:rPr>
          <w:rFonts w:ascii="宋体" w:hAnsi="宋体"/>
          <w:color w:val="auto"/>
          <w:sz w:val="24"/>
        </w:rPr>
        <w:t>产品满足电厂安全、可靠运行的要求，并对产品的制造、供货、</w:t>
      </w:r>
      <w:r>
        <w:rPr>
          <w:rFonts w:hint="eastAsia" w:ascii="宋体" w:hAnsi="宋体"/>
          <w:color w:val="auto"/>
          <w:sz w:val="24"/>
        </w:rPr>
        <w:t>运输</w:t>
      </w:r>
      <w:r>
        <w:rPr>
          <w:rFonts w:ascii="宋体" w:hAnsi="宋体"/>
          <w:color w:val="auto"/>
          <w:sz w:val="24"/>
        </w:rPr>
        <w:t>、</w:t>
      </w:r>
      <w:r>
        <w:rPr>
          <w:rFonts w:hint="eastAsia" w:ascii="宋体" w:hAnsi="宋体"/>
          <w:color w:val="auto"/>
          <w:sz w:val="24"/>
        </w:rPr>
        <w:t>包装</w:t>
      </w:r>
      <w:r>
        <w:rPr>
          <w:rFonts w:ascii="宋体" w:hAnsi="宋体"/>
          <w:color w:val="auto"/>
          <w:sz w:val="24"/>
        </w:rPr>
        <w:t>、现场</w:t>
      </w:r>
      <w:r>
        <w:rPr>
          <w:rFonts w:hint="eastAsia" w:ascii="宋体" w:hAnsi="宋体"/>
          <w:color w:val="auto"/>
          <w:sz w:val="24"/>
        </w:rPr>
        <w:t>卸货</w:t>
      </w:r>
      <w:r>
        <w:rPr>
          <w:rFonts w:ascii="宋体" w:hAnsi="宋体"/>
          <w:color w:val="auto"/>
          <w:sz w:val="24"/>
        </w:rPr>
        <w:t>、</w:t>
      </w:r>
      <w:r>
        <w:rPr>
          <w:rFonts w:hint="eastAsia" w:ascii="宋体" w:hAnsi="宋体"/>
          <w:color w:val="auto"/>
          <w:sz w:val="24"/>
        </w:rPr>
        <w:t>取样</w:t>
      </w:r>
      <w:r>
        <w:rPr>
          <w:rFonts w:ascii="宋体" w:hAnsi="宋体"/>
          <w:color w:val="auto"/>
          <w:sz w:val="24"/>
        </w:rPr>
        <w:t>、加药</w:t>
      </w:r>
      <w:r>
        <w:rPr>
          <w:rFonts w:hint="eastAsia" w:ascii="宋体" w:hAnsi="宋体"/>
          <w:color w:val="auto"/>
          <w:sz w:val="24"/>
        </w:rPr>
        <w:t>及螯合运营</w:t>
      </w:r>
      <w:r>
        <w:rPr>
          <w:rFonts w:ascii="宋体" w:hAnsi="宋体"/>
          <w:color w:val="auto"/>
          <w:sz w:val="24"/>
        </w:rPr>
        <w:t>服务等过程全面负责</w:t>
      </w:r>
      <w:r>
        <w:rPr>
          <w:rFonts w:hint="eastAsia" w:ascii="宋体" w:hAnsi="宋体"/>
          <w:color w:val="auto"/>
          <w:sz w:val="24"/>
        </w:rPr>
        <w:t>。</w:t>
      </w:r>
    </w:p>
    <w:p w14:paraId="7FC4C9EC">
      <w:pPr>
        <w:adjustRightInd w:val="0"/>
        <w:snapToGrid w:val="0"/>
        <w:spacing w:line="360" w:lineRule="auto"/>
        <w:ind w:firstLine="480"/>
        <w:rPr>
          <w:rFonts w:ascii="宋体" w:hAnsi="宋体"/>
          <w:color w:val="auto"/>
          <w:sz w:val="24"/>
        </w:rPr>
      </w:pPr>
      <w:r>
        <w:rPr>
          <w:rFonts w:hint="eastAsia" w:ascii="宋体" w:hAnsi="宋体"/>
          <w:color w:val="auto"/>
          <w:sz w:val="24"/>
        </w:rPr>
        <w:t>4、</w:t>
      </w:r>
      <w:r>
        <w:rPr>
          <w:rFonts w:hint="eastAsia" w:ascii="宋体" w:hAnsi="宋体"/>
          <w:color w:val="auto"/>
          <w:sz w:val="24"/>
          <w:lang w:val="en-US" w:eastAsia="zh-CN"/>
        </w:rPr>
        <w:t>乙</w:t>
      </w:r>
      <w:r>
        <w:rPr>
          <w:rFonts w:hint="eastAsia" w:ascii="宋体" w:hAnsi="宋体"/>
          <w:color w:val="auto"/>
          <w:sz w:val="24"/>
        </w:rPr>
        <w:t>方供应到厂的飞灰稳定化处理药剂必须包装良好、标识清晰，并提供出厂合格证和出厂质量验收报告以及药剂主要成分、固液比，严禁螯合剂纯药剂作假，招标方不定期对药剂进行抽检，一经发现纯药剂浓度作假，</w:t>
      </w:r>
      <w:r>
        <w:rPr>
          <w:rFonts w:hint="eastAsia" w:ascii="宋体" w:hAnsi="宋体"/>
          <w:color w:val="auto"/>
          <w:sz w:val="24"/>
          <w:lang w:val="en-US" w:eastAsia="zh-CN"/>
        </w:rPr>
        <w:t>甲</w:t>
      </w:r>
      <w:r>
        <w:rPr>
          <w:rFonts w:hint="eastAsia" w:ascii="宋体" w:hAnsi="宋体"/>
          <w:color w:val="auto"/>
          <w:sz w:val="24"/>
        </w:rPr>
        <w:t>方将扣除全部监管资金，并立即终止合同，</w:t>
      </w:r>
      <w:r>
        <w:rPr>
          <w:rFonts w:hint="eastAsia" w:ascii="宋体" w:hAnsi="宋体"/>
          <w:color w:val="auto"/>
          <w:sz w:val="24"/>
          <w:lang w:val="en-US" w:eastAsia="zh-CN"/>
        </w:rPr>
        <w:t>并把乙方</w:t>
      </w:r>
      <w:r>
        <w:rPr>
          <w:rFonts w:hint="eastAsia" w:ascii="宋体" w:hAnsi="宋体"/>
          <w:color w:val="auto"/>
          <w:sz w:val="24"/>
        </w:rPr>
        <w:t>拉入黑名单。</w:t>
      </w:r>
    </w:p>
    <w:p w14:paraId="03355061">
      <w:pPr>
        <w:adjustRightInd w:val="0"/>
        <w:snapToGrid w:val="0"/>
        <w:spacing w:line="360" w:lineRule="auto"/>
        <w:ind w:firstLine="480"/>
        <w:rPr>
          <w:rFonts w:ascii="宋体" w:hAnsi="宋体"/>
          <w:color w:val="auto"/>
          <w:sz w:val="24"/>
        </w:rPr>
      </w:pPr>
      <w:r>
        <w:rPr>
          <w:rFonts w:hint="eastAsia" w:ascii="宋体" w:hAnsi="宋体"/>
          <w:color w:val="auto"/>
          <w:sz w:val="24"/>
        </w:rPr>
        <w:t>5、乙方</w:t>
      </w:r>
      <w:r>
        <w:rPr>
          <w:rFonts w:ascii="宋体" w:hAnsi="宋体"/>
          <w:color w:val="auto"/>
          <w:sz w:val="24"/>
        </w:rPr>
        <w:t>送货到现场时，必须经过电厂相关部门</w:t>
      </w:r>
      <w:r>
        <w:rPr>
          <w:rFonts w:hint="eastAsia" w:ascii="宋体" w:hAnsi="宋体"/>
          <w:color w:val="auto"/>
          <w:sz w:val="24"/>
        </w:rPr>
        <w:t>的</w:t>
      </w:r>
      <w:r>
        <w:rPr>
          <w:rFonts w:ascii="宋体" w:hAnsi="宋体"/>
          <w:color w:val="auto"/>
          <w:sz w:val="24"/>
        </w:rPr>
        <w:t>质量验收，验收合格后才能</w:t>
      </w:r>
      <w:r>
        <w:rPr>
          <w:rFonts w:hint="eastAsia" w:ascii="宋体" w:hAnsi="宋体"/>
          <w:color w:val="auto"/>
          <w:sz w:val="24"/>
        </w:rPr>
        <w:t>过磅接收。到厂的药剂如出现包装损坏、药剂泄漏等可能影响药剂质量、安全的情况下甲方将禁止过磅、接收。</w:t>
      </w:r>
    </w:p>
    <w:p w14:paraId="7408A93C">
      <w:pPr>
        <w:adjustRightInd w:val="0"/>
        <w:snapToGrid w:val="0"/>
        <w:spacing w:line="360" w:lineRule="auto"/>
        <w:ind w:firstLine="480"/>
        <w:rPr>
          <w:rFonts w:ascii="宋体" w:hAnsi="宋体"/>
          <w:color w:val="auto"/>
          <w:sz w:val="24"/>
        </w:rPr>
      </w:pPr>
      <w:r>
        <w:rPr>
          <w:rFonts w:hint="eastAsia" w:ascii="宋体" w:hAnsi="宋体"/>
          <w:color w:val="auto"/>
          <w:sz w:val="24"/>
        </w:rPr>
        <w:t>6、乙方负责将每批次螯合药剂运抵甲方电厂内过磅，并提供该批次产品的出厂化验报告，过磅后到甲方指定地点在双方见证下卸货。卸货后乙方须再次到甲方地磅过空磅，双方签字确认并拿取过磅单后方可离厂。乙方应保留完好过磅单原件，过磅单复印件交至甲方保存。</w:t>
      </w:r>
    </w:p>
    <w:p w14:paraId="076C3B2E">
      <w:pPr>
        <w:adjustRightInd w:val="0"/>
        <w:snapToGrid w:val="0"/>
        <w:spacing w:line="360" w:lineRule="auto"/>
        <w:ind w:firstLine="480"/>
        <w:rPr>
          <w:rFonts w:ascii="宋体" w:hAnsi="宋体"/>
          <w:color w:val="auto"/>
          <w:sz w:val="24"/>
        </w:rPr>
      </w:pPr>
      <w:r>
        <w:rPr>
          <w:rFonts w:hint="eastAsia" w:ascii="宋体" w:hAnsi="宋体"/>
          <w:color w:val="auto"/>
          <w:sz w:val="24"/>
        </w:rPr>
        <w:t>7、</w:t>
      </w:r>
      <w:r>
        <w:rPr>
          <w:rFonts w:ascii="宋体" w:hAnsi="宋体"/>
          <w:color w:val="auto"/>
          <w:sz w:val="24"/>
        </w:rPr>
        <w:t>在使用贮存的化学药品过程中，</w:t>
      </w:r>
      <w:r>
        <w:rPr>
          <w:rFonts w:hint="eastAsia" w:ascii="宋体" w:hAnsi="宋体"/>
          <w:color w:val="auto"/>
          <w:sz w:val="24"/>
        </w:rPr>
        <w:t>如出现</w:t>
      </w:r>
      <w:r>
        <w:rPr>
          <w:rFonts w:ascii="宋体" w:hAnsi="宋体"/>
          <w:color w:val="auto"/>
          <w:sz w:val="24"/>
        </w:rPr>
        <w:t>质量问题或化学成分变化等问题，由此产生的所有责任</w:t>
      </w:r>
      <w:r>
        <w:rPr>
          <w:rFonts w:hint="eastAsia" w:ascii="宋体" w:hAnsi="宋体"/>
          <w:color w:val="auto"/>
          <w:sz w:val="24"/>
        </w:rPr>
        <w:t>及</w:t>
      </w:r>
      <w:r>
        <w:rPr>
          <w:rFonts w:ascii="宋体" w:hAnsi="宋体"/>
          <w:color w:val="auto"/>
          <w:sz w:val="24"/>
        </w:rPr>
        <w:t>费用均由</w:t>
      </w:r>
      <w:r>
        <w:rPr>
          <w:rFonts w:hint="eastAsia" w:ascii="宋体" w:hAnsi="宋体"/>
          <w:color w:val="auto"/>
          <w:sz w:val="24"/>
        </w:rPr>
        <w:t>乙方</w:t>
      </w:r>
      <w:r>
        <w:rPr>
          <w:rFonts w:ascii="宋体" w:hAnsi="宋体"/>
          <w:color w:val="auto"/>
          <w:sz w:val="24"/>
        </w:rPr>
        <w:t>承担。</w:t>
      </w:r>
    </w:p>
    <w:p w14:paraId="1422E1C6">
      <w:pPr>
        <w:adjustRightInd w:val="0"/>
        <w:snapToGrid w:val="0"/>
        <w:spacing w:line="360" w:lineRule="auto"/>
        <w:ind w:firstLine="480"/>
        <w:rPr>
          <w:rFonts w:ascii="宋体" w:hAnsi="宋体"/>
          <w:color w:val="auto"/>
          <w:sz w:val="24"/>
        </w:rPr>
      </w:pPr>
      <w:r>
        <w:rPr>
          <w:rFonts w:hint="eastAsia" w:ascii="宋体" w:hAnsi="宋体"/>
          <w:color w:val="auto"/>
          <w:sz w:val="24"/>
        </w:rPr>
        <w:t>8、乙方</w:t>
      </w:r>
      <w:r>
        <w:rPr>
          <w:rFonts w:ascii="宋体" w:hAnsi="宋体"/>
          <w:color w:val="auto"/>
          <w:sz w:val="24"/>
        </w:rPr>
        <w:t>送货到</w:t>
      </w:r>
      <w:r>
        <w:rPr>
          <w:rFonts w:hint="eastAsia" w:ascii="宋体" w:hAnsi="宋体"/>
          <w:color w:val="auto"/>
          <w:sz w:val="24"/>
        </w:rPr>
        <w:t>甲方</w:t>
      </w:r>
      <w:r>
        <w:rPr>
          <w:rFonts w:ascii="宋体" w:hAnsi="宋体"/>
          <w:color w:val="auto"/>
          <w:sz w:val="24"/>
        </w:rPr>
        <w:t>指定</w:t>
      </w:r>
      <w:r>
        <w:rPr>
          <w:rFonts w:hint="eastAsia" w:ascii="宋体" w:hAnsi="宋体"/>
          <w:color w:val="auto"/>
          <w:sz w:val="24"/>
        </w:rPr>
        <w:t>卸货</w:t>
      </w:r>
      <w:r>
        <w:rPr>
          <w:rFonts w:ascii="宋体" w:hAnsi="宋体"/>
          <w:color w:val="auto"/>
          <w:sz w:val="24"/>
        </w:rPr>
        <w:t>现场，须按照厂区内规定</w:t>
      </w:r>
      <w:r>
        <w:rPr>
          <w:rFonts w:hint="eastAsia" w:ascii="宋体" w:hAnsi="宋体"/>
          <w:color w:val="auto"/>
          <w:sz w:val="24"/>
        </w:rPr>
        <w:t>的</w:t>
      </w:r>
      <w:r>
        <w:rPr>
          <w:rFonts w:ascii="宋体" w:hAnsi="宋体"/>
          <w:color w:val="auto"/>
          <w:sz w:val="24"/>
        </w:rPr>
        <w:t>路线送货，</w:t>
      </w:r>
      <w:r>
        <w:rPr>
          <w:rFonts w:hint="eastAsia" w:ascii="宋体" w:hAnsi="宋体"/>
          <w:color w:val="auto"/>
          <w:sz w:val="24"/>
        </w:rPr>
        <w:t>并</w:t>
      </w:r>
      <w:r>
        <w:rPr>
          <w:rFonts w:ascii="宋体" w:hAnsi="宋体"/>
          <w:color w:val="auto"/>
          <w:sz w:val="24"/>
        </w:rPr>
        <w:t>遵守</w:t>
      </w:r>
      <w:r>
        <w:rPr>
          <w:rFonts w:hint="eastAsia" w:ascii="宋体" w:hAnsi="宋体"/>
          <w:color w:val="auto"/>
          <w:sz w:val="24"/>
        </w:rPr>
        <w:t>甲方电</w:t>
      </w:r>
      <w:r>
        <w:rPr>
          <w:rFonts w:ascii="宋体" w:hAnsi="宋体"/>
          <w:color w:val="auto"/>
          <w:sz w:val="24"/>
        </w:rPr>
        <w:t>厂现场管理</w:t>
      </w:r>
      <w:r>
        <w:rPr>
          <w:rFonts w:hint="eastAsia" w:ascii="宋体" w:hAnsi="宋体"/>
          <w:color w:val="auto"/>
          <w:sz w:val="24"/>
        </w:rPr>
        <w:t>的</w:t>
      </w:r>
      <w:r>
        <w:rPr>
          <w:rFonts w:ascii="宋体" w:hAnsi="宋体"/>
          <w:color w:val="auto"/>
          <w:sz w:val="24"/>
        </w:rPr>
        <w:t>有关制度</w:t>
      </w:r>
      <w:r>
        <w:rPr>
          <w:rFonts w:hint="eastAsia" w:ascii="宋体" w:hAnsi="宋体"/>
          <w:color w:val="auto"/>
          <w:sz w:val="24"/>
        </w:rPr>
        <w:t>和本合同附件《</w:t>
      </w:r>
      <w:r>
        <w:rPr>
          <w:rFonts w:ascii="宋体" w:hAnsi="宋体"/>
          <w:color w:val="auto"/>
          <w:sz w:val="24"/>
        </w:rPr>
        <w:t>安健环协议</w:t>
      </w:r>
      <w:r>
        <w:rPr>
          <w:rFonts w:hint="eastAsia" w:ascii="宋体" w:hAnsi="宋体"/>
          <w:color w:val="auto"/>
          <w:sz w:val="24"/>
        </w:rPr>
        <w:t>》中的相关</w:t>
      </w:r>
      <w:r>
        <w:rPr>
          <w:rFonts w:ascii="宋体" w:hAnsi="宋体"/>
          <w:color w:val="auto"/>
          <w:sz w:val="24"/>
        </w:rPr>
        <w:t>规定。</w:t>
      </w:r>
    </w:p>
    <w:p w14:paraId="04D94AC5">
      <w:pPr>
        <w:adjustRightInd w:val="0"/>
        <w:snapToGrid w:val="0"/>
        <w:spacing w:line="360" w:lineRule="auto"/>
        <w:ind w:firstLine="480"/>
        <w:rPr>
          <w:rFonts w:ascii="宋体" w:hAnsi="宋体"/>
          <w:color w:val="auto"/>
          <w:sz w:val="24"/>
        </w:rPr>
      </w:pPr>
      <w:r>
        <w:rPr>
          <w:rFonts w:hint="eastAsia" w:ascii="宋体" w:hAnsi="宋体"/>
          <w:color w:val="auto"/>
          <w:sz w:val="24"/>
        </w:rPr>
        <w:t>9、螯合后飞灰采样过程由甲乙双方共同见证，甲方负责采样，乙方协助。</w:t>
      </w:r>
      <w:r>
        <w:rPr>
          <w:rFonts w:ascii="宋体" w:hAnsi="宋体"/>
          <w:color w:val="auto"/>
          <w:sz w:val="24"/>
        </w:rPr>
        <w:t>具体</w:t>
      </w:r>
      <w:r>
        <w:rPr>
          <w:rFonts w:hint="eastAsia" w:ascii="宋体" w:hAnsi="宋体"/>
          <w:color w:val="auto"/>
          <w:sz w:val="24"/>
        </w:rPr>
        <w:t>内容和</w:t>
      </w:r>
      <w:r>
        <w:rPr>
          <w:rFonts w:ascii="宋体" w:hAnsi="宋体"/>
          <w:color w:val="auto"/>
          <w:sz w:val="24"/>
        </w:rPr>
        <w:t>要求</w:t>
      </w:r>
      <w:r>
        <w:rPr>
          <w:rFonts w:hint="eastAsia" w:ascii="宋体" w:hAnsi="宋体"/>
          <w:color w:val="auto"/>
          <w:sz w:val="24"/>
        </w:rPr>
        <w:t>详见</w:t>
      </w:r>
      <w:r>
        <w:rPr>
          <w:rFonts w:hint="eastAsia" w:ascii="宋体" w:hAnsi="宋体"/>
          <w:color w:val="auto"/>
          <w:sz w:val="24"/>
          <w:lang w:eastAsia="zh-CN"/>
        </w:rPr>
        <w:t>本合同附件1技术协议书</w:t>
      </w:r>
      <w:r>
        <w:rPr>
          <w:rFonts w:hint="eastAsia" w:ascii="宋体" w:hAnsi="宋体"/>
          <w:color w:val="auto"/>
          <w:sz w:val="24"/>
        </w:rPr>
        <w:t>7.2.3条</w:t>
      </w:r>
      <w:r>
        <w:rPr>
          <w:rFonts w:ascii="宋体" w:hAnsi="宋体"/>
          <w:color w:val="auto"/>
          <w:sz w:val="24"/>
        </w:rPr>
        <w:t>约定。</w:t>
      </w:r>
    </w:p>
    <w:p w14:paraId="06BA4C47">
      <w:pPr>
        <w:adjustRightInd w:val="0"/>
        <w:snapToGrid w:val="0"/>
        <w:spacing w:line="360" w:lineRule="auto"/>
        <w:ind w:firstLine="480"/>
        <w:rPr>
          <w:rFonts w:ascii="宋体" w:hAnsi="宋体"/>
          <w:color w:val="auto"/>
          <w:sz w:val="24"/>
        </w:rPr>
      </w:pPr>
      <w:r>
        <w:rPr>
          <w:rFonts w:hint="eastAsia" w:ascii="宋体" w:hAnsi="宋体"/>
          <w:color w:val="auto"/>
          <w:sz w:val="24"/>
        </w:rPr>
        <w:t>10、乙方须</w:t>
      </w:r>
      <w:r>
        <w:rPr>
          <w:rFonts w:ascii="宋体" w:hAnsi="宋体"/>
          <w:color w:val="auto"/>
          <w:sz w:val="24"/>
        </w:rPr>
        <w:t>认同</w:t>
      </w:r>
      <w:r>
        <w:rPr>
          <w:rFonts w:hint="eastAsia" w:ascii="宋体" w:hAnsi="宋体"/>
          <w:color w:val="auto"/>
          <w:sz w:val="24"/>
        </w:rPr>
        <w:t>甲方电厂、各级监管部门（国家、省、市、区等环保、环卫、监测主管部门）、生活垃圾填埋场、合法的个体、团体或任何其他民间群体，对甲方厂内和生活垃圾填埋场飞灰螯合物专区的飞灰螯合物取样监测或委托具备资质的第三方检测单位检测的飞灰螯合物样品含水率、12项重金属、二噁英的检测结果。如乙方对甲方委托第三方进行的飞灰螯合物浸出液样品的检测结果有异议，乙方可以以甲方名义使用同批次的平行样委托有资质第三方进行检测，最终评判飞灰螯合效果以该份报告为准，每个取样批次仅允许重新检测一次，由此发生的检测费用由乙方承担。</w:t>
      </w:r>
    </w:p>
    <w:p w14:paraId="2FF1A87F">
      <w:pPr>
        <w:adjustRightInd w:val="0"/>
        <w:snapToGrid w:val="0"/>
        <w:spacing w:line="360" w:lineRule="auto"/>
        <w:ind w:firstLine="480"/>
        <w:rPr>
          <w:rFonts w:ascii="宋体" w:hAnsi="宋体"/>
          <w:color w:val="auto"/>
          <w:sz w:val="24"/>
        </w:rPr>
      </w:pPr>
      <w:r>
        <w:rPr>
          <w:rFonts w:hint="eastAsia" w:ascii="宋体" w:hAnsi="宋体"/>
          <w:color w:val="auto"/>
          <w:sz w:val="24"/>
        </w:rPr>
        <w:t>11、乙方须针对性的检测原灰中的有关项目，并以此调整螯合方案，确保螯合飞灰处理达标，甲乙双方检测情况及频次应满足</w:t>
      </w:r>
      <w:r>
        <w:rPr>
          <w:rFonts w:hint="eastAsia" w:ascii="宋体" w:hAnsi="宋体"/>
          <w:color w:val="auto"/>
          <w:sz w:val="24"/>
          <w:lang w:eastAsia="zh-CN"/>
        </w:rPr>
        <w:t>本合同附件1技术协议书</w:t>
      </w:r>
      <w:r>
        <w:rPr>
          <w:rFonts w:hint="eastAsia" w:ascii="宋体" w:hAnsi="宋体"/>
          <w:color w:val="auto"/>
          <w:sz w:val="24"/>
        </w:rPr>
        <w:t>7.2.10条要求。经处理后的飞灰螯合物合格标准</w:t>
      </w:r>
      <w:r>
        <w:rPr>
          <w:rFonts w:ascii="宋体" w:hAnsi="宋体"/>
          <w:color w:val="auto"/>
          <w:sz w:val="24"/>
        </w:rPr>
        <w:t>详见</w:t>
      </w:r>
      <w:r>
        <w:rPr>
          <w:rFonts w:hint="eastAsia" w:ascii="宋体" w:hAnsi="宋体"/>
          <w:color w:val="auto"/>
          <w:sz w:val="24"/>
          <w:lang w:eastAsia="zh-CN"/>
        </w:rPr>
        <w:t>本合同附件1技术协议书</w:t>
      </w:r>
      <w:r>
        <w:rPr>
          <w:rFonts w:hint="eastAsia" w:ascii="宋体" w:hAnsi="宋体"/>
          <w:color w:val="auto"/>
          <w:sz w:val="24"/>
        </w:rPr>
        <w:t>7.2.8条及7.2.9条</w:t>
      </w:r>
      <w:r>
        <w:rPr>
          <w:rFonts w:ascii="宋体" w:hAnsi="宋体"/>
          <w:color w:val="auto"/>
          <w:sz w:val="24"/>
        </w:rPr>
        <w:t>。</w:t>
      </w:r>
    </w:p>
    <w:p w14:paraId="67EECA04">
      <w:pPr>
        <w:adjustRightInd w:val="0"/>
        <w:snapToGrid w:val="0"/>
        <w:spacing w:line="360" w:lineRule="auto"/>
        <w:ind w:firstLine="480"/>
        <w:rPr>
          <w:rFonts w:ascii="宋体" w:hAnsi="宋体"/>
          <w:color w:val="auto"/>
          <w:sz w:val="24"/>
        </w:rPr>
      </w:pPr>
      <w:r>
        <w:rPr>
          <w:rFonts w:hint="eastAsia" w:ascii="宋体" w:hAnsi="宋体"/>
          <w:color w:val="auto"/>
          <w:sz w:val="24"/>
        </w:rPr>
        <w:t>12、合同执行期间，对于螯合处理不达标的飞灰，甲方将</w:t>
      </w:r>
      <w:r>
        <w:rPr>
          <w:rFonts w:ascii="宋体" w:hAnsi="宋体"/>
          <w:color w:val="auto"/>
          <w:sz w:val="24"/>
        </w:rPr>
        <w:t>按照相关标准、法规</w:t>
      </w:r>
      <w:r>
        <w:rPr>
          <w:rFonts w:hint="eastAsia" w:ascii="宋体" w:hAnsi="宋体"/>
          <w:color w:val="auto"/>
          <w:sz w:val="24"/>
        </w:rPr>
        <w:t>的</w:t>
      </w:r>
      <w:r>
        <w:rPr>
          <w:rFonts w:ascii="宋体" w:hAnsi="宋体"/>
          <w:color w:val="auto"/>
          <w:sz w:val="24"/>
        </w:rPr>
        <w:t>要求</w:t>
      </w:r>
      <w:r>
        <w:rPr>
          <w:rFonts w:hint="eastAsia" w:ascii="宋体" w:hAnsi="宋体"/>
          <w:color w:val="auto"/>
          <w:sz w:val="24"/>
        </w:rPr>
        <w:t>委托有资质的第三方单位进行</w:t>
      </w:r>
      <w:r>
        <w:rPr>
          <w:rFonts w:ascii="宋体" w:hAnsi="宋体"/>
          <w:color w:val="auto"/>
          <w:sz w:val="24"/>
        </w:rPr>
        <w:t>合法处置，</w:t>
      </w:r>
      <w:r>
        <w:rPr>
          <w:rFonts w:hint="eastAsia" w:ascii="宋体" w:hAnsi="宋体"/>
          <w:color w:val="auto"/>
          <w:sz w:val="24"/>
        </w:rPr>
        <w:t>并由乙方</w:t>
      </w:r>
      <w:r>
        <w:rPr>
          <w:rFonts w:ascii="宋体" w:hAnsi="宋体"/>
          <w:color w:val="auto"/>
          <w:sz w:val="24"/>
        </w:rPr>
        <w:t>承担</w:t>
      </w:r>
      <w:r>
        <w:rPr>
          <w:rFonts w:hint="eastAsia" w:ascii="宋体" w:hAnsi="宋体"/>
          <w:color w:val="auto"/>
          <w:sz w:val="24"/>
        </w:rPr>
        <w:t>相应处置的</w:t>
      </w:r>
      <w:r>
        <w:rPr>
          <w:rFonts w:ascii="宋体" w:hAnsi="宋体"/>
          <w:color w:val="auto"/>
          <w:sz w:val="24"/>
        </w:rPr>
        <w:t>一切费用（含处置费</w:t>
      </w:r>
      <w:r>
        <w:rPr>
          <w:rFonts w:hint="eastAsia" w:ascii="宋体" w:hAnsi="宋体"/>
          <w:color w:val="auto"/>
          <w:sz w:val="24"/>
        </w:rPr>
        <w:t>、</w:t>
      </w:r>
      <w:r>
        <w:rPr>
          <w:rFonts w:ascii="宋体" w:hAnsi="宋体"/>
          <w:color w:val="auto"/>
          <w:sz w:val="24"/>
        </w:rPr>
        <w:t>运输费</w:t>
      </w:r>
      <w:r>
        <w:rPr>
          <w:rFonts w:hint="eastAsia" w:ascii="宋体" w:hAnsi="宋体"/>
          <w:color w:val="auto"/>
          <w:sz w:val="24"/>
        </w:rPr>
        <w:t>、</w:t>
      </w:r>
      <w:r>
        <w:rPr>
          <w:rFonts w:ascii="宋体" w:hAnsi="宋体"/>
          <w:color w:val="auto"/>
          <w:sz w:val="24"/>
        </w:rPr>
        <w:t>人工费</w:t>
      </w:r>
      <w:r>
        <w:rPr>
          <w:rFonts w:hint="eastAsia" w:ascii="宋体" w:hAnsi="宋体"/>
          <w:color w:val="auto"/>
          <w:sz w:val="24"/>
        </w:rPr>
        <w:t>以及</w:t>
      </w:r>
      <w:r>
        <w:rPr>
          <w:rFonts w:ascii="宋体" w:hAnsi="宋体"/>
          <w:color w:val="auto"/>
          <w:sz w:val="24"/>
        </w:rPr>
        <w:t>已填埋至填埋场飞灰的挖掘费用等）。</w:t>
      </w:r>
    </w:p>
    <w:p w14:paraId="73BB42C3">
      <w:pPr>
        <w:adjustRightInd w:val="0"/>
        <w:snapToGrid w:val="0"/>
        <w:spacing w:line="360" w:lineRule="auto"/>
        <w:ind w:firstLine="480"/>
        <w:rPr>
          <w:rFonts w:ascii="宋体" w:hAnsi="宋体"/>
          <w:color w:val="auto"/>
          <w:sz w:val="24"/>
        </w:rPr>
      </w:pPr>
      <w:r>
        <w:rPr>
          <w:rFonts w:hint="eastAsia" w:ascii="宋体" w:hAnsi="宋体"/>
          <w:color w:val="auto"/>
          <w:sz w:val="24"/>
        </w:rPr>
        <w:t>不达标飞灰螯合物的定义：甲方、各级监管部门（国家、省、市、区等环保、环卫、监测主管部门）、生活垃圾填埋场、合法的个体、团体或任何其他民间群体，对甲方厂内和生活垃圾填埋场飞灰螯合物专区的飞灰螯合物取样监测或委托有资质的第三方检测单位定期及不定期检测的12项重金属、含水率、二噁英等指标未达到GB16889-</w:t>
      </w:r>
      <w:r>
        <w:rPr>
          <w:rFonts w:hint="eastAsia" w:ascii="宋体" w:hAnsi="宋体"/>
          <w:color w:val="auto"/>
          <w:sz w:val="24"/>
          <w:lang w:val="en-US" w:eastAsia="zh-CN"/>
        </w:rPr>
        <w:t>2024</w:t>
      </w:r>
      <w:r>
        <w:rPr>
          <w:rFonts w:hint="eastAsia" w:ascii="宋体" w:hAnsi="宋体"/>
          <w:color w:val="auto"/>
          <w:sz w:val="24"/>
        </w:rPr>
        <w:t>标准相关要求的自具有法律效力的上次合格检测报告的取样时间至下次合格检测报告的取样时间段内全部飞灰螯合物（含厂内暂存及已填埋到生活垃圾填埋场的飞灰螯合物）。</w:t>
      </w:r>
    </w:p>
    <w:p w14:paraId="0EDAF396">
      <w:pPr>
        <w:adjustRightInd w:val="0"/>
        <w:snapToGrid w:val="0"/>
        <w:spacing w:line="360" w:lineRule="auto"/>
        <w:ind w:firstLine="480"/>
        <w:rPr>
          <w:rFonts w:ascii="宋体" w:hAnsi="宋体"/>
          <w:color w:val="auto"/>
          <w:sz w:val="24"/>
        </w:rPr>
      </w:pPr>
      <w:r>
        <w:rPr>
          <w:rFonts w:hint="eastAsia" w:ascii="宋体" w:hAnsi="宋体"/>
          <w:color w:val="auto"/>
          <w:sz w:val="24"/>
        </w:rPr>
        <w:t>监督性监测定义：各级监管部门（国家、省、市、区等环保、环卫、监测主管部门）、生活垃圾填埋场、合法的个体、团体或任何其他民间群体，定期或不定期对甲方厂内和生活垃圾填埋场飞灰螯合物专区的飞灰螯合物进行取样监测或委托有资质的第三方检测单位检测12项重金属、含水率、二噁英等。</w:t>
      </w:r>
    </w:p>
    <w:p w14:paraId="7AFEC50C">
      <w:pPr>
        <w:adjustRightInd w:val="0"/>
        <w:snapToGrid w:val="0"/>
        <w:spacing w:line="360" w:lineRule="auto"/>
        <w:ind w:firstLine="480"/>
        <w:rPr>
          <w:rFonts w:ascii="宋体" w:hAnsi="宋体"/>
          <w:color w:val="auto"/>
          <w:sz w:val="24"/>
        </w:rPr>
      </w:pPr>
      <w:r>
        <w:rPr>
          <w:rFonts w:hint="eastAsia" w:ascii="宋体" w:hAnsi="宋体"/>
          <w:color w:val="auto"/>
          <w:sz w:val="24"/>
        </w:rPr>
        <w:t>13、甲方厂内安排专人监督飞灰螯合运营、加螯合药剂比例、飞灰螯合效果、样品取样、转运及填埋全过程，乙方需积极配合相关工作，不得在正常飞灰螯合稳定化过程中不通过螯合稳定工艺私自放原灰至吨袋中，不得故意隐瞒生产及加螯合药剂台账，不得遮掩或私自不合规处理螯合成效差的飞灰螯合物等。</w:t>
      </w:r>
    </w:p>
    <w:p w14:paraId="66B87E1D">
      <w:pPr>
        <w:pStyle w:val="101"/>
        <w:spacing w:line="360" w:lineRule="auto"/>
        <w:ind w:left="420" w:firstLine="0" w:firstLineChars="0"/>
        <w:rPr>
          <w:rFonts w:ascii="宋体" w:hAnsi="宋体"/>
          <w:color w:val="auto"/>
          <w:sz w:val="24"/>
        </w:rPr>
      </w:pPr>
    </w:p>
    <w:p w14:paraId="1BB0675F">
      <w:pPr>
        <w:pStyle w:val="101"/>
        <w:numPr>
          <w:ilvl w:val="0"/>
          <w:numId w:val="8"/>
        </w:numPr>
        <w:snapToGrid w:val="0"/>
        <w:spacing w:line="360" w:lineRule="auto"/>
        <w:ind w:left="600" w:hanging="600" w:hangingChars="200"/>
        <w:outlineLvl w:val="1"/>
        <w:rPr>
          <w:rFonts w:ascii="黑体" w:hAnsi="宋体" w:eastAsia="黑体"/>
          <w:color w:val="auto"/>
          <w:sz w:val="30"/>
          <w:szCs w:val="30"/>
        </w:rPr>
      </w:pPr>
      <w:bookmarkStart w:id="14" w:name="_Toc94196205"/>
      <w:r>
        <w:rPr>
          <w:rFonts w:hint="eastAsia" w:ascii="黑体" w:hAnsi="宋体" w:eastAsia="黑体"/>
          <w:color w:val="auto"/>
          <w:sz w:val="30"/>
          <w:szCs w:val="30"/>
        </w:rPr>
        <w:t>不可抗力</w:t>
      </w:r>
      <w:bookmarkEnd w:id="14"/>
    </w:p>
    <w:p w14:paraId="6CFD9B37">
      <w:pPr>
        <w:spacing w:line="360" w:lineRule="auto"/>
        <w:ind w:firstLine="480"/>
        <w:rPr>
          <w:rFonts w:ascii="宋体" w:hAnsi="宋体"/>
          <w:color w:val="auto"/>
          <w:sz w:val="24"/>
        </w:rPr>
      </w:pPr>
      <w:r>
        <w:rPr>
          <w:rFonts w:hint="eastAsia" w:ascii="宋体" w:hAnsi="宋体"/>
          <w:color w:val="auto"/>
          <w:sz w:val="24"/>
        </w:rPr>
        <w:t>甲、乙双方的任何一方由于不可抗力的原因不能履行合同时，应及时向对方通报不能履行或不能完全履行合同的理由，在取得主管部门的证明后，允许延期履行、部分履行或者不履行合同，并根据情况可部分或全部免予违约责任，但乙方未履行部分的合同款额甲方不予支付。</w:t>
      </w:r>
    </w:p>
    <w:p w14:paraId="59FE1232">
      <w:pPr>
        <w:pStyle w:val="101"/>
        <w:numPr>
          <w:ilvl w:val="0"/>
          <w:numId w:val="8"/>
        </w:numPr>
        <w:snapToGrid w:val="0"/>
        <w:spacing w:line="360" w:lineRule="auto"/>
        <w:ind w:left="600" w:hanging="600" w:hangingChars="200"/>
        <w:outlineLvl w:val="1"/>
        <w:rPr>
          <w:rFonts w:ascii="黑体" w:hAnsi="宋体" w:eastAsia="黑体"/>
          <w:color w:val="auto"/>
          <w:sz w:val="30"/>
          <w:szCs w:val="30"/>
        </w:rPr>
      </w:pPr>
      <w:bookmarkStart w:id="15" w:name="_Toc11847879"/>
      <w:bookmarkStart w:id="16" w:name="_Toc94196206"/>
      <w:bookmarkStart w:id="17" w:name="_Toc11813316"/>
      <w:r>
        <w:rPr>
          <w:rFonts w:hint="eastAsia" w:ascii="黑体" w:hAnsi="宋体" w:eastAsia="黑体"/>
          <w:color w:val="auto"/>
          <w:sz w:val="30"/>
          <w:szCs w:val="30"/>
        </w:rPr>
        <w:t>组成合同的文件及解释顺序</w:t>
      </w:r>
      <w:bookmarkEnd w:id="15"/>
      <w:bookmarkEnd w:id="16"/>
      <w:bookmarkEnd w:id="17"/>
    </w:p>
    <w:p w14:paraId="709FA8C7">
      <w:pPr>
        <w:numPr>
          <w:ilvl w:val="-1"/>
          <w:numId w:val="0"/>
        </w:numPr>
        <w:spacing w:line="360" w:lineRule="auto"/>
        <w:ind w:firstLine="480" w:firstLineChars="200"/>
        <w:rPr>
          <w:rFonts w:ascii="宋体" w:hAnsi="宋体"/>
          <w:color w:val="auto"/>
          <w:sz w:val="24"/>
        </w:rPr>
      </w:pPr>
      <w:r>
        <w:rPr>
          <w:rFonts w:hint="default" w:ascii="宋体" w:hAnsi="宋体" w:eastAsia="宋体"/>
          <w:color w:val="auto"/>
          <w:sz w:val="24"/>
          <w:szCs w:val="24"/>
          <w:lang w:val="en-US" w:eastAsia="zh-CN"/>
        </w:rPr>
        <w:t>1、</w:t>
      </w:r>
      <w:r>
        <w:rPr>
          <w:rFonts w:ascii="宋体" w:hAnsi="宋体"/>
          <w:color w:val="auto"/>
          <w:sz w:val="24"/>
        </w:rPr>
        <w:t>双方对有关维护服务事项的洽商、变更等书面协议或文件。</w:t>
      </w:r>
    </w:p>
    <w:p w14:paraId="51AB1E15">
      <w:pPr>
        <w:spacing w:line="360" w:lineRule="auto"/>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、本合同条款及附件；</w:t>
      </w:r>
    </w:p>
    <w:p w14:paraId="06605826">
      <w:pPr>
        <w:spacing w:line="360" w:lineRule="auto"/>
        <w:ind w:firstLine="480" w:firstLineChars="200"/>
        <w:rPr>
          <w:rFonts w:ascii="宋体" w:hAnsi="宋体"/>
          <w:color w:val="auto"/>
          <w:sz w:val="24"/>
        </w:rPr>
      </w:pPr>
      <w:r>
        <w:rPr>
          <w:rFonts w:ascii="宋体" w:hAnsi="宋体"/>
          <w:color w:val="auto"/>
          <w:sz w:val="24"/>
        </w:rPr>
        <w:t>3</w:t>
      </w:r>
      <w:r>
        <w:rPr>
          <w:rFonts w:hint="eastAsia" w:ascii="宋体" w:hAnsi="宋体"/>
          <w:color w:val="auto"/>
          <w:sz w:val="24"/>
        </w:rPr>
        <w:t xml:space="preserve">、本项目招标书及澄清文件（如有）； </w:t>
      </w:r>
    </w:p>
    <w:p w14:paraId="19EFD374">
      <w:pPr>
        <w:spacing w:line="360" w:lineRule="auto"/>
        <w:ind w:firstLine="480" w:firstLineChars="200"/>
        <w:rPr>
          <w:rFonts w:ascii="宋体" w:hAnsi="宋体"/>
          <w:color w:val="auto"/>
          <w:sz w:val="24"/>
        </w:rPr>
      </w:pPr>
      <w:r>
        <w:rPr>
          <w:rFonts w:ascii="宋体" w:hAnsi="宋体"/>
          <w:color w:val="auto"/>
          <w:sz w:val="24"/>
        </w:rPr>
        <w:t>4</w:t>
      </w:r>
      <w:r>
        <w:rPr>
          <w:rFonts w:hint="eastAsia" w:ascii="宋体" w:hAnsi="宋体"/>
          <w:color w:val="auto"/>
          <w:sz w:val="24"/>
        </w:rPr>
        <w:t>、本项目投标书及其附件（如有）；</w:t>
      </w:r>
    </w:p>
    <w:p w14:paraId="7F9785F5">
      <w:pPr>
        <w:pStyle w:val="101"/>
        <w:numPr>
          <w:ilvl w:val="0"/>
          <w:numId w:val="8"/>
        </w:numPr>
        <w:snapToGrid w:val="0"/>
        <w:ind w:left="600" w:hanging="600" w:hangingChars="200"/>
        <w:outlineLvl w:val="1"/>
        <w:rPr>
          <w:rFonts w:ascii="黑体" w:hAnsi="宋体" w:eastAsia="黑体"/>
          <w:color w:val="auto"/>
          <w:sz w:val="30"/>
          <w:szCs w:val="30"/>
        </w:rPr>
      </w:pPr>
      <w:bookmarkStart w:id="18" w:name="_Toc94196207"/>
      <w:r>
        <w:rPr>
          <w:rFonts w:hint="eastAsia" w:ascii="黑体" w:hAnsi="宋体" w:eastAsia="黑体"/>
          <w:color w:val="auto"/>
          <w:sz w:val="30"/>
          <w:szCs w:val="30"/>
        </w:rPr>
        <w:t>违约责任</w:t>
      </w:r>
      <w:bookmarkEnd w:id="18"/>
    </w:p>
    <w:p w14:paraId="10A1CD05">
      <w:pPr>
        <w:adjustRightInd w:val="0"/>
        <w:snapToGrid w:val="0"/>
        <w:spacing w:line="360" w:lineRule="auto"/>
        <w:ind w:firstLine="480"/>
        <w:rPr>
          <w:rFonts w:ascii="宋体" w:hAnsi="宋体"/>
          <w:color w:val="auto"/>
          <w:sz w:val="24"/>
        </w:rPr>
      </w:pPr>
      <w:r>
        <w:rPr>
          <w:rFonts w:hint="eastAsia" w:ascii="宋体" w:hAnsi="宋体"/>
          <w:color w:val="auto"/>
          <w:sz w:val="24"/>
        </w:rPr>
        <w:t>1、乙方向</w:t>
      </w:r>
      <w:r>
        <w:rPr>
          <w:rFonts w:ascii="宋体" w:hAnsi="宋体"/>
          <w:color w:val="auto"/>
          <w:sz w:val="24"/>
        </w:rPr>
        <w:t>甲方提供的产品</w:t>
      </w:r>
      <w:r>
        <w:rPr>
          <w:rFonts w:hint="eastAsia" w:ascii="宋体" w:hAnsi="宋体"/>
          <w:color w:val="auto"/>
          <w:sz w:val="24"/>
        </w:rPr>
        <w:t>必须符合行业或国家相关标准，</w:t>
      </w:r>
      <w:r>
        <w:rPr>
          <w:rFonts w:ascii="宋体" w:hAnsi="宋体"/>
          <w:color w:val="auto"/>
          <w:sz w:val="24"/>
        </w:rPr>
        <w:t>如</w:t>
      </w:r>
      <w:r>
        <w:rPr>
          <w:rFonts w:hint="eastAsia" w:ascii="宋体" w:hAnsi="宋体"/>
          <w:color w:val="auto"/>
          <w:sz w:val="24"/>
        </w:rPr>
        <w:t>因乙方产品质量问题（经国家权威机构鉴定）造成人身伤亡或设备事故由乙方承担全部责任。</w:t>
      </w:r>
    </w:p>
    <w:p w14:paraId="5E1E8259">
      <w:pPr>
        <w:adjustRightInd w:val="0"/>
        <w:snapToGrid w:val="0"/>
        <w:spacing w:line="360" w:lineRule="auto"/>
        <w:ind w:firstLine="480"/>
        <w:rPr>
          <w:rFonts w:ascii="宋体" w:hAnsi="宋体"/>
          <w:color w:val="auto"/>
          <w:sz w:val="24"/>
        </w:rPr>
      </w:pPr>
      <w:r>
        <w:rPr>
          <w:rFonts w:hint="eastAsia" w:ascii="宋体" w:hAnsi="宋体"/>
          <w:color w:val="auto"/>
          <w:sz w:val="24"/>
        </w:rPr>
        <w:t>2、在产品使用过程中，因产品质量问题给甲方造成经济损失，经国家法定检验机构对其检验后，确属产品质量问题时，乙方将承担一切经济损失和法律责任，包括但不限于包括为维护权利支付的律师费、担保费、保全费、甲方因此向第三人承担的责任。</w:t>
      </w:r>
    </w:p>
    <w:p w14:paraId="62D685FB">
      <w:pPr>
        <w:snapToGrid w:val="0"/>
        <w:spacing w:line="360" w:lineRule="auto"/>
        <w:ind w:firstLine="480" w:firstLineChars="200"/>
        <w:rPr>
          <w:rFonts w:ascii="宋体" w:hAnsi="宋体"/>
          <w:color w:val="auto"/>
          <w:sz w:val="24"/>
        </w:rPr>
      </w:pPr>
      <w:r>
        <w:rPr>
          <w:rFonts w:hint="eastAsia" w:ascii="宋体" w:hAnsi="宋体"/>
          <w:color w:val="auto"/>
          <w:sz w:val="24"/>
        </w:rPr>
        <w:t>3、乙方不得在未通知甲方的情况下，更换螯合药剂品种和类型，否则甲方有权单方面终止合同并追究乙方的违约责任，由此给甲方造成损失的乙方应承担全部经济损失及法律责任。</w:t>
      </w:r>
    </w:p>
    <w:p w14:paraId="55736035">
      <w:pPr>
        <w:snapToGrid w:val="0"/>
        <w:spacing w:line="360" w:lineRule="auto"/>
        <w:ind w:firstLine="480" w:firstLineChars="200"/>
        <w:rPr>
          <w:rFonts w:ascii="宋体" w:hAnsi="宋体"/>
          <w:color w:val="auto"/>
          <w:sz w:val="24"/>
        </w:rPr>
      </w:pPr>
      <w:r>
        <w:rPr>
          <w:rFonts w:hint="eastAsia" w:ascii="宋体" w:hAnsi="宋体"/>
          <w:color w:val="auto"/>
          <w:sz w:val="24"/>
        </w:rPr>
        <w:t>4、如因乙方责任</w:t>
      </w:r>
      <w:r>
        <w:rPr>
          <w:rFonts w:ascii="宋体" w:hAnsi="宋体"/>
          <w:color w:val="auto"/>
          <w:sz w:val="24"/>
        </w:rPr>
        <w:t>飞灰螯合物</w:t>
      </w:r>
      <w:r>
        <w:rPr>
          <w:rFonts w:hint="eastAsia" w:ascii="宋体" w:hAnsi="宋体"/>
          <w:color w:val="auto"/>
          <w:sz w:val="24"/>
        </w:rPr>
        <w:t>检测不达标，乙方在接到甲方通知24小时内必须及时响应，否则甲方有权单方委托第三方对不合格飞灰螯合物进行处置，所发生费用直接从监管资金或当期结算</w:t>
      </w:r>
      <w:r>
        <w:rPr>
          <w:rFonts w:ascii="宋体" w:hAnsi="宋体"/>
          <w:color w:val="auto"/>
          <w:sz w:val="24"/>
        </w:rPr>
        <w:t>款</w:t>
      </w:r>
      <w:r>
        <w:rPr>
          <w:rFonts w:hint="eastAsia" w:ascii="宋体" w:hAnsi="宋体"/>
          <w:color w:val="auto"/>
          <w:sz w:val="24"/>
        </w:rPr>
        <w:t>中扣除。</w:t>
      </w:r>
    </w:p>
    <w:p w14:paraId="56175988">
      <w:pPr>
        <w:snapToGrid w:val="0"/>
        <w:spacing w:line="360" w:lineRule="auto"/>
        <w:ind w:firstLine="480" w:firstLineChars="200"/>
        <w:rPr>
          <w:rFonts w:ascii="宋体" w:hAnsi="宋体"/>
          <w:color w:val="auto"/>
          <w:sz w:val="24"/>
        </w:rPr>
      </w:pPr>
      <w:r>
        <w:rPr>
          <w:rFonts w:hint="eastAsia" w:ascii="宋体" w:hAnsi="宋体"/>
          <w:color w:val="auto"/>
          <w:sz w:val="24"/>
        </w:rPr>
        <w:t>5、甲方委托有资质的第三方检测单位进行飞灰螯合物浸出液样品检测</w:t>
      </w:r>
      <w:r>
        <w:rPr>
          <w:b/>
          <w:bCs/>
          <w:color w:val="auto"/>
          <w:sz w:val="24"/>
        </w:rPr>
        <w:t>（Pb、Ni、Cu、Zn、Cd指标）</w:t>
      </w:r>
      <w:r>
        <w:rPr>
          <w:rFonts w:hint="eastAsia" w:ascii="宋体" w:hAnsi="宋体"/>
          <w:color w:val="auto"/>
          <w:sz w:val="24"/>
        </w:rPr>
        <w:t>，第一次不达标扣款20000元，第二次不达标扣款40000元，第三次不达标扣款60000元，累计四次不达标则甲方有权单方面终结合同，同时本期进度款将不予结算；甲方委托有资质的第三方检测单位进行12项重金属和含水率检测，第一次不达标扣款50000元，第二次不达标则甲方有权单方面终止合同，同时本期进度款将不予结算；甲方委托有资质的第三方检测单位进行二噁英检测，一次不达标则甲方有权单方面终止合同，同时本期进度款将不予结算。</w:t>
      </w:r>
    </w:p>
    <w:p w14:paraId="32EC8D24">
      <w:pPr>
        <w:snapToGrid w:val="0"/>
        <w:spacing w:line="360" w:lineRule="auto"/>
        <w:ind w:firstLine="480" w:firstLineChars="200"/>
        <w:rPr>
          <w:rFonts w:ascii="宋体" w:hAnsi="宋体"/>
          <w:color w:val="auto"/>
          <w:sz w:val="24"/>
        </w:rPr>
      </w:pPr>
      <w:r>
        <w:rPr>
          <w:rFonts w:hint="eastAsia" w:ascii="宋体" w:hAnsi="宋体"/>
          <w:color w:val="auto"/>
          <w:sz w:val="24"/>
        </w:rPr>
        <w:t>监督性监测若出现 1次不达标事件，甲方有权单方面终止合同，本期进度款将不予结算。另外甲方有权向乙方追溯由于乙方过失造成甲方承担的法律责任、行政处罚、形象受损等一切经济损失。</w:t>
      </w:r>
    </w:p>
    <w:p w14:paraId="3C8652A3">
      <w:pPr>
        <w:snapToGrid w:val="0"/>
        <w:spacing w:line="360" w:lineRule="auto"/>
        <w:ind w:firstLine="480" w:firstLineChars="200"/>
        <w:rPr>
          <w:rFonts w:ascii="宋体" w:hAnsi="宋体"/>
          <w:color w:val="auto"/>
          <w:sz w:val="24"/>
        </w:rPr>
      </w:pPr>
      <w:r>
        <w:rPr>
          <w:rFonts w:hint="eastAsia" w:ascii="宋体" w:hAnsi="宋体"/>
          <w:color w:val="auto"/>
          <w:sz w:val="24"/>
        </w:rPr>
        <w:t>6、飞灰螯合服务期合格率及</w:t>
      </w:r>
      <w:r>
        <w:rPr>
          <w:rFonts w:ascii="宋体" w:hAnsi="宋体"/>
          <w:color w:val="auto"/>
          <w:sz w:val="24"/>
        </w:rPr>
        <w:t>罚则</w:t>
      </w:r>
    </w:p>
    <w:p w14:paraId="07C90CE1">
      <w:pPr>
        <w:snapToGrid w:val="0"/>
        <w:spacing w:line="360" w:lineRule="auto"/>
        <w:ind w:firstLine="480" w:firstLineChars="200"/>
        <w:rPr>
          <w:rFonts w:ascii="宋体" w:hAnsi="宋体"/>
          <w:color w:val="auto"/>
          <w:sz w:val="24"/>
        </w:rPr>
      </w:pPr>
      <w:r>
        <w:rPr>
          <w:rFonts w:hint="eastAsia" w:ascii="宋体" w:hAnsi="宋体"/>
          <w:color w:val="auto"/>
          <w:sz w:val="24"/>
        </w:rPr>
        <w:t>6.1乙方飞灰螯合服务期合格率小于99%，甲方有权取消乙方下一年度投标资格。合同执行期间，产生的所有螯合不达标的飞灰螯合物，由甲方委托有资质的第三方单位外运处置，所产生的全部费用由乙方承担。如乙方需对不达标飞灰螯合物样品进行复检或者增加抽检，所产生的全部费用均由乙方承担。</w:t>
      </w:r>
    </w:p>
    <w:p w14:paraId="060A840B">
      <w:pPr>
        <w:snapToGrid w:val="0"/>
        <w:spacing w:line="360" w:lineRule="auto"/>
        <w:ind w:firstLine="480" w:firstLineChars="200"/>
        <w:rPr>
          <w:rFonts w:ascii="宋体" w:hAnsi="宋体"/>
          <w:color w:val="auto"/>
          <w:sz w:val="24"/>
        </w:rPr>
      </w:pPr>
      <w:r>
        <w:rPr>
          <w:rFonts w:hint="eastAsia" w:ascii="宋体" w:hAnsi="宋体"/>
          <w:color w:val="auto"/>
          <w:sz w:val="24"/>
        </w:rPr>
        <w:t>飞灰螯合累计合格率是指从乙方履行合同开始至统计日的时间区间内，螯合稳定化处理达标的飞灰重量占总处理飞灰重量的比例（按照原灰重量计算）。</w:t>
      </w:r>
    </w:p>
    <w:p w14:paraId="5C5082F5">
      <w:pPr>
        <w:snapToGrid w:val="0"/>
        <w:spacing w:line="360" w:lineRule="auto"/>
        <w:ind w:firstLine="480" w:firstLineChars="200"/>
        <w:rPr>
          <w:bCs/>
          <w:color w:val="auto"/>
          <w:sz w:val="24"/>
          <w:highlight w:val="none"/>
        </w:rPr>
      </w:pPr>
      <w:r>
        <w:rPr>
          <w:rFonts w:hint="eastAsia" w:ascii="宋体" w:hAnsi="宋体"/>
          <w:color w:val="auto"/>
          <w:sz w:val="24"/>
        </w:rPr>
        <w:t>6.2乙方飞灰螯合合同执行期合格率不得低于99%（按照原灰重量计算），且不合格原灰合同执行期总重量不得超过</w:t>
      </w:r>
      <w:r>
        <w:rPr>
          <w:rFonts w:hint="eastAsia" w:ascii="宋体" w:hAnsi="宋体"/>
          <w:b w:val="0"/>
          <w:bCs w:val="0"/>
          <w:color w:val="auto"/>
          <w:sz w:val="24"/>
          <w:highlight w:val="none"/>
          <w:lang w:eastAsia="zh-CN"/>
        </w:rPr>
        <w:t>8</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吨</w:t>
      </w:r>
      <w:r>
        <w:rPr>
          <w:rFonts w:hint="eastAsia" w:ascii="宋体" w:hAnsi="宋体"/>
          <w:color w:val="auto"/>
          <w:sz w:val="24"/>
        </w:rPr>
        <w:t>。</w:t>
      </w:r>
      <w:r>
        <w:rPr>
          <w:rFonts w:hint="eastAsia" w:ascii="宋体" w:hAnsi="宋体"/>
          <w:color w:val="auto"/>
          <w:sz w:val="24"/>
          <w:highlight w:val="none"/>
        </w:rPr>
        <w:t>不满足要求除需承担不达标飞灰螯合物合规处置的全部费用外，乙方还需按照</w:t>
      </w:r>
      <w:r>
        <w:rPr>
          <w:rFonts w:ascii="宋体" w:hAnsi="宋体"/>
          <w:color w:val="auto"/>
          <w:sz w:val="24"/>
          <w:highlight w:val="none"/>
        </w:rPr>
        <w:t>以下方式</w:t>
      </w:r>
      <w:r>
        <w:rPr>
          <w:rFonts w:hint="eastAsia" w:ascii="宋体" w:hAnsi="宋体"/>
          <w:color w:val="auto"/>
          <w:sz w:val="24"/>
          <w:highlight w:val="none"/>
        </w:rPr>
        <w:t>支付</w:t>
      </w:r>
      <w:r>
        <w:rPr>
          <w:rFonts w:ascii="宋体" w:hAnsi="宋体"/>
          <w:color w:val="auto"/>
          <w:sz w:val="24"/>
          <w:highlight w:val="none"/>
        </w:rPr>
        <w:t>违约金</w:t>
      </w:r>
      <w:r>
        <w:rPr>
          <w:rFonts w:hint="eastAsia" w:ascii="宋体" w:hAnsi="宋体"/>
          <w:color w:val="auto"/>
          <w:sz w:val="24"/>
          <w:highlight w:val="none"/>
        </w:rPr>
        <w:t>并</w:t>
      </w:r>
      <w:r>
        <w:rPr>
          <w:rFonts w:ascii="宋体" w:hAnsi="宋体"/>
          <w:color w:val="auto"/>
          <w:sz w:val="24"/>
          <w:highlight w:val="none"/>
        </w:rPr>
        <w:t>由甲方</w:t>
      </w:r>
      <w:r>
        <w:rPr>
          <w:rFonts w:hint="eastAsia" w:ascii="宋体" w:hAnsi="宋体"/>
          <w:color w:val="auto"/>
          <w:sz w:val="24"/>
          <w:highlight w:val="none"/>
        </w:rPr>
        <w:t>从其</w:t>
      </w:r>
      <w:r>
        <w:rPr>
          <w:rFonts w:hint="eastAsia" w:ascii="宋体" w:hAnsi="宋体"/>
          <w:color w:val="auto"/>
          <w:sz w:val="24"/>
          <w:highlight w:val="none"/>
          <w:lang w:eastAsia="zh-CN"/>
        </w:rPr>
        <w:t>监管资金</w:t>
      </w:r>
      <w:r>
        <w:rPr>
          <w:rFonts w:hint="eastAsia" w:ascii="宋体" w:hAnsi="宋体"/>
          <w:color w:val="auto"/>
          <w:sz w:val="24"/>
          <w:highlight w:val="none"/>
        </w:rPr>
        <w:t>或当期结算款中扣除。</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52"/>
        <w:gridCol w:w="3432"/>
        <w:gridCol w:w="2096"/>
      </w:tblGrid>
      <w:tr w14:paraId="714B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42335AD8">
            <w:pPr>
              <w:tabs>
                <w:tab w:val="left" w:pos="360"/>
                <w:tab w:val="left" w:pos="540"/>
              </w:tabs>
              <w:spacing w:line="360" w:lineRule="auto"/>
              <w:jc w:val="center"/>
              <w:rPr>
                <w:bCs/>
                <w:color w:val="auto"/>
                <w:sz w:val="24"/>
                <w:highlight w:val="none"/>
              </w:rPr>
            </w:pPr>
            <w:r>
              <w:rPr>
                <w:rFonts w:hint="eastAsia"/>
                <w:bCs/>
                <w:color w:val="auto"/>
                <w:sz w:val="24"/>
                <w:highlight w:val="none"/>
              </w:rPr>
              <w:t>序号</w:t>
            </w:r>
          </w:p>
        </w:tc>
        <w:tc>
          <w:tcPr>
            <w:tcW w:w="2552" w:type="dxa"/>
            <w:shd w:val="clear" w:color="auto" w:fill="auto"/>
            <w:vAlign w:val="center"/>
          </w:tcPr>
          <w:p w14:paraId="623A3DBC">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合格率P</w:t>
            </w:r>
          </w:p>
        </w:tc>
        <w:tc>
          <w:tcPr>
            <w:tcW w:w="3432" w:type="dxa"/>
            <w:shd w:val="clear" w:color="auto" w:fill="auto"/>
            <w:vAlign w:val="center"/>
          </w:tcPr>
          <w:p w14:paraId="3BD6DE12">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不合格飞灰量G（吨）</w:t>
            </w:r>
          </w:p>
        </w:tc>
        <w:tc>
          <w:tcPr>
            <w:tcW w:w="2096" w:type="dxa"/>
            <w:shd w:val="clear" w:color="auto" w:fill="auto"/>
            <w:vAlign w:val="center"/>
          </w:tcPr>
          <w:p w14:paraId="3DA848E5">
            <w:pPr>
              <w:tabs>
                <w:tab w:val="left" w:pos="360"/>
                <w:tab w:val="left" w:pos="540"/>
              </w:tabs>
              <w:spacing w:line="360" w:lineRule="auto"/>
              <w:jc w:val="center"/>
              <w:rPr>
                <w:bCs/>
                <w:color w:val="auto"/>
                <w:sz w:val="24"/>
                <w:highlight w:val="none"/>
              </w:rPr>
            </w:pPr>
            <w:r>
              <w:rPr>
                <w:rFonts w:hint="eastAsia"/>
                <w:bCs/>
                <w:color w:val="auto"/>
                <w:sz w:val="24"/>
                <w:highlight w:val="none"/>
              </w:rPr>
              <w:t>违约金金额（万元）</w:t>
            </w:r>
          </w:p>
        </w:tc>
      </w:tr>
      <w:tr w14:paraId="5A17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22955A44">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1</w:t>
            </w:r>
          </w:p>
        </w:tc>
        <w:tc>
          <w:tcPr>
            <w:tcW w:w="2552" w:type="dxa"/>
            <w:shd w:val="clear" w:color="auto" w:fill="auto"/>
            <w:vAlign w:val="center"/>
          </w:tcPr>
          <w:p w14:paraId="71029794">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P≥99%</w:t>
            </w:r>
          </w:p>
        </w:tc>
        <w:tc>
          <w:tcPr>
            <w:tcW w:w="3432" w:type="dxa"/>
            <w:shd w:val="clear" w:color="auto" w:fill="auto"/>
            <w:vAlign w:val="center"/>
          </w:tcPr>
          <w:p w14:paraId="1E78AEE2">
            <w:pPr>
              <w:tabs>
                <w:tab w:val="left" w:pos="360"/>
                <w:tab w:val="left" w:pos="540"/>
              </w:tabs>
              <w:spacing w:line="360" w:lineRule="auto"/>
              <w:ind w:firstLine="1200" w:firstLineChars="500"/>
              <w:jc w:val="both"/>
              <w:rPr>
                <w:bCs/>
                <w:color w:val="auto"/>
                <w:sz w:val="24"/>
                <w:highlight w:val="yellow"/>
              </w:rPr>
            </w:pPr>
            <w:r>
              <w:rPr>
                <w:rFonts w:hint="eastAsia" w:ascii="宋体" w:hAnsi="宋体"/>
                <w:color w:val="auto"/>
                <w:sz w:val="24"/>
                <w:szCs w:val="24"/>
                <w:highlight w:val="none"/>
              </w:rPr>
              <w:t>G≤</w:t>
            </w:r>
            <w:r>
              <w:rPr>
                <w:rFonts w:hint="eastAsia" w:ascii="宋体" w:hAnsi="宋体"/>
                <w:b w:val="0"/>
                <w:bCs w:val="0"/>
                <w:color w:val="auto"/>
                <w:sz w:val="24"/>
                <w:highlight w:val="none"/>
                <w:lang w:eastAsia="zh-CN"/>
              </w:rPr>
              <w:t>8</w:t>
            </w:r>
            <w:r>
              <w:rPr>
                <w:rFonts w:hint="eastAsia" w:ascii="宋体" w:hAnsi="宋体"/>
                <w:b w:val="0"/>
                <w:bCs w:val="0"/>
                <w:color w:val="auto"/>
                <w:sz w:val="24"/>
                <w:highlight w:val="none"/>
                <w:lang w:val="en-US" w:eastAsia="zh-CN"/>
              </w:rPr>
              <w:t>5</w:t>
            </w:r>
            <w:r>
              <w:rPr>
                <w:rFonts w:hint="eastAsia" w:ascii="宋体" w:hAnsi="宋体"/>
                <w:color w:val="auto"/>
                <w:sz w:val="24"/>
                <w:szCs w:val="24"/>
                <w:highlight w:val="none"/>
              </w:rPr>
              <w:t xml:space="preserve"> 吨</w:t>
            </w:r>
          </w:p>
        </w:tc>
        <w:tc>
          <w:tcPr>
            <w:tcW w:w="2096" w:type="dxa"/>
            <w:shd w:val="clear" w:color="auto" w:fill="auto"/>
            <w:vAlign w:val="center"/>
          </w:tcPr>
          <w:p w14:paraId="0351F666">
            <w:pPr>
              <w:tabs>
                <w:tab w:val="left" w:pos="360"/>
                <w:tab w:val="left" w:pos="540"/>
              </w:tabs>
              <w:spacing w:line="360" w:lineRule="auto"/>
              <w:jc w:val="center"/>
              <w:rPr>
                <w:bCs/>
                <w:color w:val="auto"/>
                <w:sz w:val="24"/>
                <w:highlight w:val="none"/>
              </w:rPr>
            </w:pPr>
            <w:r>
              <w:rPr>
                <w:color w:val="auto"/>
                <w:szCs w:val="21"/>
                <w:highlight w:val="none"/>
              </w:rPr>
              <w:t>0</w:t>
            </w:r>
          </w:p>
        </w:tc>
      </w:tr>
      <w:tr w14:paraId="252E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7D1C4EEB">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2</w:t>
            </w:r>
          </w:p>
        </w:tc>
        <w:tc>
          <w:tcPr>
            <w:tcW w:w="2552" w:type="dxa"/>
            <w:shd w:val="clear" w:color="auto" w:fill="auto"/>
            <w:vAlign w:val="center"/>
          </w:tcPr>
          <w:p w14:paraId="52615093">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99%＞P≥98%</w:t>
            </w:r>
          </w:p>
        </w:tc>
        <w:tc>
          <w:tcPr>
            <w:tcW w:w="3432" w:type="dxa"/>
            <w:shd w:val="clear" w:color="auto" w:fill="auto"/>
            <w:vAlign w:val="center"/>
          </w:tcPr>
          <w:p w14:paraId="082A6C17">
            <w:pPr>
              <w:snapToGrid w:val="0"/>
              <w:spacing w:line="360" w:lineRule="auto"/>
              <w:ind w:firstLine="480" w:firstLineChars="200"/>
              <w:jc w:val="left"/>
              <w:rPr>
                <w:rFonts w:ascii="宋体" w:hAnsi="宋体"/>
                <w:bCs w:val="0"/>
                <w:color w:val="auto"/>
                <w:sz w:val="24"/>
                <w:highlight w:val="none"/>
              </w:rPr>
            </w:pPr>
            <w:r>
              <w:rPr>
                <w:rFonts w:hint="default" w:ascii="宋体" w:hAnsi="宋体"/>
                <w:color w:val="auto"/>
                <w:sz w:val="24"/>
                <w:szCs w:val="24"/>
                <w:highlight w:val="none"/>
              </w:rPr>
              <w:t xml:space="preserve">  </w:t>
            </w:r>
            <w:r>
              <w:rPr>
                <w:rFonts w:hint="default" w:ascii="宋体" w:hAnsi="宋体"/>
                <w:color w:val="auto"/>
                <w:sz w:val="24"/>
                <w:szCs w:val="24"/>
                <w:highlight w:val="none"/>
                <w:lang w:val="en-US" w:eastAsia="zh-CN"/>
              </w:rPr>
              <w:t>85</w:t>
            </w:r>
            <w:r>
              <w:rPr>
                <w:rFonts w:ascii="宋体" w:hAnsi="宋体"/>
                <w:color w:val="auto"/>
                <w:sz w:val="24"/>
                <w:szCs w:val="24"/>
                <w:highlight w:val="none"/>
              </w:rPr>
              <w:t>吨＜G≤</w:t>
            </w:r>
            <w:r>
              <w:rPr>
                <w:rFonts w:hint="default" w:ascii="宋体" w:hAnsi="宋体"/>
                <w:b w:val="0"/>
                <w:bCs w:val="0"/>
                <w:color w:val="auto"/>
                <w:sz w:val="24"/>
                <w:highlight w:val="none"/>
                <w:lang w:eastAsia="zh-CN"/>
              </w:rPr>
              <w:t>1</w:t>
            </w:r>
            <w:r>
              <w:rPr>
                <w:rFonts w:hint="default" w:ascii="宋体" w:hAnsi="宋体"/>
                <w:b w:val="0"/>
                <w:bCs w:val="0"/>
                <w:color w:val="auto"/>
                <w:sz w:val="24"/>
                <w:highlight w:val="none"/>
                <w:lang w:val="en-US" w:eastAsia="zh-CN"/>
              </w:rPr>
              <w:t>70</w:t>
            </w:r>
            <w:r>
              <w:rPr>
                <w:rFonts w:ascii="宋体" w:hAnsi="宋体"/>
                <w:color w:val="auto"/>
                <w:sz w:val="24"/>
                <w:szCs w:val="24"/>
                <w:highlight w:val="none"/>
              </w:rPr>
              <w:t>吨</w:t>
            </w:r>
          </w:p>
        </w:tc>
        <w:tc>
          <w:tcPr>
            <w:tcW w:w="2096" w:type="dxa"/>
            <w:shd w:val="clear" w:color="auto" w:fill="auto"/>
            <w:vAlign w:val="center"/>
          </w:tcPr>
          <w:p w14:paraId="123A805B">
            <w:pPr>
              <w:tabs>
                <w:tab w:val="left" w:pos="360"/>
                <w:tab w:val="left" w:pos="540"/>
              </w:tabs>
              <w:spacing w:line="360" w:lineRule="auto"/>
              <w:jc w:val="center"/>
              <w:rPr>
                <w:bCs/>
                <w:color w:val="auto"/>
                <w:sz w:val="24"/>
                <w:highlight w:val="none"/>
              </w:rPr>
            </w:pPr>
            <w:r>
              <w:rPr>
                <w:color w:val="auto"/>
                <w:szCs w:val="21"/>
                <w:highlight w:val="none"/>
              </w:rPr>
              <w:t>20</w:t>
            </w:r>
          </w:p>
        </w:tc>
      </w:tr>
      <w:tr w14:paraId="04E3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6AF9B5E3">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3</w:t>
            </w:r>
          </w:p>
        </w:tc>
        <w:tc>
          <w:tcPr>
            <w:tcW w:w="2552" w:type="dxa"/>
            <w:shd w:val="clear" w:color="auto" w:fill="auto"/>
            <w:vAlign w:val="center"/>
          </w:tcPr>
          <w:p w14:paraId="575452C5">
            <w:pPr>
              <w:tabs>
                <w:tab w:val="left" w:pos="360"/>
                <w:tab w:val="left" w:pos="540"/>
              </w:tabs>
              <w:spacing w:line="360" w:lineRule="auto"/>
              <w:ind w:firstLine="360" w:firstLineChars="150"/>
              <w:jc w:val="center"/>
              <w:rPr>
                <w:bCs/>
                <w:color w:val="auto"/>
                <w:sz w:val="24"/>
                <w:highlight w:val="none"/>
              </w:rPr>
            </w:pPr>
            <w:r>
              <w:rPr>
                <w:rFonts w:hint="eastAsia"/>
                <w:bCs/>
                <w:color w:val="auto"/>
                <w:sz w:val="24"/>
                <w:highlight w:val="none"/>
              </w:rPr>
              <w:t>P＜98%</w:t>
            </w:r>
          </w:p>
        </w:tc>
        <w:tc>
          <w:tcPr>
            <w:tcW w:w="3432" w:type="dxa"/>
            <w:shd w:val="clear" w:color="auto" w:fill="auto"/>
            <w:vAlign w:val="center"/>
          </w:tcPr>
          <w:p w14:paraId="715EB666">
            <w:pPr>
              <w:snapToGrid w:val="0"/>
              <w:spacing w:line="360" w:lineRule="auto"/>
              <w:ind w:firstLine="1200" w:firstLineChars="500"/>
              <w:jc w:val="left"/>
              <w:rPr>
                <w:rFonts w:ascii="宋体" w:hAnsi="宋体"/>
                <w:bCs w:val="0"/>
                <w:color w:val="auto"/>
                <w:sz w:val="24"/>
                <w:highlight w:val="none"/>
              </w:rPr>
            </w:pPr>
            <w:r>
              <w:rPr>
                <w:rFonts w:hint="eastAsia" w:ascii="宋体" w:hAnsi="宋体"/>
                <w:color w:val="auto"/>
                <w:sz w:val="24"/>
                <w:szCs w:val="24"/>
                <w:highlight w:val="none"/>
              </w:rPr>
              <w:t>G＞</w:t>
            </w:r>
            <w:r>
              <w:rPr>
                <w:rFonts w:hint="default" w:ascii="宋体" w:hAnsi="宋体"/>
                <w:b w:val="0"/>
                <w:bCs w:val="0"/>
                <w:color w:val="auto"/>
                <w:sz w:val="24"/>
                <w:highlight w:val="none"/>
                <w:lang w:eastAsia="zh-CN"/>
              </w:rPr>
              <w:t>1</w:t>
            </w:r>
            <w:r>
              <w:rPr>
                <w:rFonts w:hint="default" w:ascii="宋体" w:hAnsi="宋体"/>
                <w:b w:val="0"/>
                <w:bCs w:val="0"/>
                <w:color w:val="auto"/>
                <w:sz w:val="24"/>
                <w:highlight w:val="none"/>
                <w:lang w:val="en-US" w:eastAsia="zh-CN"/>
              </w:rPr>
              <w:t>70</w:t>
            </w:r>
            <w:r>
              <w:rPr>
                <w:rFonts w:hint="eastAsia" w:ascii="宋体" w:hAnsi="宋体"/>
                <w:color w:val="auto"/>
                <w:sz w:val="24"/>
                <w:szCs w:val="24"/>
                <w:highlight w:val="none"/>
              </w:rPr>
              <w:t>吨</w:t>
            </w:r>
          </w:p>
        </w:tc>
        <w:tc>
          <w:tcPr>
            <w:tcW w:w="2096" w:type="dxa"/>
            <w:shd w:val="clear" w:color="auto" w:fill="auto"/>
            <w:vAlign w:val="center"/>
          </w:tcPr>
          <w:p w14:paraId="6A9959BE">
            <w:pPr>
              <w:tabs>
                <w:tab w:val="left" w:pos="360"/>
                <w:tab w:val="left" w:pos="540"/>
              </w:tabs>
              <w:spacing w:line="360" w:lineRule="auto"/>
              <w:jc w:val="center"/>
              <w:rPr>
                <w:bCs/>
                <w:color w:val="auto"/>
                <w:sz w:val="24"/>
                <w:highlight w:val="none"/>
              </w:rPr>
            </w:pPr>
            <w:r>
              <w:rPr>
                <w:color w:val="auto"/>
                <w:szCs w:val="21"/>
                <w:highlight w:val="none"/>
              </w:rPr>
              <w:t>40</w:t>
            </w:r>
          </w:p>
        </w:tc>
      </w:tr>
    </w:tbl>
    <w:p w14:paraId="49224B2E">
      <w:pPr>
        <w:snapToGrid w:val="0"/>
        <w:spacing w:line="360" w:lineRule="auto"/>
        <w:ind w:firstLine="480" w:firstLineChars="200"/>
        <w:rPr>
          <w:rFonts w:ascii="宋体" w:hAnsi="宋体"/>
          <w:color w:val="auto"/>
          <w:sz w:val="24"/>
        </w:rPr>
      </w:pPr>
      <w:r>
        <w:rPr>
          <w:rFonts w:hint="eastAsia" w:ascii="宋体" w:hAnsi="宋体"/>
          <w:color w:val="auto"/>
          <w:sz w:val="24"/>
          <w:highlight w:val="none"/>
        </w:rPr>
        <w:t>7、发生乙方服务不到位、影响甲方形象等情形，经三次书</w:t>
      </w:r>
      <w:r>
        <w:rPr>
          <w:rFonts w:hint="eastAsia" w:ascii="宋体" w:hAnsi="宋体"/>
          <w:color w:val="auto"/>
          <w:sz w:val="24"/>
        </w:rPr>
        <w:t>面警告后，整改还不合格，甲方有权对当期的结算款不予支付，且有权单方面终止本合同。</w:t>
      </w:r>
    </w:p>
    <w:p w14:paraId="17D4CBBE">
      <w:pPr>
        <w:snapToGrid w:val="0"/>
        <w:spacing w:line="360" w:lineRule="auto"/>
        <w:ind w:firstLine="480" w:firstLineChars="200"/>
        <w:rPr>
          <w:rFonts w:ascii="宋体" w:hAnsi="宋体"/>
          <w:color w:val="auto"/>
          <w:sz w:val="24"/>
        </w:rPr>
      </w:pPr>
      <w:r>
        <w:rPr>
          <w:rFonts w:hint="eastAsia" w:ascii="宋体" w:hAnsi="宋体"/>
          <w:color w:val="auto"/>
          <w:sz w:val="24"/>
        </w:rPr>
        <w:t>8、因乙方或其派出的相关人员违反国家和项目所在省、市的有关法律、法规及规定，或在现场违规操作、违章作业等，导致甲方电厂及相关方包括但不限于其正常的生产运行、声誉形象和财产物资、人身安全等造成损失时，一切法律责任和经济赔偿均由乙方独自承担。甲方有权暂停或停止本合同的承包服务费的支付并从</w:t>
      </w:r>
      <w:r>
        <w:rPr>
          <w:rFonts w:hint="eastAsia" w:ascii="宋体" w:hAnsi="宋体"/>
          <w:color w:val="auto"/>
          <w:sz w:val="24"/>
          <w:lang w:eastAsia="zh-CN"/>
        </w:rPr>
        <w:t>监管资金</w:t>
      </w:r>
      <w:r>
        <w:rPr>
          <w:rFonts w:hint="eastAsia" w:ascii="宋体" w:hAnsi="宋体"/>
          <w:color w:val="auto"/>
          <w:sz w:val="24"/>
        </w:rPr>
        <w:t>或当期的结算款中直接给予扣除上述的损失赔偿金额；对于不足扣除部分的金额，则由乙方于发生的一个月内另行向甲方一次性付清，否则每日按逾期未付款金额1%的标准向甲方计算支付滞纳金，直至付清全部欠款（含本金和滞纳金）。</w:t>
      </w:r>
    </w:p>
    <w:p w14:paraId="76BB2AB4">
      <w:pPr>
        <w:snapToGrid w:val="0"/>
        <w:spacing w:line="360" w:lineRule="auto"/>
        <w:ind w:firstLine="480" w:firstLineChars="200"/>
        <w:rPr>
          <w:rFonts w:ascii="宋体" w:hAnsi="宋体"/>
          <w:color w:val="auto"/>
          <w:sz w:val="24"/>
        </w:rPr>
      </w:pPr>
      <w:r>
        <w:rPr>
          <w:rFonts w:hint="eastAsia" w:ascii="宋体" w:hAnsi="宋体"/>
          <w:color w:val="auto"/>
          <w:sz w:val="24"/>
        </w:rPr>
        <w:t>9、因乙方与被派进甲方现场工作的人员发生任何纠纷事件，或因乙方派进甲方现场工作的人员</w:t>
      </w:r>
      <w:r>
        <w:rPr>
          <w:rFonts w:ascii="宋体" w:hAnsi="宋体"/>
          <w:color w:val="auto"/>
          <w:sz w:val="24"/>
        </w:rPr>
        <w:t>发生伤害</w:t>
      </w:r>
      <w:r>
        <w:rPr>
          <w:rFonts w:hint="eastAsia" w:ascii="宋体" w:hAnsi="宋体"/>
          <w:color w:val="auto"/>
          <w:sz w:val="24"/>
        </w:rPr>
        <w:t>和死亡</w:t>
      </w:r>
      <w:r>
        <w:rPr>
          <w:rFonts w:ascii="宋体" w:hAnsi="宋体"/>
          <w:color w:val="auto"/>
          <w:sz w:val="24"/>
        </w:rPr>
        <w:t>事故</w:t>
      </w:r>
      <w:r>
        <w:rPr>
          <w:rFonts w:hint="eastAsia" w:ascii="宋体" w:hAnsi="宋体"/>
          <w:color w:val="auto"/>
          <w:sz w:val="24"/>
        </w:rPr>
        <w:t>，</w:t>
      </w:r>
      <w:r>
        <w:rPr>
          <w:rFonts w:ascii="宋体" w:hAnsi="宋体"/>
          <w:color w:val="auto"/>
          <w:sz w:val="24"/>
        </w:rPr>
        <w:t>或</w:t>
      </w:r>
      <w:r>
        <w:rPr>
          <w:rFonts w:hint="eastAsia" w:ascii="宋体" w:hAnsi="宋体"/>
          <w:color w:val="auto"/>
          <w:sz w:val="24"/>
        </w:rPr>
        <w:t>因</w:t>
      </w:r>
      <w:r>
        <w:rPr>
          <w:rFonts w:ascii="宋体" w:hAnsi="宋体"/>
          <w:color w:val="auto"/>
          <w:sz w:val="24"/>
        </w:rPr>
        <w:t>按照职业病防治法规定被诊断、鉴定为职业病</w:t>
      </w:r>
      <w:r>
        <w:rPr>
          <w:rFonts w:hint="eastAsia" w:ascii="宋体" w:hAnsi="宋体"/>
          <w:color w:val="auto"/>
          <w:sz w:val="24"/>
        </w:rPr>
        <w:t>等任何事件或事故造成相关方发生损失，且作为该事件或事故的责任承担及依法处理方（即乙方），其又违反本合同的承诺未依法独立全程进行处理和最终全部独立承担责任及赔偿时，则甲方有权暂停或停止本合同的承包服务费的支付并从</w:t>
      </w:r>
      <w:r>
        <w:rPr>
          <w:rFonts w:hint="eastAsia" w:ascii="宋体" w:hAnsi="宋体"/>
          <w:color w:val="auto"/>
          <w:sz w:val="24"/>
          <w:lang w:eastAsia="zh-CN"/>
        </w:rPr>
        <w:t>监管资金</w:t>
      </w:r>
      <w:r>
        <w:rPr>
          <w:rFonts w:hint="eastAsia" w:ascii="宋体" w:hAnsi="宋体"/>
          <w:color w:val="auto"/>
          <w:sz w:val="24"/>
        </w:rPr>
        <w:t>或当期的结算款中直接给予扣除上述的责任赔偿金额且代为支付；对于不足扣除部分的金额，则由乙方于发生的一个月内另行向甲方一次性付清，否则每日按逾期未付款金额1%的标准向甲方计算支付滞纳金，直至付清全部欠款（含本金和滞纳金）。</w:t>
      </w:r>
    </w:p>
    <w:p w14:paraId="21335190">
      <w:pPr>
        <w:snapToGrid w:val="0"/>
        <w:spacing w:line="360" w:lineRule="auto"/>
        <w:ind w:firstLine="480" w:firstLineChars="200"/>
        <w:rPr>
          <w:rFonts w:ascii="宋体" w:hAnsi="宋体"/>
          <w:color w:val="auto"/>
          <w:sz w:val="24"/>
        </w:rPr>
      </w:pPr>
      <w:r>
        <w:rPr>
          <w:rFonts w:hint="eastAsia" w:ascii="宋体" w:hAnsi="宋体"/>
          <w:color w:val="auto"/>
          <w:sz w:val="24"/>
        </w:rPr>
        <w:t>10、因乙方未经甲方事先指定或事先书面同意而以任何方式擅自分包或转包的，当其未对甲方和电厂造成损失或发生不良影响之时，甲方有权对乙方擅自再分包或转包部分费用进行扣除或拒付；当乙方的擅自分包或转包对甲方和电厂造成损失或导致发生劳动、劳务纠纷等任何不良影响之时，则甲方有权暂停或停止本合同的承包服务费的支付并从</w:t>
      </w:r>
      <w:r>
        <w:rPr>
          <w:rFonts w:hint="eastAsia" w:ascii="宋体" w:hAnsi="宋体"/>
          <w:color w:val="auto"/>
          <w:sz w:val="24"/>
          <w:lang w:eastAsia="zh-CN"/>
        </w:rPr>
        <w:t>监管资金</w:t>
      </w:r>
      <w:r>
        <w:rPr>
          <w:rFonts w:hint="eastAsia" w:ascii="宋体" w:hAnsi="宋体"/>
          <w:color w:val="auto"/>
          <w:sz w:val="24"/>
        </w:rPr>
        <w:t>或当期的结算款中直接扣除相关费用，乙方还须即时全额退还（或支付）甲方本合同此前已经支付的相关费用（但发票不作退还）作为违约金并赔偿甲方因此所造成的全部损失。</w:t>
      </w:r>
    </w:p>
    <w:p w14:paraId="66753DE1">
      <w:pPr>
        <w:pStyle w:val="101"/>
        <w:numPr>
          <w:ilvl w:val="0"/>
          <w:numId w:val="8"/>
        </w:numPr>
        <w:snapToGrid w:val="0"/>
        <w:spacing w:line="360" w:lineRule="auto"/>
        <w:ind w:left="600" w:hanging="600" w:hangingChars="200"/>
        <w:outlineLvl w:val="1"/>
        <w:rPr>
          <w:rFonts w:ascii="黑体" w:hAnsi="宋体" w:eastAsia="黑体"/>
          <w:color w:val="auto"/>
          <w:sz w:val="30"/>
          <w:szCs w:val="30"/>
        </w:rPr>
      </w:pPr>
      <w:bookmarkStart w:id="19" w:name="_Toc94196208"/>
      <w:r>
        <w:rPr>
          <w:rFonts w:hint="eastAsia" w:ascii="黑体" w:hAnsi="宋体" w:eastAsia="黑体"/>
          <w:color w:val="auto"/>
          <w:sz w:val="30"/>
          <w:szCs w:val="30"/>
        </w:rPr>
        <w:t>争议与索赔</w:t>
      </w:r>
      <w:bookmarkEnd w:id="19"/>
    </w:p>
    <w:p w14:paraId="0AE4F05A">
      <w:pPr>
        <w:spacing w:line="360" w:lineRule="auto"/>
        <w:ind w:firstLine="480"/>
        <w:rPr>
          <w:rFonts w:ascii="宋体" w:hAnsi="宋体"/>
          <w:b/>
          <w:color w:val="auto"/>
          <w:sz w:val="24"/>
        </w:rPr>
      </w:pPr>
      <w:r>
        <w:rPr>
          <w:rFonts w:hint="eastAsia" w:ascii="宋体" w:hAnsi="宋体"/>
          <w:b/>
          <w:color w:val="auto"/>
          <w:sz w:val="24"/>
        </w:rPr>
        <w:t>1 争议：</w:t>
      </w:r>
    </w:p>
    <w:p w14:paraId="7187BECC">
      <w:pPr>
        <w:spacing w:line="360" w:lineRule="auto"/>
        <w:ind w:firstLine="480"/>
        <w:rPr>
          <w:rFonts w:ascii="宋体" w:hAnsi="宋体"/>
          <w:color w:val="auto"/>
          <w:sz w:val="24"/>
        </w:rPr>
      </w:pPr>
      <w:r>
        <w:rPr>
          <w:rFonts w:hint="eastAsia" w:ascii="宋体" w:hAnsi="宋体"/>
          <w:color w:val="auto"/>
          <w:sz w:val="24"/>
        </w:rPr>
        <w:t>1</w:t>
      </w:r>
      <w:r>
        <w:rPr>
          <w:rFonts w:ascii="宋体" w:hAnsi="宋体"/>
          <w:color w:val="auto"/>
          <w:sz w:val="24"/>
        </w:rPr>
        <w:t>.1</w:t>
      </w:r>
      <w:r>
        <w:rPr>
          <w:rFonts w:hint="eastAsia" w:ascii="宋体" w:hAnsi="宋体"/>
          <w:color w:val="auto"/>
          <w:sz w:val="24"/>
        </w:rPr>
        <w:t>合同双方发生与本合同有关的一切争议，应通过友好协商解决。如果友好协商不成，任意一方可向项目所在地有管辖权的人民法院起诉。</w:t>
      </w:r>
    </w:p>
    <w:p w14:paraId="706019B3">
      <w:pPr>
        <w:spacing w:line="360" w:lineRule="auto"/>
        <w:ind w:firstLine="480"/>
        <w:rPr>
          <w:rFonts w:ascii="宋体" w:hAnsi="宋体"/>
          <w:color w:val="auto"/>
          <w:sz w:val="24"/>
        </w:rPr>
      </w:pPr>
      <w:r>
        <w:rPr>
          <w:rFonts w:hint="eastAsia" w:ascii="宋体" w:hAnsi="宋体"/>
          <w:color w:val="auto"/>
          <w:sz w:val="24"/>
        </w:rPr>
        <w:t>1.2诉讼结果对双方都有约束力。</w:t>
      </w:r>
    </w:p>
    <w:p w14:paraId="18A0BDD0">
      <w:pPr>
        <w:spacing w:line="360" w:lineRule="auto"/>
        <w:ind w:firstLine="480"/>
        <w:rPr>
          <w:rFonts w:ascii="宋体" w:hAnsi="宋体"/>
          <w:color w:val="auto"/>
          <w:sz w:val="24"/>
        </w:rPr>
      </w:pPr>
      <w:r>
        <w:rPr>
          <w:rFonts w:hint="eastAsia" w:ascii="宋体" w:hAnsi="宋体"/>
          <w:color w:val="auto"/>
          <w:sz w:val="24"/>
        </w:rPr>
        <w:t>1.3由上述过程发生的费用除诉讼结果另有规定外，应由败诉方承担。</w:t>
      </w:r>
    </w:p>
    <w:p w14:paraId="6FA93E96">
      <w:pPr>
        <w:spacing w:line="360" w:lineRule="auto"/>
        <w:ind w:firstLine="480"/>
        <w:rPr>
          <w:rFonts w:ascii="宋体" w:hAnsi="宋体"/>
          <w:color w:val="auto"/>
          <w:sz w:val="24"/>
        </w:rPr>
      </w:pPr>
      <w:r>
        <w:rPr>
          <w:rFonts w:hint="eastAsia" w:ascii="宋体" w:hAnsi="宋体"/>
          <w:color w:val="auto"/>
          <w:sz w:val="24"/>
        </w:rPr>
        <w:t>1.4在进行审理期间，除审理的部分事项外，合同其余部分仍应继续履行。</w:t>
      </w:r>
    </w:p>
    <w:p w14:paraId="0F457ED7">
      <w:pPr>
        <w:spacing w:line="360" w:lineRule="auto"/>
        <w:ind w:firstLine="480"/>
        <w:rPr>
          <w:rFonts w:ascii="宋体" w:hAnsi="宋体"/>
          <w:b/>
          <w:color w:val="auto"/>
          <w:sz w:val="24"/>
        </w:rPr>
      </w:pPr>
      <w:r>
        <w:rPr>
          <w:rFonts w:hint="eastAsia" w:ascii="宋体" w:hAnsi="宋体"/>
          <w:b/>
          <w:color w:val="auto"/>
          <w:sz w:val="24"/>
        </w:rPr>
        <w:t>2索赔：</w:t>
      </w:r>
    </w:p>
    <w:p w14:paraId="0981EF60">
      <w:pPr>
        <w:pStyle w:val="22"/>
        <w:spacing w:line="360" w:lineRule="auto"/>
        <w:ind w:firstLine="480" w:firstLineChars="200"/>
        <w:rPr>
          <w:rFonts w:hAnsi="宋体"/>
          <w:i/>
          <w:color w:val="auto"/>
          <w:sz w:val="24"/>
          <w:szCs w:val="24"/>
        </w:rPr>
      </w:pPr>
      <w:r>
        <w:rPr>
          <w:rFonts w:hint="eastAsia" w:hAnsi="宋体"/>
          <w:color w:val="auto"/>
          <w:sz w:val="24"/>
          <w:szCs w:val="24"/>
        </w:rPr>
        <w:t>2.1乙方可按以下规定向甲方索赔；</w:t>
      </w:r>
    </w:p>
    <w:p w14:paraId="1D4B4A5B">
      <w:pPr>
        <w:pStyle w:val="22"/>
        <w:spacing w:line="360" w:lineRule="auto"/>
        <w:ind w:firstLine="480" w:firstLineChars="200"/>
        <w:rPr>
          <w:rFonts w:hAnsi="宋体"/>
          <w:i/>
          <w:color w:val="auto"/>
          <w:sz w:val="24"/>
          <w:szCs w:val="24"/>
        </w:rPr>
      </w:pPr>
      <w:r>
        <w:rPr>
          <w:rFonts w:hint="eastAsia" w:hAnsi="宋体"/>
          <w:color w:val="auto"/>
          <w:sz w:val="24"/>
          <w:szCs w:val="24"/>
        </w:rPr>
        <w:t>2.1.1有正当索赔理由，且有索赔事件发生时的有关证据；</w:t>
      </w:r>
    </w:p>
    <w:p w14:paraId="59A83BA4">
      <w:pPr>
        <w:pStyle w:val="22"/>
        <w:spacing w:line="360" w:lineRule="auto"/>
        <w:ind w:firstLine="480" w:firstLineChars="200"/>
        <w:rPr>
          <w:rFonts w:hAnsi="宋体"/>
          <w:i/>
          <w:color w:val="auto"/>
          <w:sz w:val="24"/>
          <w:szCs w:val="24"/>
        </w:rPr>
      </w:pPr>
      <w:r>
        <w:rPr>
          <w:rFonts w:hint="eastAsia" w:hAnsi="宋体"/>
          <w:color w:val="auto"/>
          <w:sz w:val="24"/>
          <w:szCs w:val="24"/>
        </w:rPr>
        <w:t>2.1.2索赔事件发生后20天内，向甲方发出要求索赔的通知；</w:t>
      </w:r>
    </w:p>
    <w:p w14:paraId="5C5E59F6">
      <w:pPr>
        <w:pStyle w:val="22"/>
        <w:spacing w:line="360" w:lineRule="auto"/>
        <w:ind w:firstLine="480" w:firstLineChars="200"/>
        <w:rPr>
          <w:rFonts w:hAnsi="宋体"/>
          <w:i/>
          <w:color w:val="auto"/>
          <w:sz w:val="24"/>
          <w:szCs w:val="24"/>
        </w:rPr>
      </w:pPr>
      <w:r>
        <w:rPr>
          <w:rFonts w:hint="eastAsia" w:hAnsi="宋体"/>
          <w:color w:val="auto"/>
          <w:sz w:val="24"/>
          <w:szCs w:val="24"/>
        </w:rPr>
        <w:t>2.1.3甲方在接到索赔通知后28天内给予响应，或要求乙方进一步补充索赔理由和证据，甲方在28天内未予书面答复，应视为该项索赔已经认可；</w:t>
      </w:r>
    </w:p>
    <w:p w14:paraId="0B545AA5">
      <w:pPr>
        <w:pStyle w:val="22"/>
        <w:spacing w:line="360" w:lineRule="auto"/>
        <w:ind w:firstLine="480" w:firstLineChars="200"/>
        <w:rPr>
          <w:rFonts w:hAnsi="宋体"/>
          <w:i/>
          <w:color w:val="auto"/>
          <w:sz w:val="24"/>
          <w:szCs w:val="24"/>
        </w:rPr>
      </w:pPr>
      <w:r>
        <w:rPr>
          <w:rFonts w:hint="eastAsia" w:hAnsi="宋体"/>
          <w:color w:val="auto"/>
          <w:sz w:val="24"/>
          <w:szCs w:val="24"/>
        </w:rPr>
        <w:t>2.2甲方可按以下规定向乙方索赔：</w:t>
      </w:r>
    </w:p>
    <w:p w14:paraId="2A80334E">
      <w:pPr>
        <w:pStyle w:val="22"/>
        <w:spacing w:line="360" w:lineRule="auto"/>
        <w:ind w:firstLine="480" w:firstLineChars="200"/>
        <w:rPr>
          <w:rFonts w:hAnsi="宋体"/>
          <w:i/>
          <w:color w:val="auto"/>
          <w:sz w:val="24"/>
          <w:szCs w:val="24"/>
        </w:rPr>
      </w:pPr>
      <w:r>
        <w:rPr>
          <w:rFonts w:hint="eastAsia" w:hAnsi="宋体"/>
          <w:color w:val="auto"/>
          <w:sz w:val="24"/>
          <w:szCs w:val="24"/>
        </w:rPr>
        <w:t>2.2.1有正当索赔理由，且有索赔事件发生时的有关证据；</w:t>
      </w:r>
    </w:p>
    <w:p w14:paraId="32558B06">
      <w:pPr>
        <w:pStyle w:val="22"/>
        <w:spacing w:line="360" w:lineRule="auto"/>
        <w:ind w:firstLine="480" w:firstLineChars="200"/>
        <w:rPr>
          <w:rFonts w:hAnsi="宋体"/>
          <w:i/>
          <w:color w:val="auto"/>
          <w:sz w:val="24"/>
          <w:szCs w:val="24"/>
        </w:rPr>
      </w:pPr>
      <w:r>
        <w:rPr>
          <w:rFonts w:hint="eastAsia" w:hAnsi="宋体"/>
          <w:color w:val="auto"/>
          <w:sz w:val="24"/>
          <w:szCs w:val="24"/>
        </w:rPr>
        <w:t>2.2.2索赔事件发生后20天内，向乙方发出要求索赔的通知；</w:t>
      </w:r>
    </w:p>
    <w:p w14:paraId="1D6F03C6">
      <w:pPr>
        <w:pStyle w:val="22"/>
        <w:spacing w:line="360" w:lineRule="auto"/>
        <w:ind w:firstLine="480" w:firstLineChars="200"/>
        <w:rPr>
          <w:rFonts w:hAnsi="宋体"/>
          <w:color w:val="auto"/>
          <w:sz w:val="24"/>
          <w:szCs w:val="24"/>
        </w:rPr>
      </w:pPr>
      <w:r>
        <w:rPr>
          <w:rFonts w:hint="eastAsia" w:hAnsi="宋体"/>
          <w:color w:val="auto"/>
          <w:sz w:val="24"/>
          <w:szCs w:val="24"/>
        </w:rPr>
        <w:t>2.2.3乙方在接到索赔通知后28天内给予响应，或要求甲方进一步补充索赔理由或证据，乙方在28天内未予书面答复，应视为该项索赔已经认可。</w:t>
      </w:r>
    </w:p>
    <w:p w14:paraId="071C504A">
      <w:pPr>
        <w:spacing w:line="360" w:lineRule="auto"/>
        <w:ind w:firstLine="510"/>
        <w:rPr>
          <w:rFonts w:ascii="宋体" w:hAnsi="宋体"/>
          <w:color w:val="auto"/>
          <w:sz w:val="24"/>
        </w:rPr>
      </w:pPr>
    </w:p>
    <w:p w14:paraId="0398964D">
      <w:pPr>
        <w:pStyle w:val="101"/>
        <w:numPr>
          <w:ilvl w:val="0"/>
          <w:numId w:val="8"/>
        </w:numPr>
        <w:snapToGrid w:val="0"/>
        <w:spacing w:line="360" w:lineRule="auto"/>
        <w:ind w:left="600" w:hanging="600" w:hangingChars="200"/>
        <w:outlineLvl w:val="1"/>
        <w:rPr>
          <w:rFonts w:ascii="黑体" w:hAnsi="宋体" w:eastAsia="黑体"/>
          <w:color w:val="auto"/>
          <w:sz w:val="30"/>
          <w:szCs w:val="30"/>
        </w:rPr>
      </w:pPr>
      <w:bookmarkStart w:id="20" w:name="_Toc94196209"/>
      <w:r>
        <w:rPr>
          <w:rFonts w:hint="eastAsia" w:ascii="黑体" w:hAnsi="宋体" w:eastAsia="黑体"/>
          <w:color w:val="auto"/>
          <w:sz w:val="30"/>
          <w:szCs w:val="30"/>
        </w:rPr>
        <w:t>其它</w:t>
      </w:r>
      <w:bookmarkEnd w:id="20"/>
    </w:p>
    <w:p w14:paraId="6DC43D67">
      <w:pPr>
        <w:snapToGrid w:val="0"/>
        <w:spacing w:line="360" w:lineRule="auto"/>
        <w:ind w:right="11" w:firstLine="420" w:firstLineChars="175"/>
        <w:rPr>
          <w:rFonts w:ascii="宋体" w:hAnsi="宋体"/>
          <w:color w:val="auto"/>
          <w:sz w:val="24"/>
        </w:rPr>
      </w:pPr>
      <w:r>
        <w:rPr>
          <w:rFonts w:hint="eastAsia" w:ascii="宋体" w:hAnsi="宋体"/>
          <w:color w:val="auto"/>
          <w:sz w:val="24"/>
        </w:rPr>
        <w:t>1、本合同适用法律为中华人民共和国法律(即中华人民共和国民法典及相关法律)。</w:t>
      </w:r>
    </w:p>
    <w:p w14:paraId="211B47AC">
      <w:pPr>
        <w:snapToGrid w:val="0"/>
        <w:spacing w:line="360" w:lineRule="auto"/>
        <w:ind w:right="11" w:firstLine="420" w:firstLineChars="175"/>
        <w:rPr>
          <w:rFonts w:ascii="宋体" w:hAnsi="宋体"/>
          <w:color w:val="auto"/>
          <w:sz w:val="24"/>
        </w:rPr>
      </w:pPr>
      <w:r>
        <w:rPr>
          <w:rFonts w:hint="eastAsia" w:ascii="宋体" w:hAnsi="宋体"/>
          <w:color w:val="auto"/>
          <w:sz w:val="24"/>
        </w:rPr>
        <w:t>2、本合同生效需满足下列条件：合同经双方法定代表人或委托代理人（须经法定代表人书面授权委托）签字，加盖公章或合同专用章。</w:t>
      </w:r>
    </w:p>
    <w:p w14:paraId="5EBF250A">
      <w:pPr>
        <w:snapToGrid w:val="0"/>
        <w:spacing w:line="360" w:lineRule="auto"/>
        <w:ind w:right="11" w:firstLine="420" w:firstLineChars="175"/>
        <w:rPr>
          <w:rFonts w:ascii="宋体" w:hAnsi="宋体"/>
          <w:color w:val="auto"/>
          <w:sz w:val="24"/>
        </w:rPr>
      </w:pPr>
      <w:r>
        <w:rPr>
          <w:rFonts w:hint="eastAsia" w:ascii="宋体" w:hAnsi="宋体"/>
          <w:color w:val="auto"/>
          <w:sz w:val="24"/>
        </w:rPr>
        <w:t>3、本合同所包括的附件，是本合同不可分割的一部分，具有同等的法律效力。当附件与本合同条款不一致或概念模糊时，以本合同条款为准。如果不同时间的文件有不一致或模糊时，以时间后者为准。</w:t>
      </w:r>
    </w:p>
    <w:p w14:paraId="2EB7403C">
      <w:pPr>
        <w:snapToGrid w:val="0"/>
        <w:spacing w:line="360" w:lineRule="auto"/>
        <w:ind w:right="11" w:firstLine="420" w:firstLineChars="175"/>
        <w:rPr>
          <w:rFonts w:ascii="宋体" w:hAnsi="宋体"/>
          <w:color w:val="auto"/>
          <w:sz w:val="24"/>
        </w:rPr>
      </w:pPr>
      <w:r>
        <w:rPr>
          <w:rFonts w:hint="eastAsia" w:ascii="宋体" w:hAnsi="宋体"/>
          <w:color w:val="auto"/>
          <w:sz w:val="24"/>
        </w:rPr>
        <w:t>4、合同双方按照</w:t>
      </w:r>
      <w:r>
        <w:rPr>
          <w:rFonts w:ascii="宋体" w:hAnsi="宋体"/>
          <w:color w:val="auto"/>
          <w:sz w:val="24"/>
        </w:rPr>
        <w:t>合同规定</w:t>
      </w:r>
      <w:r>
        <w:rPr>
          <w:rFonts w:hint="eastAsia" w:ascii="宋体" w:hAnsi="宋体"/>
          <w:color w:val="auto"/>
          <w:sz w:val="24"/>
        </w:rPr>
        <w:t>承担</w:t>
      </w:r>
      <w:r>
        <w:rPr>
          <w:rFonts w:ascii="宋体" w:hAnsi="宋体"/>
          <w:color w:val="auto"/>
          <w:sz w:val="24"/>
        </w:rPr>
        <w:t>合同义务，</w:t>
      </w:r>
      <w:r>
        <w:rPr>
          <w:rFonts w:hint="eastAsia" w:ascii="宋体" w:hAnsi="宋体"/>
          <w:color w:val="auto"/>
          <w:sz w:val="24"/>
        </w:rPr>
        <w:t>合同任何一方不得代替</w:t>
      </w:r>
      <w:r>
        <w:rPr>
          <w:rFonts w:ascii="宋体" w:hAnsi="宋体"/>
          <w:color w:val="auto"/>
          <w:sz w:val="24"/>
        </w:rPr>
        <w:t>另一方</w:t>
      </w:r>
      <w:r>
        <w:rPr>
          <w:rFonts w:hint="eastAsia" w:ascii="宋体" w:hAnsi="宋体"/>
          <w:color w:val="auto"/>
          <w:sz w:val="24"/>
        </w:rPr>
        <w:t>作出对</w:t>
      </w:r>
      <w:r>
        <w:rPr>
          <w:rFonts w:ascii="宋体" w:hAnsi="宋体"/>
          <w:color w:val="auto"/>
          <w:sz w:val="24"/>
        </w:rPr>
        <w:t>另一方</w:t>
      </w:r>
      <w:r>
        <w:rPr>
          <w:rFonts w:hint="eastAsia" w:ascii="宋体" w:hAnsi="宋体"/>
          <w:color w:val="auto"/>
          <w:sz w:val="24"/>
        </w:rPr>
        <w:t>有约束力的声明、陈述，许诺或行动。</w:t>
      </w:r>
    </w:p>
    <w:p w14:paraId="75A2EA4A">
      <w:pPr>
        <w:snapToGrid w:val="0"/>
        <w:spacing w:line="360" w:lineRule="auto"/>
        <w:ind w:right="11" w:firstLine="420" w:firstLineChars="175"/>
        <w:rPr>
          <w:rFonts w:ascii="宋体" w:hAnsi="宋体"/>
          <w:color w:val="auto"/>
          <w:sz w:val="24"/>
        </w:rPr>
      </w:pPr>
      <w:r>
        <w:rPr>
          <w:rFonts w:hint="eastAsia" w:ascii="宋体" w:hAnsi="宋体"/>
          <w:color w:val="auto"/>
          <w:sz w:val="24"/>
        </w:rPr>
        <w:t>5、未经双方事先书面同意，本合同内容款项、权利义务等不得再以任何形式转移（包括但不限于分包、转包、转让、抵押、质押、担保、赠与等）给任何第三方，否则该转移行为内容无效且没有法律约束力，由此所造成的损失由违约方加倍赔偿，守约方有权另行追偿。</w:t>
      </w:r>
    </w:p>
    <w:p w14:paraId="1C9A6F58">
      <w:pPr>
        <w:snapToGrid w:val="0"/>
        <w:spacing w:line="360" w:lineRule="auto"/>
        <w:ind w:right="11" w:firstLine="420" w:firstLineChars="175"/>
        <w:rPr>
          <w:rFonts w:ascii="宋体" w:hAnsi="宋体"/>
          <w:color w:val="auto"/>
          <w:sz w:val="24"/>
        </w:rPr>
      </w:pPr>
      <w:r>
        <w:rPr>
          <w:rFonts w:hint="eastAsia" w:ascii="宋体" w:hAnsi="宋体"/>
          <w:color w:val="auto"/>
          <w:sz w:val="24"/>
        </w:rPr>
        <w:t>6、本合同项下双方相互提供的文件、资料，双方除为履行合同的目的外，均不得提供给与“合同服务”和相关工程无关的第三方。</w:t>
      </w:r>
    </w:p>
    <w:p w14:paraId="13C3FEFA">
      <w:pPr>
        <w:snapToGrid w:val="0"/>
        <w:spacing w:line="360" w:lineRule="auto"/>
        <w:ind w:right="11" w:firstLine="420" w:firstLineChars="175"/>
        <w:rPr>
          <w:rFonts w:ascii="宋体" w:hAnsi="宋体"/>
          <w:color w:val="auto"/>
          <w:sz w:val="24"/>
        </w:rPr>
      </w:pPr>
      <w:r>
        <w:rPr>
          <w:rFonts w:hint="eastAsia" w:ascii="宋体" w:hAnsi="宋体"/>
          <w:color w:val="auto"/>
          <w:sz w:val="24"/>
        </w:rPr>
        <w:t>7、双方对本合同发票的提前出具或提前接收（如有），并不代表对尚未履行合同内容的应收应付、债权债务、权利义务等任何关系的确认或成立。该提前交接的发票，不得作为任何担保质押等的确认凭证，只有到相应合同内容履行完毕后，方依约合规办理验收支付。</w:t>
      </w:r>
    </w:p>
    <w:p w14:paraId="3F53C30E">
      <w:pPr>
        <w:snapToGrid w:val="0"/>
        <w:spacing w:line="360" w:lineRule="auto"/>
        <w:ind w:right="11" w:firstLine="420" w:firstLineChars="175"/>
        <w:rPr>
          <w:rFonts w:ascii="宋体" w:hAnsi="宋体"/>
          <w:color w:val="auto"/>
          <w:sz w:val="24"/>
        </w:rPr>
      </w:pPr>
      <w:r>
        <w:rPr>
          <w:rFonts w:hint="eastAsia" w:ascii="宋体" w:hAnsi="宋体"/>
          <w:color w:val="auto"/>
          <w:sz w:val="24"/>
        </w:rPr>
        <w:t>8、 本合同履行过程当中答复的任何询证函（如有），其暂时查对所填写的款额均不是对合同应收或应付账款数额的确认，该回复函不得作为应收应付、债权债务等任何权利义务关系的确认函或确认凭证，更不得用于任何担保质押。</w:t>
      </w:r>
    </w:p>
    <w:p w14:paraId="6B1EAC5E">
      <w:pPr>
        <w:snapToGrid w:val="0"/>
        <w:spacing w:line="360" w:lineRule="auto"/>
        <w:ind w:right="11" w:firstLine="420" w:firstLineChars="175"/>
        <w:rPr>
          <w:rFonts w:ascii="宋体" w:hAnsi="宋体"/>
          <w:color w:val="auto"/>
          <w:sz w:val="24"/>
        </w:rPr>
      </w:pPr>
      <w:r>
        <w:rPr>
          <w:rFonts w:hint="eastAsia" w:ascii="宋体" w:hAnsi="宋体"/>
          <w:color w:val="auto"/>
          <w:sz w:val="24"/>
        </w:rPr>
        <w:t>9、如果合同任何一方发生公司的合并、分立或重组，应立即通知另一方其合同义务的安排，并由合同义务的承继方与合同另一方办理相关的合同变更手续。该承继方应继续承担本合同项下未完成的责任和义务并保证合同义务的履行和责任的承担不会因此受到影响。</w:t>
      </w:r>
    </w:p>
    <w:p w14:paraId="3DF79862">
      <w:pPr>
        <w:snapToGrid w:val="0"/>
        <w:spacing w:line="360" w:lineRule="auto"/>
        <w:ind w:right="11" w:firstLine="420" w:firstLineChars="175"/>
        <w:rPr>
          <w:rFonts w:ascii="宋体" w:hAnsi="宋体"/>
          <w:color w:val="auto"/>
          <w:sz w:val="24"/>
        </w:rPr>
      </w:pPr>
      <w:r>
        <w:rPr>
          <w:rFonts w:hint="eastAsia" w:ascii="宋体" w:hAnsi="宋体"/>
          <w:color w:val="auto"/>
          <w:sz w:val="24"/>
        </w:rPr>
        <w:t>10、本合同所使用的文字为中文，合同执行过程中所涉及的通知、技术资料、说明书、会议纪要、信函等文件均以中文形式编写。如果外购进口设备的技术资料、说明书等文件应有中文版本。</w:t>
      </w:r>
    </w:p>
    <w:p w14:paraId="09631FAC">
      <w:pPr>
        <w:snapToGrid w:val="0"/>
        <w:spacing w:line="360" w:lineRule="auto"/>
        <w:ind w:right="11" w:firstLine="420" w:firstLineChars="175"/>
        <w:rPr>
          <w:rFonts w:ascii="宋体" w:hAnsi="宋体"/>
          <w:color w:val="auto"/>
          <w:sz w:val="24"/>
        </w:rPr>
      </w:pPr>
      <w:r>
        <w:rPr>
          <w:rFonts w:hint="eastAsia" w:ascii="宋体" w:hAnsi="宋体"/>
          <w:color w:val="auto"/>
          <w:sz w:val="24"/>
        </w:rPr>
        <w:t>11、本合同一式肆份；甲方执叁份，乙方执壹份。</w:t>
      </w:r>
    </w:p>
    <w:p w14:paraId="216D8A62">
      <w:pPr>
        <w:snapToGrid w:val="0"/>
        <w:spacing w:line="360" w:lineRule="auto"/>
        <w:ind w:right="11" w:firstLine="420" w:firstLineChars="175"/>
        <w:rPr>
          <w:rFonts w:hint="eastAsia" w:ascii="宋体" w:hAnsi="宋体"/>
          <w:color w:val="auto"/>
          <w:sz w:val="24"/>
        </w:rPr>
      </w:pPr>
      <w:r>
        <w:rPr>
          <w:rFonts w:hint="eastAsia" w:ascii="宋体" w:hAnsi="宋体"/>
          <w:color w:val="auto"/>
          <w:sz w:val="24"/>
        </w:rPr>
        <w:t>12、本合同双方的地址及信息如下：</w:t>
      </w:r>
    </w:p>
    <w:p w14:paraId="5A4D8F47">
      <w:pPr>
        <w:snapToGrid/>
        <w:spacing w:line="240" w:lineRule="auto"/>
        <w:ind w:right="0" w:firstLine="0" w:firstLineChars="0"/>
        <w:rPr>
          <w:rFonts w:hint="eastAsia" w:ascii="宋体" w:hAnsi="宋体"/>
          <w:color w:val="auto"/>
          <w:sz w:val="24"/>
        </w:rPr>
      </w:pPr>
      <w:r>
        <w:rPr>
          <w:rFonts w:hint="eastAsia" w:ascii="宋体" w:hAnsi="宋体"/>
          <w:color w:val="auto"/>
          <w:sz w:val="24"/>
        </w:rPr>
        <w:br w:type="page"/>
      </w:r>
    </w:p>
    <w:p w14:paraId="38158A4C">
      <w:pPr>
        <w:snapToGrid w:val="0"/>
        <w:spacing w:line="360" w:lineRule="auto"/>
        <w:ind w:right="11" w:firstLine="420" w:firstLineChars="175"/>
        <w:rPr>
          <w:rFonts w:hint="eastAsia" w:ascii="宋体" w:hAnsi="宋体"/>
          <w:color w:val="auto"/>
          <w:sz w:val="24"/>
        </w:rPr>
      </w:pPr>
    </w:p>
    <w:tbl>
      <w:tblPr>
        <w:tblStyle w:val="36"/>
        <w:tblW w:w="5715" w:type="pct"/>
        <w:tblInd w:w="-9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755"/>
        <w:gridCol w:w="2142"/>
        <w:gridCol w:w="752"/>
        <w:gridCol w:w="103"/>
        <w:gridCol w:w="680"/>
        <w:gridCol w:w="105"/>
        <w:gridCol w:w="1287"/>
        <w:gridCol w:w="2199"/>
      </w:tblGrid>
      <w:tr w14:paraId="01EB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restart"/>
            <w:tcBorders>
              <w:top w:val="single" w:color="auto" w:sz="4" w:space="0"/>
              <w:left w:val="single" w:color="auto" w:sz="4" w:space="0"/>
              <w:bottom w:val="single" w:color="auto" w:sz="4" w:space="0"/>
              <w:right w:val="single" w:color="auto" w:sz="4" w:space="0"/>
            </w:tcBorders>
            <w:vAlign w:val="center"/>
          </w:tcPr>
          <w:p w14:paraId="1A86480F">
            <w:pPr>
              <w:widowControl w:val="0"/>
              <w:spacing w:line="240" w:lineRule="auto"/>
              <w:ind w:firstLine="0" w:firstLineChars="0"/>
              <w:rPr>
                <w:rFonts w:cs="Calibri"/>
                <w:color w:val="auto"/>
                <w:szCs w:val="21"/>
              </w:rPr>
            </w:pPr>
            <w:bookmarkStart w:id="21" w:name="_Toc55488748"/>
            <w:r>
              <w:rPr>
                <w:rFonts w:hint="eastAsia" w:ascii="宋体" w:hAnsi="宋体" w:cs="宋体"/>
                <w:color w:val="auto"/>
                <w:sz w:val="24"/>
                <w:lang w:bidi="ar"/>
              </w:rPr>
              <w:t>委托人</w:t>
            </w:r>
            <w:r>
              <w:rPr>
                <w:color w:val="auto"/>
                <w:sz w:val="24"/>
                <w:lang w:bidi="ar"/>
              </w:rPr>
              <w:t>(</w:t>
            </w:r>
            <w:r>
              <w:rPr>
                <w:rFonts w:hint="eastAsia" w:ascii="宋体" w:hAnsi="宋体" w:cs="宋体"/>
                <w:color w:val="auto"/>
                <w:sz w:val="24"/>
                <w:lang w:bidi="ar"/>
              </w:rPr>
              <w:t>甲方</w:t>
            </w:r>
            <w:r>
              <w:rPr>
                <w:rFonts w:cs="Calibri"/>
                <w:color w:val="auto"/>
                <w:sz w:val="24"/>
                <w:lang w:bidi="ar"/>
              </w:rPr>
              <w:t>)</w:t>
            </w:r>
          </w:p>
          <w:p w14:paraId="2286339A">
            <w:pPr>
              <w:widowControl w:val="0"/>
              <w:spacing w:line="500" w:lineRule="exact"/>
              <w:ind w:left="113" w:right="113" w:firstLine="0" w:firstLineChars="0"/>
              <w:jc w:val="center"/>
              <w:rPr>
                <w:color w:val="auto"/>
                <w:spacing w:val="20"/>
                <w:sz w:val="24"/>
              </w:rPr>
            </w:pPr>
          </w:p>
        </w:tc>
        <w:tc>
          <w:tcPr>
            <w:tcW w:w="854" w:type="pct"/>
            <w:tcBorders>
              <w:top w:val="single" w:color="auto" w:sz="4" w:space="0"/>
              <w:left w:val="nil"/>
              <w:bottom w:val="single" w:color="auto" w:sz="4" w:space="0"/>
              <w:right w:val="single" w:color="auto" w:sz="4" w:space="0"/>
            </w:tcBorders>
            <w:vAlign w:val="center"/>
          </w:tcPr>
          <w:p w14:paraId="06BFFE34">
            <w:pPr>
              <w:widowControl w:val="0"/>
              <w:spacing w:line="600" w:lineRule="exact"/>
              <w:ind w:firstLine="0" w:firstLineChars="0"/>
              <w:jc w:val="center"/>
              <w:rPr>
                <w:color w:val="auto"/>
                <w:sz w:val="24"/>
              </w:rPr>
            </w:pPr>
            <w:r>
              <w:rPr>
                <w:rFonts w:hint="eastAsia" w:ascii="宋体" w:hAnsi="宋体" w:cs="宋体"/>
                <w:color w:val="auto"/>
                <w:sz w:val="24"/>
                <w:lang w:bidi="ar"/>
              </w:rPr>
              <w:t>名称</w:t>
            </w:r>
            <w:r>
              <w:rPr>
                <w:color w:val="auto"/>
                <w:sz w:val="24"/>
                <w:lang w:bidi="ar"/>
              </w:rPr>
              <w:t>(</w:t>
            </w:r>
            <w:r>
              <w:rPr>
                <w:rFonts w:hint="eastAsia" w:ascii="宋体" w:hAnsi="宋体" w:cs="宋体"/>
                <w:color w:val="auto"/>
                <w:sz w:val="24"/>
                <w:lang w:bidi="ar"/>
              </w:rPr>
              <w:t>或姓名</w:t>
            </w:r>
            <w:r>
              <w:rPr>
                <w:rFonts w:cs="Calibri"/>
                <w:color w:val="auto"/>
                <w:sz w:val="24"/>
                <w:lang w:bidi="ar"/>
              </w:rPr>
              <w:t>)</w:t>
            </w:r>
          </w:p>
        </w:tc>
        <w:tc>
          <w:tcPr>
            <w:tcW w:w="2466" w:type="pct"/>
            <w:gridSpan w:val="6"/>
            <w:tcBorders>
              <w:top w:val="single" w:color="auto" w:sz="4" w:space="0"/>
              <w:left w:val="nil"/>
              <w:bottom w:val="single" w:color="auto" w:sz="4" w:space="0"/>
              <w:right w:val="single" w:color="auto" w:sz="4" w:space="0"/>
            </w:tcBorders>
            <w:vAlign w:val="center"/>
          </w:tcPr>
          <w:p w14:paraId="4C7525A7">
            <w:pPr>
              <w:widowControl w:val="0"/>
              <w:spacing w:line="600" w:lineRule="exact"/>
              <w:ind w:firstLine="480"/>
              <w:rPr>
                <w:color w:val="auto"/>
                <w:sz w:val="24"/>
              </w:rPr>
            </w:pPr>
            <w:r>
              <w:rPr>
                <w:rFonts w:hint="eastAsia" w:ascii="宋体" w:hAnsi="宋体" w:eastAsia="宋体" w:cs="宋体"/>
                <w:color w:val="auto"/>
                <w:sz w:val="24"/>
                <w:szCs w:val="24"/>
                <w:lang w:val="en-US" w:eastAsia="zh-CN"/>
              </w:rPr>
              <w:t>任丘深能环保有限公司</w:t>
            </w:r>
          </w:p>
        </w:tc>
        <w:tc>
          <w:tcPr>
            <w:tcW w:w="1070" w:type="pct"/>
            <w:vMerge w:val="restart"/>
            <w:tcBorders>
              <w:top w:val="single" w:color="auto" w:sz="4" w:space="0"/>
              <w:left w:val="nil"/>
              <w:bottom w:val="single" w:color="auto" w:sz="4" w:space="0"/>
              <w:right w:val="single" w:color="auto" w:sz="4" w:space="0"/>
            </w:tcBorders>
          </w:tcPr>
          <w:p w14:paraId="08CD3E89">
            <w:pPr>
              <w:widowControl w:val="0"/>
              <w:spacing w:line="600" w:lineRule="exact"/>
              <w:ind w:firstLine="0" w:firstLineChars="0"/>
              <w:jc w:val="center"/>
              <w:rPr>
                <w:color w:val="auto"/>
                <w:sz w:val="24"/>
              </w:rPr>
            </w:pPr>
            <w:r>
              <w:rPr>
                <w:rFonts w:hint="eastAsia" w:ascii="宋体" w:hAnsi="宋体" w:cs="宋体"/>
                <w:color w:val="auto"/>
                <w:sz w:val="24"/>
                <w:lang w:bidi="ar"/>
              </w:rPr>
              <w:t>合同专用章</w:t>
            </w:r>
          </w:p>
          <w:p w14:paraId="09977F73">
            <w:pPr>
              <w:widowControl w:val="0"/>
              <w:spacing w:line="600" w:lineRule="exact"/>
              <w:ind w:firstLine="0" w:firstLineChars="0"/>
              <w:jc w:val="center"/>
              <w:rPr>
                <w:color w:val="auto"/>
                <w:sz w:val="24"/>
              </w:rPr>
            </w:pPr>
            <w:r>
              <w:rPr>
                <w:rFonts w:hint="eastAsia" w:ascii="宋体" w:hAnsi="宋体" w:cs="宋体"/>
                <w:color w:val="auto"/>
                <w:sz w:val="24"/>
                <w:lang w:bidi="ar"/>
              </w:rPr>
              <w:t>或</w:t>
            </w:r>
          </w:p>
          <w:p w14:paraId="10ACACB5">
            <w:pPr>
              <w:widowControl w:val="0"/>
              <w:spacing w:line="600" w:lineRule="exact"/>
              <w:ind w:firstLine="0" w:firstLineChars="0"/>
              <w:jc w:val="center"/>
              <w:rPr>
                <w:color w:val="auto"/>
                <w:sz w:val="24"/>
              </w:rPr>
            </w:pPr>
            <w:r>
              <w:rPr>
                <w:rFonts w:hint="eastAsia" w:ascii="宋体" w:hAnsi="宋体" w:cs="宋体"/>
                <w:color w:val="auto"/>
                <w:sz w:val="24"/>
                <w:lang w:bidi="ar"/>
              </w:rPr>
              <w:t>单位公章</w:t>
            </w:r>
          </w:p>
          <w:p w14:paraId="17266AEB">
            <w:pPr>
              <w:widowControl w:val="0"/>
              <w:spacing w:line="600" w:lineRule="exact"/>
              <w:ind w:firstLine="0" w:firstLineChars="0"/>
              <w:jc w:val="center"/>
              <w:rPr>
                <w:color w:val="auto"/>
                <w:sz w:val="24"/>
              </w:rPr>
            </w:pPr>
          </w:p>
          <w:p w14:paraId="6A77D8C8">
            <w:pPr>
              <w:widowControl w:val="0"/>
              <w:spacing w:line="600" w:lineRule="exact"/>
              <w:ind w:firstLine="0" w:firstLineChars="0"/>
              <w:jc w:val="center"/>
              <w:rPr>
                <w:color w:val="auto"/>
                <w:sz w:val="24"/>
              </w:rPr>
            </w:pPr>
          </w:p>
          <w:p w14:paraId="01868FED">
            <w:pPr>
              <w:widowControl w:val="0"/>
              <w:spacing w:line="600" w:lineRule="exact"/>
              <w:ind w:firstLine="0" w:firstLineChars="0"/>
              <w:jc w:val="center"/>
              <w:rPr>
                <w:color w:val="auto"/>
                <w:sz w:val="24"/>
              </w:rPr>
            </w:pPr>
          </w:p>
          <w:p w14:paraId="3B1F815E">
            <w:pPr>
              <w:widowControl w:val="0"/>
              <w:spacing w:line="600" w:lineRule="exact"/>
              <w:ind w:firstLine="0" w:firstLineChars="0"/>
              <w:jc w:val="center"/>
              <w:rPr>
                <w:color w:val="auto"/>
                <w:sz w:val="24"/>
              </w:rPr>
            </w:pPr>
          </w:p>
          <w:p w14:paraId="26BBF254">
            <w:pPr>
              <w:widowControl w:val="0"/>
              <w:spacing w:line="600" w:lineRule="exact"/>
              <w:ind w:right="-349" w:rightChars="-166" w:firstLine="0" w:firstLineChars="0"/>
              <w:jc w:val="center"/>
              <w:rPr>
                <w:color w:val="auto"/>
                <w:sz w:val="24"/>
              </w:rPr>
            </w:pPr>
          </w:p>
          <w:p w14:paraId="1012B01E">
            <w:pPr>
              <w:widowControl w:val="0"/>
              <w:spacing w:line="600" w:lineRule="exact"/>
              <w:ind w:firstLine="0" w:firstLineChars="0"/>
              <w:jc w:val="center"/>
              <w:rPr>
                <w:color w:val="auto"/>
                <w:sz w:val="24"/>
              </w:rPr>
            </w:pPr>
          </w:p>
          <w:p w14:paraId="3ECDDEEB">
            <w:pPr>
              <w:widowControl w:val="0"/>
              <w:spacing w:line="600" w:lineRule="exact"/>
              <w:ind w:firstLine="0" w:firstLineChars="0"/>
              <w:jc w:val="center"/>
              <w:rPr>
                <w:color w:val="auto"/>
                <w:sz w:val="24"/>
              </w:rPr>
            </w:pPr>
          </w:p>
          <w:p w14:paraId="1A03B2BF">
            <w:pPr>
              <w:widowControl w:val="0"/>
              <w:wordWrap w:val="0"/>
              <w:spacing w:line="600" w:lineRule="exact"/>
              <w:ind w:right="120" w:firstLine="0" w:firstLineChars="0"/>
              <w:jc w:val="center"/>
              <w:rPr>
                <w:rFonts w:cs="Calibri"/>
                <w:color w:val="auto"/>
                <w:sz w:val="24"/>
              </w:rPr>
            </w:pPr>
            <w:r>
              <w:rPr>
                <w:rFonts w:cs="Calibri"/>
                <w:color w:val="auto"/>
                <w:sz w:val="24"/>
                <w:lang w:bidi="ar"/>
              </w:rPr>
              <w:t xml:space="preserve">     </w:t>
            </w:r>
          </w:p>
          <w:p w14:paraId="387F1FAC">
            <w:pPr>
              <w:widowControl w:val="0"/>
              <w:wordWrap w:val="0"/>
              <w:spacing w:line="600" w:lineRule="exact"/>
              <w:ind w:right="120" w:firstLine="0" w:firstLineChars="0"/>
              <w:jc w:val="center"/>
              <w:rPr>
                <w:color w:val="auto"/>
                <w:sz w:val="24"/>
              </w:rPr>
            </w:pPr>
            <w:r>
              <w:rPr>
                <w:rFonts w:hint="eastAsia" w:cs="Calibri"/>
                <w:color w:val="auto"/>
                <w:sz w:val="24"/>
                <w:lang w:val="en-US" w:eastAsia="zh-CN" w:bidi="ar"/>
              </w:rPr>
              <w:t>2026</w:t>
            </w:r>
            <w:r>
              <w:rPr>
                <w:rFonts w:cs="Calibri"/>
                <w:color w:val="auto"/>
                <w:sz w:val="24"/>
                <w:lang w:bidi="ar"/>
              </w:rPr>
              <w:t xml:space="preserve"> </w:t>
            </w:r>
            <w:r>
              <w:rPr>
                <w:rFonts w:hint="eastAsia" w:ascii="宋体" w:hAnsi="宋体" w:cs="宋体"/>
                <w:color w:val="auto"/>
                <w:sz w:val="24"/>
                <w:lang w:bidi="ar"/>
              </w:rPr>
              <w:t>年</w:t>
            </w:r>
            <w:r>
              <w:rPr>
                <w:rFonts w:cs="Calibri"/>
                <w:color w:val="auto"/>
                <w:sz w:val="24"/>
                <w:lang w:bidi="ar"/>
              </w:rPr>
              <w:t xml:space="preserve">  </w:t>
            </w:r>
            <w:r>
              <w:rPr>
                <w:rFonts w:hint="eastAsia" w:ascii="宋体" w:hAnsi="宋体" w:cs="宋体"/>
                <w:color w:val="auto"/>
                <w:sz w:val="24"/>
                <w:lang w:bidi="ar"/>
              </w:rPr>
              <w:t>月</w:t>
            </w:r>
            <w:r>
              <w:rPr>
                <w:rFonts w:cs="Calibri"/>
                <w:color w:val="auto"/>
                <w:sz w:val="24"/>
                <w:lang w:bidi="ar"/>
              </w:rPr>
              <w:t xml:space="preserve">  </w:t>
            </w:r>
            <w:r>
              <w:rPr>
                <w:rFonts w:hint="eastAsia" w:ascii="宋体" w:hAnsi="宋体" w:cs="宋体"/>
                <w:color w:val="auto"/>
                <w:sz w:val="24"/>
                <w:lang w:bidi="ar"/>
              </w:rPr>
              <w:t>日</w:t>
            </w:r>
          </w:p>
        </w:tc>
      </w:tr>
      <w:tr w14:paraId="45E2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5391A7E2">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4ADF3B43">
            <w:pPr>
              <w:widowControl w:val="0"/>
              <w:spacing w:line="600" w:lineRule="exact"/>
              <w:ind w:firstLine="0" w:firstLineChars="0"/>
              <w:jc w:val="center"/>
              <w:rPr>
                <w:color w:val="auto"/>
                <w:sz w:val="24"/>
              </w:rPr>
            </w:pPr>
            <w:r>
              <w:rPr>
                <w:rFonts w:hint="eastAsia" w:ascii="宋体" w:hAnsi="宋体" w:cs="宋体"/>
                <w:color w:val="auto"/>
                <w:sz w:val="24"/>
                <w:lang w:bidi="ar"/>
              </w:rPr>
              <w:t>法定代表人</w:t>
            </w:r>
          </w:p>
        </w:tc>
        <w:tc>
          <w:tcPr>
            <w:tcW w:w="2466" w:type="pct"/>
            <w:gridSpan w:val="6"/>
            <w:tcBorders>
              <w:top w:val="single" w:color="auto" w:sz="4" w:space="0"/>
              <w:left w:val="nil"/>
              <w:bottom w:val="single" w:color="auto" w:sz="4" w:space="0"/>
              <w:right w:val="single" w:color="auto" w:sz="4" w:space="0"/>
            </w:tcBorders>
            <w:vAlign w:val="center"/>
          </w:tcPr>
          <w:p w14:paraId="1087D983">
            <w:pPr>
              <w:widowControl w:val="0"/>
              <w:spacing w:line="600" w:lineRule="exact"/>
              <w:ind w:firstLine="0" w:firstLineChars="0"/>
              <w:jc w:val="right"/>
              <w:rPr>
                <w:color w:val="auto"/>
                <w:sz w:val="24"/>
              </w:rPr>
            </w:pPr>
            <w:r>
              <w:rPr>
                <w:color w:val="auto"/>
                <w:sz w:val="24"/>
                <w:lang w:bidi="ar"/>
              </w:rPr>
              <w:t>(</w:t>
            </w:r>
            <w:r>
              <w:rPr>
                <w:rFonts w:hint="eastAsia" w:ascii="宋体" w:hAnsi="宋体" w:cs="宋体"/>
                <w:color w:val="auto"/>
                <w:sz w:val="24"/>
                <w:lang w:bidi="ar"/>
              </w:rPr>
              <w:t>签字或签章</w:t>
            </w:r>
            <w:r>
              <w:rPr>
                <w:color w:val="auto"/>
                <w:sz w:val="24"/>
                <w:lang w:bidi="ar"/>
              </w:rPr>
              <w:t>)</w:t>
            </w:r>
          </w:p>
        </w:tc>
        <w:tc>
          <w:tcPr>
            <w:tcW w:w="1070" w:type="pct"/>
            <w:vMerge w:val="continue"/>
            <w:tcBorders>
              <w:top w:val="single" w:color="auto" w:sz="4" w:space="0"/>
              <w:left w:val="nil"/>
              <w:bottom w:val="single" w:color="auto" w:sz="4" w:space="0"/>
              <w:right w:val="single" w:color="auto" w:sz="4" w:space="0"/>
            </w:tcBorders>
          </w:tcPr>
          <w:p w14:paraId="453D1257">
            <w:pPr>
              <w:widowControl w:val="0"/>
              <w:spacing w:line="240" w:lineRule="auto"/>
              <w:ind w:firstLine="0" w:firstLineChars="0"/>
              <w:rPr>
                <w:color w:val="auto"/>
                <w:sz w:val="20"/>
                <w:szCs w:val="20"/>
              </w:rPr>
            </w:pPr>
          </w:p>
        </w:tc>
      </w:tr>
      <w:tr w14:paraId="600D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271679B4">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7FF9C87C">
            <w:pPr>
              <w:widowControl w:val="0"/>
              <w:spacing w:line="600" w:lineRule="exact"/>
              <w:ind w:firstLine="0" w:firstLineChars="0"/>
              <w:jc w:val="center"/>
              <w:rPr>
                <w:color w:val="auto"/>
                <w:sz w:val="24"/>
              </w:rPr>
            </w:pPr>
            <w:r>
              <w:rPr>
                <w:rFonts w:hint="eastAsia" w:ascii="宋体" w:hAnsi="宋体" w:eastAsia="宋体" w:cs="宋体"/>
                <w:color w:val="auto"/>
                <w:sz w:val="24"/>
                <w:lang w:bidi="ar"/>
              </w:rPr>
              <w:t>授权代表人</w:t>
            </w:r>
          </w:p>
        </w:tc>
        <w:tc>
          <w:tcPr>
            <w:tcW w:w="2466" w:type="pct"/>
            <w:gridSpan w:val="6"/>
            <w:tcBorders>
              <w:top w:val="single" w:color="auto" w:sz="4" w:space="0"/>
              <w:left w:val="nil"/>
              <w:bottom w:val="single" w:color="auto" w:sz="4" w:space="0"/>
              <w:right w:val="single" w:color="auto" w:sz="4" w:space="0"/>
            </w:tcBorders>
            <w:vAlign w:val="center"/>
          </w:tcPr>
          <w:p w14:paraId="0486FFA7">
            <w:pPr>
              <w:widowControl w:val="0"/>
              <w:spacing w:line="600" w:lineRule="exact"/>
              <w:ind w:firstLine="0" w:firstLineChars="0"/>
              <w:jc w:val="right"/>
              <w:rPr>
                <w:color w:val="auto"/>
                <w:sz w:val="24"/>
              </w:rPr>
            </w:pPr>
            <w:r>
              <w:rPr>
                <w:color w:val="auto"/>
                <w:sz w:val="24"/>
                <w:lang w:bidi="ar"/>
              </w:rPr>
              <w:t>(</w:t>
            </w:r>
            <w:r>
              <w:rPr>
                <w:rFonts w:hint="eastAsia" w:ascii="宋体" w:hAnsi="宋体" w:cs="宋体"/>
                <w:color w:val="auto"/>
                <w:sz w:val="24"/>
                <w:lang w:bidi="ar"/>
              </w:rPr>
              <w:t>签字或签章</w:t>
            </w:r>
            <w:r>
              <w:rPr>
                <w:color w:val="auto"/>
                <w:sz w:val="24"/>
                <w:lang w:bidi="ar"/>
              </w:rPr>
              <w:t>)</w:t>
            </w:r>
          </w:p>
        </w:tc>
        <w:tc>
          <w:tcPr>
            <w:tcW w:w="1070" w:type="pct"/>
            <w:vMerge w:val="continue"/>
            <w:tcBorders>
              <w:top w:val="single" w:color="auto" w:sz="4" w:space="0"/>
              <w:left w:val="nil"/>
              <w:bottom w:val="single" w:color="auto" w:sz="4" w:space="0"/>
              <w:right w:val="single" w:color="auto" w:sz="4" w:space="0"/>
            </w:tcBorders>
          </w:tcPr>
          <w:p w14:paraId="58FEC96E">
            <w:pPr>
              <w:widowControl w:val="0"/>
              <w:spacing w:line="240" w:lineRule="auto"/>
              <w:ind w:firstLine="0" w:firstLineChars="0"/>
              <w:rPr>
                <w:color w:val="auto"/>
                <w:sz w:val="20"/>
                <w:szCs w:val="20"/>
              </w:rPr>
            </w:pPr>
          </w:p>
        </w:tc>
      </w:tr>
      <w:tr w14:paraId="4F9C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60DE7DD6">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53DD50A7">
            <w:pPr>
              <w:widowControl w:val="0"/>
              <w:spacing w:line="600" w:lineRule="exact"/>
              <w:ind w:firstLine="0" w:firstLineChars="0"/>
              <w:jc w:val="center"/>
              <w:rPr>
                <w:color w:val="auto"/>
                <w:sz w:val="24"/>
              </w:rPr>
            </w:pPr>
            <w:r>
              <w:rPr>
                <w:rFonts w:hint="eastAsia" w:ascii="宋体" w:hAnsi="宋体" w:cs="宋体"/>
                <w:color w:val="auto"/>
                <w:sz w:val="24"/>
                <w:lang w:bidi="ar"/>
              </w:rPr>
              <w:t>联系</w:t>
            </w:r>
            <w:r>
              <w:rPr>
                <w:color w:val="auto"/>
                <w:sz w:val="24"/>
                <w:lang w:bidi="ar"/>
              </w:rPr>
              <w:t>(</w:t>
            </w:r>
            <w:r>
              <w:rPr>
                <w:rFonts w:hint="eastAsia" w:ascii="宋体" w:hAnsi="宋体" w:cs="宋体"/>
                <w:color w:val="auto"/>
                <w:sz w:val="24"/>
                <w:lang w:bidi="ar"/>
              </w:rPr>
              <w:t>经办</w:t>
            </w:r>
            <w:r>
              <w:rPr>
                <w:rFonts w:cs="Calibri"/>
                <w:color w:val="auto"/>
                <w:sz w:val="24"/>
                <w:lang w:bidi="ar"/>
              </w:rPr>
              <w:t>)</w:t>
            </w:r>
            <w:r>
              <w:rPr>
                <w:rFonts w:hint="eastAsia" w:ascii="宋体" w:hAnsi="宋体" w:cs="宋体"/>
                <w:color w:val="auto"/>
                <w:sz w:val="24"/>
                <w:lang w:bidi="ar"/>
              </w:rPr>
              <w:t>人</w:t>
            </w:r>
          </w:p>
        </w:tc>
        <w:tc>
          <w:tcPr>
            <w:tcW w:w="2466" w:type="pct"/>
            <w:gridSpan w:val="6"/>
            <w:tcBorders>
              <w:top w:val="single" w:color="auto" w:sz="4" w:space="0"/>
              <w:left w:val="nil"/>
              <w:bottom w:val="single" w:color="auto" w:sz="4" w:space="0"/>
              <w:right w:val="single" w:color="auto" w:sz="4" w:space="0"/>
            </w:tcBorders>
            <w:vAlign w:val="center"/>
          </w:tcPr>
          <w:p w14:paraId="42DDCE8D">
            <w:pPr>
              <w:widowControl w:val="0"/>
              <w:spacing w:line="600" w:lineRule="exact"/>
              <w:ind w:firstLine="0" w:firstLineChars="0"/>
              <w:jc w:val="center"/>
              <w:rPr>
                <w:rFonts w:hint="eastAsia" w:eastAsia="宋体"/>
                <w:color w:val="auto"/>
                <w:sz w:val="24"/>
                <w:lang w:eastAsia="zh-CN"/>
              </w:rPr>
            </w:pPr>
            <w:r>
              <w:rPr>
                <w:rFonts w:hint="eastAsia" w:ascii="宋体" w:hAnsi="宋体" w:cs="宋体"/>
                <w:color w:val="auto"/>
                <w:sz w:val="24"/>
                <w:lang w:val="en-US" w:eastAsia="zh-CN" w:bidi="ar"/>
              </w:rPr>
              <w:t>刘显</w:t>
            </w:r>
          </w:p>
        </w:tc>
        <w:tc>
          <w:tcPr>
            <w:tcW w:w="1070" w:type="pct"/>
            <w:vMerge w:val="continue"/>
            <w:tcBorders>
              <w:top w:val="single" w:color="auto" w:sz="4" w:space="0"/>
              <w:left w:val="nil"/>
              <w:bottom w:val="single" w:color="auto" w:sz="4" w:space="0"/>
              <w:right w:val="single" w:color="auto" w:sz="4" w:space="0"/>
            </w:tcBorders>
          </w:tcPr>
          <w:p w14:paraId="2B9CB12A">
            <w:pPr>
              <w:widowControl w:val="0"/>
              <w:spacing w:line="240" w:lineRule="auto"/>
              <w:ind w:firstLine="0" w:firstLineChars="0"/>
              <w:rPr>
                <w:color w:val="auto"/>
                <w:sz w:val="20"/>
                <w:szCs w:val="20"/>
              </w:rPr>
            </w:pPr>
          </w:p>
        </w:tc>
      </w:tr>
      <w:tr w14:paraId="5901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67865CB4">
            <w:pPr>
              <w:widowControl w:val="0"/>
              <w:spacing w:line="240" w:lineRule="auto"/>
              <w:ind w:firstLine="0" w:firstLineChars="0"/>
              <w:rPr>
                <w:color w:val="auto"/>
                <w:sz w:val="20"/>
                <w:szCs w:val="20"/>
              </w:rPr>
            </w:pPr>
          </w:p>
        </w:tc>
        <w:tc>
          <w:tcPr>
            <w:tcW w:w="854" w:type="pct"/>
            <w:vMerge w:val="restart"/>
            <w:tcBorders>
              <w:top w:val="nil"/>
              <w:left w:val="nil"/>
              <w:bottom w:val="single" w:color="auto" w:sz="4" w:space="0"/>
              <w:right w:val="single" w:color="auto" w:sz="4" w:space="0"/>
            </w:tcBorders>
            <w:vAlign w:val="center"/>
          </w:tcPr>
          <w:p w14:paraId="29C38D0A">
            <w:pPr>
              <w:widowControl w:val="0"/>
              <w:spacing w:line="600" w:lineRule="exact"/>
              <w:ind w:firstLine="0" w:firstLineChars="0"/>
              <w:jc w:val="center"/>
              <w:rPr>
                <w:color w:val="auto"/>
                <w:sz w:val="24"/>
              </w:rPr>
            </w:pPr>
            <w:r>
              <w:rPr>
                <w:rFonts w:hint="eastAsia" w:ascii="宋体" w:hAnsi="宋体" w:cs="宋体"/>
                <w:color w:val="auto"/>
                <w:sz w:val="24"/>
                <w:lang w:bidi="ar"/>
              </w:rPr>
              <w:t>住所</w:t>
            </w:r>
          </w:p>
          <w:p w14:paraId="207B252A">
            <w:pPr>
              <w:widowControl w:val="0"/>
              <w:spacing w:line="600" w:lineRule="exact"/>
              <w:ind w:firstLine="0" w:firstLineChars="0"/>
              <w:jc w:val="center"/>
              <w:rPr>
                <w:color w:val="auto"/>
                <w:sz w:val="24"/>
              </w:rPr>
            </w:pPr>
            <w:r>
              <w:rPr>
                <w:color w:val="auto"/>
                <w:sz w:val="24"/>
                <w:lang w:bidi="ar"/>
              </w:rPr>
              <w:t>(</w:t>
            </w:r>
            <w:r>
              <w:rPr>
                <w:rFonts w:hint="eastAsia" w:ascii="宋体" w:hAnsi="宋体" w:cs="宋体"/>
                <w:color w:val="auto"/>
                <w:sz w:val="24"/>
                <w:lang w:bidi="ar"/>
              </w:rPr>
              <w:t>通讯地址</w:t>
            </w:r>
            <w:r>
              <w:rPr>
                <w:rFonts w:cs="Calibri"/>
                <w:color w:val="auto"/>
                <w:sz w:val="24"/>
                <w:lang w:bidi="ar"/>
              </w:rPr>
              <w:t>)</w:t>
            </w:r>
          </w:p>
        </w:tc>
        <w:tc>
          <w:tcPr>
            <w:tcW w:w="1408" w:type="pct"/>
            <w:gridSpan w:val="2"/>
            <w:vMerge w:val="restart"/>
            <w:tcBorders>
              <w:top w:val="nil"/>
              <w:left w:val="nil"/>
              <w:bottom w:val="single" w:color="auto" w:sz="4" w:space="0"/>
              <w:right w:val="single" w:color="auto" w:sz="4" w:space="0"/>
            </w:tcBorders>
            <w:vAlign w:val="center"/>
          </w:tcPr>
          <w:p w14:paraId="2783D351">
            <w:pPr>
              <w:widowControl w:val="0"/>
              <w:spacing w:line="600" w:lineRule="exact"/>
              <w:ind w:firstLine="0" w:firstLineChars="0"/>
              <w:jc w:val="center"/>
              <w:rPr>
                <w:color w:val="auto"/>
                <w:sz w:val="24"/>
              </w:rPr>
            </w:pPr>
            <w:r>
              <w:rPr>
                <w:rFonts w:hint="eastAsia" w:ascii="宋体" w:hAnsi="宋体" w:eastAsia="宋体" w:cs="宋体"/>
                <w:color w:val="auto"/>
                <w:sz w:val="24"/>
                <w:szCs w:val="24"/>
                <w:lang w:val="en-US" w:eastAsia="zh-CN"/>
              </w:rPr>
              <w:t xml:space="preserve">任丘市议论堡乡石村村北、议论堡第二砖厂（野王庄砖厂）南侧 </w:t>
            </w:r>
          </w:p>
        </w:tc>
        <w:tc>
          <w:tcPr>
            <w:tcW w:w="381" w:type="pct"/>
            <w:gridSpan w:val="2"/>
            <w:vMerge w:val="restart"/>
            <w:tcBorders>
              <w:top w:val="nil"/>
              <w:left w:val="nil"/>
              <w:bottom w:val="single" w:color="auto" w:sz="4" w:space="0"/>
              <w:right w:val="single" w:color="auto" w:sz="4" w:space="0"/>
            </w:tcBorders>
            <w:vAlign w:val="center"/>
          </w:tcPr>
          <w:p w14:paraId="3632DE33">
            <w:pPr>
              <w:widowControl w:val="0"/>
              <w:spacing w:line="600" w:lineRule="exact"/>
              <w:ind w:firstLine="0" w:firstLineChars="0"/>
              <w:jc w:val="center"/>
              <w:rPr>
                <w:color w:val="auto"/>
                <w:sz w:val="24"/>
              </w:rPr>
            </w:pPr>
            <w:r>
              <w:rPr>
                <w:rFonts w:hint="eastAsia" w:ascii="宋体" w:hAnsi="宋体" w:cs="宋体"/>
                <w:color w:val="auto"/>
                <w:sz w:val="24"/>
                <w:lang w:bidi="ar"/>
              </w:rPr>
              <w:t>邮政</w:t>
            </w:r>
          </w:p>
          <w:p w14:paraId="186F42A9">
            <w:pPr>
              <w:widowControl w:val="0"/>
              <w:spacing w:line="600" w:lineRule="exact"/>
              <w:ind w:firstLine="0" w:firstLineChars="0"/>
              <w:jc w:val="center"/>
              <w:rPr>
                <w:color w:val="auto"/>
                <w:sz w:val="24"/>
              </w:rPr>
            </w:pPr>
            <w:r>
              <w:rPr>
                <w:rFonts w:hint="eastAsia" w:ascii="宋体" w:hAnsi="宋体" w:cs="宋体"/>
                <w:color w:val="auto"/>
                <w:sz w:val="24"/>
                <w:lang w:bidi="ar"/>
              </w:rPr>
              <w:t>编码</w:t>
            </w:r>
          </w:p>
        </w:tc>
        <w:tc>
          <w:tcPr>
            <w:tcW w:w="677" w:type="pct"/>
            <w:gridSpan w:val="2"/>
            <w:vMerge w:val="restart"/>
            <w:tcBorders>
              <w:top w:val="single" w:color="auto" w:sz="4" w:space="0"/>
              <w:left w:val="nil"/>
              <w:bottom w:val="single" w:color="auto" w:sz="4" w:space="0"/>
              <w:right w:val="single" w:color="auto" w:sz="4" w:space="0"/>
            </w:tcBorders>
            <w:vAlign w:val="center"/>
          </w:tcPr>
          <w:p w14:paraId="59FF4229">
            <w:pPr>
              <w:widowControl w:val="0"/>
              <w:spacing w:line="600" w:lineRule="exact"/>
              <w:ind w:firstLine="0" w:firstLineChars="0"/>
              <w:jc w:val="center"/>
              <w:rPr>
                <w:color w:val="auto"/>
                <w:sz w:val="24"/>
              </w:rPr>
            </w:pPr>
            <w:r>
              <w:rPr>
                <w:rFonts w:hint="eastAsia" w:ascii="宋体" w:hAnsi="宋体" w:eastAsia="宋体" w:cs="宋体"/>
                <w:color w:val="auto"/>
                <w:sz w:val="24"/>
                <w:szCs w:val="24"/>
                <w:lang w:val="en-US" w:eastAsia="zh-CN"/>
              </w:rPr>
              <w:t>062550</w:t>
            </w:r>
          </w:p>
        </w:tc>
        <w:tc>
          <w:tcPr>
            <w:tcW w:w="1070" w:type="pct"/>
            <w:vMerge w:val="continue"/>
            <w:tcBorders>
              <w:top w:val="single" w:color="auto" w:sz="4" w:space="0"/>
              <w:left w:val="nil"/>
              <w:bottom w:val="single" w:color="auto" w:sz="4" w:space="0"/>
              <w:right w:val="single" w:color="auto" w:sz="4" w:space="0"/>
            </w:tcBorders>
          </w:tcPr>
          <w:p w14:paraId="762959D7">
            <w:pPr>
              <w:widowControl w:val="0"/>
              <w:spacing w:line="240" w:lineRule="auto"/>
              <w:ind w:firstLine="0" w:firstLineChars="0"/>
              <w:rPr>
                <w:color w:val="auto"/>
                <w:sz w:val="20"/>
                <w:szCs w:val="20"/>
              </w:rPr>
            </w:pPr>
          </w:p>
        </w:tc>
      </w:tr>
      <w:tr w14:paraId="6756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26ED3CCB">
            <w:pPr>
              <w:widowControl w:val="0"/>
              <w:spacing w:line="240" w:lineRule="auto"/>
              <w:ind w:firstLine="0" w:firstLineChars="0"/>
              <w:rPr>
                <w:color w:val="auto"/>
                <w:sz w:val="20"/>
                <w:szCs w:val="20"/>
              </w:rPr>
            </w:pPr>
          </w:p>
        </w:tc>
        <w:tc>
          <w:tcPr>
            <w:tcW w:w="854" w:type="pct"/>
            <w:vMerge w:val="continue"/>
            <w:tcBorders>
              <w:top w:val="nil"/>
              <w:left w:val="nil"/>
              <w:bottom w:val="single" w:color="auto" w:sz="4" w:space="0"/>
              <w:right w:val="single" w:color="auto" w:sz="4" w:space="0"/>
            </w:tcBorders>
            <w:vAlign w:val="center"/>
          </w:tcPr>
          <w:p w14:paraId="58F3A87B">
            <w:pPr>
              <w:widowControl w:val="0"/>
              <w:spacing w:line="240" w:lineRule="auto"/>
              <w:ind w:firstLine="0" w:firstLineChars="0"/>
              <w:rPr>
                <w:color w:val="auto"/>
                <w:sz w:val="20"/>
                <w:szCs w:val="20"/>
              </w:rPr>
            </w:pPr>
          </w:p>
        </w:tc>
        <w:tc>
          <w:tcPr>
            <w:tcW w:w="1408" w:type="pct"/>
            <w:gridSpan w:val="2"/>
            <w:vMerge w:val="continue"/>
            <w:tcBorders>
              <w:top w:val="nil"/>
              <w:left w:val="nil"/>
              <w:bottom w:val="single" w:color="auto" w:sz="4" w:space="0"/>
              <w:right w:val="single" w:color="auto" w:sz="4" w:space="0"/>
            </w:tcBorders>
            <w:vAlign w:val="center"/>
          </w:tcPr>
          <w:p w14:paraId="677A3CC3">
            <w:pPr>
              <w:widowControl w:val="0"/>
              <w:spacing w:line="240" w:lineRule="auto"/>
              <w:ind w:firstLine="0" w:firstLineChars="0"/>
              <w:rPr>
                <w:color w:val="auto"/>
                <w:sz w:val="20"/>
                <w:szCs w:val="20"/>
              </w:rPr>
            </w:pPr>
          </w:p>
        </w:tc>
        <w:tc>
          <w:tcPr>
            <w:tcW w:w="381" w:type="pct"/>
            <w:gridSpan w:val="2"/>
            <w:vMerge w:val="continue"/>
            <w:tcBorders>
              <w:top w:val="nil"/>
              <w:left w:val="nil"/>
              <w:bottom w:val="single" w:color="auto" w:sz="4" w:space="0"/>
              <w:right w:val="single" w:color="auto" w:sz="4" w:space="0"/>
            </w:tcBorders>
            <w:vAlign w:val="center"/>
          </w:tcPr>
          <w:p w14:paraId="2D7AA52A">
            <w:pPr>
              <w:widowControl w:val="0"/>
              <w:spacing w:line="240" w:lineRule="auto"/>
              <w:ind w:firstLine="0" w:firstLineChars="0"/>
              <w:rPr>
                <w:color w:val="auto"/>
                <w:sz w:val="20"/>
                <w:szCs w:val="20"/>
              </w:rPr>
            </w:pPr>
          </w:p>
        </w:tc>
        <w:tc>
          <w:tcPr>
            <w:tcW w:w="677" w:type="pct"/>
            <w:gridSpan w:val="2"/>
            <w:vMerge w:val="continue"/>
            <w:tcBorders>
              <w:top w:val="single" w:color="auto" w:sz="4" w:space="0"/>
              <w:left w:val="nil"/>
              <w:bottom w:val="single" w:color="auto" w:sz="4" w:space="0"/>
              <w:right w:val="single" w:color="auto" w:sz="4" w:space="0"/>
            </w:tcBorders>
            <w:vAlign w:val="center"/>
          </w:tcPr>
          <w:p w14:paraId="399E7493">
            <w:pPr>
              <w:widowControl w:val="0"/>
              <w:spacing w:line="240" w:lineRule="auto"/>
              <w:ind w:firstLine="0" w:firstLineChars="0"/>
              <w:rPr>
                <w:color w:val="auto"/>
                <w:sz w:val="20"/>
                <w:szCs w:val="20"/>
              </w:rPr>
            </w:pPr>
          </w:p>
        </w:tc>
        <w:tc>
          <w:tcPr>
            <w:tcW w:w="1070" w:type="pct"/>
            <w:vMerge w:val="continue"/>
            <w:tcBorders>
              <w:top w:val="single" w:color="auto" w:sz="4" w:space="0"/>
              <w:left w:val="nil"/>
              <w:bottom w:val="single" w:color="auto" w:sz="4" w:space="0"/>
              <w:right w:val="single" w:color="auto" w:sz="4" w:space="0"/>
            </w:tcBorders>
          </w:tcPr>
          <w:p w14:paraId="5F3D6E1F">
            <w:pPr>
              <w:widowControl w:val="0"/>
              <w:spacing w:line="240" w:lineRule="auto"/>
              <w:ind w:firstLine="0" w:firstLineChars="0"/>
              <w:rPr>
                <w:color w:val="auto"/>
                <w:sz w:val="20"/>
                <w:szCs w:val="20"/>
              </w:rPr>
            </w:pPr>
          </w:p>
        </w:tc>
      </w:tr>
      <w:tr w14:paraId="308D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3B1574A0">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21336514">
            <w:pPr>
              <w:widowControl w:val="0"/>
              <w:spacing w:line="600" w:lineRule="exact"/>
              <w:ind w:firstLine="0" w:firstLineChars="0"/>
              <w:jc w:val="center"/>
              <w:rPr>
                <w:color w:val="auto"/>
                <w:sz w:val="24"/>
              </w:rPr>
            </w:pPr>
            <w:r>
              <w:rPr>
                <w:rFonts w:hint="eastAsia" w:ascii="宋体" w:hAnsi="宋体" w:cs="宋体"/>
                <w:color w:val="auto"/>
                <w:sz w:val="24"/>
                <w:lang w:bidi="ar"/>
              </w:rPr>
              <w:t>电话</w:t>
            </w:r>
          </w:p>
        </w:tc>
        <w:tc>
          <w:tcPr>
            <w:tcW w:w="1042" w:type="pct"/>
            <w:tcBorders>
              <w:top w:val="single" w:color="auto" w:sz="4" w:space="0"/>
              <w:left w:val="nil"/>
              <w:bottom w:val="single" w:color="auto" w:sz="4" w:space="0"/>
              <w:right w:val="single" w:color="auto" w:sz="4" w:space="0"/>
            </w:tcBorders>
            <w:vAlign w:val="center"/>
          </w:tcPr>
          <w:p w14:paraId="2029C4A0">
            <w:pPr>
              <w:widowControl w:val="0"/>
              <w:spacing w:line="600" w:lineRule="exact"/>
              <w:ind w:firstLine="0" w:firstLineChars="0"/>
              <w:jc w:val="center"/>
              <w:rPr>
                <w:rFonts w:hint="default" w:eastAsia="宋体"/>
                <w:color w:val="auto"/>
                <w:sz w:val="24"/>
                <w:lang w:val="en-US" w:eastAsia="zh-CN"/>
              </w:rPr>
            </w:pPr>
            <w:r>
              <w:rPr>
                <w:rFonts w:hint="eastAsia"/>
                <w:color w:val="auto"/>
                <w:sz w:val="24"/>
                <w:lang w:val="en-US" w:eastAsia="zh-CN"/>
              </w:rPr>
              <w:t>13341111058</w:t>
            </w:r>
          </w:p>
        </w:tc>
        <w:tc>
          <w:tcPr>
            <w:tcW w:w="365" w:type="pct"/>
            <w:tcBorders>
              <w:top w:val="single" w:color="auto" w:sz="4" w:space="0"/>
              <w:left w:val="nil"/>
              <w:bottom w:val="nil"/>
              <w:right w:val="single" w:color="auto" w:sz="4" w:space="0"/>
            </w:tcBorders>
            <w:vAlign w:val="center"/>
          </w:tcPr>
          <w:p w14:paraId="4B56871F">
            <w:pPr>
              <w:widowControl w:val="0"/>
              <w:spacing w:line="600" w:lineRule="exact"/>
              <w:ind w:firstLine="0" w:firstLineChars="0"/>
              <w:jc w:val="center"/>
              <w:rPr>
                <w:color w:val="auto"/>
                <w:sz w:val="24"/>
              </w:rPr>
            </w:pPr>
            <w:r>
              <w:rPr>
                <w:rFonts w:hint="eastAsia" w:ascii="宋体" w:hAnsi="宋体" w:cs="宋体"/>
                <w:color w:val="auto"/>
                <w:sz w:val="24"/>
                <w:lang w:bidi="ar"/>
              </w:rPr>
              <w:t>邮箱</w:t>
            </w:r>
          </w:p>
        </w:tc>
        <w:tc>
          <w:tcPr>
            <w:tcW w:w="1058" w:type="pct"/>
            <w:gridSpan w:val="4"/>
            <w:tcBorders>
              <w:top w:val="single" w:color="auto" w:sz="4" w:space="0"/>
              <w:left w:val="nil"/>
              <w:bottom w:val="single" w:color="auto" w:sz="4" w:space="0"/>
              <w:right w:val="single" w:color="auto" w:sz="4" w:space="0"/>
            </w:tcBorders>
          </w:tcPr>
          <w:p w14:paraId="2382546B">
            <w:pPr>
              <w:widowControl w:val="0"/>
              <w:spacing w:line="600" w:lineRule="exact"/>
              <w:ind w:firstLine="0" w:firstLineChars="0"/>
              <w:jc w:val="left"/>
              <w:rPr>
                <w:rFonts w:hint="default" w:eastAsia="宋体"/>
                <w:color w:val="auto"/>
                <w:sz w:val="24"/>
                <w:lang w:val="en-US" w:eastAsia="zh-CN"/>
              </w:rPr>
            </w:pPr>
          </w:p>
        </w:tc>
        <w:tc>
          <w:tcPr>
            <w:tcW w:w="1070" w:type="pct"/>
            <w:vMerge w:val="continue"/>
            <w:tcBorders>
              <w:top w:val="single" w:color="auto" w:sz="4" w:space="0"/>
              <w:left w:val="nil"/>
              <w:bottom w:val="single" w:color="auto" w:sz="4" w:space="0"/>
              <w:right w:val="single" w:color="auto" w:sz="4" w:space="0"/>
            </w:tcBorders>
          </w:tcPr>
          <w:p w14:paraId="58D84419">
            <w:pPr>
              <w:widowControl w:val="0"/>
              <w:spacing w:line="240" w:lineRule="auto"/>
              <w:ind w:firstLine="0" w:firstLineChars="0"/>
              <w:rPr>
                <w:color w:val="auto"/>
                <w:sz w:val="20"/>
                <w:szCs w:val="20"/>
              </w:rPr>
            </w:pPr>
          </w:p>
        </w:tc>
      </w:tr>
      <w:tr w14:paraId="5729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280F1F73">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6549E329">
            <w:pPr>
              <w:widowControl w:val="0"/>
              <w:spacing w:line="600" w:lineRule="exact"/>
              <w:ind w:firstLine="0" w:firstLineChars="0"/>
              <w:jc w:val="center"/>
              <w:rPr>
                <w:color w:val="auto"/>
                <w:sz w:val="24"/>
              </w:rPr>
            </w:pPr>
            <w:r>
              <w:rPr>
                <w:rFonts w:hint="eastAsia" w:ascii="宋体" w:hAnsi="宋体" w:cs="宋体"/>
                <w:color w:val="auto"/>
                <w:sz w:val="24"/>
                <w:lang w:bidi="ar"/>
              </w:rPr>
              <w:t>开户银行</w:t>
            </w:r>
          </w:p>
        </w:tc>
        <w:tc>
          <w:tcPr>
            <w:tcW w:w="2466" w:type="pct"/>
            <w:gridSpan w:val="6"/>
            <w:tcBorders>
              <w:top w:val="single" w:color="auto" w:sz="4" w:space="0"/>
              <w:left w:val="nil"/>
              <w:bottom w:val="single" w:color="auto" w:sz="4" w:space="0"/>
              <w:right w:val="single" w:color="auto" w:sz="4" w:space="0"/>
            </w:tcBorders>
            <w:vAlign w:val="center"/>
          </w:tcPr>
          <w:p w14:paraId="7D7D97A7">
            <w:pPr>
              <w:widowControl w:val="0"/>
              <w:spacing w:line="600" w:lineRule="exact"/>
              <w:ind w:firstLine="0" w:firstLineChars="0"/>
              <w:jc w:val="center"/>
              <w:rPr>
                <w:color w:val="auto"/>
                <w:sz w:val="24"/>
              </w:rPr>
            </w:pPr>
            <w:r>
              <w:rPr>
                <w:rFonts w:hint="eastAsia" w:ascii="宋体" w:hAnsi="宋体" w:eastAsia="宋体" w:cs="Times New Roman"/>
                <w:b w:val="0"/>
                <w:bCs w:val="0"/>
                <w:color w:val="auto"/>
                <w:sz w:val="24"/>
                <w:highlight w:val="none"/>
                <w:lang w:val="en-US" w:eastAsia="zh-CN"/>
              </w:rPr>
              <w:t>中国银行华北油田支行</w:t>
            </w:r>
          </w:p>
        </w:tc>
        <w:tc>
          <w:tcPr>
            <w:tcW w:w="1070" w:type="pct"/>
            <w:vMerge w:val="continue"/>
            <w:tcBorders>
              <w:top w:val="single" w:color="auto" w:sz="4" w:space="0"/>
              <w:left w:val="nil"/>
              <w:bottom w:val="single" w:color="auto" w:sz="4" w:space="0"/>
              <w:right w:val="single" w:color="auto" w:sz="4" w:space="0"/>
            </w:tcBorders>
          </w:tcPr>
          <w:p w14:paraId="3CCE4991">
            <w:pPr>
              <w:widowControl w:val="0"/>
              <w:spacing w:line="240" w:lineRule="auto"/>
              <w:ind w:firstLine="0" w:firstLineChars="0"/>
              <w:rPr>
                <w:color w:val="auto"/>
                <w:sz w:val="20"/>
                <w:szCs w:val="20"/>
              </w:rPr>
            </w:pPr>
          </w:p>
        </w:tc>
      </w:tr>
      <w:tr w14:paraId="7C38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single" w:color="auto" w:sz="4" w:space="0"/>
              <w:left w:val="single" w:color="auto" w:sz="4" w:space="0"/>
              <w:bottom w:val="single" w:color="auto" w:sz="4" w:space="0"/>
              <w:right w:val="single" w:color="auto" w:sz="4" w:space="0"/>
            </w:tcBorders>
            <w:vAlign w:val="center"/>
          </w:tcPr>
          <w:p w14:paraId="5C2B384D">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728FF2AE">
            <w:pPr>
              <w:widowControl w:val="0"/>
              <w:spacing w:line="600" w:lineRule="exact"/>
              <w:ind w:firstLine="0" w:firstLineChars="0"/>
              <w:jc w:val="center"/>
              <w:rPr>
                <w:color w:val="auto"/>
                <w:sz w:val="24"/>
              </w:rPr>
            </w:pPr>
            <w:r>
              <w:rPr>
                <w:rFonts w:hint="eastAsia" w:ascii="宋体" w:hAnsi="宋体" w:cs="宋体"/>
                <w:color w:val="auto"/>
                <w:sz w:val="24"/>
                <w:lang w:bidi="ar"/>
              </w:rPr>
              <w:t>账号</w:t>
            </w:r>
          </w:p>
        </w:tc>
        <w:tc>
          <w:tcPr>
            <w:tcW w:w="2466" w:type="pct"/>
            <w:gridSpan w:val="6"/>
            <w:tcBorders>
              <w:top w:val="single" w:color="auto" w:sz="4" w:space="0"/>
              <w:left w:val="nil"/>
              <w:bottom w:val="single" w:color="auto" w:sz="4" w:space="0"/>
              <w:right w:val="single" w:color="auto" w:sz="4" w:space="0"/>
            </w:tcBorders>
            <w:vAlign w:val="center"/>
          </w:tcPr>
          <w:p w14:paraId="577CB16E">
            <w:pPr>
              <w:widowControl w:val="0"/>
              <w:spacing w:line="600" w:lineRule="exact"/>
              <w:ind w:firstLine="0" w:firstLineChars="0"/>
              <w:jc w:val="center"/>
              <w:rPr>
                <w:color w:val="auto"/>
                <w:sz w:val="24"/>
              </w:rPr>
            </w:pPr>
            <w:r>
              <w:rPr>
                <w:rFonts w:hint="eastAsia"/>
                <w:color w:val="auto"/>
                <w:sz w:val="24"/>
              </w:rPr>
              <w:t>1008 2746 5254</w:t>
            </w:r>
          </w:p>
        </w:tc>
        <w:tc>
          <w:tcPr>
            <w:tcW w:w="1070" w:type="pct"/>
            <w:vMerge w:val="continue"/>
            <w:tcBorders>
              <w:top w:val="single" w:color="auto" w:sz="4" w:space="0"/>
              <w:left w:val="nil"/>
              <w:bottom w:val="single" w:color="auto" w:sz="4" w:space="0"/>
              <w:right w:val="single" w:color="auto" w:sz="4" w:space="0"/>
            </w:tcBorders>
          </w:tcPr>
          <w:p w14:paraId="50679DD2">
            <w:pPr>
              <w:widowControl w:val="0"/>
              <w:spacing w:line="240" w:lineRule="auto"/>
              <w:ind w:firstLine="0" w:firstLineChars="0"/>
              <w:rPr>
                <w:color w:val="auto"/>
                <w:sz w:val="20"/>
                <w:szCs w:val="20"/>
              </w:rPr>
            </w:pPr>
          </w:p>
        </w:tc>
      </w:tr>
      <w:tr w14:paraId="3953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restart"/>
            <w:tcBorders>
              <w:top w:val="nil"/>
              <w:left w:val="single" w:color="auto" w:sz="4" w:space="0"/>
              <w:bottom w:val="single" w:color="auto" w:sz="4" w:space="0"/>
              <w:right w:val="single" w:color="auto" w:sz="4" w:space="0"/>
            </w:tcBorders>
            <w:vAlign w:val="center"/>
          </w:tcPr>
          <w:p w14:paraId="29F60772">
            <w:pPr>
              <w:widowControl w:val="0"/>
              <w:spacing w:line="500" w:lineRule="exact"/>
              <w:ind w:left="113" w:right="113" w:firstLine="0" w:firstLineChars="0"/>
              <w:jc w:val="center"/>
              <w:rPr>
                <w:color w:val="auto"/>
                <w:sz w:val="24"/>
              </w:rPr>
            </w:pPr>
            <w:r>
              <w:rPr>
                <w:rFonts w:hint="eastAsia" w:ascii="宋体" w:hAnsi="宋体" w:cs="宋体"/>
                <w:color w:val="auto"/>
                <w:sz w:val="24"/>
                <w:lang w:bidi="ar"/>
              </w:rPr>
              <w:t>受托人</w:t>
            </w:r>
            <w:r>
              <w:rPr>
                <w:color w:val="auto"/>
                <w:sz w:val="24"/>
                <w:lang w:bidi="ar"/>
              </w:rPr>
              <w:t>(</w:t>
            </w:r>
            <w:r>
              <w:rPr>
                <w:rFonts w:hint="eastAsia" w:ascii="宋体" w:hAnsi="宋体" w:cs="宋体"/>
                <w:color w:val="auto"/>
                <w:sz w:val="24"/>
                <w:lang w:bidi="ar"/>
              </w:rPr>
              <w:t>乙方</w:t>
            </w:r>
            <w:r>
              <w:rPr>
                <w:rFonts w:cs="Calibri"/>
                <w:color w:val="auto"/>
                <w:sz w:val="24"/>
                <w:lang w:bidi="ar"/>
              </w:rPr>
              <w:t>)</w:t>
            </w:r>
          </w:p>
        </w:tc>
        <w:tc>
          <w:tcPr>
            <w:tcW w:w="854" w:type="pct"/>
            <w:tcBorders>
              <w:top w:val="single" w:color="auto" w:sz="4" w:space="0"/>
              <w:left w:val="nil"/>
              <w:bottom w:val="single" w:color="auto" w:sz="4" w:space="0"/>
              <w:right w:val="single" w:color="auto" w:sz="4" w:space="0"/>
            </w:tcBorders>
            <w:vAlign w:val="center"/>
          </w:tcPr>
          <w:p w14:paraId="7B061A07">
            <w:pPr>
              <w:widowControl w:val="0"/>
              <w:spacing w:line="600" w:lineRule="exact"/>
              <w:ind w:firstLine="0" w:firstLineChars="0"/>
              <w:jc w:val="center"/>
              <w:rPr>
                <w:color w:val="auto"/>
                <w:sz w:val="24"/>
              </w:rPr>
            </w:pPr>
            <w:r>
              <w:rPr>
                <w:rFonts w:hint="eastAsia" w:ascii="宋体" w:hAnsi="宋体" w:cs="宋体"/>
                <w:color w:val="auto"/>
                <w:sz w:val="24"/>
                <w:lang w:bidi="ar"/>
              </w:rPr>
              <w:t>名称</w:t>
            </w:r>
            <w:r>
              <w:rPr>
                <w:color w:val="auto"/>
                <w:sz w:val="24"/>
                <w:lang w:bidi="ar"/>
              </w:rPr>
              <w:t>(</w:t>
            </w:r>
            <w:r>
              <w:rPr>
                <w:rFonts w:hint="eastAsia" w:ascii="宋体" w:hAnsi="宋体" w:cs="宋体"/>
                <w:color w:val="auto"/>
                <w:sz w:val="24"/>
                <w:lang w:bidi="ar"/>
              </w:rPr>
              <w:t>或姓名</w:t>
            </w:r>
            <w:r>
              <w:rPr>
                <w:rFonts w:cs="Calibri"/>
                <w:color w:val="auto"/>
                <w:sz w:val="24"/>
                <w:lang w:bidi="ar"/>
              </w:rPr>
              <w:t>)</w:t>
            </w:r>
          </w:p>
        </w:tc>
        <w:tc>
          <w:tcPr>
            <w:tcW w:w="2466" w:type="pct"/>
            <w:gridSpan w:val="6"/>
            <w:tcBorders>
              <w:top w:val="single" w:color="auto" w:sz="4" w:space="0"/>
              <w:left w:val="nil"/>
              <w:bottom w:val="single" w:color="auto" w:sz="4" w:space="0"/>
              <w:right w:val="single" w:color="auto" w:sz="4" w:space="0"/>
            </w:tcBorders>
            <w:vAlign w:val="center"/>
          </w:tcPr>
          <w:p w14:paraId="72A3CC86">
            <w:pPr>
              <w:widowControl w:val="0"/>
              <w:spacing w:line="600" w:lineRule="exact"/>
              <w:ind w:right="360" w:firstLine="0" w:firstLineChars="0"/>
              <w:rPr>
                <w:color w:val="auto"/>
                <w:sz w:val="24"/>
              </w:rPr>
            </w:pPr>
            <w:r>
              <w:rPr>
                <w:rFonts w:cs="Calibri"/>
                <w:color w:val="auto"/>
                <w:sz w:val="24"/>
                <w:lang w:bidi="ar"/>
              </w:rPr>
              <w:t xml:space="preserve">  </w:t>
            </w:r>
            <w:r>
              <w:rPr>
                <w:rFonts w:hint="eastAsia" w:cs="Calibri"/>
                <w:color w:val="auto"/>
                <w:sz w:val="24"/>
                <w:lang w:bidi="ar"/>
              </w:rPr>
              <w:t>成都赢纳环保科技有限公司</w:t>
            </w:r>
            <w:r>
              <w:rPr>
                <w:rFonts w:cs="Calibri"/>
                <w:color w:val="auto"/>
                <w:sz w:val="24"/>
                <w:lang w:bidi="ar"/>
              </w:rPr>
              <w:t xml:space="preserve"> </w:t>
            </w:r>
          </w:p>
        </w:tc>
        <w:tc>
          <w:tcPr>
            <w:tcW w:w="1070" w:type="pct"/>
            <w:vMerge w:val="restart"/>
            <w:tcBorders>
              <w:top w:val="nil"/>
              <w:left w:val="nil"/>
              <w:bottom w:val="single" w:color="auto" w:sz="4" w:space="0"/>
              <w:right w:val="single" w:color="auto" w:sz="4" w:space="0"/>
            </w:tcBorders>
          </w:tcPr>
          <w:p w14:paraId="3C5B15F0">
            <w:pPr>
              <w:widowControl w:val="0"/>
              <w:spacing w:line="600" w:lineRule="exact"/>
              <w:ind w:firstLine="0" w:firstLineChars="0"/>
              <w:jc w:val="center"/>
              <w:rPr>
                <w:color w:val="auto"/>
                <w:sz w:val="24"/>
              </w:rPr>
            </w:pPr>
            <w:r>
              <w:rPr>
                <w:rFonts w:hint="eastAsia" w:ascii="宋体" w:hAnsi="宋体" w:cs="宋体"/>
                <w:color w:val="auto"/>
                <w:sz w:val="24"/>
                <w:lang w:bidi="ar"/>
              </w:rPr>
              <w:t>合同专用章</w:t>
            </w:r>
          </w:p>
          <w:p w14:paraId="614C8621">
            <w:pPr>
              <w:widowControl w:val="0"/>
              <w:spacing w:line="600" w:lineRule="exact"/>
              <w:ind w:firstLine="0" w:firstLineChars="0"/>
              <w:jc w:val="center"/>
              <w:rPr>
                <w:color w:val="auto"/>
                <w:sz w:val="24"/>
              </w:rPr>
            </w:pPr>
            <w:r>
              <w:rPr>
                <w:rFonts w:hint="eastAsia" w:ascii="宋体" w:hAnsi="宋体" w:cs="宋体"/>
                <w:color w:val="auto"/>
                <w:sz w:val="24"/>
                <w:lang w:bidi="ar"/>
              </w:rPr>
              <w:t>或</w:t>
            </w:r>
          </w:p>
          <w:p w14:paraId="100D3B5B">
            <w:pPr>
              <w:widowControl w:val="0"/>
              <w:spacing w:line="600" w:lineRule="exact"/>
              <w:ind w:firstLine="0" w:firstLineChars="0"/>
              <w:jc w:val="center"/>
              <w:rPr>
                <w:color w:val="auto"/>
                <w:sz w:val="24"/>
              </w:rPr>
            </w:pPr>
            <w:r>
              <w:rPr>
                <w:rFonts w:hint="eastAsia" w:ascii="宋体" w:hAnsi="宋体" w:cs="宋体"/>
                <w:color w:val="auto"/>
                <w:sz w:val="24"/>
                <w:lang w:bidi="ar"/>
              </w:rPr>
              <w:t>单位公章</w:t>
            </w:r>
          </w:p>
          <w:p w14:paraId="148F71FE">
            <w:pPr>
              <w:widowControl w:val="0"/>
              <w:spacing w:line="600" w:lineRule="exact"/>
              <w:ind w:firstLine="0" w:firstLineChars="0"/>
              <w:jc w:val="left"/>
              <w:rPr>
                <w:color w:val="auto"/>
                <w:sz w:val="24"/>
              </w:rPr>
            </w:pPr>
          </w:p>
          <w:p w14:paraId="3071CCE9">
            <w:pPr>
              <w:widowControl w:val="0"/>
              <w:spacing w:line="600" w:lineRule="exact"/>
              <w:ind w:firstLine="0" w:firstLineChars="0"/>
              <w:jc w:val="left"/>
              <w:rPr>
                <w:color w:val="auto"/>
                <w:sz w:val="24"/>
              </w:rPr>
            </w:pPr>
          </w:p>
          <w:p w14:paraId="301C9144">
            <w:pPr>
              <w:widowControl w:val="0"/>
              <w:spacing w:line="600" w:lineRule="exact"/>
              <w:ind w:firstLine="0" w:firstLineChars="0"/>
              <w:jc w:val="left"/>
              <w:rPr>
                <w:color w:val="auto"/>
                <w:sz w:val="24"/>
              </w:rPr>
            </w:pPr>
          </w:p>
          <w:p w14:paraId="595853AD">
            <w:pPr>
              <w:widowControl w:val="0"/>
              <w:spacing w:line="600" w:lineRule="exact"/>
              <w:ind w:firstLine="0" w:firstLineChars="0"/>
              <w:jc w:val="left"/>
              <w:rPr>
                <w:color w:val="auto"/>
                <w:sz w:val="24"/>
              </w:rPr>
            </w:pPr>
          </w:p>
          <w:p w14:paraId="781AAFBA">
            <w:pPr>
              <w:widowControl w:val="0"/>
              <w:spacing w:line="600" w:lineRule="exact"/>
              <w:ind w:firstLine="0" w:firstLineChars="0"/>
              <w:jc w:val="left"/>
              <w:rPr>
                <w:color w:val="auto"/>
                <w:sz w:val="24"/>
              </w:rPr>
            </w:pPr>
          </w:p>
          <w:p w14:paraId="29CCD0CF">
            <w:pPr>
              <w:widowControl w:val="0"/>
              <w:spacing w:line="600" w:lineRule="exact"/>
              <w:ind w:firstLine="0" w:firstLineChars="0"/>
              <w:jc w:val="left"/>
              <w:rPr>
                <w:color w:val="auto"/>
                <w:sz w:val="24"/>
              </w:rPr>
            </w:pPr>
          </w:p>
          <w:p w14:paraId="2EBF12C0">
            <w:pPr>
              <w:widowControl w:val="0"/>
              <w:spacing w:line="600" w:lineRule="exact"/>
              <w:ind w:firstLine="0" w:firstLineChars="0"/>
              <w:jc w:val="left"/>
              <w:rPr>
                <w:color w:val="auto"/>
                <w:sz w:val="24"/>
              </w:rPr>
            </w:pPr>
            <w:r>
              <w:rPr>
                <w:rFonts w:hint="eastAsia" w:cs="Calibri"/>
                <w:color w:val="auto"/>
                <w:sz w:val="24"/>
                <w:lang w:val="en-US" w:eastAsia="zh-CN" w:bidi="ar"/>
              </w:rPr>
              <w:t>2026</w:t>
            </w:r>
            <w:bookmarkStart w:id="29" w:name="_GoBack"/>
            <w:bookmarkEnd w:id="29"/>
            <w:r>
              <w:rPr>
                <w:rFonts w:cs="Calibri"/>
                <w:color w:val="auto"/>
                <w:sz w:val="24"/>
                <w:lang w:bidi="ar"/>
              </w:rPr>
              <w:t xml:space="preserve"> </w:t>
            </w:r>
            <w:r>
              <w:rPr>
                <w:rFonts w:hint="eastAsia" w:ascii="宋体" w:hAnsi="宋体" w:cs="宋体"/>
                <w:color w:val="auto"/>
                <w:sz w:val="24"/>
                <w:lang w:bidi="ar"/>
              </w:rPr>
              <w:t>年</w:t>
            </w:r>
            <w:r>
              <w:rPr>
                <w:rFonts w:cs="Calibri"/>
                <w:color w:val="auto"/>
                <w:sz w:val="24"/>
                <w:lang w:bidi="ar"/>
              </w:rPr>
              <w:t xml:space="preserve">  </w:t>
            </w:r>
            <w:r>
              <w:rPr>
                <w:rFonts w:hint="eastAsia" w:ascii="宋体" w:hAnsi="宋体" w:cs="宋体"/>
                <w:color w:val="auto"/>
                <w:sz w:val="24"/>
                <w:lang w:bidi="ar"/>
              </w:rPr>
              <w:t>月</w:t>
            </w:r>
            <w:r>
              <w:rPr>
                <w:rFonts w:cs="Calibri"/>
                <w:color w:val="auto"/>
                <w:sz w:val="24"/>
                <w:lang w:bidi="ar"/>
              </w:rPr>
              <w:t xml:space="preserve">  </w:t>
            </w:r>
            <w:r>
              <w:rPr>
                <w:rFonts w:hint="eastAsia" w:ascii="宋体" w:hAnsi="宋体" w:cs="宋体"/>
                <w:color w:val="auto"/>
                <w:sz w:val="24"/>
                <w:lang w:bidi="ar"/>
              </w:rPr>
              <w:t>日</w:t>
            </w:r>
          </w:p>
        </w:tc>
      </w:tr>
      <w:tr w14:paraId="573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nil"/>
              <w:left w:val="single" w:color="auto" w:sz="4" w:space="0"/>
              <w:bottom w:val="single" w:color="auto" w:sz="4" w:space="0"/>
              <w:right w:val="single" w:color="auto" w:sz="4" w:space="0"/>
            </w:tcBorders>
            <w:vAlign w:val="center"/>
          </w:tcPr>
          <w:p w14:paraId="54A969D5">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7AEA6F9B">
            <w:pPr>
              <w:widowControl w:val="0"/>
              <w:spacing w:line="600" w:lineRule="exact"/>
              <w:ind w:firstLine="0" w:firstLineChars="0"/>
              <w:jc w:val="center"/>
              <w:rPr>
                <w:color w:val="auto"/>
                <w:sz w:val="24"/>
              </w:rPr>
            </w:pPr>
            <w:r>
              <w:rPr>
                <w:rFonts w:hint="eastAsia" w:ascii="宋体" w:hAnsi="宋体" w:cs="宋体"/>
                <w:color w:val="auto"/>
                <w:sz w:val="24"/>
                <w:lang w:bidi="ar"/>
              </w:rPr>
              <w:t>法定代表人</w:t>
            </w:r>
          </w:p>
        </w:tc>
        <w:tc>
          <w:tcPr>
            <w:tcW w:w="2466" w:type="pct"/>
            <w:gridSpan w:val="6"/>
            <w:tcBorders>
              <w:top w:val="single" w:color="auto" w:sz="4" w:space="0"/>
              <w:left w:val="nil"/>
              <w:bottom w:val="single" w:color="auto" w:sz="4" w:space="0"/>
              <w:right w:val="single" w:color="auto" w:sz="4" w:space="0"/>
            </w:tcBorders>
            <w:vAlign w:val="center"/>
          </w:tcPr>
          <w:p w14:paraId="1E996139">
            <w:pPr>
              <w:widowControl w:val="0"/>
              <w:spacing w:line="600" w:lineRule="exact"/>
              <w:ind w:firstLine="0" w:firstLineChars="0"/>
              <w:jc w:val="right"/>
              <w:rPr>
                <w:color w:val="auto"/>
                <w:sz w:val="24"/>
              </w:rPr>
            </w:pPr>
            <w:r>
              <w:rPr>
                <w:color w:val="auto"/>
                <w:sz w:val="24"/>
                <w:lang w:bidi="ar"/>
              </w:rPr>
              <w:t>(</w:t>
            </w:r>
            <w:r>
              <w:rPr>
                <w:rFonts w:hint="eastAsia" w:ascii="宋体" w:hAnsi="宋体" w:cs="宋体"/>
                <w:color w:val="auto"/>
                <w:sz w:val="24"/>
                <w:lang w:bidi="ar"/>
              </w:rPr>
              <w:t>签字或签章</w:t>
            </w:r>
            <w:r>
              <w:rPr>
                <w:color w:val="auto"/>
                <w:sz w:val="24"/>
                <w:lang w:bidi="ar"/>
              </w:rPr>
              <w:t>)</w:t>
            </w:r>
          </w:p>
        </w:tc>
        <w:tc>
          <w:tcPr>
            <w:tcW w:w="1070" w:type="pct"/>
            <w:vMerge w:val="continue"/>
            <w:tcBorders>
              <w:top w:val="nil"/>
              <w:left w:val="nil"/>
              <w:bottom w:val="single" w:color="auto" w:sz="4" w:space="0"/>
              <w:right w:val="single" w:color="auto" w:sz="4" w:space="0"/>
            </w:tcBorders>
          </w:tcPr>
          <w:p w14:paraId="25E12D46">
            <w:pPr>
              <w:widowControl w:val="0"/>
              <w:spacing w:line="240" w:lineRule="auto"/>
              <w:ind w:firstLine="0" w:firstLineChars="0"/>
              <w:rPr>
                <w:color w:val="auto"/>
                <w:sz w:val="20"/>
                <w:szCs w:val="20"/>
              </w:rPr>
            </w:pPr>
          </w:p>
        </w:tc>
      </w:tr>
      <w:tr w14:paraId="5228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nil"/>
              <w:left w:val="single" w:color="auto" w:sz="4" w:space="0"/>
              <w:bottom w:val="single" w:color="auto" w:sz="4" w:space="0"/>
              <w:right w:val="single" w:color="auto" w:sz="4" w:space="0"/>
            </w:tcBorders>
            <w:vAlign w:val="center"/>
          </w:tcPr>
          <w:p w14:paraId="1E37B912">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2DDE42AB">
            <w:pPr>
              <w:widowControl w:val="0"/>
              <w:spacing w:line="600" w:lineRule="exact"/>
              <w:ind w:firstLine="0" w:firstLineChars="0"/>
              <w:jc w:val="center"/>
              <w:rPr>
                <w:color w:val="auto"/>
                <w:sz w:val="24"/>
              </w:rPr>
            </w:pPr>
            <w:r>
              <w:rPr>
                <w:rFonts w:hint="eastAsia" w:ascii="宋体" w:hAnsi="宋体" w:cs="宋体"/>
                <w:color w:val="auto"/>
                <w:sz w:val="24"/>
                <w:lang w:bidi="ar"/>
              </w:rPr>
              <w:t>联系</w:t>
            </w:r>
            <w:r>
              <w:rPr>
                <w:color w:val="auto"/>
                <w:sz w:val="24"/>
                <w:lang w:bidi="ar"/>
              </w:rPr>
              <w:t>(</w:t>
            </w:r>
            <w:r>
              <w:rPr>
                <w:rFonts w:hint="eastAsia" w:ascii="宋体" w:hAnsi="宋体" w:cs="宋体"/>
                <w:color w:val="auto"/>
                <w:sz w:val="24"/>
                <w:lang w:bidi="ar"/>
              </w:rPr>
              <w:t>经办</w:t>
            </w:r>
            <w:r>
              <w:rPr>
                <w:rFonts w:cs="Calibri"/>
                <w:color w:val="auto"/>
                <w:sz w:val="24"/>
                <w:lang w:bidi="ar"/>
              </w:rPr>
              <w:t>)</w:t>
            </w:r>
            <w:r>
              <w:rPr>
                <w:rFonts w:hint="eastAsia" w:ascii="宋体" w:hAnsi="宋体" w:cs="宋体"/>
                <w:color w:val="auto"/>
                <w:sz w:val="24"/>
                <w:lang w:bidi="ar"/>
              </w:rPr>
              <w:t>人</w:t>
            </w:r>
          </w:p>
        </w:tc>
        <w:tc>
          <w:tcPr>
            <w:tcW w:w="2466" w:type="pct"/>
            <w:gridSpan w:val="6"/>
            <w:tcBorders>
              <w:top w:val="single" w:color="auto" w:sz="4" w:space="0"/>
              <w:left w:val="nil"/>
              <w:bottom w:val="single" w:color="auto" w:sz="4" w:space="0"/>
              <w:right w:val="single" w:color="auto" w:sz="4" w:space="0"/>
            </w:tcBorders>
            <w:vAlign w:val="center"/>
          </w:tcPr>
          <w:p w14:paraId="3385FAA4">
            <w:pPr>
              <w:widowControl w:val="0"/>
              <w:spacing w:line="600" w:lineRule="exact"/>
              <w:ind w:firstLine="0" w:firstLineChars="0"/>
              <w:jc w:val="center"/>
              <w:rPr>
                <w:color w:val="auto"/>
                <w:sz w:val="24"/>
              </w:rPr>
            </w:pPr>
            <w:r>
              <w:rPr>
                <w:rFonts w:hint="eastAsia"/>
                <w:color w:val="auto"/>
                <w:sz w:val="24"/>
              </w:rPr>
              <w:t>马志辉</w:t>
            </w:r>
          </w:p>
        </w:tc>
        <w:tc>
          <w:tcPr>
            <w:tcW w:w="1070" w:type="pct"/>
            <w:vMerge w:val="continue"/>
            <w:tcBorders>
              <w:top w:val="nil"/>
              <w:left w:val="nil"/>
              <w:bottom w:val="single" w:color="auto" w:sz="4" w:space="0"/>
              <w:right w:val="single" w:color="auto" w:sz="4" w:space="0"/>
            </w:tcBorders>
          </w:tcPr>
          <w:p w14:paraId="55739BED">
            <w:pPr>
              <w:widowControl w:val="0"/>
              <w:spacing w:line="240" w:lineRule="auto"/>
              <w:ind w:firstLine="0" w:firstLineChars="0"/>
              <w:rPr>
                <w:color w:val="auto"/>
                <w:sz w:val="20"/>
                <w:szCs w:val="20"/>
              </w:rPr>
            </w:pPr>
          </w:p>
        </w:tc>
      </w:tr>
      <w:tr w14:paraId="2E35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trPr>
        <w:tc>
          <w:tcPr>
            <w:tcW w:w="585" w:type="pct"/>
            <w:vMerge w:val="continue"/>
            <w:tcBorders>
              <w:top w:val="nil"/>
              <w:left w:val="single" w:color="auto" w:sz="4" w:space="0"/>
              <w:bottom w:val="single" w:color="auto" w:sz="4" w:space="0"/>
              <w:right w:val="single" w:color="auto" w:sz="4" w:space="0"/>
            </w:tcBorders>
            <w:vAlign w:val="center"/>
          </w:tcPr>
          <w:p w14:paraId="14E967D2">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6E95FA2D">
            <w:pPr>
              <w:widowControl w:val="0"/>
              <w:spacing w:line="600" w:lineRule="exact"/>
              <w:ind w:firstLine="0" w:firstLineChars="0"/>
              <w:jc w:val="center"/>
              <w:rPr>
                <w:color w:val="auto"/>
                <w:sz w:val="24"/>
              </w:rPr>
            </w:pPr>
            <w:r>
              <w:rPr>
                <w:rFonts w:hint="eastAsia" w:ascii="宋体" w:hAnsi="宋体" w:cs="宋体"/>
                <w:color w:val="auto"/>
                <w:sz w:val="24"/>
                <w:lang w:bidi="ar"/>
              </w:rPr>
              <w:t>住所</w:t>
            </w:r>
          </w:p>
          <w:p w14:paraId="2C8CBAF1">
            <w:pPr>
              <w:widowControl w:val="0"/>
              <w:spacing w:line="600" w:lineRule="exact"/>
              <w:ind w:firstLine="0" w:firstLineChars="0"/>
              <w:jc w:val="center"/>
              <w:rPr>
                <w:color w:val="auto"/>
                <w:sz w:val="24"/>
              </w:rPr>
            </w:pPr>
            <w:r>
              <w:rPr>
                <w:color w:val="auto"/>
                <w:sz w:val="24"/>
                <w:lang w:bidi="ar"/>
              </w:rPr>
              <w:t>(</w:t>
            </w:r>
            <w:r>
              <w:rPr>
                <w:rFonts w:hint="eastAsia" w:ascii="宋体" w:hAnsi="宋体" w:cs="宋体"/>
                <w:color w:val="auto"/>
                <w:sz w:val="24"/>
                <w:lang w:bidi="ar"/>
              </w:rPr>
              <w:t>通讯地址</w:t>
            </w:r>
            <w:r>
              <w:rPr>
                <w:rFonts w:cs="Calibri"/>
                <w:color w:val="auto"/>
                <w:sz w:val="24"/>
                <w:lang w:bidi="ar"/>
              </w:rPr>
              <w:t>)</w:t>
            </w:r>
          </w:p>
        </w:tc>
        <w:tc>
          <w:tcPr>
            <w:tcW w:w="1458" w:type="pct"/>
            <w:gridSpan w:val="3"/>
            <w:tcBorders>
              <w:top w:val="single" w:color="auto" w:sz="4" w:space="0"/>
              <w:left w:val="nil"/>
              <w:bottom w:val="single" w:color="auto" w:sz="4" w:space="0"/>
              <w:right w:val="single" w:color="auto" w:sz="4" w:space="0"/>
            </w:tcBorders>
            <w:vAlign w:val="center"/>
          </w:tcPr>
          <w:p w14:paraId="112FDB25">
            <w:pPr>
              <w:widowControl w:val="0"/>
              <w:spacing w:line="240" w:lineRule="auto"/>
              <w:ind w:firstLine="0" w:firstLineChars="0"/>
              <w:rPr>
                <w:color w:val="auto"/>
                <w:sz w:val="24"/>
              </w:rPr>
            </w:pPr>
            <w:r>
              <w:rPr>
                <w:rFonts w:hint="eastAsia"/>
                <w:color w:val="auto"/>
                <w:sz w:val="24"/>
              </w:rPr>
              <w:t>成都市武侯区天府四街66号航兴国际广场2号楼2305</w:t>
            </w:r>
          </w:p>
        </w:tc>
        <w:tc>
          <w:tcPr>
            <w:tcW w:w="382" w:type="pct"/>
            <w:gridSpan w:val="2"/>
            <w:tcBorders>
              <w:top w:val="single" w:color="auto" w:sz="4" w:space="0"/>
              <w:left w:val="nil"/>
              <w:bottom w:val="single" w:color="auto" w:sz="4" w:space="0"/>
              <w:right w:val="single" w:color="auto" w:sz="4" w:space="0"/>
            </w:tcBorders>
            <w:vAlign w:val="center"/>
          </w:tcPr>
          <w:p w14:paraId="6261BCEF">
            <w:pPr>
              <w:widowControl w:val="0"/>
              <w:spacing w:line="600" w:lineRule="exact"/>
              <w:ind w:firstLine="0" w:firstLineChars="0"/>
              <w:jc w:val="center"/>
              <w:rPr>
                <w:color w:val="auto"/>
                <w:sz w:val="24"/>
              </w:rPr>
            </w:pPr>
            <w:r>
              <w:rPr>
                <w:rFonts w:hint="eastAsia" w:ascii="宋体" w:hAnsi="宋体" w:cs="宋体"/>
                <w:color w:val="auto"/>
                <w:sz w:val="24"/>
                <w:lang w:bidi="ar"/>
              </w:rPr>
              <w:t>邮政</w:t>
            </w:r>
          </w:p>
          <w:p w14:paraId="1F53DC0E">
            <w:pPr>
              <w:widowControl w:val="0"/>
              <w:spacing w:line="600" w:lineRule="exact"/>
              <w:ind w:firstLine="0" w:firstLineChars="0"/>
              <w:jc w:val="center"/>
              <w:rPr>
                <w:color w:val="auto"/>
                <w:sz w:val="24"/>
              </w:rPr>
            </w:pPr>
            <w:r>
              <w:rPr>
                <w:rFonts w:hint="eastAsia" w:ascii="宋体" w:hAnsi="宋体" w:cs="宋体"/>
                <w:color w:val="auto"/>
                <w:sz w:val="24"/>
                <w:lang w:bidi="ar"/>
              </w:rPr>
              <w:t>编码</w:t>
            </w:r>
          </w:p>
        </w:tc>
        <w:tc>
          <w:tcPr>
            <w:tcW w:w="625" w:type="pct"/>
            <w:tcBorders>
              <w:top w:val="single" w:color="auto" w:sz="4" w:space="0"/>
              <w:left w:val="nil"/>
              <w:bottom w:val="single" w:color="auto" w:sz="4" w:space="0"/>
              <w:right w:val="single" w:color="auto" w:sz="4" w:space="0"/>
            </w:tcBorders>
            <w:vAlign w:val="center"/>
          </w:tcPr>
          <w:p w14:paraId="035CD481">
            <w:pPr>
              <w:widowControl w:val="0"/>
              <w:spacing w:line="600" w:lineRule="exact"/>
              <w:ind w:firstLine="0" w:firstLineChars="0"/>
              <w:jc w:val="center"/>
              <w:rPr>
                <w:color w:val="auto"/>
                <w:sz w:val="24"/>
              </w:rPr>
            </w:pPr>
          </w:p>
        </w:tc>
        <w:tc>
          <w:tcPr>
            <w:tcW w:w="1070" w:type="pct"/>
            <w:vMerge w:val="continue"/>
            <w:tcBorders>
              <w:top w:val="nil"/>
              <w:left w:val="nil"/>
              <w:bottom w:val="single" w:color="auto" w:sz="4" w:space="0"/>
              <w:right w:val="single" w:color="auto" w:sz="4" w:space="0"/>
            </w:tcBorders>
          </w:tcPr>
          <w:p w14:paraId="48B01A99">
            <w:pPr>
              <w:widowControl w:val="0"/>
              <w:spacing w:line="240" w:lineRule="auto"/>
              <w:ind w:firstLine="0" w:firstLineChars="0"/>
              <w:rPr>
                <w:color w:val="auto"/>
                <w:sz w:val="20"/>
                <w:szCs w:val="20"/>
              </w:rPr>
            </w:pPr>
          </w:p>
        </w:tc>
      </w:tr>
      <w:tr w14:paraId="0F72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nil"/>
              <w:left w:val="single" w:color="auto" w:sz="4" w:space="0"/>
              <w:bottom w:val="single" w:color="auto" w:sz="4" w:space="0"/>
              <w:right w:val="single" w:color="auto" w:sz="4" w:space="0"/>
            </w:tcBorders>
            <w:vAlign w:val="center"/>
          </w:tcPr>
          <w:p w14:paraId="061334AC">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3BD6F5CA">
            <w:pPr>
              <w:widowControl w:val="0"/>
              <w:spacing w:line="600" w:lineRule="exact"/>
              <w:ind w:firstLine="0" w:firstLineChars="0"/>
              <w:jc w:val="center"/>
              <w:rPr>
                <w:color w:val="auto"/>
                <w:sz w:val="24"/>
              </w:rPr>
            </w:pPr>
            <w:r>
              <w:rPr>
                <w:rFonts w:hint="eastAsia" w:ascii="宋体" w:hAnsi="宋体" w:cs="宋体"/>
                <w:color w:val="auto"/>
                <w:sz w:val="24"/>
                <w:lang w:bidi="ar"/>
              </w:rPr>
              <w:t>电话</w:t>
            </w:r>
          </w:p>
        </w:tc>
        <w:tc>
          <w:tcPr>
            <w:tcW w:w="1042" w:type="pct"/>
            <w:tcBorders>
              <w:top w:val="single" w:color="auto" w:sz="4" w:space="0"/>
              <w:left w:val="nil"/>
              <w:bottom w:val="single" w:color="auto" w:sz="4" w:space="0"/>
              <w:right w:val="single" w:color="auto" w:sz="4" w:space="0"/>
            </w:tcBorders>
            <w:vAlign w:val="center"/>
          </w:tcPr>
          <w:p w14:paraId="1031F5FB">
            <w:pPr>
              <w:widowControl w:val="0"/>
              <w:spacing w:line="600" w:lineRule="exact"/>
              <w:ind w:firstLine="0" w:firstLineChars="0"/>
              <w:jc w:val="center"/>
              <w:rPr>
                <w:color w:val="auto"/>
                <w:sz w:val="24"/>
              </w:rPr>
            </w:pPr>
            <w:r>
              <w:rPr>
                <w:rFonts w:hint="eastAsia"/>
                <w:color w:val="auto"/>
                <w:sz w:val="24"/>
              </w:rPr>
              <w:t>15176521521</w:t>
            </w:r>
          </w:p>
        </w:tc>
        <w:tc>
          <w:tcPr>
            <w:tcW w:w="416" w:type="pct"/>
            <w:gridSpan w:val="2"/>
            <w:tcBorders>
              <w:top w:val="single" w:color="auto" w:sz="4" w:space="0"/>
              <w:left w:val="nil"/>
              <w:bottom w:val="nil"/>
              <w:right w:val="single" w:color="auto" w:sz="4" w:space="0"/>
            </w:tcBorders>
            <w:vAlign w:val="center"/>
          </w:tcPr>
          <w:p w14:paraId="474C443D">
            <w:pPr>
              <w:widowControl w:val="0"/>
              <w:spacing w:line="600" w:lineRule="exact"/>
              <w:ind w:firstLine="0" w:firstLineChars="0"/>
              <w:jc w:val="center"/>
              <w:rPr>
                <w:color w:val="auto"/>
                <w:sz w:val="24"/>
              </w:rPr>
            </w:pPr>
            <w:r>
              <w:rPr>
                <w:rFonts w:hint="eastAsia" w:ascii="宋体" w:hAnsi="宋体" w:cs="宋体"/>
                <w:color w:val="auto"/>
                <w:sz w:val="24"/>
                <w:lang w:bidi="ar"/>
              </w:rPr>
              <w:t>邮箱</w:t>
            </w:r>
          </w:p>
        </w:tc>
        <w:tc>
          <w:tcPr>
            <w:tcW w:w="1008" w:type="pct"/>
            <w:gridSpan w:val="3"/>
            <w:tcBorders>
              <w:top w:val="single" w:color="auto" w:sz="4" w:space="0"/>
              <w:left w:val="nil"/>
              <w:bottom w:val="single" w:color="auto" w:sz="4" w:space="0"/>
              <w:right w:val="single" w:color="auto" w:sz="4" w:space="0"/>
            </w:tcBorders>
            <w:vAlign w:val="center"/>
          </w:tcPr>
          <w:p w14:paraId="252CB574">
            <w:pPr>
              <w:widowControl w:val="0"/>
              <w:spacing w:line="600" w:lineRule="exact"/>
              <w:ind w:firstLine="0" w:firstLineChars="0"/>
              <w:jc w:val="center"/>
              <w:rPr>
                <w:color w:val="auto"/>
                <w:sz w:val="24"/>
              </w:rPr>
            </w:pPr>
          </w:p>
        </w:tc>
        <w:tc>
          <w:tcPr>
            <w:tcW w:w="1070" w:type="pct"/>
            <w:vMerge w:val="continue"/>
            <w:tcBorders>
              <w:top w:val="nil"/>
              <w:left w:val="nil"/>
              <w:bottom w:val="single" w:color="auto" w:sz="4" w:space="0"/>
              <w:right w:val="single" w:color="auto" w:sz="4" w:space="0"/>
            </w:tcBorders>
          </w:tcPr>
          <w:p w14:paraId="2CB59FD7">
            <w:pPr>
              <w:widowControl w:val="0"/>
              <w:spacing w:line="240" w:lineRule="auto"/>
              <w:ind w:firstLine="0" w:firstLineChars="0"/>
              <w:rPr>
                <w:color w:val="auto"/>
                <w:sz w:val="20"/>
                <w:szCs w:val="20"/>
              </w:rPr>
            </w:pPr>
          </w:p>
        </w:tc>
      </w:tr>
      <w:tr w14:paraId="510A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nil"/>
              <w:left w:val="single" w:color="auto" w:sz="4" w:space="0"/>
              <w:bottom w:val="single" w:color="auto" w:sz="4" w:space="0"/>
              <w:right w:val="single" w:color="auto" w:sz="4" w:space="0"/>
            </w:tcBorders>
            <w:vAlign w:val="center"/>
          </w:tcPr>
          <w:p w14:paraId="5EC13E74">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1C82772B">
            <w:pPr>
              <w:widowControl w:val="0"/>
              <w:spacing w:line="600" w:lineRule="exact"/>
              <w:ind w:firstLine="0" w:firstLineChars="0"/>
              <w:jc w:val="center"/>
              <w:rPr>
                <w:color w:val="auto"/>
                <w:sz w:val="24"/>
              </w:rPr>
            </w:pPr>
            <w:r>
              <w:rPr>
                <w:rFonts w:hint="eastAsia" w:ascii="宋体" w:hAnsi="宋体" w:cs="宋体"/>
                <w:color w:val="auto"/>
                <w:sz w:val="24"/>
                <w:lang w:bidi="ar"/>
              </w:rPr>
              <w:t>开户银行</w:t>
            </w:r>
          </w:p>
        </w:tc>
        <w:tc>
          <w:tcPr>
            <w:tcW w:w="2466" w:type="pct"/>
            <w:gridSpan w:val="6"/>
            <w:tcBorders>
              <w:top w:val="single" w:color="auto" w:sz="4" w:space="0"/>
              <w:left w:val="nil"/>
              <w:bottom w:val="single" w:color="auto" w:sz="4" w:space="0"/>
              <w:right w:val="single" w:color="auto" w:sz="4" w:space="0"/>
            </w:tcBorders>
            <w:vAlign w:val="center"/>
          </w:tcPr>
          <w:p w14:paraId="66F5A754">
            <w:pPr>
              <w:widowControl w:val="0"/>
              <w:spacing w:line="600" w:lineRule="exact"/>
              <w:ind w:firstLine="0" w:firstLineChars="0"/>
              <w:jc w:val="center"/>
              <w:rPr>
                <w:color w:val="auto"/>
                <w:sz w:val="24"/>
              </w:rPr>
            </w:pPr>
            <w:r>
              <w:rPr>
                <w:rFonts w:hint="eastAsia"/>
                <w:color w:val="auto"/>
                <w:sz w:val="24"/>
              </w:rPr>
              <w:t>中国银行股份有限公司成都开发西区支行</w:t>
            </w:r>
          </w:p>
        </w:tc>
        <w:tc>
          <w:tcPr>
            <w:tcW w:w="1070" w:type="pct"/>
            <w:vMerge w:val="continue"/>
            <w:tcBorders>
              <w:top w:val="nil"/>
              <w:left w:val="nil"/>
              <w:bottom w:val="single" w:color="auto" w:sz="4" w:space="0"/>
              <w:right w:val="single" w:color="auto" w:sz="4" w:space="0"/>
            </w:tcBorders>
          </w:tcPr>
          <w:p w14:paraId="49D1CECB">
            <w:pPr>
              <w:widowControl w:val="0"/>
              <w:spacing w:line="240" w:lineRule="auto"/>
              <w:ind w:firstLine="0" w:firstLineChars="0"/>
              <w:rPr>
                <w:color w:val="auto"/>
                <w:sz w:val="20"/>
                <w:szCs w:val="20"/>
              </w:rPr>
            </w:pPr>
          </w:p>
        </w:tc>
      </w:tr>
      <w:tr w14:paraId="2C83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5" w:type="pct"/>
            <w:vMerge w:val="continue"/>
            <w:tcBorders>
              <w:top w:val="nil"/>
              <w:left w:val="single" w:color="auto" w:sz="4" w:space="0"/>
              <w:bottom w:val="single" w:color="auto" w:sz="4" w:space="0"/>
              <w:right w:val="single" w:color="auto" w:sz="4" w:space="0"/>
            </w:tcBorders>
            <w:vAlign w:val="center"/>
          </w:tcPr>
          <w:p w14:paraId="5843D510">
            <w:pPr>
              <w:widowControl w:val="0"/>
              <w:spacing w:line="240" w:lineRule="auto"/>
              <w:ind w:firstLine="0" w:firstLineChars="0"/>
              <w:rPr>
                <w:color w:val="auto"/>
                <w:sz w:val="20"/>
                <w:szCs w:val="20"/>
              </w:rPr>
            </w:pPr>
          </w:p>
        </w:tc>
        <w:tc>
          <w:tcPr>
            <w:tcW w:w="854" w:type="pct"/>
            <w:tcBorders>
              <w:top w:val="single" w:color="auto" w:sz="4" w:space="0"/>
              <w:left w:val="nil"/>
              <w:bottom w:val="single" w:color="auto" w:sz="4" w:space="0"/>
              <w:right w:val="single" w:color="auto" w:sz="4" w:space="0"/>
            </w:tcBorders>
            <w:vAlign w:val="center"/>
          </w:tcPr>
          <w:p w14:paraId="7382EC37">
            <w:pPr>
              <w:widowControl w:val="0"/>
              <w:spacing w:line="600" w:lineRule="exact"/>
              <w:ind w:firstLine="0" w:firstLineChars="0"/>
              <w:jc w:val="center"/>
              <w:rPr>
                <w:color w:val="auto"/>
                <w:sz w:val="24"/>
              </w:rPr>
            </w:pPr>
            <w:r>
              <w:rPr>
                <w:rFonts w:hint="eastAsia" w:ascii="宋体" w:hAnsi="宋体" w:cs="宋体"/>
                <w:color w:val="auto"/>
                <w:sz w:val="24"/>
                <w:lang w:bidi="ar"/>
              </w:rPr>
              <w:t>帐　　号</w:t>
            </w:r>
          </w:p>
        </w:tc>
        <w:tc>
          <w:tcPr>
            <w:tcW w:w="2466" w:type="pct"/>
            <w:gridSpan w:val="6"/>
            <w:tcBorders>
              <w:top w:val="single" w:color="auto" w:sz="4" w:space="0"/>
              <w:left w:val="nil"/>
              <w:bottom w:val="single" w:color="auto" w:sz="4" w:space="0"/>
              <w:right w:val="single" w:color="auto" w:sz="4" w:space="0"/>
            </w:tcBorders>
            <w:vAlign w:val="center"/>
          </w:tcPr>
          <w:p w14:paraId="1159C97E">
            <w:pPr>
              <w:widowControl w:val="0"/>
              <w:spacing w:line="600" w:lineRule="exact"/>
              <w:ind w:firstLine="0" w:firstLineChars="0"/>
              <w:jc w:val="center"/>
              <w:rPr>
                <w:color w:val="auto"/>
                <w:sz w:val="24"/>
              </w:rPr>
            </w:pPr>
            <w:r>
              <w:rPr>
                <w:rFonts w:hint="eastAsia"/>
                <w:color w:val="auto"/>
                <w:sz w:val="24"/>
              </w:rPr>
              <w:t>119879214335</w:t>
            </w:r>
          </w:p>
        </w:tc>
        <w:tc>
          <w:tcPr>
            <w:tcW w:w="1070" w:type="pct"/>
            <w:vMerge w:val="continue"/>
            <w:tcBorders>
              <w:top w:val="nil"/>
              <w:left w:val="nil"/>
              <w:bottom w:val="single" w:color="auto" w:sz="4" w:space="0"/>
              <w:right w:val="single" w:color="auto" w:sz="4" w:space="0"/>
            </w:tcBorders>
          </w:tcPr>
          <w:p w14:paraId="7CD09978">
            <w:pPr>
              <w:widowControl w:val="0"/>
              <w:spacing w:line="240" w:lineRule="auto"/>
              <w:ind w:firstLine="0" w:firstLineChars="0"/>
              <w:rPr>
                <w:color w:val="auto"/>
                <w:sz w:val="20"/>
                <w:szCs w:val="20"/>
              </w:rPr>
            </w:pPr>
          </w:p>
        </w:tc>
      </w:tr>
      <w:bookmarkEnd w:id="21"/>
    </w:tbl>
    <w:p w14:paraId="609314AB">
      <w:pPr>
        <w:pStyle w:val="4"/>
        <w:numPr>
          <w:ilvl w:val="0"/>
          <w:numId w:val="0"/>
        </w:numPr>
        <w:adjustRightInd/>
        <w:spacing w:line="416" w:lineRule="auto"/>
        <w:rPr>
          <w:color w:val="auto"/>
        </w:rPr>
        <w:sectPr>
          <w:footerReference r:id="rId5" w:type="default"/>
          <w:pgSz w:w="11906" w:h="16838"/>
          <w:pgMar w:top="1304" w:right="1588" w:bottom="1191" w:left="1588" w:header="851" w:footer="737" w:gutter="0"/>
          <w:pgNumType w:start="1"/>
          <w:cols w:space="425" w:num="1"/>
          <w:docGrid w:type="lines" w:linePitch="312" w:charSpace="0"/>
        </w:sectPr>
      </w:pPr>
    </w:p>
    <w:p w14:paraId="764BDA2F">
      <w:pPr>
        <w:pStyle w:val="28"/>
        <w:numPr>
          <w:ilvl w:val="-1"/>
          <w:numId w:val="0"/>
        </w:numPr>
        <w:ind w:left="0"/>
        <w:rPr>
          <w:rFonts w:hint="eastAsia"/>
          <w:color w:val="auto"/>
        </w:rPr>
      </w:pPr>
      <w:bookmarkStart w:id="22" w:name="_Toc94196210"/>
      <w:r>
        <w:rPr>
          <w:rFonts w:hint="eastAsia"/>
          <w:color w:val="auto"/>
          <w:lang w:val="en-US" w:eastAsia="zh-CN"/>
        </w:rPr>
        <w:t>附件1.</w:t>
      </w:r>
      <w:r>
        <w:rPr>
          <w:rFonts w:hint="eastAsia"/>
          <w:color w:val="auto"/>
        </w:rPr>
        <w:t>技术协议书</w:t>
      </w:r>
      <w:bookmarkEnd w:id="22"/>
      <w:bookmarkStart w:id="23" w:name="_Toc509846375"/>
      <w:r>
        <w:rPr>
          <w:rFonts w:hint="eastAsia"/>
          <w:color w:val="auto"/>
        </w:rPr>
        <w:t>（单独成册）</w:t>
      </w:r>
    </w:p>
    <w:p w14:paraId="5131EC56">
      <w:pPr>
        <w:pStyle w:val="28"/>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360" w:lineRule="auto"/>
        <w:ind w:leftChars="0" w:firstLine="482" w:firstLineChars="200"/>
        <w:jc w:val="left"/>
        <w:textAlignment w:val="auto"/>
        <w:rPr>
          <w:rFonts w:hint="eastAsia" w:ascii="宋体" w:hAnsi="宋体" w:eastAsia="宋体" w:cs="宋体"/>
          <w:color w:val="auto"/>
        </w:rPr>
        <w:sectPr>
          <w:pgSz w:w="11906" w:h="16838"/>
          <w:pgMar w:top="1440" w:right="1800" w:bottom="1440" w:left="1800" w:header="851" w:footer="992" w:gutter="0"/>
          <w:cols w:space="425" w:num="1"/>
          <w:docGrid w:type="lines" w:linePitch="312" w:charSpace="0"/>
        </w:sectPr>
      </w:pPr>
      <w:bookmarkStart w:id="24" w:name="_Toc18537"/>
      <w:r>
        <w:rPr>
          <w:rFonts w:hint="eastAsia" w:ascii="宋体" w:hAnsi="宋体" w:eastAsia="宋体" w:cs="宋体"/>
          <w:color w:val="auto"/>
          <w:lang w:eastAsia="zh-CN"/>
        </w:rPr>
        <w:t>《任丘深能环保有限公司</w:t>
      </w:r>
      <w:r>
        <w:rPr>
          <w:rFonts w:hint="eastAsia" w:cs="宋体"/>
          <w:color w:val="auto"/>
          <w:lang w:eastAsia="zh-CN"/>
        </w:rPr>
        <w:t>2026</w:t>
      </w:r>
      <w:r>
        <w:rPr>
          <w:rFonts w:hint="eastAsia" w:ascii="宋体" w:hAnsi="宋体" w:eastAsia="宋体" w:cs="宋体"/>
          <w:color w:val="auto"/>
          <w:lang w:eastAsia="zh-CN"/>
        </w:rPr>
        <w:t>年度飞灰稳定化处理</w:t>
      </w:r>
      <w:r>
        <w:rPr>
          <w:rFonts w:hint="eastAsia" w:ascii="宋体" w:hAnsi="宋体" w:eastAsia="宋体" w:cs="宋体"/>
          <w:color w:val="auto"/>
          <w:lang w:val="en-US" w:eastAsia="zh-CN"/>
        </w:rPr>
        <w:t>技术协议</w:t>
      </w:r>
      <w:r>
        <w:rPr>
          <w:rFonts w:hint="eastAsia" w:ascii="宋体" w:hAnsi="宋体" w:eastAsia="宋体" w:cs="宋体"/>
          <w:color w:val="auto"/>
          <w:lang w:eastAsia="zh-CN"/>
        </w:rPr>
        <w:t>》</w:t>
      </w:r>
      <w:bookmarkEnd w:id="24"/>
    </w:p>
    <w:p w14:paraId="5C1D25B6">
      <w:pPr>
        <w:pStyle w:val="28"/>
        <w:numPr>
          <w:ilvl w:val="-1"/>
          <w:numId w:val="0"/>
        </w:numPr>
        <w:ind w:left="0" w:firstLine="0"/>
        <w:rPr>
          <w:color w:val="auto"/>
        </w:rPr>
      </w:pPr>
      <w:r>
        <w:rPr>
          <w:rFonts w:hint="eastAsia"/>
          <w:color w:val="auto"/>
          <w:lang w:val="en-US" w:eastAsia="zh-CN"/>
        </w:rPr>
        <w:t>附件2.</w:t>
      </w:r>
      <w:bookmarkStart w:id="25" w:name="_Toc94196211"/>
      <w:r>
        <w:rPr>
          <w:rFonts w:hint="eastAsia"/>
          <w:color w:val="auto"/>
        </w:rPr>
        <w:t>安健环协议</w:t>
      </w:r>
      <w:bookmarkEnd w:id="23"/>
      <w:bookmarkEnd w:id="25"/>
    </w:p>
    <w:p w14:paraId="01175C75">
      <w:pPr>
        <w:pStyle w:val="28"/>
        <w:numPr>
          <w:ilvl w:val="0"/>
          <w:numId w:val="0"/>
        </w:numPr>
        <w:rPr>
          <w:color w:val="auto"/>
        </w:rPr>
      </w:pPr>
    </w:p>
    <w:p w14:paraId="698D3C53">
      <w:pPr>
        <w:pStyle w:val="20"/>
        <w:snapToGrid w:val="0"/>
        <w:spacing w:line="360" w:lineRule="auto"/>
        <w:ind w:left="420" w:leftChars="200" w:right="1470"/>
        <w:jc w:val="center"/>
        <w:rPr>
          <w:rFonts w:ascii="黑体" w:hAnsi="黑体" w:eastAsia="黑体"/>
          <w:b/>
          <w:color w:val="auto"/>
          <w:sz w:val="32"/>
          <w:szCs w:val="32"/>
        </w:rPr>
      </w:pPr>
      <w:r>
        <w:rPr>
          <w:rFonts w:hint="eastAsia" w:ascii="黑体" w:hAnsi="黑体" w:eastAsia="黑体"/>
          <w:b/>
          <w:color w:val="auto"/>
          <w:sz w:val="32"/>
          <w:szCs w:val="32"/>
        </w:rPr>
        <w:t>安健环协议</w:t>
      </w:r>
    </w:p>
    <w:p w14:paraId="4FC84F93">
      <w:pPr>
        <w:pStyle w:val="20"/>
        <w:snapToGrid w:val="0"/>
        <w:ind w:left="420" w:leftChars="200" w:right="1470"/>
        <w:rPr>
          <w:color w:val="auto"/>
          <w:lang w:val="en-GB"/>
        </w:rPr>
      </w:pPr>
    </w:p>
    <w:p w14:paraId="49241BF1">
      <w:pPr>
        <w:pStyle w:val="20"/>
        <w:snapToGrid w:val="0"/>
        <w:spacing w:line="360" w:lineRule="auto"/>
        <w:ind w:left="420" w:leftChars="200" w:right="88" w:rightChars="42"/>
        <w:rPr>
          <w:b/>
          <w:color w:val="auto"/>
          <w:lang w:val="en-GB"/>
        </w:rPr>
      </w:pPr>
      <w:r>
        <w:rPr>
          <w:rFonts w:hint="eastAsia"/>
          <w:b/>
          <w:color w:val="auto"/>
          <w:lang w:val="en-GB"/>
        </w:rPr>
        <w:t>项目名称：</w:t>
      </w:r>
      <w:r>
        <w:rPr>
          <w:rFonts w:hint="eastAsia"/>
          <w:b/>
          <w:color w:val="auto"/>
          <w:u w:val="single"/>
          <w:lang w:val="en-GB"/>
        </w:rPr>
        <w:t>任丘深能环保有限公司</w:t>
      </w:r>
      <w:r>
        <w:rPr>
          <w:rFonts w:hint="eastAsia"/>
          <w:b/>
          <w:color w:val="auto"/>
          <w:u w:val="single"/>
          <w:lang w:val="en-GB" w:eastAsia="zh-CN"/>
        </w:rPr>
        <w:t>2026</w:t>
      </w:r>
      <w:r>
        <w:rPr>
          <w:rFonts w:hint="eastAsia"/>
          <w:b/>
          <w:color w:val="auto"/>
          <w:u w:val="single"/>
          <w:lang w:val="en-GB"/>
        </w:rPr>
        <w:t>年度飞灰稳定化处理承包</w:t>
      </w:r>
      <w:r>
        <w:rPr>
          <w:rFonts w:hint="eastAsia"/>
          <w:b/>
          <w:color w:val="auto"/>
          <w:u w:val="single"/>
          <w:lang w:val="en-US" w:eastAsia="zh-CN"/>
        </w:rPr>
        <w:t>项目</w:t>
      </w:r>
      <w:r>
        <w:rPr>
          <w:rFonts w:hint="eastAsia"/>
          <w:b/>
          <w:color w:val="auto"/>
          <w:u w:val="single"/>
          <w:lang w:val="en-GB"/>
        </w:rPr>
        <w:t xml:space="preserve"> </w:t>
      </w:r>
    </w:p>
    <w:p w14:paraId="63C28D09">
      <w:pPr>
        <w:pStyle w:val="20"/>
        <w:snapToGrid w:val="0"/>
        <w:spacing w:line="360" w:lineRule="auto"/>
        <w:ind w:left="420" w:leftChars="200" w:right="1470"/>
        <w:rPr>
          <w:b/>
          <w:color w:val="auto"/>
          <w:lang w:val="en-GB"/>
        </w:rPr>
      </w:pPr>
      <w:r>
        <w:rPr>
          <w:rFonts w:hint="eastAsia"/>
          <w:b/>
          <w:color w:val="auto"/>
          <w:lang w:val="en-GB"/>
        </w:rPr>
        <w:t>甲方（发包方）：</w:t>
      </w:r>
      <w:r>
        <w:rPr>
          <w:rFonts w:hint="eastAsia"/>
          <w:b/>
          <w:color w:val="auto"/>
          <w:u w:val="single"/>
          <w:lang w:val="en-GB"/>
        </w:rPr>
        <w:t>任丘深能环保有限公司</w:t>
      </w:r>
      <w:r>
        <w:rPr>
          <w:rFonts w:hint="eastAsia"/>
          <w:b/>
          <w:color w:val="auto"/>
          <w:lang w:val="en-GB"/>
        </w:rPr>
        <w:t xml:space="preserve">   </w:t>
      </w:r>
      <w:r>
        <w:rPr>
          <w:b/>
          <w:color w:val="auto"/>
          <w:lang w:val="en-GB"/>
        </w:rPr>
        <w:t xml:space="preserve">     </w:t>
      </w:r>
    </w:p>
    <w:p w14:paraId="519776CA">
      <w:pPr>
        <w:pStyle w:val="20"/>
        <w:snapToGrid w:val="0"/>
        <w:spacing w:line="360" w:lineRule="auto"/>
        <w:ind w:left="420" w:leftChars="200" w:right="1470"/>
        <w:rPr>
          <w:color w:val="auto"/>
        </w:rPr>
      </w:pPr>
      <w:r>
        <w:rPr>
          <w:rFonts w:hint="eastAsia"/>
          <w:b/>
          <w:color w:val="auto"/>
          <w:lang w:val="en-GB"/>
        </w:rPr>
        <w:t>乙方（承包方）：</w:t>
      </w:r>
      <w:r>
        <w:rPr>
          <w:rFonts w:hint="eastAsia"/>
          <w:b/>
          <w:color w:val="auto"/>
          <w:u w:val="single"/>
          <w:lang w:val="en-GB"/>
        </w:rPr>
        <w:t>成都赢纳环保科技有限公司</w:t>
      </w:r>
      <w:r>
        <w:rPr>
          <w:rFonts w:hint="eastAsia"/>
          <w:color w:val="auto"/>
        </w:rPr>
        <w:t xml:space="preserve">        </w:t>
      </w:r>
    </w:p>
    <w:p w14:paraId="04EE86B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为加强承包项目实施过程中安全、职业健康和环境保护（简称安健环）管理，明确甲乙双方安健环管理职责、应当采取的措施、违约责任及违约金扣缴或处罚等内容，最大限度地减少事故、职业病和环境污染的发生，根据国家、行业有关法律法规和规范性文件要求，结合承包工程项目特点，经双方协商一致签订本协议，并严格遵守。</w:t>
      </w:r>
    </w:p>
    <w:p w14:paraId="45AA1F75">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定义与解释</w:t>
      </w:r>
    </w:p>
    <w:p w14:paraId="43C59CC1">
      <w:pPr>
        <w:widowControl/>
        <w:numPr>
          <w:ilvl w:val="0"/>
          <w:numId w:val="12"/>
        </w:numPr>
        <w:overflowPunct w:val="0"/>
        <w:autoSpaceDE w:val="0"/>
        <w:autoSpaceDN w:val="0"/>
        <w:adjustRightInd w:val="0"/>
        <w:spacing w:line="380" w:lineRule="exact"/>
        <w:ind w:left="0" w:firstLine="200"/>
        <w:jc w:val="left"/>
        <w:textAlignment w:val="baseline"/>
        <w:rPr>
          <w:rFonts w:ascii="宋体" w:hAnsi="宋体" w:cs="Tahoma"/>
          <w:color w:val="auto"/>
          <w:kern w:val="0"/>
          <w:sz w:val="24"/>
        </w:rPr>
      </w:pPr>
      <w:r>
        <w:rPr>
          <w:rFonts w:hint="eastAsia" w:ascii="宋体" w:hAnsi="宋体" w:cs="Tahoma"/>
          <w:color w:val="auto"/>
          <w:kern w:val="0"/>
          <w:sz w:val="24"/>
          <w:lang w:bidi="ar"/>
        </w:rPr>
        <w:t>定义：(以下定义适用于本协议）</w:t>
      </w:r>
    </w:p>
    <w:p w14:paraId="4967F3EE">
      <w:pPr>
        <w:widowControl/>
        <w:overflowPunct w:val="0"/>
        <w:autoSpaceDE w:val="0"/>
        <w:autoSpaceDN w:val="0"/>
        <w:adjustRightInd w:val="0"/>
        <w:spacing w:line="380" w:lineRule="exact"/>
        <w:ind w:firstLine="482" w:firstLineChars="200"/>
        <w:jc w:val="left"/>
        <w:textAlignment w:val="baseline"/>
        <w:rPr>
          <w:rFonts w:ascii="宋体" w:hAnsi="宋体" w:cs="Tahoma"/>
          <w:color w:val="auto"/>
          <w:kern w:val="0"/>
          <w:sz w:val="24"/>
        </w:rPr>
      </w:pPr>
      <w:r>
        <w:rPr>
          <w:rFonts w:hint="eastAsia" w:ascii="宋体" w:hAnsi="宋体" w:cs="Tahoma"/>
          <w:b/>
          <w:color w:val="auto"/>
          <w:kern w:val="0"/>
          <w:sz w:val="24"/>
          <w:lang w:bidi="ar"/>
        </w:rPr>
        <w:t>中国</w:t>
      </w:r>
      <w:r>
        <w:rPr>
          <w:rFonts w:hint="eastAsia" w:ascii="宋体" w:hAnsi="宋体" w:cs="Tahoma"/>
          <w:color w:val="auto"/>
          <w:kern w:val="0"/>
          <w:sz w:val="24"/>
          <w:lang w:bidi="ar"/>
        </w:rPr>
        <w:t>或</w:t>
      </w:r>
      <w:r>
        <w:rPr>
          <w:rFonts w:hint="eastAsia" w:ascii="宋体" w:hAnsi="宋体" w:cs="Tahoma"/>
          <w:b/>
          <w:color w:val="auto"/>
          <w:kern w:val="0"/>
          <w:sz w:val="24"/>
          <w:lang w:bidi="ar"/>
        </w:rPr>
        <w:t>国家</w:t>
      </w:r>
      <w:r>
        <w:rPr>
          <w:rFonts w:hint="eastAsia" w:ascii="宋体" w:hAnsi="宋体" w:cs="Tahoma"/>
          <w:color w:val="auto"/>
          <w:kern w:val="0"/>
          <w:sz w:val="24"/>
          <w:lang w:bidi="ar"/>
        </w:rPr>
        <w:t>：指中华人民共和国，仅为本协议之目的，不包括香港特别行政区、澳门特别行政区和台湾地区。</w:t>
      </w:r>
    </w:p>
    <w:p w14:paraId="60E78B21">
      <w:pPr>
        <w:widowControl/>
        <w:overflowPunct w:val="0"/>
        <w:autoSpaceDE w:val="0"/>
        <w:autoSpaceDN w:val="0"/>
        <w:adjustRightInd w:val="0"/>
        <w:spacing w:line="380" w:lineRule="exact"/>
        <w:ind w:firstLine="482" w:firstLineChars="200"/>
        <w:jc w:val="left"/>
        <w:textAlignment w:val="baseline"/>
        <w:rPr>
          <w:rFonts w:ascii="宋体" w:hAnsi="宋体" w:cs="Tahoma"/>
          <w:color w:val="auto"/>
          <w:kern w:val="0"/>
          <w:sz w:val="24"/>
        </w:rPr>
      </w:pPr>
      <w:r>
        <w:rPr>
          <w:rFonts w:hint="eastAsia" w:ascii="宋体" w:hAnsi="宋体" w:cs="Tahoma"/>
          <w:b/>
          <w:color w:val="auto"/>
          <w:kern w:val="0"/>
          <w:sz w:val="24"/>
          <w:lang w:bidi="ar"/>
        </w:rPr>
        <w:t>法律</w:t>
      </w:r>
      <w:r>
        <w:rPr>
          <w:rFonts w:hint="eastAsia" w:ascii="宋体" w:hAnsi="宋体" w:cs="Tahoma"/>
          <w:color w:val="auto"/>
          <w:kern w:val="0"/>
          <w:sz w:val="24"/>
          <w:lang w:bidi="ar"/>
        </w:rPr>
        <w:t>：指所有适用的中国法律、行政法规、规章、自治条例、单行条例、地方性法规、司法解释及其它有法律约束力的规范性文件。本协议适用之法律包括签订生效时已现行发布实施之法律及日后进行重新修订、修改、废除等变更后之法律。</w:t>
      </w:r>
    </w:p>
    <w:p w14:paraId="73A941C1">
      <w:pPr>
        <w:widowControl/>
        <w:overflowPunct w:val="0"/>
        <w:autoSpaceDE w:val="0"/>
        <w:autoSpaceDN w:val="0"/>
        <w:adjustRightInd w:val="0"/>
        <w:spacing w:line="380" w:lineRule="exact"/>
        <w:ind w:firstLine="482" w:firstLineChars="200"/>
        <w:jc w:val="left"/>
        <w:textAlignment w:val="baseline"/>
        <w:rPr>
          <w:rFonts w:ascii="宋体" w:hAnsi="宋体" w:cs="Tahoma"/>
          <w:color w:val="auto"/>
          <w:kern w:val="0"/>
          <w:sz w:val="24"/>
        </w:rPr>
      </w:pPr>
      <w:r>
        <w:rPr>
          <w:rFonts w:hint="eastAsia" w:ascii="宋体" w:hAnsi="宋体" w:cs="Tahoma"/>
          <w:b/>
          <w:color w:val="auto"/>
          <w:kern w:val="0"/>
          <w:sz w:val="24"/>
          <w:lang w:bidi="ar"/>
        </w:rPr>
        <w:t>法律变更：</w:t>
      </w:r>
      <w:r>
        <w:rPr>
          <w:rFonts w:hint="eastAsia" w:ascii="宋体" w:hAnsi="宋体" w:cs="Tahoma"/>
          <w:color w:val="auto"/>
          <w:kern w:val="0"/>
          <w:sz w:val="24"/>
          <w:lang w:bidi="ar"/>
        </w:rPr>
        <w:t>指在生效日后，中华人民共和国任何立法机构、政府部门或司法机关对本协议生效时所适用的法律、法规、规章、规范性文件(包括但不限于与履行本协议有关的各种标准）进行重新修订、修改、废除的情况。还包括项目所在地政府、上级管理部门、甲方及与本协议履行有关的行政机关对现行规范性文件的修改。</w:t>
      </w:r>
    </w:p>
    <w:p w14:paraId="2D82A484">
      <w:pPr>
        <w:widowControl/>
        <w:overflowPunct w:val="0"/>
        <w:autoSpaceDE w:val="0"/>
        <w:autoSpaceDN w:val="0"/>
        <w:adjustRightInd w:val="0"/>
        <w:spacing w:line="380" w:lineRule="exact"/>
        <w:ind w:firstLine="482" w:firstLineChars="200"/>
        <w:jc w:val="left"/>
        <w:textAlignment w:val="baseline"/>
        <w:rPr>
          <w:rFonts w:ascii="宋体" w:hAnsi="宋体" w:cs="Tahoma"/>
          <w:color w:val="auto"/>
          <w:kern w:val="0"/>
          <w:sz w:val="24"/>
        </w:rPr>
      </w:pPr>
      <w:r>
        <w:rPr>
          <w:rFonts w:hint="eastAsia" w:ascii="宋体" w:hAnsi="宋体" w:cs="Tahoma"/>
          <w:b/>
          <w:color w:val="auto"/>
          <w:kern w:val="0"/>
          <w:sz w:val="24"/>
          <w:lang w:bidi="ar"/>
        </w:rPr>
        <w:t>安健环：</w:t>
      </w:r>
      <w:r>
        <w:rPr>
          <w:rFonts w:hint="eastAsia" w:ascii="宋体" w:hAnsi="宋体" w:cs="Tahoma"/>
          <w:color w:val="auto"/>
          <w:kern w:val="0"/>
          <w:sz w:val="24"/>
          <w:lang w:bidi="ar"/>
        </w:rPr>
        <w:t>指安全（safe）、职业健康（health）、环境保护（environment），安健环（SHE）管理体系是指建立起一种通过系统化的预防管理机制，彻底消除各种事故、环境和职业病隐患，以便最大限度地减少事故、环境污染和职业病的发生，从而达到改善企业安全、环境与健康业绩的管理方法。</w:t>
      </w:r>
    </w:p>
    <w:p w14:paraId="4C0B0812">
      <w:pPr>
        <w:widowControl/>
        <w:overflowPunct w:val="0"/>
        <w:autoSpaceDE w:val="0"/>
        <w:autoSpaceDN w:val="0"/>
        <w:adjustRightInd w:val="0"/>
        <w:spacing w:line="380" w:lineRule="exact"/>
        <w:ind w:firstLine="482" w:firstLineChars="200"/>
        <w:jc w:val="left"/>
        <w:textAlignment w:val="baseline"/>
        <w:rPr>
          <w:rFonts w:ascii="宋体" w:hAnsi="宋体" w:cs="Tahoma"/>
          <w:b/>
          <w:color w:val="auto"/>
          <w:kern w:val="0"/>
          <w:sz w:val="24"/>
        </w:rPr>
      </w:pPr>
      <w:r>
        <w:rPr>
          <w:rFonts w:hint="eastAsia" w:ascii="宋体" w:hAnsi="宋体" w:cs="Tahoma"/>
          <w:b/>
          <w:color w:val="auto"/>
          <w:kern w:val="0"/>
          <w:sz w:val="24"/>
          <w:lang w:bidi="ar"/>
        </w:rPr>
        <w:t>协议</w:t>
      </w:r>
      <w:r>
        <w:rPr>
          <w:rFonts w:hint="eastAsia" w:ascii="宋体" w:hAnsi="宋体" w:cs="Tahoma"/>
          <w:color w:val="auto"/>
          <w:kern w:val="0"/>
          <w:sz w:val="24"/>
          <w:lang w:bidi="ar"/>
        </w:rPr>
        <w:t>或</w:t>
      </w:r>
      <w:r>
        <w:rPr>
          <w:rFonts w:hint="eastAsia" w:ascii="宋体" w:hAnsi="宋体" w:cs="Tahoma"/>
          <w:b/>
          <w:color w:val="auto"/>
          <w:kern w:val="0"/>
          <w:sz w:val="24"/>
          <w:lang w:bidi="ar"/>
        </w:rPr>
        <w:t>本协议</w:t>
      </w:r>
      <w:r>
        <w:rPr>
          <w:rFonts w:hint="eastAsia" w:ascii="宋体" w:hAnsi="宋体" w:cs="Tahoma"/>
          <w:color w:val="auto"/>
          <w:kern w:val="0"/>
          <w:sz w:val="24"/>
          <w:lang w:bidi="ar"/>
        </w:rPr>
        <w:t>：指甲方与乙方之间签订的本《安健环协议》（包含其附件）和目前及日后签订生效的任何承包项目的具体业务合同（包含其附件，简称为项目合同），以及本《安健环协议》和各项目合同两方面日后可能签订之补充协议和附件，上述每一文件均被视为本安健环协议不可分割的一部分。</w:t>
      </w:r>
    </w:p>
    <w:p w14:paraId="5AE7193D">
      <w:pPr>
        <w:widowControl/>
        <w:overflowPunct w:val="0"/>
        <w:autoSpaceDE w:val="0"/>
        <w:autoSpaceDN w:val="0"/>
        <w:adjustRightInd w:val="0"/>
        <w:spacing w:line="380" w:lineRule="exact"/>
        <w:ind w:firstLine="482" w:firstLineChars="200"/>
        <w:jc w:val="left"/>
        <w:textAlignment w:val="baseline"/>
        <w:rPr>
          <w:rFonts w:ascii="宋体" w:hAnsi="宋体" w:cs="Tahoma"/>
          <w:color w:val="auto"/>
          <w:kern w:val="0"/>
          <w:sz w:val="24"/>
        </w:rPr>
      </w:pPr>
      <w:r>
        <w:rPr>
          <w:rFonts w:hint="eastAsia" w:ascii="宋体" w:hAnsi="宋体" w:cs="Tahoma"/>
          <w:b/>
          <w:color w:val="auto"/>
          <w:kern w:val="0"/>
          <w:sz w:val="24"/>
          <w:lang w:bidi="ar"/>
        </w:rPr>
        <w:t>项目</w:t>
      </w:r>
      <w:r>
        <w:rPr>
          <w:rFonts w:hint="eastAsia" w:ascii="宋体" w:hAnsi="宋体" w:cs="Tahoma"/>
          <w:color w:val="auto"/>
          <w:kern w:val="0"/>
          <w:sz w:val="24"/>
          <w:lang w:bidi="ar"/>
        </w:rPr>
        <w:t>：指在本协议签订生效至双方另行签订更新版本的安健环协议生效而被取代之日前，经甲方（发包方）交由乙方(承包方)进行具体承包负责实施完成的建设施工和生产运行阶段每一个业务项目合同范围及内容，也简称为本项目或外包项目或工程项目等。</w:t>
      </w:r>
    </w:p>
    <w:p w14:paraId="0C5D18B7">
      <w:pPr>
        <w:widowControl/>
        <w:overflowPunct w:val="0"/>
        <w:autoSpaceDE w:val="0"/>
        <w:autoSpaceDN w:val="0"/>
        <w:adjustRightInd w:val="0"/>
        <w:spacing w:line="380" w:lineRule="exact"/>
        <w:ind w:firstLine="482" w:firstLineChars="200"/>
        <w:jc w:val="left"/>
        <w:textAlignment w:val="baseline"/>
        <w:rPr>
          <w:rFonts w:ascii="宋体" w:hAnsi="宋体" w:cs="Tahoma"/>
          <w:color w:val="auto"/>
          <w:kern w:val="0"/>
          <w:sz w:val="24"/>
        </w:rPr>
      </w:pPr>
      <w:r>
        <w:rPr>
          <w:rFonts w:hint="eastAsia" w:ascii="宋体" w:hAnsi="宋体" w:cs="Tahoma"/>
          <w:b/>
          <w:color w:val="auto"/>
          <w:kern w:val="0"/>
          <w:sz w:val="24"/>
          <w:lang w:bidi="ar"/>
        </w:rPr>
        <w:t>现场</w:t>
      </w:r>
      <w:r>
        <w:rPr>
          <w:rFonts w:hint="eastAsia" w:ascii="宋体" w:hAnsi="宋体" w:cs="Tahoma"/>
          <w:color w:val="auto"/>
          <w:kern w:val="0"/>
          <w:sz w:val="24"/>
          <w:lang w:bidi="ar"/>
        </w:rPr>
        <w:t>：指在本协议项目</w:t>
      </w:r>
      <w:r>
        <w:rPr>
          <w:rFonts w:hint="eastAsia" w:ascii="宋体" w:hAnsi="宋体" w:cs="Tahoma"/>
          <w:color w:val="auto"/>
          <w:kern w:val="0"/>
          <w:sz w:val="24"/>
          <w:u w:val="single"/>
          <w:lang w:bidi="ar"/>
        </w:rPr>
        <w:t>实施及</w:t>
      </w:r>
      <w:r>
        <w:rPr>
          <w:rFonts w:hint="eastAsia" w:ascii="宋体" w:hAnsi="宋体" w:cs="Tahoma"/>
          <w:color w:val="auto"/>
          <w:kern w:val="0"/>
          <w:sz w:val="24"/>
          <w:lang w:bidi="ar"/>
        </w:rPr>
        <w:t>甲方（发包方）办公区域、施工场地、厂区范围内的场所或地点。</w:t>
      </w:r>
    </w:p>
    <w:p w14:paraId="220DBAA5">
      <w:pPr>
        <w:widowControl/>
        <w:numPr>
          <w:ilvl w:val="0"/>
          <w:numId w:val="1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解释：(在本协议中，除非另有明确规定，以下释义适用)</w:t>
      </w:r>
    </w:p>
    <w:p w14:paraId="4F64A156">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一方、双方指本协议的一方或双方，并且包括经允许的替代该方的人或该方的继承人或受让人；</w:t>
      </w:r>
    </w:p>
    <w:p w14:paraId="21205E3C">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条款或附件指本协议的条款或附件；</w:t>
      </w:r>
    </w:p>
    <w:p w14:paraId="06C8DA25">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“包括”均应理解为“包括但不限于”的意思；</w:t>
      </w:r>
    </w:p>
    <w:p w14:paraId="7B306D79">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任何协议或文件还指经补充或替代后的该协议或文件；</w:t>
      </w:r>
    </w:p>
    <w:p w14:paraId="1006F53F">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本协议指连同本协议附件、附录及附表在内的本协议，如本协议正文与附件、附录、附表冲突，以本协议正文为准；</w:t>
      </w:r>
    </w:p>
    <w:p w14:paraId="6D9E9863">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标题仅供阅读方便而设，不应影响条文的解释。</w:t>
      </w:r>
    </w:p>
    <w:p w14:paraId="756907DC">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总则</w:t>
      </w:r>
    </w:p>
    <w:p w14:paraId="6FF710E9">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甲乙双方必须严格遵守安健环有关法律法规和规范性文件要求，依法承担安健环责任。</w:t>
      </w:r>
    </w:p>
    <w:p w14:paraId="5A3D8C81">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甲乙双方履行法律法规和规范性文件要求的及项目承包合同和本协议约定应履行的安健环管理职责，采取必要的安健环措施，共同管理本项目实施过程中的安健环工作。</w:t>
      </w:r>
    </w:p>
    <w:p w14:paraId="1218B6B8">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方对承包项目具有安健环一票否决权。乙方在项目实施过程中未切实履行有关安健环管理职责、未有效落实有关安健环措施，危及生命财产安全、危及甲方安全生产或可能造成环境污染事故或事件的，甲方可勒令乙方整改、停止作业、停工整顿直至解除项目合同，可采取通报批评、警告、约谈乙方相关负责人、违规人员安全再教育、回收施工安健环开工许可证、要求撤换乙方不合格人员等措施，并可根据承包合同、本协议及甲方有关安健环管理规定对乙方给予相应的追责和扣缴违约金或经济处罚。对上述原因造成停止作业、停工整顿产生的损失，甲方不承担任何责任，乙方无权要求调整合同总价、工期等既定条件；上述原因导致解除合同造成损的，由乙方负责赔偿。</w:t>
      </w:r>
    </w:p>
    <w:p w14:paraId="3D5DF181">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本协议适用于甲方因工程建设、生产经营等需要，委托外部组织在甲方项目现场实施新建、改建、扩建等工程建设，以及进行检（维）修、维护、安装、试验、装修、拆除、处置、技改、小型基建等现场业务；委托外部组织进行现场物资供应、技术服务、咨询服务、劳务服务（含临时用工）、监理服务及其他服务或信息提供时，涉及外委人员进入甲方工程、生产现场的外包业务，也适用本协议。</w:t>
      </w:r>
    </w:p>
    <w:p w14:paraId="2C341AF4">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安健环管理目标</w:t>
      </w:r>
    </w:p>
    <w:p w14:paraId="5DBC161E">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不发生安全生产事故；</w:t>
      </w:r>
    </w:p>
    <w:p w14:paraId="3D11D24E">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不发生火灾事故；</w:t>
      </w:r>
    </w:p>
    <w:p w14:paraId="3171A8B9">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不发生交通事故；</w:t>
      </w:r>
    </w:p>
    <w:p w14:paraId="451D2FF9">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不发生责任性全厂停电事故；</w:t>
      </w:r>
    </w:p>
    <w:p w14:paraId="666890A1">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不发生职业病危害事故；</w:t>
      </w:r>
    </w:p>
    <w:p w14:paraId="4ACBA978">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不发生污染物超标排放、危险废弃物违法处置、化学品泄漏、环境处罚等环境污染事故、事件；</w:t>
      </w:r>
    </w:p>
    <w:p w14:paraId="06E64CBE">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不发生责任性甲方二类障碍及以上安健环事件等。</w:t>
      </w:r>
    </w:p>
    <w:p w14:paraId="2B9FCE99">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甲方安健环职责</w:t>
      </w:r>
    </w:p>
    <w:p w14:paraId="30FCAEF9">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甲方有权根据有关法律法规和规范性文件要求，结合电厂项目建设和生产运营等实际需要，制订并颁布施行安健环相关规章制度。</w:t>
      </w:r>
    </w:p>
    <w:p w14:paraId="45DF8168">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项目开工前由甲方自行或组织相关参建单位对乙方进行资质和开工条件审查。</w:t>
      </w:r>
    </w:p>
    <w:p w14:paraId="6077A0BA">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根据法规规定向乙方提供施工现场及毗邻区域内供水、排水、供电、供气、供热、通信、广播电视等地下管线资料，气象和水文观测资料，相邻建筑物和构筑物、地下工程的有关资料，并保证资料的真实、准确、完整。</w:t>
      </w:r>
    </w:p>
    <w:p w14:paraId="63728E1B">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自行或组织监理单位审查乙方项目安全保证及监督体系、安全生产管理组织机构、安全生产条件、施工组织设计、安全技术措施、职业健康防治措施、环境保护与污染防治措施等安健环管理满足法规要求和项目需求。</w:t>
      </w:r>
    </w:p>
    <w:p w14:paraId="028FB8D7">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向乙方进行必要的书面安健环技术交底（实行工程总承包的，由总承包单位组织落实）。</w:t>
      </w:r>
    </w:p>
    <w:p w14:paraId="601DBEA3">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自行或委托监理单位对项目实施过程的现场人员、设备设施、材料、安健环管理实施监督检查，促进现场安全文明生产、职业病防治、节能环保和防止污染事件。</w:t>
      </w:r>
    </w:p>
    <w:p w14:paraId="148F7A49">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方及其上级单位或其委托的监理单位有权对乙方安健环违法、违规、违章及不文明施工等行为及时进行制止，必要时向乙方下达整改通知书，并可根据约定条件对承包商给予相应的追责和扣缴违约金以及经济处罚。对于严重违法违章行为、重大安健环隐患，可勒令乙方无条件停止作业、停工整顿，直至问题或隐患排除，方允许继续作业。情况特别严重的，甲方有权终止合同。</w:t>
      </w:r>
    </w:p>
    <w:p w14:paraId="116DDBE6">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发生以下情况，甲方可勒令乙方无条件停工整顿。</w:t>
      </w:r>
    </w:p>
    <w:p w14:paraId="59F95B38">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发生人身伤亡事故、职业病危害事故、环境污染事故；</w:t>
      </w:r>
    </w:p>
    <w:p w14:paraId="040A4022">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发生机械、设备严重损坏事故；</w:t>
      </w:r>
    </w:p>
    <w:p w14:paraId="7562AA50">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发生厂（场）内火灾事故、交通事故；</w:t>
      </w:r>
    </w:p>
    <w:p w14:paraId="61E35E77">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设备、设施、工器具和安全防护用品用具存在重大隐患，可能导致事故发生；</w:t>
      </w:r>
    </w:p>
    <w:p w14:paraId="6A1F4600">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乙方有严重安健环违法、违规、违章、冒险作业可能导致事故发生的；</w:t>
      </w:r>
    </w:p>
    <w:p w14:paraId="2FC24AE4">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作业现场脏、乱、差，严重影响安全文明环境的；</w:t>
      </w:r>
    </w:p>
    <w:p w14:paraId="77E398E2">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乙方疏于管理可能导致职业危害事故发生的；</w:t>
      </w:r>
    </w:p>
    <w:p w14:paraId="094399E6">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污水、粉尘、有毒气体、噪声和辐射等违规排放，可能导致环保和污染事故；</w:t>
      </w:r>
    </w:p>
    <w:p w14:paraId="23361EFF">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化学品储存、搬运和使用存在严重隐患，可能导致泄漏、伤害和污染事件的。</w:t>
      </w:r>
    </w:p>
    <w:p w14:paraId="36C8188B">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其他因乙方未有效履行有关安健环管理职责和落实有关安健环措施，危及生命财产安全、危及发包方安全生产或可能造成环境污染事故事件。</w:t>
      </w:r>
    </w:p>
    <w:p w14:paraId="0D68D3FC">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督促乙方办理并严格执行相关工作许可文件，如工作票、开工许可证等。</w:t>
      </w:r>
    </w:p>
    <w:p w14:paraId="7813DBB9">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建立协调机制，协调解决项目实施过程中的安健环问题，检查、布置安健环工作。</w:t>
      </w:r>
    </w:p>
    <w:p w14:paraId="76162C17">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组织或协助上级有关单位进行事故调查处理。对乙方发生的任何一起事故有权要求乙方调查处理。</w:t>
      </w:r>
    </w:p>
    <w:p w14:paraId="6C38C886">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委托工程监理的项目，可按法规规定及合同约定由工程监理单位依法履行上述的部分甲方责任。</w:t>
      </w:r>
    </w:p>
    <w:p w14:paraId="66EABC68">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乙方安健环职责</w:t>
      </w:r>
    </w:p>
    <w:p w14:paraId="22B05071">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乙方对所承包项目的安健环管理全面负责，并承担所承包项目安健环主体责任。实施建设项目总承包的，执行国家有关规定。</w:t>
      </w:r>
    </w:p>
    <w:p w14:paraId="74E557D0">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负责宣贯传达并严格遵守国家、行业有关安健环法律、法规、方针、政策、标准、规定和规范性文件、操作规程等要求，自行宣贯落实并严格履行法律法规、承包合同、本协议及甲方有关安健环管理制度规定的安健环职责，严格执行甲方安健环管理和安全文明生产等现场规定和规章制度，主动依约依规接受甲方或其委托的监理方的管理、监督、检查和指导。</w:t>
      </w:r>
    </w:p>
    <w:p w14:paraId="12FA2867">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乙方应严格执行甲方安全管理网格化要求，接受甲方安全管理网格化培训，全员认真履行日常网格化管理职责，加强日常巡检和隐患排查，及时发现和消除现场安全隐患，接受甲方安全管理网格化监督和考核。</w:t>
      </w:r>
    </w:p>
    <w:p w14:paraId="464A730C">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乙方应具备满足所承担承包项目要求的安健环等级资质，持有合法有效的营业执照、资质证书等资质证明。有关资质证明应在开工前书面提交甲方现场审查、备案。</w:t>
      </w:r>
    </w:p>
    <w:p w14:paraId="396E096F">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有完善的安健环组织机构和安健环管理体系，以确保对本协议的有效贯彻执行。乙方须自觉加强落实内部安健环管理、监督、检查、教育、整改和考核，确保安健环费用的有效投入，根据工程项目的特点组织制定安健环管理措施，消除事故隐患，及时、如实报告生产安全事故、事件。</w:t>
      </w:r>
    </w:p>
    <w:p w14:paraId="1630360A">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现场从业人员超过50人（含50人）的，必须设置安全生产监督管理机构。乙方应同时按现场管理需要配备专职安全管理人员，从业人员超过300人的不得少于3人；从业人员在50人以下30人以上（含30人）的必须配备专职安全监督管理人员，从业人员在30人以下的应配备专职或兼职安全监督管理人员。主体工程监理单位，应设置安全生产监督管理机构，专职安全管理人员不得少于3人；非主体工程的监理单位，应配备专职安全监督管理人员。其他参建单位应按法规要求设立安全生产监督管理机构或配备安全管理人员。</w:t>
      </w:r>
    </w:p>
    <w:p w14:paraId="12B8FEAC">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主要负责人、项目负责人、安全生产管理人员、特种作业人员、危化品从业人员及法律法规要求应持证的其他从业人员，均应当按照国家有关法律法规规定接受培训，持证上岗。开工前，有关人员资质证件应书面提交甲方现场审查、备案。新改扩建建设工程乙方主要负责人还应最低持有：一级建造师证和安全员B证；安全负责人最低应持有注册安全工程师证和建设主管部门颁发的安全C证；安全管理人员最低持有建设主管部门颁发的安全C证；监理安全管理负责人应最低持有注册安全工程师证；监理安全管理人员应最低持有安全监理员证。</w:t>
      </w:r>
    </w:p>
    <w:p w14:paraId="278982C2">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现场到岗项目经理、技术负责人、安全负责人、监理总监、安全监理等主要岗位人员必须与投标文件一致，工作能力和履责表现应符合现场安全生产要求，不得擅自更换、不得设置其他岗位代替其履行职责。主要岗位人员必须全职常驻现场履责，严禁无故离岗、严禁他人代签署文件资料。</w:t>
      </w:r>
    </w:p>
    <w:p w14:paraId="0EAF14FA">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乙方应依法合规用工，加强协调管理，杜绝因劳资纠纷引起的社会安全事件。</w:t>
      </w:r>
    </w:p>
    <w:p w14:paraId="2C97A63F">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乙方所有工作人员的身体状况符合工程要求，严禁使用未成年工、有犯罪前科人员和不适应现场安全施工要求的老、弱、病、残和职业禁忌症人员。</w:t>
      </w:r>
    </w:p>
    <w:p w14:paraId="4A55611A">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乙方应对所有进入甲方现场的人员（含增补或调换人员、更换工种等）进行入场（厂）安健环教育培训，并经考试合格后方可上岗，培训考核结果提交甲方现场备案。</w:t>
      </w:r>
    </w:p>
    <w:p w14:paraId="0609EE7C">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乙方人员进入生产现场必须办理入场（厂）手续，作业前应按甲方有关规定办理开工许可、工作票、工作许可或授权。未经许可或授权不得擅自进入非授权场所，不得擅自开工。</w:t>
      </w:r>
    </w:p>
    <w:p w14:paraId="5A088F0A">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乙方必须为进入现场的所有人员配备足够齐全合格的个人安健环防护用品，并自行督促正确佩戴使用，自行加强日常培训和落实管理工作，杜绝安健环等责任事故或事件的发生。</w:t>
      </w:r>
    </w:p>
    <w:p w14:paraId="0B708A14">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乙方必须评估并制定现场职业病危害因素防控措施，杜绝职业病危害事故发生。</w:t>
      </w:r>
    </w:p>
    <w:p w14:paraId="56337850">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乙方按照法律法规和有关规定，必须为其进入现场的全部作业人员办理覆盖整个工程期间的必要医疗、工伤、意外伤害等保险，并在甲方现场备案。工伤保险不得替代意外伤害保险。</w:t>
      </w:r>
    </w:p>
    <w:p w14:paraId="4713B4D7">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使用合格的机械（含车辆）、工器具及安全防护设施、安全用具，各类特种设备、工、用、机具必须经过质监部门或有关技术部门定期检验合格。开工前乙方必须完成自查，并向甲方现场提交清单及自查结果。不合格的，不得进入作业现场。</w:t>
      </w:r>
    </w:p>
    <w:p w14:paraId="2E9B81C7">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乙方进出甲方安保区域的车辆，必须按甲方现场规定办理通行证件，并接受甲方现场保安人员的检查。</w:t>
      </w:r>
    </w:p>
    <w:p w14:paraId="432A497E">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开工前须针对复杂、危险、专业性较强、风险较大的作业或危险区域作业制定专门的安健环技术措施或专项施工方案，由甲方或监理单位审查合格并监督实施。甲方或监理方的有关参与行为，将不分摊或减免乙方的安健环责任。对达到一定规模及以上危险性较大的工程，国家、行业规定必须进行专家论证的，应从其规定。</w:t>
      </w:r>
    </w:p>
    <w:p w14:paraId="0B7A2D13">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乙方负责组织项目或分项作业开工前的安全技术交底，并将交底内容和交底人、被交底人签字的记录，一份存档，另一份送达甲方现场安全负责人备案。</w:t>
      </w:r>
    </w:p>
    <w:p w14:paraId="712FE6CC">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落实文明生产各项要求，安全设施及安全警示标志齐全，作业区域装设临时围栏（必要时实施封闭作业），夜间设置警告灯。不得超越指定的作业区域作业。未经甲方事前同意，不得擅自动用甲方设备设施，不得擅自拆除、变更甲方防护设施及安全标志。</w:t>
      </w:r>
    </w:p>
    <w:p w14:paraId="79A4C4EB">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乙方在项目实施过程中不得超范围工作，不得随意碰触无关设备或改变状态，对施工可能造成损害的毗邻建构筑物、设施设备、地下管线等应采取专项保护措施。</w:t>
      </w:r>
    </w:p>
    <w:p w14:paraId="2E1F26BD">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乙方需使用水、电、气源，必须提出申请并执行甲方相关规定，不得私拉乱接。乙方作业过程中必须严格执行国家、行业有关法律法规和规范性文件要求以及甲方的规章制度，安全用水、用电、用气。</w:t>
      </w:r>
    </w:p>
    <w:p w14:paraId="3782F98E">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乙方施工过程中必须对现场进行定置管理，做到“三不落地”（材料、工具、水和油不落地），保持地面整洁及自觉保护环境（如草地、树木、绿化带等），如有损坏要负责恢复、赔偿。</w:t>
      </w:r>
    </w:p>
    <w:p w14:paraId="402470E6">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 xml:space="preserve">乙方负责对施工过程中物料和废料进行分类管理，采取措施防止扬尘、泄漏、污染事件，作业后，必须做到工完、料净、场地清。 </w:t>
      </w:r>
    </w:p>
    <w:p w14:paraId="5DDD98EE">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负责采取措施，防治工程项目实施过程中产生的废气、废水、废渣、粉尘、恶臭气体、放射性物质以及噪声、振动、光辐射、电磁辐射等对环境的污染和危害。污染物处置、排放必须依法合规且达标。采取措施避免施工中产生的灰尘、噪音、强光、废水等有害污染物影响到施工及周边区域的环境及人员健康。</w:t>
      </w:r>
    </w:p>
    <w:p w14:paraId="2A7002DD">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加强所承包项目安健环管理，作业过程严格遵守《电力建设安全工作规程》、《电业安全工作规程》、《建筑施工高处作业施工规范》、《施工现场临时用电安全技术规范》、《建筑深基坑工程施工安全技术规范》、《建筑施工扣件式钢管脚手架安全技术规范》、《建筑施工安全检查标准》等规范、标准规定，符合甲方《深能环保生产企业安全管理指引》、《深能环保检修安全管理指引》、《深能环保基建工程安全文明施工标准》等标准、指引要求，杜绝以下习惯性违章行为（包括但不限于以下内容）主要有：</w:t>
      </w:r>
    </w:p>
    <w:p w14:paraId="20622DED">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进入施工现场未戴安全帽，或安全帽没有正确佩戴，安全帽带未系紧</w:t>
      </w:r>
    </w:p>
    <w:p w14:paraId="305E61EF">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着装不规范（如：未戴出入证，工作服未扣好钮扣，穿背心、短裤、裙子、拖鞋、高跟鞋进入施工现场，踩鞋后跟等）</w:t>
      </w:r>
    </w:p>
    <w:p w14:paraId="4CED7686">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特种工种无证作业</w:t>
      </w:r>
    </w:p>
    <w:p w14:paraId="42642785">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超负荷或超期限使用电气、机械设备</w:t>
      </w:r>
    </w:p>
    <w:p w14:paraId="6B8C099E">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酒后进入施工现场，在现场睡觉</w:t>
      </w:r>
    </w:p>
    <w:p w14:paraId="4A7A19CB">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未按规定布置或擅自拆除、损坏、移动安全设施、标志、警告牌</w:t>
      </w:r>
    </w:p>
    <w:p w14:paraId="13F89C16">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检修、清理运行中设备</w:t>
      </w:r>
    </w:p>
    <w:p w14:paraId="5556F7BC">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各类施工机械、电气安全保护装置不齐</w:t>
      </w:r>
    </w:p>
    <w:p w14:paraId="4D75C774">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机械设备的电气、转动部件外露部分无防护装置</w:t>
      </w:r>
    </w:p>
    <w:p w14:paraId="0A7E8A45">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使用不合格的设备、机械、工器具、劳动保护用品</w:t>
      </w:r>
    </w:p>
    <w:p w14:paraId="28AB8863">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夜间或光线不足地点未有充足照明或警示红灯</w:t>
      </w:r>
    </w:p>
    <w:p w14:paraId="1FE30B0D">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起吊、存放零散物件未做好防坠措施</w:t>
      </w:r>
    </w:p>
    <w:p w14:paraId="3E4973C2">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对地下设施、管线不采取保护、标识措施</w:t>
      </w:r>
    </w:p>
    <w:p w14:paraId="3AEEC5F5">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交叉、起重、带电作业未有隔离措施、警戒区域，并未设专人监护</w:t>
      </w:r>
    </w:p>
    <w:p w14:paraId="52387037">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密闭容器内、潮湿地点电源未使用安全电压或设置漏电保护开关，密闭容器未有良好通风、未设专人监护</w:t>
      </w:r>
    </w:p>
    <w:p w14:paraId="7CBED938">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梯长不按规定驳长使用或放置不稳，多人同时站在梯子上作业</w:t>
      </w:r>
    </w:p>
    <w:p w14:paraId="0FE362B8">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其他不符合高处作业、土石方作业、施工用电、深基坑作业、脚手架作业、模板工程、起重作业、有限空间作业、危化品管理、调试施工等作业规范的行为。</w:t>
      </w:r>
    </w:p>
    <w:p w14:paraId="654700A2">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乙方应根据工作范围、作业环境以及工程项目的特点，对施工现场容易引发安全生产事故的危险源、危险部位、危险环节进行监控，并制定施工现场安全应急预案, 建立应急救援组织、配备应急物资和器材，并定期组织应急培训和演练。</w:t>
      </w:r>
    </w:p>
    <w:p w14:paraId="5830CE3E">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人身、设备、火灾、环境污染等事故或危及生产运行的不安全情况及其他不安全和环境污染事件时，乙方须首先救治伤员，及时向甲方报告，并积极落实应急措施防止事态扩大、减少事故损失。同时应保护好事故现场，视事故事件大小、类别按有关规定向政府有关部门报告。执行国家事故信息上报规定，并按国家的有关规定开展事故调查处理。</w:t>
      </w:r>
    </w:p>
    <w:p w14:paraId="6DFD18A2">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项目建设工程实行施工总承包的，由总承包单位对施工现场的安健环管理特别是安全生产方面负总责。总承包单位依法合规并事前签订书面合约将建设工程分包给其他单位的，总承包单位要按甲方有关规定和要求对项目分包商进行严格审查，不合格的不得承接分包项目，严禁层层转包。总承包单位必须与分包方签订安健环管理协议，明确双方管理职责和应采取的安健环措施。总承包单位须将分包方纳入到自己的管理范围，并对其安健环管理过程和结果负连带责任。分包单位必须服从总承包单位的安健环管理，因分包单位不服从管理导致安健环事故、事件的，由分包单位承担主要责任。</w:t>
      </w:r>
    </w:p>
    <w:p w14:paraId="26D3BC8C">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承包人应承担各类事件后的维稳运作和费用。</w:t>
      </w:r>
    </w:p>
    <w:p w14:paraId="7ECD594E">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违约责任与违约金扣缴或处罚</w:t>
      </w:r>
    </w:p>
    <w:p w14:paraId="43EB38A5">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由于责任方原因造成安健环事故、事件发生，引发对方或第三方的人身伤害、设备损坏或财产损失，由责任方承担相应安健环责任、法律责任和全部经济损失（包括但不限于有关赔偿或补偿）。双方均有责任的，甲乙双方按认定的责任各自承担。</w:t>
      </w:r>
    </w:p>
    <w:p w14:paraId="28876E77">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甲乙双方向对方提供的有关文件、资料应准确有效，符合安健环法规要求，否则接受方有权拒绝；对于因虚假或不实文件、资料引起的安健环责任和不良后果，由提供方独自承担全部责任并负责有关赔偿或补偿。</w:t>
      </w:r>
    </w:p>
    <w:p w14:paraId="440C563D">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 xml:space="preserve">乙方因工程需要使用甲方设备、设施、工器具和安全防护用品的，必须经甲方批准，并由乙方书面验收合格后方能使用。验收不合格，不得使用。未经甲方批准擅自使用或因乙方使用不当等情况造成设备设施损坏或引发事故的，由乙方独自承担全部责任并负责有关赔偿或补偿。 </w:t>
      </w:r>
    </w:p>
    <w:p w14:paraId="542CA3B9">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发生下列情况之一，由乙方独自负全部责任、承担全部经济损失赔偿、补偿和相关罚款、违约金，并由乙方完成（包括但不限于受理、调查核实、提交报告、配合认定、安抚谈判、承担责任、污染复原、支付赔偿等）等善后事宜。造成甲方或第三方损失的也由乙方全部承担：</w:t>
      </w:r>
    </w:p>
    <w:p w14:paraId="6DAB8931">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擅自更换投标文件列明的项目经理、监理总监、技术负责人、安全负责人、安全监理等关键岗位人员或关键岗位人员不到岗、履责不到位引起、导致、造成事故。</w:t>
      </w:r>
    </w:p>
    <w:p w14:paraId="7E22767C">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不按施工方案施工、不执行安全技术措施、安健环监管不到位、安健环投入不足、人员安健环教育不到位、隐患整改不及时或不彻底、施工用机具及安全防护用品不满足施工需求等情况所引起、导致、造成事故。</w:t>
      </w:r>
    </w:p>
    <w:p w14:paraId="32647225">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违法、违规、违章指挥、违章作业、违反劳动纪律、违反本协议、违反甲方安健环规定等所引起、导致、造成事故。</w:t>
      </w:r>
    </w:p>
    <w:p w14:paraId="357431C9">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使用有隐患的或未经许可擅自拆除安全防护设施所引起、导致、造成事故。</w:t>
      </w:r>
    </w:p>
    <w:p w14:paraId="79912B79">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 xml:space="preserve"> 擅自损坏、毁坏安全防护设施所引起、导致、造成事故。</w:t>
      </w:r>
    </w:p>
    <w:p w14:paraId="29D1E6F2">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由于乙方故意、过失、渎职、疏于管理等原因或责任所引起、导致、造成事故。</w:t>
      </w:r>
    </w:p>
    <w:p w14:paraId="6AF98576">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乙方与其派往现场等人员产生劳动争议和任何纠纷。</w:t>
      </w:r>
    </w:p>
    <w:p w14:paraId="01545445">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其他因乙方未有效履行有关安健环管理职责和落实有关安健环措施，造成生命财产损失、发生安全生产事故事件、发生职业危害事件或环境污染事故事件。</w:t>
      </w:r>
    </w:p>
    <w:p w14:paraId="59731905">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发生以下乙方责任安健环事故事件的，甲方有权依约依规对乙方进行违约金扣除，违约金额从甲方应支付乙方的合同费用、</w:t>
      </w:r>
      <w:r>
        <w:rPr>
          <w:rFonts w:hint="eastAsia" w:ascii="宋体" w:hAnsi="宋体" w:cs="Tahoma"/>
          <w:color w:val="auto"/>
          <w:kern w:val="0"/>
          <w:sz w:val="24"/>
          <w:lang w:eastAsia="zh-CN" w:bidi="ar"/>
        </w:rPr>
        <w:t>监管资金</w:t>
      </w:r>
      <w:r>
        <w:rPr>
          <w:rFonts w:hint="eastAsia" w:ascii="宋体" w:hAnsi="宋体" w:cs="Tahoma"/>
          <w:color w:val="auto"/>
          <w:kern w:val="0"/>
          <w:sz w:val="24"/>
          <w:lang w:bidi="ar"/>
        </w:rPr>
        <w:t>或监管资金中直接给予扣除（此并不构成甲方违约）。违约金扣除标准如下：</w:t>
      </w:r>
    </w:p>
    <w:p w14:paraId="1F5C82A8">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一般及以上安全生产事故、火灾事故、交通事故、环境污染事故，导致人员轻伤的每人次30000元、人员重伤的每人次50000元、人身死亡的每人次100000元；造成经济损失的，并罚直接经济损失金额的百分之十，并由乙方承担全部经济损失。</w:t>
      </w:r>
    </w:p>
    <w:p w14:paraId="7E87AD7D">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发生职业病危害事故、事件，每人次20000元；</w:t>
      </w:r>
    </w:p>
    <w:p w14:paraId="1F97B217">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造成发包方全厂停电事故，每起30000元；</w:t>
      </w:r>
    </w:p>
    <w:p w14:paraId="497650E2">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造成发包方内部统计事故，每起30000元；</w:t>
      </w:r>
    </w:p>
    <w:p w14:paraId="08BC8055">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造成发包方一类障碍，每起25000元；</w:t>
      </w:r>
    </w:p>
    <w:p w14:paraId="2A4CC62F">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造成发包方二类障碍，每起10000元；</w:t>
      </w:r>
    </w:p>
    <w:p w14:paraId="141CAF1E">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发生上述安健环事故、事件后，承包方弄虚作假、隐瞒不报、迟报或谎报，一经查出，除按上述规定进行处罚外，另外加罚一倍。</w:t>
      </w:r>
    </w:p>
    <w:p w14:paraId="68743DF8">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有关事故定级、职业病危害认定、经济损失等，依照国家有关法规或事故调查、专业鉴定结果；乙方二类障碍、一类障碍、全厂停电、内部统计事故的定义依据甲方安健环事故事件调查有关管理制度。</w:t>
      </w:r>
    </w:p>
    <w:p w14:paraId="3A7771C6">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由于乙方责任（含其派出人员）造成的一切人身事故、设备损坏、职业病危害事故、环境污染等安健环事故事件，均由乙方自行承担全部安健环责任和法律责任，并负责所有赔偿、补偿善后处置工作。如使甲方或第三方造成损失，乙方负责赔偿或补偿；乙方不及时支付赔偿或补偿金额的，甲方有权从应支付乙方的合同费用、</w:t>
      </w:r>
      <w:r>
        <w:rPr>
          <w:rFonts w:hint="eastAsia" w:ascii="宋体" w:hAnsi="宋体" w:cs="Tahoma"/>
          <w:color w:val="auto"/>
          <w:kern w:val="0"/>
          <w:sz w:val="24"/>
          <w:lang w:eastAsia="zh-CN" w:bidi="ar"/>
        </w:rPr>
        <w:t>监管资金</w:t>
      </w:r>
      <w:r>
        <w:rPr>
          <w:rFonts w:hint="eastAsia" w:ascii="宋体" w:hAnsi="宋体" w:cs="Tahoma"/>
          <w:color w:val="auto"/>
          <w:kern w:val="0"/>
          <w:sz w:val="24"/>
          <w:lang w:bidi="ar"/>
        </w:rPr>
        <w:t>或监管资金中直接给予扣除（此并不构成甲方违约）；尚不足赔偿或补偿部分的金额，由乙方于收到甲方催缴通知一个月内另行向甲方和受损第三方一次性付清。</w:t>
      </w:r>
    </w:p>
    <w:p w14:paraId="2C9B8216">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为进一步加强对生产、基建现场典型违章隐患的治理，加大对典型隐患、习惯性违章的考核处罚力度，贯彻集团和公司“严惩制度化”的管理要求，公司规定凡是与公司及所属单位签订合同的乙方或其施工人员有以下行为的，视为乙方违反安全管理行为，甲方有权对乙方处以每起或每人次5000-20000元的违约经济处罚，处罚金额从甲方应支付乙方的当期合同费用、</w:t>
      </w:r>
      <w:r>
        <w:rPr>
          <w:rFonts w:hint="eastAsia" w:ascii="宋体" w:hAnsi="宋体" w:cs="Tahoma"/>
          <w:color w:val="auto"/>
          <w:kern w:val="0"/>
          <w:sz w:val="24"/>
          <w:lang w:eastAsia="zh-CN" w:bidi="ar"/>
        </w:rPr>
        <w:t>监管资金</w:t>
      </w:r>
      <w:r>
        <w:rPr>
          <w:rFonts w:hint="eastAsia" w:ascii="宋体" w:hAnsi="宋体" w:cs="Tahoma"/>
          <w:color w:val="auto"/>
          <w:kern w:val="0"/>
          <w:sz w:val="24"/>
          <w:lang w:bidi="ar"/>
        </w:rPr>
        <w:t>或监管资金中直接给予扣除（此并不构成甲方违约）。现场安健环奖惩规定由甲方在乙方入场（厂）前进行解读宣贯，并交由乙方书面签收确认。常见习惯性违章行为（包括但不限于以下内容）处罚标准如下：</w:t>
      </w:r>
    </w:p>
    <w:tbl>
      <w:tblPr>
        <w:tblStyle w:val="3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6265"/>
        <w:gridCol w:w="1673"/>
      </w:tblGrid>
      <w:tr w14:paraId="1CD9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F465AB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序号</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456491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违章行为</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7398FB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处罚标准</w:t>
            </w:r>
          </w:p>
        </w:tc>
      </w:tr>
      <w:tr w14:paraId="680E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0949C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1.一般习惯性违章行为     有下列行为之一者给予相关责任人5000-10000元处罚</w:t>
            </w:r>
          </w:p>
        </w:tc>
      </w:tr>
      <w:tr w14:paraId="6ADE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942189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B7869B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进入施工现场未戴安全帽，或安全帽没有正确佩戴，安全帽带未系紧</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DA2D31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485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EA9755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8F52B6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着装不规范（如：未戴出入证，工作服未扣好钮扣，穿背心、短裤、裙子、拖鞋、高跟鞋进入施工现场，踩鞋后跟等）</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EBA908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7B9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A2A5DC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56F1CC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特种工种无证作业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9BCF35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B61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C99934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99EF38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超负荷或超期限使用电气、机械设备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7174E8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F02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255471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5260B7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酒后进入施工现场，在现场睡觉</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8E2F53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5E3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A0D0BE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896D0F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未按规定布置或擅自拆除、损坏、移动安全设施、标志、警告牌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113013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1A5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CAA6C1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E5D298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检修、清理运行中设备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3906AE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3AA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CBD496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102285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各类施工机械、电气安全保护装置不齐</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511F55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C34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FC892F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08D94E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机械设备的电气、转动部件外露部分无防护装置</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622E23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090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754905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525574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使用不合格的设备、机械、工器具、劳动保护用品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8F11D9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9BE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F522A5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CB94C2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夜间或光线不足地点未有充足照明或警示红灯</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C75C9E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330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641C17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AE93C0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起吊、存放零散物件未做好防坠措施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9DC196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5A3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423CDE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8FB656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对地下设施、管线不采取保护、标识措施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7A347B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B89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BB7E19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6B3637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交叉、起重、带电作业未有隔离措施、警戒区域，并未设专人监护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8FEAF7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287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750F11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1F34BD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密闭容器内、潮湿地点电源未使用安全电压或设置漏电保护开关，密闭容器未有良好通风、未设专人监护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838F7A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A4A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A50465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2C75A6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梯长不按规定驳长使用或放置不稳，多人同时站在梯子上作业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9773B5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5FD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2D35715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2.高空与交叉作业   违反下列行为给予10000-20000元处罚</w:t>
            </w:r>
          </w:p>
        </w:tc>
      </w:tr>
      <w:tr w14:paraId="7CAF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6E5E57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3C6E88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 xml:space="preserve">高空作业平台临边、孔洞、深坑、边坡高处等地点未设置围栏、盖板，或围栏、盖板不符合要求的 </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8BAAB4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BC9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BAE6E8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AF6E72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钢架柱梁、砼柱梁、屋架、竖梯、爬梯等没有平台或脚手架地方进行施工，未使用水平扶绳、垂直攀登自锁装置、安全网等保护措施的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6C4D8B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E7D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F3D7EC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A20A54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高空作业未戴安全带，未扣挂上方牢固可靠处或者其他防坠措施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1085D6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967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6AC759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547BAE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简易结构上作业未采取可靠防坠措施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B22DFC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000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ED4D70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801933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高空作业未按规定佩戴工具袋，上下抛扔物件</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4A3A86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DCA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6390BC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2536A2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手持工具进行垂直攀爬</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0C5FBB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628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30EF3E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2.7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3A4866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交叉作业未及时进行信息沟通，没有采取错开垂直交叉地点或时间、搭设防护隔离设施或警示措施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EFBAEF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77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19D4DB6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3.施工用电   违反下列行为给予5000-10000元处罚</w:t>
            </w:r>
          </w:p>
        </w:tc>
      </w:tr>
      <w:tr w14:paraId="3620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02FC0C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AAF21E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施工用电未实行三相五线制，没有采用三级配电、二级漏电保护和TN-S接零保护系统</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147240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6D9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633A43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0FF278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电气裸露部分没有采取隔离或绝缘措施，电器设备金属外壳未有接地</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2952EC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401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E4865E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7E253F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配电箱一台开关控制多台电器设备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205049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1E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A89D63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2B6796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配电箱、开关箱放置地点不牢固，容易被水淹、土埋，杂草没有及时清除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EC7E92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843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29D3A3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799602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电缆截面不能满足用电负荷要求，导致电缆发热或绝缘破损的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E988C5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1A1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9C521C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3C02C5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电缆埋地、设架空敷设距离、深度不足，通过道路未有保护措施，埋地电缆未有标识</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B74BD0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4F6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0226F8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4B77E6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配电室没有配置消防措施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2065B9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DD2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6E8E27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C15BC6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施工电源维修时未采取断电、上锁、设置警示牌、监护等措施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ACA5A3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B76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A5A594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759725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不按规定乱拉乱接电源，将电源线直接插入插座或勾挂闸刀上</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CE8D0D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18A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3DF2D5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44810E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电气线路、电气设备连接采用缠绕方式</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675FBB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816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DA3AC4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3FCEAE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移动照明灯具没有按照使用场所要求采用安全电压</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F741D9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475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4782E1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17A5E5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露天电气装置未做好防雨措施的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B99C1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9D8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CE42A8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3.13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428621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未按规范要求装配电器设备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6C3CF4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49C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01967C0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4.脚手架与模板支撑系统  违反下列行为的给予10000-20000元处罚</w:t>
            </w:r>
          </w:p>
        </w:tc>
      </w:tr>
      <w:tr w14:paraId="651D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A3EFBF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7BF560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钢管、扣件、竹排、铁丝等材料不符合要求，进入现场未经检查或试验</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4FCC42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0B0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C78792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2406F6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钢管立柱底部不牢固，未按规定设置扫地杆</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AAF885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1BE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E41025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714921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脚手架立柱、横杆、连墙件间距过大，未按规定设置剪刀撑或支杆（抛撑）</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8E24A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343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40D992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1E6F79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脚手板未满铺或者存在空隙、探头板，脚手板未绑扎或压扣</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C92F0E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2A6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648FF6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C71073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脚手架或模板支撑系统在搭设过程中未按规定布置安全网</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CD197B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C19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8425B1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88DC27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脚手架拆除顺序违反安全规定，上下同时拆除脚手架，采取整体推倒方式拆除脚手架</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71FF59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8D9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56B6F8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9F0109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脚手架、模板搭设、拆除作业未设警示区域或专人监护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8E53FD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FFC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BE0232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DB2ED0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拆下的模板没有及时运到指定地点集中堆放，大量堆放在脚手架或临时搭设的工作台上</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0A5D50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1C4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5BE94A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60261E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脚手架、模板支撑搭设未进行验收与挂牌就使用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AAD4E0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DFC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2655A2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4.10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5A8ADE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模板、木料集中堆放时，距离火源小于10m，且料场四周没有设置消防器材</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5C4960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E6B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D7D90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5.起重机械与起重作业      违反下列行为给予10000-20000元处罚</w:t>
            </w:r>
          </w:p>
        </w:tc>
      </w:tr>
      <w:tr w14:paraId="0F7A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84182B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2A6A68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人员从起重物下方停留或通过，或吊物从人头上越过</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A23F77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360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1AABF1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C41F04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起吊物未绑扎牢固，起吊时偏拉斜吊，吊物未放稳时松钩</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D0DD86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C18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E262E3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78FD90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起吊大件或不规则组件未绑溜绳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4A2877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378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5073C8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FA981A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起重机同时操作三个动作，接近满负荷同时操作两个动作</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FAE1FD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5EF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BCD929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7F7446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吊起重物时司机离开操作室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EB4276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132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13DAB2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C953FE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龙门吊或塔吊移动时人员上下扶梯</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C87BCB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1F4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126B6B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429042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移动式起重机械在起吊重物时未打支脚或在松动地面作业时未垫钢板或枕木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3D8817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A6C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4AFC92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42D4BC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暴雨、大风等恶劣气候进行高处、起重作业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36ADBB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1A5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A5747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FA48CE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卷扬机基座不稳定，卷筒与导向轮中心未对正，运行时钢丝绳小于五圈，运行时跨越钢丝绳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92FA7A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640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B8853E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FCE462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葫芦长期吊挂时不加保险绳，拆成单链使用，拉链人数超过规定要求</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8EDC40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074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2EB254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004F0B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未经承载计算及批准利用管道、脚手架起吊物件</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E8FAC7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6A3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68FE76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A66A10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使用井架载人上下，电梯和井架安全门未设置</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34B498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CC7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28320C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8CC508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使用不合格的起重工器具或违规使用工器具</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8FA7EE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3E8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6D87A5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203B08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钢丝绳接触棱角处未垫包角</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197805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33B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3FC622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5.15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429AD6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违反十不吊规定</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41FC59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6B2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41D488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6.消防及危险化学品     违反下列行为的给予10000-20000元考核</w:t>
            </w:r>
          </w:p>
        </w:tc>
      </w:tr>
      <w:tr w14:paraId="7505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0434C6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C9CEC5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在禁烟区内吸烟或流动吸烟的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42F39D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8C5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795BD9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DAB428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易燃易爆物品、有毒有害物品、射源未按规定进行隔离、存放；易燃爆炸危险作业场所未有消防设施或装置，未使用防爆电器，未有警告标志，使用前未经验收</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FAF7A4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2A5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2DF509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B41BD1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临时仓库的耐火等级不符合防火要求</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0010AD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FC6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81D9FA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F23FBD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仓库、宿舍、办公室、加工场、施工现场等场所不按规配置消防器材，移动、破坏消防设施或器材</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BAA271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CFE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A65FD8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848936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堵塞、阻碍消防通道或消防设施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709FFB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C8D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93520C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32998F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在易燃易爆物品附近动火作业间距不够</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309EAD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F2A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2A2187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E8BAB9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爆破作业未有安全措施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245A56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1E8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CB657E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6F15F7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现场使用明火进行取暖</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43AC97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452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D58E0A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A41810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炸药与雷管、乙炔与氧气等容易引起燃烧、爆炸和其他化学反应的物质同车运输或共同存放</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AD1E4B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BF2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8B1433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C0CAB4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危险化学品装卸时未轻拿轻放，未采取防止撞击、倾倒措施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C0EAD0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BF7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04050F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738ACF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射线作业未经审批，各通道未挂警示标志，未设专人监护，作业人员未戴防护用品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9F0E82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563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1F1A4A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6.12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B9B46C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未按规定使用危险化学品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5586D7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D5C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74AD9DF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7.有限空间作业    违反下列行为给予10000-20000元处罚</w:t>
            </w:r>
          </w:p>
        </w:tc>
      </w:tr>
      <w:tr w14:paraId="3881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B771F3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FF6D41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作业前，未对有限空间进行危险和有害因素辨识，未制定安全技术措施，未制定紧急情况下的处置方案</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81E813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2A6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0EEEC8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4AEF60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有限空间作业没有办理审批许可手续</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EEA1B3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961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1353C6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FCE467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有限空间作业前，没有对有限空间内部可燃或有毒、有害气体浓度进行检测；作业过程或作业中断时，没有按照每隔30分钟测量一次</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B1E32B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63F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05E3B0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61D77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有限空间与其他系统连通的可能危及安全作业的管道没有采取有效隔离措施，有毒、有害气体可能通过管道进入有限空间</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13E500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5C6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5DD0B8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0C9949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满足有限空间安全需要的通风换气设施、人员逃生救援装备、防止火灾和塌方等设备设施不齐全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8B6481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8C5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7410F4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CEA9F6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有限空间作业区域无安全警示标志，出入口不畅通</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B60060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0E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7DF5B4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27E502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作业时未设置专职监护人员，或监护人员私自离开</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BA2A64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7A6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67E57E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795883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有限空间内没有使用36V电压以下的照明，在潮湿、狭小有限空间内作业没有使用12V电压照明。</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2914E9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EC7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C66551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D9F3CB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违规将行灯照明的隔离变压器带进受限空间内使用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E76DFF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822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F132B0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5B39FF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违规将氧气、乙炔等压力气瓶放置在有限空间内</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8E2967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901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14:paraId="1585290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7.11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951A79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作业人员离开有限空间作业点时，没有将所有作业工器具带出。作业后关闭有限空间人孔门前没有清点作业人员和作业工器具</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FB7221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A60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45D185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1DBF8F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DDB199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A5B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73E8D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8.交通运输    违反下列行为给予5000-10000元处罚</w:t>
            </w:r>
          </w:p>
        </w:tc>
      </w:tr>
      <w:tr w14:paraId="6305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A7B11A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CA29DE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车辆无行驶证，驾驶员无证驾驶</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1F91AC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943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DF0599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852B87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车辆状况不良，刹车、灯光装置不齐全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95D1AB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29B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C0A9D8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E86DDA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机动车辆超速行驶或争道、抢道</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BA37D8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121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F5E769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8DFF44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人货混载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673792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A3C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919697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89B199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在装载机货斗、货车、叉车等违规搭人</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63FFF9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9DD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B87A80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8.6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2B22F0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危险品运输时未办理相关手续</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DAA7B7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2F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12999D9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9.焊接与切割    违反下列行为给予5000-10000元处罚</w:t>
            </w:r>
          </w:p>
        </w:tc>
      </w:tr>
      <w:tr w14:paraId="166D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CE58C3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9.1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6CFF8C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焊工施焊未戴手套，高空作业未做好防止焊花飞溅措施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1865BA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198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3EEFC9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9.2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9F5106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不关乙炔、氧气气瓶、管道阀门，使用胶管拆弯方法切断供气</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A5D252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A23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FDFAEA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9.3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63559B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乙炔、氧气气瓶未做好防晒措施，乙炔气瓶横放、无回火器，乙炔、氧气胶管绑扎不牢</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5F91C0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C1E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0F921FB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9.4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EC4B8D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焊接、切割地点10米内存放易燃易爆物品，乙炔、氧气气瓶间距小于5米</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01115E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5A1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FEE1B8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9.5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3478BB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对盛装油脂、可燃液体进行焊接、切割时未采取冲洗和置换措施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4857E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45D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25414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10.修配加工与小型机具   违反下列行为给予5000-10000元处罚</w:t>
            </w:r>
          </w:p>
        </w:tc>
      </w:tr>
      <w:tr w14:paraId="62E1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1771B6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42F7E7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机具安全装置不齐全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28D261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97D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CF5E90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96B538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打锤时戴手套，挥动方向对人</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D71A30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B06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0193A0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C8B687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穿手套操作车、刨、钻、铣、弯、切机械设备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27055A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949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157D87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F91D98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使用有裂纹或磨损超标的砂轮片，使用切割砂轮片进行打磨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D363C3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216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615E12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1F5C1C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潜水泵运行时进入坑池</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B1DBA0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6E1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A39A2B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A50B03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打磨、切割、焊接等作业时未使用护目镜</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D19980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0A0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A4630C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10.7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BFE929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千斤顶加长手柄或超过规定人员操作</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BFA082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FEE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6669B6D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11.吊篮作业    违反下列行为给予10000-20000元处罚</w:t>
            </w:r>
          </w:p>
        </w:tc>
      </w:tr>
      <w:tr w14:paraId="4D42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A699BE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20C535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吊篮安装人员未持有效证件作业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0DFB4D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237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9B00D9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120182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吊篮安装完成后没有进行验收，没有第三方检验验收报告</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04BDD0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5A4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7A768B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DD48E9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吊篮安全锁缺失或未在检验有效期内</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84D4F0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03D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6D6F2F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874020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吊篮限位开关缺失或故障</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DDB319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1F0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CBFDB7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5A92CE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吊篮电气配电箱功能不齐全，电气控制按钮、紧急停运按钮等动作不可靠</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FBFDEA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1A5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E7C025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F7C88A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吊篮本体上无编号、额定载重量、操作注意事项等安全警示标牌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FACAF5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C4A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4DE1EC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11.7</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5EA150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悬挂机构存在缺陷，或工作钢丝绳、安全钢丝绳存在折弯、断股等缺陷</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BA2DAA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361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D4A822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11.8</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773F90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配重不符合使用说明书要求，配重块破损严重等</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3F6511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F84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DA488C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11.9</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E3BEBC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吊篮内作业人员超过或少于2人</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7FF15D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A1D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903A18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822351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吊篮内2名作业人员没有使用2条独立设置的安全绳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4A87B8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A29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869F28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AC3149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吊篮内堆放过多物品，超载使用</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BF80C6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175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B56090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11.12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C3F491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吊篮内放置乙炔瓶、氧气瓶等易燃易爆物品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6B63EE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92F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01DB26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F500D2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813134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A5B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6DDFD7C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12.土石方施工   违反下列行为给予5000-10000元处罚</w:t>
            </w:r>
          </w:p>
        </w:tc>
      </w:tr>
      <w:tr w14:paraId="1E32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0C7C96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D02B64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斜坡上浮石前未清理，基坑开挖临边、斜坡未有可靠防护围栏</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3E379C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894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CEDCAC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F7231D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有地下水或地面水流入基坑未采取排水或降水措施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BF814A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2CA3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2F0856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1D8A4E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堆土距离边坡边缘不足0.8米,高度超1.5米</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D68F9D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CA1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22F251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11C95E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爆破作业未设警戒范围及信号标志，未派专人指挥</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41024B0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E32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EC4FC3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12.5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F47202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深基坑或地质复杂基坑未采取支护措施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0D3F51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92E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0FD17B2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13.桩基及地基处理     违反下列行为给予5000-10000元处罚</w:t>
            </w:r>
          </w:p>
        </w:tc>
      </w:tr>
      <w:tr w14:paraId="7ECC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D29102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13.1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0BD55F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移动桩架时未采取防倾倒措施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057EA3F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D22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4D9A95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13.2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EE4504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人工挖孔桩未有可靠护壁并设专人监护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8F42FF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E93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8958DA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13.3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2B2625D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强夯区域未设警戒区域</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A74DBB3">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5A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7BEF5F0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14.混凝土结构施工    违反下列行为给予5000-10000元处罚</w:t>
            </w:r>
          </w:p>
        </w:tc>
      </w:tr>
      <w:tr w14:paraId="5168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357F8E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14.1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BC742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松动或悬挂模板、扣件、混凝土块未及时清理</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CB2C3D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158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18934B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14.2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8A2EED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钢筋冷拉两侧2米未设警戒区域，使用不符合要求冷拉夹头，冷拉卷扬机处未设档板</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88BDBE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55B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0339D2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14.3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66E9D8E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钢筋绑扎未采取防止倾倒和人员坠落措施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6FF923B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5471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2A1BF40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14.4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29DB46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振动器操作人员未穿胶鞋、戴绝缘手套</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354B84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AA4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F9B7B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15.烟囱工程   违反下列行为给予5000-10000元处罚</w:t>
            </w:r>
          </w:p>
        </w:tc>
      </w:tr>
      <w:tr w14:paraId="0270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A8F553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72D807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烟囱工程未划分危险区，未设置围栏和警告牌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019D39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45D7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FC094F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894E48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烟囱入口通道未搭设符合规范要求的防护隔离层</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713AE84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C6A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DF647C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076E49C">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烟囱井架未按规定设置缆风绳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1636C2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152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8E13C1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042456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烟囱平台未按规定设置栏杆与安全网</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DA9987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3CCA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42F7809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15.5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76C45F5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烟囱外侧使用吊篮进行作业时未设保险钢绳、防护绳，人员未扣安全带</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1F61B4E">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A53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14:paraId="73625C7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16.调试    违反下列行为给予5000-10000元处罚</w:t>
            </w:r>
          </w:p>
        </w:tc>
      </w:tr>
      <w:tr w14:paraId="66D2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CE39A3F">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16.1</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0327E3C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电气设备受电前、机械设备试转前，未有警戒区域，未设专人监护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37166F5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1D5F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79D56AAA">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16.2</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45651DE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对运行设备的旋转部分进行清扫、擦拭或润滑</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704E61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8AC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01792B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16.3</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5C27B70">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在带有压力管道、阀门进行检修工作</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587254ED">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06E5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5D63D17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16.4</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5294AEB7">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违反两票制度</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192880B4">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7D13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9526538">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16.5</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39B2E2B1">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对安装或消缺电气线路未挂警示牌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83170B9">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r w14:paraId="6411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401F0E2">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16.6</w:t>
            </w:r>
          </w:p>
        </w:tc>
        <w:tc>
          <w:tcPr>
            <w:tcW w:w="6265" w:type="dxa"/>
            <w:tcBorders>
              <w:top w:val="single" w:color="auto" w:sz="4" w:space="0"/>
              <w:left w:val="single" w:color="auto" w:sz="4" w:space="0"/>
              <w:bottom w:val="single" w:color="auto" w:sz="4" w:space="0"/>
              <w:right w:val="single" w:color="auto" w:sz="4" w:space="0"/>
            </w:tcBorders>
            <w:shd w:val="clear" w:color="auto" w:fill="auto"/>
          </w:tcPr>
          <w:p w14:paraId="1AA57F95">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其他违反电厂运行规定违章行为</w:t>
            </w:r>
          </w:p>
        </w:tc>
        <w:tc>
          <w:tcPr>
            <w:tcW w:w="1673" w:type="dxa"/>
            <w:tcBorders>
              <w:top w:val="single" w:color="auto" w:sz="4" w:space="0"/>
              <w:left w:val="single" w:color="auto" w:sz="4" w:space="0"/>
              <w:bottom w:val="single" w:color="auto" w:sz="4" w:space="0"/>
              <w:right w:val="single" w:color="auto" w:sz="4" w:space="0"/>
            </w:tcBorders>
            <w:shd w:val="clear" w:color="auto" w:fill="auto"/>
          </w:tcPr>
          <w:p w14:paraId="2DFA8846">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p>
        </w:tc>
      </w:tr>
    </w:tbl>
    <w:p w14:paraId="6C7CB5C9">
      <w:pPr>
        <w:widowControl/>
        <w:numPr>
          <w:ilvl w:val="0"/>
          <w:numId w:val="2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对于管理性违章行为，如无方案施工、违章指挥或强令冒险作业、安全管理职责履职不到位、上级专项工作或安全检查整改落实不及时、屡教不改等行为的，要加倍进行处罚；</w:t>
      </w:r>
    </w:p>
    <w:p w14:paraId="3CC4C99B">
      <w:pPr>
        <w:widowControl/>
        <w:numPr>
          <w:ilvl w:val="0"/>
          <w:numId w:val="23"/>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对于有监理单位监督的施工合同，发现上述习惯性违章行为对施工单位进行处罚的，如果监理单位没有履职到位的，甲方有权按照相同的处罚标准对监理单位进行考核。</w:t>
      </w:r>
    </w:p>
    <w:p w14:paraId="139431EA">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上述甲方对乙方的安健环违约金扣缴或经济处罚从甲方应付乙方合同费用、</w:t>
      </w:r>
      <w:r>
        <w:rPr>
          <w:rFonts w:hint="eastAsia" w:ascii="宋体" w:hAnsi="宋体" w:cs="Tahoma"/>
          <w:color w:val="auto"/>
          <w:kern w:val="0"/>
          <w:sz w:val="24"/>
          <w:lang w:eastAsia="zh-CN" w:bidi="ar"/>
        </w:rPr>
        <w:t>监管资金</w:t>
      </w:r>
      <w:r>
        <w:rPr>
          <w:rFonts w:hint="eastAsia" w:ascii="宋体" w:hAnsi="宋体" w:cs="Tahoma"/>
          <w:color w:val="auto"/>
          <w:kern w:val="0"/>
          <w:sz w:val="24"/>
          <w:lang w:bidi="ar"/>
        </w:rPr>
        <w:t>或监管资金中直接给予扣除（此并不构成甲方违约）。尚不足部分的金额，由乙方于收到违约金或处罚单一个月内另行向甲方一次性付清，否则每日按逾期未付款金额千分之五的标准计算向甲方支付滞纳金，直至付清全部欠款（含本金和滞纳金）。</w:t>
      </w:r>
    </w:p>
    <w:p w14:paraId="5A393EF6">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如乙方是承包项目安健环监理承包方，因监理职责履行不到位造成安健环事故、事件或者发生安健环违约金扣缴或处罚的，甲方除对被监理方实施违约处罚外，可对监理单位处以被监理方同等违约处罚。</w:t>
      </w:r>
    </w:p>
    <w:p w14:paraId="324E1651">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在任何情况下，不因为甲方对乙方发生安健环事故事件或其安健环违规、违法、违章等行为进行违约金扣缴或经济处罚而免除乙方应负的安健环责任、法律责任、赔偿补偿责任、善后处理责任及其他义务。</w:t>
      </w:r>
    </w:p>
    <w:p w14:paraId="507AE8A7">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对于乙方其自身本应独立主动地负责依法依规进行处理的任何纠纷或者事故事件，当因乙方拖延慢作为或回避不作为而扩散漫延影响到或者损害到甲方的声誉形象等任何权益之时，甲方基于保护本身的权益免受伤害，有权选择主动参与到乙方该纠纷或者事件的合情合理调解和依法依规处理。但甲方对乙方该纠纷或者事故、事件任何形式的参与和处理，并不导致乙方其自身本应独立承担的任何责任和义务等发生转移、变更、减少、减轻、终止等任何形式的改变，即乙方自身本应独立承担的任何责任和义务仍然由其全部承担。</w:t>
      </w:r>
    </w:p>
    <w:p w14:paraId="5E9D9B4C">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上述责任和违约处罚，不包括因安健环问题而来自政府的问责、罚款和其它索赔等。来自政府的问责、罚款和其它索赔等，因乙方原因造成的，全部由乙方承担。</w:t>
      </w:r>
    </w:p>
    <w:p w14:paraId="4D6F474B">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协议的货币种类</w:t>
      </w:r>
    </w:p>
    <w:p w14:paraId="1490779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本协议中所涉及的费用、处罚、罚款、违约金、赔偿、补偿等的计量货币币种均为人民币。</w:t>
      </w:r>
    </w:p>
    <w:p w14:paraId="448D17E9">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组成协议的文件及解释顺序</w:t>
      </w:r>
    </w:p>
    <w:p w14:paraId="786B1F1B">
      <w:pPr>
        <w:widowControl/>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组成本协议的各个文件应该是一整体，彼此相互解释，互为说明。本协议的文件及优先解释顺序如下：</w:t>
      </w:r>
    </w:p>
    <w:p w14:paraId="6C495212">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本《安健环协议》条款和附件，以及有关法律、法规和规范性文件要求；</w:t>
      </w:r>
    </w:p>
    <w:p w14:paraId="24E54DCC">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 xml:space="preserve">甲乙双方另行每次签订生效的项目合同条款及附件； </w:t>
      </w:r>
    </w:p>
    <w:p w14:paraId="0D4C5B35">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甲方及其各属下分公司、分支机构、各中心或各部门等制定实施的规章制度、操作规范，以及现场公示的标语、提示、警告、宣传、通知等任何形式的管理要求；</w:t>
      </w:r>
    </w:p>
    <w:p w14:paraId="5B9F8011">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乙方及其各属下分公司、分支机构、各中心或各部门等制定实施的规章制度、操作规范，以及现场公示的标语、提示、警告、宣传、通知等任何形式的管理要求；</w:t>
      </w:r>
    </w:p>
    <w:p w14:paraId="5007F65B">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双方就安健环事项进行培训、考核、整改等过程监管当中所书面下发的文件要求。</w:t>
      </w:r>
    </w:p>
    <w:p w14:paraId="431B407B">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协议争议与仲裁</w:t>
      </w:r>
    </w:p>
    <w:p w14:paraId="49BA23C9">
      <w:pPr>
        <w:widowControl/>
        <w:numPr>
          <w:ilvl w:val="0"/>
          <w:numId w:val="25"/>
        </w:numPr>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lang w:bidi="ar"/>
        </w:rPr>
      </w:pPr>
      <w:r>
        <w:rPr>
          <w:rFonts w:hint="eastAsia" w:ascii="宋体" w:hAnsi="宋体" w:cs="Tahoma"/>
          <w:color w:val="auto"/>
          <w:kern w:val="0"/>
          <w:sz w:val="24"/>
          <w:lang w:bidi="ar"/>
        </w:rPr>
        <w:t>本协议执行过程中，如发生争议，由双方协商解决；若经协商不能解决争议的，可以由项目所在地行业主管部门通过调解的方式解决。调解不成的，任何一方均有权向项目所在地有管辖权的法院提起诉讼。</w:t>
      </w:r>
    </w:p>
    <w:p w14:paraId="5A1DC08B">
      <w:pPr>
        <w:widowControl/>
        <w:numPr>
          <w:ilvl w:val="0"/>
          <w:numId w:val="25"/>
        </w:numPr>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lang w:bidi="ar"/>
        </w:rPr>
      </w:pPr>
      <w:r>
        <w:rPr>
          <w:rFonts w:hint="eastAsia" w:ascii="宋体" w:hAnsi="宋体" w:cs="Tahoma"/>
          <w:color w:val="auto"/>
          <w:kern w:val="0"/>
          <w:sz w:val="24"/>
          <w:lang w:bidi="ar"/>
        </w:rPr>
        <w:t>除非生效判决另行确定，各方为诉讼而实际支付的费用（包括但不限于诉讼费和合理的律师费、保全费用、执行费用）由败诉方承担。</w:t>
      </w:r>
    </w:p>
    <w:p w14:paraId="78CFEA29">
      <w:pPr>
        <w:widowControl/>
        <w:numPr>
          <w:ilvl w:val="0"/>
          <w:numId w:val="25"/>
        </w:numPr>
        <w:overflowPunct w:val="0"/>
        <w:autoSpaceDE w:val="0"/>
        <w:autoSpaceDN w:val="0"/>
        <w:adjustRightInd w:val="0"/>
        <w:spacing w:line="380" w:lineRule="exact"/>
        <w:ind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因本项目乙方原因引起或乙方派出现场人员或乙方作为责任主体而导致的纠纷诉讼或仲裁案件，均由乙方负责承担。争议案件发生后，乙方应指定专人负责并聘请律师全过程妥善解决，若因此造成甲方或相关第三方的费用或损失，均由乙方承担或支付赔偿。</w:t>
      </w:r>
    </w:p>
    <w:p w14:paraId="04D7B8A3">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协议生效及有效期限</w:t>
      </w:r>
    </w:p>
    <w:p w14:paraId="7D72D666">
      <w:pPr>
        <w:widowControl/>
        <w:numPr>
          <w:ilvl w:val="0"/>
          <w:numId w:val="2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本协议经双方法定代表人或授权代表人签字盖章后生效。</w:t>
      </w:r>
    </w:p>
    <w:p w14:paraId="5E123837">
      <w:pPr>
        <w:widowControl/>
        <w:numPr>
          <w:ilvl w:val="0"/>
          <w:numId w:val="26"/>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甲乙双方签订本协议有授权代表人的，应将其法定代表人证明书、授权代表人的授权委托书等作为本协议的附件。</w:t>
      </w:r>
    </w:p>
    <w:p w14:paraId="058CAB67">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协议的份数及移交执行</w:t>
      </w:r>
    </w:p>
    <w:p w14:paraId="22BB682C">
      <w:pPr>
        <w:widowControl/>
        <w:numPr>
          <w:ilvl w:val="0"/>
          <w:numId w:val="2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本协议一式四份，甲方执三份，乙方执一份，均具有同等法律效力。</w:t>
      </w:r>
    </w:p>
    <w:p w14:paraId="786C356A">
      <w:pPr>
        <w:widowControl/>
        <w:numPr>
          <w:ilvl w:val="0"/>
          <w:numId w:val="27"/>
        </w:numPr>
        <w:overflowPunct w:val="0"/>
        <w:autoSpaceDE w:val="0"/>
        <w:autoSpaceDN w:val="0"/>
        <w:adjustRightInd w:val="0"/>
        <w:spacing w:line="380" w:lineRule="exact"/>
        <w:ind w:left="0" w:firstLine="480" w:firstLineChars="200"/>
        <w:jc w:val="left"/>
        <w:textAlignment w:val="baseline"/>
        <w:rPr>
          <w:rFonts w:ascii="宋体" w:hAnsi="宋体" w:cs="Tahoma"/>
          <w:color w:val="auto"/>
          <w:kern w:val="0"/>
          <w:sz w:val="24"/>
        </w:rPr>
      </w:pPr>
      <w:r>
        <w:rPr>
          <w:rFonts w:hint="eastAsia" w:ascii="宋体" w:hAnsi="宋体" w:cs="Tahoma"/>
          <w:color w:val="auto"/>
          <w:kern w:val="0"/>
          <w:sz w:val="24"/>
          <w:lang w:bidi="ar"/>
        </w:rPr>
        <w:t xml:space="preserve">甲方可通过制度颁布宣贯实行、办公系统合同审批流程会签备查、扫描件或复印件信息采集移交等多种有效可行之形式，将本协议版本传达至现场安健环管理者；乙方须自行通过本协议扫描件或复印件分发移交、自行组织培训教育宣传落实等多种有效可行之形式，将本协议传达至现场进场的所有人员，以便现场人员更好地遵照执行本协议。 </w:t>
      </w:r>
    </w:p>
    <w:p w14:paraId="2C61E64B">
      <w:pPr>
        <w:widowControl/>
        <w:overflowPunct w:val="0"/>
        <w:autoSpaceDE w:val="0"/>
        <w:autoSpaceDN w:val="0"/>
        <w:adjustRightInd w:val="0"/>
        <w:spacing w:line="380" w:lineRule="exact"/>
        <w:jc w:val="left"/>
        <w:textAlignment w:val="baseline"/>
        <w:rPr>
          <w:rFonts w:ascii="宋体" w:hAnsi="宋体" w:cs="Tahoma"/>
          <w:color w:val="auto"/>
          <w:kern w:val="0"/>
          <w:sz w:val="24"/>
        </w:rPr>
      </w:pPr>
    </w:p>
    <w:p w14:paraId="4A7D41F7">
      <w:pPr>
        <w:pStyle w:val="20"/>
        <w:snapToGrid w:val="0"/>
        <w:spacing w:line="360" w:lineRule="auto"/>
        <w:ind w:left="0" w:leftChars="0" w:right="1470"/>
        <w:rPr>
          <w:color w:val="auto"/>
        </w:rPr>
      </w:pPr>
    </w:p>
    <w:p w14:paraId="211D0FAB">
      <w:pPr>
        <w:pStyle w:val="28"/>
        <w:numPr>
          <w:ilvl w:val="-1"/>
          <w:numId w:val="0"/>
        </w:numPr>
        <w:ind w:left="0" w:firstLine="0"/>
        <w:rPr>
          <w:color w:val="auto"/>
        </w:rPr>
      </w:pPr>
      <w:r>
        <w:rPr>
          <w:rFonts w:hint="eastAsia" w:ascii="宋体" w:hAnsi="宋体"/>
          <w:b/>
          <w:bCs/>
          <w:caps/>
          <w:color w:val="auto"/>
          <w:sz w:val="24"/>
          <w:szCs w:val="24"/>
          <w:lang w:val="en-US" w:eastAsia="zh-CN"/>
        </w:rPr>
        <w:t>附件3.</w:t>
      </w:r>
      <w:bookmarkStart w:id="26" w:name="_Toc509846376"/>
      <w:bookmarkStart w:id="27" w:name="_Toc94196212"/>
      <w:bookmarkStart w:id="28" w:name="_Toc499739919"/>
      <w:r>
        <w:rPr>
          <w:rFonts w:hint="eastAsia"/>
          <w:color w:val="auto"/>
        </w:rPr>
        <w:t>廉政合同</w:t>
      </w:r>
      <w:bookmarkEnd w:id="26"/>
      <w:bookmarkEnd w:id="27"/>
      <w:bookmarkEnd w:id="28"/>
    </w:p>
    <w:p w14:paraId="608DD36F">
      <w:pPr>
        <w:spacing w:line="360" w:lineRule="auto"/>
        <w:ind w:left="480" w:right="284"/>
        <w:jc w:val="center"/>
        <w:rPr>
          <w:rFonts w:ascii="宋体" w:hAnsi="宋体"/>
          <w:color w:val="auto"/>
          <w:sz w:val="44"/>
          <w:szCs w:val="44"/>
        </w:rPr>
      </w:pPr>
      <w:r>
        <w:rPr>
          <w:rFonts w:hint="eastAsia" w:ascii="宋体" w:hAnsi="宋体"/>
          <w:color w:val="auto"/>
          <w:sz w:val="44"/>
          <w:szCs w:val="44"/>
        </w:rPr>
        <w:t>廉政合同</w:t>
      </w:r>
    </w:p>
    <w:p w14:paraId="2387F7DF">
      <w:pPr>
        <w:spacing w:before="156" w:beforeLines="50" w:after="156" w:afterLines="50" w:line="360" w:lineRule="auto"/>
        <w:rPr>
          <w:rFonts w:ascii="宋体" w:hAnsi="宋体"/>
          <w:color w:val="auto"/>
          <w:sz w:val="24"/>
        </w:rPr>
      </w:pPr>
      <w:r>
        <w:rPr>
          <w:rFonts w:hint="eastAsia" w:ascii="宋体" w:hAnsi="宋体"/>
          <w:color w:val="auto"/>
        </w:rPr>
        <w:t>甲方：</w:t>
      </w:r>
      <w:r>
        <w:rPr>
          <w:rFonts w:hint="eastAsia" w:ascii="宋体" w:hAnsi="宋体"/>
          <w:color w:val="auto"/>
          <w:u w:val="single"/>
        </w:rPr>
        <w:t>任丘深能环保有限公司</w:t>
      </w:r>
    </w:p>
    <w:p w14:paraId="2CFFDF7B">
      <w:pPr>
        <w:spacing w:before="156" w:beforeLines="50" w:after="156" w:afterLines="50" w:line="360" w:lineRule="auto"/>
        <w:rPr>
          <w:rFonts w:ascii="宋体" w:hAnsi="宋体"/>
          <w:color w:val="auto"/>
        </w:rPr>
      </w:pPr>
      <w:r>
        <w:rPr>
          <w:rFonts w:hint="eastAsia" w:ascii="宋体" w:hAnsi="宋体"/>
          <w:color w:val="auto"/>
        </w:rPr>
        <w:t>乙方：</w:t>
      </w:r>
      <w:r>
        <w:rPr>
          <w:rFonts w:hint="eastAsia" w:ascii="宋体" w:hAnsi="宋体"/>
          <w:bCs w:val="0"/>
          <w:color w:val="auto"/>
          <w:sz w:val="21"/>
          <w:u w:val="single"/>
        </w:rPr>
        <w:t>成都赢纳环保科技有限公司</w:t>
      </w:r>
    </w:p>
    <w:p w14:paraId="412C0352">
      <w:pPr>
        <w:adjustRightInd w:val="0"/>
        <w:snapToGrid w:val="0"/>
        <w:spacing w:line="360" w:lineRule="auto"/>
        <w:ind w:firstLine="472" w:firstLineChars="225"/>
        <w:rPr>
          <w:rFonts w:ascii="宋体" w:hAnsi="宋体"/>
          <w:color w:val="auto"/>
        </w:rPr>
      </w:pPr>
      <w:r>
        <w:rPr>
          <w:rFonts w:hint="eastAsia" w:ascii="宋体" w:hAnsi="宋体"/>
          <w:color w:val="auto"/>
        </w:rPr>
        <w:t>为促进企业廉政建设，加强项目管理，经甲乙双方平等协商，同意共同遵守以下约定：</w:t>
      </w:r>
    </w:p>
    <w:p w14:paraId="496DDAED">
      <w:pPr>
        <w:numPr>
          <w:ilvl w:val="2"/>
          <w:numId w:val="28"/>
        </w:numPr>
        <w:tabs>
          <w:tab w:val="left" w:pos="900"/>
          <w:tab w:val="clear" w:pos="1560"/>
        </w:tabs>
        <w:adjustRightInd w:val="0"/>
        <w:snapToGrid w:val="0"/>
        <w:spacing w:line="360" w:lineRule="auto"/>
        <w:ind w:left="900" w:hanging="900"/>
        <w:rPr>
          <w:rFonts w:ascii="宋体" w:hAnsi="宋体"/>
          <w:color w:val="auto"/>
        </w:rPr>
      </w:pPr>
      <w:r>
        <w:rPr>
          <w:rFonts w:hint="eastAsia" w:ascii="宋体" w:hAnsi="宋体"/>
          <w:color w:val="auto"/>
        </w:rPr>
        <w:t>项目名称：任丘深能环保有限公司</w:t>
      </w:r>
      <w:r>
        <w:rPr>
          <w:rFonts w:hint="eastAsia" w:ascii="宋体" w:hAnsi="宋体"/>
          <w:color w:val="auto"/>
          <w:lang w:eastAsia="zh-CN"/>
        </w:rPr>
        <w:t>2026</w:t>
      </w:r>
      <w:r>
        <w:rPr>
          <w:rFonts w:hint="eastAsia" w:ascii="宋体" w:hAnsi="宋体"/>
          <w:color w:val="auto"/>
        </w:rPr>
        <w:t>年度飞灰稳定化处理承包</w:t>
      </w:r>
      <w:r>
        <w:rPr>
          <w:rFonts w:hint="eastAsia" w:ascii="宋体" w:hAnsi="宋体"/>
          <w:color w:val="auto"/>
          <w:lang w:val="en-US" w:eastAsia="zh-CN"/>
        </w:rPr>
        <w:t>项目</w:t>
      </w:r>
      <w:r>
        <w:rPr>
          <w:rFonts w:hint="eastAsia" w:ascii="宋体" w:hAnsi="宋体"/>
          <w:color w:val="auto"/>
        </w:rPr>
        <w:t xml:space="preserve">  </w:t>
      </w:r>
    </w:p>
    <w:p w14:paraId="0D967D9D">
      <w:pPr>
        <w:numPr>
          <w:ilvl w:val="2"/>
          <w:numId w:val="28"/>
        </w:numPr>
        <w:tabs>
          <w:tab w:val="left" w:pos="900"/>
          <w:tab w:val="clear" w:pos="1560"/>
        </w:tabs>
        <w:adjustRightInd w:val="0"/>
        <w:snapToGrid w:val="0"/>
        <w:spacing w:line="360" w:lineRule="auto"/>
        <w:ind w:left="900" w:hanging="900"/>
        <w:rPr>
          <w:rFonts w:ascii="宋体" w:hAnsi="宋体"/>
          <w:color w:val="auto"/>
        </w:rPr>
      </w:pPr>
      <w:r>
        <w:rPr>
          <w:rFonts w:hint="eastAsia" w:ascii="宋体" w:hAnsi="宋体"/>
          <w:color w:val="auto"/>
        </w:rPr>
        <w:t>编号</w:t>
      </w:r>
      <w:r>
        <w:rPr>
          <w:rFonts w:hint="eastAsia" w:ascii="宋体" w:hAnsi="宋体"/>
          <w:color w:val="auto"/>
          <w:lang w:eastAsia="zh-CN"/>
        </w:rPr>
        <w:t>：</w:t>
      </w:r>
    </w:p>
    <w:p w14:paraId="552DD728">
      <w:pPr>
        <w:numPr>
          <w:ilvl w:val="2"/>
          <w:numId w:val="28"/>
        </w:numPr>
        <w:tabs>
          <w:tab w:val="left" w:pos="900"/>
          <w:tab w:val="clear" w:pos="1560"/>
        </w:tabs>
        <w:adjustRightInd w:val="0"/>
        <w:snapToGrid w:val="0"/>
        <w:spacing w:line="360" w:lineRule="auto"/>
        <w:ind w:left="900" w:hanging="900"/>
        <w:rPr>
          <w:rFonts w:ascii="宋体" w:hAnsi="宋体"/>
          <w:color w:val="auto"/>
        </w:rPr>
      </w:pPr>
      <w:r>
        <w:rPr>
          <w:rFonts w:hint="eastAsia" w:ascii="宋体" w:hAnsi="宋体"/>
          <w:color w:val="auto"/>
        </w:rPr>
        <w:t>甲乙双方应遵守的廉政守则</w:t>
      </w:r>
    </w:p>
    <w:p w14:paraId="7BBB3D08">
      <w:pPr>
        <w:numPr>
          <w:ilvl w:val="3"/>
          <w:numId w:val="28"/>
        </w:numPr>
        <w:tabs>
          <w:tab w:val="left" w:pos="900"/>
        </w:tabs>
        <w:adjustRightInd w:val="0"/>
        <w:snapToGrid w:val="0"/>
        <w:spacing w:line="360" w:lineRule="auto"/>
        <w:rPr>
          <w:rFonts w:ascii="宋体" w:hAnsi="宋体"/>
          <w:color w:val="auto"/>
        </w:rPr>
      </w:pPr>
      <w:r>
        <w:rPr>
          <w:rFonts w:hint="eastAsia" w:ascii="宋体" w:hAnsi="宋体"/>
          <w:color w:val="auto"/>
        </w:rPr>
        <w:t>甲方工作人员不准从事下列行为</w:t>
      </w:r>
    </w:p>
    <w:p w14:paraId="76ABD1F7">
      <w:pPr>
        <w:numPr>
          <w:ilvl w:val="0"/>
          <w:numId w:val="29"/>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利用职务上的便利，向乙方泄露甲方的项目机密，或从事与项目有关的中介活动，向乙方收取好处费或中介费。</w:t>
      </w:r>
    </w:p>
    <w:p w14:paraId="53DD030E">
      <w:pPr>
        <w:numPr>
          <w:ilvl w:val="0"/>
          <w:numId w:val="29"/>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利用职务上的便利，挪用、拆借项目资金给乙方，或无偿向乙方提供合同范围外的物资，或在招标过程、项目管理、项目结算等方面以损害甲方利益为代价，从乙方谋取不正当利益。</w:t>
      </w:r>
    </w:p>
    <w:p w14:paraId="29E7ADC2">
      <w:pPr>
        <w:numPr>
          <w:ilvl w:val="0"/>
          <w:numId w:val="29"/>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在招标投标、项目管理、办理价款结算和支付的过程中，人为设置障碍，索要和收受乙方赠送的现金、股票、股权、各种有价证券、支付凭证或贵重物品等。</w:t>
      </w:r>
    </w:p>
    <w:p w14:paraId="74A275A5">
      <w:pPr>
        <w:numPr>
          <w:ilvl w:val="0"/>
          <w:numId w:val="29"/>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接受乙方发出的旅游、健身、娱乐活动等邀请以及可能影响公务的宴请。</w:t>
      </w:r>
    </w:p>
    <w:p w14:paraId="79CE208F">
      <w:pPr>
        <w:numPr>
          <w:ilvl w:val="3"/>
          <w:numId w:val="28"/>
        </w:numPr>
        <w:tabs>
          <w:tab w:val="left" w:pos="900"/>
        </w:tabs>
        <w:adjustRightInd w:val="0"/>
        <w:snapToGrid w:val="0"/>
        <w:spacing w:line="360" w:lineRule="auto"/>
        <w:rPr>
          <w:rFonts w:ascii="宋体" w:hAnsi="宋体"/>
          <w:color w:val="auto"/>
        </w:rPr>
      </w:pPr>
      <w:r>
        <w:rPr>
          <w:rFonts w:hint="eastAsia" w:ascii="宋体" w:hAnsi="宋体"/>
          <w:color w:val="auto"/>
        </w:rPr>
        <w:t>乙方工作人员不准从事下列行为</w:t>
      </w:r>
    </w:p>
    <w:p w14:paraId="3D5AE0C0">
      <w:pPr>
        <w:numPr>
          <w:ilvl w:val="4"/>
          <w:numId w:val="28"/>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以任何理由，向甲方工作人员赠送现金、股票、股权、各种有价证券、支付凭证或贵重物品等。</w:t>
      </w:r>
    </w:p>
    <w:p w14:paraId="2F79283D">
      <w:pPr>
        <w:numPr>
          <w:ilvl w:val="4"/>
          <w:numId w:val="28"/>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以任何理由，向甲方工作人员发出旅游、健身、娱乐活动等邀请以及可能影响公务的宴请。</w:t>
      </w:r>
    </w:p>
    <w:p w14:paraId="7ED2D1B8">
      <w:pPr>
        <w:numPr>
          <w:ilvl w:val="4"/>
          <w:numId w:val="28"/>
        </w:numPr>
        <w:tabs>
          <w:tab w:val="left" w:pos="900"/>
          <w:tab w:val="clear" w:pos="1134"/>
        </w:tabs>
        <w:adjustRightInd w:val="0"/>
        <w:snapToGrid w:val="0"/>
        <w:spacing w:line="360" w:lineRule="auto"/>
        <w:ind w:left="900" w:hanging="900"/>
        <w:rPr>
          <w:rFonts w:ascii="宋体" w:hAnsi="宋体"/>
          <w:color w:val="auto"/>
        </w:rPr>
      </w:pPr>
      <w:r>
        <w:rPr>
          <w:rFonts w:hint="eastAsia" w:ascii="宋体" w:hAnsi="宋体"/>
          <w:color w:val="auto"/>
        </w:rPr>
        <w:t>有不正当竞争、串通投标等违法违规行为。</w:t>
      </w:r>
    </w:p>
    <w:p w14:paraId="260A0107">
      <w:pPr>
        <w:numPr>
          <w:ilvl w:val="2"/>
          <w:numId w:val="28"/>
        </w:numPr>
        <w:tabs>
          <w:tab w:val="left" w:pos="900"/>
          <w:tab w:val="clear" w:pos="1560"/>
        </w:tabs>
        <w:adjustRightInd w:val="0"/>
        <w:snapToGrid w:val="0"/>
        <w:spacing w:line="360" w:lineRule="auto"/>
        <w:ind w:left="900" w:hanging="900"/>
        <w:rPr>
          <w:rFonts w:ascii="宋体" w:hAnsi="宋体"/>
          <w:color w:val="auto"/>
        </w:rPr>
      </w:pPr>
      <w:r>
        <w:rPr>
          <w:rFonts w:hint="eastAsia" w:ascii="宋体" w:hAnsi="宋体"/>
          <w:color w:val="auto"/>
        </w:rPr>
        <w:t>监督与追究</w:t>
      </w:r>
    </w:p>
    <w:p w14:paraId="1E04DCF6">
      <w:pPr>
        <w:numPr>
          <w:ilvl w:val="5"/>
          <w:numId w:val="28"/>
        </w:numPr>
        <w:tabs>
          <w:tab w:val="left" w:pos="900"/>
          <w:tab w:val="clear" w:pos="3234"/>
        </w:tabs>
        <w:adjustRightInd w:val="0"/>
        <w:snapToGrid w:val="0"/>
        <w:spacing w:line="360" w:lineRule="auto"/>
        <w:ind w:left="900" w:hanging="900"/>
        <w:rPr>
          <w:rFonts w:ascii="宋体" w:hAnsi="宋体"/>
          <w:color w:val="auto"/>
        </w:rPr>
      </w:pPr>
      <w:r>
        <w:rPr>
          <w:rFonts w:hint="eastAsia" w:ascii="宋体" w:hAnsi="宋体"/>
          <w:color w:val="auto"/>
        </w:rPr>
        <w:t>甲方工作人员违反上述廉政守则，甲方将按照有关规定做出处理。</w:t>
      </w:r>
    </w:p>
    <w:p w14:paraId="29B4BC7C">
      <w:pPr>
        <w:numPr>
          <w:ilvl w:val="5"/>
          <w:numId w:val="28"/>
        </w:numPr>
        <w:tabs>
          <w:tab w:val="left" w:pos="900"/>
          <w:tab w:val="clear" w:pos="3234"/>
        </w:tabs>
        <w:adjustRightInd w:val="0"/>
        <w:snapToGrid w:val="0"/>
        <w:spacing w:line="360" w:lineRule="auto"/>
        <w:ind w:left="900" w:hanging="900"/>
        <w:rPr>
          <w:rFonts w:ascii="宋体" w:hAnsi="宋体"/>
          <w:color w:val="auto"/>
        </w:rPr>
      </w:pPr>
      <w:r>
        <w:rPr>
          <w:rFonts w:hint="eastAsia" w:ascii="宋体" w:hAnsi="宋体"/>
          <w:color w:val="auto"/>
        </w:rPr>
        <w:t>甲方工作人员违反上述3.1.3规定，乙方有权保护自己的合法权益，向甲方的监督部门举报，甲方将按规定给予办理，办理情况及时通报乙方。</w:t>
      </w:r>
    </w:p>
    <w:p w14:paraId="3522335F">
      <w:pPr>
        <w:numPr>
          <w:ilvl w:val="5"/>
          <w:numId w:val="28"/>
        </w:numPr>
        <w:tabs>
          <w:tab w:val="left" w:pos="900"/>
          <w:tab w:val="clear" w:pos="3234"/>
        </w:tabs>
        <w:adjustRightInd w:val="0"/>
        <w:snapToGrid w:val="0"/>
        <w:spacing w:line="360" w:lineRule="auto"/>
        <w:ind w:left="900" w:hanging="900"/>
        <w:rPr>
          <w:rFonts w:ascii="宋体" w:hAnsi="宋体"/>
          <w:color w:val="auto"/>
        </w:rPr>
      </w:pPr>
      <w:r>
        <w:rPr>
          <w:rFonts w:hint="eastAsia" w:ascii="宋体" w:hAnsi="宋体"/>
          <w:color w:val="auto"/>
        </w:rPr>
        <w:t>甲方工作人员被查出违反上述廉政守则，以任何理由收受乙方所赠钱物，甲方除按规定给予违纪人员处理外，还将对乙方进行追究。</w:t>
      </w:r>
    </w:p>
    <w:p w14:paraId="08A1B643">
      <w:pPr>
        <w:numPr>
          <w:ilvl w:val="5"/>
          <w:numId w:val="28"/>
        </w:numPr>
        <w:tabs>
          <w:tab w:val="left" w:pos="900"/>
          <w:tab w:val="clear" w:pos="3234"/>
        </w:tabs>
        <w:adjustRightInd w:val="0"/>
        <w:snapToGrid w:val="0"/>
        <w:spacing w:line="360" w:lineRule="auto"/>
        <w:ind w:left="900" w:hanging="900"/>
        <w:rPr>
          <w:rFonts w:ascii="宋体" w:hAnsi="宋体"/>
          <w:color w:val="auto"/>
        </w:rPr>
      </w:pPr>
      <w:r>
        <w:rPr>
          <w:rFonts w:hint="eastAsia" w:ascii="宋体" w:hAnsi="宋体"/>
          <w:color w:val="auto"/>
        </w:rPr>
        <w:t>不论何种原因，乙方如发生上述违反廉政守则的行为，甲方将记录在案，并可能因此取消乙方继续参与本项目投标或承包本项目的资格。并有权拒绝乙方参加集团其他项目的投标。</w:t>
      </w:r>
    </w:p>
    <w:p w14:paraId="10316B5F">
      <w:pPr>
        <w:numPr>
          <w:ilvl w:val="2"/>
          <w:numId w:val="28"/>
        </w:numPr>
        <w:tabs>
          <w:tab w:val="left" w:pos="900"/>
          <w:tab w:val="clear" w:pos="1560"/>
        </w:tabs>
        <w:adjustRightInd w:val="0"/>
        <w:snapToGrid w:val="0"/>
        <w:spacing w:line="360" w:lineRule="auto"/>
        <w:ind w:left="900" w:hanging="900"/>
        <w:rPr>
          <w:rFonts w:ascii="宋体" w:hAnsi="宋体"/>
          <w:color w:val="auto"/>
        </w:rPr>
      </w:pPr>
      <w:r>
        <w:rPr>
          <w:rFonts w:hint="eastAsia" w:ascii="宋体" w:hAnsi="宋体"/>
          <w:color w:val="auto"/>
        </w:rPr>
        <w:t>其他</w:t>
      </w:r>
    </w:p>
    <w:p w14:paraId="1EB84D6D">
      <w:pPr>
        <w:numPr>
          <w:ilvl w:val="6"/>
          <w:numId w:val="28"/>
        </w:numPr>
        <w:tabs>
          <w:tab w:val="left" w:pos="900"/>
          <w:tab w:val="clear" w:pos="3654"/>
        </w:tabs>
        <w:adjustRightInd w:val="0"/>
        <w:snapToGrid w:val="0"/>
        <w:spacing w:line="360" w:lineRule="auto"/>
        <w:ind w:left="900" w:hanging="900"/>
        <w:rPr>
          <w:rFonts w:ascii="宋体" w:hAnsi="宋体"/>
          <w:color w:val="auto"/>
        </w:rPr>
      </w:pPr>
      <w:r>
        <w:rPr>
          <w:rFonts w:hint="eastAsia" w:ascii="宋体" w:hAnsi="宋体"/>
          <w:color w:val="auto"/>
        </w:rPr>
        <w:t>本合同作为相关项目合同的附件，与相关项目合同具有同等的法律效力。</w:t>
      </w:r>
    </w:p>
    <w:p w14:paraId="79D9CE8B">
      <w:pPr>
        <w:numPr>
          <w:ilvl w:val="6"/>
          <w:numId w:val="28"/>
        </w:numPr>
        <w:tabs>
          <w:tab w:val="left" w:pos="900"/>
          <w:tab w:val="clear" w:pos="3654"/>
        </w:tabs>
        <w:adjustRightInd w:val="0"/>
        <w:snapToGrid w:val="0"/>
        <w:spacing w:line="360" w:lineRule="auto"/>
        <w:ind w:left="900" w:hanging="900"/>
        <w:rPr>
          <w:color w:val="auto"/>
        </w:rPr>
      </w:pPr>
      <w:r>
        <w:rPr>
          <w:rFonts w:hint="eastAsia" w:ascii="宋体" w:hAnsi="宋体"/>
          <w:color w:val="auto"/>
        </w:rPr>
        <w:t>本合同的时效与相关的项目合同相同，但项目合同失效后，甲乙双方仍发现对方有违反上述廉政守则行为时，甲乙双方均保留追溯对方的权利。</w:t>
      </w:r>
    </w:p>
    <w:p w14:paraId="678ABB84">
      <w:pPr>
        <w:pStyle w:val="4"/>
        <w:numPr>
          <w:ilvl w:val="0"/>
          <w:numId w:val="0"/>
        </w:numPr>
        <w:adjustRightInd/>
        <w:spacing w:line="416" w:lineRule="auto"/>
        <w:rPr>
          <w:color w:val="auto"/>
        </w:rPr>
      </w:pPr>
    </w:p>
    <w:sectPr>
      <w:footerReference r:id="rId6" w:type="default"/>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CG Times">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PingFang-SC-Thin">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3A4AD">
    <w:pPr>
      <w:pStyle w:val="26"/>
      <w:jc w:val="center"/>
    </w:pPr>
  </w:p>
  <w:p w14:paraId="278BABAF">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5926148"/>
    </w:sdtPr>
    <w:sdtContent>
      <w:p w14:paraId="144B0364">
        <w:pPr>
          <w:pStyle w:val="26"/>
          <w:jc w:val="center"/>
        </w:pPr>
        <w:r>
          <w:fldChar w:fldCharType="begin"/>
        </w:r>
        <w:r>
          <w:instrText xml:space="preserve">PAGE   \* MERGEFORMAT</w:instrText>
        </w:r>
        <w:r>
          <w:fldChar w:fldCharType="separate"/>
        </w:r>
        <w:r>
          <w:rPr>
            <w:lang w:val="zh-CN"/>
          </w:rPr>
          <w:t>19</w:t>
        </w:r>
        <w:r>
          <w:fldChar w:fldCharType="end"/>
        </w:r>
      </w:p>
    </w:sdtContent>
  </w:sdt>
  <w:p w14:paraId="2279966E">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916056"/>
    </w:sdtPr>
    <w:sdtContent>
      <w:p w14:paraId="354A81BF">
        <w:pPr>
          <w:pStyle w:val="26"/>
          <w:jc w:val="center"/>
        </w:pPr>
        <w:r>
          <w:fldChar w:fldCharType="begin"/>
        </w:r>
        <w:r>
          <w:instrText xml:space="preserve">PAGE   \* MERGEFORMAT</w:instrText>
        </w:r>
        <w:r>
          <w:fldChar w:fldCharType="separate"/>
        </w:r>
        <w:r>
          <w:rPr>
            <w:lang w:val="zh-CN"/>
          </w:rPr>
          <w:t>20</w:t>
        </w:r>
        <w:r>
          <w:fldChar w:fldCharType="end"/>
        </w:r>
      </w:p>
    </w:sdtContent>
  </w:sdt>
  <w:p w14:paraId="1D63D36B">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6"/>
      <w:tblW w:w="4967" w:type="pct"/>
      <w:tblInd w:w="0" w:type="dxa"/>
      <w:tblLayout w:type="autofit"/>
      <w:tblCellMar>
        <w:top w:w="58" w:type="dxa"/>
        <w:left w:w="115" w:type="dxa"/>
        <w:bottom w:w="58" w:type="dxa"/>
        <w:right w:w="115" w:type="dxa"/>
      </w:tblCellMar>
    </w:tblPr>
    <w:tblGrid>
      <w:gridCol w:w="1610"/>
      <w:gridCol w:w="6870"/>
    </w:tblGrid>
    <w:tr w14:paraId="7C8ACE16">
      <w:tblPrEx>
        <w:tblCellMar>
          <w:top w:w="58" w:type="dxa"/>
          <w:left w:w="115" w:type="dxa"/>
          <w:bottom w:w="58" w:type="dxa"/>
          <w:right w:w="115" w:type="dxa"/>
        </w:tblCellMar>
      </w:tblPrEx>
      <w:tc>
        <w:tcPr>
          <w:tcW w:w="486" w:type="pct"/>
          <w:tcBorders>
            <w:right w:val="single" w:color="4F81BD" w:themeColor="accent1" w:sz="18" w:space="0"/>
          </w:tcBorders>
        </w:tcPr>
        <w:p w14:paraId="3E4891D6">
          <w:pPr>
            <w:widowControl/>
            <w:jc w:val="left"/>
            <w:rPr>
              <w:rFonts w:ascii="宋体" w:hAnsi="宋体" w:cs="宋体"/>
              <w:kern w:val="0"/>
              <w:sz w:val="24"/>
            </w:rPr>
          </w:pPr>
          <w:r>
            <w:drawing>
              <wp:inline distT="0" distB="0" distL="0" distR="0">
                <wp:extent cx="876300" cy="200025"/>
                <wp:effectExtent l="0" t="0" r="0" b="9525"/>
                <wp:docPr id="1" name="图片 1" descr="C:\Users\xinying\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xinying\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76300" cy="200025"/>
                        </a:xfrm>
                        <a:prstGeom prst="rect">
                          <a:avLst/>
                        </a:prstGeom>
                        <a:noFill/>
                        <a:ln>
                          <a:noFill/>
                        </a:ln>
                      </pic:spPr>
                    </pic:pic>
                  </a:graphicData>
                </a:graphic>
              </wp:inline>
            </w:drawing>
          </w:r>
        </w:p>
      </w:tc>
      <w:sdt>
        <w:sdtPr>
          <w:rPr>
            <w:rFonts w:hint="eastAsia" w:asciiTheme="majorHAnsi" w:hAnsiTheme="majorHAnsi" w:eastAsiaTheme="majorEastAsia" w:cstheme="majorBidi"/>
            <w:color w:val="auto"/>
          </w:rPr>
          <w:alias w:val="标题"/>
          <w:id w:val="803197856"/>
          <w:dataBinding w:prefixMappings="xmlns:ns0='http://schemas.openxmlformats.org/package/2006/metadata/core-properties' xmlns:ns1='http://purl.org/dc/elements/1.1/'" w:xpath="/ns0:coreProperties[1]/ns1:title[1]" w:storeItemID="{6C3C8BC8-F283-45AE-878A-BAB7291924A1}"/>
          <w:text/>
        </w:sdtPr>
        <w:sdtEndPr>
          <w:rPr>
            <w:rFonts w:hint="eastAsia" w:asciiTheme="majorHAnsi" w:hAnsiTheme="majorHAnsi" w:eastAsiaTheme="majorEastAsia" w:cstheme="majorBidi"/>
            <w:color w:val="4F81BD" w:themeColor="accent1"/>
            <w14:textFill>
              <w14:solidFill>
                <w14:schemeClr w14:val="accent1"/>
              </w14:solidFill>
            </w14:textFill>
          </w:rPr>
        </w:sdtEndPr>
        <w:sdtContent>
          <w:tc>
            <w:tcPr>
              <w:tcW w:w="4514" w:type="pct"/>
              <w:tcBorders>
                <w:left w:val="single" w:color="4F81BD" w:themeColor="accent1" w:sz="18" w:space="0"/>
              </w:tcBorders>
            </w:tcPr>
            <w:p w14:paraId="6BBBF5AF">
              <w:pPr>
                <w:pStyle w:val="27"/>
                <w:jc w:val="left"/>
                <w:rPr>
                  <w:rFonts w:asciiTheme="majorHAnsi" w:hAnsiTheme="majorHAnsi" w:eastAsiaTheme="majorEastAsia" w:cstheme="majorBidi"/>
                  <w:color w:val="4F81BD" w:themeColor="accent1"/>
                  <w14:textFill>
                    <w14:solidFill>
                      <w14:schemeClr w14:val="accent1"/>
                    </w14:solidFill>
                  </w14:textFill>
                </w:rPr>
              </w:pPr>
              <w:r>
                <w:rPr>
                  <w:rFonts w:hint="eastAsia" w:asciiTheme="majorHAnsi" w:hAnsiTheme="majorHAnsi" w:eastAsiaTheme="majorEastAsia" w:cstheme="majorBidi"/>
                  <w:color w:val="auto"/>
                  <w:lang w:eastAsia="zh-CN"/>
                </w:rPr>
                <w:t>任丘深能环保有限公司2026年度飞灰稳定化处理承包合同</w:t>
              </w:r>
            </w:p>
          </w:tc>
        </w:sdtContent>
      </w:sdt>
    </w:tr>
  </w:tbl>
  <w:p w14:paraId="56F0B37E">
    <w:pPr>
      <w:widowControl/>
      <w:jc w:val="left"/>
      <w:rPr>
        <w:rFonts w:ascii="宋体" w:hAnsi="宋体" w:cs="宋体"/>
        <w:kern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E7FB4"/>
    <w:multiLevelType w:val="multilevel"/>
    <w:tmpl w:val="85AE7FB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86F8AE5C"/>
    <w:multiLevelType w:val="multilevel"/>
    <w:tmpl w:val="86F8AE5C"/>
    <w:lvl w:ilvl="0" w:tentative="0">
      <w:start w:val="1"/>
      <w:numFmt w:val="decimal"/>
      <w:lvlText w:val="%1."/>
      <w:lvlJc w:val="left"/>
      <w:pPr>
        <w:ind w:left="567" w:firstLine="284"/>
      </w:p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2">
    <w:nsid w:val="9808106F"/>
    <w:multiLevelType w:val="multilevel"/>
    <w:tmpl w:val="9808106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9A6251DD"/>
    <w:multiLevelType w:val="multilevel"/>
    <w:tmpl w:val="9A6251DD"/>
    <w:lvl w:ilvl="0" w:tentative="0">
      <w:start w:val="1"/>
      <w:numFmt w:val="decimal"/>
      <w:suff w:val="space"/>
      <w:lvlText w:val="%1)"/>
      <w:lvlJc w:val="left"/>
      <w:pPr>
        <w:tabs>
          <w:tab w:val="left" w:pos="0"/>
        </w:tabs>
        <w:ind w:left="454" w:hanging="454"/>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A8DC77C9"/>
    <w:multiLevelType w:val="multilevel"/>
    <w:tmpl w:val="A8DC77C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AB720D91"/>
    <w:multiLevelType w:val="multilevel"/>
    <w:tmpl w:val="AB720D9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B08717E8"/>
    <w:multiLevelType w:val="multilevel"/>
    <w:tmpl w:val="B08717E8"/>
    <w:lvl w:ilvl="0" w:tentative="0">
      <w:start w:val="1"/>
      <w:numFmt w:val="decimal"/>
      <w:lvlText w:val="%1)"/>
      <w:lvlJc w:val="left"/>
      <w:pPr>
        <w:ind w:left="960" w:hanging="36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7">
    <w:nsid w:val="C78BB895"/>
    <w:multiLevelType w:val="multilevel"/>
    <w:tmpl w:val="C78BB895"/>
    <w:lvl w:ilvl="0" w:tentative="0">
      <w:start w:val="1"/>
      <w:numFmt w:val="decimal"/>
      <w:lvlText w:val="%1)"/>
      <w:lvlJc w:val="left"/>
      <w:pPr>
        <w:ind w:left="960" w:hanging="36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8">
    <w:nsid w:val="C78D4284"/>
    <w:multiLevelType w:val="multilevel"/>
    <w:tmpl w:val="C78D428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DAA8E863"/>
    <w:multiLevelType w:val="multilevel"/>
    <w:tmpl w:val="DAA8E863"/>
    <w:lvl w:ilvl="0" w:tentative="0">
      <w:start w:val="1"/>
      <w:numFmt w:val="chineseCountingThousand"/>
      <w:lvlText w:val="%1、"/>
      <w:lvlJc w:val="left"/>
      <w:pPr>
        <w:ind w:left="842" w:hanging="36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FFFAFA00"/>
    <w:multiLevelType w:val="multilevel"/>
    <w:tmpl w:val="FFFAFA0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1474F79C"/>
    <w:multiLevelType w:val="multilevel"/>
    <w:tmpl w:val="1474F79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17CD4DD1"/>
    <w:multiLevelType w:val="multilevel"/>
    <w:tmpl w:val="17CD4DD1"/>
    <w:lvl w:ilvl="0" w:tentative="0">
      <w:start w:val="1"/>
      <w:numFmt w:val="decimal"/>
      <w:pStyle w:val="87"/>
      <w:lvlText w:val="%1."/>
      <w:lvlJc w:val="left"/>
      <w:pPr>
        <w:tabs>
          <w:tab w:val="left" w:pos="995"/>
        </w:tabs>
        <w:ind w:left="995" w:hanging="425"/>
      </w:pPr>
    </w:lvl>
    <w:lvl w:ilvl="1" w:tentative="0">
      <w:start w:val="1"/>
      <w:numFmt w:val="decimal"/>
      <w:lvlText w:val="%1.%2."/>
      <w:lvlJc w:val="left"/>
      <w:pPr>
        <w:tabs>
          <w:tab w:val="left" w:pos="1137"/>
        </w:tabs>
        <w:ind w:left="1137" w:hanging="567"/>
      </w:pPr>
    </w:lvl>
    <w:lvl w:ilvl="2" w:tentative="0">
      <w:start w:val="1"/>
      <w:numFmt w:val="decimal"/>
      <w:lvlText w:val="%1.%2.%3."/>
      <w:lvlJc w:val="left"/>
      <w:pPr>
        <w:tabs>
          <w:tab w:val="left" w:pos="1279"/>
        </w:tabs>
        <w:ind w:left="1279" w:hanging="709"/>
      </w:pPr>
    </w:lvl>
    <w:lvl w:ilvl="3" w:tentative="0">
      <w:start w:val="1"/>
      <w:numFmt w:val="decimal"/>
      <w:lvlText w:val="%1.%2.%3.%4."/>
      <w:lvlJc w:val="left"/>
      <w:pPr>
        <w:tabs>
          <w:tab w:val="left" w:pos="1421"/>
        </w:tabs>
        <w:ind w:left="1421" w:hanging="851"/>
      </w:pPr>
    </w:lvl>
    <w:lvl w:ilvl="4" w:tentative="0">
      <w:start w:val="1"/>
      <w:numFmt w:val="decimal"/>
      <w:lvlText w:val="%1.%2.%3.%4.%5."/>
      <w:lvlJc w:val="left"/>
      <w:pPr>
        <w:tabs>
          <w:tab w:val="left" w:pos="1562"/>
        </w:tabs>
        <w:ind w:left="1562" w:hanging="992"/>
      </w:pPr>
    </w:lvl>
    <w:lvl w:ilvl="5" w:tentative="0">
      <w:start w:val="1"/>
      <w:numFmt w:val="decimal"/>
      <w:lvlText w:val="%1.%2.%3.%4.%5.%6."/>
      <w:lvlJc w:val="left"/>
      <w:pPr>
        <w:tabs>
          <w:tab w:val="left" w:pos="1704"/>
        </w:tabs>
        <w:ind w:left="1704" w:hanging="1134"/>
      </w:pPr>
    </w:lvl>
    <w:lvl w:ilvl="6" w:tentative="0">
      <w:start w:val="1"/>
      <w:numFmt w:val="decimal"/>
      <w:lvlText w:val="%1.%2.%3.%4.%5.%6.%7."/>
      <w:lvlJc w:val="left"/>
      <w:pPr>
        <w:tabs>
          <w:tab w:val="left" w:pos="1846"/>
        </w:tabs>
        <w:ind w:left="1846" w:hanging="1276"/>
      </w:pPr>
    </w:lvl>
    <w:lvl w:ilvl="7" w:tentative="0">
      <w:start w:val="1"/>
      <w:numFmt w:val="decimal"/>
      <w:lvlText w:val="%1.%2.%3.%4.%5.%6.%7.%8."/>
      <w:lvlJc w:val="left"/>
      <w:pPr>
        <w:tabs>
          <w:tab w:val="left" w:pos="1988"/>
        </w:tabs>
        <w:ind w:left="1988" w:hanging="1418"/>
      </w:pPr>
    </w:lvl>
    <w:lvl w:ilvl="8" w:tentative="0">
      <w:start w:val="1"/>
      <w:numFmt w:val="decimal"/>
      <w:lvlText w:val="%1.%2.%3.%4.%5.%6.%7.%8.%9."/>
      <w:lvlJc w:val="left"/>
      <w:pPr>
        <w:tabs>
          <w:tab w:val="left" w:pos="2129"/>
        </w:tabs>
        <w:ind w:left="2129" w:hanging="1559"/>
      </w:pPr>
    </w:lvl>
  </w:abstractNum>
  <w:abstractNum w:abstractNumId="13">
    <w:nsid w:val="2003F928"/>
    <w:multiLevelType w:val="multilevel"/>
    <w:tmpl w:val="2003F928"/>
    <w:lvl w:ilvl="0" w:tentative="0">
      <w:start w:val="1"/>
      <w:numFmt w:val="decimal"/>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4">
    <w:nsid w:val="22BA0344"/>
    <w:multiLevelType w:val="multilevel"/>
    <w:tmpl w:val="22BA0344"/>
    <w:lvl w:ilvl="0" w:tentative="0">
      <w:start w:val="1"/>
      <w:numFmt w:val="bullet"/>
      <w:pStyle w:val="18"/>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2A9756D9"/>
    <w:multiLevelType w:val="multilevel"/>
    <w:tmpl w:val="2A9756D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2DC9262A"/>
    <w:multiLevelType w:val="multilevel"/>
    <w:tmpl w:val="2DC9262A"/>
    <w:lvl w:ilvl="0" w:tentative="0">
      <w:start w:val="1"/>
      <w:numFmt w:val="decimal"/>
      <w:pStyle w:val="88"/>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7">
    <w:nsid w:val="32879F46"/>
    <w:multiLevelType w:val="multilevel"/>
    <w:tmpl w:val="32879F46"/>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3C1F3D48"/>
    <w:multiLevelType w:val="multilevel"/>
    <w:tmpl w:val="3C1F3D48"/>
    <w:lvl w:ilvl="0" w:tentative="0">
      <w:start w:val="1"/>
      <w:numFmt w:val="decimal"/>
      <w:lvlText w:val="3.1.%1"/>
      <w:lvlJc w:val="left"/>
      <w:pPr>
        <w:tabs>
          <w:tab w:val="left" w:pos="1134"/>
        </w:tabs>
        <w:ind w:left="1134" w:hanging="113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E3B9C06"/>
    <w:multiLevelType w:val="multilevel"/>
    <w:tmpl w:val="3E3B9C06"/>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372411E"/>
    <w:multiLevelType w:val="singleLevel"/>
    <w:tmpl w:val="5372411E"/>
    <w:lvl w:ilvl="0" w:tentative="0">
      <w:start w:val="1"/>
      <w:numFmt w:val="decimal"/>
      <w:suff w:val="nothing"/>
      <w:lvlText w:val="%1、"/>
      <w:lvlJc w:val="left"/>
    </w:lvl>
  </w:abstractNum>
  <w:abstractNum w:abstractNumId="21">
    <w:nsid w:val="57343F65"/>
    <w:multiLevelType w:val="multilevel"/>
    <w:tmpl w:val="57343F65"/>
    <w:lvl w:ilvl="0" w:tentative="0">
      <w:start w:val="1"/>
      <w:numFmt w:val="chineseCountingThousand"/>
      <w:lvlText w:val="%1、"/>
      <w:lvlJc w:val="left"/>
      <w:pPr>
        <w:ind w:left="2122"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A652B08"/>
    <w:multiLevelType w:val="multilevel"/>
    <w:tmpl w:val="5A652B08"/>
    <w:lvl w:ilvl="0" w:tentative="0">
      <w:start w:val="1"/>
      <w:numFmt w:val="decimal"/>
      <w:pStyle w:val="28"/>
      <w:lvlText w:val="附件%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D8752ED"/>
    <w:multiLevelType w:val="multilevel"/>
    <w:tmpl w:val="5D8752E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66E7BB19"/>
    <w:multiLevelType w:val="multilevel"/>
    <w:tmpl w:val="66E7BB19"/>
    <w:lvl w:ilvl="0" w:tentative="0">
      <w:start w:val="1"/>
      <w:numFmt w:val="decimal"/>
      <w:suff w:val="space"/>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6C2E62B2"/>
    <w:multiLevelType w:val="multilevel"/>
    <w:tmpl w:val="6C2E62B2"/>
    <w:lvl w:ilvl="0" w:tentative="0">
      <w:start w:val="1"/>
      <w:numFmt w:val="decimal"/>
      <w:pStyle w:val="99"/>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26">
    <w:nsid w:val="723B1E07"/>
    <w:multiLevelType w:val="multilevel"/>
    <w:tmpl w:val="723B1E07"/>
    <w:lvl w:ilvl="0" w:tentative="0">
      <w:start w:val="1"/>
      <w:numFmt w:val="bullet"/>
      <w:pStyle w:val="89"/>
      <w:lvlText w:val=""/>
      <w:lvlJc w:val="left"/>
      <w:pPr>
        <w:tabs>
          <w:tab w:val="left" w:pos="374"/>
        </w:tabs>
        <w:ind w:left="374" w:hanging="374"/>
      </w:pPr>
      <w:rPr>
        <w:rFonts w:hint="default" w:ascii="Wingdings" w:hAnsi="Wingdings"/>
        <w:b/>
        <w:i w:val="0"/>
        <w:sz w:val="21"/>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76CD6B6A"/>
    <w:multiLevelType w:val="multilevel"/>
    <w:tmpl w:val="76CD6B6A"/>
    <w:lvl w:ilvl="0" w:tentative="0">
      <w:start w:val="1"/>
      <w:numFmt w:val="decimal"/>
      <w:pStyle w:val="3"/>
      <w:lvlText w:val="6.3.%1"/>
      <w:lvlJc w:val="left"/>
      <w:pPr>
        <w:tabs>
          <w:tab w:val="left" w:pos="720"/>
        </w:tabs>
        <w:ind w:left="432" w:hanging="432"/>
      </w:pPr>
    </w:lvl>
    <w:lvl w:ilvl="1" w:tentative="0">
      <w:start w:val="1"/>
      <w:numFmt w:val="decimal"/>
      <w:pStyle w:val="4"/>
      <w:lvlText w:val="%1.%2"/>
      <w:lvlJc w:val="left"/>
      <w:pPr>
        <w:tabs>
          <w:tab w:val="left" w:pos="576"/>
        </w:tabs>
        <w:ind w:left="576" w:hanging="576"/>
      </w:pPr>
    </w:lvl>
    <w:lvl w:ilvl="2" w:tentative="0">
      <w:start w:val="1"/>
      <w:numFmt w:val="decimal"/>
      <w:pStyle w:val="6"/>
      <w:lvlText w:val="10.%3"/>
      <w:lvlJc w:val="left"/>
      <w:pPr>
        <w:tabs>
          <w:tab w:val="left" w:pos="720"/>
        </w:tabs>
        <w:ind w:left="720" w:hanging="720"/>
      </w:pPr>
      <w:rPr>
        <w:rFonts w:hint="default" w:ascii="Arial" w:hAnsi="Arial" w:cs="Arial"/>
      </w:rPr>
    </w:lvl>
    <w:lvl w:ilvl="3" w:tentative="0">
      <w:start w:val="1"/>
      <w:numFmt w:val="decimal"/>
      <w:pStyle w:val="7"/>
      <w:lvlText w:val="%1.%2.%3.%4"/>
      <w:lvlJc w:val="left"/>
      <w:pPr>
        <w:tabs>
          <w:tab w:val="left" w:pos="864"/>
        </w:tabs>
        <w:ind w:left="864" w:hanging="864"/>
      </w:pPr>
    </w:lvl>
    <w:lvl w:ilvl="4" w:tentative="0">
      <w:start w:val="1"/>
      <w:numFmt w:val="decimal"/>
      <w:pStyle w:val="8"/>
      <w:lvlText w:val="%1.%2.%3.%4.%5"/>
      <w:lvlJc w:val="left"/>
      <w:pPr>
        <w:tabs>
          <w:tab w:val="left" w:pos="1008"/>
        </w:tabs>
        <w:ind w:left="1008" w:hanging="1008"/>
      </w:pPr>
    </w:lvl>
    <w:lvl w:ilvl="5" w:tentative="0">
      <w:start w:val="1"/>
      <w:numFmt w:val="decimal"/>
      <w:pStyle w:val="9"/>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abstractNum w:abstractNumId="28">
    <w:nsid w:val="78BC1397"/>
    <w:multiLevelType w:val="multilevel"/>
    <w:tmpl w:val="78BC1397"/>
    <w:lvl w:ilvl="0" w:tentative="0">
      <w:start w:val="1"/>
      <w:numFmt w:val="decimal"/>
      <w:lvlText w:val="5.5.%1"/>
      <w:lvlJc w:val="left"/>
      <w:pPr>
        <w:tabs>
          <w:tab w:val="left" w:pos="1134"/>
        </w:tabs>
        <w:ind w:left="1134" w:hanging="1134"/>
      </w:pPr>
    </w:lvl>
    <w:lvl w:ilvl="1" w:tentative="0">
      <w:start w:val="1"/>
      <w:numFmt w:val="decimal"/>
      <w:lvlText w:val="5.6.%2"/>
      <w:lvlJc w:val="left"/>
      <w:pPr>
        <w:tabs>
          <w:tab w:val="left" w:pos="1554"/>
        </w:tabs>
        <w:ind w:left="1554" w:hanging="1134"/>
      </w:pPr>
    </w:lvl>
    <w:lvl w:ilvl="2" w:tentative="0">
      <w:start w:val="1"/>
      <w:numFmt w:val="decimal"/>
      <w:lvlText w:val="%3."/>
      <w:lvlJc w:val="left"/>
      <w:pPr>
        <w:tabs>
          <w:tab w:val="left" w:pos="1560"/>
        </w:tabs>
        <w:ind w:left="1560" w:hanging="720"/>
      </w:pPr>
    </w:lvl>
    <w:lvl w:ilvl="3" w:tentative="0">
      <w:start w:val="1"/>
      <w:numFmt w:val="decimal"/>
      <w:lvlText w:val="3.%4"/>
      <w:lvlJc w:val="left"/>
      <w:pPr>
        <w:tabs>
          <w:tab w:val="left" w:pos="1974"/>
        </w:tabs>
        <w:ind w:left="1974" w:hanging="1974"/>
      </w:pPr>
    </w:lvl>
    <w:lvl w:ilvl="4" w:tentative="0">
      <w:start w:val="1"/>
      <w:numFmt w:val="decimal"/>
      <w:lvlText w:val="3.2.%5"/>
      <w:lvlJc w:val="left"/>
      <w:pPr>
        <w:tabs>
          <w:tab w:val="left" w:pos="1134"/>
        </w:tabs>
        <w:ind w:left="1134" w:hanging="1134"/>
      </w:pPr>
    </w:lvl>
    <w:lvl w:ilvl="5" w:tentative="0">
      <w:start w:val="1"/>
      <w:numFmt w:val="decimal"/>
      <w:lvlText w:val="4.%6"/>
      <w:lvlJc w:val="left"/>
      <w:pPr>
        <w:tabs>
          <w:tab w:val="left" w:pos="3234"/>
        </w:tabs>
        <w:ind w:left="3234" w:hanging="1134"/>
      </w:pPr>
    </w:lvl>
    <w:lvl w:ilvl="6" w:tentative="0">
      <w:start w:val="1"/>
      <w:numFmt w:val="decimal"/>
      <w:lvlText w:val="5.%7"/>
      <w:lvlJc w:val="left"/>
      <w:pPr>
        <w:tabs>
          <w:tab w:val="left" w:pos="3654"/>
        </w:tabs>
        <w:ind w:left="3654" w:hanging="1134"/>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1"/>
  </w:num>
  <w:num w:numId="9">
    <w:abstractNumId w:val="20"/>
  </w:num>
  <w:num w:numId="10">
    <w:abstractNumId w:val="23"/>
  </w:num>
  <w:num w:numId="11">
    <w:abstractNumId w:val="9"/>
  </w:num>
  <w:num w:numId="12">
    <w:abstractNumId w:val="1"/>
  </w:num>
  <w:num w:numId="13">
    <w:abstractNumId w:val="4"/>
  </w:num>
  <w:num w:numId="14">
    <w:abstractNumId w:val="15"/>
  </w:num>
  <w:num w:numId="15">
    <w:abstractNumId w:val="8"/>
  </w:num>
  <w:num w:numId="16">
    <w:abstractNumId w:val="10"/>
  </w:num>
  <w:num w:numId="17">
    <w:abstractNumId w:val="0"/>
  </w:num>
  <w:num w:numId="18">
    <w:abstractNumId w:val="2"/>
  </w:num>
  <w:num w:numId="19">
    <w:abstractNumId w:val="3"/>
  </w:num>
  <w:num w:numId="20">
    <w:abstractNumId w:val="5"/>
  </w:num>
  <w:num w:numId="21">
    <w:abstractNumId w:val="7"/>
  </w:num>
  <w:num w:numId="22">
    <w:abstractNumId w:val="6"/>
  </w:num>
  <w:num w:numId="23">
    <w:abstractNumId w:val="13"/>
  </w:num>
  <w:num w:numId="24">
    <w:abstractNumId w:val="17"/>
  </w:num>
  <w:num w:numId="25">
    <w:abstractNumId w:val="24"/>
  </w:num>
  <w:num w:numId="26">
    <w:abstractNumId w:val="19"/>
  </w:num>
  <w:num w:numId="27">
    <w:abstractNumId w:val="11"/>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yMTgwNDRlYTVhZDdkZDhjZjk0OTE0ZTFiMGQ2MzIifQ=="/>
  </w:docVars>
  <w:rsids>
    <w:rsidRoot w:val="00172A27"/>
    <w:rsid w:val="000019C9"/>
    <w:rsid w:val="0000443A"/>
    <w:rsid w:val="00020C37"/>
    <w:rsid w:val="00021A77"/>
    <w:rsid w:val="00026CC9"/>
    <w:rsid w:val="00034464"/>
    <w:rsid w:val="00034A31"/>
    <w:rsid w:val="00040199"/>
    <w:rsid w:val="00040BAC"/>
    <w:rsid w:val="00046632"/>
    <w:rsid w:val="00061DAC"/>
    <w:rsid w:val="0006604E"/>
    <w:rsid w:val="0006742F"/>
    <w:rsid w:val="000718BB"/>
    <w:rsid w:val="00077441"/>
    <w:rsid w:val="00080B2A"/>
    <w:rsid w:val="00081682"/>
    <w:rsid w:val="00085AF0"/>
    <w:rsid w:val="000A08A4"/>
    <w:rsid w:val="000A0C5C"/>
    <w:rsid w:val="000A14BD"/>
    <w:rsid w:val="000A3C32"/>
    <w:rsid w:val="000A4514"/>
    <w:rsid w:val="000B0BBF"/>
    <w:rsid w:val="000B2DE0"/>
    <w:rsid w:val="000B4106"/>
    <w:rsid w:val="000B4C86"/>
    <w:rsid w:val="000B4DB7"/>
    <w:rsid w:val="000B5303"/>
    <w:rsid w:val="000C64DE"/>
    <w:rsid w:val="000D4168"/>
    <w:rsid w:val="000E510F"/>
    <w:rsid w:val="000E5DA6"/>
    <w:rsid w:val="000E74E9"/>
    <w:rsid w:val="000F0CF2"/>
    <w:rsid w:val="0010141E"/>
    <w:rsid w:val="0010599E"/>
    <w:rsid w:val="00110B43"/>
    <w:rsid w:val="00117535"/>
    <w:rsid w:val="00117BDE"/>
    <w:rsid w:val="00133D0A"/>
    <w:rsid w:val="00146A22"/>
    <w:rsid w:val="00147FFB"/>
    <w:rsid w:val="00150AFF"/>
    <w:rsid w:val="00152578"/>
    <w:rsid w:val="00154BA5"/>
    <w:rsid w:val="00166FB0"/>
    <w:rsid w:val="00172A27"/>
    <w:rsid w:val="001819E9"/>
    <w:rsid w:val="00191F91"/>
    <w:rsid w:val="00194678"/>
    <w:rsid w:val="001A23BC"/>
    <w:rsid w:val="001A5094"/>
    <w:rsid w:val="001B6B9A"/>
    <w:rsid w:val="001C5BDC"/>
    <w:rsid w:val="001D66AC"/>
    <w:rsid w:val="001D7DBF"/>
    <w:rsid w:val="001E0615"/>
    <w:rsid w:val="001E30A3"/>
    <w:rsid w:val="001F6312"/>
    <w:rsid w:val="00204089"/>
    <w:rsid w:val="002055F4"/>
    <w:rsid w:val="00210A25"/>
    <w:rsid w:val="00215A72"/>
    <w:rsid w:val="00236544"/>
    <w:rsid w:val="0023740C"/>
    <w:rsid w:val="0025029E"/>
    <w:rsid w:val="0025070C"/>
    <w:rsid w:val="00254D3B"/>
    <w:rsid w:val="00262E2C"/>
    <w:rsid w:val="00265BBC"/>
    <w:rsid w:val="0027294F"/>
    <w:rsid w:val="00283AAC"/>
    <w:rsid w:val="0028762E"/>
    <w:rsid w:val="00287B60"/>
    <w:rsid w:val="002919AC"/>
    <w:rsid w:val="002A4E78"/>
    <w:rsid w:val="002B16E1"/>
    <w:rsid w:val="002C6AC5"/>
    <w:rsid w:val="002D6019"/>
    <w:rsid w:val="002D6843"/>
    <w:rsid w:val="002E46EB"/>
    <w:rsid w:val="002E5040"/>
    <w:rsid w:val="002F1D56"/>
    <w:rsid w:val="002F63B2"/>
    <w:rsid w:val="00300E2C"/>
    <w:rsid w:val="00310CC8"/>
    <w:rsid w:val="00311492"/>
    <w:rsid w:val="00316BEE"/>
    <w:rsid w:val="00331084"/>
    <w:rsid w:val="00334F64"/>
    <w:rsid w:val="00346F86"/>
    <w:rsid w:val="00351BC1"/>
    <w:rsid w:val="00353813"/>
    <w:rsid w:val="00356417"/>
    <w:rsid w:val="003579E8"/>
    <w:rsid w:val="00366986"/>
    <w:rsid w:val="003717A1"/>
    <w:rsid w:val="00376914"/>
    <w:rsid w:val="003777EF"/>
    <w:rsid w:val="00383BC4"/>
    <w:rsid w:val="00391761"/>
    <w:rsid w:val="00391AB7"/>
    <w:rsid w:val="003A0C62"/>
    <w:rsid w:val="003B084E"/>
    <w:rsid w:val="003B7B2D"/>
    <w:rsid w:val="003C2781"/>
    <w:rsid w:val="003D4B78"/>
    <w:rsid w:val="003D693F"/>
    <w:rsid w:val="003E4677"/>
    <w:rsid w:val="003F03EA"/>
    <w:rsid w:val="003F236D"/>
    <w:rsid w:val="003F6D05"/>
    <w:rsid w:val="00402A8B"/>
    <w:rsid w:val="00427B09"/>
    <w:rsid w:val="004330C3"/>
    <w:rsid w:val="004331FE"/>
    <w:rsid w:val="00433973"/>
    <w:rsid w:val="00435D2A"/>
    <w:rsid w:val="00441443"/>
    <w:rsid w:val="004415F7"/>
    <w:rsid w:val="004457C2"/>
    <w:rsid w:val="00446AA8"/>
    <w:rsid w:val="00451020"/>
    <w:rsid w:val="004521A7"/>
    <w:rsid w:val="004528E9"/>
    <w:rsid w:val="0045410A"/>
    <w:rsid w:val="0045445D"/>
    <w:rsid w:val="00470885"/>
    <w:rsid w:val="0047697E"/>
    <w:rsid w:val="004823E5"/>
    <w:rsid w:val="004849EE"/>
    <w:rsid w:val="00495836"/>
    <w:rsid w:val="004A16C3"/>
    <w:rsid w:val="004A574E"/>
    <w:rsid w:val="004A6295"/>
    <w:rsid w:val="004B0DE1"/>
    <w:rsid w:val="004B3BA1"/>
    <w:rsid w:val="004B4683"/>
    <w:rsid w:val="004B4C3F"/>
    <w:rsid w:val="004B7A6E"/>
    <w:rsid w:val="004C6230"/>
    <w:rsid w:val="004D414F"/>
    <w:rsid w:val="004E4935"/>
    <w:rsid w:val="004E6DB6"/>
    <w:rsid w:val="004F3F85"/>
    <w:rsid w:val="004F637E"/>
    <w:rsid w:val="005027CF"/>
    <w:rsid w:val="005031D7"/>
    <w:rsid w:val="005035F2"/>
    <w:rsid w:val="00522E2C"/>
    <w:rsid w:val="005355F0"/>
    <w:rsid w:val="00542DD7"/>
    <w:rsid w:val="0054530D"/>
    <w:rsid w:val="00545940"/>
    <w:rsid w:val="0055232C"/>
    <w:rsid w:val="00552A5B"/>
    <w:rsid w:val="00554109"/>
    <w:rsid w:val="00566F3B"/>
    <w:rsid w:val="00567BB0"/>
    <w:rsid w:val="00573108"/>
    <w:rsid w:val="0057444A"/>
    <w:rsid w:val="00574EB5"/>
    <w:rsid w:val="00583E57"/>
    <w:rsid w:val="00592A3F"/>
    <w:rsid w:val="00596B7A"/>
    <w:rsid w:val="005A1F5E"/>
    <w:rsid w:val="005A68DC"/>
    <w:rsid w:val="005B2D89"/>
    <w:rsid w:val="005B4E22"/>
    <w:rsid w:val="005B5DF9"/>
    <w:rsid w:val="005C0731"/>
    <w:rsid w:val="005D1ACD"/>
    <w:rsid w:val="005D5C94"/>
    <w:rsid w:val="005D65DF"/>
    <w:rsid w:val="005E2B58"/>
    <w:rsid w:val="005F0214"/>
    <w:rsid w:val="005F16E4"/>
    <w:rsid w:val="005F28FC"/>
    <w:rsid w:val="005F5E36"/>
    <w:rsid w:val="00600120"/>
    <w:rsid w:val="00604F6A"/>
    <w:rsid w:val="006100F6"/>
    <w:rsid w:val="00632639"/>
    <w:rsid w:val="00641798"/>
    <w:rsid w:val="00652F35"/>
    <w:rsid w:val="00671021"/>
    <w:rsid w:val="0067121F"/>
    <w:rsid w:val="00671F35"/>
    <w:rsid w:val="00675819"/>
    <w:rsid w:val="00682D34"/>
    <w:rsid w:val="006835D0"/>
    <w:rsid w:val="0068435A"/>
    <w:rsid w:val="00690670"/>
    <w:rsid w:val="0069240B"/>
    <w:rsid w:val="00692921"/>
    <w:rsid w:val="00694348"/>
    <w:rsid w:val="00696BE2"/>
    <w:rsid w:val="006A64B1"/>
    <w:rsid w:val="006B5131"/>
    <w:rsid w:val="006C0D41"/>
    <w:rsid w:val="006C0E10"/>
    <w:rsid w:val="006C2B36"/>
    <w:rsid w:val="006C5D61"/>
    <w:rsid w:val="006C60AB"/>
    <w:rsid w:val="006C664C"/>
    <w:rsid w:val="006D0130"/>
    <w:rsid w:val="006D43C1"/>
    <w:rsid w:val="006D4448"/>
    <w:rsid w:val="006E0399"/>
    <w:rsid w:val="006E2476"/>
    <w:rsid w:val="006E39AF"/>
    <w:rsid w:val="006F0BC2"/>
    <w:rsid w:val="006F71E9"/>
    <w:rsid w:val="006F785E"/>
    <w:rsid w:val="00703FE7"/>
    <w:rsid w:val="007057CE"/>
    <w:rsid w:val="00705F2E"/>
    <w:rsid w:val="00706905"/>
    <w:rsid w:val="00707E88"/>
    <w:rsid w:val="00710009"/>
    <w:rsid w:val="00710AAE"/>
    <w:rsid w:val="00710BA6"/>
    <w:rsid w:val="00713971"/>
    <w:rsid w:val="00732AC6"/>
    <w:rsid w:val="0073540F"/>
    <w:rsid w:val="007359DE"/>
    <w:rsid w:val="007369E0"/>
    <w:rsid w:val="007411C0"/>
    <w:rsid w:val="007428CD"/>
    <w:rsid w:val="007442F0"/>
    <w:rsid w:val="0074528D"/>
    <w:rsid w:val="00745C1E"/>
    <w:rsid w:val="00755134"/>
    <w:rsid w:val="00763C45"/>
    <w:rsid w:val="00766C04"/>
    <w:rsid w:val="00774F4F"/>
    <w:rsid w:val="0077742E"/>
    <w:rsid w:val="00790519"/>
    <w:rsid w:val="00793F3B"/>
    <w:rsid w:val="007A4A40"/>
    <w:rsid w:val="007B6808"/>
    <w:rsid w:val="007B7687"/>
    <w:rsid w:val="007D0595"/>
    <w:rsid w:val="007D4CB0"/>
    <w:rsid w:val="007F1BD8"/>
    <w:rsid w:val="00811998"/>
    <w:rsid w:val="00812B9C"/>
    <w:rsid w:val="008235D7"/>
    <w:rsid w:val="00825D11"/>
    <w:rsid w:val="0083197C"/>
    <w:rsid w:val="008323ED"/>
    <w:rsid w:val="00832645"/>
    <w:rsid w:val="00834FCA"/>
    <w:rsid w:val="0084285D"/>
    <w:rsid w:val="0085096A"/>
    <w:rsid w:val="00865E47"/>
    <w:rsid w:val="00867607"/>
    <w:rsid w:val="0088256F"/>
    <w:rsid w:val="008848E3"/>
    <w:rsid w:val="00887F9B"/>
    <w:rsid w:val="008935E7"/>
    <w:rsid w:val="00894FA4"/>
    <w:rsid w:val="008A1221"/>
    <w:rsid w:val="008A20C9"/>
    <w:rsid w:val="008A45F4"/>
    <w:rsid w:val="008B7706"/>
    <w:rsid w:val="008B7FD3"/>
    <w:rsid w:val="008C1480"/>
    <w:rsid w:val="008D26C9"/>
    <w:rsid w:val="008D3D05"/>
    <w:rsid w:val="008E146E"/>
    <w:rsid w:val="008E7E24"/>
    <w:rsid w:val="008F2794"/>
    <w:rsid w:val="008F5C70"/>
    <w:rsid w:val="00901E06"/>
    <w:rsid w:val="00906730"/>
    <w:rsid w:val="00907F7C"/>
    <w:rsid w:val="00910F8D"/>
    <w:rsid w:val="00927730"/>
    <w:rsid w:val="009311EA"/>
    <w:rsid w:val="0093362F"/>
    <w:rsid w:val="0093416D"/>
    <w:rsid w:val="00940CEF"/>
    <w:rsid w:val="00943A68"/>
    <w:rsid w:val="00944F72"/>
    <w:rsid w:val="0094732E"/>
    <w:rsid w:val="0095305E"/>
    <w:rsid w:val="00954730"/>
    <w:rsid w:val="00972AB5"/>
    <w:rsid w:val="00977EC5"/>
    <w:rsid w:val="00984B2D"/>
    <w:rsid w:val="00986A36"/>
    <w:rsid w:val="00987538"/>
    <w:rsid w:val="00997A4B"/>
    <w:rsid w:val="009A6AF4"/>
    <w:rsid w:val="009A7025"/>
    <w:rsid w:val="009A772E"/>
    <w:rsid w:val="009B26F0"/>
    <w:rsid w:val="009B4125"/>
    <w:rsid w:val="009C2D86"/>
    <w:rsid w:val="009C4615"/>
    <w:rsid w:val="009D16B5"/>
    <w:rsid w:val="009D74F6"/>
    <w:rsid w:val="009E2BAB"/>
    <w:rsid w:val="009E431A"/>
    <w:rsid w:val="009F1E99"/>
    <w:rsid w:val="009F422D"/>
    <w:rsid w:val="009F54BF"/>
    <w:rsid w:val="00A03E64"/>
    <w:rsid w:val="00A20586"/>
    <w:rsid w:val="00A23856"/>
    <w:rsid w:val="00A30C60"/>
    <w:rsid w:val="00A32504"/>
    <w:rsid w:val="00A37051"/>
    <w:rsid w:val="00A46318"/>
    <w:rsid w:val="00A464C6"/>
    <w:rsid w:val="00A607BC"/>
    <w:rsid w:val="00A6284D"/>
    <w:rsid w:val="00A6417A"/>
    <w:rsid w:val="00A649BE"/>
    <w:rsid w:val="00A65FBD"/>
    <w:rsid w:val="00A71B39"/>
    <w:rsid w:val="00A72A9A"/>
    <w:rsid w:val="00A73AA1"/>
    <w:rsid w:val="00A770C7"/>
    <w:rsid w:val="00A81F6C"/>
    <w:rsid w:val="00A83432"/>
    <w:rsid w:val="00A8462F"/>
    <w:rsid w:val="00A85730"/>
    <w:rsid w:val="00A86F04"/>
    <w:rsid w:val="00A8780A"/>
    <w:rsid w:val="00A929A7"/>
    <w:rsid w:val="00AA2D97"/>
    <w:rsid w:val="00AB01F6"/>
    <w:rsid w:val="00AB1F1B"/>
    <w:rsid w:val="00AB38AF"/>
    <w:rsid w:val="00AB5B38"/>
    <w:rsid w:val="00AC2A50"/>
    <w:rsid w:val="00AC2ADD"/>
    <w:rsid w:val="00AE5149"/>
    <w:rsid w:val="00AE6DF7"/>
    <w:rsid w:val="00B017A8"/>
    <w:rsid w:val="00B02F76"/>
    <w:rsid w:val="00B04703"/>
    <w:rsid w:val="00B31509"/>
    <w:rsid w:val="00B32E8F"/>
    <w:rsid w:val="00B35F6B"/>
    <w:rsid w:val="00B37606"/>
    <w:rsid w:val="00B50518"/>
    <w:rsid w:val="00B641C1"/>
    <w:rsid w:val="00B8092F"/>
    <w:rsid w:val="00B8335C"/>
    <w:rsid w:val="00B84FC8"/>
    <w:rsid w:val="00B91738"/>
    <w:rsid w:val="00BA4EED"/>
    <w:rsid w:val="00BA5AF8"/>
    <w:rsid w:val="00BB282C"/>
    <w:rsid w:val="00BB4D6F"/>
    <w:rsid w:val="00BC104B"/>
    <w:rsid w:val="00BC1324"/>
    <w:rsid w:val="00BD1909"/>
    <w:rsid w:val="00BD3B78"/>
    <w:rsid w:val="00BD48DF"/>
    <w:rsid w:val="00BD601A"/>
    <w:rsid w:val="00BE0631"/>
    <w:rsid w:val="00BE429C"/>
    <w:rsid w:val="00BE7A22"/>
    <w:rsid w:val="00BF06FD"/>
    <w:rsid w:val="00BF5987"/>
    <w:rsid w:val="00BF6C9A"/>
    <w:rsid w:val="00C03F97"/>
    <w:rsid w:val="00C0426C"/>
    <w:rsid w:val="00C049BC"/>
    <w:rsid w:val="00C06376"/>
    <w:rsid w:val="00C07CC5"/>
    <w:rsid w:val="00C170A1"/>
    <w:rsid w:val="00C246C5"/>
    <w:rsid w:val="00C2646B"/>
    <w:rsid w:val="00C269D1"/>
    <w:rsid w:val="00C377F3"/>
    <w:rsid w:val="00C41ED7"/>
    <w:rsid w:val="00C43C9C"/>
    <w:rsid w:val="00C52EA8"/>
    <w:rsid w:val="00C643D2"/>
    <w:rsid w:val="00C655C3"/>
    <w:rsid w:val="00C66C2F"/>
    <w:rsid w:val="00C7041D"/>
    <w:rsid w:val="00C76115"/>
    <w:rsid w:val="00C92AFC"/>
    <w:rsid w:val="00C9559D"/>
    <w:rsid w:val="00CA1487"/>
    <w:rsid w:val="00CA3B39"/>
    <w:rsid w:val="00CA445C"/>
    <w:rsid w:val="00CB00CF"/>
    <w:rsid w:val="00CB6A3C"/>
    <w:rsid w:val="00CC6A1F"/>
    <w:rsid w:val="00CD13CD"/>
    <w:rsid w:val="00CD323B"/>
    <w:rsid w:val="00CD44A9"/>
    <w:rsid w:val="00CE255C"/>
    <w:rsid w:val="00CE3D0A"/>
    <w:rsid w:val="00CE7AD7"/>
    <w:rsid w:val="00CF1290"/>
    <w:rsid w:val="00D003DF"/>
    <w:rsid w:val="00D0241C"/>
    <w:rsid w:val="00D31EA1"/>
    <w:rsid w:val="00D335C5"/>
    <w:rsid w:val="00D33E7C"/>
    <w:rsid w:val="00D40E11"/>
    <w:rsid w:val="00D45704"/>
    <w:rsid w:val="00D46E9C"/>
    <w:rsid w:val="00D56F01"/>
    <w:rsid w:val="00D60ACD"/>
    <w:rsid w:val="00D617C3"/>
    <w:rsid w:val="00D63655"/>
    <w:rsid w:val="00D71022"/>
    <w:rsid w:val="00D7508C"/>
    <w:rsid w:val="00D81F27"/>
    <w:rsid w:val="00D96A2F"/>
    <w:rsid w:val="00DA7AC7"/>
    <w:rsid w:val="00DB4640"/>
    <w:rsid w:val="00DB6AAD"/>
    <w:rsid w:val="00DB7337"/>
    <w:rsid w:val="00DC4B5E"/>
    <w:rsid w:val="00DC56A6"/>
    <w:rsid w:val="00DC6059"/>
    <w:rsid w:val="00DD0CFE"/>
    <w:rsid w:val="00DD1A90"/>
    <w:rsid w:val="00DD4A98"/>
    <w:rsid w:val="00DD7D96"/>
    <w:rsid w:val="00DE1BF0"/>
    <w:rsid w:val="00DE3588"/>
    <w:rsid w:val="00DE65AF"/>
    <w:rsid w:val="00DE7CFE"/>
    <w:rsid w:val="00E018EE"/>
    <w:rsid w:val="00E04E96"/>
    <w:rsid w:val="00E17B20"/>
    <w:rsid w:val="00E2391D"/>
    <w:rsid w:val="00E315A8"/>
    <w:rsid w:val="00E36C90"/>
    <w:rsid w:val="00E36CF2"/>
    <w:rsid w:val="00E46BBC"/>
    <w:rsid w:val="00E52DC1"/>
    <w:rsid w:val="00E53D90"/>
    <w:rsid w:val="00E57B22"/>
    <w:rsid w:val="00E61E40"/>
    <w:rsid w:val="00E6601A"/>
    <w:rsid w:val="00E67C0A"/>
    <w:rsid w:val="00E767AD"/>
    <w:rsid w:val="00E76F3B"/>
    <w:rsid w:val="00E84528"/>
    <w:rsid w:val="00E84C29"/>
    <w:rsid w:val="00E96050"/>
    <w:rsid w:val="00EA21AA"/>
    <w:rsid w:val="00EC0832"/>
    <w:rsid w:val="00EC2C94"/>
    <w:rsid w:val="00EC3DDD"/>
    <w:rsid w:val="00EE1784"/>
    <w:rsid w:val="00EE3241"/>
    <w:rsid w:val="00EF06CA"/>
    <w:rsid w:val="00EF2934"/>
    <w:rsid w:val="00EF34E7"/>
    <w:rsid w:val="00F04A4E"/>
    <w:rsid w:val="00F201B2"/>
    <w:rsid w:val="00F211F9"/>
    <w:rsid w:val="00F21F25"/>
    <w:rsid w:val="00F23E31"/>
    <w:rsid w:val="00F317D9"/>
    <w:rsid w:val="00F44744"/>
    <w:rsid w:val="00F53BCF"/>
    <w:rsid w:val="00F577C8"/>
    <w:rsid w:val="00F6251D"/>
    <w:rsid w:val="00F63367"/>
    <w:rsid w:val="00F651D8"/>
    <w:rsid w:val="00F65BE4"/>
    <w:rsid w:val="00F66DC0"/>
    <w:rsid w:val="00F675AF"/>
    <w:rsid w:val="00F7073D"/>
    <w:rsid w:val="00F76C54"/>
    <w:rsid w:val="00F838E0"/>
    <w:rsid w:val="00F86AD6"/>
    <w:rsid w:val="00F873EE"/>
    <w:rsid w:val="00F87C43"/>
    <w:rsid w:val="00F95F26"/>
    <w:rsid w:val="00FA5888"/>
    <w:rsid w:val="00FC39CD"/>
    <w:rsid w:val="00FD5B2E"/>
    <w:rsid w:val="00FD5FE5"/>
    <w:rsid w:val="00FF2928"/>
    <w:rsid w:val="042F23FB"/>
    <w:rsid w:val="073113B0"/>
    <w:rsid w:val="081E2479"/>
    <w:rsid w:val="08A47EEF"/>
    <w:rsid w:val="08CC36C8"/>
    <w:rsid w:val="121D3BF2"/>
    <w:rsid w:val="144F41CA"/>
    <w:rsid w:val="145F34B0"/>
    <w:rsid w:val="162136CB"/>
    <w:rsid w:val="16C53D53"/>
    <w:rsid w:val="17D1137A"/>
    <w:rsid w:val="18FC1962"/>
    <w:rsid w:val="19567196"/>
    <w:rsid w:val="1A4F79F2"/>
    <w:rsid w:val="1D882867"/>
    <w:rsid w:val="1E85756C"/>
    <w:rsid w:val="1E9F1674"/>
    <w:rsid w:val="1F434643"/>
    <w:rsid w:val="21BA00C9"/>
    <w:rsid w:val="23534420"/>
    <w:rsid w:val="24E15D34"/>
    <w:rsid w:val="2B175364"/>
    <w:rsid w:val="2BA67163"/>
    <w:rsid w:val="2FA07224"/>
    <w:rsid w:val="30283B4B"/>
    <w:rsid w:val="30917111"/>
    <w:rsid w:val="34AE1026"/>
    <w:rsid w:val="35E87EEF"/>
    <w:rsid w:val="37904553"/>
    <w:rsid w:val="39420F27"/>
    <w:rsid w:val="3D63666A"/>
    <w:rsid w:val="3FEB2F14"/>
    <w:rsid w:val="40FA5553"/>
    <w:rsid w:val="42113867"/>
    <w:rsid w:val="4636068B"/>
    <w:rsid w:val="4BE454B5"/>
    <w:rsid w:val="4C62532F"/>
    <w:rsid w:val="4D3A6A18"/>
    <w:rsid w:val="50252CBD"/>
    <w:rsid w:val="50A70326"/>
    <w:rsid w:val="50F070BE"/>
    <w:rsid w:val="54AC5CD7"/>
    <w:rsid w:val="5592145D"/>
    <w:rsid w:val="585E1BA3"/>
    <w:rsid w:val="5A1D3D5C"/>
    <w:rsid w:val="5A494B51"/>
    <w:rsid w:val="5DF23AE7"/>
    <w:rsid w:val="5EA82F3E"/>
    <w:rsid w:val="642E3B90"/>
    <w:rsid w:val="6A261573"/>
    <w:rsid w:val="6A541C66"/>
    <w:rsid w:val="6DC77589"/>
    <w:rsid w:val="6EE90704"/>
    <w:rsid w:val="71B9421D"/>
    <w:rsid w:val="72CA77E6"/>
    <w:rsid w:val="74B93E7A"/>
    <w:rsid w:val="753000DB"/>
    <w:rsid w:val="7EA87A61"/>
    <w:rsid w:val="7F1E41F8"/>
    <w:rsid w:val="7F673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6"/>
    <w:qFormat/>
    <w:uiPriority w:val="9"/>
    <w:pPr>
      <w:keepNext/>
      <w:keepLines/>
      <w:numPr>
        <w:ilvl w:val="0"/>
        <w:numId w:val="1"/>
      </w:numPr>
      <w:adjustRightInd w:val="0"/>
      <w:spacing w:before="120" w:after="120"/>
      <w:jc w:val="left"/>
      <w:outlineLvl w:val="0"/>
    </w:pPr>
    <w:rPr>
      <w:kern w:val="44"/>
      <w:sz w:val="30"/>
      <w:szCs w:val="20"/>
    </w:rPr>
  </w:style>
  <w:style w:type="paragraph" w:styleId="4">
    <w:name w:val="heading 2"/>
    <w:basedOn w:val="1"/>
    <w:next w:val="5"/>
    <w:link w:val="47"/>
    <w:qFormat/>
    <w:uiPriority w:val="9"/>
    <w:pPr>
      <w:keepNext/>
      <w:keepLines/>
      <w:numPr>
        <w:ilvl w:val="1"/>
        <w:numId w:val="1"/>
      </w:numPr>
      <w:adjustRightInd w:val="0"/>
      <w:spacing w:before="260" w:after="260" w:line="416" w:lineRule="atLeast"/>
      <w:outlineLvl w:val="1"/>
    </w:pPr>
    <w:rPr>
      <w:rFonts w:ascii="Arial" w:hAnsi="Arial" w:eastAsia="黑体"/>
      <w:b/>
      <w:kern w:val="0"/>
      <w:sz w:val="32"/>
      <w:szCs w:val="20"/>
    </w:rPr>
  </w:style>
  <w:style w:type="paragraph" w:styleId="6">
    <w:name w:val="heading 3"/>
    <w:basedOn w:val="1"/>
    <w:next w:val="1"/>
    <w:link w:val="48"/>
    <w:qFormat/>
    <w:uiPriority w:val="0"/>
    <w:pPr>
      <w:keepNext/>
      <w:keepLines/>
      <w:numPr>
        <w:ilvl w:val="2"/>
        <w:numId w:val="1"/>
      </w:numPr>
      <w:adjustRightInd w:val="0"/>
      <w:spacing w:before="260" w:after="260" w:line="416" w:lineRule="atLeast"/>
      <w:jc w:val="left"/>
      <w:outlineLvl w:val="2"/>
    </w:pPr>
    <w:rPr>
      <w:b/>
      <w:kern w:val="0"/>
      <w:sz w:val="30"/>
      <w:szCs w:val="20"/>
    </w:rPr>
  </w:style>
  <w:style w:type="paragraph" w:styleId="7">
    <w:name w:val="heading 4"/>
    <w:basedOn w:val="1"/>
    <w:next w:val="1"/>
    <w:link w:val="49"/>
    <w:qFormat/>
    <w:uiPriority w:val="0"/>
    <w:pPr>
      <w:keepNext/>
      <w:keepLines/>
      <w:numPr>
        <w:ilvl w:val="3"/>
        <w:numId w:val="1"/>
      </w:numPr>
      <w:adjustRightInd w:val="0"/>
      <w:spacing w:before="280" w:after="290" w:line="376" w:lineRule="atLeast"/>
      <w:outlineLvl w:val="3"/>
    </w:pPr>
    <w:rPr>
      <w:rFonts w:ascii="Arial" w:hAnsi="Arial" w:eastAsia="黑体"/>
      <w:b/>
      <w:bCs/>
      <w:kern w:val="0"/>
      <w:sz w:val="28"/>
      <w:szCs w:val="28"/>
    </w:rPr>
  </w:style>
  <w:style w:type="paragraph" w:styleId="8">
    <w:name w:val="heading 5"/>
    <w:basedOn w:val="1"/>
    <w:next w:val="1"/>
    <w:link w:val="50"/>
    <w:qFormat/>
    <w:uiPriority w:val="0"/>
    <w:pPr>
      <w:keepNext/>
      <w:keepLines/>
      <w:numPr>
        <w:ilvl w:val="4"/>
        <w:numId w:val="1"/>
      </w:numPr>
      <w:adjustRightInd w:val="0"/>
      <w:spacing w:before="280" w:after="290" w:line="376" w:lineRule="atLeast"/>
      <w:outlineLvl w:val="4"/>
    </w:pPr>
    <w:rPr>
      <w:b/>
      <w:bCs/>
      <w:kern w:val="0"/>
      <w:sz w:val="28"/>
      <w:szCs w:val="28"/>
    </w:rPr>
  </w:style>
  <w:style w:type="paragraph" w:styleId="9">
    <w:name w:val="heading 6"/>
    <w:basedOn w:val="1"/>
    <w:next w:val="1"/>
    <w:link w:val="51"/>
    <w:qFormat/>
    <w:uiPriority w:val="0"/>
    <w:pPr>
      <w:keepNext/>
      <w:keepLines/>
      <w:numPr>
        <w:ilvl w:val="5"/>
        <w:numId w:val="1"/>
      </w:numPr>
      <w:adjustRightInd w:val="0"/>
      <w:spacing w:before="240" w:after="64" w:line="320" w:lineRule="atLeast"/>
      <w:outlineLvl w:val="5"/>
    </w:pPr>
    <w:rPr>
      <w:rFonts w:ascii="Arial" w:hAnsi="Arial" w:eastAsia="黑体"/>
      <w:b/>
      <w:bCs/>
      <w:kern w:val="0"/>
      <w:sz w:val="24"/>
    </w:rPr>
  </w:style>
  <w:style w:type="paragraph" w:styleId="10">
    <w:name w:val="heading 7"/>
    <w:basedOn w:val="1"/>
    <w:next w:val="1"/>
    <w:link w:val="52"/>
    <w:qFormat/>
    <w:uiPriority w:val="0"/>
    <w:pPr>
      <w:keepNext/>
      <w:keepLines/>
      <w:numPr>
        <w:ilvl w:val="6"/>
        <w:numId w:val="1"/>
      </w:numPr>
      <w:adjustRightInd w:val="0"/>
      <w:spacing w:before="240" w:after="64" w:line="320" w:lineRule="atLeast"/>
      <w:outlineLvl w:val="6"/>
    </w:pPr>
    <w:rPr>
      <w:b/>
      <w:bCs/>
      <w:kern w:val="0"/>
      <w:sz w:val="24"/>
    </w:rPr>
  </w:style>
  <w:style w:type="paragraph" w:styleId="11">
    <w:name w:val="heading 8"/>
    <w:basedOn w:val="1"/>
    <w:next w:val="1"/>
    <w:link w:val="53"/>
    <w:qFormat/>
    <w:uiPriority w:val="0"/>
    <w:pPr>
      <w:keepNext/>
      <w:keepLines/>
      <w:numPr>
        <w:ilvl w:val="7"/>
        <w:numId w:val="1"/>
      </w:numPr>
      <w:adjustRightInd w:val="0"/>
      <w:spacing w:before="240" w:after="64" w:line="320" w:lineRule="atLeast"/>
      <w:outlineLvl w:val="7"/>
    </w:pPr>
    <w:rPr>
      <w:rFonts w:ascii="Arial" w:hAnsi="Arial" w:eastAsia="黑体"/>
      <w:kern w:val="0"/>
      <w:sz w:val="24"/>
    </w:rPr>
  </w:style>
  <w:style w:type="paragraph" w:styleId="12">
    <w:name w:val="heading 9"/>
    <w:basedOn w:val="1"/>
    <w:next w:val="1"/>
    <w:link w:val="54"/>
    <w:qFormat/>
    <w:uiPriority w:val="0"/>
    <w:pPr>
      <w:keepNext/>
      <w:keepLines/>
      <w:numPr>
        <w:ilvl w:val="8"/>
        <w:numId w:val="1"/>
      </w:numPr>
      <w:adjustRightInd w:val="0"/>
      <w:spacing w:before="240" w:after="64" w:line="320" w:lineRule="atLeas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9"/>
    <w:qFormat/>
    <w:uiPriority w:val="0"/>
    <w:pPr>
      <w:spacing w:after="120"/>
    </w:pPr>
    <w:rPr>
      <w:rFonts w:asciiTheme="minorHAnsi" w:hAnsiTheme="minorHAnsi" w:eastAsiaTheme="minorEastAsia" w:cstheme="minorBidi"/>
    </w:rPr>
  </w:style>
  <w:style w:type="paragraph" w:styleId="5">
    <w:name w:val="Normal Indent"/>
    <w:basedOn w:val="1"/>
    <w:qFormat/>
    <w:uiPriority w:val="0"/>
    <w:pPr>
      <w:adjustRightInd w:val="0"/>
      <w:spacing w:line="312" w:lineRule="atLeast"/>
      <w:ind w:firstLine="420" w:firstLineChars="200"/>
    </w:pPr>
    <w:rPr>
      <w:kern w:val="0"/>
      <w:szCs w:val="20"/>
    </w:rPr>
  </w:style>
  <w:style w:type="paragraph" w:styleId="13">
    <w:name w:val="Document Map"/>
    <w:basedOn w:val="1"/>
    <w:link w:val="77"/>
    <w:semiHidden/>
    <w:qFormat/>
    <w:uiPriority w:val="0"/>
    <w:pPr>
      <w:shd w:val="clear" w:color="auto" w:fill="000080"/>
    </w:pPr>
    <w:rPr>
      <w:rFonts w:asciiTheme="minorHAnsi" w:hAnsiTheme="minorHAnsi" w:eastAsiaTheme="minorEastAsia" w:cstheme="minorBidi"/>
      <w:shd w:val="clear" w:color="auto" w:fill="000080"/>
    </w:rPr>
  </w:style>
  <w:style w:type="paragraph" w:styleId="14">
    <w:name w:val="toa heading"/>
    <w:basedOn w:val="1"/>
    <w:next w:val="1"/>
    <w:semiHidden/>
    <w:qFormat/>
    <w:uiPriority w:val="0"/>
    <w:pPr>
      <w:widowControl/>
      <w:spacing w:before="120"/>
      <w:jc w:val="left"/>
    </w:pPr>
    <w:rPr>
      <w:rFonts w:ascii="Arial" w:hAnsi="Arial" w:cs="Arial"/>
      <w:kern w:val="0"/>
      <w:sz w:val="24"/>
    </w:rPr>
  </w:style>
  <w:style w:type="paragraph" w:styleId="15">
    <w:name w:val="annotation text"/>
    <w:basedOn w:val="1"/>
    <w:link w:val="55"/>
    <w:semiHidden/>
    <w:qFormat/>
    <w:uiPriority w:val="99"/>
    <w:pPr>
      <w:jc w:val="left"/>
    </w:pPr>
    <w:rPr>
      <w:rFonts w:asciiTheme="minorHAnsi" w:hAnsiTheme="minorHAnsi" w:eastAsiaTheme="minorEastAsia" w:cstheme="minorBidi"/>
      <w:szCs w:val="22"/>
    </w:rPr>
  </w:style>
  <w:style w:type="paragraph" w:styleId="16">
    <w:name w:val="Salutation"/>
    <w:basedOn w:val="1"/>
    <w:next w:val="1"/>
    <w:link w:val="63"/>
    <w:qFormat/>
    <w:uiPriority w:val="0"/>
    <w:pPr>
      <w:adjustRightInd w:val="0"/>
      <w:spacing w:line="312" w:lineRule="atLeast"/>
    </w:pPr>
    <w:rPr>
      <w:rFonts w:asciiTheme="minorHAnsi" w:hAnsiTheme="minorHAnsi" w:eastAsiaTheme="minorEastAsia" w:cstheme="minorBidi"/>
      <w:szCs w:val="22"/>
    </w:rPr>
  </w:style>
  <w:style w:type="paragraph" w:styleId="17">
    <w:name w:val="Body Text 3"/>
    <w:basedOn w:val="1"/>
    <w:link w:val="106"/>
    <w:qFormat/>
    <w:uiPriority w:val="0"/>
    <w:pPr>
      <w:spacing w:after="120"/>
    </w:pPr>
    <w:rPr>
      <w:sz w:val="16"/>
      <w:szCs w:val="16"/>
    </w:rPr>
  </w:style>
  <w:style w:type="paragraph" w:styleId="18">
    <w:name w:val="List Bullet 3"/>
    <w:basedOn w:val="1"/>
    <w:qFormat/>
    <w:uiPriority w:val="0"/>
    <w:pPr>
      <w:numPr>
        <w:ilvl w:val="0"/>
        <w:numId w:val="2"/>
      </w:numPr>
      <w:ind w:left="0" w:leftChars="172" w:hanging="899" w:hangingChars="428"/>
    </w:pPr>
  </w:style>
  <w:style w:type="paragraph" w:styleId="19">
    <w:name w:val="Body Text Indent"/>
    <w:basedOn w:val="1"/>
    <w:link w:val="61"/>
    <w:qFormat/>
    <w:uiPriority w:val="0"/>
    <w:pPr>
      <w:spacing w:before="60" w:after="60"/>
      <w:ind w:firstLine="480" w:firstLineChars="200"/>
    </w:pPr>
    <w:rPr>
      <w:rFonts w:asciiTheme="minorHAnsi" w:hAnsiTheme="minorHAnsi" w:eastAsiaTheme="minorEastAsia" w:cstheme="minorBidi"/>
      <w:color w:val="000000"/>
      <w:sz w:val="24"/>
    </w:rPr>
  </w:style>
  <w:style w:type="paragraph" w:styleId="20">
    <w:name w:val="Block Text"/>
    <w:basedOn w:val="1"/>
    <w:qFormat/>
    <w:uiPriority w:val="0"/>
    <w:pPr>
      <w:spacing w:after="120"/>
      <w:ind w:left="1440" w:leftChars="700" w:right="1440" w:rightChars="700"/>
    </w:pPr>
    <w:rPr>
      <w:szCs w:val="20"/>
    </w:rPr>
  </w:style>
  <w:style w:type="paragraph" w:styleId="21">
    <w:name w:val="toc 3"/>
    <w:basedOn w:val="1"/>
    <w:next w:val="1"/>
    <w:qFormat/>
    <w:uiPriority w:val="39"/>
    <w:pPr>
      <w:tabs>
        <w:tab w:val="left" w:pos="1860"/>
        <w:tab w:val="right" w:leader="dot" w:pos="8647"/>
      </w:tabs>
      <w:ind w:firstLine="1050" w:firstLineChars="525"/>
      <w:jc w:val="center"/>
    </w:pPr>
    <w:rPr>
      <w:iCs/>
      <w:sz w:val="20"/>
      <w:szCs w:val="20"/>
    </w:rPr>
  </w:style>
  <w:style w:type="paragraph" w:styleId="22">
    <w:name w:val="Plain Text"/>
    <w:basedOn w:val="1"/>
    <w:link w:val="79"/>
    <w:qFormat/>
    <w:uiPriority w:val="0"/>
    <w:rPr>
      <w:rFonts w:ascii="宋体" w:hAnsi="Courier New"/>
      <w:szCs w:val="20"/>
    </w:rPr>
  </w:style>
  <w:style w:type="paragraph" w:styleId="23">
    <w:name w:val="Date"/>
    <w:basedOn w:val="1"/>
    <w:next w:val="1"/>
    <w:link w:val="65"/>
    <w:qFormat/>
    <w:uiPriority w:val="0"/>
    <w:pPr>
      <w:ind w:left="2500" w:leftChars="2500"/>
    </w:pPr>
    <w:rPr>
      <w:rFonts w:ascii="仿宋_GB2312" w:eastAsia="仿宋_GB2312" w:hAnsiTheme="minorHAnsi" w:cstheme="minorBidi"/>
      <w:sz w:val="24"/>
    </w:rPr>
  </w:style>
  <w:style w:type="paragraph" w:styleId="24">
    <w:name w:val="Body Text Indent 2"/>
    <w:basedOn w:val="1"/>
    <w:link w:val="73"/>
    <w:qFormat/>
    <w:uiPriority w:val="0"/>
    <w:pPr>
      <w:spacing w:line="300" w:lineRule="auto"/>
      <w:ind w:left="257" w:leftChars="257" w:hanging="480" w:hangingChars="200"/>
    </w:pPr>
    <w:rPr>
      <w:rFonts w:ascii="仿宋_GB2312" w:eastAsia="仿宋_GB2312" w:hAnsiTheme="minorHAnsi" w:cstheme="minorBidi"/>
      <w:color w:val="000000"/>
      <w:sz w:val="24"/>
    </w:rPr>
  </w:style>
  <w:style w:type="paragraph" w:styleId="25">
    <w:name w:val="Balloon Text"/>
    <w:basedOn w:val="1"/>
    <w:link w:val="82"/>
    <w:semiHidden/>
    <w:qFormat/>
    <w:uiPriority w:val="99"/>
    <w:rPr>
      <w:rFonts w:asciiTheme="minorHAnsi" w:hAnsiTheme="minorHAnsi" w:eastAsiaTheme="minorEastAsia" w:cstheme="minorBidi"/>
      <w:sz w:val="18"/>
      <w:szCs w:val="18"/>
    </w:rPr>
  </w:style>
  <w:style w:type="paragraph" w:styleId="26">
    <w:name w:val="footer"/>
    <w:basedOn w:val="1"/>
    <w:link w:val="45"/>
    <w:unhideWhenUsed/>
    <w:qFormat/>
    <w:uiPriority w:val="99"/>
    <w:pPr>
      <w:tabs>
        <w:tab w:val="center" w:pos="4153"/>
        <w:tab w:val="right" w:pos="8306"/>
      </w:tabs>
      <w:snapToGrid w:val="0"/>
      <w:jc w:val="left"/>
    </w:pPr>
    <w:rPr>
      <w:sz w:val="18"/>
      <w:szCs w:val="18"/>
    </w:rPr>
  </w:style>
  <w:style w:type="paragraph" w:styleId="27">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semiHidden/>
    <w:qFormat/>
    <w:uiPriority w:val="0"/>
    <w:pPr>
      <w:numPr>
        <w:ilvl w:val="0"/>
        <w:numId w:val="3"/>
      </w:numPr>
      <w:spacing w:line="440" w:lineRule="exact"/>
      <w:outlineLvl w:val="2"/>
    </w:pPr>
    <w:rPr>
      <w:rFonts w:ascii="宋体" w:hAnsi="宋体"/>
      <w:b/>
      <w:bCs/>
      <w:caps/>
      <w:sz w:val="24"/>
    </w:rPr>
  </w:style>
  <w:style w:type="paragraph" w:styleId="29">
    <w:name w:val="Body Text Indent 3"/>
    <w:basedOn w:val="1"/>
    <w:link w:val="75"/>
    <w:qFormat/>
    <w:uiPriority w:val="0"/>
    <w:pPr>
      <w:snapToGrid w:val="0"/>
      <w:spacing w:line="500" w:lineRule="exact"/>
      <w:ind w:firstLine="480" w:firstLineChars="200"/>
    </w:pPr>
    <w:rPr>
      <w:rFonts w:ascii="Arial" w:hAnsi="Arial" w:eastAsia="仿宋_GB2312" w:cstheme="minorBidi"/>
      <w:sz w:val="24"/>
    </w:rPr>
  </w:style>
  <w:style w:type="paragraph" w:styleId="30">
    <w:name w:val="toc 2"/>
    <w:basedOn w:val="1"/>
    <w:next w:val="1"/>
    <w:qFormat/>
    <w:uiPriority w:val="39"/>
    <w:pPr>
      <w:tabs>
        <w:tab w:val="left" w:pos="1470"/>
        <w:tab w:val="right" w:leader="dot" w:pos="8647"/>
      </w:tabs>
      <w:ind w:left="210" w:firstLine="448"/>
      <w:jc w:val="left"/>
      <w:outlineLvl w:val="1"/>
    </w:pPr>
    <w:rPr>
      <w:rFonts w:hAnsi="宋体"/>
      <w:b/>
      <w:smallCaps/>
      <w:sz w:val="20"/>
      <w:szCs w:val="20"/>
    </w:rPr>
  </w:style>
  <w:style w:type="paragraph" w:styleId="31">
    <w:name w:val="Body Text 2"/>
    <w:basedOn w:val="1"/>
    <w:link w:val="71"/>
    <w:qFormat/>
    <w:uiPriority w:val="0"/>
    <w:pPr>
      <w:spacing w:after="120" w:line="480" w:lineRule="auto"/>
    </w:pPr>
    <w:rPr>
      <w:rFonts w:asciiTheme="minorHAnsi" w:hAnsiTheme="minorHAnsi" w:eastAsiaTheme="minorEastAsia" w:cstheme="minorBidi"/>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3">
    <w:name w:val="annotation subject"/>
    <w:basedOn w:val="15"/>
    <w:next w:val="15"/>
    <w:link w:val="80"/>
    <w:semiHidden/>
    <w:qFormat/>
    <w:uiPriority w:val="99"/>
    <w:rPr>
      <w:b/>
      <w:bCs/>
    </w:rPr>
  </w:style>
  <w:style w:type="paragraph" w:styleId="34">
    <w:name w:val="Body Text First Indent"/>
    <w:basedOn w:val="2"/>
    <w:link w:val="67"/>
    <w:qFormat/>
    <w:uiPriority w:val="0"/>
    <w:pPr>
      <w:ind w:firstLine="420" w:firstLineChars="100"/>
    </w:pPr>
  </w:style>
  <w:style w:type="paragraph" w:styleId="35">
    <w:name w:val="Body Text First Indent 2"/>
    <w:basedOn w:val="19"/>
    <w:link w:val="69"/>
    <w:qFormat/>
    <w:uiPriority w:val="0"/>
    <w:pPr>
      <w:spacing w:before="0" w:after="120"/>
      <w:ind w:left="200" w:leftChars="200" w:firstLine="420"/>
    </w:pPr>
    <w:rPr>
      <w:sz w:val="21"/>
    </w:r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20"/>
    <w:rPr>
      <w:color w:val="CC0000"/>
    </w:rPr>
  </w:style>
  <w:style w:type="character" w:styleId="42">
    <w:name w:val="Hyperlink"/>
    <w:qFormat/>
    <w:uiPriority w:val="99"/>
    <w:rPr>
      <w:color w:val="0000FF"/>
      <w:u w:val="single"/>
    </w:rPr>
  </w:style>
  <w:style w:type="character" w:styleId="43">
    <w:name w:val="annotation reference"/>
    <w:semiHidden/>
    <w:qFormat/>
    <w:uiPriority w:val="99"/>
    <w:rPr>
      <w:sz w:val="21"/>
      <w:szCs w:val="21"/>
    </w:rPr>
  </w:style>
  <w:style w:type="character" w:customStyle="1" w:styleId="44">
    <w:name w:val="页眉 字符"/>
    <w:basedOn w:val="38"/>
    <w:link w:val="27"/>
    <w:qFormat/>
    <w:uiPriority w:val="99"/>
    <w:rPr>
      <w:sz w:val="18"/>
      <w:szCs w:val="18"/>
    </w:rPr>
  </w:style>
  <w:style w:type="character" w:customStyle="1" w:styleId="45">
    <w:name w:val="页脚 字符"/>
    <w:basedOn w:val="38"/>
    <w:link w:val="26"/>
    <w:qFormat/>
    <w:uiPriority w:val="99"/>
    <w:rPr>
      <w:sz w:val="18"/>
      <w:szCs w:val="18"/>
    </w:rPr>
  </w:style>
  <w:style w:type="character" w:customStyle="1" w:styleId="46">
    <w:name w:val="标题 1 字符"/>
    <w:basedOn w:val="38"/>
    <w:link w:val="3"/>
    <w:qFormat/>
    <w:uiPriority w:val="9"/>
    <w:rPr>
      <w:rFonts w:ascii="Times New Roman" w:hAnsi="Times New Roman" w:eastAsia="宋体" w:cs="Times New Roman"/>
      <w:kern w:val="44"/>
      <w:sz w:val="30"/>
      <w:szCs w:val="20"/>
    </w:rPr>
  </w:style>
  <w:style w:type="character" w:customStyle="1" w:styleId="47">
    <w:name w:val="标题 2 字符"/>
    <w:basedOn w:val="38"/>
    <w:link w:val="4"/>
    <w:qFormat/>
    <w:uiPriority w:val="9"/>
    <w:rPr>
      <w:rFonts w:ascii="Arial" w:hAnsi="Arial" w:eastAsia="黑体" w:cs="Times New Roman"/>
      <w:b/>
      <w:kern w:val="0"/>
      <w:sz w:val="32"/>
      <w:szCs w:val="20"/>
    </w:rPr>
  </w:style>
  <w:style w:type="character" w:customStyle="1" w:styleId="48">
    <w:name w:val="标题 3 字符"/>
    <w:basedOn w:val="38"/>
    <w:link w:val="6"/>
    <w:qFormat/>
    <w:uiPriority w:val="0"/>
    <w:rPr>
      <w:rFonts w:ascii="Times New Roman" w:hAnsi="Times New Roman" w:eastAsia="宋体" w:cs="Times New Roman"/>
      <w:b/>
      <w:kern w:val="0"/>
      <w:sz w:val="30"/>
      <w:szCs w:val="20"/>
    </w:rPr>
  </w:style>
  <w:style w:type="character" w:customStyle="1" w:styleId="49">
    <w:name w:val="标题 4 字符"/>
    <w:basedOn w:val="38"/>
    <w:link w:val="7"/>
    <w:qFormat/>
    <w:uiPriority w:val="0"/>
    <w:rPr>
      <w:rFonts w:ascii="Arial" w:hAnsi="Arial" w:eastAsia="黑体" w:cs="Times New Roman"/>
      <w:b/>
      <w:bCs/>
      <w:kern w:val="0"/>
      <w:sz w:val="28"/>
      <w:szCs w:val="28"/>
    </w:rPr>
  </w:style>
  <w:style w:type="character" w:customStyle="1" w:styleId="50">
    <w:name w:val="标题 5 字符"/>
    <w:basedOn w:val="38"/>
    <w:link w:val="8"/>
    <w:qFormat/>
    <w:uiPriority w:val="0"/>
    <w:rPr>
      <w:rFonts w:ascii="Times New Roman" w:hAnsi="Times New Roman" w:eastAsia="宋体" w:cs="Times New Roman"/>
      <w:b/>
      <w:bCs/>
      <w:kern w:val="0"/>
      <w:sz w:val="28"/>
      <w:szCs w:val="28"/>
    </w:rPr>
  </w:style>
  <w:style w:type="character" w:customStyle="1" w:styleId="51">
    <w:name w:val="标题 6 字符"/>
    <w:basedOn w:val="38"/>
    <w:link w:val="9"/>
    <w:qFormat/>
    <w:uiPriority w:val="0"/>
    <w:rPr>
      <w:rFonts w:ascii="Arial" w:hAnsi="Arial" w:eastAsia="黑体" w:cs="Times New Roman"/>
      <w:b/>
      <w:bCs/>
      <w:kern w:val="0"/>
      <w:sz w:val="24"/>
      <w:szCs w:val="24"/>
    </w:rPr>
  </w:style>
  <w:style w:type="character" w:customStyle="1" w:styleId="52">
    <w:name w:val="标题 7 字符"/>
    <w:basedOn w:val="38"/>
    <w:link w:val="10"/>
    <w:qFormat/>
    <w:uiPriority w:val="0"/>
    <w:rPr>
      <w:rFonts w:ascii="Times New Roman" w:hAnsi="Times New Roman" w:eastAsia="宋体" w:cs="Times New Roman"/>
      <w:b/>
      <w:bCs/>
      <w:kern w:val="0"/>
      <w:sz w:val="24"/>
      <w:szCs w:val="24"/>
    </w:rPr>
  </w:style>
  <w:style w:type="character" w:customStyle="1" w:styleId="53">
    <w:name w:val="标题 8 字符"/>
    <w:basedOn w:val="38"/>
    <w:link w:val="11"/>
    <w:qFormat/>
    <w:uiPriority w:val="0"/>
    <w:rPr>
      <w:rFonts w:ascii="Arial" w:hAnsi="Arial" w:eastAsia="黑体" w:cs="Times New Roman"/>
      <w:kern w:val="0"/>
      <w:sz w:val="24"/>
      <w:szCs w:val="24"/>
    </w:rPr>
  </w:style>
  <w:style w:type="character" w:customStyle="1" w:styleId="54">
    <w:name w:val="标题 9 字符"/>
    <w:basedOn w:val="38"/>
    <w:link w:val="12"/>
    <w:qFormat/>
    <w:uiPriority w:val="0"/>
    <w:rPr>
      <w:rFonts w:ascii="Arial" w:hAnsi="Arial" w:eastAsia="黑体" w:cs="Times New Roman"/>
      <w:kern w:val="0"/>
      <w:szCs w:val="21"/>
    </w:rPr>
  </w:style>
  <w:style w:type="character" w:customStyle="1" w:styleId="55">
    <w:name w:val="批注文字 字符"/>
    <w:link w:val="15"/>
    <w:semiHidden/>
    <w:qFormat/>
    <w:locked/>
    <w:uiPriority w:val="99"/>
  </w:style>
  <w:style w:type="character" w:customStyle="1" w:styleId="56">
    <w:name w:val="批注文字 Char1"/>
    <w:basedOn w:val="38"/>
    <w:semiHidden/>
    <w:qFormat/>
    <w:uiPriority w:val="99"/>
    <w:rPr>
      <w:rFonts w:ascii="Times New Roman" w:hAnsi="Times New Roman" w:eastAsia="宋体" w:cs="Times New Roman"/>
      <w:szCs w:val="24"/>
    </w:rPr>
  </w:style>
  <w:style w:type="character" w:customStyle="1" w:styleId="57">
    <w:name w:val="页眉 Char1"/>
    <w:basedOn w:val="38"/>
    <w:semiHidden/>
    <w:qFormat/>
    <w:uiPriority w:val="99"/>
    <w:rPr>
      <w:rFonts w:ascii="Times New Roman" w:hAnsi="Times New Roman" w:eastAsia="宋体" w:cs="Times New Roman"/>
      <w:sz w:val="18"/>
      <w:szCs w:val="18"/>
    </w:rPr>
  </w:style>
  <w:style w:type="character" w:customStyle="1" w:styleId="58">
    <w:name w:val="页脚 Char1"/>
    <w:basedOn w:val="38"/>
    <w:semiHidden/>
    <w:qFormat/>
    <w:uiPriority w:val="99"/>
    <w:rPr>
      <w:rFonts w:ascii="Times New Roman" w:hAnsi="Times New Roman" w:eastAsia="宋体" w:cs="Times New Roman"/>
      <w:sz w:val="18"/>
      <w:szCs w:val="18"/>
    </w:rPr>
  </w:style>
  <w:style w:type="character" w:customStyle="1" w:styleId="59">
    <w:name w:val="正文文本 字符"/>
    <w:link w:val="2"/>
    <w:qFormat/>
    <w:locked/>
    <w:uiPriority w:val="0"/>
    <w:rPr>
      <w:szCs w:val="24"/>
    </w:rPr>
  </w:style>
  <w:style w:type="character" w:customStyle="1" w:styleId="60">
    <w:name w:val="正文文本 Char1"/>
    <w:basedOn w:val="38"/>
    <w:semiHidden/>
    <w:qFormat/>
    <w:uiPriority w:val="99"/>
    <w:rPr>
      <w:rFonts w:ascii="Times New Roman" w:hAnsi="Times New Roman" w:eastAsia="宋体" w:cs="Times New Roman"/>
      <w:szCs w:val="24"/>
    </w:rPr>
  </w:style>
  <w:style w:type="character" w:customStyle="1" w:styleId="61">
    <w:name w:val="正文文本缩进 字符"/>
    <w:link w:val="19"/>
    <w:qFormat/>
    <w:locked/>
    <w:uiPriority w:val="0"/>
    <w:rPr>
      <w:color w:val="000000"/>
      <w:sz w:val="24"/>
      <w:szCs w:val="24"/>
    </w:rPr>
  </w:style>
  <w:style w:type="character" w:customStyle="1" w:styleId="62">
    <w:name w:val="正文文本缩进 Char1"/>
    <w:basedOn w:val="38"/>
    <w:semiHidden/>
    <w:qFormat/>
    <w:uiPriority w:val="99"/>
    <w:rPr>
      <w:rFonts w:ascii="Times New Roman" w:hAnsi="Times New Roman" w:eastAsia="宋体" w:cs="Times New Roman"/>
      <w:szCs w:val="24"/>
    </w:rPr>
  </w:style>
  <w:style w:type="character" w:customStyle="1" w:styleId="63">
    <w:name w:val="称呼 字符"/>
    <w:link w:val="16"/>
    <w:qFormat/>
    <w:locked/>
    <w:uiPriority w:val="0"/>
  </w:style>
  <w:style w:type="character" w:customStyle="1" w:styleId="64">
    <w:name w:val="称呼 Char1"/>
    <w:basedOn w:val="38"/>
    <w:semiHidden/>
    <w:qFormat/>
    <w:uiPriority w:val="99"/>
    <w:rPr>
      <w:rFonts w:ascii="Times New Roman" w:hAnsi="Times New Roman" w:eastAsia="宋体" w:cs="Times New Roman"/>
      <w:szCs w:val="24"/>
    </w:rPr>
  </w:style>
  <w:style w:type="character" w:customStyle="1" w:styleId="65">
    <w:name w:val="日期 字符"/>
    <w:link w:val="23"/>
    <w:qFormat/>
    <w:locked/>
    <w:uiPriority w:val="0"/>
    <w:rPr>
      <w:rFonts w:ascii="仿宋_GB2312" w:eastAsia="仿宋_GB2312"/>
      <w:sz w:val="24"/>
      <w:szCs w:val="24"/>
    </w:rPr>
  </w:style>
  <w:style w:type="character" w:customStyle="1" w:styleId="66">
    <w:name w:val="日期 Char1"/>
    <w:basedOn w:val="38"/>
    <w:semiHidden/>
    <w:qFormat/>
    <w:uiPriority w:val="99"/>
    <w:rPr>
      <w:rFonts w:ascii="Times New Roman" w:hAnsi="Times New Roman" w:eastAsia="宋体" w:cs="Times New Roman"/>
      <w:szCs w:val="24"/>
    </w:rPr>
  </w:style>
  <w:style w:type="character" w:customStyle="1" w:styleId="67">
    <w:name w:val="正文首行缩进 字符"/>
    <w:basedOn w:val="59"/>
    <w:link w:val="34"/>
    <w:qFormat/>
    <w:locked/>
    <w:uiPriority w:val="0"/>
    <w:rPr>
      <w:szCs w:val="24"/>
    </w:rPr>
  </w:style>
  <w:style w:type="character" w:customStyle="1" w:styleId="68">
    <w:name w:val="正文首行缩进 Char1"/>
    <w:basedOn w:val="60"/>
    <w:semiHidden/>
    <w:qFormat/>
    <w:uiPriority w:val="99"/>
    <w:rPr>
      <w:rFonts w:ascii="Times New Roman" w:hAnsi="Times New Roman" w:eastAsia="宋体" w:cs="Times New Roman"/>
      <w:szCs w:val="24"/>
    </w:rPr>
  </w:style>
  <w:style w:type="character" w:customStyle="1" w:styleId="69">
    <w:name w:val="正文首行缩进 2 字符"/>
    <w:link w:val="35"/>
    <w:qFormat/>
    <w:locked/>
    <w:uiPriority w:val="0"/>
    <w:rPr>
      <w:color w:val="000000"/>
      <w:szCs w:val="24"/>
    </w:rPr>
  </w:style>
  <w:style w:type="character" w:customStyle="1" w:styleId="70">
    <w:name w:val="正文首行缩进 2 Char1"/>
    <w:basedOn w:val="62"/>
    <w:semiHidden/>
    <w:qFormat/>
    <w:uiPriority w:val="99"/>
    <w:rPr>
      <w:rFonts w:ascii="Times New Roman" w:hAnsi="Times New Roman" w:eastAsia="宋体" w:cs="Times New Roman"/>
      <w:szCs w:val="24"/>
    </w:rPr>
  </w:style>
  <w:style w:type="character" w:customStyle="1" w:styleId="71">
    <w:name w:val="正文文本 2 字符"/>
    <w:link w:val="31"/>
    <w:qFormat/>
    <w:locked/>
    <w:uiPriority w:val="0"/>
    <w:rPr>
      <w:szCs w:val="24"/>
    </w:rPr>
  </w:style>
  <w:style w:type="character" w:customStyle="1" w:styleId="72">
    <w:name w:val="正文文本 2 Char1"/>
    <w:basedOn w:val="38"/>
    <w:semiHidden/>
    <w:qFormat/>
    <w:uiPriority w:val="99"/>
    <w:rPr>
      <w:rFonts w:ascii="Times New Roman" w:hAnsi="Times New Roman" w:eastAsia="宋体" w:cs="Times New Roman"/>
      <w:szCs w:val="24"/>
    </w:rPr>
  </w:style>
  <w:style w:type="character" w:customStyle="1" w:styleId="73">
    <w:name w:val="正文文本缩进 2 字符"/>
    <w:link w:val="24"/>
    <w:qFormat/>
    <w:locked/>
    <w:uiPriority w:val="0"/>
    <w:rPr>
      <w:rFonts w:ascii="仿宋_GB2312" w:eastAsia="仿宋_GB2312"/>
      <w:color w:val="000000"/>
      <w:sz w:val="24"/>
      <w:szCs w:val="24"/>
    </w:rPr>
  </w:style>
  <w:style w:type="character" w:customStyle="1" w:styleId="74">
    <w:name w:val="正文文本缩进 2 Char1"/>
    <w:basedOn w:val="38"/>
    <w:semiHidden/>
    <w:qFormat/>
    <w:uiPriority w:val="99"/>
    <w:rPr>
      <w:rFonts w:ascii="Times New Roman" w:hAnsi="Times New Roman" w:eastAsia="宋体" w:cs="Times New Roman"/>
      <w:szCs w:val="24"/>
    </w:rPr>
  </w:style>
  <w:style w:type="character" w:customStyle="1" w:styleId="75">
    <w:name w:val="正文文本缩进 3 字符"/>
    <w:link w:val="29"/>
    <w:qFormat/>
    <w:locked/>
    <w:uiPriority w:val="0"/>
    <w:rPr>
      <w:rFonts w:ascii="Arial" w:hAnsi="Arial" w:eastAsia="仿宋_GB2312"/>
      <w:sz w:val="24"/>
      <w:szCs w:val="24"/>
    </w:rPr>
  </w:style>
  <w:style w:type="character" w:customStyle="1" w:styleId="76">
    <w:name w:val="正文文本缩进 3 Char1"/>
    <w:basedOn w:val="38"/>
    <w:semiHidden/>
    <w:qFormat/>
    <w:uiPriority w:val="99"/>
    <w:rPr>
      <w:rFonts w:ascii="Times New Roman" w:hAnsi="Times New Roman" w:eastAsia="宋体" w:cs="Times New Roman"/>
      <w:sz w:val="16"/>
      <w:szCs w:val="16"/>
    </w:rPr>
  </w:style>
  <w:style w:type="character" w:customStyle="1" w:styleId="77">
    <w:name w:val="文档结构图 字符"/>
    <w:link w:val="13"/>
    <w:semiHidden/>
    <w:qFormat/>
    <w:locked/>
    <w:uiPriority w:val="0"/>
    <w:rPr>
      <w:szCs w:val="24"/>
      <w:shd w:val="clear" w:color="auto" w:fill="000080"/>
    </w:rPr>
  </w:style>
  <w:style w:type="character" w:customStyle="1" w:styleId="78">
    <w:name w:val="文档结构图 Char1"/>
    <w:basedOn w:val="38"/>
    <w:semiHidden/>
    <w:qFormat/>
    <w:uiPriority w:val="99"/>
    <w:rPr>
      <w:rFonts w:ascii="宋体" w:hAnsi="Times New Roman" w:eastAsia="宋体" w:cs="Times New Roman"/>
      <w:sz w:val="18"/>
      <w:szCs w:val="18"/>
    </w:rPr>
  </w:style>
  <w:style w:type="character" w:customStyle="1" w:styleId="79">
    <w:name w:val="纯文本 字符"/>
    <w:basedOn w:val="38"/>
    <w:link w:val="22"/>
    <w:qFormat/>
    <w:uiPriority w:val="0"/>
    <w:rPr>
      <w:rFonts w:ascii="宋体" w:hAnsi="Courier New" w:eastAsia="宋体" w:cs="Times New Roman"/>
      <w:szCs w:val="20"/>
    </w:rPr>
  </w:style>
  <w:style w:type="character" w:customStyle="1" w:styleId="80">
    <w:name w:val="批注主题 字符"/>
    <w:link w:val="33"/>
    <w:semiHidden/>
    <w:qFormat/>
    <w:locked/>
    <w:uiPriority w:val="99"/>
    <w:rPr>
      <w:b/>
      <w:bCs/>
    </w:rPr>
  </w:style>
  <w:style w:type="character" w:customStyle="1" w:styleId="81">
    <w:name w:val="批注主题 Char1"/>
    <w:basedOn w:val="56"/>
    <w:semiHidden/>
    <w:qFormat/>
    <w:uiPriority w:val="99"/>
    <w:rPr>
      <w:rFonts w:ascii="Times New Roman" w:hAnsi="Times New Roman" w:eastAsia="宋体" w:cs="Times New Roman"/>
      <w:b/>
      <w:bCs/>
      <w:szCs w:val="24"/>
    </w:rPr>
  </w:style>
  <w:style w:type="character" w:customStyle="1" w:styleId="82">
    <w:name w:val="批注框文本 字符"/>
    <w:link w:val="25"/>
    <w:semiHidden/>
    <w:qFormat/>
    <w:locked/>
    <w:uiPriority w:val="99"/>
    <w:rPr>
      <w:sz w:val="18"/>
      <w:szCs w:val="18"/>
    </w:rPr>
  </w:style>
  <w:style w:type="character" w:customStyle="1" w:styleId="83">
    <w:name w:val="批注框文本 Char1"/>
    <w:basedOn w:val="38"/>
    <w:semiHidden/>
    <w:qFormat/>
    <w:uiPriority w:val="99"/>
    <w:rPr>
      <w:rFonts w:ascii="Times New Roman" w:hAnsi="Times New Roman" w:eastAsia="宋体" w:cs="Times New Roman"/>
      <w:sz w:val="18"/>
      <w:szCs w:val="18"/>
    </w:rPr>
  </w:style>
  <w:style w:type="paragraph" w:customStyle="1" w:styleId="84">
    <w:name w:val="(1)"/>
    <w:basedOn w:val="1"/>
    <w:qFormat/>
    <w:uiPriority w:val="0"/>
    <w:pPr>
      <w:snapToGrid w:val="0"/>
      <w:spacing w:line="500" w:lineRule="exact"/>
      <w:ind w:left="100" w:leftChars="100" w:right="100" w:rightChars="100"/>
    </w:pPr>
    <w:rPr>
      <w:rFonts w:ascii="仿宋_GB2312" w:hAnsi="Arial" w:eastAsia="仿宋_GB2312"/>
      <w:sz w:val="24"/>
    </w:rPr>
  </w:style>
  <w:style w:type="paragraph" w:customStyle="1" w:styleId="85">
    <w:name w:val="样式1"/>
    <w:basedOn w:val="1"/>
    <w:qFormat/>
    <w:uiPriority w:val="0"/>
    <w:pPr>
      <w:adjustRightInd w:val="0"/>
      <w:spacing w:line="420" w:lineRule="auto"/>
      <w:jc w:val="center"/>
    </w:pPr>
    <w:rPr>
      <w:rFonts w:ascii="宋体"/>
      <w:kern w:val="0"/>
      <w:sz w:val="24"/>
      <w:szCs w:val="20"/>
    </w:rPr>
  </w:style>
  <w:style w:type="paragraph" w:customStyle="1" w:styleId="86">
    <w:name w:val="1-大标题"/>
    <w:basedOn w:val="1"/>
    <w:qFormat/>
    <w:uiPriority w:val="0"/>
    <w:pPr>
      <w:widowControl/>
      <w:adjustRightInd w:val="0"/>
      <w:snapToGrid w:val="0"/>
      <w:spacing w:before="100" w:beforeAutospacing="1" w:after="100" w:afterAutospacing="1" w:line="300" w:lineRule="auto"/>
      <w:jc w:val="center"/>
    </w:pPr>
    <w:rPr>
      <w:rFonts w:ascii="Times" w:hAnsi="Times" w:eastAsia="黑体"/>
      <w:spacing w:val="20"/>
      <w:kern w:val="0"/>
      <w:sz w:val="40"/>
      <w:szCs w:val="20"/>
    </w:rPr>
  </w:style>
  <w:style w:type="paragraph" w:customStyle="1" w:styleId="87">
    <w:name w:val="样式 四号 首行缩进:  1.01 厘米"/>
    <w:basedOn w:val="1"/>
    <w:qFormat/>
    <w:uiPriority w:val="0"/>
    <w:pPr>
      <w:numPr>
        <w:ilvl w:val="0"/>
        <w:numId w:val="4"/>
      </w:numPr>
    </w:pPr>
    <w:rPr>
      <w:sz w:val="28"/>
      <w:szCs w:val="20"/>
    </w:rPr>
  </w:style>
  <w:style w:type="paragraph" w:customStyle="1" w:styleId="88">
    <w:name w:val="样式 标题 1H1合同标题 + 小三"/>
    <w:basedOn w:val="3"/>
    <w:qFormat/>
    <w:uiPriority w:val="0"/>
    <w:pPr>
      <w:widowControl/>
      <w:numPr>
        <w:numId w:val="5"/>
      </w:numPr>
      <w:tabs>
        <w:tab w:val="left" w:pos="432"/>
      </w:tabs>
      <w:snapToGrid w:val="0"/>
      <w:spacing w:after="240" w:line="240" w:lineRule="atLeast"/>
    </w:pPr>
    <w:rPr>
      <w:rFonts w:eastAsia="黑体"/>
      <w:b/>
      <w:bCs/>
      <w:spacing w:val="10"/>
      <w:kern w:val="2"/>
    </w:rPr>
  </w:style>
  <w:style w:type="paragraph" w:customStyle="1" w:styleId="89">
    <w:name w:val="小标题"/>
    <w:basedOn w:val="1"/>
    <w:next w:val="5"/>
    <w:qFormat/>
    <w:uiPriority w:val="0"/>
    <w:pPr>
      <w:numPr>
        <w:ilvl w:val="0"/>
        <w:numId w:val="6"/>
      </w:numPr>
      <w:spacing w:line="360" w:lineRule="auto"/>
    </w:pPr>
    <w:rPr>
      <w:b/>
    </w:rPr>
  </w:style>
  <w:style w:type="paragraph" w:customStyle="1" w:styleId="90">
    <w:name w:val="USE 1"/>
    <w:basedOn w:val="1"/>
    <w:qFormat/>
    <w:uiPriority w:val="0"/>
    <w:pPr>
      <w:spacing w:line="200" w:lineRule="atLeast"/>
      <w:jc w:val="left"/>
    </w:pPr>
    <w:rPr>
      <w:rFonts w:ascii="宋体" w:hAnsi="宋体"/>
      <w:b/>
      <w:sz w:val="24"/>
      <w:szCs w:val="28"/>
    </w:rPr>
  </w:style>
  <w:style w:type="paragraph" w:customStyle="1" w:styleId="91">
    <w:name w:val="p_margin"/>
    <w:qFormat/>
    <w:uiPriority w:val="0"/>
    <w:pPr>
      <w:tabs>
        <w:tab w:val="left" w:pos="-720"/>
      </w:tabs>
      <w:suppressAutoHyphens/>
      <w:jc w:val="both"/>
    </w:pPr>
    <w:rPr>
      <w:rFonts w:ascii="CG Times" w:hAnsi="CG Times" w:eastAsia="宋体" w:cs="Times New Roman"/>
      <w:spacing w:val="-3"/>
      <w:sz w:val="24"/>
      <w:lang w:val="en-US" w:eastAsia="en-US" w:bidi="ar-SA"/>
    </w:rPr>
  </w:style>
  <w:style w:type="paragraph" w:customStyle="1" w:styleId="92">
    <w:name w:val="Char1 Char Char Char"/>
    <w:basedOn w:val="1"/>
    <w:qFormat/>
    <w:uiPriority w:val="0"/>
    <w:pPr>
      <w:spacing w:line="360" w:lineRule="auto"/>
      <w:ind w:firstLine="200" w:firstLineChars="200"/>
    </w:pPr>
    <w:rPr>
      <w:rFonts w:ascii="宋体" w:hAnsi="宋体" w:cs="宋体"/>
      <w:sz w:val="24"/>
    </w:rPr>
  </w:style>
  <w:style w:type="paragraph" w:customStyle="1" w:styleId="93">
    <w:name w:val="默认段落字体 Para Char"/>
    <w:basedOn w:val="1"/>
    <w:qFormat/>
    <w:uiPriority w:val="0"/>
    <w:rPr>
      <w:sz w:val="24"/>
    </w:rPr>
  </w:style>
  <w:style w:type="character" w:customStyle="1" w:styleId="94">
    <w:name w:val="正 文 1 Char1"/>
    <w:semiHidden/>
    <w:qFormat/>
    <w:locked/>
    <w:uiPriority w:val="0"/>
    <w:rPr>
      <w:rFonts w:ascii="宋体" w:hAnsi="Courier New" w:eastAsia="宋体"/>
      <w:kern w:val="2"/>
      <w:sz w:val="21"/>
      <w:lang w:val="en-US" w:eastAsia="zh-CN" w:bidi="ar-SA"/>
    </w:rPr>
  </w:style>
  <w:style w:type="character" w:customStyle="1" w:styleId="95">
    <w:name w:val="节标题 1.1 Char"/>
    <w:qFormat/>
    <w:locked/>
    <w:uiPriority w:val="0"/>
    <w:rPr>
      <w:rFonts w:ascii="Arial" w:hAnsi="Arial" w:eastAsia="黑体"/>
      <w:b/>
      <w:sz w:val="32"/>
      <w:lang w:val="en-US" w:eastAsia="zh-CN" w:bidi="ar-SA"/>
    </w:rPr>
  </w:style>
  <w:style w:type="character" w:customStyle="1" w:styleId="96">
    <w:name w:val="Char Char8"/>
    <w:qFormat/>
    <w:locked/>
    <w:uiPriority w:val="0"/>
    <w:rPr>
      <w:rFonts w:ascii="仿宋_GB2312" w:eastAsia="仿宋_GB2312"/>
      <w:kern w:val="2"/>
      <w:sz w:val="24"/>
      <w:szCs w:val="24"/>
      <w:lang w:bidi="ar-SA"/>
    </w:rPr>
  </w:style>
  <w:style w:type="character" w:customStyle="1" w:styleId="97">
    <w:name w:val="条标题1.1.1 Char1"/>
    <w:qFormat/>
    <w:locked/>
    <w:uiPriority w:val="0"/>
    <w:rPr>
      <w:rFonts w:eastAsia="宋体"/>
      <w:b/>
      <w:sz w:val="30"/>
      <w:lang w:val="en-US" w:eastAsia="zh-CN" w:bidi="ar-SA"/>
    </w:rPr>
  </w:style>
  <w:style w:type="paragraph" w:customStyle="1" w:styleId="98">
    <w:name w:val="Char"/>
    <w:basedOn w:val="1"/>
    <w:qFormat/>
    <w:uiPriority w:val="0"/>
  </w:style>
  <w:style w:type="paragraph" w:customStyle="1" w:styleId="99">
    <w:name w:val="样式2"/>
    <w:basedOn w:val="1"/>
    <w:link w:val="104"/>
    <w:qFormat/>
    <w:uiPriority w:val="0"/>
    <w:pPr>
      <w:numPr>
        <w:ilvl w:val="0"/>
        <w:numId w:val="7"/>
      </w:numPr>
      <w:spacing w:line="360" w:lineRule="auto"/>
      <w:ind w:left="0" w:firstLine="566" w:firstLineChars="236"/>
      <w:jc w:val="left"/>
    </w:pPr>
    <w:rPr>
      <w:sz w:val="24"/>
    </w:rPr>
  </w:style>
  <w:style w:type="paragraph" w:customStyle="1" w:styleId="100">
    <w:name w:val="Char Char"/>
    <w:basedOn w:val="1"/>
    <w:qFormat/>
    <w:uiPriority w:val="0"/>
    <w:rPr>
      <w:rFonts w:ascii="Tahoma" w:hAnsi="Tahoma"/>
      <w:sz w:val="24"/>
      <w:szCs w:val="20"/>
    </w:rPr>
  </w:style>
  <w:style w:type="paragraph" w:styleId="101">
    <w:name w:val="List Paragraph"/>
    <w:basedOn w:val="1"/>
    <w:link w:val="103"/>
    <w:qFormat/>
    <w:uiPriority w:val="34"/>
    <w:pPr>
      <w:ind w:firstLine="420" w:firstLineChars="200"/>
    </w:pPr>
  </w:style>
  <w:style w:type="paragraph" w:customStyle="1" w:styleId="102">
    <w:name w:val="TOC 标题1"/>
    <w:basedOn w:val="3"/>
    <w:next w:val="1"/>
    <w:unhideWhenUsed/>
    <w:qFormat/>
    <w:uiPriority w:val="39"/>
    <w:pPr>
      <w:widowControl/>
      <w:numPr>
        <w:numId w:val="0"/>
      </w:numPr>
      <w:adjustRightInd/>
      <w:spacing w:before="480" w:after="0" w:line="276" w:lineRule="auto"/>
      <w:outlineLvl w:val="9"/>
    </w:pPr>
    <w:rPr>
      <w:rFonts w:asciiTheme="majorHAnsi" w:hAnsiTheme="majorHAnsi" w:eastAsiaTheme="majorEastAsia" w:cstheme="majorBidi"/>
      <w:b/>
      <w:bCs/>
      <w:color w:val="376092" w:themeColor="accent1" w:themeShade="BF"/>
      <w:kern w:val="0"/>
      <w:sz w:val="28"/>
      <w:szCs w:val="28"/>
    </w:rPr>
  </w:style>
  <w:style w:type="character" w:customStyle="1" w:styleId="103">
    <w:name w:val="列出段落 字符"/>
    <w:link w:val="101"/>
    <w:qFormat/>
    <w:uiPriority w:val="0"/>
    <w:rPr>
      <w:rFonts w:ascii="Times New Roman" w:hAnsi="Times New Roman" w:eastAsia="宋体" w:cs="Times New Roman"/>
      <w:szCs w:val="24"/>
    </w:rPr>
  </w:style>
  <w:style w:type="character" w:customStyle="1" w:styleId="104">
    <w:name w:val="样式2 Char1"/>
    <w:link w:val="99"/>
    <w:qFormat/>
    <w:uiPriority w:val="0"/>
    <w:rPr>
      <w:rFonts w:ascii="Times New Roman" w:hAnsi="Times New Roman" w:eastAsia="宋体" w:cs="Times New Roman"/>
      <w:sz w:val="24"/>
      <w:szCs w:val="24"/>
    </w:rPr>
  </w:style>
  <w:style w:type="character" w:customStyle="1" w:styleId="105">
    <w:name w:val="纯文本 Char1"/>
    <w:basedOn w:val="38"/>
    <w:semiHidden/>
    <w:qFormat/>
    <w:uiPriority w:val="99"/>
    <w:rPr>
      <w:rFonts w:ascii="宋体" w:hAnsi="Courier New" w:eastAsia="宋体" w:cs="Courier New"/>
      <w:szCs w:val="21"/>
    </w:rPr>
  </w:style>
  <w:style w:type="character" w:customStyle="1" w:styleId="106">
    <w:name w:val="正文文本 3 字符"/>
    <w:basedOn w:val="38"/>
    <w:link w:val="17"/>
    <w:qFormat/>
    <w:uiPriority w:val="0"/>
    <w:rPr>
      <w:rFonts w:ascii="Times New Roman" w:hAnsi="Times New Roman" w:eastAsia="宋体" w:cs="Times New Roman"/>
      <w:sz w:val="16"/>
      <w:szCs w:val="16"/>
    </w:rPr>
  </w:style>
  <w:style w:type="paragraph" w:customStyle="1" w:styleId="107">
    <w:name w:val="Char Char Char Char Char Char1 Char Char Char Char"/>
    <w:basedOn w:val="1"/>
    <w:semiHidden/>
    <w:qFormat/>
    <w:uiPriority w:val="0"/>
    <w:pPr>
      <w:widowControl/>
      <w:spacing w:after="160" w:line="240" w:lineRule="exact"/>
      <w:jc w:val="left"/>
    </w:pPr>
    <w:rPr>
      <w:rFonts w:ascii="Verdana" w:hAnsi="Verdana"/>
      <w:b/>
      <w:bCs/>
      <w:snapToGrid w:val="0"/>
      <w:kern w:val="0"/>
      <w:sz w:val="20"/>
      <w:szCs w:val="20"/>
      <w:lang w:eastAsia="en-US"/>
    </w:rPr>
  </w:style>
  <w:style w:type="paragraph" w:customStyle="1" w:styleId="108">
    <w:name w:val="Default"/>
    <w:next w:val="1"/>
    <w:qFormat/>
    <w:uiPriority w:val="0"/>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7A726-FC65-4E65-B5B9-47CB4505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15006</Words>
  <Characters>15350</Characters>
  <Lines>232</Lines>
  <Paragraphs>65</Paragraphs>
  <TotalTime>23</TotalTime>
  <ScaleCrop>false</ScaleCrop>
  <LinksUpToDate>false</LinksUpToDate>
  <CharactersWithSpaces>15475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2019-07-21T14:45:00Z</dcterms:created>
  <dc:creator>辛颖(xinying)</dc:creator>
  <cp:lastModifiedBy>L</cp:lastModifiedBy>
  <dcterms:modified xsi:type="dcterms:W3CDTF">2026-07-01T03:31:19Z</dcterms:modified>
  <dc:title>任丘深能环保有限公司2026年度飞灰稳定化处理承包合同</dc:title>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F514DE6961EC4E0F84712241E8EA6058_13</vt:lpwstr>
  </property>
  <property fmtid="{D5CDD505-2E9C-101B-9397-08002B2CF9AE}" pid="4" name="KSOTemplateDocerSaveRecord">
    <vt:lpwstr>eyJoZGlkIjoiMDBjNTdjZDFhZThhMmJkZTI0NTRkZGVjZWFjNmYzYTkiLCJ1c2VySWQiOiIxNDg3NDU1MDM2In0=</vt:lpwstr>
  </property>
</Properties>
</file>