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1D6C39">
      <w:pPr>
        <w:widowControl w:val="0"/>
        <w:wordWrap w:val="0"/>
        <w:autoSpaceDE w:val="0"/>
        <w:autoSpaceDN w:val="0"/>
        <w:adjustRightInd w:val="0"/>
        <w:snapToGrid w:val="0"/>
        <w:ind w:firstLine="0" w:firstLineChars="0"/>
        <w:jc w:val="right"/>
        <w:rPr>
          <w:rFonts w:hint="default" w:ascii="宋体" w:hAnsi="宋体" w:eastAsia="宋体"/>
          <w:sz w:val="36"/>
          <w:szCs w:val="36"/>
          <w:lang w:val="en-US" w:eastAsia="zh-CN"/>
        </w:rPr>
      </w:pPr>
      <w:r>
        <w:rPr>
          <w:rFonts w:hint="eastAsia" w:ascii="宋体" w:hAnsi="宋体"/>
          <w:sz w:val="36"/>
          <w:szCs w:val="36"/>
        </w:rPr>
        <w:t xml:space="preserve"> </w:t>
      </w:r>
      <w:bookmarkStart w:id="0" w:name="tip_risk_bookmark_1"/>
      <w:r>
        <w:rPr>
          <w:rFonts w:hint="eastAsia" w:ascii="宋体" w:hAnsi="宋体"/>
          <w:sz w:val="36"/>
          <w:szCs w:val="36"/>
          <w:lang w:val="en-US" w:eastAsia="zh-CN"/>
        </w:rPr>
        <w:t>项目编号：</w:t>
      </w:r>
      <w:bookmarkEnd w:id="0"/>
      <w:r>
        <w:rPr>
          <w:rFonts w:hint="eastAsia" w:ascii="宋体" w:hAnsi="宋体"/>
          <w:sz w:val="36"/>
          <w:szCs w:val="36"/>
          <w:lang w:val="en-US" w:eastAsia="zh-CN"/>
        </w:rPr>
        <w:t xml:space="preserve">         </w:t>
      </w:r>
    </w:p>
    <w:p w14:paraId="34B813B0">
      <w:pPr>
        <w:widowControl w:val="0"/>
        <w:autoSpaceDE w:val="0"/>
        <w:autoSpaceDN w:val="0"/>
        <w:adjustRightInd w:val="0"/>
        <w:snapToGrid w:val="0"/>
        <w:ind w:firstLine="0" w:firstLineChars="0"/>
        <w:rPr>
          <w:rFonts w:hint="eastAsia" w:ascii="宋体" w:hAnsi="宋体"/>
          <w:sz w:val="48"/>
          <w:szCs w:val="48"/>
        </w:rPr>
      </w:pPr>
    </w:p>
    <w:p w14:paraId="6F78DF15">
      <w:pPr>
        <w:widowControl w:val="0"/>
        <w:autoSpaceDE w:val="0"/>
        <w:autoSpaceDN w:val="0"/>
        <w:adjustRightInd w:val="0"/>
        <w:snapToGrid w:val="0"/>
        <w:ind w:firstLine="0" w:firstLineChars="0"/>
        <w:rPr>
          <w:rFonts w:hint="eastAsia" w:ascii="宋体" w:hAnsi="宋体"/>
          <w:sz w:val="48"/>
          <w:szCs w:val="48"/>
        </w:rPr>
      </w:pPr>
    </w:p>
    <w:p w14:paraId="1C560597">
      <w:pPr>
        <w:ind w:firstLine="0" w:firstLineChars="0"/>
        <w:jc w:val="center"/>
        <w:rPr>
          <w:rFonts w:hint="eastAsia" w:ascii="方正小标宋简体" w:hAnsi="方正小标宋简体" w:eastAsia="方正小标宋简体" w:cs="方正小标宋简体"/>
          <w:b/>
          <w:bCs/>
          <w:sz w:val="52"/>
          <w:szCs w:val="52"/>
        </w:rPr>
      </w:pPr>
      <w:bookmarkStart w:id="1" w:name="_Toc7503"/>
      <w:bookmarkStart w:id="2" w:name="_Toc23698"/>
      <w:bookmarkStart w:id="3" w:name="_Toc25572"/>
    </w:p>
    <w:p w14:paraId="2AE61D88">
      <w:pPr>
        <w:ind w:firstLine="0" w:firstLineChars="0"/>
        <w:jc w:val="center"/>
        <w:rPr>
          <w:rFonts w:hint="eastAsia" w:ascii="方正小标宋简体" w:hAnsi="方正小标宋简体" w:eastAsia="方正小标宋简体" w:cs="方正小标宋简体"/>
          <w:b/>
          <w:bCs/>
          <w:sz w:val="52"/>
          <w:szCs w:val="52"/>
        </w:rPr>
      </w:pPr>
    </w:p>
    <w:bookmarkEnd w:id="1"/>
    <w:bookmarkEnd w:id="2"/>
    <w:bookmarkEnd w:id="3"/>
    <w:p w14:paraId="5E204D62">
      <w:pPr>
        <w:ind w:firstLine="0" w:firstLineChars="0"/>
        <w:jc w:val="center"/>
        <w:rPr>
          <w:rFonts w:hint="eastAsia" w:ascii="方正小标宋简体" w:hAnsi="方正小标宋简体" w:eastAsia="方正小标宋简体" w:cs="方正小标宋简体"/>
          <w:b/>
          <w:sz w:val="52"/>
          <w:szCs w:val="52"/>
          <w14:shadow w14:blurRad="50800" w14:dist="38100" w14:dir="2700000" w14:sx="100000" w14:sy="100000" w14:kx="0" w14:ky="0" w14:algn="tl">
            <w14:srgbClr w14:val="000000">
              <w14:alpha w14:val="60000"/>
            </w14:srgbClr>
          </w14:shadow>
        </w:rPr>
      </w:pPr>
      <w:bookmarkStart w:id="4" w:name="_Toc26996"/>
      <w:bookmarkStart w:id="5" w:name="_Toc2672"/>
      <w:bookmarkStart w:id="6" w:name="_Toc24371"/>
      <w:r>
        <w:rPr>
          <w:rFonts w:hint="eastAsia" w:ascii="方正小标宋简体" w:hAnsi="方正小标宋简体" w:eastAsia="方正小标宋简体" w:cs="方正小标宋简体"/>
          <w:b/>
          <w:bCs/>
          <w:sz w:val="52"/>
          <w:szCs w:val="52"/>
          <w:lang w:eastAsia="zh-CN"/>
        </w:rPr>
        <w:t>深圳市</w:t>
      </w:r>
      <w:r>
        <w:rPr>
          <w:rFonts w:hint="eastAsia" w:ascii="方正小标宋简体" w:hAnsi="方正小标宋简体" w:eastAsia="方正小标宋简体" w:cs="方正小标宋简体"/>
          <w:b/>
          <w:bCs/>
          <w:sz w:val="52"/>
          <w:szCs w:val="52"/>
          <w:lang w:val="en-US" w:eastAsia="zh-CN"/>
        </w:rPr>
        <w:t>网羽中心运营管理</w:t>
      </w:r>
      <w:r>
        <w:rPr>
          <w:rFonts w:hint="eastAsia" w:ascii="方正小标宋简体" w:hAnsi="方正小标宋简体" w:eastAsia="方正小标宋简体" w:cs="方正小标宋简体"/>
          <w:b/>
          <w:bCs/>
          <w:sz w:val="52"/>
          <w:szCs w:val="52"/>
          <w:lang w:eastAsia="zh-CN"/>
        </w:rPr>
        <w:t>有限公司</w:t>
      </w:r>
      <w:r>
        <w:rPr>
          <w:rFonts w:hint="eastAsia" w:ascii="方正小标宋简体" w:hAnsi="方正小标宋简体" w:eastAsia="方正小标宋简体" w:cs="方正小标宋简体"/>
          <w:b/>
          <w:bCs/>
          <w:sz w:val="52"/>
          <w:szCs w:val="52"/>
        </w:rPr>
        <w:t>服务类招标文件</w:t>
      </w:r>
      <w:bookmarkEnd w:id="4"/>
      <w:bookmarkEnd w:id="5"/>
      <w:bookmarkEnd w:id="6"/>
    </w:p>
    <w:p w14:paraId="1332F400">
      <w:pPr>
        <w:widowControl w:val="0"/>
        <w:autoSpaceDE w:val="0"/>
        <w:autoSpaceDN w:val="0"/>
        <w:adjustRightInd w:val="0"/>
        <w:snapToGrid w:val="0"/>
        <w:ind w:firstLine="0" w:firstLineChars="0"/>
        <w:rPr>
          <w:rFonts w:hint="eastAsia" w:ascii="宋体" w:hAnsi="宋体"/>
          <w:sz w:val="48"/>
          <w:szCs w:val="48"/>
        </w:rPr>
      </w:pPr>
    </w:p>
    <w:p w14:paraId="798FACFB">
      <w:pPr>
        <w:widowControl w:val="0"/>
        <w:autoSpaceDE w:val="0"/>
        <w:autoSpaceDN w:val="0"/>
        <w:adjustRightInd w:val="0"/>
        <w:snapToGrid w:val="0"/>
        <w:ind w:firstLine="0" w:firstLineChars="0"/>
        <w:rPr>
          <w:rFonts w:hint="eastAsia" w:ascii="宋体" w:hAnsi="宋体"/>
          <w:sz w:val="48"/>
          <w:szCs w:val="48"/>
        </w:rPr>
      </w:pPr>
    </w:p>
    <w:tbl>
      <w:tblPr>
        <w:tblStyle w:val="51"/>
        <w:tblW w:w="8856" w:type="dxa"/>
        <w:tblInd w:w="0" w:type="dxa"/>
        <w:tblLayout w:type="fixed"/>
        <w:tblCellMar>
          <w:top w:w="0" w:type="dxa"/>
          <w:left w:w="108" w:type="dxa"/>
          <w:bottom w:w="0" w:type="dxa"/>
          <w:right w:w="108" w:type="dxa"/>
        </w:tblCellMar>
      </w:tblPr>
      <w:tblGrid>
        <w:gridCol w:w="2173"/>
        <w:gridCol w:w="6683"/>
      </w:tblGrid>
      <w:tr w14:paraId="13526149">
        <w:tc>
          <w:tcPr>
            <w:tcW w:w="2173" w:type="dxa"/>
            <w:vAlign w:val="center"/>
          </w:tcPr>
          <w:p w14:paraId="6995602F">
            <w:pPr>
              <w:widowControl w:val="0"/>
              <w:autoSpaceDE w:val="0"/>
              <w:autoSpaceDN w:val="0"/>
              <w:adjustRightInd w:val="0"/>
              <w:snapToGrid w:val="0"/>
              <w:ind w:firstLine="0" w:firstLineChars="0"/>
              <w:rPr>
                <w:rFonts w:hint="eastAsia" w:ascii="宋体" w:hAnsi="宋体" w:eastAsia="宋体" w:cs="宋体"/>
                <w:b w:val="0"/>
                <w:bCs/>
                <w:sz w:val="36"/>
                <w:szCs w:val="36"/>
              </w:rPr>
            </w:pPr>
            <w:r>
              <w:rPr>
                <w:rFonts w:hint="eastAsia" w:ascii="宋体" w:hAnsi="宋体" w:eastAsia="宋体" w:cs="宋体"/>
                <w:b w:val="0"/>
                <w:bCs/>
                <w:sz w:val="36"/>
                <w:szCs w:val="36"/>
              </w:rPr>
              <w:t>项目名称：</w:t>
            </w:r>
          </w:p>
        </w:tc>
        <w:tc>
          <w:tcPr>
            <w:tcW w:w="6683" w:type="dxa"/>
            <w:vAlign w:val="center"/>
          </w:tcPr>
          <w:p w14:paraId="621854CA">
            <w:pPr>
              <w:widowControl w:val="0"/>
              <w:autoSpaceDE w:val="0"/>
              <w:autoSpaceDN w:val="0"/>
              <w:adjustRightInd w:val="0"/>
              <w:snapToGrid w:val="0"/>
              <w:ind w:firstLine="0" w:firstLineChars="0"/>
              <w:rPr>
                <w:rFonts w:hint="eastAsia" w:ascii="宋体" w:hAnsi="宋体" w:eastAsia="宋体" w:cs="宋体"/>
                <w:b w:val="0"/>
                <w:bCs/>
                <w:sz w:val="36"/>
                <w:szCs w:val="36"/>
                <w:u w:val="single"/>
              </w:rPr>
            </w:pPr>
            <w:r>
              <w:rPr>
                <w:rFonts w:hint="eastAsia" w:ascii="宋体" w:hAnsi="宋体" w:cs="宋体"/>
                <w:bCs/>
                <w:sz w:val="36"/>
                <w:szCs w:val="36"/>
                <w:u w:val="single"/>
              </w:rPr>
              <w:t>深圳</w:t>
            </w:r>
            <w:r>
              <w:rPr>
                <w:rFonts w:hint="eastAsia" w:ascii="宋体" w:hAnsi="宋体" w:cs="宋体"/>
                <w:bCs/>
                <w:sz w:val="36"/>
                <w:szCs w:val="36"/>
                <w:u w:val="single"/>
                <w:lang w:val="en-US" w:eastAsia="zh-CN"/>
              </w:rPr>
              <w:t>市</w:t>
            </w:r>
            <w:r>
              <w:rPr>
                <w:rFonts w:hint="eastAsia" w:ascii="宋体" w:hAnsi="宋体" w:cs="宋体"/>
                <w:bCs/>
                <w:sz w:val="36"/>
                <w:szCs w:val="36"/>
                <w:u w:val="single"/>
              </w:rPr>
              <w:t>网球中心员工食堂</w:t>
            </w:r>
            <w:r>
              <w:rPr>
                <w:rFonts w:hint="eastAsia" w:ascii="宋体" w:hAnsi="宋体" w:cs="宋体"/>
                <w:bCs/>
                <w:sz w:val="36"/>
                <w:szCs w:val="36"/>
                <w:u w:val="single"/>
                <w:lang w:val="en-US" w:eastAsia="zh-CN"/>
              </w:rPr>
              <w:t>服务</w:t>
            </w:r>
          </w:p>
        </w:tc>
      </w:tr>
      <w:tr w14:paraId="341D2750">
        <w:tblPrEx>
          <w:tblCellMar>
            <w:top w:w="0" w:type="dxa"/>
            <w:left w:w="108" w:type="dxa"/>
            <w:bottom w:w="0" w:type="dxa"/>
            <w:right w:w="108" w:type="dxa"/>
          </w:tblCellMar>
        </w:tblPrEx>
        <w:tc>
          <w:tcPr>
            <w:tcW w:w="2173" w:type="dxa"/>
            <w:vAlign w:val="center"/>
          </w:tcPr>
          <w:p w14:paraId="0B14AD04">
            <w:pPr>
              <w:widowControl w:val="0"/>
              <w:autoSpaceDE w:val="0"/>
              <w:autoSpaceDN w:val="0"/>
              <w:adjustRightInd w:val="0"/>
              <w:snapToGrid w:val="0"/>
              <w:ind w:firstLine="0" w:firstLineChars="0"/>
              <w:rPr>
                <w:rFonts w:hint="eastAsia" w:ascii="宋体" w:hAnsi="宋体" w:eastAsia="宋体" w:cs="宋体"/>
                <w:b w:val="0"/>
                <w:bCs/>
                <w:sz w:val="36"/>
                <w:szCs w:val="36"/>
              </w:rPr>
            </w:pPr>
            <w:r>
              <w:rPr>
                <w:rFonts w:hint="eastAsia" w:ascii="宋体" w:hAnsi="宋体" w:eastAsia="宋体" w:cs="宋体"/>
                <w:b w:val="0"/>
                <w:bCs/>
                <w:sz w:val="36"/>
                <w:szCs w:val="36"/>
              </w:rPr>
              <w:t>项目</w:t>
            </w:r>
            <w:r>
              <w:rPr>
                <w:rFonts w:hint="eastAsia" w:ascii="宋体" w:hAnsi="宋体" w:eastAsia="宋体" w:cs="宋体"/>
                <w:b w:val="0"/>
                <w:bCs/>
                <w:sz w:val="36"/>
                <w:szCs w:val="36"/>
                <w:lang w:val="en-US" w:eastAsia="zh-CN"/>
              </w:rPr>
              <w:t>地点</w:t>
            </w:r>
            <w:r>
              <w:rPr>
                <w:rFonts w:hint="eastAsia" w:ascii="宋体" w:hAnsi="宋体" w:eastAsia="宋体" w:cs="宋体"/>
                <w:b w:val="0"/>
                <w:bCs/>
                <w:sz w:val="36"/>
                <w:szCs w:val="36"/>
              </w:rPr>
              <w:t>：</w:t>
            </w:r>
          </w:p>
        </w:tc>
        <w:tc>
          <w:tcPr>
            <w:tcW w:w="6683" w:type="dxa"/>
            <w:vAlign w:val="center"/>
          </w:tcPr>
          <w:p w14:paraId="769EFB5C">
            <w:pPr>
              <w:widowControl w:val="0"/>
              <w:autoSpaceDE w:val="0"/>
              <w:autoSpaceDN w:val="0"/>
              <w:adjustRightInd w:val="0"/>
              <w:snapToGrid w:val="0"/>
              <w:ind w:firstLine="0" w:firstLineChars="0"/>
              <w:rPr>
                <w:rFonts w:hint="default" w:ascii="宋体" w:hAnsi="宋体" w:eastAsia="宋体" w:cs="宋体"/>
                <w:b w:val="0"/>
                <w:bCs/>
                <w:sz w:val="36"/>
                <w:szCs w:val="36"/>
                <w:u w:val="single"/>
                <w:lang w:val="en-US" w:eastAsia="zh-CN"/>
              </w:rPr>
            </w:pPr>
            <w:r>
              <w:rPr>
                <w:rFonts w:hint="eastAsia" w:ascii="宋体" w:hAnsi="宋体" w:cs="宋体"/>
                <w:b w:val="0"/>
                <w:bCs/>
                <w:sz w:val="36"/>
                <w:szCs w:val="36"/>
                <w:u w:val="single"/>
                <w:lang w:val="en-US" w:eastAsia="zh-CN"/>
              </w:rPr>
              <w:t>深圳市网羽中心</w:t>
            </w:r>
          </w:p>
        </w:tc>
      </w:tr>
      <w:tr w14:paraId="73CE97E7">
        <w:tblPrEx>
          <w:tblCellMar>
            <w:top w:w="0" w:type="dxa"/>
            <w:left w:w="108" w:type="dxa"/>
            <w:bottom w:w="0" w:type="dxa"/>
            <w:right w:w="108" w:type="dxa"/>
          </w:tblCellMar>
        </w:tblPrEx>
        <w:tc>
          <w:tcPr>
            <w:tcW w:w="2173" w:type="dxa"/>
            <w:vAlign w:val="center"/>
          </w:tcPr>
          <w:p w14:paraId="1EA32EA9">
            <w:pPr>
              <w:widowControl w:val="0"/>
              <w:autoSpaceDE w:val="0"/>
              <w:autoSpaceDN w:val="0"/>
              <w:adjustRightInd w:val="0"/>
              <w:snapToGrid w:val="0"/>
              <w:ind w:firstLine="0" w:firstLineChars="0"/>
              <w:rPr>
                <w:rFonts w:hint="eastAsia" w:ascii="宋体" w:hAnsi="宋体" w:eastAsia="宋体" w:cs="宋体"/>
                <w:b w:val="0"/>
                <w:bCs/>
                <w:sz w:val="36"/>
                <w:szCs w:val="36"/>
              </w:rPr>
            </w:pPr>
            <w:r>
              <w:rPr>
                <w:rFonts w:hint="eastAsia" w:ascii="宋体" w:hAnsi="宋体" w:eastAsia="宋体" w:cs="宋体"/>
                <w:b w:val="0"/>
                <w:bCs/>
                <w:sz w:val="36"/>
                <w:szCs w:val="36"/>
              </w:rPr>
              <w:t>招标人：</w:t>
            </w:r>
          </w:p>
        </w:tc>
        <w:tc>
          <w:tcPr>
            <w:tcW w:w="6683" w:type="dxa"/>
            <w:vAlign w:val="center"/>
          </w:tcPr>
          <w:p w14:paraId="41863FE1">
            <w:pPr>
              <w:widowControl w:val="0"/>
              <w:autoSpaceDE w:val="0"/>
              <w:autoSpaceDN w:val="0"/>
              <w:adjustRightInd w:val="0"/>
              <w:snapToGrid w:val="0"/>
              <w:ind w:firstLine="0" w:firstLineChars="0"/>
              <w:rPr>
                <w:rFonts w:hint="eastAsia" w:ascii="宋体" w:hAnsi="宋体" w:eastAsia="宋体" w:cs="宋体"/>
                <w:b w:val="0"/>
                <w:bCs/>
                <w:sz w:val="36"/>
                <w:szCs w:val="36"/>
                <w:u w:val="single"/>
              </w:rPr>
            </w:pPr>
            <w:r>
              <w:rPr>
                <w:rFonts w:hint="eastAsia" w:ascii="宋体" w:hAnsi="宋体" w:cs="宋体"/>
                <w:bCs/>
                <w:sz w:val="36"/>
                <w:szCs w:val="36"/>
                <w:u w:val="single"/>
              </w:rPr>
              <w:t>深圳市</w:t>
            </w:r>
            <w:r>
              <w:rPr>
                <w:rFonts w:hint="eastAsia" w:ascii="宋体" w:hAnsi="宋体" w:cs="宋体"/>
                <w:bCs/>
                <w:sz w:val="36"/>
                <w:szCs w:val="36"/>
                <w:u w:val="single"/>
                <w:lang w:eastAsia="zh-CN"/>
              </w:rPr>
              <w:t>网羽中心运营管理</w:t>
            </w:r>
            <w:r>
              <w:rPr>
                <w:rFonts w:hint="eastAsia" w:ascii="宋体" w:hAnsi="宋体" w:cs="宋体"/>
                <w:bCs/>
                <w:sz w:val="36"/>
                <w:szCs w:val="36"/>
                <w:u w:val="single"/>
              </w:rPr>
              <w:t>有限公司</w:t>
            </w:r>
          </w:p>
        </w:tc>
      </w:tr>
    </w:tbl>
    <w:p w14:paraId="315F0E8D">
      <w:pPr>
        <w:widowControl w:val="0"/>
        <w:autoSpaceDE w:val="0"/>
        <w:autoSpaceDN w:val="0"/>
        <w:adjustRightInd w:val="0"/>
        <w:snapToGrid w:val="0"/>
        <w:ind w:firstLine="0" w:firstLineChars="0"/>
        <w:rPr>
          <w:rFonts w:hint="eastAsia" w:ascii="宋体" w:hAnsi="宋体" w:cs="Courier New"/>
          <w:b/>
          <w:bCs/>
          <w:sz w:val="32"/>
          <w:szCs w:val="32"/>
        </w:rPr>
      </w:pPr>
    </w:p>
    <w:p w14:paraId="5813B262">
      <w:pPr>
        <w:ind w:firstLine="420"/>
      </w:pPr>
      <w:bookmarkStart w:id="7" w:name="_Toc144974478"/>
      <w:bookmarkStart w:id="8" w:name="_Toc152042286"/>
      <w:bookmarkStart w:id="9" w:name="_Hlk532133368"/>
    </w:p>
    <w:p w14:paraId="28ACCF66">
      <w:pPr>
        <w:ind w:firstLine="0" w:firstLineChars="0"/>
        <w:jc w:val="center"/>
        <w:rPr>
          <w:b/>
          <w:bCs/>
          <w:sz w:val="28"/>
          <w:szCs w:val="36"/>
        </w:rPr>
      </w:pPr>
      <w:r>
        <w:rPr>
          <w:rFonts w:ascii="宋体" w:hAnsi="宋体" w:cs="Courier New"/>
          <w:b/>
          <w:bCs/>
          <w:sz w:val="28"/>
          <w:szCs w:val="21"/>
        </w:rPr>
        <w:br w:type="page"/>
      </w:r>
      <w:bookmarkEnd w:id="7"/>
      <w:bookmarkEnd w:id="8"/>
      <w:r>
        <w:rPr>
          <w:rFonts w:hint="eastAsia" w:ascii="宋体" w:hAnsi="宋体" w:cs="Courier New"/>
          <w:b/>
          <w:bCs/>
          <w:sz w:val="28"/>
          <w:szCs w:val="21"/>
        </w:rPr>
        <w:t xml:space="preserve"> </w:t>
      </w:r>
      <w:r>
        <w:rPr>
          <w:rFonts w:ascii="宋体" w:hAnsi="宋体"/>
          <w:b/>
          <w:bCs/>
          <w:sz w:val="28"/>
          <w:szCs w:val="36"/>
        </w:rPr>
        <w:t>目</w:t>
      </w:r>
      <w:r>
        <w:rPr>
          <w:rFonts w:hint="eastAsia" w:ascii="宋体" w:hAnsi="宋体"/>
          <w:b/>
          <w:bCs/>
          <w:sz w:val="28"/>
          <w:szCs w:val="36"/>
        </w:rPr>
        <w:t xml:space="preserve">  </w:t>
      </w:r>
      <w:r>
        <w:rPr>
          <w:rFonts w:ascii="宋体" w:hAnsi="宋体"/>
          <w:b/>
          <w:bCs/>
          <w:sz w:val="28"/>
          <w:szCs w:val="36"/>
        </w:rPr>
        <w:t>录</w:t>
      </w:r>
    </w:p>
    <w:p w14:paraId="79A15967">
      <w:pPr>
        <w:pStyle w:val="33"/>
        <w:tabs>
          <w:tab w:val="right" w:leader="dot" w:pos="8307"/>
        </w:tabs>
      </w:pPr>
      <w:r>
        <w:fldChar w:fldCharType="begin"/>
      </w:r>
      <w:r>
        <w:instrText xml:space="preserve">TOC \o "1-3" \h \u </w:instrText>
      </w:r>
      <w:r>
        <w:fldChar w:fldCharType="separate"/>
      </w:r>
      <w:r>
        <w:fldChar w:fldCharType="begin"/>
      </w:r>
      <w:r>
        <w:instrText xml:space="preserve"> HYPERLINK \l "_Toc5568" </w:instrText>
      </w:r>
      <w:r>
        <w:fldChar w:fldCharType="separate"/>
      </w:r>
      <w:r>
        <w:rPr>
          <w:rFonts w:hint="eastAsia"/>
          <w:bCs/>
          <w:szCs w:val="52"/>
        </w:rPr>
        <w:t>第一章 投标人须知</w:t>
      </w:r>
      <w:r>
        <w:tab/>
      </w:r>
      <w:r>
        <w:fldChar w:fldCharType="begin"/>
      </w:r>
      <w:r>
        <w:instrText xml:space="preserve"> PAGEREF _Toc5568 \h </w:instrText>
      </w:r>
      <w:r>
        <w:fldChar w:fldCharType="separate"/>
      </w:r>
      <w:r>
        <w:t>3</w:t>
      </w:r>
      <w:r>
        <w:fldChar w:fldCharType="end"/>
      </w:r>
      <w:r>
        <w:fldChar w:fldCharType="end"/>
      </w:r>
    </w:p>
    <w:p w14:paraId="31EB0386">
      <w:pPr>
        <w:pStyle w:val="42"/>
        <w:tabs>
          <w:tab w:val="right" w:leader="dot" w:pos="8307"/>
        </w:tabs>
        <w:ind w:firstLine="420"/>
      </w:pPr>
      <w:r>
        <w:fldChar w:fldCharType="begin"/>
      </w:r>
      <w:r>
        <w:instrText xml:space="preserve"> HYPERLINK \l "_Toc28933" </w:instrText>
      </w:r>
      <w:r>
        <w:fldChar w:fldCharType="separate"/>
      </w:r>
      <w:r>
        <w:rPr>
          <w:rFonts w:hint="eastAsia"/>
          <w:szCs w:val="32"/>
        </w:rPr>
        <w:t>第一节 投标人须知前附表</w:t>
      </w:r>
      <w:r>
        <w:tab/>
      </w:r>
      <w:r>
        <w:fldChar w:fldCharType="begin"/>
      </w:r>
      <w:r>
        <w:instrText xml:space="preserve"> PAGEREF _Toc28933 \h </w:instrText>
      </w:r>
      <w:r>
        <w:fldChar w:fldCharType="separate"/>
      </w:r>
      <w:r>
        <w:t>4</w:t>
      </w:r>
      <w:r>
        <w:fldChar w:fldCharType="end"/>
      </w:r>
      <w:r>
        <w:fldChar w:fldCharType="end"/>
      </w:r>
    </w:p>
    <w:p w14:paraId="5D38CD89">
      <w:pPr>
        <w:pStyle w:val="42"/>
        <w:tabs>
          <w:tab w:val="right" w:leader="dot" w:pos="8307"/>
        </w:tabs>
        <w:ind w:firstLine="420"/>
      </w:pPr>
      <w:r>
        <w:fldChar w:fldCharType="begin"/>
      </w:r>
      <w:r>
        <w:instrText xml:space="preserve"> HYPERLINK \l "_Toc23669" </w:instrText>
      </w:r>
      <w:r>
        <w:fldChar w:fldCharType="separate"/>
      </w:r>
      <w:r>
        <w:rPr>
          <w:rFonts w:hint="eastAsia"/>
          <w:szCs w:val="32"/>
        </w:rPr>
        <w:t>第二节 否决性条款摘要</w:t>
      </w:r>
      <w:r>
        <w:tab/>
      </w:r>
      <w:r>
        <w:fldChar w:fldCharType="begin"/>
      </w:r>
      <w:r>
        <w:instrText xml:space="preserve"> PAGEREF _Toc23669 \h </w:instrText>
      </w:r>
      <w:r>
        <w:fldChar w:fldCharType="separate"/>
      </w:r>
      <w:r>
        <w:t>10</w:t>
      </w:r>
      <w:r>
        <w:fldChar w:fldCharType="end"/>
      </w:r>
      <w:r>
        <w:fldChar w:fldCharType="end"/>
      </w:r>
    </w:p>
    <w:p w14:paraId="30426ADE">
      <w:pPr>
        <w:pStyle w:val="42"/>
        <w:tabs>
          <w:tab w:val="right" w:leader="dot" w:pos="8307"/>
        </w:tabs>
        <w:ind w:firstLine="420"/>
      </w:pPr>
      <w:r>
        <w:fldChar w:fldCharType="begin"/>
      </w:r>
      <w:r>
        <w:instrText xml:space="preserve"> HYPERLINK \l "_Toc12122" </w:instrText>
      </w:r>
      <w:r>
        <w:fldChar w:fldCharType="separate"/>
      </w:r>
      <w:r>
        <w:rPr>
          <w:rFonts w:hint="eastAsia"/>
          <w:szCs w:val="32"/>
        </w:rPr>
        <w:t>第三节 总则</w:t>
      </w:r>
      <w:r>
        <w:tab/>
      </w:r>
      <w:r>
        <w:fldChar w:fldCharType="begin"/>
      </w:r>
      <w:r>
        <w:instrText xml:space="preserve"> PAGEREF _Toc12122 \h </w:instrText>
      </w:r>
      <w:r>
        <w:fldChar w:fldCharType="separate"/>
      </w:r>
      <w:r>
        <w:t>12</w:t>
      </w:r>
      <w:r>
        <w:fldChar w:fldCharType="end"/>
      </w:r>
      <w:r>
        <w:fldChar w:fldCharType="end"/>
      </w:r>
    </w:p>
    <w:p w14:paraId="775A325E">
      <w:pPr>
        <w:pStyle w:val="33"/>
        <w:tabs>
          <w:tab w:val="right" w:leader="dot" w:pos="8307"/>
        </w:tabs>
      </w:pPr>
      <w:r>
        <w:fldChar w:fldCharType="begin"/>
      </w:r>
      <w:r>
        <w:instrText xml:space="preserve"> HYPERLINK \l "_Toc4157" </w:instrText>
      </w:r>
      <w:r>
        <w:fldChar w:fldCharType="separate"/>
      </w:r>
      <w:r>
        <w:rPr>
          <w:rFonts w:hint="eastAsia"/>
          <w:bCs/>
          <w:szCs w:val="48"/>
        </w:rPr>
        <w:t>第二章 评定标办法（</w:t>
      </w:r>
      <w:r>
        <w:rPr>
          <w:rFonts w:hint="eastAsia"/>
          <w:bCs/>
          <w:szCs w:val="48"/>
          <w:u w:val="single"/>
          <w:lang w:val="en-US" w:eastAsia="zh-CN"/>
        </w:rPr>
        <w:t>综合评分法</w:t>
      </w:r>
      <w:r>
        <w:rPr>
          <w:rFonts w:hint="eastAsia"/>
          <w:bCs/>
          <w:szCs w:val="48"/>
        </w:rPr>
        <w:t>）</w:t>
      </w:r>
      <w:r>
        <w:tab/>
      </w:r>
      <w:r>
        <w:fldChar w:fldCharType="begin"/>
      </w:r>
      <w:r>
        <w:instrText xml:space="preserve"> PAGEREF _Toc4157 \h </w:instrText>
      </w:r>
      <w:r>
        <w:fldChar w:fldCharType="separate"/>
      </w:r>
      <w:r>
        <w:t>21</w:t>
      </w:r>
      <w:r>
        <w:fldChar w:fldCharType="end"/>
      </w:r>
      <w:r>
        <w:fldChar w:fldCharType="end"/>
      </w:r>
    </w:p>
    <w:p w14:paraId="508F8AC9">
      <w:pPr>
        <w:pStyle w:val="42"/>
        <w:tabs>
          <w:tab w:val="right" w:leader="dot" w:pos="8307"/>
        </w:tabs>
        <w:ind w:firstLine="420"/>
      </w:pPr>
      <w:r>
        <w:fldChar w:fldCharType="begin"/>
      </w:r>
      <w:r>
        <w:instrText xml:space="preserve"> HYPERLINK \l "_Toc21837" </w:instrText>
      </w:r>
      <w:r>
        <w:fldChar w:fldCharType="separate"/>
      </w:r>
      <w:r>
        <w:rPr>
          <w:rFonts w:hint="eastAsia"/>
          <w:szCs w:val="32"/>
        </w:rPr>
        <w:t>一、评标须知</w:t>
      </w:r>
      <w:r>
        <w:tab/>
      </w:r>
      <w:r>
        <w:fldChar w:fldCharType="begin"/>
      </w:r>
      <w:r>
        <w:instrText xml:space="preserve"> PAGEREF _Toc21837 \h </w:instrText>
      </w:r>
      <w:r>
        <w:fldChar w:fldCharType="separate"/>
      </w:r>
      <w:r>
        <w:t>22</w:t>
      </w:r>
      <w:r>
        <w:fldChar w:fldCharType="end"/>
      </w:r>
      <w:r>
        <w:fldChar w:fldCharType="end"/>
      </w:r>
    </w:p>
    <w:p w14:paraId="33977C46">
      <w:pPr>
        <w:pStyle w:val="42"/>
        <w:tabs>
          <w:tab w:val="right" w:leader="dot" w:pos="8307"/>
        </w:tabs>
        <w:ind w:firstLine="420"/>
      </w:pPr>
      <w:r>
        <w:fldChar w:fldCharType="begin"/>
      </w:r>
      <w:r>
        <w:instrText xml:space="preserve"> HYPERLINK \l "_Toc12706" </w:instrText>
      </w:r>
      <w:r>
        <w:fldChar w:fldCharType="separate"/>
      </w:r>
      <w:r>
        <w:rPr>
          <w:rFonts w:hint="eastAsia"/>
          <w:szCs w:val="32"/>
        </w:rPr>
        <w:t>二、评标方法</w:t>
      </w:r>
      <w:r>
        <w:rPr>
          <w:rFonts w:hint="eastAsia"/>
        </w:rPr>
        <w:t>（</w:t>
      </w:r>
      <w:r>
        <w:rPr>
          <w:rFonts w:hint="eastAsia"/>
          <w:bCs/>
          <w:szCs w:val="48"/>
          <w:u w:val="single"/>
          <w:lang w:val="en-US" w:eastAsia="zh-CN"/>
        </w:rPr>
        <w:t>综合评分法</w:t>
      </w:r>
      <w:r>
        <w:rPr>
          <w:rFonts w:hint="eastAsia"/>
        </w:rPr>
        <w:t>）</w:t>
      </w:r>
      <w:r>
        <w:tab/>
      </w:r>
      <w:r>
        <w:fldChar w:fldCharType="begin"/>
      </w:r>
      <w:r>
        <w:instrText xml:space="preserve"> PAGEREF _Toc12706 \h </w:instrText>
      </w:r>
      <w:r>
        <w:fldChar w:fldCharType="separate"/>
      </w:r>
      <w:r>
        <w:t>24</w:t>
      </w:r>
      <w:r>
        <w:fldChar w:fldCharType="end"/>
      </w:r>
      <w:r>
        <w:fldChar w:fldCharType="end"/>
      </w:r>
    </w:p>
    <w:p w14:paraId="729A84FA">
      <w:pPr>
        <w:pStyle w:val="33"/>
        <w:tabs>
          <w:tab w:val="right" w:leader="dot" w:pos="8307"/>
        </w:tabs>
      </w:pPr>
      <w:r>
        <w:fldChar w:fldCharType="begin"/>
      </w:r>
      <w:r>
        <w:instrText xml:space="preserve"> HYPERLINK \l "_Toc26859" </w:instrText>
      </w:r>
      <w:r>
        <w:fldChar w:fldCharType="separate"/>
      </w:r>
      <w:r>
        <w:rPr>
          <w:rFonts w:hint="eastAsia"/>
          <w:bCs/>
          <w:szCs w:val="52"/>
        </w:rPr>
        <w:t>第三章 合同条款及格式</w:t>
      </w:r>
      <w:r>
        <w:tab/>
      </w:r>
      <w:r>
        <w:fldChar w:fldCharType="begin"/>
      </w:r>
      <w:r>
        <w:instrText xml:space="preserve"> PAGEREF _Toc26859 \h </w:instrText>
      </w:r>
      <w:r>
        <w:fldChar w:fldCharType="separate"/>
      </w:r>
      <w:r>
        <w:t>33</w:t>
      </w:r>
      <w:r>
        <w:fldChar w:fldCharType="end"/>
      </w:r>
      <w:r>
        <w:fldChar w:fldCharType="end"/>
      </w:r>
    </w:p>
    <w:p w14:paraId="662A4073">
      <w:pPr>
        <w:pStyle w:val="33"/>
        <w:tabs>
          <w:tab w:val="right" w:leader="dot" w:pos="8307"/>
        </w:tabs>
      </w:pPr>
      <w:r>
        <w:fldChar w:fldCharType="begin"/>
      </w:r>
      <w:r>
        <w:instrText xml:space="preserve"> HYPERLINK \l "_Toc29564" </w:instrText>
      </w:r>
      <w:r>
        <w:fldChar w:fldCharType="separate"/>
      </w:r>
      <w:r>
        <w:rPr>
          <w:rFonts w:hint="eastAsia"/>
          <w:szCs w:val="52"/>
        </w:rPr>
        <w:t>第四章 项目需求</w:t>
      </w:r>
      <w:r>
        <w:tab/>
      </w:r>
      <w:r>
        <w:fldChar w:fldCharType="begin"/>
      </w:r>
      <w:r>
        <w:instrText xml:space="preserve"> PAGEREF _Toc29564 \h </w:instrText>
      </w:r>
      <w:r>
        <w:fldChar w:fldCharType="separate"/>
      </w:r>
      <w:r>
        <w:t>42</w:t>
      </w:r>
      <w:r>
        <w:fldChar w:fldCharType="end"/>
      </w:r>
      <w:r>
        <w:fldChar w:fldCharType="end"/>
      </w:r>
    </w:p>
    <w:p w14:paraId="16964E36">
      <w:pPr>
        <w:pStyle w:val="42"/>
        <w:tabs>
          <w:tab w:val="right" w:leader="dot" w:pos="8307"/>
        </w:tabs>
        <w:ind w:firstLine="420"/>
      </w:pPr>
      <w:r>
        <w:fldChar w:fldCharType="begin"/>
      </w:r>
      <w:r>
        <w:instrText xml:space="preserve"> HYPERLINK \l "_Toc32688" </w:instrText>
      </w:r>
      <w:r>
        <w:fldChar w:fldCharType="separate"/>
      </w:r>
      <w:r>
        <w:rPr>
          <w:rFonts w:hint="eastAsia"/>
          <w:bCs/>
          <w:lang w:eastAsia="zh-CN"/>
        </w:rPr>
        <w:t>一、</w:t>
      </w:r>
      <w:r>
        <w:rPr>
          <w:rFonts w:hint="eastAsia"/>
          <w:szCs w:val="32"/>
        </w:rPr>
        <w:t>商务条款</w:t>
      </w:r>
      <w:r>
        <w:tab/>
      </w:r>
      <w:r>
        <w:fldChar w:fldCharType="begin"/>
      </w:r>
      <w:r>
        <w:instrText xml:space="preserve"> PAGEREF _Toc32688 \h </w:instrText>
      </w:r>
      <w:r>
        <w:fldChar w:fldCharType="separate"/>
      </w:r>
      <w:r>
        <w:t>43</w:t>
      </w:r>
      <w:r>
        <w:fldChar w:fldCharType="end"/>
      </w:r>
      <w:r>
        <w:fldChar w:fldCharType="end"/>
      </w:r>
    </w:p>
    <w:p w14:paraId="595FBA76">
      <w:pPr>
        <w:pStyle w:val="42"/>
        <w:tabs>
          <w:tab w:val="right" w:leader="dot" w:pos="8307"/>
        </w:tabs>
        <w:ind w:firstLine="420"/>
      </w:pPr>
      <w:r>
        <w:fldChar w:fldCharType="begin"/>
      </w:r>
      <w:r>
        <w:instrText xml:space="preserve"> HYPERLINK \l "_Toc25061" </w:instrText>
      </w:r>
      <w:r>
        <w:fldChar w:fldCharType="separate"/>
      </w:r>
      <w:r>
        <w:rPr>
          <w:rFonts w:hint="eastAsia"/>
          <w:bCs/>
          <w:szCs w:val="32"/>
          <w:lang w:eastAsia="zh-CN"/>
        </w:rPr>
        <w:t>二、技术条款</w:t>
      </w:r>
      <w:r>
        <w:tab/>
      </w:r>
      <w:r>
        <w:fldChar w:fldCharType="begin"/>
      </w:r>
      <w:r>
        <w:instrText xml:space="preserve"> PAGEREF _Toc25061 \h </w:instrText>
      </w:r>
      <w:r>
        <w:fldChar w:fldCharType="separate"/>
      </w:r>
      <w:r>
        <w:t>44</w:t>
      </w:r>
      <w:r>
        <w:fldChar w:fldCharType="end"/>
      </w:r>
      <w:r>
        <w:fldChar w:fldCharType="end"/>
      </w:r>
    </w:p>
    <w:p w14:paraId="39F873EF">
      <w:pPr>
        <w:pStyle w:val="33"/>
        <w:tabs>
          <w:tab w:val="right" w:leader="dot" w:pos="8307"/>
        </w:tabs>
      </w:pPr>
      <w:r>
        <w:fldChar w:fldCharType="begin"/>
      </w:r>
      <w:r>
        <w:instrText xml:space="preserve"> HYPERLINK \l "_Toc18285" </w:instrText>
      </w:r>
      <w:r>
        <w:fldChar w:fldCharType="separate"/>
      </w:r>
      <w:r>
        <w:rPr>
          <w:rFonts w:hint="eastAsia"/>
          <w:bCs/>
          <w:szCs w:val="52"/>
        </w:rPr>
        <w:t>第五章 投标文件格式</w:t>
      </w:r>
      <w:r>
        <w:tab/>
      </w:r>
      <w:r>
        <w:fldChar w:fldCharType="begin"/>
      </w:r>
      <w:r>
        <w:instrText xml:space="preserve"> PAGEREF _Toc18285 \h </w:instrText>
      </w:r>
      <w:r>
        <w:fldChar w:fldCharType="separate"/>
      </w:r>
      <w:r>
        <w:t>45</w:t>
      </w:r>
      <w:r>
        <w:fldChar w:fldCharType="end"/>
      </w:r>
      <w:r>
        <w:fldChar w:fldCharType="end"/>
      </w:r>
    </w:p>
    <w:p w14:paraId="3AE1A3CF">
      <w:pPr>
        <w:pStyle w:val="42"/>
        <w:tabs>
          <w:tab w:val="right" w:leader="dot" w:pos="8307"/>
        </w:tabs>
        <w:ind w:firstLine="420"/>
      </w:pPr>
      <w:r>
        <w:fldChar w:fldCharType="begin"/>
      </w:r>
      <w:r>
        <w:instrText xml:space="preserve"> HYPERLINK \l "_Toc19088" </w:instrText>
      </w:r>
      <w:r>
        <w:fldChar w:fldCharType="separate"/>
      </w:r>
      <w:r>
        <w:rPr>
          <w:rFonts w:hint="eastAsia"/>
          <w:szCs w:val="44"/>
        </w:rPr>
        <w:t>一</w:t>
      </w:r>
      <w:r>
        <w:rPr>
          <w:szCs w:val="44"/>
        </w:rPr>
        <w:t>、</w:t>
      </w:r>
      <w:r>
        <w:rPr>
          <w:rFonts w:hint="eastAsia"/>
          <w:szCs w:val="44"/>
        </w:rPr>
        <w:t>资格审查文件部分</w:t>
      </w:r>
      <w:r>
        <w:tab/>
      </w:r>
      <w:r>
        <w:fldChar w:fldCharType="begin"/>
      </w:r>
      <w:r>
        <w:instrText xml:space="preserve"> PAGEREF _Toc19088 \h </w:instrText>
      </w:r>
      <w:r>
        <w:fldChar w:fldCharType="separate"/>
      </w:r>
      <w:r>
        <w:t>47</w:t>
      </w:r>
      <w:r>
        <w:fldChar w:fldCharType="end"/>
      </w:r>
      <w:r>
        <w:fldChar w:fldCharType="end"/>
      </w:r>
    </w:p>
    <w:p w14:paraId="3F5F628A">
      <w:pPr>
        <w:pStyle w:val="42"/>
        <w:tabs>
          <w:tab w:val="right" w:leader="dot" w:pos="8307"/>
        </w:tabs>
        <w:ind w:firstLine="420"/>
      </w:pPr>
      <w:r>
        <w:fldChar w:fldCharType="begin"/>
      </w:r>
      <w:r>
        <w:instrText xml:space="preserve"> HYPERLINK \l "_Toc25175" </w:instrText>
      </w:r>
      <w:r>
        <w:fldChar w:fldCharType="separate"/>
      </w:r>
      <w:r>
        <w:rPr>
          <w:rFonts w:hint="eastAsia"/>
          <w:szCs w:val="44"/>
        </w:rPr>
        <w:t>二</w:t>
      </w:r>
      <w:r>
        <w:rPr>
          <w:szCs w:val="44"/>
        </w:rPr>
        <w:t>、</w:t>
      </w:r>
      <w:r>
        <w:rPr>
          <w:rFonts w:hint="eastAsia"/>
          <w:szCs w:val="44"/>
        </w:rPr>
        <w:t>商务标部分</w:t>
      </w:r>
      <w:r>
        <w:tab/>
      </w:r>
      <w:r>
        <w:fldChar w:fldCharType="begin"/>
      </w:r>
      <w:r>
        <w:instrText xml:space="preserve"> PAGEREF _Toc25175 \h </w:instrText>
      </w:r>
      <w:r>
        <w:fldChar w:fldCharType="separate"/>
      </w:r>
      <w:r>
        <w:t>54</w:t>
      </w:r>
      <w:r>
        <w:fldChar w:fldCharType="end"/>
      </w:r>
      <w:r>
        <w:fldChar w:fldCharType="end"/>
      </w:r>
    </w:p>
    <w:p w14:paraId="52BBBCB6">
      <w:pPr>
        <w:pStyle w:val="42"/>
        <w:tabs>
          <w:tab w:val="right" w:leader="dot" w:pos="8307"/>
        </w:tabs>
        <w:ind w:firstLine="420"/>
      </w:pPr>
      <w:r>
        <w:fldChar w:fldCharType="begin"/>
      </w:r>
      <w:r>
        <w:instrText xml:space="preserve"> HYPERLINK \l "_Toc16964" </w:instrText>
      </w:r>
      <w:r>
        <w:fldChar w:fldCharType="separate"/>
      </w:r>
      <w:r>
        <w:rPr>
          <w:rFonts w:hint="eastAsia" w:cs="Courier New"/>
          <w:bCs/>
          <w:szCs w:val="44"/>
        </w:rPr>
        <w:t>三、技术标部分</w:t>
      </w:r>
      <w:r>
        <w:tab/>
      </w:r>
      <w:r>
        <w:fldChar w:fldCharType="begin"/>
      </w:r>
      <w:r>
        <w:instrText xml:space="preserve"> PAGEREF _Toc16964 \h </w:instrText>
      </w:r>
      <w:r>
        <w:fldChar w:fldCharType="separate"/>
      </w:r>
      <w:r>
        <w:t>64</w:t>
      </w:r>
      <w:r>
        <w:fldChar w:fldCharType="end"/>
      </w:r>
      <w:r>
        <w:fldChar w:fldCharType="end"/>
      </w:r>
    </w:p>
    <w:p w14:paraId="5F4F9A0F">
      <w:pPr>
        <w:pStyle w:val="42"/>
        <w:tabs>
          <w:tab w:val="right" w:leader="dot" w:pos="8307"/>
        </w:tabs>
        <w:ind w:firstLine="420"/>
      </w:pPr>
      <w:r>
        <w:fldChar w:fldCharType="begin"/>
      </w:r>
      <w:r>
        <w:instrText xml:space="preserve"> HYPERLINK \l "_Toc17944" </w:instrText>
      </w:r>
      <w:r>
        <w:fldChar w:fldCharType="separate"/>
      </w:r>
      <w:r>
        <w:rPr>
          <w:rFonts w:hint="eastAsia" w:cs="Courier New"/>
          <w:bCs/>
          <w:szCs w:val="44"/>
        </w:rPr>
        <w:t>四</w:t>
      </w:r>
      <w:r>
        <w:rPr>
          <w:rFonts w:cs="Courier New"/>
          <w:bCs/>
          <w:szCs w:val="44"/>
        </w:rPr>
        <w:t>、</w:t>
      </w:r>
      <w:r>
        <w:rPr>
          <w:rFonts w:hint="eastAsia" w:cs="Courier New"/>
          <w:bCs/>
          <w:szCs w:val="44"/>
        </w:rPr>
        <w:t>价格标部分</w:t>
      </w:r>
      <w:r>
        <w:tab/>
      </w:r>
      <w:r>
        <w:fldChar w:fldCharType="begin"/>
      </w:r>
      <w:r>
        <w:instrText xml:space="preserve"> PAGEREF _Toc17944 \h </w:instrText>
      </w:r>
      <w:r>
        <w:fldChar w:fldCharType="separate"/>
      </w:r>
      <w:r>
        <w:t>68</w:t>
      </w:r>
      <w:r>
        <w:fldChar w:fldCharType="end"/>
      </w:r>
      <w:r>
        <w:fldChar w:fldCharType="end"/>
      </w:r>
    </w:p>
    <w:p w14:paraId="45AFE611">
      <w:pPr>
        <w:pStyle w:val="19"/>
        <w:ind w:firstLine="420"/>
      </w:pPr>
      <w:r>
        <w:fldChar w:fldCharType="end"/>
      </w:r>
    </w:p>
    <w:p w14:paraId="0BE44FE8">
      <w:pPr>
        <w:spacing w:line="480" w:lineRule="auto"/>
        <w:ind w:firstLine="420"/>
      </w:pPr>
    </w:p>
    <w:p w14:paraId="487B00B8">
      <w:pPr>
        <w:ind w:firstLine="0" w:firstLineChars="0"/>
        <w:jc w:val="left"/>
        <w:rPr>
          <w:rFonts w:ascii="宋体" w:hAnsi="宋体"/>
          <w:kern w:val="0"/>
          <w:szCs w:val="21"/>
          <w:lang w:eastAsia="en-US"/>
        </w:rPr>
      </w:pPr>
      <w:r>
        <w:fldChar w:fldCharType="begin"/>
      </w:r>
      <w:r>
        <w:instrText xml:space="preserve"> TOC \o "1-2" \h \z \u </w:instrText>
      </w:r>
      <w:r>
        <w:fldChar w:fldCharType="separate"/>
      </w:r>
    </w:p>
    <w:p w14:paraId="1DD942A3">
      <w:pPr>
        <w:pStyle w:val="33"/>
        <w:tabs>
          <w:tab w:val="right" w:leader="dot" w:pos="8640"/>
        </w:tabs>
        <w:rPr>
          <w:rFonts w:cs="宋体"/>
          <w:b/>
          <w:bCs/>
        </w:rPr>
      </w:pPr>
      <w:r>
        <w:rPr>
          <w:rFonts w:cs="宋体"/>
          <w:b/>
          <w:bCs/>
        </w:rPr>
        <w:fldChar w:fldCharType="begin"/>
      </w:r>
      <w:r>
        <w:rPr>
          <w:rFonts w:cs="宋体"/>
          <w:b/>
          <w:bCs/>
        </w:rPr>
        <w:instrText xml:space="preserve">TOC \o "1-2" \h \u </w:instrText>
      </w:r>
      <w:r>
        <w:rPr>
          <w:rFonts w:cs="宋体"/>
          <w:b/>
          <w:bCs/>
        </w:rPr>
        <w:fldChar w:fldCharType="separate"/>
      </w:r>
    </w:p>
    <w:p w14:paraId="3FC5809D">
      <w:pPr>
        <w:pStyle w:val="33"/>
        <w:tabs>
          <w:tab w:val="right" w:leader="dot" w:pos="8640"/>
        </w:tabs>
        <w:rPr>
          <w:snapToGrid w:val="0"/>
          <w:lang w:eastAsia="zh-CN"/>
        </w:rPr>
      </w:pPr>
      <w:r>
        <w:rPr>
          <w:rFonts w:cs="宋体"/>
          <w:b/>
          <w:bCs/>
        </w:rPr>
        <w:fldChar w:fldCharType="end"/>
      </w:r>
      <w:r>
        <w:fldChar w:fldCharType="end"/>
      </w:r>
      <w:r>
        <w:rPr>
          <w:rFonts w:hint="eastAsia"/>
          <w:b/>
          <w:snapToGrid w:val="0"/>
          <w:sz w:val="52"/>
          <w:szCs w:val="52"/>
          <w:lang w:eastAsia="zh-CN"/>
        </w:rPr>
        <w:t xml:space="preserve"> </w:t>
      </w:r>
    </w:p>
    <w:p w14:paraId="37051173">
      <w:pPr>
        <w:widowControl w:val="0"/>
        <w:autoSpaceDE w:val="0"/>
        <w:autoSpaceDN w:val="0"/>
        <w:adjustRightInd w:val="0"/>
        <w:snapToGrid w:val="0"/>
        <w:ind w:firstLine="0" w:firstLineChars="0"/>
        <w:jc w:val="center"/>
        <w:rPr>
          <w:rFonts w:ascii="宋体" w:hAnsi="宋体"/>
          <w:snapToGrid w:val="0"/>
          <w:kern w:val="0"/>
          <w:szCs w:val="21"/>
        </w:rPr>
        <w:sectPr>
          <w:headerReference r:id="rId7" w:type="first"/>
          <w:footerReference r:id="rId10" w:type="first"/>
          <w:headerReference r:id="rId5" w:type="default"/>
          <w:footerReference r:id="rId8" w:type="default"/>
          <w:headerReference r:id="rId6" w:type="even"/>
          <w:footerReference r:id="rId9" w:type="even"/>
          <w:pgSz w:w="11907" w:h="16840"/>
          <w:pgMar w:top="1440" w:right="1800" w:bottom="1440" w:left="1800" w:header="567" w:footer="567" w:gutter="0"/>
          <w:cols w:space="720" w:num="1"/>
          <w:docGrid w:linePitch="312" w:charSpace="0"/>
        </w:sectPr>
      </w:pPr>
    </w:p>
    <w:bookmarkEnd w:id="9"/>
    <w:p w14:paraId="32B58FB9">
      <w:pPr>
        <w:widowControl w:val="0"/>
        <w:tabs>
          <w:tab w:val="left" w:pos="709"/>
        </w:tabs>
        <w:autoSpaceDE w:val="0"/>
        <w:autoSpaceDN w:val="0"/>
        <w:adjustRightInd w:val="0"/>
        <w:snapToGrid w:val="0"/>
        <w:ind w:firstLine="0" w:firstLineChars="0"/>
        <w:jc w:val="left"/>
        <w:rPr>
          <w:rFonts w:ascii="宋体" w:hAnsi="宋体"/>
          <w:b/>
          <w:bCs/>
          <w:sz w:val="84"/>
          <w:szCs w:val="84"/>
        </w:rPr>
      </w:pPr>
      <w:bookmarkStart w:id="10" w:name="OLE_LINK2"/>
      <w:bookmarkEnd w:id="10"/>
      <w:bookmarkStart w:id="11" w:name="OLE_LINK1"/>
      <w:bookmarkEnd w:id="11"/>
      <w:bookmarkStart w:id="12" w:name="_Toc144974495"/>
      <w:bookmarkStart w:id="13" w:name="_Toc152042303"/>
      <w:bookmarkStart w:id="14" w:name="_Toc152045527"/>
      <w:bookmarkStart w:id="15" w:name="_Hlk532135443"/>
    </w:p>
    <w:p w14:paraId="68423C2C">
      <w:pPr>
        <w:widowControl w:val="0"/>
        <w:tabs>
          <w:tab w:val="left" w:pos="709"/>
        </w:tabs>
        <w:autoSpaceDE w:val="0"/>
        <w:autoSpaceDN w:val="0"/>
        <w:adjustRightInd w:val="0"/>
        <w:snapToGrid w:val="0"/>
        <w:ind w:firstLine="0" w:firstLineChars="0"/>
        <w:jc w:val="left"/>
        <w:rPr>
          <w:rFonts w:ascii="宋体" w:hAnsi="宋体"/>
          <w:b/>
          <w:bCs/>
          <w:sz w:val="84"/>
          <w:szCs w:val="84"/>
        </w:rPr>
      </w:pPr>
    </w:p>
    <w:p w14:paraId="5DA0782A">
      <w:pPr>
        <w:widowControl w:val="0"/>
        <w:tabs>
          <w:tab w:val="left" w:pos="709"/>
        </w:tabs>
        <w:autoSpaceDE w:val="0"/>
        <w:autoSpaceDN w:val="0"/>
        <w:adjustRightInd w:val="0"/>
        <w:snapToGrid w:val="0"/>
        <w:ind w:firstLine="0" w:firstLineChars="0"/>
        <w:jc w:val="left"/>
        <w:rPr>
          <w:rFonts w:ascii="宋体" w:hAnsi="宋体"/>
          <w:b/>
          <w:bCs/>
          <w:sz w:val="84"/>
          <w:szCs w:val="84"/>
        </w:rPr>
      </w:pPr>
    </w:p>
    <w:p w14:paraId="1CC5D54F">
      <w:pPr>
        <w:widowControl w:val="0"/>
        <w:tabs>
          <w:tab w:val="left" w:pos="709"/>
        </w:tabs>
        <w:autoSpaceDE w:val="0"/>
        <w:autoSpaceDN w:val="0"/>
        <w:adjustRightInd w:val="0"/>
        <w:snapToGrid w:val="0"/>
        <w:ind w:firstLine="0" w:firstLineChars="0"/>
        <w:jc w:val="left"/>
        <w:rPr>
          <w:rFonts w:ascii="宋体" w:hAnsi="宋体"/>
          <w:b/>
          <w:bCs/>
          <w:sz w:val="84"/>
          <w:szCs w:val="84"/>
        </w:rPr>
      </w:pPr>
    </w:p>
    <w:p w14:paraId="52F330D0">
      <w:pPr>
        <w:widowControl w:val="0"/>
        <w:tabs>
          <w:tab w:val="left" w:pos="709"/>
        </w:tabs>
        <w:autoSpaceDE w:val="0"/>
        <w:autoSpaceDN w:val="0"/>
        <w:adjustRightInd w:val="0"/>
        <w:snapToGrid w:val="0"/>
        <w:ind w:firstLine="0" w:firstLineChars="0"/>
        <w:jc w:val="center"/>
        <w:outlineLvl w:val="0"/>
        <w:rPr>
          <w:rFonts w:ascii="宋体" w:hAnsi="宋体"/>
          <w:b/>
          <w:bCs/>
          <w:sz w:val="52"/>
          <w:szCs w:val="52"/>
        </w:rPr>
      </w:pPr>
      <w:bookmarkStart w:id="16" w:name="_Toc30237"/>
      <w:bookmarkStart w:id="17" w:name="_Toc21050"/>
      <w:bookmarkStart w:id="18" w:name="_Toc13906"/>
      <w:bookmarkStart w:id="19" w:name="_Toc2599"/>
      <w:bookmarkStart w:id="20" w:name="_Toc28143"/>
      <w:bookmarkStart w:id="21" w:name="_Toc5568"/>
      <w:r>
        <w:rPr>
          <w:rFonts w:hint="eastAsia" w:ascii="宋体" w:hAnsi="宋体"/>
          <w:b/>
          <w:bCs/>
          <w:sz w:val="52"/>
          <w:szCs w:val="52"/>
        </w:rPr>
        <w:t>第一章 投标人须知</w:t>
      </w:r>
      <w:bookmarkEnd w:id="12"/>
      <w:bookmarkEnd w:id="13"/>
      <w:bookmarkEnd w:id="14"/>
      <w:bookmarkEnd w:id="15"/>
      <w:bookmarkEnd w:id="16"/>
      <w:bookmarkEnd w:id="17"/>
      <w:bookmarkEnd w:id="18"/>
      <w:bookmarkEnd w:id="19"/>
      <w:bookmarkEnd w:id="20"/>
      <w:bookmarkEnd w:id="21"/>
      <w:bookmarkStart w:id="22" w:name="_Toc152042304"/>
      <w:bookmarkStart w:id="23" w:name="_Toc379581309"/>
      <w:bookmarkStart w:id="24" w:name="_Toc144974496"/>
      <w:bookmarkStart w:id="25" w:name="_Toc152045528"/>
    </w:p>
    <w:p w14:paraId="0BF5B469">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sz w:val="28"/>
        </w:rPr>
        <w:br w:type="page"/>
      </w:r>
      <w:bookmarkStart w:id="26" w:name="_Toc11509"/>
      <w:bookmarkStart w:id="27" w:name="_Toc21572"/>
      <w:bookmarkStart w:id="28" w:name="_Toc3665"/>
      <w:bookmarkStart w:id="29" w:name="_Toc28933"/>
      <w:r>
        <w:rPr>
          <w:rFonts w:hint="eastAsia" w:ascii="宋体" w:hAnsi="宋体"/>
          <w:b/>
          <w:sz w:val="32"/>
          <w:szCs w:val="32"/>
        </w:rPr>
        <w:t>第一节 投标人须知前附表</w:t>
      </w:r>
      <w:bookmarkEnd w:id="22"/>
      <w:bookmarkEnd w:id="23"/>
      <w:bookmarkEnd w:id="24"/>
      <w:bookmarkEnd w:id="25"/>
      <w:bookmarkEnd w:id="26"/>
      <w:bookmarkEnd w:id="27"/>
      <w:bookmarkEnd w:id="28"/>
      <w:bookmarkEnd w:id="29"/>
    </w:p>
    <w:p w14:paraId="230A591B">
      <w:pPr>
        <w:widowControl w:val="0"/>
        <w:autoSpaceDE w:val="0"/>
        <w:autoSpaceDN w:val="0"/>
        <w:adjustRightInd w:val="0"/>
        <w:snapToGrid w:val="0"/>
        <w:ind w:firstLine="0" w:firstLineChars="0"/>
        <w:rPr>
          <w:rFonts w:ascii="宋体" w:hAnsi="宋体"/>
          <w:b/>
          <w:szCs w:val="21"/>
        </w:rPr>
      </w:pPr>
      <w:r>
        <w:rPr>
          <w:rFonts w:hint="eastAsia" w:ascii="宋体" w:hAnsi="宋体"/>
          <w:b/>
          <w:szCs w:val="21"/>
        </w:rPr>
        <w:t>重要提示：</w:t>
      </w:r>
    </w:p>
    <w:p w14:paraId="2ADD1D71">
      <w:pPr>
        <w:widowControl w:val="0"/>
        <w:autoSpaceDE w:val="0"/>
        <w:autoSpaceDN w:val="0"/>
        <w:adjustRightInd w:val="0"/>
        <w:snapToGrid w:val="0"/>
        <w:ind w:firstLine="0" w:firstLineChars="0"/>
        <w:rPr>
          <w:rFonts w:ascii="宋体" w:hAnsi="宋体"/>
          <w:szCs w:val="21"/>
        </w:rPr>
      </w:pPr>
      <w:r>
        <w:rPr>
          <w:rFonts w:hint="eastAsia" w:ascii="宋体" w:hAnsi="宋体"/>
          <w:szCs w:val="21"/>
        </w:rPr>
        <w:t>1. 本表对项目情况、招标程序的主要时限、投标文件编制要求的有关信息，是对投标须知的具体补充。如出现前后不一致的表述以投标人须知前附表为准。</w:t>
      </w:r>
    </w:p>
    <w:p w14:paraId="11FF8967">
      <w:pPr>
        <w:widowControl w:val="0"/>
        <w:autoSpaceDE w:val="0"/>
        <w:autoSpaceDN w:val="0"/>
        <w:adjustRightInd w:val="0"/>
        <w:snapToGrid w:val="0"/>
        <w:ind w:firstLine="0" w:firstLineChars="0"/>
        <w:rPr>
          <w:rFonts w:ascii="宋体" w:hAnsi="宋体"/>
          <w:szCs w:val="21"/>
        </w:rPr>
      </w:pPr>
      <w:r>
        <w:rPr>
          <w:rFonts w:hint="eastAsia" w:ascii="宋体" w:hAnsi="宋体"/>
          <w:szCs w:val="21"/>
        </w:rPr>
        <w:t>2. 本文所示时间均为北京时间。</w:t>
      </w:r>
    </w:p>
    <w:p w14:paraId="4D09723F">
      <w:pPr>
        <w:widowControl w:val="0"/>
        <w:autoSpaceDE w:val="0"/>
        <w:autoSpaceDN w:val="0"/>
        <w:adjustRightInd w:val="0"/>
        <w:snapToGrid w:val="0"/>
        <w:ind w:firstLine="0" w:firstLineChars="0"/>
        <w:rPr>
          <w:rFonts w:hint="eastAsia" w:ascii="宋体" w:hAnsi="宋体"/>
          <w:szCs w:val="21"/>
        </w:rPr>
      </w:pPr>
      <w:r>
        <w:rPr>
          <w:rFonts w:ascii="宋体" w:hAnsi="宋体"/>
          <w:szCs w:val="21"/>
        </w:rPr>
        <w:t xml:space="preserve">3. </w:t>
      </w:r>
      <w:r>
        <w:rPr>
          <w:rFonts w:hint="eastAsia" w:ascii="宋体" w:hAnsi="宋体"/>
          <w:szCs w:val="21"/>
        </w:rPr>
        <w:t>用“</w:t>
      </w:r>
      <w:r>
        <w:rPr>
          <w:rFonts w:ascii="Segoe UI Symbol" w:hAnsi="Segoe UI Symbol" w:cs="Segoe UI Symbol"/>
          <w:szCs w:val="21"/>
        </w:rPr>
        <w:t>☑</w:t>
      </w:r>
      <w:r>
        <w:rPr>
          <w:rFonts w:ascii="宋体" w:hAnsi="宋体"/>
          <w:szCs w:val="21"/>
        </w:rPr>
        <w:t>”</w:t>
      </w:r>
      <w:r>
        <w:rPr>
          <w:rFonts w:hint="eastAsia" w:ascii="宋体" w:hAnsi="宋体"/>
          <w:szCs w:val="21"/>
        </w:rPr>
        <w:t>标识时表明该选项被招标人选用，用“□”标识时表明该选项未被招标人选用。本文件中对应模板性条款未被招标人选用的内容，自动不适用。</w:t>
      </w:r>
    </w:p>
    <w:p w14:paraId="3C426C2D">
      <w:pPr>
        <w:widowControl w:val="0"/>
        <w:autoSpaceDE w:val="0"/>
        <w:autoSpaceDN w:val="0"/>
        <w:adjustRightInd w:val="0"/>
        <w:snapToGrid w:val="0"/>
        <w:ind w:firstLine="0" w:firstLineChars="0"/>
        <w:rPr>
          <w:rFonts w:ascii="宋体" w:hAnsi="宋体"/>
          <w:snapToGrid w:val="0"/>
          <w:kern w:val="0"/>
          <w:szCs w:val="21"/>
        </w:rPr>
      </w:pPr>
      <w:r>
        <w:rPr>
          <w:rFonts w:hint="eastAsia" w:ascii="宋体" w:hAnsi="宋体"/>
          <w:snapToGrid w:val="0"/>
          <w:kern w:val="0"/>
          <w:szCs w:val="21"/>
        </w:rPr>
        <w:t>4、招标人在编制招标文件时，示范文本中的空格部分应根据招标项目实际需求填写，无内容或不采用者应用</w:t>
      </w:r>
      <w:r>
        <w:rPr>
          <w:rFonts w:hint="eastAsia" w:ascii="宋体" w:hAnsi="宋体"/>
          <w:b/>
          <w:snapToGrid w:val="0"/>
          <w:kern w:val="0"/>
          <w:szCs w:val="21"/>
        </w:rPr>
        <w:t>斜画线</w:t>
      </w:r>
      <w:r>
        <w:rPr>
          <w:rFonts w:hint="eastAsia" w:ascii="宋体" w:hAnsi="宋体"/>
          <w:snapToGrid w:val="0"/>
          <w:kern w:val="0"/>
          <w:szCs w:val="21"/>
        </w:rPr>
        <w:t>表示或者注明“本项目不适用”。</w:t>
      </w:r>
    </w:p>
    <w:tbl>
      <w:tblPr>
        <w:tblStyle w:val="5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092"/>
        <w:gridCol w:w="5443"/>
      </w:tblGrid>
      <w:tr w14:paraId="374F7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000" w:type="pct"/>
            <w:gridSpan w:val="3"/>
            <w:tcBorders>
              <w:top w:val="single" w:color="auto" w:sz="4" w:space="0"/>
            </w:tcBorders>
            <w:shd w:val="clear" w:color="auto" w:fill="D9E2F3"/>
            <w:vAlign w:val="center"/>
          </w:tcPr>
          <w:p w14:paraId="11EF9E91">
            <w:pPr>
              <w:widowControl w:val="0"/>
              <w:autoSpaceDE w:val="0"/>
              <w:autoSpaceDN w:val="0"/>
              <w:adjustRightInd w:val="0"/>
              <w:snapToGrid w:val="0"/>
              <w:ind w:firstLine="0" w:firstLineChars="0"/>
              <w:jc w:val="center"/>
              <w:rPr>
                <w:rFonts w:ascii="宋体" w:hAnsi="宋体"/>
                <w:b/>
                <w:sz w:val="32"/>
                <w:szCs w:val="32"/>
              </w:rPr>
            </w:pPr>
            <w:bookmarkStart w:id="30" w:name="_Hlk532140181"/>
            <w:r>
              <w:rPr>
                <w:rFonts w:hint="eastAsia" w:ascii="宋体" w:hAnsi="宋体"/>
                <w:b/>
                <w:sz w:val="32"/>
                <w:szCs w:val="32"/>
              </w:rPr>
              <w:t>投标人须知前附表（一）</w:t>
            </w:r>
          </w:p>
        </w:tc>
      </w:tr>
      <w:tr w14:paraId="38AB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72069F5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227" w:type="pct"/>
            <w:vAlign w:val="center"/>
          </w:tcPr>
          <w:p w14:paraId="2F52720F">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191" w:type="pct"/>
            <w:vAlign w:val="center"/>
          </w:tcPr>
          <w:p w14:paraId="1F8C5DDB">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70FD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A58EF4D">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29A47558">
            <w:pPr>
              <w:widowControl w:val="0"/>
              <w:autoSpaceDE w:val="0"/>
              <w:autoSpaceDN w:val="0"/>
              <w:adjustRightInd w:val="0"/>
              <w:snapToGrid w:val="0"/>
              <w:ind w:firstLine="0" w:firstLineChars="0"/>
              <w:jc w:val="center"/>
              <w:rPr>
                <w:rFonts w:hint="eastAsia" w:ascii="宋体" w:hAnsi="宋体"/>
                <w:bCs/>
                <w:szCs w:val="21"/>
              </w:rPr>
            </w:pPr>
            <w:r>
              <w:rPr>
                <w:rFonts w:hint="eastAsia" w:ascii="宋体" w:hAnsi="宋体"/>
                <w:bCs/>
                <w:szCs w:val="21"/>
              </w:rPr>
              <w:t>招标人</w:t>
            </w:r>
          </w:p>
        </w:tc>
        <w:tc>
          <w:tcPr>
            <w:tcW w:w="3191" w:type="pct"/>
            <w:vAlign w:val="center"/>
          </w:tcPr>
          <w:p w14:paraId="01419117">
            <w:pPr>
              <w:widowControl w:val="0"/>
              <w:autoSpaceDE w:val="0"/>
              <w:autoSpaceDN w:val="0"/>
              <w:adjustRightInd w:val="0"/>
              <w:snapToGrid w:val="0"/>
              <w:ind w:firstLine="0" w:firstLineChars="0"/>
              <w:rPr>
                <w:rFonts w:hint="default" w:ascii="宋体" w:hAnsi="宋体" w:eastAsia="宋体"/>
                <w:szCs w:val="21"/>
                <w:u w:val="single"/>
                <w:lang w:val="en-US" w:eastAsia="zh-CN"/>
              </w:rPr>
            </w:pPr>
            <w:r>
              <w:rPr>
                <w:rFonts w:ascii="宋体" w:hAnsi="宋体"/>
                <w:szCs w:val="21"/>
              </w:rPr>
              <w:t>名称：</w:t>
            </w:r>
            <w:r>
              <w:rPr>
                <w:rFonts w:hint="eastAsia" w:ascii="宋体" w:hAnsi="宋体"/>
                <w:szCs w:val="21"/>
              </w:rPr>
              <w:t>深圳市</w:t>
            </w:r>
            <w:r>
              <w:rPr>
                <w:rFonts w:hint="eastAsia" w:ascii="宋体" w:hAnsi="宋体"/>
                <w:szCs w:val="21"/>
                <w:lang w:eastAsia="zh-CN"/>
              </w:rPr>
              <w:t>网羽中心运营管理</w:t>
            </w:r>
            <w:r>
              <w:rPr>
                <w:rFonts w:hint="eastAsia" w:ascii="宋体" w:hAnsi="宋体"/>
                <w:szCs w:val="21"/>
              </w:rPr>
              <w:t>有限公司</w:t>
            </w:r>
          </w:p>
          <w:p w14:paraId="6E66972A">
            <w:pPr>
              <w:widowControl w:val="0"/>
              <w:autoSpaceDE w:val="0"/>
              <w:autoSpaceDN w:val="0"/>
              <w:adjustRightInd w:val="0"/>
              <w:snapToGrid w:val="0"/>
              <w:ind w:firstLine="0" w:firstLineChars="0"/>
              <w:rPr>
                <w:rFonts w:hint="default" w:ascii="宋体" w:hAnsi="宋体" w:eastAsia="宋体"/>
                <w:szCs w:val="21"/>
                <w:lang w:val="en-US" w:eastAsia="zh-CN"/>
              </w:rPr>
            </w:pPr>
            <w:r>
              <w:rPr>
                <w:rFonts w:hint="eastAsia" w:ascii="宋体" w:hAnsi="宋体"/>
                <w:szCs w:val="21"/>
              </w:rPr>
              <w:t>联系</w:t>
            </w:r>
            <w:r>
              <w:rPr>
                <w:rFonts w:ascii="宋体" w:hAnsi="宋体"/>
                <w:szCs w:val="21"/>
              </w:rPr>
              <w:t>地址：</w:t>
            </w:r>
            <w:r>
              <w:rPr>
                <w:rFonts w:hint="eastAsia" w:ascii="宋体" w:hAnsi="宋体"/>
                <w:szCs w:val="21"/>
                <w:lang w:val="en-US" w:eastAsia="zh-CN"/>
              </w:rPr>
              <w:t>深圳市网球中心</w:t>
            </w:r>
          </w:p>
          <w:p w14:paraId="26938824">
            <w:pPr>
              <w:widowControl w:val="0"/>
              <w:autoSpaceDE w:val="0"/>
              <w:autoSpaceDN w:val="0"/>
              <w:adjustRightInd w:val="0"/>
              <w:snapToGrid w:val="0"/>
              <w:ind w:firstLine="0" w:firstLineChars="0"/>
              <w:rPr>
                <w:rFonts w:hint="eastAsia" w:ascii="宋体" w:hAnsi="宋体" w:eastAsia="宋体"/>
                <w:szCs w:val="21"/>
                <w:lang w:val="en-US" w:eastAsia="zh-CN"/>
              </w:rPr>
            </w:pPr>
            <w:r>
              <w:rPr>
                <w:rFonts w:hint="eastAsia" w:ascii="宋体" w:hAnsi="宋体"/>
                <w:szCs w:val="21"/>
              </w:rPr>
              <w:t>联系人：</w:t>
            </w:r>
            <w:r>
              <w:rPr>
                <w:rFonts w:hint="eastAsia" w:ascii="宋体" w:hAnsi="宋体"/>
                <w:szCs w:val="21"/>
                <w:lang w:val="en-US" w:eastAsia="zh-CN"/>
              </w:rPr>
              <w:t>来先生</w:t>
            </w:r>
          </w:p>
          <w:p w14:paraId="0E5DE462">
            <w:pPr>
              <w:widowControl w:val="0"/>
              <w:autoSpaceDE w:val="0"/>
              <w:autoSpaceDN w:val="0"/>
              <w:adjustRightInd w:val="0"/>
              <w:snapToGrid w:val="0"/>
              <w:ind w:firstLine="0" w:firstLineChars="0"/>
              <w:rPr>
                <w:rFonts w:hint="default" w:ascii="宋体" w:hAnsi="宋体" w:eastAsia="宋体"/>
                <w:kern w:val="0"/>
                <w:szCs w:val="21"/>
                <w:u w:val="single"/>
                <w:lang w:val="en-US" w:eastAsia="zh-CN"/>
              </w:rPr>
            </w:pPr>
            <w:r>
              <w:rPr>
                <w:rFonts w:hint="eastAsia" w:ascii="宋体" w:hAnsi="宋体"/>
                <w:szCs w:val="21"/>
              </w:rPr>
              <w:t>联系电话：</w:t>
            </w:r>
            <w:r>
              <w:rPr>
                <w:rFonts w:hint="eastAsia" w:ascii="宋体" w:hAnsi="宋体"/>
                <w:szCs w:val="21"/>
                <w:lang w:val="en-US" w:eastAsia="zh-CN"/>
              </w:rPr>
              <w:t>17322335607</w:t>
            </w:r>
          </w:p>
        </w:tc>
      </w:tr>
      <w:tr w14:paraId="54F3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5F0891EA">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77A7E26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编号</w:t>
            </w:r>
          </w:p>
        </w:tc>
        <w:tc>
          <w:tcPr>
            <w:tcW w:w="3191" w:type="pct"/>
            <w:vAlign w:val="center"/>
          </w:tcPr>
          <w:p w14:paraId="0E5783CE">
            <w:pPr>
              <w:widowControl w:val="0"/>
              <w:autoSpaceDE w:val="0"/>
              <w:autoSpaceDN w:val="0"/>
              <w:adjustRightInd w:val="0"/>
              <w:snapToGrid w:val="0"/>
              <w:ind w:firstLine="0" w:firstLineChars="0"/>
              <w:rPr>
                <w:rFonts w:hint="eastAsia" w:ascii="宋体" w:hAnsi="宋体"/>
                <w:bCs/>
                <w:szCs w:val="21"/>
              </w:rPr>
            </w:pPr>
          </w:p>
        </w:tc>
      </w:tr>
      <w:tr w14:paraId="46369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9B1911E">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62D496A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w:t>
            </w:r>
            <w:r>
              <w:rPr>
                <w:rFonts w:ascii="宋体" w:hAnsi="宋体"/>
                <w:szCs w:val="21"/>
              </w:rPr>
              <w:t>名称</w:t>
            </w:r>
          </w:p>
        </w:tc>
        <w:tc>
          <w:tcPr>
            <w:tcW w:w="3191" w:type="pct"/>
            <w:vAlign w:val="center"/>
          </w:tcPr>
          <w:p w14:paraId="684ED4AE">
            <w:pPr>
              <w:widowControl w:val="0"/>
              <w:autoSpaceDE w:val="0"/>
              <w:autoSpaceDN w:val="0"/>
              <w:adjustRightInd w:val="0"/>
              <w:snapToGrid w:val="0"/>
              <w:ind w:firstLine="0" w:firstLineChars="0"/>
              <w:rPr>
                <w:rFonts w:ascii="宋体" w:hAnsi="宋体"/>
                <w:bCs/>
                <w:szCs w:val="21"/>
              </w:rPr>
            </w:pPr>
            <w:r>
              <w:rPr>
                <w:rFonts w:hint="eastAsia" w:ascii="宋体" w:hAnsi="宋体"/>
                <w:bCs/>
                <w:szCs w:val="21"/>
              </w:rPr>
              <w:t>深圳市网球中心员工食堂服务</w:t>
            </w:r>
          </w:p>
        </w:tc>
      </w:tr>
      <w:tr w14:paraId="4A45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6356AE59">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18522322">
            <w:pPr>
              <w:widowControl w:val="0"/>
              <w:autoSpaceDE w:val="0"/>
              <w:autoSpaceDN w:val="0"/>
              <w:adjustRightInd w:val="0"/>
              <w:snapToGrid w:val="0"/>
              <w:ind w:firstLine="0" w:firstLineChars="0"/>
              <w:jc w:val="center"/>
              <w:rPr>
                <w:rFonts w:hint="eastAsia" w:ascii="宋体" w:hAnsi="宋体"/>
                <w:szCs w:val="21"/>
              </w:rPr>
            </w:pPr>
            <w:r>
              <w:rPr>
                <w:rFonts w:ascii="宋体" w:hAnsi="宋体"/>
                <w:szCs w:val="21"/>
              </w:rPr>
              <w:t>公告</w:t>
            </w:r>
            <w:r>
              <w:rPr>
                <w:rFonts w:hint="eastAsia" w:ascii="宋体" w:hAnsi="宋体"/>
                <w:szCs w:val="21"/>
              </w:rPr>
              <w:t>日期</w:t>
            </w:r>
          </w:p>
        </w:tc>
        <w:tc>
          <w:tcPr>
            <w:tcW w:w="3191" w:type="pct"/>
            <w:vAlign w:val="center"/>
          </w:tcPr>
          <w:p w14:paraId="1A7AB75C">
            <w:pPr>
              <w:widowControl w:val="0"/>
              <w:autoSpaceDE w:val="0"/>
              <w:autoSpaceDN w:val="0"/>
              <w:adjustRightInd w:val="0"/>
              <w:snapToGrid w:val="0"/>
              <w:ind w:firstLine="0" w:firstLineChars="0"/>
              <w:rPr>
                <w:rFonts w:ascii="宋体" w:hAnsi="宋体"/>
                <w:bCs/>
                <w:szCs w:val="21"/>
              </w:rPr>
            </w:pPr>
            <w:r>
              <w:rPr>
                <w:rFonts w:hint="eastAsia" w:ascii="宋体" w:hAnsi="宋体"/>
                <w:szCs w:val="21"/>
              </w:rPr>
              <w:t>详见招标公告</w:t>
            </w:r>
          </w:p>
        </w:tc>
      </w:tr>
      <w:tr w14:paraId="7B856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5FECC825">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1A544033">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项目类别</w:t>
            </w:r>
          </w:p>
        </w:tc>
        <w:tc>
          <w:tcPr>
            <w:tcW w:w="3191" w:type="pct"/>
            <w:vAlign w:val="center"/>
          </w:tcPr>
          <w:p w14:paraId="790EC879">
            <w:pPr>
              <w:widowControl w:val="0"/>
              <w:autoSpaceDE w:val="0"/>
              <w:autoSpaceDN w:val="0"/>
              <w:adjustRightInd w:val="0"/>
              <w:snapToGrid w:val="0"/>
              <w:ind w:firstLine="0" w:firstLineChars="0"/>
              <w:rPr>
                <w:rFonts w:hint="default" w:ascii="宋体" w:hAnsi="宋体" w:eastAsia="宋体"/>
                <w:bCs/>
                <w:szCs w:val="21"/>
                <w:lang w:val="en-US" w:eastAsia="zh-CN"/>
              </w:rPr>
            </w:pPr>
            <w:r>
              <w:rPr>
                <w:rFonts w:hint="eastAsia" w:ascii="宋体" w:hAnsi="宋体"/>
                <w:bCs/>
                <w:szCs w:val="21"/>
                <w:lang w:val="en-US" w:eastAsia="zh-CN"/>
              </w:rPr>
              <w:t>服务类</w:t>
            </w:r>
          </w:p>
        </w:tc>
      </w:tr>
      <w:tr w14:paraId="7F8C0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6E16110E">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tcPr>
          <w:p w14:paraId="7901E02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招标方式</w:t>
            </w:r>
          </w:p>
        </w:tc>
        <w:tc>
          <w:tcPr>
            <w:tcW w:w="3191" w:type="pct"/>
            <w:vAlign w:val="center"/>
          </w:tcPr>
          <w:p w14:paraId="5704E8C6">
            <w:pPr>
              <w:widowControl w:val="0"/>
              <w:autoSpaceDE w:val="0"/>
              <w:autoSpaceDN w:val="0"/>
              <w:adjustRightInd w:val="0"/>
              <w:snapToGrid w:val="0"/>
              <w:ind w:firstLine="0" w:firstLineChars="0"/>
              <w:rPr>
                <w:rFonts w:ascii="宋体" w:hAnsi="宋体"/>
                <w:bCs/>
                <w:szCs w:val="21"/>
              </w:rPr>
            </w:pPr>
            <w:r>
              <w:rPr>
                <w:rFonts w:hint="eastAsia" w:ascii="宋体" w:hAnsi="宋体"/>
                <w:szCs w:val="21"/>
                <w:lang w:eastAsia="zh-CN"/>
              </w:rPr>
              <w:t>☑</w:t>
            </w:r>
            <w:r>
              <w:rPr>
                <w:rFonts w:hint="eastAsia" w:ascii="宋体" w:hAnsi="宋体"/>
                <w:szCs w:val="21"/>
              </w:rPr>
              <w:t>公开招标</w:t>
            </w:r>
            <w:r>
              <w:rPr>
                <w:rFonts w:ascii="宋体" w:hAnsi="宋体"/>
                <w:szCs w:val="21"/>
              </w:rPr>
              <w:t xml:space="preserve">  </w:t>
            </w:r>
            <w:r>
              <w:rPr>
                <w:rFonts w:hint="eastAsia" w:ascii="宋体" w:hAnsi="宋体"/>
                <w:szCs w:val="21"/>
              </w:rPr>
              <w:t>□邀请招标</w:t>
            </w:r>
          </w:p>
        </w:tc>
      </w:tr>
      <w:tr w14:paraId="30833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23E03FB7">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tcPr>
          <w:p w14:paraId="0EFEC96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资格审查方式</w:t>
            </w:r>
          </w:p>
        </w:tc>
        <w:tc>
          <w:tcPr>
            <w:tcW w:w="3191" w:type="pct"/>
            <w:vAlign w:val="center"/>
          </w:tcPr>
          <w:p w14:paraId="019913A3">
            <w:pPr>
              <w:widowControl w:val="0"/>
              <w:autoSpaceDE w:val="0"/>
              <w:autoSpaceDN w:val="0"/>
              <w:adjustRightInd w:val="0"/>
              <w:snapToGrid w:val="0"/>
              <w:ind w:firstLine="0" w:firstLineChars="0"/>
              <w:rPr>
                <w:rFonts w:ascii="宋体" w:hAnsi="宋体" w:cs="Segoe UI Symbol"/>
                <w:szCs w:val="21"/>
              </w:rPr>
            </w:pPr>
            <w:r>
              <w:rPr>
                <w:rFonts w:hint="eastAsia" w:ascii="宋体" w:hAnsi="宋体"/>
                <w:szCs w:val="21"/>
              </w:rPr>
              <w:t xml:space="preserve">资格后审 </w:t>
            </w:r>
          </w:p>
        </w:tc>
      </w:tr>
      <w:tr w14:paraId="4BB8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621F734F">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3BFCD4B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招标文件</w:t>
            </w:r>
          </w:p>
          <w:p w14:paraId="3C884C35">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获取方式</w:t>
            </w:r>
          </w:p>
        </w:tc>
        <w:tc>
          <w:tcPr>
            <w:tcW w:w="3191" w:type="pct"/>
            <w:vAlign w:val="center"/>
          </w:tcPr>
          <w:p w14:paraId="2E44DD79">
            <w:pPr>
              <w:widowControl w:val="0"/>
              <w:autoSpaceDE w:val="0"/>
              <w:autoSpaceDN w:val="0"/>
              <w:adjustRightInd w:val="0"/>
              <w:snapToGrid w:val="0"/>
              <w:ind w:firstLine="0" w:firstLineChars="0"/>
              <w:rPr>
                <w:rFonts w:ascii="Segoe UI Symbol" w:hAnsi="Segoe UI Symbol" w:cs="Segoe UI Symbol"/>
                <w:szCs w:val="21"/>
              </w:rPr>
            </w:pPr>
            <w:r>
              <w:rPr>
                <w:rFonts w:ascii="宋体" w:hAnsi="宋体"/>
                <w:szCs w:val="21"/>
                <w:highlight w:val="yellow"/>
              </w:rPr>
              <w:t>通过深圳阳光采购平台获取</w:t>
            </w:r>
          </w:p>
        </w:tc>
      </w:tr>
      <w:tr w14:paraId="3A882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580" w:type="pct"/>
            <w:vMerge w:val="continue"/>
            <w:vAlign w:val="center"/>
          </w:tcPr>
          <w:p w14:paraId="1AFF2EF5">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3820B8AD">
            <w:pPr>
              <w:widowControl w:val="0"/>
              <w:autoSpaceDE w:val="0"/>
              <w:autoSpaceDN w:val="0"/>
              <w:adjustRightInd w:val="0"/>
              <w:snapToGrid w:val="0"/>
              <w:spacing w:line="240" w:lineRule="auto"/>
              <w:ind w:firstLine="0" w:firstLineChars="0"/>
              <w:jc w:val="center"/>
              <w:rPr>
                <w:rFonts w:ascii="宋体" w:hAnsi="宋体"/>
                <w:kern w:val="0"/>
                <w:szCs w:val="21"/>
              </w:rPr>
            </w:pPr>
            <w:r>
              <w:rPr>
                <w:rFonts w:hint="eastAsia" w:ascii="宋体" w:hAnsi="宋体"/>
                <w:kern w:val="0"/>
                <w:szCs w:val="21"/>
              </w:rPr>
              <w:t>招标文件</w:t>
            </w:r>
          </w:p>
          <w:p w14:paraId="3A0C84FB">
            <w:pPr>
              <w:widowControl w:val="0"/>
              <w:autoSpaceDE w:val="0"/>
              <w:autoSpaceDN w:val="0"/>
              <w:adjustRightInd w:val="0"/>
              <w:snapToGrid w:val="0"/>
              <w:spacing w:line="240" w:lineRule="auto"/>
              <w:ind w:firstLine="0" w:firstLineChars="0"/>
              <w:jc w:val="center"/>
              <w:rPr>
                <w:rFonts w:ascii="宋体" w:hAnsi="宋体"/>
                <w:szCs w:val="21"/>
              </w:rPr>
            </w:pPr>
            <w:r>
              <w:rPr>
                <w:rFonts w:ascii="宋体" w:hAnsi="宋体"/>
                <w:kern w:val="0"/>
                <w:szCs w:val="21"/>
              </w:rPr>
              <w:t>获取时间</w:t>
            </w:r>
          </w:p>
        </w:tc>
        <w:tc>
          <w:tcPr>
            <w:tcW w:w="3191" w:type="pct"/>
            <w:vAlign w:val="center"/>
          </w:tcPr>
          <w:p w14:paraId="786B27C8">
            <w:pPr>
              <w:widowControl w:val="0"/>
              <w:autoSpaceDE w:val="0"/>
              <w:autoSpaceDN w:val="0"/>
              <w:adjustRightInd w:val="0"/>
              <w:snapToGrid w:val="0"/>
              <w:spacing w:line="240" w:lineRule="auto"/>
              <w:ind w:firstLine="0" w:firstLineChars="0"/>
              <w:rPr>
                <w:rFonts w:ascii="宋体" w:hAnsi="宋体"/>
                <w:szCs w:val="21"/>
              </w:rPr>
            </w:pPr>
            <w:r>
              <w:rPr>
                <w:rFonts w:hint="eastAsia" w:ascii="宋体" w:hAnsi="宋体"/>
                <w:szCs w:val="21"/>
              </w:rPr>
              <w:t>详见招标公告</w:t>
            </w:r>
          </w:p>
        </w:tc>
      </w:tr>
      <w:tr w14:paraId="6879E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C7A4DD1">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0E80C1F3">
            <w:pPr>
              <w:widowControl w:val="0"/>
              <w:autoSpaceDE w:val="0"/>
              <w:autoSpaceDN w:val="0"/>
              <w:adjustRightInd w:val="0"/>
              <w:snapToGrid w:val="0"/>
              <w:spacing w:line="240" w:lineRule="auto"/>
              <w:ind w:firstLine="0" w:firstLineChars="0"/>
              <w:jc w:val="center"/>
              <w:rPr>
                <w:rFonts w:ascii="宋体" w:hAnsi="宋体"/>
                <w:kern w:val="0"/>
                <w:szCs w:val="21"/>
              </w:rPr>
            </w:pPr>
            <w:r>
              <w:rPr>
                <w:rFonts w:hint="eastAsia" w:ascii="宋体" w:hAnsi="宋体"/>
                <w:kern w:val="0"/>
                <w:szCs w:val="21"/>
              </w:rPr>
              <w:t>是否需要提交</w:t>
            </w:r>
          </w:p>
          <w:p w14:paraId="749CCDC1">
            <w:pPr>
              <w:widowControl w:val="0"/>
              <w:autoSpaceDE w:val="0"/>
              <w:autoSpaceDN w:val="0"/>
              <w:adjustRightInd w:val="0"/>
              <w:snapToGrid w:val="0"/>
              <w:spacing w:line="240" w:lineRule="auto"/>
              <w:ind w:firstLine="0" w:firstLineChars="0"/>
              <w:jc w:val="center"/>
              <w:rPr>
                <w:rFonts w:hint="eastAsia" w:ascii="宋体" w:hAnsi="宋体"/>
                <w:kern w:val="0"/>
                <w:szCs w:val="21"/>
              </w:rPr>
            </w:pPr>
            <w:r>
              <w:rPr>
                <w:rFonts w:hint="eastAsia" w:ascii="宋体" w:hAnsi="宋体"/>
                <w:kern w:val="0"/>
                <w:szCs w:val="21"/>
              </w:rPr>
              <w:t>报名资料</w:t>
            </w:r>
          </w:p>
        </w:tc>
        <w:tc>
          <w:tcPr>
            <w:tcW w:w="3191" w:type="pct"/>
            <w:vAlign w:val="center"/>
          </w:tcPr>
          <w:p w14:paraId="02C8C631">
            <w:pPr>
              <w:widowControl w:val="0"/>
              <w:autoSpaceDE w:val="0"/>
              <w:autoSpaceDN w:val="0"/>
              <w:adjustRightInd w:val="0"/>
              <w:snapToGrid w:val="0"/>
              <w:spacing w:line="240" w:lineRule="auto"/>
              <w:ind w:firstLine="0" w:firstLineChars="0"/>
              <w:rPr>
                <w:rFonts w:hint="eastAsia" w:ascii="宋体" w:hAnsi="宋体"/>
                <w:kern w:val="0"/>
                <w:szCs w:val="21"/>
                <w:u w:val="single"/>
                <w:shd w:val="clear" w:color="auto" w:fill="FFFFFF"/>
              </w:rPr>
            </w:pPr>
            <w:r>
              <w:rPr>
                <w:rFonts w:hint="eastAsia" w:ascii="宋体" w:hAnsi="宋体"/>
                <w:szCs w:val="21"/>
              </w:rPr>
              <w:t>☑</w:t>
            </w:r>
            <w:r>
              <w:rPr>
                <w:rFonts w:ascii="宋体" w:hAnsi="宋体"/>
                <w:szCs w:val="21"/>
              </w:rPr>
              <w:t>否</w:t>
            </w:r>
          </w:p>
        </w:tc>
      </w:tr>
      <w:tr w14:paraId="1A3B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153D19F5">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5F9BF98C">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投标人提出</w:t>
            </w:r>
          </w:p>
          <w:p w14:paraId="2D00E001">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质疑截止时间</w:t>
            </w:r>
          </w:p>
        </w:tc>
        <w:tc>
          <w:tcPr>
            <w:tcW w:w="3191" w:type="pct"/>
            <w:vAlign w:val="center"/>
          </w:tcPr>
          <w:p w14:paraId="1C293801">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详见招标公告</w:t>
            </w:r>
          </w:p>
        </w:tc>
      </w:tr>
      <w:tr w14:paraId="6E27A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580" w:type="pct"/>
            <w:vAlign w:val="center"/>
          </w:tcPr>
          <w:p w14:paraId="120039C9">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4384B438">
            <w:pPr>
              <w:widowControl w:val="0"/>
              <w:autoSpaceDE w:val="0"/>
              <w:autoSpaceDN w:val="0"/>
              <w:adjustRightInd w:val="0"/>
              <w:snapToGrid w:val="0"/>
              <w:spacing w:line="240" w:lineRule="auto"/>
              <w:ind w:firstLine="0" w:firstLineChars="0"/>
              <w:jc w:val="center"/>
              <w:rPr>
                <w:rFonts w:ascii="宋体" w:hAnsi="宋体"/>
                <w:szCs w:val="21"/>
                <w:shd w:val="clear" w:color="auto" w:fill="FFFFFF"/>
              </w:rPr>
            </w:pPr>
            <w:r>
              <w:rPr>
                <w:rFonts w:hint="eastAsia" w:ascii="宋体" w:hAnsi="宋体" w:cs="宋体"/>
                <w:szCs w:val="21"/>
                <w:shd w:val="clear" w:color="auto" w:fill="FFFFFF"/>
              </w:rPr>
              <w:t>招标人澄清、修改、</w:t>
            </w:r>
            <w:r>
              <w:rPr>
                <w:rFonts w:ascii="宋体" w:hAnsi="宋体" w:cs="宋体"/>
                <w:szCs w:val="21"/>
                <w:shd w:val="clear" w:color="auto" w:fill="FFFFFF"/>
              </w:rPr>
              <w:t>答疑</w:t>
            </w:r>
            <w:r>
              <w:rPr>
                <w:rFonts w:hint="eastAsia" w:ascii="宋体" w:hAnsi="宋体" w:cs="宋体"/>
                <w:szCs w:val="21"/>
                <w:shd w:val="clear" w:color="auto" w:fill="FFFFFF"/>
              </w:rPr>
              <w:t>截止时间</w:t>
            </w:r>
          </w:p>
        </w:tc>
        <w:tc>
          <w:tcPr>
            <w:tcW w:w="3191" w:type="pct"/>
            <w:vAlign w:val="center"/>
          </w:tcPr>
          <w:p w14:paraId="46A4D39F">
            <w:pPr>
              <w:widowControl w:val="0"/>
              <w:autoSpaceDE w:val="0"/>
              <w:autoSpaceDN w:val="0"/>
              <w:adjustRightInd w:val="0"/>
              <w:snapToGrid w:val="0"/>
              <w:spacing w:line="240" w:lineRule="auto"/>
              <w:ind w:firstLine="0" w:firstLineChars="0"/>
              <w:rPr>
                <w:rFonts w:hint="eastAsia" w:ascii="宋体" w:hAnsi="宋体"/>
                <w:szCs w:val="21"/>
              </w:rPr>
            </w:pPr>
            <w:r>
              <w:rPr>
                <w:rFonts w:hint="eastAsia" w:ascii="宋体" w:hAnsi="宋体"/>
                <w:szCs w:val="21"/>
              </w:rPr>
              <w:t>详见招标公告</w:t>
            </w:r>
          </w:p>
        </w:tc>
      </w:tr>
      <w:tr w14:paraId="150A3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258EB03B">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64DB61ED">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投标截止时间</w:t>
            </w:r>
          </w:p>
        </w:tc>
        <w:tc>
          <w:tcPr>
            <w:tcW w:w="3191" w:type="pct"/>
            <w:vAlign w:val="center"/>
          </w:tcPr>
          <w:p w14:paraId="5DBEB30E">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详见招标公告</w:t>
            </w:r>
          </w:p>
        </w:tc>
      </w:tr>
      <w:tr w14:paraId="4D16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3B3D07F">
            <w:pPr>
              <w:widowControl w:val="0"/>
              <w:autoSpaceDE w:val="0"/>
              <w:autoSpaceDN w:val="0"/>
              <w:adjustRightInd w:val="0"/>
              <w:snapToGrid w:val="0"/>
              <w:ind w:firstLineChars="0"/>
              <w:jc w:val="center"/>
              <w:rPr>
                <w:rFonts w:hint="eastAsia" w:ascii="宋体" w:hAnsi="宋体"/>
                <w:bCs/>
                <w:szCs w:val="21"/>
              </w:rPr>
            </w:pPr>
          </w:p>
        </w:tc>
        <w:tc>
          <w:tcPr>
            <w:tcW w:w="1227" w:type="pct"/>
            <w:vAlign w:val="center"/>
          </w:tcPr>
          <w:p w14:paraId="3789C1B7">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开标时间</w:t>
            </w:r>
          </w:p>
        </w:tc>
        <w:tc>
          <w:tcPr>
            <w:tcW w:w="3191" w:type="pct"/>
            <w:vAlign w:val="center"/>
          </w:tcPr>
          <w:p w14:paraId="0C4A53A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详见招标公告</w:t>
            </w:r>
          </w:p>
        </w:tc>
      </w:tr>
      <w:tr w14:paraId="1E81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4DB850A3">
            <w:pPr>
              <w:widowControl w:val="0"/>
              <w:autoSpaceDE w:val="0"/>
              <w:autoSpaceDN w:val="0"/>
              <w:adjustRightInd w:val="0"/>
              <w:snapToGrid w:val="0"/>
              <w:ind w:firstLineChars="0"/>
              <w:jc w:val="center"/>
              <w:rPr>
                <w:rFonts w:hint="eastAsia" w:ascii="宋体" w:hAnsi="宋体"/>
                <w:bCs/>
                <w:szCs w:val="21"/>
              </w:rPr>
            </w:pPr>
          </w:p>
        </w:tc>
        <w:tc>
          <w:tcPr>
            <w:tcW w:w="1227" w:type="pct"/>
            <w:vAlign w:val="center"/>
          </w:tcPr>
          <w:p w14:paraId="62A3D69D">
            <w:pPr>
              <w:widowControl w:val="0"/>
              <w:autoSpaceDE w:val="0"/>
              <w:autoSpaceDN w:val="0"/>
              <w:adjustRightInd w:val="0"/>
              <w:snapToGrid w:val="0"/>
              <w:ind w:firstLine="0" w:firstLineChars="0"/>
              <w:jc w:val="center"/>
              <w:rPr>
                <w:rFonts w:ascii="宋体" w:hAnsi="宋体"/>
              </w:rPr>
            </w:pPr>
            <w:r>
              <w:rPr>
                <w:rFonts w:hint="eastAsia" w:ascii="宋体" w:hAnsi="宋体"/>
              </w:rPr>
              <w:t>投标文件</w:t>
            </w:r>
          </w:p>
          <w:p w14:paraId="6B8D41A0">
            <w:pPr>
              <w:widowControl w:val="0"/>
              <w:autoSpaceDE w:val="0"/>
              <w:autoSpaceDN w:val="0"/>
              <w:adjustRightInd w:val="0"/>
              <w:snapToGrid w:val="0"/>
              <w:ind w:firstLine="0" w:firstLineChars="0"/>
              <w:jc w:val="center"/>
              <w:rPr>
                <w:rFonts w:hint="eastAsia" w:ascii="宋体" w:hAnsi="宋体"/>
                <w:shd w:val="clear" w:color="auto" w:fill="FFFFFF"/>
              </w:rPr>
            </w:pPr>
            <w:r>
              <w:rPr>
                <w:rFonts w:hint="eastAsia" w:ascii="宋体" w:hAnsi="宋体"/>
              </w:rPr>
              <w:t>递交地点</w:t>
            </w:r>
          </w:p>
        </w:tc>
        <w:tc>
          <w:tcPr>
            <w:tcW w:w="3191" w:type="pct"/>
            <w:vAlign w:val="center"/>
          </w:tcPr>
          <w:p w14:paraId="15D5C41B">
            <w:pPr>
              <w:widowControl w:val="0"/>
              <w:autoSpaceDE w:val="0"/>
              <w:autoSpaceDN w:val="0"/>
              <w:adjustRightInd w:val="0"/>
              <w:snapToGrid w:val="0"/>
              <w:ind w:firstLine="0" w:firstLineChars="0"/>
              <w:rPr>
                <w:rFonts w:hint="default" w:ascii="宋体" w:hAnsi="宋体"/>
                <w:kern w:val="0"/>
                <w:szCs w:val="21"/>
                <w:u w:val="single"/>
                <w:shd w:val="clear" w:color="auto" w:fill="FFFFFF"/>
                <w:lang w:val="en-US"/>
              </w:rPr>
            </w:pPr>
            <w:r>
              <w:rPr>
                <w:rFonts w:hint="eastAsia" w:ascii="宋体" w:hAnsi="宋体"/>
                <w:szCs w:val="21"/>
              </w:rPr>
              <w:t>☑纸质投标文件递交地点：</w:t>
            </w:r>
            <w:r>
              <w:rPr>
                <w:rFonts w:hint="eastAsia" w:ascii="宋体" w:hAnsi="宋体"/>
                <w:kern w:val="0"/>
                <w:szCs w:val="21"/>
                <w:highlight w:val="yellow"/>
                <w:u w:val="single"/>
              </w:rPr>
              <w:t>深圳市网球中心</w:t>
            </w:r>
            <w:r>
              <w:rPr>
                <w:rFonts w:hint="eastAsia" w:ascii="宋体" w:hAnsi="宋体"/>
                <w:kern w:val="0"/>
                <w:szCs w:val="21"/>
                <w:highlight w:val="yellow"/>
                <w:u w:val="single"/>
                <w:lang w:val="en-US" w:eastAsia="zh-CN"/>
              </w:rPr>
              <w:t>八角大楼2楼</w:t>
            </w:r>
          </w:p>
        </w:tc>
      </w:tr>
      <w:tr w14:paraId="4EB5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7AE23FF">
            <w:pPr>
              <w:widowControl w:val="0"/>
              <w:autoSpaceDE w:val="0"/>
              <w:autoSpaceDN w:val="0"/>
              <w:adjustRightInd w:val="0"/>
              <w:snapToGrid w:val="0"/>
              <w:ind w:firstLineChars="0"/>
              <w:jc w:val="center"/>
              <w:rPr>
                <w:rFonts w:hint="eastAsia" w:ascii="宋体" w:hAnsi="宋体"/>
                <w:bCs/>
                <w:szCs w:val="21"/>
              </w:rPr>
            </w:pPr>
          </w:p>
        </w:tc>
        <w:tc>
          <w:tcPr>
            <w:tcW w:w="1227" w:type="pct"/>
            <w:vAlign w:val="center"/>
          </w:tcPr>
          <w:p w14:paraId="4BCF4B7D">
            <w:pPr>
              <w:widowControl w:val="0"/>
              <w:autoSpaceDE w:val="0"/>
              <w:autoSpaceDN w:val="0"/>
              <w:adjustRightInd w:val="0"/>
              <w:snapToGrid w:val="0"/>
              <w:ind w:firstLine="0" w:firstLineChars="0"/>
              <w:jc w:val="center"/>
              <w:rPr>
                <w:rFonts w:hint="eastAsia" w:ascii="宋体" w:hAnsi="宋体"/>
              </w:rPr>
            </w:pPr>
            <w:r>
              <w:rPr>
                <w:rFonts w:hint="eastAsia" w:ascii="宋体" w:hAnsi="宋体"/>
              </w:rPr>
              <w:t>开标地点</w:t>
            </w:r>
          </w:p>
        </w:tc>
        <w:tc>
          <w:tcPr>
            <w:tcW w:w="3191" w:type="pct"/>
            <w:vAlign w:val="center"/>
          </w:tcPr>
          <w:p w14:paraId="22B8A5CB">
            <w:pPr>
              <w:widowControl w:val="0"/>
              <w:autoSpaceDE w:val="0"/>
              <w:autoSpaceDN w:val="0"/>
              <w:adjustRightInd w:val="0"/>
              <w:snapToGrid w:val="0"/>
              <w:ind w:firstLine="0" w:firstLineChars="0"/>
              <w:rPr>
                <w:rFonts w:ascii="Segoe UI Symbol" w:hAnsi="Segoe UI Symbol" w:cs="Segoe UI Symbol"/>
                <w:kern w:val="0"/>
                <w:szCs w:val="21"/>
              </w:rPr>
            </w:pPr>
            <w:r>
              <w:rPr>
                <w:rFonts w:hint="eastAsia" w:ascii="宋体" w:hAnsi="宋体"/>
                <w:szCs w:val="21"/>
              </w:rPr>
              <w:t>☑</w:t>
            </w:r>
            <w:r>
              <w:rPr>
                <w:rFonts w:hint="eastAsia" w:ascii="宋体" w:hAnsi="宋体"/>
                <w:kern w:val="0"/>
                <w:szCs w:val="21"/>
              </w:rPr>
              <w:t>进行现场开标，地址：</w:t>
            </w:r>
            <w:r>
              <w:rPr>
                <w:rFonts w:hint="eastAsia" w:ascii="宋体" w:hAnsi="宋体"/>
                <w:kern w:val="0"/>
                <w:szCs w:val="21"/>
                <w:highlight w:val="yellow"/>
                <w:u w:val="single"/>
              </w:rPr>
              <w:t>深圳市网球中心</w:t>
            </w:r>
            <w:r>
              <w:rPr>
                <w:rFonts w:hint="eastAsia" w:ascii="宋体" w:hAnsi="宋体"/>
                <w:kern w:val="0"/>
                <w:szCs w:val="21"/>
                <w:highlight w:val="yellow"/>
                <w:u w:val="single"/>
                <w:lang w:val="en-US" w:eastAsia="zh-CN"/>
              </w:rPr>
              <w:t>八角大楼2楼</w:t>
            </w:r>
          </w:p>
        </w:tc>
      </w:tr>
      <w:tr w14:paraId="2465F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3E8BBCEE">
            <w:pPr>
              <w:widowControl w:val="0"/>
              <w:autoSpaceDE w:val="0"/>
              <w:autoSpaceDN w:val="0"/>
              <w:adjustRightInd w:val="0"/>
              <w:snapToGrid w:val="0"/>
              <w:ind w:firstLineChars="0"/>
              <w:jc w:val="center"/>
              <w:rPr>
                <w:rFonts w:hint="eastAsia" w:ascii="宋体" w:hAnsi="宋体"/>
                <w:bCs/>
                <w:szCs w:val="21"/>
              </w:rPr>
            </w:pPr>
          </w:p>
        </w:tc>
        <w:tc>
          <w:tcPr>
            <w:tcW w:w="1227" w:type="pct"/>
            <w:vAlign w:val="center"/>
          </w:tcPr>
          <w:p w14:paraId="286985DA">
            <w:pPr>
              <w:widowControl w:val="0"/>
              <w:autoSpaceDE w:val="0"/>
              <w:autoSpaceDN w:val="0"/>
              <w:adjustRightInd w:val="0"/>
              <w:snapToGrid w:val="0"/>
              <w:ind w:firstLine="0" w:firstLineChars="0"/>
              <w:jc w:val="center"/>
              <w:rPr>
                <w:rFonts w:hint="eastAsia" w:ascii="宋体" w:hAnsi="宋体"/>
              </w:rPr>
            </w:pPr>
            <w:r>
              <w:rPr>
                <w:rFonts w:hint="eastAsia" w:ascii="宋体" w:hAnsi="宋体"/>
                <w:szCs w:val="21"/>
                <w:highlight w:val="none"/>
                <w:lang w:val="en-US" w:eastAsia="zh-CN"/>
              </w:rPr>
              <w:t>投标人是否需要参加开标</w:t>
            </w:r>
          </w:p>
        </w:tc>
        <w:tc>
          <w:tcPr>
            <w:tcW w:w="3191" w:type="pct"/>
            <w:vAlign w:val="center"/>
          </w:tcPr>
          <w:p w14:paraId="20083346">
            <w:pPr>
              <w:spacing w:line="360" w:lineRule="auto"/>
              <w:ind w:left="0" w:leftChars="0" w:firstLine="0" w:firstLineChars="0"/>
              <w:rPr>
                <w:rFonts w:ascii="宋体" w:hAnsi="宋体"/>
                <w:color w:val="000000"/>
                <w:kern w:val="0"/>
                <w:sz w:val="21"/>
                <w:szCs w:val="21"/>
              </w:rPr>
            </w:pPr>
            <w:r>
              <w:rPr>
                <w:rFonts w:ascii="Wingdings 2" w:hAnsi="Wingdings 2"/>
                <w:color w:val="000000"/>
                <w:sz w:val="21"/>
                <w:szCs w:val="21"/>
              </w:rPr>
              <w:sym w:font="Wingdings 2" w:char="F0A3"/>
            </w:r>
            <w:r>
              <w:rPr>
                <w:rFonts w:hint="eastAsia" w:ascii="宋体" w:hAnsi="宋体"/>
                <w:color w:val="000000"/>
                <w:kern w:val="0"/>
                <w:sz w:val="21"/>
                <w:szCs w:val="21"/>
              </w:rPr>
              <w:t>是，投标人需派授权代表参加开标会议简要</w:t>
            </w:r>
            <w:r>
              <w:rPr>
                <w:rFonts w:ascii="宋体" w:hAnsi="宋体"/>
                <w:color w:val="000000"/>
                <w:kern w:val="0"/>
                <w:sz w:val="21"/>
                <w:szCs w:val="21"/>
              </w:rPr>
              <w:t>述标</w:t>
            </w:r>
            <w:r>
              <w:rPr>
                <w:rFonts w:hint="eastAsia" w:ascii="宋体" w:hAnsi="宋体"/>
                <w:color w:val="000000"/>
                <w:kern w:val="0"/>
                <w:sz w:val="21"/>
                <w:szCs w:val="21"/>
              </w:rPr>
              <w:t>，并签字确认。</w:t>
            </w:r>
          </w:p>
          <w:p w14:paraId="643A6CA0">
            <w:pPr>
              <w:widowControl w:val="0"/>
              <w:autoSpaceDE w:val="0"/>
              <w:autoSpaceDN w:val="0"/>
              <w:adjustRightInd w:val="0"/>
              <w:snapToGrid w:val="0"/>
              <w:ind w:firstLine="0" w:firstLineChars="0"/>
              <w:rPr>
                <w:rFonts w:hint="eastAsia" w:ascii="宋体" w:hAnsi="宋体"/>
                <w:szCs w:val="21"/>
              </w:rPr>
            </w:pPr>
            <w:r>
              <w:rPr>
                <w:rFonts w:ascii="Wingdings 2" w:hAnsi="Wingdings 2"/>
                <w:color w:val="000000"/>
                <w:sz w:val="21"/>
                <w:szCs w:val="21"/>
              </w:rPr>
              <w:sym w:font="Wingdings 2" w:char="F052"/>
            </w:r>
            <w:r>
              <w:rPr>
                <w:rFonts w:hint="eastAsia" w:ascii="宋体" w:hAnsi="宋体"/>
                <w:color w:val="000000"/>
                <w:sz w:val="21"/>
                <w:szCs w:val="21"/>
              </w:rPr>
              <w:t>投标人自愿参加开标会议；未参加开标会议的，视为其认可招标程序。</w:t>
            </w:r>
          </w:p>
        </w:tc>
      </w:tr>
      <w:tr w14:paraId="02CF5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646AD38B">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Merge w:val="restart"/>
            <w:vAlign w:val="center"/>
          </w:tcPr>
          <w:p w14:paraId="264467B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最高限价</w:t>
            </w:r>
          </w:p>
          <w:p w14:paraId="4F1A4479">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或其计算方法</w:t>
            </w:r>
          </w:p>
        </w:tc>
        <w:tc>
          <w:tcPr>
            <w:tcW w:w="3191" w:type="pct"/>
            <w:tcBorders>
              <w:bottom w:val="single" w:color="auto" w:sz="2" w:space="0"/>
            </w:tcBorders>
            <w:vAlign w:val="center"/>
          </w:tcPr>
          <w:p w14:paraId="36A2F9BE">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设置最高限价：</w:t>
            </w:r>
          </w:p>
          <w:p w14:paraId="2C62C611">
            <w:pPr>
              <w:widowControl w:val="0"/>
              <w:autoSpaceDE w:val="0"/>
              <w:autoSpaceDN w:val="0"/>
              <w:adjustRightInd w:val="0"/>
              <w:snapToGrid w:val="0"/>
              <w:ind w:firstLine="0" w:firstLineChars="0"/>
              <w:rPr>
                <w:rFonts w:hint="eastAsia" w:ascii="宋体" w:hAnsi="宋体" w:cs="Segoe UI Symbol"/>
                <w:kern w:val="0"/>
                <w:szCs w:val="21"/>
              </w:rPr>
            </w:pPr>
            <w:bookmarkStart w:id="31" w:name="tip_risk_bookmark_3"/>
            <w:r>
              <w:rPr>
                <w:rFonts w:hint="eastAsia" w:ascii="宋体" w:hAnsi="宋体"/>
                <w:szCs w:val="21"/>
                <w:lang w:eastAsia="zh-CN"/>
              </w:rPr>
              <w:t>☑</w:t>
            </w:r>
            <w:r>
              <w:rPr>
                <w:rFonts w:hint="eastAsia" w:ascii="宋体" w:hAnsi="宋体" w:cs="Segoe UI Symbol"/>
                <w:kern w:val="0"/>
                <w:szCs w:val="21"/>
              </w:rPr>
              <w:t>最高限价（总价）：人民币</w:t>
            </w:r>
            <w:r>
              <w:rPr>
                <w:rFonts w:hint="eastAsia" w:ascii="宋体" w:hAnsi="宋体" w:cs="Segoe UI Symbol"/>
                <w:kern w:val="0"/>
                <w:szCs w:val="21"/>
                <w:lang w:val="en-US" w:eastAsia="zh-CN"/>
              </w:rPr>
              <w:t>227</w:t>
            </w:r>
            <w:r>
              <w:rPr>
                <w:rFonts w:hint="eastAsia" w:ascii="宋体" w:hAnsi="宋体" w:cs="Segoe UI Symbol"/>
                <w:kern w:val="0"/>
                <w:szCs w:val="21"/>
              </w:rPr>
              <w:t>,</w:t>
            </w:r>
            <w:r>
              <w:rPr>
                <w:rFonts w:hint="eastAsia" w:ascii="宋体" w:hAnsi="宋体" w:cs="Segoe UI Symbol"/>
                <w:kern w:val="0"/>
                <w:szCs w:val="21"/>
                <w:lang w:val="en-US" w:eastAsia="zh-CN"/>
              </w:rPr>
              <w:t>667</w:t>
            </w:r>
            <w:r>
              <w:rPr>
                <w:rFonts w:hint="eastAsia" w:ascii="宋体" w:hAnsi="宋体" w:cs="Segoe UI Symbol"/>
                <w:kern w:val="0"/>
                <w:szCs w:val="21"/>
              </w:rPr>
              <w:t>元</w:t>
            </w:r>
            <w:bookmarkEnd w:id="31"/>
          </w:p>
          <w:p w14:paraId="00A3D8D2">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□最高限价说明或其计算方法：</w:t>
            </w:r>
            <w:r>
              <w:rPr>
                <w:rFonts w:ascii="宋体" w:hAnsi="宋体" w:cs="Segoe UI Symbol"/>
                <w:kern w:val="0"/>
                <w:szCs w:val="21"/>
                <w:u w:val="single"/>
              </w:rPr>
              <w:t xml:space="preserve">                     </w:t>
            </w:r>
          </w:p>
        </w:tc>
      </w:tr>
      <w:tr w14:paraId="195FD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80" w:type="pct"/>
            <w:vMerge w:val="continue"/>
            <w:vAlign w:val="center"/>
          </w:tcPr>
          <w:p w14:paraId="31288FE3">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Merge w:val="continue"/>
            <w:vAlign w:val="center"/>
          </w:tcPr>
          <w:p w14:paraId="22694CEF">
            <w:pPr>
              <w:widowControl w:val="0"/>
              <w:autoSpaceDE w:val="0"/>
              <w:autoSpaceDN w:val="0"/>
              <w:adjustRightInd w:val="0"/>
              <w:snapToGrid w:val="0"/>
              <w:ind w:firstLine="0" w:firstLineChars="0"/>
              <w:jc w:val="center"/>
              <w:rPr>
                <w:rFonts w:hint="eastAsia" w:ascii="宋体" w:hAnsi="宋体"/>
                <w:kern w:val="0"/>
                <w:szCs w:val="21"/>
              </w:rPr>
            </w:pPr>
          </w:p>
        </w:tc>
        <w:tc>
          <w:tcPr>
            <w:tcW w:w="3191" w:type="pct"/>
            <w:tcBorders>
              <w:top w:val="single" w:color="auto" w:sz="2" w:space="0"/>
            </w:tcBorders>
            <w:vAlign w:val="center"/>
          </w:tcPr>
          <w:p w14:paraId="1EC84219">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□不设置最高限价</w:t>
            </w:r>
          </w:p>
        </w:tc>
      </w:tr>
      <w:tr w14:paraId="38A6B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55D2C580">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1D6C8AE1">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投标有效期</w:t>
            </w:r>
          </w:p>
        </w:tc>
        <w:tc>
          <w:tcPr>
            <w:tcW w:w="3191" w:type="pct"/>
            <w:vAlign w:val="center"/>
          </w:tcPr>
          <w:p w14:paraId="45844BBE">
            <w:pPr>
              <w:widowControl w:val="0"/>
              <w:autoSpaceDE w:val="0"/>
              <w:autoSpaceDN w:val="0"/>
              <w:adjustRightInd w:val="0"/>
              <w:snapToGrid w:val="0"/>
              <w:ind w:firstLine="0" w:firstLineChars="0"/>
              <w:rPr>
                <w:rFonts w:ascii="宋体" w:hAnsi="宋体"/>
                <w:szCs w:val="21"/>
                <w:shd w:val="clear" w:color="auto" w:fill="FFFFFF"/>
              </w:rPr>
            </w:pPr>
            <w:r>
              <w:rPr>
                <w:rFonts w:hint="eastAsia" w:ascii="宋体" w:hAnsi="宋体"/>
                <w:kern w:val="0"/>
                <w:szCs w:val="21"/>
                <w:u w:val="single"/>
                <w:shd w:val="clear" w:color="auto" w:fill="FFFFFF"/>
              </w:rPr>
              <w:t xml:space="preserve">  120   </w:t>
            </w:r>
            <w:r>
              <w:rPr>
                <w:rFonts w:hint="eastAsia" w:ascii="宋体" w:hAnsi="宋体"/>
                <w:szCs w:val="21"/>
                <w:shd w:val="clear" w:color="auto" w:fill="FFFFFF"/>
              </w:rPr>
              <w:t>个日历日（自投标截止之日起算）</w:t>
            </w:r>
          </w:p>
        </w:tc>
      </w:tr>
      <w:tr w14:paraId="5825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547AABA3">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0F7D2FBC">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评标方法</w:t>
            </w:r>
          </w:p>
        </w:tc>
        <w:tc>
          <w:tcPr>
            <w:tcW w:w="3191" w:type="pct"/>
            <w:vAlign w:val="center"/>
          </w:tcPr>
          <w:p w14:paraId="03630821">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szCs w:val="21"/>
                <w:lang w:eastAsia="zh-CN"/>
              </w:rPr>
              <w:t>☑</w:t>
            </w:r>
            <w:r>
              <w:rPr>
                <w:rFonts w:hint="eastAsia" w:ascii="宋体" w:hAnsi="宋体" w:cs="Segoe UI Symbol"/>
                <w:kern w:val="0"/>
                <w:szCs w:val="21"/>
              </w:rPr>
              <w:t>综合评估法</w:t>
            </w:r>
          </w:p>
          <w:p w14:paraId="36127745">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w:t>
            </w:r>
            <w:r>
              <w:rPr>
                <w:rFonts w:hint="eastAsia" w:ascii="宋体" w:hAnsi="宋体"/>
                <w:szCs w:val="21"/>
              </w:rPr>
              <w:t>经评审的最低投标价法</w:t>
            </w:r>
          </w:p>
          <w:p w14:paraId="1963098B">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□定性评审法</w:t>
            </w:r>
          </w:p>
          <w:p w14:paraId="173DF72F">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□其他：</w:t>
            </w:r>
            <w:r>
              <w:rPr>
                <w:rFonts w:ascii="宋体" w:hAnsi="宋体" w:cs="Segoe UI Symbol"/>
                <w:kern w:val="0"/>
                <w:szCs w:val="21"/>
                <w:u w:val="single"/>
              </w:rPr>
              <w:t xml:space="preserve">                     </w:t>
            </w:r>
          </w:p>
        </w:tc>
      </w:tr>
      <w:tr w14:paraId="5B64F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restart"/>
            <w:vAlign w:val="center"/>
          </w:tcPr>
          <w:p w14:paraId="22F3B6D8">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71E269B6">
            <w:pPr>
              <w:widowControl w:val="0"/>
              <w:autoSpaceDE w:val="0"/>
              <w:autoSpaceDN w:val="0"/>
              <w:adjustRightInd w:val="0"/>
              <w:snapToGrid w:val="0"/>
              <w:ind w:firstLine="0" w:firstLineChars="0"/>
              <w:jc w:val="center"/>
              <w:rPr>
                <w:rFonts w:ascii="宋体" w:hAnsi="宋体"/>
              </w:rPr>
            </w:pPr>
            <w:r>
              <w:rPr>
                <w:rFonts w:hint="eastAsia" w:ascii="宋体" w:hAnsi="宋体"/>
              </w:rPr>
              <w:t>推荐中标</w:t>
            </w:r>
          </w:p>
          <w:p w14:paraId="0C102B2F">
            <w:pPr>
              <w:widowControl w:val="0"/>
              <w:autoSpaceDE w:val="0"/>
              <w:autoSpaceDN w:val="0"/>
              <w:adjustRightInd w:val="0"/>
              <w:snapToGrid w:val="0"/>
              <w:ind w:firstLine="0" w:firstLineChars="0"/>
              <w:jc w:val="center"/>
              <w:rPr>
                <w:rFonts w:ascii="宋体" w:hAnsi="宋体"/>
                <w:szCs w:val="21"/>
              </w:rPr>
            </w:pPr>
            <w:r>
              <w:rPr>
                <w:rFonts w:hint="eastAsia" w:ascii="宋体" w:hAnsi="宋体"/>
              </w:rPr>
              <w:t>候选人数量</w:t>
            </w:r>
          </w:p>
        </w:tc>
        <w:tc>
          <w:tcPr>
            <w:tcW w:w="3191" w:type="pct"/>
            <w:tcBorders>
              <w:bottom w:val="single" w:color="auto" w:sz="2" w:space="0"/>
            </w:tcBorders>
            <w:vAlign w:val="center"/>
          </w:tcPr>
          <w:p w14:paraId="7CBF6A99">
            <w:pPr>
              <w:widowControl w:val="0"/>
              <w:autoSpaceDE w:val="0"/>
              <w:autoSpaceDN w:val="0"/>
              <w:adjustRightInd w:val="0"/>
              <w:snapToGrid w:val="0"/>
              <w:ind w:firstLine="0" w:firstLineChars="0"/>
              <w:rPr>
                <w:rFonts w:ascii="宋体" w:hAnsi="宋体" w:cs="宋体"/>
                <w:szCs w:val="21"/>
              </w:rPr>
            </w:pPr>
            <w:r>
              <w:rPr>
                <w:rFonts w:hint="eastAsia" w:ascii="宋体" w:hAnsi="宋体"/>
                <w:szCs w:val="21"/>
              </w:rPr>
              <w:t>☑</w:t>
            </w:r>
            <w:r>
              <w:rPr>
                <w:rFonts w:hint="eastAsia" w:ascii="宋体" w:hAnsi="宋体" w:cs="Segoe UI Symbol"/>
                <w:kern w:val="0"/>
                <w:szCs w:val="21"/>
              </w:rPr>
              <w:t>评标委员会</w:t>
            </w:r>
            <w:r>
              <w:rPr>
                <w:rFonts w:ascii="宋体" w:hAnsi="宋体" w:cs="Segoe UI Symbol"/>
                <w:kern w:val="0"/>
                <w:szCs w:val="21"/>
              </w:rPr>
              <w:t>推荐的中标候选人数</w:t>
            </w:r>
            <w:r>
              <w:rPr>
                <w:rFonts w:hint="eastAsia" w:ascii="宋体" w:hAnsi="宋体" w:cs="Segoe UI Symbol"/>
                <w:kern w:val="0"/>
                <w:szCs w:val="21"/>
              </w:rPr>
              <w:t>：</w:t>
            </w:r>
            <w:r>
              <w:rPr>
                <w:rFonts w:hint="eastAsia" w:ascii="宋体" w:hAnsi="宋体" w:cs="Segoe UI Symbol"/>
                <w:kern w:val="0"/>
                <w:szCs w:val="21"/>
                <w:u w:val="single"/>
              </w:rPr>
              <w:t xml:space="preserve"> </w:t>
            </w:r>
            <w:r>
              <w:rPr>
                <w:rFonts w:ascii="宋体" w:hAnsi="宋体" w:cs="Segoe UI Symbol"/>
                <w:kern w:val="0"/>
                <w:szCs w:val="21"/>
                <w:u w:val="single"/>
              </w:rPr>
              <w:t>1</w:t>
            </w:r>
            <w:r>
              <w:rPr>
                <w:rFonts w:hint="eastAsia" w:ascii="宋体" w:hAnsi="宋体" w:cs="Segoe UI Symbol"/>
                <w:kern w:val="0"/>
                <w:szCs w:val="21"/>
                <w:u w:val="single"/>
              </w:rPr>
              <w:t xml:space="preserve">  </w:t>
            </w:r>
            <w:r>
              <w:rPr>
                <w:rFonts w:hint="eastAsia" w:ascii="宋体" w:hAnsi="宋体" w:cs="Segoe UI Symbol"/>
                <w:kern w:val="0"/>
                <w:szCs w:val="21"/>
              </w:rPr>
              <w:t>个。</w:t>
            </w:r>
          </w:p>
          <w:p w14:paraId="517DDDBE">
            <w:pPr>
              <w:widowControl w:val="0"/>
              <w:autoSpaceDE w:val="0"/>
              <w:autoSpaceDN w:val="0"/>
              <w:adjustRightInd w:val="0"/>
              <w:snapToGrid w:val="0"/>
              <w:ind w:firstLine="0" w:firstLineChars="0"/>
              <w:rPr>
                <w:rFonts w:hint="eastAsia" w:ascii="宋体" w:hAnsi="宋体" w:cs="Segoe UI Symbol"/>
                <w:kern w:val="0"/>
                <w:szCs w:val="21"/>
              </w:rPr>
            </w:pPr>
            <w:r>
              <w:rPr>
                <w:rFonts w:hint="eastAsia" w:ascii="宋体" w:hAnsi="宋体" w:cs="Segoe UI Symbol"/>
                <w:kern w:val="0"/>
                <w:szCs w:val="21"/>
              </w:rPr>
              <w:t>（</w:t>
            </w:r>
            <w:r>
              <w:rPr>
                <w:rFonts w:hint="eastAsia" w:ascii="宋体" w:hAnsi="宋体" w:cs="宋体"/>
                <w:szCs w:val="21"/>
              </w:rPr>
              <w:t>适用于采用</w:t>
            </w:r>
            <w:r>
              <w:rPr>
                <w:rFonts w:hint="eastAsia" w:ascii="宋体" w:hAnsi="宋体" w:cs="宋体"/>
                <w:b/>
                <w:bCs/>
                <w:szCs w:val="21"/>
              </w:rPr>
              <w:t>综合评估法</w:t>
            </w:r>
            <w:r>
              <w:rPr>
                <w:rFonts w:hint="eastAsia" w:ascii="宋体" w:hAnsi="宋体" w:cs="宋体"/>
                <w:szCs w:val="21"/>
              </w:rPr>
              <w:t>、</w:t>
            </w:r>
            <w:r>
              <w:rPr>
                <w:rFonts w:hint="eastAsia" w:ascii="宋体" w:hAnsi="宋体" w:cs="宋体"/>
                <w:b/>
                <w:bCs/>
                <w:szCs w:val="21"/>
              </w:rPr>
              <w:t>经评审的最低投标价法）</w:t>
            </w:r>
          </w:p>
        </w:tc>
      </w:tr>
      <w:tr w14:paraId="682DB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Merge w:val="continue"/>
            <w:vAlign w:val="center"/>
          </w:tcPr>
          <w:p w14:paraId="1A1E0945">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227" w:type="pct"/>
            <w:vAlign w:val="center"/>
          </w:tcPr>
          <w:p w14:paraId="7E5C6274">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cs="宋体"/>
                <w:szCs w:val="21"/>
              </w:rPr>
              <w:t>中标人数量</w:t>
            </w:r>
          </w:p>
        </w:tc>
        <w:tc>
          <w:tcPr>
            <w:tcW w:w="3191" w:type="pct"/>
            <w:tcBorders>
              <w:top w:val="single" w:color="auto" w:sz="2" w:space="0"/>
            </w:tcBorders>
            <w:vAlign w:val="center"/>
          </w:tcPr>
          <w:p w14:paraId="55472D0A">
            <w:pPr>
              <w:widowControl w:val="0"/>
              <w:autoSpaceDE w:val="0"/>
              <w:autoSpaceDN w:val="0"/>
              <w:adjustRightInd w:val="0"/>
              <w:snapToGrid w:val="0"/>
              <w:ind w:firstLine="0" w:firstLineChars="0"/>
              <w:rPr>
                <w:rFonts w:hint="eastAsia" w:ascii="宋体" w:hAnsi="宋体"/>
                <w:szCs w:val="21"/>
              </w:rPr>
            </w:pPr>
            <w:r>
              <w:rPr>
                <w:rFonts w:hint="eastAsia" w:ascii="宋体" w:hAnsi="宋体" w:cs="Segoe UI Symbol"/>
                <w:kern w:val="0"/>
                <w:szCs w:val="21"/>
                <w:u w:val="single"/>
              </w:rPr>
              <w:t xml:space="preserve">1 </w:t>
            </w:r>
            <w:r>
              <w:rPr>
                <w:rFonts w:hint="eastAsia" w:ascii="宋体" w:hAnsi="宋体" w:cs="Segoe UI Symbol"/>
                <w:kern w:val="0"/>
                <w:szCs w:val="21"/>
              </w:rPr>
              <w:t>个</w:t>
            </w:r>
          </w:p>
        </w:tc>
      </w:tr>
      <w:tr w14:paraId="23097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3A1C773A">
            <w:pPr>
              <w:widowControl w:val="0"/>
              <w:numPr>
                <w:ilvl w:val="0"/>
                <w:numId w:val="1"/>
              </w:numPr>
              <w:autoSpaceDE w:val="0"/>
              <w:autoSpaceDN w:val="0"/>
              <w:adjustRightInd w:val="0"/>
              <w:snapToGrid w:val="0"/>
              <w:ind w:firstLineChars="0"/>
              <w:jc w:val="center"/>
              <w:rPr>
                <w:rFonts w:hint="eastAsia" w:ascii="宋体" w:hAnsi="宋体"/>
                <w:szCs w:val="21"/>
              </w:rPr>
            </w:pPr>
          </w:p>
        </w:tc>
        <w:tc>
          <w:tcPr>
            <w:tcW w:w="1227" w:type="pct"/>
            <w:vAlign w:val="center"/>
          </w:tcPr>
          <w:p w14:paraId="4C66C873">
            <w:pPr>
              <w:widowControl w:val="0"/>
              <w:autoSpaceDE w:val="0"/>
              <w:autoSpaceDN w:val="0"/>
              <w:adjustRightInd w:val="0"/>
              <w:snapToGrid w:val="0"/>
              <w:ind w:firstLine="0" w:firstLineChars="0"/>
              <w:jc w:val="center"/>
              <w:rPr>
                <w:rFonts w:hint="eastAsia" w:ascii="宋体" w:hAnsi="宋体" w:cs="宋体"/>
                <w:szCs w:val="21"/>
              </w:rPr>
            </w:pPr>
            <w:r>
              <w:rPr>
                <w:rFonts w:hint="eastAsia" w:ascii="宋体" w:hAnsi="宋体"/>
                <w:szCs w:val="21"/>
              </w:rPr>
              <w:t>定标</w:t>
            </w:r>
            <w:r>
              <w:rPr>
                <w:rFonts w:hint="eastAsia" w:ascii="宋体" w:hAnsi="宋体" w:cs="宋体"/>
                <w:szCs w:val="21"/>
              </w:rPr>
              <w:t>方式</w:t>
            </w:r>
          </w:p>
        </w:tc>
        <w:tc>
          <w:tcPr>
            <w:tcW w:w="3191" w:type="pct"/>
            <w:tcBorders>
              <w:top w:val="single" w:color="auto" w:sz="2" w:space="0"/>
            </w:tcBorders>
            <w:vAlign w:val="center"/>
          </w:tcPr>
          <w:p w14:paraId="12ACA4A1">
            <w:pPr>
              <w:widowControl w:val="0"/>
              <w:autoSpaceDE w:val="0"/>
              <w:autoSpaceDN w:val="0"/>
              <w:adjustRightInd w:val="0"/>
              <w:snapToGrid w:val="0"/>
              <w:ind w:firstLine="0" w:firstLineChars="0"/>
              <w:rPr>
                <w:rFonts w:hint="eastAsia" w:ascii="宋体" w:hAnsi="宋体"/>
                <w:kern w:val="0"/>
              </w:rPr>
            </w:pPr>
            <w:r>
              <w:rPr>
                <w:rFonts w:hint="eastAsia" w:ascii="宋体" w:hAnsi="宋体"/>
                <w:szCs w:val="21"/>
              </w:rPr>
              <w:t>☑</w:t>
            </w:r>
            <w:r>
              <w:rPr>
                <w:rFonts w:hint="eastAsia" w:ascii="宋体" w:hAnsi="宋体" w:cs="Courier New"/>
                <w:kern w:val="0"/>
                <w:szCs w:val="21"/>
              </w:rPr>
              <w:t>由评标委员会直接确定第一中标候选人为</w:t>
            </w:r>
            <w:r>
              <w:rPr>
                <w:rFonts w:hint="eastAsia" w:ascii="宋体" w:hAnsi="宋体"/>
                <w:kern w:val="0"/>
              </w:rPr>
              <w:t>中标人</w:t>
            </w:r>
          </w:p>
        </w:tc>
      </w:tr>
      <w:tr w14:paraId="38CF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pct"/>
            <w:vAlign w:val="center"/>
          </w:tcPr>
          <w:p w14:paraId="7E8ABA6F">
            <w:pPr>
              <w:widowControl w:val="0"/>
              <w:numPr>
                <w:ilvl w:val="0"/>
                <w:numId w:val="1"/>
              </w:numPr>
              <w:autoSpaceDE w:val="0"/>
              <w:autoSpaceDN w:val="0"/>
              <w:adjustRightInd w:val="0"/>
              <w:snapToGrid w:val="0"/>
              <w:ind w:firstLineChars="0"/>
              <w:jc w:val="center"/>
              <w:rPr>
                <w:rFonts w:ascii="宋体" w:hAnsi="宋体"/>
                <w:bCs/>
                <w:szCs w:val="21"/>
              </w:rPr>
            </w:pPr>
          </w:p>
        </w:tc>
        <w:tc>
          <w:tcPr>
            <w:tcW w:w="1227" w:type="pct"/>
            <w:vAlign w:val="center"/>
          </w:tcPr>
          <w:p w14:paraId="4C1A0C21">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shd w:val="clear" w:color="auto" w:fill="FFFFFF"/>
              </w:rPr>
              <w:t>签订</w:t>
            </w:r>
            <w:r>
              <w:rPr>
                <w:rFonts w:ascii="宋体" w:hAnsi="宋体"/>
                <w:szCs w:val="21"/>
                <w:shd w:val="clear" w:color="auto" w:fill="FFFFFF"/>
              </w:rPr>
              <w:t>合同</w:t>
            </w:r>
            <w:r>
              <w:rPr>
                <w:rFonts w:hint="eastAsia" w:ascii="宋体" w:hAnsi="宋体"/>
                <w:szCs w:val="21"/>
                <w:shd w:val="clear" w:color="auto" w:fill="FFFFFF"/>
              </w:rPr>
              <w:t>时间</w:t>
            </w:r>
          </w:p>
        </w:tc>
        <w:tc>
          <w:tcPr>
            <w:tcW w:w="3191" w:type="pct"/>
            <w:vAlign w:val="center"/>
          </w:tcPr>
          <w:p w14:paraId="7B41DFD1">
            <w:pPr>
              <w:widowControl w:val="0"/>
              <w:autoSpaceDE w:val="0"/>
              <w:autoSpaceDN w:val="0"/>
              <w:adjustRightInd w:val="0"/>
              <w:snapToGrid w:val="0"/>
              <w:ind w:firstLine="0" w:firstLineChars="0"/>
              <w:rPr>
                <w:rFonts w:ascii="宋体" w:hAnsi="宋体"/>
                <w:szCs w:val="21"/>
                <w:shd w:val="clear" w:color="auto" w:fill="FFFFFF"/>
              </w:rPr>
            </w:pPr>
            <w:r>
              <w:rPr>
                <w:rFonts w:hint="eastAsia" w:ascii="宋体" w:hAnsi="宋体"/>
                <w:szCs w:val="21"/>
                <w:shd w:val="clear" w:color="auto" w:fill="FFFFFF"/>
              </w:rPr>
              <w:t>中标通知书发出之日起</w:t>
            </w:r>
            <w:r>
              <w:rPr>
                <w:rFonts w:ascii="宋体" w:hAnsi="宋体"/>
                <w:szCs w:val="21"/>
                <w:u w:val="single"/>
                <w:shd w:val="clear" w:color="auto" w:fill="FFFFFF"/>
              </w:rPr>
              <w:t xml:space="preserve"> </w:t>
            </w:r>
            <w:r>
              <w:rPr>
                <w:rFonts w:hint="eastAsia" w:ascii="宋体" w:hAnsi="宋体"/>
                <w:szCs w:val="21"/>
                <w:u w:val="single"/>
                <w:shd w:val="clear" w:color="auto" w:fill="FFFFFF"/>
              </w:rPr>
              <w:t xml:space="preserve">30 </w:t>
            </w:r>
            <w:r>
              <w:rPr>
                <w:rFonts w:hint="eastAsia" w:ascii="宋体" w:hAnsi="宋体"/>
                <w:szCs w:val="21"/>
                <w:shd w:val="clear" w:color="auto" w:fill="FFFFFF"/>
              </w:rPr>
              <w:t>日内。</w:t>
            </w:r>
          </w:p>
        </w:tc>
      </w:tr>
    </w:tbl>
    <w:p w14:paraId="69828AB2">
      <w:pPr>
        <w:widowControl w:val="0"/>
        <w:autoSpaceDE w:val="0"/>
        <w:autoSpaceDN w:val="0"/>
        <w:adjustRightInd w:val="0"/>
        <w:snapToGrid w:val="0"/>
        <w:ind w:firstLine="0" w:firstLineChars="0"/>
        <w:jc w:val="left"/>
        <w:rPr>
          <w:rFonts w:ascii="宋体" w:hAnsi="宋体"/>
        </w:rPr>
      </w:pPr>
    </w:p>
    <w:p w14:paraId="038E9B72">
      <w:pPr>
        <w:ind w:firstLine="420"/>
      </w:pPr>
      <w:r>
        <w:br w:type="page"/>
      </w:r>
    </w:p>
    <w:tbl>
      <w:tblPr>
        <w:tblStyle w:val="51"/>
        <w:tblW w:w="4710" w:type="pct"/>
        <w:tblInd w:w="-23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815"/>
        <w:gridCol w:w="1746"/>
        <w:gridCol w:w="5468"/>
      </w:tblGrid>
      <w:tr w14:paraId="1F461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82" w:hRule="atLeast"/>
        </w:trPr>
        <w:tc>
          <w:tcPr>
            <w:tcW w:w="5000" w:type="pct"/>
            <w:gridSpan w:val="3"/>
            <w:shd w:val="clear" w:color="auto" w:fill="D9E2F3"/>
            <w:vAlign w:val="center"/>
          </w:tcPr>
          <w:p w14:paraId="74B32D11">
            <w:pPr>
              <w:widowControl w:val="0"/>
              <w:autoSpaceDE w:val="0"/>
              <w:autoSpaceDN w:val="0"/>
              <w:adjustRightInd w:val="0"/>
              <w:snapToGrid w:val="0"/>
              <w:spacing w:line="240" w:lineRule="auto"/>
              <w:ind w:firstLine="0" w:firstLineChars="0"/>
              <w:jc w:val="center"/>
              <w:rPr>
                <w:rFonts w:ascii="宋体" w:hAnsi="宋体"/>
                <w:sz w:val="32"/>
                <w:szCs w:val="32"/>
                <w:shd w:val="clear" w:color="auto" w:fill="FFFFFF"/>
              </w:rPr>
            </w:pPr>
            <w:r>
              <w:br w:type="page"/>
            </w:r>
            <w:r>
              <w:rPr>
                <w:rFonts w:ascii="宋体" w:hAnsi="宋体"/>
              </w:rPr>
              <w:br w:type="page"/>
            </w:r>
            <w:r>
              <w:rPr>
                <w:rFonts w:hint="eastAsia" w:ascii="宋体" w:hAnsi="宋体"/>
                <w:b/>
                <w:sz w:val="32"/>
                <w:szCs w:val="32"/>
              </w:rPr>
              <w:t>投标人须知前附表（二）</w:t>
            </w:r>
          </w:p>
        </w:tc>
      </w:tr>
      <w:tr w14:paraId="52F314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8" w:type="pct"/>
            <w:shd w:val="clear" w:color="auto" w:fill="FFFFFF"/>
            <w:vAlign w:val="center"/>
          </w:tcPr>
          <w:p w14:paraId="1350AF39">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087" w:type="pct"/>
            <w:shd w:val="clear" w:color="auto" w:fill="FFFFFF"/>
            <w:vAlign w:val="center"/>
          </w:tcPr>
          <w:p w14:paraId="61BCE2E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名称</w:t>
            </w:r>
          </w:p>
        </w:tc>
        <w:tc>
          <w:tcPr>
            <w:tcW w:w="3405" w:type="pct"/>
            <w:shd w:val="clear" w:color="auto" w:fill="FFFFFF"/>
            <w:vAlign w:val="center"/>
          </w:tcPr>
          <w:p w14:paraId="17DF8172">
            <w:pPr>
              <w:widowControl w:val="0"/>
              <w:autoSpaceDE w:val="0"/>
              <w:autoSpaceDN w:val="0"/>
              <w:adjustRightInd w:val="0"/>
              <w:snapToGrid w:val="0"/>
              <w:ind w:firstLine="0" w:firstLineChars="0"/>
              <w:jc w:val="center"/>
              <w:rPr>
                <w:rFonts w:ascii="宋体" w:hAnsi="宋体"/>
                <w:b/>
                <w:szCs w:val="21"/>
                <w:shd w:val="clear" w:color="auto" w:fill="FFFFFF"/>
              </w:rPr>
            </w:pPr>
            <w:r>
              <w:rPr>
                <w:rFonts w:ascii="宋体" w:hAnsi="宋体"/>
                <w:b/>
                <w:szCs w:val="21"/>
              </w:rPr>
              <w:t>编列内容</w:t>
            </w:r>
          </w:p>
        </w:tc>
      </w:tr>
      <w:tr w14:paraId="4E546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40" w:hRule="atLeast"/>
        </w:trPr>
        <w:tc>
          <w:tcPr>
            <w:tcW w:w="508" w:type="pct"/>
            <w:shd w:val="clear" w:color="auto" w:fill="FFFFFF"/>
            <w:vAlign w:val="center"/>
          </w:tcPr>
          <w:p w14:paraId="0C7FABA8">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11624EC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资金来源</w:t>
            </w:r>
          </w:p>
          <w:p w14:paraId="6291EF8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和落实情况</w:t>
            </w:r>
          </w:p>
        </w:tc>
        <w:tc>
          <w:tcPr>
            <w:tcW w:w="3405" w:type="pct"/>
            <w:shd w:val="clear" w:color="auto" w:fill="FFFFFF"/>
            <w:vAlign w:val="center"/>
          </w:tcPr>
          <w:p w14:paraId="04531AC8">
            <w:pPr>
              <w:widowControl w:val="0"/>
              <w:autoSpaceDE w:val="0"/>
              <w:autoSpaceDN w:val="0"/>
              <w:adjustRightInd w:val="0"/>
              <w:snapToGrid w:val="0"/>
              <w:ind w:firstLine="0" w:firstLineChars="0"/>
              <w:rPr>
                <w:rFonts w:ascii="宋体" w:hAnsi="宋体"/>
                <w:szCs w:val="21"/>
              </w:rPr>
            </w:pPr>
            <w:r>
              <w:rPr>
                <w:rFonts w:hint="eastAsia" w:ascii="宋体" w:hAnsi="宋体"/>
                <w:szCs w:val="21"/>
              </w:rPr>
              <w:t>资金来源：</w:t>
            </w:r>
            <w:r>
              <w:rPr>
                <w:rFonts w:hint="eastAsia" w:ascii="宋体" w:hAnsi="宋体" w:cs="宋体"/>
                <w:szCs w:val="21"/>
              </w:rPr>
              <w:t>企业自筹</w:t>
            </w:r>
          </w:p>
          <w:p w14:paraId="4DA13B40">
            <w:pPr>
              <w:widowControl w:val="0"/>
              <w:autoSpaceDE w:val="0"/>
              <w:autoSpaceDN w:val="0"/>
              <w:adjustRightInd w:val="0"/>
              <w:snapToGrid w:val="0"/>
              <w:ind w:firstLine="0" w:firstLineChars="0"/>
              <w:rPr>
                <w:rFonts w:ascii="宋体" w:hAnsi="宋体"/>
                <w:szCs w:val="21"/>
              </w:rPr>
            </w:pPr>
            <w:r>
              <w:rPr>
                <w:rFonts w:hint="eastAsia" w:ascii="宋体" w:hAnsi="宋体"/>
                <w:szCs w:val="21"/>
              </w:rPr>
              <w:t>出资比例：100%</w:t>
            </w:r>
          </w:p>
          <w:p w14:paraId="2D7FE683">
            <w:pPr>
              <w:widowControl w:val="0"/>
              <w:autoSpaceDE w:val="0"/>
              <w:autoSpaceDN w:val="0"/>
              <w:adjustRightInd w:val="0"/>
              <w:snapToGrid w:val="0"/>
              <w:ind w:firstLine="0" w:firstLineChars="0"/>
              <w:rPr>
                <w:rFonts w:ascii="宋体" w:hAnsi="宋体"/>
                <w:szCs w:val="21"/>
                <w:u w:val="single"/>
              </w:rPr>
            </w:pPr>
            <w:r>
              <w:rPr>
                <w:rFonts w:hint="eastAsia" w:ascii="宋体" w:hAnsi="宋体"/>
                <w:szCs w:val="21"/>
              </w:rPr>
              <w:t>资金落实情况：☑已落实 □未落实 □其他：</w:t>
            </w:r>
            <w:r>
              <w:rPr>
                <w:rFonts w:hint="eastAsia" w:ascii="宋体" w:hAnsi="宋体"/>
                <w:szCs w:val="21"/>
                <w:u w:val="single"/>
              </w:rPr>
              <w:t xml:space="preserve">          </w:t>
            </w:r>
          </w:p>
        </w:tc>
      </w:tr>
      <w:tr w14:paraId="2D832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8" w:hRule="atLeast"/>
        </w:trPr>
        <w:tc>
          <w:tcPr>
            <w:tcW w:w="508" w:type="pct"/>
            <w:vMerge w:val="restart"/>
            <w:shd w:val="clear" w:color="auto" w:fill="FFFFFF"/>
            <w:vAlign w:val="center"/>
          </w:tcPr>
          <w:p w14:paraId="19A974E6">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560348A5">
            <w:pPr>
              <w:widowControl w:val="0"/>
              <w:autoSpaceDE w:val="0"/>
              <w:autoSpaceDN w:val="0"/>
              <w:adjustRightInd w:val="0"/>
              <w:snapToGrid w:val="0"/>
              <w:ind w:firstLine="0" w:firstLineChars="0"/>
              <w:jc w:val="center"/>
              <w:rPr>
                <w:rFonts w:ascii="宋体" w:hAnsi="宋体"/>
                <w:szCs w:val="21"/>
              </w:rPr>
            </w:pPr>
            <w:bookmarkStart w:id="32" w:name="tip_risk_bookmark_4"/>
            <w:r>
              <w:rPr>
                <w:rFonts w:ascii="宋体" w:hAnsi="宋体"/>
                <w:szCs w:val="21"/>
              </w:rPr>
              <w:t>招标范围</w:t>
            </w:r>
            <w:bookmarkEnd w:id="32"/>
          </w:p>
        </w:tc>
        <w:tc>
          <w:tcPr>
            <w:tcW w:w="3405" w:type="pct"/>
            <w:shd w:val="clear" w:color="auto" w:fill="FFFFFF"/>
            <w:vAlign w:val="center"/>
          </w:tcPr>
          <w:p w14:paraId="6E64E4E9">
            <w:pPr>
              <w:widowControl w:val="0"/>
              <w:autoSpaceDE w:val="0"/>
              <w:autoSpaceDN w:val="0"/>
              <w:adjustRightInd w:val="0"/>
              <w:snapToGrid w:val="0"/>
              <w:ind w:firstLine="0" w:firstLineChars="0"/>
              <w:rPr>
                <w:rFonts w:ascii="宋体" w:hAnsi="宋体"/>
                <w:szCs w:val="21"/>
              </w:rPr>
            </w:pPr>
          </w:p>
        </w:tc>
      </w:tr>
      <w:tr w14:paraId="354E97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2" w:hRule="atLeast"/>
        </w:trPr>
        <w:tc>
          <w:tcPr>
            <w:tcW w:w="508" w:type="pct"/>
            <w:vMerge w:val="continue"/>
            <w:shd w:val="clear" w:color="auto" w:fill="FFFFFF"/>
            <w:vAlign w:val="center"/>
          </w:tcPr>
          <w:p w14:paraId="6FBCA05C">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shd w:val="clear" w:color="auto" w:fill="FFFFFF"/>
            <w:vAlign w:val="center"/>
          </w:tcPr>
          <w:p w14:paraId="2FDEE8DD">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项目概况</w:t>
            </w:r>
          </w:p>
        </w:tc>
        <w:tc>
          <w:tcPr>
            <w:tcW w:w="3405" w:type="pct"/>
            <w:shd w:val="clear" w:color="auto" w:fill="FFFFFF"/>
            <w:vAlign w:val="center"/>
          </w:tcPr>
          <w:p w14:paraId="455AB70E">
            <w:pPr>
              <w:widowControl w:val="0"/>
              <w:autoSpaceDE w:val="0"/>
              <w:autoSpaceDN w:val="0"/>
              <w:adjustRightInd w:val="0"/>
              <w:snapToGrid w:val="0"/>
              <w:ind w:firstLine="0" w:firstLineChars="0"/>
              <w:rPr>
                <w:rFonts w:ascii="宋体" w:hAnsi="宋体"/>
                <w:szCs w:val="21"/>
              </w:rPr>
            </w:pPr>
            <w:r>
              <w:rPr>
                <w:rFonts w:hint="eastAsia" w:ascii="宋体" w:hAnsi="宋体"/>
                <w:szCs w:val="21"/>
              </w:rPr>
              <w:t>本项目为深圳市网羽中心运营管理有限公司员工食堂后厨综合保障服务采购项目，为保障公司员工食堂常态化、标准化、安全化运营，满足全体员工早、中、晚日常就餐需求，现通过公开招标方式选取专业服务商，承接食堂后厨全流程保障服务。公司食堂餐人数约为40-50人，服务商需派驻专业后厨人员驻场服务，全面负责餐食制作、食品安全管控、后厨环境清洁、设备运维、台账管理等全部后厨工作，全程服从甲方统一管理调度，承担服务期间食品安全主体责任及相关运营责任。</w:t>
            </w:r>
          </w:p>
        </w:tc>
      </w:tr>
      <w:tr w14:paraId="4CDF7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1" w:hRule="atLeast"/>
        </w:trPr>
        <w:tc>
          <w:tcPr>
            <w:tcW w:w="508" w:type="pct"/>
            <w:shd w:val="clear" w:color="auto" w:fill="FFFFFF"/>
            <w:vAlign w:val="center"/>
          </w:tcPr>
          <w:p w14:paraId="7A9EB6A9">
            <w:pPr>
              <w:widowControl w:val="0"/>
              <w:numPr>
                <w:ilvl w:val="0"/>
                <w:numId w:val="1"/>
              </w:numPr>
              <w:autoSpaceDE w:val="0"/>
              <w:autoSpaceDN w:val="0"/>
              <w:adjustRightInd w:val="0"/>
              <w:snapToGrid w:val="0"/>
              <w:ind w:firstLineChars="0"/>
              <w:jc w:val="center"/>
              <w:rPr>
                <w:rFonts w:ascii="宋体" w:hAnsi="宋体"/>
                <w:bCs/>
                <w:szCs w:val="21"/>
              </w:rPr>
            </w:pPr>
            <w:bookmarkStart w:id="33" w:name="tip_risk_bookmark_5" w:colFirst="1" w:colLast="2"/>
          </w:p>
        </w:tc>
        <w:tc>
          <w:tcPr>
            <w:tcW w:w="1087" w:type="pct"/>
            <w:shd w:val="clear" w:color="auto" w:fill="FFFFFF"/>
            <w:vAlign w:val="center"/>
          </w:tcPr>
          <w:p w14:paraId="376600D8">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服务期</w:t>
            </w:r>
          </w:p>
        </w:tc>
        <w:tc>
          <w:tcPr>
            <w:tcW w:w="3405" w:type="pct"/>
            <w:shd w:val="clear" w:color="auto" w:fill="FFFFFF"/>
            <w:vAlign w:val="center"/>
          </w:tcPr>
          <w:p w14:paraId="2433BDE2">
            <w:pPr>
              <w:widowControl w:val="0"/>
              <w:autoSpaceDE w:val="0"/>
              <w:autoSpaceDN w:val="0"/>
              <w:adjustRightInd w:val="0"/>
              <w:snapToGrid w:val="0"/>
              <w:ind w:firstLine="0" w:firstLineChars="0"/>
              <w:rPr>
                <w:rFonts w:ascii="宋体" w:hAnsi="宋体"/>
                <w:szCs w:val="21"/>
              </w:rPr>
            </w:pPr>
            <w:r>
              <w:rPr>
                <w:rFonts w:hint="eastAsia" w:ascii="宋体" w:hAnsi="宋体"/>
                <w:szCs w:val="21"/>
              </w:rPr>
              <w:t>本次采购合同期限为12个月。合同续期最多不超过2次，每次续期不超过12个月，总服务期不超过36个月，续签合同的实质性内容不变。年度履约评价未通过考核，将不再续签合同。</w:t>
            </w:r>
          </w:p>
        </w:tc>
      </w:tr>
      <w:bookmarkEnd w:id="33"/>
      <w:tr w14:paraId="0EFBF4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6" w:hRule="atLeast"/>
        </w:trPr>
        <w:tc>
          <w:tcPr>
            <w:tcW w:w="508" w:type="pct"/>
            <w:shd w:val="clear" w:color="auto" w:fill="FFFFFF"/>
            <w:vAlign w:val="center"/>
          </w:tcPr>
          <w:p w14:paraId="2B22564E">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36754DB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服务</w:t>
            </w:r>
            <w:r>
              <w:rPr>
                <w:rFonts w:ascii="宋体" w:hAnsi="宋体"/>
                <w:szCs w:val="21"/>
              </w:rPr>
              <w:t>地点</w:t>
            </w:r>
          </w:p>
        </w:tc>
        <w:tc>
          <w:tcPr>
            <w:tcW w:w="3405" w:type="pct"/>
            <w:shd w:val="clear" w:color="auto" w:fill="FFFFFF"/>
            <w:vAlign w:val="center"/>
          </w:tcPr>
          <w:p w14:paraId="6EF13A2C">
            <w:pPr>
              <w:widowControl w:val="0"/>
              <w:autoSpaceDE w:val="0"/>
              <w:autoSpaceDN w:val="0"/>
              <w:adjustRightInd w:val="0"/>
              <w:snapToGrid w:val="0"/>
              <w:ind w:firstLine="0" w:firstLineChars="0"/>
              <w:rPr>
                <w:rFonts w:hint="default" w:ascii="宋体" w:hAnsi="宋体" w:eastAsia="宋体"/>
                <w:szCs w:val="21"/>
                <w:lang w:val="en-US" w:eastAsia="zh-CN"/>
              </w:rPr>
            </w:pPr>
            <w:r>
              <w:rPr>
                <w:rFonts w:hint="eastAsia" w:ascii="宋体" w:hAnsi="宋体"/>
                <w:szCs w:val="21"/>
                <w:lang w:val="en-US" w:eastAsia="zh-CN"/>
              </w:rPr>
              <w:t>深圳市网球中心</w:t>
            </w:r>
          </w:p>
        </w:tc>
      </w:tr>
      <w:tr w14:paraId="40AB7E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1" w:hRule="atLeast"/>
        </w:trPr>
        <w:tc>
          <w:tcPr>
            <w:tcW w:w="508" w:type="pct"/>
            <w:shd w:val="clear" w:color="auto" w:fill="FFFFFF"/>
            <w:vAlign w:val="center"/>
          </w:tcPr>
          <w:p w14:paraId="64444805">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58CF0BAD">
            <w:pPr>
              <w:widowControl w:val="0"/>
              <w:autoSpaceDE w:val="0"/>
              <w:autoSpaceDN w:val="0"/>
              <w:adjustRightInd w:val="0"/>
              <w:snapToGrid w:val="0"/>
              <w:ind w:firstLine="0" w:firstLineChars="0"/>
              <w:jc w:val="center"/>
              <w:rPr>
                <w:rFonts w:ascii="宋体" w:hAnsi="宋体"/>
                <w:szCs w:val="21"/>
              </w:rPr>
            </w:pPr>
            <w:r>
              <w:rPr>
                <w:rFonts w:ascii="宋体" w:hAnsi="宋体"/>
                <w:szCs w:val="21"/>
              </w:rPr>
              <w:t>投标人资格要求</w:t>
            </w:r>
          </w:p>
        </w:tc>
        <w:tc>
          <w:tcPr>
            <w:tcW w:w="3405" w:type="pct"/>
            <w:shd w:val="clear" w:color="auto" w:fill="FFFFFF"/>
            <w:vAlign w:val="center"/>
          </w:tcPr>
          <w:p w14:paraId="43DA54BB">
            <w:pPr>
              <w:widowControl w:val="0"/>
              <w:autoSpaceDE w:val="0"/>
              <w:autoSpaceDN w:val="0"/>
              <w:adjustRightInd w:val="0"/>
              <w:snapToGrid w:val="0"/>
              <w:ind w:firstLine="0" w:firstLineChars="0"/>
              <w:rPr>
                <w:rFonts w:hint="eastAsia"/>
              </w:rPr>
            </w:pPr>
            <w:r>
              <w:rPr>
                <w:rFonts w:hint="eastAsia"/>
              </w:rPr>
              <w:t>1. 法人资质：在国内依法登记注册的独立法人企业，具备有效的营业执照，经营范围包含餐饮管理、餐饮服务相关内容。</w:t>
            </w:r>
          </w:p>
          <w:p w14:paraId="2952A960">
            <w:pPr>
              <w:widowControl w:val="0"/>
              <w:autoSpaceDE w:val="0"/>
              <w:autoSpaceDN w:val="0"/>
              <w:adjustRightInd w:val="0"/>
              <w:snapToGrid w:val="0"/>
              <w:ind w:firstLine="0" w:firstLineChars="0"/>
              <w:rPr>
                <w:rFonts w:hint="eastAsia"/>
              </w:rPr>
            </w:pPr>
            <w:r>
              <w:rPr>
                <w:rFonts w:hint="eastAsia"/>
              </w:rPr>
              <w:t>2</w:t>
            </w:r>
            <w:r>
              <w:rPr>
                <w:rFonts w:hint="eastAsia"/>
                <w:lang w:val="en-US" w:eastAsia="zh-CN"/>
              </w:rPr>
              <w:t>.</w:t>
            </w:r>
            <w:r>
              <w:rPr>
                <w:rFonts w:hint="eastAsia"/>
              </w:rPr>
              <w:t xml:space="preserve"> 经营许可：持有有效的《食品经营许可证》，许可范围包含热食类食品制售，具备合法餐饮服务经营资质。</w:t>
            </w:r>
          </w:p>
          <w:p w14:paraId="00EC4D60">
            <w:pPr>
              <w:widowControl w:val="0"/>
              <w:autoSpaceDE w:val="0"/>
              <w:autoSpaceDN w:val="0"/>
              <w:adjustRightInd w:val="0"/>
              <w:snapToGrid w:val="0"/>
              <w:ind w:firstLine="0" w:firstLineChars="0"/>
              <w:rPr>
                <w:rFonts w:hint="eastAsia"/>
              </w:rPr>
            </w:pPr>
            <w:r>
              <w:rPr>
                <w:rFonts w:hint="eastAsia"/>
              </w:rPr>
              <w:t>3</w:t>
            </w:r>
            <w:r>
              <w:rPr>
                <w:rFonts w:hint="eastAsia"/>
                <w:lang w:val="en-US" w:eastAsia="zh-CN"/>
              </w:rPr>
              <w:t>.</w:t>
            </w:r>
            <w:r>
              <w:rPr>
                <w:rFonts w:hint="eastAsia"/>
              </w:rPr>
              <w:t>信用要求：投标人及法定代表人未被列入失信被执行人、重大税收违法失信主体、政府采购严重违法失信行为记录名单及经营异常名录，近三年内无重大食品安全处罚记录、无重大安全生产事故记录。</w:t>
            </w:r>
          </w:p>
          <w:p w14:paraId="6DBC06A7">
            <w:pPr>
              <w:widowControl w:val="0"/>
              <w:autoSpaceDE w:val="0"/>
              <w:autoSpaceDN w:val="0"/>
              <w:adjustRightInd w:val="0"/>
              <w:snapToGrid w:val="0"/>
              <w:ind w:firstLine="0" w:firstLineChars="0"/>
              <w:rPr>
                <w:rFonts w:hint="eastAsia"/>
              </w:rPr>
            </w:pPr>
            <w:r>
              <w:rPr>
                <w:rFonts w:hint="eastAsia"/>
              </w:rPr>
              <w:t>4</w:t>
            </w:r>
            <w:r>
              <w:rPr>
                <w:rFonts w:hint="eastAsia"/>
                <w:lang w:val="en-US" w:eastAsia="zh-CN"/>
              </w:rPr>
              <w:t>.</w:t>
            </w:r>
            <w:r>
              <w:rPr>
                <w:rFonts w:hint="eastAsia"/>
              </w:rPr>
              <w:t>人员承诺：承诺所有派驻后厨工作人员持有效健康证上岗，无传染性疾病、无不良从业记录，服从甲方管理。</w:t>
            </w:r>
          </w:p>
          <w:p w14:paraId="4CAA041F">
            <w:pPr>
              <w:widowControl w:val="0"/>
              <w:autoSpaceDE w:val="0"/>
              <w:autoSpaceDN w:val="0"/>
              <w:adjustRightInd w:val="0"/>
              <w:snapToGrid w:val="0"/>
              <w:ind w:firstLine="0" w:firstLineChars="0"/>
            </w:pPr>
            <w:r>
              <w:rPr>
                <w:rFonts w:hint="eastAsia"/>
              </w:rPr>
              <w:t>5</w:t>
            </w:r>
            <w:r>
              <w:rPr>
                <w:rFonts w:hint="eastAsia"/>
                <w:lang w:val="en-US" w:eastAsia="zh-CN"/>
              </w:rPr>
              <w:t>.</w:t>
            </w:r>
            <w:r>
              <w:rPr>
                <w:rFonts w:hint="eastAsia"/>
              </w:rPr>
              <w:t>投标限制：本项目不接受联合体投标，不允许转包、分包本项目服务。</w:t>
            </w:r>
          </w:p>
        </w:tc>
      </w:tr>
      <w:tr w14:paraId="5B5E32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8" w:type="pct"/>
            <w:shd w:val="clear" w:color="auto" w:fill="FFFFFF"/>
            <w:vAlign w:val="center"/>
          </w:tcPr>
          <w:p w14:paraId="1E147515">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094F1FF8">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是否接受</w:t>
            </w:r>
          </w:p>
          <w:p w14:paraId="5AD700B1">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kern w:val="0"/>
                <w:szCs w:val="21"/>
              </w:rPr>
              <w:t>联合体投标</w:t>
            </w:r>
          </w:p>
        </w:tc>
        <w:tc>
          <w:tcPr>
            <w:tcW w:w="3405" w:type="pct"/>
            <w:shd w:val="clear" w:color="auto" w:fill="FFFFFF"/>
            <w:vAlign w:val="center"/>
          </w:tcPr>
          <w:p w14:paraId="79B5F606">
            <w:pPr>
              <w:widowControl w:val="0"/>
              <w:autoSpaceDE w:val="0"/>
              <w:autoSpaceDN w:val="0"/>
              <w:adjustRightInd w:val="0"/>
              <w:snapToGrid w:val="0"/>
              <w:ind w:firstLine="0" w:firstLineChars="0"/>
              <w:rPr>
                <w:rFonts w:ascii="宋体" w:hAnsi="宋体"/>
                <w:kern w:val="0"/>
                <w:szCs w:val="21"/>
              </w:rPr>
            </w:pPr>
            <w:r>
              <w:rPr>
                <w:rFonts w:hint="eastAsia" w:ascii="宋体" w:hAnsi="宋体"/>
                <w:szCs w:val="21"/>
              </w:rPr>
              <w:t>☑</w:t>
            </w:r>
            <w:r>
              <w:rPr>
                <w:rFonts w:hint="eastAsia" w:ascii="宋体" w:hAnsi="宋体"/>
                <w:kern w:val="0"/>
                <w:szCs w:val="21"/>
              </w:rPr>
              <w:t>不接受</w:t>
            </w:r>
          </w:p>
          <w:p w14:paraId="57F91829">
            <w:pPr>
              <w:widowControl w:val="0"/>
              <w:autoSpaceDE w:val="0"/>
              <w:autoSpaceDN w:val="0"/>
              <w:adjustRightInd w:val="0"/>
              <w:snapToGrid w:val="0"/>
              <w:ind w:firstLine="0" w:firstLineChars="0"/>
              <w:rPr>
                <w:rFonts w:ascii="宋体" w:hAnsi="宋体"/>
                <w:kern w:val="0"/>
                <w:szCs w:val="21"/>
                <w:u w:val="single"/>
              </w:rPr>
            </w:pPr>
            <w:r>
              <w:rPr>
                <w:rFonts w:hint="eastAsia" w:ascii="宋体" w:hAnsi="宋体"/>
                <w:kern w:val="0"/>
                <w:szCs w:val="21"/>
              </w:rPr>
              <w:t>□接受，应满足下列要求：</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u w:val="single"/>
              </w:rPr>
              <w:t xml:space="preserve">   </w:t>
            </w:r>
          </w:p>
        </w:tc>
      </w:tr>
      <w:tr w14:paraId="7ED73A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8" w:type="pct"/>
            <w:shd w:val="clear" w:color="auto" w:fill="FFFFFF"/>
            <w:vAlign w:val="center"/>
          </w:tcPr>
          <w:p w14:paraId="236BF4BA">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5837A3B0">
            <w:pPr>
              <w:widowControl w:val="0"/>
              <w:autoSpaceDE w:val="0"/>
              <w:autoSpaceDN w:val="0"/>
              <w:adjustRightInd w:val="0"/>
              <w:snapToGrid w:val="0"/>
              <w:ind w:firstLine="0" w:firstLineChars="0"/>
              <w:jc w:val="center"/>
              <w:rPr>
                <w:rFonts w:ascii="宋体" w:hAnsi="宋体"/>
                <w:szCs w:val="21"/>
                <w:shd w:val="clear" w:color="auto" w:fill="FFFFFF"/>
              </w:rPr>
            </w:pPr>
            <w:r>
              <w:rPr>
                <w:rFonts w:ascii="宋体" w:hAnsi="宋体"/>
                <w:szCs w:val="21"/>
                <w:shd w:val="clear" w:color="auto" w:fill="FFFFFF"/>
              </w:rPr>
              <w:t>踏勘</w:t>
            </w:r>
            <w:r>
              <w:rPr>
                <w:rFonts w:hint="eastAsia" w:ascii="宋体" w:hAnsi="宋体"/>
                <w:szCs w:val="21"/>
                <w:shd w:val="clear" w:color="auto" w:fill="FFFFFF"/>
              </w:rPr>
              <w:t>现场</w:t>
            </w:r>
          </w:p>
        </w:tc>
        <w:tc>
          <w:tcPr>
            <w:tcW w:w="3405" w:type="pct"/>
            <w:shd w:val="clear" w:color="auto" w:fill="FFFFFF"/>
            <w:vAlign w:val="center"/>
          </w:tcPr>
          <w:p w14:paraId="2FF69A75">
            <w:pPr>
              <w:ind w:firstLine="0" w:firstLineChars="0"/>
              <w:rPr>
                <w:rFonts w:ascii="宋体" w:hAnsi="宋体"/>
                <w:kern w:val="0"/>
                <w:szCs w:val="21"/>
                <w:shd w:val="clear" w:color="auto" w:fill="FFFFFF"/>
              </w:rPr>
            </w:pPr>
            <w:r>
              <w:rPr>
                <w:rFonts w:hint="eastAsia" w:ascii="宋体" w:hAnsi="宋体"/>
                <w:szCs w:val="21"/>
              </w:rPr>
              <w:t>☑</w:t>
            </w:r>
            <w:r>
              <w:rPr>
                <w:rFonts w:hint="eastAsia" w:ascii="宋体" w:hAnsi="宋体"/>
                <w:kern w:val="0"/>
                <w:szCs w:val="21"/>
                <w:shd w:val="clear" w:color="auto" w:fill="FFFFFF"/>
              </w:rPr>
              <w:t>不组织。可在</w:t>
            </w:r>
            <w:r>
              <w:rPr>
                <w:rFonts w:hint="eastAsia" w:ascii="宋体" w:hAnsi="宋体"/>
                <w:kern w:val="0"/>
                <w:szCs w:val="21"/>
                <w:u w:val="single"/>
                <w:shd w:val="clear" w:color="auto" w:fill="FFFFFF"/>
              </w:rPr>
              <w:t>工作日上午9点-12点</w:t>
            </w:r>
            <w:r>
              <w:rPr>
                <w:rFonts w:hint="eastAsia" w:ascii="宋体" w:hAnsi="宋体"/>
                <w:kern w:val="0"/>
                <w:szCs w:val="21"/>
                <w:shd w:val="clear" w:color="auto" w:fill="FFFFFF"/>
              </w:rPr>
              <w:t>至</w:t>
            </w:r>
            <w:r>
              <w:rPr>
                <w:rFonts w:hint="eastAsia" w:ascii="宋体" w:hAnsi="宋体"/>
                <w:kern w:val="0"/>
                <w:szCs w:val="21"/>
                <w:u w:val="single"/>
                <w:shd w:val="clear" w:color="auto" w:fill="FFFFFF"/>
              </w:rPr>
              <w:t>下午2点-5点期间</w:t>
            </w:r>
            <w:r>
              <w:rPr>
                <w:rFonts w:hint="eastAsia" w:ascii="宋体" w:hAnsi="宋体"/>
                <w:kern w:val="0"/>
                <w:szCs w:val="21"/>
                <w:shd w:val="clear" w:color="auto" w:fill="FFFFFF"/>
              </w:rPr>
              <w:t>自行前往踏勘，踏勘前需提前联系招标人进行预约。投标人需在投标文件中承诺已踏勘现场并知悉现场情况，并承诺将根据踏勘现场实际情况进行投标。</w:t>
            </w:r>
          </w:p>
          <w:p w14:paraId="1CDEE50A">
            <w:pPr>
              <w:widowControl w:val="0"/>
              <w:autoSpaceDE w:val="0"/>
              <w:autoSpaceDN w:val="0"/>
              <w:adjustRightInd w:val="0"/>
              <w:snapToGrid w:val="0"/>
              <w:ind w:firstLine="0" w:firstLineChars="0"/>
              <w:rPr>
                <w:rFonts w:ascii="宋体" w:hAnsi="宋体"/>
                <w:kern w:val="0"/>
                <w:szCs w:val="21"/>
                <w:shd w:val="clear" w:color="auto" w:fill="FFFFFF"/>
              </w:rPr>
            </w:pPr>
            <w:r>
              <w:rPr>
                <w:rFonts w:hint="eastAsia" w:ascii="宋体" w:hAnsi="宋体"/>
                <w:kern w:val="0"/>
                <w:szCs w:val="21"/>
                <w:shd w:val="clear" w:color="auto" w:fill="FFFFFF"/>
              </w:rPr>
              <w:t>（格式自拟）。</w:t>
            </w:r>
          </w:p>
          <w:p w14:paraId="008F28EF">
            <w:pPr>
              <w:widowControl w:val="0"/>
              <w:autoSpaceDE w:val="0"/>
              <w:autoSpaceDN w:val="0"/>
              <w:adjustRightInd w:val="0"/>
              <w:snapToGrid w:val="0"/>
              <w:ind w:firstLine="0" w:firstLineChars="0"/>
              <w:rPr>
                <w:rFonts w:ascii="宋体" w:hAnsi="宋体"/>
                <w:kern w:val="0"/>
                <w:szCs w:val="21"/>
                <w:shd w:val="clear" w:color="auto" w:fill="FFFFFF"/>
              </w:rPr>
            </w:pPr>
            <w:r>
              <w:rPr>
                <w:rFonts w:hint="eastAsia" w:ascii="宋体" w:hAnsi="宋体"/>
                <w:szCs w:val="21"/>
              </w:rPr>
              <w:t>□</w:t>
            </w:r>
            <w:r>
              <w:rPr>
                <w:rFonts w:hint="eastAsia" w:ascii="宋体" w:hAnsi="宋体"/>
                <w:kern w:val="0"/>
                <w:szCs w:val="21"/>
                <w:shd w:val="clear" w:color="auto" w:fill="FFFFFF"/>
              </w:rPr>
              <w:t>组织：</w:t>
            </w:r>
          </w:p>
          <w:p w14:paraId="6B8B2E78">
            <w:pPr>
              <w:widowControl w:val="0"/>
              <w:wordWrap w:val="0"/>
              <w:autoSpaceDE w:val="0"/>
              <w:autoSpaceDN w:val="0"/>
              <w:adjustRightInd w:val="0"/>
              <w:snapToGrid w:val="0"/>
              <w:ind w:firstLine="0" w:firstLineChars="0"/>
              <w:rPr>
                <w:rFonts w:hint="eastAsia" w:ascii="宋体" w:hAnsi="宋体"/>
                <w:kern w:val="0"/>
                <w:szCs w:val="21"/>
                <w:u w:val="single"/>
              </w:rPr>
            </w:pPr>
            <w:r>
              <w:rPr>
                <w:rFonts w:hint="eastAsia" w:ascii="宋体" w:hAnsi="宋体"/>
                <w:kern w:val="0"/>
                <w:szCs w:val="21"/>
              </w:rPr>
              <w:t>踏勘时间：</w:t>
            </w:r>
            <w:r>
              <w:rPr>
                <w:rFonts w:hint="eastAsia" w:ascii="宋体" w:hAnsi="宋体"/>
                <w:kern w:val="0"/>
                <w:szCs w:val="21"/>
                <w:u w:val="single"/>
              </w:rPr>
              <w:t xml:space="preserve">          </w:t>
            </w:r>
          </w:p>
          <w:p w14:paraId="6C4E6356">
            <w:pPr>
              <w:widowControl w:val="0"/>
              <w:wordWrap w:val="0"/>
              <w:autoSpaceDE w:val="0"/>
              <w:autoSpaceDN w:val="0"/>
              <w:adjustRightInd w:val="0"/>
              <w:snapToGrid w:val="0"/>
              <w:ind w:firstLine="0" w:firstLineChars="0"/>
              <w:rPr>
                <w:rFonts w:ascii="宋体" w:hAnsi="宋体"/>
                <w:kern w:val="0"/>
                <w:szCs w:val="21"/>
                <w:u w:val="single"/>
                <w:shd w:val="clear" w:color="auto" w:fill="FFFFFF"/>
              </w:rPr>
            </w:pPr>
            <w:r>
              <w:rPr>
                <w:rFonts w:hint="eastAsia" w:ascii="宋体" w:hAnsi="宋体"/>
                <w:kern w:val="0"/>
                <w:szCs w:val="21"/>
              </w:rPr>
              <w:t>集合地点：</w:t>
            </w:r>
            <w:r>
              <w:rPr>
                <w:rFonts w:hint="eastAsia" w:ascii="宋体" w:hAnsi="宋体"/>
                <w:kern w:val="0"/>
                <w:szCs w:val="21"/>
                <w:u w:val="single"/>
              </w:rPr>
              <w:t xml:space="preserve">          </w:t>
            </w:r>
          </w:p>
        </w:tc>
      </w:tr>
      <w:tr w14:paraId="68EF4E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8" w:type="pct"/>
            <w:shd w:val="clear" w:color="auto" w:fill="FFFFFF"/>
            <w:vAlign w:val="center"/>
          </w:tcPr>
          <w:p w14:paraId="0E8BF2EA">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6A76FD0D">
            <w:pPr>
              <w:widowControl w:val="0"/>
              <w:autoSpaceDE w:val="0"/>
              <w:autoSpaceDN w:val="0"/>
              <w:adjustRightInd w:val="0"/>
              <w:snapToGrid w:val="0"/>
              <w:ind w:firstLine="0" w:firstLineChars="0"/>
              <w:jc w:val="center"/>
              <w:rPr>
                <w:rFonts w:ascii="宋体" w:hAnsi="宋体"/>
                <w:kern w:val="0"/>
                <w:szCs w:val="21"/>
              </w:rPr>
            </w:pPr>
            <w:r>
              <w:rPr>
                <w:rFonts w:hint="eastAsia" w:ascii="宋体" w:hAnsi="宋体"/>
                <w:szCs w:val="21"/>
              </w:rPr>
              <w:t>响应和偏离</w:t>
            </w:r>
          </w:p>
        </w:tc>
        <w:tc>
          <w:tcPr>
            <w:tcW w:w="3405" w:type="pct"/>
            <w:shd w:val="clear" w:color="auto" w:fill="FFFFFF"/>
            <w:vAlign w:val="center"/>
          </w:tcPr>
          <w:p w14:paraId="1441CEF5">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商务、技术条款响应和偏离说明如下：</w:t>
            </w:r>
          </w:p>
          <w:p w14:paraId="2A62699B">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严重偏离：本招标文件中标注“★”的条款未实质性响应（发生负偏离），将导致投标被否决；</w:t>
            </w:r>
          </w:p>
          <w:p w14:paraId="3F75B088">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一般偏离：本招标文件中标注“▲”的条款未实质性响应（发生负偏离），将可能导致在评、定标时产生不利于投标人的影响；</w:t>
            </w:r>
          </w:p>
        </w:tc>
      </w:tr>
      <w:tr w14:paraId="3E071A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8" w:type="pct"/>
            <w:vMerge w:val="restart"/>
            <w:shd w:val="clear" w:color="auto" w:fill="FFFFFF"/>
            <w:vAlign w:val="center"/>
          </w:tcPr>
          <w:p w14:paraId="4481C2D3">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5067F36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投标货币</w:t>
            </w:r>
          </w:p>
        </w:tc>
        <w:tc>
          <w:tcPr>
            <w:tcW w:w="3405" w:type="pct"/>
            <w:shd w:val="clear" w:color="auto" w:fill="FFFFFF"/>
            <w:vAlign w:val="center"/>
          </w:tcPr>
          <w:p w14:paraId="30C0D157">
            <w:pPr>
              <w:widowControl w:val="0"/>
              <w:autoSpaceDE w:val="0"/>
              <w:autoSpaceDN w:val="0"/>
              <w:adjustRightInd w:val="0"/>
              <w:snapToGrid w:val="0"/>
              <w:ind w:firstLine="0" w:firstLineChars="0"/>
              <w:rPr>
                <w:rFonts w:ascii="宋体" w:hAnsi="宋体" w:cs="Segoe UI Symbol"/>
                <w:kern w:val="0"/>
                <w:szCs w:val="21"/>
                <w:u w:val="single"/>
              </w:rPr>
            </w:pPr>
            <w:r>
              <w:rPr>
                <w:rFonts w:hint="eastAsia" w:ascii="宋体" w:hAnsi="宋体"/>
                <w:szCs w:val="21"/>
              </w:rPr>
              <w:t>☑</w:t>
            </w:r>
            <w:r>
              <w:rPr>
                <w:rFonts w:hint="eastAsia" w:ascii="宋体" w:hAnsi="宋体" w:cs="Segoe UI Symbol"/>
                <w:kern w:val="0"/>
                <w:szCs w:val="21"/>
              </w:rPr>
              <w:t>人民币  □其他：</w:t>
            </w:r>
            <w:r>
              <w:rPr>
                <w:rFonts w:hint="eastAsia" w:ascii="宋体" w:hAnsi="宋体" w:cs="Segoe UI Symbol"/>
                <w:kern w:val="0"/>
                <w:szCs w:val="21"/>
                <w:u w:val="single"/>
              </w:rPr>
              <w:t xml:space="preserve">                 </w:t>
            </w:r>
          </w:p>
        </w:tc>
      </w:tr>
      <w:tr w14:paraId="6B7950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08" w:type="pct"/>
            <w:vMerge w:val="continue"/>
            <w:shd w:val="clear" w:color="auto" w:fill="FFFFFF"/>
            <w:vAlign w:val="center"/>
          </w:tcPr>
          <w:p w14:paraId="405E4ED4">
            <w:pPr>
              <w:widowControl w:val="0"/>
              <w:autoSpaceDE w:val="0"/>
              <w:autoSpaceDN w:val="0"/>
              <w:adjustRightInd w:val="0"/>
              <w:snapToGrid w:val="0"/>
              <w:ind w:firstLine="0" w:firstLineChars="0"/>
              <w:jc w:val="center"/>
              <w:rPr>
                <w:rFonts w:ascii="宋体" w:hAnsi="宋体"/>
                <w:szCs w:val="21"/>
              </w:rPr>
            </w:pPr>
          </w:p>
        </w:tc>
        <w:tc>
          <w:tcPr>
            <w:tcW w:w="1087" w:type="pct"/>
            <w:shd w:val="clear" w:color="auto" w:fill="FFFFFF"/>
            <w:vAlign w:val="center"/>
          </w:tcPr>
          <w:p w14:paraId="20D587E2">
            <w:pPr>
              <w:widowControl w:val="0"/>
              <w:autoSpaceDE w:val="0"/>
              <w:autoSpaceDN w:val="0"/>
              <w:adjustRightInd w:val="0"/>
              <w:snapToGrid w:val="0"/>
              <w:ind w:firstLine="0" w:firstLineChars="0"/>
              <w:jc w:val="center"/>
              <w:rPr>
                <w:rFonts w:ascii="宋体" w:hAnsi="宋体"/>
                <w:szCs w:val="21"/>
                <w:shd w:val="clear" w:color="auto" w:fill="FFFFFF"/>
              </w:rPr>
            </w:pPr>
            <w:r>
              <w:rPr>
                <w:rFonts w:hint="eastAsia" w:ascii="宋体" w:hAnsi="宋体"/>
                <w:szCs w:val="21"/>
              </w:rPr>
              <w:t>报价方式和内容</w:t>
            </w:r>
          </w:p>
        </w:tc>
        <w:tc>
          <w:tcPr>
            <w:tcW w:w="3405" w:type="pct"/>
            <w:shd w:val="clear" w:color="auto" w:fill="FFFFFF"/>
            <w:vAlign w:val="center"/>
          </w:tcPr>
          <w:p w14:paraId="6FC6D7AA">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1）投标报价：招标人指定服务的报价。</w:t>
            </w:r>
          </w:p>
          <w:p w14:paraId="51B0DCE1">
            <w:pPr>
              <w:widowControl w:val="0"/>
              <w:autoSpaceDE w:val="0"/>
              <w:autoSpaceDN w:val="0"/>
              <w:adjustRightInd w:val="0"/>
              <w:snapToGrid w:val="0"/>
              <w:ind w:firstLine="0" w:firstLineChars="0"/>
              <w:rPr>
                <w:rFonts w:ascii="宋体" w:hAnsi="宋体"/>
                <w:szCs w:val="21"/>
                <w:shd w:val="clear" w:color="auto" w:fill="FFFFFF"/>
              </w:rPr>
            </w:pPr>
            <w:r>
              <w:rPr>
                <w:rFonts w:ascii="宋体" w:hAnsi="宋体" w:cs="Segoe UI Symbol"/>
                <w:kern w:val="0"/>
                <w:szCs w:val="21"/>
              </w:rPr>
              <w:t>2</w:t>
            </w:r>
            <w:r>
              <w:rPr>
                <w:rFonts w:hint="eastAsia" w:ascii="宋体" w:hAnsi="宋体" w:cs="Segoe UI Symbol"/>
                <w:kern w:val="0"/>
                <w:szCs w:val="21"/>
              </w:rPr>
              <w:t>）投标报价应包含的相关费用包括但不限于：服务期内应含所投服务的费用、税费（包括但不限于增值税等）、人工费、售后服务等工作所发生的费用。本次投标产生的一切费用由投标人自理。投标报价为最终报价，投标人不得要求追加任何费用。</w:t>
            </w:r>
          </w:p>
        </w:tc>
      </w:tr>
      <w:tr w14:paraId="75450B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57" w:hRule="atLeast"/>
        </w:trPr>
        <w:tc>
          <w:tcPr>
            <w:tcW w:w="508" w:type="pct"/>
            <w:shd w:val="clear" w:color="auto" w:fill="FFFFFF"/>
            <w:vAlign w:val="center"/>
          </w:tcPr>
          <w:p w14:paraId="21C5B9F2">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53712AE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招标公告</w:t>
            </w:r>
          </w:p>
        </w:tc>
        <w:tc>
          <w:tcPr>
            <w:tcW w:w="3405" w:type="pct"/>
            <w:vMerge w:val="restart"/>
            <w:shd w:val="clear" w:color="auto" w:fill="FFFFFF"/>
            <w:vAlign w:val="center"/>
          </w:tcPr>
          <w:p w14:paraId="57596E20">
            <w:pPr>
              <w:widowControl w:val="0"/>
              <w:autoSpaceDE w:val="0"/>
              <w:autoSpaceDN w:val="0"/>
              <w:adjustRightInd w:val="0"/>
              <w:snapToGrid w:val="0"/>
              <w:spacing w:line="240" w:lineRule="auto"/>
              <w:ind w:firstLine="0" w:firstLineChars="0"/>
              <w:rPr>
                <w:rFonts w:hint="eastAsia" w:ascii="宋体" w:hAnsi="宋体" w:cs="宋体"/>
                <w:szCs w:val="21"/>
              </w:rPr>
            </w:pPr>
            <w:r>
              <w:rPr>
                <w:rFonts w:hint="eastAsia" w:ascii="宋体" w:hAnsi="宋体" w:cs="宋体"/>
                <w:szCs w:val="21"/>
              </w:rPr>
              <w:t>公告/公示媒介：</w:t>
            </w:r>
          </w:p>
          <w:p w14:paraId="72955387">
            <w:pPr>
              <w:widowControl w:val="0"/>
              <w:autoSpaceDE w:val="0"/>
              <w:autoSpaceDN w:val="0"/>
              <w:adjustRightInd w:val="0"/>
              <w:snapToGrid w:val="0"/>
              <w:spacing w:line="240" w:lineRule="auto"/>
              <w:ind w:firstLine="0" w:firstLineChars="0"/>
              <w:rPr>
                <w:rFonts w:hint="eastAsia" w:ascii="宋体" w:hAnsi="宋体" w:cs="宋体"/>
                <w:szCs w:val="21"/>
              </w:rPr>
            </w:pPr>
            <w:r>
              <w:rPr>
                <w:rFonts w:hint="eastAsia" w:ascii="宋体" w:hAnsi="宋体" w:cs="宋体"/>
                <w:szCs w:val="21"/>
              </w:rPr>
              <w:t>1、深圳阳光采购平台（www.szygcgpt.com）</w:t>
            </w:r>
          </w:p>
          <w:p w14:paraId="1AD54EA4">
            <w:pPr>
              <w:widowControl w:val="0"/>
              <w:autoSpaceDE w:val="0"/>
              <w:autoSpaceDN w:val="0"/>
              <w:adjustRightInd w:val="0"/>
              <w:snapToGrid w:val="0"/>
              <w:spacing w:line="240" w:lineRule="auto"/>
              <w:ind w:firstLine="0" w:firstLineChars="0"/>
              <w:rPr>
                <w:rFonts w:hint="eastAsia" w:ascii="宋体" w:hAnsi="宋体" w:cs="宋体"/>
                <w:szCs w:val="21"/>
              </w:rPr>
            </w:pPr>
            <w:r>
              <w:rPr>
                <w:rFonts w:hint="eastAsia" w:ascii="宋体" w:hAnsi="宋体" w:cs="宋体"/>
                <w:szCs w:val="21"/>
              </w:rPr>
              <w:t>2、中国招标投标公共服务平台（www.cebpubservice.com）</w:t>
            </w:r>
          </w:p>
          <w:p w14:paraId="25AB17C5">
            <w:pPr>
              <w:pStyle w:val="19"/>
              <w:spacing w:line="240" w:lineRule="auto"/>
              <w:ind w:firstLine="0" w:firstLineChars="0"/>
            </w:pPr>
            <w:r>
              <w:rPr>
                <w:rFonts w:ascii="宋体" w:hAnsi="宋体" w:cs="宋体"/>
                <w:szCs w:val="21"/>
              </w:rPr>
              <w:t>3</w:t>
            </w:r>
            <w:r>
              <w:rPr>
                <w:rFonts w:hint="eastAsia" w:ascii="宋体" w:hAnsi="宋体" w:cs="宋体"/>
                <w:szCs w:val="21"/>
              </w:rPr>
              <w:t>、中标候选人公示期：3天</w:t>
            </w:r>
          </w:p>
        </w:tc>
      </w:tr>
      <w:tr w14:paraId="6C3054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08" w:type="pct"/>
            <w:shd w:val="clear" w:color="auto" w:fill="FFFFFF"/>
            <w:vAlign w:val="center"/>
          </w:tcPr>
          <w:p w14:paraId="46F68D9C">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12ADE5A3">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中标候选人公示</w:t>
            </w:r>
          </w:p>
        </w:tc>
        <w:tc>
          <w:tcPr>
            <w:tcW w:w="3405" w:type="pct"/>
            <w:vMerge w:val="continue"/>
            <w:shd w:val="clear" w:color="auto" w:fill="FFFFFF"/>
            <w:vAlign w:val="center"/>
          </w:tcPr>
          <w:p w14:paraId="0D78F9FC">
            <w:pPr>
              <w:widowControl w:val="0"/>
              <w:autoSpaceDE w:val="0"/>
              <w:autoSpaceDN w:val="0"/>
              <w:adjustRightInd w:val="0"/>
              <w:snapToGrid w:val="0"/>
              <w:ind w:firstLine="0" w:firstLineChars="0"/>
              <w:rPr>
                <w:rFonts w:ascii="宋体" w:hAnsi="宋体" w:cs="Segoe UI Symbol"/>
                <w:kern w:val="0"/>
                <w:szCs w:val="21"/>
              </w:rPr>
            </w:pPr>
          </w:p>
        </w:tc>
      </w:tr>
      <w:tr w14:paraId="1C9F99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5" w:hRule="atLeast"/>
        </w:trPr>
        <w:tc>
          <w:tcPr>
            <w:tcW w:w="508" w:type="pct"/>
            <w:shd w:val="clear" w:color="auto" w:fill="FFFFFF"/>
            <w:vAlign w:val="center"/>
          </w:tcPr>
          <w:p w14:paraId="73D292F0">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7E72D4F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中标结果公示</w:t>
            </w:r>
          </w:p>
        </w:tc>
        <w:tc>
          <w:tcPr>
            <w:tcW w:w="3405" w:type="pct"/>
            <w:vMerge w:val="continue"/>
            <w:shd w:val="clear" w:color="auto" w:fill="FFFFFF"/>
            <w:vAlign w:val="center"/>
          </w:tcPr>
          <w:p w14:paraId="667F4F37">
            <w:pPr>
              <w:widowControl w:val="0"/>
              <w:autoSpaceDE w:val="0"/>
              <w:autoSpaceDN w:val="0"/>
              <w:adjustRightInd w:val="0"/>
              <w:snapToGrid w:val="0"/>
              <w:ind w:firstLine="0" w:firstLineChars="0"/>
              <w:rPr>
                <w:rFonts w:hint="eastAsia" w:ascii="宋体" w:hAnsi="宋体"/>
                <w:kern w:val="0"/>
                <w:szCs w:val="21"/>
              </w:rPr>
            </w:pPr>
          </w:p>
        </w:tc>
      </w:tr>
      <w:tr w14:paraId="27C2C4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8" w:type="pct"/>
            <w:vMerge w:val="restart"/>
            <w:shd w:val="clear" w:color="auto" w:fill="FFFFFF"/>
            <w:vAlign w:val="center"/>
          </w:tcPr>
          <w:p w14:paraId="08690150">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vMerge w:val="restart"/>
            <w:shd w:val="clear" w:color="auto" w:fill="FFFFFF"/>
            <w:vAlign w:val="center"/>
          </w:tcPr>
          <w:p w14:paraId="0A736E79">
            <w:pPr>
              <w:widowControl w:val="0"/>
              <w:autoSpaceDE w:val="0"/>
              <w:autoSpaceDN w:val="0"/>
              <w:adjustRightInd w:val="0"/>
              <w:snapToGrid w:val="0"/>
              <w:ind w:firstLine="0" w:firstLineChars="0"/>
              <w:jc w:val="center"/>
              <w:rPr>
                <w:rFonts w:ascii="宋体" w:hAnsi="宋体"/>
                <w:szCs w:val="21"/>
              </w:rPr>
            </w:pPr>
            <w:r>
              <w:rPr>
                <w:rFonts w:ascii="宋体" w:hAnsi="宋体"/>
                <w:szCs w:val="21"/>
              </w:rPr>
              <w:t>履约担保</w:t>
            </w:r>
          </w:p>
        </w:tc>
        <w:tc>
          <w:tcPr>
            <w:tcW w:w="3405" w:type="pct"/>
            <w:shd w:val="clear" w:color="auto" w:fill="FFFFFF"/>
            <w:vAlign w:val="center"/>
          </w:tcPr>
          <w:p w14:paraId="690AEAE9">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是否要求中标人提交履约</w:t>
            </w:r>
            <w:r>
              <w:rPr>
                <w:rFonts w:hint="eastAsia" w:ascii="宋体" w:hAnsi="宋体" w:cs="Segoe UI Symbol"/>
                <w:kern w:val="0"/>
                <w:szCs w:val="21"/>
              </w:rPr>
              <w:t>担保</w:t>
            </w:r>
            <w:r>
              <w:rPr>
                <w:rFonts w:ascii="宋体" w:hAnsi="宋体" w:cs="Segoe UI Symbol"/>
                <w:kern w:val="0"/>
                <w:szCs w:val="21"/>
              </w:rPr>
              <w:t>：</w:t>
            </w:r>
            <w:r>
              <w:rPr>
                <w:rFonts w:hint="eastAsia" w:ascii="宋体" w:hAnsi="宋体"/>
                <w:szCs w:val="21"/>
              </w:rPr>
              <w:t>□</w:t>
            </w:r>
            <w:r>
              <w:rPr>
                <w:rFonts w:hint="eastAsia" w:ascii="宋体" w:hAnsi="宋体" w:cs="Segoe UI Symbol"/>
                <w:kern w:val="0"/>
                <w:szCs w:val="21"/>
              </w:rPr>
              <w:t>要求</w:t>
            </w:r>
            <w:r>
              <w:rPr>
                <w:rFonts w:ascii="宋体" w:hAnsi="宋体" w:cs="Segoe UI Symbol"/>
                <w:kern w:val="0"/>
                <w:szCs w:val="21"/>
              </w:rPr>
              <w:t xml:space="preserve">  </w:t>
            </w:r>
            <w:r>
              <w:rPr>
                <w:rFonts w:hint="eastAsia" w:ascii="宋体" w:hAnsi="宋体"/>
                <w:szCs w:val="21"/>
              </w:rPr>
              <w:t>□</w:t>
            </w:r>
            <w:r>
              <w:rPr>
                <w:rFonts w:hint="eastAsia" w:ascii="宋体" w:hAnsi="宋体" w:cs="Segoe UI Symbol"/>
                <w:kern w:val="0"/>
                <w:szCs w:val="21"/>
              </w:rPr>
              <w:t>不要求</w:t>
            </w:r>
          </w:p>
        </w:tc>
      </w:tr>
      <w:tr w14:paraId="458B7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08" w:type="pct"/>
            <w:vMerge w:val="continue"/>
            <w:shd w:val="clear" w:color="auto" w:fill="FFFFFF"/>
            <w:vAlign w:val="center"/>
          </w:tcPr>
          <w:p w14:paraId="2C8CD6C7">
            <w:pPr>
              <w:widowControl w:val="0"/>
              <w:numPr>
                <w:ilvl w:val="0"/>
                <w:numId w:val="1"/>
              </w:numPr>
              <w:autoSpaceDE w:val="0"/>
              <w:autoSpaceDN w:val="0"/>
              <w:adjustRightInd w:val="0"/>
              <w:snapToGrid w:val="0"/>
              <w:ind w:firstLineChars="0"/>
              <w:jc w:val="center"/>
              <w:rPr>
                <w:rFonts w:hint="eastAsia" w:ascii="宋体" w:hAnsi="宋体"/>
                <w:bCs/>
                <w:szCs w:val="21"/>
              </w:rPr>
            </w:pPr>
          </w:p>
        </w:tc>
        <w:tc>
          <w:tcPr>
            <w:tcW w:w="1087" w:type="pct"/>
            <w:vMerge w:val="continue"/>
            <w:shd w:val="clear" w:color="auto" w:fill="FFFFFF"/>
            <w:vAlign w:val="center"/>
          </w:tcPr>
          <w:p w14:paraId="49AC589F">
            <w:pPr>
              <w:widowControl w:val="0"/>
              <w:autoSpaceDE w:val="0"/>
              <w:autoSpaceDN w:val="0"/>
              <w:adjustRightInd w:val="0"/>
              <w:snapToGrid w:val="0"/>
              <w:ind w:firstLine="0" w:firstLineChars="0"/>
              <w:jc w:val="center"/>
              <w:rPr>
                <w:rFonts w:ascii="宋体" w:hAnsi="宋体"/>
                <w:szCs w:val="21"/>
              </w:rPr>
            </w:pPr>
          </w:p>
        </w:tc>
        <w:tc>
          <w:tcPr>
            <w:tcW w:w="3405" w:type="pct"/>
            <w:shd w:val="clear" w:color="auto" w:fill="FFFFFF"/>
            <w:vAlign w:val="center"/>
          </w:tcPr>
          <w:p w14:paraId="2706F869">
            <w:pPr>
              <w:widowControl w:val="0"/>
              <w:autoSpaceDE w:val="0"/>
              <w:autoSpaceDN w:val="0"/>
              <w:adjustRightInd w:val="0"/>
              <w:snapToGrid w:val="0"/>
              <w:ind w:firstLine="0" w:firstLineChars="0"/>
              <w:rPr>
                <w:rFonts w:ascii="宋体" w:hAnsi="宋体" w:cs="Segoe UI Symbol"/>
                <w:kern w:val="0"/>
                <w:szCs w:val="21"/>
              </w:rPr>
            </w:pPr>
            <w:r>
              <w:rPr>
                <w:rFonts w:ascii="宋体" w:hAnsi="宋体" w:cs="Segoe UI Symbol"/>
                <w:kern w:val="0"/>
                <w:szCs w:val="21"/>
              </w:rPr>
              <w:t>履约担保的形式</w:t>
            </w:r>
            <w:r>
              <w:rPr>
                <w:rFonts w:hint="eastAsia" w:ascii="宋体" w:hAnsi="宋体" w:cs="Segoe UI Symbol"/>
                <w:kern w:val="0"/>
                <w:szCs w:val="21"/>
              </w:rPr>
              <w:t>：</w:t>
            </w:r>
            <w:r>
              <w:rPr>
                <w:rFonts w:hint="eastAsia" w:ascii="宋体" w:hAnsi="宋体"/>
                <w:szCs w:val="21"/>
              </w:rPr>
              <w:t>□</w:t>
            </w:r>
            <w:r>
              <w:rPr>
                <w:rFonts w:hint="eastAsia" w:ascii="宋体" w:hAnsi="宋体" w:cs="Segoe UI Symbol"/>
                <w:kern w:val="0"/>
                <w:szCs w:val="21"/>
              </w:rPr>
              <w:t>现金、转账</w:t>
            </w:r>
            <w:r>
              <w:rPr>
                <w:rFonts w:ascii="宋体" w:hAnsi="宋体" w:cs="Segoe UI Symbol"/>
                <w:kern w:val="0"/>
                <w:szCs w:val="21"/>
              </w:rPr>
              <w:t xml:space="preserve">  </w:t>
            </w:r>
            <w:r>
              <w:rPr>
                <w:rFonts w:hint="eastAsia" w:ascii="宋体" w:hAnsi="宋体"/>
                <w:szCs w:val="21"/>
              </w:rPr>
              <w:t>□</w:t>
            </w:r>
            <w:r>
              <w:rPr>
                <w:rFonts w:hint="eastAsia" w:ascii="宋体" w:hAnsi="宋体" w:cs="Segoe UI Symbol"/>
                <w:kern w:val="0"/>
                <w:szCs w:val="21"/>
              </w:rPr>
              <w:t>银行保函</w:t>
            </w:r>
          </w:p>
          <w:p w14:paraId="06B049F3">
            <w:pPr>
              <w:widowControl w:val="0"/>
              <w:autoSpaceDE w:val="0"/>
              <w:autoSpaceDN w:val="0"/>
              <w:adjustRightInd w:val="0"/>
              <w:snapToGrid w:val="0"/>
              <w:ind w:firstLine="0" w:firstLineChars="0"/>
              <w:rPr>
                <w:rFonts w:ascii="宋体" w:hAnsi="宋体" w:cs="Segoe UI Symbol"/>
                <w:kern w:val="0"/>
                <w:szCs w:val="21"/>
                <w:u w:val="single"/>
              </w:rPr>
            </w:pPr>
            <w:r>
              <w:rPr>
                <w:rFonts w:ascii="宋体" w:hAnsi="宋体" w:cs="Segoe UI Symbol"/>
                <w:kern w:val="0"/>
                <w:szCs w:val="21"/>
              </w:rPr>
              <w:t>履约担保的金额：</w:t>
            </w:r>
            <w:r>
              <w:rPr>
                <w:rFonts w:hint="eastAsia" w:ascii="宋体" w:hAnsi="宋体" w:cs="Segoe UI Symbol"/>
                <w:kern w:val="0"/>
                <w:szCs w:val="21"/>
                <w:u w:val="single"/>
              </w:rPr>
              <w:t xml:space="preserve">           </w:t>
            </w:r>
          </w:p>
        </w:tc>
      </w:tr>
      <w:tr w14:paraId="67A3FC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2" w:hRule="atLeast"/>
        </w:trPr>
        <w:tc>
          <w:tcPr>
            <w:tcW w:w="508" w:type="pct"/>
            <w:shd w:val="clear" w:color="auto" w:fill="FFFFFF"/>
            <w:vAlign w:val="center"/>
          </w:tcPr>
          <w:p w14:paraId="1145A295">
            <w:pPr>
              <w:widowControl w:val="0"/>
              <w:numPr>
                <w:ilvl w:val="0"/>
                <w:numId w:val="1"/>
              </w:numPr>
              <w:autoSpaceDE w:val="0"/>
              <w:autoSpaceDN w:val="0"/>
              <w:adjustRightInd w:val="0"/>
              <w:snapToGrid w:val="0"/>
              <w:ind w:firstLineChars="0"/>
              <w:jc w:val="center"/>
              <w:rPr>
                <w:rFonts w:ascii="宋体" w:hAnsi="宋体"/>
                <w:bCs/>
                <w:szCs w:val="21"/>
              </w:rPr>
            </w:pPr>
          </w:p>
        </w:tc>
        <w:tc>
          <w:tcPr>
            <w:tcW w:w="1087" w:type="pct"/>
            <w:shd w:val="clear" w:color="auto" w:fill="FFFFFF"/>
            <w:vAlign w:val="center"/>
          </w:tcPr>
          <w:p w14:paraId="4DBBE45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招标失败的</w:t>
            </w:r>
          </w:p>
          <w:p w14:paraId="47006A1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其他情形</w:t>
            </w:r>
          </w:p>
        </w:tc>
        <w:tc>
          <w:tcPr>
            <w:tcW w:w="3405" w:type="pct"/>
            <w:shd w:val="clear" w:color="auto" w:fill="FFFFFF"/>
            <w:vAlign w:val="center"/>
          </w:tcPr>
          <w:p w14:paraId="08862C1E">
            <w:pPr>
              <w:widowControl w:val="0"/>
              <w:autoSpaceDE w:val="0"/>
              <w:autoSpaceDN w:val="0"/>
              <w:adjustRightInd w:val="0"/>
              <w:snapToGrid w:val="0"/>
              <w:ind w:firstLine="0" w:firstLineChars="0"/>
              <w:rPr>
                <w:rFonts w:ascii="宋体" w:hAnsi="宋体" w:cs="Segoe UI Symbol"/>
                <w:kern w:val="0"/>
                <w:szCs w:val="21"/>
              </w:rPr>
            </w:pPr>
            <w:r>
              <w:rPr>
                <w:rFonts w:hint="eastAsia" w:ascii="宋体" w:hAnsi="宋体" w:cs="Segoe UI Symbol"/>
                <w:kern w:val="0"/>
                <w:szCs w:val="21"/>
              </w:rPr>
              <w:t>无</w:t>
            </w:r>
          </w:p>
        </w:tc>
      </w:tr>
    </w:tbl>
    <w:p w14:paraId="2A3E8F05">
      <w:pPr>
        <w:ind w:firstLine="420"/>
      </w:pPr>
    </w:p>
    <w:p w14:paraId="427EFACF">
      <w:pPr>
        <w:pStyle w:val="13"/>
        <w:ind w:firstLine="420"/>
      </w:pPr>
      <w:r>
        <w:br w:type="page"/>
      </w:r>
    </w:p>
    <w:tbl>
      <w:tblPr>
        <w:tblStyle w:val="51"/>
        <w:tblW w:w="5000" w:type="pct"/>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autofit"/>
        <w:tblCellMar>
          <w:top w:w="0" w:type="dxa"/>
          <w:left w:w="108" w:type="dxa"/>
          <w:bottom w:w="0" w:type="dxa"/>
          <w:right w:w="108" w:type="dxa"/>
        </w:tblCellMar>
      </w:tblPr>
      <w:tblGrid>
        <w:gridCol w:w="953"/>
        <w:gridCol w:w="1892"/>
        <w:gridCol w:w="5678"/>
      </w:tblGrid>
      <w:tr w14:paraId="49102F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50" w:hRule="atLeast"/>
        </w:trPr>
        <w:tc>
          <w:tcPr>
            <w:tcW w:w="5000" w:type="pct"/>
            <w:gridSpan w:val="3"/>
            <w:shd w:val="clear" w:color="auto" w:fill="D9E2F3"/>
            <w:vAlign w:val="center"/>
          </w:tcPr>
          <w:p w14:paraId="1BFC1650">
            <w:pPr>
              <w:widowControl w:val="0"/>
              <w:autoSpaceDE w:val="0"/>
              <w:autoSpaceDN w:val="0"/>
              <w:adjustRightInd w:val="0"/>
              <w:snapToGrid w:val="0"/>
              <w:spacing w:line="240" w:lineRule="auto"/>
              <w:ind w:firstLine="0" w:firstLineChars="0"/>
              <w:jc w:val="center"/>
              <w:rPr>
                <w:rFonts w:ascii="宋体" w:hAnsi="宋体"/>
                <w:sz w:val="32"/>
                <w:szCs w:val="32"/>
              </w:rPr>
            </w:pPr>
            <w:r>
              <w:rPr>
                <w:rFonts w:hint="eastAsia" w:ascii="宋体" w:hAnsi="宋体"/>
                <w:b/>
                <w:sz w:val="32"/>
                <w:szCs w:val="32"/>
              </w:rPr>
              <w:t>投标人须知前附表（三）</w:t>
            </w:r>
          </w:p>
        </w:tc>
      </w:tr>
      <w:tr w14:paraId="666C83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0CEC83E4">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条款号</w:t>
            </w:r>
          </w:p>
        </w:tc>
        <w:tc>
          <w:tcPr>
            <w:tcW w:w="1110" w:type="pct"/>
            <w:shd w:val="clear" w:color="auto" w:fill="FFFFFF"/>
            <w:vAlign w:val="center"/>
          </w:tcPr>
          <w:p w14:paraId="7E8C6F6D">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名称</w:t>
            </w:r>
          </w:p>
        </w:tc>
        <w:tc>
          <w:tcPr>
            <w:tcW w:w="3331" w:type="pct"/>
            <w:shd w:val="clear" w:color="auto" w:fill="FFFFFF"/>
            <w:vAlign w:val="center"/>
          </w:tcPr>
          <w:p w14:paraId="371871E6">
            <w:pPr>
              <w:widowControl w:val="0"/>
              <w:autoSpaceDE w:val="0"/>
              <w:autoSpaceDN w:val="0"/>
              <w:adjustRightInd w:val="0"/>
              <w:snapToGrid w:val="0"/>
              <w:ind w:firstLine="0" w:firstLineChars="0"/>
              <w:jc w:val="center"/>
              <w:rPr>
                <w:rFonts w:ascii="宋体" w:hAnsi="宋体"/>
                <w:b/>
                <w:szCs w:val="21"/>
              </w:rPr>
            </w:pPr>
            <w:r>
              <w:rPr>
                <w:rFonts w:ascii="宋体" w:hAnsi="宋体"/>
                <w:b/>
                <w:szCs w:val="21"/>
              </w:rPr>
              <w:t>编列内容</w:t>
            </w:r>
          </w:p>
        </w:tc>
      </w:tr>
      <w:tr w14:paraId="4283A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shd w:val="clear" w:color="auto" w:fill="FFFFFF"/>
            <w:vAlign w:val="center"/>
          </w:tcPr>
          <w:p w14:paraId="42E9E52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lang w:val="en-US" w:eastAsia="zh-CN"/>
              </w:rPr>
              <w:t>28</w:t>
            </w:r>
            <w:r>
              <w:rPr>
                <w:rFonts w:hint="eastAsia" w:ascii="宋体" w:hAnsi="宋体"/>
                <w:szCs w:val="21"/>
              </w:rPr>
              <w:t>.</w:t>
            </w:r>
          </w:p>
        </w:tc>
        <w:tc>
          <w:tcPr>
            <w:tcW w:w="1110" w:type="pct"/>
            <w:shd w:val="clear" w:color="auto" w:fill="FFFFFF"/>
            <w:vAlign w:val="center"/>
          </w:tcPr>
          <w:p w14:paraId="58CC72FE">
            <w:pPr>
              <w:widowControl w:val="0"/>
              <w:wordWrap w:val="0"/>
              <w:autoSpaceDE w:val="0"/>
              <w:autoSpaceDN w:val="0"/>
              <w:adjustRightInd w:val="0"/>
              <w:snapToGrid w:val="0"/>
              <w:ind w:firstLine="0" w:firstLineChars="0"/>
              <w:jc w:val="center"/>
              <w:rPr>
                <w:rFonts w:ascii="宋体" w:hAnsi="宋体"/>
                <w:szCs w:val="21"/>
              </w:rPr>
            </w:pPr>
            <w:r>
              <w:rPr>
                <w:rFonts w:hint="eastAsia" w:ascii="宋体" w:hAnsi="宋体"/>
                <w:szCs w:val="21"/>
              </w:rPr>
              <w:t>投标样品</w:t>
            </w:r>
          </w:p>
        </w:tc>
        <w:tc>
          <w:tcPr>
            <w:tcW w:w="3331" w:type="pct"/>
            <w:shd w:val="clear" w:color="auto" w:fill="FFFFFF"/>
            <w:vAlign w:val="center"/>
          </w:tcPr>
          <w:p w14:paraId="412AD35D">
            <w:pPr>
              <w:widowControl w:val="0"/>
              <w:wordWrap w:val="0"/>
              <w:autoSpaceDE w:val="0"/>
              <w:autoSpaceDN w:val="0"/>
              <w:adjustRightInd w:val="0"/>
              <w:snapToGrid w:val="0"/>
              <w:ind w:firstLine="0" w:firstLineChars="0"/>
              <w:jc w:val="left"/>
              <w:rPr>
                <w:rFonts w:ascii="宋体" w:hAnsi="宋体"/>
                <w:szCs w:val="21"/>
              </w:rPr>
            </w:pPr>
            <w:r>
              <w:rPr>
                <w:rFonts w:hint="eastAsia" w:ascii="Segoe UI Symbol" w:hAnsi="Segoe UI Symbol" w:cs="Segoe UI Symbol"/>
                <w:kern w:val="0"/>
                <w:szCs w:val="21"/>
                <w:lang w:eastAsia="zh-CN"/>
              </w:rPr>
              <w:t>☑</w:t>
            </w:r>
            <w:r>
              <w:rPr>
                <w:rFonts w:hint="eastAsia" w:ascii="宋体" w:hAnsi="宋体"/>
                <w:szCs w:val="21"/>
              </w:rPr>
              <w:t>不要求递交投标样品</w:t>
            </w:r>
          </w:p>
          <w:p w14:paraId="7EC7D7FF">
            <w:pPr>
              <w:widowControl w:val="0"/>
              <w:wordWrap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□递交投标样品，具体要求：</w:t>
            </w:r>
            <w:r>
              <w:rPr>
                <w:rFonts w:hint="eastAsia" w:ascii="宋体" w:hAnsi="宋体"/>
                <w:szCs w:val="21"/>
                <w:u w:val="single"/>
              </w:rPr>
              <w:t xml:space="preserve"> </w:t>
            </w:r>
            <w:r>
              <w:rPr>
                <w:rFonts w:ascii="宋体" w:hAnsi="宋体"/>
                <w:szCs w:val="21"/>
                <w:u w:val="single"/>
              </w:rPr>
              <w:t xml:space="preserve">                    </w:t>
            </w:r>
          </w:p>
        </w:tc>
      </w:tr>
      <w:tr w14:paraId="64612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2FFD205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lang w:val="en-US" w:eastAsia="zh-CN"/>
              </w:rPr>
              <w:t>29</w:t>
            </w:r>
            <w:r>
              <w:rPr>
                <w:rFonts w:hint="eastAsia" w:ascii="宋体" w:hAnsi="宋体"/>
                <w:szCs w:val="21"/>
              </w:rPr>
              <w:t>.</w:t>
            </w:r>
          </w:p>
        </w:tc>
        <w:tc>
          <w:tcPr>
            <w:tcW w:w="1110" w:type="pct"/>
            <w:shd w:val="clear" w:color="auto" w:fill="FFFFFF"/>
            <w:vAlign w:val="center"/>
          </w:tcPr>
          <w:p w14:paraId="192834A0">
            <w:pPr>
              <w:widowControl w:val="0"/>
              <w:autoSpaceDE w:val="0"/>
              <w:autoSpaceDN w:val="0"/>
              <w:adjustRightInd w:val="0"/>
              <w:snapToGrid w:val="0"/>
              <w:ind w:firstLine="0" w:firstLineChars="0"/>
              <w:jc w:val="center"/>
              <w:rPr>
                <w:rFonts w:ascii="宋体" w:hAnsi="宋体"/>
                <w:b/>
              </w:rPr>
            </w:pPr>
            <w:r>
              <w:rPr>
                <w:rFonts w:hint="eastAsia" w:ascii="宋体" w:hAnsi="宋体"/>
                <w:b/>
              </w:rPr>
              <w:t>投标文件递交要求</w:t>
            </w:r>
          </w:p>
          <w:p w14:paraId="2C54069F">
            <w:pPr>
              <w:pStyle w:val="25"/>
              <w:ind w:firstLine="0" w:firstLineChars="0"/>
            </w:pPr>
            <w:r>
              <w:rPr>
                <w:rFonts w:hint="eastAsia"/>
              </w:rPr>
              <w:t>（现场递交文件）</w:t>
            </w:r>
          </w:p>
        </w:tc>
        <w:tc>
          <w:tcPr>
            <w:tcW w:w="3331" w:type="pct"/>
            <w:shd w:val="clear" w:color="auto" w:fill="FFFFFF"/>
            <w:vAlign w:val="center"/>
          </w:tcPr>
          <w:p w14:paraId="6EFC6179">
            <w:pPr>
              <w:pStyle w:val="46"/>
              <w:spacing w:before="120" w:beforeLines="50" w:beforeAutospacing="0" w:after="120" w:afterLines="50" w:afterAutospacing="0" w:line="360" w:lineRule="auto"/>
              <w:ind w:firstLine="0" w:firstLineChars="0"/>
              <w:rPr>
                <w:rFonts w:ascii="Times New Roman" w:hAnsi="Times New Roman"/>
                <w:b/>
                <w:bCs/>
                <w:color w:val="auto"/>
                <w:kern w:val="2"/>
                <w:sz w:val="21"/>
                <w:szCs w:val="21"/>
              </w:rPr>
            </w:pPr>
            <w:r>
              <w:rPr>
                <w:rFonts w:ascii="Times New Roman" w:hAnsi="Times New Roman"/>
                <w:color w:val="auto"/>
                <w:kern w:val="2"/>
                <w:sz w:val="21"/>
                <w:szCs w:val="21"/>
              </w:rPr>
              <w:t>1</w:t>
            </w:r>
            <w:r>
              <w:rPr>
                <w:rFonts w:hint="eastAsia" w:cs="宋体"/>
                <w:color w:val="auto"/>
                <w:kern w:val="2"/>
                <w:sz w:val="21"/>
                <w:szCs w:val="21"/>
              </w:rPr>
              <w:t>、</w:t>
            </w:r>
            <w:r>
              <w:rPr>
                <w:rFonts w:hint="eastAsia" w:cs="宋体"/>
                <w:b/>
                <w:bCs/>
                <w:color w:val="auto"/>
                <w:kern w:val="2"/>
                <w:sz w:val="21"/>
                <w:szCs w:val="21"/>
              </w:rPr>
              <w:t>本项目采用线下开标，纸质评标。需提供纸质投标文件，其中正本（</w:t>
            </w:r>
            <w:r>
              <w:rPr>
                <w:rFonts w:hint="eastAsia" w:cs="宋体"/>
                <w:b/>
                <w:bCs/>
                <w:color w:val="auto"/>
                <w:kern w:val="2"/>
                <w:sz w:val="21"/>
                <w:szCs w:val="21"/>
                <w:lang w:val="en-US" w:eastAsia="zh-CN"/>
              </w:rPr>
              <w:t>1</w:t>
            </w:r>
            <w:r>
              <w:rPr>
                <w:rFonts w:hint="eastAsia" w:cs="宋体"/>
                <w:b/>
                <w:bCs/>
                <w:color w:val="auto"/>
                <w:kern w:val="2"/>
                <w:sz w:val="21"/>
                <w:szCs w:val="21"/>
              </w:rPr>
              <w:t>份）、副本（</w:t>
            </w:r>
            <w:r>
              <w:rPr>
                <w:rFonts w:hint="eastAsia" w:ascii="Times New Roman" w:hAnsi="Times New Roman"/>
                <w:b/>
                <w:bCs/>
                <w:color w:val="auto"/>
                <w:kern w:val="2"/>
                <w:sz w:val="21"/>
                <w:szCs w:val="21"/>
                <w:lang w:val="en-US" w:eastAsia="zh-CN"/>
              </w:rPr>
              <w:t>4</w:t>
            </w:r>
            <w:r>
              <w:rPr>
                <w:rFonts w:hint="eastAsia" w:cs="宋体"/>
                <w:b/>
                <w:bCs/>
                <w:color w:val="auto"/>
                <w:kern w:val="2"/>
                <w:sz w:val="21"/>
                <w:szCs w:val="21"/>
              </w:rPr>
              <w:t>份），</w:t>
            </w:r>
            <w:r>
              <w:rPr>
                <w:rFonts w:ascii="Times New Roman" w:hAnsi="Times New Roman"/>
                <w:b/>
                <w:bCs/>
                <w:color w:val="auto"/>
                <w:kern w:val="2"/>
                <w:sz w:val="21"/>
                <w:szCs w:val="21"/>
              </w:rPr>
              <w:t>“</w:t>
            </w:r>
            <w:r>
              <w:rPr>
                <w:rFonts w:hint="eastAsia" w:cs="宋体"/>
                <w:b/>
                <w:bCs/>
                <w:color w:val="auto"/>
                <w:kern w:val="2"/>
                <w:sz w:val="21"/>
                <w:szCs w:val="21"/>
              </w:rPr>
              <w:t>投标报价一览表</w:t>
            </w:r>
            <w:r>
              <w:rPr>
                <w:rFonts w:ascii="Times New Roman" w:hAnsi="Times New Roman"/>
                <w:b/>
                <w:bCs/>
                <w:color w:val="auto"/>
                <w:kern w:val="2"/>
                <w:sz w:val="21"/>
                <w:szCs w:val="21"/>
              </w:rPr>
              <w:t>”</w:t>
            </w:r>
            <w:r>
              <w:rPr>
                <w:rFonts w:hint="eastAsia" w:cs="宋体"/>
                <w:b/>
                <w:bCs/>
                <w:color w:val="auto"/>
                <w:kern w:val="2"/>
                <w:sz w:val="21"/>
                <w:szCs w:val="21"/>
              </w:rPr>
              <w:t>信封</w:t>
            </w:r>
            <w:r>
              <w:rPr>
                <w:rFonts w:hint="eastAsia" w:cs="宋体"/>
                <w:b/>
                <w:bCs/>
                <w:color w:val="auto"/>
                <w:kern w:val="2"/>
                <w:sz w:val="21"/>
                <w:szCs w:val="21"/>
                <w:lang w:val="en-US" w:eastAsia="zh-CN"/>
              </w:rPr>
              <w:t>1</w:t>
            </w:r>
            <w:r>
              <w:rPr>
                <w:rFonts w:hint="eastAsia" w:cs="宋体"/>
                <w:b/>
                <w:bCs/>
                <w:color w:val="auto"/>
                <w:kern w:val="2"/>
                <w:sz w:val="21"/>
                <w:szCs w:val="21"/>
              </w:rPr>
              <w:t>份；；</w:t>
            </w:r>
          </w:p>
          <w:p w14:paraId="471784E7">
            <w:pPr>
              <w:spacing w:before="120" w:beforeLines="50" w:after="120" w:afterLines="50"/>
              <w:ind w:firstLine="0" w:firstLineChars="0"/>
              <w:jc w:val="left"/>
              <w:rPr>
                <w:szCs w:val="21"/>
              </w:rPr>
            </w:pPr>
            <w:r>
              <w:rPr>
                <w:szCs w:val="21"/>
              </w:rPr>
              <w:t>2</w:t>
            </w:r>
            <w:r>
              <w:rPr>
                <w:rFonts w:hint="eastAsia" w:ascii="宋体" w:hAnsi="宋体" w:cs="宋体"/>
                <w:szCs w:val="21"/>
              </w:rPr>
              <w:t>、投标文件封面应标明</w:t>
            </w:r>
            <w:r>
              <w:rPr>
                <w:szCs w:val="21"/>
              </w:rPr>
              <w:t>“</w:t>
            </w:r>
            <w:r>
              <w:rPr>
                <w:rFonts w:hint="eastAsia" w:ascii="宋体" w:hAnsi="宋体" w:cs="宋体"/>
                <w:szCs w:val="21"/>
              </w:rPr>
              <w:t>正本</w:t>
            </w:r>
            <w:r>
              <w:rPr>
                <w:szCs w:val="21"/>
              </w:rPr>
              <w:t>”“</w:t>
            </w:r>
            <w:r>
              <w:rPr>
                <w:rFonts w:hint="eastAsia" w:ascii="宋体" w:hAnsi="宋体" w:cs="宋体"/>
                <w:szCs w:val="21"/>
              </w:rPr>
              <w:t>副本</w:t>
            </w:r>
            <w:r>
              <w:rPr>
                <w:szCs w:val="21"/>
              </w:rPr>
              <w:t>”</w:t>
            </w:r>
            <w:r>
              <w:rPr>
                <w:rFonts w:hint="eastAsia" w:ascii="宋体" w:hAnsi="宋体" w:cs="宋体"/>
                <w:szCs w:val="21"/>
              </w:rPr>
              <w:t>字样，并将投标文件正本、副本，密封装在同一信封中。投标文件密封封口处须加盖投标单位公章或有效签字。</w:t>
            </w:r>
          </w:p>
          <w:p w14:paraId="38D2B540">
            <w:pPr>
              <w:pStyle w:val="46"/>
              <w:spacing w:before="120" w:beforeLines="50" w:beforeAutospacing="0" w:after="120" w:afterLines="50" w:afterAutospacing="0" w:line="360" w:lineRule="auto"/>
              <w:ind w:firstLine="0" w:firstLineChars="0"/>
              <w:rPr>
                <w:rFonts w:ascii="Times New Roman" w:hAnsi="Times New Roman"/>
                <w:color w:val="auto"/>
                <w:kern w:val="2"/>
                <w:sz w:val="21"/>
                <w:szCs w:val="21"/>
              </w:rPr>
            </w:pPr>
            <w:r>
              <w:rPr>
                <w:rFonts w:ascii="Times New Roman" w:hAnsi="Times New Roman"/>
                <w:color w:val="auto"/>
                <w:kern w:val="2"/>
                <w:sz w:val="21"/>
                <w:szCs w:val="21"/>
              </w:rPr>
              <w:t>3</w:t>
            </w:r>
            <w:r>
              <w:rPr>
                <w:rFonts w:hint="eastAsia" w:cs="宋体"/>
                <w:color w:val="auto"/>
                <w:kern w:val="2"/>
                <w:sz w:val="21"/>
                <w:szCs w:val="21"/>
              </w:rPr>
              <w:t>、为方便开标唱标，投标人应将</w:t>
            </w:r>
            <w:r>
              <w:rPr>
                <w:rFonts w:ascii="Times New Roman" w:hAnsi="Times New Roman"/>
                <w:color w:val="auto"/>
                <w:kern w:val="2"/>
                <w:sz w:val="21"/>
                <w:szCs w:val="21"/>
              </w:rPr>
              <w:t>“D</w:t>
            </w:r>
            <w:r>
              <w:rPr>
                <w:rFonts w:hint="eastAsia" w:ascii="Times New Roman" w:hAnsi="Times New Roman"/>
                <w:color w:val="auto"/>
                <w:kern w:val="2"/>
                <w:sz w:val="21"/>
                <w:szCs w:val="21"/>
              </w:rPr>
              <w:t>1</w:t>
            </w:r>
            <w:r>
              <w:rPr>
                <w:rFonts w:hint="eastAsia" w:cs="宋体"/>
                <w:color w:val="auto"/>
                <w:kern w:val="2"/>
                <w:sz w:val="21"/>
                <w:szCs w:val="21"/>
              </w:rPr>
              <w:t>、投标报价一览表（加盖公章）</w:t>
            </w:r>
            <w:r>
              <w:rPr>
                <w:rFonts w:ascii="Times New Roman" w:hAnsi="Times New Roman"/>
                <w:color w:val="auto"/>
                <w:kern w:val="2"/>
                <w:sz w:val="21"/>
                <w:szCs w:val="21"/>
              </w:rPr>
              <w:t>”1</w:t>
            </w:r>
            <w:r>
              <w:rPr>
                <w:rFonts w:hint="eastAsia" w:cs="宋体"/>
                <w:color w:val="auto"/>
                <w:kern w:val="2"/>
                <w:sz w:val="21"/>
                <w:szCs w:val="21"/>
              </w:rPr>
              <w:t>份，装入一个密封信封内，信封上标明</w:t>
            </w:r>
            <w:r>
              <w:rPr>
                <w:rFonts w:ascii="Times New Roman" w:hAnsi="Times New Roman"/>
                <w:color w:val="auto"/>
                <w:kern w:val="2"/>
                <w:sz w:val="21"/>
                <w:szCs w:val="21"/>
              </w:rPr>
              <w:t>“</w:t>
            </w:r>
            <w:r>
              <w:rPr>
                <w:rFonts w:hint="eastAsia" w:cs="宋体"/>
                <w:color w:val="auto"/>
                <w:kern w:val="2"/>
                <w:sz w:val="21"/>
                <w:szCs w:val="21"/>
              </w:rPr>
              <w:t>投标报价一览表</w:t>
            </w:r>
            <w:r>
              <w:rPr>
                <w:rFonts w:ascii="Times New Roman" w:hAnsi="Times New Roman"/>
                <w:color w:val="auto"/>
                <w:kern w:val="2"/>
                <w:sz w:val="21"/>
                <w:szCs w:val="21"/>
              </w:rPr>
              <w:t>”</w:t>
            </w:r>
            <w:r>
              <w:rPr>
                <w:rFonts w:hint="eastAsia" w:cs="宋体"/>
                <w:color w:val="auto"/>
                <w:kern w:val="2"/>
                <w:sz w:val="21"/>
                <w:szCs w:val="21"/>
              </w:rPr>
              <w:t>字样，在投标时单独提交。</w:t>
            </w:r>
          </w:p>
          <w:p w14:paraId="056E1793">
            <w:pPr>
              <w:pStyle w:val="46"/>
              <w:spacing w:before="120" w:beforeLines="50" w:beforeAutospacing="0" w:after="120" w:afterLines="50" w:afterAutospacing="0" w:line="360" w:lineRule="auto"/>
              <w:ind w:firstLine="0" w:firstLineChars="0"/>
              <w:rPr>
                <w:rFonts w:ascii="Times New Roman" w:hAnsi="Times New Roman"/>
                <w:color w:val="auto"/>
                <w:kern w:val="2"/>
                <w:sz w:val="21"/>
                <w:szCs w:val="21"/>
              </w:rPr>
            </w:pPr>
            <w:r>
              <w:rPr>
                <w:rFonts w:hint="eastAsia" w:ascii="Times New Roman" w:hAnsi="Times New Roman" w:cs="宋体"/>
                <w:color w:val="auto"/>
                <w:kern w:val="2"/>
                <w:sz w:val="21"/>
                <w:szCs w:val="21"/>
                <w:lang w:val="en-US" w:eastAsia="zh-CN"/>
              </w:rPr>
              <w:t>4</w:t>
            </w:r>
            <w:r>
              <w:rPr>
                <w:rFonts w:hint="eastAsia" w:ascii="Times New Roman" w:hAnsi="Times New Roman" w:cs="宋体"/>
                <w:color w:val="auto"/>
                <w:kern w:val="2"/>
                <w:sz w:val="21"/>
                <w:szCs w:val="21"/>
              </w:rPr>
              <w:t>、递交投标文件时将核查法定代表人资格证明书及法定代表人授权委托书，请将此文件另行不密封准备，递交文件时交由工作人员进行身份核查。</w:t>
            </w:r>
          </w:p>
          <w:p w14:paraId="4451BAF0">
            <w:pPr>
              <w:widowControl w:val="0"/>
              <w:kinsoku w:val="0"/>
              <w:wordWrap w:val="0"/>
              <w:overflowPunct w:val="0"/>
              <w:autoSpaceDE w:val="0"/>
              <w:autoSpaceDN w:val="0"/>
              <w:adjustRightInd w:val="0"/>
              <w:snapToGrid w:val="0"/>
              <w:spacing w:before="120" w:beforeLines="50" w:after="120" w:afterLines="50"/>
              <w:ind w:firstLine="0" w:firstLineChars="0"/>
              <w:jc w:val="left"/>
              <w:rPr>
                <w:szCs w:val="21"/>
              </w:rPr>
            </w:pPr>
            <w:r>
              <w:rPr>
                <w:rFonts w:hint="eastAsia" w:ascii="宋体" w:hAnsi="宋体" w:cs="宋体"/>
                <w:szCs w:val="21"/>
              </w:rPr>
              <w:t>注意：</w:t>
            </w:r>
          </w:p>
          <w:p w14:paraId="1147F292">
            <w:pPr>
              <w:spacing w:before="120" w:beforeLines="50" w:after="120" w:afterLines="50"/>
              <w:ind w:firstLine="0" w:firstLineChars="0"/>
              <w:jc w:val="left"/>
              <w:rPr>
                <w:szCs w:val="21"/>
              </w:rPr>
            </w:pPr>
            <w:r>
              <w:rPr>
                <w:rFonts w:hint="eastAsia" w:ascii="宋体" w:hAnsi="宋体" w:cs="宋体"/>
                <w:szCs w:val="21"/>
              </w:rPr>
              <w:t>投标文件</w:t>
            </w:r>
            <w:r>
              <w:rPr>
                <w:szCs w:val="21"/>
              </w:rPr>
              <w:t>“</w:t>
            </w:r>
            <w:r>
              <w:rPr>
                <w:rFonts w:hint="eastAsia" w:ascii="宋体" w:hAnsi="宋体" w:cs="宋体"/>
                <w:szCs w:val="21"/>
              </w:rPr>
              <w:t>正本、副本</w:t>
            </w:r>
            <w:r>
              <w:rPr>
                <w:szCs w:val="21"/>
              </w:rPr>
              <w:t>”“</w:t>
            </w:r>
            <w:r>
              <w:rPr>
                <w:rFonts w:hint="eastAsia" w:ascii="宋体" w:hAnsi="宋体" w:cs="宋体"/>
                <w:szCs w:val="21"/>
              </w:rPr>
              <w:t>投标报价一览表</w:t>
            </w:r>
            <w:r>
              <w:rPr>
                <w:szCs w:val="21"/>
              </w:rPr>
              <w:t>”</w:t>
            </w:r>
            <w:r>
              <w:rPr>
                <w:rFonts w:hint="eastAsia" w:ascii="宋体" w:hAnsi="宋体" w:cs="宋体"/>
                <w:szCs w:val="21"/>
              </w:rPr>
              <w:t>信封均应注明：</w:t>
            </w:r>
          </w:p>
          <w:p w14:paraId="68CD0914">
            <w:pPr>
              <w:spacing w:before="120" w:beforeLines="50" w:after="120" w:afterLines="50"/>
              <w:ind w:firstLine="0" w:firstLineChars="0"/>
              <w:jc w:val="left"/>
              <w:rPr>
                <w:szCs w:val="21"/>
              </w:rPr>
            </w:pPr>
            <w:r>
              <w:rPr>
                <w:rFonts w:hint="eastAsia" w:ascii="宋体" w:hAnsi="宋体" w:cs="宋体"/>
                <w:szCs w:val="21"/>
              </w:rPr>
              <w:t>递</w:t>
            </w:r>
            <w:r>
              <w:rPr>
                <w:szCs w:val="21"/>
              </w:rPr>
              <w:t xml:space="preserve"> </w:t>
            </w:r>
            <w:r>
              <w:rPr>
                <w:rFonts w:hint="eastAsia" w:ascii="宋体" w:hAnsi="宋体" w:cs="宋体"/>
                <w:szCs w:val="21"/>
              </w:rPr>
              <w:t>交</w:t>
            </w:r>
            <w:r>
              <w:rPr>
                <w:szCs w:val="21"/>
              </w:rPr>
              <w:t xml:space="preserve"> 至：</w:t>
            </w:r>
            <w:r>
              <w:rPr>
                <w:rFonts w:hint="eastAsia" w:ascii="宋体" w:hAnsi="宋体"/>
                <w:kern w:val="0"/>
                <w:szCs w:val="21"/>
                <w:highlight w:val="yellow"/>
                <w:u w:val="single"/>
                <w:lang w:val="en-US" w:eastAsia="zh-CN"/>
              </w:rPr>
              <w:t xml:space="preserve">深圳市网球中心八角大楼2楼综合管理部 </w:t>
            </w:r>
          </w:p>
          <w:p w14:paraId="38EA2DCF">
            <w:pPr>
              <w:spacing w:before="120" w:beforeLines="50" w:after="120" w:afterLines="50"/>
              <w:ind w:firstLine="0" w:firstLineChars="0"/>
              <w:jc w:val="left"/>
              <w:rPr>
                <w:szCs w:val="21"/>
                <w:u w:val="single"/>
              </w:rPr>
            </w:pPr>
            <w:bookmarkStart w:id="34" w:name="tip_risk_bookmark_2"/>
            <w:r>
              <w:rPr>
                <w:rFonts w:hint="eastAsia" w:ascii="宋体" w:hAnsi="宋体" w:cs="宋体"/>
                <w:szCs w:val="21"/>
              </w:rPr>
              <w:t>项目编号：</w:t>
            </w:r>
            <w:bookmarkEnd w:id="34"/>
            <w:r>
              <w:rPr>
                <w:szCs w:val="21"/>
                <w:u w:val="single"/>
              </w:rPr>
              <w:t xml:space="preserve">                            </w:t>
            </w:r>
          </w:p>
          <w:p w14:paraId="33D7F349">
            <w:pPr>
              <w:spacing w:before="120" w:beforeLines="50" w:after="120" w:afterLines="50"/>
              <w:ind w:firstLine="0" w:firstLineChars="0"/>
              <w:jc w:val="left"/>
              <w:rPr>
                <w:szCs w:val="21"/>
              </w:rPr>
            </w:pPr>
            <w:r>
              <w:rPr>
                <w:rFonts w:hint="eastAsia" w:ascii="宋体" w:hAnsi="宋体" w:cs="宋体"/>
                <w:szCs w:val="21"/>
              </w:rPr>
              <w:t>项目名称：</w:t>
            </w:r>
            <w:r>
              <w:rPr>
                <w:szCs w:val="21"/>
                <w:u w:val="single"/>
              </w:rPr>
              <w:t xml:space="preserve">                            </w:t>
            </w:r>
          </w:p>
          <w:p w14:paraId="65916D01">
            <w:pPr>
              <w:pStyle w:val="46"/>
              <w:spacing w:before="0" w:beforeAutospacing="0" w:after="0" w:afterAutospacing="0" w:line="360" w:lineRule="auto"/>
              <w:ind w:firstLine="420"/>
              <w:rPr>
                <w:rFonts w:cs="Segoe UI Symbol"/>
                <w:color w:val="auto"/>
                <w:szCs w:val="21"/>
              </w:rPr>
            </w:pPr>
            <w:r>
              <w:rPr>
                <w:rFonts w:hint="eastAsia" w:cs="宋体"/>
                <w:color w:val="auto"/>
                <w:kern w:val="2"/>
                <w:sz w:val="21"/>
                <w:szCs w:val="21"/>
              </w:rPr>
              <w:t>并备注：</w:t>
            </w:r>
            <w:r>
              <w:rPr>
                <w:rFonts w:ascii="Times New Roman" w:hAnsi="Times New Roman"/>
                <w:color w:val="auto"/>
                <w:kern w:val="2"/>
                <w:sz w:val="21"/>
                <w:szCs w:val="21"/>
              </w:rPr>
              <w:t xml:space="preserve">“ </w:t>
            </w:r>
            <w:r>
              <w:rPr>
                <w:rFonts w:ascii="Times New Roman" w:hAnsi="Times New Roman"/>
                <w:color w:val="auto"/>
                <w:kern w:val="2"/>
                <w:sz w:val="21"/>
                <w:szCs w:val="21"/>
                <w:u w:val="single"/>
              </w:rPr>
              <w:t xml:space="preserve">    </w:t>
            </w:r>
            <w:r>
              <w:rPr>
                <w:rFonts w:hint="eastAsia" w:cs="宋体"/>
                <w:color w:val="auto"/>
                <w:kern w:val="2"/>
                <w:sz w:val="21"/>
                <w:szCs w:val="21"/>
              </w:rPr>
              <w:t>（项目名称）在</w:t>
            </w:r>
            <w:r>
              <w:rPr>
                <w:rFonts w:ascii="Times New Roman" w:hAnsi="Times New Roman"/>
                <w:color w:val="auto"/>
                <w:kern w:val="2"/>
                <w:sz w:val="21"/>
                <w:szCs w:val="21"/>
                <w:u w:val="single"/>
              </w:rPr>
              <w:t>202</w:t>
            </w:r>
            <w:r>
              <w:rPr>
                <w:rFonts w:hint="eastAsia" w:ascii="Times New Roman" w:hAnsi="Times New Roman"/>
                <w:color w:val="auto"/>
                <w:kern w:val="2"/>
                <w:sz w:val="21"/>
                <w:szCs w:val="21"/>
                <w:u w:val="single"/>
              </w:rPr>
              <w:t>3</w:t>
            </w:r>
            <w:r>
              <w:rPr>
                <w:rFonts w:hint="eastAsia" w:cs="宋体"/>
                <w:color w:val="auto"/>
                <w:kern w:val="2"/>
                <w:sz w:val="21"/>
                <w:szCs w:val="21"/>
              </w:rPr>
              <w:t>年</w:t>
            </w:r>
            <w:r>
              <w:rPr>
                <w:rFonts w:ascii="Times New Roman" w:hAnsi="Times New Roman"/>
                <w:color w:val="auto"/>
                <w:kern w:val="2"/>
                <w:sz w:val="21"/>
                <w:szCs w:val="21"/>
                <w:u w:val="single"/>
              </w:rPr>
              <w:t xml:space="preserve">  </w:t>
            </w:r>
            <w:r>
              <w:rPr>
                <w:rFonts w:hint="eastAsia" w:cs="宋体"/>
                <w:color w:val="auto"/>
                <w:kern w:val="2"/>
                <w:sz w:val="21"/>
                <w:szCs w:val="21"/>
              </w:rPr>
              <w:t>月</w:t>
            </w:r>
            <w:r>
              <w:rPr>
                <w:rFonts w:ascii="Times New Roman" w:hAnsi="Times New Roman"/>
                <w:color w:val="auto"/>
                <w:kern w:val="2"/>
                <w:sz w:val="21"/>
                <w:szCs w:val="21"/>
                <w:u w:val="single"/>
              </w:rPr>
              <w:t xml:space="preserve">  </w:t>
            </w:r>
            <w:r>
              <w:rPr>
                <w:rFonts w:hint="eastAsia" w:cs="宋体"/>
                <w:color w:val="auto"/>
                <w:kern w:val="2"/>
                <w:sz w:val="21"/>
                <w:szCs w:val="21"/>
              </w:rPr>
              <w:t>日</w:t>
            </w:r>
            <w:r>
              <w:rPr>
                <w:rFonts w:ascii="Times New Roman" w:hAnsi="Times New Roman"/>
                <w:color w:val="auto"/>
                <w:kern w:val="2"/>
                <w:sz w:val="21"/>
                <w:szCs w:val="21"/>
                <w:u w:val="single"/>
              </w:rPr>
              <w:t xml:space="preserve">  </w:t>
            </w:r>
            <w:r>
              <w:rPr>
                <w:rFonts w:hint="eastAsia" w:cs="宋体"/>
                <w:color w:val="auto"/>
                <w:kern w:val="2"/>
                <w:sz w:val="21"/>
                <w:szCs w:val="21"/>
              </w:rPr>
              <w:t>：</w:t>
            </w:r>
            <w:r>
              <w:rPr>
                <w:rFonts w:ascii="Times New Roman" w:hAnsi="Times New Roman"/>
                <w:color w:val="auto"/>
                <w:kern w:val="2"/>
                <w:sz w:val="21"/>
                <w:szCs w:val="21"/>
                <w:u w:val="single"/>
              </w:rPr>
              <w:t xml:space="preserve">  </w:t>
            </w:r>
            <w:r>
              <w:rPr>
                <w:rFonts w:hint="eastAsia" w:cs="宋体"/>
                <w:color w:val="auto"/>
                <w:kern w:val="2"/>
                <w:sz w:val="21"/>
                <w:szCs w:val="21"/>
              </w:rPr>
              <w:t>（北京时间）之前不得启封</w:t>
            </w:r>
            <w:r>
              <w:rPr>
                <w:rFonts w:ascii="Times New Roman" w:hAnsi="Times New Roman"/>
                <w:color w:val="auto"/>
                <w:kern w:val="2"/>
                <w:sz w:val="21"/>
                <w:szCs w:val="21"/>
              </w:rPr>
              <w:t>”</w:t>
            </w:r>
            <w:r>
              <w:rPr>
                <w:rFonts w:hint="eastAsia" w:cs="宋体"/>
                <w:color w:val="auto"/>
                <w:kern w:val="2"/>
                <w:sz w:val="21"/>
                <w:szCs w:val="21"/>
              </w:rPr>
              <w:t>的字样。</w:t>
            </w:r>
          </w:p>
        </w:tc>
      </w:tr>
      <w:tr w14:paraId="2208D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shd w:val="clear" w:color="auto" w:fill="FFFFFF"/>
            <w:vAlign w:val="center"/>
          </w:tcPr>
          <w:p w14:paraId="7B496E88">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lang w:val="en-US" w:eastAsia="zh-CN"/>
              </w:rPr>
              <w:t>30</w:t>
            </w:r>
            <w:r>
              <w:rPr>
                <w:rFonts w:hint="eastAsia" w:ascii="宋体" w:hAnsi="宋体"/>
                <w:szCs w:val="21"/>
              </w:rPr>
              <w:t>.</w:t>
            </w:r>
          </w:p>
        </w:tc>
        <w:tc>
          <w:tcPr>
            <w:tcW w:w="1110" w:type="pct"/>
            <w:shd w:val="clear" w:color="auto" w:fill="FFFFFF"/>
            <w:vAlign w:val="center"/>
          </w:tcPr>
          <w:p w14:paraId="69C7AC0A">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cs="宋体"/>
                <w:szCs w:val="21"/>
              </w:rPr>
              <w:t>投标文件签字或盖章要求</w:t>
            </w:r>
          </w:p>
        </w:tc>
        <w:tc>
          <w:tcPr>
            <w:tcW w:w="3331" w:type="pct"/>
            <w:shd w:val="clear" w:color="auto" w:fill="FFFFFF"/>
            <w:vAlign w:val="center"/>
          </w:tcPr>
          <w:p w14:paraId="1F059538">
            <w:pPr>
              <w:pStyle w:val="46"/>
              <w:spacing w:before="0" w:beforeAutospacing="0" w:after="0" w:afterAutospacing="0" w:line="360" w:lineRule="auto"/>
              <w:ind w:firstLine="420"/>
              <w:rPr>
                <w:rFonts w:hint="eastAsia" w:cs="MS Mincho"/>
                <w:color w:val="auto"/>
                <w:szCs w:val="21"/>
              </w:rPr>
            </w:pPr>
            <w:r>
              <w:rPr>
                <w:rFonts w:hint="eastAsia" w:cs="宋体"/>
                <w:color w:val="auto"/>
                <w:kern w:val="2"/>
                <w:sz w:val="21"/>
                <w:szCs w:val="21"/>
              </w:rPr>
              <w:t>投标文件必须有投标人盖章（投标文件每页加盖公章，骑缝章，特殊规定位置加盖法人章（签字）或授权代理人签字）方为合法的投标文件。对文件未盖章的资料，相应资料无效；相应资料无效致使投标文件无效的，由投标人自行负责。</w:t>
            </w:r>
          </w:p>
        </w:tc>
      </w:tr>
      <w:tr w14:paraId="153891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5000" w:type="pct"/>
            <w:gridSpan w:val="3"/>
            <w:shd w:val="clear" w:color="auto" w:fill="D9E2F3"/>
            <w:vAlign w:val="center"/>
          </w:tcPr>
          <w:p w14:paraId="162FFF09">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投标文件的编制内容</w:t>
            </w:r>
          </w:p>
        </w:tc>
      </w:tr>
      <w:tr w14:paraId="63EF96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278" w:hRule="atLeast"/>
        </w:trPr>
        <w:tc>
          <w:tcPr>
            <w:tcW w:w="559" w:type="pct"/>
            <w:shd w:val="clear" w:color="auto" w:fill="FFFFFF"/>
            <w:vAlign w:val="center"/>
          </w:tcPr>
          <w:p w14:paraId="1A1CE39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条款</w:t>
            </w:r>
            <w:r>
              <w:rPr>
                <w:rFonts w:ascii="宋体" w:hAnsi="宋体"/>
                <w:b/>
                <w:szCs w:val="21"/>
              </w:rPr>
              <w:t>号</w:t>
            </w:r>
          </w:p>
        </w:tc>
        <w:tc>
          <w:tcPr>
            <w:tcW w:w="1110" w:type="pct"/>
            <w:shd w:val="clear" w:color="auto" w:fill="FFFFFF"/>
            <w:vAlign w:val="center"/>
          </w:tcPr>
          <w:p w14:paraId="4D15419C">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内容</w:t>
            </w:r>
          </w:p>
        </w:tc>
        <w:tc>
          <w:tcPr>
            <w:tcW w:w="3331" w:type="pct"/>
            <w:shd w:val="clear" w:color="auto" w:fill="FFFFFF"/>
            <w:vAlign w:val="center"/>
          </w:tcPr>
          <w:p w14:paraId="4805271A">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规定</w:t>
            </w:r>
          </w:p>
        </w:tc>
      </w:tr>
      <w:tr w14:paraId="43440D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1792" w:hRule="atLeast"/>
        </w:trPr>
        <w:tc>
          <w:tcPr>
            <w:tcW w:w="559" w:type="pct"/>
            <w:vMerge w:val="restart"/>
            <w:shd w:val="clear" w:color="auto" w:fill="FFFFFF"/>
            <w:vAlign w:val="center"/>
          </w:tcPr>
          <w:p w14:paraId="3738CD0E">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w:t>
            </w:r>
            <w:r>
              <w:rPr>
                <w:rFonts w:hint="eastAsia" w:ascii="宋体" w:hAnsi="宋体"/>
                <w:szCs w:val="21"/>
                <w:lang w:val="en-US" w:eastAsia="zh-CN"/>
              </w:rPr>
              <w:t>1.</w:t>
            </w:r>
          </w:p>
        </w:tc>
        <w:tc>
          <w:tcPr>
            <w:tcW w:w="1110" w:type="pct"/>
            <w:tcBorders>
              <w:bottom w:val="single" w:color="auto" w:sz="4" w:space="0"/>
            </w:tcBorders>
            <w:shd w:val="clear" w:color="auto" w:fill="FFFFFF"/>
            <w:vAlign w:val="center"/>
          </w:tcPr>
          <w:p w14:paraId="18B73231">
            <w:pPr>
              <w:widowControl w:val="0"/>
              <w:autoSpaceDE w:val="0"/>
              <w:autoSpaceDN w:val="0"/>
              <w:adjustRightInd w:val="0"/>
              <w:snapToGrid w:val="0"/>
              <w:ind w:firstLine="0" w:firstLineChars="0"/>
              <w:jc w:val="center"/>
              <w:rPr>
                <w:rFonts w:ascii="宋体" w:hAnsi="宋体"/>
                <w:szCs w:val="21"/>
              </w:rPr>
            </w:pPr>
            <w:r>
              <w:rPr>
                <w:rFonts w:hint="eastAsia" w:ascii="宋体" w:hAnsi="宋体" w:cs="Courier New"/>
                <w:kern w:val="0"/>
                <w:szCs w:val="21"/>
              </w:rPr>
              <w:t>投标文件组成</w:t>
            </w:r>
          </w:p>
        </w:tc>
        <w:tc>
          <w:tcPr>
            <w:tcW w:w="3331" w:type="pct"/>
            <w:shd w:val="clear" w:color="auto" w:fill="FFFFFF"/>
            <w:vAlign w:val="center"/>
          </w:tcPr>
          <w:p w14:paraId="3C4D18CA">
            <w:pPr>
              <w:widowControl w:val="0"/>
              <w:autoSpaceDE w:val="0"/>
              <w:autoSpaceDN w:val="0"/>
              <w:adjustRightInd w:val="0"/>
              <w:snapToGrid w:val="0"/>
              <w:ind w:firstLine="0" w:firstLineChars="0"/>
              <w:jc w:val="left"/>
              <w:rPr>
                <w:rFonts w:ascii="宋体" w:hAnsi="宋体" w:cs="Courier New"/>
                <w:b/>
                <w:kern w:val="0"/>
                <w:szCs w:val="21"/>
              </w:rPr>
            </w:pPr>
            <w:r>
              <w:rPr>
                <w:rFonts w:hint="eastAsia" w:ascii="宋体" w:hAnsi="宋体" w:cs="Courier New"/>
                <w:kern w:val="0"/>
                <w:szCs w:val="21"/>
              </w:rPr>
              <w:t>投标文件包含以下组成部分</w:t>
            </w:r>
            <w:r>
              <w:rPr>
                <w:rFonts w:hint="eastAsia" w:ascii="宋体" w:hAnsi="宋体" w:cs="Courier New"/>
                <w:b/>
                <w:kern w:val="0"/>
                <w:szCs w:val="21"/>
              </w:rPr>
              <w:t>：</w:t>
            </w:r>
          </w:p>
          <w:p w14:paraId="79B0F005">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szCs w:val="21"/>
              </w:rPr>
              <w:t>☑</w:t>
            </w:r>
            <w:r>
              <w:rPr>
                <w:rFonts w:hint="eastAsia" w:ascii="宋体" w:hAnsi="宋体" w:cs="Courier New"/>
                <w:kern w:val="0"/>
                <w:szCs w:val="21"/>
              </w:rPr>
              <w:t>资格审查文件</w:t>
            </w:r>
          </w:p>
          <w:p w14:paraId="4F818129">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szCs w:val="21"/>
              </w:rPr>
              <w:t>☑</w:t>
            </w:r>
            <w:r>
              <w:rPr>
                <w:rFonts w:hint="eastAsia" w:ascii="宋体" w:hAnsi="宋体" w:cs="Courier New"/>
                <w:kern w:val="0"/>
                <w:szCs w:val="21"/>
              </w:rPr>
              <w:t>商务标部分</w:t>
            </w:r>
          </w:p>
          <w:p w14:paraId="1A92F038">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szCs w:val="21"/>
              </w:rPr>
              <w:t>☑</w:t>
            </w:r>
            <w:r>
              <w:rPr>
                <w:rFonts w:hint="eastAsia" w:ascii="宋体" w:hAnsi="宋体" w:cs="Courier New"/>
                <w:kern w:val="0"/>
                <w:szCs w:val="21"/>
              </w:rPr>
              <w:t>技术标部分</w:t>
            </w:r>
          </w:p>
          <w:p w14:paraId="5D95A3DC">
            <w:pPr>
              <w:widowControl w:val="0"/>
              <w:autoSpaceDE w:val="0"/>
              <w:autoSpaceDN w:val="0"/>
              <w:adjustRightInd w:val="0"/>
              <w:snapToGrid w:val="0"/>
              <w:ind w:firstLine="0" w:firstLineChars="0"/>
              <w:jc w:val="left"/>
              <w:rPr>
                <w:rFonts w:ascii="宋体" w:hAnsi="宋体" w:cs="Courier New"/>
                <w:kern w:val="0"/>
                <w:szCs w:val="21"/>
              </w:rPr>
            </w:pPr>
            <w:r>
              <w:rPr>
                <w:rFonts w:hint="eastAsia" w:ascii="宋体" w:hAnsi="宋体"/>
                <w:szCs w:val="21"/>
              </w:rPr>
              <w:t>☑</w:t>
            </w:r>
            <w:r>
              <w:rPr>
                <w:rFonts w:hint="eastAsia" w:ascii="宋体" w:hAnsi="宋体" w:cs="Courier New"/>
                <w:kern w:val="0"/>
                <w:szCs w:val="21"/>
              </w:rPr>
              <w:t>价格标部分</w:t>
            </w:r>
          </w:p>
        </w:tc>
      </w:tr>
      <w:tr w14:paraId="2F374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7883E3CC">
            <w:pPr>
              <w:widowControl w:val="0"/>
              <w:autoSpaceDE w:val="0"/>
              <w:autoSpaceDN w:val="0"/>
              <w:adjustRightInd w:val="0"/>
              <w:snapToGrid w:val="0"/>
              <w:ind w:firstLine="0" w:firstLineChars="0"/>
              <w:jc w:val="center"/>
              <w:rPr>
                <w:rFonts w:ascii="宋体" w:hAnsi="宋体"/>
                <w:szCs w:val="21"/>
              </w:rPr>
            </w:pPr>
          </w:p>
        </w:tc>
        <w:tc>
          <w:tcPr>
            <w:tcW w:w="1110" w:type="pct"/>
            <w:tcBorders>
              <w:bottom w:val="single" w:color="auto" w:sz="4" w:space="0"/>
            </w:tcBorders>
            <w:shd w:val="clear" w:color="auto" w:fill="FFFFFF"/>
            <w:vAlign w:val="center"/>
          </w:tcPr>
          <w:p w14:paraId="240B16EF">
            <w:pPr>
              <w:widowControl w:val="0"/>
              <w:autoSpaceDE w:val="0"/>
              <w:autoSpaceDN w:val="0"/>
              <w:adjustRightInd w:val="0"/>
              <w:snapToGrid w:val="0"/>
              <w:ind w:firstLine="0" w:firstLineChars="0"/>
              <w:jc w:val="center"/>
              <w:rPr>
                <w:rFonts w:ascii="宋体" w:hAnsi="宋体" w:cs="Courier New"/>
                <w:kern w:val="0"/>
                <w:szCs w:val="21"/>
              </w:rPr>
            </w:pPr>
            <w:r>
              <w:rPr>
                <w:rFonts w:hint="eastAsia" w:ascii="宋体" w:hAnsi="宋体" w:cs="Courier New"/>
                <w:kern w:val="0"/>
                <w:szCs w:val="21"/>
              </w:rPr>
              <w:t>资格审查文件</w:t>
            </w:r>
          </w:p>
        </w:tc>
        <w:tc>
          <w:tcPr>
            <w:tcW w:w="3331" w:type="pct"/>
            <w:shd w:val="clear" w:color="auto" w:fill="FFFFFF"/>
            <w:vAlign w:val="center"/>
          </w:tcPr>
          <w:p w14:paraId="685688FA">
            <w:pPr>
              <w:widowControl w:val="0"/>
              <w:wordWrap w:val="0"/>
              <w:autoSpaceDE w:val="0"/>
              <w:autoSpaceDN w:val="0"/>
              <w:adjustRightInd w:val="0"/>
              <w:snapToGrid w:val="0"/>
              <w:ind w:firstLine="0" w:firstLineChars="0"/>
              <w:rPr>
                <w:rFonts w:ascii="宋体" w:hAnsi="宋体"/>
                <w:b/>
                <w:bCs/>
                <w:snapToGrid w:val="0"/>
                <w:kern w:val="0"/>
                <w:szCs w:val="21"/>
              </w:rPr>
            </w:pPr>
            <w:r>
              <w:rPr>
                <w:rFonts w:hint="eastAsia" w:ascii="宋体" w:hAnsi="宋体"/>
                <w:b/>
                <w:bCs/>
                <w:snapToGrid w:val="0"/>
                <w:kern w:val="0"/>
                <w:szCs w:val="21"/>
              </w:rPr>
              <w:t>编制内容：</w:t>
            </w:r>
          </w:p>
          <w:p w14:paraId="1EF0CB4E">
            <w:pPr>
              <w:widowControl w:val="0"/>
              <w:wordWrap w:val="0"/>
              <w:autoSpaceDE w:val="0"/>
              <w:autoSpaceDN w:val="0"/>
              <w:adjustRightInd w:val="0"/>
              <w:snapToGrid w:val="0"/>
              <w:ind w:firstLine="0" w:firstLineChars="0"/>
              <w:rPr>
                <w:rFonts w:ascii="宋体" w:hAnsi="宋体" w:cs="Courier New"/>
                <w:kern w:val="0"/>
                <w:szCs w:val="21"/>
                <w:u w:val="single"/>
              </w:rPr>
            </w:pPr>
            <w:r>
              <w:rPr>
                <w:rFonts w:hint="eastAsia" w:ascii="宋体" w:hAnsi="宋体" w:cs="Courier New"/>
                <w:kern w:val="0"/>
                <w:szCs w:val="21"/>
              </w:rPr>
              <w:t>详见第五章</w:t>
            </w:r>
          </w:p>
        </w:tc>
      </w:tr>
      <w:tr w14:paraId="5536B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76DBE95E">
            <w:pPr>
              <w:widowControl w:val="0"/>
              <w:autoSpaceDE w:val="0"/>
              <w:autoSpaceDN w:val="0"/>
              <w:adjustRightInd w:val="0"/>
              <w:snapToGrid w:val="0"/>
              <w:ind w:firstLine="0" w:firstLineChars="0"/>
              <w:jc w:val="center"/>
              <w:rPr>
                <w:rFonts w:ascii="宋体" w:hAnsi="宋体"/>
                <w:szCs w:val="21"/>
              </w:rPr>
            </w:pPr>
          </w:p>
        </w:tc>
        <w:tc>
          <w:tcPr>
            <w:tcW w:w="1110" w:type="pct"/>
            <w:tcBorders>
              <w:top w:val="single" w:color="auto" w:sz="4" w:space="0"/>
            </w:tcBorders>
            <w:shd w:val="clear" w:color="auto" w:fill="FFFFFF"/>
            <w:vAlign w:val="center"/>
          </w:tcPr>
          <w:p w14:paraId="14602DB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商务标部分</w:t>
            </w:r>
          </w:p>
        </w:tc>
        <w:tc>
          <w:tcPr>
            <w:tcW w:w="3331" w:type="pct"/>
            <w:shd w:val="clear" w:color="auto" w:fill="FFFFFF"/>
            <w:vAlign w:val="center"/>
          </w:tcPr>
          <w:p w14:paraId="780C4ACB">
            <w:pPr>
              <w:widowControl w:val="0"/>
              <w:wordWrap w:val="0"/>
              <w:autoSpaceDE w:val="0"/>
              <w:autoSpaceDN w:val="0"/>
              <w:adjustRightInd w:val="0"/>
              <w:snapToGrid w:val="0"/>
              <w:ind w:firstLine="0" w:firstLineChars="0"/>
              <w:rPr>
                <w:rFonts w:ascii="宋体" w:hAnsi="宋体"/>
                <w:b/>
                <w:bCs/>
                <w:snapToGrid w:val="0"/>
                <w:kern w:val="0"/>
                <w:szCs w:val="21"/>
              </w:rPr>
            </w:pPr>
            <w:r>
              <w:rPr>
                <w:rFonts w:hint="eastAsia" w:ascii="宋体" w:hAnsi="宋体"/>
                <w:b/>
                <w:bCs/>
                <w:snapToGrid w:val="0"/>
                <w:kern w:val="0"/>
                <w:szCs w:val="21"/>
              </w:rPr>
              <w:t>编制内容：</w:t>
            </w:r>
          </w:p>
          <w:p w14:paraId="6FA62E44">
            <w:pPr>
              <w:widowControl w:val="0"/>
              <w:wordWrap w:val="0"/>
              <w:autoSpaceDE w:val="0"/>
              <w:autoSpaceDN w:val="0"/>
              <w:adjustRightInd w:val="0"/>
              <w:snapToGrid w:val="0"/>
              <w:ind w:firstLine="0" w:firstLineChars="0"/>
              <w:rPr>
                <w:rFonts w:ascii="宋体" w:hAnsi="宋体" w:cs="Courier New"/>
                <w:kern w:val="0"/>
                <w:szCs w:val="21"/>
              </w:rPr>
            </w:pPr>
            <w:r>
              <w:rPr>
                <w:rFonts w:hint="eastAsia" w:ascii="宋体" w:hAnsi="宋体" w:cs="Courier New"/>
                <w:kern w:val="0"/>
                <w:szCs w:val="21"/>
              </w:rPr>
              <w:t>详见第五章</w:t>
            </w:r>
          </w:p>
        </w:tc>
      </w:tr>
      <w:tr w14:paraId="11D19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2274EBFC">
            <w:pPr>
              <w:widowControl w:val="0"/>
              <w:autoSpaceDE w:val="0"/>
              <w:autoSpaceDN w:val="0"/>
              <w:adjustRightInd w:val="0"/>
              <w:snapToGrid w:val="0"/>
              <w:ind w:firstLine="0" w:firstLineChars="0"/>
              <w:jc w:val="center"/>
              <w:rPr>
                <w:rFonts w:ascii="宋体" w:hAnsi="宋体"/>
                <w:szCs w:val="21"/>
              </w:rPr>
            </w:pPr>
          </w:p>
        </w:tc>
        <w:tc>
          <w:tcPr>
            <w:tcW w:w="1110" w:type="pct"/>
            <w:shd w:val="clear" w:color="auto" w:fill="FFFFFF"/>
            <w:vAlign w:val="center"/>
          </w:tcPr>
          <w:p w14:paraId="068E924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技术标部分</w:t>
            </w:r>
          </w:p>
        </w:tc>
        <w:tc>
          <w:tcPr>
            <w:tcW w:w="3331" w:type="pct"/>
            <w:shd w:val="clear" w:color="auto" w:fill="FFFFFF"/>
            <w:vAlign w:val="center"/>
          </w:tcPr>
          <w:p w14:paraId="5EE917A6">
            <w:pPr>
              <w:widowControl w:val="0"/>
              <w:wordWrap w:val="0"/>
              <w:autoSpaceDE w:val="0"/>
              <w:autoSpaceDN w:val="0"/>
              <w:adjustRightInd w:val="0"/>
              <w:snapToGrid w:val="0"/>
              <w:ind w:firstLine="0" w:firstLineChars="0"/>
              <w:rPr>
                <w:rFonts w:ascii="宋体" w:hAnsi="宋体"/>
                <w:b/>
                <w:bCs/>
                <w:snapToGrid w:val="0"/>
                <w:kern w:val="0"/>
                <w:szCs w:val="21"/>
              </w:rPr>
            </w:pPr>
            <w:r>
              <w:rPr>
                <w:rFonts w:hint="eastAsia" w:ascii="宋体" w:hAnsi="宋体"/>
                <w:b/>
                <w:bCs/>
                <w:snapToGrid w:val="0"/>
                <w:kern w:val="0"/>
                <w:szCs w:val="21"/>
              </w:rPr>
              <w:t>编制内容：</w:t>
            </w:r>
          </w:p>
          <w:p w14:paraId="641F886E">
            <w:pPr>
              <w:widowControl w:val="0"/>
              <w:wordWrap w:val="0"/>
              <w:autoSpaceDE w:val="0"/>
              <w:autoSpaceDN w:val="0"/>
              <w:adjustRightInd w:val="0"/>
              <w:snapToGrid w:val="0"/>
              <w:ind w:firstLine="0" w:firstLineChars="0"/>
              <w:rPr>
                <w:rFonts w:ascii="宋体" w:hAnsi="宋体"/>
                <w:szCs w:val="21"/>
              </w:rPr>
            </w:pPr>
            <w:r>
              <w:rPr>
                <w:rFonts w:hint="eastAsia" w:ascii="宋体" w:hAnsi="宋体" w:cs="Courier New"/>
                <w:kern w:val="0"/>
                <w:szCs w:val="21"/>
              </w:rPr>
              <w:t>详见第五章</w:t>
            </w:r>
          </w:p>
        </w:tc>
      </w:tr>
      <w:tr w14:paraId="212980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59" w:type="pct"/>
            <w:vMerge w:val="continue"/>
            <w:shd w:val="clear" w:color="auto" w:fill="FFFFFF"/>
            <w:vAlign w:val="center"/>
          </w:tcPr>
          <w:p w14:paraId="5DF2F3A2">
            <w:pPr>
              <w:widowControl w:val="0"/>
              <w:autoSpaceDE w:val="0"/>
              <w:autoSpaceDN w:val="0"/>
              <w:adjustRightInd w:val="0"/>
              <w:snapToGrid w:val="0"/>
              <w:ind w:firstLine="0" w:firstLineChars="0"/>
              <w:jc w:val="center"/>
              <w:rPr>
                <w:rFonts w:ascii="宋体" w:hAnsi="宋体"/>
                <w:szCs w:val="21"/>
              </w:rPr>
            </w:pPr>
          </w:p>
        </w:tc>
        <w:tc>
          <w:tcPr>
            <w:tcW w:w="1110" w:type="pct"/>
            <w:shd w:val="clear" w:color="auto" w:fill="FFFFFF"/>
            <w:vAlign w:val="center"/>
          </w:tcPr>
          <w:p w14:paraId="4980C8C9">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价格标部分</w:t>
            </w:r>
          </w:p>
        </w:tc>
        <w:tc>
          <w:tcPr>
            <w:tcW w:w="3331" w:type="pct"/>
            <w:shd w:val="clear" w:color="auto" w:fill="FFFFFF"/>
            <w:vAlign w:val="center"/>
          </w:tcPr>
          <w:p w14:paraId="42AF3969">
            <w:pPr>
              <w:widowControl w:val="0"/>
              <w:wordWrap w:val="0"/>
              <w:autoSpaceDE w:val="0"/>
              <w:autoSpaceDN w:val="0"/>
              <w:adjustRightInd w:val="0"/>
              <w:snapToGrid w:val="0"/>
              <w:ind w:firstLine="0" w:firstLineChars="0"/>
              <w:rPr>
                <w:rFonts w:ascii="宋体" w:hAnsi="宋体"/>
                <w:b/>
                <w:bCs/>
                <w:snapToGrid w:val="0"/>
                <w:kern w:val="0"/>
                <w:szCs w:val="21"/>
              </w:rPr>
            </w:pPr>
            <w:r>
              <w:rPr>
                <w:rFonts w:hint="eastAsia" w:ascii="宋体" w:hAnsi="宋体"/>
                <w:b/>
                <w:bCs/>
                <w:snapToGrid w:val="0"/>
                <w:kern w:val="0"/>
                <w:szCs w:val="21"/>
              </w:rPr>
              <w:t>编制内容：</w:t>
            </w:r>
          </w:p>
          <w:p w14:paraId="1B32FEC8">
            <w:pPr>
              <w:widowControl w:val="0"/>
              <w:wordWrap w:val="0"/>
              <w:autoSpaceDE w:val="0"/>
              <w:autoSpaceDN w:val="0"/>
              <w:adjustRightInd w:val="0"/>
              <w:snapToGrid w:val="0"/>
              <w:ind w:firstLine="0" w:firstLineChars="0"/>
              <w:rPr>
                <w:rFonts w:ascii="宋体" w:hAnsi="宋体"/>
                <w:snapToGrid w:val="0"/>
                <w:kern w:val="0"/>
                <w:szCs w:val="21"/>
              </w:rPr>
            </w:pPr>
            <w:r>
              <w:rPr>
                <w:rFonts w:hint="eastAsia" w:ascii="宋体" w:hAnsi="宋体" w:cs="Courier New"/>
                <w:kern w:val="0"/>
                <w:szCs w:val="21"/>
              </w:rPr>
              <w:t>详见第五章</w:t>
            </w:r>
          </w:p>
        </w:tc>
      </w:tr>
      <w:tr w14:paraId="490A8C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CellMar>
            <w:top w:w="0" w:type="dxa"/>
            <w:left w:w="108" w:type="dxa"/>
            <w:bottom w:w="0" w:type="dxa"/>
            <w:right w:w="108" w:type="dxa"/>
          </w:tblCellMar>
        </w:tblPrEx>
        <w:trPr>
          <w:trHeight w:val="387" w:hRule="atLeast"/>
        </w:trPr>
        <w:tc>
          <w:tcPr>
            <w:tcW w:w="5000" w:type="pct"/>
            <w:gridSpan w:val="3"/>
            <w:shd w:val="clear" w:color="auto" w:fill="FFFFFF"/>
            <w:vAlign w:val="center"/>
          </w:tcPr>
          <w:p w14:paraId="0DC43582">
            <w:pPr>
              <w:widowControl w:val="0"/>
              <w:autoSpaceDE w:val="0"/>
              <w:autoSpaceDN w:val="0"/>
              <w:adjustRightInd w:val="0"/>
              <w:snapToGrid w:val="0"/>
              <w:ind w:firstLine="0" w:firstLineChars="0"/>
              <w:jc w:val="left"/>
              <w:rPr>
                <w:rFonts w:ascii="宋体" w:hAnsi="宋体"/>
                <w:b/>
                <w:bCs/>
                <w:snapToGrid w:val="0"/>
                <w:kern w:val="0"/>
                <w:szCs w:val="21"/>
              </w:rPr>
            </w:pPr>
            <w:r>
              <w:rPr>
                <w:rFonts w:hint="eastAsia" w:ascii="宋体" w:hAnsi="宋体"/>
                <w:b/>
                <w:bCs/>
                <w:snapToGrid w:val="0"/>
                <w:kern w:val="0"/>
                <w:szCs w:val="21"/>
              </w:rPr>
              <w:t>备注：</w:t>
            </w:r>
          </w:p>
          <w:p w14:paraId="6336328D">
            <w:pPr>
              <w:widowControl w:val="0"/>
              <w:autoSpaceDE w:val="0"/>
              <w:autoSpaceDN w:val="0"/>
              <w:adjustRightInd w:val="0"/>
              <w:snapToGrid w:val="0"/>
              <w:ind w:firstLine="0" w:firstLineChars="0"/>
              <w:jc w:val="left"/>
              <w:rPr>
                <w:rFonts w:ascii="宋体" w:hAnsi="宋体"/>
                <w:bCs/>
                <w:snapToGrid w:val="0"/>
                <w:kern w:val="0"/>
                <w:szCs w:val="21"/>
              </w:rPr>
            </w:pPr>
            <w:r>
              <w:rPr>
                <w:rFonts w:hint="eastAsia" w:ascii="宋体" w:hAnsi="宋体"/>
                <w:bCs/>
                <w:snapToGrid w:val="0"/>
                <w:kern w:val="0"/>
                <w:szCs w:val="21"/>
              </w:rPr>
              <w:t>本表如出现前后不一的缺漏情况，以招标文件中列明较多的为准，如出现名称不一致的情况以投标文件格式的名称为准。</w:t>
            </w:r>
          </w:p>
        </w:tc>
      </w:tr>
      <w:bookmarkEnd w:id="30"/>
    </w:tbl>
    <w:p w14:paraId="30C7B719">
      <w:pPr>
        <w:pStyle w:val="19"/>
        <w:ind w:firstLine="0" w:firstLineChars="0"/>
        <w:rPr>
          <w:rFonts w:ascii="宋体" w:hAnsi="宋体"/>
          <w:shd w:val="clear" w:color="auto" w:fill="FFFFFF"/>
        </w:rPr>
      </w:pPr>
      <w:bookmarkStart w:id="35" w:name="_Hlk532140390"/>
      <w:bookmarkStart w:id="36" w:name="_Toc152045529"/>
      <w:bookmarkStart w:id="37" w:name="_Toc152042305"/>
      <w:bookmarkStart w:id="38" w:name="_Toc144974497"/>
    </w:p>
    <w:p w14:paraId="05094ED7">
      <w:pPr>
        <w:pStyle w:val="13"/>
        <w:ind w:firstLine="420"/>
        <w:rPr>
          <w:rFonts w:hint="eastAsia"/>
        </w:rPr>
      </w:pPr>
      <w:r>
        <w:rPr>
          <w:shd w:val="clear" w:color="auto" w:fill="FFFFFF"/>
        </w:rPr>
        <w:br w:type="page"/>
      </w:r>
    </w:p>
    <w:p w14:paraId="12BAC43D">
      <w:pPr>
        <w:widowControl w:val="0"/>
        <w:autoSpaceDE w:val="0"/>
        <w:autoSpaceDN w:val="0"/>
        <w:adjustRightInd w:val="0"/>
        <w:snapToGrid w:val="0"/>
        <w:ind w:firstLine="0" w:firstLineChars="0"/>
        <w:jc w:val="center"/>
        <w:outlineLvl w:val="1"/>
        <w:rPr>
          <w:rFonts w:ascii="宋体" w:hAnsi="宋体"/>
          <w:sz w:val="28"/>
        </w:rPr>
      </w:pPr>
      <w:bookmarkStart w:id="39" w:name="_Toc23669"/>
      <w:bookmarkStart w:id="40" w:name="_Toc21763"/>
      <w:bookmarkStart w:id="41" w:name="_Toc11206"/>
      <w:bookmarkStart w:id="42" w:name="_Toc22623"/>
      <w:r>
        <w:rPr>
          <w:rFonts w:hint="eastAsia" w:ascii="宋体" w:hAnsi="宋体"/>
          <w:b/>
          <w:sz w:val="32"/>
          <w:szCs w:val="32"/>
        </w:rPr>
        <w:t>第二节 否决性条款摘要</w:t>
      </w:r>
      <w:bookmarkEnd w:id="39"/>
      <w:bookmarkEnd w:id="40"/>
      <w:bookmarkEnd w:id="41"/>
      <w:bookmarkEnd w:id="42"/>
    </w:p>
    <w:p w14:paraId="461399A6">
      <w:pPr>
        <w:widowControl w:val="0"/>
        <w:autoSpaceDE w:val="0"/>
        <w:autoSpaceDN w:val="0"/>
        <w:adjustRightInd w:val="0"/>
        <w:snapToGrid w:val="0"/>
        <w:ind w:firstLine="0" w:firstLineChars="0"/>
        <w:jc w:val="left"/>
        <w:rPr>
          <w:rFonts w:ascii="宋体" w:hAnsi="宋体"/>
          <w:bCs/>
          <w:szCs w:val="21"/>
        </w:rPr>
      </w:pPr>
      <w:r>
        <w:rPr>
          <w:rFonts w:hint="eastAsia" w:ascii="宋体" w:hAnsi="宋体"/>
          <w:b/>
          <w:bCs/>
          <w:szCs w:val="21"/>
        </w:rPr>
        <w:t>提示投标人和评标委员会</w:t>
      </w:r>
      <w:r>
        <w:rPr>
          <w:rFonts w:hint="eastAsia" w:ascii="宋体" w:hAnsi="宋体"/>
          <w:bCs/>
          <w:szCs w:val="21"/>
        </w:rPr>
        <w:t>：本部分内容是本项目招标文件中涉及的所有否决性条款的汇总，否决性条款包括：投标文件不予受理的情形和废标条款。招标文件中有关否决性条款的阐述与本节不一致的，以本节内容为准。除出现以下情形外，投标文件的其他任何情形均不得作否决处理。</w:t>
      </w:r>
    </w:p>
    <w:p w14:paraId="2EF43CA2">
      <w:pPr>
        <w:widowControl w:val="0"/>
        <w:autoSpaceDE w:val="0"/>
        <w:autoSpaceDN w:val="0"/>
        <w:adjustRightInd w:val="0"/>
        <w:snapToGrid w:val="0"/>
        <w:ind w:firstLine="0" w:firstLineChars="0"/>
        <w:jc w:val="left"/>
        <w:rPr>
          <w:rFonts w:hint="eastAsia" w:ascii="宋体" w:hAnsi="宋体"/>
          <w:bCs/>
          <w:szCs w:val="21"/>
        </w:rPr>
      </w:pPr>
    </w:p>
    <w:p w14:paraId="73AC4A92">
      <w:pPr>
        <w:pStyle w:val="344"/>
        <w:widowControl w:val="0"/>
        <w:numPr>
          <w:ilvl w:val="0"/>
          <w:numId w:val="2"/>
        </w:numPr>
        <w:autoSpaceDE w:val="0"/>
        <w:autoSpaceDN w:val="0"/>
        <w:adjustRightInd w:val="0"/>
        <w:snapToGrid w:val="0"/>
        <w:ind w:left="0" w:firstLine="0" w:firstLineChars="0"/>
        <w:jc w:val="left"/>
        <w:rPr>
          <w:rFonts w:ascii="宋体" w:hAnsi="宋体"/>
          <w:b/>
          <w:bCs/>
          <w:szCs w:val="21"/>
        </w:rPr>
      </w:pPr>
      <w:r>
        <w:rPr>
          <w:rFonts w:hint="eastAsia" w:ascii="宋体" w:hAnsi="宋体"/>
          <w:b/>
          <w:szCs w:val="21"/>
        </w:rPr>
        <w:t>投标文件有下列情形之一的，其投标将不予受理的情形（由招标人负责判定）：</w:t>
      </w:r>
    </w:p>
    <w:p w14:paraId="0CE8AC58">
      <w:pPr>
        <w:pStyle w:val="344"/>
        <w:widowControl w:val="0"/>
        <w:numPr>
          <w:ilvl w:val="1"/>
          <w:numId w:val="2"/>
        </w:numPr>
        <w:autoSpaceDE w:val="0"/>
        <w:autoSpaceDN w:val="0"/>
        <w:adjustRightInd w:val="0"/>
        <w:snapToGrid w:val="0"/>
        <w:ind w:left="0" w:firstLine="0" w:firstLineChars="0"/>
        <w:jc w:val="left"/>
        <w:rPr>
          <w:rFonts w:ascii="宋体" w:hAnsi="宋体"/>
        </w:rPr>
      </w:pPr>
      <w:bookmarkStart w:id="43" w:name="_Toc246221337"/>
      <w:bookmarkStart w:id="44" w:name="_Toc246144208"/>
      <w:bookmarkStart w:id="45" w:name="_Toc246133765"/>
      <w:r>
        <w:rPr>
          <w:rFonts w:hint="eastAsia" w:ascii="宋体" w:hAnsi="宋体"/>
        </w:rPr>
        <w:t>在投标人须知前附表规定的投标截止时间以后逾期送达的或者未送达指定地点的投标文件；</w:t>
      </w:r>
    </w:p>
    <w:p w14:paraId="51504CE3">
      <w:pPr>
        <w:pStyle w:val="344"/>
        <w:widowControl w:val="0"/>
        <w:numPr>
          <w:ilvl w:val="1"/>
          <w:numId w:val="2"/>
        </w:numPr>
        <w:autoSpaceDE w:val="0"/>
        <w:autoSpaceDN w:val="0"/>
        <w:adjustRightInd w:val="0"/>
        <w:snapToGrid w:val="0"/>
        <w:ind w:left="0" w:firstLine="0" w:firstLineChars="0"/>
        <w:jc w:val="left"/>
        <w:rPr>
          <w:rFonts w:ascii="宋体" w:hAnsi="宋体"/>
        </w:rPr>
      </w:pPr>
      <w:r>
        <w:rPr>
          <w:rFonts w:hint="eastAsia" w:ascii="宋体" w:hAnsi="宋体"/>
        </w:rPr>
        <w:t>投标人名称和购买（获取）文件时登记不一致的。</w:t>
      </w:r>
    </w:p>
    <w:p w14:paraId="03C30E8D">
      <w:pPr>
        <w:widowControl w:val="0"/>
        <w:autoSpaceDE w:val="0"/>
        <w:autoSpaceDN w:val="0"/>
        <w:adjustRightInd w:val="0"/>
        <w:snapToGrid w:val="0"/>
        <w:ind w:firstLine="0" w:firstLineChars="0"/>
        <w:jc w:val="left"/>
        <w:rPr>
          <w:rFonts w:ascii="宋体" w:hAnsi="宋体"/>
        </w:rPr>
      </w:pPr>
    </w:p>
    <w:p w14:paraId="2E939E19">
      <w:pPr>
        <w:pStyle w:val="344"/>
        <w:widowControl w:val="0"/>
        <w:numPr>
          <w:ilvl w:val="0"/>
          <w:numId w:val="2"/>
        </w:numPr>
        <w:autoSpaceDE w:val="0"/>
        <w:autoSpaceDN w:val="0"/>
        <w:adjustRightInd w:val="0"/>
        <w:snapToGrid w:val="0"/>
        <w:ind w:left="0" w:firstLine="0" w:firstLineChars="0"/>
        <w:jc w:val="left"/>
        <w:rPr>
          <w:rFonts w:ascii="宋体" w:hAnsi="宋体"/>
          <w:b/>
          <w:szCs w:val="21"/>
        </w:rPr>
      </w:pPr>
      <w:r>
        <w:rPr>
          <w:rFonts w:hint="eastAsia" w:ascii="宋体" w:hAnsi="宋体"/>
          <w:b/>
          <w:szCs w:val="21"/>
        </w:rPr>
        <w:t>围标、串标与废标的判定与处理</w:t>
      </w:r>
      <w:bookmarkEnd w:id="43"/>
      <w:bookmarkEnd w:id="44"/>
      <w:bookmarkEnd w:id="45"/>
      <w:r>
        <w:rPr>
          <w:rFonts w:hint="eastAsia" w:ascii="宋体" w:hAnsi="宋体"/>
          <w:b/>
          <w:szCs w:val="21"/>
        </w:rPr>
        <w:t>（初步评审由评标委员会负责判定）</w:t>
      </w:r>
    </w:p>
    <w:p w14:paraId="3B6DDE28">
      <w:pPr>
        <w:pStyle w:val="344"/>
        <w:widowControl w:val="0"/>
        <w:numPr>
          <w:ilvl w:val="1"/>
          <w:numId w:val="2"/>
        </w:numPr>
        <w:autoSpaceDE w:val="0"/>
        <w:autoSpaceDN w:val="0"/>
        <w:adjustRightInd w:val="0"/>
        <w:snapToGrid w:val="0"/>
        <w:ind w:left="0" w:firstLine="0" w:firstLineChars="0"/>
        <w:jc w:val="left"/>
        <w:rPr>
          <w:rFonts w:ascii="宋体" w:hAnsi="宋体"/>
          <w:b/>
          <w:szCs w:val="21"/>
        </w:rPr>
      </w:pPr>
      <w:r>
        <w:rPr>
          <w:rFonts w:hint="eastAsia" w:ascii="宋体" w:hAnsi="宋体"/>
          <w:b/>
          <w:szCs w:val="21"/>
        </w:rPr>
        <w:t>围标、串标的判定与处理</w:t>
      </w:r>
    </w:p>
    <w:p w14:paraId="0CF33D47">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有下列情形之一的，经评标委员会遵循少数服从多数的原则集体表决认定后，按围标、串标行为对待，除按废标处理外，招标人将提请有关主管部门或者有关行政管理部门根据情况依法做出处罚：</w:t>
      </w:r>
    </w:p>
    <w:p w14:paraId="33419DE1">
      <w:pPr>
        <w:pStyle w:val="344"/>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不同投标人的投标文件由同一单位或者个人编制；</w:t>
      </w:r>
    </w:p>
    <w:p w14:paraId="7CB065FB">
      <w:pPr>
        <w:pStyle w:val="344"/>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不同投标人委托同一单位或者个人办理投标事宜；</w:t>
      </w:r>
    </w:p>
    <w:p w14:paraId="1861622F">
      <w:pPr>
        <w:pStyle w:val="344"/>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不同投标人的投标文件载明的项目管理成员为同一人；</w:t>
      </w:r>
    </w:p>
    <w:p w14:paraId="0F1A61C5">
      <w:pPr>
        <w:pStyle w:val="344"/>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不同投标人的投标文件异常一致或者投标报价呈规律性差异；</w:t>
      </w:r>
    </w:p>
    <w:p w14:paraId="78697FF1">
      <w:pPr>
        <w:pStyle w:val="344"/>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不同投标人的投标文件相互混装；</w:t>
      </w:r>
    </w:p>
    <w:p w14:paraId="61E8837A">
      <w:pPr>
        <w:pStyle w:val="344"/>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不同投标人的投标保证金从同一单位或者个人的账户转出；</w:t>
      </w:r>
    </w:p>
    <w:p w14:paraId="4636501F">
      <w:pPr>
        <w:pStyle w:val="344"/>
        <w:widowControl w:val="0"/>
        <w:numPr>
          <w:ilvl w:val="2"/>
          <w:numId w:val="2"/>
        </w:numPr>
        <w:autoSpaceDE w:val="0"/>
        <w:autoSpaceDN w:val="0"/>
        <w:adjustRightInd w:val="0"/>
        <w:snapToGrid w:val="0"/>
        <w:ind w:left="0" w:firstLine="0" w:firstLineChars="0"/>
        <w:jc w:val="left"/>
        <w:rPr>
          <w:rFonts w:ascii="宋体" w:hAnsi="宋体"/>
        </w:rPr>
      </w:pPr>
      <w:r>
        <w:rPr>
          <w:rFonts w:ascii="宋体" w:hAnsi="宋体"/>
        </w:rPr>
        <w:t>投标人以他人名义投标，串通投标，以行贿手段谋取中标或者以其他弄虚作假方式投标</w:t>
      </w:r>
      <w:r>
        <w:rPr>
          <w:rFonts w:hint="eastAsia" w:ascii="宋体" w:hAnsi="宋体"/>
        </w:rPr>
        <w:t>。</w:t>
      </w:r>
    </w:p>
    <w:p w14:paraId="51A6E001">
      <w:pPr>
        <w:pStyle w:val="344"/>
        <w:widowControl w:val="0"/>
        <w:numPr>
          <w:ilvl w:val="1"/>
          <w:numId w:val="2"/>
        </w:numPr>
        <w:autoSpaceDE w:val="0"/>
        <w:autoSpaceDN w:val="0"/>
        <w:adjustRightInd w:val="0"/>
        <w:snapToGrid w:val="0"/>
        <w:ind w:left="0" w:firstLine="0" w:firstLineChars="0"/>
        <w:jc w:val="left"/>
        <w:rPr>
          <w:rFonts w:ascii="宋体" w:hAnsi="宋体"/>
          <w:b/>
          <w:szCs w:val="21"/>
        </w:rPr>
      </w:pPr>
      <w:r>
        <w:rPr>
          <w:rFonts w:hint="eastAsia" w:ascii="宋体" w:hAnsi="宋体"/>
          <w:b/>
          <w:szCs w:val="21"/>
        </w:rPr>
        <w:t>废标的判定与处理</w:t>
      </w:r>
    </w:p>
    <w:p w14:paraId="07A8F700">
      <w:pPr>
        <w:widowControl w:val="0"/>
        <w:autoSpaceDE w:val="0"/>
        <w:autoSpaceDN w:val="0"/>
        <w:adjustRightInd w:val="0"/>
        <w:snapToGrid w:val="0"/>
        <w:ind w:firstLine="0" w:firstLineChars="0"/>
        <w:jc w:val="left"/>
        <w:rPr>
          <w:rFonts w:ascii="宋体" w:hAnsi="宋体"/>
        </w:rPr>
      </w:pPr>
      <w:r>
        <w:rPr>
          <w:rFonts w:hint="eastAsia" w:ascii="宋体" w:hAnsi="宋体"/>
        </w:rPr>
        <w:t>有下列情形之一的，经评标委员会遵循少数服从多数的原则集体表决认定后，按废标处理让该投标文件退出评标程序。</w:t>
      </w:r>
    </w:p>
    <w:p w14:paraId="77F34627">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投标报价超出招标控制价或最高限价的或按第一章第三节3.2条规定的调整方法确定的调整后价格超出最高限价的；</w:t>
      </w:r>
    </w:p>
    <w:p w14:paraId="5161CBB6">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ascii="宋体" w:hAnsi="宋体"/>
          <w:snapToGrid w:val="0"/>
          <w:kern w:val="0"/>
        </w:rPr>
        <w:t>投标人资格条件不符合国家</w:t>
      </w:r>
      <w:r>
        <w:rPr>
          <w:rFonts w:hint="eastAsia" w:ascii="宋体" w:hAnsi="宋体"/>
          <w:snapToGrid w:val="0"/>
          <w:kern w:val="0"/>
        </w:rPr>
        <w:t>有关</w:t>
      </w:r>
      <w:r>
        <w:rPr>
          <w:rFonts w:ascii="宋体" w:hAnsi="宋体"/>
          <w:snapToGrid w:val="0"/>
          <w:kern w:val="0"/>
        </w:rPr>
        <w:t>规定和招标文件要求的</w:t>
      </w:r>
      <w:r>
        <w:rPr>
          <w:rFonts w:hint="eastAsia" w:ascii="宋体" w:hAnsi="宋体"/>
          <w:snapToGrid w:val="0"/>
          <w:kern w:val="0"/>
        </w:rPr>
        <w:t>；</w:t>
      </w:r>
    </w:p>
    <w:p w14:paraId="6DB9248E">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未按招标文件的规定提交投标保证金的，或投标保函的内容不符合招标文件要求的；</w:t>
      </w:r>
    </w:p>
    <w:p w14:paraId="38A5A4D1">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未按招标文件规定提交《投标函》的，或《投标函》未按招标文件规定填写、漏填或内容填写错误，可能</w:t>
      </w:r>
      <w:r>
        <w:rPr>
          <w:rFonts w:ascii="宋体" w:hAnsi="宋体"/>
          <w:snapToGrid w:val="0"/>
          <w:kern w:val="0"/>
        </w:rPr>
        <w:t>导致</w:t>
      </w:r>
      <w:r>
        <w:rPr>
          <w:rFonts w:hint="eastAsia" w:ascii="宋体" w:hAnsi="宋体"/>
          <w:snapToGrid w:val="0"/>
          <w:kern w:val="0"/>
        </w:rPr>
        <w:t>影响</w:t>
      </w:r>
      <w:r>
        <w:rPr>
          <w:rFonts w:ascii="宋体" w:hAnsi="宋体"/>
          <w:snapToGrid w:val="0"/>
          <w:kern w:val="0"/>
        </w:rPr>
        <w:t>项目实施，损害招标人利益的</w:t>
      </w:r>
      <w:r>
        <w:rPr>
          <w:rFonts w:hint="eastAsia" w:ascii="宋体" w:hAnsi="宋体"/>
          <w:snapToGrid w:val="0"/>
          <w:kern w:val="0"/>
        </w:rPr>
        <w:t>；</w:t>
      </w:r>
    </w:p>
    <w:p w14:paraId="22F48585">
      <w:pPr>
        <w:pStyle w:val="344"/>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组成联合体投标的，投标文件中未按规定提交联合体所有成员共同投标协议的；</w:t>
      </w:r>
    </w:p>
    <w:p w14:paraId="269BF799">
      <w:pPr>
        <w:pStyle w:val="344"/>
        <w:widowControl w:val="0"/>
        <w:numPr>
          <w:ilvl w:val="2"/>
          <w:numId w:val="2"/>
        </w:numPr>
        <w:autoSpaceDE w:val="0"/>
        <w:autoSpaceDN w:val="0"/>
        <w:adjustRightInd w:val="0"/>
        <w:snapToGrid w:val="0"/>
        <w:ind w:left="0" w:firstLine="0" w:firstLineChars="0"/>
        <w:jc w:val="left"/>
        <w:rPr>
          <w:rFonts w:ascii="宋体" w:hAnsi="宋体"/>
        </w:rPr>
      </w:pPr>
      <w:r>
        <w:rPr>
          <w:rFonts w:ascii="宋体" w:hAnsi="宋体"/>
        </w:rPr>
        <w:t>投标人递交两份或多份内容不同的投标文件，或在一份投标文件中，有两个或多个报价且</w:t>
      </w:r>
      <w:r>
        <w:rPr>
          <w:rFonts w:hint="eastAsia" w:ascii="宋体" w:hAnsi="宋体"/>
        </w:rPr>
        <w:t>根据招标文件评定标办法规定的修正原则无法确定</w:t>
      </w:r>
      <w:r>
        <w:rPr>
          <w:rFonts w:ascii="宋体" w:hAnsi="宋体"/>
        </w:rPr>
        <w:t>哪一个有效的</w:t>
      </w:r>
      <w:r>
        <w:rPr>
          <w:rFonts w:hint="eastAsia" w:ascii="宋体" w:hAnsi="宋体"/>
        </w:rPr>
        <w:t>。</w:t>
      </w:r>
      <w:r>
        <w:rPr>
          <w:rFonts w:ascii="宋体" w:hAnsi="宋体"/>
        </w:rPr>
        <w:t>按招标文件规定提供可选择性方案报价的除外；</w:t>
      </w:r>
    </w:p>
    <w:p w14:paraId="460FC828">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参加联合体的各成员再以自己的名义单独投标的，或同时参加两个（含两个）以上的联合体投标的；</w:t>
      </w:r>
    </w:p>
    <w:p w14:paraId="77CAC011">
      <w:pPr>
        <w:pStyle w:val="344"/>
        <w:widowControl w:val="0"/>
        <w:numPr>
          <w:ilvl w:val="2"/>
          <w:numId w:val="2"/>
        </w:numPr>
        <w:autoSpaceDE w:val="0"/>
        <w:autoSpaceDN w:val="0"/>
        <w:adjustRightInd w:val="0"/>
        <w:snapToGrid w:val="0"/>
        <w:ind w:left="0" w:firstLine="0" w:firstLineChars="0"/>
        <w:jc w:val="left"/>
        <w:rPr>
          <w:rFonts w:ascii="宋体" w:hAnsi="宋体"/>
        </w:rPr>
      </w:pPr>
      <w:r>
        <w:rPr>
          <w:rFonts w:ascii="宋体" w:hAnsi="宋体"/>
        </w:rPr>
        <w:t>对招标文件提出的实质性要求和条件未作出响应的</w:t>
      </w:r>
      <w:r>
        <w:rPr>
          <w:rFonts w:hint="eastAsia" w:ascii="宋体" w:hAnsi="宋体"/>
        </w:rPr>
        <w:t>或不满足的，对招标文件实质性条款为招标文件中所有标注“★”号的条款以及初步评审表要求的内容未作出响应的或不满足的</w:t>
      </w:r>
      <w:r>
        <w:rPr>
          <w:rFonts w:ascii="宋体" w:hAnsi="宋体"/>
        </w:rPr>
        <w:t xml:space="preserve">； </w:t>
      </w:r>
    </w:p>
    <w:p w14:paraId="320DAA75">
      <w:pPr>
        <w:pStyle w:val="344"/>
        <w:widowControl w:val="0"/>
        <w:numPr>
          <w:ilvl w:val="2"/>
          <w:numId w:val="2"/>
        </w:numPr>
        <w:autoSpaceDE w:val="0"/>
        <w:autoSpaceDN w:val="0"/>
        <w:adjustRightInd w:val="0"/>
        <w:snapToGrid w:val="0"/>
        <w:ind w:left="0" w:firstLine="0" w:firstLineChars="0"/>
        <w:jc w:val="left"/>
        <w:rPr>
          <w:rFonts w:ascii="宋体" w:hAnsi="宋体"/>
        </w:rPr>
      </w:pPr>
      <w:r>
        <w:rPr>
          <w:rFonts w:ascii="宋体" w:hAnsi="宋体"/>
        </w:rPr>
        <w:t>投标人未能按照评标委员会要求，对其投标文件进行澄清、说明和补正的</w:t>
      </w:r>
      <w:r>
        <w:rPr>
          <w:rFonts w:hint="eastAsia" w:ascii="宋体" w:hAnsi="宋体"/>
        </w:rPr>
        <w:t>，或投标人不接受根据招标文件规定对投标报价进行算术修正的；</w:t>
      </w:r>
    </w:p>
    <w:p w14:paraId="2F3A20CB">
      <w:pPr>
        <w:pStyle w:val="344"/>
        <w:widowControl w:val="0"/>
        <w:numPr>
          <w:ilvl w:val="2"/>
          <w:numId w:val="2"/>
        </w:numPr>
        <w:autoSpaceDE w:val="0"/>
        <w:autoSpaceDN w:val="0"/>
        <w:adjustRightInd w:val="0"/>
        <w:snapToGrid w:val="0"/>
        <w:ind w:left="0" w:firstLine="0" w:firstLineChars="0"/>
        <w:jc w:val="left"/>
        <w:rPr>
          <w:rFonts w:ascii="宋体" w:hAnsi="宋体"/>
        </w:rPr>
      </w:pPr>
      <w:r>
        <w:rPr>
          <w:rFonts w:hint="eastAsia" w:ascii="宋体" w:hAnsi="宋体"/>
        </w:rPr>
        <w:t>单位负责人为同一人或者存在控股、管理关系的不同单位，参加同一标段投标或者未划分标段的同一招标项目投标；</w:t>
      </w:r>
    </w:p>
    <w:p w14:paraId="00649B97">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snapToGrid w:val="0"/>
          <w:kern w:val="0"/>
        </w:rPr>
        <w:t>若出现投标人的报价明显低于其他投标报价，使得其投标报价可能低于其成本的，应当要求该投标人作出书面说明并提供相应的证明材料。投标人不能合理说明或者不能提供相应证明材料的，由评标委员会认定该投标人以低于成本报价竞标，并否决其投标。</w:t>
      </w:r>
    </w:p>
    <w:p w14:paraId="5DBA7114">
      <w:pPr>
        <w:pStyle w:val="344"/>
        <w:widowControl w:val="0"/>
        <w:numPr>
          <w:ilvl w:val="2"/>
          <w:numId w:val="2"/>
        </w:numPr>
        <w:autoSpaceDE w:val="0"/>
        <w:autoSpaceDN w:val="0"/>
        <w:adjustRightInd w:val="0"/>
        <w:snapToGrid w:val="0"/>
        <w:ind w:left="0" w:firstLine="0" w:firstLineChars="0"/>
        <w:jc w:val="left"/>
        <w:rPr>
          <w:rFonts w:ascii="宋体" w:hAnsi="宋体"/>
          <w:snapToGrid w:val="0"/>
          <w:kern w:val="0"/>
        </w:rPr>
      </w:pPr>
      <w:r>
        <w:rPr>
          <w:rFonts w:hint="eastAsia" w:ascii="宋体" w:hAnsi="宋体"/>
        </w:rPr>
        <w:t>符合法律法规或主管部门规范性文件规定废标情形的。</w:t>
      </w:r>
    </w:p>
    <w:p w14:paraId="26D21904">
      <w:pPr>
        <w:widowControl w:val="0"/>
        <w:autoSpaceDE w:val="0"/>
        <w:autoSpaceDN w:val="0"/>
        <w:adjustRightInd w:val="0"/>
        <w:snapToGrid w:val="0"/>
        <w:ind w:firstLine="0" w:firstLineChars="0"/>
        <w:jc w:val="left"/>
        <w:rPr>
          <w:rFonts w:ascii="宋体" w:hAnsi="宋体"/>
        </w:rPr>
      </w:pPr>
      <w:r>
        <w:rPr>
          <w:rFonts w:hint="eastAsia" w:ascii="宋体" w:hAnsi="宋体"/>
          <w:b/>
        </w:rPr>
        <w:t>注：</w:t>
      </w:r>
      <w:r>
        <w:rPr>
          <w:rFonts w:hint="eastAsia" w:ascii="宋体" w:hAnsi="宋体"/>
        </w:rPr>
        <w:t>招标人对上述内容有修改或补充的，以下述条款为准。</w:t>
      </w:r>
    </w:p>
    <w:p w14:paraId="67C3F448">
      <w:pPr>
        <w:widowControl w:val="0"/>
        <w:autoSpaceDE w:val="0"/>
        <w:autoSpaceDN w:val="0"/>
        <w:adjustRightInd w:val="0"/>
        <w:snapToGrid w:val="0"/>
        <w:ind w:firstLine="0" w:firstLineChars="0"/>
        <w:jc w:val="left"/>
        <w:rPr>
          <w:rFonts w:ascii="宋体" w:hAnsi="宋体"/>
        </w:rPr>
      </w:pPr>
    </w:p>
    <w:p w14:paraId="276D9F07">
      <w:pPr>
        <w:pStyle w:val="344"/>
        <w:widowControl w:val="0"/>
        <w:numPr>
          <w:ilvl w:val="0"/>
          <w:numId w:val="2"/>
        </w:numPr>
        <w:autoSpaceDE w:val="0"/>
        <w:autoSpaceDN w:val="0"/>
        <w:adjustRightInd w:val="0"/>
        <w:snapToGrid w:val="0"/>
        <w:ind w:left="0" w:firstLine="0" w:firstLineChars="0"/>
        <w:jc w:val="left"/>
        <w:rPr>
          <w:rFonts w:ascii="宋体" w:hAnsi="宋体"/>
          <w:b/>
          <w:szCs w:val="21"/>
        </w:rPr>
      </w:pPr>
      <w:r>
        <w:rPr>
          <w:rFonts w:hint="eastAsia" w:ascii="宋体" w:hAnsi="宋体"/>
          <w:b/>
          <w:szCs w:val="21"/>
        </w:rPr>
        <w:t>招标人修改或补充的投标文件不予受理的情形：</w:t>
      </w:r>
      <w:r>
        <w:rPr>
          <w:rFonts w:hint="eastAsia" w:ascii="宋体" w:hAnsi="宋体"/>
          <w:b/>
          <w:szCs w:val="21"/>
          <w:u w:val="single"/>
        </w:rPr>
        <w:t xml:space="preserve"> </w:t>
      </w:r>
      <w:r>
        <w:rPr>
          <w:rFonts w:ascii="宋体" w:hAnsi="宋体"/>
          <w:b/>
          <w:szCs w:val="21"/>
          <w:u w:val="single"/>
        </w:rPr>
        <w:t xml:space="preserve">    </w:t>
      </w:r>
      <w:r>
        <w:rPr>
          <w:rFonts w:hint="eastAsia" w:ascii="宋体" w:hAnsi="宋体"/>
          <w:b/>
          <w:szCs w:val="21"/>
          <w:u w:val="single"/>
        </w:rPr>
        <w:t>无</w:t>
      </w:r>
      <w:r>
        <w:rPr>
          <w:rFonts w:ascii="宋体" w:hAnsi="宋体"/>
          <w:b/>
          <w:szCs w:val="21"/>
          <w:u w:val="single"/>
        </w:rPr>
        <w:t xml:space="preserve">                                </w:t>
      </w:r>
    </w:p>
    <w:p w14:paraId="1FBF2211">
      <w:pPr>
        <w:widowControl w:val="0"/>
        <w:autoSpaceDE w:val="0"/>
        <w:autoSpaceDN w:val="0"/>
        <w:adjustRightInd w:val="0"/>
        <w:snapToGrid w:val="0"/>
        <w:ind w:firstLine="0" w:firstLineChars="0"/>
        <w:jc w:val="left"/>
        <w:rPr>
          <w:rFonts w:ascii="宋体" w:hAnsi="宋体"/>
          <w:b/>
          <w:szCs w:val="21"/>
        </w:rPr>
      </w:pPr>
    </w:p>
    <w:p w14:paraId="408D1BA2">
      <w:pPr>
        <w:pStyle w:val="344"/>
        <w:widowControl w:val="0"/>
        <w:numPr>
          <w:ilvl w:val="0"/>
          <w:numId w:val="2"/>
        </w:numPr>
        <w:autoSpaceDE w:val="0"/>
        <w:autoSpaceDN w:val="0"/>
        <w:adjustRightInd w:val="0"/>
        <w:snapToGrid w:val="0"/>
        <w:ind w:left="0" w:firstLine="0" w:firstLineChars="0"/>
        <w:jc w:val="left"/>
        <w:rPr>
          <w:rFonts w:ascii="宋体" w:hAnsi="宋体"/>
          <w:b/>
          <w:snapToGrid w:val="0"/>
          <w:kern w:val="0"/>
          <w:szCs w:val="21"/>
        </w:rPr>
      </w:pPr>
      <w:r>
        <w:rPr>
          <w:rFonts w:hint="eastAsia" w:ascii="宋体" w:hAnsi="宋体"/>
          <w:b/>
          <w:szCs w:val="21"/>
        </w:rPr>
        <w:t>招标人修改或补充的废标情形：</w:t>
      </w:r>
      <w:r>
        <w:rPr>
          <w:rFonts w:hint="eastAsia" w:ascii="宋体" w:hAnsi="宋体"/>
          <w:b/>
          <w:szCs w:val="21"/>
          <w:u w:val="single"/>
        </w:rPr>
        <w:t xml:space="preserve"> </w:t>
      </w:r>
      <w:r>
        <w:rPr>
          <w:rFonts w:ascii="宋体" w:hAnsi="宋体"/>
          <w:b/>
          <w:szCs w:val="21"/>
          <w:u w:val="single"/>
        </w:rPr>
        <w:t xml:space="preserve">          </w:t>
      </w:r>
      <w:r>
        <w:rPr>
          <w:rFonts w:hint="eastAsia" w:ascii="宋体" w:hAnsi="宋体"/>
          <w:b/>
          <w:szCs w:val="21"/>
          <w:u w:val="single"/>
        </w:rPr>
        <w:t>无</w:t>
      </w:r>
      <w:r>
        <w:rPr>
          <w:rFonts w:ascii="宋体" w:hAnsi="宋体"/>
          <w:b/>
          <w:szCs w:val="21"/>
          <w:u w:val="single"/>
        </w:rPr>
        <w:t xml:space="preserve">                                        </w:t>
      </w:r>
    </w:p>
    <w:bookmarkEnd w:id="35"/>
    <w:p w14:paraId="17161D0F">
      <w:pPr>
        <w:widowControl w:val="0"/>
        <w:autoSpaceDE w:val="0"/>
        <w:autoSpaceDN w:val="0"/>
        <w:adjustRightInd w:val="0"/>
        <w:snapToGrid w:val="0"/>
        <w:ind w:firstLine="0" w:firstLineChars="0"/>
        <w:jc w:val="center"/>
        <w:outlineLvl w:val="1"/>
        <w:rPr>
          <w:rFonts w:ascii="宋体" w:hAnsi="宋体"/>
          <w:b/>
          <w:bCs/>
          <w:sz w:val="28"/>
          <w:szCs w:val="32"/>
        </w:rPr>
      </w:pPr>
      <w:r>
        <w:rPr>
          <w:rFonts w:ascii="宋体" w:hAnsi="宋体"/>
          <w:sz w:val="28"/>
        </w:rPr>
        <w:br w:type="page"/>
      </w:r>
      <w:bookmarkStart w:id="46" w:name="_Toc31350"/>
      <w:bookmarkStart w:id="47" w:name="_Toc27945"/>
      <w:bookmarkStart w:id="48" w:name="_Toc1625"/>
      <w:bookmarkStart w:id="49" w:name="_Toc12122"/>
      <w:r>
        <w:rPr>
          <w:rFonts w:hint="eastAsia" w:ascii="宋体" w:hAnsi="宋体"/>
          <w:b/>
          <w:sz w:val="32"/>
          <w:szCs w:val="32"/>
        </w:rPr>
        <w:t>第三节 总则</w:t>
      </w:r>
      <w:bookmarkEnd w:id="36"/>
      <w:bookmarkEnd w:id="37"/>
      <w:bookmarkEnd w:id="38"/>
      <w:bookmarkEnd w:id="46"/>
      <w:bookmarkEnd w:id="47"/>
      <w:bookmarkEnd w:id="48"/>
      <w:bookmarkEnd w:id="49"/>
    </w:p>
    <w:p w14:paraId="77309D77">
      <w:pPr>
        <w:pStyle w:val="344"/>
        <w:widowControl w:val="0"/>
        <w:numPr>
          <w:ilvl w:val="0"/>
          <w:numId w:val="3"/>
        </w:numPr>
        <w:autoSpaceDE w:val="0"/>
        <w:autoSpaceDN w:val="0"/>
        <w:adjustRightInd w:val="0"/>
        <w:snapToGrid w:val="0"/>
        <w:ind w:firstLineChars="0"/>
        <w:jc w:val="left"/>
        <w:rPr>
          <w:rFonts w:ascii="宋体" w:hAnsi="宋体"/>
          <w:b/>
          <w:szCs w:val="21"/>
        </w:rPr>
      </w:pPr>
      <w:bookmarkStart w:id="50" w:name="_Hlk532141677"/>
      <w:r>
        <w:rPr>
          <w:rFonts w:hint="eastAsia" w:ascii="宋体" w:hAnsi="宋体"/>
          <w:b/>
          <w:szCs w:val="21"/>
        </w:rPr>
        <w:t>说明</w:t>
      </w:r>
    </w:p>
    <w:p w14:paraId="0C219FB0">
      <w:pPr>
        <w:pStyle w:val="344"/>
        <w:widowControl w:val="0"/>
        <w:numPr>
          <w:ilvl w:val="1"/>
          <w:numId w:val="3"/>
        </w:numPr>
        <w:autoSpaceDE w:val="0"/>
        <w:autoSpaceDN w:val="0"/>
        <w:adjustRightInd w:val="0"/>
        <w:snapToGrid w:val="0"/>
        <w:ind w:firstLineChars="0"/>
        <w:jc w:val="left"/>
        <w:rPr>
          <w:rFonts w:ascii="宋体" w:hAnsi="宋体"/>
          <w:b/>
          <w:szCs w:val="21"/>
        </w:rPr>
      </w:pPr>
      <w:bookmarkStart w:id="51" w:name="_Toc144974498"/>
      <w:bookmarkStart w:id="52" w:name="_Toc152042306"/>
      <w:bookmarkStart w:id="53" w:name="_Toc152045530"/>
      <w:bookmarkStart w:id="54" w:name="_Toc330213947"/>
      <w:bookmarkStart w:id="55" w:name="_Toc403513495"/>
      <w:bookmarkStart w:id="56" w:name="_Toc332121715"/>
      <w:r>
        <w:rPr>
          <w:rFonts w:hint="eastAsia" w:ascii="宋体" w:hAnsi="宋体"/>
          <w:b/>
          <w:szCs w:val="21"/>
        </w:rPr>
        <w:t>项目概况</w:t>
      </w:r>
      <w:bookmarkEnd w:id="51"/>
      <w:bookmarkEnd w:id="52"/>
      <w:bookmarkEnd w:id="53"/>
      <w:bookmarkEnd w:id="54"/>
      <w:bookmarkEnd w:id="55"/>
      <w:bookmarkEnd w:id="56"/>
    </w:p>
    <w:p w14:paraId="7D36BFB8">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根据《中华人民共和国招标投标法》、《中华人民共和国招标投标法实施条例》等有关法律、法规和规章的规定，本招标项目已具备招标条件，现对本项目进行招标。</w:t>
      </w:r>
    </w:p>
    <w:p w14:paraId="7B5467C4">
      <w:pPr>
        <w:pStyle w:val="344"/>
        <w:widowControl w:val="0"/>
        <w:numPr>
          <w:ilvl w:val="1"/>
          <w:numId w:val="3"/>
        </w:numPr>
        <w:autoSpaceDE w:val="0"/>
        <w:autoSpaceDN w:val="0"/>
        <w:adjustRightInd w:val="0"/>
        <w:snapToGrid w:val="0"/>
        <w:ind w:firstLineChars="0"/>
        <w:jc w:val="left"/>
        <w:rPr>
          <w:rFonts w:ascii="宋体" w:hAnsi="宋体"/>
          <w:b/>
          <w:szCs w:val="21"/>
        </w:rPr>
      </w:pPr>
      <w:bookmarkStart w:id="57" w:name="_Toc403513498"/>
      <w:bookmarkStart w:id="58" w:name="_Toc152045534"/>
      <w:bookmarkStart w:id="59" w:name="_Toc332121718"/>
      <w:bookmarkStart w:id="60" w:name="_Toc144974502"/>
      <w:bookmarkStart w:id="61" w:name="_Toc152042310"/>
      <w:bookmarkStart w:id="62" w:name="_Toc330213950"/>
      <w:r>
        <w:rPr>
          <w:rFonts w:hint="eastAsia" w:ascii="宋体" w:hAnsi="宋体"/>
          <w:b/>
          <w:szCs w:val="21"/>
        </w:rPr>
        <w:t>投标人资格要求</w:t>
      </w:r>
      <w:bookmarkEnd w:id="57"/>
      <w:bookmarkEnd w:id="58"/>
      <w:bookmarkEnd w:id="59"/>
      <w:bookmarkEnd w:id="60"/>
      <w:bookmarkEnd w:id="61"/>
      <w:bookmarkEnd w:id="62"/>
    </w:p>
    <w:p w14:paraId="77DF66F7">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投标人应具备承担本次招标项目的资质条件、能力和信誉。</w:t>
      </w:r>
    </w:p>
    <w:p w14:paraId="2E55BA04">
      <w:pPr>
        <w:pStyle w:val="344"/>
        <w:widowControl w:val="0"/>
        <w:numPr>
          <w:ilvl w:val="3"/>
          <w:numId w:val="3"/>
        </w:numPr>
        <w:autoSpaceDE w:val="0"/>
        <w:autoSpaceDN w:val="0"/>
        <w:adjustRightInd w:val="0"/>
        <w:snapToGrid w:val="0"/>
        <w:ind w:firstLineChars="0"/>
        <w:jc w:val="left"/>
        <w:rPr>
          <w:rFonts w:ascii="宋体" w:hAnsi="宋体"/>
          <w:szCs w:val="21"/>
        </w:rPr>
      </w:pPr>
      <w:r>
        <w:rPr>
          <w:rFonts w:ascii="宋体" w:hAnsi="宋体"/>
          <w:spacing w:val="-1"/>
          <w:szCs w:val="21"/>
        </w:rPr>
        <w:t>联合体各方应按招标文件提供的格式签订联合体协议书，明确联合体牵头人和各方权</w:t>
      </w:r>
      <w:r>
        <w:rPr>
          <w:rFonts w:ascii="宋体" w:hAnsi="宋体"/>
          <w:szCs w:val="21"/>
        </w:rPr>
        <w:t>利义务，并承诺就中标项目向招标人承担连带责任；</w:t>
      </w:r>
    </w:p>
    <w:p w14:paraId="4CA9D37D">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由同一专业的单位组成的联合体，按照资质等级较低的单位确定资质等级；</w:t>
      </w:r>
    </w:p>
    <w:p w14:paraId="4D7356EA">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联合体各方不得再以自己名义单独或参加其他联合体在本次招标项目中投标，否则各相关投标均无效。</w:t>
      </w:r>
    </w:p>
    <w:p w14:paraId="601E8252">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投标人不得存在下列情形之一：</w:t>
      </w:r>
    </w:p>
    <w:p w14:paraId="1B94B9E0">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与招标人存在利害关系且可能影响招标公正性；</w:t>
      </w:r>
    </w:p>
    <w:p w14:paraId="0B267436">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与本次招标项目的其他投标人为同一个单位负责人；</w:t>
      </w:r>
    </w:p>
    <w:p w14:paraId="2B8DE93D">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与本次招标项目的其他投标人存在控股、管理关系；</w:t>
      </w:r>
    </w:p>
    <w:p w14:paraId="57454927">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投标人须知前附表规定的其他情形。</w:t>
      </w:r>
    </w:p>
    <w:p w14:paraId="1944A0A1">
      <w:pPr>
        <w:pStyle w:val="344"/>
        <w:widowControl w:val="0"/>
        <w:numPr>
          <w:ilvl w:val="1"/>
          <w:numId w:val="3"/>
        </w:numPr>
        <w:autoSpaceDE w:val="0"/>
        <w:autoSpaceDN w:val="0"/>
        <w:adjustRightInd w:val="0"/>
        <w:snapToGrid w:val="0"/>
        <w:ind w:firstLineChars="0"/>
        <w:jc w:val="left"/>
        <w:rPr>
          <w:rFonts w:ascii="宋体" w:hAnsi="宋体"/>
          <w:b/>
          <w:szCs w:val="21"/>
        </w:rPr>
      </w:pPr>
      <w:bookmarkStart w:id="63" w:name="_Toc152045535"/>
      <w:bookmarkStart w:id="64" w:name="_Toc403513499"/>
      <w:bookmarkStart w:id="65" w:name="_Toc332121719"/>
      <w:bookmarkStart w:id="66" w:name="_Toc330213951"/>
      <w:bookmarkStart w:id="67" w:name="_Toc152042311"/>
      <w:bookmarkStart w:id="68" w:name="_Toc144974503"/>
      <w:r>
        <w:rPr>
          <w:rFonts w:hint="eastAsia" w:ascii="宋体" w:hAnsi="宋体"/>
          <w:b/>
          <w:szCs w:val="21"/>
        </w:rPr>
        <w:t>费用承担</w:t>
      </w:r>
      <w:bookmarkEnd w:id="63"/>
      <w:bookmarkEnd w:id="64"/>
      <w:bookmarkEnd w:id="65"/>
      <w:bookmarkEnd w:id="66"/>
      <w:bookmarkEnd w:id="67"/>
      <w:bookmarkEnd w:id="68"/>
    </w:p>
    <w:p w14:paraId="60206908">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投标人准备和参加投标活动发生的费用由投标人自理。</w:t>
      </w:r>
    </w:p>
    <w:p w14:paraId="22A5B91B">
      <w:pPr>
        <w:pStyle w:val="344"/>
        <w:widowControl w:val="0"/>
        <w:numPr>
          <w:ilvl w:val="1"/>
          <w:numId w:val="3"/>
        </w:numPr>
        <w:autoSpaceDE w:val="0"/>
        <w:autoSpaceDN w:val="0"/>
        <w:adjustRightInd w:val="0"/>
        <w:snapToGrid w:val="0"/>
        <w:ind w:firstLineChars="0"/>
        <w:jc w:val="left"/>
        <w:rPr>
          <w:rFonts w:ascii="宋体" w:hAnsi="宋体"/>
          <w:b/>
          <w:szCs w:val="21"/>
        </w:rPr>
      </w:pPr>
      <w:bookmarkStart w:id="69" w:name="_Toc403513500"/>
      <w:bookmarkStart w:id="70" w:name="_Toc332121720"/>
      <w:bookmarkStart w:id="71" w:name="_Toc152045536"/>
      <w:bookmarkStart w:id="72" w:name="_Toc144974504"/>
      <w:bookmarkStart w:id="73" w:name="_Toc152042312"/>
      <w:bookmarkStart w:id="74" w:name="_Toc330213952"/>
      <w:r>
        <w:rPr>
          <w:rFonts w:hint="eastAsia" w:ascii="宋体" w:hAnsi="宋体"/>
          <w:b/>
          <w:szCs w:val="21"/>
        </w:rPr>
        <w:t>保密</w:t>
      </w:r>
      <w:bookmarkEnd w:id="69"/>
      <w:bookmarkEnd w:id="70"/>
      <w:bookmarkEnd w:id="71"/>
      <w:bookmarkEnd w:id="72"/>
      <w:bookmarkEnd w:id="73"/>
      <w:bookmarkEnd w:id="74"/>
    </w:p>
    <w:p w14:paraId="65FC57C7">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参与招标投标活动的各方应对招标文件和投标文件中的商业和技术等秘密保密，违者应对由此造成的后果承担法律责任。</w:t>
      </w:r>
    </w:p>
    <w:p w14:paraId="33142925">
      <w:pPr>
        <w:pStyle w:val="344"/>
        <w:widowControl w:val="0"/>
        <w:numPr>
          <w:ilvl w:val="1"/>
          <w:numId w:val="3"/>
        </w:numPr>
        <w:autoSpaceDE w:val="0"/>
        <w:autoSpaceDN w:val="0"/>
        <w:adjustRightInd w:val="0"/>
        <w:snapToGrid w:val="0"/>
        <w:ind w:firstLineChars="0"/>
        <w:jc w:val="left"/>
        <w:rPr>
          <w:rFonts w:ascii="宋体" w:hAnsi="宋体"/>
          <w:b/>
          <w:szCs w:val="21"/>
        </w:rPr>
      </w:pPr>
      <w:bookmarkStart w:id="75" w:name="_Toc144974505"/>
      <w:bookmarkStart w:id="76" w:name="_Toc152045537"/>
      <w:bookmarkStart w:id="77" w:name="_Toc403513501"/>
      <w:bookmarkStart w:id="78" w:name="_Toc332121721"/>
      <w:bookmarkStart w:id="79" w:name="_Toc330213953"/>
      <w:bookmarkStart w:id="80" w:name="_Toc152042313"/>
      <w:r>
        <w:rPr>
          <w:rFonts w:hint="eastAsia" w:ascii="宋体" w:hAnsi="宋体"/>
          <w:b/>
          <w:szCs w:val="21"/>
        </w:rPr>
        <w:t>语言</w:t>
      </w:r>
      <w:bookmarkEnd w:id="75"/>
      <w:r>
        <w:rPr>
          <w:rFonts w:hint="eastAsia" w:ascii="宋体" w:hAnsi="宋体"/>
          <w:b/>
          <w:szCs w:val="21"/>
        </w:rPr>
        <w:t>文字</w:t>
      </w:r>
      <w:bookmarkEnd w:id="76"/>
      <w:bookmarkEnd w:id="77"/>
      <w:bookmarkEnd w:id="78"/>
      <w:bookmarkEnd w:id="79"/>
      <w:bookmarkEnd w:id="80"/>
    </w:p>
    <w:p w14:paraId="19B9EF07">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除专用术语外，与招标投标有关的语言均使用中文。必要时专用术语应附有中文注释。</w:t>
      </w:r>
    </w:p>
    <w:p w14:paraId="69723DBA">
      <w:pPr>
        <w:pStyle w:val="344"/>
        <w:widowControl w:val="0"/>
        <w:numPr>
          <w:ilvl w:val="1"/>
          <w:numId w:val="3"/>
        </w:numPr>
        <w:autoSpaceDE w:val="0"/>
        <w:autoSpaceDN w:val="0"/>
        <w:adjustRightInd w:val="0"/>
        <w:snapToGrid w:val="0"/>
        <w:ind w:firstLineChars="0"/>
        <w:jc w:val="left"/>
        <w:rPr>
          <w:rFonts w:ascii="宋体" w:hAnsi="宋体"/>
          <w:b/>
          <w:szCs w:val="21"/>
        </w:rPr>
      </w:pPr>
      <w:bookmarkStart w:id="81" w:name="_Toc403513502"/>
      <w:bookmarkStart w:id="82" w:name="_Toc144974506"/>
      <w:bookmarkStart w:id="83" w:name="_Toc330213954"/>
      <w:bookmarkStart w:id="84" w:name="_Toc152045538"/>
      <w:bookmarkStart w:id="85" w:name="_Toc152042314"/>
      <w:bookmarkStart w:id="86" w:name="_Toc332121722"/>
      <w:r>
        <w:rPr>
          <w:rFonts w:hint="eastAsia" w:ascii="宋体" w:hAnsi="宋体"/>
          <w:b/>
          <w:szCs w:val="21"/>
        </w:rPr>
        <w:t>计量单位</w:t>
      </w:r>
      <w:bookmarkEnd w:id="81"/>
      <w:bookmarkEnd w:id="82"/>
      <w:bookmarkEnd w:id="83"/>
      <w:bookmarkEnd w:id="84"/>
      <w:bookmarkEnd w:id="85"/>
      <w:bookmarkEnd w:id="86"/>
    </w:p>
    <w:p w14:paraId="128433BF">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所有计量均采用中华人民共和国法定计量单位。</w:t>
      </w:r>
    </w:p>
    <w:p w14:paraId="6DB0BD7A">
      <w:pPr>
        <w:pStyle w:val="344"/>
        <w:widowControl w:val="0"/>
        <w:numPr>
          <w:ilvl w:val="1"/>
          <w:numId w:val="3"/>
        </w:numPr>
        <w:autoSpaceDE w:val="0"/>
        <w:autoSpaceDN w:val="0"/>
        <w:adjustRightInd w:val="0"/>
        <w:snapToGrid w:val="0"/>
        <w:ind w:firstLineChars="0"/>
        <w:jc w:val="left"/>
        <w:rPr>
          <w:rFonts w:ascii="宋体" w:hAnsi="宋体"/>
          <w:b/>
          <w:szCs w:val="21"/>
        </w:rPr>
      </w:pPr>
      <w:bookmarkStart w:id="87" w:name="_Toc332121723"/>
      <w:bookmarkStart w:id="88" w:name="_Toc330213955"/>
      <w:bookmarkStart w:id="89" w:name="_Toc152042315"/>
      <w:bookmarkStart w:id="90" w:name="_Toc144974507"/>
      <w:bookmarkStart w:id="91" w:name="_Toc152045539"/>
      <w:bookmarkStart w:id="92" w:name="_Toc403513503"/>
      <w:r>
        <w:rPr>
          <w:rFonts w:hint="eastAsia" w:ascii="宋体" w:hAnsi="宋体"/>
          <w:b/>
          <w:szCs w:val="21"/>
        </w:rPr>
        <w:t>踏勘现场</w:t>
      </w:r>
      <w:bookmarkEnd w:id="87"/>
      <w:bookmarkEnd w:id="88"/>
      <w:bookmarkEnd w:id="89"/>
      <w:bookmarkEnd w:id="90"/>
      <w:bookmarkEnd w:id="91"/>
      <w:bookmarkEnd w:id="92"/>
    </w:p>
    <w:p w14:paraId="21A2216F">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投标人须知前附表规定组织踏勘现场的，招标人按投标人须知前附表规定的时间、地点组织投标人踏勘项目现场。</w:t>
      </w:r>
    </w:p>
    <w:p w14:paraId="5BF84227">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投标人踏勘现场发生的费用由投标人自理。</w:t>
      </w:r>
    </w:p>
    <w:p w14:paraId="7DB23595">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除招标人的原因外，投标人自行负责在踏勘现场中所发生的人员伤亡和财产损失。</w:t>
      </w:r>
    </w:p>
    <w:p w14:paraId="03243D9E">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招标人在踏勘现场中介绍的使用场地和相关的周边环境情况，供投标人在编制投标文件时参考，招标人不对投标人据此作出的判断和决策负责。</w:t>
      </w:r>
    </w:p>
    <w:p w14:paraId="5C2F89E6">
      <w:pPr>
        <w:pStyle w:val="344"/>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分包</w:t>
      </w:r>
    </w:p>
    <w:p w14:paraId="0598F734">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中标人应当按照合同约定履行义务，完成中标项目。中标人不得向他人转让中标项目，也不得将中标项目肢解后分别向他人转让。</w:t>
      </w:r>
    </w:p>
    <w:p w14:paraId="092B15D0">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中标人按照合同约定或者经招标人同意，可以将中标项目的部分非主体、非关键性工作分包给他人完成。接受分包的人应当具备相应的资格条件，并不得再次分包。中标人应当就分包项目向招标人负责，接受分包的人就分包项目承担连带责任。</w:t>
      </w:r>
    </w:p>
    <w:p w14:paraId="3768FDAF">
      <w:pPr>
        <w:pStyle w:val="344"/>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响应和偏离</w:t>
      </w:r>
    </w:p>
    <w:p w14:paraId="142F104F">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投标文件应当对招标文件的实质性要求和条件作出满足性或更有利于招标人的响应，否则，投标人的投标将被否决。</w:t>
      </w:r>
      <w:r>
        <w:rPr>
          <w:rFonts w:hint="eastAsia" w:ascii="宋体" w:hAnsi="宋体"/>
          <w:szCs w:val="21"/>
        </w:rPr>
        <w:t>响应和</w:t>
      </w:r>
      <w:r>
        <w:rPr>
          <w:rFonts w:ascii="宋体" w:hAnsi="宋体"/>
          <w:szCs w:val="21"/>
        </w:rPr>
        <w:t>偏离的</w:t>
      </w:r>
      <w:r>
        <w:rPr>
          <w:rFonts w:hint="eastAsia" w:ascii="宋体" w:hAnsi="宋体"/>
          <w:szCs w:val="21"/>
        </w:rPr>
        <w:t>说明</w:t>
      </w:r>
      <w:r>
        <w:rPr>
          <w:rFonts w:ascii="宋体" w:hAnsi="宋体"/>
          <w:szCs w:val="21"/>
        </w:rPr>
        <w:t>详见投标人须知前附表。</w:t>
      </w:r>
    </w:p>
    <w:p w14:paraId="2F77ED6C">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投标人应根据招标文件的要求提供投标设备技术性能指标的详细描述、技术支持资料及技术服务和质保期服务计划等内容</w:t>
      </w:r>
      <w:r>
        <w:rPr>
          <w:rFonts w:hint="eastAsia" w:ascii="宋体" w:hAnsi="宋体"/>
          <w:szCs w:val="21"/>
        </w:rPr>
        <w:t>，</w:t>
      </w:r>
      <w:r>
        <w:rPr>
          <w:rFonts w:ascii="宋体" w:hAnsi="宋体"/>
          <w:szCs w:val="21"/>
        </w:rPr>
        <w:t>以对招标文件作出响应。</w:t>
      </w:r>
    </w:p>
    <w:p w14:paraId="5C60D233">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投标文件中应针对实质性要求和条件中列明的技术要求提供技术支持资料。技术支</w:t>
      </w:r>
      <w:r>
        <w:rPr>
          <w:rFonts w:ascii="宋体" w:hAnsi="宋体"/>
          <w:spacing w:val="-1"/>
          <w:szCs w:val="21"/>
        </w:rPr>
        <w:t>持资料以制造商公开发布的印刷资料，或检测机构出具的检测报告或投标人须知前附表允许的</w:t>
      </w:r>
      <w:r>
        <w:rPr>
          <w:rFonts w:ascii="宋体" w:hAnsi="宋体"/>
          <w:szCs w:val="21"/>
        </w:rPr>
        <w:t>其他形式为准，不符合前述要求的，视为无技术支持资料。</w:t>
      </w:r>
    </w:p>
    <w:p w14:paraId="621F6372">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投标文件对招标文件的全部偏离，均应在投标文件中列明，除列明的内容外，视为投标人响应招标文件的全部要求</w:t>
      </w:r>
      <w:r>
        <w:rPr>
          <w:rFonts w:hint="eastAsia" w:ascii="宋体" w:hAnsi="宋体"/>
          <w:szCs w:val="21"/>
        </w:rPr>
        <w:t>。</w:t>
      </w:r>
    </w:p>
    <w:p w14:paraId="03F5CE9F">
      <w:pPr>
        <w:pStyle w:val="344"/>
        <w:widowControl w:val="0"/>
        <w:autoSpaceDE w:val="0"/>
        <w:autoSpaceDN w:val="0"/>
        <w:adjustRightInd w:val="0"/>
        <w:snapToGrid w:val="0"/>
        <w:ind w:firstLine="0" w:firstLineChars="0"/>
        <w:jc w:val="left"/>
        <w:rPr>
          <w:rFonts w:ascii="宋体" w:hAnsi="宋体"/>
          <w:szCs w:val="21"/>
        </w:rPr>
      </w:pPr>
    </w:p>
    <w:p w14:paraId="57A1DDB4">
      <w:pPr>
        <w:pStyle w:val="344"/>
        <w:widowControl w:val="0"/>
        <w:numPr>
          <w:ilvl w:val="0"/>
          <w:numId w:val="3"/>
        </w:numPr>
        <w:autoSpaceDE w:val="0"/>
        <w:autoSpaceDN w:val="0"/>
        <w:adjustRightInd w:val="0"/>
        <w:snapToGrid w:val="0"/>
        <w:ind w:firstLineChars="0"/>
        <w:jc w:val="left"/>
        <w:rPr>
          <w:rFonts w:ascii="宋体" w:hAnsi="宋体"/>
          <w:b/>
          <w:szCs w:val="21"/>
        </w:rPr>
      </w:pPr>
      <w:bookmarkStart w:id="93" w:name="_Toc152042318"/>
      <w:bookmarkStart w:id="94" w:name="_Toc144974510"/>
      <w:bookmarkStart w:id="95" w:name="_Toc152045542"/>
      <w:r>
        <w:rPr>
          <w:rFonts w:hint="eastAsia" w:ascii="宋体" w:hAnsi="宋体"/>
          <w:b/>
          <w:szCs w:val="21"/>
        </w:rPr>
        <w:t>招标文件</w:t>
      </w:r>
      <w:bookmarkEnd w:id="93"/>
      <w:bookmarkEnd w:id="94"/>
      <w:bookmarkEnd w:id="95"/>
    </w:p>
    <w:p w14:paraId="7A14BC88">
      <w:pPr>
        <w:pStyle w:val="344"/>
        <w:widowControl w:val="0"/>
        <w:numPr>
          <w:ilvl w:val="1"/>
          <w:numId w:val="3"/>
        </w:numPr>
        <w:autoSpaceDE w:val="0"/>
        <w:autoSpaceDN w:val="0"/>
        <w:adjustRightInd w:val="0"/>
        <w:snapToGrid w:val="0"/>
        <w:ind w:firstLineChars="0"/>
        <w:jc w:val="left"/>
        <w:rPr>
          <w:rFonts w:ascii="宋体" w:hAnsi="宋体"/>
          <w:b/>
          <w:szCs w:val="21"/>
        </w:rPr>
      </w:pPr>
      <w:bookmarkStart w:id="96" w:name="_Toc403513506"/>
      <w:bookmarkStart w:id="97" w:name="_Toc152042319"/>
      <w:bookmarkStart w:id="98" w:name="_Toc330213959"/>
      <w:bookmarkStart w:id="99" w:name="_Toc144974511"/>
      <w:bookmarkStart w:id="100" w:name="_Toc332121727"/>
      <w:bookmarkStart w:id="101" w:name="_Toc152045543"/>
      <w:r>
        <w:rPr>
          <w:rFonts w:hint="eastAsia" w:ascii="宋体" w:hAnsi="宋体"/>
          <w:b/>
          <w:szCs w:val="21"/>
        </w:rPr>
        <w:t>招标文件的组成</w:t>
      </w:r>
      <w:bookmarkEnd w:id="96"/>
      <w:bookmarkEnd w:id="97"/>
      <w:bookmarkEnd w:id="98"/>
      <w:bookmarkEnd w:id="99"/>
      <w:bookmarkEnd w:id="100"/>
      <w:bookmarkEnd w:id="101"/>
    </w:p>
    <w:p w14:paraId="69D8C6E7">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本招标文件包括：</w:t>
      </w:r>
    </w:p>
    <w:p w14:paraId="34F47CBC">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w:t>
      </w:r>
    </w:p>
    <w:p w14:paraId="650D457F">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评定标办法；</w:t>
      </w:r>
    </w:p>
    <w:p w14:paraId="2F2DC087">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合同条款及格式；</w:t>
      </w:r>
    </w:p>
    <w:p w14:paraId="0CFFF3FD">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项目需求；</w:t>
      </w:r>
    </w:p>
    <w:p w14:paraId="4A646D1A">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投标文件格式。</w:t>
      </w:r>
    </w:p>
    <w:p w14:paraId="728D1232">
      <w:pPr>
        <w:pStyle w:val="344"/>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注：根据本章第1.10款、第2.2款和第2.3款对招标文件所作的澄清、修改，构成招标文件的组成部分。</w:t>
      </w:r>
    </w:p>
    <w:p w14:paraId="7E16F341">
      <w:pPr>
        <w:pStyle w:val="344"/>
        <w:widowControl w:val="0"/>
        <w:numPr>
          <w:ilvl w:val="2"/>
          <w:numId w:val="3"/>
        </w:numPr>
        <w:autoSpaceDE w:val="0"/>
        <w:autoSpaceDN w:val="0"/>
        <w:adjustRightInd w:val="0"/>
        <w:snapToGrid w:val="0"/>
        <w:ind w:firstLineChars="0"/>
        <w:jc w:val="left"/>
        <w:rPr>
          <w:rFonts w:hint="eastAsia" w:ascii="宋体" w:hAnsi="宋体"/>
          <w:szCs w:val="21"/>
        </w:rPr>
      </w:pPr>
      <w:r>
        <w:rPr>
          <w:rFonts w:hint="eastAsia" w:ascii="宋体" w:hAnsi="宋体"/>
          <w:szCs w:val="21"/>
        </w:rPr>
        <w:t>招标文件获取时间及方式：见投标人须知前附表</w:t>
      </w:r>
    </w:p>
    <w:p w14:paraId="75217F7D">
      <w:pPr>
        <w:pStyle w:val="344"/>
        <w:widowControl w:val="0"/>
        <w:numPr>
          <w:ilvl w:val="1"/>
          <w:numId w:val="3"/>
        </w:numPr>
        <w:autoSpaceDE w:val="0"/>
        <w:autoSpaceDN w:val="0"/>
        <w:adjustRightInd w:val="0"/>
        <w:snapToGrid w:val="0"/>
        <w:ind w:firstLineChars="0"/>
        <w:jc w:val="left"/>
        <w:rPr>
          <w:rFonts w:ascii="宋体" w:hAnsi="宋体"/>
          <w:b/>
          <w:szCs w:val="21"/>
        </w:rPr>
      </w:pPr>
      <w:bookmarkStart w:id="102" w:name="_Toc332121728"/>
      <w:bookmarkStart w:id="103" w:name="_Toc152042320"/>
      <w:bookmarkStart w:id="104" w:name="_Toc330213960"/>
      <w:bookmarkStart w:id="105" w:name="_Toc403513507"/>
      <w:bookmarkStart w:id="106" w:name="_Toc144974512"/>
      <w:bookmarkStart w:id="107" w:name="_Toc152045544"/>
      <w:r>
        <w:rPr>
          <w:rFonts w:hint="eastAsia" w:ascii="宋体" w:hAnsi="宋体"/>
          <w:b/>
          <w:szCs w:val="21"/>
        </w:rPr>
        <w:t>招标文件的澄清</w:t>
      </w:r>
      <w:bookmarkEnd w:id="102"/>
      <w:bookmarkEnd w:id="103"/>
      <w:bookmarkEnd w:id="104"/>
      <w:bookmarkEnd w:id="105"/>
      <w:bookmarkEnd w:id="106"/>
      <w:bookmarkEnd w:id="107"/>
    </w:p>
    <w:p w14:paraId="6A134F24">
      <w:pPr>
        <w:pStyle w:val="344"/>
        <w:widowControl w:val="0"/>
        <w:numPr>
          <w:ilvl w:val="2"/>
          <w:numId w:val="3"/>
        </w:numPr>
        <w:autoSpaceDE w:val="0"/>
        <w:autoSpaceDN w:val="0"/>
        <w:adjustRightInd w:val="0"/>
        <w:snapToGrid w:val="0"/>
        <w:ind w:firstLineChars="0"/>
        <w:jc w:val="left"/>
        <w:rPr>
          <w:rFonts w:ascii="宋体" w:hAnsi="宋体" w:cs="宋体"/>
          <w:kern w:val="0"/>
          <w:szCs w:val="21"/>
        </w:rPr>
      </w:pPr>
      <w:r>
        <w:rPr>
          <w:rFonts w:ascii="宋体" w:hAnsi="宋体"/>
          <w:szCs w:val="21"/>
        </w:rPr>
        <w:t>投标人应仔细阅读和检查招标文件的全部内容。如发现缺页或附件不全，应及时向招标人提出，以便补齐。</w:t>
      </w:r>
    </w:p>
    <w:p w14:paraId="10C68751">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文件的澄清将在投标人须知前附表规定的时间内以数据电文形式或书面形式发给所有获取招标文件的投标人，但不指明澄清问题的来源。如果澄清发出的时间和内容明显影响投标文件编制的，应当相应延长投标截止时间。</w:t>
      </w:r>
    </w:p>
    <w:p w14:paraId="19CE31E2">
      <w:pPr>
        <w:pStyle w:val="344"/>
        <w:widowControl w:val="0"/>
        <w:numPr>
          <w:ilvl w:val="1"/>
          <w:numId w:val="3"/>
        </w:numPr>
        <w:autoSpaceDE w:val="0"/>
        <w:autoSpaceDN w:val="0"/>
        <w:adjustRightInd w:val="0"/>
        <w:snapToGrid w:val="0"/>
        <w:ind w:firstLineChars="0"/>
        <w:jc w:val="left"/>
        <w:rPr>
          <w:rFonts w:ascii="宋体" w:hAnsi="宋体"/>
          <w:b/>
          <w:szCs w:val="21"/>
        </w:rPr>
      </w:pPr>
      <w:bookmarkStart w:id="108" w:name="_Toc152042321"/>
      <w:bookmarkStart w:id="109" w:name="_Toc332121729"/>
      <w:bookmarkStart w:id="110" w:name="_Toc152045545"/>
      <w:bookmarkStart w:id="111" w:name="_Toc403513508"/>
      <w:bookmarkStart w:id="112" w:name="_Toc144974513"/>
      <w:bookmarkStart w:id="113" w:name="_Toc330213961"/>
      <w:r>
        <w:rPr>
          <w:rFonts w:hint="eastAsia" w:ascii="宋体" w:hAnsi="宋体"/>
          <w:b/>
          <w:szCs w:val="21"/>
        </w:rPr>
        <w:t>招标文件的修改</w:t>
      </w:r>
      <w:bookmarkEnd w:id="108"/>
      <w:bookmarkEnd w:id="109"/>
      <w:bookmarkEnd w:id="110"/>
      <w:bookmarkEnd w:id="111"/>
      <w:bookmarkEnd w:id="112"/>
      <w:bookmarkEnd w:id="113"/>
    </w:p>
    <w:p w14:paraId="373710AF">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在投标截止时间前，招标人可以数据电文（或书面形式）修改招标文件，并通知所有已获取招标文件的投标人。</w:t>
      </w:r>
    </w:p>
    <w:p w14:paraId="49FD5AAE">
      <w:pPr>
        <w:pStyle w:val="344"/>
        <w:widowControl w:val="0"/>
        <w:numPr>
          <w:ilvl w:val="0"/>
          <w:numId w:val="3"/>
        </w:numPr>
        <w:autoSpaceDE w:val="0"/>
        <w:autoSpaceDN w:val="0"/>
        <w:adjustRightInd w:val="0"/>
        <w:snapToGrid w:val="0"/>
        <w:ind w:firstLineChars="0"/>
        <w:jc w:val="left"/>
        <w:rPr>
          <w:rFonts w:ascii="宋体" w:hAnsi="宋体"/>
          <w:b/>
          <w:szCs w:val="21"/>
        </w:rPr>
      </w:pPr>
      <w:bookmarkStart w:id="114" w:name="_Toc152045546"/>
      <w:bookmarkStart w:id="115" w:name="_Toc152042322"/>
      <w:bookmarkStart w:id="116" w:name="_Toc144974514"/>
      <w:r>
        <w:rPr>
          <w:rFonts w:hint="eastAsia" w:ascii="宋体" w:hAnsi="宋体"/>
          <w:b/>
          <w:szCs w:val="21"/>
        </w:rPr>
        <w:t>投标文件</w:t>
      </w:r>
      <w:bookmarkEnd w:id="114"/>
      <w:bookmarkEnd w:id="115"/>
      <w:bookmarkEnd w:id="116"/>
    </w:p>
    <w:p w14:paraId="3B724907">
      <w:pPr>
        <w:pStyle w:val="344"/>
        <w:widowControl w:val="0"/>
        <w:numPr>
          <w:ilvl w:val="1"/>
          <w:numId w:val="3"/>
        </w:numPr>
        <w:autoSpaceDE w:val="0"/>
        <w:autoSpaceDN w:val="0"/>
        <w:adjustRightInd w:val="0"/>
        <w:snapToGrid w:val="0"/>
        <w:ind w:firstLineChars="0"/>
        <w:jc w:val="left"/>
        <w:rPr>
          <w:rFonts w:ascii="宋体" w:hAnsi="宋体"/>
          <w:b/>
          <w:szCs w:val="21"/>
        </w:rPr>
      </w:pPr>
      <w:bookmarkStart w:id="117" w:name="_Toc332121731"/>
      <w:bookmarkStart w:id="118" w:name="_Toc330213963"/>
      <w:bookmarkStart w:id="119" w:name="_Toc144974515"/>
      <w:bookmarkStart w:id="120" w:name="_Toc152042323"/>
      <w:bookmarkStart w:id="121" w:name="_Toc152045547"/>
      <w:bookmarkStart w:id="122" w:name="_Toc403513510"/>
      <w:r>
        <w:rPr>
          <w:rFonts w:hint="eastAsia" w:ascii="宋体" w:hAnsi="宋体"/>
          <w:b/>
          <w:szCs w:val="21"/>
        </w:rPr>
        <w:t>投标文件的组成</w:t>
      </w:r>
      <w:bookmarkEnd w:id="117"/>
      <w:bookmarkEnd w:id="118"/>
      <w:bookmarkEnd w:id="119"/>
      <w:bookmarkEnd w:id="120"/>
      <w:bookmarkEnd w:id="121"/>
      <w:bookmarkEnd w:id="122"/>
    </w:p>
    <w:p w14:paraId="71A95963">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投标文件组成及格式见本招标文件第五章。</w:t>
      </w:r>
      <w:r>
        <w:rPr>
          <w:rFonts w:ascii="宋体" w:hAnsi="宋体"/>
          <w:spacing w:val="-1"/>
          <w:szCs w:val="21"/>
        </w:rPr>
        <w:t>投标人在评标过程中作出的符合法律法规和招标文件规定的澄清确认，构成投标文件的组</w:t>
      </w:r>
      <w:r>
        <w:rPr>
          <w:rFonts w:ascii="宋体" w:hAnsi="宋体"/>
          <w:szCs w:val="21"/>
        </w:rPr>
        <w:t>成部分。</w:t>
      </w:r>
    </w:p>
    <w:p w14:paraId="49C00AB7">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投标人须知前附表规定不接受联合体投标的，或投标人没有组成联合体的，投标文件不包括</w:t>
      </w:r>
      <w:r>
        <w:rPr>
          <w:rFonts w:hint="eastAsia" w:ascii="宋体" w:hAnsi="宋体"/>
          <w:szCs w:val="21"/>
        </w:rPr>
        <w:t>投标人须知前附表</w:t>
      </w:r>
      <w:r>
        <w:rPr>
          <w:rFonts w:ascii="宋体" w:hAnsi="宋体"/>
          <w:szCs w:val="21"/>
        </w:rPr>
        <w:t>所指的联合体协议书。</w:t>
      </w:r>
    </w:p>
    <w:p w14:paraId="788682DE">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投标人须知前附表未要求提交投标保证金的，投标文件不包括</w:t>
      </w:r>
      <w:r>
        <w:rPr>
          <w:rFonts w:hint="eastAsia" w:ascii="宋体" w:hAnsi="宋体"/>
          <w:szCs w:val="21"/>
        </w:rPr>
        <w:t>投标人须知前附表</w:t>
      </w:r>
      <w:r>
        <w:rPr>
          <w:rFonts w:ascii="宋体" w:hAnsi="宋体"/>
          <w:szCs w:val="21"/>
        </w:rPr>
        <w:t>所指的投标保证金。</w:t>
      </w:r>
    </w:p>
    <w:p w14:paraId="05AE2A87">
      <w:pPr>
        <w:pStyle w:val="344"/>
        <w:widowControl w:val="0"/>
        <w:numPr>
          <w:ilvl w:val="1"/>
          <w:numId w:val="3"/>
        </w:numPr>
        <w:autoSpaceDE w:val="0"/>
        <w:autoSpaceDN w:val="0"/>
        <w:adjustRightInd w:val="0"/>
        <w:snapToGrid w:val="0"/>
        <w:ind w:firstLineChars="0"/>
        <w:jc w:val="left"/>
        <w:rPr>
          <w:rFonts w:ascii="宋体" w:hAnsi="宋体"/>
          <w:b/>
          <w:szCs w:val="21"/>
        </w:rPr>
      </w:pPr>
      <w:bookmarkStart w:id="123" w:name="_Toc403513511"/>
      <w:bookmarkStart w:id="124" w:name="_Toc152042324"/>
      <w:bookmarkStart w:id="125" w:name="_Toc152045548"/>
      <w:bookmarkStart w:id="126" w:name="_Toc144974516"/>
      <w:bookmarkStart w:id="127" w:name="_Toc330213964"/>
      <w:bookmarkStart w:id="128" w:name="_Toc332121732"/>
      <w:r>
        <w:rPr>
          <w:rFonts w:hint="eastAsia" w:ascii="宋体" w:hAnsi="宋体"/>
          <w:b/>
          <w:szCs w:val="21"/>
        </w:rPr>
        <w:t>投标报价</w:t>
      </w:r>
      <w:bookmarkEnd w:id="123"/>
      <w:bookmarkEnd w:id="124"/>
      <w:bookmarkEnd w:id="125"/>
      <w:bookmarkEnd w:id="126"/>
      <w:bookmarkEnd w:id="127"/>
      <w:bookmarkEnd w:id="128"/>
    </w:p>
    <w:p w14:paraId="49646E9D">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pacing w:val="-4"/>
          <w:szCs w:val="21"/>
        </w:rPr>
        <w:t>投标报价应包括国家规定的增值税税金，除投标人须知前附表另有规定外，增值税税</w:t>
      </w:r>
      <w:r>
        <w:rPr>
          <w:rFonts w:ascii="宋体" w:hAnsi="宋体"/>
          <w:szCs w:val="21"/>
        </w:rPr>
        <w:t>金按一般计税方法计算。</w:t>
      </w:r>
    </w:p>
    <w:p w14:paraId="30E92FC6">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投标人应充分了解该项目的总体情况以及影响投标报价的其他要素。</w:t>
      </w:r>
    </w:p>
    <w:p w14:paraId="435DC4AD">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投标报价算术修正原则详见第二章评定标办法。</w:t>
      </w:r>
    </w:p>
    <w:p w14:paraId="0083D0BB">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pacing w:val="-4"/>
          <w:szCs w:val="21"/>
        </w:rPr>
        <w:t>招标人设有最高投标限价的，投标人的投标报价不得超过最高投标限价，最高投标限</w:t>
      </w:r>
      <w:r>
        <w:rPr>
          <w:rFonts w:ascii="宋体" w:hAnsi="宋体"/>
          <w:szCs w:val="21"/>
        </w:rPr>
        <w:t>价在投标人须知前附表中载明。</w:t>
      </w:r>
    </w:p>
    <w:p w14:paraId="758ECAE3">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投标报价的其他要求见投标人须知前附表。</w:t>
      </w:r>
      <w:r>
        <w:rPr>
          <w:rFonts w:hint="eastAsia" w:ascii="宋体" w:hAnsi="宋体"/>
          <w:szCs w:val="21"/>
        </w:rPr>
        <w:t>　</w:t>
      </w:r>
    </w:p>
    <w:p w14:paraId="2ACBC9BA">
      <w:pPr>
        <w:pStyle w:val="344"/>
        <w:widowControl w:val="0"/>
        <w:numPr>
          <w:ilvl w:val="1"/>
          <w:numId w:val="3"/>
        </w:numPr>
        <w:autoSpaceDE w:val="0"/>
        <w:autoSpaceDN w:val="0"/>
        <w:adjustRightInd w:val="0"/>
        <w:snapToGrid w:val="0"/>
        <w:ind w:firstLineChars="0"/>
        <w:jc w:val="left"/>
        <w:rPr>
          <w:rFonts w:ascii="宋体" w:hAnsi="宋体"/>
          <w:b/>
          <w:szCs w:val="21"/>
        </w:rPr>
      </w:pPr>
      <w:bookmarkStart w:id="129" w:name="_Toc152045549"/>
      <w:bookmarkStart w:id="130" w:name="_Toc152042325"/>
      <w:bookmarkStart w:id="131" w:name="_Toc330213965"/>
      <w:bookmarkStart w:id="132" w:name="_Toc332121733"/>
      <w:bookmarkStart w:id="133" w:name="_Toc144974517"/>
      <w:bookmarkStart w:id="134" w:name="_Toc403513512"/>
      <w:r>
        <w:rPr>
          <w:rFonts w:hint="eastAsia" w:ascii="宋体" w:hAnsi="宋体"/>
          <w:b/>
          <w:szCs w:val="21"/>
        </w:rPr>
        <w:t>投标有效期</w:t>
      </w:r>
      <w:bookmarkEnd w:id="129"/>
      <w:bookmarkEnd w:id="130"/>
      <w:bookmarkEnd w:id="131"/>
      <w:bookmarkEnd w:id="132"/>
      <w:bookmarkEnd w:id="133"/>
      <w:bookmarkEnd w:id="134"/>
    </w:p>
    <w:p w14:paraId="342DD6D4">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详见</w:t>
      </w:r>
      <w:r>
        <w:rPr>
          <w:rFonts w:ascii="宋体" w:hAnsi="宋体"/>
          <w:szCs w:val="21"/>
        </w:rPr>
        <w:t>投标人须知前附表。</w:t>
      </w:r>
    </w:p>
    <w:p w14:paraId="24BD078E">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在投标有效期内，投标人撤销</w:t>
      </w:r>
      <w:r>
        <w:rPr>
          <w:rFonts w:hint="eastAsia" w:ascii="宋体" w:hAnsi="宋体"/>
          <w:szCs w:val="21"/>
        </w:rPr>
        <w:t>或修改</w:t>
      </w:r>
      <w:r>
        <w:rPr>
          <w:rFonts w:ascii="宋体" w:hAnsi="宋体"/>
          <w:szCs w:val="21"/>
        </w:rPr>
        <w:t>投标文件的，应承担招标文件和法律规定的责任。</w:t>
      </w:r>
    </w:p>
    <w:p w14:paraId="48921512">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pacing w:val="-4"/>
          <w:szCs w:val="21"/>
        </w:rPr>
        <w:t>出现特殊情况需要延长投标有效期的，招标人以</w:t>
      </w:r>
      <w:r>
        <w:rPr>
          <w:rFonts w:hint="eastAsia" w:ascii="宋体" w:hAnsi="宋体"/>
          <w:spacing w:val="-4"/>
          <w:szCs w:val="21"/>
        </w:rPr>
        <w:t>数据</w:t>
      </w:r>
      <w:r>
        <w:rPr>
          <w:rFonts w:ascii="宋体" w:hAnsi="宋体"/>
          <w:spacing w:val="-4"/>
          <w:szCs w:val="21"/>
        </w:rPr>
        <w:t>电文形式</w:t>
      </w:r>
      <w:r>
        <w:rPr>
          <w:rFonts w:hint="eastAsia" w:ascii="宋体" w:hAnsi="宋体"/>
          <w:spacing w:val="-4"/>
          <w:szCs w:val="21"/>
        </w:rPr>
        <w:t>（或书面形式）</w:t>
      </w:r>
      <w:r>
        <w:rPr>
          <w:rFonts w:ascii="宋体" w:hAnsi="宋体"/>
          <w:spacing w:val="-4"/>
          <w:szCs w:val="21"/>
        </w:rPr>
        <w:t>通知所有投标人延长投标有</w:t>
      </w:r>
      <w:r>
        <w:rPr>
          <w:rFonts w:ascii="宋体" w:hAnsi="宋体"/>
          <w:spacing w:val="-1"/>
          <w:szCs w:val="21"/>
        </w:rPr>
        <w:t>效期。投标人应予以书面答复，同意延长的，应相应延长其投标保证金的有效期，但不得要求或被允许</w:t>
      </w:r>
      <w:r>
        <w:rPr>
          <w:rFonts w:hint="eastAsia" w:ascii="宋体" w:hAnsi="宋体"/>
          <w:spacing w:val="-1"/>
          <w:szCs w:val="21"/>
        </w:rPr>
        <w:t>撤销或</w:t>
      </w:r>
      <w:r>
        <w:rPr>
          <w:rFonts w:ascii="宋体" w:hAnsi="宋体"/>
          <w:spacing w:val="-1"/>
          <w:szCs w:val="21"/>
        </w:rPr>
        <w:t>修改其投标文件；投标人拒绝延长的，其投标失效，但投标人有权收回其投标保证金</w:t>
      </w:r>
      <w:r>
        <w:rPr>
          <w:rFonts w:ascii="宋体" w:hAnsi="宋体"/>
          <w:szCs w:val="21"/>
        </w:rPr>
        <w:t>。</w:t>
      </w:r>
    </w:p>
    <w:p w14:paraId="616F1344">
      <w:pPr>
        <w:pStyle w:val="344"/>
        <w:widowControl w:val="0"/>
        <w:numPr>
          <w:ilvl w:val="1"/>
          <w:numId w:val="3"/>
        </w:numPr>
        <w:autoSpaceDE w:val="0"/>
        <w:autoSpaceDN w:val="0"/>
        <w:adjustRightInd w:val="0"/>
        <w:snapToGrid w:val="0"/>
        <w:ind w:firstLineChars="0"/>
        <w:jc w:val="left"/>
        <w:rPr>
          <w:rFonts w:ascii="宋体" w:hAnsi="宋体"/>
          <w:b/>
          <w:szCs w:val="21"/>
        </w:rPr>
      </w:pPr>
      <w:bookmarkStart w:id="135" w:name="_Toc144974518"/>
      <w:bookmarkStart w:id="136" w:name="_Toc330213966"/>
      <w:bookmarkStart w:id="137" w:name="_Toc403513513"/>
      <w:bookmarkStart w:id="138" w:name="_Toc332121734"/>
      <w:bookmarkStart w:id="139" w:name="_Toc152042326"/>
      <w:bookmarkStart w:id="140" w:name="_Toc152045550"/>
      <w:r>
        <w:rPr>
          <w:rFonts w:hint="eastAsia" w:ascii="宋体" w:hAnsi="宋体"/>
          <w:b/>
          <w:szCs w:val="21"/>
        </w:rPr>
        <w:t>投标保证金</w:t>
      </w:r>
      <w:bookmarkEnd w:id="135"/>
      <w:bookmarkEnd w:id="136"/>
      <w:bookmarkEnd w:id="137"/>
      <w:bookmarkEnd w:id="138"/>
      <w:bookmarkEnd w:id="139"/>
      <w:bookmarkEnd w:id="140"/>
    </w:p>
    <w:p w14:paraId="4DE977F8">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投标人在递交投标文件的同时，应按投标人须知前附表规定的金额、形式等提交投标保证金证明，并作为其投标文件的组成部分。</w:t>
      </w:r>
      <w:r>
        <w:rPr>
          <w:rFonts w:ascii="宋体" w:hAnsi="宋体"/>
          <w:spacing w:val="-3"/>
          <w:szCs w:val="21"/>
        </w:rPr>
        <w:t>境内投标</w:t>
      </w:r>
      <w:r>
        <w:rPr>
          <w:rFonts w:ascii="宋体" w:hAnsi="宋体"/>
          <w:spacing w:val="-1"/>
          <w:szCs w:val="21"/>
        </w:rPr>
        <w:t>人应当从其账户转出。</w:t>
      </w:r>
      <w:r>
        <w:rPr>
          <w:rFonts w:hint="eastAsia" w:ascii="宋体" w:hAnsi="宋体"/>
          <w:szCs w:val="21"/>
        </w:rPr>
        <w:t>联合体投标的，其投标保证金可以由牵头人递交，并应符合投标人须知前附表的规定。</w:t>
      </w:r>
    </w:p>
    <w:p w14:paraId="6FE33773">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投标人不按本章第3.4.1项要求提交投标保证金的，其投标文件作废标处理。</w:t>
      </w:r>
    </w:p>
    <w:p w14:paraId="0AD8BA6A">
      <w:pPr>
        <w:pStyle w:val="344"/>
        <w:widowControl w:val="0"/>
        <w:numPr>
          <w:ilvl w:val="2"/>
          <w:numId w:val="3"/>
        </w:numPr>
        <w:autoSpaceDE w:val="0"/>
        <w:autoSpaceDN w:val="0"/>
        <w:adjustRightInd w:val="0"/>
        <w:snapToGrid w:val="0"/>
        <w:ind w:firstLineChars="0"/>
        <w:jc w:val="left"/>
        <w:rPr>
          <w:rFonts w:ascii="宋体" w:hAnsi="宋体"/>
          <w:szCs w:val="21"/>
        </w:rPr>
      </w:pPr>
      <w:bookmarkStart w:id="141" w:name="auto_fouce_6"/>
      <w:r>
        <w:rPr>
          <w:rFonts w:hint="eastAsia" w:ascii="宋体" w:hAnsi="宋体"/>
          <w:szCs w:val="21"/>
        </w:rPr>
        <w:t>招标结束后向未中标的投标人退还投标保证金；招标人与中标人签订合同后向中标人退还投标保证金。</w:t>
      </w:r>
      <w:bookmarkEnd w:id="141"/>
    </w:p>
    <w:p w14:paraId="1C11B7B5">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有下列情形之一的，投标保证金将不予退还：</w:t>
      </w:r>
    </w:p>
    <w:p w14:paraId="2FFB1ACF">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在投标</w:t>
      </w:r>
      <w:r>
        <w:rPr>
          <w:rFonts w:ascii="宋体" w:hAnsi="宋体"/>
          <w:szCs w:val="21"/>
        </w:rPr>
        <w:t>截止时间后，</w:t>
      </w:r>
      <w:r>
        <w:rPr>
          <w:rFonts w:hint="eastAsia" w:ascii="宋体" w:hAnsi="宋体"/>
          <w:szCs w:val="21"/>
        </w:rPr>
        <w:t>投标人在规定的投标有效期内撤销或修改投标文件；</w:t>
      </w:r>
    </w:p>
    <w:p w14:paraId="26C5F2E0">
      <w:pPr>
        <w:pStyle w:val="344"/>
        <w:widowControl w:val="0"/>
        <w:numPr>
          <w:ilvl w:val="3"/>
          <w:numId w:val="3"/>
        </w:numPr>
        <w:autoSpaceDE w:val="0"/>
        <w:autoSpaceDN w:val="0"/>
        <w:adjustRightInd w:val="0"/>
        <w:snapToGrid w:val="0"/>
        <w:ind w:firstLineChars="0"/>
        <w:jc w:val="left"/>
        <w:rPr>
          <w:rFonts w:ascii="宋体" w:hAnsi="宋体"/>
          <w:szCs w:val="21"/>
        </w:rPr>
      </w:pPr>
      <w:bookmarkStart w:id="142" w:name="_Toc330213967"/>
      <w:bookmarkStart w:id="143" w:name="_Toc152045552"/>
      <w:bookmarkStart w:id="144" w:name="_Toc332121735"/>
      <w:bookmarkStart w:id="145" w:name="_Toc152042328"/>
      <w:bookmarkStart w:id="146" w:name="_Toc144974520"/>
      <w:bookmarkStart w:id="147" w:name="_Toc403513514"/>
      <w:r>
        <w:rPr>
          <w:rFonts w:ascii="宋体" w:hAnsi="宋体"/>
          <w:spacing w:val="-1"/>
          <w:szCs w:val="21"/>
        </w:rPr>
        <w:t>中标人在收到中标通知书后，无正当理由不与招标人订立合同，在签订合同时向招标</w:t>
      </w:r>
      <w:r>
        <w:rPr>
          <w:rFonts w:ascii="宋体" w:hAnsi="宋体"/>
          <w:szCs w:val="21"/>
        </w:rPr>
        <w:t>人提出附加条件，或者不按照招标文件要求提交履约</w:t>
      </w:r>
      <w:r>
        <w:rPr>
          <w:rFonts w:hint="eastAsia" w:ascii="宋体" w:hAnsi="宋体"/>
          <w:szCs w:val="21"/>
        </w:rPr>
        <w:t>担保</w:t>
      </w:r>
      <w:r>
        <w:rPr>
          <w:rFonts w:ascii="宋体" w:hAnsi="宋体"/>
          <w:szCs w:val="21"/>
        </w:rPr>
        <w:t>；</w:t>
      </w:r>
    </w:p>
    <w:p w14:paraId="72ADAFB3">
      <w:pPr>
        <w:pStyle w:val="344"/>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发生投标人须知前附表规定的其他可以不予退还投标保证金的情形</w:t>
      </w:r>
      <w:r>
        <w:rPr>
          <w:rFonts w:hint="eastAsia" w:ascii="宋体" w:hAnsi="宋体"/>
          <w:szCs w:val="21"/>
        </w:rPr>
        <w:t>。</w:t>
      </w:r>
    </w:p>
    <w:p w14:paraId="24A960B7">
      <w:pPr>
        <w:pStyle w:val="344"/>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资格审查资料</w:t>
      </w:r>
      <w:bookmarkEnd w:id="142"/>
      <w:bookmarkEnd w:id="143"/>
      <w:bookmarkEnd w:id="144"/>
      <w:bookmarkEnd w:id="145"/>
      <w:bookmarkEnd w:id="146"/>
      <w:bookmarkEnd w:id="147"/>
      <w:r>
        <w:rPr>
          <w:rFonts w:hint="eastAsia" w:ascii="宋体" w:hAnsi="宋体"/>
          <w:b/>
          <w:szCs w:val="21"/>
        </w:rPr>
        <w:t>（适用于资格后审的）</w:t>
      </w:r>
    </w:p>
    <w:p w14:paraId="36C77F6D">
      <w:pPr>
        <w:pStyle w:val="344"/>
        <w:widowControl w:val="0"/>
        <w:numPr>
          <w:ilvl w:val="2"/>
          <w:numId w:val="3"/>
        </w:numPr>
        <w:autoSpaceDE w:val="0"/>
        <w:autoSpaceDN w:val="0"/>
        <w:adjustRightInd w:val="0"/>
        <w:snapToGrid w:val="0"/>
        <w:ind w:firstLineChars="0"/>
        <w:jc w:val="left"/>
        <w:rPr>
          <w:rFonts w:ascii="宋体" w:hAnsi="宋体"/>
          <w:szCs w:val="21"/>
        </w:rPr>
      </w:pPr>
      <w:bookmarkStart w:id="148" w:name="_Toc152045553"/>
      <w:bookmarkStart w:id="149" w:name="_Toc330213968"/>
      <w:bookmarkStart w:id="150" w:name="_Toc403513515"/>
      <w:bookmarkStart w:id="151" w:name="_Toc152042329"/>
      <w:bookmarkStart w:id="152" w:name="_Toc332121736"/>
      <w:bookmarkStart w:id="153" w:name="_Toc144974521"/>
      <w:r>
        <w:rPr>
          <w:rFonts w:ascii="宋体" w:hAnsi="宋体"/>
          <w:szCs w:val="21"/>
        </w:rPr>
        <w:t>除投标人须知前附表另有规定外，投标人应按下列规定提供资格审查资料，以证明其满足本</w:t>
      </w:r>
      <w:r>
        <w:rPr>
          <w:rFonts w:hint="eastAsia" w:ascii="宋体" w:hAnsi="宋体"/>
          <w:szCs w:val="21"/>
        </w:rPr>
        <w:t>项目</w:t>
      </w:r>
      <w:r>
        <w:rPr>
          <w:rFonts w:ascii="宋体" w:hAnsi="宋体"/>
          <w:szCs w:val="21"/>
        </w:rPr>
        <w:t>规定的</w:t>
      </w:r>
      <w:r>
        <w:rPr>
          <w:rFonts w:hint="eastAsia" w:ascii="宋体" w:hAnsi="宋体"/>
          <w:szCs w:val="21"/>
        </w:rPr>
        <w:t>资格</w:t>
      </w:r>
      <w:r>
        <w:rPr>
          <w:rFonts w:ascii="宋体" w:hAnsi="宋体"/>
          <w:szCs w:val="21"/>
        </w:rPr>
        <w:t>要求。</w:t>
      </w:r>
    </w:p>
    <w:p w14:paraId="5FDECC75">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 xml:space="preserve"> “</w:t>
      </w:r>
      <w:r>
        <w:rPr>
          <w:rFonts w:ascii="宋体" w:hAnsi="宋体"/>
          <w:szCs w:val="21"/>
        </w:rPr>
        <w:t>投标人基本情况表</w:t>
      </w:r>
      <w:r>
        <w:rPr>
          <w:rFonts w:hint="eastAsia" w:ascii="宋体" w:hAnsi="宋体"/>
          <w:szCs w:val="21"/>
        </w:rPr>
        <w:t>”</w:t>
      </w:r>
      <w:r>
        <w:rPr>
          <w:rFonts w:ascii="宋体" w:hAnsi="宋体"/>
          <w:szCs w:val="21"/>
        </w:rPr>
        <w:t>应附</w:t>
      </w:r>
      <w:r>
        <w:rPr>
          <w:rFonts w:hint="eastAsia" w:ascii="宋体" w:hAnsi="宋体"/>
          <w:szCs w:val="21"/>
        </w:rPr>
        <w:t>以下证明材料：</w:t>
      </w:r>
    </w:p>
    <w:p w14:paraId="7F97DBF7">
      <w:pPr>
        <w:pStyle w:val="344"/>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投标人为企业的，应提交营业执照和组织机构代码证（按照“三证合一”或“五证合一”登记制度进行登记的，可仅提供营业执照）；</w:t>
      </w:r>
    </w:p>
    <w:p w14:paraId="698E8A45">
      <w:pPr>
        <w:pStyle w:val="344"/>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投标人为依法允许经营的事业单位的，应提交事业单位法人证书和组织机构代码证的</w:t>
      </w:r>
      <w:r>
        <w:rPr>
          <w:rFonts w:hint="eastAsia" w:ascii="宋体" w:hAnsi="宋体"/>
          <w:szCs w:val="21"/>
        </w:rPr>
        <w:t>；</w:t>
      </w:r>
    </w:p>
    <w:p w14:paraId="3748A2D1">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投标人须知前附表要求的其他证明材料。</w:t>
      </w:r>
    </w:p>
    <w:p w14:paraId="72ADE5BD">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投标人须知前附表规定接受联合体投标的，本章第</w:t>
      </w:r>
      <w:r>
        <w:rPr>
          <w:rFonts w:hint="eastAsia" w:ascii="宋体" w:hAnsi="宋体"/>
          <w:szCs w:val="21"/>
        </w:rPr>
        <w:t>3.</w:t>
      </w:r>
      <w:r>
        <w:rPr>
          <w:rFonts w:ascii="宋体" w:hAnsi="宋体"/>
          <w:szCs w:val="21"/>
        </w:rPr>
        <w:t>6</w:t>
      </w:r>
      <w:r>
        <w:rPr>
          <w:rFonts w:hint="eastAsia" w:ascii="宋体" w:hAnsi="宋体"/>
          <w:szCs w:val="21"/>
        </w:rPr>
        <w:t>.1</w:t>
      </w:r>
      <w:r>
        <w:rPr>
          <w:rFonts w:ascii="宋体" w:hAnsi="宋体"/>
          <w:szCs w:val="21"/>
        </w:rPr>
        <w:t>规定的表格和资料应包括联合体各方相关情况。</w:t>
      </w:r>
    </w:p>
    <w:p w14:paraId="75E186D3">
      <w:pPr>
        <w:pStyle w:val="344"/>
        <w:widowControl w:val="0"/>
        <w:numPr>
          <w:ilvl w:val="1"/>
          <w:numId w:val="3"/>
        </w:numPr>
        <w:autoSpaceDE w:val="0"/>
        <w:autoSpaceDN w:val="0"/>
        <w:adjustRightInd w:val="0"/>
        <w:snapToGrid w:val="0"/>
        <w:ind w:firstLineChars="0"/>
        <w:jc w:val="left"/>
        <w:rPr>
          <w:rFonts w:ascii="宋体" w:hAnsi="宋体"/>
          <w:b/>
          <w:szCs w:val="21"/>
        </w:rPr>
      </w:pPr>
      <w:bookmarkStart w:id="154" w:name="_Toc144974522"/>
      <w:bookmarkStart w:id="155" w:name="_Toc330213969"/>
      <w:bookmarkStart w:id="156" w:name="_Toc403513516"/>
      <w:bookmarkStart w:id="157" w:name="_Toc152042330"/>
      <w:bookmarkStart w:id="158" w:name="_Toc152045554"/>
      <w:bookmarkStart w:id="159" w:name="_Toc332121737"/>
      <w:r>
        <w:rPr>
          <w:rFonts w:hint="eastAsia" w:ascii="宋体" w:hAnsi="宋体"/>
          <w:b/>
          <w:szCs w:val="21"/>
        </w:rPr>
        <w:t>投标文件的编制</w:t>
      </w:r>
      <w:bookmarkEnd w:id="154"/>
      <w:bookmarkEnd w:id="155"/>
      <w:bookmarkEnd w:id="156"/>
      <w:bookmarkEnd w:id="157"/>
      <w:bookmarkEnd w:id="158"/>
      <w:bookmarkEnd w:id="159"/>
    </w:p>
    <w:p w14:paraId="42F03E64">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投标文件应按第</w:t>
      </w:r>
      <w:r>
        <w:rPr>
          <w:rFonts w:hint="eastAsia" w:ascii="宋体" w:hAnsi="宋体"/>
          <w:szCs w:val="21"/>
        </w:rPr>
        <w:t>五</w:t>
      </w:r>
      <w:r>
        <w:rPr>
          <w:rFonts w:ascii="宋体" w:hAnsi="宋体"/>
          <w:szCs w:val="21"/>
        </w:rPr>
        <w:t>章“投标文件格式”进行编写，如有必要，可以增加附页，作为投标文件的组成部分。</w:t>
      </w:r>
      <w:r>
        <w:rPr>
          <w:rFonts w:hint="eastAsia" w:ascii="宋体" w:hAnsi="宋体"/>
          <w:szCs w:val="21"/>
        </w:rPr>
        <w:t>其中，投标函在满足招标文件实质性要求的基础上，可以提出比招标文件要求更有利于招标人的承诺。</w:t>
      </w:r>
    </w:p>
    <w:p w14:paraId="26590E7A">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投标文件应当对招标文件</w:t>
      </w:r>
      <w:r>
        <w:rPr>
          <w:rFonts w:hint="eastAsia" w:ascii="宋体" w:hAnsi="宋体"/>
          <w:szCs w:val="21"/>
        </w:rPr>
        <w:t>中的</w:t>
      </w:r>
      <w:r>
        <w:rPr>
          <w:rFonts w:ascii="宋体" w:hAnsi="宋体"/>
          <w:szCs w:val="21"/>
        </w:rPr>
        <w:t>有关</w:t>
      </w:r>
      <w:r>
        <w:rPr>
          <w:rFonts w:hint="eastAsia" w:ascii="宋体" w:hAnsi="宋体"/>
          <w:szCs w:val="21"/>
        </w:rPr>
        <w:t>服务</w:t>
      </w:r>
      <w:r>
        <w:rPr>
          <w:rFonts w:ascii="宋体" w:hAnsi="宋体"/>
          <w:szCs w:val="21"/>
        </w:rPr>
        <w:t>期、投标有效期、</w:t>
      </w:r>
      <w:r>
        <w:rPr>
          <w:rFonts w:hint="eastAsia" w:ascii="宋体" w:hAnsi="宋体"/>
          <w:szCs w:val="21"/>
        </w:rPr>
        <w:t>服务</w:t>
      </w:r>
      <w:r>
        <w:rPr>
          <w:rFonts w:ascii="宋体" w:hAnsi="宋体"/>
          <w:szCs w:val="21"/>
        </w:rPr>
        <w:t>要求、招标范围</w:t>
      </w:r>
      <w:r>
        <w:rPr>
          <w:rFonts w:hint="eastAsia" w:ascii="宋体" w:hAnsi="宋体"/>
          <w:szCs w:val="21"/>
        </w:rPr>
        <w:t>等或带“</w:t>
      </w:r>
      <w:r>
        <w:rPr>
          <w:rFonts w:ascii="Wingdings 2" w:hAnsi="Wingdings 2"/>
          <w:szCs w:val="21"/>
        </w:rPr>
        <w:sym w:font="Wingdings 2" w:char="F0EA"/>
      </w:r>
      <w:r>
        <w:rPr>
          <w:rFonts w:hint="eastAsia" w:ascii="宋体" w:hAnsi="宋体"/>
          <w:szCs w:val="21"/>
        </w:rPr>
        <w:t>”的相关商务、技术条款</w:t>
      </w:r>
      <w:r>
        <w:rPr>
          <w:rFonts w:ascii="宋体" w:hAnsi="宋体"/>
          <w:szCs w:val="21"/>
        </w:rPr>
        <w:t>等实质性内容作出响应。投标文件在满足招标文件实质性要求的基础上，可以提出比招标文件要求更有利于招标人的承诺。</w:t>
      </w:r>
    </w:p>
    <w:p w14:paraId="561D4AAD">
      <w:pPr>
        <w:pStyle w:val="344"/>
        <w:widowControl w:val="0"/>
        <w:autoSpaceDE w:val="0"/>
        <w:autoSpaceDN w:val="0"/>
        <w:adjustRightInd w:val="0"/>
        <w:snapToGrid w:val="0"/>
        <w:ind w:firstLine="0" w:firstLineChars="0"/>
        <w:jc w:val="left"/>
        <w:rPr>
          <w:rFonts w:hint="eastAsia" w:ascii="宋体" w:hAnsi="宋体"/>
          <w:szCs w:val="21"/>
        </w:rPr>
      </w:pPr>
    </w:p>
    <w:p w14:paraId="12E973A5">
      <w:pPr>
        <w:pStyle w:val="344"/>
        <w:widowControl w:val="0"/>
        <w:numPr>
          <w:ilvl w:val="0"/>
          <w:numId w:val="3"/>
        </w:numPr>
        <w:autoSpaceDE w:val="0"/>
        <w:autoSpaceDN w:val="0"/>
        <w:adjustRightInd w:val="0"/>
        <w:snapToGrid w:val="0"/>
        <w:ind w:firstLineChars="0"/>
        <w:jc w:val="left"/>
        <w:rPr>
          <w:rFonts w:ascii="宋体" w:hAnsi="宋体"/>
          <w:b/>
          <w:szCs w:val="21"/>
        </w:rPr>
      </w:pPr>
      <w:bookmarkStart w:id="160" w:name="_Toc152045555"/>
      <w:bookmarkStart w:id="161" w:name="_Toc152042331"/>
      <w:bookmarkStart w:id="162" w:name="_Toc144974523"/>
      <w:r>
        <w:rPr>
          <w:rFonts w:hint="eastAsia" w:ascii="宋体" w:hAnsi="宋体"/>
          <w:b/>
          <w:szCs w:val="21"/>
        </w:rPr>
        <w:t>投标</w:t>
      </w:r>
      <w:bookmarkEnd w:id="160"/>
      <w:bookmarkEnd w:id="161"/>
      <w:bookmarkEnd w:id="162"/>
    </w:p>
    <w:p w14:paraId="26F10C7A">
      <w:pPr>
        <w:pStyle w:val="344"/>
        <w:widowControl w:val="0"/>
        <w:numPr>
          <w:ilvl w:val="1"/>
          <w:numId w:val="3"/>
        </w:numPr>
        <w:autoSpaceDE w:val="0"/>
        <w:autoSpaceDN w:val="0"/>
        <w:adjustRightInd w:val="0"/>
        <w:snapToGrid w:val="0"/>
        <w:ind w:firstLineChars="0"/>
        <w:jc w:val="left"/>
        <w:rPr>
          <w:rFonts w:ascii="宋体" w:hAnsi="宋体"/>
          <w:b/>
          <w:szCs w:val="21"/>
        </w:rPr>
      </w:pPr>
      <w:bookmarkStart w:id="163" w:name="_Toc330213971"/>
      <w:bookmarkStart w:id="164" w:name="_Toc332121739"/>
      <w:bookmarkStart w:id="165" w:name="_Toc152042332"/>
      <w:bookmarkStart w:id="166" w:name="_Toc144974524"/>
      <w:bookmarkStart w:id="167" w:name="_Toc152045556"/>
      <w:bookmarkStart w:id="168" w:name="_Toc403513518"/>
      <w:r>
        <w:rPr>
          <w:rFonts w:hint="eastAsia" w:ascii="宋体" w:hAnsi="宋体"/>
          <w:b/>
          <w:szCs w:val="21"/>
        </w:rPr>
        <w:t>投标文件的</w:t>
      </w:r>
      <w:bookmarkEnd w:id="163"/>
      <w:bookmarkEnd w:id="164"/>
      <w:bookmarkEnd w:id="165"/>
      <w:bookmarkEnd w:id="166"/>
      <w:bookmarkEnd w:id="167"/>
      <w:bookmarkEnd w:id="168"/>
      <w:r>
        <w:rPr>
          <w:rFonts w:hint="eastAsia" w:ascii="宋体" w:hAnsi="宋体"/>
          <w:b/>
          <w:szCs w:val="21"/>
        </w:rPr>
        <w:t>密封</w:t>
      </w:r>
    </w:p>
    <w:p w14:paraId="7D0666AA">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投标人应当按照招标文件</w:t>
      </w:r>
      <w:r>
        <w:rPr>
          <w:rFonts w:hint="eastAsia" w:ascii="宋体" w:hAnsi="宋体"/>
          <w:szCs w:val="21"/>
        </w:rPr>
        <w:t>的</w:t>
      </w:r>
      <w:r>
        <w:rPr>
          <w:rFonts w:ascii="宋体" w:hAnsi="宋体"/>
          <w:szCs w:val="21"/>
        </w:rPr>
        <w:t>要求</w:t>
      </w:r>
      <w:r>
        <w:rPr>
          <w:rFonts w:hint="eastAsia" w:ascii="宋体" w:hAnsi="宋体"/>
          <w:szCs w:val="21"/>
        </w:rPr>
        <w:t>密封</w:t>
      </w:r>
      <w:r>
        <w:rPr>
          <w:rFonts w:ascii="宋体" w:hAnsi="宋体"/>
          <w:szCs w:val="21"/>
        </w:rPr>
        <w:t>投标文件，具体要求见投标人须知前附表。</w:t>
      </w:r>
    </w:p>
    <w:p w14:paraId="738A9479">
      <w:pPr>
        <w:pStyle w:val="344"/>
        <w:widowControl w:val="0"/>
        <w:numPr>
          <w:ilvl w:val="1"/>
          <w:numId w:val="3"/>
        </w:numPr>
        <w:autoSpaceDE w:val="0"/>
        <w:autoSpaceDN w:val="0"/>
        <w:adjustRightInd w:val="0"/>
        <w:snapToGrid w:val="0"/>
        <w:ind w:firstLineChars="0"/>
        <w:jc w:val="left"/>
        <w:rPr>
          <w:rFonts w:ascii="宋体" w:hAnsi="宋体"/>
          <w:b/>
          <w:szCs w:val="21"/>
        </w:rPr>
      </w:pPr>
      <w:bookmarkStart w:id="169" w:name="_Toc152045557"/>
      <w:bookmarkStart w:id="170" w:name="_Toc152042333"/>
      <w:bookmarkStart w:id="171" w:name="_Toc332121740"/>
      <w:bookmarkStart w:id="172" w:name="_Toc330213972"/>
      <w:bookmarkStart w:id="173" w:name="_Toc403513519"/>
      <w:bookmarkStart w:id="174" w:name="_Toc144974525"/>
      <w:r>
        <w:rPr>
          <w:rFonts w:hint="eastAsia" w:ascii="宋体" w:hAnsi="宋体"/>
          <w:b/>
          <w:szCs w:val="21"/>
        </w:rPr>
        <w:t>投标文件的递交</w:t>
      </w:r>
      <w:bookmarkEnd w:id="169"/>
      <w:bookmarkEnd w:id="170"/>
      <w:bookmarkEnd w:id="171"/>
      <w:bookmarkEnd w:id="172"/>
      <w:bookmarkEnd w:id="173"/>
      <w:bookmarkEnd w:id="174"/>
    </w:p>
    <w:p w14:paraId="5FD9AB6B">
      <w:pPr>
        <w:pStyle w:val="344"/>
        <w:widowControl w:val="0"/>
        <w:numPr>
          <w:ilvl w:val="2"/>
          <w:numId w:val="3"/>
        </w:numPr>
        <w:wordWrap w:val="0"/>
        <w:autoSpaceDE w:val="0"/>
        <w:autoSpaceDN w:val="0"/>
        <w:adjustRightInd w:val="0"/>
        <w:snapToGrid w:val="0"/>
        <w:ind w:firstLineChars="0"/>
        <w:jc w:val="left"/>
        <w:rPr>
          <w:rFonts w:ascii="宋体" w:hAnsi="宋体"/>
          <w:szCs w:val="21"/>
        </w:rPr>
      </w:pPr>
      <w:bookmarkStart w:id="175" w:name="_Toc403513520"/>
      <w:bookmarkStart w:id="176" w:name="_Toc152042334"/>
      <w:bookmarkStart w:id="177" w:name="_Toc330213973"/>
      <w:bookmarkStart w:id="178" w:name="_Toc144974526"/>
      <w:bookmarkStart w:id="179" w:name="_Toc332121741"/>
      <w:bookmarkStart w:id="180" w:name="_Toc152045558"/>
      <w:r>
        <w:rPr>
          <w:rFonts w:ascii="宋体" w:hAnsi="宋体"/>
          <w:szCs w:val="21"/>
        </w:rPr>
        <w:t>投标人应在投标人须知前附表规定的投标截止时间前递交投标文件。</w:t>
      </w:r>
    </w:p>
    <w:p w14:paraId="7C9F72E0">
      <w:pPr>
        <w:pStyle w:val="344"/>
        <w:widowControl w:val="0"/>
        <w:numPr>
          <w:ilvl w:val="2"/>
          <w:numId w:val="3"/>
        </w:numPr>
        <w:wordWrap w:val="0"/>
        <w:autoSpaceDE w:val="0"/>
        <w:autoSpaceDN w:val="0"/>
        <w:adjustRightInd w:val="0"/>
        <w:snapToGrid w:val="0"/>
        <w:ind w:firstLineChars="0"/>
        <w:jc w:val="left"/>
        <w:rPr>
          <w:rFonts w:ascii="宋体" w:hAnsi="宋体"/>
          <w:szCs w:val="21"/>
        </w:rPr>
      </w:pPr>
      <w:r>
        <w:rPr>
          <w:rFonts w:ascii="宋体" w:hAnsi="宋体"/>
          <w:szCs w:val="21"/>
        </w:rPr>
        <w:t>除投标人须知前附表另有规定外，投标人所递交的投标文件不予退还。</w:t>
      </w:r>
    </w:p>
    <w:p w14:paraId="1ABFA945">
      <w:pPr>
        <w:pStyle w:val="344"/>
        <w:widowControl w:val="0"/>
        <w:numPr>
          <w:ilvl w:val="2"/>
          <w:numId w:val="3"/>
        </w:numPr>
        <w:wordWrap w:val="0"/>
        <w:autoSpaceDE w:val="0"/>
        <w:autoSpaceDN w:val="0"/>
        <w:adjustRightInd w:val="0"/>
        <w:snapToGrid w:val="0"/>
        <w:ind w:firstLineChars="0"/>
        <w:jc w:val="left"/>
        <w:rPr>
          <w:rFonts w:ascii="宋体" w:hAnsi="宋体"/>
          <w:szCs w:val="21"/>
        </w:rPr>
      </w:pPr>
      <w:r>
        <w:rPr>
          <w:rFonts w:hint="eastAsia" w:ascii="宋体" w:hAnsi="宋体"/>
          <w:szCs w:val="21"/>
        </w:rPr>
        <w:t>投标截标时间后，招标人不再接收任何投标文件。</w:t>
      </w:r>
    </w:p>
    <w:p w14:paraId="66FB05D9">
      <w:pPr>
        <w:pStyle w:val="344"/>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投标文件的修改与撤回</w:t>
      </w:r>
      <w:bookmarkEnd w:id="175"/>
      <w:bookmarkEnd w:id="176"/>
      <w:bookmarkEnd w:id="177"/>
      <w:bookmarkEnd w:id="178"/>
      <w:bookmarkEnd w:id="179"/>
      <w:bookmarkEnd w:id="180"/>
    </w:p>
    <w:p w14:paraId="7D197845">
      <w:pPr>
        <w:pStyle w:val="344"/>
        <w:widowControl w:val="0"/>
        <w:numPr>
          <w:ilvl w:val="2"/>
          <w:numId w:val="3"/>
        </w:numPr>
        <w:wordWrap w:val="0"/>
        <w:autoSpaceDE w:val="0"/>
        <w:autoSpaceDN w:val="0"/>
        <w:adjustRightInd w:val="0"/>
        <w:snapToGrid w:val="0"/>
        <w:ind w:firstLineChars="0"/>
        <w:jc w:val="left"/>
        <w:rPr>
          <w:rFonts w:hint="eastAsia" w:ascii="宋体" w:hAnsi="宋体"/>
          <w:szCs w:val="21"/>
        </w:rPr>
      </w:pPr>
      <w:r>
        <w:rPr>
          <w:rFonts w:ascii="宋体" w:hAnsi="宋体"/>
          <w:szCs w:val="21"/>
        </w:rPr>
        <w:t>在本投标截止时间前，投标人可以先撤销投标文件</w:t>
      </w:r>
      <w:r>
        <w:rPr>
          <w:rFonts w:hint="eastAsia" w:ascii="宋体" w:hAnsi="宋体"/>
          <w:szCs w:val="21"/>
        </w:rPr>
        <w:t>，修改后，重新按招标文件要求递交投标文件</w:t>
      </w:r>
      <w:r>
        <w:rPr>
          <w:rFonts w:ascii="宋体" w:hAnsi="宋体"/>
          <w:szCs w:val="21"/>
        </w:rPr>
        <w:t>。</w:t>
      </w:r>
    </w:p>
    <w:p w14:paraId="52DE5663">
      <w:pPr>
        <w:pStyle w:val="344"/>
        <w:widowControl w:val="0"/>
        <w:numPr>
          <w:ilvl w:val="0"/>
          <w:numId w:val="3"/>
        </w:numPr>
        <w:wordWrap w:val="0"/>
        <w:autoSpaceDE w:val="0"/>
        <w:autoSpaceDN w:val="0"/>
        <w:adjustRightInd w:val="0"/>
        <w:snapToGrid w:val="0"/>
        <w:ind w:firstLineChars="0"/>
        <w:jc w:val="left"/>
        <w:rPr>
          <w:rFonts w:ascii="宋体" w:hAnsi="宋体"/>
          <w:b/>
          <w:szCs w:val="21"/>
        </w:rPr>
      </w:pPr>
      <w:bookmarkStart w:id="181" w:name="_Toc144974527"/>
      <w:bookmarkStart w:id="182" w:name="_Toc152042335"/>
      <w:bookmarkStart w:id="183" w:name="_Toc152045559"/>
      <w:r>
        <w:rPr>
          <w:rFonts w:hint="eastAsia" w:ascii="宋体" w:hAnsi="宋体"/>
          <w:b/>
          <w:szCs w:val="21"/>
        </w:rPr>
        <w:t>开标</w:t>
      </w:r>
      <w:bookmarkEnd w:id="181"/>
      <w:bookmarkEnd w:id="182"/>
      <w:bookmarkEnd w:id="183"/>
    </w:p>
    <w:p w14:paraId="08268993">
      <w:pPr>
        <w:pStyle w:val="244"/>
        <w:widowControl w:val="0"/>
        <w:numPr>
          <w:ilvl w:val="1"/>
          <w:numId w:val="3"/>
        </w:numPr>
        <w:autoSpaceDE w:val="0"/>
        <w:autoSpaceDN w:val="0"/>
        <w:adjustRightInd w:val="0"/>
        <w:snapToGrid w:val="0"/>
        <w:ind w:firstLineChars="0"/>
        <w:jc w:val="left"/>
        <w:rPr>
          <w:rFonts w:ascii="宋体" w:hAnsi="宋体"/>
          <w:b/>
          <w:szCs w:val="21"/>
        </w:rPr>
      </w:pPr>
      <w:bookmarkStart w:id="184" w:name="_Toc403513522"/>
      <w:bookmarkStart w:id="185" w:name="_Toc152042336"/>
      <w:bookmarkStart w:id="186" w:name="_Toc144974528"/>
      <w:bookmarkStart w:id="187" w:name="_Toc332121743"/>
      <w:bookmarkStart w:id="188" w:name="_Toc330213975"/>
      <w:bookmarkStart w:id="189" w:name="_Toc152045560"/>
      <w:r>
        <w:rPr>
          <w:rFonts w:hint="eastAsia" w:ascii="宋体" w:hAnsi="宋体"/>
          <w:b/>
          <w:szCs w:val="21"/>
        </w:rPr>
        <w:t>开标时间和地点</w:t>
      </w:r>
      <w:bookmarkEnd w:id="184"/>
      <w:bookmarkEnd w:id="185"/>
      <w:bookmarkEnd w:id="186"/>
      <w:bookmarkEnd w:id="187"/>
      <w:bookmarkEnd w:id="188"/>
      <w:bookmarkEnd w:id="189"/>
    </w:p>
    <w:p w14:paraId="730119B6">
      <w:pPr>
        <w:pStyle w:val="344"/>
        <w:widowControl w:val="0"/>
        <w:numPr>
          <w:ilvl w:val="2"/>
          <w:numId w:val="3"/>
        </w:numPr>
        <w:wordWrap w:val="0"/>
        <w:autoSpaceDE w:val="0"/>
        <w:autoSpaceDN w:val="0"/>
        <w:adjustRightInd w:val="0"/>
        <w:snapToGrid w:val="0"/>
        <w:ind w:firstLineChars="0"/>
        <w:jc w:val="left"/>
        <w:rPr>
          <w:rFonts w:ascii="宋体" w:hAnsi="宋体"/>
          <w:szCs w:val="21"/>
        </w:rPr>
      </w:pPr>
      <w:bookmarkStart w:id="190" w:name="_Toc403513523"/>
      <w:bookmarkStart w:id="191" w:name="_Toc152045561"/>
      <w:bookmarkStart w:id="192" w:name="_Toc152042337"/>
      <w:bookmarkStart w:id="193" w:name="_Toc144974529"/>
      <w:bookmarkStart w:id="194" w:name="_Toc330213976"/>
      <w:bookmarkStart w:id="195" w:name="_Toc332121744"/>
      <w:r>
        <w:rPr>
          <w:rFonts w:ascii="宋体" w:hAnsi="宋体"/>
          <w:szCs w:val="21"/>
        </w:rPr>
        <w:t>招标人在规定的投标截止时间（开标时间）,按规定的时间和地点公开开标，</w:t>
      </w:r>
      <w:r>
        <w:rPr>
          <w:rFonts w:hint="eastAsia" w:ascii="宋体" w:hAnsi="宋体"/>
          <w:szCs w:val="21"/>
        </w:rPr>
        <w:t>投标人的法定代表人或其委托代理人自愿参加开标会议；未参加开标会议的，视为其认可招标程序。</w:t>
      </w:r>
    </w:p>
    <w:p w14:paraId="0B8F0DC8">
      <w:pPr>
        <w:pStyle w:val="244"/>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开标程序</w:t>
      </w:r>
      <w:bookmarkEnd w:id="190"/>
      <w:bookmarkEnd w:id="191"/>
      <w:bookmarkEnd w:id="192"/>
      <w:bookmarkEnd w:id="193"/>
      <w:bookmarkEnd w:id="194"/>
      <w:bookmarkEnd w:id="195"/>
    </w:p>
    <w:p w14:paraId="29B1539F">
      <w:pPr>
        <w:ind w:firstLine="420"/>
        <w:rPr>
          <w:rFonts w:ascii="宋体" w:hAnsi="宋体"/>
          <w:szCs w:val="21"/>
        </w:rPr>
      </w:pPr>
      <w:r>
        <w:rPr>
          <w:rFonts w:hint="eastAsia" w:ascii="宋体" w:hAnsi="宋体"/>
          <w:szCs w:val="21"/>
        </w:rPr>
        <w:t>招标人按投标人须知前附表规定的时间和地点公开开标，开标由招标人主持。</w:t>
      </w:r>
    </w:p>
    <w:p w14:paraId="044AECB0">
      <w:pPr>
        <w:ind w:firstLine="420"/>
        <w:rPr>
          <w:rFonts w:ascii="宋体" w:hAnsi="宋体"/>
          <w:szCs w:val="21"/>
        </w:rPr>
      </w:pPr>
      <w:r>
        <w:rPr>
          <w:rFonts w:ascii="宋体" w:hAnsi="宋体"/>
          <w:szCs w:val="21"/>
        </w:rPr>
        <w:t>5.2.1主持人宣布开标纪律、开标程序；</w:t>
      </w:r>
    </w:p>
    <w:p w14:paraId="7BED5BB8">
      <w:pPr>
        <w:ind w:firstLine="420"/>
        <w:rPr>
          <w:rFonts w:ascii="宋体" w:hAnsi="宋体"/>
          <w:szCs w:val="21"/>
        </w:rPr>
      </w:pPr>
      <w:r>
        <w:rPr>
          <w:rFonts w:ascii="宋体" w:hAnsi="宋体"/>
          <w:szCs w:val="21"/>
        </w:rPr>
        <w:t>5.2.2公布在投标截止时间前提交有效投标文件的投标人名称；</w:t>
      </w:r>
    </w:p>
    <w:p w14:paraId="57CA22F2">
      <w:pPr>
        <w:ind w:firstLine="420"/>
        <w:rPr>
          <w:rFonts w:ascii="宋体" w:hAnsi="宋体"/>
          <w:szCs w:val="21"/>
        </w:rPr>
      </w:pPr>
      <w:r>
        <w:rPr>
          <w:rFonts w:ascii="宋体" w:hAnsi="宋体"/>
          <w:szCs w:val="21"/>
        </w:rPr>
        <w:t>5.2.3宣布主持人、唱标人、记录人、监标人等有关人员姓名；</w:t>
      </w:r>
    </w:p>
    <w:p w14:paraId="6FD110C1">
      <w:pPr>
        <w:ind w:firstLine="420"/>
        <w:rPr>
          <w:rFonts w:ascii="宋体" w:hAnsi="宋体"/>
          <w:szCs w:val="21"/>
        </w:rPr>
      </w:pPr>
      <w:r>
        <w:rPr>
          <w:rFonts w:ascii="宋体" w:hAnsi="宋体"/>
          <w:szCs w:val="21"/>
        </w:rPr>
        <w:t>5.2.4宣布对投标文件的密封情况验查结果；</w:t>
      </w:r>
    </w:p>
    <w:p w14:paraId="4C8002A7">
      <w:pPr>
        <w:ind w:firstLine="420"/>
        <w:rPr>
          <w:rFonts w:ascii="宋体" w:hAnsi="宋体"/>
          <w:szCs w:val="21"/>
        </w:rPr>
      </w:pPr>
      <w:r>
        <w:rPr>
          <w:rFonts w:ascii="宋体" w:hAnsi="宋体"/>
          <w:szCs w:val="21"/>
        </w:rPr>
        <w:t>5.2.5按照投标人须知前附表规定宣布投标文件的拆封顺序；</w:t>
      </w:r>
    </w:p>
    <w:p w14:paraId="5D65259B">
      <w:pPr>
        <w:ind w:firstLine="420"/>
        <w:rPr>
          <w:rFonts w:ascii="宋体" w:hAnsi="宋体"/>
          <w:szCs w:val="21"/>
        </w:rPr>
      </w:pPr>
      <w:r>
        <w:rPr>
          <w:rFonts w:ascii="宋体" w:hAnsi="宋体"/>
          <w:szCs w:val="21"/>
        </w:rPr>
        <w:t>5.2.6按照宣布的开标顺序当众开标并记录在案；</w:t>
      </w:r>
    </w:p>
    <w:p w14:paraId="3CBE97AF">
      <w:pPr>
        <w:ind w:firstLine="420"/>
        <w:rPr>
          <w:rFonts w:ascii="宋体" w:hAnsi="宋体"/>
          <w:szCs w:val="21"/>
        </w:rPr>
      </w:pPr>
      <w:r>
        <w:rPr>
          <w:rFonts w:ascii="宋体" w:hAnsi="宋体"/>
          <w:szCs w:val="21"/>
        </w:rPr>
        <w:t>5.2.7投标人代表、招标人代表、监标人、记录人等有关人员在开标记录上签字确认；</w:t>
      </w:r>
    </w:p>
    <w:p w14:paraId="65EAC4F6">
      <w:pPr>
        <w:ind w:firstLine="420"/>
        <w:rPr>
          <w:rFonts w:ascii="宋体" w:hAnsi="宋体"/>
          <w:szCs w:val="21"/>
        </w:rPr>
      </w:pPr>
      <w:r>
        <w:rPr>
          <w:rFonts w:ascii="宋体" w:hAnsi="宋体"/>
          <w:szCs w:val="21"/>
        </w:rPr>
        <w:t>5.2.8开标结束。</w:t>
      </w:r>
    </w:p>
    <w:p w14:paraId="24C5CE3C">
      <w:pPr>
        <w:pStyle w:val="344"/>
        <w:widowControl w:val="0"/>
        <w:autoSpaceDE w:val="0"/>
        <w:autoSpaceDN w:val="0"/>
        <w:adjustRightInd w:val="0"/>
        <w:snapToGrid w:val="0"/>
        <w:ind w:firstLine="0" w:firstLineChars="0"/>
        <w:jc w:val="left"/>
        <w:rPr>
          <w:rFonts w:ascii="宋体" w:hAnsi="宋体"/>
          <w:szCs w:val="21"/>
        </w:rPr>
      </w:pPr>
    </w:p>
    <w:p w14:paraId="71456C11">
      <w:pPr>
        <w:pStyle w:val="344"/>
        <w:widowControl w:val="0"/>
        <w:numPr>
          <w:ilvl w:val="0"/>
          <w:numId w:val="3"/>
        </w:numPr>
        <w:autoSpaceDE w:val="0"/>
        <w:autoSpaceDN w:val="0"/>
        <w:adjustRightInd w:val="0"/>
        <w:snapToGrid w:val="0"/>
        <w:ind w:firstLineChars="0"/>
        <w:jc w:val="left"/>
        <w:rPr>
          <w:rFonts w:ascii="宋体" w:hAnsi="宋体"/>
          <w:b/>
          <w:szCs w:val="21"/>
        </w:rPr>
      </w:pPr>
      <w:bookmarkStart w:id="196" w:name="_Toc152045562"/>
      <w:bookmarkStart w:id="197" w:name="_Toc152042338"/>
      <w:bookmarkStart w:id="198" w:name="_Toc144974530"/>
      <w:r>
        <w:rPr>
          <w:rFonts w:hint="eastAsia" w:ascii="宋体" w:hAnsi="宋体"/>
          <w:b/>
          <w:szCs w:val="21"/>
        </w:rPr>
        <w:t>评标</w:t>
      </w:r>
      <w:bookmarkEnd w:id="196"/>
      <w:bookmarkEnd w:id="197"/>
      <w:bookmarkEnd w:id="198"/>
    </w:p>
    <w:p w14:paraId="68F16FE0">
      <w:pPr>
        <w:pStyle w:val="344"/>
        <w:widowControl w:val="0"/>
        <w:numPr>
          <w:ilvl w:val="1"/>
          <w:numId w:val="3"/>
        </w:numPr>
        <w:autoSpaceDE w:val="0"/>
        <w:autoSpaceDN w:val="0"/>
        <w:adjustRightInd w:val="0"/>
        <w:snapToGrid w:val="0"/>
        <w:ind w:firstLineChars="0"/>
        <w:jc w:val="left"/>
        <w:rPr>
          <w:rFonts w:ascii="宋体" w:hAnsi="宋体"/>
          <w:b/>
          <w:szCs w:val="21"/>
        </w:rPr>
      </w:pPr>
      <w:bookmarkStart w:id="199" w:name="_Toc144974531"/>
      <w:bookmarkStart w:id="200" w:name="_Toc403513525"/>
      <w:bookmarkStart w:id="201" w:name="_Toc152042339"/>
      <w:bookmarkStart w:id="202" w:name="_Toc152045563"/>
      <w:bookmarkStart w:id="203" w:name="_Toc332121746"/>
      <w:bookmarkStart w:id="204" w:name="_Toc330213978"/>
      <w:r>
        <w:rPr>
          <w:rFonts w:hint="eastAsia" w:ascii="宋体" w:hAnsi="宋体"/>
          <w:b/>
          <w:szCs w:val="21"/>
        </w:rPr>
        <w:t>评标委员会</w:t>
      </w:r>
      <w:bookmarkEnd w:id="199"/>
      <w:bookmarkEnd w:id="200"/>
      <w:bookmarkEnd w:id="201"/>
      <w:bookmarkEnd w:id="202"/>
      <w:bookmarkEnd w:id="203"/>
      <w:bookmarkEnd w:id="204"/>
    </w:p>
    <w:p w14:paraId="1782D5A9">
      <w:pPr>
        <w:pStyle w:val="344"/>
        <w:widowControl w:val="0"/>
        <w:numPr>
          <w:ilvl w:val="2"/>
          <w:numId w:val="3"/>
        </w:numPr>
        <w:autoSpaceDE w:val="0"/>
        <w:autoSpaceDN w:val="0"/>
        <w:adjustRightInd w:val="0"/>
        <w:snapToGrid w:val="0"/>
        <w:ind w:firstLineChars="0"/>
        <w:jc w:val="left"/>
        <w:rPr>
          <w:rFonts w:ascii="宋体" w:hAnsi="宋体"/>
          <w:szCs w:val="21"/>
          <w:highlight w:val="yellow"/>
        </w:rPr>
      </w:pPr>
      <w:r>
        <w:rPr>
          <w:rFonts w:ascii="宋体" w:hAnsi="宋体"/>
          <w:szCs w:val="21"/>
          <w:highlight w:val="yellow"/>
        </w:rPr>
        <w:t>招标人</w:t>
      </w:r>
      <w:r>
        <w:rPr>
          <w:rFonts w:hint="eastAsia" w:ascii="宋体" w:hAnsi="宋体"/>
          <w:szCs w:val="21"/>
          <w:highlight w:val="yellow"/>
        </w:rPr>
        <w:t>将</w:t>
      </w:r>
      <w:r>
        <w:rPr>
          <w:rFonts w:ascii="宋体" w:hAnsi="宋体"/>
          <w:szCs w:val="21"/>
          <w:highlight w:val="yellow"/>
        </w:rPr>
        <w:t>依法组</w:t>
      </w:r>
      <w:r>
        <w:rPr>
          <w:rFonts w:hint="eastAsia" w:ascii="宋体" w:hAnsi="宋体"/>
          <w:szCs w:val="21"/>
          <w:highlight w:val="yellow"/>
        </w:rPr>
        <w:t>建</w:t>
      </w:r>
      <w:r>
        <w:rPr>
          <w:rFonts w:ascii="宋体" w:hAnsi="宋体"/>
          <w:szCs w:val="21"/>
          <w:highlight w:val="yellow"/>
        </w:rPr>
        <w:t>评标委员会，</w:t>
      </w:r>
      <w:r>
        <w:rPr>
          <w:rFonts w:hint="eastAsia" w:ascii="宋体" w:hAnsi="宋体"/>
          <w:szCs w:val="21"/>
          <w:highlight w:val="yellow"/>
        </w:rPr>
        <w:t>通常情况下，</w:t>
      </w:r>
      <w:r>
        <w:rPr>
          <w:rFonts w:ascii="宋体" w:hAnsi="宋体"/>
          <w:szCs w:val="21"/>
          <w:highlight w:val="yellow"/>
        </w:rPr>
        <w:t>评标委员会为</w:t>
      </w:r>
      <w:r>
        <w:rPr>
          <w:rFonts w:hint="eastAsia" w:ascii="宋体" w:hAnsi="宋体"/>
          <w:szCs w:val="21"/>
          <w:highlight w:val="yellow"/>
        </w:rPr>
        <w:t>五</w:t>
      </w:r>
      <w:r>
        <w:rPr>
          <w:rFonts w:ascii="宋体" w:hAnsi="宋体"/>
          <w:szCs w:val="21"/>
          <w:highlight w:val="yellow"/>
        </w:rPr>
        <w:t>人</w:t>
      </w:r>
      <w:r>
        <w:rPr>
          <w:rFonts w:hint="eastAsia" w:ascii="宋体" w:hAnsi="宋体"/>
          <w:szCs w:val="21"/>
          <w:highlight w:val="yellow"/>
        </w:rPr>
        <w:t>（含）以上单数。</w:t>
      </w:r>
      <w:r>
        <w:rPr>
          <w:rFonts w:ascii="宋体" w:hAnsi="宋体"/>
          <w:szCs w:val="21"/>
          <w:highlight w:val="yellow"/>
        </w:rPr>
        <w:t>与投标人有利害关系的</w:t>
      </w:r>
      <w:r>
        <w:rPr>
          <w:rFonts w:hint="eastAsia" w:ascii="宋体" w:hAnsi="宋体"/>
          <w:szCs w:val="21"/>
          <w:highlight w:val="yellow"/>
        </w:rPr>
        <w:t>成员应当回避</w:t>
      </w:r>
      <w:r>
        <w:rPr>
          <w:rFonts w:ascii="宋体" w:hAnsi="宋体"/>
          <w:szCs w:val="21"/>
          <w:highlight w:val="yellow"/>
        </w:rPr>
        <w:t>。</w:t>
      </w:r>
    </w:p>
    <w:p w14:paraId="660263DA">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评标委员会成员有下列情形之一的，应当回避：</w:t>
      </w:r>
    </w:p>
    <w:p w14:paraId="6846C235">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招标人或投标人的主要负责人的近亲属；</w:t>
      </w:r>
    </w:p>
    <w:p w14:paraId="1E25998C">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项目主管部门或者行政监督部门的人员；</w:t>
      </w:r>
    </w:p>
    <w:p w14:paraId="4CD8EE0C">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与投标人有经济利益关系，可能影响对投标公正评审的；</w:t>
      </w:r>
    </w:p>
    <w:p w14:paraId="3FF0ABD2">
      <w:pPr>
        <w:pStyle w:val="344"/>
        <w:widowControl w:val="0"/>
        <w:numPr>
          <w:ilvl w:val="3"/>
          <w:numId w:val="3"/>
        </w:numPr>
        <w:autoSpaceDE w:val="0"/>
        <w:autoSpaceDN w:val="0"/>
        <w:adjustRightInd w:val="0"/>
        <w:snapToGrid w:val="0"/>
        <w:ind w:firstLineChars="0"/>
        <w:jc w:val="left"/>
        <w:rPr>
          <w:rFonts w:ascii="宋体" w:hAnsi="宋体"/>
          <w:szCs w:val="21"/>
        </w:rPr>
      </w:pPr>
      <w:r>
        <w:rPr>
          <w:rFonts w:hint="eastAsia" w:ascii="宋体" w:hAnsi="宋体"/>
          <w:szCs w:val="21"/>
        </w:rPr>
        <w:t>曾因在招标、评标以及其他与招标投标有关活动中从事违法行为而受过行政处罚或刑事处罚的；</w:t>
      </w:r>
    </w:p>
    <w:p w14:paraId="2EC356BC">
      <w:pPr>
        <w:pStyle w:val="344"/>
        <w:widowControl w:val="0"/>
        <w:numPr>
          <w:ilvl w:val="3"/>
          <w:numId w:val="3"/>
        </w:numPr>
        <w:autoSpaceDE w:val="0"/>
        <w:autoSpaceDN w:val="0"/>
        <w:adjustRightInd w:val="0"/>
        <w:snapToGrid w:val="0"/>
        <w:ind w:firstLineChars="0"/>
        <w:jc w:val="left"/>
        <w:rPr>
          <w:rFonts w:ascii="宋体" w:hAnsi="宋体"/>
          <w:szCs w:val="21"/>
        </w:rPr>
      </w:pPr>
      <w:r>
        <w:rPr>
          <w:rFonts w:ascii="宋体" w:hAnsi="宋体"/>
          <w:szCs w:val="21"/>
        </w:rPr>
        <w:t>与投标人有其他利害关系。</w:t>
      </w:r>
    </w:p>
    <w:p w14:paraId="2B98C7EF">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pacing w:val="-4"/>
          <w:szCs w:val="21"/>
        </w:rPr>
        <w:t>评标过程中，评标委员会成员有回避事由、擅离职守或者因健康等原因不能继续评标</w:t>
      </w:r>
      <w:r>
        <w:rPr>
          <w:rFonts w:ascii="宋体" w:hAnsi="宋体"/>
          <w:spacing w:val="-1"/>
          <w:szCs w:val="21"/>
        </w:rPr>
        <w:t>的，招标人有权更换。被更换的评标委员会成员作出的评审结论无效，由更换后的评标委员会</w:t>
      </w:r>
      <w:r>
        <w:rPr>
          <w:rFonts w:ascii="宋体" w:hAnsi="宋体"/>
          <w:szCs w:val="21"/>
        </w:rPr>
        <w:t>成员重新进行评审。</w:t>
      </w:r>
    </w:p>
    <w:p w14:paraId="1099B698">
      <w:pPr>
        <w:pStyle w:val="344"/>
        <w:widowControl w:val="0"/>
        <w:numPr>
          <w:ilvl w:val="1"/>
          <w:numId w:val="3"/>
        </w:numPr>
        <w:autoSpaceDE w:val="0"/>
        <w:autoSpaceDN w:val="0"/>
        <w:adjustRightInd w:val="0"/>
        <w:snapToGrid w:val="0"/>
        <w:ind w:firstLineChars="0"/>
        <w:jc w:val="left"/>
        <w:rPr>
          <w:rFonts w:ascii="宋体" w:hAnsi="宋体"/>
          <w:b/>
          <w:szCs w:val="21"/>
        </w:rPr>
      </w:pPr>
      <w:bookmarkStart w:id="205" w:name="_Toc144974532"/>
      <w:bookmarkStart w:id="206" w:name="_Toc330213979"/>
      <w:bookmarkStart w:id="207" w:name="_Toc152045564"/>
      <w:bookmarkStart w:id="208" w:name="_Toc152042340"/>
      <w:bookmarkStart w:id="209" w:name="_Toc332121747"/>
      <w:bookmarkStart w:id="210" w:name="_Toc403513526"/>
      <w:r>
        <w:rPr>
          <w:rFonts w:hint="eastAsia" w:ascii="宋体" w:hAnsi="宋体"/>
          <w:b/>
          <w:szCs w:val="21"/>
        </w:rPr>
        <w:t>评标原则</w:t>
      </w:r>
      <w:bookmarkEnd w:id="205"/>
      <w:bookmarkEnd w:id="206"/>
      <w:bookmarkEnd w:id="207"/>
      <w:bookmarkEnd w:id="208"/>
      <w:bookmarkEnd w:id="209"/>
      <w:bookmarkEnd w:id="210"/>
      <w:r>
        <w:rPr>
          <w:rFonts w:ascii="宋体" w:hAnsi="宋体"/>
          <w:b/>
          <w:szCs w:val="21"/>
        </w:rPr>
        <w:tab/>
      </w:r>
    </w:p>
    <w:p w14:paraId="41BC3C61">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评标活动遵循公平、公正、科学和择优的原则。</w:t>
      </w:r>
    </w:p>
    <w:p w14:paraId="203FD689">
      <w:pPr>
        <w:pStyle w:val="344"/>
        <w:widowControl w:val="0"/>
        <w:numPr>
          <w:ilvl w:val="1"/>
          <w:numId w:val="3"/>
        </w:numPr>
        <w:autoSpaceDE w:val="0"/>
        <w:autoSpaceDN w:val="0"/>
        <w:adjustRightInd w:val="0"/>
        <w:snapToGrid w:val="0"/>
        <w:ind w:firstLineChars="0"/>
        <w:jc w:val="left"/>
        <w:rPr>
          <w:rFonts w:ascii="宋体" w:hAnsi="宋体"/>
          <w:b/>
          <w:szCs w:val="21"/>
        </w:rPr>
      </w:pPr>
      <w:bookmarkStart w:id="211" w:name="_Toc152045565"/>
      <w:bookmarkStart w:id="212" w:name="_Toc403513527"/>
      <w:bookmarkStart w:id="213" w:name="_Toc332121748"/>
      <w:bookmarkStart w:id="214" w:name="_Toc152042341"/>
      <w:bookmarkStart w:id="215" w:name="_Toc144974533"/>
      <w:bookmarkStart w:id="216" w:name="_Toc330213980"/>
      <w:r>
        <w:rPr>
          <w:rFonts w:hint="eastAsia" w:ascii="宋体" w:hAnsi="宋体"/>
          <w:b/>
          <w:szCs w:val="21"/>
        </w:rPr>
        <w:t>评标</w:t>
      </w:r>
      <w:bookmarkEnd w:id="211"/>
      <w:bookmarkEnd w:id="212"/>
      <w:bookmarkEnd w:id="213"/>
      <w:bookmarkEnd w:id="214"/>
      <w:bookmarkEnd w:id="215"/>
      <w:bookmarkEnd w:id="216"/>
    </w:p>
    <w:p w14:paraId="17B62C56">
      <w:pPr>
        <w:pStyle w:val="344"/>
        <w:widowControl w:val="0"/>
        <w:numPr>
          <w:ilvl w:val="2"/>
          <w:numId w:val="3"/>
        </w:numPr>
        <w:autoSpaceDE w:val="0"/>
        <w:autoSpaceDN w:val="0"/>
        <w:adjustRightInd w:val="0"/>
        <w:snapToGrid w:val="0"/>
        <w:ind w:firstLineChars="0"/>
        <w:jc w:val="left"/>
        <w:rPr>
          <w:rFonts w:ascii="宋体" w:hAnsi="宋体"/>
          <w:spacing w:val="-2"/>
          <w:szCs w:val="21"/>
        </w:rPr>
      </w:pPr>
      <w:bookmarkStart w:id="217" w:name="_Toc144974534"/>
      <w:bookmarkStart w:id="218" w:name="_Toc152045566"/>
      <w:bookmarkStart w:id="219" w:name="_Toc152042342"/>
      <w:r>
        <w:rPr>
          <w:rFonts w:ascii="宋体" w:hAnsi="宋体"/>
          <w:szCs w:val="21"/>
        </w:rPr>
        <w:t>评标委员会按照投标人须知前附表</w:t>
      </w:r>
      <w:r>
        <w:rPr>
          <w:rFonts w:hint="eastAsia" w:ascii="宋体" w:hAnsi="宋体"/>
          <w:szCs w:val="21"/>
        </w:rPr>
        <w:t>和</w:t>
      </w:r>
      <w:r>
        <w:rPr>
          <w:rFonts w:ascii="宋体" w:hAnsi="宋体"/>
          <w:szCs w:val="21"/>
        </w:rPr>
        <w:t>第</w:t>
      </w:r>
      <w:r>
        <w:rPr>
          <w:rFonts w:hint="eastAsia" w:ascii="宋体" w:hAnsi="宋体"/>
          <w:szCs w:val="21"/>
        </w:rPr>
        <w:t>二</w:t>
      </w:r>
      <w:r>
        <w:rPr>
          <w:rFonts w:ascii="宋体" w:hAnsi="宋体"/>
          <w:szCs w:val="21"/>
        </w:rPr>
        <w:t>章“评</w:t>
      </w:r>
      <w:r>
        <w:rPr>
          <w:rFonts w:hint="eastAsia" w:ascii="宋体" w:hAnsi="宋体"/>
          <w:szCs w:val="21"/>
        </w:rPr>
        <w:t>定</w:t>
      </w:r>
      <w:r>
        <w:rPr>
          <w:rFonts w:ascii="宋体" w:hAnsi="宋体"/>
          <w:szCs w:val="21"/>
        </w:rPr>
        <w:t>标办法”规定的方法、评审因素、标准和程序对投标文</w:t>
      </w:r>
      <w:r>
        <w:rPr>
          <w:rFonts w:ascii="宋体" w:hAnsi="宋体"/>
          <w:spacing w:val="-2"/>
          <w:szCs w:val="21"/>
        </w:rPr>
        <w:t>件进行评审。第</w:t>
      </w:r>
      <w:r>
        <w:rPr>
          <w:rFonts w:hint="eastAsia" w:ascii="宋体" w:hAnsi="宋体"/>
          <w:spacing w:val="-2"/>
          <w:szCs w:val="21"/>
        </w:rPr>
        <w:t>二</w:t>
      </w:r>
      <w:r>
        <w:rPr>
          <w:rFonts w:ascii="宋体" w:hAnsi="宋体"/>
          <w:spacing w:val="-2"/>
          <w:szCs w:val="21"/>
        </w:rPr>
        <w:t>章“评</w:t>
      </w:r>
      <w:r>
        <w:rPr>
          <w:rFonts w:hint="eastAsia" w:ascii="宋体" w:hAnsi="宋体"/>
          <w:spacing w:val="-2"/>
          <w:szCs w:val="21"/>
        </w:rPr>
        <w:t>定</w:t>
      </w:r>
      <w:r>
        <w:rPr>
          <w:rFonts w:ascii="宋体" w:hAnsi="宋体"/>
          <w:spacing w:val="-2"/>
          <w:szCs w:val="21"/>
        </w:rPr>
        <w:t>标办法”没有规定的方法、评审因素和标准，不作为评标依据。</w:t>
      </w:r>
    </w:p>
    <w:p w14:paraId="03F19850">
      <w:pPr>
        <w:pStyle w:val="344"/>
        <w:widowControl w:val="0"/>
        <w:numPr>
          <w:ilvl w:val="2"/>
          <w:numId w:val="3"/>
        </w:numPr>
        <w:autoSpaceDE w:val="0"/>
        <w:autoSpaceDN w:val="0"/>
        <w:adjustRightInd w:val="0"/>
        <w:snapToGrid w:val="0"/>
        <w:ind w:firstLineChars="0"/>
        <w:jc w:val="left"/>
        <w:rPr>
          <w:rFonts w:ascii="宋体" w:hAnsi="宋体"/>
          <w:spacing w:val="-2"/>
          <w:szCs w:val="21"/>
        </w:rPr>
      </w:pPr>
      <w:r>
        <w:rPr>
          <w:rFonts w:ascii="宋体" w:hAnsi="宋体"/>
          <w:szCs w:val="21"/>
        </w:rPr>
        <w:t>评标完成后，评标委员会评标报告和中标候选人名单。评标</w:t>
      </w:r>
      <w:r>
        <w:rPr>
          <w:rFonts w:ascii="宋体" w:hAnsi="宋体"/>
          <w:spacing w:val="-2"/>
          <w:szCs w:val="21"/>
        </w:rPr>
        <w:t>委员会推荐中标候选人的人数见投标人须知前附表。</w:t>
      </w:r>
    </w:p>
    <w:p w14:paraId="4BACD9A1">
      <w:pPr>
        <w:pStyle w:val="344"/>
        <w:widowControl w:val="0"/>
        <w:autoSpaceDE w:val="0"/>
        <w:autoSpaceDN w:val="0"/>
        <w:adjustRightInd w:val="0"/>
        <w:snapToGrid w:val="0"/>
        <w:ind w:firstLine="0" w:firstLineChars="0"/>
        <w:jc w:val="left"/>
        <w:rPr>
          <w:rFonts w:ascii="宋体" w:hAnsi="宋体"/>
          <w:spacing w:val="-2"/>
          <w:szCs w:val="21"/>
        </w:rPr>
      </w:pPr>
    </w:p>
    <w:bookmarkEnd w:id="217"/>
    <w:bookmarkEnd w:id="218"/>
    <w:bookmarkEnd w:id="219"/>
    <w:p w14:paraId="645B3B38">
      <w:pPr>
        <w:pStyle w:val="344"/>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定标</w:t>
      </w:r>
    </w:p>
    <w:p w14:paraId="35CD6C7E">
      <w:pPr>
        <w:pStyle w:val="344"/>
        <w:widowControl w:val="0"/>
        <w:numPr>
          <w:ilvl w:val="1"/>
          <w:numId w:val="3"/>
        </w:numPr>
        <w:autoSpaceDE w:val="0"/>
        <w:autoSpaceDN w:val="0"/>
        <w:adjustRightInd w:val="0"/>
        <w:snapToGrid w:val="0"/>
        <w:ind w:firstLineChars="0"/>
        <w:jc w:val="left"/>
        <w:rPr>
          <w:rFonts w:ascii="宋体" w:hAnsi="宋体"/>
          <w:b/>
          <w:szCs w:val="21"/>
        </w:rPr>
      </w:pPr>
      <w:bookmarkStart w:id="220" w:name="_Toc144974535"/>
      <w:bookmarkStart w:id="221" w:name="_Toc152042343"/>
      <w:bookmarkStart w:id="222" w:name="_Toc332121750"/>
      <w:bookmarkStart w:id="223" w:name="_Toc330213982"/>
      <w:bookmarkStart w:id="224" w:name="_Toc403513529"/>
      <w:bookmarkStart w:id="225" w:name="_Toc152045567"/>
      <w:r>
        <w:rPr>
          <w:rFonts w:hint="eastAsia" w:ascii="宋体" w:hAnsi="宋体"/>
          <w:b/>
          <w:szCs w:val="21"/>
        </w:rPr>
        <w:t>定标方式</w:t>
      </w:r>
      <w:bookmarkEnd w:id="220"/>
      <w:bookmarkEnd w:id="221"/>
      <w:bookmarkEnd w:id="222"/>
      <w:bookmarkEnd w:id="223"/>
      <w:bookmarkEnd w:id="224"/>
      <w:bookmarkEnd w:id="225"/>
    </w:p>
    <w:p w14:paraId="6B0780B2">
      <w:pPr>
        <w:pStyle w:val="344"/>
        <w:widowControl w:val="0"/>
        <w:numPr>
          <w:ilvl w:val="2"/>
          <w:numId w:val="3"/>
        </w:numPr>
        <w:autoSpaceDE w:val="0"/>
        <w:autoSpaceDN w:val="0"/>
        <w:adjustRightInd w:val="0"/>
        <w:snapToGrid w:val="0"/>
        <w:ind w:firstLineChars="0"/>
        <w:jc w:val="left"/>
        <w:rPr>
          <w:rFonts w:ascii="宋体" w:hAnsi="宋体"/>
          <w:b/>
          <w:szCs w:val="21"/>
        </w:rPr>
      </w:pPr>
      <w:r>
        <w:rPr>
          <w:rFonts w:hint="eastAsia" w:ascii="宋体" w:hAnsi="宋体"/>
          <w:szCs w:val="21"/>
        </w:rPr>
        <w:t>除投标人须知前附表规定评标委员会直接确定中标人外，招标人依据评标委员会推荐的中标候选人确定中标人。定标方法及定标程序详见投标人须知前附表。</w:t>
      </w:r>
    </w:p>
    <w:p w14:paraId="041462BE">
      <w:pPr>
        <w:pStyle w:val="344"/>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中标公示</w:t>
      </w:r>
    </w:p>
    <w:p w14:paraId="78C1F029">
      <w:pPr>
        <w:pStyle w:val="344"/>
        <w:widowControl w:val="0"/>
        <w:numPr>
          <w:ilvl w:val="2"/>
          <w:numId w:val="3"/>
        </w:numPr>
        <w:autoSpaceDE w:val="0"/>
        <w:autoSpaceDN w:val="0"/>
        <w:adjustRightInd w:val="0"/>
        <w:snapToGrid w:val="0"/>
        <w:ind w:firstLineChars="0"/>
        <w:jc w:val="left"/>
        <w:rPr>
          <w:rFonts w:hint="eastAsia" w:ascii="宋体" w:hAnsi="宋体"/>
          <w:szCs w:val="21"/>
        </w:rPr>
      </w:pPr>
      <w:bookmarkStart w:id="226" w:name="_Hlk46483503"/>
      <w:r>
        <w:rPr>
          <w:rFonts w:hint="eastAsia" w:ascii="宋体" w:hAnsi="宋体"/>
          <w:szCs w:val="21"/>
        </w:rPr>
        <w:t>招标人在确定中标结果后，按照投标人须知前附表规定的媒介公示中标候选人，公示期不得少于3天。</w:t>
      </w:r>
    </w:p>
    <w:p w14:paraId="1B49FA0B">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中标候选人公示期满且无异议，按照投标人须知前附表规定的媒介公告中标结果。</w:t>
      </w:r>
      <w:bookmarkEnd w:id="226"/>
    </w:p>
    <w:p w14:paraId="0744FD19">
      <w:pPr>
        <w:pStyle w:val="344"/>
        <w:widowControl w:val="0"/>
        <w:numPr>
          <w:ilvl w:val="1"/>
          <w:numId w:val="3"/>
        </w:numPr>
        <w:autoSpaceDE w:val="0"/>
        <w:autoSpaceDN w:val="0"/>
        <w:adjustRightInd w:val="0"/>
        <w:snapToGrid w:val="0"/>
        <w:ind w:firstLineChars="0"/>
        <w:jc w:val="left"/>
        <w:rPr>
          <w:rFonts w:ascii="宋体" w:hAnsi="宋体"/>
          <w:b/>
          <w:szCs w:val="21"/>
        </w:rPr>
      </w:pPr>
      <w:bookmarkStart w:id="227" w:name="_Toc152045568"/>
      <w:bookmarkStart w:id="228" w:name="_Toc152042344"/>
      <w:bookmarkStart w:id="229" w:name="_Toc144974536"/>
      <w:r>
        <w:rPr>
          <w:rFonts w:ascii="宋体" w:hAnsi="宋体"/>
          <w:b/>
          <w:szCs w:val="21"/>
        </w:rPr>
        <w:t>评标结果异议</w:t>
      </w:r>
    </w:p>
    <w:p w14:paraId="0C8E761D">
      <w:pPr>
        <w:pStyle w:val="344"/>
        <w:widowControl w:val="0"/>
        <w:numPr>
          <w:ilvl w:val="2"/>
          <w:numId w:val="3"/>
        </w:numPr>
        <w:autoSpaceDE w:val="0"/>
        <w:autoSpaceDN w:val="0"/>
        <w:adjustRightInd w:val="0"/>
        <w:snapToGrid w:val="0"/>
        <w:ind w:firstLineChars="0"/>
        <w:jc w:val="left"/>
        <w:rPr>
          <w:rFonts w:ascii="宋体" w:hAnsi="宋体"/>
          <w:szCs w:val="21"/>
        </w:rPr>
      </w:pPr>
      <w:bookmarkStart w:id="230" w:name="auto_fouce_7"/>
      <w:r>
        <w:rPr>
          <w:rFonts w:ascii="宋体" w:hAnsi="宋体"/>
          <w:szCs w:val="21"/>
        </w:rPr>
        <w:t>投标人或者其他利害关系人对</w:t>
      </w:r>
      <w:bookmarkStart w:id="231" w:name="_Hlk46483513"/>
      <w:r>
        <w:rPr>
          <w:rFonts w:ascii="宋体" w:hAnsi="宋体"/>
          <w:szCs w:val="21"/>
        </w:rPr>
        <w:t>评</w:t>
      </w:r>
      <w:r>
        <w:rPr>
          <w:rFonts w:hint="eastAsia" w:ascii="宋体" w:hAnsi="宋体"/>
          <w:szCs w:val="21"/>
        </w:rPr>
        <w:t>标或定</w:t>
      </w:r>
      <w:r>
        <w:rPr>
          <w:rFonts w:ascii="宋体" w:hAnsi="宋体"/>
          <w:szCs w:val="21"/>
        </w:rPr>
        <w:t>标</w:t>
      </w:r>
      <w:bookmarkEnd w:id="231"/>
      <w:r>
        <w:rPr>
          <w:rFonts w:ascii="宋体" w:hAnsi="宋体"/>
          <w:szCs w:val="21"/>
        </w:rPr>
        <w:t>结果有异议的，应当在中标候选人公示期间提出。</w:t>
      </w:r>
      <w:bookmarkEnd w:id="230"/>
    </w:p>
    <w:p w14:paraId="199CB1AD">
      <w:pPr>
        <w:pStyle w:val="344"/>
        <w:widowControl w:val="0"/>
        <w:autoSpaceDE w:val="0"/>
        <w:autoSpaceDN w:val="0"/>
        <w:adjustRightInd w:val="0"/>
        <w:snapToGrid w:val="0"/>
        <w:ind w:firstLine="0" w:firstLineChars="0"/>
        <w:jc w:val="left"/>
        <w:rPr>
          <w:rFonts w:ascii="宋体" w:hAnsi="宋体"/>
          <w:szCs w:val="21"/>
        </w:rPr>
      </w:pPr>
    </w:p>
    <w:p w14:paraId="0D49EA60">
      <w:pPr>
        <w:pStyle w:val="344"/>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合同授予</w:t>
      </w:r>
      <w:bookmarkStart w:id="232" w:name="_Toc403513530"/>
      <w:bookmarkStart w:id="233" w:name="_Toc330213983"/>
      <w:bookmarkStart w:id="234" w:name="_Toc332121751"/>
    </w:p>
    <w:p w14:paraId="2A944048">
      <w:pPr>
        <w:pStyle w:val="344"/>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履约能力的审查</w:t>
      </w:r>
      <w:bookmarkEnd w:id="232"/>
      <w:bookmarkEnd w:id="233"/>
      <w:bookmarkEnd w:id="234"/>
    </w:p>
    <w:p w14:paraId="0D6F4A1B">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人在发出中标通知书之前的任何时候，均有对中标候选人履约能力进行审查的权利，包括审查中标候选人资信情况的有关原件、经营状况、服务能力等招标人认为可能影响投标人履约的相关材料，投标人须无条件配合招标人的相关审查工作。审查不合格的或不配合审查的，原评标委员会将重新审查其中标候选人资格。</w:t>
      </w:r>
    </w:p>
    <w:p w14:paraId="3AA7372F">
      <w:pPr>
        <w:pStyle w:val="344"/>
        <w:widowControl w:val="0"/>
        <w:numPr>
          <w:ilvl w:val="1"/>
          <w:numId w:val="3"/>
        </w:numPr>
        <w:autoSpaceDE w:val="0"/>
        <w:autoSpaceDN w:val="0"/>
        <w:adjustRightInd w:val="0"/>
        <w:snapToGrid w:val="0"/>
        <w:ind w:firstLineChars="0"/>
        <w:jc w:val="left"/>
        <w:rPr>
          <w:rFonts w:ascii="宋体" w:hAnsi="宋体"/>
          <w:b/>
          <w:szCs w:val="21"/>
        </w:rPr>
      </w:pPr>
      <w:bookmarkStart w:id="235" w:name="_Toc403513531"/>
      <w:bookmarkStart w:id="236" w:name="_Toc332121752"/>
      <w:bookmarkStart w:id="237" w:name="_Toc330213984"/>
      <w:r>
        <w:rPr>
          <w:rFonts w:hint="eastAsia" w:ascii="宋体" w:hAnsi="宋体"/>
          <w:b/>
          <w:szCs w:val="21"/>
        </w:rPr>
        <w:t>中标通知</w:t>
      </w:r>
      <w:bookmarkEnd w:id="227"/>
      <w:bookmarkEnd w:id="228"/>
      <w:bookmarkEnd w:id="229"/>
      <w:bookmarkEnd w:id="235"/>
      <w:bookmarkEnd w:id="236"/>
      <w:bookmarkEnd w:id="237"/>
    </w:p>
    <w:p w14:paraId="7E5874E4">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在投标有效期内，招标人向中标人发出中标通知书，同时将中标结果通知未中标的投标人。</w:t>
      </w:r>
    </w:p>
    <w:p w14:paraId="52D8D832">
      <w:pPr>
        <w:pStyle w:val="344"/>
        <w:widowControl w:val="0"/>
        <w:numPr>
          <w:ilvl w:val="1"/>
          <w:numId w:val="3"/>
        </w:numPr>
        <w:autoSpaceDE w:val="0"/>
        <w:autoSpaceDN w:val="0"/>
        <w:adjustRightInd w:val="0"/>
        <w:snapToGrid w:val="0"/>
        <w:ind w:firstLineChars="0"/>
        <w:jc w:val="left"/>
        <w:rPr>
          <w:rFonts w:ascii="宋体" w:hAnsi="宋体"/>
          <w:b/>
          <w:szCs w:val="21"/>
        </w:rPr>
      </w:pPr>
      <w:bookmarkStart w:id="238" w:name="_Toc152042345"/>
      <w:bookmarkStart w:id="239" w:name="_Toc403513532"/>
      <w:bookmarkStart w:id="240" w:name="_Toc332121753"/>
      <w:bookmarkStart w:id="241" w:name="_Toc152045569"/>
      <w:bookmarkStart w:id="242" w:name="_Toc144974537"/>
      <w:bookmarkStart w:id="243" w:name="_Toc330213985"/>
      <w:r>
        <w:rPr>
          <w:rFonts w:hint="eastAsia" w:ascii="宋体" w:hAnsi="宋体"/>
          <w:b/>
          <w:szCs w:val="21"/>
        </w:rPr>
        <w:t>履约担保</w:t>
      </w:r>
      <w:bookmarkEnd w:id="238"/>
      <w:bookmarkEnd w:id="239"/>
      <w:bookmarkEnd w:id="240"/>
      <w:bookmarkEnd w:id="241"/>
      <w:bookmarkEnd w:id="242"/>
      <w:bookmarkEnd w:id="243"/>
    </w:p>
    <w:p w14:paraId="5B2EAF25">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在签订合同前，中标人应按投标人须知前附表规定的金额、担保形式和招标文件第三章“合同条款及格式”规定的履约担保格式向招标人提交履约担保。联合体中标的，其履约担保由牵头人递交，并应符合投标人须知前附表规定的金额、担保形式和招标文件第三章“合同条款及格式”规定的履约担保格式要求。</w:t>
      </w:r>
    </w:p>
    <w:p w14:paraId="7FC5838C">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中标人不能按本章第8.3.1项要求提交履约担保的，视为放弃中标，其投标保证金不予退还，给招标人造成的损失超过投标保证金数额的，中标人还应当对超过部分予以赔偿。</w:t>
      </w:r>
    </w:p>
    <w:p w14:paraId="646C8A7F">
      <w:pPr>
        <w:pStyle w:val="344"/>
        <w:widowControl w:val="0"/>
        <w:numPr>
          <w:ilvl w:val="1"/>
          <w:numId w:val="3"/>
        </w:numPr>
        <w:autoSpaceDE w:val="0"/>
        <w:autoSpaceDN w:val="0"/>
        <w:adjustRightInd w:val="0"/>
        <w:snapToGrid w:val="0"/>
        <w:ind w:firstLineChars="0"/>
        <w:jc w:val="left"/>
        <w:rPr>
          <w:rFonts w:ascii="宋体" w:hAnsi="宋体"/>
          <w:b/>
          <w:szCs w:val="21"/>
        </w:rPr>
      </w:pPr>
      <w:bookmarkStart w:id="244" w:name="_Toc524169011"/>
      <w:bookmarkStart w:id="245" w:name="_Toc332121754"/>
      <w:bookmarkStart w:id="246" w:name="_Toc403513533"/>
      <w:bookmarkStart w:id="247" w:name="_Toc525476150"/>
      <w:bookmarkStart w:id="248" w:name="_Toc144974538"/>
      <w:bookmarkStart w:id="249" w:name="_Toc330213986"/>
      <w:bookmarkStart w:id="250" w:name="_Toc11464"/>
      <w:bookmarkStart w:id="251" w:name="_Toc152042346"/>
      <w:bookmarkStart w:id="252" w:name="_Toc152045570"/>
      <w:r>
        <w:rPr>
          <w:rFonts w:hint="eastAsia" w:ascii="宋体" w:hAnsi="宋体"/>
          <w:b/>
          <w:szCs w:val="21"/>
        </w:rPr>
        <w:t>签订合同</w:t>
      </w:r>
      <w:bookmarkEnd w:id="244"/>
      <w:bookmarkEnd w:id="245"/>
      <w:bookmarkEnd w:id="246"/>
      <w:bookmarkEnd w:id="247"/>
      <w:bookmarkEnd w:id="248"/>
      <w:bookmarkEnd w:id="249"/>
      <w:bookmarkEnd w:id="250"/>
      <w:bookmarkEnd w:id="251"/>
      <w:bookmarkEnd w:id="252"/>
    </w:p>
    <w:p w14:paraId="27627380">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招标人和中标人应当在中标通知书发出之日起30日内，根据招标文件和中标人的投标文件订立书面合同。中标人无正当理由</w:t>
      </w:r>
      <w:r>
        <w:rPr>
          <w:rFonts w:hint="eastAsia" w:ascii="宋体" w:hAnsi="宋体"/>
          <w:szCs w:val="21"/>
        </w:rPr>
        <w:t>不与招标人订立</w:t>
      </w:r>
      <w:r>
        <w:rPr>
          <w:rFonts w:ascii="宋体" w:hAnsi="宋体"/>
          <w:szCs w:val="21"/>
        </w:rPr>
        <w:t>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14:paraId="55BD1D96">
      <w:pPr>
        <w:pStyle w:val="344"/>
        <w:widowControl w:val="0"/>
        <w:numPr>
          <w:ilvl w:val="2"/>
          <w:numId w:val="3"/>
        </w:numPr>
        <w:autoSpaceDE w:val="0"/>
        <w:autoSpaceDN w:val="0"/>
        <w:adjustRightInd w:val="0"/>
        <w:snapToGrid w:val="0"/>
        <w:ind w:firstLineChars="0"/>
        <w:jc w:val="left"/>
        <w:rPr>
          <w:rFonts w:hint="eastAsia" w:ascii="宋体" w:hAnsi="宋体"/>
          <w:szCs w:val="21"/>
        </w:rPr>
      </w:pPr>
      <w:r>
        <w:rPr>
          <w:rFonts w:ascii="宋体" w:hAnsi="宋体"/>
          <w:szCs w:val="21"/>
        </w:rPr>
        <w:t>联合体中标的，联合体各方应当共同与招标人签订合同，就中标项目向招标人承担连带责任。</w:t>
      </w:r>
    </w:p>
    <w:p w14:paraId="4958DF98">
      <w:pPr>
        <w:pStyle w:val="344"/>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招标失败的情形</w:t>
      </w:r>
    </w:p>
    <w:p w14:paraId="367CEC1A">
      <w:pPr>
        <w:pStyle w:val="344"/>
        <w:widowControl w:val="0"/>
        <w:autoSpaceDE w:val="0"/>
        <w:autoSpaceDN w:val="0"/>
        <w:adjustRightInd w:val="0"/>
        <w:snapToGrid w:val="0"/>
        <w:ind w:firstLine="0" w:firstLineChars="0"/>
        <w:jc w:val="left"/>
        <w:rPr>
          <w:rFonts w:ascii="宋体" w:hAnsi="宋体"/>
          <w:szCs w:val="21"/>
        </w:rPr>
      </w:pPr>
      <w:bookmarkStart w:id="253" w:name="_Toc152045574"/>
      <w:bookmarkStart w:id="254" w:name="_Toc144974542"/>
      <w:bookmarkStart w:id="255" w:name="_Toc152042350"/>
      <w:r>
        <w:rPr>
          <w:rFonts w:hint="eastAsia" w:ascii="宋体" w:hAnsi="宋体"/>
          <w:szCs w:val="21"/>
        </w:rPr>
        <w:t>发生以下情形的，招标人应当宣布本次招标失败：</w:t>
      </w:r>
    </w:p>
    <w:p w14:paraId="56A7C102">
      <w:pPr>
        <w:pStyle w:val="344"/>
        <w:widowControl w:val="0"/>
        <w:numPr>
          <w:ilvl w:val="1"/>
          <w:numId w:val="3"/>
        </w:numPr>
        <w:autoSpaceDE w:val="0"/>
        <w:autoSpaceDN w:val="0"/>
        <w:adjustRightInd w:val="0"/>
        <w:snapToGrid w:val="0"/>
        <w:ind w:firstLineChars="0"/>
        <w:jc w:val="left"/>
        <w:rPr>
          <w:rFonts w:ascii="宋体" w:hAnsi="宋体"/>
          <w:szCs w:val="21"/>
        </w:rPr>
      </w:pPr>
      <w:r>
        <w:rPr>
          <w:rFonts w:hint="eastAsia" w:ascii="宋体" w:hAnsi="宋体"/>
          <w:szCs w:val="21"/>
        </w:rPr>
        <w:t>因投标人数量不足三家未能达到开标条件的；</w:t>
      </w:r>
    </w:p>
    <w:p w14:paraId="12386322">
      <w:pPr>
        <w:pStyle w:val="344"/>
        <w:widowControl w:val="0"/>
        <w:numPr>
          <w:ilvl w:val="1"/>
          <w:numId w:val="3"/>
        </w:numPr>
        <w:autoSpaceDE w:val="0"/>
        <w:autoSpaceDN w:val="0"/>
        <w:adjustRightInd w:val="0"/>
        <w:snapToGrid w:val="0"/>
        <w:ind w:firstLineChars="0"/>
        <w:jc w:val="left"/>
        <w:rPr>
          <w:rFonts w:ascii="宋体" w:hAnsi="宋体"/>
          <w:szCs w:val="21"/>
        </w:rPr>
      </w:pPr>
      <w:r>
        <w:rPr>
          <w:rFonts w:hint="eastAsia" w:ascii="宋体" w:hAnsi="宋体"/>
          <w:szCs w:val="21"/>
        </w:rPr>
        <w:t>或者评标委员会否决所有投标的；</w:t>
      </w:r>
    </w:p>
    <w:p w14:paraId="5A0D37DE">
      <w:pPr>
        <w:pStyle w:val="344"/>
        <w:widowControl w:val="0"/>
        <w:numPr>
          <w:ilvl w:val="1"/>
          <w:numId w:val="3"/>
        </w:numPr>
        <w:autoSpaceDE w:val="0"/>
        <w:autoSpaceDN w:val="0"/>
        <w:adjustRightInd w:val="0"/>
        <w:snapToGrid w:val="0"/>
        <w:ind w:firstLineChars="0"/>
        <w:jc w:val="left"/>
        <w:rPr>
          <w:rFonts w:ascii="宋体" w:hAnsi="宋体"/>
          <w:szCs w:val="21"/>
        </w:rPr>
      </w:pPr>
      <w:r>
        <w:rPr>
          <w:rFonts w:hint="eastAsia" w:ascii="宋体" w:hAnsi="宋体"/>
          <w:szCs w:val="21"/>
        </w:rPr>
        <w:t>或者评标委员会否决一部分投标后其他有效投标不足三个使得投标明显缺乏竞争而否决所有投标的；</w:t>
      </w:r>
    </w:p>
    <w:p w14:paraId="3D5948B6">
      <w:pPr>
        <w:pStyle w:val="344"/>
        <w:widowControl w:val="0"/>
        <w:numPr>
          <w:ilvl w:val="1"/>
          <w:numId w:val="3"/>
        </w:numPr>
        <w:autoSpaceDE w:val="0"/>
        <w:autoSpaceDN w:val="0"/>
        <w:adjustRightInd w:val="0"/>
        <w:snapToGrid w:val="0"/>
        <w:ind w:firstLineChars="0"/>
        <w:jc w:val="left"/>
        <w:rPr>
          <w:rFonts w:ascii="宋体" w:hAnsi="宋体"/>
          <w:szCs w:val="21"/>
        </w:rPr>
      </w:pPr>
      <w:r>
        <w:rPr>
          <w:rFonts w:hint="eastAsia" w:ascii="宋体" w:hAnsi="宋体"/>
          <w:szCs w:val="21"/>
        </w:rPr>
        <w:t>招标项目发生重大变化，招标人取消采购任务；</w:t>
      </w:r>
    </w:p>
    <w:p w14:paraId="59760E69">
      <w:pPr>
        <w:pStyle w:val="344"/>
        <w:widowControl w:val="0"/>
        <w:numPr>
          <w:ilvl w:val="1"/>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投标人须知前附表规定的其他情形。</w:t>
      </w:r>
    </w:p>
    <w:p w14:paraId="67273AC6">
      <w:pPr>
        <w:pStyle w:val="344"/>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纪律和监督</w:t>
      </w:r>
      <w:bookmarkEnd w:id="253"/>
      <w:bookmarkEnd w:id="254"/>
      <w:bookmarkEnd w:id="255"/>
    </w:p>
    <w:p w14:paraId="7BFC3644">
      <w:pPr>
        <w:pStyle w:val="344"/>
        <w:widowControl w:val="0"/>
        <w:numPr>
          <w:ilvl w:val="1"/>
          <w:numId w:val="3"/>
        </w:numPr>
        <w:autoSpaceDE w:val="0"/>
        <w:autoSpaceDN w:val="0"/>
        <w:adjustRightInd w:val="0"/>
        <w:snapToGrid w:val="0"/>
        <w:ind w:firstLineChars="0"/>
        <w:jc w:val="left"/>
        <w:rPr>
          <w:rFonts w:ascii="宋体" w:hAnsi="宋体"/>
          <w:b/>
          <w:szCs w:val="21"/>
        </w:rPr>
      </w:pPr>
      <w:bookmarkStart w:id="256" w:name="_Toc144974543"/>
      <w:bookmarkStart w:id="257" w:name="_Toc152045575"/>
      <w:bookmarkStart w:id="258" w:name="_Toc403513538"/>
      <w:bookmarkStart w:id="259" w:name="_Toc332121759"/>
      <w:bookmarkStart w:id="260" w:name="_Toc152042351"/>
      <w:bookmarkStart w:id="261" w:name="_Toc330213991"/>
      <w:r>
        <w:rPr>
          <w:rFonts w:hint="eastAsia" w:ascii="宋体" w:hAnsi="宋体"/>
          <w:b/>
          <w:szCs w:val="21"/>
        </w:rPr>
        <w:t>对招标人的纪律要求</w:t>
      </w:r>
      <w:bookmarkEnd w:id="256"/>
      <w:bookmarkEnd w:id="257"/>
      <w:bookmarkEnd w:id="258"/>
      <w:bookmarkEnd w:id="259"/>
      <w:bookmarkEnd w:id="260"/>
      <w:bookmarkEnd w:id="261"/>
    </w:p>
    <w:p w14:paraId="508093FE">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招标人不得泄漏招标投标活动中应当保密的情况和资料，不得与投标人串通损害国家利益、社会公共利益或者他人合法权益。</w:t>
      </w:r>
    </w:p>
    <w:p w14:paraId="7C20FE30">
      <w:pPr>
        <w:pStyle w:val="344"/>
        <w:widowControl w:val="0"/>
        <w:numPr>
          <w:ilvl w:val="1"/>
          <w:numId w:val="3"/>
        </w:numPr>
        <w:autoSpaceDE w:val="0"/>
        <w:autoSpaceDN w:val="0"/>
        <w:adjustRightInd w:val="0"/>
        <w:snapToGrid w:val="0"/>
        <w:ind w:firstLineChars="0"/>
        <w:jc w:val="left"/>
        <w:rPr>
          <w:rFonts w:ascii="宋体" w:hAnsi="宋体"/>
          <w:b/>
          <w:szCs w:val="21"/>
        </w:rPr>
      </w:pPr>
      <w:bookmarkStart w:id="262" w:name="_Toc152042352"/>
      <w:bookmarkStart w:id="263" w:name="_Toc403513539"/>
      <w:bookmarkStart w:id="264" w:name="_Toc332121760"/>
      <w:bookmarkStart w:id="265" w:name="_Toc330213992"/>
      <w:bookmarkStart w:id="266" w:name="_Toc152045576"/>
      <w:bookmarkStart w:id="267" w:name="_Toc144974544"/>
      <w:r>
        <w:rPr>
          <w:rFonts w:hint="eastAsia" w:ascii="宋体" w:hAnsi="宋体"/>
          <w:b/>
          <w:szCs w:val="21"/>
        </w:rPr>
        <w:t>对投标人的纪律要求</w:t>
      </w:r>
      <w:bookmarkEnd w:id="262"/>
      <w:bookmarkEnd w:id="263"/>
      <w:bookmarkEnd w:id="264"/>
      <w:bookmarkEnd w:id="265"/>
      <w:bookmarkEnd w:id="266"/>
      <w:bookmarkEnd w:id="267"/>
    </w:p>
    <w:p w14:paraId="7C71876A">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C62DB94">
      <w:pPr>
        <w:pStyle w:val="344"/>
        <w:widowControl w:val="0"/>
        <w:numPr>
          <w:ilvl w:val="1"/>
          <w:numId w:val="3"/>
        </w:numPr>
        <w:autoSpaceDE w:val="0"/>
        <w:autoSpaceDN w:val="0"/>
        <w:adjustRightInd w:val="0"/>
        <w:snapToGrid w:val="0"/>
        <w:ind w:firstLineChars="0"/>
        <w:jc w:val="left"/>
        <w:rPr>
          <w:rFonts w:ascii="宋体" w:hAnsi="宋体"/>
          <w:b/>
          <w:szCs w:val="21"/>
        </w:rPr>
      </w:pPr>
      <w:bookmarkStart w:id="268" w:name="_Toc144974545"/>
      <w:bookmarkStart w:id="269" w:name="_Toc330213993"/>
      <w:bookmarkStart w:id="270" w:name="_Toc152042353"/>
      <w:bookmarkStart w:id="271" w:name="_Toc332121761"/>
      <w:bookmarkStart w:id="272" w:name="_Toc152045577"/>
      <w:bookmarkStart w:id="273" w:name="_Toc403513540"/>
      <w:r>
        <w:rPr>
          <w:rFonts w:hint="eastAsia" w:ascii="宋体" w:hAnsi="宋体"/>
          <w:b/>
          <w:szCs w:val="21"/>
        </w:rPr>
        <w:t>对评标委员会成员的纪律要求</w:t>
      </w:r>
      <w:bookmarkEnd w:id="268"/>
      <w:bookmarkEnd w:id="269"/>
      <w:bookmarkEnd w:id="270"/>
      <w:bookmarkEnd w:id="271"/>
      <w:bookmarkEnd w:id="272"/>
      <w:bookmarkEnd w:id="273"/>
    </w:p>
    <w:p w14:paraId="752A12DE">
      <w:pPr>
        <w:pStyle w:val="344"/>
        <w:widowControl w:val="0"/>
        <w:numPr>
          <w:ilvl w:val="2"/>
          <w:numId w:val="3"/>
        </w:numPr>
        <w:autoSpaceDE w:val="0"/>
        <w:autoSpaceDN w:val="0"/>
        <w:adjustRightInd w:val="0"/>
        <w:snapToGrid w:val="0"/>
        <w:ind w:firstLineChars="0"/>
        <w:jc w:val="left"/>
        <w:rPr>
          <w:rFonts w:ascii="宋体" w:hAnsi="宋体"/>
          <w:szCs w:val="21"/>
        </w:rPr>
      </w:pPr>
      <w:r>
        <w:rPr>
          <w:rFonts w:hint="eastAsia" w:ascii="宋体" w:hAnsi="宋体"/>
          <w:szCs w:val="21"/>
        </w:rPr>
        <w:t>评标委员会成员不得收受他人的财物或者其他好处，不得向他人透露对投标文件的评审和比较、中标候选人的推荐情况以及与评标有关的其他情况。在评标活动中，评标委员会成员不得擅离职守，影响评标程序正常进行，不得使用第二章“评定标办法”没有规定的评审因素和标准进行评标。</w:t>
      </w:r>
    </w:p>
    <w:p w14:paraId="6CAA5991">
      <w:pPr>
        <w:pStyle w:val="344"/>
        <w:widowControl w:val="0"/>
        <w:numPr>
          <w:ilvl w:val="1"/>
          <w:numId w:val="3"/>
        </w:numPr>
        <w:autoSpaceDE w:val="0"/>
        <w:autoSpaceDN w:val="0"/>
        <w:adjustRightInd w:val="0"/>
        <w:snapToGrid w:val="0"/>
        <w:ind w:firstLineChars="0"/>
        <w:jc w:val="left"/>
        <w:rPr>
          <w:rFonts w:ascii="宋体" w:hAnsi="宋体"/>
          <w:b/>
          <w:szCs w:val="21"/>
        </w:rPr>
      </w:pPr>
      <w:bookmarkStart w:id="274" w:name="_Toc152042354"/>
      <w:bookmarkStart w:id="275" w:name="_Toc152045578"/>
      <w:bookmarkStart w:id="276" w:name="_Toc332121762"/>
      <w:bookmarkStart w:id="277" w:name="_Toc330213994"/>
      <w:bookmarkStart w:id="278" w:name="_Toc403513541"/>
      <w:bookmarkStart w:id="279" w:name="_Toc144974546"/>
      <w:r>
        <w:rPr>
          <w:rFonts w:hint="eastAsia" w:ascii="宋体" w:hAnsi="宋体"/>
          <w:b/>
          <w:szCs w:val="21"/>
        </w:rPr>
        <w:t>对与评标活动有关的工作人员的纪律要求</w:t>
      </w:r>
      <w:bookmarkEnd w:id="274"/>
      <w:bookmarkEnd w:id="275"/>
      <w:bookmarkEnd w:id="276"/>
      <w:bookmarkEnd w:id="277"/>
      <w:bookmarkEnd w:id="278"/>
    </w:p>
    <w:p w14:paraId="61779B99">
      <w:pPr>
        <w:pStyle w:val="344"/>
        <w:widowControl w:val="0"/>
        <w:numPr>
          <w:ilvl w:val="2"/>
          <w:numId w:val="3"/>
        </w:numPr>
        <w:autoSpaceDE w:val="0"/>
        <w:autoSpaceDN w:val="0"/>
        <w:adjustRightInd w:val="0"/>
        <w:snapToGrid w:val="0"/>
        <w:ind w:firstLineChars="0"/>
        <w:jc w:val="left"/>
        <w:rPr>
          <w:rFonts w:ascii="宋体" w:hAnsi="宋体"/>
          <w:szCs w:val="21"/>
        </w:rPr>
      </w:pPr>
      <w:bookmarkStart w:id="280" w:name="_Toc152042355"/>
      <w:r>
        <w:rPr>
          <w:rFonts w:hint="eastAsia" w:ascii="宋体" w:hAnsi="宋体"/>
          <w:szCs w:val="21"/>
        </w:rPr>
        <w:t>与评标活动有关的工作人员不得收受他人的财物或者其他好处，不得向他人透露对投标文件的评审和比较、中标候选人的推荐情况以及与评标有关的其他情况。在评标活动中，与评标活动有关的工作人员不得擅离职守，影响评标程序正常进行。</w:t>
      </w:r>
      <w:bookmarkEnd w:id="280"/>
    </w:p>
    <w:p w14:paraId="77B1CAB0">
      <w:pPr>
        <w:pStyle w:val="344"/>
        <w:widowControl w:val="0"/>
        <w:numPr>
          <w:ilvl w:val="1"/>
          <w:numId w:val="3"/>
        </w:numPr>
        <w:autoSpaceDE w:val="0"/>
        <w:autoSpaceDN w:val="0"/>
        <w:adjustRightInd w:val="0"/>
        <w:snapToGrid w:val="0"/>
        <w:ind w:firstLineChars="0"/>
        <w:jc w:val="left"/>
        <w:rPr>
          <w:rFonts w:ascii="宋体" w:hAnsi="宋体"/>
          <w:b/>
          <w:szCs w:val="21"/>
        </w:rPr>
      </w:pPr>
      <w:r>
        <w:rPr>
          <w:rFonts w:hint="eastAsia" w:ascii="宋体" w:hAnsi="宋体"/>
          <w:b/>
          <w:szCs w:val="21"/>
        </w:rPr>
        <w:t>投诉</w:t>
      </w:r>
    </w:p>
    <w:p w14:paraId="173A7169">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投标人或者其他利害关系人认为招标投标活动不符合法律、行政法规规定的，可以自知道或者应当知道</w:t>
      </w:r>
      <w:r>
        <w:rPr>
          <w:rFonts w:hint="eastAsia" w:ascii="宋体" w:hAnsi="宋体"/>
          <w:szCs w:val="21"/>
        </w:rPr>
        <w:t>之日起</w:t>
      </w:r>
      <w:r>
        <w:rPr>
          <w:rFonts w:ascii="宋体" w:hAnsi="宋体"/>
          <w:szCs w:val="21"/>
        </w:rPr>
        <w:t>10</w:t>
      </w:r>
      <w:r>
        <w:rPr>
          <w:rFonts w:hint="eastAsia" w:ascii="宋体" w:hAnsi="宋体"/>
          <w:szCs w:val="21"/>
        </w:rPr>
        <w:t>日内向</w:t>
      </w:r>
      <w:r>
        <w:rPr>
          <w:rFonts w:ascii="宋体" w:hAnsi="宋体"/>
          <w:szCs w:val="21"/>
        </w:rPr>
        <w:t>投诉</w:t>
      </w:r>
      <w:r>
        <w:rPr>
          <w:rFonts w:hint="eastAsia" w:ascii="宋体" w:hAnsi="宋体"/>
          <w:szCs w:val="21"/>
        </w:rPr>
        <w:t>受理部门提出</w:t>
      </w:r>
      <w:r>
        <w:rPr>
          <w:rFonts w:ascii="宋体" w:hAnsi="宋体"/>
          <w:szCs w:val="21"/>
        </w:rPr>
        <w:t>。投诉应当有明确的请求和必要的证明材料。</w:t>
      </w:r>
    </w:p>
    <w:p w14:paraId="011E46D7">
      <w:pPr>
        <w:pStyle w:val="344"/>
        <w:widowControl w:val="0"/>
        <w:numPr>
          <w:ilvl w:val="2"/>
          <w:numId w:val="3"/>
        </w:numPr>
        <w:autoSpaceDE w:val="0"/>
        <w:autoSpaceDN w:val="0"/>
        <w:adjustRightInd w:val="0"/>
        <w:snapToGrid w:val="0"/>
        <w:ind w:firstLineChars="0"/>
        <w:jc w:val="left"/>
        <w:rPr>
          <w:rFonts w:ascii="宋体" w:hAnsi="宋体"/>
          <w:szCs w:val="21"/>
        </w:rPr>
      </w:pPr>
      <w:r>
        <w:rPr>
          <w:rFonts w:ascii="宋体" w:hAnsi="宋体"/>
          <w:szCs w:val="21"/>
        </w:rPr>
        <w:t>投标人或者其他利害关系人对招标文件、开标和评标结果提出投诉的，应当按照投标人须</w:t>
      </w:r>
      <w:r>
        <w:rPr>
          <w:rFonts w:ascii="宋体" w:hAnsi="宋体"/>
          <w:spacing w:val="-3"/>
          <w:szCs w:val="21"/>
        </w:rPr>
        <w:t>知</w:t>
      </w:r>
      <w:r>
        <w:rPr>
          <w:rFonts w:ascii="宋体" w:hAnsi="宋体"/>
          <w:szCs w:val="21"/>
        </w:rPr>
        <w:t>的</w:t>
      </w:r>
      <w:r>
        <w:rPr>
          <w:rFonts w:ascii="宋体" w:hAnsi="宋体"/>
          <w:spacing w:val="-3"/>
          <w:szCs w:val="21"/>
        </w:rPr>
        <w:t>规</w:t>
      </w:r>
      <w:r>
        <w:rPr>
          <w:rFonts w:ascii="宋体" w:hAnsi="宋体"/>
          <w:szCs w:val="21"/>
        </w:rPr>
        <w:t>定</w:t>
      </w:r>
      <w:r>
        <w:rPr>
          <w:rFonts w:ascii="宋体" w:hAnsi="宋体"/>
          <w:spacing w:val="-3"/>
          <w:szCs w:val="21"/>
        </w:rPr>
        <w:t>先</w:t>
      </w:r>
      <w:r>
        <w:rPr>
          <w:rFonts w:ascii="宋体" w:hAnsi="宋体"/>
          <w:szCs w:val="21"/>
        </w:rPr>
        <w:t>向</w:t>
      </w:r>
      <w:r>
        <w:rPr>
          <w:rFonts w:ascii="宋体" w:hAnsi="宋体"/>
          <w:spacing w:val="-3"/>
          <w:szCs w:val="21"/>
        </w:rPr>
        <w:t>招标</w:t>
      </w:r>
      <w:r>
        <w:rPr>
          <w:rFonts w:ascii="宋体" w:hAnsi="宋体"/>
          <w:szCs w:val="21"/>
        </w:rPr>
        <w:t>人提</w:t>
      </w:r>
      <w:r>
        <w:rPr>
          <w:rFonts w:ascii="宋体" w:hAnsi="宋体"/>
          <w:spacing w:val="-3"/>
          <w:szCs w:val="21"/>
        </w:rPr>
        <w:t>出</w:t>
      </w:r>
      <w:r>
        <w:rPr>
          <w:rFonts w:ascii="宋体" w:hAnsi="宋体"/>
          <w:szCs w:val="21"/>
        </w:rPr>
        <w:t>异</w:t>
      </w:r>
      <w:r>
        <w:rPr>
          <w:rFonts w:ascii="宋体" w:hAnsi="宋体"/>
          <w:spacing w:val="-3"/>
          <w:szCs w:val="21"/>
        </w:rPr>
        <w:t>议</w:t>
      </w:r>
      <w:r>
        <w:rPr>
          <w:rFonts w:ascii="宋体" w:hAnsi="宋体"/>
          <w:spacing w:val="-106"/>
          <w:szCs w:val="21"/>
        </w:rPr>
        <w:t>。</w:t>
      </w:r>
      <w:r>
        <w:rPr>
          <w:rFonts w:hint="eastAsia" w:ascii="宋体" w:hAnsi="宋体"/>
          <w:spacing w:val="-3"/>
          <w:szCs w:val="21"/>
        </w:rPr>
        <w:t>。</w:t>
      </w:r>
      <w:bookmarkEnd w:id="279"/>
    </w:p>
    <w:p w14:paraId="4E8912D1">
      <w:pPr>
        <w:pStyle w:val="344"/>
        <w:widowControl w:val="0"/>
        <w:autoSpaceDE w:val="0"/>
        <w:autoSpaceDN w:val="0"/>
        <w:adjustRightInd w:val="0"/>
        <w:snapToGrid w:val="0"/>
        <w:ind w:firstLine="0" w:firstLineChars="0"/>
        <w:jc w:val="left"/>
        <w:rPr>
          <w:rFonts w:ascii="宋体" w:hAnsi="宋体"/>
          <w:szCs w:val="21"/>
        </w:rPr>
      </w:pPr>
    </w:p>
    <w:p w14:paraId="3AB489CB">
      <w:pPr>
        <w:pStyle w:val="344"/>
        <w:widowControl w:val="0"/>
        <w:numPr>
          <w:ilvl w:val="0"/>
          <w:numId w:val="3"/>
        </w:numPr>
        <w:autoSpaceDE w:val="0"/>
        <w:autoSpaceDN w:val="0"/>
        <w:adjustRightInd w:val="0"/>
        <w:snapToGrid w:val="0"/>
        <w:ind w:firstLineChars="0"/>
        <w:jc w:val="left"/>
        <w:rPr>
          <w:rFonts w:ascii="宋体" w:hAnsi="宋体"/>
          <w:b/>
          <w:szCs w:val="21"/>
        </w:rPr>
      </w:pPr>
      <w:r>
        <w:rPr>
          <w:rFonts w:hint="eastAsia" w:ascii="宋体" w:hAnsi="宋体"/>
          <w:b/>
          <w:szCs w:val="21"/>
        </w:rPr>
        <w:t>需要补充的其他内容</w:t>
      </w:r>
    </w:p>
    <w:p w14:paraId="71F65CBE">
      <w:pPr>
        <w:pStyle w:val="344"/>
        <w:widowControl w:val="0"/>
        <w:numPr>
          <w:ilvl w:val="1"/>
          <w:numId w:val="3"/>
        </w:numPr>
        <w:autoSpaceDE w:val="0"/>
        <w:autoSpaceDN w:val="0"/>
        <w:adjustRightInd w:val="0"/>
        <w:snapToGrid w:val="0"/>
        <w:ind w:firstLineChars="0"/>
        <w:jc w:val="left"/>
        <w:rPr>
          <w:rFonts w:ascii="宋体" w:hAnsi="宋体"/>
          <w:szCs w:val="21"/>
          <w:shd w:val="clear" w:color="auto" w:fill="FFFF00"/>
        </w:rPr>
      </w:pPr>
      <w:r>
        <w:rPr>
          <w:rFonts w:hint="eastAsia" w:ascii="宋体" w:hAnsi="宋体"/>
          <w:szCs w:val="21"/>
        </w:rPr>
        <w:t>其他内容见投标人须知前附表。</w:t>
      </w:r>
    </w:p>
    <w:bookmarkEnd w:id="50"/>
    <w:bookmarkEnd w:id="148"/>
    <w:bookmarkEnd w:id="149"/>
    <w:bookmarkEnd w:id="150"/>
    <w:bookmarkEnd w:id="151"/>
    <w:bookmarkEnd w:id="152"/>
    <w:bookmarkEnd w:id="153"/>
    <w:p w14:paraId="29D16400">
      <w:pPr>
        <w:widowControl w:val="0"/>
        <w:autoSpaceDE w:val="0"/>
        <w:autoSpaceDN w:val="0"/>
        <w:adjustRightInd w:val="0"/>
        <w:snapToGrid w:val="0"/>
        <w:ind w:firstLine="0" w:firstLineChars="0"/>
        <w:jc w:val="center"/>
        <w:rPr>
          <w:rFonts w:ascii="宋体" w:hAnsi="宋体"/>
          <w:b/>
          <w:sz w:val="32"/>
          <w:szCs w:val="32"/>
        </w:rPr>
      </w:pPr>
      <w:bookmarkStart w:id="281" w:name="_Hlk532141743"/>
      <w:r>
        <w:rPr>
          <w:rFonts w:ascii="宋体" w:hAnsi="宋体"/>
          <w:szCs w:val="21"/>
        </w:rPr>
        <w:br w:type="page"/>
      </w:r>
      <w:r>
        <w:rPr>
          <w:rFonts w:hint="eastAsia" w:ascii="宋体" w:hAnsi="宋体"/>
          <w:b/>
          <w:sz w:val="32"/>
          <w:szCs w:val="32"/>
        </w:rPr>
        <w:t>附件一 特别说明</w:t>
      </w:r>
    </w:p>
    <w:p w14:paraId="401DAF62">
      <w:pPr>
        <w:widowControl w:val="0"/>
        <w:autoSpaceDE w:val="0"/>
        <w:autoSpaceDN w:val="0"/>
        <w:adjustRightInd w:val="0"/>
        <w:snapToGrid w:val="0"/>
        <w:ind w:firstLine="0" w:firstLineChars="0"/>
        <w:jc w:val="left"/>
        <w:rPr>
          <w:rFonts w:ascii="宋体" w:hAnsi="宋体"/>
        </w:rPr>
      </w:pPr>
      <w:r>
        <w:rPr>
          <w:rFonts w:hint="eastAsia" w:ascii="宋体" w:hAnsi="宋体"/>
        </w:rPr>
        <w:t>招标投标分段限时异议的规定：</w:t>
      </w:r>
    </w:p>
    <w:p w14:paraId="0A8A4130">
      <w:pPr>
        <w:widowControl w:val="0"/>
        <w:autoSpaceDE w:val="0"/>
        <w:autoSpaceDN w:val="0"/>
        <w:adjustRightInd w:val="0"/>
        <w:snapToGrid w:val="0"/>
        <w:ind w:firstLine="0" w:firstLineChars="0"/>
        <w:jc w:val="left"/>
        <w:rPr>
          <w:rFonts w:ascii="宋体" w:hAnsi="宋体"/>
        </w:rPr>
      </w:pPr>
      <w:r>
        <w:rPr>
          <w:rFonts w:hint="eastAsia" w:ascii="宋体" w:hAnsi="宋体"/>
        </w:rPr>
        <w:t>（1）为提高招标投标活动效率，本次招标投标各阶段的异议处理按“分段限时异议”原则进行。异议人在知道或者应当知道其权益受到侵害之日起10日内未提出书面异议或超过本规定要求投诉时效的，可以不受理该异议。</w:t>
      </w:r>
    </w:p>
    <w:p w14:paraId="6393F8F9">
      <w:pPr>
        <w:widowControl w:val="0"/>
        <w:autoSpaceDE w:val="0"/>
        <w:autoSpaceDN w:val="0"/>
        <w:adjustRightInd w:val="0"/>
        <w:snapToGrid w:val="0"/>
        <w:ind w:firstLine="0" w:firstLineChars="0"/>
        <w:jc w:val="left"/>
        <w:rPr>
          <w:rFonts w:ascii="宋体" w:hAnsi="宋体"/>
        </w:rPr>
      </w:pPr>
      <w:r>
        <w:rPr>
          <w:rFonts w:hint="eastAsia" w:ascii="宋体" w:hAnsi="宋体"/>
        </w:rPr>
        <w:t>（2）对招标公告内容的质疑时限：公告发布首日起五日内。</w:t>
      </w:r>
    </w:p>
    <w:p w14:paraId="3F75B25A">
      <w:pPr>
        <w:widowControl w:val="0"/>
        <w:autoSpaceDE w:val="0"/>
        <w:autoSpaceDN w:val="0"/>
        <w:adjustRightInd w:val="0"/>
        <w:snapToGrid w:val="0"/>
        <w:ind w:firstLine="0" w:firstLineChars="0"/>
        <w:jc w:val="left"/>
        <w:rPr>
          <w:rFonts w:ascii="宋体" w:hAnsi="宋体"/>
        </w:rPr>
      </w:pPr>
      <w:bookmarkStart w:id="282" w:name="auto_fouce_8"/>
      <w:r>
        <w:rPr>
          <w:rFonts w:hint="eastAsia" w:ascii="宋体" w:hAnsi="宋体"/>
        </w:rPr>
        <w:t>（3）对招标文件内容的质疑时限：提交投标文件截止五日前提出；补遗或答疑文件发出后的下一个工作日内。</w:t>
      </w:r>
      <w:bookmarkEnd w:id="282"/>
    </w:p>
    <w:p w14:paraId="1AD46456">
      <w:pPr>
        <w:widowControl w:val="0"/>
        <w:autoSpaceDE w:val="0"/>
        <w:autoSpaceDN w:val="0"/>
        <w:adjustRightInd w:val="0"/>
        <w:snapToGrid w:val="0"/>
        <w:ind w:firstLine="0" w:firstLineChars="0"/>
        <w:jc w:val="left"/>
        <w:rPr>
          <w:rFonts w:ascii="宋体" w:hAnsi="宋体"/>
        </w:rPr>
      </w:pPr>
      <w:r>
        <w:rPr>
          <w:rFonts w:hint="eastAsia" w:ascii="宋体" w:hAnsi="宋体"/>
        </w:rPr>
        <w:t>（4）对开标过程的异议时限：开标结束前提出。</w:t>
      </w:r>
    </w:p>
    <w:p w14:paraId="739F6ADD">
      <w:pPr>
        <w:widowControl w:val="0"/>
        <w:autoSpaceDE w:val="0"/>
        <w:autoSpaceDN w:val="0"/>
        <w:adjustRightInd w:val="0"/>
        <w:snapToGrid w:val="0"/>
        <w:ind w:firstLine="0" w:firstLineChars="0"/>
        <w:jc w:val="left"/>
        <w:rPr>
          <w:rFonts w:hint="eastAsia" w:ascii="宋体" w:hAnsi="宋体"/>
        </w:rPr>
      </w:pPr>
      <w:bookmarkStart w:id="283" w:name="_Hlk46484013"/>
      <w:r>
        <w:rPr>
          <w:rFonts w:hint="eastAsia" w:ascii="宋体" w:hAnsi="宋体"/>
        </w:rPr>
        <w:t>（5）对评标或定标结果异议时限：</w:t>
      </w:r>
      <w:r>
        <w:rPr>
          <w:rFonts w:hint="eastAsia" w:ascii="宋体" w:hAnsi="宋体"/>
          <w:szCs w:val="21"/>
        </w:rPr>
        <w:t>中标候选人公示</w:t>
      </w:r>
      <w:r>
        <w:rPr>
          <w:rFonts w:hint="eastAsia" w:ascii="宋体" w:hAnsi="宋体"/>
        </w:rPr>
        <w:t>期间。</w:t>
      </w:r>
      <w:bookmarkEnd w:id="283"/>
    </w:p>
    <w:bookmarkEnd w:id="281"/>
    <w:p w14:paraId="4142A259">
      <w:pPr>
        <w:widowControl w:val="0"/>
        <w:autoSpaceDE w:val="0"/>
        <w:autoSpaceDN w:val="0"/>
        <w:adjustRightInd w:val="0"/>
        <w:snapToGrid w:val="0"/>
        <w:ind w:firstLine="0" w:firstLineChars="0"/>
        <w:jc w:val="left"/>
        <w:rPr>
          <w:rFonts w:ascii="宋体" w:hAnsi="宋体"/>
          <w:sz w:val="84"/>
          <w:szCs w:val="84"/>
        </w:rPr>
      </w:pPr>
      <w:r>
        <w:rPr>
          <w:rFonts w:ascii="宋体" w:hAnsi="宋体"/>
        </w:rPr>
        <w:br w:type="page"/>
      </w:r>
      <w:bookmarkStart w:id="284" w:name="_Toc152045598"/>
      <w:bookmarkStart w:id="285" w:name="_Toc152042375"/>
      <w:bookmarkStart w:id="286" w:name="_Toc144974565"/>
      <w:bookmarkStart w:id="287" w:name="_Hlk532142035"/>
    </w:p>
    <w:p w14:paraId="21271882">
      <w:pPr>
        <w:widowControl w:val="0"/>
        <w:autoSpaceDE w:val="0"/>
        <w:autoSpaceDN w:val="0"/>
        <w:adjustRightInd w:val="0"/>
        <w:snapToGrid w:val="0"/>
        <w:ind w:firstLine="0" w:firstLineChars="0"/>
        <w:jc w:val="left"/>
        <w:rPr>
          <w:rFonts w:ascii="宋体" w:hAnsi="宋体"/>
          <w:sz w:val="84"/>
          <w:szCs w:val="84"/>
        </w:rPr>
      </w:pPr>
    </w:p>
    <w:p w14:paraId="042A4615">
      <w:pPr>
        <w:widowControl w:val="0"/>
        <w:autoSpaceDE w:val="0"/>
        <w:autoSpaceDN w:val="0"/>
        <w:adjustRightInd w:val="0"/>
        <w:snapToGrid w:val="0"/>
        <w:ind w:firstLine="0" w:firstLineChars="0"/>
        <w:jc w:val="left"/>
        <w:rPr>
          <w:rFonts w:ascii="宋体" w:hAnsi="宋体"/>
          <w:sz w:val="84"/>
          <w:szCs w:val="84"/>
        </w:rPr>
      </w:pPr>
    </w:p>
    <w:p w14:paraId="6CB7CF42">
      <w:pPr>
        <w:widowControl w:val="0"/>
        <w:autoSpaceDE w:val="0"/>
        <w:autoSpaceDN w:val="0"/>
        <w:adjustRightInd w:val="0"/>
        <w:snapToGrid w:val="0"/>
        <w:ind w:firstLine="0" w:firstLineChars="0"/>
        <w:jc w:val="left"/>
        <w:rPr>
          <w:rFonts w:ascii="宋体" w:hAnsi="宋体"/>
          <w:sz w:val="84"/>
          <w:szCs w:val="84"/>
        </w:rPr>
      </w:pPr>
    </w:p>
    <w:p w14:paraId="1F039057">
      <w:pPr>
        <w:widowControl w:val="0"/>
        <w:autoSpaceDE w:val="0"/>
        <w:autoSpaceDN w:val="0"/>
        <w:adjustRightInd w:val="0"/>
        <w:snapToGrid w:val="0"/>
        <w:ind w:firstLine="0" w:firstLineChars="0"/>
        <w:jc w:val="center"/>
        <w:outlineLvl w:val="0"/>
        <w:rPr>
          <w:rFonts w:hint="eastAsia" w:ascii="宋体" w:hAnsi="宋体"/>
        </w:rPr>
      </w:pPr>
      <w:bookmarkStart w:id="288" w:name="_Toc7734"/>
      <w:bookmarkStart w:id="289" w:name="_Toc4157"/>
      <w:bookmarkStart w:id="290" w:name="_Toc23212"/>
      <w:bookmarkStart w:id="291" w:name="_Toc4473"/>
      <w:bookmarkStart w:id="292" w:name="_Toc14196"/>
      <w:bookmarkStart w:id="293" w:name="_Toc12297"/>
      <w:r>
        <w:rPr>
          <w:rFonts w:hint="eastAsia" w:ascii="宋体" w:hAnsi="宋体"/>
          <w:b/>
          <w:bCs/>
          <w:sz w:val="48"/>
          <w:szCs w:val="48"/>
        </w:rPr>
        <w:t>第二章 评定标办法（</w:t>
      </w:r>
      <w:r>
        <w:rPr>
          <w:rFonts w:hint="eastAsia" w:ascii="宋体" w:hAnsi="宋体"/>
          <w:b/>
          <w:bCs/>
          <w:sz w:val="48"/>
          <w:szCs w:val="48"/>
          <w:u w:val="single"/>
          <w:lang w:val="en-US" w:eastAsia="zh-CN"/>
        </w:rPr>
        <w:t>综合评分</w:t>
      </w:r>
      <w:r>
        <w:rPr>
          <w:rFonts w:hint="eastAsia" w:ascii="宋体" w:hAnsi="宋体"/>
          <w:b/>
          <w:bCs/>
          <w:sz w:val="48"/>
          <w:szCs w:val="48"/>
        </w:rPr>
        <w:t>法）</w:t>
      </w:r>
      <w:bookmarkEnd w:id="284"/>
      <w:bookmarkEnd w:id="285"/>
      <w:bookmarkEnd w:id="286"/>
      <w:bookmarkEnd w:id="288"/>
      <w:bookmarkEnd w:id="289"/>
      <w:bookmarkEnd w:id="290"/>
      <w:bookmarkEnd w:id="291"/>
      <w:bookmarkEnd w:id="292"/>
      <w:bookmarkEnd w:id="293"/>
      <w:bookmarkStart w:id="294" w:name="_Toc152042377"/>
      <w:bookmarkStart w:id="295" w:name="_Toc330213998"/>
      <w:bookmarkStart w:id="296" w:name="_Toc144974567"/>
      <w:bookmarkStart w:id="297" w:name="_Toc379581361"/>
      <w:bookmarkStart w:id="298" w:name="_Toc152045600"/>
    </w:p>
    <w:p w14:paraId="635160BC">
      <w:pPr>
        <w:widowControl w:val="0"/>
        <w:autoSpaceDE w:val="0"/>
        <w:autoSpaceDN w:val="0"/>
        <w:adjustRightInd w:val="0"/>
        <w:snapToGrid w:val="0"/>
        <w:ind w:firstLine="0" w:firstLineChars="0"/>
        <w:jc w:val="center"/>
        <w:outlineLvl w:val="1"/>
        <w:rPr>
          <w:rFonts w:ascii="宋体" w:hAnsi="宋体"/>
          <w:b/>
          <w:sz w:val="32"/>
          <w:szCs w:val="32"/>
        </w:rPr>
      </w:pPr>
      <w:r>
        <w:rPr>
          <w:rFonts w:ascii="宋体" w:hAnsi="宋体"/>
        </w:rPr>
        <w:br w:type="page"/>
      </w:r>
      <w:bookmarkStart w:id="299" w:name="_Toc13474"/>
      <w:bookmarkStart w:id="300" w:name="_Toc8431"/>
      <w:bookmarkStart w:id="301" w:name="_Toc32699"/>
      <w:bookmarkStart w:id="302" w:name="_Toc21837"/>
      <w:r>
        <w:rPr>
          <w:rFonts w:hint="eastAsia" w:ascii="宋体" w:hAnsi="宋体"/>
          <w:b/>
          <w:sz w:val="32"/>
          <w:szCs w:val="32"/>
        </w:rPr>
        <w:t>一、评标须知</w:t>
      </w:r>
      <w:bookmarkEnd w:id="299"/>
      <w:bookmarkEnd w:id="300"/>
      <w:bookmarkEnd w:id="301"/>
      <w:bookmarkEnd w:id="302"/>
    </w:p>
    <w:p w14:paraId="509D4322">
      <w:pPr>
        <w:widowControl w:val="0"/>
        <w:numPr>
          <w:ilvl w:val="0"/>
          <w:numId w:val="4"/>
        </w:numPr>
        <w:autoSpaceDE w:val="0"/>
        <w:autoSpaceDN w:val="0"/>
        <w:adjustRightInd w:val="0"/>
        <w:snapToGrid w:val="0"/>
        <w:ind w:firstLineChars="0"/>
        <w:jc w:val="left"/>
        <w:rPr>
          <w:rFonts w:ascii="宋体" w:hAnsi="宋体"/>
          <w:b/>
        </w:rPr>
      </w:pPr>
      <w:bookmarkStart w:id="303" w:name="_Toc291178115"/>
      <w:bookmarkStart w:id="304" w:name="_Toc350872399"/>
      <w:bookmarkStart w:id="305" w:name="_Toc523252723"/>
      <w:bookmarkStart w:id="306" w:name="_Toc351032831"/>
      <w:bookmarkStart w:id="307" w:name="_Toc290992891"/>
      <w:bookmarkStart w:id="308" w:name="_Toc361737576"/>
      <w:r>
        <w:rPr>
          <w:rFonts w:hint="eastAsia" w:ascii="宋体" w:hAnsi="宋体"/>
          <w:b/>
        </w:rPr>
        <w:t>评标人员守则</w:t>
      </w:r>
      <w:bookmarkEnd w:id="303"/>
      <w:bookmarkEnd w:id="304"/>
      <w:bookmarkEnd w:id="305"/>
      <w:bookmarkEnd w:id="306"/>
      <w:bookmarkEnd w:id="307"/>
      <w:bookmarkEnd w:id="308"/>
    </w:p>
    <w:p w14:paraId="0C2B4587">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rPr>
        <w:t>所有参加评标人员必须遵守国家及有关地方制定的有关招标投标的法则、规定，遵守有关采购招标投标的保密制度；如果发现评委徇私，违反纪律，则招标人有权取消其评标资格，并报直管部门或有关监督部门备案；情节严重，构成犯罪的，由司法机关依法追究其刑事责任。</w:t>
      </w:r>
    </w:p>
    <w:p w14:paraId="24DF5FD8">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rPr>
        <w:t>全体参与评标人员：</w:t>
      </w:r>
    </w:p>
    <w:p w14:paraId="3AD295B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必须遵守评标纪律、不得泄密；</w:t>
      </w:r>
    </w:p>
    <w:p w14:paraId="4FCE982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必须公正、不得</w:t>
      </w:r>
      <w:r>
        <w:rPr>
          <w:rFonts w:hint="eastAsia" w:ascii="宋体" w:hAnsi="宋体"/>
        </w:rPr>
        <w:t>徇</w:t>
      </w:r>
      <w:r>
        <w:rPr>
          <w:rFonts w:hint="eastAsia" w:ascii="宋体" w:hAnsi="宋体"/>
          <w:szCs w:val="21"/>
        </w:rPr>
        <w:t>私；</w:t>
      </w:r>
    </w:p>
    <w:p w14:paraId="674EDAB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必须科学、不得草率；</w:t>
      </w:r>
    </w:p>
    <w:p w14:paraId="29B5611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必须客观、不得带有成见；</w:t>
      </w:r>
    </w:p>
    <w:p w14:paraId="0709F51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必须平等、不得强加于人；</w:t>
      </w:r>
    </w:p>
    <w:p w14:paraId="02AF166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必须严谨、不得随意马虎。</w:t>
      </w:r>
    </w:p>
    <w:p w14:paraId="725DF802">
      <w:pPr>
        <w:widowControl w:val="0"/>
        <w:autoSpaceDE w:val="0"/>
        <w:autoSpaceDN w:val="0"/>
        <w:adjustRightInd w:val="0"/>
        <w:snapToGrid w:val="0"/>
        <w:ind w:firstLine="0" w:firstLineChars="0"/>
        <w:jc w:val="left"/>
        <w:rPr>
          <w:rFonts w:hint="eastAsia" w:ascii="宋体" w:hAnsi="宋体"/>
          <w:szCs w:val="21"/>
        </w:rPr>
      </w:pPr>
    </w:p>
    <w:p w14:paraId="03B101AD">
      <w:pPr>
        <w:widowControl w:val="0"/>
        <w:numPr>
          <w:ilvl w:val="0"/>
          <w:numId w:val="4"/>
        </w:numPr>
        <w:autoSpaceDE w:val="0"/>
        <w:autoSpaceDN w:val="0"/>
        <w:adjustRightInd w:val="0"/>
        <w:snapToGrid w:val="0"/>
        <w:ind w:firstLineChars="0"/>
        <w:jc w:val="left"/>
        <w:rPr>
          <w:rFonts w:ascii="宋体" w:hAnsi="宋体"/>
          <w:b/>
        </w:rPr>
      </w:pPr>
      <w:r>
        <w:rPr>
          <w:rFonts w:hint="eastAsia" w:ascii="宋体" w:hAnsi="宋体"/>
          <w:b/>
        </w:rPr>
        <w:t>评标步骤</w:t>
      </w:r>
    </w:p>
    <w:p w14:paraId="1595E554">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rPr>
        <w:t>全部评标过程将按以下步骤进行：</w:t>
      </w:r>
    </w:p>
    <w:p w14:paraId="5D7F817B">
      <w:pPr>
        <w:widowControl w:val="0"/>
        <w:numPr>
          <w:ilvl w:val="2"/>
          <w:numId w:val="4"/>
        </w:numPr>
        <w:autoSpaceDE w:val="0"/>
        <w:autoSpaceDN w:val="0"/>
        <w:adjustRightInd w:val="0"/>
        <w:snapToGrid w:val="0"/>
        <w:ind w:firstLineChars="0"/>
        <w:jc w:val="left"/>
        <w:rPr>
          <w:rFonts w:ascii="宋体" w:hAnsi="宋体"/>
          <w:szCs w:val="21"/>
        </w:rPr>
      </w:pPr>
      <w:r>
        <w:rPr>
          <w:rFonts w:ascii="宋体" w:hAnsi="宋体"/>
          <w:szCs w:val="21"/>
        </w:rPr>
        <w:t>评标准备</w:t>
      </w:r>
      <w:r>
        <w:rPr>
          <w:rFonts w:hint="eastAsia" w:ascii="宋体" w:hAnsi="宋体"/>
          <w:szCs w:val="21"/>
        </w:rPr>
        <w:t>；</w:t>
      </w:r>
    </w:p>
    <w:p w14:paraId="0E4DF373">
      <w:pPr>
        <w:widowControl w:val="0"/>
        <w:numPr>
          <w:ilvl w:val="2"/>
          <w:numId w:val="4"/>
        </w:numPr>
        <w:autoSpaceDE w:val="0"/>
        <w:autoSpaceDN w:val="0"/>
        <w:adjustRightInd w:val="0"/>
        <w:snapToGrid w:val="0"/>
        <w:ind w:firstLineChars="0"/>
        <w:jc w:val="left"/>
        <w:rPr>
          <w:rFonts w:ascii="宋体" w:hAnsi="宋体"/>
          <w:bCs/>
        </w:rPr>
      </w:pPr>
      <w:r>
        <w:rPr>
          <w:rFonts w:hint="eastAsia" w:ascii="宋体" w:hAnsi="宋体"/>
          <w:bCs/>
        </w:rPr>
        <w:t>否决性评审</w:t>
      </w:r>
      <w:r>
        <w:rPr>
          <w:rFonts w:ascii="宋体" w:hAnsi="宋体"/>
          <w:bCs/>
        </w:rPr>
        <w:t>；</w:t>
      </w:r>
    </w:p>
    <w:p w14:paraId="08CD9E32">
      <w:pPr>
        <w:widowControl w:val="0"/>
        <w:numPr>
          <w:ilvl w:val="2"/>
          <w:numId w:val="4"/>
        </w:numPr>
        <w:autoSpaceDE w:val="0"/>
        <w:autoSpaceDN w:val="0"/>
        <w:adjustRightInd w:val="0"/>
        <w:snapToGrid w:val="0"/>
        <w:ind w:firstLineChars="0"/>
        <w:jc w:val="left"/>
        <w:rPr>
          <w:rFonts w:ascii="宋体" w:hAnsi="宋体"/>
          <w:szCs w:val="21"/>
        </w:rPr>
      </w:pPr>
      <w:r>
        <w:rPr>
          <w:rFonts w:hint="eastAsia" w:ascii="宋体" w:hAnsi="宋体"/>
          <w:szCs w:val="21"/>
        </w:rPr>
        <w:t>初步评审；</w:t>
      </w:r>
    </w:p>
    <w:p w14:paraId="71A20EB3">
      <w:pPr>
        <w:widowControl w:val="0"/>
        <w:numPr>
          <w:ilvl w:val="2"/>
          <w:numId w:val="4"/>
        </w:numPr>
        <w:autoSpaceDE w:val="0"/>
        <w:autoSpaceDN w:val="0"/>
        <w:adjustRightInd w:val="0"/>
        <w:snapToGrid w:val="0"/>
        <w:ind w:firstLineChars="0"/>
        <w:jc w:val="left"/>
        <w:rPr>
          <w:rFonts w:ascii="宋体" w:hAnsi="宋体"/>
          <w:szCs w:val="21"/>
        </w:rPr>
      </w:pPr>
      <w:r>
        <w:rPr>
          <w:rFonts w:hint="eastAsia" w:ascii="宋体" w:hAnsi="宋体"/>
          <w:szCs w:val="21"/>
        </w:rPr>
        <w:t>详细评审；</w:t>
      </w:r>
    </w:p>
    <w:p w14:paraId="723B01CC">
      <w:pPr>
        <w:widowControl w:val="0"/>
        <w:numPr>
          <w:ilvl w:val="2"/>
          <w:numId w:val="4"/>
        </w:numPr>
        <w:autoSpaceDE w:val="0"/>
        <w:autoSpaceDN w:val="0"/>
        <w:adjustRightInd w:val="0"/>
        <w:snapToGrid w:val="0"/>
        <w:ind w:firstLineChars="0"/>
        <w:jc w:val="left"/>
        <w:rPr>
          <w:rFonts w:ascii="宋体" w:hAnsi="宋体"/>
          <w:szCs w:val="21"/>
        </w:rPr>
      </w:pPr>
      <w:r>
        <w:rPr>
          <w:rFonts w:ascii="宋体" w:hAnsi="宋体"/>
          <w:szCs w:val="21"/>
        </w:rPr>
        <w:t>评标报告</w:t>
      </w:r>
      <w:r>
        <w:rPr>
          <w:rFonts w:hint="eastAsia" w:ascii="宋体" w:hAnsi="宋体"/>
          <w:szCs w:val="21"/>
        </w:rPr>
        <w:t>。</w:t>
      </w:r>
    </w:p>
    <w:p w14:paraId="54571892">
      <w:pPr>
        <w:widowControl w:val="0"/>
        <w:autoSpaceDE w:val="0"/>
        <w:autoSpaceDN w:val="0"/>
        <w:adjustRightInd w:val="0"/>
        <w:snapToGrid w:val="0"/>
        <w:ind w:firstLine="0" w:firstLineChars="0"/>
        <w:jc w:val="left"/>
        <w:rPr>
          <w:rFonts w:hint="eastAsia" w:ascii="宋体" w:hAnsi="宋体"/>
          <w:szCs w:val="21"/>
        </w:rPr>
      </w:pPr>
    </w:p>
    <w:p w14:paraId="45072EDA">
      <w:pPr>
        <w:widowControl w:val="0"/>
        <w:numPr>
          <w:ilvl w:val="0"/>
          <w:numId w:val="4"/>
        </w:numPr>
        <w:autoSpaceDE w:val="0"/>
        <w:autoSpaceDN w:val="0"/>
        <w:adjustRightInd w:val="0"/>
        <w:snapToGrid w:val="0"/>
        <w:ind w:firstLineChars="0"/>
        <w:jc w:val="left"/>
        <w:rPr>
          <w:rFonts w:ascii="宋体" w:hAnsi="宋体"/>
          <w:b/>
        </w:rPr>
      </w:pPr>
      <w:bookmarkStart w:id="309" w:name="_Toc523252725"/>
      <w:r>
        <w:rPr>
          <w:rFonts w:ascii="宋体" w:hAnsi="宋体"/>
          <w:b/>
        </w:rPr>
        <w:t>评标准备</w:t>
      </w:r>
      <w:bookmarkEnd w:id="309"/>
    </w:p>
    <w:p w14:paraId="7BF033AD">
      <w:pPr>
        <w:widowControl w:val="0"/>
        <w:numPr>
          <w:ilvl w:val="1"/>
          <w:numId w:val="4"/>
        </w:numPr>
        <w:autoSpaceDE w:val="0"/>
        <w:autoSpaceDN w:val="0"/>
        <w:adjustRightInd w:val="0"/>
        <w:snapToGrid w:val="0"/>
        <w:ind w:firstLineChars="0"/>
        <w:jc w:val="left"/>
        <w:rPr>
          <w:rFonts w:ascii="宋体" w:hAnsi="宋体"/>
          <w:b/>
        </w:rPr>
      </w:pPr>
      <w:r>
        <w:rPr>
          <w:rFonts w:ascii="宋体" w:hAnsi="宋体"/>
        </w:rPr>
        <w:t>评标委员会</w:t>
      </w:r>
      <w:r>
        <w:rPr>
          <w:rFonts w:hint="eastAsia" w:ascii="宋体" w:hAnsi="宋体"/>
        </w:rPr>
        <w:t>人员</w:t>
      </w:r>
      <w:r>
        <w:rPr>
          <w:rFonts w:ascii="宋体" w:hAnsi="宋体"/>
        </w:rPr>
        <w:t>进入评标室后，首先推选</w:t>
      </w:r>
      <w:r>
        <w:rPr>
          <w:rFonts w:hint="eastAsia" w:ascii="宋体" w:hAnsi="宋体"/>
        </w:rPr>
        <w:t>一名专家担任</w:t>
      </w:r>
      <w:r>
        <w:rPr>
          <w:rFonts w:ascii="宋体" w:hAnsi="宋体"/>
        </w:rPr>
        <w:t>评标委员会</w:t>
      </w:r>
      <w:r>
        <w:rPr>
          <w:rFonts w:hint="eastAsia" w:ascii="宋体" w:hAnsi="宋体"/>
        </w:rPr>
        <w:t>组长</w:t>
      </w:r>
      <w:r>
        <w:rPr>
          <w:rFonts w:ascii="宋体" w:hAnsi="宋体"/>
        </w:rPr>
        <w:t>。评标委员会</w:t>
      </w:r>
      <w:r>
        <w:rPr>
          <w:rFonts w:hint="eastAsia" w:ascii="宋体" w:hAnsi="宋体"/>
        </w:rPr>
        <w:t>组长</w:t>
      </w:r>
      <w:r>
        <w:rPr>
          <w:rFonts w:ascii="宋体" w:hAnsi="宋体"/>
        </w:rPr>
        <w:t>负责评标过程中的组织工作，引导评标委员会按约定的程序</w:t>
      </w:r>
      <w:r>
        <w:rPr>
          <w:rFonts w:hint="eastAsia" w:ascii="宋体" w:hAnsi="宋体"/>
        </w:rPr>
        <w:t>进行</w:t>
      </w:r>
      <w:r>
        <w:rPr>
          <w:rFonts w:ascii="宋体" w:hAnsi="宋体"/>
        </w:rPr>
        <w:t>评标。</w:t>
      </w:r>
    </w:p>
    <w:p w14:paraId="75BC3A9B">
      <w:pPr>
        <w:widowControl w:val="0"/>
        <w:numPr>
          <w:ilvl w:val="1"/>
          <w:numId w:val="4"/>
        </w:numPr>
        <w:autoSpaceDE w:val="0"/>
        <w:autoSpaceDN w:val="0"/>
        <w:adjustRightInd w:val="0"/>
        <w:snapToGrid w:val="0"/>
        <w:ind w:firstLineChars="0"/>
        <w:jc w:val="left"/>
        <w:rPr>
          <w:rFonts w:ascii="宋体" w:hAnsi="宋体"/>
          <w:b/>
        </w:rPr>
      </w:pPr>
      <w:r>
        <w:rPr>
          <w:rFonts w:ascii="宋体" w:hAnsi="宋体"/>
        </w:rPr>
        <w:t>评标委员会</w:t>
      </w:r>
      <w:r>
        <w:rPr>
          <w:rFonts w:hint="eastAsia" w:ascii="宋体" w:hAnsi="宋体"/>
        </w:rPr>
        <w:t>人员应当</w:t>
      </w:r>
      <w:r>
        <w:rPr>
          <w:rFonts w:ascii="宋体" w:hAnsi="宋体"/>
        </w:rPr>
        <w:t>熟悉</w:t>
      </w:r>
      <w:r>
        <w:rPr>
          <w:rFonts w:hint="eastAsia" w:ascii="宋体" w:hAnsi="宋体"/>
        </w:rPr>
        <w:t>招标文件、评标方法等有关文件，</w:t>
      </w:r>
      <w:r>
        <w:rPr>
          <w:rFonts w:ascii="宋体" w:hAnsi="宋体"/>
        </w:rPr>
        <w:t>包括</w:t>
      </w:r>
      <w:r>
        <w:rPr>
          <w:rFonts w:hint="eastAsia" w:ascii="宋体" w:hAnsi="宋体"/>
        </w:rPr>
        <w:t>项目概</w:t>
      </w:r>
      <w:r>
        <w:rPr>
          <w:rFonts w:ascii="宋体" w:hAnsi="宋体"/>
        </w:rPr>
        <w:t>况</w:t>
      </w:r>
      <w:r>
        <w:rPr>
          <w:rFonts w:hint="eastAsia" w:ascii="宋体" w:hAnsi="宋体"/>
        </w:rPr>
        <w:t>、</w:t>
      </w:r>
      <w:r>
        <w:rPr>
          <w:rFonts w:ascii="宋体" w:hAnsi="宋体"/>
        </w:rPr>
        <w:t>招标范围</w:t>
      </w:r>
      <w:r>
        <w:rPr>
          <w:rFonts w:hint="eastAsia" w:ascii="宋体" w:hAnsi="宋体"/>
        </w:rPr>
        <w:t>、</w:t>
      </w:r>
      <w:r>
        <w:rPr>
          <w:rFonts w:ascii="宋体" w:hAnsi="宋体"/>
        </w:rPr>
        <w:t>招标目的</w:t>
      </w:r>
      <w:r>
        <w:rPr>
          <w:rFonts w:hint="eastAsia" w:ascii="宋体" w:hAnsi="宋体"/>
        </w:rPr>
        <w:t>、</w:t>
      </w:r>
      <w:r>
        <w:rPr>
          <w:rFonts w:ascii="宋体" w:hAnsi="宋体"/>
        </w:rPr>
        <w:t>评标方法</w:t>
      </w:r>
      <w:r>
        <w:rPr>
          <w:rFonts w:hint="eastAsia" w:ascii="宋体" w:hAnsi="宋体"/>
        </w:rPr>
        <w:t>、</w:t>
      </w:r>
      <w:r>
        <w:rPr>
          <w:rFonts w:ascii="宋体" w:hAnsi="宋体"/>
        </w:rPr>
        <w:t>评标</w:t>
      </w:r>
      <w:r>
        <w:rPr>
          <w:rFonts w:hint="eastAsia" w:ascii="宋体" w:hAnsi="宋体"/>
        </w:rPr>
        <w:t>所</w:t>
      </w:r>
      <w:r>
        <w:rPr>
          <w:rFonts w:ascii="宋体" w:hAnsi="宋体"/>
        </w:rPr>
        <w:t>用表格等。</w:t>
      </w:r>
    </w:p>
    <w:p w14:paraId="08A3BF7F">
      <w:pPr>
        <w:pStyle w:val="19"/>
        <w:ind w:firstLine="420"/>
        <w:rPr>
          <w:rFonts w:hint="eastAsia"/>
        </w:rPr>
      </w:pPr>
    </w:p>
    <w:p w14:paraId="5DA22E56">
      <w:pPr>
        <w:widowControl w:val="0"/>
        <w:numPr>
          <w:ilvl w:val="0"/>
          <w:numId w:val="4"/>
        </w:numPr>
        <w:autoSpaceDE w:val="0"/>
        <w:autoSpaceDN w:val="0"/>
        <w:adjustRightInd w:val="0"/>
        <w:snapToGrid w:val="0"/>
        <w:ind w:firstLineChars="0"/>
        <w:jc w:val="left"/>
        <w:rPr>
          <w:rFonts w:ascii="宋体" w:hAnsi="宋体"/>
          <w:b/>
        </w:rPr>
      </w:pPr>
      <w:bookmarkStart w:id="310" w:name="auto_fouce_9"/>
      <w:r>
        <w:rPr>
          <w:rFonts w:hint="eastAsia" w:ascii="宋体" w:hAnsi="宋体"/>
          <w:b/>
        </w:rPr>
        <w:t>否决性评审</w:t>
      </w:r>
    </w:p>
    <w:p w14:paraId="47E5712F">
      <w:pPr>
        <w:widowControl w:val="0"/>
        <w:numPr>
          <w:ilvl w:val="1"/>
          <w:numId w:val="4"/>
        </w:numPr>
        <w:autoSpaceDE w:val="0"/>
        <w:autoSpaceDN w:val="0"/>
        <w:adjustRightInd w:val="0"/>
        <w:snapToGrid w:val="0"/>
        <w:ind w:firstLineChars="0"/>
        <w:jc w:val="left"/>
        <w:rPr>
          <w:rFonts w:hint="eastAsia" w:ascii="宋体" w:hAnsi="宋体"/>
          <w:b/>
        </w:rPr>
      </w:pPr>
      <w:r>
        <w:rPr>
          <w:rFonts w:hint="eastAsia" w:ascii="宋体" w:hAnsi="宋体"/>
        </w:rPr>
        <w:t>投标人的投标文件是否由同一单位或者个人编制；</w:t>
      </w:r>
    </w:p>
    <w:p w14:paraId="546EC6E8">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snapToGrid w:val="0"/>
          <w:kern w:val="0"/>
        </w:rPr>
        <w:t>投标人的投标文件是否由同一家投标单位编制</w:t>
      </w:r>
      <w:r>
        <w:rPr>
          <w:rFonts w:hint="eastAsia" w:ascii="宋体" w:hAnsi="宋体"/>
        </w:rPr>
        <w:t>。</w:t>
      </w:r>
      <w:bookmarkEnd w:id="310"/>
    </w:p>
    <w:p w14:paraId="0D868B4C">
      <w:pPr>
        <w:widowControl w:val="0"/>
        <w:numPr>
          <w:ilvl w:val="0"/>
          <w:numId w:val="4"/>
        </w:numPr>
        <w:autoSpaceDE w:val="0"/>
        <w:autoSpaceDN w:val="0"/>
        <w:adjustRightInd w:val="0"/>
        <w:snapToGrid w:val="0"/>
        <w:ind w:firstLineChars="0"/>
        <w:jc w:val="left"/>
        <w:rPr>
          <w:rFonts w:ascii="宋体" w:hAnsi="宋体"/>
          <w:b/>
        </w:rPr>
      </w:pPr>
      <w:r>
        <w:rPr>
          <w:rFonts w:ascii="宋体" w:hAnsi="宋体"/>
          <w:b/>
        </w:rPr>
        <w:t>废标条件</w:t>
      </w:r>
    </w:p>
    <w:p w14:paraId="7CE86520">
      <w:pPr>
        <w:widowControl w:val="0"/>
        <w:numPr>
          <w:ilvl w:val="1"/>
          <w:numId w:val="4"/>
        </w:numPr>
        <w:autoSpaceDE w:val="0"/>
        <w:autoSpaceDN w:val="0"/>
        <w:adjustRightInd w:val="0"/>
        <w:snapToGrid w:val="0"/>
        <w:ind w:firstLineChars="0"/>
        <w:jc w:val="left"/>
        <w:rPr>
          <w:rFonts w:ascii="宋体" w:hAnsi="宋体"/>
          <w:b/>
        </w:rPr>
      </w:pPr>
      <w:r>
        <w:rPr>
          <w:rFonts w:hint="eastAsia" w:ascii="宋体" w:hAnsi="宋体"/>
          <w:szCs w:val="21"/>
        </w:rPr>
        <w:t>详见投标人须知：否决性条款摘要。</w:t>
      </w:r>
    </w:p>
    <w:p w14:paraId="4BB439AA">
      <w:pPr>
        <w:widowControl w:val="0"/>
        <w:numPr>
          <w:ilvl w:val="0"/>
          <w:numId w:val="4"/>
        </w:numPr>
        <w:autoSpaceDE w:val="0"/>
        <w:autoSpaceDN w:val="0"/>
        <w:adjustRightInd w:val="0"/>
        <w:snapToGrid w:val="0"/>
        <w:ind w:firstLineChars="0"/>
        <w:jc w:val="left"/>
        <w:rPr>
          <w:rFonts w:ascii="宋体" w:hAnsi="宋体"/>
          <w:b/>
        </w:rPr>
      </w:pPr>
      <w:bookmarkStart w:id="311" w:name="_Toc350872401"/>
      <w:bookmarkStart w:id="312" w:name="_Toc290992893"/>
      <w:bookmarkStart w:id="313" w:name="_Toc291178117"/>
      <w:bookmarkStart w:id="314" w:name="_Toc361737578"/>
      <w:bookmarkStart w:id="315" w:name="_Toc351032833"/>
      <w:bookmarkStart w:id="316" w:name="_Toc523252730"/>
      <w:r>
        <w:rPr>
          <w:rFonts w:hint="eastAsia" w:ascii="宋体" w:hAnsi="宋体"/>
          <w:b/>
        </w:rPr>
        <w:t>附则</w:t>
      </w:r>
      <w:bookmarkEnd w:id="311"/>
      <w:bookmarkEnd w:id="312"/>
      <w:bookmarkEnd w:id="313"/>
      <w:bookmarkEnd w:id="314"/>
      <w:bookmarkEnd w:id="315"/>
      <w:bookmarkEnd w:id="316"/>
    </w:p>
    <w:p w14:paraId="0B56BE96">
      <w:pPr>
        <w:widowControl w:val="0"/>
        <w:numPr>
          <w:ilvl w:val="1"/>
          <w:numId w:val="4"/>
        </w:numPr>
        <w:autoSpaceDE w:val="0"/>
        <w:autoSpaceDN w:val="0"/>
        <w:adjustRightInd w:val="0"/>
        <w:snapToGrid w:val="0"/>
        <w:ind w:firstLineChars="0"/>
        <w:jc w:val="left"/>
        <w:rPr>
          <w:rFonts w:ascii="宋体" w:hAnsi="宋体"/>
          <w:b/>
        </w:rPr>
      </w:pPr>
      <w:r>
        <w:rPr>
          <w:rFonts w:ascii="宋体" w:hAnsi="宋体"/>
          <w:szCs w:val="21"/>
        </w:rPr>
        <w:t>本评</w:t>
      </w:r>
      <w:r>
        <w:rPr>
          <w:rFonts w:hint="eastAsia" w:ascii="宋体" w:hAnsi="宋体"/>
          <w:szCs w:val="21"/>
        </w:rPr>
        <w:t>定</w:t>
      </w:r>
      <w:r>
        <w:rPr>
          <w:rFonts w:ascii="宋体" w:hAnsi="宋体"/>
          <w:szCs w:val="21"/>
        </w:rPr>
        <w:t>标办法由</w:t>
      </w:r>
      <w:r>
        <w:rPr>
          <w:rFonts w:hint="eastAsia" w:ascii="宋体" w:hAnsi="宋体"/>
          <w:szCs w:val="21"/>
        </w:rPr>
        <w:t>招标人</w:t>
      </w:r>
      <w:r>
        <w:rPr>
          <w:rFonts w:ascii="宋体" w:hAnsi="宋体"/>
          <w:szCs w:val="21"/>
        </w:rPr>
        <w:t>负责解释。</w:t>
      </w:r>
    </w:p>
    <w:p w14:paraId="72645265">
      <w:pPr>
        <w:widowControl w:val="0"/>
        <w:numPr>
          <w:ilvl w:val="0"/>
          <w:numId w:val="4"/>
        </w:numPr>
        <w:autoSpaceDE w:val="0"/>
        <w:autoSpaceDN w:val="0"/>
        <w:adjustRightInd w:val="0"/>
        <w:snapToGrid w:val="0"/>
        <w:ind w:firstLineChars="0"/>
        <w:jc w:val="left"/>
        <w:rPr>
          <w:rFonts w:hint="eastAsia" w:ascii="宋体" w:hAnsi="宋体"/>
          <w:b/>
        </w:rPr>
      </w:pPr>
      <w:r>
        <w:rPr>
          <w:rFonts w:hint="eastAsia" w:ascii="宋体" w:hAnsi="宋体"/>
          <w:b/>
        </w:rPr>
        <w:t>附件一</w:t>
      </w:r>
    </w:p>
    <w:tbl>
      <w:tblPr>
        <w:tblStyle w:val="51"/>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1"/>
        <w:gridCol w:w="1108"/>
        <w:gridCol w:w="1514"/>
        <w:gridCol w:w="3862"/>
        <w:gridCol w:w="1514"/>
      </w:tblGrid>
      <w:tr w14:paraId="2C6B4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6" w:hRule="atLeast"/>
        </w:trPr>
        <w:tc>
          <w:tcPr>
            <w:tcW w:w="8529" w:type="dxa"/>
            <w:gridSpan w:val="5"/>
            <w:shd w:val="clear" w:color="auto" w:fill="D9E2F3"/>
            <w:vAlign w:val="center"/>
          </w:tcPr>
          <w:p w14:paraId="289B56AB">
            <w:pPr>
              <w:widowControl w:val="0"/>
              <w:autoSpaceDE w:val="0"/>
              <w:autoSpaceDN w:val="0"/>
              <w:adjustRightInd w:val="0"/>
              <w:snapToGrid w:val="0"/>
              <w:ind w:firstLine="0" w:firstLineChars="0"/>
              <w:jc w:val="center"/>
              <w:rPr>
                <w:rFonts w:hint="eastAsia" w:ascii="宋体" w:hAnsi="宋体" w:cs="宋体"/>
                <w:b/>
                <w:sz w:val="28"/>
                <w:szCs w:val="28"/>
              </w:rPr>
            </w:pPr>
            <w:r>
              <w:rPr>
                <w:rFonts w:hint="eastAsia" w:ascii="宋体" w:hAnsi="宋体" w:cs="宋体"/>
                <w:b/>
                <w:sz w:val="28"/>
                <w:szCs w:val="28"/>
              </w:rPr>
              <w:t>《初步评审审查标准》</w:t>
            </w:r>
          </w:p>
        </w:tc>
      </w:tr>
      <w:tr w14:paraId="0F5163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1639" w:type="dxa"/>
            <w:gridSpan w:val="2"/>
            <w:vAlign w:val="center"/>
          </w:tcPr>
          <w:p w14:paraId="32C3731F">
            <w:pPr>
              <w:widowControl w:val="0"/>
              <w:autoSpaceDE w:val="0"/>
              <w:autoSpaceDN w:val="0"/>
              <w:adjustRightInd w:val="0"/>
              <w:snapToGrid w:val="0"/>
              <w:ind w:firstLine="0" w:firstLineChars="0"/>
              <w:jc w:val="center"/>
              <w:rPr>
                <w:rFonts w:ascii="宋体" w:hAnsi="宋体" w:cs="宋体"/>
                <w:b/>
                <w:szCs w:val="21"/>
              </w:rPr>
            </w:pPr>
            <w:r>
              <w:rPr>
                <w:rFonts w:ascii="宋体" w:hAnsi="宋体" w:cs="宋体"/>
                <w:b/>
                <w:szCs w:val="21"/>
              </w:rPr>
              <w:t>条款号</w:t>
            </w:r>
          </w:p>
        </w:tc>
        <w:tc>
          <w:tcPr>
            <w:tcW w:w="1514" w:type="dxa"/>
            <w:vAlign w:val="center"/>
          </w:tcPr>
          <w:p w14:paraId="199439B7">
            <w:pPr>
              <w:widowControl w:val="0"/>
              <w:autoSpaceDE w:val="0"/>
              <w:autoSpaceDN w:val="0"/>
              <w:adjustRightInd w:val="0"/>
              <w:snapToGrid w:val="0"/>
              <w:ind w:firstLine="0" w:firstLineChars="0"/>
              <w:jc w:val="center"/>
              <w:rPr>
                <w:rFonts w:ascii="宋体" w:hAnsi="宋体" w:cs="宋体"/>
                <w:b/>
                <w:szCs w:val="21"/>
              </w:rPr>
            </w:pPr>
            <w:r>
              <w:rPr>
                <w:rFonts w:ascii="宋体" w:hAnsi="宋体" w:cs="宋体"/>
                <w:b/>
                <w:szCs w:val="21"/>
              </w:rPr>
              <w:t>评审因素</w:t>
            </w:r>
          </w:p>
        </w:tc>
        <w:tc>
          <w:tcPr>
            <w:tcW w:w="3862" w:type="dxa"/>
            <w:vAlign w:val="center"/>
          </w:tcPr>
          <w:p w14:paraId="0F47666B">
            <w:pPr>
              <w:widowControl w:val="0"/>
              <w:autoSpaceDE w:val="0"/>
              <w:autoSpaceDN w:val="0"/>
              <w:adjustRightInd w:val="0"/>
              <w:snapToGrid w:val="0"/>
              <w:ind w:firstLine="0" w:firstLineChars="0"/>
              <w:jc w:val="center"/>
              <w:rPr>
                <w:rFonts w:ascii="宋体" w:hAnsi="宋体" w:cs="宋体"/>
                <w:b/>
                <w:szCs w:val="21"/>
              </w:rPr>
            </w:pPr>
            <w:r>
              <w:rPr>
                <w:rFonts w:ascii="宋体" w:hAnsi="宋体" w:cs="宋体"/>
                <w:b/>
                <w:szCs w:val="21"/>
              </w:rPr>
              <w:t>评审</w:t>
            </w:r>
            <w:r>
              <w:rPr>
                <w:rFonts w:hint="eastAsia" w:ascii="宋体" w:hAnsi="宋体" w:cs="宋体"/>
                <w:b/>
                <w:szCs w:val="21"/>
              </w:rPr>
              <w:t>内容</w:t>
            </w:r>
          </w:p>
        </w:tc>
        <w:tc>
          <w:tcPr>
            <w:tcW w:w="1514" w:type="dxa"/>
            <w:vAlign w:val="center"/>
          </w:tcPr>
          <w:p w14:paraId="46AD6CA2">
            <w:pPr>
              <w:widowControl w:val="0"/>
              <w:autoSpaceDE w:val="0"/>
              <w:autoSpaceDN w:val="0"/>
              <w:adjustRightInd w:val="0"/>
              <w:snapToGrid w:val="0"/>
              <w:ind w:firstLine="0" w:firstLineChars="0"/>
              <w:jc w:val="center"/>
              <w:rPr>
                <w:rFonts w:ascii="宋体" w:hAnsi="宋体" w:cs="宋体"/>
                <w:b/>
                <w:szCs w:val="21"/>
              </w:rPr>
            </w:pPr>
            <w:r>
              <w:rPr>
                <w:rFonts w:hint="eastAsia" w:ascii="宋体" w:hAnsi="宋体" w:cs="宋体"/>
                <w:b/>
                <w:szCs w:val="21"/>
              </w:rPr>
              <w:t>审查标准</w:t>
            </w:r>
          </w:p>
        </w:tc>
      </w:tr>
      <w:tr w14:paraId="2A6E1A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6092A1F4">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1</w:t>
            </w:r>
          </w:p>
        </w:tc>
        <w:tc>
          <w:tcPr>
            <w:tcW w:w="1108" w:type="dxa"/>
            <w:vMerge w:val="restart"/>
            <w:vAlign w:val="center"/>
          </w:tcPr>
          <w:p w14:paraId="7801409B">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形式评审标准</w:t>
            </w:r>
          </w:p>
        </w:tc>
        <w:tc>
          <w:tcPr>
            <w:tcW w:w="1514" w:type="dxa"/>
            <w:vAlign w:val="center"/>
          </w:tcPr>
          <w:p w14:paraId="26DB65A9">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投标人名称</w:t>
            </w:r>
          </w:p>
        </w:tc>
        <w:tc>
          <w:tcPr>
            <w:tcW w:w="3862" w:type="dxa"/>
            <w:vAlign w:val="center"/>
          </w:tcPr>
          <w:p w14:paraId="06366C53">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与营业执照</w:t>
            </w:r>
            <w:r>
              <w:rPr>
                <w:rFonts w:hint="eastAsia" w:ascii="宋体" w:hAnsi="宋体" w:cs="宋体"/>
                <w:szCs w:val="21"/>
              </w:rPr>
              <w:t>（事业单位</w:t>
            </w:r>
            <w:r>
              <w:rPr>
                <w:rFonts w:ascii="宋体" w:hAnsi="宋体" w:cs="宋体"/>
                <w:szCs w:val="21"/>
              </w:rPr>
              <w:t>法人证书或</w:t>
            </w:r>
            <w:r>
              <w:rPr>
                <w:rFonts w:hint="eastAsia" w:ascii="宋体" w:hAnsi="宋体" w:cs="宋体"/>
                <w:szCs w:val="21"/>
              </w:rPr>
              <w:t>其他主体开办</w:t>
            </w:r>
            <w:r>
              <w:rPr>
                <w:rFonts w:ascii="宋体" w:hAnsi="宋体" w:cs="宋体"/>
                <w:szCs w:val="21"/>
              </w:rPr>
              <w:t>证明</w:t>
            </w:r>
            <w:r>
              <w:rPr>
                <w:rFonts w:hint="eastAsia" w:ascii="宋体" w:hAnsi="宋体" w:cs="宋体"/>
                <w:szCs w:val="21"/>
              </w:rPr>
              <w:t>）</w:t>
            </w:r>
            <w:r>
              <w:rPr>
                <w:rFonts w:ascii="宋体" w:hAnsi="宋体" w:cs="宋体"/>
                <w:szCs w:val="21"/>
              </w:rPr>
              <w:t>、资质证书一致</w:t>
            </w:r>
          </w:p>
        </w:tc>
        <w:tc>
          <w:tcPr>
            <w:tcW w:w="1514" w:type="dxa"/>
            <w:vAlign w:val="center"/>
          </w:tcPr>
          <w:p w14:paraId="21699B0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是否符合要求</w:t>
            </w:r>
          </w:p>
        </w:tc>
      </w:tr>
      <w:tr w14:paraId="2A8E20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6BCA9D8B">
            <w:pPr>
              <w:widowControl w:val="0"/>
              <w:autoSpaceDE w:val="0"/>
              <w:autoSpaceDN w:val="0"/>
              <w:adjustRightInd w:val="0"/>
              <w:snapToGrid w:val="0"/>
              <w:ind w:firstLine="0" w:firstLineChars="0"/>
              <w:jc w:val="center"/>
              <w:rPr>
                <w:rFonts w:ascii="宋体" w:hAnsi="宋体"/>
                <w:szCs w:val="21"/>
              </w:rPr>
            </w:pPr>
          </w:p>
        </w:tc>
        <w:tc>
          <w:tcPr>
            <w:tcW w:w="1108" w:type="dxa"/>
            <w:vMerge w:val="continue"/>
            <w:vAlign w:val="center"/>
          </w:tcPr>
          <w:p w14:paraId="346C0095">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02483976">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报价唯一</w:t>
            </w:r>
          </w:p>
        </w:tc>
        <w:tc>
          <w:tcPr>
            <w:tcW w:w="3862" w:type="dxa"/>
            <w:vAlign w:val="center"/>
          </w:tcPr>
          <w:p w14:paraId="25F920BE">
            <w:pPr>
              <w:widowControl w:val="0"/>
              <w:autoSpaceDE w:val="0"/>
              <w:autoSpaceDN w:val="0"/>
              <w:adjustRightInd w:val="0"/>
              <w:snapToGrid w:val="0"/>
              <w:ind w:firstLine="0" w:firstLineChars="0"/>
              <w:jc w:val="left"/>
              <w:rPr>
                <w:rFonts w:ascii="宋体" w:hAnsi="宋体" w:cs="宋体"/>
                <w:szCs w:val="21"/>
              </w:rPr>
            </w:pPr>
            <w:r>
              <w:rPr>
                <w:rFonts w:ascii="宋体" w:hAnsi="宋体"/>
                <w:szCs w:val="21"/>
              </w:rPr>
              <w:t>只能有一个有效报价</w:t>
            </w:r>
          </w:p>
        </w:tc>
        <w:tc>
          <w:tcPr>
            <w:tcW w:w="1514" w:type="dxa"/>
            <w:vAlign w:val="center"/>
          </w:tcPr>
          <w:p w14:paraId="0D57A8D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是否符合要求</w:t>
            </w:r>
          </w:p>
        </w:tc>
      </w:tr>
      <w:tr w14:paraId="67005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753F28D6">
            <w:pPr>
              <w:widowControl w:val="0"/>
              <w:autoSpaceDE w:val="0"/>
              <w:autoSpaceDN w:val="0"/>
              <w:adjustRightInd w:val="0"/>
              <w:snapToGrid w:val="0"/>
              <w:ind w:firstLine="0" w:firstLineChars="0"/>
              <w:jc w:val="center"/>
              <w:rPr>
                <w:rFonts w:ascii="宋体" w:hAnsi="宋体"/>
                <w:szCs w:val="21"/>
              </w:rPr>
            </w:pPr>
          </w:p>
        </w:tc>
        <w:tc>
          <w:tcPr>
            <w:tcW w:w="1108" w:type="dxa"/>
            <w:vMerge w:val="continue"/>
          </w:tcPr>
          <w:p w14:paraId="01AF1F6B">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7DBCD35C">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投标保证金</w:t>
            </w:r>
          </w:p>
        </w:tc>
        <w:tc>
          <w:tcPr>
            <w:tcW w:w="3862" w:type="dxa"/>
            <w:vAlign w:val="center"/>
          </w:tcPr>
          <w:p w14:paraId="2648182F">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符合第</w:t>
            </w:r>
            <w:r>
              <w:rPr>
                <w:rFonts w:hint="eastAsia" w:ascii="宋体" w:hAnsi="宋体" w:cs="宋体"/>
                <w:szCs w:val="21"/>
              </w:rPr>
              <w:t>一</w:t>
            </w:r>
            <w:r>
              <w:rPr>
                <w:rFonts w:ascii="宋体" w:hAnsi="宋体" w:cs="宋体"/>
                <w:szCs w:val="21"/>
              </w:rPr>
              <w:t>章</w:t>
            </w:r>
            <w:r>
              <w:rPr>
                <w:rFonts w:hint="eastAsia" w:ascii="宋体" w:hAnsi="宋体" w:cs="宋体"/>
                <w:szCs w:val="21"/>
              </w:rPr>
              <w:t>投标人须知前附表的要求</w:t>
            </w:r>
          </w:p>
        </w:tc>
        <w:tc>
          <w:tcPr>
            <w:tcW w:w="1514" w:type="dxa"/>
            <w:vAlign w:val="center"/>
          </w:tcPr>
          <w:p w14:paraId="5C0E9CA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是否符合要求</w:t>
            </w:r>
          </w:p>
        </w:tc>
      </w:tr>
      <w:tr w14:paraId="2CC149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73628207">
            <w:pPr>
              <w:widowControl w:val="0"/>
              <w:autoSpaceDE w:val="0"/>
              <w:autoSpaceDN w:val="0"/>
              <w:adjustRightInd w:val="0"/>
              <w:snapToGrid w:val="0"/>
              <w:ind w:firstLine="0" w:firstLineChars="0"/>
              <w:jc w:val="center"/>
              <w:rPr>
                <w:rFonts w:ascii="宋体" w:hAnsi="宋体"/>
                <w:szCs w:val="21"/>
              </w:rPr>
            </w:pPr>
          </w:p>
        </w:tc>
        <w:tc>
          <w:tcPr>
            <w:tcW w:w="1108" w:type="dxa"/>
            <w:vMerge w:val="continue"/>
          </w:tcPr>
          <w:p w14:paraId="4C2F5483">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53D40566">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否决性条款判定</w:t>
            </w:r>
          </w:p>
        </w:tc>
        <w:tc>
          <w:tcPr>
            <w:tcW w:w="3862" w:type="dxa"/>
            <w:vAlign w:val="center"/>
          </w:tcPr>
          <w:p w14:paraId="0C0902E4">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招标文件否决性条款摘要中列明的情形</w:t>
            </w:r>
          </w:p>
        </w:tc>
        <w:tc>
          <w:tcPr>
            <w:tcW w:w="1514" w:type="dxa"/>
            <w:vAlign w:val="center"/>
          </w:tcPr>
          <w:p w14:paraId="5FEDB8D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是否符合要求</w:t>
            </w:r>
          </w:p>
        </w:tc>
      </w:tr>
      <w:tr w14:paraId="753DC5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34E32E60">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2</w:t>
            </w:r>
          </w:p>
        </w:tc>
        <w:tc>
          <w:tcPr>
            <w:tcW w:w="1108" w:type="dxa"/>
            <w:vMerge w:val="restart"/>
            <w:vAlign w:val="center"/>
          </w:tcPr>
          <w:p w14:paraId="4993F31F">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资格评审标准</w:t>
            </w:r>
          </w:p>
        </w:tc>
        <w:tc>
          <w:tcPr>
            <w:tcW w:w="1514" w:type="dxa"/>
            <w:vAlign w:val="center"/>
          </w:tcPr>
          <w:p w14:paraId="423915FF">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营业执照</w:t>
            </w:r>
          </w:p>
        </w:tc>
        <w:tc>
          <w:tcPr>
            <w:tcW w:w="3862" w:type="dxa"/>
            <w:vAlign w:val="center"/>
          </w:tcPr>
          <w:p w14:paraId="5D689DB5">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具备有效的营业执照（事业单位</w:t>
            </w:r>
            <w:r>
              <w:rPr>
                <w:rFonts w:ascii="宋体" w:hAnsi="宋体" w:cs="宋体"/>
                <w:szCs w:val="21"/>
              </w:rPr>
              <w:t>法人证书或</w:t>
            </w:r>
            <w:r>
              <w:rPr>
                <w:rFonts w:hint="eastAsia" w:ascii="宋体" w:hAnsi="宋体" w:cs="宋体"/>
                <w:szCs w:val="21"/>
              </w:rPr>
              <w:t>其他主体开办</w:t>
            </w:r>
            <w:r>
              <w:rPr>
                <w:rFonts w:ascii="宋体" w:hAnsi="宋体" w:cs="宋体"/>
                <w:szCs w:val="21"/>
              </w:rPr>
              <w:t>证明</w:t>
            </w:r>
            <w:r>
              <w:rPr>
                <w:rFonts w:hint="eastAsia" w:ascii="宋体" w:hAnsi="宋体" w:cs="宋体"/>
                <w:szCs w:val="21"/>
              </w:rPr>
              <w:t>）</w:t>
            </w:r>
          </w:p>
        </w:tc>
        <w:tc>
          <w:tcPr>
            <w:tcW w:w="1514" w:type="dxa"/>
            <w:vAlign w:val="center"/>
          </w:tcPr>
          <w:p w14:paraId="3A5BBC18">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721B1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5974D69E">
            <w:pPr>
              <w:widowControl w:val="0"/>
              <w:autoSpaceDE w:val="0"/>
              <w:autoSpaceDN w:val="0"/>
              <w:adjustRightInd w:val="0"/>
              <w:snapToGrid w:val="0"/>
              <w:ind w:firstLine="0" w:firstLineChars="0"/>
              <w:jc w:val="center"/>
              <w:rPr>
                <w:rFonts w:ascii="宋体" w:hAnsi="宋体"/>
                <w:szCs w:val="21"/>
              </w:rPr>
            </w:pPr>
          </w:p>
        </w:tc>
        <w:tc>
          <w:tcPr>
            <w:tcW w:w="1108" w:type="dxa"/>
            <w:vMerge w:val="continue"/>
            <w:vAlign w:val="center"/>
          </w:tcPr>
          <w:p w14:paraId="28FB2493">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4497558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其他资格要求</w:t>
            </w:r>
          </w:p>
        </w:tc>
        <w:tc>
          <w:tcPr>
            <w:tcW w:w="3862" w:type="dxa"/>
            <w:vAlign w:val="center"/>
          </w:tcPr>
          <w:p w14:paraId="01707380">
            <w:pPr>
              <w:widowControl w:val="0"/>
              <w:autoSpaceDE w:val="0"/>
              <w:autoSpaceDN w:val="0"/>
              <w:adjustRightInd w:val="0"/>
              <w:snapToGrid w:val="0"/>
              <w:ind w:firstLine="0" w:firstLineChars="0"/>
              <w:jc w:val="left"/>
              <w:rPr>
                <w:rFonts w:ascii="宋体" w:hAnsi="宋体"/>
                <w:szCs w:val="21"/>
              </w:rPr>
            </w:pPr>
            <w:r>
              <w:rPr>
                <w:rFonts w:ascii="宋体" w:hAnsi="宋体"/>
                <w:szCs w:val="21"/>
              </w:rPr>
              <w:t>符合</w:t>
            </w:r>
            <w:r>
              <w:rPr>
                <w:rFonts w:hint="eastAsia" w:ascii="宋体" w:hAnsi="宋体"/>
                <w:szCs w:val="21"/>
              </w:rPr>
              <w:t>招标文件要求</w:t>
            </w:r>
          </w:p>
        </w:tc>
        <w:tc>
          <w:tcPr>
            <w:tcW w:w="1514" w:type="dxa"/>
            <w:vAlign w:val="center"/>
          </w:tcPr>
          <w:p w14:paraId="5A60A55B">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653852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vAlign w:val="center"/>
          </w:tcPr>
          <w:p w14:paraId="438ADDF8">
            <w:pPr>
              <w:widowControl w:val="0"/>
              <w:autoSpaceDE w:val="0"/>
              <w:autoSpaceDN w:val="0"/>
              <w:adjustRightInd w:val="0"/>
              <w:snapToGrid w:val="0"/>
              <w:ind w:firstLine="0" w:firstLineChars="0"/>
              <w:jc w:val="center"/>
              <w:rPr>
                <w:rFonts w:ascii="宋体" w:hAnsi="宋体"/>
                <w:szCs w:val="21"/>
              </w:rPr>
            </w:pPr>
          </w:p>
        </w:tc>
        <w:tc>
          <w:tcPr>
            <w:tcW w:w="1108" w:type="dxa"/>
            <w:vMerge w:val="continue"/>
            <w:vAlign w:val="center"/>
          </w:tcPr>
          <w:p w14:paraId="6E9E45EB">
            <w:pPr>
              <w:widowControl w:val="0"/>
              <w:autoSpaceDE w:val="0"/>
              <w:autoSpaceDN w:val="0"/>
              <w:adjustRightInd w:val="0"/>
              <w:snapToGrid w:val="0"/>
              <w:ind w:firstLine="0" w:firstLineChars="0"/>
              <w:jc w:val="center"/>
              <w:rPr>
                <w:rFonts w:ascii="宋体" w:hAnsi="宋体"/>
                <w:szCs w:val="21"/>
              </w:rPr>
            </w:pPr>
          </w:p>
        </w:tc>
        <w:tc>
          <w:tcPr>
            <w:tcW w:w="1514" w:type="dxa"/>
            <w:vAlign w:val="center"/>
          </w:tcPr>
          <w:p w14:paraId="704E329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不存在禁止投标的情形</w:t>
            </w:r>
          </w:p>
        </w:tc>
        <w:tc>
          <w:tcPr>
            <w:tcW w:w="3862" w:type="dxa"/>
            <w:vAlign w:val="center"/>
          </w:tcPr>
          <w:p w14:paraId="2F97BE4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不存在第一章“投标人须知”第1.</w:t>
            </w:r>
            <w:r>
              <w:rPr>
                <w:rFonts w:ascii="宋体" w:hAnsi="宋体"/>
                <w:szCs w:val="21"/>
              </w:rPr>
              <w:t>2.2</w:t>
            </w:r>
            <w:r>
              <w:rPr>
                <w:rFonts w:hint="eastAsia" w:ascii="宋体" w:hAnsi="宋体"/>
                <w:szCs w:val="21"/>
              </w:rPr>
              <w:t>项规定的任何一种情形</w:t>
            </w:r>
          </w:p>
        </w:tc>
        <w:tc>
          <w:tcPr>
            <w:tcW w:w="1514" w:type="dxa"/>
            <w:vAlign w:val="center"/>
          </w:tcPr>
          <w:p w14:paraId="2E404FFD">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42CE48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restart"/>
            <w:vAlign w:val="center"/>
          </w:tcPr>
          <w:p w14:paraId="2D527361">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3</w:t>
            </w:r>
          </w:p>
        </w:tc>
        <w:tc>
          <w:tcPr>
            <w:tcW w:w="1108" w:type="dxa"/>
            <w:vMerge w:val="restart"/>
            <w:vAlign w:val="center"/>
          </w:tcPr>
          <w:p w14:paraId="0B2245E6">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响应性</w:t>
            </w:r>
          </w:p>
          <w:p w14:paraId="068508EA">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评审标准</w:t>
            </w:r>
          </w:p>
        </w:tc>
        <w:tc>
          <w:tcPr>
            <w:tcW w:w="1514" w:type="dxa"/>
            <w:vAlign w:val="center"/>
          </w:tcPr>
          <w:p w14:paraId="49E69EF2">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投标报价</w:t>
            </w:r>
          </w:p>
        </w:tc>
        <w:tc>
          <w:tcPr>
            <w:tcW w:w="3862" w:type="dxa"/>
            <w:vAlign w:val="center"/>
          </w:tcPr>
          <w:p w14:paraId="2E95D7A5">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投标报价未高于最高限价</w:t>
            </w:r>
          </w:p>
        </w:tc>
        <w:tc>
          <w:tcPr>
            <w:tcW w:w="1514" w:type="dxa"/>
            <w:vAlign w:val="center"/>
          </w:tcPr>
          <w:p w14:paraId="29CAD15A">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697111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06526970">
            <w:pPr>
              <w:widowControl w:val="0"/>
              <w:autoSpaceDE w:val="0"/>
              <w:autoSpaceDN w:val="0"/>
              <w:adjustRightInd w:val="0"/>
              <w:snapToGrid w:val="0"/>
              <w:ind w:firstLine="0" w:firstLineChars="0"/>
              <w:jc w:val="left"/>
              <w:rPr>
                <w:rFonts w:ascii="宋体" w:hAnsi="宋体"/>
                <w:szCs w:val="21"/>
              </w:rPr>
            </w:pPr>
          </w:p>
        </w:tc>
        <w:tc>
          <w:tcPr>
            <w:tcW w:w="1108" w:type="dxa"/>
            <w:vMerge w:val="continue"/>
            <w:vAlign w:val="center"/>
          </w:tcPr>
          <w:p w14:paraId="65BD1833">
            <w:pPr>
              <w:widowControl w:val="0"/>
              <w:autoSpaceDE w:val="0"/>
              <w:autoSpaceDN w:val="0"/>
              <w:adjustRightInd w:val="0"/>
              <w:snapToGrid w:val="0"/>
              <w:ind w:firstLine="0" w:firstLineChars="0"/>
              <w:jc w:val="left"/>
              <w:rPr>
                <w:rFonts w:ascii="宋体" w:hAnsi="宋体"/>
                <w:szCs w:val="21"/>
              </w:rPr>
            </w:pPr>
          </w:p>
        </w:tc>
        <w:tc>
          <w:tcPr>
            <w:tcW w:w="1514" w:type="dxa"/>
            <w:vAlign w:val="center"/>
          </w:tcPr>
          <w:p w14:paraId="251E9D34">
            <w:pPr>
              <w:widowControl w:val="0"/>
              <w:autoSpaceDE w:val="0"/>
              <w:autoSpaceDN w:val="0"/>
              <w:adjustRightInd w:val="0"/>
              <w:snapToGrid w:val="0"/>
              <w:ind w:firstLine="0" w:firstLineChars="0"/>
              <w:jc w:val="left"/>
              <w:rPr>
                <w:rFonts w:ascii="宋体" w:hAnsi="宋体" w:cs="宋体"/>
                <w:szCs w:val="21"/>
              </w:rPr>
            </w:pPr>
            <w:r>
              <w:rPr>
                <w:rFonts w:ascii="宋体" w:hAnsi="宋体" w:cs="宋体"/>
                <w:szCs w:val="21"/>
              </w:rPr>
              <w:t>投标内容</w:t>
            </w:r>
          </w:p>
        </w:tc>
        <w:tc>
          <w:tcPr>
            <w:tcW w:w="3862" w:type="dxa"/>
            <w:vAlign w:val="center"/>
          </w:tcPr>
          <w:p w14:paraId="32432A58">
            <w:pPr>
              <w:widowControl w:val="0"/>
              <w:autoSpaceDE w:val="0"/>
              <w:autoSpaceDN w:val="0"/>
              <w:adjustRightInd w:val="0"/>
              <w:snapToGrid w:val="0"/>
              <w:ind w:firstLine="0" w:firstLineChars="0"/>
              <w:jc w:val="left"/>
              <w:rPr>
                <w:rFonts w:ascii="宋体" w:hAnsi="宋体" w:cs="宋体"/>
                <w:szCs w:val="21"/>
              </w:rPr>
            </w:pPr>
            <w:r>
              <w:rPr>
                <w:rFonts w:ascii="宋体" w:hAnsi="宋体"/>
                <w:szCs w:val="21"/>
              </w:rPr>
              <w:t>符合</w:t>
            </w:r>
            <w:r>
              <w:rPr>
                <w:rFonts w:hint="eastAsia" w:ascii="宋体" w:hAnsi="宋体"/>
                <w:szCs w:val="21"/>
              </w:rPr>
              <w:t>招标文件要求</w:t>
            </w:r>
          </w:p>
        </w:tc>
        <w:tc>
          <w:tcPr>
            <w:tcW w:w="1514" w:type="dxa"/>
            <w:vAlign w:val="center"/>
          </w:tcPr>
          <w:p w14:paraId="186BE2FA">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45899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531" w:type="dxa"/>
            <w:vMerge w:val="continue"/>
          </w:tcPr>
          <w:p w14:paraId="04DD2B2E">
            <w:pPr>
              <w:widowControl w:val="0"/>
              <w:autoSpaceDE w:val="0"/>
              <w:autoSpaceDN w:val="0"/>
              <w:adjustRightInd w:val="0"/>
              <w:snapToGrid w:val="0"/>
              <w:ind w:firstLine="0" w:firstLineChars="0"/>
              <w:jc w:val="left"/>
              <w:rPr>
                <w:rFonts w:ascii="宋体" w:hAnsi="宋体"/>
                <w:szCs w:val="21"/>
              </w:rPr>
            </w:pPr>
          </w:p>
        </w:tc>
        <w:tc>
          <w:tcPr>
            <w:tcW w:w="1108" w:type="dxa"/>
            <w:vMerge w:val="continue"/>
            <w:vAlign w:val="center"/>
          </w:tcPr>
          <w:p w14:paraId="2D9CB96A">
            <w:pPr>
              <w:widowControl w:val="0"/>
              <w:autoSpaceDE w:val="0"/>
              <w:autoSpaceDN w:val="0"/>
              <w:adjustRightInd w:val="0"/>
              <w:snapToGrid w:val="0"/>
              <w:ind w:firstLine="0" w:firstLineChars="0"/>
              <w:jc w:val="left"/>
              <w:rPr>
                <w:rFonts w:ascii="宋体" w:hAnsi="宋体"/>
                <w:szCs w:val="21"/>
              </w:rPr>
            </w:pPr>
          </w:p>
        </w:tc>
        <w:tc>
          <w:tcPr>
            <w:tcW w:w="1514" w:type="dxa"/>
            <w:vAlign w:val="center"/>
          </w:tcPr>
          <w:p w14:paraId="30FB76E0">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投标有效期</w:t>
            </w:r>
          </w:p>
        </w:tc>
        <w:tc>
          <w:tcPr>
            <w:tcW w:w="3862" w:type="dxa"/>
            <w:vAlign w:val="center"/>
          </w:tcPr>
          <w:p w14:paraId="35674077">
            <w:pPr>
              <w:widowControl w:val="0"/>
              <w:autoSpaceDE w:val="0"/>
              <w:autoSpaceDN w:val="0"/>
              <w:adjustRightInd w:val="0"/>
              <w:snapToGrid w:val="0"/>
              <w:ind w:firstLine="0" w:firstLineChars="0"/>
              <w:jc w:val="left"/>
              <w:rPr>
                <w:rFonts w:ascii="宋体" w:hAnsi="宋体" w:cs="宋体"/>
                <w:szCs w:val="21"/>
              </w:rPr>
            </w:pPr>
            <w:r>
              <w:rPr>
                <w:rFonts w:ascii="宋体" w:hAnsi="宋体"/>
                <w:szCs w:val="21"/>
              </w:rPr>
              <w:t>符合</w:t>
            </w:r>
            <w:r>
              <w:rPr>
                <w:rFonts w:hint="eastAsia" w:ascii="宋体" w:hAnsi="宋体"/>
                <w:szCs w:val="21"/>
              </w:rPr>
              <w:t>招标文件要求</w:t>
            </w:r>
          </w:p>
        </w:tc>
        <w:tc>
          <w:tcPr>
            <w:tcW w:w="1514" w:type="dxa"/>
            <w:vAlign w:val="center"/>
          </w:tcPr>
          <w:p w14:paraId="6DAB4EE2">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3EFE0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7" w:hRule="atLeast"/>
        </w:trPr>
        <w:tc>
          <w:tcPr>
            <w:tcW w:w="531" w:type="dxa"/>
            <w:vMerge w:val="continue"/>
          </w:tcPr>
          <w:p w14:paraId="2EA9D487">
            <w:pPr>
              <w:widowControl w:val="0"/>
              <w:autoSpaceDE w:val="0"/>
              <w:autoSpaceDN w:val="0"/>
              <w:adjustRightInd w:val="0"/>
              <w:snapToGrid w:val="0"/>
              <w:ind w:firstLine="0" w:firstLineChars="0"/>
              <w:jc w:val="left"/>
              <w:rPr>
                <w:rFonts w:ascii="宋体" w:hAnsi="宋体"/>
                <w:szCs w:val="21"/>
              </w:rPr>
            </w:pPr>
          </w:p>
        </w:tc>
        <w:tc>
          <w:tcPr>
            <w:tcW w:w="1108" w:type="dxa"/>
            <w:vMerge w:val="continue"/>
            <w:vAlign w:val="center"/>
          </w:tcPr>
          <w:p w14:paraId="0773CA17">
            <w:pPr>
              <w:widowControl w:val="0"/>
              <w:autoSpaceDE w:val="0"/>
              <w:autoSpaceDN w:val="0"/>
              <w:adjustRightInd w:val="0"/>
              <w:snapToGrid w:val="0"/>
              <w:ind w:firstLine="0" w:firstLineChars="0"/>
              <w:jc w:val="left"/>
              <w:rPr>
                <w:rFonts w:ascii="宋体" w:hAnsi="宋体"/>
                <w:szCs w:val="21"/>
              </w:rPr>
            </w:pPr>
          </w:p>
        </w:tc>
        <w:tc>
          <w:tcPr>
            <w:tcW w:w="1514" w:type="dxa"/>
            <w:vAlign w:val="center"/>
          </w:tcPr>
          <w:p w14:paraId="4EAB368D">
            <w:pPr>
              <w:widowControl w:val="0"/>
              <w:autoSpaceDE w:val="0"/>
              <w:autoSpaceDN w:val="0"/>
              <w:adjustRightInd w:val="0"/>
              <w:snapToGrid w:val="0"/>
              <w:ind w:firstLine="0" w:firstLineChars="0"/>
              <w:jc w:val="left"/>
              <w:rPr>
                <w:rFonts w:ascii="宋体" w:hAnsi="宋体" w:cs="宋体"/>
                <w:szCs w:val="21"/>
              </w:rPr>
            </w:pPr>
            <w:r>
              <w:rPr>
                <w:rFonts w:hint="eastAsia" w:ascii="宋体" w:hAnsi="宋体" w:cs="宋体"/>
                <w:szCs w:val="21"/>
              </w:rPr>
              <w:t>服务期</w:t>
            </w:r>
          </w:p>
        </w:tc>
        <w:tc>
          <w:tcPr>
            <w:tcW w:w="3862" w:type="dxa"/>
            <w:vAlign w:val="center"/>
          </w:tcPr>
          <w:p w14:paraId="731D7E29">
            <w:pPr>
              <w:widowControl w:val="0"/>
              <w:autoSpaceDE w:val="0"/>
              <w:autoSpaceDN w:val="0"/>
              <w:adjustRightInd w:val="0"/>
              <w:snapToGrid w:val="0"/>
              <w:ind w:firstLine="0" w:firstLineChars="0"/>
              <w:jc w:val="left"/>
              <w:rPr>
                <w:rFonts w:ascii="宋体" w:hAnsi="宋体" w:cs="宋体"/>
                <w:szCs w:val="21"/>
              </w:rPr>
            </w:pPr>
            <w:r>
              <w:rPr>
                <w:rFonts w:ascii="宋体" w:hAnsi="宋体"/>
                <w:szCs w:val="21"/>
              </w:rPr>
              <w:t>符合</w:t>
            </w:r>
            <w:r>
              <w:rPr>
                <w:rFonts w:hint="eastAsia" w:ascii="宋体" w:hAnsi="宋体"/>
                <w:szCs w:val="21"/>
              </w:rPr>
              <w:t>招标文件要求</w:t>
            </w:r>
          </w:p>
        </w:tc>
        <w:tc>
          <w:tcPr>
            <w:tcW w:w="1514" w:type="dxa"/>
            <w:vAlign w:val="center"/>
          </w:tcPr>
          <w:p w14:paraId="4CE46DCF">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r w14:paraId="6D8BBD19">
        <w:tblPrEx>
          <w:tblCellMar>
            <w:top w:w="0" w:type="dxa"/>
            <w:left w:w="108" w:type="dxa"/>
            <w:bottom w:w="0" w:type="dxa"/>
            <w:right w:w="108" w:type="dxa"/>
          </w:tblCellMar>
        </w:tblPrEx>
        <w:trPr>
          <w:trHeight w:val="667" w:hRule="atLeast"/>
        </w:trPr>
        <w:tc>
          <w:tcPr>
            <w:tcW w:w="531" w:type="dxa"/>
            <w:vMerge w:val="continue"/>
          </w:tcPr>
          <w:p w14:paraId="48A2F37C">
            <w:pPr>
              <w:widowControl w:val="0"/>
              <w:autoSpaceDE w:val="0"/>
              <w:autoSpaceDN w:val="0"/>
              <w:adjustRightInd w:val="0"/>
              <w:snapToGrid w:val="0"/>
              <w:ind w:firstLine="0" w:firstLineChars="0"/>
              <w:jc w:val="left"/>
              <w:rPr>
                <w:rFonts w:ascii="宋体" w:hAnsi="宋体"/>
                <w:szCs w:val="21"/>
              </w:rPr>
            </w:pPr>
          </w:p>
        </w:tc>
        <w:tc>
          <w:tcPr>
            <w:tcW w:w="1108" w:type="dxa"/>
            <w:vMerge w:val="continue"/>
            <w:vAlign w:val="center"/>
          </w:tcPr>
          <w:p w14:paraId="61751D42">
            <w:pPr>
              <w:widowControl w:val="0"/>
              <w:autoSpaceDE w:val="0"/>
              <w:autoSpaceDN w:val="0"/>
              <w:adjustRightInd w:val="0"/>
              <w:snapToGrid w:val="0"/>
              <w:ind w:firstLine="0" w:firstLineChars="0"/>
              <w:jc w:val="left"/>
              <w:rPr>
                <w:rFonts w:ascii="宋体" w:hAnsi="宋体"/>
                <w:szCs w:val="21"/>
              </w:rPr>
            </w:pPr>
          </w:p>
        </w:tc>
        <w:tc>
          <w:tcPr>
            <w:tcW w:w="1514" w:type="dxa"/>
            <w:vAlign w:val="center"/>
          </w:tcPr>
          <w:p w14:paraId="7EDF098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投标文件响应情况</w:t>
            </w:r>
          </w:p>
        </w:tc>
        <w:tc>
          <w:tcPr>
            <w:tcW w:w="3862" w:type="dxa"/>
            <w:vAlign w:val="center"/>
          </w:tcPr>
          <w:p w14:paraId="4E8CD0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商务、技术不可偏离项（“★”）完全响应招标文件要求</w:t>
            </w:r>
          </w:p>
        </w:tc>
        <w:tc>
          <w:tcPr>
            <w:tcW w:w="1514" w:type="dxa"/>
            <w:vAlign w:val="center"/>
          </w:tcPr>
          <w:p w14:paraId="161429E8">
            <w:pPr>
              <w:widowControl w:val="0"/>
              <w:autoSpaceDE w:val="0"/>
              <w:autoSpaceDN w:val="0"/>
              <w:adjustRightInd w:val="0"/>
              <w:snapToGrid w:val="0"/>
              <w:ind w:firstLine="0" w:firstLineChars="0"/>
              <w:jc w:val="left"/>
              <w:rPr>
                <w:rFonts w:ascii="宋体" w:hAnsi="宋体"/>
                <w:szCs w:val="21"/>
              </w:rPr>
            </w:pPr>
            <w:r>
              <w:rPr>
                <w:rFonts w:ascii="宋体" w:hAnsi="宋体"/>
                <w:szCs w:val="21"/>
              </w:rPr>
              <w:t>是否符合要求</w:t>
            </w:r>
          </w:p>
        </w:tc>
      </w:tr>
    </w:tbl>
    <w:p w14:paraId="79E97AB2">
      <w:pPr>
        <w:widowControl w:val="0"/>
        <w:autoSpaceDE w:val="0"/>
        <w:autoSpaceDN w:val="0"/>
        <w:adjustRightInd w:val="0"/>
        <w:snapToGrid w:val="0"/>
        <w:ind w:firstLine="0" w:firstLineChars="0"/>
        <w:jc w:val="center"/>
        <w:rPr>
          <w:rFonts w:hint="eastAsia" w:ascii="宋体" w:hAnsi="宋体"/>
          <w:szCs w:val="21"/>
        </w:rPr>
      </w:pPr>
      <w:r>
        <w:rPr>
          <w:rFonts w:hint="eastAsia" w:ascii="宋体" w:hAnsi="宋体"/>
          <w:szCs w:val="21"/>
        </w:rPr>
        <w:t>注：以上初步评审审查标准中如出现一处不符合要求，其投标文件将作废标处理。</w:t>
      </w:r>
    </w:p>
    <w:p w14:paraId="770B60DF">
      <w:pPr>
        <w:widowControl w:val="0"/>
        <w:autoSpaceDE w:val="0"/>
        <w:autoSpaceDN w:val="0"/>
        <w:adjustRightInd w:val="0"/>
        <w:snapToGrid w:val="0"/>
        <w:ind w:firstLine="0" w:firstLineChars="0"/>
        <w:jc w:val="center"/>
        <w:outlineLvl w:val="1"/>
        <w:rPr>
          <w:rFonts w:ascii="宋体" w:hAnsi="宋体"/>
          <w:b/>
          <w:sz w:val="32"/>
        </w:rPr>
      </w:pPr>
      <w:r>
        <w:rPr>
          <w:rFonts w:ascii="宋体" w:hAnsi="宋体"/>
          <w:b/>
          <w:sz w:val="32"/>
          <w:szCs w:val="32"/>
        </w:rPr>
        <w:br w:type="page"/>
      </w:r>
      <w:bookmarkStart w:id="317" w:name="_Toc12706"/>
      <w:bookmarkStart w:id="318" w:name="_Toc9603"/>
      <w:bookmarkStart w:id="319" w:name="_Toc29323"/>
      <w:bookmarkStart w:id="320" w:name="_Toc10870"/>
      <w:r>
        <w:rPr>
          <w:rFonts w:hint="eastAsia" w:ascii="宋体" w:hAnsi="宋体"/>
          <w:b/>
          <w:sz w:val="32"/>
          <w:szCs w:val="32"/>
        </w:rPr>
        <w:t>二、评标方法</w:t>
      </w:r>
      <w:bookmarkEnd w:id="317"/>
      <w:bookmarkEnd w:id="318"/>
      <w:bookmarkEnd w:id="319"/>
      <w:bookmarkEnd w:id="320"/>
    </w:p>
    <w:p w14:paraId="2308928F">
      <w:pPr>
        <w:widowControl w:val="0"/>
        <w:autoSpaceDE w:val="0"/>
        <w:autoSpaceDN w:val="0"/>
        <w:adjustRightInd w:val="0"/>
        <w:snapToGrid w:val="0"/>
        <w:ind w:firstLine="0" w:firstLineChars="0"/>
        <w:jc w:val="left"/>
        <w:rPr>
          <w:rFonts w:ascii="宋体" w:hAnsi="宋体"/>
        </w:rPr>
      </w:pPr>
      <w:r>
        <w:rPr>
          <w:rFonts w:hint="eastAsia" w:ascii="宋体" w:hAnsi="宋体"/>
        </w:rPr>
        <w:t>本项目采用综合评估法，是指在最大限度地满足招标文件实质性要求前提下，按照招标文件规定的评审标准进行评审，按评审因素的量化指标评审，排序靠前的推荐为中标候选人。</w:t>
      </w:r>
    </w:p>
    <w:p w14:paraId="6BF194E3">
      <w:pPr>
        <w:widowControl w:val="0"/>
        <w:numPr>
          <w:ilvl w:val="0"/>
          <w:numId w:val="5"/>
        </w:numPr>
        <w:autoSpaceDE w:val="0"/>
        <w:autoSpaceDN w:val="0"/>
        <w:adjustRightInd w:val="0"/>
        <w:snapToGrid w:val="0"/>
        <w:ind w:firstLineChars="0"/>
        <w:jc w:val="left"/>
        <w:rPr>
          <w:rFonts w:ascii="宋体" w:hAnsi="宋体"/>
          <w:b/>
        </w:rPr>
      </w:pPr>
      <w:bookmarkStart w:id="321" w:name="_Toc523252726"/>
      <w:r>
        <w:rPr>
          <w:rFonts w:hint="eastAsia" w:ascii="宋体" w:hAnsi="宋体"/>
          <w:b/>
        </w:rPr>
        <w:t>评标程序</w:t>
      </w:r>
      <w:bookmarkEnd w:id="321"/>
    </w:p>
    <w:p w14:paraId="7E916C43">
      <w:pPr>
        <w:widowControl w:val="0"/>
        <w:numPr>
          <w:ilvl w:val="1"/>
          <w:numId w:val="5"/>
        </w:numPr>
        <w:autoSpaceDE w:val="0"/>
        <w:autoSpaceDN w:val="0"/>
        <w:adjustRightInd w:val="0"/>
        <w:snapToGrid w:val="0"/>
        <w:ind w:firstLineChars="0"/>
        <w:jc w:val="left"/>
        <w:rPr>
          <w:rFonts w:ascii="宋体" w:hAnsi="宋体"/>
          <w:b/>
        </w:rPr>
      </w:pPr>
      <w:r>
        <w:rPr>
          <w:rFonts w:ascii="宋体" w:hAnsi="宋体"/>
        </w:rPr>
        <w:t>初步评审</w:t>
      </w:r>
    </w:p>
    <w:p w14:paraId="38205A8E">
      <w:pPr>
        <w:widowControl w:val="0"/>
        <w:numPr>
          <w:ilvl w:val="2"/>
          <w:numId w:val="5"/>
        </w:numPr>
        <w:autoSpaceDE w:val="0"/>
        <w:autoSpaceDN w:val="0"/>
        <w:adjustRightInd w:val="0"/>
        <w:snapToGrid w:val="0"/>
        <w:ind w:firstLineChars="0"/>
        <w:jc w:val="left"/>
        <w:rPr>
          <w:rFonts w:ascii="宋体" w:hAnsi="宋体"/>
          <w:b/>
        </w:rPr>
      </w:pPr>
      <w:r>
        <w:rPr>
          <w:rFonts w:ascii="宋体" w:hAnsi="宋体"/>
        </w:rPr>
        <w:t>评标委员会可以要求投标人提交第</w:t>
      </w:r>
      <w:r>
        <w:rPr>
          <w:rFonts w:hint="eastAsia" w:ascii="宋体" w:hAnsi="宋体"/>
        </w:rPr>
        <w:t>一</w:t>
      </w:r>
      <w:r>
        <w:rPr>
          <w:rFonts w:ascii="宋体" w:hAnsi="宋体"/>
        </w:rPr>
        <w:t>章“投标人须知”规定的有关证明和证件的原件，以便核验。评标委员会依据本章规定的标准对投标文件进行初步评审</w:t>
      </w:r>
      <w:r>
        <w:rPr>
          <w:rFonts w:hint="eastAsia" w:ascii="宋体" w:hAnsi="宋体"/>
        </w:rPr>
        <w:t>，</w:t>
      </w:r>
      <w:r>
        <w:rPr>
          <w:rFonts w:ascii="宋体" w:hAnsi="宋体"/>
        </w:rPr>
        <w:t>有一项不符合评审标准的，评标委员会应当否决其投标。初步评审的结论是“通过”或“不通过”，只有</w:t>
      </w:r>
      <w:r>
        <w:rPr>
          <w:rFonts w:hint="eastAsia" w:ascii="宋体" w:hAnsi="宋体"/>
        </w:rPr>
        <w:t>结论为</w:t>
      </w:r>
      <w:r>
        <w:rPr>
          <w:rFonts w:ascii="宋体" w:hAnsi="宋体"/>
        </w:rPr>
        <w:t>“通过”的投标方能进入下一阶段的评标，否则其投标将按</w:t>
      </w:r>
      <w:r>
        <w:rPr>
          <w:rFonts w:hint="eastAsia" w:ascii="宋体" w:hAnsi="宋体"/>
        </w:rPr>
        <w:t>废</w:t>
      </w:r>
      <w:r>
        <w:rPr>
          <w:rFonts w:ascii="宋体" w:hAnsi="宋体"/>
        </w:rPr>
        <w:t>标处理。</w:t>
      </w:r>
    </w:p>
    <w:p w14:paraId="1F88BDBE">
      <w:pPr>
        <w:widowControl w:val="0"/>
        <w:numPr>
          <w:ilvl w:val="1"/>
          <w:numId w:val="5"/>
        </w:numPr>
        <w:autoSpaceDE w:val="0"/>
        <w:autoSpaceDN w:val="0"/>
        <w:adjustRightInd w:val="0"/>
        <w:snapToGrid w:val="0"/>
        <w:ind w:firstLineChars="0"/>
        <w:jc w:val="left"/>
        <w:rPr>
          <w:rFonts w:ascii="宋体" w:hAnsi="宋体"/>
        </w:rPr>
      </w:pPr>
      <w:bookmarkStart w:id="322" w:name="_bookmark89"/>
      <w:bookmarkEnd w:id="322"/>
      <w:r>
        <w:rPr>
          <w:rFonts w:ascii="宋体" w:hAnsi="宋体"/>
        </w:rPr>
        <w:t>详细评审</w:t>
      </w:r>
    </w:p>
    <w:p w14:paraId="7DE52B7F">
      <w:pPr>
        <w:widowControl w:val="0"/>
        <w:numPr>
          <w:ilvl w:val="2"/>
          <w:numId w:val="5"/>
        </w:numPr>
        <w:autoSpaceDE w:val="0"/>
        <w:autoSpaceDN w:val="0"/>
        <w:adjustRightInd w:val="0"/>
        <w:snapToGrid w:val="0"/>
        <w:ind w:firstLineChars="0"/>
        <w:jc w:val="left"/>
        <w:rPr>
          <w:rFonts w:ascii="宋体" w:hAnsi="宋体"/>
        </w:rPr>
      </w:pPr>
      <w:r>
        <w:rPr>
          <w:rFonts w:ascii="宋体" w:hAnsi="宋体"/>
        </w:rPr>
        <w:t>评</w:t>
      </w:r>
      <w:r>
        <w:rPr>
          <w:rFonts w:ascii="宋体" w:hAnsi="宋体"/>
          <w:spacing w:val="-3"/>
        </w:rPr>
        <w:t>标</w:t>
      </w:r>
      <w:r>
        <w:rPr>
          <w:rFonts w:ascii="宋体" w:hAnsi="宋体"/>
        </w:rPr>
        <w:t>委</w:t>
      </w:r>
      <w:r>
        <w:rPr>
          <w:rFonts w:ascii="宋体" w:hAnsi="宋体"/>
          <w:spacing w:val="-3"/>
        </w:rPr>
        <w:t>员</w:t>
      </w:r>
      <w:r>
        <w:rPr>
          <w:rFonts w:ascii="宋体" w:hAnsi="宋体"/>
        </w:rPr>
        <w:t>会</w:t>
      </w:r>
      <w:r>
        <w:rPr>
          <w:rFonts w:ascii="宋体" w:hAnsi="宋体"/>
          <w:spacing w:val="-3"/>
        </w:rPr>
        <w:t>按</w:t>
      </w:r>
      <w:r>
        <w:rPr>
          <w:rFonts w:ascii="宋体" w:hAnsi="宋体"/>
        </w:rPr>
        <w:t>本</w:t>
      </w:r>
      <w:r>
        <w:rPr>
          <w:rFonts w:ascii="宋体" w:hAnsi="宋体"/>
          <w:spacing w:val="-3"/>
        </w:rPr>
        <w:t>章</w:t>
      </w:r>
      <w:r>
        <w:rPr>
          <w:rFonts w:ascii="宋体" w:hAnsi="宋体"/>
        </w:rPr>
        <w:t>规</w:t>
      </w:r>
      <w:r>
        <w:rPr>
          <w:rFonts w:ascii="宋体" w:hAnsi="宋体"/>
          <w:spacing w:val="-3"/>
        </w:rPr>
        <w:t>定</w:t>
      </w:r>
      <w:r>
        <w:rPr>
          <w:rFonts w:ascii="宋体" w:hAnsi="宋体"/>
        </w:rPr>
        <w:t>的</w:t>
      </w:r>
      <w:r>
        <w:rPr>
          <w:rFonts w:ascii="宋体" w:hAnsi="宋体"/>
          <w:spacing w:val="-3"/>
        </w:rPr>
        <w:t>量</w:t>
      </w:r>
      <w:r>
        <w:rPr>
          <w:rFonts w:ascii="宋体" w:hAnsi="宋体"/>
        </w:rPr>
        <w:t>化</w:t>
      </w:r>
      <w:r>
        <w:rPr>
          <w:rFonts w:ascii="宋体" w:hAnsi="宋体"/>
          <w:spacing w:val="-3"/>
        </w:rPr>
        <w:t>因</w:t>
      </w:r>
      <w:r>
        <w:rPr>
          <w:rFonts w:ascii="宋体" w:hAnsi="宋体"/>
        </w:rPr>
        <w:t>素</w:t>
      </w:r>
      <w:r>
        <w:rPr>
          <w:rFonts w:ascii="宋体" w:hAnsi="宋体"/>
          <w:spacing w:val="-3"/>
        </w:rPr>
        <w:t>和</w:t>
      </w:r>
      <w:r>
        <w:rPr>
          <w:rFonts w:ascii="宋体" w:hAnsi="宋体"/>
        </w:rPr>
        <w:t>分值</w:t>
      </w:r>
      <w:r>
        <w:rPr>
          <w:rFonts w:ascii="宋体" w:hAnsi="宋体"/>
          <w:spacing w:val="-3"/>
        </w:rPr>
        <w:t>进</w:t>
      </w:r>
      <w:r>
        <w:rPr>
          <w:rFonts w:ascii="宋体" w:hAnsi="宋体"/>
        </w:rPr>
        <w:t>行</w:t>
      </w:r>
      <w:r>
        <w:rPr>
          <w:rFonts w:ascii="宋体" w:hAnsi="宋体"/>
          <w:spacing w:val="-3"/>
        </w:rPr>
        <w:t>打</w:t>
      </w:r>
      <w:r>
        <w:rPr>
          <w:rFonts w:ascii="宋体" w:hAnsi="宋体"/>
        </w:rPr>
        <w:t>分</w:t>
      </w:r>
      <w:r>
        <w:rPr>
          <w:rFonts w:hint="eastAsia" w:ascii="宋体" w:hAnsi="宋体"/>
        </w:rPr>
        <w:t>，</w:t>
      </w:r>
      <w:r>
        <w:rPr>
          <w:rFonts w:ascii="宋体" w:hAnsi="宋体"/>
        </w:rPr>
        <w:t>并</w:t>
      </w:r>
      <w:r>
        <w:rPr>
          <w:rFonts w:ascii="宋体" w:hAnsi="宋体"/>
          <w:spacing w:val="-3"/>
        </w:rPr>
        <w:t>计</w:t>
      </w:r>
      <w:r>
        <w:rPr>
          <w:rFonts w:ascii="宋体" w:hAnsi="宋体"/>
        </w:rPr>
        <w:t>算</w:t>
      </w:r>
      <w:r>
        <w:rPr>
          <w:rFonts w:ascii="宋体" w:hAnsi="宋体"/>
          <w:spacing w:val="-3"/>
        </w:rPr>
        <w:t>出综</w:t>
      </w:r>
      <w:r>
        <w:rPr>
          <w:rFonts w:ascii="宋体" w:hAnsi="宋体"/>
        </w:rPr>
        <w:t>合评</w:t>
      </w:r>
      <w:r>
        <w:rPr>
          <w:rFonts w:ascii="宋体" w:hAnsi="宋体"/>
          <w:spacing w:val="-3"/>
        </w:rPr>
        <w:t>估</w:t>
      </w:r>
      <w:r>
        <w:rPr>
          <w:rFonts w:ascii="宋体" w:hAnsi="宋体"/>
        </w:rPr>
        <w:t>得</w:t>
      </w:r>
      <w:r>
        <w:rPr>
          <w:rFonts w:ascii="宋体" w:hAnsi="宋体"/>
          <w:spacing w:val="-3"/>
        </w:rPr>
        <w:t>分</w:t>
      </w:r>
      <w:r>
        <w:rPr>
          <w:rFonts w:ascii="宋体" w:hAnsi="宋体"/>
        </w:rPr>
        <w:t>。</w:t>
      </w:r>
    </w:p>
    <w:p w14:paraId="50CE1EE2">
      <w:pPr>
        <w:widowControl w:val="0"/>
        <w:numPr>
          <w:ilvl w:val="3"/>
          <w:numId w:val="5"/>
        </w:numPr>
        <w:autoSpaceDE w:val="0"/>
        <w:autoSpaceDN w:val="0"/>
        <w:adjustRightInd w:val="0"/>
        <w:snapToGrid w:val="0"/>
        <w:ind w:firstLineChars="0"/>
        <w:jc w:val="left"/>
        <w:rPr>
          <w:rFonts w:ascii="宋体" w:hAnsi="宋体"/>
        </w:rPr>
      </w:pPr>
      <w:r>
        <w:rPr>
          <w:rFonts w:ascii="宋体" w:hAnsi="宋体"/>
        </w:rPr>
        <w:t>按本章商务</w:t>
      </w:r>
      <w:r>
        <w:rPr>
          <w:rFonts w:hint="eastAsia" w:ascii="宋体" w:hAnsi="宋体"/>
        </w:rPr>
        <w:t>标评审标准</w:t>
      </w:r>
      <w:r>
        <w:rPr>
          <w:rFonts w:ascii="宋体" w:hAnsi="宋体"/>
        </w:rPr>
        <w:t>规定的评审因素和分值对商务部分计算出得分A；</w:t>
      </w:r>
    </w:p>
    <w:p w14:paraId="73AF2490">
      <w:pPr>
        <w:widowControl w:val="0"/>
        <w:numPr>
          <w:ilvl w:val="3"/>
          <w:numId w:val="5"/>
        </w:numPr>
        <w:autoSpaceDE w:val="0"/>
        <w:autoSpaceDN w:val="0"/>
        <w:adjustRightInd w:val="0"/>
        <w:snapToGrid w:val="0"/>
        <w:ind w:firstLineChars="0"/>
        <w:jc w:val="left"/>
        <w:rPr>
          <w:rFonts w:ascii="宋体" w:hAnsi="宋体"/>
        </w:rPr>
      </w:pPr>
      <w:r>
        <w:rPr>
          <w:rFonts w:ascii="宋体" w:hAnsi="宋体"/>
        </w:rPr>
        <w:t>按本章技术</w:t>
      </w:r>
      <w:r>
        <w:rPr>
          <w:rFonts w:hint="eastAsia" w:ascii="宋体" w:hAnsi="宋体"/>
        </w:rPr>
        <w:t>标评审标准</w:t>
      </w:r>
      <w:r>
        <w:rPr>
          <w:rFonts w:ascii="宋体" w:hAnsi="宋体"/>
        </w:rPr>
        <w:t>规定的评审因素和分值对技术部分计算出得分B；</w:t>
      </w:r>
    </w:p>
    <w:p w14:paraId="575AE0CE">
      <w:pPr>
        <w:widowControl w:val="0"/>
        <w:numPr>
          <w:ilvl w:val="3"/>
          <w:numId w:val="5"/>
        </w:numPr>
        <w:autoSpaceDE w:val="0"/>
        <w:autoSpaceDN w:val="0"/>
        <w:adjustRightInd w:val="0"/>
        <w:snapToGrid w:val="0"/>
        <w:ind w:firstLineChars="0"/>
        <w:jc w:val="left"/>
        <w:rPr>
          <w:rFonts w:ascii="宋体" w:hAnsi="宋体"/>
        </w:rPr>
      </w:pPr>
      <w:r>
        <w:rPr>
          <w:rFonts w:ascii="宋体" w:hAnsi="宋体"/>
        </w:rPr>
        <w:t>按本章</w:t>
      </w:r>
      <w:r>
        <w:rPr>
          <w:rFonts w:hint="eastAsia" w:ascii="宋体" w:hAnsi="宋体"/>
        </w:rPr>
        <w:t>价格标评审方法</w:t>
      </w:r>
      <w:r>
        <w:rPr>
          <w:rFonts w:ascii="宋体" w:hAnsi="宋体"/>
        </w:rPr>
        <w:t>规定的评审因素和分值对投标报价计算出得分C；</w:t>
      </w:r>
    </w:p>
    <w:p w14:paraId="7892EC64">
      <w:pPr>
        <w:widowControl w:val="0"/>
        <w:numPr>
          <w:ilvl w:val="3"/>
          <w:numId w:val="5"/>
        </w:numPr>
        <w:autoSpaceDE w:val="0"/>
        <w:autoSpaceDN w:val="0"/>
        <w:adjustRightInd w:val="0"/>
        <w:snapToGrid w:val="0"/>
        <w:ind w:firstLineChars="0"/>
        <w:jc w:val="left"/>
        <w:rPr>
          <w:rFonts w:ascii="宋体" w:hAnsi="宋体"/>
        </w:rPr>
      </w:pPr>
      <w:r>
        <w:rPr>
          <w:rFonts w:ascii="宋体" w:hAnsi="宋体"/>
        </w:rPr>
        <w:t>评分分值计算保留小数点后两位，小数点后第三位“四舍五入”。</w:t>
      </w:r>
    </w:p>
    <w:p w14:paraId="34594F87">
      <w:pPr>
        <w:widowControl w:val="0"/>
        <w:numPr>
          <w:ilvl w:val="2"/>
          <w:numId w:val="5"/>
        </w:numPr>
        <w:autoSpaceDE w:val="0"/>
        <w:autoSpaceDN w:val="0"/>
        <w:adjustRightInd w:val="0"/>
        <w:snapToGrid w:val="0"/>
        <w:ind w:firstLineChars="0"/>
        <w:jc w:val="left"/>
        <w:rPr>
          <w:rFonts w:ascii="宋体" w:hAnsi="宋体"/>
        </w:rPr>
      </w:pPr>
      <w:r>
        <w:rPr>
          <w:rFonts w:ascii="宋体" w:hAnsi="宋体"/>
        </w:rPr>
        <w:t>投标人得分=A+B+C。</w:t>
      </w:r>
    </w:p>
    <w:p w14:paraId="2541FCC2">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4"/>
        </w:rPr>
        <w:t>评标委员会发现投标人的报价明显低于其他投标报价，使得其投标报价可能低于其</w:t>
      </w:r>
      <w:r>
        <w:rPr>
          <w:rFonts w:ascii="宋体" w:hAnsi="宋体"/>
          <w:spacing w:val="-1"/>
        </w:rPr>
        <w:t>成本的，应当要求该投标人作出书面说明并提供相应的证明材料。投标人不能合理说明或者</w:t>
      </w:r>
      <w:r>
        <w:rPr>
          <w:rFonts w:ascii="宋体" w:hAnsi="宋体"/>
          <w:spacing w:val="-6"/>
        </w:rPr>
        <w:t>不能提供相应证明材料的，</w:t>
      </w:r>
      <w:r>
        <w:rPr>
          <w:rFonts w:hint="eastAsia" w:ascii="宋体" w:hAnsi="宋体"/>
          <w:spacing w:val="-6"/>
        </w:rPr>
        <w:t>由</w:t>
      </w:r>
      <w:r>
        <w:rPr>
          <w:rFonts w:ascii="宋体" w:hAnsi="宋体"/>
          <w:spacing w:val="-6"/>
        </w:rPr>
        <w:t>评标委员会认定该投标人以低于成本报价竞标，并否决其投标。</w:t>
      </w:r>
    </w:p>
    <w:p w14:paraId="687312BC">
      <w:pPr>
        <w:widowControl w:val="0"/>
        <w:numPr>
          <w:ilvl w:val="1"/>
          <w:numId w:val="5"/>
        </w:numPr>
        <w:autoSpaceDE w:val="0"/>
        <w:autoSpaceDN w:val="0"/>
        <w:adjustRightInd w:val="0"/>
        <w:snapToGrid w:val="0"/>
        <w:ind w:firstLineChars="0"/>
        <w:jc w:val="left"/>
        <w:rPr>
          <w:rFonts w:ascii="宋体" w:hAnsi="宋体"/>
        </w:rPr>
      </w:pPr>
      <w:r>
        <w:rPr>
          <w:rFonts w:ascii="宋体" w:hAnsi="宋体"/>
        </w:rPr>
        <w:t>投标文件的澄清</w:t>
      </w:r>
    </w:p>
    <w:p w14:paraId="62AB8C15">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4"/>
        </w:rPr>
        <w:t>在评标过程中，评标委员会可以书面形式要求投标人对投标文件中含义不明确、对同</w:t>
      </w:r>
      <w:r>
        <w:rPr>
          <w:rFonts w:ascii="宋体" w:hAnsi="宋体"/>
          <w:spacing w:val="-1"/>
        </w:rPr>
        <w:t>类问题表述不一致或者有明显文字和计算错误的内容作必要的澄清、说明或补正。澄清、说明</w:t>
      </w:r>
      <w:r>
        <w:rPr>
          <w:rFonts w:ascii="宋体" w:hAnsi="宋体"/>
        </w:rPr>
        <w:t>或补正应以</w:t>
      </w:r>
      <w:r>
        <w:rPr>
          <w:rFonts w:hint="eastAsia" w:ascii="宋体" w:hAnsi="宋体"/>
        </w:rPr>
        <w:t>数据电文（或书面方式）</w:t>
      </w:r>
      <w:r>
        <w:rPr>
          <w:rFonts w:ascii="宋体" w:hAnsi="宋体"/>
        </w:rPr>
        <w:t>进行。评标委员会不接受投标人主动提出的澄清、说明或补正。</w:t>
      </w:r>
    </w:p>
    <w:p w14:paraId="2F2C9D17">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4"/>
        </w:rPr>
        <w:t>澄清、说明或补正不得超出投标文件的范围且不得改变投标文件的实质性内容，并构</w:t>
      </w:r>
      <w:r>
        <w:rPr>
          <w:rFonts w:ascii="宋体" w:hAnsi="宋体"/>
        </w:rPr>
        <w:t>成投标文件的组成部分。</w:t>
      </w:r>
    </w:p>
    <w:p w14:paraId="3F93DF63">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7"/>
        </w:rPr>
        <w:t>评标委员会对投标人提交的澄清、说明或补正有疑问的，可以要求投标人进一步澄清、</w:t>
      </w:r>
      <w:r>
        <w:rPr>
          <w:rFonts w:ascii="宋体" w:hAnsi="宋体"/>
        </w:rPr>
        <w:t>说明或补正，直至满足评标委员会的要求。</w:t>
      </w:r>
    </w:p>
    <w:p w14:paraId="3CB68710">
      <w:pPr>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184E02FE">
      <w:pPr>
        <w:widowControl w:val="0"/>
        <w:numPr>
          <w:ilvl w:val="1"/>
          <w:numId w:val="5"/>
        </w:numPr>
        <w:autoSpaceDE w:val="0"/>
        <w:autoSpaceDN w:val="0"/>
        <w:adjustRightInd w:val="0"/>
        <w:snapToGrid w:val="0"/>
        <w:ind w:firstLineChars="0"/>
        <w:jc w:val="left"/>
        <w:rPr>
          <w:rFonts w:ascii="宋体" w:hAnsi="宋体"/>
        </w:rPr>
      </w:pPr>
      <w:r>
        <w:rPr>
          <w:rFonts w:ascii="宋体" w:hAnsi="宋体"/>
        </w:rPr>
        <w:t>评标结果</w:t>
      </w:r>
    </w:p>
    <w:p w14:paraId="4B5BAC6A">
      <w:pPr>
        <w:widowControl w:val="0"/>
        <w:numPr>
          <w:ilvl w:val="2"/>
          <w:numId w:val="5"/>
        </w:numPr>
        <w:autoSpaceDE w:val="0"/>
        <w:autoSpaceDN w:val="0"/>
        <w:adjustRightInd w:val="0"/>
        <w:snapToGrid w:val="0"/>
        <w:ind w:firstLineChars="0"/>
        <w:jc w:val="left"/>
        <w:rPr>
          <w:rFonts w:ascii="宋体" w:hAnsi="宋体"/>
        </w:rPr>
      </w:pPr>
      <w:r>
        <w:rPr>
          <w:rFonts w:ascii="宋体" w:hAnsi="宋体"/>
        </w:rPr>
        <w:t>除第</w:t>
      </w:r>
      <w:r>
        <w:rPr>
          <w:rFonts w:hint="eastAsia" w:ascii="宋体" w:hAnsi="宋体"/>
        </w:rPr>
        <w:t>一</w:t>
      </w:r>
      <w:r>
        <w:rPr>
          <w:rFonts w:ascii="宋体" w:hAnsi="宋体"/>
        </w:rPr>
        <w:t>章</w:t>
      </w:r>
      <w:r>
        <w:rPr>
          <w:rFonts w:ascii="宋体" w:hAnsi="宋体"/>
          <w:iCs/>
        </w:rPr>
        <w:t>“投标人须知”</w:t>
      </w:r>
      <w:r>
        <w:rPr>
          <w:rFonts w:ascii="宋体" w:hAnsi="宋体"/>
        </w:rPr>
        <w:t>前附表授权直接确定中标人外，评标委员会按照得分由高到低的顺序推荐中标候选人，并标明排序。</w:t>
      </w:r>
    </w:p>
    <w:p w14:paraId="39DFA7C9">
      <w:pPr>
        <w:widowControl w:val="0"/>
        <w:numPr>
          <w:ilvl w:val="2"/>
          <w:numId w:val="5"/>
        </w:numPr>
        <w:autoSpaceDE w:val="0"/>
        <w:autoSpaceDN w:val="0"/>
        <w:adjustRightInd w:val="0"/>
        <w:snapToGrid w:val="0"/>
        <w:ind w:firstLineChars="0"/>
        <w:jc w:val="left"/>
        <w:rPr>
          <w:rFonts w:ascii="宋体" w:hAnsi="宋体"/>
        </w:rPr>
      </w:pPr>
      <w:r>
        <w:rPr>
          <w:rFonts w:ascii="宋体" w:hAnsi="宋体"/>
        </w:rPr>
        <w:t>评标委员会完成评标后，应当向招标人提交书面评标报告和中标候选人名单。</w:t>
      </w:r>
    </w:p>
    <w:p w14:paraId="0C039934">
      <w:pPr>
        <w:widowControl w:val="0"/>
        <w:autoSpaceDE w:val="0"/>
        <w:autoSpaceDN w:val="0"/>
        <w:adjustRightInd w:val="0"/>
        <w:snapToGrid w:val="0"/>
        <w:ind w:firstLine="0" w:firstLineChars="0"/>
        <w:jc w:val="left"/>
        <w:rPr>
          <w:rFonts w:hint="eastAsia" w:ascii="宋体" w:hAnsi="宋体"/>
        </w:rPr>
      </w:pPr>
    </w:p>
    <w:p w14:paraId="0927B2B2">
      <w:pPr>
        <w:widowControl w:val="0"/>
        <w:numPr>
          <w:ilvl w:val="0"/>
          <w:numId w:val="5"/>
        </w:numPr>
        <w:autoSpaceDE w:val="0"/>
        <w:autoSpaceDN w:val="0"/>
        <w:adjustRightInd w:val="0"/>
        <w:snapToGrid w:val="0"/>
        <w:ind w:firstLineChars="0"/>
        <w:jc w:val="left"/>
        <w:rPr>
          <w:rFonts w:ascii="宋体" w:hAnsi="宋体"/>
          <w:b/>
          <w:szCs w:val="21"/>
        </w:rPr>
      </w:pPr>
      <w:r>
        <w:rPr>
          <w:rFonts w:hint="eastAsia" w:ascii="宋体" w:hAnsi="宋体"/>
          <w:b/>
          <w:szCs w:val="21"/>
        </w:rPr>
        <w:t>中标候选人的推荐</w:t>
      </w:r>
    </w:p>
    <w:p w14:paraId="668A23AE">
      <w:pPr>
        <w:widowControl w:val="0"/>
        <w:numPr>
          <w:ilvl w:val="1"/>
          <w:numId w:val="5"/>
        </w:numPr>
        <w:autoSpaceDE w:val="0"/>
        <w:autoSpaceDN w:val="0"/>
        <w:adjustRightInd w:val="0"/>
        <w:snapToGrid w:val="0"/>
        <w:ind w:firstLineChars="0"/>
        <w:jc w:val="left"/>
        <w:rPr>
          <w:rFonts w:ascii="宋体" w:hAnsi="宋体"/>
          <w:b/>
          <w:szCs w:val="21"/>
        </w:rPr>
      </w:pPr>
      <w:r>
        <w:rPr>
          <w:rFonts w:hint="eastAsia" w:ascii="宋体" w:hAnsi="宋体"/>
          <w:szCs w:val="21"/>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099E55E3">
      <w:pPr>
        <w:widowControl w:val="0"/>
        <w:numPr>
          <w:ilvl w:val="1"/>
          <w:numId w:val="5"/>
        </w:numPr>
        <w:autoSpaceDE w:val="0"/>
        <w:autoSpaceDN w:val="0"/>
        <w:adjustRightInd w:val="0"/>
        <w:snapToGrid w:val="0"/>
        <w:ind w:firstLineChars="0"/>
        <w:jc w:val="left"/>
        <w:rPr>
          <w:rFonts w:ascii="宋体" w:hAnsi="宋体"/>
          <w:szCs w:val="21"/>
        </w:rPr>
      </w:pPr>
      <w:r>
        <w:rPr>
          <w:rFonts w:hint="eastAsia" w:ascii="宋体" w:hAnsi="宋体"/>
          <w:szCs w:val="21"/>
        </w:rPr>
        <w:t>若出现评审综合得分相同的情形，按投标报价由低到高顺序排列；得分且投标报价相同的，按技术标得分顺序排列；如技术标得分仍然相同，则采用抽签的方法确定中标候选人的排序。</w:t>
      </w:r>
    </w:p>
    <w:p w14:paraId="0664608D">
      <w:pPr>
        <w:widowControl w:val="0"/>
        <w:autoSpaceDE w:val="0"/>
        <w:autoSpaceDN w:val="0"/>
        <w:adjustRightInd w:val="0"/>
        <w:snapToGrid w:val="0"/>
        <w:ind w:firstLine="0" w:firstLineChars="0"/>
        <w:jc w:val="left"/>
        <w:rPr>
          <w:rFonts w:hint="eastAsia" w:ascii="宋体" w:hAnsi="宋体"/>
          <w:szCs w:val="21"/>
        </w:rPr>
      </w:pPr>
    </w:p>
    <w:p w14:paraId="4515B074">
      <w:pPr>
        <w:widowControl w:val="0"/>
        <w:numPr>
          <w:ilvl w:val="0"/>
          <w:numId w:val="5"/>
        </w:numPr>
        <w:autoSpaceDE w:val="0"/>
        <w:autoSpaceDN w:val="0"/>
        <w:adjustRightInd w:val="0"/>
        <w:snapToGrid w:val="0"/>
        <w:ind w:firstLineChars="0"/>
        <w:jc w:val="left"/>
        <w:rPr>
          <w:rFonts w:ascii="宋体" w:hAnsi="宋体"/>
          <w:b/>
          <w:szCs w:val="21"/>
        </w:rPr>
      </w:pPr>
      <w:r>
        <w:rPr>
          <w:rFonts w:hint="eastAsia" w:ascii="宋体" w:hAnsi="宋体"/>
          <w:b/>
          <w:szCs w:val="21"/>
        </w:rPr>
        <w:t>附表</w:t>
      </w:r>
    </w:p>
    <w:p w14:paraId="5683CC9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附表1-1《商务标评审标准》</w:t>
      </w:r>
    </w:p>
    <w:p w14:paraId="38F4F97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附表2-1《技术标评审标准》</w:t>
      </w:r>
    </w:p>
    <w:p w14:paraId="54489A7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附表3-1《价格标评审方法》</w:t>
      </w:r>
    </w:p>
    <w:p w14:paraId="6F311912">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附表4-1《商务标、技术标、价格标分值表和综合得分汇总》</w:t>
      </w:r>
      <w:bookmarkStart w:id="323" w:name="_bookmark90"/>
      <w:bookmarkEnd w:id="323"/>
      <w:bookmarkStart w:id="324" w:name="_bookmark91"/>
      <w:bookmarkEnd w:id="324"/>
      <w:bookmarkStart w:id="325" w:name="_Toc177546571"/>
      <w:bookmarkStart w:id="326" w:name="_Toc229236501"/>
      <w:bookmarkStart w:id="327" w:name="_Toc209869262"/>
    </w:p>
    <w:bookmarkEnd w:id="325"/>
    <w:bookmarkEnd w:id="326"/>
    <w:bookmarkEnd w:id="327"/>
    <w:p w14:paraId="648EA89B">
      <w:pPr>
        <w:widowControl w:val="0"/>
        <w:autoSpaceDE w:val="0"/>
        <w:autoSpaceDN w:val="0"/>
        <w:adjustRightInd w:val="0"/>
        <w:snapToGrid w:val="0"/>
        <w:ind w:firstLine="0" w:firstLineChars="0"/>
        <w:jc w:val="left"/>
        <w:rPr>
          <w:rFonts w:hint="eastAsia" w:ascii="宋体" w:hAnsi="宋体"/>
          <w:b/>
          <w:szCs w:val="21"/>
        </w:rPr>
      </w:pPr>
      <w:r>
        <w:rPr>
          <w:rFonts w:ascii="宋体" w:hAnsi="宋体"/>
        </w:rPr>
        <w:br w:type="page"/>
      </w:r>
      <w:r>
        <w:rPr>
          <w:rFonts w:hint="eastAsia" w:ascii="宋体" w:hAnsi="宋体"/>
          <w:b/>
          <w:szCs w:val="21"/>
        </w:rPr>
        <w:t>附表1-1《商务标评审标准》</w:t>
      </w:r>
    </w:p>
    <w:tbl>
      <w:tblPr>
        <w:tblStyle w:val="51"/>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2"/>
        <w:gridCol w:w="2155"/>
        <w:gridCol w:w="5043"/>
        <w:gridCol w:w="843"/>
      </w:tblGrid>
      <w:tr w14:paraId="2A439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482" w:type="dxa"/>
            <w:shd w:val="clear" w:color="auto" w:fill="BDD6EE" w:themeFill="accent1" w:themeFillTint="66"/>
            <w:vAlign w:val="center"/>
          </w:tcPr>
          <w:p w14:paraId="6A436E29">
            <w:pPr>
              <w:adjustRightInd w:val="0"/>
              <w:snapToGrid w:val="0"/>
              <w:spacing w:line="240" w:lineRule="auto"/>
              <w:ind w:left="0" w:leftChars="0" w:right="0" w:rightChars="0" w:firstLine="0" w:firstLineChars="0"/>
              <w:jc w:val="center"/>
              <w:rPr>
                <w:rFonts w:hint="eastAsia" w:ascii="宋体" w:hAnsi="宋体"/>
                <w:b/>
                <w:szCs w:val="21"/>
              </w:rPr>
            </w:pPr>
            <w:r>
              <w:rPr>
                <w:rFonts w:hint="eastAsia" w:ascii="宋体" w:hAnsi="宋体"/>
                <w:b/>
                <w:szCs w:val="21"/>
              </w:rPr>
              <w:t>序号</w:t>
            </w:r>
          </w:p>
        </w:tc>
        <w:tc>
          <w:tcPr>
            <w:tcW w:w="2155" w:type="dxa"/>
            <w:shd w:val="clear" w:color="auto" w:fill="BDD6EE" w:themeFill="accent1" w:themeFillTint="66"/>
            <w:vAlign w:val="center"/>
          </w:tcPr>
          <w:p w14:paraId="37E5FAE1">
            <w:pPr>
              <w:adjustRightInd w:val="0"/>
              <w:snapToGrid w:val="0"/>
              <w:spacing w:line="240" w:lineRule="auto"/>
              <w:ind w:left="0" w:leftChars="0" w:right="0" w:rightChars="0" w:firstLine="0" w:firstLineChars="0"/>
              <w:jc w:val="center"/>
              <w:rPr>
                <w:rFonts w:hint="eastAsia" w:ascii="宋体" w:hAnsi="宋体"/>
                <w:b/>
                <w:szCs w:val="21"/>
              </w:rPr>
            </w:pPr>
            <w:r>
              <w:rPr>
                <w:rFonts w:hint="eastAsia" w:ascii="宋体" w:hAnsi="宋体"/>
                <w:b/>
                <w:szCs w:val="21"/>
              </w:rPr>
              <w:t>评审项目</w:t>
            </w:r>
          </w:p>
        </w:tc>
        <w:tc>
          <w:tcPr>
            <w:tcW w:w="5043" w:type="dxa"/>
            <w:shd w:val="clear" w:color="auto" w:fill="BDD6EE" w:themeFill="accent1" w:themeFillTint="66"/>
            <w:vAlign w:val="center"/>
          </w:tcPr>
          <w:p w14:paraId="0CD6575E">
            <w:pPr>
              <w:adjustRightInd w:val="0"/>
              <w:snapToGrid w:val="0"/>
              <w:spacing w:line="240" w:lineRule="auto"/>
              <w:ind w:left="0" w:leftChars="0" w:right="0" w:rightChars="0" w:firstLine="0" w:firstLineChars="0"/>
              <w:jc w:val="center"/>
              <w:rPr>
                <w:rFonts w:hint="eastAsia" w:ascii="宋体" w:hAnsi="宋体"/>
                <w:b/>
                <w:szCs w:val="21"/>
              </w:rPr>
            </w:pPr>
            <w:r>
              <w:rPr>
                <w:rFonts w:hint="eastAsia" w:ascii="宋体" w:hAnsi="宋体"/>
                <w:b/>
                <w:szCs w:val="21"/>
              </w:rPr>
              <w:t>评审标准</w:t>
            </w:r>
          </w:p>
        </w:tc>
        <w:tc>
          <w:tcPr>
            <w:tcW w:w="843" w:type="dxa"/>
            <w:shd w:val="clear" w:color="auto" w:fill="BDD6EE" w:themeFill="accent1" w:themeFillTint="66"/>
            <w:vAlign w:val="center"/>
          </w:tcPr>
          <w:p w14:paraId="15E26B85">
            <w:pPr>
              <w:adjustRightInd w:val="0"/>
              <w:snapToGrid w:val="0"/>
              <w:spacing w:line="240" w:lineRule="auto"/>
              <w:ind w:left="0" w:leftChars="0" w:right="0" w:rightChars="0" w:firstLine="0" w:firstLineChars="0"/>
              <w:jc w:val="center"/>
              <w:rPr>
                <w:rFonts w:hint="eastAsia" w:ascii="宋体" w:hAnsi="宋体"/>
                <w:b/>
                <w:szCs w:val="21"/>
              </w:rPr>
            </w:pPr>
            <w:r>
              <w:rPr>
                <w:rFonts w:hint="eastAsia" w:ascii="宋体" w:hAnsi="宋体"/>
                <w:b/>
                <w:szCs w:val="21"/>
              </w:rPr>
              <w:t>分值</w:t>
            </w:r>
          </w:p>
        </w:tc>
      </w:tr>
      <w:tr w14:paraId="542DF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2" w:type="dxa"/>
            <w:vAlign w:val="center"/>
          </w:tcPr>
          <w:p w14:paraId="7D8DBC70">
            <w:pPr>
              <w:adjustRightInd w:val="0"/>
              <w:snapToGrid w:val="0"/>
              <w:spacing w:line="240" w:lineRule="auto"/>
              <w:ind w:left="0" w:leftChars="0" w:right="0" w:rightChars="0" w:firstLine="0" w:firstLineChars="0"/>
              <w:jc w:val="center"/>
              <w:rPr>
                <w:rFonts w:hint="eastAsia" w:ascii="宋体" w:hAnsi="宋体" w:eastAsia="宋体"/>
                <w:b/>
                <w:sz w:val="21"/>
                <w:szCs w:val="21"/>
              </w:rPr>
            </w:pPr>
            <w:r>
              <w:rPr>
                <w:rFonts w:hint="eastAsia" w:ascii="宋体" w:hAnsi="宋体" w:eastAsia="宋体"/>
                <w:bCs/>
                <w:sz w:val="21"/>
                <w:szCs w:val="21"/>
              </w:rPr>
              <w:t>1</w:t>
            </w:r>
          </w:p>
        </w:tc>
        <w:tc>
          <w:tcPr>
            <w:tcW w:w="2155" w:type="dxa"/>
            <w:vAlign w:val="center"/>
          </w:tcPr>
          <w:p w14:paraId="41830561">
            <w:pPr>
              <w:autoSpaceDE w:val="0"/>
              <w:autoSpaceDN w:val="0"/>
              <w:adjustRightInd w:val="0"/>
              <w:snapToGrid w:val="0"/>
              <w:spacing w:line="240" w:lineRule="auto"/>
              <w:ind w:left="0" w:leftChars="0" w:right="0" w:rightChars="0" w:firstLine="0" w:firstLineChars="0"/>
              <w:jc w:val="center"/>
              <w:rPr>
                <w:rFonts w:hint="eastAsia" w:ascii="宋体" w:hAnsi="宋体" w:eastAsia="宋体" w:cs="仿宋"/>
                <w:sz w:val="21"/>
                <w:szCs w:val="21"/>
              </w:rPr>
            </w:pPr>
            <w:r>
              <w:rPr>
                <w:rFonts w:hint="eastAsia" w:ascii="宋体"/>
                <w:szCs w:val="21"/>
              </w:rPr>
              <w:t>事故保险</w:t>
            </w:r>
          </w:p>
        </w:tc>
        <w:tc>
          <w:tcPr>
            <w:tcW w:w="5043" w:type="dxa"/>
            <w:vAlign w:val="center"/>
          </w:tcPr>
          <w:p w14:paraId="6DE24F08">
            <w:pPr>
              <w:snapToGrid w:val="0"/>
              <w:spacing w:line="240" w:lineRule="auto"/>
              <w:ind w:left="0" w:leftChars="0" w:right="0" w:rightChars="0" w:firstLine="0" w:firstLineChars="0"/>
              <w:jc w:val="left"/>
              <w:rPr>
                <w:rFonts w:hint="eastAsia" w:ascii="宋体" w:hAnsi="宋体" w:eastAsia="宋体" w:cs="仿宋"/>
                <w:kern w:val="0"/>
                <w:sz w:val="21"/>
                <w:szCs w:val="21"/>
              </w:rPr>
            </w:pPr>
            <w:r>
              <w:rPr>
                <w:rFonts w:hint="eastAsia" w:ascii="宋体"/>
                <w:szCs w:val="21"/>
              </w:rPr>
              <w:t>投标人承诺中标后为本项目购买第三方公众责任险和食品安全险，且保险金额≥20000万元的，得2分。</w:t>
            </w:r>
            <w:r>
              <w:rPr>
                <w:rFonts w:hint="eastAsia" w:ascii="宋体" w:eastAsia="宋体"/>
                <w:b/>
                <w:sz w:val="21"/>
                <w:szCs w:val="21"/>
              </w:rPr>
              <w:t>证明材料：</w:t>
            </w:r>
            <w:r>
              <w:rPr>
                <w:rFonts w:hint="eastAsia" w:ascii="宋体"/>
                <w:szCs w:val="21"/>
              </w:rPr>
              <w:t>（提供承诺书原件，现购买保险金额≥20000万元的保单，承诺书格式自拟</w:t>
            </w:r>
            <w:r>
              <w:rPr>
                <w:rFonts w:hint="eastAsia" w:ascii="宋体" w:hAnsi="宋体" w:eastAsia="宋体" w:cs="仿宋"/>
                <w:kern w:val="0"/>
                <w:sz w:val="21"/>
                <w:szCs w:val="21"/>
              </w:rPr>
              <w:t>。</w:t>
            </w:r>
          </w:p>
        </w:tc>
        <w:tc>
          <w:tcPr>
            <w:tcW w:w="843" w:type="dxa"/>
            <w:vAlign w:val="center"/>
          </w:tcPr>
          <w:p w14:paraId="1DFED494">
            <w:pPr>
              <w:adjustRightInd w:val="0"/>
              <w:snapToGrid w:val="0"/>
              <w:spacing w:line="240" w:lineRule="auto"/>
              <w:ind w:left="0" w:leftChars="0" w:right="0" w:rightChars="0" w:firstLine="0" w:firstLineChars="0"/>
              <w:jc w:val="left"/>
              <w:rPr>
                <w:rFonts w:hint="eastAsia" w:ascii="宋体" w:hAnsi="宋体" w:eastAsia="宋体"/>
                <w:sz w:val="21"/>
                <w:szCs w:val="21"/>
              </w:rPr>
            </w:pPr>
            <w:r>
              <w:rPr>
                <w:rFonts w:hint="eastAsia" w:ascii="宋体" w:hAnsi="宋体"/>
                <w:bCs/>
                <w:sz w:val="21"/>
                <w:szCs w:val="21"/>
                <w:lang w:val="en-US" w:eastAsia="zh-CN"/>
              </w:rPr>
              <w:t>2</w:t>
            </w:r>
            <w:r>
              <w:rPr>
                <w:rFonts w:hint="eastAsia" w:ascii="宋体" w:hAnsi="宋体" w:eastAsia="宋体"/>
                <w:bCs/>
                <w:sz w:val="21"/>
                <w:szCs w:val="21"/>
              </w:rPr>
              <w:t>分</w:t>
            </w:r>
          </w:p>
        </w:tc>
      </w:tr>
      <w:tr w14:paraId="37F8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2" w:type="dxa"/>
            <w:vAlign w:val="center"/>
          </w:tcPr>
          <w:p w14:paraId="0163FA51">
            <w:pPr>
              <w:adjustRightInd w:val="0"/>
              <w:snapToGrid w:val="0"/>
              <w:spacing w:line="240" w:lineRule="auto"/>
              <w:ind w:left="0" w:leftChars="0" w:right="0" w:rightChars="0" w:firstLine="0" w:firstLineChars="0"/>
              <w:jc w:val="center"/>
              <w:rPr>
                <w:rFonts w:hint="eastAsia" w:ascii="宋体" w:hAnsi="宋体" w:eastAsia="宋体"/>
                <w:sz w:val="21"/>
                <w:szCs w:val="21"/>
              </w:rPr>
            </w:pPr>
            <w:r>
              <w:rPr>
                <w:rFonts w:hint="eastAsia" w:ascii="宋体" w:hAnsi="宋体" w:eastAsia="宋体"/>
                <w:sz w:val="21"/>
                <w:szCs w:val="21"/>
              </w:rPr>
              <w:t>2</w:t>
            </w:r>
          </w:p>
        </w:tc>
        <w:tc>
          <w:tcPr>
            <w:tcW w:w="2155" w:type="dxa"/>
            <w:vAlign w:val="center"/>
          </w:tcPr>
          <w:p w14:paraId="7386B496">
            <w:pPr>
              <w:adjustRightInd w:val="0"/>
              <w:snapToGrid w:val="0"/>
              <w:spacing w:line="240" w:lineRule="auto"/>
              <w:ind w:left="0" w:leftChars="0" w:right="0" w:rightChars="0" w:firstLine="0" w:firstLineChars="0"/>
              <w:jc w:val="center"/>
              <w:rPr>
                <w:rFonts w:hint="eastAsia" w:ascii="宋体" w:hAnsi="宋体" w:eastAsia="宋体"/>
                <w:sz w:val="21"/>
                <w:szCs w:val="21"/>
              </w:rPr>
            </w:pPr>
            <w:r>
              <w:rPr>
                <w:rFonts w:hint="eastAsia" w:ascii="宋体" w:hAnsi="宋体" w:eastAsia="宋体" w:cs="仿宋"/>
                <w:sz w:val="21"/>
                <w:szCs w:val="21"/>
              </w:rPr>
              <w:t>同类项目业绩</w:t>
            </w:r>
          </w:p>
        </w:tc>
        <w:tc>
          <w:tcPr>
            <w:tcW w:w="5043" w:type="dxa"/>
            <w:vAlign w:val="center"/>
          </w:tcPr>
          <w:p w14:paraId="06FC4A93">
            <w:pPr>
              <w:adjustRightInd w:val="0"/>
              <w:snapToGrid w:val="0"/>
              <w:spacing w:before="120" w:line="240" w:lineRule="auto"/>
              <w:ind w:left="0" w:leftChars="0" w:right="0" w:rightChars="0" w:firstLine="0" w:firstLineChars="0"/>
              <w:jc w:val="left"/>
              <w:rPr>
                <w:rFonts w:hint="eastAsia" w:ascii="宋体" w:hAnsi="宋体" w:eastAsia="宋体" w:cs="仿宋"/>
                <w:kern w:val="0"/>
                <w:sz w:val="21"/>
                <w:szCs w:val="21"/>
              </w:rPr>
            </w:pPr>
            <w:r>
              <w:rPr>
                <w:rFonts w:hint="eastAsia" w:ascii="宋体" w:hAnsi="宋体" w:cs="仿宋"/>
                <w:kern w:val="0"/>
                <w:szCs w:val="21"/>
              </w:rPr>
              <w:t>自202</w:t>
            </w:r>
            <w:r>
              <w:rPr>
                <w:rFonts w:hint="eastAsia" w:ascii="宋体" w:hAnsi="宋体" w:cs="仿宋"/>
                <w:kern w:val="0"/>
                <w:szCs w:val="21"/>
                <w:lang w:eastAsia="zh-CN"/>
              </w:rPr>
              <w:t>3</w:t>
            </w:r>
            <w:r>
              <w:rPr>
                <w:rFonts w:hint="eastAsia" w:ascii="宋体" w:hAnsi="宋体" w:cs="仿宋"/>
                <w:kern w:val="0"/>
                <w:szCs w:val="21"/>
              </w:rPr>
              <w:t>年0</w:t>
            </w:r>
            <w:r>
              <w:rPr>
                <w:rFonts w:hint="eastAsia" w:ascii="宋体" w:hAnsi="宋体" w:cs="仿宋"/>
                <w:kern w:val="0"/>
                <w:szCs w:val="21"/>
                <w:lang w:eastAsia="zh-CN"/>
              </w:rPr>
              <w:t>8</w:t>
            </w:r>
            <w:r>
              <w:rPr>
                <w:rFonts w:hint="eastAsia" w:ascii="宋体" w:hAnsi="宋体" w:cs="仿宋"/>
                <w:kern w:val="0"/>
                <w:szCs w:val="21"/>
              </w:rPr>
              <w:t>月01日以来(以合同签订日期为准),承接过类似机关、企事业单位、团体组织的餐饮服务管理（同类项目指单餐最大人数1000人及以上）项目的，每提供一份有效合同得1分，最高得5分。</w:t>
            </w:r>
          </w:p>
          <w:p w14:paraId="2F8347BB">
            <w:pPr>
              <w:adjustRightInd w:val="0"/>
              <w:snapToGrid w:val="0"/>
              <w:spacing w:line="240" w:lineRule="auto"/>
              <w:ind w:left="0" w:leftChars="0" w:right="0" w:rightChars="0" w:firstLine="0" w:firstLineChars="0"/>
              <w:jc w:val="left"/>
              <w:rPr>
                <w:rFonts w:hint="eastAsia" w:ascii="宋体" w:hAnsi="宋体" w:eastAsia="宋体"/>
                <w:sz w:val="21"/>
                <w:szCs w:val="21"/>
              </w:rPr>
            </w:pPr>
            <w:r>
              <w:rPr>
                <w:rFonts w:hint="eastAsia" w:ascii="宋体" w:hAnsi="宋体" w:eastAsia="宋体" w:cs="仿宋"/>
                <w:b/>
                <w:bCs/>
                <w:kern w:val="0"/>
                <w:sz w:val="21"/>
                <w:szCs w:val="21"/>
              </w:rPr>
              <w:t>证明材料：</w:t>
            </w:r>
            <w:r>
              <w:rPr>
                <w:rFonts w:hint="eastAsia" w:ascii="宋体" w:hAnsi="宋体" w:eastAsia="宋体" w:cs="仿宋"/>
                <w:kern w:val="0"/>
                <w:sz w:val="21"/>
                <w:szCs w:val="21"/>
              </w:rPr>
              <w:t>投标人提供同类项目合同扫描件。合同证明材料需清晰体现合同时间、合同金额、合同内容、合同签字页等关键内容。未提供或不符合要求的不予加分。</w:t>
            </w:r>
          </w:p>
        </w:tc>
        <w:tc>
          <w:tcPr>
            <w:tcW w:w="843" w:type="dxa"/>
            <w:vAlign w:val="center"/>
          </w:tcPr>
          <w:p w14:paraId="5A638BD3">
            <w:pPr>
              <w:adjustRightInd w:val="0"/>
              <w:snapToGrid w:val="0"/>
              <w:spacing w:line="240" w:lineRule="auto"/>
              <w:ind w:left="0" w:leftChars="0" w:right="0" w:rightChars="0" w:firstLine="0" w:firstLineChars="0"/>
              <w:jc w:val="left"/>
              <w:rPr>
                <w:rFonts w:hint="eastAsia" w:ascii="宋体" w:hAnsi="宋体" w:eastAsia="宋体"/>
                <w:sz w:val="21"/>
                <w:szCs w:val="21"/>
              </w:rPr>
            </w:pPr>
            <w:r>
              <w:rPr>
                <w:rFonts w:hint="eastAsia" w:ascii="宋体" w:hAnsi="宋体"/>
                <w:bCs/>
                <w:sz w:val="21"/>
                <w:szCs w:val="21"/>
                <w:lang w:val="en-US" w:eastAsia="zh-CN"/>
              </w:rPr>
              <w:t>5</w:t>
            </w:r>
            <w:r>
              <w:rPr>
                <w:rFonts w:hint="eastAsia" w:ascii="宋体" w:hAnsi="宋体" w:eastAsia="宋体"/>
                <w:bCs/>
                <w:sz w:val="21"/>
                <w:szCs w:val="21"/>
              </w:rPr>
              <w:t>分</w:t>
            </w:r>
          </w:p>
        </w:tc>
      </w:tr>
      <w:tr w14:paraId="4D3D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2" w:type="dxa"/>
            <w:vAlign w:val="center"/>
          </w:tcPr>
          <w:p w14:paraId="24AFD873">
            <w:pPr>
              <w:adjustRightInd w:val="0"/>
              <w:snapToGrid w:val="0"/>
              <w:spacing w:line="240" w:lineRule="auto"/>
              <w:ind w:left="0" w:leftChars="0" w:right="0" w:rightChars="0" w:firstLine="0" w:firstLineChars="0"/>
              <w:jc w:val="center"/>
              <w:rPr>
                <w:rFonts w:hint="eastAsia" w:ascii="宋体" w:hAnsi="宋体" w:eastAsia="宋体"/>
                <w:sz w:val="21"/>
                <w:szCs w:val="21"/>
                <w:lang w:val="en-US" w:eastAsia="zh-CN"/>
              </w:rPr>
            </w:pPr>
            <w:bookmarkStart w:id="328" w:name="auto_fouce_11" w:colFirst="1" w:colLast="3"/>
            <w:r>
              <w:rPr>
                <w:rFonts w:hint="eastAsia" w:ascii="宋体" w:hAnsi="宋体"/>
                <w:sz w:val="21"/>
                <w:szCs w:val="21"/>
                <w:lang w:val="en-US" w:eastAsia="zh-CN"/>
              </w:rPr>
              <w:t>3</w:t>
            </w:r>
          </w:p>
        </w:tc>
        <w:tc>
          <w:tcPr>
            <w:tcW w:w="2155" w:type="dxa"/>
            <w:vAlign w:val="center"/>
          </w:tcPr>
          <w:p w14:paraId="7C70C71A">
            <w:pPr>
              <w:adjustRightInd w:val="0"/>
              <w:snapToGrid w:val="0"/>
              <w:spacing w:line="240" w:lineRule="auto"/>
              <w:ind w:left="0" w:leftChars="0" w:right="0" w:rightChars="0" w:firstLine="0" w:firstLineChars="0"/>
              <w:jc w:val="center"/>
              <w:rPr>
                <w:rFonts w:hint="eastAsia" w:ascii="宋体" w:hAnsi="宋体" w:eastAsia="宋体" w:cs="仿宋"/>
                <w:sz w:val="21"/>
                <w:szCs w:val="21"/>
              </w:rPr>
            </w:pPr>
            <w:r>
              <w:rPr>
                <w:rFonts w:hint="eastAsia" w:ascii="宋体" w:hAnsi="宋体" w:cs="仿宋"/>
                <w:szCs w:val="21"/>
              </w:rPr>
              <w:t>荣誉</w:t>
            </w:r>
          </w:p>
        </w:tc>
        <w:tc>
          <w:tcPr>
            <w:tcW w:w="5043" w:type="dxa"/>
            <w:vAlign w:val="center"/>
          </w:tcPr>
          <w:p w14:paraId="6A1DE3C2">
            <w:pPr>
              <w:adjustRightInd w:val="0"/>
              <w:snapToGrid w:val="0"/>
              <w:spacing w:before="120" w:line="240" w:lineRule="auto"/>
              <w:ind w:left="0" w:leftChars="0" w:right="0" w:rightChars="0" w:firstLine="0" w:firstLineChars="0"/>
              <w:jc w:val="left"/>
              <w:rPr>
                <w:rFonts w:hint="eastAsia" w:ascii="宋体" w:hAnsi="宋体" w:eastAsia="宋体" w:cs="仿宋"/>
                <w:kern w:val="0"/>
                <w:sz w:val="21"/>
                <w:szCs w:val="21"/>
              </w:rPr>
            </w:pPr>
            <w:r>
              <w:rPr>
                <w:rFonts w:hint="eastAsia" w:ascii="宋体" w:hAnsi="宋体" w:cs="仿宋"/>
                <w:kern w:val="0"/>
                <w:szCs w:val="21"/>
              </w:rPr>
              <w:t>自202</w:t>
            </w:r>
            <w:r>
              <w:rPr>
                <w:rFonts w:hint="eastAsia" w:ascii="宋体" w:hAnsi="宋体" w:cs="仿宋"/>
                <w:kern w:val="0"/>
                <w:szCs w:val="21"/>
                <w:lang w:eastAsia="zh-CN"/>
              </w:rPr>
              <w:t>3</w:t>
            </w:r>
            <w:r>
              <w:rPr>
                <w:rFonts w:hint="eastAsia" w:ascii="宋体" w:hAnsi="宋体" w:cs="仿宋"/>
                <w:kern w:val="0"/>
                <w:szCs w:val="21"/>
              </w:rPr>
              <w:t>年0</w:t>
            </w:r>
            <w:r>
              <w:rPr>
                <w:rFonts w:hint="eastAsia" w:ascii="宋体" w:hAnsi="宋体" w:cs="仿宋"/>
                <w:kern w:val="0"/>
                <w:szCs w:val="21"/>
                <w:lang w:eastAsia="zh-CN"/>
              </w:rPr>
              <w:t>8</w:t>
            </w:r>
            <w:r>
              <w:rPr>
                <w:rFonts w:hint="eastAsia" w:ascii="宋体" w:hAnsi="宋体" w:cs="仿宋"/>
                <w:kern w:val="0"/>
                <w:szCs w:val="21"/>
              </w:rPr>
              <w:t>月01日以来(以合同签订日期为准),承接过类似机关、企事业单位、团体组织的餐饮服务管理（同类项目指单餐最大人数1000人及以上）项目的，每提供一份有效合同得1分，最高得5分。</w:t>
            </w:r>
          </w:p>
          <w:p w14:paraId="030B533A">
            <w:pPr>
              <w:adjustRightInd w:val="0"/>
              <w:snapToGrid w:val="0"/>
              <w:spacing w:line="240" w:lineRule="auto"/>
              <w:ind w:left="0" w:leftChars="0" w:right="0" w:rightChars="0" w:firstLine="0" w:firstLineChars="0"/>
              <w:jc w:val="left"/>
              <w:rPr>
                <w:rFonts w:hint="eastAsia" w:ascii="宋体" w:hAnsi="宋体" w:eastAsia="宋体" w:cs="仿宋"/>
                <w:b/>
                <w:bCs/>
                <w:kern w:val="0"/>
                <w:sz w:val="21"/>
                <w:szCs w:val="21"/>
                <w:lang w:val="en-US" w:eastAsia="zh-CN"/>
              </w:rPr>
            </w:pPr>
            <w:r>
              <w:rPr>
                <w:rFonts w:hint="eastAsia" w:ascii="宋体" w:hAnsi="宋体" w:eastAsia="宋体" w:cs="仿宋"/>
                <w:b/>
                <w:bCs/>
                <w:kern w:val="0"/>
                <w:sz w:val="21"/>
                <w:szCs w:val="21"/>
              </w:rPr>
              <w:t>证明材料：</w:t>
            </w:r>
            <w:r>
              <w:rPr>
                <w:rFonts w:hint="eastAsia" w:ascii="宋体" w:hAnsi="宋体" w:cs="仿宋"/>
                <w:kern w:val="0"/>
                <w:szCs w:val="21"/>
              </w:rPr>
              <w:t>提供证书及政府主管部门相关公示名单复印件加盖投标人公章，提供的材料需能体现单位名称，否则视为未提供，中标后原件备查</w:t>
            </w:r>
            <w:r>
              <w:rPr>
                <w:rFonts w:hint="eastAsia" w:ascii="宋体" w:hAnsi="宋体" w:eastAsia="宋体" w:cs="仿宋"/>
                <w:kern w:val="0"/>
                <w:sz w:val="21"/>
                <w:szCs w:val="21"/>
              </w:rPr>
              <w:t>。</w:t>
            </w:r>
          </w:p>
        </w:tc>
        <w:tc>
          <w:tcPr>
            <w:tcW w:w="843" w:type="dxa"/>
            <w:vAlign w:val="center"/>
          </w:tcPr>
          <w:p w14:paraId="2170338B">
            <w:pPr>
              <w:adjustRightInd w:val="0"/>
              <w:snapToGrid w:val="0"/>
              <w:spacing w:line="240" w:lineRule="auto"/>
              <w:ind w:left="0" w:leftChars="0" w:right="0" w:rightChars="0" w:firstLine="0" w:firstLineChars="0"/>
              <w:jc w:val="left"/>
              <w:rPr>
                <w:rFonts w:hint="default" w:ascii="宋体" w:hAnsi="宋体" w:eastAsia="宋体"/>
                <w:bCs/>
                <w:sz w:val="21"/>
                <w:szCs w:val="21"/>
                <w:lang w:val="en-US" w:eastAsia="zh-CN"/>
              </w:rPr>
            </w:pPr>
            <w:r>
              <w:rPr>
                <w:rFonts w:hint="eastAsia" w:ascii="宋体" w:hAnsi="宋体"/>
                <w:bCs/>
                <w:sz w:val="21"/>
                <w:szCs w:val="21"/>
                <w:lang w:val="en-US" w:eastAsia="zh-CN"/>
              </w:rPr>
              <w:t>5分</w:t>
            </w:r>
          </w:p>
        </w:tc>
      </w:tr>
      <w:bookmarkEnd w:id="328"/>
      <w:tr w14:paraId="24A37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2" w:type="dxa"/>
            <w:vAlign w:val="center"/>
          </w:tcPr>
          <w:p w14:paraId="7615BDE2">
            <w:pPr>
              <w:adjustRightInd w:val="0"/>
              <w:snapToGrid w:val="0"/>
              <w:spacing w:line="240" w:lineRule="auto"/>
              <w:ind w:left="0" w:leftChars="0" w:right="0" w:rightChars="0" w:firstLine="0" w:firstLineChars="0"/>
              <w:jc w:val="center"/>
              <w:rPr>
                <w:rFonts w:hint="default" w:ascii="宋体" w:hAnsi="宋体"/>
                <w:sz w:val="21"/>
                <w:szCs w:val="21"/>
                <w:lang w:val="en-US" w:eastAsia="zh-CN"/>
              </w:rPr>
            </w:pPr>
            <w:bookmarkStart w:id="329" w:name="auto_fouce_12" w:colFirst="1" w:colLast="3"/>
            <w:r>
              <w:rPr>
                <w:rFonts w:hint="eastAsia" w:ascii="宋体" w:hAnsi="宋体"/>
                <w:sz w:val="21"/>
                <w:szCs w:val="21"/>
                <w:lang w:val="en-US" w:eastAsia="zh-CN"/>
              </w:rPr>
              <w:t>4</w:t>
            </w:r>
          </w:p>
        </w:tc>
        <w:tc>
          <w:tcPr>
            <w:tcW w:w="2155" w:type="dxa"/>
            <w:vAlign w:val="center"/>
          </w:tcPr>
          <w:p w14:paraId="11F46DFE">
            <w:pPr>
              <w:adjustRightInd w:val="0"/>
              <w:snapToGrid w:val="0"/>
              <w:spacing w:line="240" w:lineRule="auto"/>
              <w:ind w:left="0" w:leftChars="0" w:right="0" w:rightChars="0" w:firstLine="0" w:firstLineChars="0"/>
              <w:jc w:val="center"/>
              <w:rPr>
                <w:rFonts w:hint="eastAsia" w:ascii="宋体" w:hAnsi="宋体" w:cs="仿宋"/>
                <w:szCs w:val="21"/>
              </w:rPr>
            </w:pPr>
            <w:r>
              <w:rPr>
                <w:rFonts w:hint="eastAsia" w:ascii="宋体" w:hAnsi="宋体" w:cs="仿宋"/>
                <w:szCs w:val="21"/>
              </w:rPr>
              <w:t>体系认证</w:t>
            </w:r>
          </w:p>
        </w:tc>
        <w:tc>
          <w:tcPr>
            <w:tcW w:w="5043" w:type="dxa"/>
            <w:vAlign w:val="center"/>
          </w:tcPr>
          <w:p w14:paraId="5E42F692">
            <w:pPr>
              <w:adjustRightInd w:val="0"/>
              <w:snapToGrid w:val="0"/>
              <w:spacing w:before="120" w:line="240" w:lineRule="auto"/>
              <w:ind w:left="0" w:leftChars="0" w:right="0" w:rightChars="0" w:firstLine="0" w:firstLineChars="0"/>
              <w:jc w:val="left"/>
              <w:rPr>
                <w:rFonts w:hint="eastAsia" w:ascii="宋体" w:hAnsi="宋体" w:eastAsia="宋体" w:cs="仿宋"/>
                <w:kern w:val="0"/>
                <w:sz w:val="21"/>
                <w:szCs w:val="21"/>
              </w:rPr>
            </w:pPr>
            <w:r>
              <w:rPr>
                <w:rFonts w:hint="eastAsia" w:ascii="宋体" w:hAnsi="宋体" w:cs="仿宋"/>
                <w:kern w:val="0"/>
                <w:szCs w:val="21"/>
              </w:rPr>
              <w:t>自202</w:t>
            </w:r>
            <w:r>
              <w:rPr>
                <w:rFonts w:hint="eastAsia" w:ascii="宋体" w:hAnsi="宋体" w:cs="仿宋"/>
                <w:kern w:val="0"/>
                <w:szCs w:val="21"/>
                <w:lang w:eastAsia="zh-CN"/>
              </w:rPr>
              <w:t>3</w:t>
            </w:r>
            <w:r>
              <w:rPr>
                <w:rFonts w:hint="eastAsia" w:ascii="宋体" w:hAnsi="宋体" w:cs="仿宋"/>
                <w:kern w:val="0"/>
                <w:szCs w:val="21"/>
              </w:rPr>
              <w:t>年0</w:t>
            </w:r>
            <w:r>
              <w:rPr>
                <w:rFonts w:hint="eastAsia" w:ascii="宋体" w:hAnsi="宋体" w:cs="仿宋"/>
                <w:kern w:val="0"/>
                <w:szCs w:val="21"/>
                <w:lang w:eastAsia="zh-CN"/>
              </w:rPr>
              <w:t>8</w:t>
            </w:r>
            <w:r>
              <w:rPr>
                <w:rFonts w:hint="eastAsia" w:ascii="宋体" w:hAnsi="宋体" w:cs="仿宋"/>
                <w:kern w:val="0"/>
                <w:szCs w:val="21"/>
              </w:rPr>
              <w:t>月01日以来(以合同签订日期为准),承接过类似机关、企事业单位、团体组织的餐饮服务管理（同类项目指单餐最大人数1000人及以上）项目的，每提供一份有效合同得1分，最高得5分。</w:t>
            </w:r>
          </w:p>
          <w:p w14:paraId="3D7612B8">
            <w:pPr>
              <w:adjustRightInd w:val="0"/>
              <w:snapToGrid w:val="0"/>
              <w:spacing w:line="240" w:lineRule="auto"/>
              <w:ind w:left="0" w:leftChars="0" w:right="0" w:rightChars="0" w:firstLine="0" w:firstLineChars="0"/>
              <w:jc w:val="left"/>
              <w:rPr>
                <w:rFonts w:hint="eastAsia" w:ascii="宋体" w:hAnsi="宋体" w:eastAsia="宋体" w:cs="仿宋"/>
                <w:b/>
                <w:bCs/>
                <w:kern w:val="0"/>
                <w:sz w:val="21"/>
                <w:szCs w:val="21"/>
              </w:rPr>
            </w:pPr>
            <w:r>
              <w:rPr>
                <w:rFonts w:hint="eastAsia" w:ascii="宋体" w:hAnsi="宋体" w:eastAsia="宋体" w:cs="仿宋"/>
                <w:b/>
                <w:bCs/>
                <w:kern w:val="0"/>
                <w:sz w:val="21"/>
                <w:szCs w:val="21"/>
              </w:rPr>
              <w:t>证明材料：</w:t>
            </w:r>
            <w:r>
              <w:rPr>
                <w:rFonts w:hint="eastAsia" w:ascii="宋体" w:hAnsi="宋体" w:cs="仿宋"/>
                <w:kern w:val="0"/>
                <w:szCs w:val="21"/>
              </w:rPr>
              <w:t>提供有效证书复印件及全国认证认可公共服务平台查询截图，加盖投标人公章</w:t>
            </w:r>
            <w:r>
              <w:rPr>
                <w:rFonts w:hint="eastAsia" w:ascii="宋体" w:hAnsi="宋体" w:eastAsia="宋体" w:cs="仿宋"/>
                <w:kern w:val="0"/>
                <w:sz w:val="21"/>
                <w:szCs w:val="21"/>
              </w:rPr>
              <w:t>。</w:t>
            </w:r>
          </w:p>
        </w:tc>
        <w:tc>
          <w:tcPr>
            <w:tcW w:w="843" w:type="dxa"/>
            <w:vAlign w:val="center"/>
          </w:tcPr>
          <w:p w14:paraId="755AC717">
            <w:pPr>
              <w:adjustRightInd w:val="0"/>
              <w:snapToGrid w:val="0"/>
              <w:spacing w:line="240" w:lineRule="auto"/>
              <w:ind w:left="0" w:leftChars="0" w:right="0" w:rightChars="0" w:firstLine="0" w:firstLineChars="0"/>
              <w:jc w:val="left"/>
              <w:rPr>
                <w:rFonts w:hint="default" w:ascii="宋体" w:hAnsi="宋体" w:eastAsia="宋体"/>
                <w:bCs/>
                <w:sz w:val="21"/>
                <w:szCs w:val="21"/>
                <w:lang w:val="en-US" w:eastAsia="zh-CN"/>
              </w:rPr>
            </w:pPr>
            <w:r>
              <w:rPr>
                <w:rFonts w:hint="eastAsia" w:ascii="宋体" w:hAnsi="宋体"/>
                <w:bCs/>
                <w:sz w:val="21"/>
                <w:szCs w:val="21"/>
                <w:lang w:val="en-US" w:eastAsia="zh-CN"/>
              </w:rPr>
              <w:t>5分</w:t>
            </w:r>
          </w:p>
        </w:tc>
      </w:tr>
      <w:bookmarkEnd w:id="329"/>
      <w:tr w14:paraId="5DA0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82" w:type="dxa"/>
            <w:vAlign w:val="center"/>
          </w:tcPr>
          <w:p w14:paraId="4CB9BC32">
            <w:pPr>
              <w:adjustRightInd w:val="0"/>
              <w:snapToGrid w:val="0"/>
              <w:spacing w:line="240" w:lineRule="auto"/>
              <w:ind w:left="0" w:leftChars="0" w:right="0" w:rightChars="0" w:firstLine="0" w:firstLineChars="0"/>
              <w:jc w:val="center"/>
              <w:rPr>
                <w:rFonts w:hint="default" w:ascii="宋体" w:hAnsi="宋体"/>
                <w:sz w:val="21"/>
                <w:szCs w:val="21"/>
                <w:lang w:val="en-US" w:eastAsia="zh-CN"/>
              </w:rPr>
            </w:pPr>
            <w:r>
              <w:rPr>
                <w:rFonts w:hint="eastAsia" w:ascii="宋体" w:hAnsi="宋体"/>
                <w:sz w:val="21"/>
                <w:szCs w:val="21"/>
                <w:lang w:val="en-US" w:eastAsia="zh-CN"/>
              </w:rPr>
              <w:t>5</w:t>
            </w:r>
          </w:p>
        </w:tc>
        <w:tc>
          <w:tcPr>
            <w:tcW w:w="2155" w:type="dxa"/>
            <w:vAlign w:val="center"/>
          </w:tcPr>
          <w:p w14:paraId="288E6259">
            <w:pPr>
              <w:adjustRightInd w:val="0"/>
              <w:snapToGrid w:val="0"/>
              <w:spacing w:line="240" w:lineRule="auto"/>
              <w:ind w:left="0" w:leftChars="0" w:right="0" w:rightChars="0" w:firstLine="0" w:firstLineChars="0"/>
              <w:jc w:val="center"/>
              <w:rPr>
                <w:rFonts w:hint="eastAsia" w:ascii="宋体" w:hAnsi="宋体" w:cs="仿宋"/>
                <w:szCs w:val="21"/>
              </w:rPr>
            </w:pPr>
            <w:r>
              <w:rPr>
                <w:rFonts w:hint="eastAsia" w:ascii="宋体" w:hAnsi="宋体" w:cs="仿宋"/>
                <w:szCs w:val="21"/>
              </w:rPr>
              <w:t>品牌经营能力</w:t>
            </w:r>
          </w:p>
        </w:tc>
        <w:tc>
          <w:tcPr>
            <w:tcW w:w="5043" w:type="dxa"/>
            <w:vAlign w:val="center"/>
          </w:tcPr>
          <w:p w14:paraId="77474CFF">
            <w:pPr>
              <w:adjustRightInd w:val="0"/>
              <w:snapToGrid w:val="0"/>
              <w:spacing w:before="120" w:line="240" w:lineRule="auto"/>
              <w:ind w:left="0" w:leftChars="0" w:right="0" w:rightChars="0" w:firstLine="0" w:firstLineChars="0"/>
              <w:jc w:val="left"/>
              <w:rPr>
                <w:rFonts w:hint="eastAsia" w:ascii="宋体" w:hAnsi="宋体" w:eastAsia="宋体" w:cs="仿宋"/>
                <w:kern w:val="0"/>
                <w:sz w:val="21"/>
                <w:szCs w:val="21"/>
              </w:rPr>
            </w:pPr>
            <w:r>
              <w:rPr>
                <w:rFonts w:hint="eastAsia" w:ascii="宋体" w:hAnsi="宋体" w:cs="仿宋"/>
                <w:kern w:val="0"/>
                <w:szCs w:val="21"/>
              </w:rPr>
              <w:t>具有商标注册（注册品牌）证书：每提供1个得0.5分，满分3分。</w:t>
            </w:r>
          </w:p>
          <w:p w14:paraId="605FC1FB">
            <w:pPr>
              <w:adjustRightInd w:val="0"/>
              <w:snapToGrid w:val="0"/>
              <w:spacing w:line="240" w:lineRule="auto"/>
              <w:ind w:left="0" w:leftChars="0" w:right="0" w:rightChars="0" w:firstLine="0" w:firstLineChars="0"/>
              <w:jc w:val="left"/>
              <w:rPr>
                <w:rFonts w:hint="eastAsia" w:ascii="宋体" w:hAnsi="宋体" w:eastAsia="宋体" w:cs="仿宋"/>
                <w:b/>
                <w:bCs/>
                <w:kern w:val="0"/>
                <w:sz w:val="21"/>
                <w:szCs w:val="21"/>
              </w:rPr>
            </w:pPr>
            <w:r>
              <w:rPr>
                <w:rFonts w:hint="eastAsia" w:ascii="宋体" w:hAnsi="宋体" w:eastAsia="宋体" w:cs="仿宋"/>
                <w:b/>
                <w:bCs/>
                <w:kern w:val="0"/>
                <w:sz w:val="21"/>
                <w:szCs w:val="21"/>
              </w:rPr>
              <w:t>证明材料：</w:t>
            </w:r>
            <w:r>
              <w:rPr>
                <w:rFonts w:hint="eastAsia" w:ascii="宋体" w:hAnsi="宋体" w:cs="仿宋"/>
                <w:kern w:val="0"/>
                <w:szCs w:val="21"/>
              </w:rPr>
              <w:t>提供商标注册（注册品牌）复印件或扫描件加盖投标人公章，原件备查</w:t>
            </w:r>
            <w:r>
              <w:rPr>
                <w:rFonts w:hint="eastAsia" w:ascii="宋体" w:hAnsi="宋体" w:eastAsia="宋体" w:cs="仿宋"/>
                <w:kern w:val="0"/>
                <w:sz w:val="21"/>
                <w:szCs w:val="21"/>
              </w:rPr>
              <w:t>。</w:t>
            </w:r>
          </w:p>
        </w:tc>
        <w:tc>
          <w:tcPr>
            <w:tcW w:w="843" w:type="dxa"/>
            <w:vAlign w:val="center"/>
          </w:tcPr>
          <w:p w14:paraId="012F7DE8">
            <w:pPr>
              <w:adjustRightInd w:val="0"/>
              <w:snapToGrid w:val="0"/>
              <w:spacing w:line="240" w:lineRule="auto"/>
              <w:ind w:left="0" w:leftChars="0" w:right="0" w:rightChars="0" w:firstLine="0" w:firstLineChars="0"/>
              <w:jc w:val="left"/>
              <w:rPr>
                <w:rFonts w:hint="default" w:ascii="宋体" w:hAnsi="宋体" w:eastAsia="宋体"/>
                <w:bCs/>
                <w:sz w:val="21"/>
                <w:szCs w:val="21"/>
                <w:lang w:val="en-US" w:eastAsia="zh-CN"/>
              </w:rPr>
            </w:pPr>
            <w:r>
              <w:rPr>
                <w:rFonts w:hint="eastAsia" w:ascii="宋体" w:hAnsi="宋体"/>
                <w:bCs/>
                <w:sz w:val="21"/>
                <w:szCs w:val="21"/>
                <w:lang w:val="en-US" w:eastAsia="zh-CN"/>
              </w:rPr>
              <w:t>3分</w:t>
            </w:r>
          </w:p>
        </w:tc>
      </w:tr>
      <w:tr w14:paraId="1FACF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043" w:type="dxa"/>
            <w:gridSpan w:val="3"/>
            <w:vAlign w:val="center"/>
          </w:tcPr>
          <w:p w14:paraId="434AFB7E">
            <w:pPr>
              <w:autoSpaceDE w:val="0"/>
              <w:autoSpaceDN w:val="0"/>
              <w:adjustRightInd w:val="0"/>
              <w:snapToGrid w:val="0"/>
              <w:spacing w:line="240" w:lineRule="auto"/>
              <w:ind w:left="0" w:leftChars="0" w:right="0" w:rightChars="0" w:firstLine="0" w:firstLineChars="0"/>
              <w:jc w:val="center"/>
              <w:rPr>
                <w:rFonts w:hint="eastAsia" w:ascii="宋体" w:hAnsi="宋体" w:eastAsia="宋体"/>
                <w:b/>
                <w:sz w:val="21"/>
                <w:szCs w:val="21"/>
              </w:rPr>
            </w:pPr>
            <w:r>
              <w:rPr>
                <w:rFonts w:hint="eastAsia" w:ascii="宋体" w:hAnsi="宋体" w:eastAsia="宋体"/>
                <w:b/>
                <w:sz w:val="21"/>
                <w:szCs w:val="21"/>
              </w:rPr>
              <w:t>合计</w:t>
            </w:r>
          </w:p>
        </w:tc>
        <w:tc>
          <w:tcPr>
            <w:tcW w:w="843" w:type="dxa"/>
            <w:vAlign w:val="center"/>
          </w:tcPr>
          <w:p w14:paraId="2E9EDDBA">
            <w:pPr>
              <w:adjustRightInd w:val="0"/>
              <w:snapToGrid w:val="0"/>
              <w:spacing w:line="240" w:lineRule="auto"/>
              <w:ind w:left="0" w:leftChars="0" w:right="0" w:rightChars="0" w:firstLine="0" w:firstLineChars="0"/>
              <w:jc w:val="left"/>
              <w:rPr>
                <w:rFonts w:hint="eastAsia" w:ascii="宋体" w:hAnsi="宋体" w:eastAsia="宋体"/>
                <w:b/>
                <w:sz w:val="21"/>
                <w:szCs w:val="21"/>
              </w:rPr>
            </w:pPr>
            <w:r>
              <w:rPr>
                <w:rFonts w:hint="eastAsia" w:ascii="宋体" w:hAnsi="宋体" w:eastAsia="宋体"/>
                <w:b/>
                <w:sz w:val="21"/>
                <w:szCs w:val="21"/>
              </w:rPr>
              <w:t>20</w:t>
            </w:r>
            <w:r>
              <w:rPr>
                <w:rFonts w:hint="eastAsia" w:ascii="宋体" w:hAnsi="宋体" w:eastAsia="宋体"/>
                <w:b/>
                <w:bCs/>
                <w:sz w:val="21"/>
                <w:szCs w:val="21"/>
              </w:rPr>
              <w:t>分</w:t>
            </w:r>
          </w:p>
        </w:tc>
      </w:tr>
    </w:tbl>
    <w:p w14:paraId="3DC0B5B4">
      <w:pPr>
        <w:widowControl w:val="0"/>
        <w:autoSpaceDE w:val="0"/>
        <w:autoSpaceDN w:val="0"/>
        <w:adjustRightInd w:val="0"/>
        <w:snapToGrid w:val="0"/>
        <w:ind w:firstLine="0" w:firstLineChars="0"/>
        <w:jc w:val="left"/>
        <w:rPr>
          <w:rFonts w:hint="eastAsia" w:ascii="宋体" w:hAnsi="宋体"/>
          <w:b/>
          <w:szCs w:val="21"/>
        </w:rPr>
      </w:pPr>
    </w:p>
    <w:p w14:paraId="393A1BCD">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说明：</w:t>
      </w:r>
    </w:p>
    <w:p w14:paraId="21C7A6FB">
      <w:pPr>
        <w:widowControl w:val="0"/>
        <w:autoSpaceDE w:val="0"/>
        <w:autoSpaceDN w:val="0"/>
        <w:adjustRightInd w:val="0"/>
        <w:snapToGrid w:val="0"/>
        <w:ind w:firstLine="0" w:firstLineChars="0"/>
        <w:jc w:val="left"/>
        <w:rPr>
          <w:rFonts w:ascii="宋体" w:hAnsi="宋体"/>
          <w:szCs w:val="21"/>
        </w:rPr>
      </w:pPr>
      <w:r>
        <w:rPr>
          <w:rFonts w:ascii="宋体" w:hAnsi="宋体"/>
          <w:szCs w:val="21"/>
        </w:rPr>
        <w:t>1</w:t>
      </w:r>
      <w:r>
        <w:rPr>
          <w:rFonts w:hint="eastAsia" w:ascii="宋体" w:hAnsi="宋体"/>
          <w:szCs w:val="21"/>
        </w:rPr>
        <w:t>、招标人需在评审子项与评审标准栏内列明评审的合格标准。</w:t>
      </w:r>
    </w:p>
    <w:p w14:paraId="377667A1">
      <w:pPr>
        <w:widowControl w:val="0"/>
        <w:autoSpaceDE w:val="0"/>
        <w:autoSpaceDN w:val="0"/>
        <w:adjustRightInd w:val="0"/>
        <w:snapToGrid w:val="0"/>
        <w:ind w:firstLine="0" w:firstLineChars="0"/>
        <w:jc w:val="left"/>
        <w:rPr>
          <w:rFonts w:ascii="宋体" w:hAnsi="宋体"/>
          <w:szCs w:val="21"/>
        </w:rPr>
      </w:pPr>
      <w:r>
        <w:rPr>
          <w:rFonts w:ascii="宋体" w:hAnsi="宋体"/>
          <w:szCs w:val="21"/>
        </w:rPr>
        <w:t>2</w:t>
      </w:r>
      <w:r>
        <w:rPr>
          <w:rFonts w:hint="eastAsia" w:ascii="宋体" w:hAnsi="宋体"/>
          <w:szCs w:val="21"/>
        </w:rPr>
        <w:t>、本表供每位专家独立评审时使用。</w:t>
      </w:r>
    </w:p>
    <w:p w14:paraId="6D031C2F">
      <w:pPr>
        <w:widowControl w:val="0"/>
        <w:autoSpaceDE w:val="0"/>
        <w:autoSpaceDN w:val="0"/>
        <w:adjustRightInd w:val="0"/>
        <w:snapToGrid w:val="0"/>
        <w:ind w:firstLine="0" w:firstLineChars="0"/>
        <w:jc w:val="left"/>
        <w:rPr>
          <w:rFonts w:hint="eastAsia" w:ascii="宋体" w:hAnsi="宋体"/>
          <w:b/>
          <w:szCs w:val="21"/>
        </w:rPr>
      </w:pPr>
      <w:r>
        <w:rPr>
          <w:rFonts w:ascii="宋体" w:hAnsi="宋体"/>
          <w:szCs w:val="21"/>
        </w:rPr>
        <w:t>3</w:t>
      </w:r>
      <w:r>
        <w:rPr>
          <w:rFonts w:hint="eastAsia" w:ascii="宋体" w:hAnsi="宋体"/>
          <w:szCs w:val="21"/>
        </w:rPr>
        <w:t>、专家根据招标人拟定的评审项目和评审标准出具符合要求或不符合要求的评审意见。不符合要求的必须注明原因。</w:t>
      </w:r>
      <w:r>
        <w:rPr>
          <w:rFonts w:ascii="宋体" w:hAnsi="宋体"/>
          <w:b/>
          <w:szCs w:val="21"/>
        </w:rPr>
        <w:br w:type="page"/>
      </w:r>
      <w:r>
        <w:rPr>
          <w:rFonts w:hint="eastAsia" w:ascii="宋体" w:hAnsi="宋体"/>
          <w:b/>
          <w:szCs w:val="21"/>
        </w:rPr>
        <w:t>附表2-1《技术标评审标准》</w:t>
      </w:r>
    </w:p>
    <w:tbl>
      <w:tblPr>
        <w:tblStyle w:val="51"/>
        <w:tblW w:w="85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7"/>
        <w:gridCol w:w="2181"/>
        <w:gridCol w:w="4698"/>
        <w:gridCol w:w="837"/>
      </w:tblGrid>
      <w:tr w14:paraId="3A4E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07" w:type="dxa"/>
            <w:shd w:val="clear" w:color="auto" w:fill="DBE5F1"/>
            <w:vAlign w:val="center"/>
          </w:tcPr>
          <w:p w14:paraId="4C90C898">
            <w:pPr>
              <w:adjustRightInd w:val="0"/>
              <w:snapToGrid w:val="0"/>
              <w:spacing w:line="240" w:lineRule="auto"/>
              <w:ind w:left="0" w:leftChars="0" w:right="0" w:rightChars="0" w:firstLine="0" w:firstLineChars="0"/>
              <w:jc w:val="center"/>
              <w:rPr>
                <w:rFonts w:hint="eastAsia" w:ascii="宋体" w:hAnsi="宋体"/>
                <w:b/>
                <w:szCs w:val="21"/>
              </w:rPr>
            </w:pPr>
            <w:r>
              <w:rPr>
                <w:rFonts w:hint="eastAsia" w:ascii="宋体" w:hAnsi="宋体"/>
                <w:b/>
                <w:szCs w:val="21"/>
              </w:rPr>
              <w:t>序号</w:t>
            </w:r>
          </w:p>
        </w:tc>
        <w:tc>
          <w:tcPr>
            <w:tcW w:w="2181" w:type="dxa"/>
            <w:shd w:val="clear" w:color="auto" w:fill="DBE5F1"/>
            <w:vAlign w:val="center"/>
          </w:tcPr>
          <w:p w14:paraId="696C422A">
            <w:pPr>
              <w:adjustRightInd w:val="0"/>
              <w:snapToGrid w:val="0"/>
              <w:spacing w:line="240" w:lineRule="auto"/>
              <w:ind w:left="0" w:leftChars="0" w:right="0" w:rightChars="0" w:firstLine="0" w:firstLineChars="0"/>
              <w:jc w:val="center"/>
              <w:rPr>
                <w:rFonts w:hint="eastAsia" w:ascii="宋体" w:hAnsi="宋体"/>
                <w:b/>
                <w:szCs w:val="21"/>
              </w:rPr>
            </w:pPr>
            <w:r>
              <w:rPr>
                <w:rFonts w:hint="eastAsia" w:ascii="宋体" w:hAnsi="宋体"/>
                <w:b/>
                <w:szCs w:val="21"/>
              </w:rPr>
              <w:t>评审项目</w:t>
            </w:r>
          </w:p>
        </w:tc>
        <w:tc>
          <w:tcPr>
            <w:tcW w:w="4698" w:type="dxa"/>
            <w:shd w:val="clear" w:color="auto" w:fill="DBE5F1"/>
            <w:vAlign w:val="center"/>
          </w:tcPr>
          <w:p w14:paraId="79332204">
            <w:pPr>
              <w:adjustRightInd w:val="0"/>
              <w:snapToGrid w:val="0"/>
              <w:spacing w:line="240" w:lineRule="auto"/>
              <w:ind w:left="0" w:leftChars="0" w:right="0" w:rightChars="0" w:firstLine="0" w:firstLineChars="0"/>
              <w:jc w:val="center"/>
              <w:rPr>
                <w:rFonts w:hint="eastAsia" w:ascii="宋体" w:hAnsi="宋体"/>
                <w:b/>
                <w:szCs w:val="21"/>
              </w:rPr>
            </w:pPr>
            <w:r>
              <w:rPr>
                <w:rFonts w:hint="eastAsia" w:ascii="宋体" w:hAnsi="宋体"/>
                <w:b/>
                <w:szCs w:val="21"/>
              </w:rPr>
              <w:t>评审标准</w:t>
            </w:r>
          </w:p>
        </w:tc>
        <w:tc>
          <w:tcPr>
            <w:tcW w:w="837" w:type="dxa"/>
            <w:shd w:val="clear" w:color="auto" w:fill="DBE5F1"/>
            <w:vAlign w:val="center"/>
          </w:tcPr>
          <w:p w14:paraId="39ACEEB6">
            <w:pPr>
              <w:adjustRightInd w:val="0"/>
              <w:snapToGrid w:val="0"/>
              <w:spacing w:line="240" w:lineRule="auto"/>
              <w:ind w:left="0" w:leftChars="0" w:right="0" w:rightChars="0" w:firstLine="0" w:firstLineChars="0"/>
              <w:jc w:val="center"/>
              <w:rPr>
                <w:rFonts w:hint="eastAsia" w:ascii="宋体" w:hAnsi="宋体"/>
                <w:b/>
                <w:szCs w:val="21"/>
              </w:rPr>
            </w:pPr>
            <w:r>
              <w:rPr>
                <w:rFonts w:hint="eastAsia" w:ascii="宋体" w:hAnsi="宋体"/>
                <w:b/>
                <w:szCs w:val="21"/>
              </w:rPr>
              <w:t>分值</w:t>
            </w:r>
          </w:p>
        </w:tc>
      </w:tr>
      <w:tr w14:paraId="3C983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72B676DD">
            <w:pPr>
              <w:adjustRightInd w:val="0"/>
              <w:snapToGrid w:val="0"/>
              <w:spacing w:line="240" w:lineRule="auto"/>
              <w:ind w:left="0" w:leftChars="0" w:right="0" w:rightChars="0" w:firstLine="0" w:firstLineChars="0"/>
              <w:jc w:val="center"/>
              <w:rPr>
                <w:rFonts w:hint="eastAsia" w:ascii="Times New Roman" w:hAnsi="宋体" w:eastAsia="宋体"/>
                <w:sz w:val="21"/>
                <w:szCs w:val="21"/>
              </w:rPr>
            </w:pPr>
            <w:r>
              <w:rPr>
                <w:rFonts w:hint="eastAsia" w:ascii="Times New Roman" w:hAnsi="宋体" w:eastAsia="宋体"/>
                <w:sz w:val="21"/>
                <w:szCs w:val="21"/>
              </w:rPr>
              <w:t>1</w:t>
            </w:r>
          </w:p>
        </w:tc>
        <w:tc>
          <w:tcPr>
            <w:tcW w:w="2181" w:type="dxa"/>
            <w:vAlign w:val="center"/>
          </w:tcPr>
          <w:p w14:paraId="5CFAFA63">
            <w:pPr>
              <w:snapToGrid w:val="0"/>
              <w:spacing w:line="240" w:lineRule="auto"/>
              <w:ind w:left="0" w:leftChars="0" w:right="0" w:rightChars="0" w:firstLine="0" w:firstLineChars="0"/>
              <w:jc w:val="center"/>
              <w:rPr>
                <w:rFonts w:hint="eastAsia" w:ascii="Times New Roman" w:hAnsi="宋体" w:eastAsia="宋体"/>
                <w:bCs/>
                <w:sz w:val="21"/>
                <w:szCs w:val="21"/>
              </w:rPr>
            </w:pPr>
            <w:r>
              <w:rPr>
                <w:rFonts w:hint="eastAsia" w:ascii="Times New Roman" w:hAnsi="宋体" w:eastAsia="宋体"/>
                <w:bCs/>
                <w:sz w:val="21"/>
              </w:rPr>
              <w:t>项目人员配置方案</w:t>
            </w:r>
          </w:p>
        </w:tc>
        <w:tc>
          <w:tcPr>
            <w:tcW w:w="4698" w:type="dxa"/>
            <w:vAlign w:val="center"/>
          </w:tcPr>
          <w:p w14:paraId="3753591F">
            <w:pPr>
              <w:snapToGrid w:val="0"/>
              <w:spacing w:line="240" w:lineRule="auto"/>
              <w:ind w:left="0" w:leftChars="0" w:right="0" w:rightChars="0" w:firstLine="0" w:firstLineChars="0"/>
              <w:jc w:val="left"/>
              <w:rPr>
                <w:rFonts w:hint="eastAsia"/>
              </w:rPr>
            </w:pPr>
            <w:r>
              <w:rPr>
                <w:rFonts w:hint="eastAsia"/>
              </w:rPr>
              <w:t>厨师长：拟派厨师具有6年及以上类似机关或事业单位或团体组织餐饮管理服务工作经验；具有高级食品安全员证书，在此基础上，每提供一名具有（国家职业资格二级）及以上中式烹调师证书得3分；最高得6分。</w:t>
            </w:r>
          </w:p>
          <w:p w14:paraId="53075E32">
            <w:pPr>
              <w:snapToGrid w:val="0"/>
              <w:spacing w:line="240" w:lineRule="auto"/>
              <w:ind w:left="0" w:leftChars="0" w:right="0" w:rightChars="0" w:firstLine="0" w:firstLineChars="0"/>
              <w:jc w:val="left"/>
              <w:rPr>
                <w:rFonts w:hint="eastAsia" w:ascii="Times New Roman" w:eastAsia="宋体"/>
                <w:sz w:val="21"/>
              </w:rPr>
            </w:pPr>
            <w:r>
              <w:rPr>
                <w:rFonts w:hint="eastAsia"/>
              </w:rPr>
              <w:t>提供厨师长履历表及身份证、与投标人签订的有效的劳动合同、健康证、有效期内的职业资格证书、所服务项目合同或业主单位出具的任职证明（须能反映人员、时间等相关信息）及投标人为其缴纳的近半年内任意一个月的社保证明（需加盖社保中心章或社保中心参保缴费证明电子专用章）复印件加盖公章，未提供或提供不全不得分。一人仅计一证，多证书按最高级别证书赋分。</w:t>
            </w:r>
          </w:p>
        </w:tc>
        <w:tc>
          <w:tcPr>
            <w:tcW w:w="837" w:type="dxa"/>
            <w:vAlign w:val="center"/>
          </w:tcPr>
          <w:p w14:paraId="5CB59168">
            <w:pPr>
              <w:adjustRightInd w:val="0"/>
              <w:snapToGrid w:val="0"/>
              <w:spacing w:line="240" w:lineRule="auto"/>
              <w:ind w:left="0" w:leftChars="0" w:right="0" w:rightChars="0" w:firstLine="0" w:firstLineChars="0"/>
              <w:jc w:val="right"/>
              <w:rPr>
                <w:rFonts w:hint="eastAsia" w:ascii="Times New Roman" w:hAnsi="宋体" w:eastAsia="宋体"/>
                <w:sz w:val="21"/>
                <w:szCs w:val="21"/>
              </w:rPr>
            </w:pPr>
            <w:r>
              <w:rPr>
                <w:rFonts w:hint="eastAsia" w:hAnsi="宋体"/>
                <w:sz w:val="21"/>
                <w:szCs w:val="21"/>
                <w:lang w:val="en-US" w:eastAsia="zh-CN"/>
              </w:rPr>
              <w:t>6</w:t>
            </w:r>
            <w:r>
              <w:rPr>
                <w:rFonts w:hint="eastAsia" w:ascii="Times New Roman" w:hAnsi="宋体" w:eastAsia="宋体"/>
                <w:sz w:val="21"/>
                <w:szCs w:val="21"/>
              </w:rPr>
              <w:t>分</w:t>
            </w:r>
          </w:p>
        </w:tc>
      </w:tr>
      <w:tr w14:paraId="048D2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37575A57">
            <w:pPr>
              <w:adjustRightInd w:val="0"/>
              <w:snapToGrid w:val="0"/>
              <w:spacing w:line="240" w:lineRule="auto"/>
              <w:ind w:left="0" w:leftChars="0" w:right="0" w:rightChars="0" w:firstLine="0" w:firstLineChars="0"/>
              <w:jc w:val="center"/>
              <w:rPr>
                <w:rFonts w:hint="eastAsia" w:ascii="Times New Roman" w:hAnsi="宋体" w:eastAsia="宋体"/>
                <w:sz w:val="21"/>
                <w:szCs w:val="21"/>
              </w:rPr>
            </w:pPr>
            <w:r>
              <w:rPr>
                <w:rFonts w:hint="eastAsia" w:ascii="Times New Roman" w:hAnsi="宋体" w:eastAsia="宋体"/>
                <w:sz w:val="21"/>
                <w:szCs w:val="21"/>
              </w:rPr>
              <w:t>2</w:t>
            </w:r>
          </w:p>
        </w:tc>
        <w:tc>
          <w:tcPr>
            <w:tcW w:w="2181" w:type="dxa"/>
            <w:vAlign w:val="center"/>
          </w:tcPr>
          <w:p w14:paraId="2D319E23">
            <w:pPr>
              <w:autoSpaceDE w:val="0"/>
              <w:autoSpaceDN w:val="0"/>
              <w:adjustRightInd w:val="0"/>
              <w:snapToGrid w:val="0"/>
              <w:spacing w:line="240" w:lineRule="auto"/>
              <w:ind w:left="0" w:leftChars="0" w:right="0" w:rightChars="0" w:firstLine="0" w:firstLineChars="0"/>
              <w:jc w:val="center"/>
              <w:rPr>
                <w:rFonts w:hint="eastAsia" w:ascii="Times New Roman" w:hAnsi="宋体" w:eastAsia="宋体"/>
                <w:bCs/>
                <w:sz w:val="21"/>
                <w:szCs w:val="21"/>
              </w:rPr>
            </w:pPr>
            <w:r>
              <w:rPr>
                <w:rFonts w:hint="eastAsia" w:hAnsi="宋体"/>
                <w:bCs/>
              </w:rPr>
              <w:t>食材、成品大类检验检测能力1</w:t>
            </w:r>
          </w:p>
        </w:tc>
        <w:tc>
          <w:tcPr>
            <w:tcW w:w="4698" w:type="dxa"/>
            <w:vAlign w:val="center"/>
          </w:tcPr>
          <w:p w14:paraId="0735F155">
            <w:pPr>
              <w:snapToGrid w:val="0"/>
              <w:spacing w:line="240" w:lineRule="auto"/>
              <w:ind w:left="0" w:leftChars="0" w:right="0" w:rightChars="0" w:firstLine="0" w:firstLineChars="0"/>
              <w:jc w:val="left"/>
              <w:rPr>
                <w:rFonts w:hint="eastAsia" w:ascii="Times New Roman" w:eastAsia="宋体"/>
                <w:sz w:val="21"/>
              </w:rPr>
            </w:pPr>
            <w:r>
              <w:rPr>
                <w:rFonts w:hint="eastAsia"/>
              </w:rPr>
              <w:t>具备相应的食品检验检测能力，保障在履行本项目合同义务期间，具备保障食品安全的检验检测能力。投标单位需提供为本单位配备的检验检测设备，该类设备包括但不限于农残快检设备等，本项得分4分。 备注：投标单位方需提供本单位购置农残快检设备等设备的发票凭证作为证明材料。</w:t>
            </w:r>
            <w:r>
              <w:rPr>
                <w:rFonts w:hint="eastAsia" w:ascii="Times New Roman" w:eastAsia="宋体"/>
                <w:sz w:val="21"/>
              </w:rPr>
              <w:t>延展；</w:t>
            </w:r>
          </w:p>
        </w:tc>
        <w:tc>
          <w:tcPr>
            <w:tcW w:w="837" w:type="dxa"/>
            <w:vAlign w:val="center"/>
          </w:tcPr>
          <w:p w14:paraId="3B77F8B6">
            <w:pPr>
              <w:adjustRightInd w:val="0"/>
              <w:snapToGrid w:val="0"/>
              <w:spacing w:line="240" w:lineRule="auto"/>
              <w:ind w:left="0" w:leftChars="0" w:right="0" w:rightChars="0" w:firstLine="0" w:firstLineChars="0"/>
              <w:jc w:val="right"/>
              <w:rPr>
                <w:rFonts w:hint="eastAsia" w:ascii="Times New Roman" w:hAnsi="宋体" w:eastAsia="宋体"/>
                <w:sz w:val="21"/>
                <w:szCs w:val="21"/>
              </w:rPr>
            </w:pPr>
            <w:r>
              <w:rPr>
                <w:rFonts w:hint="eastAsia" w:hAnsi="宋体"/>
                <w:sz w:val="21"/>
                <w:szCs w:val="21"/>
                <w:lang w:val="en-US" w:eastAsia="zh-CN"/>
              </w:rPr>
              <w:t>4</w:t>
            </w:r>
            <w:r>
              <w:rPr>
                <w:rFonts w:hint="eastAsia" w:ascii="Times New Roman" w:hAnsi="宋体" w:eastAsia="宋体"/>
                <w:sz w:val="21"/>
                <w:szCs w:val="21"/>
              </w:rPr>
              <w:t>分</w:t>
            </w:r>
          </w:p>
        </w:tc>
      </w:tr>
      <w:tr w14:paraId="62B53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35EE031A">
            <w:pPr>
              <w:adjustRightInd w:val="0"/>
              <w:snapToGrid w:val="0"/>
              <w:spacing w:line="240" w:lineRule="auto"/>
              <w:ind w:left="0" w:leftChars="0" w:right="0" w:rightChars="0" w:firstLine="0" w:firstLineChars="0"/>
              <w:jc w:val="center"/>
              <w:rPr>
                <w:rFonts w:hint="eastAsia" w:ascii="Times New Roman" w:hAnsi="宋体" w:eastAsia="宋体"/>
                <w:sz w:val="21"/>
                <w:szCs w:val="21"/>
              </w:rPr>
            </w:pPr>
            <w:r>
              <w:rPr>
                <w:rFonts w:hint="eastAsia" w:ascii="Times New Roman" w:hAnsi="宋体" w:eastAsia="宋体"/>
                <w:sz w:val="21"/>
                <w:szCs w:val="21"/>
              </w:rPr>
              <w:t>3</w:t>
            </w:r>
          </w:p>
        </w:tc>
        <w:tc>
          <w:tcPr>
            <w:tcW w:w="2181" w:type="dxa"/>
            <w:vAlign w:val="center"/>
          </w:tcPr>
          <w:p w14:paraId="06F9D9CF">
            <w:pPr>
              <w:autoSpaceDE w:val="0"/>
              <w:autoSpaceDN w:val="0"/>
              <w:adjustRightInd w:val="0"/>
              <w:snapToGrid w:val="0"/>
              <w:spacing w:line="240" w:lineRule="auto"/>
              <w:ind w:left="0" w:leftChars="0" w:right="0" w:rightChars="0" w:firstLine="0" w:firstLineChars="0"/>
              <w:jc w:val="center"/>
              <w:rPr>
                <w:rFonts w:hint="eastAsia" w:ascii="Times New Roman" w:hAnsi="宋体" w:eastAsia="宋体"/>
                <w:bCs/>
                <w:sz w:val="21"/>
                <w:szCs w:val="21"/>
              </w:rPr>
            </w:pPr>
            <w:r>
              <w:rPr>
                <w:rFonts w:hint="eastAsia" w:hAnsi="宋体"/>
                <w:bCs/>
                <w:szCs w:val="21"/>
              </w:rPr>
              <w:t>食材、成品大类检验检测能力2</w:t>
            </w:r>
          </w:p>
        </w:tc>
        <w:tc>
          <w:tcPr>
            <w:tcW w:w="4698" w:type="dxa"/>
            <w:vAlign w:val="center"/>
          </w:tcPr>
          <w:p w14:paraId="6A8F3B1B">
            <w:pPr>
              <w:snapToGrid w:val="0"/>
              <w:spacing w:line="240" w:lineRule="auto"/>
              <w:ind w:left="0" w:leftChars="0" w:right="0" w:rightChars="0" w:firstLine="0" w:firstLineChars="0"/>
              <w:jc w:val="left"/>
              <w:rPr>
                <w:rFonts w:hint="eastAsia" w:ascii="Times New Roman" w:eastAsia="宋体"/>
                <w:sz w:val="21"/>
              </w:rPr>
            </w:pPr>
            <w:r>
              <w:rPr>
                <w:rFonts w:hint="eastAsia"/>
              </w:rPr>
              <w:t>投标单位与具备CMA或CNAS资质的检验检测机构建立产品委托检测合作关系的得4分。 备注：投标单位（自身）需提供（至招租公告发布之日前）与具备国家认可检测资质【CMA或CNAS】的第三方检测机构订立质量委托检测协议，投标单位须提供双方合作协议（协议有效期限不少于三年，须明确委托事项：食品检测），同时提供该第三方检测机构的CMA或CNAS证书及其附件关键页（需含农产品类、水产品类、食品类检测范围）复印件，未提供相关证明文件或证明材料不齐全的不得分。</w:t>
            </w:r>
          </w:p>
        </w:tc>
        <w:tc>
          <w:tcPr>
            <w:tcW w:w="837" w:type="dxa"/>
            <w:vAlign w:val="center"/>
          </w:tcPr>
          <w:p w14:paraId="13DB64C3">
            <w:pPr>
              <w:adjustRightInd w:val="0"/>
              <w:snapToGrid w:val="0"/>
              <w:spacing w:line="240" w:lineRule="auto"/>
              <w:ind w:left="0" w:leftChars="0" w:right="0" w:rightChars="0" w:firstLine="0" w:firstLineChars="0"/>
              <w:jc w:val="right"/>
              <w:rPr>
                <w:rFonts w:hint="eastAsia" w:ascii="Times New Roman" w:hAnsi="宋体" w:eastAsia="宋体"/>
                <w:kern w:val="0"/>
                <w:sz w:val="21"/>
              </w:rPr>
            </w:pPr>
            <w:r>
              <w:rPr>
                <w:rFonts w:hint="eastAsia" w:hAnsi="宋体"/>
                <w:sz w:val="21"/>
                <w:szCs w:val="21"/>
                <w:lang w:val="en-US" w:eastAsia="zh-CN"/>
              </w:rPr>
              <w:t>4</w:t>
            </w:r>
            <w:r>
              <w:rPr>
                <w:rFonts w:hint="eastAsia" w:ascii="Times New Roman" w:hAnsi="宋体" w:eastAsia="宋体"/>
                <w:sz w:val="21"/>
                <w:szCs w:val="21"/>
              </w:rPr>
              <w:t>分</w:t>
            </w:r>
          </w:p>
        </w:tc>
      </w:tr>
      <w:tr w14:paraId="412F8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480E3698">
            <w:pPr>
              <w:adjustRightInd w:val="0"/>
              <w:snapToGrid w:val="0"/>
              <w:spacing w:line="240" w:lineRule="auto"/>
              <w:ind w:left="0" w:leftChars="0" w:right="0" w:rightChars="0" w:firstLine="0" w:firstLineChars="0"/>
              <w:jc w:val="center"/>
              <w:rPr>
                <w:rFonts w:hint="default" w:ascii="Times New Roman" w:hAnsi="宋体" w:eastAsia="宋体"/>
                <w:sz w:val="21"/>
                <w:szCs w:val="21"/>
                <w:lang w:val="en-US" w:eastAsia="zh-CN"/>
              </w:rPr>
            </w:pPr>
            <w:r>
              <w:rPr>
                <w:rFonts w:hint="eastAsia" w:hAnsi="宋体"/>
                <w:sz w:val="21"/>
                <w:szCs w:val="21"/>
                <w:lang w:val="en-US" w:eastAsia="zh-CN"/>
              </w:rPr>
              <w:t>4</w:t>
            </w:r>
          </w:p>
        </w:tc>
        <w:tc>
          <w:tcPr>
            <w:tcW w:w="2181" w:type="dxa"/>
            <w:vAlign w:val="center"/>
          </w:tcPr>
          <w:p w14:paraId="6B2F7399">
            <w:pPr>
              <w:autoSpaceDE w:val="0"/>
              <w:autoSpaceDN w:val="0"/>
              <w:adjustRightInd w:val="0"/>
              <w:snapToGrid w:val="0"/>
              <w:spacing w:line="240" w:lineRule="auto"/>
              <w:ind w:left="0" w:leftChars="0" w:right="0" w:rightChars="0" w:firstLine="0" w:firstLineChars="0"/>
              <w:jc w:val="center"/>
              <w:rPr>
                <w:rFonts w:hint="eastAsia" w:hAnsi="宋体"/>
                <w:bCs/>
                <w:szCs w:val="21"/>
              </w:rPr>
            </w:pPr>
            <w:r>
              <w:rPr>
                <w:rFonts w:hint="eastAsia" w:hAnsi="宋体"/>
                <w:bCs/>
                <w:szCs w:val="21"/>
              </w:rPr>
              <w:t>食材、成品大类检验检测能力3</w:t>
            </w:r>
          </w:p>
        </w:tc>
        <w:tc>
          <w:tcPr>
            <w:tcW w:w="4698" w:type="dxa"/>
            <w:vAlign w:val="center"/>
          </w:tcPr>
          <w:p w14:paraId="786C420E">
            <w:pPr>
              <w:snapToGrid w:val="0"/>
              <w:spacing w:line="240" w:lineRule="auto"/>
              <w:ind w:left="0" w:leftChars="0" w:right="0" w:rightChars="0" w:firstLine="0" w:firstLineChars="0"/>
              <w:jc w:val="left"/>
              <w:rPr>
                <w:rFonts w:hint="eastAsia" w:ascii="Times New Roman" w:eastAsia="宋体"/>
                <w:sz w:val="21"/>
              </w:rPr>
            </w:pPr>
            <w:r>
              <w:rPr>
                <w:rFonts w:hint="eastAsia"/>
              </w:rPr>
              <w:t>投标单位方应建立完善的、定期向第三方专业检测机构送检的制度，确保在食堂运营期间的食品安全溯源。投标单位方应提供在至招租公告发布之日前连续六个月食材送检合格报告作为证明，每个月送检的品项至少需包括：1.大米；2.调和油、调味品类（如酱油等）；3.猪肉；4.水产品（如鱼肉等）；5.三鸟产品（如鸡肉鸭肉等）；6.蔬菜（如包菜等叶菜或土豆等块茎类蔬菜）。以上六类每缺少一类均不得分。 报告送检单位须为投标单位方自身，食材供货商内部出具的检测报告或质检报告不得作为本项评价标准。 1.投标单位方每按上述要求提供连续六个月的检验合格报告的得10分，提供连续两个月的检验合格报告的得5分，提供连续一个月的检验合格报告的得2分，否则不得分。 2.投标单位方提供的检验报告应同时提供“中国国家认证认可监督管理委员会 ”的“全国认证认可信息公共服务平台（http://cx.cnc a.cn/）”关于该份报告的查询截图。 3.投标单位方未按要求提供证明材料的不得分。</w:t>
            </w:r>
          </w:p>
        </w:tc>
        <w:tc>
          <w:tcPr>
            <w:tcW w:w="837" w:type="dxa"/>
            <w:vAlign w:val="center"/>
          </w:tcPr>
          <w:p w14:paraId="5325D96F">
            <w:pPr>
              <w:adjustRightInd w:val="0"/>
              <w:snapToGrid w:val="0"/>
              <w:spacing w:line="240" w:lineRule="auto"/>
              <w:ind w:left="0" w:leftChars="0" w:right="0" w:rightChars="0" w:firstLine="0" w:firstLineChars="0"/>
              <w:jc w:val="right"/>
              <w:rPr>
                <w:rFonts w:hint="default" w:ascii="Times New Roman" w:hAnsi="宋体" w:eastAsia="宋体"/>
                <w:sz w:val="21"/>
                <w:szCs w:val="21"/>
                <w:lang w:val="en-US" w:eastAsia="zh-CN"/>
              </w:rPr>
            </w:pPr>
            <w:r>
              <w:rPr>
                <w:rFonts w:hint="eastAsia" w:hAnsi="宋体"/>
                <w:sz w:val="21"/>
                <w:szCs w:val="21"/>
                <w:lang w:val="en-US" w:eastAsia="zh-CN"/>
              </w:rPr>
              <w:t>10分</w:t>
            </w:r>
          </w:p>
        </w:tc>
      </w:tr>
      <w:tr w14:paraId="343A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1D330673">
            <w:pPr>
              <w:adjustRightInd w:val="0"/>
              <w:snapToGrid w:val="0"/>
              <w:spacing w:line="240" w:lineRule="auto"/>
              <w:ind w:left="0" w:leftChars="0" w:right="0" w:rightChars="0" w:firstLine="0" w:firstLineChars="0"/>
              <w:jc w:val="center"/>
              <w:rPr>
                <w:rFonts w:hint="eastAsia" w:ascii="Times New Roman" w:hAnsi="宋体" w:eastAsia="宋体"/>
                <w:sz w:val="21"/>
                <w:szCs w:val="21"/>
                <w:lang w:val="en-US" w:eastAsia="zh-CN"/>
              </w:rPr>
            </w:pPr>
            <w:r>
              <w:rPr>
                <w:rFonts w:hint="eastAsia" w:hAnsi="宋体"/>
                <w:sz w:val="21"/>
                <w:szCs w:val="21"/>
                <w:lang w:val="en-US" w:eastAsia="zh-CN"/>
              </w:rPr>
              <w:t>5</w:t>
            </w:r>
          </w:p>
        </w:tc>
        <w:tc>
          <w:tcPr>
            <w:tcW w:w="2181" w:type="dxa"/>
            <w:vAlign w:val="center"/>
          </w:tcPr>
          <w:p w14:paraId="5184FF98">
            <w:pPr>
              <w:autoSpaceDE w:val="0"/>
              <w:autoSpaceDN w:val="0"/>
              <w:adjustRightInd w:val="0"/>
              <w:snapToGrid w:val="0"/>
              <w:spacing w:line="240" w:lineRule="auto"/>
              <w:ind w:left="0" w:leftChars="0" w:right="0" w:rightChars="0" w:firstLine="0" w:firstLineChars="0"/>
              <w:jc w:val="center"/>
              <w:rPr>
                <w:rFonts w:hint="eastAsia" w:hAnsi="宋体" w:eastAsia="宋体"/>
                <w:bCs/>
                <w:szCs w:val="21"/>
                <w:lang w:val="en-US" w:eastAsia="zh-CN"/>
              </w:rPr>
            </w:pPr>
            <w:r>
              <w:rPr>
                <w:rFonts w:hint="eastAsia" w:hAnsi="宋体"/>
                <w:bCs/>
                <w:szCs w:val="21"/>
              </w:rPr>
              <w:t>管理机构设置、人员分工</w:t>
            </w:r>
            <w:r>
              <w:rPr>
                <w:rFonts w:hint="eastAsia" w:hAnsi="宋体"/>
                <w:bCs/>
                <w:szCs w:val="21"/>
                <w:lang w:val="en-US" w:eastAsia="zh-CN"/>
              </w:rPr>
              <w:t>方案</w:t>
            </w:r>
          </w:p>
        </w:tc>
        <w:tc>
          <w:tcPr>
            <w:tcW w:w="4698" w:type="dxa"/>
            <w:vAlign w:val="center"/>
          </w:tcPr>
          <w:p w14:paraId="7682B52A">
            <w:pPr>
              <w:snapToGrid w:val="0"/>
              <w:spacing w:line="240" w:lineRule="auto"/>
              <w:ind w:left="0" w:leftChars="0" w:right="0" w:rightChars="0" w:firstLine="0" w:firstLineChars="0"/>
              <w:jc w:val="left"/>
              <w:rPr>
                <w:rFonts w:hint="eastAsia"/>
              </w:rPr>
            </w:pPr>
            <w:r>
              <w:rPr>
                <w:rFonts w:hint="eastAsia"/>
                <w:lang w:val="en-US" w:eastAsia="zh-CN"/>
              </w:rPr>
              <w:t>1.</w:t>
            </w:r>
            <w:r>
              <w:rPr>
                <w:rFonts w:hint="eastAsia"/>
              </w:rPr>
              <w:t>管理机构设置合理完善、人员分工合理，科学性和操作性强的得</w:t>
            </w:r>
            <w:r>
              <w:rPr>
                <w:rFonts w:hint="eastAsia"/>
                <w:lang w:val="en-US" w:eastAsia="zh-CN"/>
              </w:rPr>
              <w:t>3</w:t>
            </w:r>
            <w:r>
              <w:rPr>
                <w:rFonts w:hint="eastAsia"/>
              </w:rPr>
              <w:t>分；</w:t>
            </w:r>
          </w:p>
          <w:p w14:paraId="7D56335C">
            <w:pPr>
              <w:snapToGrid w:val="0"/>
              <w:spacing w:line="240" w:lineRule="auto"/>
              <w:ind w:left="0" w:leftChars="0" w:right="0" w:rightChars="0" w:firstLine="0" w:firstLineChars="0"/>
              <w:jc w:val="left"/>
              <w:rPr>
                <w:rFonts w:hint="eastAsia"/>
              </w:rPr>
            </w:pPr>
            <w:r>
              <w:rPr>
                <w:rFonts w:hint="eastAsia"/>
                <w:lang w:val="en-US" w:eastAsia="zh-CN"/>
              </w:rPr>
              <w:t>2.</w:t>
            </w:r>
            <w:r>
              <w:rPr>
                <w:rFonts w:hint="eastAsia"/>
              </w:rPr>
              <w:t>管理机构设置较合理完善、人员分工较合理，科学性和操作性较强的得</w:t>
            </w:r>
            <w:r>
              <w:rPr>
                <w:rFonts w:hint="eastAsia"/>
                <w:lang w:val="en-US" w:eastAsia="zh-CN"/>
              </w:rPr>
              <w:t>2</w:t>
            </w:r>
            <w:r>
              <w:rPr>
                <w:rFonts w:hint="eastAsia"/>
              </w:rPr>
              <w:t>分；</w:t>
            </w:r>
          </w:p>
          <w:p w14:paraId="1F28BE54">
            <w:pPr>
              <w:snapToGrid w:val="0"/>
              <w:spacing w:line="240" w:lineRule="auto"/>
              <w:ind w:left="0" w:leftChars="0" w:right="0" w:rightChars="0" w:firstLine="0" w:firstLineChars="0"/>
              <w:jc w:val="left"/>
              <w:rPr>
                <w:rFonts w:hint="eastAsia"/>
              </w:rPr>
            </w:pPr>
            <w:r>
              <w:rPr>
                <w:rFonts w:hint="eastAsia"/>
                <w:lang w:val="en-US" w:eastAsia="zh-CN"/>
              </w:rPr>
              <w:t>3.</w:t>
            </w:r>
            <w:r>
              <w:rPr>
                <w:rFonts w:hint="eastAsia"/>
              </w:rPr>
              <w:t>管理机构设置基本满足项目需求、人员分工基本合理，科学性和操作性较一般的得1分；</w:t>
            </w:r>
          </w:p>
          <w:p w14:paraId="55D72CC7">
            <w:pPr>
              <w:snapToGrid w:val="0"/>
              <w:spacing w:line="240" w:lineRule="auto"/>
              <w:ind w:left="0" w:leftChars="0" w:right="0" w:rightChars="0" w:firstLine="0" w:firstLineChars="0"/>
              <w:jc w:val="left"/>
              <w:rPr>
                <w:rFonts w:hint="eastAsia" w:ascii="Times New Roman" w:eastAsia="宋体"/>
                <w:sz w:val="21"/>
              </w:rPr>
            </w:pPr>
            <w:r>
              <w:rPr>
                <w:rFonts w:hint="eastAsia"/>
                <w:lang w:val="en-US" w:eastAsia="zh-CN"/>
              </w:rPr>
              <w:t>4.</w:t>
            </w:r>
            <w:r>
              <w:rPr>
                <w:rFonts w:hint="eastAsia"/>
              </w:rPr>
              <w:t>管理机构设置混乱、人员分工不合理或不提供相关方案不得分。</w:t>
            </w:r>
          </w:p>
        </w:tc>
        <w:tc>
          <w:tcPr>
            <w:tcW w:w="837" w:type="dxa"/>
            <w:vAlign w:val="center"/>
          </w:tcPr>
          <w:p w14:paraId="6CD43F35">
            <w:pPr>
              <w:adjustRightInd w:val="0"/>
              <w:snapToGrid w:val="0"/>
              <w:spacing w:line="240" w:lineRule="auto"/>
              <w:ind w:left="0" w:leftChars="0" w:right="0" w:rightChars="0" w:firstLine="0" w:firstLineChars="0"/>
              <w:jc w:val="right"/>
              <w:rPr>
                <w:rFonts w:hint="default" w:ascii="Times New Roman" w:hAnsi="宋体" w:eastAsia="宋体"/>
                <w:sz w:val="21"/>
                <w:szCs w:val="21"/>
                <w:lang w:val="en-US" w:eastAsia="zh-CN"/>
              </w:rPr>
            </w:pPr>
            <w:r>
              <w:rPr>
                <w:rFonts w:hint="eastAsia" w:hAnsi="宋体"/>
                <w:sz w:val="21"/>
                <w:szCs w:val="21"/>
                <w:lang w:val="en-US" w:eastAsia="zh-CN"/>
              </w:rPr>
              <w:t>3分</w:t>
            </w:r>
          </w:p>
        </w:tc>
      </w:tr>
      <w:tr w14:paraId="6762E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779C7F23">
            <w:pPr>
              <w:adjustRightInd w:val="0"/>
              <w:snapToGrid w:val="0"/>
              <w:spacing w:line="240" w:lineRule="auto"/>
              <w:ind w:left="0" w:leftChars="0" w:right="0" w:rightChars="0" w:firstLine="0" w:firstLineChars="0"/>
              <w:jc w:val="center"/>
              <w:rPr>
                <w:rFonts w:hint="eastAsia" w:ascii="Times New Roman" w:hAnsi="宋体" w:eastAsia="宋体"/>
                <w:sz w:val="21"/>
                <w:szCs w:val="21"/>
                <w:lang w:val="en-US" w:eastAsia="zh-CN"/>
              </w:rPr>
            </w:pPr>
            <w:r>
              <w:rPr>
                <w:rFonts w:hint="eastAsia" w:hAnsi="宋体"/>
                <w:sz w:val="21"/>
                <w:szCs w:val="21"/>
                <w:lang w:val="en-US" w:eastAsia="zh-CN"/>
              </w:rPr>
              <w:t>6</w:t>
            </w:r>
          </w:p>
        </w:tc>
        <w:tc>
          <w:tcPr>
            <w:tcW w:w="2181" w:type="dxa"/>
            <w:vAlign w:val="center"/>
          </w:tcPr>
          <w:p w14:paraId="7ABAEB50">
            <w:pPr>
              <w:autoSpaceDE w:val="0"/>
              <w:autoSpaceDN w:val="0"/>
              <w:adjustRightInd w:val="0"/>
              <w:snapToGrid w:val="0"/>
              <w:spacing w:line="240" w:lineRule="auto"/>
              <w:ind w:left="0" w:leftChars="0" w:right="0" w:rightChars="0" w:firstLine="0" w:firstLineChars="0"/>
              <w:jc w:val="center"/>
              <w:rPr>
                <w:rFonts w:hint="eastAsia" w:hAnsi="宋体"/>
                <w:bCs/>
                <w:szCs w:val="21"/>
              </w:rPr>
            </w:pPr>
            <w:r>
              <w:rPr>
                <w:rFonts w:hint="eastAsia" w:hAnsi="宋体"/>
                <w:bCs/>
                <w:szCs w:val="21"/>
              </w:rPr>
              <w:t>人员招募方案</w:t>
            </w:r>
          </w:p>
        </w:tc>
        <w:tc>
          <w:tcPr>
            <w:tcW w:w="4698" w:type="dxa"/>
            <w:vAlign w:val="center"/>
          </w:tcPr>
          <w:p w14:paraId="0D23B685">
            <w:pPr>
              <w:snapToGrid w:val="0"/>
              <w:spacing w:line="240" w:lineRule="auto"/>
              <w:ind w:left="0" w:leftChars="0" w:right="0" w:rightChars="0" w:firstLine="0" w:firstLineChars="0"/>
              <w:jc w:val="left"/>
              <w:rPr>
                <w:rFonts w:hint="eastAsia"/>
              </w:rPr>
            </w:pPr>
            <w:r>
              <w:rPr>
                <w:rFonts w:hint="eastAsia"/>
              </w:rPr>
              <w:t>根据对原有员工的招募留用、新员工招募、培训、上岗等方案、制度是否健全，实施方案是否切实可行进行评审。</w:t>
            </w:r>
          </w:p>
          <w:p w14:paraId="51165AC0">
            <w:pPr>
              <w:snapToGrid w:val="0"/>
              <w:spacing w:line="240" w:lineRule="auto"/>
              <w:ind w:left="0" w:leftChars="0" w:right="0" w:rightChars="0" w:firstLine="0" w:firstLineChars="0"/>
              <w:jc w:val="left"/>
              <w:rPr>
                <w:rFonts w:hint="eastAsia"/>
              </w:rPr>
            </w:pPr>
            <w:r>
              <w:rPr>
                <w:rFonts w:hint="eastAsia"/>
                <w:lang w:val="en-US" w:eastAsia="zh-CN"/>
              </w:rPr>
              <w:t>1.</w:t>
            </w:r>
            <w:r>
              <w:rPr>
                <w:rFonts w:hint="eastAsia"/>
              </w:rPr>
              <w:t>对原有员工的招募留用、新员工招募、培训、上岗等方案、制度健全，实施方案合理、切实可行的得5分；</w:t>
            </w:r>
          </w:p>
          <w:p w14:paraId="3C3F9D2F">
            <w:pPr>
              <w:snapToGrid w:val="0"/>
              <w:spacing w:line="240" w:lineRule="auto"/>
              <w:ind w:left="0" w:leftChars="0" w:right="0" w:rightChars="0" w:firstLine="0" w:firstLineChars="0"/>
              <w:jc w:val="left"/>
              <w:rPr>
                <w:rFonts w:hint="eastAsia"/>
              </w:rPr>
            </w:pPr>
            <w:r>
              <w:rPr>
                <w:rFonts w:hint="eastAsia"/>
                <w:lang w:val="en-US" w:eastAsia="zh-CN"/>
              </w:rPr>
              <w:t>2.</w:t>
            </w:r>
            <w:r>
              <w:rPr>
                <w:rFonts w:hint="eastAsia"/>
              </w:rPr>
              <w:t>对原有员工的招募留用、新员工招募、培训、上岗等方案、制度较健全，实施方案较合理、切实可行的得3分；</w:t>
            </w:r>
          </w:p>
          <w:p w14:paraId="61C17F4C">
            <w:pPr>
              <w:snapToGrid w:val="0"/>
              <w:spacing w:line="240" w:lineRule="auto"/>
              <w:ind w:left="0" w:leftChars="0" w:right="0" w:rightChars="0" w:firstLine="0" w:firstLineChars="0"/>
              <w:jc w:val="left"/>
              <w:rPr>
                <w:rFonts w:hint="eastAsia"/>
              </w:rPr>
            </w:pPr>
            <w:r>
              <w:rPr>
                <w:rFonts w:hint="eastAsia"/>
                <w:lang w:val="en-US" w:eastAsia="zh-CN"/>
              </w:rPr>
              <w:t>3.</w:t>
            </w:r>
            <w:r>
              <w:rPr>
                <w:rFonts w:hint="eastAsia"/>
              </w:rPr>
              <w:t>对原有员工的招募留用、新员工招募、培训、上岗等方案、制度合理，实施方案基本满足项目需求的得1分；</w:t>
            </w:r>
          </w:p>
          <w:p w14:paraId="501683C3">
            <w:pPr>
              <w:snapToGrid w:val="0"/>
              <w:spacing w:line="240" w:lineRule="auto"/>
              <w:ind w:left="0" w:leftChars="0" w:right="0" w:rightChars="0" w:firstLine="0" w:firstLineChars="0"/>
              <w:jc w:val="left"/>
              <w:rPr>
                <w:rFonts w:hint="eastAsia" w:ascii="Times New Roman" w:eastAsia="宋体"/>
                <w:sz w:val="21"/>
              </w:rPr>
            </w:pPr>
            <w:r>
              <w:rPr>
                <w:rFonts w:hint="eastAsia"/>
                <w:lang w:val="en-US" w:eastAsia="zh-CN"/>
              </w:rPr>
              <w:t>4.</w:t>
            </w:r>
            <w:r>
              <w:rPr>
                <w:rFonts w:hint="eastAsia"/>
              </w:rPr>
              <w:t>招募、培训、上岗等方案、制度不合理、实施性差或不提供相关方案不得分。</w:t>
            </w:r>
          </w:p>
        </w:tc>
        <w:tc>
          <w:tcPr>
            <w:tcW w:w="837" w:type="dxa"/>
            <w:vAlign w:val="center"/>
          </w:tcPr>
          <w:p w14:paraId="16F283D0">
            <w:pPr>
              <w:adjustRightInd w:val="0"/>
              <w:snapToGrid w:val="0"/>
              <w:spacing w:line="240" w:lineRule="auto"/>
              <w:ind w:left="0" w:leftChars="0" w:right="0" w:rightChars="0" w:firstLine="0" w:firstLineChars="0"/>
              <w:jc w:val="right"/>
              <w:rPr>
                <w:rFonts w:hint="default" w:ascii="Times New Roman" w:hAnsi="宋体" w:eastAsia="宋体"/>
                <w:sz w:val="21"/>
                <w:szCs w:val="21"/>
                <w:lang w:val="en-US" w:eastAsia="zh-CN"/>
              </w:rPr>
            </w:pPr>
            <w:r>
              <w:rPr>
                <w:rFonts w:hint="eastAsia" w:hAnsi="宋体"/>
                <w:sz w:val="21"/>
                <w:szCs w:val="21"/>
                <w:lang w:val="en-US" w:eastAsia="zh-CN"/>
              </w:rPr>
              <w:t>5分</w:t>
            </w:r>
          </w:p>
        </w:tc>
      </w:tr>
      <w:tr w14:paraId="0DB6A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4B922B4C">
            <w:pPr>
              <w:adjustRightInd w:val="0"/>
              <w:snapToGrid w:val="0"/>
              <w:spacing w:line="240" w:lineRule="auto"/>
              <w:ind w:left="0" w:leftChars="0" w:right="0" w:rightChars="0" w:firstLine="0" w:firstLineChars="0"/>
              <w:jc w:val="center"/>
              <w:rPr>
                <w:rFonts w:hint="eastAsia" w:ascii="Times New Roman" w:hAnsi="宋体" w:eastAsia="宋体"/>
                <w:sz w:val="21"/>
                <w:szCs w:val="21"/>
                <w:lang w:val="en-US" w:eastAsia="zh-CN"/>
              </w:rPr>
            </w:pPr>
            <w:r>
              <w:rPr>
                <w:rFonts w:hint="eastAsia" w:hAnsi="宋体"/>
                <w:sz w:val="21"/>
                <w:szCs w:val="21"/>
                <w:lang w:val="en-US" w:eastAsia="zh-CN"/>
              </w:rPr>
              <w:t>7</w:t>
            </w:r>
          </w:p>
        </w:tc>
        <w:tc>
          <w:tcPr>
            <w:tcW w:w="2181" w:type="dxa"/>
            <w:vAlign w:val="center"/>
          </w:tcPr>
          <w:p w14:paraId="511759AA">
            <w:pPr>
              <w:autoSpaceDE w:val="0"/>
              <w:autoSpaceDN w:val="0"/>
              <w:adjustRightInd w:val="0"/>
              <w:snapToGrid w:val="0"/>
              <w:spacing w:line="240" w:lineRule="auto"/>
              <w:ind w:left="0" w:leftChars="0" w:right="0" w:rightChars="0" w:firstLine="0" w:firstLineChars="0"/>
              <w:jc w:val="center"/>
              <w:rPr>
                <w:rFonts w:hint="eastAsia" w:hAnsi="宋体"/>
                <w:bCs/>
                <w:szCs w:val="21"/>
              </w:rPr>
            </w:pPr>
            <w:r>
              <w:rPr>
                <w:rFonts w:hint="eastAsia" w:hAnsi="宋体"/>
                <w:bCs/>
                <w:szCs w:val="21"/>
              </w:rPr>
              <w:t>就餐配餐方案</w:t>
            </w:r>
          </w:p>
        </w:tc>
        <w:tc>
          <w:tcPr>
            <w:tcW w:w="4698" w:type="dxa"/>
            <w:vAlign w:val="center"/>
          </w:tcPr>
          <w:p w14:paraId="73D995D7">
            <w:pPr>
              <w:snapToGrid w:val="0"/>
              <w:spacing w:line="240" w:lineRule="auto"/>
              <w:ind w:left="0" w:leftChars="0" w:right="0" w:rightChars="0" w:firstLine="0" w:firstLineChars="0"/>
              <w:jc w:val="left"/>
              <w:rPr>
                <w:rFonts w:hint="eastAsia"/>
              </w:rPr>
            </w:pPr>
            <w:r>
              <w:rPr>
                <w:rFonts w:hint="eastAsia"/>
              </w:rPr>
              <w:t>根据供应商提供的餐厅就餐制度、原材料配合验收、营养配餐方案及菜品品种及标准(早、中、晚餐主食品种、副食小菜品种、风味小吃、羹汤品种配备方案)进行综合比较后打分。</w:t>
            </w:r>
          </w:p>
          <w:p w14:paraId="0C7B049C">
            <w:pPr>
              <w:snapToGrid w:val="0"/>
              <w:spacing w:line="240" w:lineRule="auto"/>
              <w:ind w:left="0" w:leftChars="0" w:right="0" w:rightChars="0" w:firstLine="0" w:firstLineChars="0"/>
              <w:jc w:val="left"/>
              <w:rPr>
                <w:rFonts w:hint="eastAsia"/>
              </w:rPr>
            </w:pPr>
            <w:r>
              <w:rPr>
                <w:rFonts w:hint="eastAsia"/>
                <w:lang w:val="en-US" w:eastAsia="zh-CN"/>
              </w:rPr>
              <w:t>1.</w:t>
            </w:r>
            <w:r>
              <w:rPr>
                <w:rFonts w:hint="eastAsia"/>
              </w:rPr>
              <w:t>餐厅就餐制度完整、原材料配合验收方案科学完善、营养配餐方案营养合理、菜品品种丰富的得5分；</w:t>
            </w:r>
          </w:p>
          <w:p w14:paraId="500120B5">
            <w:pPr>
              <w:snapToGrid w:val="0"/>
              <w:spacing w:line="240" w:lineRule="auto"/>
              <w:ind w:left="0" w:leftChars="0" w:right="0" w:rightChars="0" w:firstLine="0" w:firstLineChars="0"/>
              <w:jc w:val="left"/>
              <w:rPr>
                <w:rFonts w:hint="eastAsia"/>
              </w:rPr>
            </w:pPr>
            <w:r>
              <w:rPr>
                <w:rFonts w:hint="eastAsia"/>
                <w:lang w:val="en-US" w:eastAsia="zh-CN"/>
              </w:rPr>
              <w:t>2.</w:t>
            </w:r>
            <w:r>
              <w:rPr>
                <w:rFonts w:hint="eastAsia"/>
              </w:rPr>
              <w:t>餐厅就餐制度较完整、原材料配合验收方案较科学完善、营养配餐方案较营养合理、菜品品种较丰富的得3分；</w:t>
            </w:r>
          </w:p>
          <w:p w14:paraId="16DFCF88">
            <w:pPr>
              <w:snapToGrid w:val="0"/>
              <w:spacing w:line="240" w:lineRule="auto"/>
              <w:ind w:left="0" w:leftChars="0" w:right="0" w:rightChars="0" w:firstLine="0" w:firstLineChars="0"/>
              <w:jc w:val="left"/>
              <w:rPr>
                <w:rFonts w:hint="eastAsia"/>
              </w:rPr>
            </w:pPr>
            <w:r>
              <w:rPr>
                <w:rFonts w:hint="eastAsia"/>
                <w:lang w:val="en-US" w:eastAsia="zh-CN"/>
              </w:rPr>
              <w:t>3.</w:t>
            </w:r>
            <w:r>
              <w:rPr>
                <w:rFonts w:hint="eastAsia"/>
              </w:rPr>
              <w:t>餐厅就餐制度不够完整、原材料配合验收方案有缺陷、营养配餐方案基本营养合理、菜品品种不够丰富的得1分；</w:t>
            </w:r>
          </w:p>
          <w:p w14:paraId="6D8F4546">
            <w:pPr>
              <w:snapToGrid w:val="0"/>
              <w:spacing w:line="240" w:lineRule="auto"/>
              <w:ind w:left="0" w:leftChars="0" w:right="0" w:rightChars="0" w:firstLine="0" w:firstLineChars="0"/>
              <w:jc w:val="left"/>
              <w:rPr>
                <w:rFonts w:hint="eastAsia" w:ascii="Times New Roman" w:eastAsia="宋体"/>
                <w:sz w:val="21"/>
              </w:rPr>
            </w:pPr>
            <w:r>
              <w:rPr>
                <w:rFonts w:hint="eastAsia"/>
                <w:lang w:val="en-US" w:eastAsia="zh-CN"/>
              </w:rPr>
              <w:t>4.</w:t>
            </w:r>
            <w:r>
              <w:rPr>
                <w:rFonts w:hint="eastAsia"/>
              </w:rPr>
              <w:t>餐厅就餐制度混乱、原材料配合验收方案不合理、营养配餐方案不合理、菜品品种单一或不提供相关方案不得分。</w:t>
            </w:r>
          </w:p>
        </w:tc>
        <w:tc>
          <w:tcPr>
            <w:tcW w:w="837" w:type="dxa"/>
            <w:vAlign w:val="center"/>
          </w:tcPr>
          <w:p w14:paraId="5F1EC236">
            <w:pPr>
              <w:adjustRightInd w:val="0"/>
              <w:snapToGrid w:val="0"/>
              <w:spacing w:line="240" w:lineRule="auto"/>
              <w:ind w:left="0" w:leftChars="0" w:right="0" w:rightChars="0" w:firstLine="0" w:firstLineChars="0"/>
              <w:jc w:val="right"/>
              <w:rPr>
                <w:rFonts w:hint="default" w:ascii="Times New Roman" w:hAnsi="宋体" w:eastAsia="宋体"/>
                <w:sz w:val="21"/>
                <w:szCs w:val="21"/>
                <w:lang w:val="en-US" w:eastAsia="zh-CN"/>
              </w:rPr>
            </w:pPr>
            <w:r>
              <w:rPr>
                <w:rFonts w:hint="eastAsia" w:hAnsi="宋体"/>
                <w:sz w:val="21"/>
                <w:szCs w:val="21"/>
                <w:lang w:val="en-US" w:eastAsia="zh-CN"/>
              </w:rPr>
              <w:t>5分</w:t>
            </w:r>
          </w:p>
        </w:tc>
      </w:tr>
      <w:tr w14:paraId="3C3A7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3BA5EE3F">
            <w:pPr>
              <w:adjustRightInd w:val="0"/>
              <w:snapToGrid w:val="0"/>
              <w:spacing w:line="240" w:lineRule="auto"/>
              <w:ind w:left="0" w:leftChars="0" w:right="0" w:rightChars="0" w:firstLine="0" w:firstLineChars="0"/>
              <w:jc w:val="center"/>
              <w:rPr>
                <w:rFonts w:hint="default" w:hAnsi="宋体"/>
                <w:sz w:val="21"/>
                <w:szCs w:val="21"/>
                <w:lang w:val="en-US" w:eastAsia="zh-CN"/>
              </w:rPr>
            </w:pPr>
            <w:r>
              <w:rPr>
                <w:rFonts w:hint="eastAsia" w:hAnsi="宋体"/>
                <w:sz w:val="21"/>
                <w:szCs w:val="21"/>
                <w:lang w:val="en-US" w:eastAsia="zh-CN"/>
              </w:rPr>
              <w:t>8</w:t>
            </w:r>
          </w:p>
        </w:tc>
        <w:tc>
          <w:tcPr>
            <w:tcW w:w="2181" w:type="dxa"/>
            <w:vAlign w:val="center"/>
          </w:tcPr>
          <w:p w14:paraId="6D6543C6">
            <w:pPr>
              <w:autoSpaceDE w:val="0"/>
              <w:autoSpaceDN w:val="0"/>
              <w:adjustRightInd w:val="0"/>
              <w:snapToGrid w:val="0"/>
              <w:spacing w:line="240" w:lineRule="auto"/>
              <w:ind w:left="0" w:leftChars="0" w:right="0" w:rightChars="0" w:firstLine="0" w:firstLineChars="0"/>
              <w:jc w:val="center"/>
              <w:rPr>
                <w:rFonts w:hint="eastAsia" w:hAnsi="宋体"/>
                <w:bCs/>
                <w:szCs w:val="21"/>
              </w:rPr>
            </w:pPr>
            <w:r>
              <w:rPr>
                <w:rFonts w:hint="eastAsia" w:hAnsi="宋体"/>
                <w:bCs/>
                <w:szCs w:val="21"/>
              </w:rPr>
              <w:t>质量管控方案</w:t>
            </w:r>
          </w:p>
        </w:tc>
        <w:tc>
          <w:tcPr>
            <w:tcW w:w="4698" w:type="dxa"/>
            <w:vAlign w:val="center"/>
          </w:tcPr>
          <w:p w14:paraId="3E3C0544">
            <w:pPr>
              <w:snapToGrid w:val="0"/>
              <w:spacing w:line="240" w:lineRule="auto"/>
              <w:ind w:left="0" w:leftChars="0" w:right="0" w:rightChars="0" w:firstLine="0" w:firstLineChars="0"/>
              <w:jc w:val="left"/>
              <w:rPr>
                <w:rFonts w:hint="eastAsia"/>
              </w:rPr>
            </w:pPr>
            <w:r>
              <w:rPr>
                <w:rFonts w:hint="eastAsia"/>
              </w:rPr>
              <w:t>根据投标人提供的质量管控措施、仓储保管方案、文档管理方案、菜品留样检测方案、保密工作方案进行评审。</w:t>
            </w:r>
          </w:p>
          <w:p w14:paraId="16D5F008">
            <w:pPr>
              <w:snapToGrid w:val="0"/>
              <w:spacing w:line="240" w:lineRule="auto"/>
              <w:ind w:left="0" w:leftChars="0" w:right="0" w:rightChars="0" w:firstLine="0" w:firstLineChars="0"/>
              <w:jc w:val="left"/>
              <w:rPr>
                <w:rFonts w:hint="eastAsia"/>
              </w:rPr>
            </w:pPr>
            <w:r>
              <w:rPr>
                <w:rFonts w:hint="eastAsia"/>
                <w:lang w:val="en-US" w:eastAsia="zh-CN"/>
              </w:rPr>
              <w:t>1.</w:t>
            </w:r>
            <w:r>
              <w:rPr>
                <w:rFonts w:hint="eastAsia"/>
              </w:rPr>
              <w:t>质量管控措施全面，仓储保管方案、文档管理方案规范，菜品留样检测方案卫生规范、保密工作方案严谨的得5分；</w:t>
            </w:r>
          </w:p>
          <w:p w14:paraId="7F1AF330">
            <w:pPr>
              <w:snapToGrid w:val="0"/>
              <w:spacing w:line="240" w:lineRule="auto"/>
              <w:ind w:left="0" w:leftChars="0" w:right="0" w:rightChars="0" w:firstLine="0" w:firstLineChars="0"/>
              <w:jc w:val="left"/>
              <w:rPr>
                <w:rFonts w:hint="eastAsia"/>
              </w:rPr>
            </w:pPr>
            <w:r>
              <w:rPr>
                <w:rFonts w:hint="eastAsia"/>
                <w:lang w:val="en-US" w:eastAsia="zh-CN"/>
              </w:rPr>
              <w:t>2.</w:t>
            </w:r>
            <w:r>
              <w:rPr>
                <w:rFonts w:hint="eastAsia"/>
              </w:rPr>
              <w:t>质量管控措施较全面，仓储保管方案、文档管理方案较规范，菜品留样检测方案较卫生规范、保密工作方案较严谨的得3分；</w:t>
            </w:r>
          </w:p>
          <w:p w14:paraId="277B0217">
            <w:pPr>
              <w:snapToGrid w:val="0"/>
              <w:spacing w:line="240" w:lineRule="auto"/>
              <w:ind w:left="0" w:leftChars="0" w:right="0" w:rightChars="0" w:firstLine="0" w:firstLineChars="0"/>
              <w:jc w:val="left"/>
              <w:rPr>
                <w:rFonts w:hint="eastAsia"/>
              </w:rPr>
            </w:pPr>
            <w:r>
              <w:rPr>
                <w:rFonts w:hint="eastAsia"/>
                <w:lang w:val="en-US" w:eastAsia="zh-CN"/>
              </w:rPr>
              <w:t>3.</w:t>
            </w:r>
            <w:r>
              <w:rPr>
                <w:rFonts w:hint="eastAsia"/>
              </w:rPr>
              <w:t>质量管控措施不够全面，仓储保管方案、文档管理方案不够规范，</w:t>
            </w:r>
          </w:p>
          <w:p w14:paraId="4D3A9720">
            <w:pPr>
              <w:snapToGrid w:val="0"/>
              <w:spacing w:line="240" w:lineRule="auto"/>
              <w:ind w:left="0" w:leftChars="0" w:right="0" w:rightChars="0" w:firstLine="0" w:firstLineChars="0"/>
              <w:jc w:val="left"/>
              <w:rPr>
                <w:rFonts w:hint="eastAsia"/>
              </w:rPr>
            </w:pPr>
            <w:r>
              <w:rPr>
                <w:rFonts w:hint="eastAsia"/>
              </w:rPr>
              <w:t>菜品留样检测方案基本卫生规范、保密工作方案基本严谨的得1分；</w:t>
            </w:r>
          </w:p>
          <w:p w14:paraId="4733F62C">
            <w:pPr>
              <w:snapToGrid w:val="0"/>
              <w:spacing w:line="240" w:lineRule="auto"/>
              <w:ind w:left="0" w:leftChars="0" w:right="0" w:rightChars="0" w:firstLine="0" w:firstLineChars="0"/>
              <w:jc w:val="left"/>
              <w:rPr>
                <w:rFonts w:hint="eastAsia" w:ascii="Times New Roman" w:eastAsia="宋体"/>
                <w:sz w:val="21"/>
              </w:rPr>
            </w:pPr>
            <w:r>
              <w:rPr>
                <w:rFonts w:hint="eastAsia"/>
                <w:lang w:val="en-US" w:eastAsia="zh-CN"/>
              </w:rPr>
              <w:t>4.</w:t>
            </w:r>
            <w:r>
              <w:rPr>
                <w:rFonts w:hint="eastAsia"/>
              </w:rPr>
              <w:t>质量管控措施不全面，仓储保管方案、文档管理方案不规范，菜品留样检测方案不卫生规范、保密工作方案不严谨或不提供相关方案不得分。</w:t>
            </w:r>
          </w:p>
        </w:tc>
        <w:tc>
          <w:tcPr>
            <w:tcW w:w="837" w:type="dxa"/>
            <w:vAlign w:val="center"/>
          </w:tcPr>
          <w:p w14:paraId="4FFD12C5">
            <w:pPr>
              <w:adjustRightInd w:val="0"/>
              <w:snapToGrid w:val="0"/>
              <w:spacing w:line="240" w:lineRule="auto"/>
              <w:ind w:left="0" w:leftChars="0" w:right="0" w:rightChars="0" w:firstLine="0" w:firstLineChars="0"/>
              <w:jc w:val="right"/>
              <w:rPr>
                <w:rFonts w:hint="default" w:ascii="Times New Roman" w:hAnsi="宋体" w:eastAsia="宋体"/>
                <w:sz w:val="21"/>
                <w:szCs w:val="21"/>
                <w:lang w:val="en-US" w:eastAsia="zh-CN"/>
              </w:rPr>
            </w:pPr>
            <w:r>
              <w:rPr>
                <w:rFonts w:hint="eastAsia" w:hAnsi="宋体"/>
                <w:sz w:val="21"/>
                <w:szCs w:val="21"/>
                <w:lang w:val="en-US" w:eastAsia="zh-CN"/>
              </w:rPr>
              <w:t>5分</w:t>
            </w:r>
          </w:p>
        </w:tc>
      </w:tr>
      <w:tr w14:paraId="2D7F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2720B77B">
            <w:pPr>
              <w:adjustRightInd w:val="0"/>
              <w:snapToGrid w:val="0"/>
              <w:spacing w:line="240" w:lineRule="auto"/>
              <w:ind w:left="0" w:leftChars="0" w:right="0" w:rightChars="0" w:firstLine="0" w:firstLineChars="0"/>
              <w:jc w:val="center"/>
              <w:rPr>
                <w:rFonts w:hint="default" w:hAnsi="宋体"/>
                <w:sz w:val="21"/>
                <w:szCs w:val="21"/>
                <w:lang w:val="en-US" w:eastAsia="zh-CN"/>
              </w:rPr>
            </w:pPr>
            <w:r>
              <w:rPr>
                <w:rFonts w:hint="eastAsia" w:hAnsi="宋体"/>
                <w:sz w:val="21"/>
                <w:szCs w:val="21"/>
                <w:lang w:val="en-US" w:eastAsia="zh-CN"/>
              </w:rPr>
              <w:t>9</w:t>
            </w:r>
          </w:p>
        </w:tc>
        <w:tc>
          <w:tcPr>
            <w:tcW w:w="2181" w:type="dxa"/>
            <w:vAlign w:val="center"/>
          </w:tcPr>
          <w:p w14:paraId="2C3DC9DC">
            <w:pPr>
              <w:autoSpaceDE w:val="0"/>
              <w:autoSpaceDN w:val="0"/>
              <w:adjustRightInd w:val="0"/>
              <w:snapToGrid w:val="0"/>
              <w:spacing w:line="240" w:lineRule="auto"/>
              <w:ind w:left="0" w:leftChars="0" w:right="0" w:rightChars="0" w:firstLine="0" w:firstLineChars="0"/>
              <w:jc w:val="center"/>
              <w:rPr>
                <w:rFonts w:hint="eastAsia" w:hAnsi="宋体"/>
                <w:bCs/>
                <w:szCs w:val="21"/>
              </w:rPr>
            </w:pPr>
            <w:r>
              <w:rPr>
                <w:rFonts w:hint="eastAsia" w:hAnsi="宋体"/>
                <w:bCs/>
                <w:szCs w:val="21"/>
              </w:rPr>
              <w:t>成本控制方案</w:t>
            </w:r>
          </w:p>
        </w:tc>
        <w:tc>
          <w:tcPr>
            <w:tcW w:w="4698" w:type="dxa"/>
            <w:vAlign w:val="center"/>
          </w:tcPr>
          <w:p w14:paraId="51706E51">
            <w:pPr>
              <w:snapToGrid w:val="0"/>
              <w:spacing w:line="240" w:lineRule="auto"/>
              <w:ind w:left="0" w:leftChars="0" w:right="0" w:rightChars="0" w:firstLine="0" w:firstLineChars="0"/>
              <w:jc w:val="left"/>
              <w:rPr>
                <w:rFonts w:hint="eastAsia"/>
              </w:rPr>
            </w:pPr>
            <w:r>
              <w:rPr>
                <w:rFonts w:hint="eastAsia"/>
              </w:rPr>
              <w:t>根据供应商提供的成本控制方案(包含价格核算办法、毛利率控制办法及原料价格波动平抑办法)进行比较后综合评审。</w:t>
            </w:r>
          </w:p>
          <w:p w14:paraId="5059B685">
            <w:pPr>
              <w:snapToGrid w:val="0"/>
              <w:spacing w:line="240" w:lineRule="auto"/>
              <w:ind w:left="0" w:leftChars="0" w:right="0" w:rightChars="0" w:firstLine="0" w:firstLineChars="0"/>
              <w:jc w:val="left"/>
              <w:rPr>
                <w:rFonts w:hint="eastAsia"/>
              </w:rPr>
            </w:pPr>
            <w:r>
              <w:rPr>
                <w:rFonts w:hint="eastAsia"/>
                <w:lang w:val="en-US" w:eastAsia="zh-CN"/>
              </w:rPr>
              <w:t>1.</w:t>
            </w:r>
            <w:r>
              <w:rPr>
                <w:rFonts w:hint="eastAsia"/>
              </w:rPr>
              <w:t>成本控制方案内容完整、科学合理、可操作性强的得5分；</w:t>
            </w:r>
          </w:p>
          <w:p w14:paraId="091240E6">
            <w:pPr>
              <w:snapToGrid w:val="0"/>
              <w:spacing w:line="240" w:lineRule="auto"/>
              <w:ind w:left="0" w:leftChars="0" w:right="0" w:rightChars="0" w:firstLine="0" w:firstLineChars="0"/>
              <w:jc w:val="left"/>
              <w:rPr>
                <w:rFonts w:hint="eastAsia"/>
              </w:rPr>
            </w:pPr>
            <w:r>
              <w:rPr>
                <w:rFonts w:hint="eastAsia"/>
                <w:lang w:val="en-US" w:eastAsia="zh-CN"/>
              </w:rPr>
              <w:t>2.</w:t>
            </w:r>
            <w:r>
              <w:rPr>
                <w:rFonts w:hint="eastAsia"/>
              </w:rPr>
              <w:t>成本控制方案较内容完整、科学较为合理、可操作性较强的得3分；</w:t>
            </w:r>
          </w:p>
          <w:p w14:paraId="51EEC76D">
            <w:pPr>
              <w:snapToGrid w:val="0"/>
              <w:spacing w:line="240" w:lineRule="auto"/>
              <w:ind w:left="0" w:leftChars="0" w:right="0" w:rightChars="0" w:firstLine="0" w:firstLineChars="0"/>
              <w:jc w:val="left"/>
              <w:rPr>
                <w:rFonts w:hint="eastAsia"/>
              </w:rPr>
            </w:pPr>
            <w:r>
              <w:rPr>
                <w:rFonts w:hint="eastAsia"/>
                <w:lang w:val="en-US" w:eastAsia="zh-CN"/>
              </w:rPr>
              <w:t>3.</w:t>
            </w:r>
            <w:r>
              <w:rPr>
                <w:rFonts w:hint="eastAsia"/>
              </w:rPr>
              <w:t>成本控制方案内容不完整、不合理、可操作性不强的得1分；</w:t>
            </w:r>
          </w:p>
          <w:p w14:paraId="08F481BE">
            <w:pPr>
              <w:snapToGrid w:val="0"/>
              <w:spacing w:line="240" w:lineRule="auto"/>
              <w:ind w:left="0" w:leftChars="0" w:right="0" w:rightChars="0" w:firstLine="0" w:firstLineChars="0"/>
              <w:jc w:val="left"/>
              <w:rPr>
                <w:rFonts w:hint="eastAsia" w:ascii="Times New Roman" w:eastAsia="宋体"/>
                <w:sz w:val="21"/>
              </w:rPr>
            </w:pPr>
            <w:r>
              <w:rPr>
                <w:rFonts w:hint="eastAsia"/>
                <w:lang w:val="en-US" w:eastAsia="zh-CN"/>
              </w:rPr>
              <w:t>4.</w:t>
            </w:r>
            <w:r>
              <w:rPr>
                <w:rFonts w:hint="eastAsia"/>
              </w:rPr>
              <w:t>不提供不得分。</w:t>
            </w:r>
          </w:p>
        </w:tc>
        <w:tc>
          <w:tcPr>
            <w:tcW w:w="837" w:type="dxa"/>
            <w:vAlign w:val="center"/>
          </w:tcPr>
          <w:p w14:paraId="2DC216D2">
            <w:pPr>
              <w:adjustRightInd w:val="0"/>
              <w:snapToGrid w:val="0"/>
              <w:spacing w:line="240" w:lineRule="auto"/>
              <w:ind w:left="0" w:leftChars="0" w:right="0" w:rightChars="0" w:firstLine="0" w:firstLineChars="0"/>
              <w:jc w:val="right"/>
              <w:rPr>
                <w:rFonts w:hint="default" w:ascii="Times New Roman" w:hAnsi="宋体" w:eastAsia="宋体"/>
                <w:sz w:val="21"/>
                <w:szCs w:val="21"/>
                <w:lang w:val="en-US" w:eastAsia="zh-CN"/>
              </w:rPr>
            </w:pPr>
            <w:r>
              <w:rPr>
                <w:rFonts w:hint="eastAsia" w:hAnsi="宋体"/>
                <w:sz w:val="21"/>
                <w:szCs w:val="21"/>
                <w:lang w:val="en-US" w:eastAsia="zh-CN"/>
              </w:rPr>
              <w:t>2分</w:t>
            </w:r>
          </w:p>
        </w:tc>
      </w:tr>
      <w:tr w14:paraId="2D8E0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0961BA8E">
            <w:pPr>
              <w:adjustRightInd w:val="0"/>
              <w:snapToGrid w:val="0"/>
              <w:spacing w:line="240" w:lineRule="auto"/>
              <w:ind w:left="0" w:leftChars="0" w:right="0" w:rightChars="0" w:firstLine="0" w:firstLineChars="0"/>
              <w:jc w:val="center"/>
              <w:rPr>
                <w:rFonts w:hint="default" w:hAnsi="宋体"/>
                <w:sz w:val="21"/>
                <w:szCs w:val="21"/>
                <w:lang w:val="en-US" w:eastAsia="zh-CN"/>
              </w:rPr>
            </w:pPr>
            <w:r>
              <w:rPr>
                <w:rFonts w:hint="eastAsia" w:hAnsi="宋体"/>
                <w:sz w:val="21"/>
                <w:szCs w:val="21"/>
                <w:lang w:val="en-US" w:eastAsia="zh-CN"/>
              </w:rPr>
              <w:t>10</w:t>
            </w:r>
          </w:p>
        </w:tc>
        <w:tc>
          <w:tcPr>
            <w:tcW w:w="2181" w:type="dxa"/>
            <w:vAlign w:val="center"/>
          </w:tcPr>
          <w:p w14:paraId="7CD52CEE">
            <w:pPr>
              <w:autoSpaceDE w:val="0"/>
              <w:autoSpaceDN w:val="0"/>
              <w:adjustRightInd w:val="0"/>
              <w:snapToGrid w:val="0"/>
              <w:spacing w:line="240" w:lineRule="auto"/>
              <w:ind w:left="0" w:leftChars="0" w:right="0" w:rightChars="0" w:firstLine="0" w:firstLineChars="0"/>
              <w:jc w:val="center"/>
              <w:rPr>
                <w:rFonts w:hint="eastAsia" w:hAnsi="宋体"/>
                <w:bCs/>
                <w:szCs w:val="21"/>
              </w:rPr>
            </w:pPr>
            <w:r>
              <w:rPr>
                <w:rFonts w:hint="eastAsia" w:hAnsi="宋体"/>
                <w:bCs/>
                <w:szCs w:val="21"/>
              </w:rPr>
              <w:t>餐饮文化建设方案</w:t>
            </w:r>
          </w:p>
        </w:tc>
        <w:tc>
          <w:tcPr>
            <w:tcW w:w="4698" w:type="dxa"/>
            <w:vAlign w:val="center"/>
          </w:tcPr>
          <w:p w14:paraId="29506F61">
            <w:pPr>
              <w:snapToGrid w:val="0"/>
              <w:spacing w:line="240" w:lineRule="auto"/>
              <w:ind w:left="0" w:leftChars="0" w:right="0" w:rightChars="0" w:firstLine="0" w:firstLineChars="0"/>
              <w:jc w:val="left"/>
              <w:rPr>
                <w:rFonts w:hint="eastAsia"/>
              </w:rPr>
            </w:pPr>
            <w:r>
              <w:rPr>
                <w:rFonts w:hint="eastAsia"/>
              </w:rPr>
              <w:t>根据投标人提供的文化活动方案(包含且不限于就餐场所文化布置、相关主题美食活动、传统节日餐饮活动组织、传统节假日对学校师的节日福利、重大活动餐饮服务提升等方案)进行综合评分：</w:t>
            </w:r>
          </w:p>
          <w:p w14:paraId="3561579A">
            <w:pPr>
              <w:snapToGrid w:val="0"/>
              <w:spacing w:line="240" w:lineRule="auto"/>
              <w:ind w:left="0" w:leftChars="0" w:right="0" w:rightChars="0" w:firstLine="0" w:firstLineChars="0"/>
              <w:jc w:val="left"/>
              <w:rPr>
                <w:rFonts w:hint="eastAsia"/>
              </w:rPr>
            </w:pPr>
            <w:r>
              <w:rPr>
                <w:rFonts w:hint="eastAsia"/>
                <w:lang w:val="en-US" w:eastAsia="zh-CN"/>
              </w:rPr>
              <w:t>1.</w:t>
            </w:r>
            <w:r>
              <w:rPr>
                <w:rFonts w:hint="eastAsia"/>
              </w:rPr>
              <w:t>方案内容详细全面、科学合理，针对性、可操作性强的得3分；</w:t>
            </w:r>
          </w:p>
          <w:p w14:paraId="22242B41">
            <w:pPr>
              <w:snapToGrid w:val="0"/>
              <w:spacing w:line="240" w:lineRule="auto"/>
              <w:ind w:left="0" w:leftChars="0" w:right="0" w:rightChars="0" w:firstLine="0" w:firstLineChars="0"/>
              <w:jc w:val="left"/>
              <w:rPr>
                <w:rFonts w:hint="eastAsia"/>
              </w:rPr>
            </w:pPr>
            <w:r>
              <w:rPr>
                <w:rFonts w:hint="eastAsia"/>
                <w:lang w:val="en-US" w:eastAsia="zh-CN"/>
              </w:rPr>
              <w:t>2.</w:t>
            </w:r>
            <w:r>
              <w:rPr>
                <w:rFonts w:hint="eastAsia"/>
              </w:rPr>
              <w:t>方案内容较为详细全面、科学合理的得2分；</w:t>
            </w:r>
          </w:p>
          <w:p w14:paraId="2008212F">
            <w:pPr>
              <w:snapToGrid w:val="0"/>
              <w:spacing w:line="240" w:lineRule="auto"/>
              <w:ind w:left="0" w:leftChars="0" w:right="0" w:rightChars="0" w:firstLine="0" w:firstLineChars="0"/>
              <w:jc w:val="left"/>
              <w:rPr>
                <w:rFonts w:hint="eastAsia"/>
              </w:rPr>
            </w:pPr>
            <w:r>
              <w:rPr>
                <w:rFonts w:hint="eastAsia"/>
                <w:lang w:val="en-US" w:eastAsia="zh-CN"/>
              </w:rPr>
              <w:t>3.</w:t>
            </w:r>
            <w:r>
              <w:rPr>
                <w:rFonts w:hint="eastAsia"/>
              </w:rPr>
              <w:t>方案内容基本满足招标人要求的1分；</w:t>
            </w:r>
          </w:p>
          <w:p w14:paraId="56DC6DE5">
            <w:pPr>
              <w:snapToGrid w:val="0"/>
              <w:spacing w:line="240" w:lineRule="auto"/>
              <w:ind w:left="0" w:leftChars="0" w:right="0" w:rightChars="0" w:firstLine="0" w:firstLineChars="0"/>
              <w:jc w:val="left"/>
              <w:rPr>
                <w:rFonts w:hint="eastAsia" w:ascii="Times New Roman" w:eastAsia="宋体"/>
                <w:sz w:val="21"/>
              </w:rPr>
            </w:pPr>
            <w:r>
              <w:rPr>
                <w:rFonts w:hint="eastAsia"/>
                <w:lang w:val="en-US" w:eastAsia="zh-CN"/>
              </w:rPr>
              <w:t>4.</w:t>
            </w:r>
            <w:r>
              <w:rPr>
                <w:rFonts w:hint="eastAsia"/>
              </w:rPr>
              <w:t>没有的本项不得分。</w:t>
            </w:r>
          </w:p>
        </w:tc>
        <w:tc>
          <w:tcPr>
            <w:tcW w:w="837" w:type="dxa"/>
            <w:vAlign w:val="center"/>
          </w:tcPr>
          <w:p w14:paraId="052B24C2">
            <w:pPr>
              <w:adjustRightInd w:val="0"/>
              <w:snapToGrid w:val="0"/>
              <w:spacing w:line="240" w:lineRule="auto"/>
              <w:ind w:left="0" w:leftChars="0" w:right="0" w:rightChars="0" w:firstLine="0" w:firstLineChars="0"/>
              <w:jc w:val="right"/>
              <w:rPr>
                <w:rFonts w:hint="default" w:ascii="Times New Roman" w:hAnsi="宋体" w:eastAsia="宋体"/>
                <w:sz w:val="21"/>
                <w:szCs w:val="21"/>
                <w:lang w:val="en-US" w:eastAsia="zh-CN"/>
              </w:rPr>
            </w:pPr>
            <w:r>
              <w:rPr>
                <w:rFonts w:hint="eastAsia" w:hAnsi="宋体"/>
                <w:sz w:val="21"/>
                <w:szCs w:val="21"/>
                <w:lang w:val="en-US" w:eastAsia="zh-CN"/>
              </w:rPr>
              <w:t>3分</w:t>
            </w:r>
          </w:p>
        </w:tc>
      </w:tr>
      <w:tr w14:paraId="1606E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3F2646BD">
            <w:pPr>
              <w:adjustRightInd w:val="0"/>
              <w:snapToGrid w:val="0"/>
              <w:spacing w:line="240" w:lineRule="auto"/>
              <w:ind w:left="0" w:leftChars="0" w:right="0" w:rightChars="0" w:firstLine="0" w:firstLineChars="0"/>
              <w:jc w:val="center"/>
              <w:rPr>
                <w:rFonts w:hint="default" w:hAnsi="宋体"/>
                <w:sz w:val="21"/>
                <w:szCs w:val="21"/>
                <w:lang w:val="en-US" w:eastAsia="zh-CN"/>
              </w:rPr>
            </w:pPr>
            <w:bookmarkStart w:id="330" w:name="auto_fouce_13" w:colFirst="1" w:colLast="2"/>
            <w:r>
              <w:rPr>
                <w:rFonts w:hint="eastAsia" w:hAnsi="宋体"/>
                <w:sz w:val="21"/>
                <w:szCs w:val="21"/>
                <w:lang w:val="en-US" w:eastAsia="zh-CN"/>
              </w:rPr>
              <w:t>11</w:t>
            </w:r>
          </w:p>
        </w:tc>
        <w:tc>
          <w:tcPr>
            <w:tcW w:w="2181" w:type="dxa"/>
            <w:vAlign w:val="center"/>
          </w:tcPr>
          <w:p w14:paraId="2C00600F">
            <w:pPr>
              <w:autoSpaceDE w:val="0"/>
              <w:autoSpaceDN w:val="0"/>
              <w:adjustRightInd w:val="0"/>
              <w:snapToGrid w:val="0"/>
              <w:spacing w:line="240" w:lineRule="auto"/>
              <w:ind w:left="0" w:leftChars="0" w:right="0" w:rightChars="0" w:firstLine="0" w:firstLineChars="0"/>
              <w:jc w:val="center"/>
              <w:rPr>
                <w:rFonts w:hint="eastAsia" w:hAnsi="宋体"/>
                <w:bCs/>
                <w:szCs w:val="21"/>
              </w:rPr>
            </w:pPr>
            <w:r>
              <w:rPr>
                <w:rFonts w:hint="eastAsia" w:hAnsi="宋体"/>
                <w:bCs/>
                <w:szCs w:val="21"/>
              </w:rPr>
              <w:t>信息化能力（创新、设计）</w:t>
            </w:r>
          </w:p>
        </w:tc>
        <w:tc>
          <w:tcPr>
            <w:tcW w:w="4698" w:type="dxa"/>
            <w:vAlign w:val="center"/>
          </w:tcPr>
          <w:p w14:paraId="7F3ECFEC">
            <w:pPr>
              <w:snapToGrid w:val="0"/>
              <w:spacing w:line="240" w:lineRule="auto"/>
              <w:ind w:left="0" w:leftChars="0" w:right="0" w:rightChars="0" w:firstLine="0" w:firstLineChars="0"/>
              <w:jc w:val="left"/>
              <w:rPr>
                <w:rFonts w:hint="eastAsia"/>
              </w:rPr>
            </w:pPr>
            <w:r>
              <w:rPr>
                <w:rFonts w:hint="eastAsia"/>
              </w:rPr>
              <w:t>投标人截至本项目投标截止日（以颁发日期为准）具有：</w:t>
            </w:r>
          </w:p>
          <w:p w14:paraId="5D38C9E4">
            <w:pPr>
              <w:snapToGrid w:val="0"/>
              <w:spacing w:line="240" w:lineRule="auto"/>
              <w:ind w:left="0" w:leftChars="0" w:right="0" w:rightChars="0" w:firstLine="0" w:firstLineChars="0"/>
              <w:jc w:val="left"/>
              <w:rPr>
                <w:rFonts w:hint="eastAsia"/>
              </w:rPr>
            </w:pPr>
            <w:r>
              <w:rPr>
                <w:rFonts w:hint="eastAsia"/>
              </w:rPr>
              <w:t>1. 食品安全溯源展示系统；</w:t>
            </w:r>
          </w:p>
          <w:p w14:paraId="7E82D363">
            <w:pPr>
              <w:snapToGrid w:val="0"/>
              <w:spacing w:line="240" w:lineRule="auto"/>
              <w:ind w:left="0" w:leftChars="0" w:right="0" w:rightChars="0" w:firstLine="0" w:firstLineChars="0"/>
              <w:jc w:val="left"/>
              <w:rPr>
                <w:rFonts w:hint="eastAsia"/>
              </w:rPr>
            </w:pPr>
            <w:r>
              <w:rPr>
                <w:rFonts w:hint="eastAsia"/>
              </w:rPr>
              <w:t>2. 消防安全监控终端系统；</w:t>
            </w:r>
          </w:p>
          <w:p w14:paraId="72BF859F">
            <w:pPr>
              <w:snapToGrid w:val="0"/>
              <w:spacing w:line="240" w:lineRule="auto"/>
              <w:ind w:left="0" w:leftChars="0" w:right="0" w:rightChars="0" w:firstLine="0" w:firstLineChars="0"/>
              <w:jc w:val="left"/>
              <w:rPr>
                <w:rFonts w:hint="eastAsia"/>
              </w:rPr>
            </w:pPr>
            <w:r>
              <w:rPr>
                <w:rFonts w:hint="eastAsia"/>
              </w:rPr>
              <w:t>3. 日常工作行为反馈系统；</w:t>
            </w:r>
          </w:p>
          <w:p w14:paraId="4EBF2783">
            <w:pPr>
              <w:snapToGrid w:val="0"/>
              <w:spacing w:line="240" w:lineRule="auto"/>
              <w:ind w:left="0" w:leftChars="0" w:right="0" w:rightChars="0" w:firstLine="0" w:firstLineChars="0"/>
              <w:jc w:val="left"/>
              <w:rPr>
                <w:rFonts w:hint="eastAsia"/>
              </w:rPr>
            </w:pPr>
            <w:r>
              <w:rPr>
                <w:rFonts w:hint="eastAsia"/>
              </w:rPr>
              <w:t>4. 食品安全一体化检测系统；</w:t>
            </w:r>
          </w:p>
          <w:p w14:paraId="3C5DBE77">
            <w:pPr>
              <w:snapToGrid w:val="0"/>
              <w:spacing w:line="240" w:lineRule="auto"/>
              <w:ind w:left="0" w:leftChars="0" w:right="0" w:rightChars="0" w:firstLine="0" w:firstLineChars="0"/>
              <w:jc w:val="left"/>
              <w:rPr>
                <w:rFonts w:hint="eastAsia"/>
              </w:rPr>
            </w:pPr>
            <w:r>
              <w:rPr>
                <w:rFonts w:hint="eastAsia"/>
              </w:rPr>
              <w:t>5. 员工工作任务分配规划集成系统；</w:t>
            </w:r>
          </w:p>
          <w:p w14:paraId="339C111E">
            <w:pPr>
              <w:snapToGrid w:val="0"/>
              <w:spacing w:line="240" w:lineRule="auto"/>
              <w:ind w:left="0" w:leftChars="0" w:right="0" w:rightChars="0" w:firstLine="0" w:firstLineChars="0"/>
              <w:jc w:val="left"/>
              <w:rPr>
                <w:rFonts w:hint="eastAsia"/>
              </w:rPr>
            </w:pPr>
            <w:r>
              <w:rPr>
                <w:rFonts w:hint="eastAsia"/>
              </w:rPr>
              <w:t>6. 日常工作行为反馈系统；</w:t>
            </w:r>
          </w:p>
          <w:p w14:paraId="3812659D">
            <w:pPr>
              <w:snapToGrid w:val="0"/>
              <w:spacing w:line="240" w:lineRule="auto"/>
              <w:ind w:left="0" w:leftChars="0" w:right="0" w:rightChars="0" w:firstLine="0" w:firstLineChars="0"/>
              <w:jc w:val="left"/>
              <w:rPr>
                <w:rFonts w:hint="eastAsia"/>
              </w:rPr>
            </w:pPr>
            <w:r>
              <w:rPr>
                <w:rFonts w:hint="eastAsia"/>
              </w:rPr>
              <w:t>7. 过期食品安全集成系统；</w:t>
            </w:r>
          </w:p>
          <w:p w14:paraId="566B60AD">
            <w:pPr>
              <w:snapToGrid w:val="0"/>
              <w:spacing w:line="240" w:lineRule="auto"/>
              <w:ind w:left="0" w:leftChars="0" w:right="0" w:rightChars="0" w:firstLine="0" w:firstLineChars="0"/>
              <w:jc w:val="left"/>
              <w:rPr>
                <w:rFonts w:hint="eastAsia"/>
              </w:rPr>
            </w:pPr>
            <w:r>
              <w:rPr>
                <w:rFonts w:hint="eastAsia"/>
              </w:rPr>
              <w:t>8. 厨房设备控制优化系统；</w:t>
            </w:r>
          </w:p>
          <w:p w14:paraId="26792C69">
            <w:pPr>
              <w:pStyle w:val="59"/>
              <w:ind w:firstLine="0" w:firstLineChars="0"/>
              <w:rPr>
                <w:rFonts w:hint="eastAsia"/>
              </w:rPr>
            </w:pPr>
            <w:r>
              <w:rPr>
                <w:rFonts w:hint="eastAsia"/>
              </w:rPr>
              <w:t>每提供1个得1分，满分8分</w:t>
            </w:r>
          </w:p>
          <w:p w14:paraId="7FFEDED2">
            <w:pPr>
              <w:pStyle w:val="59"/>
              <w:ind w:firstLine="0" w:firstLineChars="0"/>
              <w:rPr>
                <w:rFonts w:hint="eastAsia"/>
              </w:rPr>
            </w:pPr>
            <w:r>
              <w:rPr>
                <w:rFonts w:hint="eastAsia"/>
              </w:rPr>
              <w:t>需提供自有的计算机软件著作权登记证书：著作权人为投标人。未提供或提供的内容不符合要求或提供不清晰导致专家无法判断的不得分。</w:t>
            </w:r>
          </w:p>
        </w:tc>
        <w:tc>
          <w:tcPr>
            <w:tcW w:w="837" w:type="dxa"/>
            <w:vAlign w:val="center"/>
          </w:tcPr>
          <w:p w14:paraId="22C2D9C0">
            <w:pPr>
              <w:pStyle w:val="59"/>
              <w:ind w:firstLine="0" w:firstLineChars="0"/>
              <w:rPr>
                <w:rFonts w:hint="default" w:eastAsia="宋体"/>
                <w:lang w:val="en-US" w:eastAsia="zh-CN"/>
              </w:rPr>
            </w:pPr>
            <w:r>
              <w:rPr>
                <w:rFonts w:hint="eastAsia"/>
                <w:lang w:val="en-US" w:eastAsia="zh-CN"/>
              </w:rPr>
              <w:t>8分</w:t>
            </w:r>
            <w:bookmarkStart w:id="540" w:name="_GoBack"/>
            <w:bookmarkEnd w:id="540"/>
          </w:p>
        </w:tc>
      </w:tr>
      <w:bookmarkEnd w:id="330"/>
      <w:tr w14:paraId="24DB0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5DAEE249">
            <w:pPr>
              <w:adjustRightInd w:val="0"/>
              <w:snapToGrid w:val="0"/>
              <w:spacing w:line="240" w:lineRule="auto"/>
              <w:ind w:left="0" w:leftChars="0" w:right="0" w:rightChars="0" w:firstLine="0" w:firstLineChars="0"/>
              <w:jc w:val="center"/>
              <w:rPr>
                <w:rFonts w:hint="default" w:hAnsi="宋体"/>
                <w:sz w:val="21"/>
                <w:szCs w:val="21"/>
                <w:lang w:val="en-US" w:eastAsia="zh-CN"/>
              </w:rPr>
            </w:pPr>
            <w:r>
              <w:rPr>
                <w:rFonts w:hint="eastAsia" w:hAnsi="宋体"/>
                <w:sz w:val="21"/>
                <w:szCs w:val="21"/>
                <w:lang w:val="en-US" w:eastAsia="zh-CN"/>
              </w:rPr>
              <w:t>12</w:t>
            </w:r>
          </w:p>
        </w:tc>
        <w:tc>
          <w:tcPr>
            <w:tcW w:w="2181" w:type="dxa"/>
            <w:vAlign w:val="center"/>
          </w:tcPr>
          <w:p w14:paraId="221352C6">
            <w:pPr>
              <w:autoSpaceDE w:val="0"/>
              <w:autoSpaceDN w:val="0"/>
              <w:adjustRightInd w:val="0"/>
              <w:snapToGrid w:val="0"/>
              <w:spacing w:line="240" w:lineRule="auto"/>
              <w:ind w:left="0" w:leftChars="0" w:right="0" w:rightChars="0" w:firstLine="0" w:firstLineChars="0"/>
              <w:jc w:val="center"/>
              <w:rPr>
                <w:rFonts w:hint="eastAsia" w:hAnsi="宋体"/>
                <w:bCs/>
                <w:szCs w:val="21"/>
              </w:rPr>
            </w:pPr>
            <w:r>
              <w:rPr>
                <w:rFonts w:hint="eastAsia" w:hAnsi="宋体"/>
                <w:bCs/>
                <w:szCs w:val="21"/>
              </w:rPr>
              <w:t>移交实施方案</w:t>
            </w:r>
          </w:p>
        </w:tc>
        <w:tc>
          <w:tcPr>
            <w:tcW w:w="4698" w:type="dxa"/>
            <w:vAlign w:val="center"/>
          </w:tcPr>
          <w:p w14:paraId="11A58A9D">
            <w:pPr>
              <w:snapToGrid w:val="0"/>
              <w:spacing w:line="240" w:lineRule="auto"/>
              <w:ind w:left="0" w:leftChars="0" w:right="0" w:rightChars="0" w:firstLine="0" w:firstLineChars="0"/>
              <w:jc w:val="left"/>
              <w:rPr>
                <w:rFonts w:hint="eastAsia"/>
              </w:rPr>
            </w:pPr>
            <w:r>
              <w:rPr>
                <w:rFonts w:hint="eastAsia"/>
              </w:rPr>
              <w:t>投标人应提前做好与本项目现有服务人员无缝衔接的移交实施方案，确保服务做到平稳度过交接期。针对实施方案完整性、可行性，实际操作性等进行评审。</w:t>
            </w:r>
          </w:p>
          <w:p w14:paraId="73C4A011">
            <w:pPr>
              <w:snapToGrid w:val="0"/>
              <w:spacing w:line="240" w:lineRule="auto"/>
              <w:ind w:left="0" w:leftChars="0" w:right="0" w:rightChars="0" w:firstLine="0" w:firstLineChars="0"/>
              <w:jc w:val="left"/>
              <w:rPr>
                <w:rFonts w:hint="eastAsia"/>
              </w:rPr>
            </w:pPr>
            <w:r>
              <w:rPr>
                <w:rFonts w:hint="eastAsia"/>
                <w:lang w:val="en-US" w:eastAsia="zh-CN"/>
              </w:rPr>
              <w:t>1.</w:t>
            </w:r>
            <w:r>
              <w:rPr>
                <w:rFonts w:hint="eastAsia"/>
              </w:rPr>
              <w:t>实施方案完整性、可行性，实际操作性强的得3分；</w:t>
            </w:r>
          </w:p>
          <w:p w14:paraId="3ECFD561">
            <w:pPr>
              <w:snapToGrid w:val="0"/>
              <w:spacing w:line="240" w:lineRule="auto"/>
              <w:ind w:left="0" w:leftChars="0" w:right="0" w:rightChars="0" w:firstLine="0" w:firstLineChars="0"/>
              <w:jc w:val="left"/>
              <w:rPr>
                <w:rFonts w:hint="eastAsia"/>
              </w:rPr>
            </w:pPr>
            <w:r>
              <w:rPr>
                <w:rFonts w:hint="eastAsia"/>
                <w:lang w:val="en-US" w:eastAsia="zh-CN"/>
              </w:rPr>
              <w:t>2.</w:t>
            </w:r>
            <w:r>
              <w:rPr>
                <w:rFonts w:hint="eastAsia"/>
              </w:rPr>
              <w:t>实施方案完整性、可行性，实际操作性较强的得2分；</w:t>
            </w:r>
          </w:p>
          <w:p w14:paraId="39154D81">
            <w:pPr>
              <w:snapToGrid w:val="0"/>
              <w:spacing w:line="240" w:lineRule="auto"/>
              <w:ind w:left="0" w:leftChars="0" w:right="0" w:rightChars="0" w:firstLine="0" w:firstLineChars="0"/>
              <w:jc w:val="left"/>
              <w:rPr>
                <w:rFonts w:hint="eastAsia"/>
              </w:rPr>
            </w:pPr>
            <w:r>
              <w:rPr>
                <w:rFonts w:hint="eastAsia"/>
                <w:lang w:val="en-US" w:eastAsia="zh-CN"/>
              </w:rPr>
              <w:t>3.</w:t>
            </w:r>
            <w:r>
              <w:rPr>
                <w:rFonts w:hint="eastAsia"/>
              </w:rPr>
              <w:t>实施方案较为完整性、可行性，实际操作性一般的得1分：</w:t>
            </w:r>
          </w:p>
          <w:p w14:paraId="47626735">
            <w:pPr>
              <w:snapToGrid w:val="0"/>
              <w:spacing w:line="240" w:lineRule="auto"/>
              <w:ind w:left="0" w:leftChars="0" w:right="0" w:rightChars="0" w:firstLine="0" w:firstLineChars="0"/>
              <w:jc w:val="left"/>
              <w:rPr>
                <w:rFonts w:hint="eastAsia" w:ascii="Times New Roman" w:eastAsia="宋体"/>
                <w:sz w:val="21"/>
              </w:rPr>
            </w:pPr>
            <w:r>
              <w:rPr>
                <w:rFonts w:hint="eastAsia"/>
                <w:lang w:val="en-US" w:eastAsia="zh-CN"/>
              </w:rPr>
              <w:t>4.</w:t>
            </w:r>
            <w:r>
              <w:rPr>
                <w:rFonts w:hint="eastAsia"/>
              </w:rPr>
              <w:t>实施方案较为完整性、可行性，实际操作性较差或未提供的不得分。</w:t>
            </w:r>
          </w:p>
        </w:tc>
        <w:tc>
          <w:tcPr>
            <w:tcW w:w="837" w:type="dxa"/>
            <w:vAlign w:val="center"/>
          </w:tcPr>
          <w:p w14:paraId="5C475B8A">
            <w:pPr>
              <w:adjustRightInd w:val="0"/>
              <w:snapToGrid w:val="0"/>
              <w:spacing w:line="240" w:lineRule="auto"/>
              <w:ind w:left="0" w:leftChars="0" w:right="0" w:rightChars="0" w:firstLine="0" w:firstLineChars="0"/>
              <w:jc w:val="right"/>
              <w:rPr>
                <w:rFonts w:hint="default" w:ascii="Times New Roman" w:hAnsi="宋体" w:eastAsia="宋体"/>
                <w:sz w:val="21"/>
                <w:szCs w:val="21"/>
                <w:lang w:val="en-US" w:eastAsia="zh-CN"/>
              </w:rPr>
            </w:pPr>
            <w:r>
              <w:rPr>
                <w:rFonts w:hint="eastAsia" w:hAnsi="宋体"/>
                <w:sz w:val="21"/>
                <w:szCs w:val="21"/>
                <w:lang w:val="en-US" w:eastAsia="zh-CN"/>
              </w:rPr>
              <w:t>3分</w:t>
            </w:r>
          </w:p>
        </w:tc>
      </w:tr>
      <w:tr w14:paraId="1EDFD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07" w:type="dxa"/>
            <w:vAlign w:val="center"/>
          </w:tcPr>
          <w:p w14:paraId="11FF85DD">
            <w:pPr>
              <w:adjustRightInd w:val="0"/>
              <w:snapToGrid w:val="0"/>
              <w:spacing w:line="240" w:lineRule="auto"/>
              <w:ind w:left="0" w:leftChars="0" w:right="0" w:rightChars="0" w:firstLine="0" w:firstLineChars="0"/>
              <w:jc w:val="center"/>
              <w:rPr>
                <w:rFonts w:hint="default" w:hAnsi="宋体"/>
                <w:sz w:val="21"/>
                <w:szCs w:val="21"/>
                <w:lang w:val="en-US" w:eastAsia="zh-CN"/>
              </w:rPr>
            </w:pPr>
            <w:r>
              <w:rPr>
                <w:rFonts w:hint="eastAsia" w:hAnsi="宋体"/>
                <w:sz w:val="21"/>
                <w:szCs w:val="21"/>
                <w:lang w:val="en-US" w:eastAsia="zh-CN"/>
              </w:rPr>
              <w:t>13</w:t>
            </w:r>
          </w:p>
        </w:tc>
        <w:tc>
          <w:tcPr>
            <w:tcW w:w="2181" w:type="dxa"/>
            <w:vAlign w:val="center"/>
          </w:tcPr>
          <w:p w14:paraId="1977F5EA">
            <w:pPr>
              <w:autoSpaceDE w:val="0"/>
              <w:autoSpaceDN w:val="0"/>
              <w:adjustRightInd w:val="0"/>
              <w:snapToGrid w:val="0"/>
              <w:spacing w:line="240" w:lineRule="auto"/>
              <w:ind w:left="0" w:leftChars="0" w:right="0" w:rightChars="0" w:firstLine="0" w:firstLineChars="0"/>
              <w:jc w:val="center"/>
              <w:rPr>
                <w:rFonts w:hint="eastAsia" w:hAnsi="宋体"/>
                <w:bCs/>
                <w:szCs w:val="21"/>
              </w:rPr>
            </w:pPr>
            <w:r>
              <w:rPr>
                <w:rFonts w:hint="eastAsia" w:hAnsi="宋体"/>
                <w:bCs/>
                <w:szCs w:val="21"/>
              </w:rPr>
              <w:t>后续服务方案</w:t>
            </w:r>
          </w:p>
        </w:tc>
        <w:tc>
          <w:tcPr>
            <w:tcW w:w="4698" w:type="dxa"/>
            <w:vAlign w:val="center"/>
          </w:tcPr>
          <w:p w14:paraId="58FCE639">
            <w:pPr>
              <w:snapToGrid w:val="0"/>
              <w:spacing w:line="240" w:lineRule="auto"/>
              <w:ind w:left="0" w:leftChars="0" w:right="0" w:rightChars="0" w:firstLine="0" w:firstLineChars="0"/>
              <w:jc w:val="left"/>
              <w:rPr>
                <w:rFonts w:hint="eastAsia"/>
              </w:rPr>
            </w:pPr>
            <w:r>
              <w:rPr>
                <w:rFonts w:hint="eastAsia"/>
              </w:rPr>
              <w:t>根据供应商提供的后续服务方案进行综合比较后评审。(包含如何提升就餐人员满意度；如何规范就餐卫生、后厨卫生等操作、流程；如何通过技术和工具等提升菜品质量；如何确保无食品安全事故发生；如何协助招标人完成各项重大活动的保障任务等)。</w:t>
            </w:r>
          </w:p>
          <w:p w14:paraId="5D4281A6">
            <w:pPr>
              <w:snapToGrid w:val="0"/>
              <w:spacing w:line="240" w:lineRule="auto"/>
              <w:ind w:left="0" w:leftChars="0" w:right="0" w:rightChars="0" w:firstLine="0" w:firstLineChars="0"/>
              <w:jc w:val="left"/>
              <w:rPr>
                <w:rFonts w:hint="eastAsia"/>
              </w:rPr>
            </w:pPr>
            <w:r>
              <w:rPr>
                <w:rFonts w:hint="eastAsia"/>
                <w:lang w:val="en-US" w:eastAsia="zh-CN"/>
              </w:rPr>
              <w:t>1.</w:t>
            </w:r>
            <w:r>
              <w:rPr>
                <w:rFonts w:hint="eastAsia"/>
              </w:rPr>
              <w:t>后续服务方案全面、效果显著、可行性高的得</w:t>
            </w:r>
            <w:r>
              <w:rPr>
                <w:rFonts w:hint="eastAsia"/>
                <w:lang w:val="en-US" w:eastAsia="zh-CN"/>
              </w:rPr>
              <w:t>2</w:t>
            </w:r>
            <w:r>
              <w:rPr>
                <w:rFonts w:hint="eastAsia"/>
              </w:rPr>
              <w:t>分；</w:t>
            </w:r>
          </w:p>
          <w:p w14:paraId="41F0FCE6">
            <w:pPr>
              <w:snapToGrid w:val="0"/>
              <w:spacing w:line="240" w:lineRule="auto"/>
              <w:ind w:left="0" w:leftChars="0" w:right="0" w:rightChars="0" w:firstLine="0" w:firstLineChars="0"/>
              <w:jc w:val="left"/>
              <w:rPr>
                <w:rFonts w:hint="eastAsia"/>
              </w:rPr>
            </w:pPr>
            <w:r>
              <w:rPr>
                <w:rFonts w:hint="eastAsia"/>
                <w:lang w:val="en-US" w:eastAsia="zh-CN"/>
              </w:rPr>
              <w:t>2.</w:t>
            </w:r>
            <w:r>
              <w:rPr>
                <w:rFonts w:hint="eastAsia"/>
              </w:rPr>
              <w:t>后续服务方案较全面、效果较显著、可行性较高的得</w:t>
            </w:r>
            <w:r>
              <w:rPr>
                <w:rFonts w:hint="eastAsia"/>
                <w:lang w:val="en-US" w:eastAsia="zh-CN"/>
              </w:rPr>
              <w:t>1</w:t>
            </w:r>
            <w:r>
              <w:rPr>
                <w:rFonts w:hint="eastAsia"/>
              </w:rPr>
              <w:t>分；</w:t>
            </w:r>
          </w:p>
          <w:p w14:paraId="34B7B7F9">
            <w:pPr>
              <w:snapToGrid w:val="0"/>
              <w:spacing w:line="240" w:lineRule="auto"/>
              <w:ind w:left="0" w:leftChars="0" w:right="0" w:rightChars="0" w:firstLine="0" w:firstLineChars="0"/>
              <w:jc w:val="left"/>
              <w:rPr>
                <w:rFonts w:hint="eastAsia"/>
                <w:lang w:val="en-US" w:eastAsia="zh-CN"/>
              </w:rPr>
            </w:pPr>
            <w:r>
              <w:rPr>
                <w:rFonts w:hint="eastAsia"/>
                <w:lang w:val="en-US" w:eastAsia="zh-CN"/>
              </w:rPr>
              <w:t>3.</w:t>
            </w:r>
            <w:r>
              <w:rPr>
                <w:rFonts w:hint="eastAsia"/>
              </w:rPr>
              <w:t>后续服务方案不全面、没有可行性或不提供相关方案不得分。</w:t>
            </w:r>
          </w:p>
        </w:tc>
        <w:tc>
          <w:tcPr>
            <w:tcW w:w="837" w:type="dxa"/>
            <w:vAlign w:val="center"/>
          </w:tcPr>
          <w:p w14:paraId="66682498">
            <w:pPr>
              <w:adjustRightInd w:val="0"/>
              <w:snapToGrid w:val="0"/>
              <w:spacing w:line="240" w:lineRule="auto"/>
              <w:ind w:left="0" w:leftChars="0" w:right="0" w:rightChars="0" w:firstLine="0" w:firstLineChars="0"/>
              <w:jc w:val="right"/>
              <w:rPr>
                <w:rFonts w:hint="default" w:hAnsi="宋体"/>
                <w:sz w:val="21"/>
                <w:szCs w:val="21"/>
                <w:lang w:val="en-US" w:eastAsia="zh-CN"/>
              </w:rPr>
            </w:pPr>
            <w:r>
              <w:rPr>
                <w:rFonts w:hint="eastAsia" w:hAnsi="宋体"/>
                <w:sz w:val="21"/>
                <w:szCs w:val="21"/>
                <w:lang w:val="en-US" w:eastAsia="zh-CN"/>
              </w:rPr>
              <w:t>2</w:t>
            </w:r>
          </w:p>
        </w:tc>
      </w:tr>
      <w:tr w14:paraId="1E481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4698" w:type="dxa"/>
            <w:gridSpan w:val="3"/>
            <w:vAlign w:val="center"/>
          </w:tcPr>
          <w:p w14:paraId="5D857FB3">
            <w:pPr>
              <w:adjustRightInd w:val="0"/>
              <w:snapToGrid w:val="0"/>
              <w:spacing w:line="240" w:lineRule="auto"/>
              <w:ind w:left="0" w:leftChars="0" w:right="0" w:rightChars="0" w:firstLine="0" w:firstLineChars="0"/>
              <w:jc w:val="center"/>
              <w:rPr>
                <w:rFonts w:hint="eastAsia" w:ascii="Times New Roman" w:hAnsi="宋体" w:eastAsia="宋体"/>
                <w:b/>
                <w:sz w:val="21"/>
                <w:szCs w:val="21"/>
              </w:rPr>
            </w:pPr>
            <w:r>
              <w:rPr>
                <w:rFonts w:hint="eastAsia" w:ascii="Times New Roman" w:hAnsi="宋体" w:eastAsia="宋体"/>
                <w:b/>
                <w:sz w:val="21"/>
                <w:szCs w:val="21"/>
              </w:rPr>
              <w:t>合计</w:t>
            </w:r>
          </w:p>
        </w:tc>
        <w:tc>
          <w:tcPr>
            <w:tcW w:w="837" w:type="dxa"/>
            <w:vAlign w:val="center"/>
          </w:tcPr>
          <w:p w14:paraId="6580EE6F">
            <w:pPr>
              <w:adjustRightInd w:val="0"/>
              <w:snapToGrid w:val="0"/>
              <w:spacing w:line="240" w:lineRule="auto"/>
              <w:ind w:left="0" w:leftChars="0" w:right="0" w:rightChars="0" w:firstLine="0" w:firstLineChars="0"/>
              <w:jc w:val="right"/>
              <w:rPr>
                <w:rFonts w:hint="eastAsia" w:ascii="Times New Roman" w:hAnsi="宋体" w:eastAsia="宋体"/>
                <w:b/>
                <w:sz w:val="21"/>
                <w:szCs w:val="21"/>
              </w:rPr>
            </w:pPr>
            <w:r>
              <w:rPr>
                <w:rFonts w:hint="eastAsia" w:hAnsi="宋体"/>
                <w:b/>
                <w:sz w:val="21"/>
                <w:szCs w:val="21"/>
                <w:lang w:val="en-US" w:eastAsia="zh-CN"/>
              </w:rPr>
              <w:t>60</w:t>
            </w:r>
            <w:r>
              <w:rPr>
                <w:rFonts w:hint="eastAsia" w:ascii="Times New Roman" w:hAnsi="宋体" w:eastAsia="宋体" w:cs="仿宋"/>
                <w:b/>
                <w:kern w:val="0"/>
                <w:sz w:val="21"/>
                <w:szCs w:val="21"/>
              </w:rPr>
              <w:t>分</w:t>
            </w:r>
          </w:p>
        </w:tc>
      </w:tr>
    </w:tbl>
    <w:p w14:paraId="7BBCEE2D">
      <w:pPr>
        <w:widowControl w:val="0"/>
        <w:autoSpaceDE w:val="0"/>
        <w:autoSpaceDN w:val="0"/>
        <w:adjustRightInd w:val="0"/>
        <w:snapToGrid w:val="0"/>
        <w:ind w:firstLine="0" w:firstLineChars="0"/>
        <w:jc w:val="left"/>
        <w:rPr>
          <w:rFonts w:hint="eastAsia" w:ascii="宋体" w:hAnsi="宋体"/>
          <w:b/>
          <w:szCs w:val="21"/>
        </w:rPr>
      </w:pPr>
    </w:p>
    <w:p w14:paraId="32EBB28A">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148ED2C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1、本表评审依据要求的各项证明文件须编入投标文件。</w:t>
      </w:r>
    </w:p>
    <w:p w14:paraId="241F604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2、表中要求提供相关证明文件的内容，投标文件中须明确加以说明并提供，未按要求提供相关文件或说明不清楚或评审委员会无法凭所提供的材料判断是否得分的情况，一律作不得分处理。</w:t>
      </w:r>
    </w:p>
    <w:p w14:paraId="3B54818B">
      <w:pPr>
        <w:widowControl w:val="0"/>
        <w:autoSpaceDE w:val="0"/>
        <w:autoSpaceDN w:val="0"/>
        <w:adjustRightInd w:val="0"/>
        <w:snapToGrid w:val="0"/>
        <w:ind w:firstLine="0" w:firstLineChars="0"/>
        <w:jc w:val="left"/>
        <w:rPr>
          <w:rFonts w:ascii="宋体" w:hAnsi="宋体"/>
          <w:szCs w:val="21"/>
        </w:rPr>
      </w:pPr>
    </w:p>
    <w:p w14:paraId="4B4B8071">
      <w:pPr>
        <w:widowControl w:val="0"/>
        <w:autoSpaceDE w:val="0"/>
        <w:autoSpaceDN w:val="0"/>
        <w:adjustRightInd w:val="0"/>
        <w:snapToGrid w:val="0"/>
        <w:ind w:firstLine="0" w:firstLineChars="0"/>
        <w:jc w:val="left"/>
        <w:rPr>
          <w:rFonts w:ascii="宋体" w:hAnsi="宋体"/>
          <w:b/>
          <w:sz w:val="22"/>
        </w:rPr>
      </w:pPr>
      <w:r>
        <w:rPr>
          <w:rFonts w:ascii="宋体" w:hAnsi="宋体"/>
        </w:rPr>
        <w:br w:type="page"/>
      </w:r>
      <w:r>
        <w:rPr>
          <w:rFonts w:hint="eastAsia" w:ascii="宋体" w:hAnsi="宋体"/>
          <w:b/>
          <w:sz w:val="22"/>
        </w:rPr>
        <w:t>附表3-1《价格标评审方法》</w:t>
      </w:r>
    </w:p>
    <w:p w14:paraId="4C50CB73">
      <w:pPr>
        <w:widowControl w:val="0"/>
        <w:autoSpaceDE w:val="0"/>
        <w:autoSpaceDN w:val="0"/>
        <w:adjustRightInd w:val="0"/>
        <w:snapToGrid w:val="0"/>
        <w:ind w:firstLine="0" w:firstLineChars="0"/>
        <w:jc w:val="center"/>
        <w:rPr>
          <w:rFonts w:ascii="宋体" w:hAnsi="宋体"/>
          <w:b/>
          <w:sz w:val="24"/>
        </w:rPr>
      </w:pPr>
      <w:r>
        <w:rPr>
          <w:rFonts w:hint="eastAsia" w:ascii="宋体" w:hAnsi="宋体"/>
          <w:b/>
          <w:sz w:val="24"/>
        </w:rPr>
        <w:t>价格标评审方法</w:t>
      </w:r>
    </w:p>
    <w:p w14:paraId="07ECD003">
      <w:pPr>
        <w:widowControl w:val="0"/>
        <w:numPr>
          <w:ilvl w:val="0"/>
          <w:numId w:val="6"/>
        </w:numPr>
        <w:autoSpaceDE w:val="0"/>
        <w:autoSpaceDN w:val="0"/>
        <w:adjustRightInd w:val="0"/>
        <w:snapToGrid w:val="0"/>
        <w:ind w:firstLineChars="0"/>
        <w:jc w:val="left"/>
        <w:rPr>
          <w:rFonts w:ascii="宋体" w:hAnsi="宋体"/>
          <w:b/>
          <w:szCs w:val="21"/>
        </w:rPr>
      </w:pPr>
      <w:r>
        <w:rPr>
          <w:rFonts w:hint="eastAsia" w:ascii="宋体" w:hAnsi="宋体"/>
          <w:b/>
          <w:szCs w:val="21"/>
        </w:rPr>
        <w:t>评标价格</w:t>
      </w:r>
    </w:p>
    <w:p w14:paraId="18888BBA">
      <w:pPr>
        <w:widowControl w:val="0"/>
        <w:numPr>
          <w:ilvl w:val="1"/>
          <w:numId w:val="7"/>
        </w:numPr>
        <w:autoSpaceDE w:val="0"/>
        <w:autoSpaceDN w:val="0"/>
        <w:adjustRightInd w:val="0"/>
        <w:snapToGrid w:val="0"/>
        <w:ind w:firstLineChars="0"/>
        <w:jc w:val="left"/>
        <w:rPr>
          <w:rFonts w:ascii="宋体" w:hAnsi="宋体"/>
          <w:b/>
          <w:szCs w:val="21"/>
        </w:rPr>
      </w:pPr>
      <w:r>
        <w:rPr>
          <w:rFonts w:hint="eastAsia" w:ascii="宋体" w:hAnsi="宋体"/>
        </w:rPr>
        <w:t>投标文件存在投标报价问题的，进行投标报价的算术修正，投标报价算术修正按有利于招标人的原则进行，具体修正原则为：</w:t>
      </w:r>
    </w:p>
    <w:p w14:paraId="09B23067">
      <w:pPr>
        <w:widowControl w:val="0"/>
        <w:numPr>
          <w:ilvl w:val="2"/>
          <w:numId w:val="7"/>
        </w:numPr>
        <w:autoSpaceDE w:val="0"/>
        <w:autoSpaceDN w:val="0"/>
        <w:adjustRightInd w:val="0"/>
        <w:snapToGrid w:val="0"/>
        <w:ind w:firstLineChars="0"/>
        <w:jc w:val="left"/>
        <w:rPr>
          <w:rFonts w:ascii="宋体" w:hAnsi="宋体"/>
        </w:rPr>
      </w:pPr>
      <w:r>
        <w:rPr>
          <w:rFonts w:hint="eastAsia" w:ascii="宋体" w:hAnsi="宋体"/>
        </w:rPr>
        <w:t>若投标报价一览表中投标总价与投标文件中投标总价不一致，以投标报价一览表投标总价为准；</w:t>
      </w:r>
    </w:p>
    <w:p w14:paraId="67FA5C7D">
      <w:pPr>
        <w:widowControl w:val="0"/>
        <w:numPr>
          <w:ilvl w:val="2"/>
          <w:numId w:val="7"/>
        </w:numPr>
        <w:autoSpaceDE w:val="0"/>
        <w:autoSpaceDN w:val="0"/>
        <w:adjustRightInd w:val="0"/>
        <w:snapToGrid w:val="0"/>
        <w:ind w:firstLineChars="0"/>
        <w:jc w:val="left"/>
        <w:rPr>
          <w:rFonts w:ascii="宋体" w:hAnsi="宋体"/>
        </w:rPr>
      </w:pPr>
      <w:r>
        <w:rPr>
          <w:rFonts w:hint="eastAsia" w:ascii="宋体" w:hAnsi="宋体"/>
        </w:rPr>
        <w:t>当小写金额与大写金额有差异时，以大写金额为准（有明显错误的除外）；</w:t>
      </w:r>
    </w:p>
    <w:p w14:paraId="1D353CA1">
      <w:pPr>
        <w:widowControl w:val="0"/>
        <w:numPr>
          <w:ilvl w:val="2"/>
          <w:numId w:val="7"/>
        </w:numPr>
        <w:autoSpaceDE w:val="0"/>
        <w:autoSpaceDN w:val="0"/>
        <w:adjustRightInd w:val="0"/>
        <w:snapToGrid w:val="0"/>
        <w:ind w:firstLineChars="0"/>
        <w:jc w:val="left"/>
        <w:rPr>
          <w:rFonts w:ascii="宋体" w:hAnsi="宋体"/>
        </w:rPr>
      </w:pPr>
      <w:r>
        <w:rPr>
          <w:rFonts w:hint="eastAsia" w:ascii="宋体" w:hAnsi="宋体"/>
        </w:rPr>
        <w:t>单价金额小数点有明显错位的，应以总价为准，并修改单价；</w:t>
      </w:r>
    </w:p>
    <w:p w14:paraId="6D1ABE8F">
      <w:pPr>
        <w:widowControl w:val="0"/>
        <w:numPr>
          <w:ilvl w:val="2"/>
          <w:numId w:val="7"/>
        </w:numPr>
        <w:autoSpaceDE w:val="0"/>
        <w:autoSpaceDN w:val="0"/>
        <w:adjustRightInd w:val="0"/>
        <w:snapToGrid w:val="0"/>
        <w:ind w:firstLineChars="0"/>
        <w:jc w:val="left"/>
        <w:rPr>
          <w:rFonts w:ascii="宋体" w:hAnsi="宋体"/>
          <w:szCs w:val="21"/>
        </w:rPr>
      </w:pPr>
      <w:r>
        <w:rPr>
          <w:rFonts w:hint="eastAsia" w:ascii="宋体" w:hAnsi="宋体"/>
          <w:szCs w:val="21"/>
        </w:rPr>
        <w:t>投标报价为各分项报价金额之和，总价金额与依据单价计算出的结果不一致的，以有利于招标人的为准，即当单价与数量的乘积高于合价或总价时，以合价或总价为准调整单价；当单价与数量的乘积低于合价或总价时，以单价为准调整合价或总价，修正投标报价；如分项报价中存在缺漏项，则视为缺漏项的价格已包含在其他分项报价之中。投标人在投标截止时间前修改投标报价总额，应同时修改投标文件“分项报价表”中的相应报价。此修改须符合第一章第三节第4.3款的有关要求。</w:t>
      </w:r>
    </w:p>
    <w:p w14:paraId="3975B05D">
      <w:pPr>
        <w:widowControl w:val="0"/>
        <w:numPr>
          <w:ilvl w:val="1"/>
          <w:numId w:val="7"/>
        </w:numPr>
        <w:autoSpaceDE w:val="0"/>
        <w:autoSpaceDN w:val="0"/>
        <w:adjustRightInd w:val="0"/>
        <w:snapToGrid w:val="0"/>
        <w:ind w:firstLineChars="0"/>
        <w:jc w:val="left"/>
        <w:rPr>
          <w:rFonts w:ascii="宋体" w:hAnsi="宋体"/>
          <w:szCs w:val="21"/>
        </w:rPr>
      </w:pPr>
      <w:r>
        <w:rPr>
          <w:rFonts w:hint="eastAsia" w:ascii="宋体" w:hAnsi="宋体"/>
          <w:szCs w:val="21"/>
        </w:rPr>
        <w:t>合同金额以经修正后的投标报价为准，缺漏项部分由投标人自行承担。</w:t>
      </w:r>
    </w:p>
    <w:p w14:paraId="2976BFA1">
      <w:pPr>
        <w:widowControl w:val="0"/>
        <w:autoSpaceDE w:val="0"/>
        <w:autoSpaceDN w:val="0"/>
        <w:adjustRightInd w:val="0"/>
        <w:snapToGrid w:val="0"/>
        <w:ind w:firstLine="0" w:firstLineChars="0"/>
        <w:jc w:val="left"/>
        <w:rPr>
          <w:rFonts w:hint="eastAsia" w:ascii="宋体" w:hAnsi="宋体"/>
          <w:szCs w:val="21"/>
        </w:rPr>
      </w:pPr>
    </w:p>
    <w:p w14:paraId="1FC3A5AF">
      <w:pPr>
        <w:widowControl w:val="0"/>
        <w:numPr>
          <w:ilvl w:val="0"/>
          <w:numId w:val="7"/>
        </w:numPr>
        <w:autoSpaceDE w:val="0"/>
        <w:autoSpaceDN w:val="0"/>
        <w:adjustRightInd w:val="0"/>
        <w:snapToGrid w:val="0"/>
        <w:ind w:firstLineChars="0"/>
        <w:jc w:val="left"/>
        <w:rPr>
          <w:rFonts w:hint="eastAsia" w:ascii="宋体" w:hAnsi="宋体"/>
          <w:b/>
          <w:szCs w:val="21"/>
        </w:rPr>
      </w:pPr>
      <w:r>
        <w:rPr>
          <w:rFonts w:hint="eastAsia" w:ascii="宋体" w:hAnsi="宋体"/>
          <w:b/>
          <w:szCs w:val="21"/>
        </w:rPr>
        <w:t>价格标评分的计算：</w:t>
      </w:r>
    </w:p>
    <w:tbl>
      <w:tblPr>
        <w:tblStyle w:val="51"/>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134"/>
        <w:gridCol w:w="1559"/>
        <w:gridCol w:w="4877"/>
      </w:tblGrid>
      <w:tr w14:paraId="51FAEE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restart"/>
            <w:vAlign w:val="center"/>
          </w:tcPr>
          <w:p w14:paraId="4BA12888">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投标</w:t>
            </w:r>
            <w:r>
              <w:rPr>
                <w:rFonts w:ascii="宋体" w:hAnsi="宋体"/>
                <w:b/>
                <w:szCs w:val="21"/>
              </w:rPr>
              <w:t>报价得分</w:t>
            </w:r>
          </w:p>
        </w:tc>
        <w:tc>
          <w:tcPr>
            <w:tcW w:w="7570" w:type="dxa"/>
            <w:gridSpan w:val="3"/>
            <w:vAlign w:val="center"/>
          </w:tcPr>
          <w:p w14:paraId="1683CF23">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基准价</w:t>
            </w:r>
            <w:r>
              <w:rPr>
                <w:rFonts w:ascii="宋体" w:hAnsi="宋体"/>
                <w:b/>
                <w:szCs w:val="21"/>
              </w:rPr>
              <w:t>和算法类型选择</w:t>
            </w:r>
          </w:p>
        </w:tc>
      </w:tr>
      <w:tr w14:paraId="04E2FB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450A5F45">
            <w:pPr>
              <w:widowControl w:val="0"/>
              <w:autoSpaceDE w:val="0"/>
              <w:autoSpaceDN w:val="0"/>
              <w:adjustRightInd w:val="0"/>
              <w:snapToGrid w:val="0"/>
              <w:ind w:firstLine="0" w:firstLineChars="0"/>
              <w:rPr>
                <w:rFonts w:ascii="宋体" w:hAnsi="宋体"/>
                <w:szCs w:val="21"/>
              </w:rPr>
            </w:pPr>
          </w:p>
        </w:tc>
        <w:tc>
          <w:tcPr>
            <w:tcW w:w="1134" w:type="dxa"/>
            <w:vMerge w:val="restart"/>
            <w:vAlign w:val="center"/>
          </w:tcPr>
          <w:p w14:paraId="64DE0715">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基准价</w:t>
            </w:r>
          </w:p>
        </w:tc>
        <w:tc>
          <w:tcPr>
            <w:tcW w:w="6436" w:type="dxa"/>
            <w:gridSpan w:val="2"/>
            <w:vAlign w:val="center"/>
          </w:tcPr>
          <w:p w14:paraId="5E26278A">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□各有效</w:t>
            </w:r>
            <w:r>
              <w:rPr>
                <w:rFonts w:ascii="宋体" w:hAnsi="宋体"/>
                <w:szCs w:val="21"/>
              </w:rPr>
              <w:t>投</w:t>
            </w:r>
            <w:r>
              <w:rPr>
                <w:rFonts w:hint="eastAsia" w:ascii="宋体" w:hAnsi="宋体"/>
                <w:szCs w:val="21"/>
              </w:rPr>
              <w:t>标报价大于n家时，去掉一个最高和最低报价后的算术平均值乘以</w:t>
            </w:r>
            <w:r>
              <w:rPr>
                <w:rFonts w:ascii="宋体" w:hAnsi="宋体"/>
                <w:szCs w:val="21"/>
                <w:u w:val="single"/>
              </w:rPr>
              <w:t xml:space="preserve">    </w:t>
            </w:r>
            <w:r>
              <w:rPr>
                <w:rFonts w:hint="eastAsia" w:ascii="宋体" w:hAnsi="宋体"/>
                <w:szCs w:val="21"/>
              </w:rPr>
              <w:t>％</w:t>
            </w:r>
          </w:p>
          <w:p w14:paraId="71E54CB5">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当有效投标报价少于n（含）家时，则以所有有效投标报价的算术平均值乘以</w:t>
            </w:r>
            <w:r>
              <w:rPr>
                <w:rFonts w:ascii="宋体" w:hAnsi="宋体"/>
                <w:szCs w:val="21"/>
                <w:u w:val="single"/>
              </w:rPr>
              <w:t xml:space="preserve">    </w:t>
            </w:r>
            <w:r>
              <w:rPr>
                <w:rFonts w:hint="eastAsia" w:ascii="宋体" w:hAnsi="宋体"/>
                <w:szCs w:val="21"/>
              </w:rPr>
              <w:t>％。n=</w:t>
            </w:r>
            <w:r>
              <w:rPr>
                <w:rFonts w:ascii="宋体" w:hAnsi="宋体"/>
                <w:szCs w:val="21"/>
                <w:u w:val="single"/>
              </w:rPr>
              <w:t xml:space="preserve">    </w:t>
            </w:r>
          </w:p>
        </w:tc>
      </w:tr>
      <w:tr w14:paraId="58B0D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41EBCC0">
            <w:pPr>
              <w:widowControl w:val="0"/>
              <w:autoSpaceDE w:val="0"/>
              <w:autoSpaceDN w:val="0"/>
              <w:adjustRightInd w:val="0"/>
              <w:snapToGrid w:val="0"/>
              <w:ind w:firstLine="0" w:firstLineChars="0"/>
              <w:rPr>
                <w:rFonts w:ascii="宋体" w:hAnsi="宋体"/>
                <w:szCs w:val="21"/>
              </w:rPr>
            </w:pPr>
          </w:p>
        </w:tc>
        <w:tc>
          <w:tcPr>
            <w:tcW w:w="1134" w:type="dxa"/>
            <w:vMerge w:val="continue"/>
            <w:vAlign w:val="center"/>
          </w:tcPr>
          <w:p w14:paraId="21FCDE7C">
            <w:pPr>
              <w:widowControl w:val="0"/>
              <w:autoSpaceDE w:val="0"/>
              <w:autoSpaceDN w:val="0"/>
              <w:adjustRightInd w:val="0"/>
              <w:snapToGrid w:val="0"/>
              <w:ind w:firstLine="0" w:firstLineChars="0"/>
              <w:jc w:val="center"/>
              <w:rPr>
                <w:rFonts w:hint="eastAsia" w:ascii="宋体" w:hAnsi="宋体"/>
                <w:b/>
                <w:szCs w:val="21"/>
              </w:rPr>
            </w:pPr>
          </w:p>
        </w:tc>
        <w:tc>
          <w:tcPr>
            <w:tcW w:w="6436" w:type="dxa"/>
            <w:gridSpan w:val="2"/>
            <w:vAlign w:val="center"/>
          </w:tcPr>
          <w:p w14:paraId="7067A108">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lang w:eastAsia="zh-CN"/>
              </w:rPr>
              <w:t>□</w:t>
            </w:r>
            <w:r>
              <w:rPr>
                <w:rFonts w:hint="eastAsia" w:ascii="宋体" w:hAnsi="宋体"/>
                <w:szCs w:val="21"/>
              </w:rPr>
              <w:t>取有效投标报价算术平均值，并对算数平均值下浮0％</w:t>
            </w:r>
          </w:p>
        </w:tc>
      </w:tr>
      <w:tr w14:paraId="0A6FED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5401D13">
            <w:pPr>
              <w:widowControl w:val="0"/>
              <w:autoSpaceDE w:val="0"/>
              <w:autoSpaceDN w:val="0"/>
              <w:adjustRightInd w:val="0"/>
              <w:snapToGrid w:val="0"/>
              <w:ind w:firstLine="0" w:firstLineChars="0"/>
              <w:rPr>
                <w:rFonts w:ascii="宋体" w:hAnsi="宋体"/>
                <w:szCs w:val="21"/>
              </w:rPr>
            </w:pPr>
          </w:p>
        </w:tc>
        <w:tc>
          <w:tcPr>
            <w:tcW w:w="1134" w:type="dxa"/>
            <w:vMerge w:val="continue"/>
            <w:vAlign w:val="center"/>
          </w:tcPr>
          <w:p w14:paraId="582A1627">
            <w:pPr>
              <w:widowControl w:val="0"/>
              <w:autoSpaceDE w:val="0"/>
              <w:autoSpaceDN w:val="0"/>
              <w:adjustRightInd w:val="0"/>
              <w:snapToGrid w:val="0"/>
              <w:ind w:firstLine="0" w:firstLineChars="0"/>
              <w:jc w:val="center"/>
              <w:rPr>
                <w:rFonts w:hint="eastAsia" w:ascii="宋体" w:hAnsi="宋体"/>
                <w:b/>
                <w:szCs w:val="21"/>
              </w:rPr>
            </w:pPr>
          </w:p>
        </w:tc>
        <w:tc>
          <w:tcPr>
            <w:tcW w:w="6436" w:type="dxa"/>
            <w:gridSpan w:val="2"/>
            <w:vAlign w:val="center"/>
          </w:tcPr>
          <w:p w14:paraId="2A964D62">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lang w:eastAsia="zh-CN"/>
              </w:rPr>
              <w:t>☑</w:t>
            </w:r>
            <w:r>
              <w:rPr>
                <w:rFonts w:hint="eastAsia" w:ascii="宋体" w:hAnsi="宋体"/>
                <w:szCs w:val="21"/>
              </w:rPr>
              <w:t>有效投标报价的最低价为基价</w:t>
            </w:r>
          </w:p>
        </w:tc>
      </w:tr>
      <w:tr w14:paraId="6065C2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3FA8EF8D">
            <w:pPr>
              <w:widowControl w:val="0"/>
              <w:autoSpaceDE w:val="0"/>
              <w:autoSpaceDN w:val="0"/>
              <w:adjustRightInd w:val="0"/>
              <w:snapToGrid w:val="0"/>
              <w:ind w:firstLine="0" w:firstLineChars="0"/>
              <w:rPr>
                <w:rFonts w:ascii="宋体" w:hAnsi="宋体"/>
                <w:szCs w:val="21"/>
              </w:rPr>
            </w:pPr>
          </w:p>
        </w:tc>
        <w:tc>
          <w:tcPr>
            <w:tcW w:w="1134" w:type="dxa"/>
            <w:vMerge w:val="restart"/>
            <w:vAlign w:val="center"/>
          </w:tcPr>
          <w:p w14:paraId="0B8ACB79">
            <w:pPr>
              <w:widowControl w:val="0"/>
              <w:autoSpaceDE w:val="0"/>
              <w:autoSpaceDN w:val="0"/>
              <w:adjustRightInd w:val="0"/>
              <w:snapToGrid w:val="0"/>
              <w:ind w:firstLine="0" w:firstLineChars="0"/>
              <w:jc w:val="center"/>
              <w:rPr>
                <w:rFonts w:hint="eastAsia" w:ascii="宋体" w:hAnsi="宋体"/>
                <w:b/>
                <w:szCs w:val="21"/>
              </w:rPr>
            </w:pPr>
            <w:r>
              <w:rPr>
                <w:rFonts w:hint="eastAsia" w:ascii="宋体" w:hAnsi="宋体"/>
                <w:b/>
                <w:szCs w:val="21"/>
              </w:rPr>
              <w:t>算</w:t>
            </w:r>
            <w:r>
              <w:rPr>
                <w:rFonts w:ascii="宋体" w:hAnsi="宋体"/>
                <w:b/>
                <w:szCs w:val="21"/>
              </w:rPr>
              <w:t>法类型</w:t>
            </w:r>
          </w:p>
        </w:tc>
        <w:tc>
          <w:tcPr>
            <w:tcW w:w="1559" w:type="dxa"/>
            <w:vAlign w:val="center"/>
          </w:tcPr>
          <w:p w14:paraId="6291453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□固定</w:t>
            </w:r>
            <w:r>
              <w:rPr>
                <w:rFonts w:ascii="宋体" w:hAnsi="宋体"/>
                <w:szCs w:val="21"/>
              </w:rPr>
              <w:t>比例</w:t>
            </w:r>
            <w:r>
              <w:rPr>
                <w:rFonts w:hint="eastAsia" w:ascii="宋体" w:hAnsi="宋体"/>
                <w:szCs w:val="21"/>
              </w:rPr>
              <w:t>法</w:t>
            </w:r>
          </w:p>
        </w:tc>
        <w:tc>
          <w:tcPr>
            <w:tcW w:w="4877" w:type="dxa"/>
            <w:vAlign w:val="center"/>
          </w:tcPr>
          <w:p w14:paraId="2A389B04">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价得分=M-[（｜投标价格-基准价｜/基准价）*100/</w:t>
            </w:r>
            <w:r>
              <w:rPr>
                <w:rFonts w:ascii="宋体" w:hAnsi="宋体"/>
                <w:szCs w:val="21"/>
              </w:rPr>
              <w:t>N]*</w:t>
            </w:r>
            <w:r>
              <w:rPr>
                <w:rFonts w:hint="eastAsia" w:ascii="宋体" w:hAnsi="宋体"/>
                <w:szCs w:val="21"/>
              </w:rPr>
              <w:t>扣分值</w:t>
            </w:r>
          </w:p>
          <w:p w14:paraId="094B5A3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M=</w:t>
            </w:r>
            <w:r>
              <w:rPr>
                <w:rFonts w:ascii="宋体" w:hAnsi="宋体"/>
                <w:szCs w:val="21"/>
                <w:u w:val="single"/>
              </w:rPr>
              <w:t xml:space="preserve">    </w:t>
            </w:r>
            <w:r>
              <w:rPr>
                <w:rFonts w:hint="eastAsia" w:ascii="宋体" w:hAnsi="宋体"/>
                <w:szCs w:val="21"/>
              </w:rPr>
              <w:t>（价格评价分项满分值），N=</w:t>
            </w:r>
            <w:r>
              <w:rPr>
                <w:rFonts w:ascii="宋体" w:hAnsi="宋体"/>
                <w:szCs w:val="21"/>
                <w:u w:val="single"/>
              </w:rPr>
              <w:t xml:space="preserve">    </w:t>
            </w:r>
            <w:r>
              <w:rPr>
                <w:rFonts w:hint="eastAsia" w:ascii="宋体" w:hAnsi="宋体"/>
                <w:szCs w:val="21"/>
              </w:rPr>
              <w:t>，投标价格每高于N％时，扣</w:t>
            </w:r>
            <w:r>
              <w:rPr>
                <w:rFonts w:ascii="宋体" w:hAnsi="宋体"/>
                <w:szCs w:val="21"/>
                <w:u w:val="single"/>
              </w:rPr>
              <w:t xml:space="preserve">    </w:t>
            </w:r>
            <w:r>
              <w:rPr>
                <w:rFonts w:hint="eastAsia" w:ascii="宋体" w:hAnsi="宋体"/>
                <w:szCs w:val="21"/>
              </w:rPr>
              <w:t>分；每低于N％时，扣</w:t>
            </w:r>
            <w:r>
              <w:rPr>
                <w:rFonts w:ascii="宋体" w:hAnsi="宋体"/>
                <w:szCs w:val="21"/>
                <w:u w:val="single"/>
              </w:rPr>
              <w:t xml:space="preserve">    </w:t>
            </w:r>
            <w:r>
              <w:rPr>
                <w:rFonts w:hint="eastAsia" w:ascii="宋体" w:hAnsi="宋体"/>
                <w:szCs w:val="21"/>
              </w:rPr>
              <w:t>分；</w:t>
            </w:r>
          </w:p>
          <w:p w14:paraId="34C5BCCA">
            <w:pPr>
              <w:widowControl w:val="0"/>
              <w:autoSpaceDE w:val="0"/>
              <w:autoSpaceDN w:val="0"/>
              <w:adjustRightInd w:val="0"/>
              <w:snapToGrid w:val="0"/>
              <w:ind w:firstLine="0" w:firstLineChars="0"/>
              <w:rPr>
                <w:rFonts w:ascii="宋体" w:hAnsi="宋体"/>
                <w:szCs w:val="21"/>
              </w:rPr>
            </w:pPr>
            <w:r>
              <w:rPr>
                <w:rFonts w:hint="eastAsia" w:ascii="宋体" w:hAnsi="宋体"/>
                <w:szCs w:val="21"/>
              </w:rPr>
              <w:t>最低得0分。</w:t>
            </w:r>
          </w:p>
        </w:tc>
      </w:tr>
      <w:tr w14:paraId="5E1494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02CC7041">
            <w:pPr>
              <w:widowControl w:val="0"/>
              <w:autoSpaceDE w:val="0"/>
              <w:autoSpaceDN w:val="0"/>
              <w:adjustRightInd w:val="0"/>
              <w:snapToGrid w:val="0"/>
              <w:ind w:firstLine="0" w:firstLineChars="0"/>
              <w:rPr>
                <w:rFonts w:ascii="宋体" w:hAnsi="宋体"/>
                <w:szCs w:val="21"/>
              </w:rPr>
            </w:pPr>
          </w:p>
        </w:tc>
        <w:tc>
          <w:tcPr>
            <w:tcW w:w="1134" w:type="dxa"/>
            <w:vMerge w:val="continue"/>
            <w:vAlign w:val="center"/>
          </w:tcPr>
          <w:p w14:paraId="49F6299B">
            <w:pPr>
              <w:widowControl w:val="0"/>
              <w:autoSpaceDE w:val="0"/>
              <w:autoSpaceDN w:val="0"/>
              <w:adjustRightInd w:val="0"/>
              <w:snapToGrid w:val="0"/>
              <w:ind w:firstLine="0" w:firstLineChars="0"/>
              <w:rPr>
                <w:rFonts w:ascii="宋体" w:hAnsi="宋体"/>
                <w:szCs w:val="21"/>
              </w:rPr>
            </w:pPr>
          </w:p>
        </w:tc>
        <w:tc>
          <w:tcPr>
            <w:tcW w:w="1559" w:type="dxa"/>
            <w:vAlign w:val="center"/>
          </w:tcPr>
          <w:p w14:paraId="1356C4AD">
            <w:pPr>
              <w:widowControl w:val="0"/>
              <w:autoSpaceDE w:val="0"/>
              <w:autoSpaceDN w:val="0"/>
              <w:adjustRightInd w:val="0"/>
              <w:snapToGrid w:val="0"/>
              <w:ind w:firstLine="0" w:firstLineChars="0"/>
              <w:rPr>
                <w:rFonts w:ascii="宋体" w:hAnsi="宋体"/>
                <w:szCs w:val="21"/>
              </w:rPr>
            </w:pPr>
            <w:r>
              <w:rPr>
                <w:rFonts w:hint="eastAsia" w:ascii="宋体" w:hAnsi="宋体"/>
                <w:szCs w:val="21"/>
                <w:lang w:eastAsia="zh-CN"/>
              </w:rPr>
              <w:t>□</w:t>
            </w:r>
            <w:r>
              <w:rPr>
                <w:rFonts w:hint="eastAsia" w:ascii="宋体" w:hAnsi="宋体"/>
                <w:szCs w:val="21"/>
              </w:rPr>
              <w:t>固定乘积法</w:t>
            </w:r>
          </w:p>
        </w:tc>
        <w:tc>
          <w:tcPr>
            <w:tcW w:w="4877" w:type="dxa"/>
            <w:vAlign w:val="center"/>
          </w:tcPr>
          <w:p w14:paraId="7E81ABB3">
            <w:pPr>
              <w:widowControl w:val="0"/>
              <w:autoSpaceDE w:val="0"/>
              <w:autoSpaceDN w:val="0"/>
              <w:adjustRightInd w:val="0"/>
              <w:snapToGrid w:val="0"/>
              <w:ind w:firstLine="0" w:firstLineChars="0"/>
              <w:rPr>
                <w:rFonts w:hint="eastAsia" w:ascii="宋体" w:hAnsi="宋体"/>
                <w:szCs w:val="21"/>
              </w:rPr>
            </w:pPr>
            <w:bookmarkStart w:id="331" w:name="auto_fouce_14"/>
            <w:r>
              <w:rPr>
                <w:rFonts w:hint="eastAsia" w:ascii="宋体" w:hAnsi="宋体"/>
                <w:szCs w:val="21"/>
              </w:rPr>
              <w:t>价格得分=（1-</w:t>
            </w:r>
            <w:r>
              <w:rPr>
                <w:rFonts w:ascii="宋体" w:hAnsi="宋体"/>
                <w:szCs w:val="21"/>
              </w:rPr>
              <w:t>A</w:t>
            </w:r>
            <w:r>
              <w:rPr>
                <w:rFonts w:hint="eastAsia" w:ascii="宋体" w:hAnsi="宋体"/>
                <w:szCs w:val="21"/>
              </w:rPr>
              <w:t>×｜1-投标报价/Z｜）×M</w:t>
            </w:r>
          </w:p>
          <w:p w14:paraId="59E0F172">
            <w:pPr>
              <w:widowControl w:val="0"/>
              <w:autoSpaceDE w:val="0"/>
              <w:autoSpaceDN w:val="0"/>
              <w:adjustRightInd w:val="0"/>
              <w:snapToGrid w:val="0"/>
              <w:ind w:firstLine="0" w:firstLineChars="0"/>
              <w:rPr>
                <w:rFonts w:hint="eastAsia" w:ascii="宋体" w:hAnsi="宋体"/>
                <w:szCs w:val="21"/>
              </w:rPr>
            </w:pPr>
            <w:r>
              <w:rPr>
                <w:rFonts w:ascii="宋体" w:hAnsi="宋体"/>
                <w:szCs w:val="21"/>
              </w:rPr>
              <w:t>1</w:t>
            </w:r>
            <w:r>
              <w:rPr>
                <w:rFonts w:hint="eastAsia" w:ascii="宋体" w:hAnsi="宋体"/>
                <w:szCs w:val="21"/>
              </w:rPr>
              <w:t>、M=</w:t>
            </w:r>
            <w:r>
              <w:rPr>
                <w:rFonts w:ascii="宋体" w:hAnsi="宋体"/>
                <w:szCs w:val="21"/>
                <w:u w:val="single"/>
              </w:rPr>
              <w:t xml:space="preserve"> </w:t>
            </w:r>
            <w:r>
              <w:rPr>
                <w:rFonts w:hint="eastAsia" w:ascii="宋体" w:hAnsi="宋体"/>
                <w:szCs w:val="21"/>
                <w:u w:val="single"/>
              </w:rPr>
              <w:t>30</w:t>
            </w:r>
            <w:r>
              <w:rPr>
                <w:rFonts w:ascii="宋体" w:hAnsi="宋体"/>
                <w:szCs w:val="21"/>
                <w:u w:val="single"/>
              </w:rPr>
              <w:t xml:space="preserve"> </w:t>
            </w:r>
            <w:r>
              <w:rPr>
                <w:rFonts w:hint="eastAsia" w:ascii="宋体" w:hAnsi="宋体"/>
                <w:szCs w:val="21"/>
              </w:rPr>
              <w:t>（价格评价分项满分值），Z为本次招标最佳报价（即基准价）；</w:t>
            </w:r>
          </w:p>
          <w:p w14:paraId="66B7843C">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2、A为价格调整系数，当投标报价低于本次招标最佳报价（即基准价）时，A=</w:t>
            </w:r>
            <w:r>
              <w:rPr>
                <w:rFonts w:ascii="宋体" w:hAnsi="宋体"/>
                <w:szCs w:val="21"/>
                <w:u w:val="single"/>
              </w:rPr>
              <w:t xml:space="preserve">  </w:t>
            </w:r>
            <w:r>
              <w:rPr>
                <w:rFonts w:hint="eastAsia" w:ascii="宋体" w:hAnsi="宋体"/>
                <w:szCs w:val="21"/>
                <w:u w:val="single"/>
              </w:rPr>
              <w:t>0.5</w:t>
            </w:r>
            <w:r>
              <w:rPr>
                <w:rFonts w:ascii="宋体" w:hAnsi="宋体"/>
                <w:szCs w:val="21"/>
                <w:u w:val="single"/>
              </w:rPr>
              <w:t xml:space="preserve">  </w:t>
            </w:r>
            <w:r>
              <w:rPr>
                <w:rFonts w:hint="eastAsia" w:ascii="宋体" w:hAnsi="宋体"/>
                <w:szCs w:val="21"/>
              </w:rPr>
              <w:t>；当</w:t>
            </w:r>
            <w:r>
              <w:rPr>
                <w:rFonts w:ascii="宋体" w:hAnsi="宋体"/>
                <w:szCs w:val="21"/>
              </w:rPr>
              <w:t>投标报价</w:t>
            </w:r>
            <w:r>
              <w:rPr>
                <w:rFonts w:hint="eastAsia" w:ascii="宋体" w:hAnsi="宋体"/>
                <w:szCs w:val="21"/>
              </w:rPr>
              <w:t>高于次招标最佳报价时，取A=</w:t>
            </w:r>
            <w:r>
              <w:rPr>
                <w:rFonts w:ascii="宋体" w:hAnsi="宋体"/>
                <w:szCs w:val="21"/>
                <w:u w:val="single"/>
              </w:rPr>
              <w:t xml:space="preserve">  </w:t>
            </w:r>
            <w:r>
              <w:rPr>
                <w:rFonts w:hint="eastAsia" w:ascii="宋体" w:hAnsi="宋体"/>
                <w:szCs w:val="21"/>
                <w:u w:val="single"/>
              </w:rPr>
              <w:t>1</w:t>
            </w:r>
            <w:r>
              <w:rPr>
                <w:rFonts w:ascii="宋体" w:hAnsi="宋体"/>
                <w:szCs w:val="21"/>
                <w:u w:val="single"/>
              </w:rPr>
              <w:t xml:space="preserve">  </w:t>
            </w:r>
            <w:r>
              <w:rPr>
                <w:rFonts w:hint="eastAsia" w:ascii="宋体" w:hAnsi="宋体"/>
                <w:szCs w:val="21"/>
              </w:rPr>
              <w:t>；</w:t>
            </w:r>
            <w:bookmarkEnd w:id="331"/>
          </w:p>
          <w:p w14:paraId="08F8A3B2">
            <w:pPr>
              <w:widowControl w:val="0"/>
              <w:autoSpaceDE w:val="0"/>
              <w:autoSpaceDN w:val="0"/>
              <w:adjustRightInd w:val="0"/>
              <w:snapToGrid w:val="0"/>
              <w:ind w:firstLine="0" w:firstLineChars="0"/>
              <w:rPr>
                <w:rFonts w:ascii="宋体" w:hAnsi="宋体"/>
                <w:szCs w:val="21"/>
              </w:rPr>
            </w:pPr>
            <w:r>
              <w:rPr>
                <w:rFonts w:hint="eastAsia" w:ascii="宋体" w:hAnsi="宋体"/>
                <w:szCs w:val="21"/>
              </w:rPr>
              <w:t>3、计算分数时四舍五入取小数点后两位，当价格分＜0时，取0。</w:t>
            </w:r>
          </w:p>
        </w:tc>
      </w:tr>
      <w:tr w14:paraId="710335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959" w:type="dxa"/>
            <w:vMerge w:val="continue"/>
            <w:vAlign w:val="center"/>
          </w:tcPr>
          <w:p w14:paraId="2A69615E">
            <w:pPr>
              <w:widowControl w:val="0"/>
              <w:autoSpaceDE w:val="0"/>
              <w:autoSpaceDN w:val="0"/>
              <w:adjustRightInd w:val="0"/>
              <w:snapToGrid w:val="0"/>
              <w:ind w:firstLine="0" w:firstLineChars="0"/>
              <w:rPr>
                <w:rFonts w:ascii="宋体" w:hAnsi="宋体"/>
                <w:color w:val="FF0000"/>
                <w:szCs w:val="21"/>
              </w:rPr>
            </w:pPr>
            <w:bookmarkStart w:id="332" w:name="tip_risk_bookmark_16" w:colFirst="2" w:colLast="3"/>
            <w:bookmarkStart w:id="333" w:name="auto_fouce_15"/>
          </w:p>
        </w:tc>
        <w:tc>
          <w:tcPr>
            <w:tcW w:w="1134" w:type="dxa"/>
            <w:vMerge w:val="continue"/>
            <w:vAlign w:val="center"/>
          </w:tcPr>
          <w:p w14:paraId="6A52242B">
            <w:pPr>
              <w:widowControl w:val="0"/>
              <w:autoSpaceDE w:val="0"/>
              <w:autoSpaceDN w:val="0"/>
              <w:adjustRightInd w:val="0"/>
              <w:snapToGrid w:val="0"/>
              <w:ind w:firstLine="0" w:firstLineChars="0"/>
              <w:rPr>
                <w:rFonts w:ascii="宋体" w:hAnsi="宋体"/>
                <w:szCs w:val="21"/>
              </w:rPr>
            </w:pPr>
          </w:p>
        </w:tc>
        <w:tc>
          <w:tcPr>
            <w:tcW w:w="1559" w:type="dxa"/>
            <w:vAlign w:val="center"/>
          </w:tcPr>
          <w:p w14:paraId="3BC9F733">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lang w:eastAsia="zh-CN"/>
              </w:rPr>
              <w:t>☑</w:t>
            </w:r>
            <w:r>
              <w:rPr>
                <w:rFonts w:hint="eastAsia" w:ascii="宋体" w:hAnsi="宋体"/>
                <w:szCs w:val="21"/>
              </w:rPr>
              <w:t>其他</w:t>
            </w:r>
            <w:r>
              <w:rPr>
                <w:rFonts w:ascii="宋体" w:hAnsi="宋体"/>
                <w:szCs w:val="21"/>
              </w:rPr>
              <w:t>方法</w:t>
            </w:r>
          </w:p>
        </w:tc>
        <w:tc>
          <w:tcPr>
            <w:tcW w:w="4877" w:type="dxa"/>
            <w:vAlign w:val="center"/>
          </w:tcPr>
          <w:p w14:paraId="2EEA78EB">
            <w:pPr>
              <w:widowControl w:val="0"/>
              <w:autoSpaceDE w:val="0"/>
              <w:autoSpaceDN w:val="0"/>
              <w:adjustRightInd w:val="0"/>
              <w:snapToGrid w:val="0"/>
              <w:ind w:firstLine="0" w:firstLineChars="0"/>
              <w:rPr>
                <w:rFonts w:hint="default" w:ascii="宋体" w:hAnsi="宋体" w:eastAsia="宋体"/>
                <w:szCs w:val="21"/>
                <w:lang w:val="en-US" w:eastAsia="zh-CN"/>
              </w:rPr>
            </w:pPr>
            <w:r>
              <w:rPr>
                <w:rFonts w:hint="eastAsia" w:ascii="宋体" w:hAnsi="宋体"/>
                <w:szCs w:val="21"/>
                <w:lang w:val="en-US" w:eastAsia="zh-CN"/>
              </w:rPr>
              <w:t>新价格分算法</w:t>
            </w:r>
          </w:p>
        </w:tc>
      </w:tr>
      <w:bookmarkEnd w:id="332"/>
      <w:tr w14:paraId="49BF9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trPr>
        <w:tc>
          <w:tcPr>
            <w:tcW w:w="8529" w:type="dxa"/>
            <w:gridSpan w:val="4"/>
            <w:vAlign w:val="center"/>
          </w:tcPr>
          <w:p w14:paraId="3E7C6CCF">
            <w:pPr>
              <w:widowControl w:val="0"/>
              <w:autoSpaceDE w:val="0"/>
              <w:autoSpaceDN w:val="0"/>
              <w:adjustRightInd w:val="0"/>
              <w:snapToGrid w:val="0"/>
              <w:ind w:firstLine="0" w:firstLineChars="0"/>
              <w:rPr>
                <w:rFonts w:hint="eastAsia" w:ascii="宋体" w:hAnsi="宋体"/>
                <w:szCs w:val="21"/>
              </w:rPr>
            </w:pPr>
            <w:r>
              <w:rPr>
                <w:rFonts w:hint="eastAsia" w:ascii="宋体" w:hAnsi="宋体"/>
                <w:szCs w:val="21"/>
              </w:rPr>
              <w:t>注：未通过初步评审的投标人的价格得分计算：未通过初步评审的投标人，不计算价格得分。</w:t>
            </w:r>
          </w:p>
        </w:tc>
      </w:tr>
      <w:bookmarkEnd w:id="333"/>
    </w:tbl>
    <w:p w14:paraId="082D31B8">
      <w:pPr>
        <w:widowControl w:val="0"/>
        <w:autoSpaceDE w:val="0"/>
        <w:autoSpaceDN w:val="0"/>
        <w:adjustRightInd w:val="0"/>
        <w:snapToGrid w:val="0"/>
        <w:ind w:firstLine="0" w:firstLineChars="0"/>
        <w:jc w:val="left"/>
        <w:rPr>
          <w:rFonts w:ascii="宋体" w:hAnsi="宋体"/>
        </w:rPr>
      </w:pPr>
      <w:r>
        <w:rPr>
          <w:rFonts w:ascii="宋体" w:hAnsi="宋体"/>
        </w:rPr>
        <w:br w:type="page"/>
      </w:r>
    </w:p>
    <w:p w14:paraId="054B06B2">
      <w:pPr>
        <w:pStyle w:val="19"/>
        <w:ind w:firstLine="420"/>
      </w:pPr>
    </w:p>
    <w:p w14:paraId="7D65640F">
      <w:pPr>
        <w:adjustRightInd w:val="0"/>
        <w:snapToGrid w:val="0"/>
        <w:ind w:firstLine="0" w:firstLineChars="0"/>
        <w:rPr>
          <w:rFonts w:ascii="宋体" w:hAnsi="宋体"/>
          <w:b/>
          <w:bCs/>
          <w:sz w:val="22"/>
        </w:rPr>
      </w:pPr>
      <w:r>
        <w:rPr>
          <w:rFonts w:hint="eastAsia" w:ascii="宋体" w:hAnsi="宋体"/>
          <w:b/>
          <w:bCs/>
          <w:sz w:val="22"/>
        </w:rPr>
        <w:t>附表4-1 《商务标、技术标、价格标分值表和综合得分汇总》</w:t>
      </w:r>
    </w:p>
    <w:tbl>
      <w:tblPr>
        <w:tblStyle w:val="51"/>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2"/>
        <w:gridCol w:w="2158"/>
        <w:gridCol w:w="2159"/>
        <w:gridCol w:w="2159"/>
      </w:tblGrid>
      <w:tr w14:paraId="75F70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2052" w:type="dxa"/>
            <w:shd w:val="clear" w:color="auto" w:fill="DBE5F1"/>
            <w:vAlign w:val="center"/>
          </w:tcPr>
          <w:p w14:paraId="7A30E7F6">
            <w:pPr>
              <w:adjustRightInd w:val="0"/>
              <w:snapToGrid w:val="0"/>
              <w:ind w:firstLine="0" w:firstLineChars="0"/>
              <w:jc w:val="center"/>
              <w:rPr>
                <w:rFonts w:ascii="宋体" w:hAnsi="宋体"/>
                <w:b/>
              </w:rPr>
            </w:pPr>
            <w:r>
              <w:rPr>
                <w:rFonts w:hint="eastAsia" w:ascii="宋体" w:hAnsi="宋体"/>
                <w:b/>
              </w:rPr>
              <w:t>名称</w:t>
            </w:r>
          </w:p>
        </w:tc>
        <w:tc>
          <w:tcPr>
            <w:tcW w:w="2158" w:type="dxa"/>
            <w:shd w:val="clear" w:color="auto" w:fill="DBE5F1"/>
            <w:vAlign w:val="center"/>
          </w:tcPr>
          <w:p w14:paraId="4CD5ACBE">
            <w:pPr>
              <w:adjustRightInd w:val="0"/>
              <w:snapToGrid w:val="0"/>
              <w:ind w:firstLine="0" w:firstLineChars="0"/>
              <w:jc w:val="center"/>
              <w:rPr>
                <w:rFonts w:hint="eastAsia" w:ascii="宋体" w:hAnsi="宋体"/>
                <w:b/>
              </w:rPr>
            </w:pPr>
            <w:r>
              <w:rPr>
                <w:rFonts w:hint="eastAsia" w:ascii="宋体" w:hAnsi="宋体"/>
                <w:b/>
              </w:rPr>
              <w:t>商务标</w:t>
            </w:r>
          </w:p>
        </w:tc>
        <w:tc>
          <w:tcPr>
            <w:tcW w:w="2159" w:type="dxa"/>
            <w:shd w:val="clear" w:color="auto" w:fill="DBE5F1"/>
            <w:vAlign w:val="center"/>
          </w:tcPr>
          <w:p w14:paraId="777B04D4">
            <w:pPr>
              <w:adjustRightInd w:val="0"/>
              <w:snapToGrid w:val="0"/>
              <w:ind w:firstLine="0" w:firstLineChars="0"/>
              <w:jc w:val="center"/>
              <w:rPr>
                <w:rFonts w:ascii="宋体" w:hAnsi="宋体"/>
                <w:b/>
              </w:rPr>
            </w:pPr>
            <w:r>
              <w:rPr>
                <w:rFonts w:hint="eastAsia" w:ascii="宋体" w:hAnsi="宋体"/>
                <w:b/>
              </w:rPr>
              <w:t>技术标</w:t>
            </w:r>
          </w:p>
        </w:tc>
        <w:tc>
          <w:tcPr>
            <w:tcW w:w="2159" w:type="dxa"/>
            <w:shd w:val="clear" w:color="auto" w:fill="DBE5F1"/>
            <w:vAlign w:val="center"/>
          </w:tcPr>
          <w:p w14:paraId="3BB7E1BE">
            <w:pPr>
              <w:adjustRightInd w:val="0"/>
              <w:snapToGrid w:val="0"/>
              <w:ind w:firstLine="0" w:firstLineChars="0"/>
              <w:jc w:val="center"/>
              <w:rPr>
                <w:rFonts w:ascii="宋体" w:hAnsi="宋体"/>
                <w:b/>
              </w:rPr>
            </w:pPr>
            <w:r>
              <w:rPr>
                <w:rFonts w:hint="eastAsia" w:ascii="宋体" w:hAnsi="宋体"/>
                <w:b/>
              </w:rPr>
              <w:t>价格标</w:t>
            </w:r>
          </w:p>
        </w:tc>
      </w:tr>
      <w:tr w14:paraId="0FE5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2052" w:type="dxa"/>
            <w:vAlign w:val="center"/>
          </w:tcPr>
          <w:p w14:paraId="14DC0D7D">
            <w:pPr>
              <w:adjustRightInd w:val="0"/>
              <w:snapToGrid w:val="0"/>
              <w:ind w:firstLine="0" w:firstLineChars="0"/>
              <w:jc w:val="center"/>
              <w:rPr>
                <w:rFonts w:hint="eastAsia" w:ascii="宋体" w:hAnsi="宋体"/>
              </w:rPr>
            </w:pPr>
            <w:r>
              <w:rPr>
                <w:rFonts w:hint="eastAsia" w:ascii="宋体" w:hAnsi="宋体"/>
              </w:rPr>
              <w:t>分值</w:t>
            </w:r>
          </w:p>
        </w:tc>
        <w:tc>
          <w:tcPr>
            <w:tcW w:w="2158" w:type="dxa"/>
            <w:vAlign w:val="center"/>
          </w:tcPr>
          <w:p w14:paraId="39E10927">
            <w:pPr>
              <w:adjustRightInd w:val="0"/>
              <w:snapToGrid w:val="0"/>
              <w:ind w:firstLine="0" w:firstLineChars="0"/>
              <w:jc w:val="center"/>
              <w:rPr>
                <w:rFonts w:hint="eastAsia" w:ascii="宋体" w:hAnsi="宋体"/>
              </w:rPr>
            </w:pPr>
            <w:r>
              <w:rPr>
                <w:rFonts w:hint="eastAsia" w:ascii="宋体" w:hAnsi="宋体"/>
                <w:lang w:val="en-US" w:eastAsia="zh-CN"/>
              </w:rPr>
              <w:t>20</w:t>
            </w:r>
            <w:r>
              <w:rPr>
                <w:rFonts w:hint="eastAsia" w:ascii="宋体" w:hAnsi="宋体"/>
              </w:rPr>
              <w:t>分</w:t>
            </w:r>
          </w:p>
        </w:tc>
        <w:tc>
          <w:tcPr>
            <w:tcW w:w="2159" w:type="dxa"/>
            <w:vAlign w:val="center"/>
          </w:tcPr>
          <w:p w14:paraId="2D41D84D">
            <w:pPr>
              <w:adjustRightInd w:val="0"/>
              <w:snapToGrid w:val="0"/>
              <w:ind w:firstLine="0" w:firstLineChars="0"/>
              <w:jc w:val="center"/>
              <w:rPr>
                <w:rFonts w:hint="eastAsia" w:ascii="宋体" w:hAnsi="宋体"/>
              </w:rPr>
            </w:pPr>
            <w:r>
              <w:rPr>
                <w:rFonts w:hint="eastAsia" w:ascii="宋体" w:hAnsi="宋体"/>
                <w:lang w:val="en-US" w:eastAsia="zh-CN"/>
              </w:rPr>
              <w:t>60</w:t>
            </w:r>
            <w:r>
              <w:rPr>
                <w:rFonts w:hint="eastAsia" w:ascii="宋体" w:hAnsi="宋体"/>
              </w:rPr>
              <w:t>分</w:t>
            </w:r>
          </w:p>
        </w:tc>
        <w:tc>
          <w:tcPr>
            <w:tcW w:w="2159" w:type="dxa"/>
            <w:vAlign w:val="center"/>
          </w:tcPr>
          <w:p w14:paraId="120356E5">
            <w:pPr>
              <w:adjustRightInd w:val="0"/>
              <w:snapToGrid w:val="0"/>
              <w:ind w:firstLine="0" w:firstLineChars="0"/>
              <w:jc w:val="center"/>
              <w:rPr>
                <w:rFonts w:hint="eastAsia" w:ascii="宋体" w:hAnsi="宋体"/>
              </w:rPr>
            </w:pPr>
            <w:r>
              <w:rPr>
                <w:rFonts w:hint="eastAsia" w:ascii="宋体" w:hAnsi="宋体"/>
                <w:lang w:val="en-US" w:eastAsia="zh-CN"/>
              </w:rPr>
              <w:t>20</w:t>
            </w:r>
            <w:r>
              <w:rPr>
                <w:rFonts w:hint="eastAsia" w:ascii="宋体" w:hAnsi="宋体"/>
              </w:rPr>
              <w:t>分</w:t>
            </w:r>
          </w:p>
        </w:tc>
      </w:tr>
      <w:tr w14:paraId="4CA9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052" w:type="dxa"/>
            <w:vAlign w:val="center"/>
          </w:tcPr>
          <w:p w14:paraId="46841D05">
            <w:pPr>
              <w:adjustRightInd w:val="0"/>
              <w:snapToGrid w:val="0"/>
              <w:ind w:firstLine="0" w:firstLineChars="0"/>
              <w:jc w:val="center"/>
              <w:rPr>
                <w:rFonts w:ascii="宋体" w:hAnsi="宋体"/>
              </w:rPr>
            </w:pPr>
            <w:r>
              <w:rPr>
                <w:rFonts w:hint="eastAsia" w:ascii="宋体" w:hAnsi="宋体"/>
              </w:rPr>
              <w:t>投标人综合得分</w:t>
            </w:r>
          </w:p>
        </w:tc>
        <w:tc>
          <w:tcPr>
            <w:tcW w:w="6476" w:type="dxa"/>
            <w:gridSpan w:val="3"/>
            <w:vAlign w:val="center"/>
          </w:tcPr>
          <w:p w14:paraId="59E52001">
            <w:pPr>
              <w:adjustRightInd w:val="0"/>
              <w:snapToGrid w:val="0"/>
              <w:ind w:firstLine="0" w:firstLineChars="0"/>
              <w:jc w:val="center"/>
              <w:rPr>
                <w:rFonts w:ascii="宋体" w:hAnsi="宋体"/>
              </w:rPr>
            </w:pPr>
            <w:r>
              <w:rPr>
                <w:rFonts w:hint="eastAsia" w:ascii="宋体" w:hAnsi="宋体"/>
              </w:rPr>
              <w:t>商务标评分+技术标评分+价格标评分=100分</w:t>
            </w:r>
          </w:p>
        </w:tc>
      </w:tr>
    </w:tbl>
    <w:p w14:paraId="47A13941">
      <w:pPr>
        <w:widowControl w:val="0"/>
        <w:autoSpaceDE w:val="0"/>
        <w:autoSpaceDN w:val="0"/>
        <w:adjustRightInd w:val="0"/>
        <w:snapToGrid w:val="0"/>
        <w:ind w:firstLine="0" w:firstLineChars="0"/>
        <w:jc w:val="center"/>
        <w:rPr>
          <w:rFonts w:ascii="宋体" w:hAnsi="宋体"/>
          <w:b/>
          <w:sz w:val="32"/>
        </w:rPr>
      </w:pPr>
      <w:r>
        <w:rPr>
          <w:rFonts w:ascii="宋体" w:hAnsi="宋体"/>
          <w:sz w:val="22"/>
        </w:rPr>
        <w:br w:type="page"/>
      </w:r>
      <w:r>
        <w:rPr>
          <w:rFonts w:hint="eastAsia" w:ascii="宋体" w:hAnsi="宋体"/>
          <w:b/>
          <w:sz w:val="32"/>
        </w:rPr>
        <w:t>（综合评分法）</w:t>
      </w:r>
    </w:p>
    <w:p w14:paraId="71B3D20B">
      <w:pPr>
        <w:widowControl w:val="0"/>
        <w:autoSpaceDE w:val="0"/>
        <w:autoSpaceDN w:val="0"/>
        <w:adjustRightInd w:val="0"/>
        <w:snapToGrid w:val="0"/>
        <w:ind w:firstLine="0" w:firstLineChars="0"/>
        <w:jc w:val="left"/>
        <w:rPr>
          <w:rFonts w:ascii="宋体" w:hAnsi="宋体"/>
        </w:rPr>
      </w:pPr>
      <w:r>
        <w:rPr>
          <w:rFonts w:hint="eastAsia" w:ascii="宋体" w:hAnsi="宋体"/>
        </w:rPr>
        <w:t>本项目采用综合评估法，是指在最大限度地满足招标文件实质性要求前提下，按照招标文件规定的评审标准进行评审，按评审因素的量化指标评审，排序靠前的推荐为中标候选人。</w:t>
      </w:r>
    </w:p>
    <w:p w14:paraId="013D2EE8">
      <w:pPr>
        <w:widowControl w:val="0"/>
        <w:numPr>
          <w:ilvl w:val="0"/>
          <w:numId w:val="5"/>
        </w:numPr>
        <w:autoSpaceDE w:val="0"/>
        <w:autoSpaceDN w:val="0"/>
        <w:adjustRightInd w:val="0"/>
        <w:snapToGrid w:val="0"/>
        <w:ind w:firstLineChars="0"/>
        <w:jc w:val="left"/>
        <w:rPr>
          <w:rFonts w:ascii="宋体" w:hAnsi="宋体"/>
          <w:b/>
        </w:rPr>
      </w:pPr>
      <w:r>
        <w:rPr>
          <w:rFonts w:hint="eastAsia" w:ascii="宋体" w:hAnsi="宋体"/>
          <w:b/>
        </w:rPr>
        <w:t>评标程序</w:t>
      </w:r>
    </w:p>
    <w:p w14:paraId="4E4E7C53">
      <w:pPr>
        <w:widowControl w:val="0"/>
        <w:numPr>
          <w:ilvl w:val="1"/>
          <w:numId w:val="5"/>
        </w:numPr>
        <w:autoSpaceDE w:val="0"/>
        <w:autoSpaceDN w:val="0"/>
        <w:adjustRightInd w:val="0"/>
        <w:snapToGrid w:val="0"/>
        <w:ind w:firstLineChars="0"/>
        <w:jc w:val="left"/>
        <w:rPr>
          <w:rFonts w:ascii="宋体" w:hAnsi="宋体"/>
          <w:b/>
        </w:rPr>
      </w:pPr>
      <w:r>
        <w:rPr>
          <w:rFonts w:ascii="宋体" w:hAnsi="宋体"/>
        </w:rPr>
        <w:t>初步评审</w:t>
      </w:r>
    </w:p>
    <w:p w14:paraId="497B0162">
      <w:pPr>
        <w:widowControl w:val="0"/>
        <w:numPr>
          <w:ilvl w:val="2"/>
          <w:numId w:val="5"/>
        </w:numPr>
        <w:autoSpaceDE w:val="0"/>
        <w:autoSpaceDN w:val="0"/>
        <w:adjustRightInd w:val="0"/>
        <w:snapToGrid w:val="0"/>
        <w:ind w:firstLineChars="0"/>
        <w:jc w:val="left"/>
        <w:rPr>
          <w:rFonts w:ascii="宋体" w:hAnsi="宋体"/>
          <w:b/>
        </w:rPr>
      </w:pPr>
      <w:r>
        <w:rPr>
          <w:rFonts w:ascii="宋体" w:hAnsi="宋体"/>
        </w:rPr>
        <w:t>评标委员会可以要求投标人提交第</w:t>
      </w:r>
      <w:r>
        <w:rPr>
          <w:rFonts w:hint="eastAsia" w:ascii="宋体" w:hAnsi="宋体"/>
        </w:rPr>
        <w:t>一</w:t>
      </w:r>
      <w:r>
        <w:rPr>
          <w:rFonts w:ascii="宋体" w:hAnsi="宋体"/>
        </w:rPr>
        <w:t>章“投标人须知”规定的有关证明和证件的原件，以便核验。评标委员会依据本章规定的标准对投标文件进行初步评审</w:t>
      </w:r>
      <w:r>
        <w:rPr>
          <w:rFonts w:hint="eastAsia" w:ascii="宋体" w:hAnsi="宋体"/>
        </w:rPr>
        <w:t>，</w:t>
      </w:r>
      <w:r>
        <w:rPr>
          <w:rFonts w:ascii="宋体" w:hAnsi="宋体"/>
        </w:rPr>
        <w:t>有一项不符合评审标准的，评标委员会应当否决其投标。初步评审的结论是“通过”或“不通过”，只有</w:t>
      </w:r>
      <w:r>
        <w:rPr>
          <w:rFonts w:hint="eastAsia" w:ascii="宋体" w:hAnsi="宋体"/>
        </w:rPr>
        <w:t>结论为</w:t>
      </w:r>
      <w:r>
        <w:rPr>
          <w:rFonts w:ascii="宋体" w:hAnsi="宋体"/>
        </w:rPr>
        <w:t>“通过”的投标方能进入下一阶段的评标，否则其投标将按</w:t>
      </w:r>
      <w:r>
        <w:rPr>
          <w:rFonts w:hint="eastAsia" w:ascii="宋体" w:hAnsi="宋体"/>
        </w:rPr>
        <w:t>废</w:t>
      </w:r>
      <w:r>
        <w:rPr>
          <w:rFonts w:ascii="宋体" w:hAnsi="宋体"/>
        </w:rPr>
        <w:t>标处理。</w:t>
      </w:r>
    </w:p>
    <w:p w14:paraId="09627D61">
      <w:pPr>
        <w:widowControl w:val="0"/>
        <w:numPr>
          <w:ilvl w:val="1"/>
          <w:numId w:val="5"/>
        </w:numPr>
        <w:autoSpaceDE w:val="0"/>
        <w:autoSpaceDN w:val="0"/>
        <w:adjustRightInd w:val="0"/>
        <w:snapToGrid w:val="0"/>
        <w:ind w:firstLineChars="0"/>
        <w:jc w:val="left"/>
        <w:rPr>
          <w:rFonts w:ascii="宋体" w:hAnsi="宋体"/>
        </w:rPr>
      </w:pPr>
      <w:r>
        <w:rPr>
          <w:rFonts w:ascii="宋体" w:hAnsi="宋体"/>
        </w:rPr>
        <w:t>详细评审</w:t>
      </w:r>
    </w:p>
    <w:p w14:paraId="4B088142">
      <w:pPr>
        <w:widowControl w:val="0"/>
        <w:numPr>
          <w:ilvl w:val="2"/>
          <w:numId w:val="5"/>
        </w:numPr>
        <w:autoSpaceDE w:val="0"/>
        <w:autoSpaceDN w:val="0"/>
        <w:adjustRightInd w:val="0"/>
        <w:snapToGrid w:val="0"/>
        <w:ind w:firstLineChars="0"/>
        <w:jc w:val="left"/>
        <w:rPr>
          <w:rFonts w:ascii="宋体" w:hAnsi="宋体"/>
        </w:rPr>
      </w:pPr>
      <w:r>
        <w:rPr>
          <w:rFonts w:ascii="宋体" w:hAnsi="宋体"/>
        </w:rPr>
        <w:t>评</w:t>
      </w:r>
      <w:r>
        <w:rPr>
          <w:rFonts w:ascii="宋体" w:hAnsi="宋体"/>
          <w:spacing w:val="-3"/>
        </w:rPr>
        <w:t>标</w:t>
      </w:r>
      <w:r>
        <w:rPr>
          <w:rFonts w:ascii="宋体" w:hAnsi="宋体"/>
        </w:rPr>
        <w:t>委</w:t>
      </w:r>
      <w:r>
        <w:rPr>
          <w:rFonts w:ascii="宋体" w:hAnsi="宋体"/>
          <w:spacing w:val="-3"/>
        </w:rPr>
        <w:t>员</w:t>
      </w:r>
      <w:r>
        <w:rPr>
          <w:rFonts w:ascii="宋体" w:hAnsi="宋体"/>
        </w:rPr>
        <w:t>会</w:t>
      </w:r>
      <w:r>
        <w:rPr>
          <w:rFonts w:ascii="宋体" w:hAnsi="宋体"/>
          <w:spacing w:val="-3"/>
        </w:rPr>
        <w:t>按</w:t>
      </w:r>
      <w:r>
        <w:rPr>
          <w:rFonts w:ascii="宋体" w:hAnsi="宋体"/>
        </w:rPr>
        <w:t>本</w:t>
      </w:r>
      <w:r>
        <w:rPr>
          <w:rFonts w:ascii="宋体" w:hAnsi="宋体"/>
          <w:spacing w:val="-3"/>
        </w:rPr>
        <w:t>章</w:t>
      </w:r>
      <w:r>
        <w:rPr>
          <w:rFonts w:ascii="宋体" w:hAnsi="宋体"/>
        </w:rPr>
        <w:t>规</w:t>
      </w:r>
      <w:r>
        <w:rPr>
          <w:rFonts w:ascii="宋体" w:hAnsi="宋体"/>
          <w:spacing w:val="-3"/>
        </w:rPr>
        <w:t>定</w:t>
      </w:r>
      <w:r>
        <w:rPr>
          <w:rFonts w:ascii="宋体" w:hAnsi="宋体"/>
        </w:rPr>
        <w:t>的</w:t>
      </w:r>
      <w:r>
        <w:rPr>
          <w:rFonts w:ascii="宋体" w:hAnsi="宋体"/>
          <w:spacing w:val="-3"/>
        </w:rPr>
        <w:t>量</w:t>
      </w:r>
      <w:r>
        <w:rPr>
          <w:rFonts w:ascii="宋体" w:hAnsi="宋体"/>
        </w:rPr>
        <w:t>化</w:t>
      </w:r>
      <w:r>
        <w:rPr>
          <w:rFonts w:ascii="宋体" w:hAnsi="宋体"/>
          <w:spacing w:val="-3"/>
        </w:rPr>
        <w:t>因</w:t>
      </w:r>
      <w:r>
        <w:rPr>
          <w:rFonts w:ascii="宋体" w:hAnsi="宋体"/>
        </w:rPr>
        <w:t>素</w:t>
      </w:r>
      <w:r>
        <w:rPr>
          <w:rFonts w:ascii="宋体" w:hAnsi="宋体"/>
          <w:spacing w:val="-3"/>
        </w:rPr>
        <w:t>和</w:t>
      </w:r>
      <w:r>
        <w:rPr>
          <w:rFonts w:ascii="宋体" w:hAnsi="宋体"/>
        </w:rPr>
        <w:t>分值</w:t>
      </w:r>
      <w:r>
        <w:rPr>
          <w:rFonts w:ascii="宋体" w:hAnsi="宋体"/>
          <w:spacing w:val="-3"/>
        </w:rPr>
        <w:t>进</w:t>
      </w:r>
      <w:r>
        <w:rPr>
          <w:rFonts w:ascii="宋体" w:hAnsi="宋体"/>
        </w:rPr>
        <w:t>行</w:t>
      </w:r>
      <w:r>
        <w:rPr>
          <w:rFonts w:ascii="宋体" w:hAnsi="宋体"/>
          <w:spacing w:val="-3"/>
        </w:rPr>
        <w:t>打</w:t>
      </w:r>
      <w:r>
        <w:rPr>
          <w:rFonts w:ascii="宋体" w:hAnsi="宋体"/>
        </w:rPr>
        <w:t>分</w:t>
      </w:r>
      <w:r>
        <w:rPr>
          <w:rFonts w:hint="eastAsia" w:ascii="宋体" w:hAnsi="宋体"/>
        </w:rPr>
        <w:t>，</w:t>
      </w:r>
      <w:r>
        <w:rPr>
          <w:rFonts w:ascii="宋体" w:hAnsi="宋体"/>
        </w:rPr>
        <w:t>并</w:t>
      </w:r>
      <w:r>
        <w:rPr>
          <w:rFonts w:ascii="宋体" w:hAnsi="宋体"/>
          <w:spacing w:val="-3"/>
        </w:rPr>
        <w:t>计</w:t>
      </w:r>
      <w:r>
        <w:rPr>
          <w:rFonts w:ascii="宋体" w:hAnsi="宋体"/>
        </w:rPr>
        <w:t>算</w:t>
      </w:r>
      <w:r>
        <w:rPr>
          <w:rFonts w:ascii="宋体" w:hAnsi="宋体"/>
          <w:spacing w:val="-3"/>
        </w:rPr>
        <w:t>出综</w:t>
      </w:r>
      <w:r>
        <w:rPr>
          <w:rFonts w:ascii="宋体" w:hAnsi="宋体"/>
        </w:rPr>
        <w:t>合评</w:t>
      </w:r>
      <w:r>
        <w:rPr>
          <w:rFonts w:ascii="宋体" w:hAnsi="宋体"/>
          <w:spacing w:val="-3"/>
        </w:rPr>
        <w:t>估</w:t>
      </w:r>
      <w:r>
        <w:rPr>
          <w:rFonts w:ascii="宋体" w:hAnsi="宋体"/>
        </w:rPr>
        <w:t>得</w:t>
      </w:r>
      <w:r>
        <w:rPr>
          <w:rFonts w:ascii="宋体" w:hAnsi="宋体"/>
          <w:spacing w:val="-3"/>
        </w:rPr>
        <w:t>分</w:t>
      </w:r>
      <w:r>
        <w:rPr>
          <w:rFonts w:ascii="宋体" w:hAnsi="宋体"/>
        </w:rPr>
        <w:t>。</w:t>
      </w:r>
    </w:p>
    <w:p w14:paraId="73B70CD1">
      <w:pPr>
        <w:widowControl w:val="0"/>
        <w:numPr>
          <w:ilvl w:val="3"/>
          <w:numId w:val="5"/>
        </w:numPr>
        <w:autoSpaceDE w:val="0"/>
        <w:autoSpaceDN w:val="0"/>
        <w:adjustRightInd w:val="0"/>
        <w:snapToGrid w:val="0"/>
        <w:ind w:firstLineChars="0"/>
        <w:jc w:val="left"/>
        <w:rPr>
          <w:rFonts w:ascii="宋体" w:hAnsi="宋体"/>
        </w:rPr>
      </w:pPr>
      <w:r>
        <w:rPr>
          <w:rFonts w:ascii="宋体" w:hAnsi="宋体"/>
        </w:rPr>
        <w:t>按本章商务</w:t>
      </w:r>
      <w:r>
        <w:rPr>
          <w:rFonts w:hint="eastAsia" w:ascii="宋体" w:hAnsi="宋体"/>
        </w:rPr>
        <w:t>标评审标准</w:t>
      </w:r>
      <w:r>
        <w:rPr>
          <w:rFonts w:ascii="宋体" w:hAnsi="宋体"/>
        </w:rPr>
        <w:t>规定的评审因素和分值对商务部分计算出得分A；</w:t>
      </w:r>
    </w:p>
    <w:p w14:paraId="0DFDA56C">
      <w:pPr>
        <w:widowControl w:val="0"/>
        <w:numPr>
          <w:ilvl w:val="3"/>
          <w:numId w:val="5"/>
        </w:numPr>
        <w:autoSpaceDE w:val="0"/>
        <w:autoSpaceDN w:val="0"/>
        <w:adjustRightInd w:val="0"/>
        <w:snapToGrid w:val="0"/>
        <w:ind w:firstLineChars="0"/>
        <w:jc w:val="left"/>
        <w:rPr>
          <w:rFonts w:ascii="宋体" w:hAnsi="宋体"/>
        </w:rPr>
      </w:pPr>
      <w:r>
        <w:rPr>
          <w:rFonts w:ascii="宋体" w:hAnsi="宋体"/>
        </w:rPr>
        <w:t>按本章技术</w:t>
      </w:r>
      <w:r>
        <w:rPr>
          <w:rFonts w:hint="eastAsia" w:ascii="宋体" w:hAnsi="宋体"/>
        </w:rPr>
        <w:t>标评审标准</w:t>
      </w:r>
      <w:r>
        <w:rPr>
          <w:rFonts w:ascii="宋体" w:hAnsi="宋体"/>
        </w:rPr>
        <w:t>规定的评审因素和分值对技术部分计算出得分B；</w:t>
      </w:r>
    </w:p>
    <w:p w14:paraId="40814901">
      <w:pPr>
        <w:widowControl w:val="0"/>
        <w:numPr>
          <w:ilvl w:val="3"/>
          <w:numId w:val="5"/>
        </w:numPr>
        <w:autoSpaceDE w:val="0"/>
        <w:autoSpaceDN w:val="0"/>
        <w:adjustRightInd w:val="0"/>
        <w:snapToGrid w:val="0"/>
        <w:ind w:firstLineChars="0"/>
        <w:jc w:val="left"/>
        <w:rPr>
          <w:rFonts w:ascii="宋体" w:hAnsi="宋体"/>
        </w:rPr>
      </w:pPr>
      <w:r>
        <w:rPr>
          <w:rFonts w:ascii="宋体" w:hAnsi="宋体"/>
        </w:rPr>
        <w:t>按本章</w:t>
      </w:r>
      <w:r>
        <w:rPr>
          <w:rFonts w:hint="eastAsia" w:ascii="宋体" w:hAnsi="宋体"/>
        </w:rPr>
        <w:t>价格标评审方法</w:t>
      </w:r>
      <w:r>
        <w:rPr>
          <w:rFonts w:ascii="宋体" w:hAnsi="宋体"/>
        </w:rPr>
        <w:t>规定的评审因素和分值对投标报价计算出得分C；</w:t>
      </w:r>
    </w:p>
    <w:p w14:paraId="41D0D660">
      <w:pPr>
        <w:widowControl w:val="0"/>
        <w:numPr>
          <w:ilvl w:val="3"/>
          <w:numId w:val="5"/>
        </w:numPr>
        <w:autoSpaceDE w:val="0"/>
        <w:autoSpaceDN w:val="0"/>
        <w:adjustRightInd w:val="0"/>
        <w:snapToGrid w:val="0"/>
        <w:ind w:firstLineChars="0"/>
        <w:jc w:val="left"/>
        <w:rPr>
          <w:rFonts w:ascii="宋体" w:hAnsi="宋体"/>
        </w:rPr>
      </w:pPr>
      <w:r>
        <w:rPr>
          <w:rFonts w:ascii="宋体" w:hAnsi="宋体"/>
        </w:rPr>
        <w:t>评分分值计算保留小数点后两位，小数点后第三位“四舍五入”。</w:t>
      </w:r>
    </w:p>
    <w:p w14:paraId="6384F5A9">
      <w:pPr>
        <w:widowControl w:val="0"/>
        <w:numPr>
          <w:ilvl w:val="2"/>
          <w:numId w:val="5"/>
        </w:numPr>
        <w:autoSpaceDE w:val="0"/>
        <w:autoSpaceDN w:val="0"/>
        <w:adjustRightInd w:val="0"/>
        <w:snapToGrid w:val="0"/>
        <w:ind w:firstLineChars="0"/>
        <w:jc w:val="left"/>
        <w:rPr>
          <w:rFonts w:ascii="宋体" w:hAnsi="宋体"/>
        </w:rPr>
      </w:pPr>
      <w:r>
        <w:rPr>
          <w:rFonts w:ascii="宋体" w:hAnsi="宋体"/>
        </w:rPr>
        <w:t>投标人得分=A+B+C。</w:t>
      </w:r>
    </w:p>
    <w:p w14:paraId="58FDD683">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4"/>
        </w:rPr>
        <w:t>评标委员会发现投标人的报价明显低于其他投标报价，使得其投标报价可能低于其</w:t>
      </w:r>
      <w:r>
        <w:rPr>
          <w:rFonts w:ascii="宋体" w:hAnsi="宋体"/>
          <w:spacing w:val="-1"/>
        </w:rPr>
        <w:t>成本的，应当要求该投标人作出书面说明并提供相应的证明材料。投标人不能合理说明或者</w:t>
      </w:r>
      <w:r>
        <w:rPr>
          <w:rFonts w:ascii="宋体" w:hAnsi="宋体"/>
          <w:spacing w:val="-6"/>
        </w:rPr>
        <w:t>不能提供相应证明材料的，</w:t>
      </w:r>
      <w:r>
        <w:rPr>
          <w:rFonts w:hint="eastAsia" w:ascii="宋体" w:hAnsi="宋体"/>
          <w:spacing w:val="-6"/>
        </w:rPr>
        <w:t>由</w:t>
      </w:r>
      <w:r>
        <w:rPr>
          <w:rFonts w:ascii="宋体" w:hAnsi="宋体"/>
          <w:spacing w:val="-6"/>
        </w:rPr>
        <w:t>评标委员会认定该投标人以低于成本报价竞标，并否决其投标。</w:t>
      </w:r>
    </w:p>
    <w:p w14:paraId="7A9FC831">
      <w:pPr>
        <w:widowControl w:val="0"/>
        <w:numPr>
          <w:ilvl w:val="1"/>
          <w:numId w:val="5"/>
        </w:numPr>
        <w:autoSpaceDE w:val="0"/>
        <w:autoSpaceDN w:val="0"/>
        <w:adjustRightInd w:val="0"/>
        <w:snapToGrid w:val="0"/>
        <w:ind w:firstLineChars="0"/>
        <w:jc w:val="left"/>
        <w:rPr>
          <w:rFonts w:ascii="宋体" w:hAnsi="宋体"/>
        </w:rPr>
      </w:pPr>
      <w:r>
        <w:rPr>
          <w:rFonts w:ascii="宋体" w:hAnsi="宋体"/>
        </w:rPr>
        <w:t>投标文件的澄清</w:t>
      </w:r>
    </w:p>
    <w:p w14:paraId="227B2252">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4"/>
        </w:rPr>
        <w:t>在评标过程中，评标委员会可以书面形式要求投标人对投标文件中含义不明确、对同</w:t>
      </w:r>
      <w:r>
        <w:rPr>
          <w:rFonts w:ascii="宋体" w:hAnsi="宋体"/>
          <w:spacing w:val="-1"/>
        </w:rPr>
        <w:t>类问题表述不一致或者有明显文字和计算错误的内容作必要的澄清、说明或补正。澄清、说明</w:t>
      </w:r>
      <w:r>
        <w:rPr>
          <w:rFonts w:ascii="宋体" w:hAnsi="宋体"/>
        </w:rPr>
        <w:t>或补正应以</w:t>
      </w:r>
      <w:r>
        <w:rPr>
          <w:rFonts w:hint="eastAsia" w:ascii="宋体" w:hAnsi="宋体"/>
        </w:rPr>
        <w:t>数据电文（或书面方式）</w:t>
      </w:r>
      <w:r>
        <w:rPr>
          <w:rFonts w:ascii="宋体" w:hAnsi="宋体"/>
        </w:rPr>
        <w:t>进行。评标委员会不接受投标人主动提出的澄清、说明或补正。</w:t>
      </w:r>
    </w:p>
    <w:p w14:paraId="229B32AC">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4"/>
        </w:rPr>
        <w:t>澄清、说明或补正不得超出投标文件的范围且不得改变投标文件的实质性内容，并构</w:t>
      </w:r>
      <w:r>
        <w:rPr>
          <w:rFonts w:ascii="宋体" w:hAnsi="宋体"/>
        </w:rPr>
        <w:t>成投标文件的组成部分。</w:t>
      </w:r>
    </w:p>
    <w:p w14:paraId="430B8BEE">
      <w:pPr>
        <w:widowControl w:val="0"/>
        <w:numPr>
          <w:ilvl w:val="2"/>
          <w:numId w:val="5"/>
        </w:numPr>
        <w:autoSpaceDE w:val="0"/>
        <w:autoSpaceDN w:val="0"/>
        <w:adjustRightInd w:val="0"/>
        <w:snapToGrid w:val="0"/>
        <w:ind w:firstLineChars="0"/>
        <w:jc w:val="left"/>
        <w:rPr>
          <w:rFonts w:ascii="宋体" w:hAnsi="宋体"/>
        </w:rPr>
      </w:pPr>
      <w:r>
        <w:rPr>
          <w:rFonts w:ascii="宋体" w:hAnsi="宋体"/>
          <w:spacing w:val="-7"/>
        </w:rPr>
        <w:t>评标委员会对投标人提交的澄清、说明或补正有疑问的，可以要求投标人进一步澄清、</w:t>
      </w:r>
      <w:r>
        <w:rPr>
          <w:rFonts w:ascii="宋体" w:hAnsi="宋体"/>
        </w:rPr>
        <w:t>说明或补正，直至满足评标委员会的要求。</w:t>
      </w:r>
    </w:p>
    <w:p w14:paraId="3EA86EC6">
      <w:pPr>
        <w:widowControl w:val="0"/>
        <w:numPr>
          <w:ilvl w:val="2"/>
          <w:numId w:val="5"/>
        </w:numPr>
        <w:autoSpaceDE w:val="0"/>
        <w:autoSpaceDN w:val="0"/>
        <w:adjustRightInd w:val="0"/>
        <w:snapToGrid w:val="0"/>
        <w:ind w:firstLineChars="0"/>
        <w:jc w:val="left"/>
        <w:rPr>
          <w:rFonts w:ascii="宋体" w:hAnsi="宋体"/>
        </w:rPr>
      </w:pPr>
      <w:r>
        <w:rPr>
          <w:rFonts w:hint="eastAsia" w:ascii="宋体" w:hAnsi="宋体"/>
        </w:rPr>
        <w:t>投标文件存在投标报价问题的，评标委员会可以进行投标报价的算术修正，投标报价算术修正按有利于招标人的原则进行，具体修正原则详见本章《价格标评审方法》。修正后的投标报价经投标人同意后，对投标人起约束作用。如果投标人不接受修正后的报价，其投标将被拒绝。</w:t>
      </w:r>
    </w:p>
    <w:p w14:paraId="5FE89157">
      <w:pPr>
        <w:widowControl w:val="0"/>
        <w:numPr>
          <w:ilvl w:val="1"/>
          <w:numId w:val="5"/>
        </w:numPr>
        <w:autoSpaceDE w:val="0"/>
        <w:autoSpaceDN w:val="0"/>
        <w:adjustRightInd w:val="0"/>
        <w:snapToGrid w:val="0"/>
        <w:ind w:firstLineChars="0"/>
        <w:jc w:val="left"/>
        <w:rPr>
          <w:rFonts w:ascii="宋体" w:hAnsi="宋体"/>
        </w:rPr>
      </w:pPr>
      <w:r>
        <w:rPr>
          <w:rFonts w:ascii="宋体" w:hAnsi="宋体"/>
        </w:rPr>
        <w:t>评标结果</w:t>
      </w:r>
    </w:p>
    <w:p w14:paraId="4BB92436">
      <w:pPr>
        <w:widowControl w:val="0"/>
        <w:numPr>
          <w:ilvl w:val="2"/>
          <w:numId w:val="5"/>
        </w:numPr>
        <w:autoSpaceDE w:val="0"/>
        <w:autoSpaceDN w:val="0"/>
        <w:adjustRightInd w:val="0"/>
        <w:snapToGrid w:val="0"/>
        <w:ind w:firstLineChars="0"/>
        <w:jc w:val="left"/>
        <w:rPr>
          <w:rFonts w:ascii="宋体" w:hAnsi="宋体"/>
        </w:rPr>
      </w:pPr>
      <w:r>
        <w:rPr>
          <w:rFonts w:ascii="宋体" w:hAnsi="宋体"/>
        </w:rPr>
        <w:t>除第</w:t>
      </w:r>
      <w:r>
        <w:rPr>
          <w:rFonts w:hint="eastAsia" w:ascii="宋体" w:hAnsi="宋体"/>
        </w:rPr>
        <w:t>一</w:t>
      </w:r>
      <w:r>
        <w:rPr>
          <w:rFonts w:ascii="宋体" w:hAnsi="宋体"/>
        </w:rPr>
        <w:t>章</w:t>
      </w:r>
      <w:r>
        <w:rPr>
          <w:rFonts w:ascii="宋体" w:hAnsi="宋体"/>
          <w:iCs/>
        </w:rPr>
        <w:t>“投标人须知”</w:t>
      </w:r>
      <w:r>
        <w:rPr>
          <w:rFonts w:ascii="宋体" w:hAnsi="宋体"/>
        </w:rPr>
        <w:t>前附表授权直接确定中标人外，评标委员会按照得分由高到低的顺序推荐中标候选人，并标明排序。</w:t>
      </w:r>
    </w:p>
    <w:p w14:paraId="19DEC12C">
      <w:pPr>
        <w:widowControl w:val="0"/>
        <w:numPr>
          <w:ilvl w:val="2"/>
          <w:numId w:val="5"/>
        </w:numPr>
        <w:autoSpaceDE w:val="0"/>
        <w:autoSpaceDN w:val="0"/>
        <w:adjustRightInd w:val="0"/>
        <w:snapToGrid w:val="0"/>
        <w:ind w:firstLineChars="0"/>
        <w:jc w:val="left"/>
        <w:rPr>
          <w:rFonts w:ascii="宋体" w:hAnsi="宋体"/>
        </w:rPr>
      </w:pPr>
      <w:r>
        <w:rPr>
          <w:rFonts w:ascii="宋体" w:hAnsi="宋体"/>
        </w:rPr>
        <w:t>评标委员会完成评标后，应当向招标人提交书面评标报告和中标候选人名单。</w:t>
      </w:r>
    </w:p>
    <w:p w14:paraId="1174EB94">
      <w:pPr>
        <w:widowControl w:val="0"/>
        <w:autoSpaceDE w:val="0"/>
        <w:autoSpaceDN w:val="0"/>
        <w:adjustRightInd w:val="0"/>
        <w:snapToGrid w:val="0"/>
        <w:ind w:firstLine="0" w:firstLineChars="0"/>
        <w:jc w:val="left"/>
        <w:rPr>
          <w:rFonts w:hint="eastAsia" w:ascii="宋体" w:hAnsi="宋体"/>
        </w:rPr>
      </w:pPr>
    </w:p>
    <w:p w14:paraId="1C1C79D8">
      <w:pPr>
        <w:widowControl w:val="0"/>
        <w:numPr>
          <w:ilvl w:val="0"/>
          <w:numId w:val="5"/>
        </w:numPr>
        <w:autoSpaceDE w:val="0"/>
        <w:autoSpaceDN w:val="0"/>
        <w:adjustRightInd w:val="0"/>
        <w:snapToGrid w:val="0"/>
        <w:ind w:firstLineChars="0"/>
        <w:jc w:val="left"/>
        <w:rPr>
          <w:rFonts w:ascii="宋体" w:hAnsi="宋体"/>
          <w:b/>
          <w:szCs w:val="21"/>
        </w:rPr>
      </w:pPr>
      <w:r>
        <w:rPr>
          <w:rFonts w:hint="eastAsia" w:ascii="宋体" w:hAnsi="宋体"/>
          <w:b/>
          <w:szCs w:val="21"/>
        </w:rPr>
        <w:t>中标候选人的推荐</w:t>
      </w:r>
    </w:p>
    <w:p w14:paraId="4B4571D0">
      <w:pPr>
        <w:widowControl w:val="0"/>
        <w:numPr>
          <w:ilvl w:val="1"/>
          <w:numId w:val="5"/>
        </w:numPr>
        <w:autoSpaceDE w:val="0"/>
        <w:autoSpaceDN w:val="0"/>
        <w:adjustRightInd w:val="0"/>
        <w:snapToGrid w:val="0"/>
        <w:ind w:firstLineChars="0"/>
        <w:jc w:val="left"/>
        <w:rPr>
          <w:rFonts w:ascii="宋体" w:hAnsi="宋体"/>
          <w:b/>
          <w:szCs w:val="21"/>
        </w:rPr>
      </w:pPr>
      <w:r>
        <w:rPr>
          <w:rFonts w:hint="eastAsia" w:ascii="宋体" w:hAnsi="宋体"/>
          <w:szCs w:val="21"/>
        </w:rPr>
        <w:t>按评审综合得分从高至低的顺序进行排序，向招标人推荐评审总得分排名靠前的投标人为中标候选人，推荐数量见投标人须知前附表。如投标人须知前附表要求授权评标委员会确定中标人的，向招标人推荐评审总得分排名第一的中标候选人，形成评标报告。</w:t>
      </w:r>
    </w:p>
    <w:p w14:paraId="6EE4F35D">
      <w:pPr>
        <w:widowControl w:val="0"/>
        <w:numPr>
          <w:ilvl w:val="1"/>
          <w:numId w:val="5"/>
        </w:numPr>
        <w:autoSpaceDE w:val="0"/>
        <w:autoSpaceDN w:val="0"/>
        <w:adjustRightInd w:val="0"/>
        <w:snapToGrid w:val="0"/>
        <w:ind w:firstLineChars="0"/>
        <w:jc w:val="left"/>
        <w:rPr>
          <w:rFonts w:ascii="宋体" w:hAnsi="宋体"/>
          <w:szCs w:val="21"/>
        </w:rPr>
      </w:pPr>
      <w:r>
        <w:rPr>
          <w:rFonts w:hint="eastAsia" w:ascii="宋体" w:hAnsi="宋体"/>
          <w:szCs w:val="21"/>
        </w:rPr>
        <w:t>若出现评审综合得分相同的情形，按投标报价由低到高顺序排列；得分且投标报价相同的，按技术标得分顺序排列；如技术标得分仍然相同，则采用抽签的方法确定中标候选人的排序。</w:t>
      </w:r>
    </w:p>
    <w:p w14:paraId="7DF2BF7A">
      <w:pPr>
        <w:widowControl w:val="0"/>
        <w:autoSpaceDE w:val="0"/>
        <w:autoSpaceDN w:val="0"/>
        <w:adjustRightInd w:val="0"/>
        <w:snapToGrid w:val="0"/>
        <w:ind w:firstLine="0" w:firstLineChars="0"/>
        <w:jc w:val="left"/>
        <w:rPr>
          <w:rFonts w:ascii="宋体" w:hAnsi="宋体"/>
          <w:b/>
          <w:bCs/>
          <w:sz w:val="84"/>
          <w:szCs w:val="84"/>
        </w:rPr>
      </w:pPr>
      <w:r>
        <w:rPr>
          <w:rFonts w:ascii="宋体" w:hAnsi="宋体"/>
          <w:b/>
          <w:sz w:val="32"/>
        </w:rPr>
        <w:br w:type="page"/>
      </w:r>
      <w:bookmarkEnd w:id="287"/>
      <w:bookmarkEnd w:id="294"/>
      <w:bookmarkEnd w:id="295"/>
      <w:bookmarkEnd w:id="296"/>
      <w:bookmarkEnd w:id="297"/>
      <w:bookmarkEnd w:id="298"/>
      <w:bookmarkStart w:id="334" w:name="_Toc152042387"/>
      <w:bookmarkStart w:id="335" w:name="_Toc403513554"/>
      <w:bookmarkStart w:id="336" w:name="_Toc152045609"/>
      <w:bookmarkStart w:id="337" w:name="_Toc144974577"/>
    </w:p>
    <w:p w14:paraId="112165B5">
      <w:pPr>
        <w:widowControl w:val="0"/>
        <w:autoSpaceDE w:val="0"/>
        <w:autoSpaceDN w:val="0"/>
        <w:adjustRightInd w:val="0"/>
        <w:snapToGrid w:val="0"/>
        <w:ind w:firstLine="0" w:firstLineChars="0"/>
        <w:jc w:val="left"/>
        <w:rPr>
          <w:rFonts w:ascii="宋体" w:hAnsi="宋体"/>
          <w:b/>
          <w:bCs/>
          <w:sz w:val="84"/>
          <w:szCs w:val="84"/>
        </w:rPr>
      </w:pPr>
    </w:p>
    <w:p w14:paraId="5D69790E">
      <w:pPr>
        <w:widowControl w:val="0"/>
        <w:autoSpaceDE w:val="0"/>
        <w:autoSpaceDN w:val="0"/>
        <w:adjustRightInd w:val="0"/>
        <w:snapToGrid w:val="0"/>
        <w:ind w:firstLine="0" w:firstLineChars="0"/>
        <w:jc w:val="left"/>
        <w:rPr>
          <w:rFonts w:ascii="宋体" w:hAnsi="宋体"/>
          <w:b/>
          <w:bCs/>
          <w:sz w:val="84"/>
          <w:szCs w:val="84"/>
        </w:rPr>
      </w:pPr>
    </w:p>
    <w:p w14:paraId="70348861">
      <w:pPr>
        <w:pStyle w:val="13"/>
        <w:ind w:firstLine="420"/>
      </w:pPr>
    </w:p>
    <w:p w14:paraId="51E83DA7">
      <w:pPr>
        <w:widowControl w:val="0"/>
        <w:autoSpaceDE w:val="0"/>
        <w:autoSpaceDN w:val="0"/>
        <w:adjustRightInd w:val="0"/>
        <w:snapToGrid w:val="0"/>
        <w:ind w:firstLine="0" w:firstLineChars="0"/>
        <w:jc w:val="left"/>
        <w:rPr>
          <w:rFonts w:ascii="宋体" w:hAnsi="宋体"/>
          <w:b/>
          <w:bCs/>
          <w:sz w:val="84"/>
          <w:szCs w:val="84"/>
        </w:rPr>
      </w:pPr>
    </w:p>
    <w:p w14:paraId="401E9F18">
      <w:pPr>
        <w:ind w:firstLine="420"/>
      </w:pPr>
      <w:bookmarkStart w:id="338" w:name="_Toc8919"/>
      <w:bookmarkStart w:id="339" w:name="_Toc23775"/>
      <w:bookmarkStart w:id="340" w:name="_Toc19487"/>
      <w:bookmarkStart w:id="341" w:name="_Toc21914"/>
      <w:bookmarkStart w:id="342" w:name="_Toc17461"/>
    </w:p>
    <w:p w14:paraId="427E0F06">
      <w:pPr>
        <w:widowControl w:val="0"/>
        <w:autoSpaceDE w:val="0"/>
        <w:autoSpaceDN w:val="0"/>
        <w:adjustRightInd w:val="0"/>
        <w:snapToGrid w:val="0"/>
        <w:ind w:firstLine="0" w:firstLineChars="0"/>
        <w:jc w:val="center"/>
        <w:outlineLvl w:val="0"/>
        <w:rPr>
          <w:rFonts w:ascii="宋体" w:hAnsi="宋体"/>
          <w:b/>
          <w:bCs/>
          <w:sz w:val="52"/>
          <w:szCs w:val="52"/>
        </w:rPr>
      </w:pPr>
      <w:bookmarkStart w:id="343" w:name="_Toc26859"/>
      <w:r>
        <w:rPr>
          <w:rFonts w:hint="eastAsia" w:ascii="宋体" w:hAnsi="宋体"/>
          <w:b/>
          <w:bCs/>
          <w:sz w:val="52"/>
          <w:szCs w:val="52"/>
        </w:rPr>
        <w:t>第三章 合同条款</w:t>
      </w:r>
      <w:bookmarkEnd w:id="334"/>
      <w:bookmarkEnd w:id="335"/>
      <w:bookmarkEnd w:id="336"/>
      <w:bookmarkEnd w:id="337"/>
      <w:bookmarkStart w:id="344" w:name="_Toc403513619"/>
      <w:bookmarkStart w:id="345" w:name="_Toc406669470"/>
      <w:r>
        <w:rPr>
          <w:rFonts w:hint="eastAsia" w:ascii="宋体" w:hAnsi="宋体"/>
          <w:b/>
          <w:bCs/>
          <w:sz w:val="52"/>
          <w:szCs w:val="52"/>
        </w:rPr>
        <w:t>及格式</w:t>
      </w:r>
      <w:bookmarkEnd w:id="338"/>
      <w:bookmarkEnd w:id="339"/>
      <w:bookmarkEnd w:id="340"/>
      <w:bookmarkEnd w:id="341"/>
      <w:bookmarkEnd w:id="342"/>
      <w:bookmarkEnd w:id="343"/>
    </w:p>
    <w:p w14:paraId="2A9ADCA2">
      <w:pPr>
        <w:ind w:firstLine="422"/>
        <w:jc w:val="center"/>
        <w:rPr>
          <w:rFonts w:hint="eastAsia" w:ascii="宋体" w:hAnsi="宋体"/>
          <w:b/>
          <w:sz w:val="40"/>
        </w:rPr>
      </w:pPr>
      <w:r>
        <w:rPr>
          <w:rFonts w:ascii="宋体" w:hAnsi="宋体"/>
          <w:b/>
          <w:bCs/>
          <w:szCs w:val="52"/>
        </w:rPr>
        <w:br w:type="page"/>
      </w:r>
    </w:p>
    <w:p w14:paraId="08F23852">
      <w:pPr>
        <w:widowControl w:val="0"/>
        <w:spacing w:line="600" w:lineRule="exact"/>
        <w:ind w:firstLine="0" w:firstLineChars="0"/>
        <w:jc w:val="center"/>
        <w:rPr>
          <w:rFonts w:hint="eastAsia" w:ascii="仿宋" w:hAnsi="仿宋" w:eastAsia="仿宋" w:cs="仿宋"/>
          <w:b/>
          <w:bCs/>
          <w:color w:val="auto"/>
          <w:sz w:val="44"/>
          <w:szCs w:val="44"/>
          <w:highlight w:val="none"/>
          <w:u w:val="none" w:color="auto"/>
          <w:lang w:val="en-US" w:eastAsia="zh-CN"/>
        </w:rPr>
      </w:pPr>
      <w:r>
        <w:rPr>
          <w:rFonts w:hint="eastAsia" w:ascii="微软雅黑" w:hAnsi="微软雅黑" w:eastAsia="微软雅黑" w:cs="微软雅黑"/>
          <w:b w:val="0"/>
          <w:bCs w:val="0"/>
          <w:color w:val="auto"/>
          <w:sz w:val="44"/>
          <w:szCs w:val="44"/>
          <w:highlight w:val="none"/>
          <w:u w:val="none" w:color="auto"/>
          <w:lang w:val="en-US" w:eastAsia="zh-CN"/>
        </w:rPr>
        <w:t>员工食堂后厨综合保障服务合同</w:t>
      </w:r>
    </w:p>
    <w:p w14:paraId="631ECE61">
      <w:pPr>
        <w:widowControl w:val="0"/>
        <w:spacing w:line="600" w:lineRule="exact"/>
        <w:ind w:firstLine="0" w:firstLineChars="0"/>
        <w:jc w:val="center"/>
        <w:rPr>
          <w:rFonts w:ascii="宋体" w:hAnsi="宋体" w:cs="Calibri"/>
          <w:b/>
          <w:bCs/>
          <w:color w:val="auto"/>
          <w:sz w:val="52"/>
          <w:szCs w:val="52"/>
          <w:highlight w:val="none"/>
          <w:u w:val="single" w:color="000000"/>
        </w:rPr>
      </w:pPr>
    </w:p>
    <w:p w14:paraId="603DC6CF">
      <w:pPr>
        <w:widowControl w:val="0"/>
        <w:spacing w:line="600" w:lineRule="exact"/>
        <w:ind w:left="0" w:leftChars="0" w:firstLine="0" w:firstLineChars="0"/>
        <w:rPr>
          <w:rFonts w:hint="default" w:ascii="仿宋" w:hAnsi="仿宋" w:eastAsia="仿宋" w:cs="仿宋"/>
          <w:color w:val="auto"/>
          <w:sz w:val="32"/>
          <w:szCs w:val="32"/>
          <w:highlight w:val="none"/>
          <w:u w:color="000000"/>
          <w:lang w:val="en-US" w:eastAsia="zh-CN"/>
        </w:rPr>
      </w:pPr>
      <w:r>
        <w:rPr>
          <w:rFonts w:hint="eastAsia" w:ascii="仿宋" w:hAnsi="仿宋" w:eastAsia="仿宋" w:cs="仿宋"/>
          <w:color w:val="auto"/>
          <w:sz w:val="32"/>
          <w:szCs w:val="32"/>
          <w:highlight w:val="none"/>
          <w:u w:color="000000"/>
        </w:rPr>
        <w:t>甲方：</w:t>
      </w:r>
      <w:r>
        <w:rPr>
          <w:rFonts w:hint="eastAsia" w:ascii="仿宋" w:hAnsi="仿宋" w:eastAsia="仿宋" w:cs="仿宋"/>
          <w:color w:val="auto"/>
          <w:sz w:val="32"/>
          <w:szCs w:val="32"/>
          <w:highlight w:val="none"/>
          <w:u w:val="single" w:color="auto"/>
          <w:lang w:val="en-US" w:eastAsia="zh-CN"/>
        </w:rPr>
        <w:t xml:space="preserve">                  </w:t>
      </w:r>
      <w:r>
        <w:rPr>
          <w:rFonts w:hint="eastAsia" w:ascii="仿宋" w:hAnsi="仿宋" w:eastAsia="仿宋" w:cs="仿宋"/>
          <w:color w:val="auto"/>
          <w:sz w:val="32"/>
          <w:szCs w:val="32"/>
          <w:highlight w:val="none"/>
          <w:u w:color="000000"/>
          <w:lang w:val="en-US" w:eastAsia="zh-CN"/>
        </w:rPr>
        <w:t xml:space="preserve">            </w:t>
      </w:r>
    </w:p>
    <w:p w14:paraId="509E5022">
      <w:pPr>
        <w:widowControl w:val="0"/>
        <w:spacing w:line="600" w:lineRule="exact"/>
        <w:ind w:left="0" w:leftChars="0" w:firstLine="0" w:firstLineChars="0"/>
        <w:rPr>
          <w:rFonts w:hint="eastAsia" w:ascii="仿宋" w:hAnsi="仿宋" w:eastAsia="仿宋" w:cs="仿宋"/>
          <w:sz w:val="32"/>
          <w:szCs w:val="32"/>
          <w:highlight w:val="none"/>
          <w:u w:val="single" w:color="auto"/>
          <w:lang w:val="en-US" w:eastAsia="zh-CN"/>
        </w:rPr>
      </w:pPr>
      <w:r>
        <w:rPr>
          <w:rFonts w:hint="eastAsia" w:ascii="仿宋" w:hAnsi="仿宋" w:eastAsia="仿宋" w:cs="仿宋"/>
          <w:color w:val="auto"/>
          <w:sz w:val="32"/>
          <w:szCs w:val="32"/>
          <w:highlight w:val="none"/>
          <w:u w:color="000000"/>
        </w:rPr>
        <w:t>乙方：</w:t>
      </w:r>
      <w:r>
        <w:rPr>
          <w:rFonts w:hint="eastAsia" w:ascii="仿宋" w:hAnsi="仿宋" w:eastAsia="仿宋" w:cs="仿宋"/>
          <w:color w:val="auto"/>
          <w:sz w:val="32"/>
          <w:szCs w:val="32"/>
          <w:highlight w:val="none"/>
          <w:u w:val="single" w:color="auto"/>
          <w:lang w:val="en-US" w:eastAsia="zh-CN"/>
        </w:rPr>
        <w:t xml:space="preserve">                </w:t>
      </w:r>
      <w:r>
        <w:rPr>
          <w:rFonts w:hint="eastAsia" w:ascii="仿宋" w:hAnsi="仿宋" w:eastAsia="仿宋" w:cs="仿宋"/>
          <w:sz w:val="32"/>
          <w:szCs w:val="32"/>
          <w:highlight w:val="none"/>
          <w:u w:val="single" w:color="auto"/>
          <w:lang w:val="en-US" w:eastAsia="zh-CN"/>
        </w:rPr>
        <w:t xml:space="preserve">  </w:t>
      </w:r>
    </w:p>
    <w:p w14:paraId="59D70C0D">
      <w:pPr>
        <w:widowControl w:val="0"/>
        <w:spacing w:line="600" w:lineRule="exact"/>
        <w:ind w:left="0" w:leftChars="0" w:firstLine="640" w:firstLineChars="200"/>
        <w:rPr>
          <w:rFonts w:hint="eastAsia" w:ascii="仿宋" w:hAnsi="仿宋" w:eastAsia="仿宋" w:cs="仿宋"/>
          <w:sz w:val="32"/>
          <w:szCs w:val="32"/>
          <w:highlight w:val="none"/>
          <w:u w:val="single" w:color="auto"/>
          <w:lang w:val="en-US" w:eastAsia="zh-CN"/>
        </w:rPr>
      </w:pPr>
    </w:p>
    <w:p w14:paraId="3CFE4150">
      <w:pPr>
        <w:keepNext w:val="0"/>
        <w:keepLines w:val="0"/>
        <w:pageBreakBefore w:val="0"/>
        <w:widowControl w:val="0"/>
        <w:kinsoku/>
        <w:wordWrap/>
        <w:overflowPunct/>
        <w:topLinePunct w:val="0"/>
        <w:bidi w:val="0"/>
        <w:spacing w:beforeAutospacing="0" w:afterAutospacing="0" w:line="560" w:lineRule="exact"/>
        <w:ind w:left="0" w:leftChars="0" w:firstLine="640" w:firstLineChars="20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根据</w:t>
      </w:r>
      <w:r>
        <w:rPr>
          <w:rFonts w:hint="eastAsia" w:ascii="仿宋" w:hAnsi="仿宋" w:eastAsia="仿宋" w:cs="仿宋"/>
          <w:color w:val="auto"/>
          <w:sz w:val="32"/>
          <w:szCs w:val="32"/>
          <w:highlight w:val="none"/>
          <w:u w:val="single" w:color="auto"/>
        </w:rPr>
        <w:t>深圳市网羽中心运营管理有限公司员工食堂后厨综合保障服务采购项目</w:t>
      </w:r>
      <w:r>
        <w:rPr>
          <w:rFonts w:hint="eastAsia" w:ascii="仿宋" w:hAnsi="仿宋" w:eastAsia="仿宋" w:cs="仿宋"/>
          <w:color w:val="auto"/>
          <w:sz w:val="32"/>
          <w:szCs w:val="32"/>
          <w:highlight w:val="none"/>
          <w:u w:color="000000"/>
        </w:rPr>
        <w:t>的采购结果，现甲乙双方本着平等、自愿的原则，经友好协商，就乙方向甲方提供</w:t>
      </w:r>
      <w:r>
        <w:rPr>
          <w:rFonts w:hint="eastAsia" w:ascii="仿宋" w:hAnsi="仿宋" w:eastAsia="仿宋" w:cs="仿宋"/>
          <w:color w:val="auto"/>
          <w:sz w:val="32"/>
          <w:szCs w:val="32"/>
          <w:highlight w:val="none"/>
          <w:u w:color="000000"/>
          <w:lang w:val="en-US" w:eastAsia="zh-CN"/>
        </w:rPr>
        <w:t>后厨综合保障</w:t>
      </w:r>
      <w:r>
        <w:rPr>
          <w:rFonts w:hint="eastAsia" w:ascii="仿宋" w:hAnsi="仿宋" w:eastAsia="仿宋" w:cs="仿宋"/>
          <w:color w:val="auto"/>
          <w:sz w:val="32"/>
          <w:szCs w:val="32"/>
          <w:highlight w:val="none"/>
          <w:u w:color="000000"/>
        </w:rPr>
        <w:t>服务事项达成一致，订立本合同，双方共同遵照执行。</w:t>
      </w:r>
    </w:p>
    <w:p w14:paraId="53445F39">
      <w:pPr>
        <w:keepNext w:val="0"/>
        <w:keepLines w:val="0"/>
        <w:pageBreakBefore w:val="0"/>
        <w:widowControl w:val="0"/>
        <w:kinsoku/>
        <w:wordWrap/>
        <w:overflowPunct/>
        <w:topLinePunct w:val="0"/>
        <w:autoSpaceDE w:val="0"/>
        <w:autoSpaceDN w:val="0"/>
        <w:bidi w:val="0"/>
        <w:adjustRightInd w:val="0"/>
        <w:snapToGrid w:val="0"/>
        <w:spacing w:beforeAutospacing="0" w:afterAutospacing="0" w:line="560" w:lineRule="exact"/>
        <w:ind w:firstLine="643" w:firstLineChars="200"/>
        <w:jc w:val="left"/>
        <w:textAlignment w:val="auto"/>
        <w:outlineLvl w:val="1"/>
        <w:rPr>
          <w:rFonts w:hint="eastAsia" w:ascii="仿宋" w:hAnsi="仿宋" w:eastAsia="仿宋" w:cs="仿宋"/>
          <w:b/>
          <w:bCs/>
          <w:color w:val="auto"/>
          <w:sz w:val="32"/>
          <w:szCs w:val="32"/>
          <w:highlight w:val="none"/>
          <w:u w:color="000000"/>
        </w:rPr>
      </w:pPr>
      <w:bookmarkStart w:id="346" w:name="_Toc3481"/>
      <w:r>
        <w:rPr>
          <w:rFonts w:hint="eastAsia" w:ascii="仿宋" w:hAnsi="仿宋" w:eastAsia="仿宋" w:cs="仿宋"/>
          <w:b/>
          <w:bCs/>
          <w:color w:val="auto"/>
          <w:sz w:val="32"/>
          <w:szCs w:val="32"/>
          <w:highlight w:val="none"/>
          <w:u w:color="000000"/>
        </w:rPr>
        <w:t>一、服务内容</w:t>
      </w:r>
      <w:bookmarkEnd w:id="346"/>
    </w:p>
    <w:p w14:paraId="3313B473">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（一）甲方将自有食堂</w:t>
      </w:r>
      <w:r>
        <w:rPr>
          <w:rFonts w:hint="eastAsia" w:ascii="仿宋" w:hAnsi="仿宋" w:eastAsia="仿宋" w:cs="仿宋"/>
          <w:color w:val="auto"/>
          <w:sz w:val="32"/>
          <w:szCs w:val="32"/>
          <w:highlight w:val="none"/>
          <w:u w:color="000000"/>
          <w:lang w:val="en-US" w:eastAsia="zh-CN"/>
        </w:rPr>
        <w:t>后厨综合保障</w:t>
      </w:r>
      <w:r>
        <w:rPr>
          <w:rFonts w:hint="eastAsia" w:ascii="仿宋" w:hAnsi="仿宋" w:eastAsia="仿宋" w:cs="仿宋"/>
          <w:color w:val="auto"/>
          <w:sz w:val="32"/>
          <w:szCs w:val="32"/>
          <w:highlight w:val="none"/>
          <w:u w:color="000000"/>
        </w:rPr>
        <w:t>服务委托给乙方，由乙方根据甲方需求为甲方员工提供</w:t>
      </w:r>
      <w:r>
        <w:rPr>
          <w:rFonts w:hint="eastAsia" w:ascii="仿宋" w:hAnsi="仿宋" w:eastAsia="仿宋" w:cs="仿宋"/>
          <w:color w:val="auto"/>
          <w:sz w:val="32"/>
          <w:szCs w:val="32"/>
          <w:highlight w:val="none"/>
          <w:u w:color="000000"/>
          <w:lang w:val="en-US" w:eastAsia="zh-CN"/>
        </w:rPr>
        <w:t>周一至周日</w:t>
      </w:r>
      <w:r>
        <w:rPr>
          <w:rFonts w:hint="eastAsia" w:ascii="仿宋" w:hAnsi="仿宋" w:eastAsia="仿宋" w:cs="仿宋"/>
          <w:color w:val="auto"/>
          <w:sz w:val="32"/>
          <w:szCs w:val="32"/>
          <w:highlight w:val="none"/>
          <w:u w:color="000000"/>
        </w:rPr>
        <w:t>早餐、午餐、</w:t>
      </w:r>
      <w:r>
        <w:rPr>
          <w:rFonts w:hint="eastAsia" w:ascii="仿宋" w:hAnsi="仿宋" w:eastAsia="仿宋" w:cs="仿宋"/>
          <w:color w:val="auto"/>
          <w:sz w:val="32"/>
          <w:szCs w:val="32"/>
          <w:highlight w:val="none"/>
          <w:u w:color="000000"/>
          <w:lang w:val="en-US" w:eastAsia="zh-CN"/>
        </w:rPr>
        <w:t>晚餐、</w:t>
      </w:r>
      <w:r>
        <w:rPr>
          <w:rFonts w:hint="eastAsia" w:ascii="仿宋" w:hAnsi="仿宋" w:eastAsia="仿宋" w:cs="仿宋"/>
          <w:color w:val="auto"/>
          <w:sz w:val="32"/>
          <w:szCs w:val="32"/>
          <w:highlight w:val="none"/>
          <w:u w:color="000000"/>
        </w:rPr>
        <w:t>值班简餐及其他招标人要求的餐饮服务，具体如下：</w:t>
      </w:r>
    </w:p>
    <w:p w14:paraId="1CB02344">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default" w:ascii="仿宋" w:hAnsi="仿宋" w:eastAsia="仿宋" w:cs="仿宋"/>
          <w:color w:val="auto"/>
          <w:sz w:val="32"/>
          <w:szCs w:val="32"/>
          <w:highlight w:val="none"/>
          <w:u w:color="000000"/>
          <w:lang w:val="en-US" w:eastAsia="zh-CN"/>
        </w:rPr>
      </w:pPr>
      <w:r>
        <w:rPr>
          <w:rFonts w:hint="eastAsia" w:ascii="仿宋" w:hAnsi="仿宋" w:eastAsia="仿宋" w:cs="仿宋"/>
          <w:color w:val="auto"/>
          <w:sz w:val="32"/>
          <w:szCs w:val="32"/>
          <w:highlight w:val="none"/>
          <w:u w:color="000000"/>
          <w:lang w:val="en-US" w:eastAsia="zh-CN"/>
        </w:rPr>
        <w:t>1.</w:t>
      </w:r>
      <w:r>
        <w:rPr>
          <w:rFonts w:hint="eastAsia" w:ascii="仿宋" w:hAnsi="仿宋" w:eastAsia="仿宋" w:cs="仿宋"/>
          <w:color w:val="auto"/>
          <w:sz w:val="32"/>
          <w:szCs w:val="32"/>
          <w:highlight w:val="none"/>
          <w:u w:color="000000"/>
        </w:rPr>
        <w:t>供餐时间：</w:t>
      </w:r>
    </w:p>
    <w:p w14:paraId="0B239FDC">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早餐0</w:t>
      </w:r>
      <w:r>
        <w:rPr>
          <w:rFonts w:hint="eastAsia" w:ascii="仿宋" w:hAnsi="仿宋" w:eastAsia="仿宋" w:cs="仿宋"/>
          <w:color w:val="auto"/>
          <w:sz w:val="32"/>
          <w:szCs w:val="32"/>
          <w:highlight w:val="none"/>
          <w:u w:color="000000"/>
          <w:lang w:val="en-US" w:eastAsia="zh-CN"/>
        </w:rPr>
        <w:t>8</w:t>
      </w:r>
      <w:r>
        <w:rPr>
          <w:rFonts w:hint="eastAsia" w:ascii="仿宋" w:hAnsi="仿宋" w:eastAsia="仿宋" w:cs="仿宋"/>
          <w:color w:val="auto"/>
          <w:sz w:val="32"/>
          <w:szCs w:val="32"/>
          <w:highlight w:val="none"/>
          <w:u w:color="000000"/>
        </w:rPr>
        <w:t>:</w:t>
      </w:r>
      <w:r>
        <w:rPr>
          <w:rFonts w:hint="eastAsia" w:ascii="仿宋" w:hAnsi="仿宋" w:eastAsia="仿宋" w:cs="仿宋"/>
          <w:color w:val="auto"/>
          <w:sz w:val="32"/>
          <w:szCs w:val="32"/>
          <w:highlight w:val="none"/>
          <w:u w:color="000000"/>
          <w:lang w:val="en-US" w:eastAsia="zh-CN"/>
        </w:rPr>
        <w:t>00</w:t>
      </w:r>
      <w:r>
        <w:rPr>
          <w:rFonts w:hint="eastAsia" w:ascii="仿宋" w:hAnsi="仿宋" w:eastAsia="仿宋" w:cs="仿宋"/>
          <w:color w:val="auto"/>
          <w:sz w:val="32"/>
          <w:szCs w:val="32"/>
          <w:highlight w:val="none"/>
          <w:u w:color="000000"/>
        </w:rPr>
        <w:t>—0</w:t>
      </w:r>
      <w:r>
        <w:rPr>
          <w:rFonts w:hint="eastAsia" w:ascii="仿宋" w:hAnsi="仿宋" w:eastAsia="仿宋" w:cs="仿宋"/>
          <w:color w:val="auto"/>
          <w:sz w:val="32"/>
          <w:szCs w:val="32"/>
          <w:highlight w:val="none"/>
          <w:u w:color="000000"/>
          <w:lang w:eastAsia="zh-CN"/>
        </w:rPr>
        <w:t>9</w:t>
      </w:r>
      <w:r>
        <w:rPr>
          <w:rFonts w:hint="eastAsia" w:ascii="仿宋" w:hAnsi="仿宋" w:eastAsia="仿宋" w:cs="仿宋"/>
          <w:color w:val="auto"/>
          <w:sz w:val="32"/>
          <w:szCs w:val="32"/>
          <w:highlight w:val="none"/>
          <w:u w:color="000000"/>
        </w:rPr>
        <w:t>:</w:t>
      </w:r>
      <w:r>
        <w:rPr>
          <w:rFonts w:hint="eastAsia" w:ascii="仿宋" w:hAnsi="仿宋" w:eastAsia="仿宋" w:cs="仿宋"/>
          <w:color w:val="auto"/>
          <w:sz w:val="32"/>
          <w:szCs w:val="32"/>
          <w:highlight w:val="none"/>
          <w:u w:color="000000"/>
          <w:lang w:eastAsia="zh-CN"/>
        </w:rPr>
        <w:t>0</w:t>
      </w:r>
      <w:r>
        <w:rPr>
          <w:rFonts w:hint="eastAsia" w:ascii="仿宋" w:hAnsi="仿宋" w:eastAsia="仿宋" w:cs="仿宋"/>
          <w:color w:val="auto"/>
          <w:sz w:val="32"/>
          <w:szCs w:val="32"/>
          <w:highlight w:val="none"/>
          <w:u w:color="000000"/>
        </w:rPr>
        <w:t>0（含法定节假日）</w:t>
      </w:r>
    </w:p>
    <w:p w14:paraId="6AF0F17C">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午餐1</w:t>
      </w:r>
      <w:r>
        <w:rPr>
          <w:rFonts w:hint="eastAsia" w:ascii="仿宋" w:hAnsi="仿宋" w:eastAsia="仿宋" w:cs="仿宋"/>
          <w:color w:val="auto"/>
          <w:sz w:val="32"/>
          <w:szCs w:val="32"/>
          <w:highlight w:val="none"/>
          <w:u w:color="000000"/>
          <w:lang w:val="en-US" w:eastAsia="zh-CN"/>
        </w:rPr>
        <w:t>2</w:t>
      </w:r>
      <w:r>
        <w:rPr>
          <w:rFonts w:hint="eastAsia" w:ascii="仿宋" w:hAnsi="仿宋" w:eastAsia="仿宋" w:cs="仿宋"/>
          <w:color w:val="auto"/>
          <w:sz w:val="32"/>
          <w:szCs w:val="32"/>
          <w:highlight w:val="none"/>
          <w:u w:color="000000"/>
        </w:rPr>
        <w:t>:</w:t>
      </w:r>
      <w:r>
        <w:rPr>
          <w:rFonts w:hint="eastAsia" w:ascii="仿宋" w:hAnsi="仿宋" w:eastAsia="仿宋" w:cs="仿宋"/>
          <w:color w:val="auto"/>
          <w:sz w:val="32"/>
          <w:szCs w:val="32"/>
          <w:highlight w:val="none"/>
          <w:u w:color="000000"/>
          <w:lang w:val="en-US" w:eastAsia="zh-CN"/>
        </w:rPr>
        <w:t>0</w:t>
      </w:r>
      <w:r>
        <w:rPr>
          <w:rFonts w:hint="eastAsia" w:ascii="仿宋" w:hAnsi="仿宋" w:eastAsia="仿宋" w:cs="仿宋"/>
          <w:color w:val="auto"/>
          <w:sz w:val="32"/>
          <w:szCs w:val="32"/>
          <w:highlight w:val="none"/>
          <w:u w:color="000000"/>
          <w:lang w:eastAsia="zh-CN"/>
        </w:rPr>
        <w:t>0</w:t>
      </w:r>
      <w:r>
        <w:rPr>
          <w:rFonts w:hint="eastAsia" w:ascii="仿宋" w:hAnsi="仿宋" w:eastAsia="仿宋" w:cs="仿宋"/>
          <w:color w:val="auto"/>
          <w:sz w:val="32"/>
          <w:szCs w:val="32"/>
          <w:highlight w:val="none"/>
          <w:u w:color="000000"/>
        </w:rPr>
        <w:t>—13:00（含法定节假日）</w:t>
      </w:r>
    </w:p>
    <w:p w14:paraId="6E126E46">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晚餐1</w:t>
      </w:r>
      <w:r>
        <w:rPr>
          <w:rFonts w:hint="eastAsia" w:ascii="仿宋" w:hAnsi="仿宋" w:eastAsia="仿宋" w:cs="仿宋"/>
          <w:color w:val="auto"/>
          <w:sz w:val="32"/>
          <w:szCs w:val="32"/>
          <w:highlight w:val="none"/>
          <w:u w:color="000000"/>
          <w:lang w:val="en-US" w:eastAsia="zh-CN"/>
        </w:rPr>
        <w:t>7:3</w:t>
      </w:r>
      <w:r>
        <w:rPr>
          <w:rFonts w:hint="eastAsia" w:ascii="仿宋" w:hAnsi="仿宋" w:eastAsia="仿宋" w:cs="仿宋"/>
          <w:color w:val="auto"/>
          <w:sz w:val="32"/>
          <w:szCs w:val="32"/>
          <w:highlight w:val="none"/>
          <w:u w:color="000000"/>
        </w:rPr>
        <w:t>0—1</w:t>
      </w:r>
      <w:r>
        <w:rPr>
          <w:rFonts w:hint="eastAsia" w:ascii="仿宋" w:hAnsi="仿宋" w:eastAsia="仿宋" w:cs="仿宋"/>
          <w:color w:val="auto"/>
          <w:sz w:val="32"/>
          <w:szCs w:val="32"/>
          <w:highlight w:val="none"/>
          <w:u w:color="000000"/>
          <w:lang w:val="en-US" w:eastAsia="zh-CN"/>
        </w:rPr>
        <w:t>8</w:t>
      </w:r>
      <w:r>
        <w:rPr>
          <w:rFonts w:hint="eastAsia" w:ascii="仿宋" w:hAnsi="仿宋" w:eastAsia="仿宋" w:cs="仿宋"/>
          <w:color w:val="auto"/>
          <w:sz w:val="32"/>
          <w:szCs w:val="32"/>
          <w:highlight w:val="none"/>
          <w:u w:color="000000"/>
        </w:rPr>
        <w:t>:</w:t>
      </w:r>
      <w:r>
        <w:rPr>
          <w:rFonts w:hint="eastAsia" w:ascii="仿宋" w:hAnsi="仿宋" w:eastAsia="仿宋" w:cs="仿宋"/>
          <w:color w:val="auto"/>
          <w:sz w:val="32"/>
          <w:szCs w:val="32"/>
          <w:highlight w:val="none"/>
          <w:u w:color="000000"/>
          <w:lang w:val="en-US" w:eastAsia="zh-CN"/>
        </w:rPr>
        <w:t>3</w:t>
      </w:r>
      <w:r>
        <w:rPr>
          <w:rFonts w:hint="eastAsia" w:ascii="仿宋" w:hAnsi="仿宋" w:eastAsia="仿宋" w:cs="仿宋"/>
          <w:color w:val="auto"/>
          <w:sz w:val="32"/>
          <w:szCs w:val="32"/>
          <w:highlight w:val="none"/>
          <w:u w:color="000000"/>
        </w:rPr>
        <w:t>0（含法定节假日）</w:t>
      </w:r>
    </w:p>
    <w:p w14:paraId="19E03C41">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val="en-US" w:eastAsia="zh-CN"/>
        </w:rPr>
      </w:pPr>
      <w:r>
        <w:rPr>
          <w:rFonts w:hint="eastAsia" w:ascii="仿宋" w:hAnsi="仿宋" w:eastAsia="仿宋" w:cs="仿宋"/>
          <w:color w:val="auto"/>
          <w:sz w:val="32"/>
          <w:szCs w:val="32"/>
          <w:highlight w:val="none"/>
          <w:u w:color="000000"/>
          <w:lang w:val="en-US" w:eastAsia="zh-CN"/>
        </w:rPr>
        <w:t>2.供餐标准：</w:t>
      </w:r>
    </w:p>
    <w:p w14:paraId="7F2236E3">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val="en-US" w:eastAsia="zh-CN"/>
        </w:rPr>
      </w:pPr>
      <w:r>
        <w:rPr>
          <w:rFonts w:hint="eastAsia" w:ascii="仿宋" w:hAnsi="仿宋" w:eastAsia="仿宋" w:cs="仿宋"/>
          <w:color w:val="auto"/>
          <w:sz w:val="32"/>
          <w:szCs w:val="32"/>
          <w:highlight w:val="none"/>
          <w:u w:color="000000"/>
          <w:lang w:val="en-US" w:eastAsia="zh-CN"/>
        </w:rPr>
        <w:t>早餐：2-3种主食、面点，搭配粥或豆浆</w:t>
      </w:r>
    </w:p>
    <w:p w14:paraId="212D9753">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default" w:ascii="仿宋" w:hAnsi="仿宋" w:eastAsia="仿宋" w:cs="仿宋"/>
          <w:color w:val="auto"/>
          <w:sz w:val="32"/>
          <w:szCs w:val="32"/>
          <w:highlight w:val="none"/>
          <w:u w:color="000000"/>
          <w:lang w:val="en-US" w:eastAsia="zh-CN"/>
        </w:rPr>
      </w:pPr>
      <w:r>
        <w:rPr>
          <w:rFonts w:hint="eastAsia" w:ascii="仿宋" w:hAnsi="仿宋" w:eastAsia="仿宋" w:cs="仿宋"/>
          <w:color w:val="auto"/>
          <w:sz w:val="32"/>
          <w:szCs w:val="32"/>
          <w:highlight w:val="none"/>
          <w:u w:color="000000"/>
          <w:lang w:val="en-US" w:eastAsia="zh-CN"/>
        </w:rPr>
        <w:t>午餐：两荤两素搭配热汤或糖水</w:t>
      </w:r>
    </w:p>
    <w:p w14:paraId="20C5075F">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val="en-US" w:eastAsia="zh-CN"/>
        </w:rPr>
      </w:pPr>
      <w:r>
        <w:rPr>
          <w:rFonts w:hint="eastAsia" w:ascii="仿宋" w:hAnsi="仿宋" w:eastAsia="仿宋" w:cs="仿宋"/>
          <w:color w:val="auto"/>
          <w:sz w:val="32"/>
          <w:szCs w:val="32"/>
          <w:highlight w:val="none"/>
          <w:u w:color="000000"/>
          <w:lang w:val="en-US" w:eastAsia="zh-CN"/>
        </w:rPr>
        <w:t>晚餐：一荤两素</w:t>
      </w:r>
    </w:p>
    <w:p w14:paraId="6EA16912">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val="en-US" w:eastAsia="zh-CN"/>
        </w:rPr>
      </w:pPr>
      <w:bookmarkStart w:id="347" w:name="auto_fouce_17"/>
      <w:r>
        <w:rPr>
          <w:rFonts w:hint="eastAsia" w:ascii="仿宋" w:hAnsi="仿宋" w:eastAsia="仿宋" w:cs="仿宋"/>
          <w:color w:val="auto"/>
          <w:sz w:val="32"/>
          <w:szCs w:val="32"/>
          <w:highlight w:val="none"/>
          <w:u w:color="000000"/>
          <w:lang w:val="en-US" w:eastAsia="zh-CN"/>
        </w:rPr>
        <w:t>3.早中晚餐</w:t>
      </w:r>
      <w:r>
        <w:rPr>
          <w:rFonts w:hint="default" w:ascii="仿宋" w:hAnsi="仿宋" w:eastAsia="仿宋" w:cs="仿宋"/>
          <w:color w:val="auto"/>
          <w:sz w:val="32"/>
          <w:szCs w:val="32"/>
          <w:highlight w:val="none"/>
          <w:u w:color="000000"/>
          <w:lang w:val="en-US" w:eastAsia="zh-CN"/>
        </w:rPr>
        <w:t>菜品</w:t>
      </w:r>
      <w:r>
        <w:rPr>
          <w:rFonts w:hint="eastAsia" w:ascii="仿宋" w:hAnsi="仿宋" w:eastAsia="仿宋" w:cs="仿宋"/>
          <w:color w:val="auto"/>
          <w:sz w:val="32"/>
          <w:szCs w:val="32"/>
          <w:highlight w:val="none"/>
          <w:u w:color="000000"/>
          <w:lang w:val="en-US" w:eastAsia="zh-CN"/>
        </w:rPr>
        <w:t>每周</w:t>
      </w:r>
      <w:r>
        <w:rPr>
          <w:rFonts w:hint="default" w:ascii="仿宋" w:hAnsi="仿宋" w:eastAsia="仿宋" w:cs="仿宋"/>
          <w:color w:val="auto"/>
          <w:sz w:val="32"/>
          <w:szCs w:val="32"/>
          <w:highlight w:val="none"/>
          <w:u w:color="000000"/>
          <w:lang w:val="en-US" w:eastAsia="zh-CN"/>
        </w:rPr>
        <w:t>轮换</w:t>
      </w:r>
      <w:r>
        <w:rPr>
          <w:rFonts w:hint="eastAsia" w:ascii="仿宋" w:hAnsi="仿宋" w:eastAsia="仿宋" w:cs="仿宋"/>
          <w:color w:val="auto"/>
          <w:sz w:val="32"/>
          <w:szCs w:val="32"/>
          <w:highlight w:val="none"/>
          <w:u w:color="000000"/>
          <w:lang w:val="en-US" w:eastAsia="zh-CN"/>
        </w:rPr>
        <w:t>比例不低于30%，每月至少推出2款</w:t>
      </w:r>
      <w:r>
        <w:rPr>
          <w:rFonts w:hint="default" w:ascii="仿宋" w:hAnsi="仿宋" w:eastAsia="仿宋" w:cs="仿宋"/>
          <w:color w:val="auto"/>
          <w:sz w:val="32"/>
          <w:szCs w:val="32"/>
          <w:highlight w:val="none"/>
          <w:u w:color="000000"/>
          <w:lang w:val="en-US" w:eastAsia="zh-CN"/>
        </w:rPr>
        <w:t>创新</w:t>
      </w:r>
      <w:r>
        <w:rPr>
          <w:rFonts w:hint="eastAsia" w:ascii="仿宋" w:hAnsi="仿宋" w:eastAsia="仿宋" w:cs="仿宋"/>
          <w:color w:val="auto"/>
          <w:sz w:val="32"/>
          <w:szCs w:val="32"/>
          <w:highlight w:val="none"/>
          <w:u w:color="000000"/>
          <w:lang w:val="en-US" w:eastAsia="zh-CN"/>
        </w:rPr>
        <w:t>菜品，具体轮换及创新方案需提前3个工作日报甲方审核同意后实施</w:t>
      </w:r>
      <w:bookmarkEnd w:id="347"/>
      <w:r>
        <w:rPr>
          <w:rFonts w:hint="eastAsia" w:ascii="仿宋" w:hAnsi="仿宋" w:eastAsia="仿宋" w:cs="仿宋"/>
          <w:color w:val="auto"/>
          <w:sz w:val="32"/>
          <w:szCs w:val="32"/>
          <w:highlight w:val="none"/>
          <w:u w:color="000000"/>
          <w:lang w:val="en-US" w:eastAsia="zh-CN"/>
        </w:rPr>
        <w:t>。</w:t>
      </w:r>
    </w:p>
    <w:p w14:paraId="7DD35AAB">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48" w:name="auto_fouce_18"/>
      <w:r>
        <w:rPr>
          <w:rFonts w:hint="eastAsia" w:ascii="仿宋" w:hAnsi="仿宋" w:eastAsia="仿宋" w:cs="仿宋"/>
          <w:color w:val="auto"/>
          <w:sz w:val="32"/>
          <w:szCs w:val="32"/>
          <w:highlight w:val="none"/>
          <w:u w:color="000000"/>
        </w:rPr>
        <w:t>（二）甲方就餐人数为</w:t>
      </w:r>
      <w:r>
        <w:rPr>
          <w:rFonts w:hint="eastAsia" w:ascii="仿宋" w:hAnsi="仿宋" w:eastAsia="仿宋" w:cs="仿宋"/>
          <w:color w:val="auto"/>
          <w:sz w:val="32"/>
          <w:szCs w:val="32"/>
          <w:highlight w:val="none"/>
          <w:u w:color="000000"/>
          <w:lang w:val="en-US" w:eastAsia="zh-CN"/>
        </w:rPr>
        <w:t>40—50</w:t>
      </w:r>
      <w:r>
        <w:rPr>
          <w:rFonts w:hint="eastAsia" w:ascii="仿宋" w:hAnsi="仿宋" w:eastAsia="仿宋" w:cs="仿宋"/>
          <w:color w:val="auto"/>
          <w:sz w:val="32"/>
          <w:szCs w:val="32"/>
          <w:highlight w:val="none"/>
          <w:u w:color="000000"/>
        </w:rPr>
        <w:t>人/每餐（节日聚餐及特殊情况除外）。特殊情况下，若甲方需要临时增加就餐人数的，甲方提前</w:t>
      </w:r>
      <w:r>
        <w:rPr>
          <w:rFonts w:hint="eastAsia" w:ascii="仿宋" w:hAnsi="仿宋" w:eastAsia="仿宋" w:cs="仿宋"/>
          <w:color w:val="auto"/>
          <w:sz w:val="32"/>
          <w:szCs w:val="32"/>
          <w:highlight w:val="none"/>
          <w:u w:color="000000"/>
          <w:lang w:val="en-US" w:eastAsia="zh-CN"/>
        </w:rPr>
        <w:t>1</w:t>
      </w:r>
      <w:r>
        <w:rPr>
          <w:rFonts w:hint="eastAsia" w:ascii="仿宋" w:hAnsi="仿宋" w:eastAsia="仿宋" w:cs="仿宋"/>
          <w:color w:val="auto"/>
          <w:sz w:val="32"/>
          <w:szCs w:val="32"/>
          <w:highlight w:val="none"/>
          <w:u w:color="000000"/>
          <w:lang w:eastAsia="zh-CN"/>
        </w:rPr>
        <w:t>小时</w:t>
      </w:r>
      <w:r>
        <w:rPr>
          <w:rFonts w:hint="eastAsia" w:ascii="仿宋" w:hAnsi="仿宋" w:eastAsia="仿宋" w:cs="仿宋"/>
          <w:color w:val="auto"/>
          <w:sz w:val="32"/>
          <w:szCs w:val="32"/>
          <w:highlight w:val="none"/>
          <w:u w:color="000000"/>
        </w:rPr>
        <w:t>告知后，乙方</w:t>
      </w:r>
      <w:r>
        <w:rPr>
          <w:rFonts w:hint="eastAsia" w:ascii="仿宋" w:hAnsi="仿宋" w:eastAsia="仿宋" w:cs="仿宋"/>
          <w:color w:val="auto"/>
          <w:sz w:val="32"/>
          <w:szCs w:val="32"/>
          <w:highlight w:val="none"/>
          <w:u w:color="000000"/>
          <w:lang w:eastAsia="zh-CN"/>
        </w:rPr>
        <w:t>必须无条件配合</w:t>
      </w:r>
      <w:r>
        <w:rPr>
          <w:rFonts w:hint="eastAsia" w:ascii="仿宋" w:hAnsi="仿宋" w:eastAsia="仿宋" w:cs="仿宋"/>
          <w:color w:val="auto"/>
          <w:sz w:val="32"/>
          <w:szCs w:val="32"/>
          <w:highlight w:val="none"/>
          <w:u w:color="000000"/>
        </w:rPr>
        <w:t>安排。</w:t>
      </w:r>
      <w:bookmarkEnd w:id="348"/>
    </w:p>
    <w:p w14:paraId="2F862245">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val="en-US" w:eastAsia="zh-CN"/>
        </w:rPr>
      </w:pPr>
      <w:r>
        <w:rPr>
          <w:rFonts w:hint="eastAsia" w:ascii="仿宋" w:hAnsi="仿宋" w:eastAsia="仿宋" w:cs="仿宋"/>
          <w:color w:val="auto"/>
          <w:sz w:val="32"/>
          <w:szCs w:val="32"/>
          <w:highlight w:val="none"/>
          <w:u w:color="000000"/>
        </w:rPr>
        <w:t>（三）中标人的服务团队须包括</w:t>
      </w:r>
      <w:r>
        <w:rPr>
          <w:rFonts w:hint="eastAsia" w:ascii="仿宋" w:hAnsi="仿宋" w:eastAsia="仿宋" w:cs="仿宋"/>
          <w:color w:val="auto"/>
          <w:sz w:val="32"/>
          <w:szCs w:val="32"/>
          <w:highlight w:val="none"/>
          <w:u w:color="000000"/>
          <w:lang w:val="en-US" w:eastAsia="zh-CN"/>
        </w:rPr>
        <w:t>厨师长1名、厨师1名，全员持有效健康证</w:t>
      </w:r>
      <w:r>
        <w:rPr>
          <w:rFonts w:hint="eastAsia" w:ascii="仿宋" w:hAnsi="仿宋" w:eastAsia="仿宋" w:cs="仿宋"/>
          <w:color w:val="auto"/>
          <w:sz w:val="32"/>
          <w:szCs w:val="32"/>
          <w:highlight w:val="none"/>
          <w:u w:color="000000"/>
        </w:rPr>
        <w:t>。</w:t>
      </w:r>
    </w:p>
    <w:p w14:paraId="5EB4E3AD">
      <w:pPr>
        <w:keepNext w:val="0"/>
        <w:keepLines w:val="0"/>
        <w:pageBreakBefore w:val="0"/>
        <w:widowControl w:val="0"/>
        <w:kinsoku/>
        <w:wordWrap/>
        <w:overflowPunct/>
        <w:topLinePunct w:val="0"/>
        <w:autoSpaceDE w:val="0"/>
        <w:autoSpaceDN w:val="0"/>
        <w:bidi w:val="0"/>
        <w:adjustRightInd w:val="0"/>
        <w:snapToGrid w:val="0"/>
        <w:spacing w:beforeAutospacing="0" w:afterAutospacing="0" w:line="560" w:lineRule="exact"/>
        <w:ind w:firstLine="643" w:firstLineChars="200"/>
        <w:jc w:val="left"/>
        <w:textAlignment w:val="auto"/>
        <w:outlineLvl w:val="1"/>
        <w:rPr>
          <w:rFonts w:hint="eastAsia" w:ascii="仿宋" w:hAnsi="仿宋" w:eastAsia="仿宋" w:cs="仿宋"/>
          <w:b/>
          <w:bCs/>
          <w:color w:val="auto"/>
          <w:sz w:val="32"/>
          <w:szCs w:val="32"/>
          <w:highlight w:val="none"/>
          <w:u w:color="000000"/>
        </w:rPr>
      </w:pPr>
      <w:bookmarkStart w:id="349" w:name="_Toc2097"/>
      <w:r>
        <w:rPr>
          <w:rFonts w:hint="eastAsia" w:ascii="仿宋" w:hAnsi="仿宋" w:eastAsia="仿宋" w:cs="仿宋"/>
          <w:b/>
          <w:bCs/>
          <w:color w:val="auto"/>
          <w:sz w:val="32"/>
          <w:szCs w:val="32"/>
          <w:highlight w:val="none"/>
          <w:u w:color="000000"/>
        </w:rPr>
        <w:t>二、服务质量</w:t>
      </w:r>
      <w:bookmarkEnd w:id="349"/>
    </w:p>
    <w:p w14:paraId="143FEFAB">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w:t>
      </w:r>
      <w:r>
        <w:rPr>
          <w:rFonts w:hint="eastAsia" w:ascii="仿宋" w:hAnsi="仿宋" w:eastAsia="仿宋" w:cs="仿宋"/>
          <w:color w:val="auto"/>
          <w:sz w:val="32"/>
          <w:szCs w:val="32"/>
          <w:highlight w:val="none"/>
          <w:u w:color="000000"/>
          <w:lang w:val="en-US" w:eastAsia="zh-CN"/>
        </w:rPr>
        <w:t>一</w:t>
      </w:r>
      <w:r>
        <w:rPr>
          <w:rFonts w:hint="eastAsia" w:ascii="仿宋" w:hAnsi="仿宋" w:eastAsia="仿宋" w:cs="仿宋"/>
          <w:color w:val="auto"/>
          <w:sz w:val="32"/>
          <w:szCs w:val="32"/>
          <w:highlight w:val="none"/>
          <w:u w:color="000000"/>
        </w:rPr>
        <w:t>）食品安全管理</w:t>
      </w:r>
    </w:p>
    <w:p w14:paraId="21505466">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50" w:name="auto_fouce_19"/>
      <w:r>
        <w:rPr>
          <w:rFonts w:hint="eastAsia" w:ascii="仿宋" w:hAnsi="仿宋" w:eastAsia="仿宋" w:cs="仿宋"/>
          <w:color w:val="auto"/>
          <w:sz w:val="32"/>
          <w:szCs w:val="32"/>
          <w:highlight w:val="none"/>
          <w:u w:color="000000"/>
          <w:lang w:eastAsia="zh-CN"/>
        </w:rPr>
        <w:t>1.</w:t>
      </w:r>
      <w:r>
        <w:rPr>
          <w:rFonts w:hint="eastAsia" w:ascii="仿宋" w:hAnsi="仿宋" w:eastAsia="仿宋" w:cs="仿宋"/>
          <w:color w:val="auto"/>
          <w:sz w:val="32"/>
          <w:szCs w:val="32"/>
          <w:highlight w:val="none"/>
          <w:u w:color="000000"/>
        </w:rPr>
        <w:t>食堂食材由甲方进行采购，乙方</w:t>
      </w:r>
      <w:r>
        <w:rPr>
          <w:rFonts w:hint="eastAsia" w:ascii="仿宋" w:hAnsi="仿宋" w:eastAsia="仿宋" w:cs="仿宋"/>
          <w:color w:val="auto"/>
          <w:sz w:val="32"/>
          <w:szCs w:val="32"/>
          <w:highlight w:val="none"/>
          <w:u w:color="000000"/>
          <w:lang w:eastAsia="zh-CN"/>
        </w:rPr>
        <w:t>必须</w:t>
      </w:r>
      <w:r>
        <w:rPr>
          <w:rFonts w:hint="eastAsia" w:ascii="仿宋" w:hAnsi="仿宋" w:eastAsia="仿宋" w:cs="仿宋"/>
          <w:color w:val="auto"/>
          <w:sz w:val="32"/>
          <w:szCs w:val="32"/>
          <w:highlight w:val="none"/>
          <w:u w:color="000000"/>
        </w:rPr>
        <w:t>对</w:t>
      </w:r>
      <w:r>
        <w:rPr>
          <w:rFonts w:hint="eastAsia" w:ascii="仿宋" w:hAnsi="仿宋" w:eastAsia="仿宋" w:cs="仿宋"/>
          <w:color w:val="auto"/>
          <w:sz w:val="32"/>
          <w:szCs w:val="32"/>
          <w:highlight w:val="none"/>
          <w:u w:color="000000"/>
          <w:lang w:eastAsia="zh-CN"/>
        </w:rPr>
        <w:t>甲方采购的所有</w:t>
      </w:r>
      <w:r>
        <w:rPr>
          <w:rFonts w:hint="eastAsia" w:ascii="仿宋" w:hAnsi="仿宋" w:eastAsia="仿宋" w:cs="仿宋"/>
          <w:color w:val="auto"/>
          <w:sz w:val="32"/>
          <w:szCs w:val="32"/>
          <w:highlight w:val="none"/>
          <w:u w:color="000000"/>
        </w:rPr>
        <w:t>食材</w:t>
      </w:r>
      <w:r>
        <w:rPr>
          <w:rFonts w:hint="eastAsia" w:ascii="仿宋" w:hAnsi="仿宋" w:eastAsia="仿宋" w:cs="仿宋"/>
          <w:color w:val="auto"/>
          <w:sz w:val="32"/>
          <w:szCs w:val="32"/>
          <w:highlight w:val="none"/>
          <w:u w:color="000000"/>
          <w:lang w:eastAsia="zh-CN"/>
        </w:rPr>
        <w:t>进行逐批次</w:t>
      </w:r>
      <w:r>
        <w:rPr>
          <w:rFonts w:hint="eastAsia" w:ascii="仿宋" w:hAnsi="仿宋" w:eastAsia="仿宋" w:cs="仿宋"/>
          <w:color w:val="auto"/>
          <w:sz w:val="32"/>
          <w:szCs w:val="32"/>
          <w:highlight w:val="none"/>
          <w:u w:color="000000"/>
        </w:rPr>
        <w:t>验收</w:t>
      </w:r>
      <w:r>
        <w:rPr>
          <w:rFonts w:hint="eastAsia" w:ascii="仿宋" w:hAnsi="仿宋" w:eastAsia="仿宋" w:cs="仿宋"/>
          <w:color w:val="auto"/>
          <w:sz w:val="32"/>
          <w:szCs w:val="32"/>
          <w:highlight w:val="none"/>
          <w:u w:color="000000"/>
          <w:lang w:eastAsia="zh-CN"/>
        </w:rPr>
        <w:t>，对食材的新鲜度、保质期、规格、数量、质量进行全面核验，发现不符合食品安全标准或采购</w:t>
      </w:r>
      <w:r>
        <w:rPr>
          <w:rFonts w:hint="eastAsia" w:ascii="仿宋" w:hAnsi="仿宋" w:eastAsia="仿宋" w:cs="仿宋"/>
          <w:color w:val="auto"/>
          <w:sz w:val="32"/>
          <w:szCs w:val="32"/>
          <w:highlight w:val="none"/>
          <w:u w:color="000000"/>
        </w:rPr>
        <w:t>要</w:t>
      </w:r>
      <w:r>
        <w:rPr>
          <w:rFonts w:hint="eastAsia" w:ascii="仿宋" w:hAnsi="仿宋" w:eastAsia="仿宋" w:cs="仿宋"/>
          <w:color w:val="auto"/>
          <w:sz w:val="32"/>
          <w:szCs w:val="32"/>
          <w:highlight w:val="none"/>
          <w:u w:color="000000"/>
          <w:lang w:eastAsia="zh-CN"/>
        </w:rPr>
        <w:t>求</w:t>
      </w:r>
      <w:r>
        <w:rPr>
          <w:rFonts w:hint="eastAsia" w:ascii="仿宋" w:hAnsi="仿宋" w:eastAsia="仿宋" w:cs="仿宋"/>
          <w:color w:val="auto"/>
          <w:sz w:val="32"/>
          <w:szCs w:val="32"/>
          <w:highlight w:val="none"/>
          <w:u w:color="000000"/>
        </w:rPr>
        <w:t>的</w:t>
      </w:r>
      <w:r>
        <w:rPr>
          <w:rFonts w:hint="eastAsia" w:ascii="仿宋" w:hAnsi="仿宋" w:eastAsia="仿宋" w:cs="仿宋"/>
          <w:color w:val="auto"/>
          <w:sz w:val="32"/>
          <w:szCs w:val="32"/>
          <w:highlight w:val="none"/>
          <w:u w:color="000000"/>
          <w:lang w:eastAsia="zh-CN"/>
        </w:rPr>
        <w:t>食材必须第一时间拒收并书面报备甲方，不得擅自使用不合格食材</w:t>
      </w:r>
      <w:r>
        <w:rPr>
          <w:rFonts w:hint="eastAsia" w:ascii="仿宋" w:hAnsi="仿宋" w:eastAsia="仿宋" w:cs="仿宋"/>
          <w:color w:val="auto"/>
          <w:sz w:val="32"/>
          <w:szCs w:val="32"/>
          <w:highlight w:val="none"/>
          <w:u w:color="000000"/>
        </w:rPr>
        <w:t>；</w:t>
      </w:r>
      <w:bookmarkEnd w:id="350"/>
    </w:p>
    <w:p w14:paraId="4420B27B">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51" w:name="auto_fouce_20"/>
      <w:r>
        <w:rPr>
          <w:rFonts w:hint="eastAsia" w:ascii="仿宋" w:hAnsi="仿宋" w:eastAsia="仿宋" w:cs="仿宋"/>
          <w:color w:val="auto"/>
          <w:sz w:val="32"/>
          <w:szCs w:val="32"/>
          <w:highlight w:val="none"/>
          <w:u w:color="000000"/>
          <w:lang w:eastAsia="zh-CN"/>
        </w:rPr>
        <w:t>2.</w:t>
      </w:r>
      <w:r>
        <w:rPr>
          <w:rFonts w:hint="eastAsia" w:ascii="仿宋" w:hAnsi="仿宋" w:eastAsia="仿宋" w:cs="仿宋"/>
          <w:color w:val="auto"/>
          <w:sz w:val="32"/>
          <w:szCs w:val="32"/>
          <w:highlight w:val="none"/>
          <w:u w:color="000000"/>
        </w:rPr>
        <w:t>乙方应按国家有关法律法规制定严格的食品加工管理制度，负责食品加工过程的卫生及质量。一切由于乙方</w:t>
      </w:r>
      <w:r>
        <w:rPr>
          <w:rFonts w:hint="eastAsia" w:ascii="仿宋" w:hAnsi="仿宋" w:eastAsia="仿宋" w:cs="仿宋"/>
          <w:color w:val="auto"/>
          <w:sz w:val="32"/>
          <w:szCs w:val="32"/>
          <w:highlight w:val="none"/>
          <w:u w:color="000000"/>
          <w:lang w:eastAsia="zh-CN"/>
        </w:rPr>
        <w:t>食材验收疏漏、</w:t>
      </w:r>
      <w:r>
        <w:rPr>
          <w:rFonts w:hint="eastAsia" w:ascii="仿宋" w:hAnsi="仿宋" w:eastAsia="仿宋" w:cs="仿宋"/>
          <w:color w:val="auto"/>
          <w:sz w:val="32"/>
          <w:szCs w:val="32"/>
          <w:highlight w:val="none"/>
          <w:u w:color="000000"/>
        </w:rPr>
        <w:t>再加工、供应过程及使用用具过程中引发的食</w:t>
      </w:r>
      <w:r>
        <w:rPr>
          <w:rFonts w:hint="eastAsia" w:ascii="仿宋" w:hAnsi="仿宋" w:eastAsia="仿宋" w:cs="仿宋"/>
          <w:color w:val="auto"/>
          <w:sz w:val="32"/>
          <w:szCs w:val="32"/>
          <w:highlight w:val="none"/>
          <w:u w:color="000000"/>
          <w:lang w:eastAsia="zh-CN"/>
        </w:rPr>
        <w:t>源性疾病、食</w:t>
      </w:r>
      <w:r>
        <w:rPr>
          <w:rFonts w:hint="eastAsia" w:ascii="仿宋" w:hAnsi="仿宋" w:eastAsia="仿宋" w:cs="仿宋"/>
          <w:color w:val="auto"/>
          <w:sz w:val="32"/>
          <w:szCs w:val="32"/>
          <w:highlight w:val="none"/>
          <w:u w:color="000000"/>
        </w:rPr>
        <w:t>物中毒，</w:t>
      </w:r>
      <w:r>
        <w:rPr>
          <w:rFonts w:hint="eastAsia" w:ascii="仿宋" w:hAnsi="仿宋" w:eastAsia="仿宋" w:cs="仿宋"/>
          <w:color w:val="auto"/>
          <w:sz w:val="32"/>
          <w:szCs w:val="32"/>
          <w:highlight w:val="none"/>
          <w:u w:color="000000"/>
          <w:lang w:eastAsia="zh-CN"/>
        </w:rPr>
        <w:t>或因</w:t>
      </w:r>
      <w:r>
        <w:rPr>
          <w:rFonts w:hint="eastAsia" w:ascii="仿宋" w:hAnsi="仿宋" w:eastAsia="仿宋" w:cs="仿宋"/>
          <w:color w:val="auto"/>
          <w:sz w:val="32"/>
          <w:szCs w:val="32"/>
          <w:highlight w:val="none"/>
          <w:u w:color="000000"/>
        </w:rPr>
        <w:t>乙方</w:t>
      </w:r>
      <w:r>
        <w:rPr>
          <w:rFonts w:hint="eastAsia" w:ascii="仿宋" w:hAnsi="仿宋" w:eastAsia="仿宋" w:cs="仿宋"/>
          <w:color w:val="auto"/>
          <w:sz w:val="32"/>
          <w:szCs w:val="32"/>
          <w:highlight w:val="none"/>
          <w:u w:color="000000"/>
          <w:lang w:eastAsia="zh-CN"/>
        </w:rPr>
        <w:t>未落实卫生管控要求导致</w:t>
      </w:r>
      <w:r>
        <w:rPr>
          <w:rFonts w:hint="eastAsia" w:ascii="仿宋" w:hAnsi="仿宋" w:eastAsia="仿宋" w:cs="仿宋"/>
          <w:color w:val="auto"/>
          <w:sz w:val="32"/>
          <w:szCs w:val="32"/>
          <w:highlight w:val="none"/>
          <w:u w:color="000000"/>
        </w:rPr>
        <w:t>的食品安全问题</w:t>
      </w:r>
      <w:r>
        <w:rPr>
          <w:rFonts w:hint="eastAsia" w:ascii="仿宋" w:hAnsi="仿宋" w:eastAsia="仿宋" w:cs="仿宋"/>
          <w:color w:val="auto"/>
          <w:sz w:val="32"/>
          <w:szCs w:val="32"/>
          <w:highlight w:val="none"/>
          <w:u w:color="000000"/>
          <w:lang w:eastAsia="zh-CN"/>
        </w:rPr>
        <w:t>，无论检验结论是否明确，</w:t>
      </w:r>
      <w:r>
        <w:rPr>
          <w:rFonts w:hint="eastAsia" w:ascii="仿宋" w:hAnsi="仿宋" w:eastAsia="仿宋" w:cs="仿宋"/>
          <w:color w:val="auto"/>
          <w:sz w:val="32"/>
          <w:szCs w:val="32"/>
          <w:highlight w:val="none"/>
          <w:u w:color="000000"/>
        </w:rPr>
        <w:t>均由乙方承担全部责任</w:t>
      </w:r>
      <w:r>
        <w:rPr>
          <w:rFonts w:hint="eastAsia" w:ascii="仿宋" w:hAnsi="仿宋" w:eastAsia="仿宋" w:cs="仿宋"/>
          <w:color w:val="auto"/>
          <w:sz w:val="32"/>
          <w:szCs w:val="32"/>
          <w:highlight w:val="none"/>
          <w:u w:color="000000"/>
          <w:lang w:eastAsia="zh-CN"/>
        </w:rPr>
        <w:t>，包括但不限于医疗赔偿、行政处罚、名誉损失赔偿、甲方因此支出的维权费用等</w:t>
      </w:r>
      <w:r>
        <w:rPr>
          <w:rFonts w:hint="eastAsia" w:ascii="仿宋" w:hAnsi="仿宋" w:eastAsia="仿宋" w:cs="仿宋"/>
          <w:color w:val="auto"/>
          <w:sz w:val="32"/>
          <w:szCs w:val="32"/>
          <w:highlight w:val="none"/>
          <w:u w:color="000000"/>
        </w:rPr>
        <w:t>；</w:t>
      </w:r>
      <w:bookmarkEnd w:id="351"/>
    </w:p>
    <w:p w14:paraId="6FA94904">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eastAsia="zh-CN"/>
        </w:rPr>
        <w:t>3.</w:t>
      </w:r>
      <w:r>
        <w:rPr>
          <w:rFonts w:hint="eastAsia" w:ascii="仿宋" w:hAnsi="仿宋" w:eastAsia="仿宋" w:cs="仿宋"/>
          <w:color w:val="auto"/>
          <w:sz w:val="32"/>
          <w:szCs w:val="32"/>
          <w:highlight w:val="none"/>
          <w:u w:color="000000"/>
        </w:rPr>
        <w:t>乙方应制定严格的卫生管理制度，并按照甲方要求在食品加工、配送等区域和食堂清洁等方面开展服务行业5S标准化管理；</w:t>
      </w:r>
    </w:p>
    <w:p w14:paraId="5F535CA4">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52" w:name="auto_fouce_21"/>
      <w:r>
        <w:rPr>
          <w:rFonts w:hint="eastAsia" w:ascii="仿宋" w:hAnsi="仿宋" w:eastAsia="仿宋" w:cs="仿宋"/>
          <w:color w:val="auto"/>
          <w:sz w:val="32"/>
          <w:szCs w:val="32"/>
          <w:highlight w:val="none"/>
          <w:u w:color="000000"/>
          <w:lang w:val="en-US" w:eastAsia="zh-CN"/>
        </w:rPr>
        <w:t>4.</w:t>
      </w:r>
      <w:r>
        <w:rPr>
          <w:rFonts w:hint="eastAsia" w:ascii="仿宋" w:hAnsi="仿宋" w:eastAsia="仿宋" w:cs="仿宋"/>
          <w:color w:val="auto"/>
          <w:sz w:val="32"/>
          <w:szCs w:val="32"/>
          <w:highlight w:val="none"/>
          <w:u w:color="000000"/>
        </w:rPr>
        <w:t>乙方应保证派驻甲方工作人员的身体条件符合从事食品卫生工作要求，并持健康证上岗。乙方员工健康证应于入职甲方食堂前交甲方查验并留存复印件。乙方应每</w:t>
      </w:r>
      <w:r>
        <w:rPr>
          <w:rFonts w:hint="eastAsia" w:ascii="仿宋" w:hAnsi="仿宋" w:eastAsia="仿宋" w:cs="仿宋"/>
          <w:color w:val="auto"/>
          <w:sz w:val="32"/>
          <w:szCs w:val="32"/>
          <w:highlight w:val="none"/>
          <w:u w:color="000000"/>
          <w:lang w:eastAsia="zh-CN"/>
        </w:rPr>
        <w:t>半</w:t>
      </w:r>
      <w:r>
        <w:rPr>
          <w:rFonts w:hint="eastAsia" w:ascii="仿宋" w:hAnsi="仿宋" w:eastAsia="仿宋" w:cs="仿宋"/>
          <w:color w:val="auto"/>
          <w:sz w:val="32"/>
          <w:szCs w:val="32"/>
          <w:highlight w:val="none"/>
          <w:u w:color="000000"/>
        </w:rPr>
        <w:t>年</w:t>
      </w:r>
      <w:r>
        <w:rPr>
          <w:rFonts w:hint="eastAsia" w:ascii="仿宋" w:hAnsi="仿宋" w:eastAsia="仿宋" w:cs="仿宋"/>
          <w:color w:val="auto"/>
          <w:sz w:val="32"/>
          <w:szCs w:val="32"/>
          <w:highlight w:val="none"/>
          <w:u w:color="000000"/>
          <w:lang w:eastAsia="zh-CN"/>
        </w:rPr>
        <w:t>组织一次</w:t>
      </w:r>
      <w:r>
        <w:rPr>
          <w:rFonts w:hint="eastAsia" w:ascii="仿宋" w:hAnsi="仿宋" w:eastAsia="仿宋" w:cs="仿宋"/>
          <w:color w:val="auto"/>
          <w:sz w:val="32"/>
          <w:szCs w:val="32"/>
          <w:highlight w:val="none"/>
          <w:u w:color="000000"/>
        </w:rPr>
        <w:t>派驻员工</w:t>
      </w:r>
      <w:r>
        <w:rPr>
          <w:rFonts w:hint="eastAsia" w:ascii="仿宋" w:hAnsi="仿宋" w:eastAsia="仿宋" w:cs="仿宋"/>
          <w:color w:val="auto"/>
          <w:sz w:val="32"/>
          <w:szCs w:val="32"/>
          <w:highlight w:val="none"/>
          <w:u w:color="000000"/>
          <w:lang w:eastAsia="zh-CN"/>
        </w:rPr>
        <w:t>全</w:t>
      </w:r>
      <w:r>
        <w:rPr>
          <w:rFonts w:hint="eastAsia" w:ascii="仿宋" w:hAnsi="仿宋" w:eastAsia="仿宋" w:cs="仿宋"/>
          <w:color w:val="auto"/>
          <w:sz w:val="32"/>
          <w:szCs w:val="32"/>
          <w:highlight w:val="none"/>
          <w:u w:color="000000"/>
        </w:rPr>
        <w:t>身体检（</w:t>
      </w:r>
      <w:r>
        <w:rPr>
          <w:rFonts w:hint="eastAsia" w:ascii="仿宋" w:hAnsi="仿宋" w:eastAsia="仿宋" w:cs="仿宋"/>
          <w:color w:val="auto"/>
          <w:sz w:val="32"/>
          <w:szCs w:val="32"/>
          <w:highlight w:val="none"/>
          <w:u w:color="000000"/>
          <w:lang w:eastAsia="zh-CN"/>
        </w:rPr>
        <w:t>必须包含幽门螺杆菌、传染性肝炎、肺结核等传染性疾病</w:t>
      </w:r>
      <w:r>
        <w:rPr>
          <w:rFonts w:hint="eastAsia" w:ascii="仿宋" w:hAnsi="仿宋" w:eastAsia="仿宋" w:cs="仿宋"/>
          <w:color w:val="auto"/>
          <w:sz w:val="32"/>
          <w:szCs w:val="32"/>
          <w:highlight w:val="none"/>
          <w:u w:color="000000"/>
        </w:rPr>
        <w:t>检测），并</w:t>
      </w:r>
      <w:r>
        <w:rPr>
          <w:rFonts w:hint="eastAsia" w:ascii="仿宋" w:hAnsi="仿宋" w:eastAsia="仿宋" w:cs="仿宋"/>
          <w:color w:val="auto"/>
          <w:sz w:val="32"/>
          <w:szCs w:val="32"/>
          <w:highlight w:val="none"/>
          <w:u w:color="000000"/>
          <w:lang w:eastAsia="zh-CN"/>
        </w:rPr>
        <w:t>于体检完成后3个工作日内</w:t>
      </w:r>
      <w:r>
        <w:rPr>
          <w:rFonts w:hint="eastAsia" w:ascii="仿宋" w:hAnsi="仿宋" w:eastAsia="仿宋" w:cs="仿宋"/>
          <w:color w:val="auto"/>
          <w:sz w:val="32"/>
          <w:szCs w:val="32"/>
          <w:highlight w:val="none"/>
          <w:u w:color="000000"/>
        </w:rPr>
        <w:t>将</w:t>
      </w:r>
      <w:r>
        <w:rPr>
          <w:rFonts w:hint="eastAsia" w:ascii="仿宋" w:hAnsi="仿宋" w:eastAsia="仿宋" w:cs="仿宋"/>
          <w:color w:val="auto"/>
          <w:sz w:val="32"/>
          <w:szCs w:val="32"/>
          <w:highlight w:val="none"/>
          <w:u w:color="000000"/>
          <w:lang w:eastAsia="zh-CN"/>
        </w:rPr>
        <w:t>全部</w:t>
      </w:r>
      <w:r>
        <w:rPr>
          <w:rFonts w:hint="eastAsia" w:ascii="仿宋" w:hAnsi="仿宋" w:eastAsia="仿宋" w:cs="仿宋"/>
          <w:color w:val="auto"/>
          <w:sz w:val="32"/>
          <w:szCs w:val="32"/>
          <w:highlight w:val="none"/>
          <w:u w:color="000000"/>
        </w:rPr>
        <w:t>查验结果书面报甲方备案，</w:t>
      </w:r>
      <w:r>
        <w:rPr>
          <w:rFonts w:hint="eastAsia" w:ascii="仿宋" w:hAnsi="仿宋" w:eastAsia="仿宋" w:cs="仿宋"/>
          <w:color w:val="auto"/>
          <w:sz w:val="32"/>
          <w:szCs w:val="32"/>
          <w:highlight w:val="none"/>
          <w:u w:color="000000"/>
          <w:lang w:eastAsia="zh-CN"/>
        </w:rPr>
        <w:t>经检测</w:t>
      </w:r>
      <w:r>
        <w:rPr>
          <w:rFonts w:hint="eastAsia" w:ascii="仿宋" w:hAnsi="仿宋" w:eastAsia="仿宋" w:cs="仿宋"/>
          <w:color w:val="auto"/>
          <w:sz w:val="32"/>
          <w:szCs w:val="32"/>
          <w:highlight w:val="none"/>
          <w:u w:color="000000"/>
        </w:rPr>
        <w:t>不符合</w:t>
      </w:r>
      <w:r>
        <w:rPr>
          <w:rFonts w:hint="eastAsia" w:ascii="仿宋" w:hAnsi="仿宋" w:eastAsia="仿宋" w:cs="仿宋"/>
          <w:color w:val="auto"/>
          <w:sz w:val="32"/>
          <w:szCs w:val="32"/>
          <w:highlight w:val="none"/>
          <w:u w:color="000000"/>
          <w:lang w:eastAsia="zh-CN"/>
        </w:rPr>
        <w:t>食品从业健康</w:t>
      </w:r>
      <w:r>
        <w:rPr>
          <w:rFonts w:hint="eastAsia" w:ascii="仿宋" w:hAnsi="仿宋" w:eastAsia="仿宋" w:cs="仿宋"/>
          <w:color w:val="auto"/>
          <w:sz w:val="32"/>
          <w:szCs w:val="32"/>
          <w:highlight w:val="none"/>
          <w:u w:color="000000"/>
        </w:rPr>
        <w:t>要求的人员必须</w:t>
      </w:r>
      <w:r>
        <w:rPr>
          <w:rFonts w:hint="eastAsia" w:ascii="仿宋" w:hAnsi="仿宋" w:eastAsia="仿宋" w:cs="仿宋"/>
          <w:color w:val="auto"/>
          <w:sz w:val="32"/>
          <w:szCs w:val="32"/>
          <w:highlight w:val="none"/>
          <w:u w:color="000000"/>
          <w:lang w:eastAsia="zh-CN"/>
        </w:rPr>
        <w:t>在24小时内</w:t>
      </w:r>
      <w:r>
        <w:rPr>
          <w:rFonts w:hint="eastAsia" w:ascii="仿宋" w:hAnsi="仿宋" w:eastAsia="仿宋" w:cs="仿宋"/>
          <w:color w:val="auto"/>
          <w:sz w:val="32"/>
          <w:szCs w:val="32"/>
          <w:highlight w:val="none"/>
          <w:u w:color="000000"/>
        </w:rPr>
        <w:t>调离甲方食堂，</w:t>
      </w:r>
      <w:r>
        <w:rPr>
          <w:rFonts w:hint="eastAsia" w:ascii="仿宋" w:hAnsi="仿宋" w:eastAsia="仿宋" w:cs="仿宋"/>
          <w:color w:val="auto"/>
          <w:sz w:val="32"/>
          <w:szCs w:val="32"/>
          <w:highlight w:val="none"/>
          <w:u w:color="000000"/>
          <w:lang w:eastAsia="zh-CN"/>
        </w:rPr>
        <w:t>且乙方补充的新人员需经甲方审核资质后方可上岗，</w:t>
      </w:r>
      <w:r>
        <w:rPr>
          <w:rFonts w:hint="eastAsia" w:ascii="仿宋" w:hAnsi="仿宋" w:eastAsia="仿宋" w:cs="仿宋"/>
          <w:color w:val="auto"/>
          <w:sz w:val="32"/>
          <w:szCs w:val="32"/>
          <w:highlight w:val="none"/>
          <w:u w:color="000000"/>
        </w:rPr>
        <w:t>并保证服务团队的稳定性；</w:t>
      </w:r>
      <w:bookmarkEnd w:id="352"/>
    </w:p>
    <w:p w14:paraId="4C598089">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eastAsia="zh-CN"/>
        </w:rPr>
        <w:t>6.</w:t>
      </w:r>
      <w:r>
        <w:rPr>
          <w:rFonts w:hint="eastAsia" w:ascii="仿宋" w:hAnsi="仿宋" w:eastAsia="仿宋" w:cs="仿宋"/>
          <w:color w:val="auto"/>
          <w:sz w:val="32"/>
          <w:szCs w:val="32"/>
          <w:highlight w:val="none"/>
          <w:u w:color="000000"/>
        </w:rPr>
        <w:t>乙方应建立早、午、晚餐</w:t>
      </w:r>
      <w:r>
        <w:rPr>
          <w:rFonts w:hint="eastAsia" w:ascii="仿宋" w:hAnsi="仿宋" w:eastAsia="仿宋" w:cs="仿宋"/>
          <w:color w:val="auto"/>
          <w:sz w:val="32"/>
          <w:szCs w:val="32"/>
          <w:highlight w:val="none"/>
          <w:u w:color="000000"/>
          <w:lang w:val="en-US" w:eastAsia="zh-CN"/>
        </w:rPr>
        <w:t>及其他临时加</w:t>
      </w:r>
      <w:r>
        <w:rPr>
          <w:rFonts w:hint="eastAsia" w:ascii="仿宋" w:hAnsi="仿宋" w:eastAsia="仿宋" w:cs="仿宋"/>
          <w:color w:val="auto"/>
          <w:sz w:val="32"/>
          <w:szCs w:val="32"/>
          <w:highlight w:val="none"/>
          <w:u w:color="000000"/>
        </w:rPr>
        <w:t>餐</w:t>
      </w:r>
      <w:r>
        <w:rPr>
          <w:rFonts w:hint="eastAsia" w:ascii="仿宋" w:hAnsi="仿宋" w:eastAsia="仿宋" w:cs="仿宋"/>
          <w:color w:val="auto"/>
          <w:sz w:val="32"/>
          <w:szCs w:val="32"/>
          <w:highlight w:val="none"/>
          <w:u w:color="000000"/>
          <w:lang w:val="en-US" w:eastAsia="zh-CN"/>
        </w:rPr>
        <w:t>等</w:t>
      </w:r>
      <w:r>
        <w:rPr>
          <w:rFonts w:hint="eastAsia" w:ascii="仿宋" w:hAnsi="仿宋" w:eastAsia="仿宋" w:cs="仿宋"/>
          <w:color w:val="auto"/>
          <w:sz w:val="32"/>
          <w:szCs w:val="32"/>
          <w:highlight w:val="none"/>
          <w:u w:color="000000"/>
        </w:rPr>
        <w:t>食材48小时留样制度，甲方有权对留样随时抽检；</w:t>
      </w:r>
    </w:p>
    <w:p w14:paraId="05619F1E">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eastAsia="zh-CN"/>
        </w:rPr>
        <w:t>7.</w:t>
      </w:r>
      <w:r>
        <w:rPr>
          <w:rFonts w:hint="eastAsia" w:ascii="仿宋" w:hAnsi="仿宋" w:eastAsia="仿宋" w:cs="仿宋"/>
          <w:color w:val="auto"/>
          <w:sz w:val="32"/>
          <w:szCs w:val="32"/>
          <w:highlight w:val="none"/>
          <w:u w:color="000000"/>
        </w:rPr>
        <w:t>乙方每天进行上下班安全检查并记录存档，配合甲方定期组织的安全大检查。</w:t>
      </w:r>
    </w:p>
    <w:p w14:paraId="0D7EBF7F">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（三）食堂现场管理</w:t>
      </w:r>
    </w:p>
    <w:p w14:paraId="6D7E7CFD">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eastAsia="zh-CN"/>
        </w:rPr>
        <w:t>1.</w:t>
      </w:r>
      <w:r>
        <w:rPr>
          <w:rFonts w:hint="eastAsia" w:ascii="仿宋" w:hAnsi="仿宋" w:eastAsia="仿宋" w:cs="仿宋"/>
          <w:color w:val="auto"/>
          <w:sz w:val="32"/>
          <w:szCs w:val="32"/>
          <w:highlight w:val="none"/>
          <w:u w:color="000000"/>
        </w:rPr>
        <w:t>乙方负责厨房墙面、地面、天花、配套设备清洁及下水排污管道的疏通；就餐餐厅地面、墙面、餐桌椅、窗户、照明设施、空调设施等内外设施的清洁；</w:t>
      </w:r>
    </w:p>
    <w:p w14:paraId="15A7A81F">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val="en-US" w:eastAsia="zh-CN"/>
        </w:rPr>
        <w:t>2.</w:t>
      </w:r>
      <w:r>
        <w:rPr>
          <w:rFonts w:hint="eastAsia" w:ascii="仿宋" w:hAnsi="仿宋" w:eastAsia="仿宋" w:cs="仿宋"/>
          <w:color w:val="auto"/>
          <w:sz w:val="32"/>
          <w:szCs w:val="32"/>
          <w:highlight w:val="none"/>
          <w:u w:color="000000"/>
        </w:rPr>
        <w:t>乙方应随时接受甲方的日常卫生检查，并积极采取措施改进存在的问题；</w:t>
      </w:r>
    </w:p>
    <w:p w14:paraId="443DAF93">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r>
        <w:rPr>
          <w:rFonts w:hint="eastAsia" w:ascii="仿宋" w:hAnsi="仿宋" w:eastAsia="仿宋" w:cs="仿宋"/>
          <w:color w:val="auto"/>
          <w:sz w:val="32"/>
          <w:szCs w:val="32"/>
          <w:highlight w:val="none"/>
          <w:u w:color="000000"/>
          <w:lang w:val="en-US" w:eastAsia="zh-CN"/>
        </w:rPr>
        <w:t>3.</w:t>
      </w:r>
      <w:r>
        <w:rPr>
          <w:rFonts w:hint="eastAsia" w:ascii="仿宋" w:hAnsi="仿宋" w:eastAsia="仿宋" w:cs="仿宋"/>
          <w:color w:val="auto"/>
          <w:sz w:val="32"/>
          <w:szCs w:val="32"/>
          <w:highlight w:val="none"/>
          <w:u w:color="000000"/>
        </w:rPr>
        <w:t>凡双方外来人员参观甲方食堂后厨，事先均需由甲方主管部门领导同意</w:t>
      </w:r>
      <w:r>
        <w:rPr>
          <w:rFonts w:hint="eastAsia" w:ascii="仿宋" w:hAnsi="仿宋" w:eastAsia="仿宋" w:cs="仿宋"/>
          <w:color w:val="auto"/>
          <w:sz w:val="32"/>
          <w:szCs w:val="32"/>
          <w:highlight w:val="none"/>
          <w:u w:color="000000"/>
          <w:lang w:eastAsia="zh-CN"/>
        </w:rPr>
        <w:t>；</w:t>
      </w:r>
    </w:p>
    <w:p w14:paraId="1C2D0673">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53" w:name="auto_fouce_22"/>
      <w:r>
        <w:rPr>
          <w:rFonts w:hint="eastAsia" w:ascii="仿宋" w:hAnsi="仿宋" w:eastAsia="仿宋" w:cs="仿宋"/>
          <w:color w:val="auto"/>
          <w:sz w:val="32"/>
          <w:szCs w:val="32"/>
          <w:highlight w:val="none"/>
          <w:u w:color="000000"/>
          <w:lang w:val="en-US" w:eastAsia="zh-CN"/>
        </w:rPr>
        <w:t>4.</w:t>
      </w:r>
      <w:r>
        <w:rPr>
          <w:rFonts w:hint="eastAsia" w:ascii="仿宋" w:hAnsi="仿宋" w:eastAsia="仿宋" w:cs="仿宋"/>
          <w:color w:val="auto"/>
          <w:sz w:val="32"/>
          <w:szCs w:val="32"/>
          <w:highlight w:val="none"/>
          <w:u w:color="000000"/>
        </w:rPr>
        <w:t>乙方</w:t>
      </w:r>
      <w:r>
        <w:rPr>
          <w:rFonts w:hint="eastAsia" w:ascii="仿宋" w:hAnsi="仿宋" w:eastAsia="仿宋" w:cs="仿宋"/>
          <w:color w:val="auto"/>
          <w:sz w:val="32"/>
          <w:szCs w:val="32"/>
          <w:highlight w:val="none"/>
          <w:u w:color="000000"/>
          <w:lang w:eastAsia="zh-CN"/>
        </w:rPr>
        <w:t>派驻人员</w:t>
      </w:r>
      <w:r>
        <w:rPr>
          <w:rFonts w:hint="eastAsia" w:ascii="仿宋" w:hAnsi="仿宋" w:eastAsia="仿宋" w:cs="仿宋"/>
          <w:color w:val="auto"/>
          <w:sz w:val="32"/>
          <w:szCs w:val="32"/>
          <w:highlight w:val="none"/>
          <w:u w:color="000000"/>
        </w:rPr>
        <w:t>的</w:t>
      </w:r>
      <w:r>
        <w:rPr>
          <w:rFonts w:hint="eastAsia" w:ascii="仿宋" w:hAnsi="仿宋" w:eastAsia="仿宋" w:cs="仿宋"/>
          <w:color w:val="auto"/>
          <w:sz w:val="32"/>
          <w:szCs w:val="32"/>
          <w:highlight w:val="none"/>
          <w:u w:color="000000"/>
          <w:lang w:eastAsia="zh-CN"/>
        </w:rPr>
        <w:t>每日</w:t>
      </w:r>
      <w:r>
        <w:rPr>
          <w:rFonts w:hint="eastAsia" w:ascii="仿宋" w:hAnsi="仿宋" w:eastAsia="仿宋" w:cs="仿宋"/>
          <w:color w:val="auto"/>
          <w:sz w:val="32"/>
          <w:szCs w:val="32"/>
          <w:highlight w:val="none"/>
          <w:u w:color="000000"/>
        </w:rPr>
        <w:t>考勤、</w:t>
      </w:r>
      <w:r>
        <w:rPr>
          <w:rFonts w:hint="eastAsia" w:ascii="仿宋" w:hAnsi="仿宋" w:eastAsia="仿宋" w:cs="仿宋"/>
          <w:color w:val="auto"/>
          <w:sz w:val="32"/>
          <w:szCs w:val="32"/>
          <w:highlight w:val="none"/>
          <w:u w:color="000000"/>
          <w:lang w:eastAsia="zh-CN"/>
        </w:rPr>
        <w:t>月度工作</w:t>
      </w:r>
      <w:r>
        <w:rPr>
          <w:rFonts w:hint="eastAsia" w:ascii="仿宋" w:hAnsi="仿宋" w:eastAsia="仿宋" w:cs="仿宋"/>
          <w:color w:val="auto"/>
          <w:sz w:val="32"/>
          <w:szCs w:val="32"/>
          <w:highlight w:val="none"/>
          <w:u w:color="000000"/>
        </w:rPr>
        <w:t>考核</w:t>
      </w:r>
      <w:r>
        <w:rPr>
          <w:rFonts w:hint="eastAsia" w:ascii="仿宋" w:hAnsi="仿宋" w:eastAsia="仿宋" w:cs="仿宋"/>
          <w:color w:val="auto"/>
          <w:sz w:val="32"/>
          <w:szCs w:val="32"/>
          <w:highlight w:val="none"/>
          <w:u w:color="000000"/>
          <w:lang w:eastAsia="zh-CN"/>
        </w:rPr>
        <w:t>、人员调整申请</w:t>
      </w:r>
      <w:r>
        <w:rPr>
          <w:rFonts w:hint="eastAsia" w:ascii="仿宋" w:hAnsi="仿宋" w:eastAsia="仿宋" w:cs="仿宋"/>
          <w:color w:val="auto"/>
          <w:sz w:val="32"/>
          <w:szCs w:val="32"/>
          <w:highlight w:val="none"/>
          <w:u w:color="000000"/>
        </w:rPr>
        <w:t>等</w:t>
      </w:r>
      <w:r>
        <w:rPr>
          <w:rFonts w:hint="eastAsia" w:ascii="仿宋" w:hAnsi="仿宋" w:eastAsia="仿宋" w:cs="仿宋"/>
          <w:color w:val="auto"/>
          <w:sz w:val="32"/>
          <w:szCs w:val="32"/>
          <w:highlight w:val="none"/>
          <w:u w:color="000000"/>
          <w:lang w:eastAsia="zh-CN"/>
        </w:rPr>
        <w:t>全部管理文件必须经</w:t>
      </w:r>
      <w:r>
        <w:rPr>
          <w:rFonts w:hint="eastAsia" w:ascii="仿宋" w:hAnsi="仿宋" w:eastAsia="仿宋" w:cs="仿宋"/>
          <w:color w:val="auto"/>
          <w:sz w:val="32"/>
          <w:szCs w:val="32"/>
          <w:highlight w:val="none"/>
          <w:u w:color="000000"/>
        </w:rPr>
        <w:t>甲方</w:t>
      </w:r>
      <w:r>
        <w:rPr>
          <w:rFonts w:hint="eastAsia" w:ascii="仿宋" w:hAnsi="仿宋" w:eastAsia="仿宋" w:cs="仿宋"/>
          <w:color w:val="auto"/>
          <w:sz w:val="32"/>
          <w:szCs w:val="32"/>
          <w:highlight w:val="none"/>
          <w:u w:color="000000"/>
          <w:lang w:eastAsia="zh-CN"/>
        </w:rPr>
        <w:t>指定的专人</w:t>
      </w:r>
      <w:r>
        <w:rPr>
          <w:rFonts w:hint="eastAsia" w:ascii="仿宋" w:hAnsi="仿宋" w:eastAsia="仿宋" w:cs="仿宋"/>
          <w:color w:val="auto"/>
          <w:sz w:val="32"/>
          <w:szCs w:val="32"/>
          <w:highlight w:val="none"/>
          <w:u w:color="000000"/>
        </w:rPr>
        <w:t>签字确认</w:t>
      </w:r>
      <w:r>
        <w:rPr>
          <w:rFonts w:hint="eastAsia" w:ascii="仿宋" w:hAnsi="仿宋" w:eastAsia="仿宋" w:cs="仿宋"/>
          <w:color w:val="auto"/>
          <w:sz w:val="32"/>
          <w:szCs w:val="32"/>
          <w:highlight w:val="none"/>
          <w:u w:color="000000"/>
          <w:lang w:eastAsia="zh-CN"/>
        </w:rPr>
        <w:t>后方可生效，未经甲方签字确认的文件对甲方不具有约束力</w:t>
      </w:r>
      <w:r>
        <w:rPr>
          <w:rFonts w:hint="eastAsia" w:ascii="仿宋" w:hAnsi="仿宋" w:eastAsia="仿宋" w:cs="仿宋"/>
          <w:color w:val="auto"/>
          <w:sz w:val="32"/>
          <w:szCs w:val="32"/>
          <w:highlight w:val="none"/>
          <w:u w:color="000000"/>
        </w:rPr>
        <w:t>。</w:t>
      </w:r>
      <w:bookmarkEnd w:id="353"/>
    </w:p>
    <w:p w14:paraId="27FD68BA">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b/>
          <w:bCs/>
          <w:color w:val="auto"/>
          <w:sz w:val="32"/>
          <w:szCs w:val="32"/>
          <w:highlight w:val="none"/>
          <w:u w:color="000000"/>
        </w:rPr>
      </w:pPr>
      <w:r>
        <w:rPr>
          <w:rFonts w:hint="eastAsia" w:ascii="仿宋" w:hAnsi="仿宋" w:eastAsia="仿宋" w:cs="仿宋"/>
          <w:b/>
          <w:bCs/>
          <w:color w:val="auto"/>
          <w:sz w:val="32"/>
          <w:szCs w:val="32"/>
          <w:highlight w:val="none"/>
          <w:u w:color="000000"/>
        </w:rPr>
        <w:t>三、服务期</w:t>
      </w:r>
    </w:p>
    <w:p w14:paraId="18545C4C">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54" w:name="auto_fouce_23"/>
      <w:r>
        <w:rPr>
          <w:rFonts w:hint="eastAsia" w:ascii="仿宋" w:hAnsi="仿宋" w:eastAsia="仿宋" w:cs="仿宋"/>
          <w:color w:val="auto"/>
          <w:sz w:val="32"/>
          <w:szCs w:val="32"/>
          <w:highlight w:val="none"/>
          <w:u w:color="000000"/>
          <w:lang w:val="en-US" w:eastAsia="zh-CN"/>
        </w:rPr>
        <w:t>本次采购合同期限为12个月。在合同到期前，甲方有权根据项目需要及供应商履约评价决定是否续签合同。如决定延续合同，合同续期最多不超过2次，每次续期不超过12个月，总服务期不超过36个月，续签合同的实质性内容不变。但甲方有权结合预算、服务考核结果、市场行情、当地工资水平变动及服务内容调整等情况适当调整合同金额；甲方就调整事项向乙方作出书面通知后生效，乙方如有异议应在3个工作日内书面提出，双方协商不成的，甲方有权终止合同且不承担任何违约、赔偿或者补偿责任；乙方无正当理由不得拒绝执行前述调整。年度履约评价未通过考核，将不再续签合同。</w:t>
      </w:r>
      <w:r>
        <w:rPr>
          <w:rFonts w:hint="eastAsia" w:ascii="仿宋" w:hAnsi="仿宋" w:eastAsia="仿宋" w:cs="仿宋"/>
          <w:color w:val="auto"/>
          <w:sz w:val="32"/>
          <w:szCs w:val="32"/>
          <w:highlight w:val="none"/>
          <w:u w:color="000000"/>
        </w:rPr>
        <w:t>甲方无需为此承担任何违约、赔偿或者补偿责任。</w:t>
      </w:r>
      <w:bookmarkEnd w:id="354"/>
    </w:p>
    <w:p w14:paraId="52879E10">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b/>
          <w:bCs/>
          <w:color w:val="auto"/>
          <w:sz w:val="32"/>
          <w:szCs w:val="32"/>
          <w:highlight w:val="none"/>
          <w:u w:color="000000"/>
        </w:rPr>
      </w:pPr>
      <w:r>
        <w:rPr>
          <w:rFonts w:hint="eastAsia" w:ascii="仿宋" w:hAnsi="仿宋" w:eastAsia="仿宋" w:cs="仿宋"/>
          <w:b/>
          <w:bCs/>
          <w:color w:val="auto"/>
          <w:sz w:val="32"/>
          <w:szCs w:val="32"/>
          <w:highlight w:val="none"/>
          <w:u w:color="000000"/>
        </w:rPr>
        <w:t>四、服务费用及支付</w:t>
      </w:r>
    </w:p>
    <w:p w14:paraId="49C4F371">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55" w:name="tip_risk_bookmark_24"/>
      <w:r>
        <w:rPr>
          <w:rFonts w:hint="eastAsia" w:ascii="仿宋" w:hAnsi="仿宋" w:eastAsia="仿宋" w:cs="仿宋"/>
          <w:color w:val="auto"/>
          <w:sz w:val="32"/>
          <w:szCs w:val="32"/>
          <w:highlight w:val="none"/>
          <w:u w:color="000000"/>
        </w:rPr>
        <w:t>（一）本合同项下服务费总额为含税价</w:t>
      </w:r>
      <w:r>
        <w:rPr>
          <w:rFonts w:hint="eastAsia" w:ascii="仿宋" w:hAnsi="仿宋" w:eastAsia="仿宋" w:cs="仿宋"/>
          <w:color w:val="auto"/>
          <w:sz w:val="32"/>
          <w:szCs w:val="32"/>
          <w:highlight w:val="none"/>
          <w:u w:val="single" w:color="auto"/>
          <w:lang w:val="en-US" w:eastAsia="zh-CN"/>
        </w:rPr>
        <w:t xml:space="preserve">     </w:t>
      </w:r>
      <w:r>
        <w:rPr>
          <w:rFonts w:hint="eastAsia" w:ascii="仿宋" w:hAnsi="仿宋" w:eastAsia="仿宋" w:cs="仿宋"/>
          <w:color w:val="auto"/>
          <w:sz w:val="32"/>
          <w:szCs w:val="32"/>
          <w:highlight w:val="none"/>
          <w:u w:color="000000"/>
        </w:rPr>
        <w:t>万元</w:t>
      </w:r>
      <w:r>
        <w:rPr>
          <w:rFonts w:hint="eastAsia" w:ascii="仿宋" w:hAnsi="仿宋" w:eastAsia="仿宋" w:cs="仿宋"/>
          <w:color w:val="auto"/>
          <w:sz w:val="32"/>
          <w:szCs w:val="32"/>
          <w:highlight w:val="none"/>
          <w:u w:color="000000"/>
          <w:lang w:val="en-US" w:eastAsia="zh-CN"/>
        </w:rPr>
        <w:t>/年</w:t>
      </w:r>
      <w:r>
        <w:rPr>
          <w:rFonts w:hint="eastAsia" w:ascii="仿宋" w:hAnsi="仿宋" w:eastAsia="仿宋" w:cs="仿宋"/>
          <w:color w:val="auto"/>
          <w:sz w:val="32"/>
          <w:szCs w:val="32"/>
          <w:highlight w:val="none"/>
          <w:u w:color="000000"/>
        </w:rPr>
        <w:t>（人民币大写:</w:t>
      </w:r>
      <w:r>
        <w:rPr>
          <w:rFonts w:hint="eastAsia" w:ascii="仿宋" w:hAnsi="仿宋" w:eastAsia="仿宋" w:cs="仿宋"/>
          <w:color w:val="auto"/>
          <w:sz w:val="32"/>
          <w:szCs w:val="32"/>
          <w:highlight w:val="none"/>
          <w:u w:val="single" w:color="auto"/>
          <w:lang w:val="en-US" w:eastAsia="zh-CN"/>
        </w:rPr>
        <w:t xml:space="preserve">         </w:t>
      </w:r>
      <w:r>
        <w:rPr>
          <w:rFonts w:hint="eastAsia" w:ascii="仿宋" w:hAnsi="仿宋" w:eastAsia="仿宋" w:cs="仿宋"/>
          <w:color w:val="auto"/>
          <w:sz w:val="32"/>
          <w:szCs w:val="32"/>
          <w:highlight w:val="none"/>
          <w:u w:color="000000"/>
        </w:rPr>
        <w:t>），甲方不再向乙方支付任何费用。甲乙双方确认，上述服务费已包括甲方应向乙方支付的全部费用（含税），本合同未提及</w:t>
      </w:r>
      <w:r>
        <w:rPr>
          <w:rFonts w:hint="eastAsia" w:ascii="仿宋" w:hAnsi="仿宋" w:eastAsia="仿宋" w:cs="仿宋"/>
          <w:color w:val="auto"/>
          <w:sz w:val="32"/>
          <w:szCs w:val="32"/>
          <w:highlight w:val="none"/>
          <w:u w:color="000000"/>
          <w:lang w:eastAsia="zh-CN"/>
        </w:rPr>
        <w:t>的其他费用</w:t>
      </w:r>
      <w:r>
        <w:rPr>
          <w:rFonts w:hint="eastAsia" w:ascii="仿宋" w:hAnsi="仿宋" w:eastAsia="仿宋" w:cs="仿宋"/>
          <w:color w:val="auto"/>
          <w:sz w:val="32"/>
          <w:szCs w:val="32"/>
          <w:highlight w:val="none"/>
          <w:u w:color="000000"/>
        </w:rPr>
        <w:t>均由乙方自行承担。</w:t>
      </w:r>
      <w:bookmarkEnd w:id="355"/>
    </w:p>
    <w:p w14:paraId="7177A349">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FF0000"/>
          <w:sz w:val="32"/>
          <w:szCs w:val="32"/>
          <w:highlight w:val="none"/>
          <w:u w:color="000000"/>
          <w:lang w:eastAsia="zh-CN"/>
        </w:rPr>
      </w:pPr>
      <w:bookmarkStart w:id="356" w:name="auto_fouce_25"/>
      <w:r>
        <w:rPr>
          <w:rFonts w:hint="eastAsia" w:ascii="仿宋" w:hAnsi="仿宋" w:eastAsia="仿宋" w:cs="仿宋"/>
          <w:color w:val="auto"/>
          <w:sz w:val="32"/>
          <w:szCs w:val="32"/>
          <w:highlight w:val="none"/>
          <w:u w:color="000000"/>
          <w:lang w:val="en-US" w:eastAsia="zh-CN"/>
        </w:rPr>
        <w:t>服务费用按月支付。乙方应于</w:t>
      </w:r>
      <w:r>
        <w:rPr>
          <w:rFonts w:hint="eastAsia" w:ascii="仿宋" w:hAnsi="仿宋" w:eastAsia="仿宋" w:cs="仿宋"/>
          <w:color w:val="auto"/>
          <w:sz w:val="32"/>
          <w:szCs w:val="32"/>
          <w:highlight w:val="none"/>
          <w:u w:color="000000"/>
        </w:rPr>
        <w:t>每月结束前5日内向甲方提</w:t>
      </w:r>
      <w:r>
        <w:rPr>
          <w:rFonts w:hint="eastAsia" w:ascii="仿宋" w:hAnsi="仿宋" w:eastAsia="仿宋" w:cs="仿宋"/>
          <w:color w:val="auto"/>
          <w:sz w:val="32"/>
          <w:szCs w:val="32"/>
          <w:highlight w:val="none"/>
          <w:u w:color="000000"/>
          <w:lang w:eastAsia="zh-CN"/>
        </w:rPr>
        <w:t>交</w:t>
      </w:r>
      <w:r>
        <w:rPr>
          <w:rFonts w:hint="eastAsia" w:ascii="仿宋" w:hAnsi="仿宋" w:eastAsia="仿宋" w:cs="仿宋"/>
          <w:color w:val="auto"/>
          <w:sz w:val="32"/>
          <w:szCs w:val="32"/>
          <w:highlight w:val="none"/>
          <w:u w:color="000000"/>
        </w:rPr>
        <w:t>当月服务费用等额、真实、合法有效</w:t>
      </w:r>
      <w:r>
        <w:rPr>
          <w:rFonts w:hint="eastAsia" w:ascii="仿宋" w:hAnsi="仿宋" w:eastAsia="仿宋" w:cs="仿宋"/>
          <w:color w:val="auto"/>
          <w:sz w:val="32"/>
          <w:szCs w:val="32"/>
          <w:highlight w:val="none"/>
          <w:u w:color="000000"/>
          <w:lang w:eastAsia="zh-CN"/>
        </w:rPr>
        <w:t>的</w:t>
      </w:r>
      <w:r>
        <w:rPr>
          <w:rFonts w:hint="eastAsia" w:ascii="仿宋" w:hAnsi="仿宋" w:eastAsia="仿宋" w:cs="仿宋"/>
          <w:color w:val="auto"/>
          <w:sz w:val="32"/>
          <w:szCs w:val="32"/>
          <w:highlight w:val="none"/>
          <w:u w:color="000000"/>
        </w:rPr>
        <w:t>增值</w:t>
      </w:r>
      <w:r>
        <w:rPr>
          <w:rFonts w:hint="eastAsia" w:ascii="仿宋" w:hAnsi="仿宋" w:eastAsia="仿宋" w:cs="仿宋"/>
          <w:color w:val="auto"/>
          <w:sz w:val="32"/>
          <w:szCs w:val="32"/>
          <w:highlight w:val="none"/>
          <w:u w:color="000000"/>
          <w:lang w:eastAsia="zh-CN"/>
        </w:rPr>
        <w:t>税</w:t>
      </w:r>
      <w:r>
        <w:rPr>
          <w:rFonts w:hint="eastAsia" w:ascii="仿宋" w:hAnsi="仿宋" w:eastAsia="仿宋" w:cs="仿宋"/>
          <w:color w:val="auto"/>
          <w:sz w:val="32"/>
          <w:szCs w:val="32"/>
          <w:highlight w:val="none"/>
          <w:u w:color="000000"/>
        </w:rPr>
        <w:t>普通发票，税费由乙方自担。甲方</w:t>
      </w:r>
      <w:r>
        <w:rPr>
          <w:rFonts w:hint="eastAsia" w:ascii="仿宋" w:hAnsi="仿宋" w:eastAsia="仿宋" w:cs="仿宋"/>
          <w:color w:val="auto"/>
          <w:sz w:val="32"/>
          <w:szCs w:val="32"/>
          <w:highlight w:val="none"/>
          <w:u w:color="000000"/>
          <w:lang w:eastAsia="zh-CN"/>
        </w:rPr>
        <w:t>在</w:t>
      </w:r>
      <w:r>
        <w:rPr>
          <w:rFonts w:hint="eastAsia" w:ascii="仿宋" w:hAnsi="仿宋" w:eastAsia="仿宋" w:cs="仿宋"/>
          <w:color w:val="auto"/>
          <w:sz w:val="32"/>
          <w:szCs w:val="32"/>
          <w:highlight w:val="none"/>
          <w:u w:color="000000"/>
        </w:rPr>
        <w:t>收到</w:t>
      </w:r>
      <w:r>
        <w:rPr>
          <w:rFonts w:hint="eastAsia" w:ascii="仿宋" w:hAnsi="仿宋" w:eastAsia="仿宋" w:cs="仿宋"/>
          <w:color w:val="auto"/>
          <w:sz w:val="32"/>
          <w:szCs w:val="32"/>
          <w:highlight w:val="none"/>
          <w:u w:color="000000"/>
          <w:lang w:eastAsia="zh-CN"/>
        </w:rPr>
        <w:t>乙方提交的前述合格</w:t>
      </w:r>
      <w:r>
        <w:rPr>
          <w:rFonts w:hint="eastAsia" w:ascii="仿宋" w:hAnsi="仿宋" w:eastAsia="仿宋" w:cs="仿宋"/>
          <w:color w:val="auto"/>
          <w:sz w:val="32"/>
          <w:szCs w:val="32"/>
          <w:highlight w:val="none"/>
          <w:u w:color="000000"/>
        </w:rPr>
        <w:t>发票</w:t>
      </w:r>
      <w:r>
        <w:rPr>
          <w:rFonts w:hint="eastAsia" w:ascii="仿宋" w:hAnsi="仿宋" w:eastAsia="仿宋" w:cs="仿宋"/>
          <w:color w:val="auto"/>
          <w:sz w:val="32"/>
          <w:szCs w:val="32"/>
          <w:highlight w:val="none"/>
          <w:u w:color="000000"/>
          <w:lang w:eastAsia="zh-CN"/>
        </w:rPr>
        <w:t>、经甲方签字确认的当月考勤记录及月度考核合格证明</w:t>
      </w:r>
      <w:r>
        <w:rPr>
          <w:rFonts w:hint="eastAsia" w:ascii="仿宋" w:hAnsi="仿宋" w:eastAsia="仿宋" w:cs="仿宋"/>
          <w:color w:val="auto"/>
          <w:sz w:val="32"/>
          <w:szCs w:val="32"/>
          <w:highlight w:val="none"/>
          <w:u w:color="000000"/>
        </w:rPr>
        <w:t>后20个工作日内</w:t>
      </w:r>
      <w:r>
        <w:rPr>
          <w:rFonts w:hint="eastAsia" w:ascii="仿宋" w:hAnsi="仿宋" w:eastAsia="仿宋" w:cs="仿宋"/>
          <w:color w:val="auto"/>
          <w:sz w:val="32"/>
          <w:szCs w:val="32"/>
          <w:highlight w:val="none"/>
          <w:u w:color="000000"/>
          <w:lang w:eastAsia="zh-CN"/>
        </w:rPr>
        <w:t>，</w:t>
      </w:r>
      <w:r>
        <w:rPr>
          <w:rFonts w:hint="eastAsia" w:ascii="仿宋" w:hAnsi="仿宋" w:eastAsia="仿宋" w:cs="仿宋"/>
          <w:color w:val="auto"/>
          <w:sz w:val="32"/>
          <w:szCs w:val="32"/>
          <w:highlight w:val="none"/>
          <w:u w:color="000000"/>
        </w:rPr>
        <w:t>将</w:t>
      </w:r>
      <w:r>
        <w:rPr>
          <w:rFonts w:hint="eastAsia" w:ascii="仿宋" w:hAnsi="仿宋" w:eastAsia="仿宋" w:cs="仿宋"/>
          <w:color w:val="auto"/>
          <w:sz w:val="32"/>
          <w:szCs w:val="32"/>
          <w:highlight w:val="none"/>
          <w:u w:color="000000"/>
          <w:lang w:eastAsia="zh-CN"/>
        </w:rPr>
        <w:t>扣除当月</w:t>
      </w:r>
      <w:r>
        <w:rPr>
          <w:rFonts w:hint="eastAsia" w:ascii="仿宋" w:hAnsi="仿宋" w:eastAsia="仿宋" w:cs="仿宋"/>
          <w:color w:val="auto"/>
          <w:sz w:val="32"/>
          <w:szCs w:val="32"/>
          <w:highlight w:val="none"/>
          <w:u w:color="000000"/>
        </w:rPr>
        <w:t>应</w:t>
      </w:r>
      <w:r>
        <w:rPr>
          <w:rFonts w:hint="eastAsia" w:ascii="仿宋" w:hAnsi="仿宋" w:eastAsia="仿宋" w:cs="仿宋"/>
          <w:color w:val="auto"/>
          <w:sz w:val="32"/>
          <w:szCs w:val="32"/>
          <w:highlight w:val="none"/>
          <w:u w:color="000000"/>
          <w:lang w:eastAsia="zh-CN"/>
        </w:rPr>
        <w:t>由乙方承担的违约金、赔偿金后的应</w:t>
      </w:r>
      <w:r>
        <w:rPr>
          <w:rFonts w:hint="eastAsia" w:ascii="仿宋" w:hAnsi="仿宋" w:eastAsia="仿宋" w:cs="仿宋"/>
          <w:color w:val="auto"/>
          <w:sz w:val="32"/>
          <w:szCs w:val="32"/>
          <w:highlight w:val="none"/>
          <w:u w:color="000000"/>
        </w:rPr>
        <w:t>付服务费支付至乙方账户。</w:t>
      </w:r>
      <w:r>
        <w:rPr>
          <w:rFonts w:hint="eastAsia" w:ascii="仿宋" w:hAnsi="仿宋" w:eastAsia="仿宋" w:cs="仿宋"/>
          <w:color w:val="auto"/>
          <w:sz w:val="32"/>
          <w:szCs w:val="32"/>
          <w:highlight w:val="none"/>
          <w:u w:color="000000"/>
          <w:lang w:eastAsia="zh-CN"/>
        </w:rPr>
        <w:t>乙方提交的发票不符合本合同约定或乙方当月考核不合格、存在违约情形的，甲方有权暂缓或暂停支付当月服务费，直至乙方提交符合要求的发票、整改合格并承担相应违约责任</w:t>
      </w:r>
      <w:bookmarkStart w:id="357" w:name="auto_fouce_33"/>
    </w:p>
    <w:p w14:paraId="5ABB5234">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r>
        <w:rPr>
          <w:rFonts w:hint="eastAsia" w:ascii="仿宋" w:hAnsi="仿宋" w:eastAsia="仿宋" w:cs="仿宋"/>
          <w:color w:val="FF0000"/>
          <w:sz w:val="32"/>
          <w:szCs w:val="32"/>
          <w:highlight w:val="none"/>
          <w:u w:color="000000"/>
          <w:lang w:eastAsia="zh-CN"/>
        </w:rPr>
        <w:t>乙方应于每月5日前向甲方提交上月后厨运营台账，包括但不限于食材验收记录、消杀记录、食品留样记录、设备巡检记录、考勤记录、菜品轮换清单，供甲方审核留存。</w:t>
      </w:r>
      <w:bookmarkEnd w:id="357"/>
      <w:r>
        <w:rPr>
          <w:rFonts w:hint="eastAsia" w:ascii="仿宋" w:hAnsi="仿宋" w:eastAsia="仿宋" w:cs="仿宋"/>
          <w:color w:val="FF0000"/>
          <w:sz w:val="32"/>
          <w:szCs w:val="32"/>
          <w:highlight w:val="none"/>
          <w:u w:color="000000"/>
          <w:lang w:eastAsia="zh-CN"/>
        </w:rPr>
        <w:t xml:space="preserve"> </w:t>
      </w:r>
      <w:r>
        <w:rPr>
          <w:rFonts w:hint="eastAsia" w:ascii="仿宋" w:hAnsi="仿宋" w:eastAsia="仿宋" w:cs="仿宋"/>
          <w:color w:val="auto"/>
          <w:sz w:val="32"/>
          <w:szCs w:val="32"/>
          <w:highlight w:val="none"/>
          <w:u w:color="000000"/>
          <w:lang w:eastAsia="zh-CN"/>
        </w:rPr>
        <w:t>后再予支付，甲方不因此承担任何逾期付款责任。</w:t>
      </w:r>
      <w:bookmarkEnd w:id="356"/>
    </w:p>
    <w:p w14:paraId="61B2AEF8">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（二）发票条款</w:t>
      </w:r>
    </w:p>
    <w:p w14:paraId="1F2D36D2">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eastAsia="zh-CN"/>
        </w:rPr>
        <w:t>1.</w:t>
      </w:r>
      <w:r>
        <w:rPr>
          <w:rFonts w:hint="eastAsia" w:ascii="仿宋" w:hAnsi="仿宋" w:eastAsia="仿宋" w:cs="仿宋"/>
          <w:color w:val="auto"/>
          <w:sz w:val="32"/>
          <w:szCs w:val="32"/>
          <w:highlight w:val="none"/>
          <w:u w:color="000000"/>
        </w:rPr>
        <w:t>乙方开具的发票须为增值税普通发票；</w:t>
      </w:r>
    </w:p>
    <w:p w14:paraId="6B6303FA">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eastAsia="zh-CN"/>
        </w:rPr>
        <w:t>2.</w:t>
      </w:r>
      <w:r>
        <w:rPr>
          <w:rFonts w:hint="eastAsia" w:ascii="仿宋" w:hAnsi="仿宋" w:eastAsia="仿宋" w:cs="仿宋"/>
          <w:color w:val="auto"/>
          <w:sz w:val="32"/>
          <w:szCs w:val="32"/>
          <w:highlight w:val="none"/>
          <w:u w:color="000000"/>
        </w:rPr>
        <w:t>双方开票信息为：</w:t>
      </w:r>
    </w:p>
    <w:tbl>
      <w:tblPr>
        <w:tblStyle w:val="51"/>
        <w:tblW w:w="9000" w:type="dxa"/>
        <w:tblInd w:w="-127" w:type="dxa"/>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2175"/>
        <w:gridCol w:w="3391"/>
        <w:gridCol w:w="3434"/>
      </w:tblGrid>
      <w:tr w14:paraId="42159D80">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92" w:hRule="atLeast"/>
        </w:trPr>
        <w:tc>
          <w:tcPr>
            <w:tcW w:w="217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ECC0EC2">
            <w:pPr>
              <w:keepNext w:val="0"/>
              <w:keepLines w:val="0"/>
              <w:pageBreakBefore w:val="0"/>
              <w:widowControl w:val="0"/>
              <w:kinsoku/>
              <w:wordWrap/>
              <w:overflowPunct/>
              <w:topLinePunct w:val="0"/>
              <w:bidi w:val="0"/>
              <w:spacing w:beforeAutospacing="0" w:afterAutospacing="0" w:line="560" w:lineRule="exact"/>
              <w:ind w:firstLine="0" w:firstLineChars="0"/>
              <w:jc w:val="center"/>
              <w:textAlignment w:val="auto"/>
              <w:rPr>
                <w:rFonts w:hint="eastAsia" w:ascii="仿宋" w:hAnsi="仿宋" w:eastAsia="仿宋" w:cs="仿宋"/>
                <w:color w:val="auto"/>
                <w:sz w:val="32"/>
                <w:szCs w:val="32"/>
                <w:highlight w:val="none"/>
                <w:u w:color="000000"/>
              </w:rPr>
            </w:pPr>
            <w:bookmarkStart w:id="358" w:name="tip_risk_bookmark_26"/>
            <w:r>
              <w:rPr>
                <w:rFonts w:hint="eastAsia" w:ascii="仿宋" w:hAnsi="仿宋" w:eastAsia="仿宋" w:cs="仿宋"/>
                <w:color w:val="auto"/>
                <w:sz w:val="32"/>
                <w:szCs w:val="32"/>
                <w:highlight w:val="none"/>
                <w:u w:color="000000"/>
              </w:rPr>
              <w:t>类别</w:t>
            </w:r>
          </w:p>
        </w:tc>
        <w:tc>
          <w:tcPr>
            <w:tcW w:w="3391" w:type="dxa"/>
            <w:tcBorders>
              <w:top w:val="single" w:color="000000" w:sz="4" w:space="0"/>
              <w:left w:val="nil"/>
              <w:bottom w:val="single" w:color="000000" w:sz="4" w:space="0"/>
              <w:right w:val="single" w:color="000000" w:sz="4" w:space="0"/>
            </w:tcBorders>
            <w:vAlign w:val="center"/>
          </w:tcPr>
          <w:p w14:paraId="4E8EFE6E">
            <w:pPr>
              <w:keepNext w:val="0"/>
              <w:keepLines w:val="0"/>
              <w:pageBreakBefore w:val="0"/>
              <w:widowControl w:val="0"/>
              <w:kinsoku/>
              <w:wordWrap/>
              <w:overflowPunct/>
              <w:topLinePunct w:val="0"/>
              <w:bidi w:val="0"/>
              <w:spacing w:beforeAutospacing="0" w:afterAutospacing="0" w:line="560" w:lineRule="exact"/>
              <w:ind w:firstLine="0" w:firstLineChars="0"/>
              <w:jc w:val="center"/>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甲方</w:t>
            </w:r>
          </w:p>
        </w:tc>
        <w:tc>
          <w:tcPr>
            <w:tcW w:w="3434" w:type="dxa"/>
            <w:tcBorders>
              <w:top w:val="single" w:color="000000" w:sz="4" w:space="0"/>
              <w:left w:val="nil"/>
              <w:bottom w:val="single" w:color="000000" w:sz="4" w:space="0"/>
              <w:right w:val="single" w:color="000000" w:sz="4" w:space="0"/>
            </w:tcBorders>
            <w:vAlign w:val="center"/>
          </w:tcPr>
          <w:p w14:paraId="2EA2B008">
            <w:pPr>
              <w:keepNext w:val="0"/>
              <w:keepLines w:val="0"/>
              <w:pageBreakBefore w:val="0"/>
              <w:widowControl w:val="0"/>
              <w:kinsoku/>
              <w:wordWrap/>
              <w:overflowPunct/>
              <w:topLinePunct w:val="0"/>
              <w:bidi w:val="0"/>
              <w:spacing w:beforeAutospacing="0" w:afterAutospacing="0" w:line="560" w:lineRule="exact"/>
              <w:ind w:firstLine="0" w:firstLineChars="0"/>
              <w:jc w:val="center"/>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乙方</w:t>
            </w:r>
          </w:p>
        </w:tc>
      </w:tr>
      <w:tr w14:paraId="059A78FD">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92" w:hRule="atLeast"/>
        </w:trPr>
        <w:tc>
          <w:tcPr>
            <w:tcW w:w="217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566E447">
            <w:pPr>
              <w:keepNext w:val="0"/>
              <w:keepLines w:val="0"/>
              <w:pageBreakBefore w:val="0"/>
              <w:widowControl w:val="0"/>
              <w:kinsoku/>
              <w:wordWrap/>
              <w:overflowPunct/>
              <w:topLinePunct w:val="0"/>
              <w:bidi w:val="0"/>
              <w:spacing w:beforeAutospacing="0" w:afterAutospacing="0" w:line="560" w:lineRule="exact"/>
              <w:ind w:firstLine="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企业名称</w:t>
            </w:r>
          </w:p>
        </w:tc>
        <w:tc>
          <w:tcPr>
            <w:tcW w:w="3391" w:type="dxa"/>
            <w:tcBorders>
              <w:top w:val="single" w:color="000000" w:sz="4" w:space="0"/>
              <w:left w:val="nil"/>
              <w:bottom w:val="single" w:color="000000" w:sz="4" w:space="0"/>
              <w:right w:val="single" w:color="000000" w:sz="4" w:space="0"/>
            </w:tcBorders>
            <w:vAlign w:val="center"/>
          </w:tcPr>
          <w:p w14:paraId="17A8B769">
            <w:pPr>
              <w:keepNext w:val="0"/>
              <w:keepLines w:val="0"/>
              <w:pageBreakBefore w:val="0"/>
              <w:widowControl w:val="0"/>
              <w:kinsoku/>
              <w:wordWrap/>
              <w:overflowPunct/>
              <w:topLinePunct w:val="0"/>
              <w:bidi w:val="0"/>
              <w:spacing w:beforeAutospacing="0" w:afterAutospacing="0" w:line="560" w:lineRule="exact"/>
              <w:ind w:firstLine="0" w:firstLineChars="0"/>
              <w:textAlignment w:val="auto"/>
              <w:rPr>
                <w:rFonts w:hint="eastAsia" w:ascii="仿宋" w:hAnsi="仿宋" w:eastAsia="仿宋" w:cs="仿宋"/>
                <w:color w:val="auto"/>
                <w:sz w:val="32"/>
                <w:szCs w:val="32"/>
                <w:highlight w:val="none"/>
                <w:u w:color="000000"/>
              </w:rPr>
            </w:pPr>
          </w:p>
        </w:tc>
        <w:tc>
          <w:tcPr>
            <w:tcW w:w="3434" w:type="dxa"/>
            <w:tcBorders>
              <w:top w:val="single" w:color="000000" w:sz="4" w:space="0"/>
              <w:left w:val="nil"/>
              <w:bottom w:val="single" w:color="000000" w:sz="4" w:space="0"/>
              <w:right w:val="single" w:color="000000" w:sz="4" w:space="0"/>
            </w:tcBorders>
            <w:vAlign w:val="center"/>
          </w:tcPr>
          <w:p w14:paraId="33A203D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kern w:val="2"/>
                <w:sz w:val="32"/>
                <w:szCs w:val="32"/>
                <w:u w:color="000000"/>
                <w:lang w:val="en-US" w:eastAsia="zh-CN" w:bidi="ar-SA"/>
              </w:rPr>
            </w:pPr>
          </w:p>
        </w:tc>
      </w:tr>
      <w:tr w14:paraId="550D343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92" w:hRule="atLeast"/>
        </w:trPr>
        <w:tc>
          <w:tcPr>
            <w:tcW w:w="217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648365C">
            <w:pPr>
              <w:keepNext w:val="0"/>
              <w:keepLines w:val="0"/>
              <w:pageBreakBefore w:val="0"/>
              <w:widowControl w:val="0"/>
              <w:kinsoku/>
              <w:wordWrap/>
              <w:overflowPunct/>
              <w:topLinePunct w:val="0"/>
              <w:bidi w:val="0"/>
              <w:spacing w:beforeAutospacing="0" w:afterAutospacing="0" w:line="560" w:lineRule="exact"/>
              <w:ind w:firstLine="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纳税人识别号</w:t>
            </w:r>
          </w:p>
        </w:tc>
        <w:tc>
          <w:tcPr>
            <w:tcW w:w="3391" w:type="dxa"/>
            <w:tcBorders>
              <w:top w:val="single" w:color="000000" w:sz="4" w:space="0"/>
              <w:left w:val="nil"/>
              <w:bottom w:val="single" w:color="000000" w:sz="4" w:space="0"/>
              <w:right w:val="single" w:color="000000" w:sz="4" w:space="0"/>
            </w:tcBorders>
            <w:vAlign w:val="center"/>
          </w:tcPr>
          <w:p w14:paraId="70615B2C">
            <w:pPr>
              <w:keepNext w:val="0"/>
              <w:keepLines w:val="0"/>
              <w:pageBreakBefore w:val="0"/>
              <w:widowControl/>
              <w:suppressLineNumbers w:val="0"/>
              <w:kinsoku/>
              <w:wordWrap/>
              <w:overflowPunct/>
              <w:topLinePunct w:val="0"/>
              <w:bidi w:val="0"/>
              <w:spacing w:before="0" w:beforeAutospacing="0" w:after="0" w:afterAutospacing="0" w:line="560" w:lineRule="exact"/>
              <w:ind w:left="0" w:right="0" w:firstLine="0" w:firstLineChars="0"/>
              <w:jc w:val="left"/>
              <w:textAlignment w:val="auto"/>
              <w:rPr>
                <w:rFonts w:hint="eastAsia" w:ascii="仿宋" w:hAnsi="仿宋" w:eastAsia="仿宋" w:cs="仿宋"/>
                <w:color w:val="auto"/>
                <w:sz w:val="32"/>
                <w:szCs w:val="32"/>
                <w:highlight w:val="none"/>
                <w:u w:color="000000"/>
              </w:rPr>
            </w:pPr>
          </w:p>
        </w:tc>
        <w:tc>
          <w:tcPr>
            <w:tcW w:w="3434" w:type="dxa"/>
            <w:tcBorders>
              <w:top w:val="single" w:color="000000" w:sz="4" w:space="0"/>
              <w:left w:val="nil"/>
              <w:bottom w:val="single" w:color="000000" w:sz="4" w:space="0"/>
              <w:right w:val="single" w:color="000000" w:sz="4" w:space="0"/>
            </w:tcBorders>
            <w:vAlign w:val="center"/>
          </w:tcPr>
          <w:p w14:paraId="393DB2F4">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kern w:val="2"/>
                <w:sz w:val="32"/>
                <w:szCs w:val="32"/>
                <w:u w:color="000000"/>
                <w:lang w:val="en-US" w:eastAsia="zh-CN" w:bidi="ar-SA"/>
              </w:rPr>
            </w:pPr>
          </w:p>
        </w:tc>
      </w:tr>
      <w:tr w14:paraId="691B5BE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92" w:hRule="atLeast"/>
        </w:trPr>
        <w:tc>
          <w:tcPr>
            <w:tcW w:w="217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4F9770C">
            <w:pPr>
              <w:keepNext w:val="0"/>
              <w:keepLines w:val="0"/>
              <w:pageBreakBefore w:val="0"/>
              <w:widowControl w:val="0"/>
              <w:kinsoku/>
              <w:wordWrap/>
              <w:overflowPunct/>
              <w:topLinePunct w:val="0"/>
              <w:bidi w:val="0"/>
              <w:spacing w:beforeAutospacing="0" w:afterAutospacing="0" w:line="560" w:lineRule="exact"/>
              <w:ind w:firstLine="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开户行名称</w:t>
            </w:r>
          </w:p>
        </w:tc>
        <w:tc>
          <w:tcPr>
            <w:tcW w:w="3391" w:type="dxa"/>
            <w:tcBorders>
              <w:top w:val="single" w:color="000000" w:sz="4" w:space="0"/>
              <w:left w:val="nil"/>
              <w:bottom w:val="single" w:color="000000" w:sz="4" w:space="0"/>
              <w:right w:val="single" w:color="000000" w:sz="4" w:space="0"/>
            </w:tcBorders>
            <w:vAlign w:val="center"/>
          </w:tcPr>
          <w:p w14:paraId="61856DBE">
            <w:pPr>
              <w:keepNext w:val="0"/>
              <w:keepLines w:val="0"/>
              <w:pageBreakBefore w:val="0"/>
              <w:widowControl w:val="0"/>
              <w:kinsoku/>
              <w:wordWrap/>
              <w:overflowPunct/>
              <w:topLinePunct w:val="0"/>
              <w:bidi w:val="0"/>
              <w:spacing w:beforeAutospacing="0" w:afterAutospacing="0" w:line="560" w:lineRule="exact"/>
              <w:ind w:firstLine="0" w:firstLineChars="0"/>
              <w:textAlignment w:val="auto"/>
              <w:rPr>
                <w:rFonts w:hint="eastAsia" w:ascii="仿宋" w:hAnsi="仿宋" w:eastAsia="仿宋" w:cs="仿宋"/>
                <w:color w:val="auto"/>
                <w:sz w:val="32"/>
                <w:szCs w:val="32"/>
                <w:highlight w:val="none"/>
                <w:u w:color="000000"/>
              </w:rPr>
            </w:pPr>
          </w:p>
        </w:tc>
        <w:tc>
          <w:tcPr>
            <w:tcW w:w="3434" w:type="dxa"/>
            <w:tcBorders>
              <w:top w:val="single" w:color="000000" w:sz="4" w:space="0"/>
              <w:left w:val="nil"/>
              <w:bottom w:val="single" w:color="000000" w:sz="4" w:space="0"/>
              <w:right w:val="single" w:color="000000" w:sz="4" w:space="0"/>
            </w:tcBorders>
            <w:vAlign w:val="center"/>
          </w:tcPr>
          <w:p w14:paraId="5562AEB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kern w:val="2"/>
                <w:sz w:val="32"/>
                <w:szCs w:val="32"/>
                <w:u w:color="000000"/>
                <w:lang w:val="en-US" w:eastAsia="zh-CN" w:bidi="ar-SA"/>
              </w:rPr>
            </w:pPr>
          </w:p>
        </w:tc>
      </w:tr>
      <w:tr w14:paraId="5A6A4DD1">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92" w:hRule="atLeast"/>
        </w:trPr>
        <w:tc>
          <w:tcPr>
            <w:tcW w:w="217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60D212B3">
            <w:pPr>
              <w:keepNext w:val="0"/>
              <w:keepLines w:val="0"/>
              <w:pageBreakBefore w:val="0"/>
              <w:widowControl w:val="0"/>
              <w:kinsoku/>
              <w:wordWrap/>
              <w:overflowPunct/>
              <w:topLinePunct w:val="0"/>
              <w:bidi w:val="0"/>
              <w:spacing w:beforeAutospacing="0" w:afterAutospacing="0" w:line="560" w:lineRule="exact"/>
              <w:ind w:firstLine="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银行账号</w:t>
            </w:r>
          </w:p>
        </w:tc>
        <w:tc>
          <w:tcPr>
            <w:tcW w:w="3391" w:type="dxa"/>
            <w:tcBorders>
              <w:top w:val="single" w:color="000000" w:sz="4" w:space="0"/>
              <w:left w:val="nil"/>
              <w:bottom w:val="single" w:color="000000" w:sz="4" w:space="0"/>
              <w:right w:val="single" w:color="000000" w:sz="4" w:space="0"/>
            </w:tcBorders>
            <w:vAlign w:val="center"/>
          </w:tcPr>
          <w:p w14:paraId="5CA96B4A">
            <w:pPr>
              <w:keepNext w:val="0"/>
              <w:keepLines w:val="0"/>
              <w:pageBreakBefore w:val="0"/>
              <w:widowControl/>
              <w:suppressLineNumbers w:val="0"/>
              <w:kinsoku/>
              <w:wordWrap/>
              <w:overflowPunct/>
              <w:topLinePunct w:val="0"/>
              <w:bidi w:val="0"/>
              <w:spacing w:before="0" w:beforeAutospacing="0" w:after="0" w:afterAutospacing="0" w:line="560" w:lineRule="exact"/>
              <w:ind w:left="0" w:right="0" w:firstLine="0" w:firstLineChars="0"/>
              <w:jc w:val="left"/>
              <w:textAlignment w:val="auto"/>
              <w:rPr>
                <w:rFonts w:hint="eastAsia" w:ascii="仿宋" w:hAnsi="仿宋" w:eastAsia="仿宋" w:cs="仿宋"/>
                <w:color w:val="auto"/>
                <w:sz w:val="32"/>
                <w:szCs w:val="32"/>
                <w:highlight w:val="none"/>
                <w:u w:color="000000"/>
              </w:rPr>
            </w:pPr>
          </w:p>
        </w:tc>
        <w:tc>
          <w:tcPr>
            <w:tcW w:w="3434" w:type="dxa"/>
            <w:tcBorders>
              <w:top w:val="single" w:color="000000" w:sz="4" w:space="0"/>
              <w:left w:val="nil"/>
              <w:bottom w:val="single" w:color="000000" w:sz="4" w:space="0"/>
              <w:right w:val="single" w:color="000000" w:sz="4" w:space="0"/>
            </w:tcBorders>
            <w:vAlign w:val="center"/>
          </w:tcPr>
          <w:p w14:paraId="13F54E57">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kern w:val="2"/>
                <w:sz w:val="32"/>
                <w:szCs w:val="32"/>
                <w:u w:color="000000"/>
                <w:lang w:val="en-US" w:eastAsia="zh-CN" w:bidi="ar-SA"/>
              </w:rPr>
            </w:pPr>
          </w:p>
        </w:tc>
      </w:tr>
      <w:tr w14:paraId="78276BD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0" w:hRule="atLeast"/>
        </w:trPr>
        <w:tc>
          <w:tcPr>
            <w:tcW w:w="2175"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CFAA60F">
            <w:pPr>
              <w:keepNext w:val="0"/>
              <w:keepLines w:val="0"/>
              <w:pageBreakBefore w:val="0"/>
              <w:widowControl w:val="0"/>
              <w:kinsoku/>
              <w:wordWrap/>
              <w:overflowPunct/>
              <w:topLinePunct w:val="0"/>
              <w:bidi w:val="0"/>
              <w:spacing w:beforeAutospacing="0" w:afterAutospacing="0" w:line="560" w:lineRule="exact"/>
              <w:ind w:firstLine="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地址</w:t>
            </w:r>
          </w:p>
        </w:tc>
        <w:tc>
          <w:tcPr>
            <w:tcW w:w="3391" w:type="dxa"/>
            <w:tcBorders>
              <w:top w:val="single" w:color="000000" w:sz="4" w:space="0"/>
              <w:left w:val="nil"/>
              <w:bottom w:val="single" w:color="000000" w:sz="4" w:space="0"/>
              <w:right w:val="single" w:color="000000" w:sz="4" w:space="0"/>
            </w:tcBorders>
            <w:vAlign w:val="center"/>
          </w:tcPr>
          <w:p w14:paraId="03DF77F4">
            <w:pPr>
              <w:keepNext w:val="0"/>
              <w:keepLines w:val="0"/>
              <w:pageBreakBefore w:val="0"/>
              <w:widowControl/>
              <w:suppressLineNumbers w:val="0"/>
              <w:kinsoku/>
              <w:wordWrap/>
              <w:overflowPunct/>
              <w:topLinePunct w:val="0"/>
              <w:bidi w:val="0"/>
              <w:spacing w:before="0" w:beforeAutospacing="0" w:after="0" w:afterAutospacing="0" w:line="560" w:lineRule="exact"/>
              <w:ind w:left="0" w:right="0" w:firstLine="0" w:firstLineChars="0"/>
              <w:jc w:val="left"/>
              <w:textAlignment w:val="auto"/>
              <w:rPr>
                <w:rFonts w:hint="eastAsia" w:ascii="仿宋" w:hAnsi="仿宋" w:eastAsia="仿宋" w:cs="仿宋"/>
                <w:color w:val="auto"/>
                <w:sz w:val="32"/>
                <w:szCs w:val="32"/>
                <w:highlight w:val="none"/>
                <w:u w:color="000000"/>
              </w:rPr>
            </w:pPr>
          </w:p>
        </w:tc>
        <w:tc>
          <w:tcPr>
            <w:tcW w:w="3434" w:type="dxa"/>
            <w:tcBorders>
              <w:top w:val="single" w:color="000000" w:sz="4" w:space="0"/>
              <w:left w:val="nil"/>
              <w:bottom w:val="single" w:color="000000" w:sz="4" w:space="0"/>
              <w:right w:val="single" w:color="000000" w:sz="4" w:space="0"/>
            </w:tcBorders>
            <w:vAlign w:val="center"/>
          </w:tcPr>
          <w:p w14:paraId="3C72205C">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ascii="仿宋" w:hAnsi="仿宋" w:eastAsia="仿宋" w:cs="仿宋"/>
                <w:kern w:val="2"/>
                <w:sz w:val="32"/>
                <w:szCs w:val="32"/>
                <w:u w:color="000000"/>
                <w:lang w:val="en-US" w:eastAsia="zh-CN" w:bidi="ar-SA"/>
              </w:rPr>
            </w:pPr>
          </w:p>
        </w:tc>
      </w:tr>
      <w:bookmarkEnd w:id="358"/>
    </w:tbl>
    <w:p w14:paraId="632286A4">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甲乙双方应保证上述己方信息的准确性，否则由此造成的一切后果由信息不准确的一方自行承担。</w:t>
      </w:r>
    </w:p>
    <w:p w14:paraId="536037D5">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eastAsia="zh-CN"/>
        </w:rPr>
        <w:t>3.</w:t>
      </w:r>
      <w:r>
        <w:rPr>
          <w:rFonts w:hint="eastAsia" w:ascii="仿宋" w:hAnsi="仿宋" w:eastAsia="仿宋" w:cs="仿宋"/>
          <w:color w:val="auto"/>
          <w:sz w:val="32"/>
          <w:szCs w:val="32"/>
          <w:highlight w:val="none"/>
          <w:u w:color="000000"/>
        </w:rPr>
        <w:t>乙方开具汇总增值税普通发票的</w:t>
      </w:r>
      <w:r>
        <w:rPr>
          <w:rFonts w:hint="eastAsia" w:ascii="仿宋" w:hAnsi="仿宋" w:eastAsia="仿宋" w:cs="仿宋"/>
          <w:color w:val="auto"/>
          <w:sz w:val="32"/>
          <w:szCs w:val="32"/>
          <w:highlight w:val="none"/>
          <w:u w:color="000000"/>
          <w:lang w:eastAsia="zh-CN"/>
        </w:rPr>
        <w:t>，</w:t>
      </w:r>
      <w:r>
        <w:rPr>
          <w:rFonts w:hint="eastAsia" w:ascii="仿宋" w:hAnsi="仿宋" w:eastAsia="仿宋" w:cs="仿宋"/>
          <w:color w:val="auto"/>
          <w:sz w:val="32"/>
          <w:szCs w:val="32"/>
          <w:highlight w:val="none"/>
          <w:u w:color="000000"/>
        </w:rPr>
        <w:t>乙方须提供防伪税控系统开具的《销售货物或者提供应税劳务清单》</w:t>
      </w:r>
      <w:r>
        <w:rPr>
          <w:rFonts w:hint="eastAsia" w:ascii="仿宋" w:hAnsi="仿宋" w:eastAsia="仿宋" w:cs="仿宋"/>
          <w:color w:val="auto"/>
          <w:sz w:val="32"/>
          <w:szCs w:val="32"/>
          <w:highlight w:val="none"/>
          <w:u w:color="000000"/>
          <w:lang w:eastAsia="zh-CN"/>
        </w:rPr>
        <w:t>，</w:t>
      </w:r>
      <w:r>
        <w:rPr>
          <w:rFonts w:hint="eastAsia" w:ascii="仿宋" w:hAnsi="仿宋" w:eastAsia="仿宋" w:cs="仿宋"/>
          <w:color w:val="auto"/>
          <w:sz w:val="32"/>
          <w:szCs w:val="32"/>
          <w:highlight w:val="none"/>
          <w:u w:color="000000"/>
        </w:rPr>
        <w:t>并加盖财务专用章或者发票专用章。</w:t>
      </w:r>
    </w:p>
    <w:p w14:paraId="22064E67">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eastAsia="zh-CN"/>
        </w:rPr>
        <w:t>4.</w:t>
      </w:r>
      <w:r>
        <w:rPr>
          <w:rFonts w:hint="eastAsia" w:ascii="仿宋" w:hAnsi="仿宋" w:eastAsia="仿宋" w:cs="仿宋"/>
          <w:color w:val="auto"/>
          <w:sz w:val="32"/>
          <w:szCs w:val="32"/>
          <w:highlight w:val="none"/>
          <w:u w:color="000000"/>
        </w:rPr>
        <w:t>如乙方提供虚假增值税普通发票，被相关政府部门查实的，则由此引起的一切法律责任均由乙方承担。甲方有权解除合同，并要求乙方按本合同总价款30%的标准向甲方支付违约金。</w:t>
      </w:r>
    </w:p>
    <w:p w14:paraId="5FF7B023">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eastAsia="zh-CN"/>
        </w:rPr>
        <w:t>5.</w:t>
      </w:r>
      <w:r>
        <w:rPr>
          <w:rFonts w:hint="eastAsia" w:ascii="仿宋" w:hAnsi="仿宋" w:eastAsia="仿宋" w:cs="仿宋"/>
          <w:color w:val="auto"/>
          <w:sz w:val="32"/>
          <w:szCs w:val="32"/>
          <w:highlight w:val="none"/>
          <w:u w:color="000000"/>
        </w:rPr>
        <w:t>乙方须开具与合同内容相符的增值税普通发票，发票开具方与收款方应</w:t>
      </w:r>
      <w:r>
        <w:rPr>
          <w:rFonts w:hint="eastAsia" w:ascii="仿宋" w:hAnsi="仿宋" w:eastAsia="仿宋" w:cs="仿宋"/>
          <w:color w:val="auto"/>
          <w:sz w:val="32"/>
          <w:szCs w:val="32"/>
          <w:highlight w:val="none"/>
          <w:u w:color="000000"/>
          <w:lang w:val="en-US" w:eastAsia="zh-CN"/>
        </w:rPr>
        <w:t>与</w:t>
      </w:r>
      <w:r>
        <w:rPr>
          <w:rFonts w:hint="eastAsia" w:ascii="仿宋" w:hAnsi="仿宋" w:eastAsia="仿宋" w:cs="仿宋"/>
          <w:color w:val="auto"/>
          <w:sz w:val="32"/>
          <w:szCs w:val="32"/>
          <w:highlight w:val="none"/>
          <w:u w:color="000000"/>
        </w:rPr>
        <w:t>合同签订方一致。不能要求将款项支付给与发票开具方不一致的第三方。</w:t>
      </w:r>
    </w:p>
    <w:p w14:paraId="46CC8FDB">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（三）考核</w:t>
      </w:r>
    </w:p>
    <w:p w14:paraId="12D67086">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r>
        <w:rPr>
          <w:rFonts w:hint="eastAsia" w:ascii="仿宋" w:hAnsi="仿宋" w:eastAsia="仿宋" w:cs="仿宋"/>
          <w:color w:val="auto"/>
          <w:sz w:val="32"/>
          <w:szCs w:val="32"/>
          <w:highlight w:val="none"/>
          <w:u w:color="000000"/>
          <w:lang w:eastAsia="zh-CN"/>
        </w:rPr>
        <w:t>1.</w:t>
      </w:r>
      <w:r>
        <w:rPr>
          <w:rFonts w:hint="eastAsia" w:ascii="仿宋" w:hAnsi="仿宋" w:eastAsia="仿宋" w:cs="仿宋"/>
          <w:color w:val="auto"/>
          <w:sz w:val="32"/>
          <w:szCs w:val="32"/>
          <w:highlight w:val="none"/>
          <w:u w:color="000000"/>
        </w:rPr>
        <w:t>考核周期：年度考核</w:t>
      </w:r>
      <w:r>
        <w:rPr>
          <w:rFonts w:hint="eastAsia" w:ascii="仿宋" w:hAnsi="仿宋" w:eastAsia="仿宋" w:cs="仿宋"/>
          <w:color w:val="auto"/>
          <w:sz w:val="32"/>
          <w:szCs w:val="32"/>
          <w:highlight w:val="none"/>
          <w:u w:color="000000"/>
          <w:lang w:eastAsia="zh-CN"/>
        </w:rPr>
        <w:t>。</w:t>
      </w:r>
    </w:p>
    <w:p w14:paraId="06E32CCB">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59" w:name="auto_fouce_27"/>
      <w:r>
        <w:rPr>
          <w:rFonts w:hint="eastAsia" w:ascii="仿宋" w:hAnsi="仿宋" w:eastAsia="仿宋" w:cs="仿宋"/>
          <w:color w:val="auto"/>
          <w:sz w:val="32"/>
          <w:szCs w:val="32"/>
          <w:highlight w:val="none"/>
          <w:u w:color="000000"/>
          <w:lang w:eastAsia="zh-CN"/>
        </w:rPr>
        <w:t>2.</w:t>
      </w:r>
      <w:r>
        <w:rPr>
          <w:rFonts w:hint="eastAsia" w:ascii="仿宋" w:hAnsi="仿宋" w:eastAsia="仿宋" w:cs="仿宋"/>
          <w:color w:val="auto"/>
          <w:sz w:val="32"/>
          <w:szCs w:val="32"/>
          <w:highlight w:val="none"/>
          <w:u w:color="000000"/>
        </w:rPr>
        <w:t>考核方式：甲方每年</w:t>
      </w:r>
      <w:r>
        <w:rPr>
          <w:rFonts w:hint="eastAsia" w:ascii="仿宋" w:hAnsi="仿宋" w:eastAsia="仿宋" w:cs="仿宋"/>
          <w:color w:val="auto"/>
          <w:sz w:val="32"/>
          <w:szCs w:val="32"/>
          <w:highlight w:val="none"/>
          <w:u w:color="000000"/>
          <w:lang w:val="en-US" w:eastAsia="zh-CN"/>
        </w:rPr>
        <w:t>进行</w:t>
      </w:r>
      <w:r>
        <w:rPr>
          <w:rFonts w:hint="eastAsia" w:ascii="仿宋" w:hAnsi="仿宋" w:eastAsia="仿宋" w:cs="仿宋"/>
          <w:color w:val="auto"/>
          <w:sz w:val="32"/>
          <w:szCs w:val="32"/>
          <w:highlight w:val="none"/>
          <w:u w:color="000000"/>
        </w:rPr>
        <w:t>服务考核（见表</w:t>
      </w:r>
      <w:r>
        <w:rPr>
          <w:rFonts w:hint="eastAsia" w:ascii="仿宋" w:hAnsi="仿宋" w:eastAsia="仿宋" w:cs="仿宋"/>
          <w:color w:val="auto"/>
          <w:sz w:val="32"/>
          <w:szCs w:val="32"/>
          <w:highlight w:val="none"/>
          <w:u w:color="000000"/>
          <w:lang w:val="en-US" w:eastAsia="zh-CN"/>
        </w:rPr>
        <w:t>一</w:t>
      </w:r>
      <w:r>
        <w:rPr>
          <w:rFonts w:hint="eastAsia" w:ascii="仿宋" w:hAnsi="仿宋" w:eastAsia="仿宋" w:cs="仿宋"/>
          <w:color w:val="auto"/>
          <w:sz w:val="32"/>
          <w:szCs w:val="32"/>
          <w:highlight w:val="none"/>
          <w:u w:color="000000"/>
        </w:rPr>
        <w:t>），作为乙方履约考核的依据；履约评价</w:t>
      </w:r>
      <w:r>
        <w:rPr>
          <w:rFonts w:hint="eastAsia" w:ascii="仿宋" w:hAnsi="仿宋" w:eastAsia="仿宋" w:cs="仿宋"/>
          <w:color w:val="auto"/>
          <w:sz w:val="32"/>
          <w:szCs w:val="32"/>
          <w:highlight w:val="none"/>
          <w:u w:color="000000"/>
          <w:lang w:val="en-US" w:eastAsia="zh-CN"/>
        </w:rPr>
        <w:t>未通过年度考核的</w:t>
      </w:r>
      <w:r>
        <w:rPr>
          <w:rFonts w:hint="eastAsia" w:ascii="仿宋" w:hAnsi="仿宋" w:eastAsia="仿宋" w:cs="仿宋"/>
          <w:color w:val="auto"/>
          <w:sz w:val="32"/>
          <w:szCs w:val="32"/>
          <w:highlight w:val="none"/>
          <w:u w:color="000000"/>
        </w:rPr>
        <w:t>，甲方有权</w:t>
      </w:r>
      <w:r>
        <w:rPr>
          <w:rFonts w:hint="eastAsia" w:ascii="仿宋" w:hAnsi="仿宋" w:eastAsia="仿宋" w:cs="仿宋"/>
          <w:color w:val="auto"/>
          <w:sz w:val="32"/>
          <w:szCs w:val="32"/>
          <w:highlight w:val="none"/>
          <w:u w:color="000000"/>
          <w:lang w:eastAsia="zh-CN"/>
        </w:rPr>
        <w:t>立即</w:t>
      </w:r>
      <w:r>
        <w:rPr>
          <w:rFonts w:hint="eastAsia" w:ascii="仿宋" w:hAnsi="仿宋" w:eastAsia="仿宋" w:cs="仿宋"/>
          <w:color w:val="auto"/>
          <w:sz w:val="32"/>
          <w:szCs w:val="32"/>
          <w:highlight w:val="none"/>
          <w:u w:color="000000"/>
        </w:rPr>
        <w:t>解除合同</w:t>
      </w:r>
      <w:r>
        <w:rPr>
          <w:rFonts w:hint="eastAsia" w:ascii="仿宋" w:hAnsi="仿宋" w:eastAsia="仿宋" w:cs="仿宋"/>
          <w:color w:val="auto"/>
          <w:sz w:val="32"/>
          <w:szCs w:val="32"/>
          <w:highlight w:val="none"/>
          <w:u w:color="000000"/>
          <w:lang w:eastAsia="zh-CN"/>
        </w:rPr>
        <w:t>，</w:t>
      </w:r>
      <w:r>
        <w:rPr>
          <w:rFonts w:hint="eastAsia" w:ascii="仿宋" w:hAnsi="仿宋" w:eastAsia="仿宋" w:cs="仿宋"/>
          <w:color w:val="auto"/>
          <w:sz w:val="32"/>
          <w:szCs w:val="32"/>
          <w:highlight w:val="none"/>
          <w:u w:color="000000"/>
        </w:rPr>
        <w:t>乙方应</w:t>
      </w:r>
      <w:r>
        <w:rPr>
          <w:rFonts w:hint="eastAsia" w:ascii="仿宋" w:hAnsi="仿宋" w:eastAsia="仿宋" w:cs="仿宋"/>
          <w:color w:val="auto"/>
          <w:sz w:val="32"/>
          <w:szCs w:val="32"/>
          <w:highlight w:val="none"/>
          <w:u w:color="000000"/>
          <w:lang w:eastAsia="zh-CN"/>
        </w:rPr>
        <w:t>在收到</w:t>
      </w:r>
      <w:r>
        <w:rPr>
          <w:rFonts w:hint="eastAsia" w:ascii="仿宋" w:hAnsi="仿宋" w:eastAsia="仿宋" w:cs="仿宋"/>
          <w:color w:val="auto"/>
          <w:sz w:val="32"/>
          <w:szCs w:val="32"/>
          <w:highlight w:val="none"/>
          <w:u w:color="000000"/>
        </w:rPr>
        <w:t>甲方</w:t>
      </w:r>
      <w:r>
        <w:rPr>
          <w:rFonts w:hint="eastAsia" w:ascii="仿宋" w:hAnsi="仿宋" w:eastAsia="仿宋" w:cs="仿宋"/>
          <w:color w:val="auto"/>
          <w:sz w:val="32"/>
          <w:szCs w:val="32"/>
          <w:highlight w:val="none"/>
          <w:u w:color="000000"/>
          <w:lang w:eastAsia="zh-CN"/>
        </w:rPr>
        <w:t>解除</w:t>
      </w:r>
      <w:r>
        <w:rPr>
          <w:rFonts w:hint="eastAsia" w:ascii="仿宋" w:hAnsi="仿宋" w:eastAsia="仿宋" w:cs="仿宋"/>
          <w:color w:val="auto"/>
          <w:sz w:val="32"/>
          <w:szCs w:val="32"/>
          <w:highlight w:val="none"/>
          <w:u w:color="000000"/>
        </w:rPr>
        <w:t>通知</w:t>
      </w:r>
      <w:r>
        <w:rPr>
          <w:rFonts w:hint="eastAsia" w:ascii="仿宋" w:hAnsi="仿宋" w:eastAsia="仿宋" w:cs="仿宋"/>
          <w:color w:val="auto"/>
          <w:sz w:val="32"/>
          <w:szCs w:val="32"/>
          <w:highlight w:val="none"/>
          <w:u w:color="000000"/>
          <w:lang w:eastAsia="zh-CN"/>
        </w:rPr>
        <w:t>后3个工作日内撤</w:t>
      </w:r>
      <w:r>
        <w:rPr>
          <w:rFonts w:hint="eastAsia" w:ascii="仿宋" w:hAnsi="仿宋" w:eastAsia="仿宋" w:cs="仿宋"/>
          <w:color w:val="auto"/>
          <w:sz w:val="32"/>
          <w:szCs w:val="32"/>
          <w:highlight w:val="none"/>
          <w:u w:color="000000"/>
        </w:rPr>
        <w:t>场，且不得要求甲方承担</w:t>
      </w:r>
      <w:r>
        <w:rPr>
          <w:rFonts w:hint="eastAsia" w:ascii="仿宋" w:hAnsi="仿宋" w:eastAsia="仿宋" w:cs="仿宋"/>
          <w:color w:val="auto"/>
          <w:sz w:val="32"/>
          <w:szCs w:val="32"/>
          <w:highlight w:val="none"/>
          <w:u w:color="000000"/>
          <w:lang w:eastAsia="zh-CN"/>
        </w:rPr>
        <w:t>任何</w:t>
      </w:r>
      <w:r>
        <w:rPr>
          <w:rFonts w:hint="eastAsia" w:ascii="仿宋" w:hAnsi="仿宋" w:eastAsia="仿宋" w:cs="仿宋"/>
          <w:color w:val="auto"/>
          <w:sz w:val="32"/>
          <w:szCs w:val="32"/>
          <w:highlight w:val="none"/>
          <w:u w:color="000000"/>
        </w:rPr>
        <w:t>赔偿、补偿或者其他责任。</w:t>
      </w:r>
      <w:bookmarkEnd w:id="359"/>
    </w:p>
    <w:p w14:paraId="5EDB2CF4">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b/>
          <w:bCs/>
          <w:color w:val="auto"/>
          <w:sz w:val="32"/>
          <w:szCs w:val="32"/>
          <w:highlight w:val="none"/>
          <w:u w:color="000000"/>
        </w:rPr>
      </w:pPr>
      <w:r>
        <w:rPr>
          <w:rFonts w:hint="eastAsia" w:ascii="仿宋" w:hAnsi="仿宋" w:eastAsia="仿宋" w:cs="仿宋"/>
          <w:b/>
          <w:bCs/>
          <w:color w:val="auto"/>
          <w:sz w:val="32"/>
          <w:szCs w:val="32"/>
          <w:highlight w:val="none"/>
          <w:u w:color="000000"/>
          <w:lang w:val="en-US" w:eastAsia="zh-CN"/>
        </w:rPr>
        <w:t>五</w:t>
      </w:r>
      <w:r>
        <w:rPr>
          <w:rFonts w:hint="eastAsia" w:ascii="仿宋" w:hAnsi="仿宋" w:eastAsia="仿宋" w:cs="仿宋"/>
          <w:b/>
          <w:bCs/>
          <w:color w:val="auto"/>
          <w:sz w:val="32"/>
          <w:szCs w:val="32"/>
          <w:highlight w:val="none"/>
          <w:u w:color="000000"/>
        </w:rPr>
        <w:t>、甲方权利义务</w:t>
      </w:r>
    </w:p>
    <w:p w14:paraId="225E330A">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（一）甲方负责日常餐饮原辅料的采购；</w:t>
      </w:r>
    </w:p>
    <w:p w14:paraId="3DAFAA59">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（二）甲方采购的物料，由乙</w:t>
      </w:r>
      <w:r>
        <w:rPr>
          <w:rFonts w:hint="eastAsia" w:ascii="仿宋" w:hAnsi="仿宋" w:eastAsia="仿宋" w:cs="仿宋"/>
          <w:color w:val="auto"/>
          <w:sz w:val="32"/>
          <w:szCs w:val="32"/>
          <w:highlight w:val="none"/>
          <w:u w:color="000000"/>
          <w:lang w:val="en-US" w:eastAsia="zh-CN"/>
        </w:rPr>
        <w:t>方人员</w:t>
      </w:r>
      <w:r>
        <w:rPr>
          <w:rFonts w:hint="eastAsia" w:ascii="仿宋" w:hAnsi="仿宋" w:eastAsia="仿宋" w:cs="仿宋"/>
          <w:color w:val="auto"/>
          <w:sz w:val="32"/>
          <w:szCs w:val="32"/>
          <w:highlight w:val="none"/>
          <w:u w:color="000000"/>
        </w:rPr>
        <w:t>负责验收；对于所采购的物料经验收符合采购的标准、规格和数量的，</w:t>
      </w:r>
      <w:r>
        <w:rPr>
          <w:rFonts w:hint="eastAsia" w:ascii="仿宋" w:hAnsi="仿宋" w:eastAsia="仿宋" w:cs="仿宋"/>
          <w:color w:val="auto"/>
          <w:sz w:val="32"/>
          <w:szCs w:val="32"/>
          <w:highlight w:val="none"/>
          <w:u w:color="000000"/>
          <w:lang w:val="en-US" w:eastAsia="zh-CN"/>
        </w:rPr>
        <w:t>乙</w:t>
      </w:r>
      <w:r>
        <w:rPr>
          <w:rFonts w:hint="eastAsia" w:ascii="仿宋" w:hAnsi="仿宋" w:eastAsia="仿宋" w:cs="仿宋"/>
          <w:color w:val="auto"/>
          <w:sz w:val="32"/>
          <w:szCs w:val="32"/>
          <w:highlight w:val="none"/>
          <w:u w:color="000000"/>
        </w:rPr>
        <w:t>方应如实统计并签字确认；</w:t>
      </w:r>
    </w:p>
    <w:p w14:paraId="5477E399">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60" w:name="auto_fouce_29"/>
      <w:r>
        <w:rPr>
          <w:rFonts w:hint="eastAsia" w:ascii="仿宋" w:hAnsi="仿宋" w:eastAsia="仿宋" w:cs="仿宋"/>
          <w:color w:val="auto"/>
          <w:sz w:val="32"/>
          <w:szCs w:val="32"/>
          <w:highlight w:val="none"/>
          <w:u w:color="000000"/>
        </w:rPr>
        <w:t>（三）甲方</w:t>
      </w:r>
      <w:r>
        <w:rPr>
          <w:rFonts w:hint="eastAsia" w:ascii="仿宋" w:hAnsi="仿宋" w:eastAsia="仿宋" w:cs="仿宋"/>
          <w:color w:val="auto"/>
          <w:sz w:val="32"/>
          <w:szCs w:val="32"/>
          <w:highlight w:val="none"/>
          <w:u w:color="000000"/>
          <w:lang w:eastAsia="zh-CN"/>
        </w:rPr>
        <w:t>仅</w:t>
      </w:r>
      <w:r>
        <w:rPr>
          <w:rFonts w:hint="eastAsia" w:ascii="仿宋" w:hAnsi="仿宋" w:eastAsia="仿宋" w:cs="仿宋"/>
          <w:color w:val="auto"/>
          <w:sz w:val="32"/>
          <w:szCs w:val="32"/>
          <w:highlight w:val="none"/>
          <w:u w:color="000000"/>
        </w:rPr>
        <w:t>负责</w:t>
      </w:r>
      <w:r>
        <w:rPr>
          <w:rFonts w:hint="eastAsia" w:ascii="仿宋" w:hAnsi="仿宋" w:eastAsia="仿宋" w:cs="仿宋"/>
          <w:color w:val="auto"/>
          <w:sz w:val="32"/>
          <w:szCs w:val="32"/>
          <w:highlight w:val="none"/>
          <w:u w:color="000000"/>
          <w:lang w:eastAsia="zh-CN"/>
        </w:rPr>
        <w:t>为</w:t>
      </w:r>
      <w:r>
        <w:rPr>
          <w:rFonts w:hint="eastAsia" w:ascii="仿宋" w:hAnsi="仿宋" w:eastAsia="仿宋" w:cs="仿宋"/>
          <w:color w:val="auto"/>
          <w:sz w:val="32"/>
          <w:szCs w:val="32"/>
          <w:highlight w:val="none"/>
          <w:u w:color="000000"/>
        </w:rPr>
        <w:t>乙方</w:t>
      </w:r>
      <w:r>
        <w:rPr>
          <w:rFonts w:hint="eastAsia" w:ascii="仿宋" w:hAnsi="仿宋" w:eastAsia="仿宋" w:cs="仿宋"/>
          <w:color w:val="auto"/>
          <w:sz w:val="32"/>
          <w:szCs w:val="32"/>
          <w:highlight w:val="none"/>
          <w:u w:color="000000"/>
          <w:lang w:eastAsia="zh-CN"/>
        </w:rPr>
        <w:t>派驻</w:t>
      </w:r>
      <w:r>
        <w:rPr>
          <w:rFonts w:hint="eastAsia" w:ascii="仿宋" w:hAnsi="仿宋" w:eastAsia="仿宋" w:cs="仿宋"/>
          <w:color w:val="auto"/>
          <w:sz w:val="32"/>
          <w:szCs w:val="32"/>
          <w:highlight w:val="none"/>
          <w:u w:color="000000"/>
        </w:rPr>
        <w:t>员工</w:t>
      </w:r>
      <w:r>
        <w:rPr>
          <w:rFonts w:hint="eastAsia" w:ascii="仿宋" w:hAnsi="仿宋" w:eastAsia="仿宋" w:cs="仿宋"/>
          <w:color w:val="auto"/>
          <w:sz w:val="32"/>
          <w:szCs w:val="32"/>
          <w:highlight w:val="none"/>
          <w:u w:color="000000"/>
          <w:lang w:eastAsia="zh-CN"/>
        </w:rPr>
        <w:t>提供免费</w:t>
      </w:r>
      <w:r>
        <w:rPr>
          <w:rFonts w:hint="eastAsia" w:ascii="仿宋" w:hAnsi="仿宋" w:eastAsia="仿宋" w:cs="仿宋"/>
          <w:color w:val="auto"/>
          <w:sz w:val="32"/>
          <w:szCs w:val="32"/>
          <w:highlight w:val="none"/>
          <w:u w:color="000000"/>
        </w:rPr>
        <w:t>住宿</w:t>
      </w:r>
      <w:r>
        <w:rPr>
          <w:rFonts w:hint="eastAsia" w:ascii="仿宋" w:hAnsi="仿宋" w:eastAsia="仿宋" w:cs="仿宋"/>
          <w:color w:val="auto"/>
          <w:sz w:val="32"/>
          <w:szCs w:val="32"/>
          <w:highlight w:val="none"/>
          <w:u w:color="000000"/>
          <w:lang w:eastAsia="zh-CN"/>
        </w:rPr>
        <w:t>场地，住宿产生的水电、物业、耗材等全部费用由乙方自行承担，乙方派驻员工应遵守甲方的住宿管理规定，如有违反甲方有权要求乙方更换违规人员</w:t>
      </w:r>
      <w:r>
        <w:rPr>
          <w:rFonts w:hint="eastAsia" w:ascii="仿宋" w:hAnsi="仿宋" w:eastAsia="仿宋" w:cs="仿宋"/>
          <w:color w:val="auto"/>
          <w:sz w:val="32"/>
          <w:szCs w:val="32"/>
          <w:highlight w:val="none"/>
          <w:u w:color="000000"/>
        </w:rPr>
        <w:t>；</w:t>
      </w:r>
      <w:bookmarkEnd w:id="360"/>
    </w:p>
    <w:p w14:paraId="5C207D19">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（四）甲方应依约按期支付乙方应得服务费用。</w:t>
      </w:r>
    </w:p>
    <w:p w14:paraId="584CDA3A">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b/>
          <w:bCs/>
          <w:color w:val="auto"/>
          <w:sz w:val="32"/>
          <w:szCs w:val="32"/>
          <w:highlight w:val="none"/>
          <w:u w:color="000000"/>
        </w:rPr>
      </w:pPr>
      <w:r>
        <w:rPr>
          <w:rFonts w:hint="eastAsia" w:ascii="仿宋" w:hAnsi="仿宋" w:eastAsia="仿宋" w:cs="仿宋"/>
          <w:b/>
          <w:bCs/>
          <w:color w:val="auto"/>
          <w:sz w:val="32"/>
          <w:szCs w:val="32"/>
          <w:highlight w:val="none"/>
          <w:u w:color="000000"/>
          <w:lang w:val="en-US" w:eastAsia="zh-CN"/>
        </w:rPr>
        <w:t>六</w:t>
      </w:r>
      <w:r>
        <w:rPr>
          <w:rFonts w:hint="eastAsia" w:ascii="仿宋" w:hAnsi="仿宋" w:eastAsia="仿宋" w:cs="仿宋"/>
          <w:b/>
          <w:bCs/>
          <w:color w:val="auto"/>
          <w:sz w:val="32"/>
          <w:szCs w:val="32"/>
          <w:highlight w:val="none"/>
          <w:u w:color="000000"/>
        </w:rPr>
        <w:t>、乙方权利义务</w:t>
      </w:r>
    </w:p>
    <w:p w14:paraId="2571D701">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（一）乙方负责按照甲方食堂规模、标准及有关要求配备</w:t>
      </w:r>
      <w:r>
        <w:rPr>
          <w:rFonts w:hint="eastAsia" w:ascii="仿宋" w:hAnsi="仿宋" w:eastAsia="仿宋" w:cs="仿宋"/>
          <w:color w:val="auto"/>
          <w:sz w:val="32"/>
          <w:szCs w:val="32"/>
          <w:highlight w:val="none"/>
          <w:u w:color="000000"/>
          <w:lang w:val="en-US" w:eastAsia="zh-CN"/>
        </w:rPr>
        <w:t>1名厨师长、1名厨师</w:t>
      </w:r>
      <w:r>
        <w:rPr>
          <w:rFonts w:hint="eastAsia" w:ascii="仿宋" w:hAnsi="仿宋" w:eastAsia="仿宋" w:cs="仿宋"/>
          <w:color w:val="auto"/>
          <w:sz w:val="32"/>
          <w:szCs w:val="32"/>
          <w:highlight w:val="none"/>
          <w:u w:color="000000"/>
        </w:rPr>
        <w:t>，同派驻人员签订劳动合同（需报甲方备案），按时发放工资、福利费用，购买社保及必要的人身意外保险等；</w:t>
      </w:r>
    </w:p>
    <w:p w14:paraId="32097C18">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（二）乙方负责按本合同约定向甲方提供相应的服务；</w:t>
      </w:r>
    </w:p>
    <w:p w14:paraId="3CBFA4CE">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bookmarkStart w:id="361" w:name="auto_fouce_30"/>
      <w:r>
        <w:rPr>
          <w:rFonts w:hint="eastAsia" w:ascii="仿宋" w:hAnsi="仿宋" w:eastAsia="仿宋" w:cs="仿宋"/>
          <w:color w:val="auto"/>
          <w:sz w:val="32"/>
          <w:szCs w:val="32"/>
          <w:highlight w:val="none"/>
          <w:u w:color="000000"/>
        </w:rPr>
        <w:t>（三）乙方负责食堂设施设备的</w:t>
      </w:r>
      <w:r>
        <w:rPr>
          <w:rFonts w:hint="eastAsia" w:ascii="仿宋" w:hAnsi="仿宋" w:eastAsia="仿宋" w:cs="仿宋"/>
          <w:color w:val="auto"/>
          <w:sz w:val="32"/>
          <w:szCs w:val="32"/>
          <w:highlight w:val="none"/>
          <w:u w:color="000000"/>
          <w:lang w:eastAsia="zh-CN"/>
        </w:rPr>
        <w:t>日常巡检、清洁养护及简易故障处理；发现设备故障或安全隐患的，应第一时间书面报备甲方，并由</w:t>
      </w:r>
      <w:r>
        <w:rPr>
          <w:rFonts w:hint="eastAsia" w:ascii="仿宋" w:hAnsi="仿宋" w:eastAsia="仿宋" w:cs="仿宋"/>
          <w:color w:val="auto"/>
          <w:sz w:val="32"/>
          <w:szCs w:val="32"/>
          <w:highlight w:val="none"/>
          <w:u w:color="000000"/>
          <w:lang w:val="en-US" w:eastAsia="zh-CN"/>
        </w:rPr>
        <w:t>乙方自行</w:t>
      </w:r>
      <w:r>
        <w:rPr>
          <w:rFonts w:hint="eastAsia" w:ascii="仿宋" w:hAnsi="仿宋" w:eastAsia="仿宋" w:cs="仿宋"/>
          <w:color w:val="auto"/>
          <w:sz w:val="32"/>
          <w:szCs w:val="32"/>
          <w:highlight w:val="none"/>
          <w:u w:color="000000"/>
          <w:lang w:eastAsia="zh-CN"/>
        </w:rPr>
        <w:t>安排具备相应资质的专业人员</w:t>
      </w:r>
      <w:r>
        <w:rPr>
          <w:rFonts w:hint="eastAsia" w:ascii="仿宋" w:hAnsi="仿宋" w:eastAsia="仿宋" w:cs="仿宋"/>
          <w:color w:val="auto"/>
          <w:sz w:val="32"/>
          <w:szCs w:val="32"/>
          <w:highlight w:val="none"/>
          <w:u w:color="000000"/>
        </w:rPr>
        <w:t>维</w:t>
      </w:r>
      <w:r>
        <w:rPr>
          <w:rFonts w:hint="eastAsia" w:ascii="仿宋" w:hAnsi="仿宋" w:eastAsia="仿宋" w:cs="仿宋"/>
          <w:color w:val="auto"/>
          <w:sz w:val="32"/>
          <w:szCs w:val="32"/>
          <w:highlight w:val="none"/>
          <w:u w:color="000000"/>
          <w:lang w:eastAsia="zh-CN"/>
        </w:rPr>
        <w:t>修。因乙方操作不当、巡检疏漏或未及时报备导致的设备损坏、安全事故及由此产生的损失、费用，由乙方承担赔偿责任。</w:t>
      </w:r>
      <w:bookmarkEnd w:id="361"/>
    </w:p>
    <w:p w14:paraId="3DB3CE79">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（四）乙方派出人员应具备良好的职业道德，相貌端正、服务意识强、懂得礼仪基本要求，并向甲方提交工作人员信息及必备的资格、执业等相关证书进行备案；</w:t>
      </w:r>
    </w:p>
    <w:p w14:paraId="4D39FFF5">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（五）乙方员工上班要执行打卡签到考勤制度，并于每月5日前向甲方提交考勤记录；</w:t>
      </w:r>
    </w:p>
    <w:p w14:paraId="06BDF500">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（六）乙方应做好员工的教育工作，不得无故与甲方人员产生冲突，并合理善意使用设施设备；</w:t>
      </w:r>
    </w:p>
    <w:p w14:paraId="15F4E47B">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62" w:name="auto_fouce_31"/>
      <w:r>
        <w:rPr>
          <w:rFonts w:hint="eastAsia" w:ascii="仿宋" w:hAnsi="仿宋" w:eastAsia="仿宋" w:cs="仿宋"/>
          <w:color w:val="auto"/>
          <w:sz w:val="32"/>
          <w:szCs w:val="32"/>
          <w:highlight w:val="none"/>
          <w:u w:color="000000"/>
        </w:rPr>
        <w:t>（七）乙方不得将甲方食堂用于本合同以外的</w:t>
      </w:r>
      <w:r>
        <w:rPr>
          <w:rFonts w:hint="eastAsia" w:ascii="仿宋" w:hAnsi="仿宋" w:eastAsia="仿宋" w:cs="仿宋"/>
          <w:color w:val="auto"/>
          <w:sz w:val="32"/>
          <w:szCs w:val="32"/>
          <w:highlight w:val="none"/>
          <w:u w:color="000000"/>
          <w:lang w:eastAsia="zh-CN"/>
        </w:rPr>
        <w:t>任何</w:t>
      </w:r>
      <w:r>
        <w:rPr>
          <w:rFonts w:hint="eastAsia" w:ascii="仿宋" w:hAnsi="仿宋" w:eastAsia="仿宋" w:cs="仿宋"/>
          <w:color w:val="auto"/>
          <w:sz w:val="32"/>
          <w:szCs w:val="32"/>
          <w:highlight w:val="none"/>
          <w:u w:color="000000"/>
        </w:rPr>
        <w:t>用途，不得向第三方</w:t>
      </w:r>
      <w:r>
        <w:rPr>
          <w:rFonts w:hint="eastAsia" w:ascii="仿宋" w:hAnsi="仿宋" w:eastAsia="仿宋" w:cs="仿宋"/>
          <w:color w:val="auto"/>
          <w:sz w:val="32"/>
          <w:szCs w:val="32"/>
          <w:highlight w:val="none"/>
          <w:u w:color="000000"/>
          <w:lang w:eastAsia="zh-CN"/>
        </w:rPr>
        <w:t>转</w:t>
      </w:r>
      <w:r>
        <w:rPr>
          <w:rFonts w:hint="eastAsia" w:ascii="仿宋" w:hAnsi="仿宋" w:eastAsia="仿宋" w:cs="仿宋"/>
          <w:color w:val="auto"/>
          <w:sz w:val="32"/>
          <w:szCs w:val="32"/>
          <w:highlight w:val="none"/>
          <w:u w:color="000000"/>
        </w:rPr>
        <w:t>包、</w:t>
      </w:r>
      <w:r>
        <w:rPr>
          <w:rFonts w:hint="eastAsia" w:ascii="仿宋" w:hAnsi="仿宋" w:eastAsia="仿宋" w:cs="仿宋"/>
          <w:color w:val="auto"/>
          <w:sz w:val="32"/>
          <w:szCs w:val="32"/>
          <w:highlight w:val="none"/>
          <w:u w:color="000000"/>
          <w:lang w:eastAsia="zh-CN"/>
        </w:rPr>
        <w:t>分</w:t>
      </w:r>
      <w:r>
        <w:rPr>
          <w:rFonts w:hint="eastAsia" w:ascii="仿宋" w:hAnsi="仿宋" w:eastAsia="仿宋" w:cs="仿宋"/>
          <w:color w:val="auto"/>
          <w:sz w:val="32"/>
          <w:szCs w:val="32"/>
          <w:highlight w:val="none"/>
          <w:u w:color="000000"/>
        </w:rPr>
        <w:t>包</w:t>
      </w:r>
      <w:r>
        <w:rPr>
          <w:rFonts w:hint="eastAsia" w:ascii="仿宋" w:hAnsi="仿宋" w:eastAsia="仿宋" w:cs="仿宋"/>
          <w:color w:val="auto"/>
          <w:sz w:val="32"/>
          <w:szCs w:val="32"/>
          <w:highlight w:val="none"/>
          <w:u w:color="000000"/>
          <w:lang w:eastAsia="zh-CN"/>
        </w:rPr>
        <w:t>本项目全部或部分服务</w:t>
      </w:r>
      <w:r>
        <w:rPr>
          <w:rFonts w:hint="eastAsia" w:ascii="仿宋" w:hAnsi="仿宋" w:eastAsia="仿宋" w:cs="仿宋"/>
          <w:color w:val="auto"/>
          <w:sz w:val="32"/>
          <w:szCs w:val="32"/>
          <w:highlight w:val="none"/>
          <w:u w:color="000000"/>
        </w:rPr>
        <w:t>，</w:t>
      </w:r>
      <w:r>
        <w:rPr>
          <w:rFonts w:hint="eastAsia" w:ascii="仿宋" w:hAnsi="仿宋" w:eastAsia="仿宋" w:cs="仿宋"/>
          <w:color w:val="auto"/>
          <w:sz w:val="32"/>
          <w:szCs w:val="32"/>
          <w:highlight w:val="none"/>
          <w:u w:color="000000"/>
          <w:lang w:eastAsia="zh-CN"/>
        </w:rPr>
        <w:t>不得允许第三方人员进驻甲方食堂开展任何工作，</w:t>
      </w:r>
      <w:r>
        <w:rPr>
          <w:rFonts w:hint="eastAsia" w:ascii="仿宋" w:hAnsi="仿宋" w:eastAsia="仿宋" w:cs="仿宋"/>
          <w:color w:val="auto"/>
          <w:sz w:val="32"/>
          <w:szCs w:val="32"/>
          <w:highlight w:val="none"/>
          <w:u w:color="000000"/>
        </w:rPr>
        <w:t>否则甲方有权</w:t>
      </w:r>
      <w:r>
        <w:rPr>
          <w:rFonts w:hint="eastAsia" w:ascii="仿宋" w:hAnsi="仿宋" w:eastAsia="仿宋" w:cs="仿宋"/>
          <w:color w:val="auto"/>
          <w:sz w:val="32"/>
          <w:szCs w:val="32"/>
          <w:highlight w:val="none"/>
          <w:u w:color="000000"/>
          <w:lang w:eastAsia="zh-CN"/>
        </w:rPr>
        <w:t>立即</w:t>
      </w:r>
      <w:r>
        <w:rPr>
          <w:rFonts w:hint="eastAsia" w:ascii="仿宋" w:hAnsi="仿宋" w:eastAsia="仿宋" w:cs="仿宋"/>
          <w:color w:val="auto"/>
          <w:sz w:val="32"/>
          <w:szCs w:val="32"/>
          <w:highlight w:val="none"/>
          <w:u w:color="000000"/>
        </w:rPr>
        <w:t>解除合同</w:t>
      </w:r>
      <w:r>
        <w:rPr>
          <w:rFonts w:hint="eastAsia" w:ascii="仿宋" w:hAnsi="仿宋" w:eastAsia="仿宋" w:cs="仿宋"/>
          <w:color w:val="auto"/>
          <w:sz w:val="32"/>
          <w:szCs w:val="32"/>
          <w:highlight w:val="none"/>
          <w:u w:color="000000"/>
          <w:lang w:eastAsia="zh-CN"/>
        </w:rPr>
        <w:t>，乙方应按合同总价款的20%向甲方支付违约金，并赔偿甲方因此遭受的全部损失</w:t>
      </w:r>
      <w:r>
        <w:rPr>
          <w:rFonts w:hint="eastAsia" w:ascii="仿宋" w:hAnsi="仿宋" w:eastAsia="仿宋" w:cs="仿宋"/>
          <w:color w:val="auto"/>
          <w:sz w:val="32"/>
          <w:szCs w:val="32"/>
          <w:highlight w:val="none"/>
          <w:u w:color="000000"/>
        </w:rPr>
        <w:t>；</w:t>
      </w:r>
      <w:bookmarkEnd w:id="362"/>
    </w:p>
    <w:p w14:paraId="6BB1D042">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FF0000"/>
          <w:sz w:val="32"/>
          <w:szCs w:val="32"/>
          <w:highlight w:val="none"/>
          <w:u w:color="000000"/>
          <w:lang w:eastAsia="zh-CN"/>
        </w:rPr>
      </w:pPr>
      <w:r>
        <w:rPr>
          <w:rFonts w:hint="eastAsia" w:ascii="仿宋" w:hAnsi="仿宋" w:eastAsia="仿宋" w:cs="仿宋"/>
          <w:color w:val="auto"/>
          <w:sz w:val="32"/>
          <w:szCs w:val="32"/>
          <w:highlight w:val="none"/>
          <w:u w:color="000000"/>
        </w:rPr>
        <w:t>（八）乙方有权要求甲方依约支付应得费用。</w:t>
      </w:r>
      <w:bookmarkStart w:id="363" w:name="auto_fouce_32"/>
    </w:p>
    <w:p w14:paraId="16E55CA2">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r>
        <w:rPr>
          <w:rFonts w:hint="eastAsia" w:ascii="仿宋" w:hAnsi="仿宋" w:eastAsia="仿宋" w:cs="仿宋"/>
          <w:color w:val="auto"/>
          <w:sz w:val="32"/>
          <w:szCs w:val="32"/>
          <w:highlight w:val="none"/>
          <w:u w:color="000000"/>
          <w:lang w:eastAsia="zh-CN"/>
        </w:rPr>
        <w:t>乙方应确保其派驻人员与甲方不存在任何劳动/劳务关系。若因乙方未履行用工管理义务（包括但不限于未支付薪酬、未缴纳社保、工伤处理不当等），导致派驻人员向甲方主张权利的，乙方应在接到甲方通知后5日内妥善解决，否则乙方应赔偿甲方因此遭受的全部损失（包括但不限于甲方支付的赔偿款、律师费、诉讼费等），并向甲方支付合同总额10%的违约金。</w:t>
      </w:r>
      <w:bookmarkEnd w:id="363"/>
    </w:p>
    <w:p w14:paraId="01E910A3">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b/>
          <w:bCs/>
          <w:color w:val="FF0000"/>
          <w:sz w:val="32"/>
          <w:szCs w:val="32"/>
          <w:highlight w:val="none"/>
          <w:u w:color="000000"/>
          <w:lang w:eastAsia="zh-CN"/>
        </w:rPr>
      </w:pPr>
      <w:r>
        <w:rPr>
          <w:rFonts w:hint="eastAsia" w:ascii="仿宋" w:hAnsi="仿宋" w:eastAsia="仿宋" w:cs="仿宋"/>
          <w:b/>
          <w:bCs/>
          <w:color w:val="auto"/>
          <w:sz w:val="32"/>
          <w:szCs w:val="32"/>
          <w:highlight w:val="none"/>
          <w:u w:color="000000"/>
          <w:lang w:val="en-US" w:eastAsia="zh-CN"/>
        </w:rPr>
        <w:t>七</w:t>
      </w:r>
      <w:r>
        <w:rPr>
          <w:rFonts w:hint="eastAsia" w:ascii="仿宋" w:hAnsi="仿宋" w:eastAsia="仿宋" w:cs="仿宋"/>
          <w:b/>
          <w:bCs/>
          <w:color w:val="auto"/>
          <w:sz w:val="32"/>
          <w:szCs w:val="32"/>
          <w:highlight w:val="none"/>
          <w:u w:color="000000"/>
        </w:rPr>
        <w:t>、违约责任</w:t>
      </w:r>
      <w:bookmarkStart w:id="364" w:name="auto_fouce_34"/>
    </w:p>
    <w:bookmarkEnd w:id="364"/>
    <w:p w14:paraId="63E4338D">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（一）甲方应按时支付服务费，确保乙方权益。</w:t>
      </w:r>
    </w:p>
    <w:p w14:paraId="27067537">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65" w:name="auto_fouce_35"/>
      <w:r>
        <w:rPr>
          <w:rFonts w:hint="eastAsia" w:ascii="仿宋" w:hAnsi="仿宋" w:eastAsia="仿宋" w:cs="仿宋"/>
          <w:color w:val="auto"/>
          <w:sz w:val="32"/>
          <w:szCs w:val="32"/>
          <w:highlight w:val="none"/>
          <w:u w:color="000000"/>
        </w:rPr>
        <w:t>（二）若因乙方操作不当、加工储存过程、验收不严格等发生食物中毒事故，经政府相关权威机构检验确认属生产及供应过程乙方责任（涉嫌公民个人故意投毒、破坏的刑事案件除外）的，如造成轻微食品中毒3人以下（如腹泻），由乙方向甲方承担违约金人民币5000元，并赔偿因此造成的员工医药费</w:t>
      </w:r>
      <w:r>
        <w:rPr>
          <w:rFonts w:hint="eastAsia" w:ascii="仿宋" w:hAnsi="仿宋" w:eastAsia="仿宋" w:cs="仿宋"/>
          <w:color w:val="auto"/>
          <w:sz w:val="32"/>
          <w:szCs w:val="32"/>
          <w:highlight w:val="none"/>
          <w:u w:color="000000"/>
          <w:lang w:eastAsia="zh-CN"/>
        </w:rPr>
        <w:t>、</w:t>
      </w:r>
      <w:r>
        <w:rPr>
          <w:rFonts w:hint="eastAsia" w:ascii="仿宋" w:hAnsi="仿宋" w:eastAsia="仿宋" w:cs="仿宋"/>
          <w:color w:val="auto"/>
          <w:sz w:val="32"/>
          <w:szCs w:val="32"/>
          <w:highlight w:val="none"/>
          <w:u w:color="000000"/>
        </w:rPr>
        <w:t>误工损失</w:t>
      </w:r>
      <w:r>
        <w:rPr>
          <w:rFonts w:hint="eastAsia" w:ascii="仿宋" w:hAnsi="仿宋" w:eastAsia="仿宋" w:cs="仿宋"/>
          <w:color w:val="auto"/>
          <w:sz w:val="32"/>
          <w:szCs w:val="32"/>
          <w:highlight w:val="none"/>
          <w:u w:color="000000"/>
          <w:lang w:eastAsia="zh-CN"/>
        </w:rPr>
        <w:t>及其他全部损失</w:t>
      </w:r>
      <w:r>
        <w:rPr>
          <w:rFonts w:hint="eastAsia" w:ascii="仿宋" w:hAnsi="仿宋" w:eastAsia="仿宋" w:cs="仿宋"/>
          <w:color w:val="auto"/>
          <w:sz w:val="32"/>
          <w:szCs w:val="32"/>
          <w:highlight w:val="none"/>
          <w:u w:color="000000"/>
        </w:rPr>
        <w:t>，发生3人及以上严重食品中毒</w:t>
      </w:r>
      <w:r>
        <w:rPr>
          <w:rFonts w:hint="eastAsia" w:ascii="仿宋" w:hAnsi="仿宋" w:eastAsia="仿宋" w:cs="仿宋"/>
          <w:color w:val="auto"/>
          <w:sz w:val="32"/>
          <w:szCs w:val="32"/>
          <w:highlight w:val="none"/>
          <w:u w:color="000000"/>
          <w:lang w:eastAsia="zh-CN"/>
        </w:rPr>
        <w:t>或造成人员住院治疗的，</w:t>
      </w:r>
      <w:r>
        <w:rPr>
          <w:rFonts w:hint="eastAsia" w:ascii="仿宋" w:hAnsi="仿宋" w:eastAsia="仿宋" w:cs="仿宋"/>
          <w:color w:val="auto"/>
          <w:sz w:val="32"/>
          <w:szCs w:val="32"/>
          <w:highlight w:val="none"/>
          <w:u w:color="000000"/>
        </w:rPr>
        <w:t>甲方有权直接解除服务合同，乙方同时应承担相应的法律和赔偿责任。</w:t>
      </w:r>
      <w:bookmarkEnd w:id="365"/>
    </w:p>
    <w:p w14:paraId="7EFDF3EC">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66" w:name="tip_risk_bookmark_38"/>
      <w:r>
        <w:rPr>
          <w:rFonts w:hint="eastAsia" w:ascii="仿宋" w:hAnsi="仿宋" w:eastAsia="仿宋" w:cs="仿宋"/>
          <w:color w:val="auto"/>
          <w:sz w:val="32"/>
          <w:szCs w:val="32"/>
          <w:highlight w:val="none"/>
          <w:u w:color="000000"/>
        </w:rPr>
        <w:t>（三）由于乙方人员操作或工作失误、不按操作规程、疏忽等原因造成的设备短路、火灾或故意偷盗行为，给甲方造成损失的，由乙方承担全部赔偿责任。发生重大设备、消防事故的，乙方除应承担全部损失和法律责任外，甲方可即时解除本合同。</w:t>
      </w:r>
      <w:bookmarkEnd w:id="366"/>
    </w:p>
    <w:p w14:paraId="71D1652C">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67" w:name="auto_fouce_39"/>
      <w:r>
        <w:rPr>
          <w:rFonts w:hint="eastAsia" w:ascii="仿宋" w:hAnsi="仿宋" w:eastAsia="仿宋" w:cs="仿宋"/>
          <w:color w:val="auto"/>
          <w:sz w:val="32"/>
          <w:szCs w:val="32"/>
          <w:highlight w:val="none"/>
          <w:u w:color="000000"/>
        </w:rPr>
        <w:t>（四）如因乙方管理原因导致甲方对乙方提供的服务质量不满意（以满意度调查情况为准），且甲方已累计</w:t>
      </w:r>
      <w:r>
        <w:rPr>
          <w:rFonts w:hint="eastAsia" w:ascii="仿宋" w:hAnsi="仿宋" w:eastAsia="仿宋" w:cs="仿宋"/>
          <w:color w:val="auto"/>
          <w:sz w:val="32"/>
          <w:szCs w:val="32"/>
          <w:highlight w:val="none"/>
          <w:u w:color="000000"/>
          <w:lang w:eastAsia="zh-CN"/>
        </w:rPr>
        <w:t>两</w:t>
      </w:r>
      <w:r>
        <w:rPr>
          <w:rFonts w:hint="eastAsia" w:ascii="仿宋" w:hAnsi="仿宋" w:eastAsia="仿宋" w:cs="仿宋"/>
          <w:color w:val="auto"/>
          <w:sz w:val="32"/>
          <w:szCs w:val="32"/>
          <w:highlight w:val="none"/>
          <w:u w:color="000000"/>
        </w:rPr>
        <w:t>次或以上采用书面形式向乙方指明这种不满意的原因，并在该书面通知中明确表示有意终止合同，而乙方在收到书面通知1</w:t>
      </w:r>
      <w:r>
        <w:rPr>
          <w:rFonts w:hint="eastAsia" w:ascii="仿宋" w:hAnsi="仿宋" w:eastAsia="仿宋" w:cs="仿宋"/>
          <w:color w:val="auto"/>
          <w:sz w:val="32"/>
          <w:szCs w:val="32"/>
          <w:highlight w:val="none"/>
          <w:u w:color="000000"/>
          <w:lang w:eastAsia="zh-CN"/>
        </w:rPr>
        <w:t>0</w:t>
      </w:r>
      <w:r>
        <w:rPr>
          <w:rFonts w:hint="eastAsia" w:ascii="仿宋" w:hAnsi="仿宋" w:eastAsia="仿宋" w:cs="仿宋"/>
          <w:color w:val="auto"/>
          <w:sz w:val="32"/>
          <w:szCs w:val="32"/>
          <w:highlight w:val="none"/>
          <w:u w:color="000000"/>
        </w:rPr>
        <w:t>日内仍未做出任何改进或虽做出改进但仍未达到甲方要求，甲方可解除本合同，并不承担任何违约责任。</w:t>
      </w:r>
      <w:bookmarkEnd w:id="367"/>
      <w:r>
        <w:rPr>
          <w:rFonts w:hint="eastAsia" w:ascii="仿宋" w:hAnsi="仿宋" w:eastAsia="仿宋" w:cs="仿宋"/>
          <w:color w:val="auto"/>
          <w:sz w:val="32"/>
          <w:szCs w:val="32"/>
          <w:highlight w:val="none"/>
          <w:u w:color="000000"/>
        </w:rPr>
        <w:t xml:space="preserve">  </w:t>
      </w:r>
    </w:p>
    <w:p w14:paraId="58D19E35">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五）乙方与聘用人员发生劳务纠纷以及与乙方的供货商的货款结算和经济纠纷一律与甲方无关，由乙方自行负责处理；如乙方在合同期内因本项目的劳资关系发生纠纷出现3次的，则甲方有权解除合同，并由乙方赔偿甲方因此造成的全部损失。</w:t>
      </w:r>
    </w:p>
    <w:p w14:paraId="752E8F72">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68" w:name="tip_risk_bookmark_40"/>
      <w:r>
        <w:rPr>
          <w:rFonts w:hint="eastAsia" w:ascii="仿宋" w:hAnsi="仿宋" w:eastAsia="仿宋" w:cs="仿宋"/>
          <w:color w:val="auto"/>
          <w:sz w:val="32"/>
          <w:szCs w:val="32"/>
          <w:highlight w:val="none"/>
          <w:u w:color="000000"/>
        </w:rPr>
        <w:t>（六）因乙方派驻人员控制成本或管理不善导致甲方食材浪费严重的（超过当日正常食材消耗量的20%且不可再利用），每发生一次，甲方有权要求乙方赔偿违约金人民币500元，并由乙方赔偿未利用食材的成本费用。</w:t>
      </w:r>
      <w:bookmarkEnd w:id="368"/>
    </w:p>
    <w:p w14:paraId="372EF5E8">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（七）乙方派驻团队员工无故缺勤的，则按照缺勤人员缺勤时间和工资标准在当期服务费中直接扣除。</w:t>
      </w:r>
    </w:p>
    <w:p w14:paraId="4291A05F">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69" w:name="auto_fouce_41"/>
      <w:r>
        <w:rPr>
          <w:rFonts w:hint="eastAsia" w:ascii="仿宋" w:hAnsi="仿宋" w:eastAsia="仿宋" w:cs="仿宋"/>
          <w:color w:val="auto"/>
          <w:sz w:val="32"/>
          <w:szCs w:val="32"/>
          <w:highlight w:val="none"/>
          <w:u w:color="000000"/>
        </w:rPr>
        <w:t>（八）甲方有权要求调整考核不合格的工作人员；派驻人员需保持相对稳定，未经甲方同意不得随意更换</w:t>
      </w:r>
      <w:r>
        <w:rPr>
          <w:rFonts w:hint="eastAsia" w:ascii="仿宋" w:hAnsi="仿宋" w:eastAsia="仿宋" w:cs="仿宋"/>
          <w:color w:val="auto"/>
          <w:sz w:val="32"/>
          <w:szCs w:val="32"/>
          <w:highlight w:val="none"/>
          <w:u w:color="000000"/>
          <w:lang w:eastAsia="zh-CN"/>
        </w:rPr>
        <w:t>；</w:t>
      </w:r>
      <w:r>
        <w:rPr>
          <w:rFonts w:hint="eastAsia" w:ascii="仿宋" w:hAnsi="仿宋" w:eastAsia="仿宋" w:cs="仿宋"/>
          <w:color w:val="auto"/>
          <w:sz w:val="32"/>
          <w:szCs w:val="32"/>
          <w:highlight w:val="none"/>
          <w:u w:color="000000"/>
        </w:rPr>
        <w:t>确需调整人员的，需提前</w:t>
      </w:r>
      <w:r>
        <w:rPr>
          <w:rFonts w:hint="eastAsia" w:ascii="仿宋" w:hAnsi="仿宋" w:eastAsia="仿宋" w:cs="仿宋"/>
          <w:color w:val="auto"/>
          <w:sz w:val="32"/>
          <w:szCs w:val="32"/>
          <w:highlight w:val="none"/>
          <w:u w:color="000000"/>
          <w:lang w:val="en-US" w:eastAsia="zh-CN"/>
        </w:rPr>
        <w:t>10个工作日向</w:t>
      </w:r>
      <w:r>
        <w:rPr>
          <w:rFonts w:hint="eastAsia" w:ascii="仿宋" w:hAnsi="仿宋" w:eastAsia="仿宋" w:cs="仿宋"/>
          <w:color w:val="auto"/>
          <w:sz w:val="32"/>
          <w:szCs w:val="32"/>
          <w:highlight w:val="none"/>
          <w:u w:color="000000"/>
        </w:rPr>
        <w:t>甲方报备，经甲方审核同意后方可更换，擅自更换的，每更换一人，向甲方赔偿人民币1000元的违约金，且甲方有权要求乙方更换人员。</w:t>
      </w:r>
      <w:bookmarkEnd w:id="369"/>
    </w:p>
    <w:p w14:paraId="5F059621">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（九）乙方须节约用水电、气、清洁用品，发生因乙方原因出现跑冒滴漏现象的，由乙方承担相应赔偿责任。</w:t>
      </w:r>
    </w:p>
    <w:p w14:paraId="66280289">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70" w:name="auto_fouce_42"/>
      <w:r>
        <w:rPr>
          <w:rFonts w:hint="eastAsia" w:ascii="仿宋" w:hAnsi="仿宋" w:eastAsia="仿宋" w:cs="仿宋"/>
          <w:color w:val="auto"/>
          <w:sz w:val="32"/>
          <w:szCs w:val="32"/>
          <w:highlight w:val="none"/>
          <w:u w:color="000000"/>
        </w:rPr>
        <w:t>（十）乙方派驻员工拒不接受甲方合理管理或与甲方员工谩骂、打架斗殴的，每发生一次，向甲方赔偿违约金人民币2000元；同时甲方有权要求乙方更换人员，乙方拒不更换的，每发生一次，向甲方赔偿违约金1000元。</w:t>
      </w:r>
      <w:bookmarkEnd w:id="370"/>
    </w:p>
    <w:p w14:paraId="6AA42848">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71" w:name="auto_fouce_43"/>
      <w:r>
        <w:rPr>
          <w:rFonts w:hint="eastAsia" w:ascii="仿宋" w:hAnsi="仿宋" w:eastAsia="仿宋" w:cs="仿宋"/>
          <w:color w:val="auto"/>
          <w:sz w:val="32"/>
          <w:szCs w:val="32"/>
          <w:highlight w:val="none"/>
          <w:u w:color="000000"/>
        </w:rPr>
        <w:t>（十一）乙方员工如发生未经甲方同意私拿食堂物品、食材或者开小灶（新品开发试菜除外），一经甲方发现，每次向甲方赔偿违约金人民币2000元</w:t>
      </w:r>
      <w:r>
        <w:rPr>
          <w:rFonts w:hint="eastAsia" w:ascii="仿宋" w:hAnsi="仿宋" w:eastAsia="仿宋" w:cs="仿宋"/>
          <w:color w:val="auto"/>
          <w:sz w:val="32"/>
          <w:szCs w:val="32"/>
          <w:highlight w:val="none"/>
          <w:u w:color="000000"/>
          <w:lang w:eastAsia="zh-CN"/>
        </w:rPr>
        <w:t>，并由乙方退还或折价赔偿所涉物品、食材的等值价款</w:t>
      </w:r>
      <w:r>
        <w:rPr>
          <w:rFonts w:hint="eastAsia" w:ascii="仿宋" w:hAnsi="仿宋" w:eastAsia="仿宋" w:cs="仿宋"/>
          <w:color w:val="auto"/>
          <w:sz w:val="32"/>
          <w:szCs w:val="32"/>
          <w:highlight w:val="none"/>
          <w:u w:color="000000"/>
        </w:rPr>
        <w:t>。</w:t>
      </w:r>
      <w:bookmarkEnd w:id="371"/>
    </w:p>
    <w:p w14:paraId="2773FF54">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r>
        <w:rPr>
          <w:rFonts w:hint="eastAsia" w:ascii="仿宋" w:hAnsi="仿宋" w:eastAsia="仿宋" w:cs="仿宋"/>
          <w:color w:val="auto"/>
          <w:sz w:val="32"/>
          <w:szCs w:val="32"/>
          <w:highlight w:val="none"/>
          <w:u w:color="000000"/>
          <w:lang w:eastAsia="zh-CN"/>
        </w:rPr>
        <w:t>（</w:t>
      </w:r>
      <w:r>
        <w:rPr>
          <w:rFonts w:hint="eastAsia" w:ascii="仿宋" w:hAnsi="仿宋" w:eastAsia="仿宋" w:cs="仿宋"/>
          <w:color w:val="auto"/>
          <w:sz w:val="32"/>
          <w:szCs w:val="32"/>
          <w:highlight w:val="none"/>
          <w:u w:color="000000"/>
          <w:lang w:val="en-US" w:eastAsia="zh-CN"/>
        </w:rPr>
        <w:t>十二</w:t>
      </w:r>
      <w:r>
        <w:rPr>
          <w:rFonts w:hint="eastAsia" w:ascii="仿宋" w:hAnsi="仿宋" w:eastAsia="仿宋" w:cs="仿宋"/>
          <w:color w:val="auto"/>
          <w:sz w:val="32"/>
          <w:szCs w:val="32"/>
          <w:highlight w:val="none"/>
          <w:u w:color="000000"/>
          <w:lang w:eastAsia="zh-CN"/>
        </w:rPr>
        <w:t>）</w:t>
      </w:r>
      <w:r>
        <w:rPr>
          <w:rFonts w:hint="eastAsia" w:ascii="仿宋" w:hAnsi="仿宋" w:eastAsia="仿宋" w:cs="仿宋"/>
          <w:b w:val="0"/>
          <w:bCs w:val="0"/>
          <w:color w:val="auto"/>
          <w:sz w:val="32"/>
          <w:szCs w:val="32"/>
          <w:highlight w:val="none"/>
          <w:u w:color="000000"/>
          <w:lang w:eastAsia="zh-CN"/>
        </w:rPr>
        <w:t>甲方有权随时对乙方派驻人员的资质、健康情况、服务规范进行抽查；发现不符合要求的，甲方有权要求乙方在24小时内予以更换。乙方逾期未更换的，甲方有权按每人每日500元的标准扣除当月服务费。</w:t>
      </w:r>
    </w:p>
    <w:p w14:paraId="3171DBAA">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72" w:name="auto_fouce_44"/>
      <w:r>
        <w:rPr>
          <w:rFonts w:hint="eastAsia" w:ascii="仿宋" w:hAnsi="仿宋" w:eastAsia="仿宋" w:cs="仿宋"/>
          <w:color w:val="auto"/>
          <w:sz w:val="32"/>
          <w:szCs w:val="32"/>
          <w:highlight w:val="none"/>
          <w:u w:color="000000"/>
        </w:rPr>
        <w:t>（十</w:t>
      </w:r>
      <w:r>
        <w:rPr>
          <w:rFonts w:hint="eastAsia" w:ascii="仿宋" w:hAnsi="仿宋" w:eastAsia="仿宋" w:cs="仿宋"/>
          <w:color w:val="auto"/>
          <w:sz w:val="32"/>
          <w:szCs w:val="32"/>
          <w:highlight w:val="none"/>
          <w:u w:color="000000"/>
          <w:lang w:val="en-US" w:eastAsia="zh-CN"/>
        </w:rPr>
        <w:t>三</w:t>
      </w:r>
      <w:r>
        <w:rPr>
          <w:rFonts w:hint="eastAsia" w:ascii="仿宋" w:hAnsi="仿宋" w:eastAsia="仿宋" w:cs="仿宋"/>
          <w:color w:val="auto"/>
          <w:sz w:val="32"/>
          <w:szCs w:val="32"/>
          <w:highlight w:val="none"/>
          <w:u w:color="000000"/>
        </w:rPr>
        <w:t>）本合同履行期间，</w:t>
      </w:r>
      <w:r>
        <w:rPr>
          <w:rFonts w:hint="eastAsia" w:ascii="仿宋" w:hAnsi="仿宋" w:eastAsia="仿宋" w:cs="仿宋"/>
          <w:color w:val="auto"/>
          <w:sz w:val="32"/>
          <w:szCs w:val="32"/>
          <w:highlight w:val="none"/>
          <w:u w:color="000000"/>
          <w:lang w:eastAsia="zh-CN"/>
        </w:rPr>
        <w:t>除甲方依据本合同约定行使单方解除权的情形外，</w:t>
      </w:r>
      <w:r>
        <w:rPr>
          <w:rFonts w:hint="eastAsia" w:ascii="仿宋" w:hAnsi="仿宋" w:eastAsia="仿宋" w:cs="仿宋"/>
          <w:color w:val="auto"/>
          <w:sz w:val="32"/>
          <w:szCs w:val="32"/>
          <w:highlight w:val="none"/>
          <w:u w:color="000000"/>
        </w:rPr>
        <w:t>任何一方单方无故提出解除本合同的，均应当提前30日以书面方式通知对方。如未依本款约定提早告知对方，则应按本合同总额的10%向对方赔偿违约金。</w:t>
      </w:r>
      <w:bookmarkEnd w:id="372"/>
    </w:p>
    <w:p w14:paraId="3A04C10A">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b/>
          <w:bCs/>
          <w:color w:val="auto"/>
          <w:sz w:val="32"/>
          <w:szCs w:val="32"/>
          <w:highlight w:val="none"/>
          <w:u w:color="000000"/>
        </w:rPr>
      </w:pPr>
      <w:r>
        <w:rPr>
          <w:rFonts w:hint="eastAsia" w:ascii="仿宋" w:hAnsi="仿宋" w:eastAsia="仿宋" w:cs="仿宋"/>
          <w:b/>
          <w:bCs/>
          <w:color w:val="auto"/>
          <w:sz w:val="32"/>
          <w:szCs w:val="32"/>
          <w:highlight w:val="none"/>
          <w:u w:color="000000"/>
          <w:lang w:val="en-US" w:eastAsia="zh-CN"/>
        </w:rPr>
        <w:t>八</w:t>
      </w:r>
      <w:r>
        <w:rPr>
          <w:rFonts w:hint="eastAsia" w:ascii="仿宋" w:hAnsi="仿宋" w:eastAsia="仿宋" w:cs="仿宋"/>
          <w:b/>
          <w:bCs/>
          <w:color w:val="auto"/>
          <w:sz w:val="32"/>
          <w:szCs w:val="32"/>
          <w:highlight w:val="none"/>
          <w:u w:color="000000"/>
        </w:rPr>
        <w:t>、合同变更</w:t>
      </w:r>
    </w:p>
    <w:p w14:paraId="464CFC0E">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bookmarkStart w:id="373" w:name="auto_fouce_46"/>
      <w:r>
        <w:rPr>
          <w:rFonts w:hint="eastAsia" w:ascii="仿宋" w:hAnsi="仿宋" w:eastAsia="仿宋" w:cs="仿宋"/>
          <w:color w:val="auto"/>
          <w:sz w:val="32"/>
          <w:szCs w:val="32"/>
          <w:highlight w:val="none"/>
          <w:u w:color="000000"/>
        </w:rPr>
        <w:t>本合同履行期间，如甲方就餐人数</w:t>
      </w:r>
      <w:r>
        <w:rPr>
          <w:rFonts w:hint="eastAsia" w:ascii="仿宋" w:hAnsi="仿宋" w:eastAsia="仿宋" w:cs="仿宋"/>
          <w:color w:val="auto"/>
          <w:sz w:val="32"/>
          <w:szCs w:val="32"/>
          <w:highlight w:val="none"/>
          <w:u w:color="000000"/>
          <w:lang w:eastAsia="zh-CN"/>
        </w:rPr>
        <w:t>连续30日</w:t>
      </w:r>
      <w:r>
        <w:rPr>
          <w:rFonts w:hint="eastAsia" w:ascii="仿宋" w:hAnsi="仿宋" w:eastAsia="仿宋" w:cs="仿宋"/>
          <w:color w:val="auto"/>
          <w:sz w:val="32"/>
          <w:szCs w:val="32"/>
          <w:highlight w:val="none"/>
          <w:u w:color="000000"/>
        </w:rPr>
        <w:t>超过合同预计人数的</w:t>
      </w:r>
      <w:r>
        <w:rPr>
          <w:rFonts w:hint="eastAsia" w:ascii="仿宋" w:hAnsi="仿宋" w:eastAsia="仿宋" w:cs="仿宋"/>
          <w:color w:val="auto"/>
          <w:sz w:val="32"/>
          <w:szCs w:val="32"/>
          <w:highlight w:val="none"/>
          <w:u w:color="000000"/>
          <w:lang w:val="en-US" w:eastAsia="zh-CN"/>
        </w:rPr>
        <w:t>5</w:t>
      </w:r>
      <w:r>
        <w:rPr>
          <w:rFonts w:hint="eastAsia" w:ascii="仿宋" w:hAnsi="仿宋" w:eastAsia="仿宋" w:cs="仿宋"/>
          <w:color w:val="auto"/>
          <w:sz w:val="32"/>
          <w:szCs w:val="32"/>
          <w:highlight w:val="none"/>
          <w:u w:color="000000"/>
        </w:rPr>
        <w:t>0%且乙方</w:t>
      </w:r>
      <w:r>
        <w:rPr>
          <w:rFonts w:hint="eastAsia" w:ascii="仿宋" w:hAnsi="仿宋" w:eastAsia="仿宋" w:cs="仿宋"/>
          <w:color w:val="auto"/>
          <w:sz w:val="32"/>
          <w:szCs w:val="32"/>
          <w:highlight w:val="none"/>
          <w:u w:color="000000"/>
          <w:lang w:eastAsia="zh-CN"/>
        </w:rPr>
        <w:t>确需因此</w:t>
      </w:r>
      <w:r>
        <w:rPr>
          <w:rFonts w:hint="eastAsia" w:ascii="仿宋" w:hAnsi="仿宋" w:eastAsia="仿宋" w:cs="仿宋"/>
          <w:color w:val="auto"/>
          <w:sz w:val="32"/>
          <w:szCs w:val="32"/>
          <w:highlight w:val="none"/>
          <w:u w:color="000000"/>
        </w:rPr>
        <w:t>增加</w:t>
      </w:r>
      <w:r>
        <w:rPr>
          <w:rFonts w:hint="eastAsia" w:ascii="仿宋" w:hAnsi="仿宋" w:eastAsia="仿宋" w:cs="仿宋"/>
          <w:color w:val="auto"/>
          <w:sz w:val="32"/>
          <w:szCs w:val="32"/>
          <w:highlight w:val="none"/>
          <w:u w:color="000000"/>
          <w:lang w:eastAsia="zh-CN"/>
        </w:rPr>
        <w:t>服务</w:t>
      </w:r>
      <w:r>
        <w:rPr>
          <w:rFonts w:hint="eastAsia" w:ascii="仿宋" w:hAnsi="仿宋" w:eastAsia="仿宋" w:cs="仿宋"/>
          <w:color w:val="auto"/>
          <w:sz w:val="32"/>
          <w:szCs w:val="32"/>
          <w:highlight w:val="none"/>
          <w:u w:color="000000"/>
        </w:rPr>
        <w:t>人</w:t>
      </w:r>
      <w:r>
        <w:rPr>
          <w:rFonts w:hint="eastAsia" w:ascii="仿宋" w:hAnsi="仿宋" w:eastAsia="仿宋" w:cs="仿宋"/>
          <w:color w:val="auto"/>
          <w:sz w:val="32"/>
          <w:szCs w:val="32"/>
          <w:highlight w:val="none"/>
          <w:u w:color="000000"/>
          <w:lang w:eastAsia="zh-CN"/>
        </w:rPr>
        <w:t>员投入</w:t>
      </w:r>
      <w:r>
        <w:rPr>
          <w:rFonts w:hint="eastAsia" w:ascii="仿宋" w:hAnsi="仿宋" w:eastAsia="仿宋" w:cs="仿宋"/>
          <w:color w:val="auto"/>
          <w:sz w:val="32"/>
          <w:szCs w:val="32"/>
          <w:highlight w:val="none"/>
          <w:u w:color="000000"/>
        </w:rPr>
        <w:t>的，</w:t>
      </w:r>
      <w:r>
        <w:rPr>
          <w:rFonts w:hint="eastAsia" w:ascii="仿宋" w:hAnsi="仿宋" w:eastAsia="仿宋" w:cs="仿宋"/>
          <w:color w:val="auto"/>
          <w:sz w:val="32"/>
          <w:szCs w:val="32"/>
          <w:highlight w:val="none"/>
          <w:u w:color="000000"/>
          <w:lang w:eastAsia="zh-CN"/>
        </w:rPr>
        <w:t>乙方可向甲方</w:t>
      </w:r>
      <w:r>
        <w:rPr>
          <w:rFonts w:hint="eastAsia" w:ascii="仿宋" w:hAnsi="仿宋" w:eastAsia="仿宋" w:cs="仿宋"/>
          <w:color w:val="auto"/>
          <w:sz w:val="32"/>
          <w:szCs w:val="32"/>
          <w:highlight w:val="none"/>
          <w:u w:color="000000"/>
        </w:rPr>
        <w:t>提</w:t>
      </w:r>
      <w:r>
        <w:rPr>
          <w:rFonts w:hint="eastAsia" w:ascii="仿宋" w:hAnsi="仿宋" w:eastAsia="仿宋" w:cs="仿宋"/>
          <w:color w:val="auto"/>
          <w:sz w:val="32"/>
          <w:szCs w:val="32"/>
          <w:highlight w:val="none"/>
          <w:u w:color="000000"/>
          <w:lang w:eastAsia="zh-CN"/>
        </w:rPr>
        <w:t>出合同金额调整申请；经甲方书面审核同意后</w:t>
      </w:r>
      <w:r>
        <w:rPr>
          <w:rFonts w:hint="eastAsia" w:ascii="仿宋" w:hAnsi="仿宋" w:eastAsia="仿宋" w:cs="仿宋"/>
          <w:color w:val="auto"/>
          <w:sz w:val="32"/>
          <w:szCs w:val="32"/>
          <w:highlight w:val="none"/>
          <w:u w:color="000000"/>
        </w:rPr>
        <w:t>，双方可根据公平原则</w:t>
      </w:r>
      <w:r>
        <w:rPr>
          <w:rFonts w:hint="eastAsia" w:ascii="仿宋" w:hAnsi="仿宋" w:eastAsia="仿宋" w:cs="仿宋"/>
          <w:color w:val="auto"/>
          <w:sz w:val="32"/>
          <w:szCs w:val="32"/>
          <w:highlight w:val="none"/>
          <w:u w:color="000000"/>
          <w:lang w:eastAsia="zh-CN"/>
        </w:rPr>
        <w:t>协商</w:t>
      </w:r>
      <w:r>
        <w:rPr>
          <w:rFonts w:hint="eastAsia" w:ascii="仿宋" w:hAnsi="仿宋" w:eastAsia="仿宋" w:cs="仿宋"/>
          <w:color w:val="auto"/>
          <w:sz w:val="32"/>
          <w:szCs w:val="32"/>
          <w:highlight w:val="none"/>
          <w:u w:color="000000"/>
        </w:rPr>
        <w:t>对合同标的金额</w:t>
      </w:r>
      <w:r>
        <w:rPr>
          <w:rFonts w:hint="eastAsia" w:ascii="仿宋" w:hAnsi="仿宋" w:eastAsia="仿宋" w:cs="仿宋"/>
          <w:color w:val="auto"/>
          <w:sz w:val="32"/>
          <w:szCs w:val="32"/>
          <w:highlight w:val="none"/>
          <w:u w:color="000000"/>
          <w:lang w:eastAsia="zh-CN"/>
        </w:rPr>
        <w:t>作</w:t>
      </w:r>
      <w:r>
        <w:rPr>
          <w:rFonts w:hint="eastAsia" w:ascii="仿宋" w:hAnsi="仿宋" w:eastAsia="仿宋" w:cs="仿宋"/>
          <w:color w:val="auto"/>
          <w:sz w:val="32"/>
          <w:szCs w:val="32"/>
          <w:highlight w:val="none"/>
          <w:u w:color="000000"/>
        </w:rPr>
        <w:t>出必要调整。</w:t>
      </w:r>
      <w:bookmarkEnd w:id="373"/>
    </w:p>
    <w:p w14:paraId="1FA0FB63">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b/>
          <w:bCs/>
          <w:color w:val="auto"/>
          <w:sz w:val="32"/>
          <w:szCs w:val="32"/>
          <w:highlight w:val="none"/>
          <w:u w:color="000000"/>
        </w:rPr>
      </w:pPr>
      <w:r>
        <w:rPr>
          <w:rFonts w:hint="eastAsia" w:ascii="仿宋" w:hAnsi="仿宋" w:eastAsia="仿宋" w:cs="仿宋"/>
          <w:b/>
          <w:bCs/>
          <w:color w:val="auto"/>
          <w:sz w:val="32"/>
          <w:szCs w:val="32"/>
          <w:highlight w:val="none"/>
          <w:u w:color="000000"/>
          <w:lang w:val="en-US" w:eastAsia="zh-CN"/>
        </w:rPr>
        <w:t>九</w:t>
      </w:r>
      <w:r>
        <w:rPr>
          <w:rFonts w:hint="eastAsia" w:ascii="仿宋" w:hAnsi="仿宋" w:eastAsia="仿宋" w:cs="仿宋"/>
          <w:b/>
          <w:bCs/>
          <w:color w:val="auto"/>
          <w:sz w:val="32"/>
          <w:szCs w:val="32"/>
          <w:highlight w:val="none"/>
          <w:u w:color="000000"/>
        </w:rPr>
        <w:t>、合同解除或终止</w:t>
      </w:r>
    </w:p>
    <w:p w14:paraId="274D0AC0">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（一）甲方有权</w:t>
      </w:r>
      <w:r>
        <w:rPr>
          <w:rFonts w:hint="eastAsia" w:ascii="仿宋" w:hAnsi="仿宋" w:eastAsia="仿宋" w:cs="仿宋"/>
          <w:color w:val="auto"/>
          <w:sz w:val="32"/>
          <w:szCs w:val="32"/>
          <w:highlight w:val="none"/>
          <w:u w:color="000000"/>
          <w:lang w:eastAsia="zh-CN"/>
        </w:rPr>
        <w:t>依据</w:t>
      </w:r>
      <w:r>
        <w:rPr>
          <w:rFonts w:hint="eastAsia" w:ascii="仿宋" w:hAnsi="仿宋" w:eastAsia="仿宋" w:cs="仿宋"/>
          <w:color w:val="auto"/>
          <w:sz w:val="32"/>
          <w:szCs w:val="32"/>
          <w:highlight w:val="none"/>
          <w:u w:color="000000"/>
        </w:rPr>
        <w:t>本合同第四条第</w:t>
      </w:r>
      <w:r>
        <w:rPr>
          <w:rFonts w:hint="eastAsia" w:ascii="仿宋" w:hAnsi="仿宋" w:eastAsia="仿宋" w:cs="仿宋"/>
          <w:color w:val="auto"/>
          <w:sz w:val="32"/>
          <w:szCs w:val="32"/>
          <w:highlight w:val="none"/>
          <w:u w:color="000000"/>
          <w:lang w:val="en-US" w:eastAsia="zh-CN"/>
        </w:rPr>
        <w:t>二</w:t>
      </w:r>
      <w:r>
        <w:rPr>
          <w:rFonts w:hint="eastAsia" w:ascii="仿宋" w:hAnsi="仿宋" w:eastAsia="仿宋" w:cs="仿宋"/>
          <w:color w:val="auto"/>
          <w:sz w:val="32"/>
          <w:szCs w:val="32"/>
          <w:highlight w:val="none"/>
          <w:u w:color="000000"/>
        </w:rPr>
        <w:t>款第</w:t>
      </w:r>
      <w:r>
        <w:rPr>
          <w:rFonts w:hint="eastAsia" w:ascii="仿宋" w:hAnsi="仿宋" w:eastAsia="仿宋" w:cs="仿宋"/>
          <w:color w:val="auto"/>
          <w:sz w:val="32"/>
          <w:szCs w:val="32"/>
          <w:highlight w:val="none"/>
          <w:u w:color="000000"/>
          <w:lang w:val="en-US" w:eastAsia="zh-CN"/>
        </w:rPr>
        <w:t>四</w:t>
      </w:r>
      <w:r>
        <w:rPr>
          <w:rFonts w:hint="eastAsia" w:ascii="仿宋" w:hAnsi="仿宋" w:eastAsia="仿宋" w:cs="仿宋"/>
          <w:color w:val="auto"/>
          <w:sz w:val="32"/>
          <w:szCs w:val="32"/>
          <w:highlight w:val="none"/>
          <w:u w:color="000000"/>
        </w:rPr>
        <w:t>项、第</w:t>
      </w:r>
      <w:r>
        <w:rPr>
          <w:rFonts w:hint="eastAsia" w:ascii="仿宋" w:hAnsi="仿宋" w:eastAsia="仿宋" w:cs="仿宋"/>
          <w:color w:val="auto"/>
          <w:sz w:val="32"/>
          <w:szCs w:val="32"/>
          <w:highlight w:val="none"/>
          <w:u w:color="000000"/>
          <w:lang w:val="en-US" w:eastAsia="zh-CN"/>
        </w:rPr>
        <w:t>六</w:t>
      </w:r>
      <w:r>
        <w:rPr>
          <w:rFonts w:hint="eastAsia" w:ascii="仿宋" w:hAnsi="仿宋" w:eastAsia="仿宋" w:cs="仿宋"/>
          <w:color w:val="auto"/>
          <w:sz w:val="32"/>
          <w:szCs w:val="32"/>
          <w:highlight w:val="none"/>
          <w:u w:color="000000"/>
        </w:rPr>
        <w:t>条第七款、第</w:t>
      </w:r>
      <w:r>
        <w:rPr>
          <w:rFonts w:hint="eastAsia" w:ascii="仿宋" w:hAnsi="仿宋" w:eastAsia="仿宋" w:cs="仿宋"/>
          <w:color w:val="auto"/>
          <w:sz w:val="32"/>
          <w:szCs w:val="32"/>
          <w:highlight w:val="none"/>
          <w:u w:color="000000"/>
          <w:lang w:val="en-US" w:eastAsia="zh-CN"/>
        </w:rPr>
        <w:t>七</w:t>
      </w:r>
      <w:r>
        <w:rPr>
          <w:rFonts w:hint="eastAsia" w:ascii="仿宋" w:hAnsi="仿宋" w:eastAsia="仿宋" w:cs="仿宋"/>
          <w:color w:val="auto"/>
          <w:sz w:val="32"/>
          <w:szCs w:val="32"/>
          <w:highlight w:val="none"/>
          <w:u w:color="000000"/>
        </w:rPr>
        <w:t>条第二款至第五款的约定单方解除本合同，并不承担任何违约责任；</w:t>
      </w:r>
    </w:p>
    <w:p w14:paraId="31F8ED50">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（二）合同履行过程中如甲方关闭食堂的，应提早</w:t>
      </w:r>
      <w:r>
        <w:rPr>
          <w:rFonts w:hint="eastAsia" w:ascii="仿宋" w:hAnsi="仿宋" w:eastAsia="仿宋" w:cs="仿宋"/>
          <w:color w:val="auto"/>
          <w:sz w:val="32"/>
          <w:szCs w:val="32"/>
          <w:highlight w:val="none"/>
          <w:u w:color="000000"/>
          <w:lang w:val="en-US" w:eastAsia="zh-CN"/>
        </w:rPr>
        <w:t>一</w:t>
      </w:r>
      <w:r>
        <w:rPr>
          <w:rFonts w:hint="eastAsia" w:ascii="仿宋" w:hAnsi="仿宋" w:eastAsia="仿宋" w:cs="仿宋"/>
          <w:color w:val="auto"/>
          <w:sz w:val="32"/>
          <w:szCs w:val="32"/>
          <w:highlight w:val="none"/>
          <w:u w:color="000000"/>
        </w:rPr>
        <w:t>个月书面告知乙方，在支付完乙方收到通知时已经实际产生的全部应得费用后本合同终止。甲方已尽通知义务的，不承担违约责任；</w:t>
      </w:r>
    </w:p>
    <w:p w14:paraId="1E45EBF2">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bookmarkStart w:id="374" w:name="auto_fouce_47"/>
      <w:r>
        <w:rPr>
          <w:rFonts w:hint="eastAsia" w:ascii="仿宋" w:hAnsi="仿宋" w:eastAsia="仿宋" w:cs="仿宋"/>
          <w:color w:val="auto"/>
          <w:sz w:val="32"/>
          <w:szCs w:val="32"/>
          <w:highlight w:val="none"/>
          <w:u w:color="000000"/>
        </w:rPr>
        <w:t>（三）无论合同因何原因终止或合同期满甲方不同</w:t>
      </w:r>
      <w:r>
        <w:rPr>
          <w:rFonts w:hint="eastAsia" w:ascii="仿宋" w:hAnsi="仿宋" w:eastAsia="仿宋" w:cs="仿宋"/>
          <w:color w:val="auto"/>
          <w:sz w:val="32"/>
          <w:szCs w:val="32"/>
          <w:highlight w:val="none"/>
          <w:u w:color="000000"/>
          <w:lang w:eastAsia="zh-CN"/>
        </w:rPr>
        <w:t>意与</w:t>
      </w:r>
      <w:r>
        <w:rPr>
          <w:rFonts w:hint="eastAsia" w:ascii="仿宋" w:hAnsi="仿宋" w:eastAsia="仿宋" w:cs="仿宋"/>
          <w:color w:val="auto"/>
          <w:sz w:val="32"/>
          <w:szCs w:val="32"/>
          <w:highlight w:val="none"/>
          <w:u w:color="000000"/>
        </w:rPr>
        <w:t>乙方续约的，乙方</w:t>
      </w:r>
      <w:r>
        <w:rPr>
          <w:rFonts w:hint="eastAsia" w:ascii="仿宋" w:hAnsi="仿宋" w:eastAsia="仿宋" w:cs="仿宋"/>
          <w:color w:val="auto"/>
          <w:sz w:val="32"/>
          <w:szCs w:val="32"/>
          <w:highlight w:val="none"/>
          <w:u w:color="000000"/>
          <w:lang w:eastAsia="zh-CN"/>
        </w:rPr>
        <w:t>应</w:t>
      </w:r>
      <w:r>
        <w:rPr>
          <w:rFonts w:hint="eastAsia" w:ascii="仿宋" w:hAnsi="仿宋" w:eastAsia="仿宋" w:cs="仿宋"/>
          <w:color w:val="auto"/>
          <w:sz w:val="32"/>
          <w:szCs w:val="32"/>
          <w:highlight w:val="none"/>
          <w:u w:color="000000"/>
        </w:rPr>
        <w:t>在合同终止或期满后3个工作日内撤出甲方食堂，并</w:t>
      </w:r>
      <w:r>
        <w:rPr>
          <w:rFonts w:hint="eastAsia" w:ascii="仿宋" w:hAnsi="仿宋" w:eastAsia="仿宋" w:cs="仿宋"/>
          <w:color w:val="auto"/>
          <w:sz w:val="32"/>
          <w:szCs w:val="32"/>
          <w:highlight w:val="none"/>
          <w:u w:color="000000"/>
          <w:lang w:eastAsia="zh-CN"/>
        </w:rPr>
        <w:t>完成全部交接、</w:t>
      </w:r>
      <w:r>
        <w:rPr>
          <w:rFonts w:hint="eastAsia" w:ascii="仿宋" w:hAnsi="仿宋" w:eastAsia="仿宋" w:cs="仿宋"/>
          <w:color w:val="auto"/>
          <w:sz w:val="32"/>
          <w:szCs w:val="32"/>
          <w:highlight w:val="none"/>
          <w:u w:color="000000"/>
        </w:rPr>
        <w:t>移交手续。</w:t>
      </w:r>
      <w:r>
        <w:rPr>
          <w:rFonts w:hint="eastAsia" w:ascii="仿宋" w:hAnsi="仿宋" w:eastAsia="仿宋" w:cs="仿宋"/>
          <w:color w:val="auto"/>
          <w:sz w:val="32"/>
          <w:szCs w:val="32"/>
          <w:highlight w:val="none"/>
          <w:u w:color="000000"/>
          <w:lang w:eastAsia="zh-CN"/>
        </w:rPr>
        <w:t>交接、</w:t>
      </w:r>
      <w:r>
        <w:rPr>
          <w:rFonts w:hint="eastAsia" w:ascii="仿宋" w:hAnsi="仿宋" w:eastAsia="仿宋" w:cs="仿宋"/>
          <w:color w:val="auto"/>
          <w:sz w:val="32"/>
          <w:szCs w:val="32"/>
          <w:highlight w:val="none"/>
          <w:u w:color="000000"/>
        </w:rPr>
        <w:t>移交</w:t>
      </w:r>
      <w:r>
        <w:rPr>
          <w:rFonts w:hint="eastAsia" w:ascii="仿宋" w:hAnsi="仿宋" w:eastAsia="仿宋" w:cs="仿宋"/>
          <w:color w:val="auto"/>
          <w:sz w:val="32"/>
          <w:szCs w:val="32"/>
          <w:highlight w:val="none"/>
          <w:u w:color="000000"/>
          <w:lang w:eastAsia="zh-CN"/>
        </w:rPr>
        <w:t>内容包括但不限于后厨工作交接</w:t>
      </w:r>
      <w:r>
        <w:rPr>
          <w:rFonts w:hint="eastAsia" w:ascii="仿宋" w:hAnsi="仿宋" w:eastAsia="仿宋" w:cs="仿宋"/>
          <w:color w:val="auto"/>
          <w:sz w:val="32"/>
          <w:szCs w:val="32"/>
          <w:highlight w:val="none"/>
          <w:u w:color="000000"/>
        </w:rPr>
        <w:t>、房屋</w:t>
      </w:r>
      <w:r>
        <w:rPr>
          <w:rFonts w:hint="eastAsia" w:ascii="仿宋" w:hAnsi="仿宋" w:eastAsia="仿宋" w:cs="仿宋"/>
          <w:color w:val="auto"/>
          <w:sz w:val="32"/>
          <w:szCs w:val="32"/>
          <w:highlight w:val="none"/>
          <w:u w:color="000000"/>
          <w:lang w:eastAsia="zh-CN"/>
        </w:rPr>
        <w:t>及</w:t>
      </w:r>
      <w:r>
        <w:rPr>
          <w:rFonts w:hint="eastAsia" w:ascii="仿宋" w:hAnsi="仿宋" w:eastAsia="仿宋" w:cs="仿宋"/>
          <w:color w:val="auto"/>
          <w:sz w:val="32"/>
          <w:szCs w:val="32"/>
          <w:highlight w:val="none"/>
          <w:u w:color="000000"/>
        </w:rPr>
        <w:t>设施设备</w:t>
      </w:r>
      <w:r>
        <w:rPr>
          <w:rFonts w:hint="eastAsia" w:ascii="仿宋" w:hAnsi="仿宋" w:eastAsia="仿宋" w:cs="仿宋"/>
          <w:color w:val="auto"/>
          <w:sz w:val="32"/>
          <w:szCs w:val="32"/>
          <w:highlight w:val="none"/>
          <w:u w:color="000000"/>
          <w:lang w:eastAsia="zh-CN"/>
        </w:rPr>
        <w:t>、食材库存盘点、运营台账及相关资料核对移交等，并以甲方签字确认作为交接完成标准。乙方移交时，甲方</w:t>
      </w:r>
      <w:r>
        <w:rPr>
          <w:rFonts w:hint="eastAsia" w:ascii="仿宋" w:hAnsi="仿宋" w:eastAsia="仿宋" w:cs="仿宋"/>
          <w:color w:val="auto"/>
          <w:sz w:val="32"/>
          <w:szCs w:val="32"/>
          <w:highlight w:val="none"/>
          <w:u w:color="000000"/>
        </w:rPr>
        <w:t>有</w:t>
      </w:r>
      <w:r>
        <w:rPr>
          <w:rFonts w:hint="eastAsia" w:ascii="仿宋" w:hAnsi="仿宋" w:eastAsia="仿宋" w:cs="仿宋"/>
          <w:color w:val="auto"/>
          <w:sz w:val="32"/>
          <w:szCs w:val="32"/>
          <w:highlight w:val="none"/>
          <w:u w:color="000000"/>
          <w:lang w:eastAsia="zh-CN"/>
        </w:rPr>
        <w:t>权对上述内容进行验收；如发现</w:t>
      </w:r>
      <w:r>
        <w:rPr>
          <w:rFonts w:hint="eastAsia" w:ascii="仿宋" w:hAnsi="仿宋" w:eastAsia="仿宋" w:cs="仿宋"/>
          <w:color w:val="auto"/>
          <w:sz w:val="32"/>
          <w:szCs w:val="32"/>
          <w:highlight w:val="none"/>
          <w:u w:color="000000"/>
        </w:rPr>
        <w:t>损坏</w:t>
      </w:r>
      <w:r>
        <w:rPr>
          <w:rFonts w:hint="eastAsia" w:ascii="仿宋" w:hAnsi="仿宋" w:eastAsia="仿宋" w:cs="仿宋"/>
          <w:color w:val="auto"/>
          <w:sz w:val="32"/>
          <w:szCs w:val="32"/>
          <w:highlight w:val="none"/>
          <w:u w:color="000000"/>
          <w:lang w:eastAsia="zh-CN"/>
        </w:rPr>
        <w:t>、遗失、缺失</w:t>
      </w:r>
      <w:r>
        <w:rPr>
          <w:rFonts w:hint="eastAsia" w:ascii="仿宋" w:hAnsi="仿宋" w:eastAsia="仿宋" w:cs="仿宋"/>
          <w:color w:val="auto"/>
          <w:sz w:val="32"/>
          <w:szCs w:val="32"/>
          <w:highlight w:val="none"/>
          <w:u w:color="000000"/>
        </w:rPr>
        <w:t>的，乙方应</w:t>
      </w:r>
      <w:r>
        <w:rPr>
          <w:rFonts w:hint="eastAsia" w:ascii="仿宋" w:hAnsi="仿宋" w:eastAsia="仿宋" w:cs="仿宋"/>
          <w:color w:val="auto"/>
          <w:sz w:val="32"/>
          <w:szCs w:val="32"/>
          <w:highlight w:val="none"/>
          <w:u w:color="000000"/>
          <w:lang w:eastAsia="zh-CN"/>
        </w:rPr>
        <w:t>按甲方采购价格全额</w:t>
      </w:r>
      <w:r>
        <w:rPr>
          <w:rFonts w:hint="eastAsia" w:ascii="仿宋" w:hAnsi="仿宋" w:eastAsia="仿宋" w:cs="仿宋"/>
          <w:color w:val="auto"/>
          <w:sz w:val="32"/>
          <w:szCs w:val="32"/>
          <w:highlight w:val="none"/>
          <w:u w:color="000000"/>
        </w:rPr>
        <w:t>赔偿</w:t>
      </w:r>
      <w:r>
        <w:rPr>
          <w:rFonts w:hint="eastAsia" w:ascii="仿宋" w:hAnsi="仿宋" w:eastAsia="仿宋" w:cs="仿宋"/>
          <w:color w:val="auto"/>
          <w:sz w:val="32"/>
          <w:szCs w:val="32"/>
          <w:highlight w:val="none"/>
          <w:u w:color="000000"/>
          <w:lang w:eastAsia="zh-CN"/>
        </w:rPr>
        <w:t>并承担</w:t>
      </w:r>
      <w:r>
        <w:rPr>
          <w:rFonts w:hint="eastAsia" w:ascii="仿宋" w:hAnsi="仿宋" w:eastAsia="仿宋" w:cs="仿宋"/>
          <w:color w:val="auto"/>
          <w:sz w:val="32"/>
          <w:szCs w:val="32"/>
          <w:highlight w:val="none"/>
          <w:u w:color="000000"/>
        </w:rPr>
        <w:t>甲方</w:t>
      </w:r>
      <w:r>
        <w:rPr>
          <w:rFonts w:hint="eastAsia" w:ascii="仿宋" w:hAnsi="仿宋" w:eastAsia="仿宋" w:cs="仿宋"/>
          <w:color w:val="auto"/>
          <w:sz w:val="32"/>
          <w:szCs w:val="32"/>
          <w:highlight w:val="none"/>
          <w:u w:color="000000"/>
          <w:lang w:eastAsia="zh-CN"/>
        </w:rPr>
        <w:t>因此发生</w:t>
      </w:r>
      <w:r>
        <w:rPr>
          <w:rFonts w:hint="eastAsia" w:ascii="仿宋" w:hAnsi="仿宋" w:eastAsia="仿宋" w:cs="仿宋"/>
          <w:color w:val="auto"/>
          <w:sz w:val="32"/>
          <w:szCs w:val="32"/>
          <w:highlight w:val="none"/>
          <w:u w:color="000000"/>
        </w:rPr>
        <w:t>的实际损失</w:t>
      </w:r>
      <w:r>
        <w:rPr>
          <w:rFonts w:hint="eastAsia" w:ascii="仿宋" w:hAnsi="仿宋" w:eastAsia="仿宋" w:cs="仿宋"/>
          <w:color w:val="auto"/>
          <w:sz w:val="32"/>
          <w:szCs w:val="32"/>
          <w:highlight w:val="none"/>
          <w:u w:color="000000"/>
          <w:lang w:eastAsia="zh-CN"/>
        </w:rPr>
        <w:t>，甲方有权从应付未付服务费中直接扣除相应赔偿款，不足部分甲方有权继续向乙方追偿</w:t>
      </w:r>
      <w:r>
        <w:rPr>
          <w:rFonts w:hint="eastAsia" w:ascii="仿宋" w:hAnsi="仿宋" w:eastAsia="仿宋" w:cs="仿宋"/>
          <w:color w:val="auto"/>
          <w:sz w:val="32"/>
          <w:szCs w:val="32"/>
          <w:highlight w:val="none"/>
          <w:u w:color="000000"/>
        </w:rPr>
        <w:t>。</w:t>
      </w:r>
      <w:r>
        <w:rPr>
          <w:rFonts w:hint="eastAsia" w:ascii="仿宋" w:hAnsi="仿宋" w:eastAsia="仿宋" w:cs="仿宋"/>
          <w:color w:val="auto"/>
          <w:sz w:val="32"/>
          <w:szCs w:val="32"/>
          <w:highlight w:val="none"/>
          <w:u w:color="000000"/>
          <w:lang w:eastAsia="zh-CN"/>
        </w:rPr>
        <w:t>乙方逾期撤出的，每逾期一日应按合同总金额的千分之五向甲方支付场地占用费；甲方有权自行清理乙方遗留物品，产生的费用由乙方承担。</w:t>
      </w:r>
      <w:bookmarkEnd w:id="374"/>
    </w:p>
    <w:p w14:paraId="004CC8CA">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b/>
          <w:bCs/>
          <w:color w:val="auto"/>
          <w:sz w:val="32"/>
          <w:szCs w:val="32"/>
          <w:highlight w:val="none"/>
          <w:u w:color="000000"/>
        </w:rPr>
      </w:pPr>
      <w:r>
        <w:rPr>
          <w:rFonts w:hint="eastAsia" w:ascii="仿宋" w:hAnsi="仿宋" w:eastAsia="仿宋" w:cs="仿宋"/>
          <w:b/>
          <w:bCs/>
          <w:color w:val="auto"/>
          <w:sz w:val="32"/>
          <w:szCs w:val="32"/>
          <w:highlight w:val="none"/>
          <w:u w:color="000000"/>
        </w:rPr>
        <w:t>十、争议处理及其他</w:t>
      </w:r>
    </w:p>
    <w:p w14:paraId="61625747">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（一）本合同履行过程中如发生争议，应协商解决，协商不成时，均可向甲方所在地人民法院提起诉讼；</w:t>
      </w:r>
    </w:p>
    <w:p w14:paraId="01F46C93">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r>
        <w:rPr>
          <w:rFonts w:hint="eastAsia" w:ascii="仿宋" w:hAnsi="仿宋" w:eastAsia="仿宋" w:cs="仿宋"/>
          <w:color w:val="auto"/>
          <w:sz w:val="32"/>
          <w:szCs w:val="32"/>
          <w:highlight w:val="yellow"/>
          <w:u w:color="000000"/>
        </w:rPr>
        <w:t>（</w:t>
      </w:r>
      <w:r>
        <w:rPr>
          <w:rFonts w:hint="eastAsia" w:ascii="仿宋" w:hAnsi="仿宋" w:eastAsia="仿宋" w:cs="仿宋"/>
          <w:color w:val="auto"/>
          <w:sz w:val="32"/>
          <w:szCs w:val="32"/>
          <w:highlight w:val="yellow"/>
          <w:u w:color="000000"/>
          <w:lang w:val="en-US" w:eastAsia="zh-CN"/>
        </w:rPr>
        <w:t>二</w:t>
      </w:r>
      <w:r>
        <w:rPr>
          <w:rFonts w:hint="eastAsia" w:ascii="仿宋" w:hAnsi="仿宋" w:eastAsia="仿宋" w:cs="仿宋"/>
          <w:color w:val="auto"/>
          <w:sz w:val="32"/>
          <w:szCs w:val="32"/>
          <w:highlight w:val="yellow"/>
          <w:u w:color="000000"/>
        </w:rPr>
        <w:t>）因政策、法律法规、政府行为导致甲方食堂暂停的，甲方应书面告知乙方，暂停时间不超过一个月的，甲方全额支付乙方应得费用；暂停时间超过一个月不超过半年的，由甲方支付乙方派驻员工的成本费用，不支付乙方应得管理费；暂停时间预计超过半年的，由乙方将派驻员工另行安排，自暂停之日起，甲方除应依约结清已发生的费用外，不再向乙方支付任何费用</w:t>
      </w:r>
      <w:r>
        <w:rPr>
          <w:rFonts w:hint="eastAsia" w:ascii="仿宋" w:hAnsi="仿宋" w:eastAsia="仿宋" w:cs="仿宋"/>
          <w:color w:val="auto"/>
          <w:sz w:val="32"/>
          <w:szCs w:val="32"/>
          <w:highlight w:val="yellow"/>
          <w:u w:color="000000"/>
          <w:lang w:eastAsia="zh-CN"/>
        </w:rPr>
        <w:t>；</w:t>
      </w:r>
    </w:p>
    <w:p w14:paraId="5436BCEA">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val="en-US" w:eastAsia="zh-CN"/>
        </w:rPr>
      </w:pPr>
      <w:bookmarkStart w:id="375" w:name="tip_risk_bookmark_49"/>
      <w:r>
        <w:rPr>
          <w:rFonts w:hint="eastAsia" w:ascii="仿宋" w:hAnsi="仿宋" w:eastAsia="仿宋" w:cs="仿宋"/>
          <w:color w:val="auto"/>
          <w:sz w:val="32"/>
          <w:szCs w:val="32"/>
          <w:highlight w:val="none"/>
          <w:u w:color="000000"/>
        </w:rPr>
        <w:t>（</w:t>
      </w:r>
      <w:r>
        <w:rPr>
          <w:rFonts w:hint="eastAsia" w:ascii="仿宋" w:hAnsi="仿宋" w:eastAsia="仿宋" w:cs="仿宋"/>
          <w:color w:val="auto"/>
          <w:sz w:val="32"/>
          <w:szCs w:val="32"/>
          <w:highlight w:val="none"/>
          <w:u w:color="000000"/>
          <w:lang w:val="en-US" w:eastAsia="zh-CN"/>
        </w:rPr>
        <w:t>三</w:t>
      </w:r>
      <w:r>
        <w:rPr>
          <w:rFonts w:hint="eastAsia" w:ascii="仿宋" w:hAnsi="仿宋" w:eastAsia="仿宋" w:cs="仿宋"/>
          <w:color w:val="auto"/>
          <w:sz w:val="32"/>
          <w:szCs w:val="32"/>
          <w:highlight w:val="none"/>
          <w:u w:color="000000"/>
        </w:rPr>
        <w:t>）本项目的投标文件，投标文件系本合同不可分割的一部分，乙方出现违反本协议或者违反招标文件、投标文件要求或者承诺的，视为违约，应当按照要求承担违约责任</w:t>
      </w:r>
      <w:r>
        <w:rPr>
          <w:rFonts w:hint="eastAsia" w:ascii="仿宋" w:hAnsi="仿宋" w:eastAsia="仿宋" w:cs="仿宋"/>
          <w:color w:val="auto"/>
          <w:sz w:val="32"/>
          <w:szCs w:val="32"/>
          <w:highlight w:val="none"/>
          <w:u w:color="000000"/>
          <w:lang w:eastAsia="zh-CN"/>
        </w:rPr>
        <w:t>；</w:t>
      </w:r>
      <w:bookmarkEnd w:id="375"/>
      <w:r>
        <w:rPr>
          <w:rFonts w:hint="eastAsia" w:ascii="仿宋" w:hAnsi="仿宋" w:eastAsia="仿宋" w:cs="仿宋"/>
          <w:color w:val="auto"/>
          <w:sz w:val="32"/>
          <w:szCs w:val="32"/>
          <w:highlight w:val="none"/>
          <w:u w:color="000000"/>
          <w:lang w:val="en-US" w:eastAsia="zh-CN"/>
        </w:rPr>
        <w:t xml:space="preserve">  </w:t>
      </w:r>
    </w:p>
    <w:p w14:paraId="3C33C7F9">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FF0000"/>
          <w:sz w:val="32"/>
          <w:szCs w:val="32"/>
          <w:highlight w:val="none"/>
          <w:u w:color="000000"/>
          <w:lang w:eastAsia="zh-CN"/>
        </w:rPr>
      </w:pPr>
      <w:r>
        <w:rPr>
          <w:rFonts w:hint="eastAsia" w:ascii="仿宋" w:hAnsi="仿宋" w:eastAsia="仿宋" w:cs="仿宋"/>
          <w:color w:val="auto"/>
          <w:sz w:val="32"/>
          <w:szCs w:val="32"/>
          <w:highlight w:val="none"/>
          <w:u w:color="000000"/>
        </w:rPr>
        <w:t>（</w:t>
      </w:r>
      <w:r>
        <w:rPr>
          <w:rFonts w:hint="eastAsia" w:ascii="仿宋" w:hAnsi="仿宋" w:eastAsia="仿宋" w:cs="仿宋"/>
          <w:color w:val="auto"/>
          <w:sz w:val="32"/>
          <w:szCs w:val="32"/>
          <w:highlight w:val="none"/>
          <w:u w:color="000000"/>
          <w:lang w:val="en-US" w:eastAsia="zh-CN"/>
        </w:rPr>
        <w:t>四</w:t>
      </w:r>
      <w:r>
        <w:rPr>
          <w:rFonts w:hint="eastAsia" w:ascii="仿宋" w:hAnsi="仿宋" w:eastAsia="仿宋" w:cs="仿宋"/>
          <w:color w:val="auto"/>
          <w:sz w:val="32"/>
          <w:szCs w:val="32"/>
          <w:highlight w:val="none"/>
          <w:u w:color="000000"/>
        </w:rPr>
        <w:t>）本合同一式</w:t>
      </w:r>
      <w:r>
        <w:rPr>
          <w:rFonts w:hint="eastAsia" w:ascii="仿宋" w:hAnsi="仿宋" w:eastAsia="仿宋" w:cs="仿宋"/>
          <w:color w:val="auto"/>
          <w:sz w:val="32"/>
          <w:szCs w:val="32"/>
          <w:highlight w:val="none"/>
          <w:u w:color="000000"/>
          <w:lang w:val="en-US" w:eastAsia="zh-CN"/>
        </w:rPr>
        <w:t>陆</w:t>
      </w:r>
      <w:r>
        <w:rPr>
          <w:rFonts w:hint="eastAsia" w:ascii="仿宋" w:hAnsi="仿宋" w:eastAsia="仿宋" w:cs="仿宋"/>
          <w:color w:val="auto"/>
          <w:sz w:val="32"/>
          <w:szCs w:val="32"/>
          <w:highlight w:val="none"/>
          <w:u w:color="000000"/>
        </w:rPr>
        <w:t>份，双方各执</w:t>
      </w:r>
      <w:r>
        <w:rPr>
          <w:rFonts w:hint="eastAsia" w:ascii="仿宋" w:hAnsi="仿宋" w:eastAsia="仿宋" w:cs="仿宋"/>
          <w:color w:val="auto"/>
          <w:sz w:val="32"/>
          <w:szCs w:val="32"/>
          <w:highlight w:val="none"/>
          <w:u w:color="000000"/>
          <w:lang w:val="en-US" w:eastAsia="zh-CN"/>
        </w:rPr>
        <w:t>叁</w:t>
      </w:r>
      <w:r>
        <w:rPr>
          <w:rFonts w:hint="eastAsia" w:ascii="仿宋" w:hAnsi="仿宋" w:eastAsia="仿宋" w:cs="仿宋"/>
          <w:color w:val="auto"/>
          <w:sz w:val="32"/>
          <w:szCs w:val="32"/>
          <w:highlight w:val="none"/>
          <w:u w:color="000000"/>
        </w:rPr>
        <w:t>份，经双方签字盖章后生效，均</w:t>
      </w:r>
      <w:r>
        <w:rPr>
          <w:rFonts w:hint="eastAsia" w:ascii="仿宋" w:hAnsi="仿宋" w:eastAsia="仿宋" w:cs="仿宋"/>
          <w:color w:val="auto"/>
          <w:sz w:val="32"/>
          <w:szCs w:val="32"/>
          <w:highlight w:val="none"/>
          <w:u w:color="000000"/>
          <w:lang w:val="en-US" w:eastAsia="zh-CN"/>
        </w:rPr>
        <w:t>具有</w:t>
      </w:r>
      <w:r>
        <w:rPr>
          <w:rFonts w:hint="eastAsia" w:ascii="仿宋" w:hAnsi="仿宋" w:eastAsia="仿宋" w:cs="仿宋"/>
          <w:color w:val="auto"/>
          <w:sz w:val="32"/>
          <w:szCs w:val="32"/>
          <w:highlight w:val="none"/>
          <w:u w:color="000000"/>
        </w:rPr>
        <w:t>同等法律效力。</w:t>
      </w:r>
      <w:bookmarkStart w:id="376" w:name="auto_fouce_50"/>
    </w:p>
    <w:p w14:paraId="5E33F357">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lang w:eastAsia="zh-CN"/>
        </w:rPr>
      </w:pPr>
      <w:r>
        <w:rPr>
          <w:rFonts w:hint="eastAsia" w:ascii="仿宋" w:hAnsi="仿宋" w:eastAsia="仿宋" w:cs="仿宋"/>
          <w:color w:val="auto"/>
          <w:sz w:val="32"/>
          <w:szCs w:val="32"/>
          <w:highlight w:val="none"/>
          <w:u w:color="000000"/>
          <w:lang w:eastAsia="zh-CN"/>
        </w:rPr>
        <w:t>（</w:t>
      </w:r>
      <w:r>
        <w:rPr>
          <w:rFonts w:hint="eastAsia" w:ascii="仿宋" w:hAnsi="仿宋" w:eastAsia="仿宋" w:cs="仿宋"/>
          <w:color w:val="auto"/>
          <w:sz w:val="32"/>
          <w:szCs w:val="32"/>
          <w:highlight w:val="none"/>
          <w:u w:color="000000"/>
          <w:lang w:val="en-US" w:eastAsia="zh-CN"/>
        </w:rPr>
        <w:t>五</w:t>
      </w:r>
      <w:r>
        <w:rPr>
          <w:rFonts w:hint="eastAsia" w:ascii="仿宋" w:hAnsi="仿宋" w:eastAsia="仿宋" w:cs="仿宋"/>
          <w:color w:val="auto"/>
          <w:sz w:val="32"/>
          <w:szCs w:val="32"/>
          <w:highlight w:val="none"/>
          <w:u w:color="000000"/>
          <w:lang w:eastAsia="zh-CN"/>
        </w:rPr>
        <w:t>）本合同履行过程中，双方之间的所有通知、函件均需采用书面形式，通过当面送达、EMS特快专递或双方确认的指定电子邮箱发送，送达地址以本合同首页列明的甲乙双方联系地址为准。</w:t>
      </w:r>
      <w:bookmarkEnd w:id="376"/>
    </w:p>
    <w:p w14:paraId="56927940">
      <w:pPr>
        <w:keepNext w:val="0"/>
        <w:keepLines w:val="0"/>
        <w:pageBreakBefore w:val="0"/>
        <w:widowControl w:val="0"/>
        <w:kinsoku/>
        <w:wordWrap/>
        <w:overflowPunct/>
        <w:topLinePunct w:val="0"/>
        <w:bidi w:val="0"/>
        <w:spacing w:beforeAutospacing="0" w:afterAutospacing="0" w:line="560" w:lineRule="exact"/>
        <w:ind w:firstLine="1488" w:firstLineChars="465"/>
        <w:jc w:val="left"/>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附件：一、考核评分表</w:t>
      </w:r>
    </w:p>
    <w:p w14:paraId="7090A373">
      <w:pPr>
        <w:keepNext w:val="0"/>
        <w:keepLines w:val="0"/>
        <w:pageBreakBefore w:val="0"/>
        <w:widowControl w:val="0"/>
        <w:kinsoku/>
        <w:wordWrap/>
        <w:overflowPunct/>
        <w:topLinePunct w:val="0"/>
        <w:bidi w:val="0"/>
        <w:spacing w:beforeAutospacing="0" w:afterAutospacing="0" w:line="560" w:lineRule="exact"/>
        <w:ind w:firstLine="2448" w:firstLineChars="765"/>
        <w:jc w:val="left"/>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lang w:val="en-US" w:eastAsia="zh-CN"/>
        </w:rPr>
        <w:t>二</w:t>
      </w:r>
      <w:r>
        <w:rPr>
          <w:rFonts w:hint="eastAsia" w:ascii="仿宋" w:hAnsi="仿宋" w:eastAsia="仿宋" w:cs="仿宋"/>
          <w:color w:val="auto"/>
          <w:sz w:val="32"/>
          <w:szCs w:val="32"/>
          <w:highlight w:val="none"/>
          <w:u w:color="000000"/>
        </w:rPr>
        <w:t>、甲乙双方承担费用明细表</w:t>
      </w:r>
    </w:p>
    <w:p w14:paraId="6ACF548C">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p>
    <w:p w14:paraId="35C25D3B">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（以下无正文）</w:t>
      </w:r>
    </w:p>
    <w:p w14:paraId="5347C90A">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p>
    <w:p w14:paraId="672DB037">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bookmarkStart w:id="377" w:name="OLE_LINK4"/>
      <w:r>
        <w:rPr>
          <w:rFonts w:hint="eastAsia" w:ascii="仿宋" w:hAnsi="仿宋" w:eastAsia="仿宋" w:cs="仿宋"/>
          <w:color w:val="auto"/>
          <w:sz w:val="32"/>
          <w:szCs w:val="32"/>
          <w:highlight w:val="none"/>
          <w:u w:color="000000"/>
        </w:rPr>
        <w:t xml:space="preserve">甲方（盖章）：               </w:t>
      </w:r>
      <w:r>
        <w:rPr>
          <w:rFonts w:hint="eastAsia" w:ascii="仿宋" w:hAnsi="仿宋" w:eastAsia="仿宋" w:cs="仿宋"/>
          <w:color w:val="auto"/>
          <w:sz w:val="32"/>
          <w:szCs w:val="32"/>
          <w:highlight w:val="none"/>
          <w:u w:color="000000"/>
          <w:lang w:val="en-US" w:eastAsia="zh-CN"/>
        </w:rPr>
        <w:t xml:space="preserve"> </w:t>
      </w:r>
      <w:r>
        <w:rPr>
          <w:rFonts w:hint="eastAsia" w:ascii="仿宋" w:hAnsi="仿宋" w:eastAsia="仿宋" w:cs="仿宋"/>
          <w:color w:val="auto"/>
          <w:sz w:val="32"/>
          <w:szCs w:val="32"/>
          <w:highlight w:val="none"/>
          <w:u w:color="000000"/>
        </w:rPr>
        <w:t>乙方（盖章）：</w:t>
      </w:r>
    </w:p>
    <w:p w14:paraId="6574B98C">
      <w:pPr>
        <w:keepNext w:val="0"/>
        <w:keepLines w:val="0"/>
        <w:pageBreakBefore w:val="0"/>
        <w:widowControl w:val="0"/>
        <w:kinsoku/>
        <w:wordWrap/>
        <w:overflowPunct/>
        <w:topLinePunct w:val="0"/>
        <w:bidi w:val="0"/>
        <w:spacing w:beforeAutospacing="0" w:afterAutospacing="0" w:line="560" w:lineRule="exact"/>
        <w:ind w:firstLine="0" w:firstLineChars="0"/>
        <w:textAlignment w:val="auto"/>
        <w:rPr>
          <w:rFonts w:hint="eastAsia" w:ascii="仿宋" w:hAnsi="仿宋" w:eastAsia="仿宋" w:cs="仿宋"/>
          <w:color w:val="auto"/>
          <w:sz w:val="32"/>
          <w:szCs w:val="32"/>
          <w:highlight w:val="none"/>
          <w:u w:color="000000"/>
        </w:rPr>
      </w:pPr>
    </w:p>
    <w:p w14:paraId="237F0B0F">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hint="eastAsia" w:ascii="仿宋" w:hAnsi="仿宋" w:eastAsia="仿宋" w:cs="仿宋"/>
          <w:color w:val="auto"/>
          <w:sz w:val="32"/>
          <w:szCs w:val="32"/>
          <w:highlight w:val="none"/>
          <w:u w:color="000000"/>
        </w:rPr>
      </w:pPr>
      <w:r>
        <w:rPr>
          <w:rFonts w:hint="eastAsia" w:ascii="仿宋" w:hAnsi="仿宋" w:eastAsia="仿宋" w:cs="仿宋"/>
          <w:color w:val="auto"/>
          <w:sz w:val="32"/>
          <w:szCs w:val="32"/>
          <w:highlight w:val="none"/>
          <w:u w:color="000000"/>
        </w:rPr>
        <w:t>签字：                       签字：</w:t>
      </w:r>
    </w:p>
    <w:p w14:paraId="4951C905">
      <w:pPr>
        <w:keepNext w:val="0"/>
        <w:keepLines w:val="0"/>
        <w:pageBreakBefore w:val="0"/>
        <w:widowControl w:val="0"/>
        <w:kinsoku/>
        <w:wordWrap/>
        <w:overflowPunct/>
        <w:topLinePunct w:val="0"/>
        <w:bidi w:val="0"/>
        <w:spacing w:beforeAutospacing="0" w:afterAutospacing="0" w:line="560" w:lineRule="exact"/>
        <w:ind w:firstLine="0" w:firstLineChars="0"/>
        <w:textAlignment w:val="auto"/>
        <w:rPr>
          <w:rFonts w:hint="eastAsia" w:ascii="仿宋" w:hAnsi="仿宋" w:eastAsia="仿宋" w:cs="仿宋"/>
          <w:color w:val="auto"/>
          <w:sz w:val="32"/>
          <w:szCs w:val="32"/>
          <w:highlight w:val="none"/>
          <w:u w:color="000000"/>
        </w:rPr>
      </w:pPr>
    </w:p>
    <w:p w14:paraId="6562216C">
      <w:pPr>
        <w:keepNext w:val="0"/>
        <w:keepLines w:val="0"/>
        <w:pageBreakBefore w:val="0"/>
        <w:widowControl w:val="0"/>
        <w:kinsoku/>
        <w:wordWrap/>
        <w:overflowPunct/>
        <w:topLinePunct w:val="0"/>
        <w:bidi w:val="0"/>
        <w:spacing w:beforeAutospacing="0" w:afterAutospacing="0" w:line="560" w:lineRule="exact"/>
        <w:ind w:firstLine="560" w:firstLineChars="0"/>
        <w:textAlignment w:val="auto"/>
        <w:rPr>
          <w:rFonts w:ascii="Calibri" w:hAnsi="Calibri" w:cs="Calibri"/>
          <w:color w:val="auto"/>
          <w:szCs w:val="21"/>
          <w:highlight w:val="none"/>
          <w:u w:color="000000"/>
        </w:rPr>
      </w:pPr>
      <w:r>
        <w:rPr>
          <w:rFonts w:hint="eastAsia" w:ascii="仿宋" w:hAnsi="仿宋" w:eastAsia="仿宋" w:cs="仿宋"/>
          <w:color w:val="auto"/>
          <w:sz w:val="32"/>
          <w:szCs w:val="32"/>
          <w:highlight w:val="none"/>
          <w:u w:color="000000"/>
        </w:rPr>
        <w:t xml:space="preserve">日期：  年  月  日      </w:t>
      </w:r>
      <w:r>
        <w:rPr>
          <w:rFonts w:hint="eastAsia" w:ascii="仿宋" w:hAnsi="仿宋" w:eastAsia="仿宋" w:cs="仿宋"/>
          <w:color w:val="auto"/>
          <w:sz w:val="32"/>
          <w:szCs w:val="32"/>
          <w:highlight w:val="none"/>
          <w:u w:color="000000"/>
          <w:lang w:val="en-US" w:eastAsia="zh-CN"/>
        </w:rPr>
        <w:t xml:space="preserve">     </w:t>
      </w:r>
      <w:r>
        <w:rPr>
          <w:rFonts w:hint="eastAsia" w:ascii="仿宋" w:hAnsi="仿宋" w:eastAsia="仿宋" w:cs="仿宋"/>
          <w:color w:val="auto"/>
          <w:sz w:val="32"/>
          <w:szCs w:val="32"/>
          <w:highlight w:val="none"/>
          <w:u w:color="000000"/>
        </w:rPr>
        <w:t xml:space="preserve">日期：  年 </w:t>
      </w:r>
      <w:r>
        <w:rPr>
          <w:rFonts w:hint="eastAsia" w:ascii="仿宋" w:hAnsi="仿宋" w:eastAsia="仿宋" w:cs="仿宋"/>
          <w:color w:val="auto"/>
          <w:sz w:val="32"/>
          <w:szCs w:val="32"/>
          <w:highlight w:val="none"/>
          <w:u w:color="000000"/>
          <w:lang w:val="en-US" w:eastAsia="zh-CN"/>
        </w:rPr>
        <w:t xml:space="preserve"> </w:t>
      </w:r>
      <w:r>
        <w:rPr>
          <w:rFonts w:hint="eastAsia" w:ascii="仿宋" w:hAnsi="仿宋" w:eastAsia="仿宋" w:cs="仿宋"/>
          <w:color w:val="auto"/>
          <w:sz w:val="32"/>
          <w:szCs w:val="32"/>
          <w:highlight w:val="none"/>
          <w:u w:color="000000"/>
        </w:rPr>
        <w:t xml:space="preserve"> 月   日</w:t>
      </w:r>
      <w:bookmarkEnd w:id="377"/>
    </w:p>
    <w:p w14:paraId="721F171E">
      <w:pPr>
        <w:widowControl w:val="0"/>
        <w:spacing w:line="240" w:lineRule="auto"/>
        <w:ind w:firstLine="0" w:firstLineChars="0"/>
        <w:jc w:val="left"/>
        <w:rPr>
          <w:rFonts w:ascii="Calibri" w:hAnsi="Calibri" w:cs="Calibri"/>
          <w:color w:val="auto"/>
          <w:szCs w:val="21"/>
          <w:highlight w:val="none"/>
          <w:u w:color="000000"/>
        </w:rPr>
      </w:pPr>
    </w:p>
    <w:p w14:paraId="7D0513EC">
      <w:pPr>
        <w:widowControl w:val="0"/>
        <w:spacing w:line="240" w:lineRule="auto"/>
        <w:ind w:firstLine="0" w:firstLineChars="0"/>
        <w:jc w:val="center"/>
        <w:rPr>
          <w:rFonts w:ascii="宋体" w:hAnsi="宋体"/>
          <w:b/>
          <w:bCs/>
          <w:color w:val="auto"/>
          <w:kern w:val="0"/>
          <w:sz w:val="24"/>
          <w:highlight w:val="none"/>
        </w:rPr>
      </w:pPr>
      <w:r>
        <w:rPr>
          <w:rFonts w:ascii="仿宋" w:hAnsi="仿宋" w:eastAsia="仿宋" w:cs="Calibri"/>
          <w:b/>
          <w:bCs/>
          <w:color w:val="auto"/>
          <w:sz w:val="32"/>
          <w:szCs w:val="32"/>
          <w:highlight w:val="none"/>
          <w:u w:color="000000"/>
        </w:rPr>
        <w:br w:type="page"/>
      </w:r>
    </w:p>
    <w:p w14:paraId="763B5738">
      <w:pPr>
        <w:shd w:val="clear" w:color="auto" w:fill="FFFFFF"/>
        <w:ind w:firstLine="422"/>
        <w:jc w:val="left"/>
        <w:rPr>
          <w:rFonts w:ascii="宋体" w:hAnsi="宋体"/>
          <w:b/>
          <w:bCs/>
          <w:color w:val="auto"/>
          <w:kern w:val="0"/>
          <w:szCs w:val="21"/>
          <w:highlight w:val="none"/>
        </w:rPr>
      </w:pPr>
    </w:p>
    <w:p w14:paraId="7DE6AD6C">
      <w:pPr>
        <w:spacing w:line="240" w:lineRule="auto"/>
        <w:ind w:firstLine="0" w:firstLineChars="0"/>
        <w:jc w:val="left"/>
        <w:rPr>
          <w:rFonts w:hint="eastAsia" w:ascii="宋体" w:hAnsi="宋体" w:eastAsia="宋体" w:cs="Calibri"/>
          <w:color w:val="auto"/>
          <w:szCs w:val="21"/>
          <w:highlight w:val="none"/>
          <w:u w:color="000000"/>
        </w:rPr>
      </w:pPr>
      <w:r>
        <w:rPr>
          <w:rFonts w:hint="eastAsia" w:ascii="宋体" w:hAnsi="宋体" w:eastAsia="宋体" w:cs="Calibri"/>
          <w:color w:val="auto"/>
          <w:szCs w:val="21"/>
          <w:highlight w:val="none"/>
          <w:u w:color="000000"/>
        </w:rPr>
        <w:t>附件</w:t>
      </w:r>
      <w:r>
        <w:rPr>
          <w:rFonts w:hint="eastAsia" w:ascii="宋体" w:hAnsi="宋体" w:cs="Calibri"/>
          <w:color w:val="auto"/>
          <w:szCs w:val="21"/>
          <w:highlight w:val="none"/>
          <w:u w:color="000000"/>
          <w:lang w:val="en-US" w:eastAsia="zh-CN"/>
        </w:rPr>
        <w:t>一</w:t>
      </w:r>
      <w:r>
        <w:rPr>
          <w:rFonts w:hint="eastAsia" w:ascii="宋体" w:hAnsi="宋体" w:eastAsia="宋体" w:cs="Calibri"/>
          <w:color w:val="auto"/>
          <w:szCs w:val="21"/>
          <w:highlight w:val="none"/>
          <w:u w:color="000000"/>
          <w:lang w:eastAsia="zh-CN"/>
        </w:rPr>
        <w:t>：</w:t>
      </w:r>
      <w:r>
        <w:rPr>
          <w:rFonts w:hint="eastAsia" w:ascii="宋体" w:hAnsi="宋体" w:eastAsia="宋体" w:cs="Calibri"/>
          <w:color w:val="auto"/>
          <w:szCs w:val="21"/>
          <w:highlight w:val="none"/>
          <w:u w:color="000000"/>
        </w:rPr>
        <w:t>考核评分表</w:t>
      </w:r>
    </w:p>
    <w:p w14:paraId="028740F1">
      <w:pPr>
        <w:shd w:val="clear" w:color="auto" w:fill="FFFFFF"/>
        <w:ind w:left="0" w:leftChars="0" w:firstLine="0" w:firstLineChars="0"/>
        <w:jc w:val="center"/>
        <w:rPr>
          <w:rFonts w:hint="eastAsia" w:ascii="宋体" w:hAnsi="宋体" w:cs="Calibri"/>
          <w:b/>
          <w:bCs/>
          <w:color w:val="auto"/>
          <w:sz w:val="32"/>
          <w:szCs w:val="32"/>
          <w:highlight w:val="none"/>
        </w:rPr>
      </w:pPr>
      <w:r>
        <w:rPr>
          <w:rFonts w:hint="eastAsia" w:ascii="宋体" w:hAnsi="宋体" w:cs="Calibri"/>
          <w:b/>
          <w:bCs/>
          <w:color w:val="auto"/>
          <w:sz w:val="32"/>
          <w:szCs w:val="32"/>
          <w:highlight w:val="none"/>
        </w:rPr>
        <w:t>考核评分表</w:t>
      </w:r>
    </w:p>
    <w:tbl>
      <w:tblPr>
        <w:tblStyle w:val="51"/>
        <w:tblW w:w="91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3"/>
        <w:gridCol w:w="1245"/>
        <w:gridCol w:w="1564"/>
        <w:gridCol w:w="1007"/>
        <w:gridCol w:w="2912"/>
        <w:gridCol w:w="857"/>
        <w:gridCol w:w="857"/>
      </w:tblGrid>
      <w:tr w14:paraId="4C0FB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2"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F285E">
            <w:pPr>
              <w:keepNext w:val="0"/>
              <w:keepLines w:val="0"/>
              <w:widowControl/>
              <w:suppressLineNumbers w:val="0"/>
              <w:ind w:left="0" w:leftChars="0" w:firstLine="0" w:firstLineChars="0"/>
              <w:jc w:val="both"/>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序号</w:t>
            </w:r>
          </w:p>
        </w:tc>
        <w:tc>
          <w:tcPr>
            <w:tcW w:w="12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F8C37">
            <w:pPr>
              <w:keepNext w:val="0"/>
              <w:keepLines w:val="0"/>
              <w:widowControl/>
              <w:suppressLineNumbers w:val="0"/>
              <w:ind w:left="0" w:leftChars="0" w:firstLine="0" w:firstLineChars="0"/>
              <w:jc w:val="both"/>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评价维度</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1B9E6">
            <w:pPr>
              <w:keepNext w:val="0"/>
              <w:keepLines w:val="0"/>
              <w:widowControl/>
              <w:suppressLineNumbers w:val="0"/>
              <w:ind w:left="0" w:leftChars="0" w:firstLine="0" w:firstLineChars="0"/>
              <w:jc w:val="both"/>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评价项目</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B6CB6">
            <w:pPr>
              <w:keepNext w:val="0"/>
              <w:keepLines w:val="0"/>
              <w:widowControl/>
              <w:suppressLineNumbers w:val="0"/>
              <w:ind w:left="0" w:leftChars="0" w:firstLine="0" w:firstLineChars="0"/>
              <w:jc w:val="both"/>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标准分值</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E6A8">
            <w:pPr>
              <w:keepNext w:val="0"/>
              <w:keepLines w:val="0"/>
              <w:widowControl/>
              <w:suppressLineNumbers w:val="0"/>
              <w:ind w:left="0" w:leftChars="0" w:firstLine="0" w:firstLineChars="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评分标准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E3A2">
            <w:pPr>
              <w:keepNext w:val="0"/>
              <w:keepLines w:val="0"/>
              <w:widowControl/>
              <w:suppressLineNumbers w:val="0"/>
              <w:ind w:left="0" w:leftChars="0" w:firstLine="0" w:firstLineChars="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得分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79967">
            <w:pPr>
              <w:keepNext w:val="0"/>
              <w:keepLines w:val="0"/>
              <w:widowControl/>
              <w:suppressLineNumbers w:val="0"/>
              <w:ind w:left="0" w:leftChars="0" w:firstLine="0" w:firstLineChars="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备注</w:t>
            </w:r>
          </w:p>
        </w:tc>
      </w:tr>
      <w:tr w14:paraId="3F128A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78"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E6DB3">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D5AEE2">
            <w:pPr>
              <w:keepNext w:val="0"/>
              <w:keepLines w:val="0"/>
              <w:widowControl/>
              <w:suppressLineNumbers w:val="0"/>
              <w:ind w:left="0" w:leftChars="0" w:firstLine="0" w:firstLineChars="0"/>
              <w:jc w:val="both"/>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食材加工与库存管控标准</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459F7">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食材申领与验收</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D1D17">
            <w:pPr>
              <w:keepNext w:val="0"/>
              <w:keepLines w:val="0"/>
              <w:widowControl/>
              <w:suppressLineNumbers w:val="0"/>
              <w:ind w:left="0" w:leftChars="0" w:firstLine="360" w:firstLineChars="20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9F36">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完全按用餐人数精准申领，严格核对规格数量品质，变质食材100%拒收并报备得5分；基本执行但偶有疏漏得3-4分；执行不到位，存在过期变质食材入库得0-2分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767D">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F7785">
            <w:pPr>
              <w:jc w:val="left"/>
              <w:rPr>
                <w:rFonts w:hint="eastAsia" w:ascii="微软雅黑" w:hAnsi="微软雅黑" w:eastAsia="微软雅黑" w:cs="微软雅黑"/>
                <w:i w:val="0"/>
                <w:iCs w:val="0"/>
                <w:color w:val="000000"/>
                <w:sz w:val="18"/>
                <w:szCs w:val="18"/>
                <w:u w:val="none"/>
              </w:rPr>
            </w:pPr>
          </w:p>
        </w:tc>
      </w:tr>
      <w:tr w14:paraId="419DED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0C2E6">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F248B">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A7807">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生熟分开与存放管理</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6062">
            <w:pPr>
              <w:keepNext w:val="0"/>
              <w:keepLines w:val="0"/>
              <w:widowControl/>
              <w:suppressLineNumbers w:val="0"/>
              <w:ind w:left="0" w:leftChars="0" w:firstLine="360" w:firstLineChars="20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9E1E">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严格执行生熟分开加工、分类盛装、分区存放，半成品标注时间、先进先出得5分；基本执行但个别环节不规范得3-4分；生熟混放、无时间标识得0-2分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DB170">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0CCD">
            <w:pPr>
              <w:jc w:val="left"/>
              <w:rPr>
                <w:rFonts w:hint="eastAsia" w:ascii="微软雅黑" w:hAnsi="微软雅黑" w:eastAsia="微软雅黑" w:cs="微软雅黑"/>
                <w:i w:val="0"/>
                <w:iCs w:val="0"/>
                <w:color w:val="000000"/>
                <w:sz w:val="18"/>
                <w:szCs w:val="18"/>
                <w:u w:val="none"/>
              </w:rPr>
            </w:pPr>
          </w:p>
        </w:tc>
      </w:tr>
      <w:tr w14:paraId="1A800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FAC9">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3</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A262E">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0A285">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食材损耗控制</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C6D62">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10553">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合理利用边角料，损耗控制在行业标准内，无浪费得5分；损耗基本达标，偶有浪费得3-4分；损耗超标、浪费严重得0-2分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E9A4D">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02DB1">
            <w:pPr>
              <w:jc w:val="left"/>
              <w:rPr>
                <w:rFonts w:hint="eastAsia" w:ascii="微软雅黑" w:hAnsi="微软雅黑" w:eastAsia="微软雅黑" w:cs="微软雅黑"/>
                <w:i w:val="0"/>
                <w:iCs w:val="0"/>
                <w:color w:val="000000"/>
                <w:sz w:val="18"/>
                <w:szCs w:val="18"/>
                <w:u w:val="none"/>
              </w:rPr>
            </w:pPr>
          </w:p>
        </w:tc>
      </w:tr>
      <w:tr w14:paraId="56E9D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37B89">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8FA10">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21BF1">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库存盘点管理</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C726">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5</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88EE">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每日盘点、账实相符，问题及时上报得5分；盘点基本正常，偶有差错得3-4分；盘点不及时、账实不符得0-2分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81CF2">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55212">
            <w:pPr>
              <w:jc w:val="left"/>
              <w:rPr>
                <w:rFonts w:hint="eastAsia" w:ascii="微软雅黑" w:hAnsi="微软雅黑" w:eastAsia="微软雅黑" w:cs="微软雅黑"/>
                <w:i w:val="0"/>
                <w:iCs w:val="0"/>
                <w:color w:val="000000"/>
                <w:sz w:val="18"/>
                <w:szCs w:val="18"/>
                <w:u w:val="none"/>
              </w:rPr>
            </w:pPr>
          </w:p>
        </w:tc>
      </w:tr>
      <w:tr w14:paraId="1E5BBF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98D35">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5</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1DA47D">
            <w:pPr>
              <w:keepNext w:val="0"/>
              <w:keepLines w:val="0"/>
              <w:widowControl/>
              <w:suppressLineNumbers w:val="0"/>
              <w:ind w:left="0" w:leftChars="0" w:firstLine="0" w:firstLineChars="0"/>
              <w:jc w:val="both"/>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菜品出品质量标准</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692B">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标准化制作流程</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4F127">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2A976">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严格执行统一配方、火候、调味、分量，菜品一致性好得6分；基本标准化，口味略有波动得4-5分；制作随意、菜品质量不稳定得0-3分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5B8DB">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1900C">
            <w:pPr>
              <w:jc w:val="left"/>
              <w:rPr>
                <w:rFonts w:hint="eastAsia" w:ascii="微软雅黑" w:hAnsi="微软雅黑" w:eastAsia="微软雅黑" w:cs="微软雅黑"/>
                <w:i w:val="0"/>
                <w:iCs w:val="0"/>
                <w:color w:val="000000"/>
                <w:sz w:val="18"/>
                <w:szCs w:val="18"/>
                <w:u w:val="none"/>
              </w:rPr>
            </w:pPr>
          </w:p>
        </w:tc>
      </w:tr>
      <w:tr w14:paraId="6B3DF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E283">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9F766">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A08AB">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出餐节奏管控</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9F696">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F2AD8">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高峰期有序备餐，无压单漏单错单得6分；出餐基本顺畅，偶有延误得4-5分；经常压单、错漏单频发得0-3分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C82CB">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0833D">
            <w:pPr>
              <w:jc w:val="left"/>
              <w:rPr>
                <w:rFonts w:hint="eastAsia" w:ascii="微软雅黑" w:hAnsi="微软雅黑" w:eastAsia="微软雅黑" w:cs="微软雅黑"/>
                <w:i w:val="0"/>
                <w:iCs w:val="0"/>
                <w:color w:val="000000"/>
                <w:sz w:val="18"/>
                <w:szCs w:val="18"/>
                <w:u w:val="none"/>
              </w:rPr>
            </w:pPr>
          </w:p>
        </w:tc>
      </w:tr>
      <w:tr w14:paraId="62148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59A41">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44301">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F0768">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菜品质量自查</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4303">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DBBDC">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出锅前全面自查，不合格菜品严禁出餐得6分；有自查但偶有不合格品流出得4-5分；无自查、问题菜品频出得0-3分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40EE8">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5082A">
            <w:pPr>
              <w:jc w:val="left"/>
              <w:rPr>
                <w:rFonts w:hint="eastAsia" w:ascii="微软雅黑" w:hAnsi="微软雅黑" w:eastAsia="微软雅黑" w:cs="微软雅黑"/>
                <w:i w:val="0"/>
                <w:iCs w:val="0"/>
                <w:color w:val="000000"/>
                <w:sz w:val="18"/>
                <w:szCs w:val="18"/>
                <w:u w:val="none"/>
              </w:rPr>
            </w:pPr>
          </w:p>
        </w:tc>
      </w:tr>
      <w:tr w14:paraId="7089D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5AEE0">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8</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36DDB4">
            <w:pPr>
              <w:keepNext w:val="0"/>
              <w:keepLines w:val="0"/>
              <w:widowControl/>
              <w:suppressLineNumbers w:val="0"/>
              <w:ind w:left="0" w:leftChars="0" w:firstLine="0" w:firstLineChars="0"/>
              <w:jc w:val="both"/>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食品安全与卫生管理标准</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2BBA3">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人员资质与个人卫生</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2C23C">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06AF8">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全员持证上岗，规范穿戴，个人卫生达标得6分；基本合规，个别人不规范得3-5分；无证上岗、卫生严重不达标得0-2分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9457F">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255DE">
            <w:pPr>
              <w:jc w:val="left"/>
              <w:rPr>
                <w:rFonts w:hint="eastAsia" w:ascii="微软雅黑" w:hAnsi="微软雅黑" w:eastAsia="微软雅黑" w:cs="微软雅黑"/>
                <w:i w:val="0"/>
                <w:iCs w:val="0"/>
                <w:color w:val="000000"/>
                <w:sz w:val="18"/>
                <w:szCs w:val="18"/>
                <w:u w:val="none"/>
              </w:rPr>
            </w:pPr>
          </w:p>
        </w:tc>
      </w:tr>
      <w:tr w14:paraId="0F9CA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349F">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0B2FC">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1E4B8">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后厨环境卫生</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1B6B">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66A20">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班前班后全面清洁，无卫生死角得6分；清洁基本到位，少量死角得3-5分；卫生脏乱、异味明显得0-2分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9AE80">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7E040">
            <w:pPr>
              <w:jc w:val="left"/>
              <w:rPr>
                <w:rFonts w:hint="eastAsia" w:ascii="微软雅黑" w:hAnsi="微软雅黑" w:eastAsia="微软雅黑" w:cs="微软雅黑"/>
                <w:i w:val="0"/>
                <w:iCs w:val="0"/>
                <w:color w:val="000000"/>
                <w:sz w:val="18"/>
                <w:szCs w:val="18"/>
                <w:u w:val="none"/>
              </w:rPr>
            </w:pPr>
          </w:p>
        </w:tc>
      </w:tr>
      <w:tr w14:paraId="19526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4A336">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53D0DA">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21176">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食品留样管理</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B4179">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64588">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每餐留样≥125g，冷藏48h以上，台账完整得6分；留样基本规范，偶有缺项得3-5分；留样不达标、无台账得0-2分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F552">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389FD">
            <w:pPr>
              <w:jc w:val="left"/>
              <w:rPr>
                <w:rFonts w:hint="eastAsia" w:ascii="微软雅黑" w:hAnsi="微软雅黑" w:eastAsia="微软雅黑" w:cs="微软雅黑"/>
                <w:i w:val="0"/>
                <w:iCs w:val="0"/>
                <w:color w:val="000000"/>
                <w:sz w:val="18"/>
                <w:szCs w:val="18"/>
                <w:u w:val="none"/>
              </w:rPr>
            </w:pPr>
          </w:p>
        </w:tc>
      </w:tr>
      <w:tr w14:paraId="61AB4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918E">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11</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9DE4B">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D2C71">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食材存放管理</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3355E">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D5A46">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离地离墙存放，冰箱定期清理，无过期变质食材得6分；存放基本规范，少量积压得3-5分；存放混乱、存在过期变质食材得0-2分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C90DD">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72BF8">
            <w:pPr>
              <w:jc w:val="left"/>
              <w:rPr>
                <w:rFonts w:hint="eastAsia" w:ascii="微软雅黑" w:hAnsi="微软雅黑" w:eastAsia="微软雅黑" w:cs="微软雅黑"/>
                <w:i w:val="0"/>
                <w:iCs w:val="0"/>
                <w:color w:val="000000"/>
                <w:sz w:val="18"/>
                <w:szCs w:val="18"/>
                <w:u w:val="none"/>
              </w:rPr>
            </w:pPr>
          </w:p>
        </w:tc>
      </w:tr>
      <w:tr w14:paraId="25D14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0C720">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12</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161406">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F8B5">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餐厨垃圾处理</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F5F84">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6</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A9AC8">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规范分类处理，后厨全天整洁无异味得6分；处理基本规范，偶有异味得3-5分；垃圾乱堆、异味严重得0-2分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0FD2B">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95D3">
            <w:pPr>
              <w:jc w:val="left"/>
              <w:rPr>
                <w:rFonts w:hint="eastAsia" w:ascii="微软雅黑" w:hAnsi="微软雅黑" w:eastAsia="微软雅黑" w:cs="微软雅黑"/>
                <w:i w:val="0"/>
                <w:iCs w:val="0"/>
                <w:color w:val="000000"/>
                <w:sz w:val="18"/>
                <w:szCs w:val="18"/>
                <w:u w:val="none"/>
              </w:rPr>
            </w:pPr>
          </w:p>
        </w:tc>
      </w:tr>
      <w:tr w14:paraId="559BA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2947">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13</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D3F5D1">
            <w:pPr>
              <w:keepNext w:val="0"/>
              <w:keepLines w:val="0"/>
              <w:widowControl/>
              <w:suppressLineNumbers w:val="0"/>
              <w:ind w:left="0" w:leftChars="0" w:firstLine="0" w:firstLineChars="0"/>
              <w:jc w:val="both"/>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设备运维与安全管理标准</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1638F">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设备规范操作</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3394">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F6CA">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全员规范操作，无违规操作、无安全事故得4分；基本规范，偶有不当操作得2-3分；违规操作频发、存在安全隐患得0-1分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12E22">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92E20">
            <w:pPr>
              <w:jc w:val="left"/>
              <w:rPr>
                <w:rFonts w:hint="eastAsia" w:ascii="微软雅黑" w:hAnsi="微软雅黑" w:eastAsia="微软雅黑" w:cs="微软雅黑"/>
                <w:i w:val="0"/>
                <w:iCs w:val="0"/>
                <w:color w:val="000000"/>
                <w:sz w:val="18"/>
                <w:szCs w:val="18"/>
                <w:u w:val="none"/>
              </w:rPr>
            </w:pPr>
          </w:p>
        </w:tc>
      </w:tr>
      <w:tr w14:paraId="4ABB3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0B1B7">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14</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FECE3">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DA3B9">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设备日常巡检</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62FA1">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15F3E">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每日班前班后检查，故障隐患及时上报得4分；有巡检但不够全面得2-3分；无巡检、故障隐瞒不报得0-1分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F5348">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096C2">
            <w:pPr>
              <w:jc w:val="left"/>
              <w:rPr>
                <w:rFonts w:hint="eastAsia" w:ascii="微软雅黑" w:hAnsi="微软雅黑" w:eastAsia="微软雅黑" w:cs="微软雅黑"/>
                <w:i w:val="0"/>
                <w:iCs w:val="0"/>
                <w:color w:val="000000"/>
                <w:sz w:val="18"/>
                <w:szCs w:val="18"/>
                <w:u w:val="none"/>
              </w:rPr>
            </w:pPr>
          </w:p>
        </w:tc>
      </w:tr>
      <w:tr w14:paraId="05A1F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49883">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15</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4564BD">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12AC">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厨具维护保养</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C848C">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9AD4">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使用后及时清洗擦干归位，定期保养得4分；保养基本到位得2-3分；厨具脏乱、无保养得0-1分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AD6B6">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E0AED">
            <w:pPr>
              <w:jc w:val="left"/>
              <w:rPr>
                <w:rFonts w:hint="eastAsia" w:ascii="微软雅黑" w:hAnsi="微软雅黑" w:eastAsia="微软雅黑" w:cs="微软雅黑"/>
                <w:i w:val="0"/>
                <w:iCs w:val="0"/>
                <w:color w:val="000000"/>
                <w:sz w:val="18"/>
                <w:szCs w:val="18"/>
                <w:u w:val="none"/>
              </w:rPr>
            </w:pPr>
          </w:p>
        </w:tc>
      </w:tr>
      <w:tr w14:paraId="5CBBD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4D730">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16</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296DA">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51BF3">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能源管理</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60BE3">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9AB7">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下班关闭总阀门，无长流水长明火得4分；基本做到节约能源得2-3分；能源浪费严重得0-1分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73255">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8A05">
            <w:pPr>
              <w:jc w:val="left"/>
              <w:rPr>
                <w:rFonts w:hint="eastAsia" w:ascii="微软雅黑" w:hAnsi="微软雅黑" w:eastAsia="微软雅黑" w:cs="微软雅黑"/>
                <w:i w:val="0"/>
                <w:iCs w:val="0"/>
                <w:color w:val="000000"/>
                <w:sz w:val="18"/>
                <w:szCs w:val="18"/>
                <w:u w:val="none"/>
              </w:rPr>
            </w:pPr>
          </w:p>
        </w:tc>
      </w:tr>
      <w:tr w14:paraId="3D4D4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0D92B">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17</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65844">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A1ABA">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应急处置能力</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44CBF">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C3CA2">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熟练掌握应急处置方法，熟悉消防器材，配合培训得4分；基本掌握应急知识得2-3分；不具备应急能力得0-1分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BFAE4">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16FD">
            <w:pPr>
              <w:jc w:val="left"/>
              <w:rPr>
                <w:rFonts w:hint="eastAsia" w:ascii="微软雅黑" w:hAnsi="微软雅黑" w:eastAsia="微软雅黑" w:cs="微软雅黑"/>
                <w:i w:val="0"/>
                <w:iCs w:val="0"/>
                <w:color w:val="000000"/>
                <w:sz w:val="18"/>
                <w:szCs w:val="18"/>
                <w:u w:val="none"/>
              </w:rPr>
            </w:pPr>
          </w:p>
        </w:tc>
      </w:tr>
      <w:tr w14:paraId="68D00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0DF4C">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18</w:t>
            </w:r>
          </w:p>
        </w:tc>
        <w:tc>
          <w:tcPr>
            <w:tcW w:w="12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C97FE6">
            <w:pPr>
              <w:keepNext w:val="0"/>
              <w:keepLines w:val="0"/>
              <w:widowControl/>
              <w:suppressLineNumbers w:val="0"/>
              <w:ind w:left="0" w:leftChars="0" w:firstLine="0" w:firstLineChars="0"/>
              <w:jc w:val="both"/>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日常工作全流程标准</w:t>
            </w: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E217">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班前准备</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B49C9">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AB5AC">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提前1小时到岗，完成晨检、备料、熬制等全部准备工作得4分；基本完成准备工作，偶有延误得2-3分；准备不充分、影响开餐得0-1分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F5144">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F5290">
            <w:pPr>
              <w:jc w:val="left"/>
              <w:rPr>
                <w:rFonts w:hint="eastAsia" w:ascii="微软雅黑" w:hAnsi="微软雅黑" w:eastAsia="微软雅黑" w:cs="微软雅黑"/>
                <w:i w:val="0"/>
                <w:iCs w:val="0"/>
                <w:color w:val="000000"/>
                <w:sz w:val="18"/>
                <w:szCs w:val="18"/>
                <w:u w:val="none"/>
              </w:rPr>
            </w:pPr>
          </w:p>
        </w:tc>
      </w:tr>
      <w:tr w14:paraId="7C75D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44F18">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19</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A9196">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47ABA">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餐中管控</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CF836">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7BC05">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出餐有序，随时清洁，同步留样及现场管控得4分；餐中管理基本到位得2-3分；餐中混乱、管控缺失得0-1分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F40B">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2C13">
            <w:pPr>
              <w:jc w:val="left"/>
              <w:rPr>
                <w:rFonts w:hint="eastAsia" w:ascii="微软雅黑" w:hAnsi="微软雅黑" w:eastAsia="微软雅黑" w:cs="微软雅黑"/>
                <w:i w:val="0"/>
                <w:iCs w:val="0"/>
                <w:color w:val="000000"/>
                <w:sz w:val="18"/>
                <w:szCs w:val="18"/>
                <w:u w:val="none"/>
              </w:rPr>
            </w:pPr>
          </w:p>
        </w:tc>
      </w:tr>
      <w:tr w14:paraId="3EE75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86" w:hRule="atLeast"/>
          <w:jc w:val="center"/>
        </w:trPr>
        <w:tc>
          <w:tcPr>
            <w:tcW w:w="6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A0CE0">
            <w:pPr>
              <w:keepNext w:val="0"/>
              <w:keepLines w:val="0"/>
              <w:widowControl/>
              <w:suppressLineNumbers w:val="0"/>
              <w:ind w:left="0" w:leftChars="0" w:firstLine="0" w:firstLineChars="0"/>
              <w:jc w:val="center"/>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20</w:t>
            </w:r>
          </w:p>
        </w:tc>
        <w:tc>
          <w:tcPr>
            <w:tcW w:w="12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F2EBB">
            <w:pPr>
              <w:jc w:val="center"/>
              <w:rPr>
                <w:rFonts w:hint="eastAsia" w:ascii="微软雅黑" w:hAnsi="微软雅黑" w:eastAsia="微软雅黑" w:cs="微软雅黑"/>
                <w:b/>
                <w:bCs/>
                <w:i w:val="0"/>
                <w:iCs w:val="0"/>
                <w:color w:val="000000"/>
                <w:sz w:val="18"/>
                <w:szCs w:val="18"/>
                <w:u w:val="none"/>
              </w:rPr>
            </w:pPr>
          </w:p>
        </w:tc>
        <w:tc>
          <w:tcPr>
            <w:tcW w:w="15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E5D6">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班后收尾</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453E1">
            <w:pPr>
              <w:keepNext w:val="0"/>
              <w:keepLines w:val="0"/>
              <w:widowControl/>
              <w:suppressLineNumbers w:val="0"/>
              <w:jc w:val="both"/>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4</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C1A75">
            <w:pPr>
              <w:keepNext w:val="0"/>
              <w:keepLines w:val="0"/>
              <w:widowControl/>
              <w:suppressLineNumbers w:val="0"/>
              <w:ind w:left="0" w:leftChars="0" w:firstLine="0" w:firstLineChars="0"/>
              <w:jc w:val="left"/>
              <w:textAlignment w:val="center"/>
              <w:rPr>
                <w:rFonts w:hint="eastAsia" w:ascii="微软雅黑" w:hAnsi="微软雅黑" w:eastAsia="微软雅黑" w:cs="微软雅黑"/>
                <w:i w:val="0"/>
                <w:iCs w:val="0"/>
                <w:color w:val="000000"/>
                <w:sz w:val="18"/>
                <w:szCs w:val="18"/>
                <w:u w:val="none"/>
              </w:rPr>
            </w:pPr>
            <w:r>
              <w:rPr>
                <w:rFonts w:hint="eastAsia" w:ascii="微软雅黑" w:hAnsi="微软雅黑" w:eastAsia="微软雅黑" w:cs="微软雅黑"/>
                <w:i w:val="0"/>
                <w:iCs w:val="0"/>
                <w:snapToGrid w:val="0"/>
                <w:color w:val="000000"/>
                <w:kern w:val="0"/>
                <w:sz w:val="18"/>
                <w:szCs w:val="18"/>
                <w:u w:val="none"/>
                <w:lang w:val="en-US" w:eastAsia="zh-CN" w:bidi="ar"/>
              </w:rPr>
              <w:t>完成食材密封冷藏、全域清洁消杀、设备归位4分；基本完成收尾工作得2-3分；收尾不彻底、遗留问题多得0-1分</w:t>
            </w: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5BDC3">
            <w:pPr>
              <w:jc w:val="center"/>
              <w:rPr>
                <w:rFonts w:hint="eastAsia" w:ascii="微软雅黑" w:hAnsi="微软雅黑" w:eastAsia="微软雅黑" w:cs="微软雅黑"/>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30AD4">
            <w:pPr>
              <w:jc w:val="left"/>
              <w:rPr>
                <w:rFonts w:hint="eastAsia" w:ascii="微软雅黑" w:hAnsi="微软雅黑" w:eastAsia="微软雅黑" w:cs="微软雅黑"/>
                <w:i w:val="0"/>
                <w:iCs w:val="0"/>
                <w:color w:val="000000"/>
                <w:sz w:val="18"/>
                <w:szCs w:val="18"/>
                <w:u w:val="none"/>
              </w:rPr>
            </w:pPr>
          </w:p>
        </w:tc>
      </w:tr>
      <w:tr w14:paraId="7D693D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4" w:hRule="atLeast"/>
          <w:jc w:val="center"/>
        </w:trPr>
        <w:tc>
          <w:tcPr>
            <w:tcW w:w="35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B0D3AE4">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合  计</w:t>
            </w:r>
          </w:p>
        </w:tc>
        <w:tc>
          <w:tcPr>
            <w:tcW w:w="100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3CD60">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snapToGrid w:val="0"/>
                <w:color w:val="000000"/>
                <w:kern w:val="0"/>
                <w:sz w:val="18"/>
                <w:szCs w:val="18"/>
                <w:u w:val="none"/>
                <w:lang w:val="en-US" w:eastAsia="zh-CN" w:bidi="ar"/>
              </w:rPr>
              <w:t>100</w:t>
            </w:r>
          </w:p>
        </w:tc>
        <w:tc>
          <w:tcPr>
            <w:tcW w:w="29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5A096">
            <w:pPr>
              <w:jc w:val="center"/>
              <w:rPr>
                <w:rFonts w:hint="eastAsia" w:ascii="微软雅黑" w:hAnsi="微软雅黑" w:eastAsia="微软雅黑" w:cs="微软雅黑"/>
                <w:b/>
                <w:bCs/>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DC62C">
            <w:pPr>
              <w:jc w:val="center"/>
              <w:rPr>
                <w:rFonts w:hint="eastAsia" w:ascii="微软雅黑" w:hAnsi="微软雅黑" w:eastAsia="微软雅黑" w:cs="微软雅黑"/>
                <w:b/>
                <w:bCs/>
                <w:i w:val="0"/>
                <w:iCs w:val="0"/>
                <w:color w:val="000000"/>
                <w:sz w:val="18"/>
                <w:szCs w:val="18"/>
                <w:u w:val="none"/>
              </w:rPr>
            </w:pPr>
          </w:p>
        </w:tc>
        <w:tc>
          <w:tcPr>
            <w:tcW w:w="8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9899">
            <w:pPr>
              <w:jc w:val="center"/>
              <w:rPr>
                <w:rFonts w:hint="eastAsia" w:ascii="微软雅黑" w:hAnsi="微软雅黑" w:eastAsia="微软雅黑" w:cs="微软雅黑"/>
                <w:b/>
                <w:bCs/>
                <w:i w:val="0"/>
                <w:iCs w:val="0"/>
                <w:color w:val="000000"/>
                <w:sz w:val="18"/>
                <w:szCs w:val="18"/>
                <w:u w:val="none"/>
              </w:rPr>
            </w:pPr>
          </w:p>
        </w:tc>
      </w:tr>
    </w:tbl>
    <w:p w14:paraId="7902222A">
      <w:pPr>
        <w:shd w:val="clear" w:color="auto" w:fill="FFFFFF"/>
        <w:ind w:left="0" w:leftChars="0" w:firstLine="0" w:firstLineChars="0"/>
        <w:jc w:val="left"/>
        <w:rPr>
          <w:rFonts w:hint="eastAsia" w:ascii="宋体" w:hAnsi="宋体" w:cs="Calibri"/>
          <w:b w:val="0"/>
          <w:bCs w:val="0"/>
          <w:color w:val="auto"/>
          <w:sz w:val="21"/>
          <w:szCs w:val="21"/>
          <w:highlight w:val="none"/>
        </w:rPr>
      </w:pPr>
    </w:p>
    <w:p w14:paraId="0B7835FC">
      <w:pPr>
        <w:shd w:val="clear" w:color="auto" w:fill="FFFFFF"/>
        <w:ind w:left="0" w:leftChars="0" w:firstLine="420" w:firstLineChars="200"/>
        <w:jc w:val="left"/>
        <w:rPr>
          <w:rFonts w:ascii="宋体" w:hAnsi="宋体" w:cs="Calibri"/>
          <w:b/>
          <w:bCs/>
          <w:color w:val="auto"/>
          <w:sz w:val="32"/>
          <w:szCs w:val="32"/>
          <w:highlight w:val="none"/>
          <w:u w:color="000000"/>
        </w:rPr>
      </w:pPr>
      <w:r>
        <w:rPr>
          <w:rFonts w:hint="eastAsia" w:ascii="宋体" w:hAnsi="宋体" w:cs="Calibri"/>
          <w:b w:val="0"/>
          <w:bCs w:val="0"/>
          <w:color w:val="auto"/>
          <w:sz w:val="21"/>
          <w:szCs w:val="21"/>
          <w:highlight w:val="none"/>
        </w:rPr>
        <w:t>备注：本表作为服务商履约考核的依据，履约评价分为优秀、良好、合格、不合格四个等级，其中评价得分在90（含）-100分者为优秀，80（含）-90分者为良好，60（含）-80分者为合格，60分以下者为不合格。</w:t>
      </w:r>
      <w:r>
        <w:rPr>
          <w:rFonts w:ascii="宋体" w:hAnsi="宋体" w:cs="Calibri"/>
          <w:b/>
          <w:bCs/>
          <w:color w:val="auto"/>
          <w:sz w:val="32"/>
          <w:szCs w:val="32"/>
          <w:highlight w:val="none"/>
          <w:u w:color="000000"/>
        </w:rPr>
        <w:br w:type="page"/>
      </w:r>
      <w:r>
        <w:rPr>
          <w:rFonts w:hint="eastAsia" w:ascii="宋体" w:hAnsi="宋体" w:eastAsia="宋体" w:cs="Calibri"/>
          <w:color w:val="auto"/>
          <w:szCs w:val="21"/>
          <w:highlight w:val="none"/>
          <w:u w:color="000000"/>
        </w:rPr>
        <w:t>附件</w:t>
      </w:r>
      <w:r>
        <w:rPr>
          <w:rFonts w:hint="eastAsia" w:ascii="宋体" w:hAnsi="宋体" w:cs="Calibri"/>
          <w:color w:val="auto"/>
          <w:szCs w:val="21"/>
          <w:highlight w:val="none"/>
          <w:u w:color="000000"/>
          <w:lang w:val="en-US" w:eastAsia="zh-CN"/>
        </w:rPr>
        <w:t>二</w:t>
      </w:r>
      <w:r>
        <w:rPr>
          <w:rFonts w:hint="eastAsia" w:ascii="宋体" w:hAnsi="宋体" w:eastAsia="宋体" w:cs="Calibri"/>
          <w:color w:val="auto"/>
          <w:szCs w:val="21"/>
          <w:highlight w:val="none"/>
          <w:u w:color="000000"/>
        </w:rPr>
        <w:t>：甲乙双方承担费用明细表</w:t>
      </w:r>
    </w:p>
    <w:p w14:paraId="2E171889">
      <w:pPr>
        <w:spacing w:line="480" w:lineRule="auto"/>
        <w:ind w:firstLine="0" w:firstLineChars="0"/>
        <w:jc w:val="center"/>
        <w:rPr>
          <w:rFonts w:ascii="仿宋" w:hAnsi="仿宋" w:eastAsia="仿宋" w:cs="Calibri"/>
          <w:b/>
          <w:bCs/>
          <w:color w:val="auto"/>
          <w:sz w:val="32"/>
          <w:szCs w:val="32"/>
          <w:highlight w:val="none"/>
          <w:u w:color="000000"/>
        </w:rPr>
      </w:pPr>
      <w:bookmarkStart w:id="378" w:name="OLE_LINK3"/>
      <w:r>
        <w:rPr>
          <w:rFonts w:hint="eastAsia" w:ascii="宋体" w:hAnsi="宋体" w:cs="Calibri"/>
          <w:b/>
          <w:bCs/>
          <w:color w:val="auto"/>
          <w:sz w:val="32"/>
          <w:szCs w:val="32"/>
          <w:highlight w:val="none"/>
          <w:u w:color="000000"/>
        </w:rPr>
        <w:t>甲乙双方承担费用明细表</w:t>
      </w:r>
    </w:p>
    <w:bookmarkEnd w:id="378"/>
    <w:tbl>
      <w:tblPr>
        <w:tblStyle w:val="51"/>
        <w:tblW w:w="0" w:type="auto"/>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Layout w:type="fixed"/>
        <w:tblCellMar>
          <w:top w:w="0" w:type="dxa"/>
          <w:left w:w="0" w:type="dxa"/>
          <w:bottom w:w="0" w:type="dxa"/>
          <w:right w:w="0" w:type="dxa"/>
        </w:tblCellMar>
      </w:tblPr>
      <w:tblGrid>
        <w:gridCol w:w="907"/>
        <w:gridCol w:w="4003"/>
        <w:gridCol w:w="1701"/>
        <w:gridCol w:w="1756"/>
      </w:tblGrid>
      <w:tr w14:paraId="2003DBD5">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C4288DE">
            <w:pPr>
              <w:ind w:firstLine="0" w:firstLineChars="0"/>
              <w:jc w:val="center"/>
              <w:rPr>
                <w:rFonts w:ascii="Calibri" w:hAnsi="Calibri" w:cs="Calibri"/>
                <w:color w:val="auto"/>
                <w:highlight w:val="none"/>
                <w:u w:color="000000"/>
              </w:rPr>
            </w:pPr>
            <w:r>
              <w:rPr>
                <w:rFonts w:hint="eastAsia" w:ascii="宋体" w:hAnsi="宋体" w:cs="Calibri"/>
                <w:b/>
                <w:bCs/>
                <w:color w:val="auto"/>
                <w:kern w:val="0"/>
                <w:sz w:val="22"/>
                <w:szCs w:val="22"/>
                <w:highlight w:val="none"/>
                <w:u w:color="000000"/>
              </w:rPr>
              <w:t>序号</w:t>
            </w:r>
          </w:p>
        </w:tc>
        <w:tc>
          <w:tcPr>
            <w:tcW w:w="4003" w:type="dxa"/>
            <w:tcBorders>
              <w:top w:val="single" w:color="000000" w:sz="4" w:space="0"/>
              <w:left w:val="nil"/>
              <w:bottom w:val="single" w:color="000000" w:sz="4" w:space="0"/>
              <w:right w:val="single" w:color="000000" w:sz="4" w:space="0"/>
            </w:tcBorders>
            <w:vAlign w:val="center"/>
          </w:tcPr>
          <w:p w14:paraId="67C7E672">
            <w:pPr>
              <w:ind w:firstLine="0" w:firstLineChars="0"/>
              <w:jc w:val="center"/>
              <w:rPr>
                <w:rFonts w:ascii="Calibri" w:hAnsi="Calibri" w:cs="Calibri"/>
                <w:color w:val="auto"/>
                <w:highlight w:val="none"/>
                <w:u w:color="000000"/>
              </w:rPr>
            </w:pPr>
            <w:r>
              <w:rPr>
                <w:rFonts w:hint="eastAsia" w:ascii="宋体" w:hAnsi="宋体" w:cs="Calibri"/>
                <w:b/>
                <w:bCs/>
                <w:color w:val="auto"/>
                <w:kern w:val="0"/>
                <w:sz w:val="22"/>
                <w:szCs w:val="22"/>
                <w:highlight w:val="none"/>
                <w:u w:color="000000"/>
              </w:rPr>
              <w:t>费用内容</w:t>
            </w:r>
          </w:p>
        </w:tc>
        <w:tc>
          <w:tcPr>
            <w:tcW w:w="1701" w:type="dxa"/>
            <w:tcBorders>
              <w:top w:val="single" w:color="000000" w:sz="4" w:space="0"/>
              <w:left w:val="nil"/>
              <w:bottom w:val="single" w:color="000000" w:sz="4" w:space="0"/>
              <w:right w:val="single" w:color="000000" w:sz="4" w:space="0"/>
            </w:tcBorders>
            <w:vAlign w:val="center"/>
          </w:tcPr>
          <w:p w14:paraId="41B144BA">
            <w:pPr>
              <w:ind w:firstLine="0" w:firstLineChars="0"/>
              <w:jc w:val="center"/>
              <w:rPr>
                <w:rFonts w:ascii="Calibri" w:hAnsi="Calibri" w:cs="Calibri"/>
                <w:color w:val="auto"/>
                <w:highlight w:val="none"/>
                <w:u w:color="000000"/>
              </w:rPr>
            </w:pPr>
            <w:r>
              <w:rPr>
                <w:rFonts w:hint="eastAsia" w:ascii="宋体" w:hAnsi="宋体" w:cs="Calibri"/>
                <w:b/>
                <w:bCs/>
                <w:color w:val="auto"/>
                <w:kern w:val="0"/>
                <w:sz w:val="22"/>
                <w:szCs w:val="22"/>
                <w:highlight w:val="none"/>
                <w:u w:color="000000"/>
                <w:lang w:val="en-US" w:eastAsia="zh-CN"/>
              </w:rPr>
              <w:t>甲方</w:t>
            </w:r>
            <w:r>
              <w:rPr>
                <w:rFonts w:hint="eastAsia" w:ascii="宋体" w:hAnsi="宋体" w:cs="Calibri"/>
                <w:b/>
                <w:bCs/>
                <w:color w:val="auto"/>
                <w:kern w:val="0"/>
                <w:sz w:val="22"/>
                <w:szCs w:val="22"/>
                <w:highlight w:val="none"/>
                <w:u w:color="000000"/>
              </w:rPr>
              <w:t>负责</w:t>
            </w:r>
          </w:p>
        </w:tc>
        <w:tc>
          <w:tcPr>
            <w:tcW w:w="1756" w:type="dxa"/>
            <w:tcBorders>
              <w:top w:val="single" w:color="000000" w:sz="4" w:space="0"/>
              <w:left w:val="nil"/>
              <w:bottom w:val="single" w:color="000000" w:sz="4" w:space="0"/>
              <w:right w:val="single" w:color="000000" w:sz="4" w:space="0"/>
            </w:tcBorders>
            <w:vAlign w:val="center"/>
          </w:tcPr>
          <w:p w14:paraId="30954CA2">
            <w:pPr>
              <w:ind w:firstLine="0" w:firstLineChars="0"/>
              <w:jc w:val="center"/>
              <w:rPr>
                <w:rFonts w:ascii="Calibri" w:hAnsi="Calibri" w:cs="Calibri"/>
                <w:color w:val="auto"/>
                <w:highlight w:val="none"/>
                <w:u w:color="000000"/>
              </w:rPr>
            </w:pPr>
            <w:r>
              <w:rPr>
                <w:rFonts w:hint="eastAsia" w:ascii="宋体" w:hAnsi="宋体" w:cs="Calibri"/>
                <w:b/>
                <w:bCs/>
                <w:color w:val="auto"/>
                <w:kern w:val="0"/>
                <w:sz w:val="22"/>
                <w:szCs w:val="22"/>
                <w:highlight w:val="none"/>
                <w:u w:color="000000"/>
              </w:rPr>
              <w:t>服务方负责</w:t>
            </w:r>
          </w:p>
        </w:tc>
      </w:tr>
      <w:tr w14:paraId="101CD1A6">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3"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7208DA6">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1</w:t>
            </w:r>
          </w:p>
        </w:tc>
        <w:tc>
          <w:tcPr>
            <w:tcW w:w="4003" w:type="dxa"/>
            <w:tcBorders>
              <w:top w:val="single" w:color="000000" w:sz="4" w:space="0"/>
              <w:left w:val="nil"/>
              <w:bottom w:val="single" w:color="000000" w:sz="4" w:space="0"/>
              <w:right w:val="single" w:color="000000" w:sz="4" w:space="0"/>
            </w:tcBorders>
            <w:vAlign w:val="center"/>
          </w:tcPr>
          <w:p w14:paraId="1817BF56">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食品原材料</w:t>
            </w:r>
          </w:p>
        </w:tc>
        <w:tc>
          <w:tcPr>
            <w:tcW w:w="1701" w:type="dxa"/>
            <w:tcBorders>
              <w:top w:val="single" w:color="000000" w:sz="4" w:space="0"/>
              <w:left w:val="nil"/>
              <w:bottom w:val="single" w:color="000000" w:sz="4" w:space="0"/>
              <w:right w:val="single" w:color="000000" w:sz="4" w:space="0"/>
            </w:tcBorders>
            <w:vAlign w:val="center"/>
          </w:tcPr>
          <w:p w14:paraId="0931E932">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0AA951DE">
            <w:pPr>
              <w:ind w:firstLine="0" w:firstLineChars="0"/>
              <w:jc w:val="left"/>
              <w:rPr>
                <w:color w:val="auto"/>
                <w:highlight w:val="none"/>
              </w:rPr>
            </w:pPr>
          </w:p>
        </w:tc>
      </w:tr>
      <w:tr w14:paraId="5B8B67D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5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DCF7E2A">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2</w:t>
            </w:r>
          </w:p>
        </w:tc>
        <w:tc>
          <w:tcPr>
            <w:tcW w:w="4003" w:type="dxa"/>
            <w:tcBorders>
              <w:top w:val="single" w:color="000000" w:sz="4" w:space="0"/>
              <w:left w:val="nil"/>
              <w:bottom w:val="single" w:color="000000" w:sz="4" w:space="0"/>
              <w:right w:val="single" w:color="000000" w:sz="4" w:space="0"/>
            </w:tcBorders>
            <w:vAlign w:val="center"/>
          </w:tcPr>
          <w:p w14:paraId="597EA8DB">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水电燃气等能源费用</w:t>
            </w:r>
          </w:p>
        </w:tc>
        <w:tc>
          <w:tcPr>
            <w:tcW w:w="1701" w:type="dxa"/>
            <w:tcBorders>
              <w:top w:val="single" w:color="000000" w:sz="4" w:space="0"/>
              <w:left w:val="nil"/>
              <w:bottom w:val="single" w:color="000000" w:sz="4" w:space="0"/>
              <w:right w:val="single" w:color="000000" w:sz="4" w:space="0"/>
            </w:tcBorders>
            <w:vAlign w:val="center"/>
          </w:tcPr>
          <w:p w14:paraId="5B0B2DF2">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1D888C19">
            <w:pPr>
              <w:ind w:firstLine="0" w:firstLineChars="0"/>
              <w:jc w:val="left"/>
              <w:rPr>
                <w:color w:val="auto"/>
                <w:highlight w:val="none"/>
              </w:rPr>
            </w:pPr>
          </w:p>
        </w:tc>
      </w:tr>
      <w:tr w14:paraId="4A925F6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4"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00A212B">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3</w:t>
            </w:r>
          </w:p>
        </w:tc>
        <w:tc>
          <w:tcPr>
            <w:tcW w:w="4003" w:type="dxa"/>
            <w:tcBorders>
              <w:top w:val="single" w:color="000000" w:sz="4" w:space="0"/>
              <w:left w:val="nil"/>
              <w:bottom w:val="single" w:color="000000" w:sz="4" w:space="0"/>
              <w:right w:val="single" w:color="000000" w:sz="4" w:space="0"/>
            </w:tcBorders>
            <w:vAlign w:val="center"/>
          </w:tcPr>
          <w:p w14:paraId="1BE76BCA">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餐厅装饰装修及形象展示</w:t>
            </w:r>
          </w:p>
        </w:tc>
        <w:tc>
          <w:tcPr>
            <w:tcW w:w="1701" w:type="dxa"/>
            <w:tcBorders>
              <w:top w:val="single" w:color="000000" w:sz="4" w:space="0"/>
              <w:left w:val="nil"/>
              <w:bottom w:val="single" w:color="000000" w:sz="4" w:space="0"/>
              <w:right w:val="single" w:color="000000" w:sz="4" w:space="0"/>
            </w:tcBorders>
            <w:vAlign w:val="center"/>
          </w:tcPr>
          <w:p w14:paraId="63380F4C">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4F189C32">
            <w:pPr>
              <w:ind w:firstLine="0" w:firstLineChars="0"/>
              <w:rPr>
                <w:rFonts w:ascii="Calibri" w:hAnsi="Calibri" w:cs="Calibri"/>
                <w:color w:val="auto"/>
                <w:highlight w:val="none"/>
                <w:u w:color="000000"/>
              </w:rPr>
            </w:pPr>
            <w:r>
              <w:rPr>
                <w:rFonts w:hint="eastAsia" w:ascii="宋体" w:hAnsi="宋体" w:cs="Calibri"/>
                <w:color w:val="auto"/>
                <w:kern w:val="0"/>
                <w:sz w:val="22"/>
                <w:szCs w:val="22"/>
                <w:highlight w:val="none"/>
                <w:u w:color="000000"/>
              </w:rPr>
              <w:t>　</w:t>
            </w:r>
          </w:p>
        </w:tc>
      </w:tr>
      <w:tr w14:paraId="6893F167">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6"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F7A4364">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4</w:t>
            </w:r>
          </w:p>
        </w:tc>
        <w:tc>
          <w:tcPr>
            <w:tcW w:w="4003" w:type="dxa"/>
            <w:tcBorders>
              <w:top w:val="single" w:color="000000" w:sz="4" w:space="0"/>
              <w:left w:val="nil"/>
              <w:bottom w:val="single" w:color="000000" w:sz="4" w:space="0"/>
              <w:right w:val="single" w:color="000000" w:sz="4" w:space="0"/>
            </w:tcBorders>
            <w:vAlign w:val="center"/>
          </w:tcPr>
          <w:p w14:paraId="08BE78C6">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餐厨具及物料损耗（含低值易耗品）</w:t>
            </w:r>
          </w:p>
        </w:tc>
        <w:tc>
          <w:tcPr>
            <w:tcW w:w="1701" w:type="dxa"/>
            <w:tcBorders>
              <w:top w:val="single" w:color="000000" w:sz="4" w:space="0"/>
              <w:left w:val="nil"/>
              <w:bottom w:val="single" w:color="000000" w:sz="4" w:space="0"/>
              <w:right w:val="single" w:color="000000" w:sz="4" w:space="0"/>
            </w:tcBorders>
            <w:vAlign w:val="center"/>
          </w:tcPr>
          <w:p w14:paraId="0C58FA46">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2852D758">
            <w:pPr>
              <w:ind w:firstLine="0" w:firstLineChars="0"/>
              <w:rPr>
                <w:rFonts w:ascii="Calibri" w:hAnsi="Calibri" w:cs="Calibri"/>
                <w:color w:val="auto"/>
                <w:highlight w:val="none"/>
                <w:u w:color="000000"/>
              </w:rPr>
            </w:pPr>
            <w:r>
              <w:rPr>
                <w:rFonts w:hint="eastAsia" w:ascii="宋体" w:hAnsi="宋体" w:cs="Calibri"/>
                <w:color w:val="auto"/>
                <w:kern w:val="0"/>
                <w:sz w:val="22"/>
                <w:szCs w:val="22"/>
                <w:highlight w:val="none"/>
                <w:u w:color="000000"/>
              </w:rPr>
              <w:t>　</w:t>
            </w:r>
          </w:p>
        </w:tc>
      </w:tr>
      <w:tr w14:paraId="64CE5EF3">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DDCF9DA">
            <w:pPr>
              <w:ind w:firstLine="0" w:firstLineChars="0"/>
              <w:jc w:val="center"/>
              <w:rPr>
                <w:rFonts w:ascii="Calibri" w:hAnsi="Calibri" w:cs="Calibri"/>
                <w:color w:val="auto"/>
                <w:highlight w:val="none"/>
                <w:u w:color="000000"/>
              </w:rPr>
            </w:pPr>
            <w:bookmarkStart w:id="379" w:name="auto_fouce_51"/>
            <w:r>
              <w:rPr>
                <w:rFonts w:hint="eastAsia" w:ascii="华文宋体" w:hAnsi="华文宋体" w:eastAsia="华文宋体" w:cs="Calibri"/>
                <w:color w:val="auto"/>
                <w:kern w:val="0"/>
                <w:sz w:val="22"/>
                <w:szCs w:val="22"/>
                <w:highlight w:val="none"/>
                <w:u w:color="000000"/>
              </w:rPr>
              <w:t>5</w:t>
            </w:r>
          </w:p>
        </w:tc>
        <w:tc>
          <w:tcPr>
            <w:tcW w:w="4003" w:type="dxa"/>
            <w:tcBorders>
              <w:top w:val="single" w:color="000000" w:sz="4" w:space="0"/>
              <w:left w:val="nil"/>
              <w:bottom w:val="single" w:color="000000" w:sz="4" w:space="0"/>
              <w:right w:val="single" w:color="000000" w:sz="4" w:space="0"/>
            </w:tcBorders>
            <w:vAlign w:val="center"/>
          </w:tcPr>
          <w:p w14:paraId="75E1D9D6">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清洁</w:t>
            </w:r>
          </w:p>
        </w:tc>
        <w:tc>
          <w:tcPr>
            <w:tcW w:w="1701" w:type="dxa"/>
            <w:tcBorders>
              <w:top w:val="single" w:color="000000" w:sz="4" w:space="0"/>
              <w:left w:val="nil"/>
              <w:bottom w:val="single" w:color="000000" w:sz="4" w:space="0"/>
              <w:right w:val="single" w:color="000000" w:sz="4" w:space="0"/>
            </w:tcBorders>
            <w:vAlign w:val="center"/>
          </w:tcPr>
          <w:p w14:paraId="7416E8A5">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38E709B3">
            <w:pPr>
              <w:ind w:firstLine="0" w:firstLineChars="0"/>
              <w:rPr>
                <w:rFonts w:ascii="Calibri" w:hAnsi="Calibri" w:cs="Calibri"/>
                <w:color w:val="auto"/>
                <w:highlight w:val="none"/>
                <w:u w:color="000000"/>
              </w:rPr>
            </w:pPr>
            <w:r>
              <w:rPr>
                <w:rFonts w:hint="eastAsia" w:ascii="宋体" w:hAnsi="宋体" w:cs="Calibri"/>
                <w:color w:val="auto"/>
                <w:kern w:val="0"/>
                <w:sz w:val="22"/>
                <w:szCs w:val="22"/>
                <w:highlight w:val="none"/>
                <w:u w:color="000000"/>
              </w:rPr>
              <w:t>　</w:t>
            </w:r>
          </w:p>
        </w:tc>
      </w:tr>
      <w:tr w14:paraId="7071CA8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C2C013E">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6</w:t>
            </w:r>
          </w:p>
        </w:tc>
        <w:tc>
          <w:tcPr>
            <w:tcW w:w="4003" w:type="dxa"/>
            <w:tcBorders>
              <w:top w:val="single" w:color="000000" w:sz="4" w:space="0"/>
              <w:left w:val="nil"/>
              <w:bottom w:val="single" w:color="000000" w:sz="4" w:space="0"/>
              <w:right w:val="single" w:color="000000" w:sz="4" w:space="0"/>
            </w:tcBorders>
            <w:vAlign w:val="center"/>
          </w:tcPr>
          <w:p w14:paraId="36369CCF">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办公场地及用品</w:t>
            </w:r>
          </w:p>
        </w:tc>
        <w:tc>
          <w:tcPr>
            <w:tcW w:w="1701" w:type="dxa"/>
            <w:tcBorders>
              <w:top w:val="single" w:color="000000" w:sz="4" w:space="0"/>
              <w:left w:val="nil"/>
              <w:bottom w:val="single" w:color="000000" w:sz="4" w:space="0"/>
              <w:right w:val="single" w:color="000000" w:sz="4" w:space="0"/>
            </w:tcBorders>
            <w:vAlign w:val="center"/>
          </w:tcPr>
          <w:p w14:paraId="4834C1AC">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31BCCA87">
            <w:pPr>
              <w:ind w:firstLine="0" w:firstLineChars="0"/>
              <w:rPr>
                <w:rFonts w:ascii="Calibri" w:hAnsi="Calibri" w:cs="Calibri"/>
                <w:color w:val="auto"/>
                <w:highlight w:val="none"/>
                <w:u w:color="000000"/>
              </w:rPr>
            </w:pPr>
            <w:r>
              <w:rPr>
                <w:rFonts w:hint="eastAsia" w:ascii="宋体" w:hAnsi="宋体" w:cs="Calibri"/>
                <w:color w:val="auto"/>
                <w:kern w:val="0"/>
                <w:sz w:val="22"/>
                <w:szCs w:val="22"/>
                <w:highlight w:val="none"/>
                <w:u w:color="000000"/>
              </w:rPr>
              <w:t>　</w:t>
            </w:r>
          </w:p>
        </w:tc>
      </w:tr>
      <w:bookmarkEnd w:id="379"/>
      <w:tr w14:paraId="1722B6F2">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3F46BB55">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7</w:t>
            </w:r>
          </w:p>
        </w:tc>
        <w:tc>
          <w:tcPr>
            <w:tcW w:w="4003" w:type="dxa"/>
            <w:tcBorders>
              <w:top w:val="single" w:color="000000" w:sz="4" w:space="0"/>
              <w:left w:val="nil"/>
              <w:bottom w:val="single" w:color="000000" w:sz="4" w:space="0"/>
              <w:right w:val="single" w:color="000000" w:sz="4" w:space="0"/>
            </w:tcBorders>
            <w:vAlign w:val="center"/>
          </w:tcPr>
          <w:p w14:paraId="7FA80628">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采购及物流费用</w:t>
            </w:r>
          </w:p>
        </w:tc>
        <w:tc>
          <w:tcPr>
            <w:tcW w:w="1701" w:type="dxa"/>
            <w:tcBorders>
              <w:top w:val="single" w:color="000000" w:sz="4" w:space="0"/>
              <w:left w:val="nil"/>
              <w:bottom w:val="single" w:color="000000" w:sz="4" w:space="0"/>
              <w:right w:val="single" w:color="000000" w:sz="4" w:space="0"/>
            </w:tcBorders>
            <w:vAlign w:val="center"/>
          </w:tcPr>
          <w:p w14:paraId="76F3E9D3">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3264E1C7">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　</w:t>
            </w:r>
          </w:p>
        </w:tc>
      </w:tr>
      <w:tr w14:paraId="718E3C9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5A8E8F0">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9</w:t>
            </w:r>
          </w:p>
        </w:tc>
        <w:tc>
          <w:tcPr>
            <w:tcW w:w="4003" w:type="dxa"/>
            <w:tcBorders>
              <w:top w:val="single" w:color="000000" w:sz="4" w:space="0"/>
              <w:left w:val="nil"/>
              <w:bottom w:val="single" w:color="000000" w:sz="4" w:space="0"/>
              <w:right w:val="single" w:color="000000" w:sz="4" w:space="0"/>
            </w:tcBorders>
            <w:vAlign w:val="center"/>
          </w:tcPr>
          <w:p w14:paraId="1F699102">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员工住宿</w:t>
            </w:r>
          </w:p>
        </w:tc>
        <w:tc>
          <w:tcPr>
            <w:tcW w:w="1701" w:type="dxa"/>
            <w:tcBorders>
              <w:top w:val="single" w:color="000000" w:sz="4" w:space="0"/>
              <w:left w:val="nil"/>
              <w:bottom w:val="single" w:color="000000" w:sz="4" w:space="0"/>
              <w:right w:val="single" w:color="000000" w:sz="4" w:space="0"/>
            </w:tcBorders>
            <w:vAlign w:val="center"/>
          </w:tcPr>
          <w:p w14:paraId="36FCFB47">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46D46597">
            <w:pPr>
              <w:ind w:firstLine="0" w:firstLineChars="0"/>
              <w:rPr>
                <w:rFonts w:ascii="Calibri" w:hAnsi="Calibri" w:cs="Calibri"/>
                <w:color w:val="auto"/>
                <w:highlight w:val="none"/>
                <w:u w:color="000000"/>
              </w:rPr>
            </w:pPr>
          </w:p>
        </w:tc>
      </w:tr>
      <w:tr w14:paraId="7112DC2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1E3E8557">
            <w:pPr>
              <w:ind w:firstLine="0" w:firstLineChars="0"/>
              <w:jc w:val="center"/>
              <w:rPr>
                <w:rFonts w:hint="eastAsia" w:ascii="Calibri" w:hAnsi="Calibri" w:eastAsia="华文宋体" w:cs="Calibri"/>
                <w:color w:val="auto"/>
                <w:highlight w:val="none"/>
                <w:u w:color="000000"/>
                <w:lang w:eastAsia="zh-CN"/>
              </w:rPr>
            </w:pPr>
            <w:r>
              <w:rPr>
                <w:rFonts w:hint="eastAsia" w:ascii="华文宋体" w:hAnsi="华文宋体" w:eastAsia="华文宋体" w:cs="Calibri"/>
                <w:color w:val="auto"/>
                <w:kern w:val="0"/>
                <w:sz w:val="22"/>
                <w:szCs w:val="22"/>
                <w:highlight w:val="none"/>
                <w:u w:color="000000"/>
              </w:rPr>
              <w:t>1</w:t>
            </w:r>
            <w:r>
              <w:rPr>
                <w:rFonts w:hint="eastAsia" w:ascii="华文宋体" w:hAnsi="华文宋体" w:eastAsia="华文宋体" w:cs="Calibri"/>
                <w:color w:val="auto"/>
                <w:kern w:val="0"/>
                <w:sz w:val="22"/>
                <w:szCs w:val="22"/>
                <w:highlight w:val="none"/>
                <w:u w:color="000000"/>
                <w:lang w:val="en-US" w:eastAsia="zh-CN"/>
              </w:rPr>
              <w:t>0</w:t>
            </w:r>
          </w:p>
        </w:tc>
        <w:tc>
          <w:tcPr>
            <w:tcW w:w="4003" w:type="dxa"/>
            <w:tcBorders>
              <w:top w:val="single" w:color="000000" w:sz="4" w:space="0"/>
              <w:left w:val="nil"/>
              <w:bottom w:val="single" w:color="000000" w:sz="4" w:space="0"/>
              <w:right w:val="single" w:color="000000" w:sz="4" w:space="0"/>
            </w:tcBorders>
            <w:vAlign w:val="center"/>
          </w:tcPr>
          <w:p w14:paraId="3F3B40C3">
            <w:pPr>
              <w:ind w:firstLine="0" w:firstLineChars="0"/>
              <w:jc w:val="center"/>
              <w:rPr>
                <w:rFonts w:ascii="宋体" w:hAnsi="宋体" w:cs="Calibri"/>
                <w:color w:val="auto"/>
                <w:kern w:val="0"/>
                <w:sz w:val="22"/>
                <w:szCs w:val="22"/>
                <w:highlight w:val="none"/>
                <w:u w:color="000000"/>
              </w:rPr>
            </w:pPr>
            <w:r>
              <w:rPr>
                <w:rFonts w:hint="eastAsia" w:ascii="宋体" w:hAnsi="宋体" w:cs="Calibri"/>
                <w:color w:val="auto"/>
                <w:kern w:val="0"/>
                <w:sz w:val="22"/>
                <w:szCs w:val="22"/>
                <w:highlight w:val="none"/>
                <w:u w:color="000000"/>
              </w:rPr>
              <w:t>厨房设备设施投入</w:t>
            </w:r>
          </w:p>
        </w:tc>
        <w:tc>
          <w:tcPr>
            <w:tcW w:w="1701" w:type="dxa"/>
            <w:tcBorders>
              <w:top w:val="single" w:color="000000" w:sz="4" w:space="0"/>
              <w:left w:val="nil"/>
              <w:bottom w:val="single" w:color="000000" w:sz="4" w:space="0"/>
              <w:right w:val="single" w:color="000000" w:sz="4" w:space="0"/>
            </w:tcBorders>
            <w:vAlign w:val="center"/>
          </w:tcPr>
          <w:p w14:paraId="382009F5">
            <w:pPr>
              <w:ind w:firstLine="0" w:firstLineChars="0"/>
              <w:jc w:val="center"/>
              <w:rPr>
                <w:rFonts w:ascii="宋体" w:hAnsi="宋体" w:cs="Calibri"/>
                <w:color w:val="auto"/>
                <w:kern w:val="0"/>
                <w:sz w:val="22"/>
                <w:szCs w:val="22"/>
                <w:highlight w:val="none"/>
                <w:u w:color="000000"/>
              </w:rPr>
            </w:pPr>
            <w:r>
              <w:rPr>
                <w:rFonts w:hint="eastAsia" w:ascii="宋体" w:hAnsi="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334D9F87">
            <w:pPr>
              <w:ind w:firstLine="0" w:firstLineChars="0"/>
              <w:jc w:val="center"/>
              <w:rPr>
                <w:rFonts w:ascii="宋体" w:hAnsi="宋体" w:cs="Calibri"/>
                <w:color w:val="auto"/>
                <w:kern w:val="0"/>
                <w:sz w:val="22"/>
                <w:szCs w:val="22"/>
                <w:highlight w:val="none"/>
                <w:u w:color="000000"/>
              </w:rPr>
            </w:pPr>
          </w:p>
        </w:tc>
      </w:tr>
      <w:tr w14:paraId="71A27E8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8A11B5A">
            <w:pPr>
              <w:ind w:firstLine="0" w:firstLineChars="0"/>
              <w:jc w:val="center"/>
              <w:rPr>
                <w:rFonts w:hint="eastAsia" w:ascii="Calibri" w:hAnsi="Calibri" w:eastAsia="华文宋体" w:cs="Calibri"/>
                <w:color w:val="auto"/>
                <w:highlight w:val="none"/>
                <w:u w:color="000000"/>
                <w:lang w:val="en-US" w:eastAsia="zh-CN"/>
              </w:rPr>
            </w:pPr>
            <w:bookmarkStart w:id="380" w:name="tip_risk_bookmark_52" w:colFirst="0" w:colLast="2"/>
            <w:bookmarkStart w:id="381" w:name="auto_fouce_53"/>
            <w:r>
              <w:rPr>
                <w:rFonts w:hint="eastAsia" w:ascii="华文宋体" w:hAnsi="华文宋体" w:eastAsia="华文宋体" w:cs="Calibri"/>
                <w:color w:val="auto"/>
                <w:kern w:val="0"/>
                <w:sz w:val="22"/>
                <w:szCs w:val="22"/>
                <w:highlight w:val="none"/>
                <w:u w:color="000000"/>
              </w:rPr>
              <w:t>1</w:t>
            </w:r>
            <w:r>
              <w:rPr>
                <w:rFonts w:hint="eastAsia" w:ascii="华文宋体" w:hAnsi="华文宋体" w:eastAsia="华文宋体" w:cs="Calibri"/>
                <w:color w:val="auto"/>
                <w:kern w:val="0"/>
                <w:sz w:val="22"/>
                <w:szCs w:val="22"/>
                <w:highlight w:val="none"/>
                <w:u w:color="000000"/>
                <w:lang w:val="en-US" w:eastAsia="zh-CN"/>
              </w:rPr>
              <w:t>1</w:t>
            </w:r>
          </w:p>
        </w:tc>
        <w:tc>
          <w:tcPr>
            <w:tcW w:w="4003" w:type="dxa"/>
            <w:tcBorders>
              <w:top w:val="single" w:color="000000" w:sz="4" w:space="0"/>
              <w:left w:val="nil"/>
              <w:bottom w:val="single" w:color="000000" w:sz="4" w:space="0"/>
              <w:right w:val="single" w:color="000000" w:sz="4" w:space="0"/>
            </w:tcBorders>
            <w:vAlign w:val="center"/>
          </w:tcPr>
          <w:p w14:paraId="139D0732">
            <w:pPr>
              <w:ind w:firstLine="0" w:firstLineChars="0"/>
              <w:jc w:val="center"/>
              <w:rPr>
                <w:rFonts w:ascii="宋体" w:hAnsi="宋体" w:cs="Calibri"/>
                <w:color w:val="auto"/>
                <w:kern w:val="0"/>
                <w:sz w:val="22"/>
                <w:szCs w:val="22"/>
                <w:highlight w:val="none"/>
                <w:u w:color="000000"/>
              </w:rPr>
            </w:pPr>
            <w:r>
              <w:rPr>
                <w:rFonts w:hint="eastAsia" w:ascii="宋体" w:hAnsi="宋体" w:cs="Calibri"/>
                <w:color w:val="auto"/>
                <w:kern w:val="0"/>
                <w:sz w:val="22"/>
                <w:szCs w:val="22"/>
                <w:highlight w:val="none"/>
                <w:u w:color="000000"/>
              </w:rPr>
              <w:t>设备维修保养</w:t>
            </w:r>
          </w:p>
        </w:tc>
        <w:tc>
          <w:tcPr>
            <w:tcW w:w="1701" w:type="dxa"/>
            <w:tcBorders>
              <w:top w:val="single" w:color="000000" w:sz="4" w:space="0"/>
              <w:left w:val="nil"/>
              <w:bottom w:val="single" w:color="000000" w:sz="4" w:space="0"/>
              <w:right w:val="single" w:color="000000" w:sz="4" w:space="0"/>
            </w:tcBorders>
            <w:vAlign w:val="center"/>
          </w:tcPr>
          <w:p w14:paraId="11DC7837">
            <w:pPr>
              <w:ind w:firstLine="0" w:firstLineChars="0"/>
              <w:jc w:val="center"/>
              <w:rPr>
                <w:rFonts w:ascii="宋体" w:hAnsi="宋体" w:cs="Calibri"/>
                <w:color w:val="auto"/>
                <w:kern w:val="0"/>
                <w:sz w:val="22"/>
                <w:szCs w:val="22"/>
                <w:highlight w:val="none"/>
                <w:u w:color="000000"/>
              </w:rPr>
            </w:pPr>
            <w:r>
              <w:rPr>
                <w:rFonts w:hint="eastAsia" w:ascii="宋体" w:hAnsi="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49406EDC">
            <w:pPr>
              <w:ind w:firstLine="0" w:firstLineChars="0"/>
              <w:jc w:val="center"/>
              <w:rPr>
                <w:rFonts w:ascii="宋体" w:hAnsi="宋体" w:cs="Calibri"/>
                <w:color w:val="auto"/>
                <w:kern w:val="0"/>
                <w:sz w:val="22"/>
                <w:szCs w:val="22"/>
                <w:highlight w:val="none"/>
                <w:u w:color="000000"/>
              </w:rPr>
            </w:pPr>
          </w:p>
        </w:tc>
      </w:tr>
      <w:bookmarkEnd w:id="380"/>
      <w:tr w14:paraId="372BC4D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A0305CD">
            <w:pPr>
              <w:ind w:firstLine="0" w:firstLineChars="0"/>
              <w:jc w:val="center"/>
              <w:rPr>
                <w:rFonts w:hint="eastAsia" w:ascii="华文宋体" w:hAnsi="华文宋体" w:eastAsia="华文宋体" w:cs="Calibri"/>
                <w:color w:val="auto"/>
                <w:kern w:val="0"/>
                <w:sz w:val="22"/>
                <w:szCs w:val="22"/>
                <w:highlight w:val="none"/>
                <w:u w:color="000000"/>
                <w:lang w:val="en-US" w:eastAsia="zh-CN"/>
              </w:rPr>
            </w:pPr>
            <w:r>
              <w:rPr>
                <w:rFonts w:hint="eastAsia" w:ascii="华文宋体" w:hAnsi="华文宋体" w:eastAsia="华文宋体" w:cs="Calibri"/>
                <w:color w:val="auto"/>
                <w:kern w:val="0"/>
                <w:sz w:val="22"/>
                <w:szCs w:val="22"/>
                <w:highlight w:val="none"/>
                <w:u w:color="000000"/>
              </w:rPr>
              <w:t>1</w:t>
            </w:r>
            <w:r>
              <w:rPr>
                <w:rFonts w:hint="eastAsia" w:ascii="华文宋体" w:hAnsi="华文宋体" w:eastAsia="华文宋体" w:cs="Calibri"/>
                <w:color w:val="auto"/>
                <w:kern w:val="0"/>
                <w:sz w:val="22"/>
                <w:szCs w:val="22"/>
                <w:highlight w:val="none"/>
                <w:u w:color="000000"/>
                <w:lang w:val="en-US" w:eastAsia="zh-CN"/>
              </w:rPr>
              <w:t>2</w:t>
            </w:r>
          </w:p>
        </w:tc>
        <w:tc>
          <w:tcPr>
            <w:tcW w:w="4003" w:type="dxa"/>
            <w:tcBorders>
              <w:top w:val="single" w:color="000000" w:sz="4" w:space="0"/>
              <w:left w:val="nil"/>
              <w:bottom w:val="single" w:color="000000" w:sz="4" w:space="0"/>
              <w:right w:val="single" w:color="000000" w:sz="4" w:space="0"/>
            </w:tcBorders>
            <w:vAlign w:val="center"/>
          </w:tcPr>
          <w:p w14:paraId="3D195239">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消杀</w:t>
            </w:r>
          </w:p>
        </w:tc>
        <w:tc>
          <w:tcPr>
            <w:tcW w:w="1701" w:type="dxa"/>
            <w:tcBorders>
              <w:top w:val="single" w:color="000000" w:sz="4" w:space="0"/>
              <w:left w:val="nil"/>
              <w:bottom w:val="single" w:color="000000" w:sz="4" w:space="0"/>
              <w:right w:val="single" w:color="000000" w:sz="4" w:space="0"/>
            </w:tcBorders>
            <w:vAlign w:val="center"/>
          </w:tcPr>
          <w:p w14:paraId="22D93672">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vAlign w:val="center"/>
          </w:tcPr>
          <w:p w14:paraId="1ABD9B82">
            <w:pPr>
              <w:ind w:firstLine="0" w:firstLineChars="0"/>
              <w:jc w:val="center"/>
              <w:rPr>
                <w:rFonts w:ascii="华文宋体" w:hAnsi="华文宋体" w:eastAsia="华文宋体" w:cs="Calibri"/>
                <w:color w:val="auto"/>
                <w:kern w:val="0"/>
                <w:sz w:val="22"/>
                <w:szCs w:val="22"/>
                <w:highlight w:val="none"/>
                <w:u w:color="000000"/>
              </w:rPr>
            </w:pPr>
          </w:p>
        </w:tc>
      </w:tr>
      <w:bookmarkEnd w:id="381"/>
      <w:tr w14:paraId="5896D55C">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278D1343">
            <w:pPr>
              <w:ind w:firstLine="0" w:firstLineChars="0"/>
              <w:jc w:val="center"/>
              <w:rPr>
                <w:rFonts w:hint="eastAsia" w:ascii="华文宋体" w:hAnsi="华文宋体" w:eastAsia="华文宋体" w:cs="Calibri"/>
                <w:color w:val="auto"/>
                <w:kern w:val="0"/>
                <w:sz w:val="22"/>
                <w:szCs w:val="22"/>
                <w:highlight w:val="none"/>
                <w:u w:color="000000"/>
                <w:lang w:val="en-US" w:eastAsia="zh-CN"/>
              </w:rPr>
            </w:pPr>
            <w:r>
              <w:rPr>
                <w:rFonts w:hint="eastAsia" w:ascii="华文宋体" w:hAnsi="华文宋体" w:eastAsia="华文宋体" w:cs="Calibri"/>
                <w:color w:val="auto"/>
                <w:kern w:val="0"/>
                <w:sz w:val="22"/>
                <w:szCs w:val="22"/>
                <w:highlight w:val="none"/>
                <w:u w:color="000000"/>
              </w:rPr>
              <w:t>1</w:t>
            </w:r>
            <w:r>
              <w:rPr>
                <w:rFonts w:hint="eastAsia" w:ascii="华文宋体" w:hAnsi="华文宋体" w:eastAsia="华文宋体" w:cs="Calibri"/>
                <w:color w:val="auto"/>
                <w:kern w:val="0"/>
                <w:sz w:val="22"/>
                <w:szCs w:val="22"/>
                <w:highlight w:val="none"/>
                <w:u w:color="000000"/>
                <w:lang w:val="en-US" w:eastAsia="zh-CN"/>
              </w:rPr>
              <w:t>3</w:t>
            </w:r>
          </w:p>
        </w:tc>
        <w:tc>
          <w:tcPr>
            <w:tcW w:w="4003" w:type="dxa"/>
            <w:tcBorders>
              <w:top w:val="single" w:color="000000" w:sz="4" w:space="0"/>
              <w:left w:val="nil"/>
              <w:bottom w:val="single" w:color="000000" w:sz="4" w:space="0"/>
              <w:right w:val="single" w:color="000000" w:sz="4" w:space="0"/>
            </w:tcBorders>
            <w:vAlign w:val="center"/>
          </w:tcPr>
          <w:p w14:paraId="64C255E2">
            <w:pPr>
              <w:ind w:firstLine="0" w:firstLineChars="0"/>
              <w:jc w:val="center"/>
              <w:rPr>
                <w:rFonts w:ascii="宋体" w:hAnsi="宋体" w:cs="Calibri"/>
                <w:color w:val="auto"/>
                <w:kern w:val="0"/>
                <w:sz w:val="22"/>
                <w:szCs w:val="22"/>
                <w:highlight w:val="none"/>
                <w:u w:color="000000"/>
              </w:rPr>
            </w:pPr>
            <w:r>
              <w:rPr>
                <w:rFonts w:hint="eastAsia" w:ascii="宋体" w:hAnsi="宋体" w:cs="Calibri"/>
                <w:color w:val="auto"/>
                <w:kern w:val="0"/>
                <w:sz w:val="22"/>
                <w:szCs w:val="22"/>
                <w:highlight w:val="none"/>
                <w:u w:color="000000"/>
              </w:rPr>
              <w:t>劳保用品</w:t>
            </w:r>
          </w:p>
        </w:tc>
        <w:tc>
          <w:tcPr>
            <w:tcW w:w="1701" w:type="dxa"/>
            <w:tcBorders>
              <w:top w:val="single" w:color="000000" w:sz="4" w:space="0"/>
              <w:left w:val="nil"/>
              <w:bottom w:val="single" w:color="000000" w:sz="4" w:space="0"/>
              <w:right w:val="single" w:color="000000" w:sz="4" w:space="0"/>
            </w:tcBorders>
            <w:vAlign w:val="center"/>
          </w:tcPr>
          <w:p w14:paraId="7B17783B">
            <w:pPr>
              <w:ind w:firstLine="0" w:firstLineChars="0"/>
              <w:jc w:val="center"/>
              <w:rPr>
                <w:rFonts w:ascii="华文宋体" w:hAnsi="华文宋体" w:eastAsia="华文宋体" w:cs="Calibri"/>
                <w:color w:val="auto"/>
                <w:kern w:val="0"/>
                <w:sz w:val="22"/>
                <w:szCs w:val="22"/>
                <w:highlight w:val="none"/>
                <w:u w:color="000000"/>
              </w:rPr>
            </w:pPr>
            <w:r>
              <w:rPr>
                <w:rFonts w:hint="eastAsia" w:ascii="华文宋体" w:hAnsi="华文宋体" w:eastAsia="华文宋体" w:cs="Calibri"/>
                <w:color w:val="auto"/>
                <w:kern w:val="0"/>
                <w:sz w:val="22"/>
                <w:szCs w:val="22"/>
                <w:highlight w:val="none"/>
                <w:u w:color="000000"/>
              </w:rPr>
              <w:t xml:space="preserve"> √</w:t>
            </w:r>
          </w:p>
        </w:tc>
        <w:tc>
          <w:tcPr>
            <w:tcW w:w="1756" w:type="dxa"/>
            <w:tcBorders>
              <w:top w:val="single" w:color="000000" w:sz="4" w:space="0"/>
              <w:left w:val="nil"/>
              <w:bottom w:val="single" w:color="000000" w:sz="4" w:space="0"/>
              <w:right w:val="single" w:color="000000" w:sz="4" w:space="0"/>
            </w:tcBorders>
            <w:vAlign w:val="center"/>
          </w:tcPr>
          <w:p w14:paraId="26E28769">
            <w:pPr>
              <w:ind w:firstLine="0" w:firstLineChars="0"/>
              <w:jc w:val="center"/>
              <w:rPr>
                <w:rFonts w:hint="eastAsia" w:ascii="华文宋体" w:hAnsi="华文宋体" w:eastAsia="华文宋体" w:cs="Calibri"/>
                <w:color w:val="auto"/>
                <w:kern w:val="0"/>
                <w:sz w:val="22"/>
                <w:szCs w:val="22"/>
                <w:highlight w:val="none"/>
                <w:u w:color="000000"/>
              </w:rPr>
            </w:pPr>
            <w:r>
              <w:rPr>
                <w:rFonts w:hint="eastAsia" w:ascii="华文宋体" w:hAnsi="华文宋体" w:eastAsia="华文宋体" w:cs="Calibri"/>
                <w:color w:val="auto"/>
                <w:kern w:val="0"/>
                <w:sz w:val="22"/>
                <w:szCs w:val="22"/>
                <w:highlight w:val="none"/>
                <w:u w:color="000000"/>
              </w:rPr>
              <w:t xml:space="preserve"> </w:t>
            </w:r>
          </w:p>
        </w:tc>
      </w:tr>
      <w:tr w14:paraId="01E439E9">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BE0CD02">
            <w:pPr>
              <w:ind w:firstLine="0" w:firstLineChars="0"/>
              <w:jc w:val="center"/>
              <w:rPr>
                <w:rFonts w:hint="default" w:ascii="华文宋体" w:hAnsi="华文宋体" w:eastAsia="华文宋体" w:cs="Calibri"/>
                <w:color w:val="auto"/>
                <w:kern w:val="0"/>
                <w:sz w:val="22"/>
                <w:szCs w:val="22"/>
                <w:highlight w:val="none"/>
                <w:u w:color="000000"/>
                <w:lang w:val="en-US" w:eastAsia="zh-CN"/>
              </w:rPr>
            </w:pPr>
            <w:r>
              <w:rPr>
                <w:rFonts w:hint="eastAsia" w:ascii="华文宋体" w:hAnsi="华文宋体" w:eastAsia="华文宋体" w:cs="Calibri"/>
                <w:color w:val="auto"/>
                <w:kern w:val="0"/>
                <w:sz w:val="22"/>
                <w:szCs w:val="22"/>
                <w:highlight w:val="none"/>
                <w:u w:color="000000"/>
                <w:lang w:val="en-US" w:eastAsia="zh-CN"/>
              </w:rPr>
              <w:t>14</w:t>
            </w:r>
          </w:p>
        </w:tc>
        <w:tc>
          <w:tcPr>
            <w:tcW w:w="4003" w:type="dxa"/>
            <w:tcBorders>
              <w:top w:val="single" w:color="000000" w:sz="4" w:space="0"/>
              <w:left w:val="nil"/>
              <w:bottom w:val="single" w:color="000000" w:sz="4" w:space="0"/>
              <w:right w:val="single" w:color="000000" w:sz="4" w:space="0"/>
            </w:tcBorders>
            <w:shd w:val="clear" w:color="auto" w:fill="auto"/>
            <w:vAlign w:val="center"/>
          </w:tcPr>
          <w:p w14:paraId="6524BF65">
            <w:pPr>
              <w:ind w:firstLine="0" w:firstLineChars="0"/>
              <w:jc w:val="center"/>
              <w:rPr>
                <w:rFonts w:hint="eastAsia" w:ascii="宋体" w:hAnsi="宋体" w:eastAsia="宋体" w:cs="Calibri"/>
                <w:color w:val="auto"/>
                <w:kern w:val="0"/>
                <w:sz w:val="22"/>
                <w:szCs w:val="22"/>
                <w:highlight w:val="none"/>
                <w:u w:color="000000"/>
                <w:lang w:val="en-US" w:eastAsia="zh-CN" w:bidi="ar-SA"/>
              </w:rPr>
            </w:pPr>
            <w:r>
              <w:rPr>
                <w:rFonts w:hint="eastAsia" w:ascii="宋体" w:hAnsi="宋体" w:cs="Calibri"/>
                <w:color w:val="auto"/>
                <w:kern w:val="0"/>
                <w:sz w:val="22"/>
                <w:szCs w:val="22"/>
                <w:highlight w:val="none"/>
                <w:u w:color="000000"/>
              </w:rPr>
              <w:t>员工住宿水电等杂费</w:t>
            </w:r>
          </w:p>
        </w:tc>
        <w:tc>
          <w:tcPr>
            <w:tcW w:w="1701" w:type="dxa"/>
            <w:tcBorders>
              <w:top w:val="single" w:color="000000" w:sz="4" w:space="0"/>
              <w:left w:val="nil"/>
              <w:bottom w:val="single" w:color="000000" w:sz="4" w:space="0"/>
              <w:right w:val="single" w:color="000000" w:sz="4" w:space="0"/>
            </w:tcBorders>
            <w:shd w:val="clear" w:color="auto" w:fill="auto"/>
            <w:vAlign w:val="center"/>
          </w:tcPr>
          <w:p w14:paraId="28EC7F9F">
            <w:pPr>
              <w:ind w:firstLine="0" w:firstLineChars="0"/>
              <w:jc w:val="center"/>
              <w:rPr>
                <w:rFonts w:hint="eastAsia" w:ascii="宋体" w:hAnsi="宋体" w:eastAsia="宋体" w:cs="Calibri"/>
                <w:color w:val="auto"/>
                <w:kern w:val="0"/>
                <w:sz w:val="22"/>
                <w:szCs w:val="22"/>
                <w:highlight w:val="none"/>
                <w:u w:color="000000"/>
                <w:lang w:val="en-US" w:eastAsia="zh-CN" w:bidi="ar-SA"/>
              </w:rPr>
            </w:pPr>
            <w:r>
              <w:rPr>
                <w:rFonts w:hint="eastAsia" w:ascii="宋体" w:hAnsi="宋体" w:cs="Calibri"/>
                <w:color w:val="auto"/>
                <w:kern w:val="0"/>
                <w:sz w:val="22"/>
                <w:szCs w:val="22"/>
                <w:highlight w:val="none"/>
                <w:u w:color="000000"/>
              </w:rPr>
              <w:t>√</w:t>
            </w:r>
          </w:p>
        </w:tc>
        <w:tc>
          <w:tcPr>
            <w:tcW w:w="1756" w:type="dxa"/>
            <w:tcBorders>
              <w:top w:val="single" w:color="000000" w:sz="4" w:space="0"/>
              <w:left w:val="nil"/>
              <w:bottom w:val="single" w:color="000000" w:sz="4" w:space="0"/>
              <w:right w:val="single" w:color="000000" w:sz="4" w:space="0"/>
            </w:tcBorders>
            <w:shd w:val="clear" w:color="auto" w:fill="auto"/>
            <w:vAlign w:val="center"/>
          </w:tcPr>
          <w:p w14:paraId="2120D977">
            <w:pPr>
              <w:ind w:firstLine="0" w:firstLineChars="0"/>
              <w:jc w:val="center"/>
              <w:rPr>
                <w:rFonts w:hint="eastAsia" w:ascii="宋体" w:hAnsi="宋体" w:eastAsia="宋体" w:cs="Calibri"/>
                <w:color w:val="auto"/>
                <w:kern w:val="0"/>
                <w:sz w:val="22"/>
                <w:szCs w:val="22"/>
                <w:highlight w:val="none"/>
                <w:u w:color="000000"/>
                <w:lang w:val="en-US" w:eastAsia="zh-CN" w:bidi="ar-SA"/>
              </w:rPr>
            </w:pPr>
          </w:p>
        </w:tc>
      </w:tr>
      <w:tr w14:paraId="29474AFE">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0B954FAC">
            <w:pPr>
              <w:ind w:firstLine="0" w:firstLineChars="0"/>
              <w:jc w:val="center"/>
              <w:rPr>
                <w:rFonts w:ascii="华文宋体" w:hAnsi="华文宋体" w:eastAsia="华文宋体" w:cs="Calibri"/>
                <w:color w:val="auto"/>
                <w:kern w:val="0"/>
                <w:sz w:val="22"/>
                <w:szCs w:val="22"/>
                <w:highlight w:val="none"/>
                <w:u w:color="000000"/>
              </w:rPr>
            </w:pPr>
            <w:r>
              <w:rPr>
                <w:rFonts w:hint="eastAsia" w:ascii="华文宋体" w:hAnsi="华文宋体" w:eastAsia="华文宋体" w:cs="Calibri"/>
                <w:color w:val="auto"/>
                <w:kern w:val="0"/>
                <w:sz w:val="22"/>
                <w:szCs w:val="22"/>
                <w:highlight w:val="none"/>
                <w:u w:color="000000"/>
              </w:rPr>
              <w:t>15</w:t>
            </w:r>
          </w:p>
        </w:tc>
        <w:tc>
          <w:tcPr>
            <w:tcW w:w="4003" w:type="dxa"/>
            <w:tcBorders>
              <w:top w:val="single" w:color="000000" w:sz="4" w:space="0"/>
              <w:left w:val="nil"/>
              <w:bottom w:val="single" w:color="000000" w:sz="4" w:space="0"/>
              <w:right w:val="single" w:color="000000" w:sz="4" w:space="0"/>
            </w:tcBorders>
            <w:vAlign w:val="center"/>
          </w:tcPr>
          <w:p w14:paraId="2B503DB4">
            <w:pPr>
              <w:ind w:firstLine="0" w:firstLineChars="0"/>
              <w:jc w:val="center"/>
              <w:rPr>
                <w:rFonts w:ascii="宋体" w:hAnsi="宋体" w:cs="Calibri"/>
                <w:color w:val="auto"/>
                <w:kern w:val="0"/>
                <w:sz w:val="22"/>
                <w:szCs w:val="22"/>
                <w:highlight w:val="none"/>
                <w:u w:color="000000"/>
              </w:rPr>
            </w:pPr>
            <w:r>
              <w:rPr>
                <w:rFonts w:hint="eastAsia" w:ascii="宋体" w:hAnsi="宋体" w:cs="Calibri"/>
                <w:color w:val="auto"/>
                <w:kern w:val="0"/>
                <w:sz w:val="22"/>
                <w:szCs w:val="22"/>
                <w:highlight w:val="none"/>
                <w:u w:color="000000"/>
              </w:rPr>
              <w:t>人员薪资及福利</w:t>
            </w:r>
          </w:p>
        </w:tc>
        <w:tc>
          <w:tcPr>
            <w:tcW w:w="1701" w:type="dxa"/>
            <w:tcBorders>
              <w:top w:val="single" w:color="000000" w:sz="4" w:space="0"/>
              <w:left w:val="nil"/>
              <w:bottom w:val="single" w:color="000000" w:sz="4" w:space="0"/>
              <w:right w:val="single" w:color="000000" w:sz="4" w:space="0"/>
            </w:tcBorders>
            <w:vAlign w:val="center"/>
          </w:tcPr>
          <w:p w14:paraId="73EA33D9">
            <w:pPr>
              <w:ind w:firstLine="0" w:firstLineChars="0"/>
              <w:jc w:val="center"/>
              <w:rPr>
                <w:rFonts w:ascii="华文宋体" w:hAnsi="华文宋体" w:eastAsia="华文宋体" w:cs="Calibri"/>
                <w:color w:val="auto"/>
                <w:kern w:val="0"/>
                <w:sz w:val="22"/>
                <w:szCs w:val="22"/>
                <w:highlight w:val="none"/>
                <w:u w:color="000000"/>
              </w:rPr>
            </w:pPr>
          </w:p>
        </w:tc>
        <w:tc>
          <w:tcPr>
            <w:tcW w:w="1756" w:type="dxa"/>
            <w:tcBorders>
              <w:top w:val="single" w:color="000000" w:sz="4" w:space="0"/>
              <w:left w:val="nil"/>
              <w:bottom w:val="single" w:color="000000" w:sz="4" w:space="0"/>
              <w:right w:val="single" w:color="000000" w:sz="4" w:space="0"/>
            </w:tcBorders>
            <w:vAlign w:val="center"/>
          </w:tcPr>
          <w:p w14:paraId="58125B15">
            <w:pPr>
              <w:ind w:firstLine="0" w:firstLineChars="0"/>
              <w:jc w:val="center"/>
              <w:rPr>
                <w:rFonts w:ascii="华文宋体" w:hAnsi="华文宋体" w:eastAsia="华文宋体" w:cs="Calibri"/>
                <w:color w:val="auto"/>
                <w:kern w:val="0"/>
                <w:sz w:val="22"/>
                <w:szCs w:val="22"/>
                <w:highlight w:val="none"/>
                <w:u w:color="000000"/>
              </w:rPr>
            </w:pPr>
            <w:r>
              <w:rPr>
                <w:rFonts w:hint="eastAsia" w:ascii="华文宋体" w:hAnsi="华文宋体" w:eastAsia="华文宋体" w:cs="Calibri"/>
                <w:color w:val="auto"/>
                <w:kern w:val="0"/>
                <w:sz w:val="22"/>
                <w:szCs w:val="22"/>
                <w:highlight w:val="none"/>
                <w:u w:color="000000"/>
              </w:rPr>
              <w:t>√</w:t>
            </w:r>
          </w:p>
        </w:tc>
      </w:tr>
      <w:tr w14:paraId="626AE4EA">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99ADF77">
            <w:pPr>
              <w:ind w:firstLine="0" w:firstLineChars="0"/>
              <w:jc w:val="center"/>
              <w:rPr>
                <w:rFonts w:ascii="Calibri" w:hAnsi="Calibri" w:eastAsia="华文宋体" w:cs="Calibri"/>
                <w:color w:val="auto"/>
                <w:highlight w:val="none"/>
                <w:u w:color="000000"/>
              </w:rPr>
            </w:pPr>
            <w:r>
              <w:rPr>
                <w:rFonts w:hint="eastAsia" w:ascii="华文宋体" w:hAnsi="华文宋体" w:eastAsia="华文宋体" w:cs="Calibri"/>
                <w:color w:val="auto"/>
                <w:kern w:val="0"/>
                <w:sz w:val="22"/>
                <w:szCs w:val="22"/>
                <w:highlight w:val="none"/>
                <w:u w:color="000000"/>
              </w:rPr>
              <w:t>16</w:t>
            </w:r>
          </w:p>
        </w:tc>
        <w:tc>
          <w:tcPr>
            <w:tcW w:w="4003" w:type="dxa"/>
            <w:tcBorders>
              <w:top w:val="single" w:color="000000" w:sz="4" w:space="0"/>
              <w:left w:val="nil"/>
              <w:bottom w:val="single" w:color="000000" w:sz="4" w:space="0"/>
              <w:right w:val="single" w:color="000000" w:sz="4" w:space="0"/>
            </w:tcBorders>
            <w:vAlign w:val="center"/>
          </w:tcPr>
          <w:p w14:paraId="52E7D8A8">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员工招聘及培训</w:t>
            </w:r>
          </w:p>
        </w:tc>
        <w:tc>
          <w:tcPr>
            <w:tcW w:w="1701" w:type="dxa"/>
            <w:tcBorders>
              <w:top w:val="single" w:color="000000" w:sz="4" w:space="0"/>
              <w:left w:val="nil"/>
              <w:bottom w:val="single" w:color="000000" w:sz="4" w:space="0"/>
              <w:right w:val="single" w:color="000000" w:sz="4" w:space="0"/>
            </w:tcBorders>
            <w:vAlign w:val="center"/>
          </w:tcPr>
          <w:p w14:paraId="7B661F0F">
            <w:pPr>
              <w:ind w:firstLine="0" w:firstLineChars="0"/>
              <w:jc w:val="left"/>
              <w:rPr>
                <w:color w:val="auto"/>
                <w:highlight w:val="none"/>
              </w:rPr>
            </w:pPr>
            <w:r>
              <w:rPr>
                <w:rFonts w:hint="eastAsia" w:ascii="宋体" w:hAnsi="宋体" w:cs="Calibri"/>
                <w:color w:val="auto"/>
                <w:kern w:val="0"/>
                <w:sz w:val="22"/>
                <w:szCs w:val="22"/>
                <w:highlight w:val="none"/>
                <w:u w:color="000000"/>
              </w:rPr>
              <w:t>　</w:t>
            </w:r>
          </w:p>
        </w:tc>
        <w:tc>
          <w:tcPr>
            <w:tcW w:w="1756" w:type="dxa"/>
            <w:tcBorders>
              <w:top w:val="single" w:color="000000" w:sz="4" w:space="0"/>
              <w:left w:val="nil"/>
              <w:bottom w:val="single" w:color="000000" w:sz="4" w:space="0"/>
              <w:right w:val="single" w:color="000000" w:sz="4" w:space="0"/>
            </w:tcBorders>
            <w:vAlign w:val="center"/>
          </w:tcPr>
          <w:p w14:paraId="10239F31">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r>
      <w:tr w14:paraId="4475F7A8">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45D71D7C">
            <w:pPr>
              <w:ind w:firstLine="0" w:firstLineChars="0"/>
              <w:jc w:val="center"/>
              <w:rPr>
                <w:rFonts w:ascii="Calibri" w:hAnsi="Calibri" w:eastAsia="华文宋体" w:cs="Calibri"/>
                <w:color w:val="auto"/>
                <w:highlight w:val="none"/>
                <w:u w:color="000000"/>
              </w:rPr>
            </w:pPr>
            <w:r>
              <w:rPr>
                <w:rFonts w:hint="eastAsia" w:ascii="华文宋体" w:hAnsi="华文宋体" w:eastAsia="华文宋体" w:cs="Calibri"/>
                <w:color w:val="auto"/>
                <w:kern w:val="0"/>
                <w:sz w:val="22"/>
                <w:szCs w:val="22"/>
                <w:highlight w:val="none"/>
                <w:u w:color="000000"/>
              </w:rPr>
              <w:t>17</w:t>
            </w:r>
          </w:p>
        </w:tc>
        <w:tc>
          <w:tcPr>
            <w:tcW w:w="4003" w:type="dxa"/>
            <w:tcBorders>
              <w:top w:val="single" w:color="000000" w:sz="4" w:space="0"/>
              <w:left w:val="nil"/>
              <w:bottom w:val="single" w:color="000000" w:sz="4" w:space="0"/>
              <w:right w:val="single" w:color="000000" w:sz="4" w:space="0"/>
            </w:tcBorders>
            <w:vAlign w:val="center"/>
          </w:tcPr>
          <w:p w14:paraId="54ED3106">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食品安全公众责任险</w:t>
            </w:r>
          </w:p>
        </w:tc>
        <w:tc>
          <w:tcPr>
            <w:tcW w:w="1701" w:type="dxa"/>
            <w:tcBorders>
              <w:top w:val="single" w:color="000000" w:sz="4" w:space="0"/>
              <w:left w:val="nil"/>
              <w:bottom w:val="single" w:color="000000" w:sz="4" w:space="0"/>
              <w:right w:val="single" w:color="000000" w:sz="4" w:space="0"/>
            </w:tcBorders>
            <w:vAlign w:val="center"/>
          </w:tcPr>
          <w:p w14:paraId="50D03B4F">
            <w:pPr>
              <w:ind w:firstLine="0" w:firstLineChars="0"/>
              <w:jc w:val="left"/>
              <w:rPr>
                <w:color w:val="auto"/>
                <w:highlight w:val="none"/>
              </w:rPr>
            </w:pPr>
            <w:r>
              <w:rPr>
                <w:rFonts w:hint="eastAsia" w:ascii="宋体" w:hAnsi="宋体" w:cs="Calibri"/>
                <w:color w:val="auto"/>
                <w:kern w:val="0"/>
                <w:sz w:val="22"/>
                <w:szCs w:val="22"/>
                <w:highlight w:val="none"/>
                <w:u w:color="000000"/>
              </w:rPr>
              <w:t>　</w:t>
            </w:r>
          </w:p>
        </w:tc>
        <w:tc>
          <w:tcPr>
            <w:tcW w:w="1756" w:type="dxa"/>
            <w:tcBorders>
              <w:top w:val="single" w:color="000000" w:sz="4" w:space="0"/>
              <w:left w:val="nil"/>
              <w:bottom w:val="single" w:color="000000" w:sz="4" w:space="0"/>
              <w:right w:val="single" w:color="000000" w:sz="4" w:space="0"/>
            </w:tcBorders>
            <w:vAlign w:val="center"/>
          </w:tcPr>
          <w:p w14:paraId="4F0061A9">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r>
      <w:tr w14:paraId="0947020F">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69"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5CD830D9">
            <w:pPr>
              <w:ind w:firstLine="0" w:firstLineChars="0"/>
              <w:jc w:val="center"/>
              <w:rPr>
                <w:rFonts w:ascii="Calibri" w:hAnsi="Calibri" w:eastAsia="华文宋体" w:cs="Calibri"/>
                <w:color w:val="auto"/>
                <w:highlight w:val="none"/>
                <w:u w:color="000000"/>
              </w:rPr>
            </w:pPr>
            <w:r>
              <w:rPr>
                <w:rFonts w:hint="eastAsia" w:ascii="华文宋体" w:hAnsi="华文宋体" w:eastAsia="华文宋体" w:cs="Calibri"/>
                <w:color w:val="auto"/>
                <w:kern w:val="0"/>
                <w:sz w:val="22"/>
                <w:szCs w:val="22"/>
                <w:highlight w:val="none"/>
                <w:u w:color="000000"/>
              </w:rPr>
              <w:t>18</w:t>
            </w:r>
          </w:p>
        </w:tc>
        <w:tc>
          <w:tcPr>
            <w:tcW w:w="4003" w:type="dxa"/>
            <w:tcBorders>
              <w:top w:val="single" w:color="000000" w:sz="4" w:space="0"/>
              <w:left w:val="nil"/>
              <w:bottom w:val="single" w:color="000000" w:sz="4" w:space="0"/>
              <w:right w:val="single" w:color="000000" w:sz="4" w:space="0"/>
            </w:tcBorders>
            <w:vAlign w:val="center"/>
          </w:tcPr>
          <w:p w14:paraId="4219CCAD">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员工健康检查费</w:t>
            </w:r>
          </w:p>
        </w:tc>
        <w:tc>
          <w:tcPr>
            <w:tcW w:w="1701" w:type="dxa"/>
            <w:tcBorders>
              <w:top w:val="single" w:color="000000" w:sz="4" w:space="0"/>
              <w:left w:val="nil"/>
              <w:bottom w:val="single" w:color="000000" w:sz="4" w:space="0"/>
              <w:right w:val="single" w:color="000000" w:sz="4" w:space="0"/>
            </w:tcBorders>
            <w:vAlign w:val="center"/>
          </w:tcPr>
          <w:p w14:paraId="705AD7CA">
            <w:pPr>
              <w:ind w:firstLine="0" w:firstLineChars="0"/>
              <w:rPr>
                <w:rFonts w:ascii="Calibri" w:hAnsi="Calibri" w:cs="Calibri"/>
                <w:color w:val="auto"/>
                <w:highlight w:val="none"/>
                <w:u w:color="000000"/>
              </w:rPr>
            </w:pPr>
            <w:r>
              <w:rPr>
                <w:rFonts w:hint="eastAsia" w:ascii="宋体" w:hAnsi="宋体" w:cs="Calibri"/>
                <w:color w:val="auto"/>
                <w:kern w:val="0"/>
                <w:sz w:val="22"/>
                <w:szCs w:val="22"/>
                <w:highlight w:val="none"/>
                <w:u w:color="000000"/>
              </w:rPr>
              <w:t>　</w:t>
            </w:r>
          </w:p>
        </w:tc>
        <w:tc>
          <w:tcPr>
            <w:tcW w:w="1756" w:type="dxa"/>
            <w:tcBorders>
              <w:top w:val="single" w:color="000000" w:sz="4" w:space="0"/>
              <w:left w:val="nil"/>
              <w:bottom w:val="single" w:color="000000" w:sz="4" w:space="0"/>
              <w:right w:val="single" w:color="000000" w:sz="4" w:space="0"/>
            </w:tcBorders>
            <w:vAlign w:val="center"/>
          </w:tcPr>
          <w:p w14:paraId="4ACCFF7B">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r>
      <w:tr w14:paraId="21A2FE1B">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24" w:hRule="atLeast"/>
          <w:jc w:val="center"/>
        </w:trPr>
        <w:tc>
          <w:tcPr>
            <w:tcW w:w="907" w:type="dxa"/>
            <w:tcBorders>
              <w:top w:val="single" w:color="000000" w:sz="4" w:space="0"/>
              <w:left w:val="single" w:color="000000" w:sz="4" w:space="0"/>
              <w:bottom w:val="single" w:color="000000" w:sz="4" w:space="0"/>
              <w:right w:val="single" w:color="000000" w:sz="4" w:space="0"/>
            </w:tcBorders>
            <w:tcMar>
              <w:top w:w="80" w:type="dxa"/>
              <w:left w:w="80" w:type="dxa"/>
              <w:bottom w:w="80" w:type="dxa"/>
              <w:right w:w="80" w:type="dxa"/>
            </w:tcMar>
            <w:vAlign w:val="center"/>
          </w:tcPr>
          <w:p w14:paraId="70E659B0">
            <w:pPr>
              <w:ind w:firstLine="0" w:firstLineChars="0"/>
              <w:jc w:val="center"/>
              <w:rPr>
                <w:rFonts w:ascii="Calibri" w:hAnsi="Calibri" w:eastAsia="华文宋体" w:cs="Calibri"/>
                <w:color w:val="auto"/>
                <w:highlight w:val="none"/>
                <w:u w:color="000000"/>
              </w:rPr>
            </w:pPr>
            <w:r>
              <w:rPr>
                <w:rFonts w:hint="eastAsia" w:ascii="华文宋体" w:hAnsi="华文宋体" w:eastAsia="华文宋体" w:cs="Calibri"/>
                <w:color w:val="auto"/>
                <w:kern w:val="0"/>
                <w:sz w:val="22"/>
                <w:szCs w:val="22"/>
                <w:highlight w:val="none"/>
                <w:u w:color="000000"/>
              </w:rPr>
              <w:t>19</w:t>
            </w:r>
          </w:p>
        </w:tc>
        <w:tc>
          <w:tcPr>
            <w:tcW w:w="4003" w:type="dxa"/>
            <w:tcBorders>
              <w:top w:val="single" w:color="000000" w:sz="4" w:space="0"/>
              <w:left w:val="nil"/>
              <w:bottom w:val="single" w:color="000000" w:sz="4" w:space="0"/>
              <w:right w:val="single" w:color="000000" w:sz="4" w:space="0"/>
            </w:tcBorders>
            <w:vAlign w:val="center"/>
          </w:tcPr>
          <w:p w14:paraId="69EACC4D">
            <w:pPr>
              <w:ind w:firstLine="0" w:firstLineChars="0"/>
              <w:jc w:val="center"/>
              <w:rPr>
                <w:rFonts w:ascii="Calibri" w:hAnsi="Calibri" w:cs="Calibri"/>
                <w:color w:val="auto"/>
                <w:highlight w:val="none"/>
                <w:u w:color="000000"/>
              </w:rPr>
            </w:pPr>
            <w:r>
              <w:rPr>
                <w:rFonts w:hint="eastAsia" w:ascii="宋体" w:hAnsi="宋体" w:cs="Calibri"/>
                <w:color w:val="auto"/>
                <w:kern w:val="0"/>
                <w:sz w:val="22"/>
                <w:szCs w:val="22"/>
                <w:highlight w:val="none"/>
                <w:u w:color="000000"/>
              </w:rPr>
              <w:t>税费</w:t>
            </w:r>
          </w:p>
        </w:tc>
        <w:tc>
          <w:tcPr>
            <w:tcW w:w="1701" w:type="dxa"/>
            <w:tcBorders>
              <w:top w:val="single" w:color="000000" w:sz="4" w:space="0"/>
              <w:left w:val="nil"/>
              <w:bottom w:val="single" w:color="000000" w:sz="4" w:space="0"/>
              <w:right w:val="single" w:color="000000" w:sz="4" w:space="0"/>
            </w:tcBorders>
            <w:vAlign w:val="center"/>
          </w:tcPr>
          <w:p w14:paraId="68014D15">
            <w:pPr>
              <w:ind w:firstLine="0" w:firstLineChars="0"/>
              <w:rPr>
                <w:rFonts w:ascii="Calibri" w:hAnsi="Calibri" w:cs="Calibri"/>
                <w:color w:val="auto"/>
                <w:highlight w:val="none"/>
                <w:u w:color="000000"/>
              </w:rPr>
            </w:pPr>
            <w:r>
              <w:rPr>
                <w:rFonts w:hint="eastAsia" w:ascii="宋体" w:hAnsi="宋体" w:cs="Calibri"/>
                <w:color w:val="auto"/>
                <w:kern w:val="0"/>
                <w:sz w:val="22"/>
                <w:szCs w:val="22"/>
                <w:highlight w:val="none"/>
                <w:u w:color="000000"/>
              </w:rPr>
              <w:t>　</w:t>
            </w:r>
          </w:p>
        </w:tc>
        <w:tc>
          <w:tcPr>
            <w:tcW w:w="1756" w:type="dxa"/>
            <w:tcBorders>
              <w:top w:val="single" w:color="000000" w:sz="4" w:space="0"/>
              <w:left w:val="nil"/>
              <w:bottom w:val="single" w:color="000000" w:sz="4" w:space="0"/>
              <w:right w:val="single" w:color="000000" w:sz="4" w:space="0"/>
            </w:tcBorders>
            <w:vAlign w:val="center"/>
          </w:tcPr>
          <w:p w14:paraId="3DD57859">
            <w:pPr>
              <w:ind w:firstLine="0" w:firstLineChars="0"/>
              <w:jc w:val="center"/>
              <w:rPr>
                <w:rFonts w:ascii="Calibri" w:hAnsi="Calibri" w:cs="Calibri"/>
                <w:color w:val="auto"/>
                <w:highlight w:val="none"/>
                <w:u w:color="000000"/>
              </w:rPr>
            </w:pPr>
            <w:r>
              <w:rPr>
                <w:rFonts w:hint="eastAsia" w:ascii="华文宋体" w:hAnsi="华文宋体" w:eastAsia="华文宋体" w:cs="Calibri"/>
                <w:color w:val="auto"/>
                <w:kern w:val="0"/>
                <w:sz w:val="22"/>
                <w:szCs w:val="22"/>
                <w:highlight w:val="none"/>
                <w:u w:color="000000"/>
              </w:rPr>
              <w:t>√</w:t>
            </w:r>
          </w:p>
        </w:tc>
      </w:tr>
    </w:tbl>
    <w:p w14:paraId="1133F0D8">
      <w:pPr>
        <w:spacing w:line="560" w:lineRule="exact"/>
      </w:pPr>
    </w:p>
    <w:p w14:paraId="2CAC4115">
      <w:pPr>
        <w:pStyle w:val="59"/>
        <w:ind w:firstLine="0" w:firstLineChars="0"/>
        <w:rPr>
          <w:rFonts w:hint="eastAsia" w:ascii="仿宋_GB2312" w:hAnsi="仿宋_GB2312" w:eastAsia="仿宋_GB2312" w:cs="仿宋_GB2312"/>
          <w:sz w:val="32"/>
          <w:szCs w:val="32"/>
        </w:rPr>
      </w:pPr>
    </w:p>
    <w:p w14:paraId="4997D338">
      <w:pPr>
        <w:pStyle w:val="50"/>
        <w:rPr>
          <w:rFonts w:hint="eastAsia"/>
        </w:rPr>
      </w:pPr>
    </w:p>
    <w:p w14:paraId="44112FD0">
      <w:pPr>
        <w:pStyle w:val="50"/>
        <w:rPr>
          <w:rFonts w:hint="eastAsia"/>
        </w:rPr>
      </w:pPr>
    </w:p>
    <w:p w14:paraId="65781599">
      <w:pPr>
        <w:ind w:firstLine="420"/>
        <w:rPr>
          <w:rFonts w:hint="eastAsia"/>
        </w:rPr>
      </w:pPr>
    </w:p>
    <w:p w14:paraId="42EAF621">
      <w:pPr>
        <w:ind w:firstLine="420"/>
        <w:rPr>
          <w:rFonts w:hint="eastAsia"/>
        </w:rPr>
      </w:pPr>
    </w:p>
    <w:p w14:paraId="0331C49E">
      <w:pPr>
        <w:ind w:firstLine="420"/>
        <w:rPr>
          <w:rFonts w:hint="eastAsia"/>
        </w:rPr>
      </w:pPr>
    </w:p>
    <w:p w14:paraId="5AC7E027">
      <w:pPr>
        <w:ind w:firstLine="420"/>
        <w:rPr>
          <w:rFonts w:hint="eastAsia"/>
        </w:rPr>
      </w:pPr>
    </w:p>
    <w:p w14:paraId="313689A3">
      <w:pPr>
        <w:ind w:firstLine="420"/>
        <w:rPr>
          <w:rFonts w:hint="eastAsia"/>
        </w:rPr>
      </w:pPr>
    </w:p>
    <w:p w14:paraId="78E8CADD">
      <w:pPr>
        <w:ind w:firstLine="420"/>
        <w:rPr>
          <w:rFonts w:hint="eastAsia"/>
        </w:rPr>
      </w:pPr>
    </w:p>
    <w:p w14:paraId="5BBE63D1">
      <w:pPr>
        <w:ind w:firstLine="420"/>
      </w:pPr>
    </w:p>
    <w:p w14:paraId="7CA5CA89">
      <w:pPr>
        <w:ind w:firstLine="420"/>
      </w:pPr>
    </w:p>
    <w:p w14:paraId="691BE4D8">
      <w:pPr>
        <w:ind w:firstLine="420"/>
      </w:pPr>
    </w:p>
    <w:p w14:paraId="390D2F1C">
      <w:pPr>
        <w:widowControl w:val="0"/>
        <w:autoSpaceDE w:val="0"/>
        <w:autoSpaceDN w:val="0"/>
        <w:adjustRightInd w:val="0"/>
        <w:snapToGrid w:val="0"/>
        <w:ind w:firstLine="0" w:firstLineChars="0"/>
        <w:jc w:val="center"/>
        <w:outlineLvl w:val="0"/>
        <w:rPr>
          <w:rFonts w:ascii="宋体" w:hAnsi="宋体"/>
          <w:b/>
          <w:sz w:val="52"/>
          <w:szCs w:val="52"/>
        </w:rPr>
      </w:pPr>
      <w:bookmarkStart w:id="382" w:name="_Toc2498"/>
      <w:bookmarkStart w:id="383" w:name="_Toc29564"/>
      <w:bookmarkStart w:id="384" w:name="_Toc21234"/>
      <w:bookmarkStart w:id="385" w:name="_Toc11551"/>
      <w:r>
        <w:rPr>
          <w:rFonts w:hint="eastAsia" w:ascii="宋体" w:hAnsi="宋体"/>
          <w:b/>
          <w:sz w:val="52"/>
          <w:szCs w:val="52"/>
        </w:rPr>
        <w:t>第四章 项目需求</w:t>
      </w:r>
      <w:bookmarkEnd w:id="382"/>
      <w:bookmarkEnd w:id="383"/>
      <w:bookmarkEnd w:id="384"/>
      <w:bookmarkEnd w:id="385"/>
    </w:p>
    <w:p w14:paraId="6395B0C2">
      <w:pPr>
        <w:pStyle w:val="3"/>
        <w:adjustRightInd w:val="0"/>
        <w:snapToGrid w:val="0"/>
        <w:ind w:firstLine="0" w:firstLineChars="0"/>
        <w:jc w:val="center"/>
        <w:rPr>
          <w:rFonts w:hint="eastAsia" w:ascii="宋体" w:hAnsi="宋体"/>
          <w:b w:val="0"/>
          <w:sz w:val="28"/>
        </w:rPr>
      </w:pPr>
      <w:bookmarkStart w:id="386" w:name="_Toc65491446"/>
      <w:bookmarkStart w:id="387" w:name="_Toc65501075"/>
      <w:r>
        <w:rPr>
          <w:rFonts w:ascii="宋体" w:hAnsi="宋体"/>
          <w:b w:val="0"/>
          <w:sz w:val="28"/>
        </w:rPr>
        <w:br w:type="page"/>
      </w:r>
      <w:bookmarkEnd w:id="344"/>
      <w:bookmarkEnd w:id="345"/>
      <w:bookmarkStart w:id="388" w:name="_Toc32688"/>
      <w:bookmarkStart w:id="389" w:name="_Toc152042575"/>
      <w:bookmarkStart w:id="390" w:name="_Toc905"/>
      <w:bookmarkStart w:id="391" w:name="_Toc144974855"/>
      <w:bookmarkStart w:id="392" w:name="_Toc21356"/>
      <w:bookmarkStart w:id="393" w:name="_Toc20595"/>
      <w:bookmarkStart w:id="394" w:name="_Toc4334"/>
      <w:bookmarkStart w:id="395" w:name="_Toc152045786"/>
      <w:r>
        <w:rPr>
          <w:rFonts w:hint="eastAsia" w:ascii="宋体" w:hAnsi="宋体"/>
          <w:b w:val="0"/>
        </w:rPr>
        <w:t>一、</w:t>
      </w:r>
      <w:r>
        <w:rPr>
          <w:rFonts w:hint="eastAsia" w:ascii="宋体" w:hAnsi="宋体"/>
        </w:rPr>
        <w:t>商务条款</w:t>
      </w:r>
      <w:bookmarkEnd w:id="388"/>
    </w:p>
    <w:p w14:paraId="2AC6F805">
      <w:pPr>
        <w:keepNext/>
        <w:keepLines/>
        <w:spacing w:before="240" w:after="240"/>
        <w:ind w:firstLine="0" w:firstLineChars="0"/>
        <w:outlineLvl w:val="2"/>
        <w:rPr>
          <w:rFonts w:eastAsia="黑体"/>
          <w:b/>
          <w:bCs/>
          <w:sz w:val="28"/>
          <w:szCs w:val="32"/>
        </w:rPr>
      </w:pPr>
      <w:bookmarkStart w:id="396" w:name="_Toc27213"/>
      <w:r>
        <w:rPr>
          <w:rFonts w:hint="eastAsia" w:eastAsia="黑体"/>
          <w:b/>
          <w:bCs/>
          <w:sz w:val="28"/>
          <w:szCs w:val="32"/>
        </w:rPr>
        <w:t>1、项目概述</w:t>
      </w:r>
      <w:bookmarkEnd w:id="396"/>
    </w:p>
    <w:p w14:paraId="7C7A8D37">
      <w:pPr>
        <w:ind w:firstLine="420"/>
        <w:rPr>
          <w:rFonts w:hint="eastAsia" w:eastAsia="宋体"/>
          <w:lang w:eastAsia="zh-CN"/>
        </w:rPr>
      </w:pPr>
      <w:r>
        <w:rPr>
          <w:rFonts w:hint="eastAsia"/>
        </w:rPr>
        <w:t>本项目为深圳市网羽中心运营管理有限公司员工食堂后厨综合保障服务采购项目，为保障公司员工食堂常态化、标准化、安全化运营，满足全体员工早、中、晚日常就餐需求，现通过公开招标方式选取专业服务商，承接食堂后厨全流程保障服务。公司食堂餐人数约为40-50人，服务商需派驻专业后厨人员驻场服务，全面负责餐食制作、食品安全管控、后厨环境清洁、设备运维、台账管理等全部后厨工作，全程服从甲方统一管理调度，承担服务期间食品安全主体责任及相关运营责任。</w:t>
      </w:r>
    </w:p>
    <w:p w14:paraId="46F1A73B">
      <w:pPr>
        <w:keepNext/>
        <w:keepLines/>
        <w:spacing w:before="240" w:after="240"/>
        <w:ind w:firstLine="0" w:firstLineChars="0"/>
        <w:outlineLvl w:val="2"/>
        <w:rPr>
          <w:rFonts w:hint="eastAsia" w:eastAsia="黑体"/>
          <w:b/>
          <w:bCs/>
          <w:sz w:val="28"/>
          <w:szCs w:val="32"/>
        </w:rPr>
      </w:pPr>
      <w:bookmarkStart w:id="397" w:name="_Toc1020"/>
      <w:r>
        <w:rPr>
          <w:rFonts w:hint="eastAsia" w:eastAsia="黑体"/>
          <w:b/>
          <w:bCs/>
          <w:sz w:val="28"/>
          <w:szCs w:val="32"/>
        </w:rPr>
        <w:t>2、招标范围</w:t>
      </w:r>
      <w:bookmarkEnd w:id="397"/>
    </w:p>
    <w:p w14:paraId="3E74E885">
      <w:pPr>
        <w:keepNext w:val="0"/>
        <w:keepLines w:val="0"/>
        <w:pageBreakBefore w:val="0"/>
        <w:widowControl/>
        <w:kinsoku w:val="0"/>
        <w:wordWrap/>
        <w:overflowPunct/>
        <w:topLinePunct w:val="0"/>
        <w:autoSpaceDE w:val="0"/>
        <w:autoSpaceDN w:val="0"/>
        <w:bidi w:val="0"/>
        <w:adjustRightInd w:val="0"/>
        <w:snapToGrid w:val="0"/>
        <w:spacing w:line="560" w:lineRule="exact"/>
        <w:ind w:firstLine="480" w:firstLineChars="200"/>
        <w:textAlignment w:val="baseline"/>
        <w:rPr>
          <w:rFonts w:hint="eastAsia" w:asciiTheme="minorEastAsia" w:hAnsiTheme="minorEastAsia" w:eastAsiaTheme="minorEastAsia" w:cstheme="minorEastAsia"/>
          <w:sz w:val="24"/>
          <w:szCs w:val="24"/>
        </w:rPr>
      </w:pPr>
      <w:r>
        <w:rPr>
          <w:rFonts w:hint="eastAsia" w:eastAsia="宋体"/>
          <w:sz w:val="24"/>
          <w:szCs w:val="24"/>
          <w:lang w:val="en-US" w:eastAsia="zh-CN"/>
        </w:rPr>
        <w:t xml:space="preserve">2.1 </w:t>
      </w:r>
      <w:r>
        <w:rPr>
          <w:rFonts w:hint="eastAsia" w:asciiTheme="minorEastAsia" w:hAnsiTheme="minorEastAsia" w:eastAsiaTheme="minorEastAsia" w:cstheme="minorEastAsia"/>
          <w:sz w:val="24"/>
          <w:szCs w:val="24"/>
        </w:rPr>
        <w:t>本次招标范围为员工食堂后厨综合保障全流程服务，具体包含但不限于：食材预处理、三餐菜品烹饪制作、食材验收与库存管控、后厨环境卫生清洁、厨具设备消毒养护、食品留样、食品安全台账登记、后厨设备日常巡检与简易运维、餐厨垃圾规范处理、用餐反馈处理、配合甲方日常检查及专项工作落实等全部后厨配套服务。服务商需全权负责派驻人员的薪酬、社保、体检、培训、保险等全部费用及人员管理工作。</w:t>
      </w:r>
    </w:p>
    <w:p w14:paraId="2E03FDDE">
      <w:pPr>
        <w:keepNext w:val="0"/>
        <w:keepLines w:val="0"/>
        <w:pageBreakBefore w:val="0"/>
        <w:widowControl/>
        <w:kinsoku w:val="0"/>
        <w:wordWrap/>
        <w:overflowPunct/>
        <w:topLinePunct w:val="0"/>
        <w:autoSpaceDE w:val="0"/>
        <w:autoSpaceDN w:val="0"/>
        <w:bidi w:val="0"/>
        <w:adjustRightInd w:val="0"/>
        <w:snapToGrid w:val="0"/>
        <w:spacing w:line="560" w:lineRule="exact"/>
        <w:ind w:firstLine="480" w:firstLineChars="200"/>
        <w:textAlignment w:val="baseline"/>
        <w:rPr>
          <w:rFonts w:hint="eastAsia" w:eastAsia="宋体"/>
          <w:sz w:val="24"/>
          <w:szCs w:val="24"/>
          <w:lang w:val="en-US" w:eastAsia="zh-CN"/>
        </w:rPr>
      </w:pPr>
      <w:r>
        <w:rPr>
          <w:rFonts w:hint="eastAsia" w:eastAsia="宋体"/>
          <w:sz w:val="24"/>
          <w:szCs w:val="24"/>
          <w:lang w:val="en-US" w:eastAsia="zh-CN"/>
        </w:rPr>
        <w:t xml:space="preserve">2.2 </w:t>
      </w:r>
      <w:r>
        <w:rPr>
          <w:rFonts w:hint="eastAsia" w:asciiTheme="minorEastAsia" w:hAnsiTheme="minorEastAsia" w:eastAsiaTheme="minorEastAsia" w:cstheme="minorEastAsia"/>
          <w:sz w:val="24"/>
          <w:szCs w:val="24"/>
          <w:lang w:val="en-US" w:eastAsia="zh-CN"/>
        </w:rPr>
        <w:t>投标人需固定派驻2名全职驻场人员，包含厨师长1名、厨师1名，全程在岗提供后厨保障服务。</w:t>
      </w:r>
    </w:p>
    <w:p w14:paraId="4E3C9E9A">
      <w:pPr>
        <w:keepNext w:val="0"/>
        <w:keepLines w:val="0"/>
        <w:pageBreakBefore w:val="0"/>
        <w:widowControl/>
        <w:kinsoku w:val="0"/>
        <w:wordWrap/>
        <w:overflowPunct/>
        <w:topLinePunct w:val="0"/>
        <w:autoSpaceDE w:val="0"/>
        <w:autoSpaceDN w:val="0"/>
        <w:bidi w:val="0"/>
        <w:adjustRightInd w:val="0"/>
        <w:snapToGrid w:val="0"/>
        <w:spacing w:line="560" w:lineRule="exact"/>
        <w:ind w:firstLine="480" w:firstLineChars="200"/>
        <w:textAlignment w:val="baseline"/>
        <w:rPr>
          <w:rFonts w:hint="eastAsia" w:eastAsia="宋体"/>
          <w:sz w:val="24"/>
          <w:szCs w:val="24"/>
          <w:lang w:val="en-US" w:eastAsia="zh-CN"/>
        </w:rPr>
      </w:pP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545"/>
        <w:gridCol w:w="1620"/>
        <w:gridCol w:w="4358"/>
      </w:tblGrid>
      <w:tr w14:paraId="1211E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4" w:type="dxa"/>
            <w:tcBorders>
              <w:top w:val="single" w:color="auto" w:sz="4" w:space="0"/>
              <w:left w:val="single" w:color="auto" w:sz="4" w:space="0"/>
              <w:bottom w:val="single" w:color="auto" w:sz="4" w:space="0"/>
              <w:right w:val="single" w:color="auto" w:sz="4" w:space="0"/>
            </w:tcBorders>
            <w:vAlign w:val="center"/>
          </w:tcPr>
          <w:p w14:paraId="5F06D9D3">
            <w:pPr>
              <w:widowControl w:val="0"/>
              <w:ind w:firstLine="0" w:firstLineChars="0"/>
              <w:jc w:val="center"/>
              <w:rPr>
                <w:b/>
                <w:bCs/>
                <w:color w:val="auto"/>
                <w:highlight w:val="none"/>
              </w:rPr>
            </w:pPr>
            <w:r>
              <w:rPr>
                <w:b/>
                <w:bCs/>
                <w:color w:val="auto"/>
                <w:highlight w:val="none"/>
              </w:rPr>
              <w:t>序号</w:t>
            </w:r>
          </w:p>
        </w:tc>
        <w:tc>
          <w:tcPr>
            <w:tcW w:w="1545" w:type="dxa"/>
            <w:tcBorders>
              <w:top w:val="single" w:color="auto" w:sz="4" w:space="0"/>
              <w:left w:val="nil"/>
              <w:bottom w:val="single" w:color="auto" w:sz="4" w:space="0"/>
              <w:right w:val="single" w:color="auto" w:sz="4" w:space="0"/>
            </w:tcBorders>
            <w:vAlign w:val="center"/>
          </w:tcPr>
          <w:p w14:paraId="7558D29C">
            <w:pPr>
              <w:widowControl w:val="0"/>
              <w:ind w:firstLine="0" w:firstLineChars="0"/>
              <w:jc w:val="center"/>
              <w:rPr>
                <w:rFonts w:hint="eastAsia" w:eastAsia="宋体"/>
                <w:b/>
                <w:bCs/>
                <w:color w:val="auto"/>
                <w:highlight w:val="none"/>
                <w:lang w:eastAsia="zh-CN"/>
              </w:rPr>
            </w:pPr>
            <w:r>
              <w:rPr>
                <w:rFonts w:hint="eastAsia" w:eastAsia="宋体"/>
                <w:b/>
                <w:bCs/>
                <w:color w:val="auto"/>
                <w:highlight w:val="none"/>
                <w:lang w:val="en-US" w:eastAsia="zh-CN"/>
              </w:rPr>
              <w:t>服务团队</w:t>
            </w:r>
          </w:p>
        </w:tc>
        <w:tc>
          <w:tcPr>
            <w:tcW w:w="1620" w:type="dxa"/>
            <w:tcBorders>
              <w:top w:val="single" w:color="auto" w:sz="4" w:space="0"/>
              <w:left w:val="nil"/>
              <w:bottom w:val="single" w:color="auto" w:sz="4" w:space="0"/>
              <w:right w:val="single" w:color="auto" w:sz="4" w:space="0"/>
            </w:tcBorders>
            <w:vAlign w:val="center"/>
          </w:tcPr>
          <w:p w14:paraId="3B0D5A90">
            <w:pPr>
              <w:widowControl w:val="0"/>
              <w:ind w:firstLine="0" w:firstLineChars="0"/>
              <w:jc w:val="center"/>
              <w:rPr>
                <w:rFonts w:hint="eastAsia" w:eastAsia="宋体"/>
                <w:b/>
                <w:bCs/>
                <w:color w:val="auto"/>
                <w:highlight w:val="none"/>
                <w:lang w:val="en-US" w:eastAsia="zh-CN"/>
              </w:rPr>
            </w:pPr>
            <w:r>
              <w:rPr>
                <w:rFonts w:hint="eastAsia" w:eastAsia="宋体"/>
                <w:b/>
                <w:bCs/>
                <w:color w:val="auto"/>
                <w:highlight w:val="none"/>
                <w:lang w:val="en-US" w:eastAsia="zh-CN"/>
              </w:rPr>
              <w:t>人数</w:t>
            </w:r>
          </w:p>
        </w:tc>
        <w:tc>
          <w:tcPr>
            <w:tcW w:w="4358" w:type="dxa"/>
            <w:tcBorders>
              <w:top w:val="single" w:color="auto" w:sz="4" w:space="0"/>
              <w:left w:val="nil"/>
              <w:bottom w:val="single" w:color="auto" w:sz="4" w:space="0"/>
              <w:right w:val="single" w:color="auto" w:sz="4" w:space="0"/>
            </w:tcBorders>
            <w:vAlign w:val="center"/>
          </w:tcPr>
          <w:p w14:paraId="25377E46">
            <w:pPr>
              <w:widowControl w:val="0"/>
              <w:ind w:firstLine="0" w:firstLineChars="0"/>
              <w:jc w:val="center"/>
              <w:rPr>
                <w:rFonts w:hint="eastAsia" w:eastAsia="宋体"/>
                <w:b/>
                <w:bCs/>
                <w:color w:val="auto"/>
                <w:highlight w:val="none"/>
                <w:lang w:val="en-US" w:eastAsia="zh-CN"/>
              </w:rPr>
            </w:pPr>
            <w:r>
              <w:rPr>
                <w:rFonts w:hint="eastAsia" w:eastAsia="宋体"/>
                <w:b/>
                <w:bCs/>
                <w:color w:val="auto"/>
                <w:highlight w:val="none"/>
                <w:lang w:val="en-US" w:eastAsia="zh-CN"/>
              </w:rPr>
              <w:t>岗位职责</w:t>
            </w:r>
          </w:p>
        </w:tc>
      </w:tr>
      <w:tr w14:paraId="7EDD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jc w:val="center"/>
        </w:trPr>
        <w:tc>
          <w:tcPr>
            <w:tcW w:w="864" w:type="dxa"/>
            <w:tcBorders>
              <w:top w:val="single" w:color="auto" w:sz="4" w:space="0"/>
              <w:left w:val="single" w:color="auto" w:sz="4" w:space="0"/>
              <w:bottom w:val="single" w:color="auto" w:sz="4" w:space="0"/>
              <w:right w:val="single" w:color="auto" w:sz="4" w:space="0"/>
            </w:tcBorders>
            <w:vAlign w:val="center"/>
          </w:tcPr>
          <w:p w14:paraId="016B47C1">
            <w:pPr>
              <w:widowControl w:val="0"/>
              <w:ind w:firstLine="0" w:firstLineChars="0"/>
              <w:jc w:val="center"/>
              <w:rPr>
                <w:rFonts w:ascii="等线" w:hAnsi="等线"/>
                <w:color w:val="auto"/>
                <w:sz w:val="21"/>
                <w:szCs w:val="21"/>
                <w:highlight w:val="none"/>
              </w:rPr>
            </w:pPr>
            <w:r>
              <w:rPr>
                <w:rFonts w:ascii="等线" w:hAnsi="等线"/>
                <w:color w:val="auto"/>
                <w:sz w:val="21"/>
                <w:szCs w:val="21"/>
                <w:highlight w:val="none"/>
              </w:rPr>
              <w:t>1</w:t>
            </w:r>
          </w:p>
        </w:tc>
        <w:tc>
          <w:tcPr>
            <w:tcW w:w="1545" w:type="dxa"/>
            <w:tcBorders>
              <w:top w:val="single" w:color="auto" w:sz="4" w:space="0"/>
              <w:left w:val="nil"/>
              <w:bottom w:val="single" w:color="auto" w:sz="4" w:space="0"/>
              <w:right w:val="single" w:color="auto" w:sz="4" w:space="0"/>
            </w:tcBorders>
            <w:vAlign w:val="center"/>
          </w:tcPr>
          <w:p w14:paraId="6F862855">
            <w:pPr>
              <w:widowControl w:val="0"/>
              <w:ind w:firstLine="0" w:firstLineChars="0"/>
              <w:jc w:val="center"/>
              <w:rPr>
                <w:rFonts w:hint="eastAsia" w:ascii="等线" w:hAnsi="等线" w:eastAsia="宋体"/>
                <w:color w:val="auto"/>
                <w:sz w:val="21"/>
                <w:szCs w:val="21"/>
                <w:highlight w:val="none"/>
                <w:lang w:eastAsia="zh-CN"/>
              </w:rPr>
            </w:pPr>
            <w:r>
              <w:rPr>
                <w:rFonts w:hint="eastAsia" w:ascii="等线" w:hAnsi="等线" w:eastAsia="宋体"/>
                <w:color w:val="auto"/>
                <w:sz w:val="21"/>
                <w:szCs w:val="21"/>
                <w:highlight w:val="none"/>
                <w:lang w:val="en-US" w:eastAsia="zh-CN"/>
              </w:rPr>
              <w:t>厨师长</w:t>
            </w:r>
          </w:p>
        </w:tc>
        <w:tc>
          <w:tcPr>
            <w:tcW w:w="1620" w:type="dxa"/>
            <w:tcBorders>
              <w:top w:val="single" w:color="auto" w:sz="4" w:space="0"/>
              <w:left w:val="nil"/>
              <w:bottom w:val="single" w:color="auto" w:sz="4" w:space="0"/>
              <w:right w:val="single" w:color="auto" w:sz="4" w:space="0"/>
            </w:tcBorders>
            <w:vAlign w:val="center"/>
          </w:tcPr>
          <w:p w14:paraId="14DDE4B7">
            <w:pPr>
              <w:widowControl w:val="0"/>
              <w:ind w:firstLine="0" w:firstLineChars="0"/>
              <w:jc w:val="center"/>
              <w:rPr>
                <w:rFonts w:ascii="等线" w:hAnsi="等线"/>
                <w:color w:val="auto"/>
                <w:sz w:val="21"/>
                <w:szCs w:val="21"/>
                <w:highlight w:val="none"/>
              </w:rPr>
            </w:pPr>
            <w:r>
              <w:rPr>
                <w:rFonts w:ascii="等线" w:hAnsi="等线"/>
                <w:color w:val="auto"/>
                <w:sz w:val="21"/>
                <w:szCs w:val="21"/>
                <w:highlight w:val="none"/>
              </w:rPr>
              <w:t>1</w:t>
            </w:r>
          </w:p>
        </w:tc>
        <w:tc>
          <w:tcPr>
            <w:tcW w:w="4358" w:type="dxa"/>
            <w:tcBorders>
              <w:top w:val="single" w:color="auto" w:sz="4" w:space="0"/>
              <w:left w:val="nil"/>
              <w:bottom w:val="single" w:color="auto" w:sz="4" w:space="0"/>
              <w:right w:val="single" w:color="auto" w:sz="4" w:space="0"/>
            </w:tcBorders>
            <w:vAlign w:val="center"/>
          </w:tcPr>
          <w:p w14:paraId="777556AD">
            <w:pPr>
              <w:keepNext w:val="0"/>
              <w:keepLines w:val="0"/>
              <w:widowControl/>
              <w:suppressLineNumbers w:val="0"/>
              <w:jc w:val="left"/>
              <w:rPr>
                <w:rFonts w:ascii="等线" w:hAnsi="等线"/>
                <w:color w:val="auto"/>
                <w:sz w:val="21"/>
                <w:szCs w:val="21"/>
                <w:highlight w:val="none"/>
              </w:rPr>
            </w:pPr>
            <w:r>
              <w:rPr>
                <w:rFonts w:ascii="宋体" w:hAnsi="宋体" w:eastAsia="宋体" w:cs="宋体"/>
                <w:snapToGrid w:val="0"/>
                <w:color w:val="000000"/>
                <w:kern w:val="0"/>
                <w:sz w:val="21"/>
                <w:szCs w:val="21"/>
                <w:lang w:val="en-US" w:eastAsia="zh-CN" w:bidi="ar"/>
              </w:rPr>
              <w:t>全面负责食堂后厨菜品制作、食材加工管控、后厨卫生及食品安全统筹管理；把控菜品口味、分量、成本，每日核对后厨耗材损耗，完成食材验收工作；负责后厨设备日常巡检、清洁养护、食品留样、各类台账登记管理；统筹厨师日常工作安排</w:t>
            </w:r>
            <w:r>
              <w:rPr>
                <w:rFonts w:hint="eastAsia" w:ascii="宋体" w:hAnsi="宋体" w:eastAsia="宋体" w:cs="宋体"/>
                <w:snapToGrid w:val="0"/>
                <w:color w:val="000000"/>
                <w:kern w:val="0"/>
                <w:sz w:val="21"/>
                <w:szCs w:val="21"/>
                <w:lang w:val="en-US" w:eastAsia="zh-CN" w:bidi="ar"/>
              </w:rPr>
              <w:t>。</w:t>
            </w:r>
          </w:p>
        </w:tc>
      </w:tr>
      <w:tr w14:paraId="2C32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6" w:hRule="atLeast"/>
          <w:jc w:val="center"/>
        </w:trPr>
        <w:tc>
          <w:tcPr>
            <w:tcW w:w="864" w:type="dxa"/>
            <w:tcBorders>
              <w:top w:val="single" w:color="auto" w:sz="4" w:space="0"/>
              <w:left w:val="single" w:color="auto" w:sz="4" w:space="0"/>
              <w:bottom w:val="single" w:color="auto" w:sz="4" w:space="0"/>
              <w:right w:val="single" w:color="auto" w:sz="4" w:space="0"/>
            </w:tcBorders>
            <w:vAlign w:val="center"/>
          </w:tcPr>
          <w:p w14:paraId="00CC9FAD">
            <w:pPr>
              <w:widowControl w:val="0"/>
              <w:ind w:firstLine="0" w:firstLineChars="0"/>
              <w:jc w:val="center"/>
              <w:rPr>
                <w:rFonts w:hint="eastAsia" w:ascii="等线" w:hAnsi="等线" w:eastAsia="宋体"/>
                <w:color w:val="auto"/>
                <w:sz w:val="21"/>
                <w:szCs w:val="21"/>
                <w:highlight w:val="none"/>
                <w:lang w:val="en-US" w:eastAsia="zh-CN"/>
              </w:rPr>
            </w:pPr>
            <w:r>
              <w:rPr>
                <w:rFonts w:hint="eastAsia" w:ascii="等线" w:hAnsi="等线" w:eastAsia="宋体"/>
                <w:color w:val="auto"/>
                <w:sz w:val="21"/>
                <w:szCs w:val="21"/>
                <w:highlight w:val="none"/>
                <w:lang w:val="en-US" w:eastAsia="zh-CN"/>
              </w:rPr>
              <w:t>2</w:t>
            </w:r>
          </w:p>
        </w:tc>
        <w:tc>
          <w:tcPr>
            <w:tcW w:w="1545" w:type="dxa"/>
            <w:tcBorders>
              <w:top w:val="single" w:color="auto" w:sz="4" w:space="0"/>
              <w:left w:val="nil"/>
              <w:bottom w:val="single" w:color="auto" w:sz="4" w:space="0"/>
              <w:right w:val="single" w:color="auto" w:sz="4" w:space="0"/>
            </w:tcBorders>
            <w:vAlign w:val="center"/>
          </w:tcPr>
          <w:p w14:paraId="061233F1">
            <w:pPr>
              <w:widowControl w:val="0"/>
              <w:ind w:firstLine="0" w:firstLineChars="0"/>
              <w:jc w:val="center"/>
              <w:rPr>
                <w:rFonts w:hint="eastAsia" w:ascii="等线" w:hAnsi="等线" w:eastAsia="宋体"/>
                <w:color w:val="auto"/>
                <w:sz w:val="21"/>
                <w:szCs w:val="21"/>
                <w:highlight w:val="none"/>
                <w:lang w:val="en-US" w:eastAsia="zh-CN"/>
              </w:rPr>
            </w:pPr>
            <w:r>
              <w:rPr>
                <w:rFonts w:hint="eastAsia" w:ascii="等线" w:hAnsi="等线" w:eastAsia="宋体"/>
                <w:color w:val="auto"/>
                <w:sz w:val="21"/>
                <w:szCs w:val="21"/>
                <w:highlight w:val="none"/>
                <w:lang w:val="en-US" w:eastAsia="zh-CN"/>
              </w:rPr>
              <w:t>厨师</w:t>
            </w:r>
          </w:p>
        </w:tc>
        <w:tc>
          <w:tcPr>
            <w:tcW w:w="1620" w:type="dxa"/>
            <w:tcBorders>
              <w:top w:val="single" w:color="auto" w:sz="4" w:space="0"/>
              <w:left w:val="nil"/>
              <w:bottom w:val="single" w:color="auto" w:sz="4" w:space="0"/>
              <w:right w:val="single" w:color="auto" w:sz="4" w:space="0"/>
            </w:tcBorders>
            <w:vAlign w:val="center"/>
          </w:tcPr>
          <w:p w14:paraId="51FF2F6E">
            <w:pPr>
              <w:widowControl w:val="0"/>
              <w:ind w:firstLine="0" w:firstLineChars="0"/>
              <w:jc w:val="center"/>
              <w:rPr>
                <w:rFonts w:hint="eastAsia" w:ascii="等线" w:hAnsi="等线" w:eastAsia="宋体"/>
                <w:color w:val="auto"/>
                <w:sz w:val="21"/>
                <w:szCs w:val="21"/>
                <w:highlight w:val="none"/>
                <w:lang w:val="en-US" w:eastAsia="zh-CN"/>
              </w:rPr>
            </w:pPr>
            <w:r>
              <w:rPr>
                <w:rFonts w:hint="eastAsia" w:ascii="等线" w:hAnsi="等线" w:eastAsia="宋体"/>
                <w:color w:val="auto"/>
                <w:sz w:val="21"/>
                <w:szCs w:val="21"/>
                <w:highlight w:val="none"/>
                <w:lang w:val="en-US" w:eastAsia="zh-CN"/>
              </w:rPr>
              <w:t>1</w:t>
            </w:r>
          </w:p>
        </w:tc>
        <w:tc>
          <w:tcPr>
            <w:tcW w:w="4358" w:type="dxa"/>
            <w:tcBorders>
              <w:top w:val="single" w:color="auto" w:sz="4" w:space="0"/>
              <w:left w:val="nil"/>
              <w:bottom w:val="single" w:color="auto" w:sz="4" w:space="0"/>
              <w:right w:val="single" w:color="auto" w:sz="4" w:space="0"/>
            </w:tcBorders>
            <w:vAlign w:val="center"/>
          </w:tcPr>
          <w:p w14:paraId="3B499880">
            <w:pPr>
              <w:keepNext w:val="0"/>
              <w:keepLines w:val="0"/>
              <w:widowControl/>
              <w:suppressLineNumbers w:val="0"/>
              <w:jc w:val="left"/>
              <w:rPr>
                <w:rFonts w:ascii="等线" w:hAnsi="等线"/>
                <w:color w:val="auto"/>
                <w:sz w:val="21"/>
                <w:szCs w:val="21"/>
                <w:highlight w:val="none"/>
              </w:rPr>
            </w:pPr>
            <w:r>
              <w:rPr>
                <w:rFonts w:ascii="宋体" w:hAnsi="宋体" w:eastAsia="宋体" w:cs="宋体"/>
                <w:snapToGrid w:val="0"/>
                <w:color w:val="000000"/>
                <w:kern w:val="0"/>
                <w:sz w:val="21"/>
                <w:szCs w:val="21"/>
                <w:lang w:val="en-US" w:eastAsia="zh-CN" w:bidi="ar"/>
              </w:rPr>
              <w:t>严格按照厨师长工作安排，完成每日食材切配、蒸煮、炒制、面点辅助制作等工作；负责后厨操作区域、厨具餐具日常清洁、分类消毒</w:t>
            </w:r>
            <w:r>
              <w:rPr>
                <w:rFonts w:hint="eastAsia" w:ascii="宋体" w:hAnsi="宋体" w:eastAsia="宋体" w:cs="宋体"/>
                <w:snapToGrid w:val="0"/>
                <w:color w:val="000000"/>
                <w:kern w:val="0"/>
                <w:sz w:val="21"/>
                <w:szCs w:val="21"/>
                <w:lang w:val="en-US" w:eastAsia="zh-CN" w:bidi="ar"/>
              </w:rPr>
              <w:t>、</w:t>
            </w:r>
            <w:r>
              <w:rPr>
                <w:rFonts w:ascii="宋体" w:hAnsi="宋体" w:eastAsia="宋体" w:cs="宋体"/>
                <w:snapToGrid w:val="0"/>
                <w:color w:val="000000"/>
                <w:kern w:val="0"/>
                <w:sz w:val="21"/>
                <w:szCs w:val="21"/>
                <w:lang w:val="en-US" w:eastAsia="zh-CN" w:bidi="ar"/>
              </w:rPr>
              <w:t>食材分类存放</w:t>
            </w:r>
            <w:r>
              <w:rPr>
                <w:rFonts w:hint="eastAsia" w:ascii="宋体" w:hAnsi="宋体" w:eastAsia="宋体" w:cs="宋体"/>
                <w:snapToGrid w:val="0"/>
                <w:color w:val="000000"/>
                <w:kern w:val="0"/>
                <w:sz w:val="21"/>
                <w:szCs w:val="21"/>
                <w:lang w:val="en-US" w:eastAsia="zh-CN" w:bidi="ar"/>
              </w:rPr>
              <w:t>；</w:t>
            </w:r>
            <w:r>
              <w:rPr>
                <w:rFonts w:ascii="宋体" w:hAnsi="宋体" w:eastAsia="宋体" w:cs="宋体"/>
                <w:snapToGrid w:val="0"/>
                <w:color w:val="000000"/>
                <w:kern w:val="0"/>
                <w:sz w:val="21"/>
                <w:szCs w:val="21"/>
                <w:lang w:val="en-US" w:eastAsia="zh-CN" w:bidi="ar"/>
              </w:rPr>
              <w:t>服从甲方及厨师长管理调度，配合完成各项日常工作。</w:t>
            </w:r>
          </w:p>
        </w:tc>
      </w:tr>
    </w:tbl>
    <w:p w14:paraId="51F5350D">
      <w:pPr>
        <w:ind w:firstLine="420"/>
      </w:pPr>
    </w:p>
    <w:p w14:paraId="783E6DD5">
      <w:pPr>
        <w:keepNext/>
        <w:keepLines/>
        <w:spacing w:before="240" w:after="240"/>
        <w:ind w:firstLine="0" w:firstLineChars="0"/>
        <w:outlineLvl w:val="2"/>
        <w:rPr>
          <w:rFonts w:eastAsia="黑体"/>
          <w:b/>
          <w:bCs/>
          <w:sz w:val="28"/>
          <w:szCs w:val="32"/>
        </w:rPr>
      </w:pPr>
      <w:bookmarkStart w:id="398" w:name="_Toc21704"/>
      <w:r>
        <w:rPr>
          <w:rFonts w:hint="eastAsia" w:eastAsia="黑体"/>
          <w:b/>
          <w:bCs/>
          <w:sz w:val="28"/>
          <w:szCs w:val="32"/>
        </w:rPr>
        <w:t>3、服务期</w:t>
      </w:r>
      <w:bookmarkEnd w:id="398"/>
    </w:p>
    <w:p w14:paraId="3A14D536">
      <w:pPr>
        <w:ind w:firstLine="420"/>
        <w:rPr>
          <w:rFonts w:hint="eastAsia"/>
        </w:rPr>
      </w:pPr>
      <w:r>
        <w:rPr>
          <w:rFonts w:hint="eastAsia"/>
        </w:rPr>
        <w:t>本次采购合同期限为12个月。合同续期最多不超过2次，每次续期不超过12个月，总服务期不超过36个月，续签合同的实质性内容不变。年度履约评价未通过考核，将不再续签合同。</w:t>
      </w:r>
    </w:p>
    <w:p w14:paraId="16B3E0DB">
      <w:pPr>
        <w:keepNext/>
        <w:keepLines/>
        <w:spacing w:before="240" w:after="240"/>
        <w:ind w:firstLine="0" w:firstLineChars="0"/>
        <w:outlineLvl w:val="2"/>
        <w:rPr>
          <w:rFonts w:eastAsia="黑体"/>
          <w:b/>
          <w:bCs/>
          <w:sz w:val="28"/>
          <w:szCs w:val="32"/>
        </w:rPr>
      </w:pPr>
      <w:bookmarkStart w:id="399" w:name="_Toc18827"/>
      <w:r>
        <w:rPr>
          <w:rFonts w:hint="eastAsia" w:eastAsia="黑体"/>
          <w:b/>
          <w:bCs/>
          <w:sz w:val="28"/>
          <w:szCs w:val="32"/>
        </w:rPr>
        <w:t>4、</w:t>
      </w:r>
      <w:r>
        <w:rPr>
          <w:rFonts w:eastAsia="黑体"/>
          <w:b/>
          <w:bCs/>
          <w:sz w:val="28"/>
          <w:szCs w:val="32"/>
        </w:rPr>
        <w:t>付款方法和条件</w:t>
      </w:r>
      <w:bookmarkEnd w:id="399"/>
    </w:p>
    <w:p w14:paraId="116735A4">
      <w:pPr>
        <w:keepNext/>
        <w:keepLines/>
        <w:spacing w:before="240" w:after="240"/>
        <w:ind w:firstLine="0" w:firstLineChars="0"/>
        <w:outlineLvl w:val="2"/>
        <w:rPr>
          <w:rFonts w:hint="eastAsia" w:eastAsia="黑体"/>
          <w:b/>
          <w:bCs/>
          <w:sz w:val="28"/>
          <w:szCs w:val="32"/>
        </w:rPr>
      </w:pPr>
      <w:r>
        <w:rPr>
          <w:rFonts w:hint="eastAsia"/>
        </w:rPr>
        <w:t>按月结算，服务商提供合法有效等额增值税普通发票，甲方在收到发票及完整结算资料后20个工作日内支付当月服务费用。</w:t>
      </w:r>
      <w:bookmarkStart w:id="400" w:name="_Toc13245"/>
    </w:p>
    <w:p w14:paraId="0B42F4CF">
      <w:pPr>
        <w:keepNext/>
        <w:keepLines/>
        <w:spacing w:before="240" w:after="240"/>
        <w:ind w:firstLine="0" w:firstLineChars="0"/>
        <w:outlineLvl w:val="2"/>
        <w:rPr>
          <w:rFonts w:eastAsia="黑体"/>
          <w:b/>
          <w:bCs/>
          <w:sz w:val="28"/>
          <w:szCs w:val="32"/>
        </w:rPr>
      </w:pPr>
      <w:r>
        <w:rPr>
          <w:rFonts w:hint="eastAsia" w:eastAsia="黑体"/>
          <w:b/>
          <w:bCs/>
          <w:sz w:val="28"/>
          <w:szCs w:val="32"/>
        </w:rPr>
        <w:t>5、</w:t>
      </w:r>
      <w:r>
        <w:rPr>
          <w:rFonts w:eastAsia="黑体"/>
          <w:b/>
          <w:bCs/>
          <w:sz w:val="28"/>
          <w:szCs w:val="32"/>
        </w:rPr>
        <w:t>报价方式和约束</w:t>
      </w:r>
      <w:bookmarkEnd w:id="400"/>
    </w:p>
    <w:p w14:paraId="720C041A">
      <w:pPr>
        <w:ind w:firstLine="420"/>
        <w:rPr>
          <w:rFonts w:hint="eastAsia"/>
        </w:rPr>
      </w:pPr>
    </w:p>
    <w:p w14:paraId="69B89545">
      <w:pPr>
        <w:widowControl w:val="0"/>
        <w:autoSpaceDE w:val="0"/>
        <w:autoSpaceDN w:val="0"/>
        <w:adjustRightInd w:val="0"/>
        <w:snapToGrid w:val="0"/>
        <w:ind w:firstLine="0" w:firstLineChars="0"/>
        <w:rPr>
          <w:rFonts w:hint="eastAsia" w:ascii="宋体" w:hAnsi="宋体"/>
        </w:rPr>
      </w:pPr>
      <w:r>
        <w:rPr>
          <w:rFonts w:hint="eastAsia" w:ascii="宋体" w:hAnsi="宋体"/>
        </w:rPr>
        <w:t>5.1 本项目采用固定总价</w:t>
      </w:r>
      <w:r>
        <w:rPr>
          <w:rFonts w:hint="eastAsia" w:ascii="宋体" w:hAnsi="宋体"/>
          <w:lang w:val="en-US" w:eastAsia="zh-CN"/>
        </w:rPr>
        <w:t>分项</w:t>
      </w:r>
      <w:r>
        <w:rPr>
          <w:rFonts w:hint="eastAsia" w:ascii="宋体" w:hAnsi="宋体"/>
        </w:rPr>
        <w:t>报价方式，投标人需结合项目服务内容、人员配置、服务标准等全部要求，自主测算全年总价，报价包含服务期内所有成本、税费、管理费、风险费等一切费用。</w:t>
      </w:r>
    </w:p>
    <w:p w14:paraId="7AC6D87C">
      <w:pPr>
        <w:widowControl w:val="0"/>
        <w:autoSpaceDE w:val="0"/>
        <w:autoSpaceDN w:val="0"/>
        <w:adjustRightInd w:val="0"/>
        <w:snapToGrid w:val="0"/>
        <w:ind w:firstLine="0" w:firstLineChars="0"/>
        <w:rPr>
          <w:rFonts w:hint="eastAsia" w:ascii="宋体" w:hAnsi="宋体"/>
        </w:rPr>
      </w:pPr>
      <w:r>
        <w:rPr>
          <w:rFonts w:hint="eastAsia" w:ascii="宋体" w:hAnsi="宋体"/>
        </w:rPr>
        <w:t>5.2  本项目招标控制价为227667元/年，投标人年度总报价不得超过该控制价，否则视为无效投标。</w:t>
      </w:r>
    </w:p>
    <w:p w14:paraId="149654BB">
      <w:pPr>
        <w:pStyle w:val="3"/>
        <w:adjustRightInd w:val="0"/>
        <w:snapToGrid w:val="0"/>
        <w:ind w:firstLine="0" w:firstLineChars="0"/>
        <w:jc w:val="center"/>
        <w:rPr>
          <w:rFonts w:ascii="宋体" w:hAnsi="宋体"/>
        </w:rPr>
      </w:pPr>
      <w:bookmarkStart w:id="401" w:name="_Toc136874890"/>
      <w:bookmarkStart w:id="402" w:name="_Toc25061"/>
      <w:r>
        <w:rPr>
          <w:rFonts w:hint="eastAsia" w:ascii="宋体" w:hAnsi="宋体"/>
        </w:rPr>
        <w:t>二、技术条款</w:t>
      </w:r>
      <w:bookmarkEnd w:id="386"/>
      <w:bookmarkEnd w:id="387"/>
      <w:bookmarkEnd w:id="401"/>
      <w:bookmarkEnd w:id="402"/>
    </w:p>
    <w:p w14:paraId="0165FDFE">
      <w:pPr>
        <w:pStyle w:val="50"/>
      </w:pPr>
    </w:p>
    <w:p w14:paraId="204DF8D4">
      <w:pPr>
        <w:pStyle w:val="50"/>
      </w:pPr>
    </w:p>
    <w:p w14:paraId="75E09900">
      <w:pPr>
        <w:pStyle w:val="50"/>
      </w:pPr>
    </w:p>
    <w:p w14:paraId="153E8BB6">
      <w:pPr>
        <w:spacing w:before="78" w:line="222" w:lineRule="auto"/>
        <w:ind w:left="35"/>
        <w:rPr>
          <w:rFonts w:ascii="黑体" w:hAnsi="黑体" w:eastAsia="黑体" w:cs="黑体"/>
          <w:sz w:val="24"/>
          <w:szCs w:val="24"/>
        </w:rPr>
      </w:pPr>
      <w:r>
        <w:rPr>
          <w:rFonts w:ascii="黑体" w:hAnsi="黑体" w:eastAsia="黑体" w:cs="黑体"/>
          <w:spacing w:val="-3"/>
          <w:sz w:val="24"/>
          <w:szCs w:val="24"/>
        </w:rPr>
        <w:t>1.投标人资格要求</w:t>
      </w:r>
    </w:p>
    <w:p w14:paraId="5AFEF649">
      <w:pPr>
        <w:spacing w:line="420" w:lineRule="auto"/>
        <w:rPr>
          <w:rFonts w:hint="eastAsia" w:ascii="Arial"/>
          <w:sz w:val="21"/>
        </w:rPr>
      </w:pPr>
    </w:p>
    <w:p w14:paraId="75A9EC18">
      <w:pPr>
        <w:spacing w:line="420" w:lineRule="auto"/>
        <w:ind w:firstLine="480" w:firstLineChars="200"/>
        <w:rPr>
          <w:rFonts w:hint="eastAsia" w:ascii="Arial"/>
          <w:sz w:val="24"/>
          <w:szCs w:val="24"/>
        </w:rPr>
      </w:pPr>
      <w:r>
        <w:rPr>
          <w:rFonts w:hint="eastAsia" w:ascii="Arial"/>
          <w:sz w:val="24"/>
          <w:szCs w:val="24"/>
        </w:rPr>
        <w:t xml:space="preserve">1. </w:t>
      </w:r>
      <w:r>
        <w:rPr>
          <w:rFonts w:hint="eastAsia" w:eastAsia="宋体"/>
          <w:sz w:val="24"/>
          <w:szCs w:val="24"/>
          <w:lang w:val="en-US" w:eastAsia="zh-CN"/>
        </w:rPr>
        <w:t xml:space="preserve">1 </w:t>
      </w:r>
      <w:r>
        <w:rPr>
          <w:rFonts w:hint="eastAsia" w:ascii="Arial"/>
          <w:sz w:val="24"/>
          <w:szCs w:val="24"/>
        </w:rPr>
        <w:t>法人资质：在国内依法登记注册的独立法人企业，具备有效的营业执照，经营范围包含餐饮管理、餐饮服务相关内容。</w:t>
      </w:r>
    </w:p>
    <w:p w14:paraId="5DC78FA4">
      <w:pPr>
        <w:spacing w:line="420" w:lineRule="auto"/>
        <w:ind w:firstLine="480" w:firstLineChars="200"/>
        <w:rPr>
          <w:rFonts w:hint="eastAsia" w:ascii="Arial"/>
          <w:sz w:val="24"/>
          <w:szCs w:val="24"/>
        </w:rPr>
      </w:pPr>
      <w:r>
        <w:rPr>
          <w:rFonts w:hint="eastAsia" w:eastAsia="宋体"/>
          <w:sz w:val="24"/>
          <w:szCs w:val="24"/>
          <w:lang w:val="en-US" w:eastAsia="zh-CN"/>
        </w:rPr>
        <w:t>1.</w:t>
      </w:r>
      <w:r>
        <w:rPr>
          <w:rFonts w:hint="eastAsia" w:ascii="Arial"/>
          <w:sz w:val="24"/>
          <w:szCs w:val="24"/>
        </w:rPr>
        <w:t>2</w:t>
      </w:r>
      <w:r>
        <w:rPr>
          <w:rFonts w:hint="eastAsia" w:eastAsia="宋体"/>
          <w:sz w:val="24"/>
          <w:szCs w:val="24"/>
          <w:lang w:val="en-US" w:eastAsia="zh-CN"/>
        </w:rPr>
        <w:t xml:space="preserve"> </w:t>
      </w:r>
      <w:r>
        <w:rPr>
          <w:rFonts w:hint="eastAsia" w:ascii="Arial"/>
          <w:sz w:val="24"/>
          <w:szCs w:val="24"/>
        </w:rPr>
        <w:t>经营许可：持有有效的《食品经营许可证》，许可范围包含热食类食品制售，具备合法餐饮服务经营资质。</w:t>
      </w:r>
    </w:p>
    <w:p w14:paraId="296DA2D9">
      <w:pPr>
        <w:spacing w:line="420" w:lineRule="auto"/>
        <w:ind w:firstLine="480" w:firstLineChars="200"/>
        <w:rPr>
          <w:rFonts w:hint="eastAsia" w:ascii="Arial"/>
          <w:sz w:val="24"/>
          <w:szCs w:val="24"/>
        </w:rPr>
      </w:pPr>
      <w:r>
        <w:rPr>
          <w:rFonts w:hint="eastAsia" w:eastAsia="宋体"/>
          <w:sz w:val="24"/>
          <w:szCs w:val="24"/>
          <w:lang w:val="en-US" w:eastAsia="zh-CN"/>
        </w:rPr>
        <w:t>1.</w:t>
      </w:r>
      <w:r>
        <w:rPr>
          <w:rFonts w:hint="eastAsia" w:ascii="Arial"/>
          <w:sz w:val="24"/>
          <w:szCs w:val="24"/>
        </w:rPr>
        <w:t>3</w:t>
      </w:r>
      <w:r>
        <w:rPr>
          <w:rFonts w:hint="eastAsia" w:eastAsia="宋体"/>
          <w:sz w:val="24"/>
          <w:szCs w:val="24"/>
          <w:lang w:val="en-US" w:eastAsia="zh-CN"/>
        </w:rPr>
        <w:t xml:space="preserve"> </w:t>
      </w:r>
      <w:r>
        <w:rPr>
          <w:rFonts w:hint="eastAsia" w:ascii="Arial"/>
          <w:sz w:val="24"/>
          <w:szCs w:val="24"/>
        </w:rPr>
        <w:t>信用要求：投标人及法定代表人未被列入失信被执行人、重大税收违法失信主体、政府采购严重违法失信行为记录名单及经营异常名录，近三年内无重大食品安全处罚记录、无重大安全生产事故记录。</w:t>
      </w:r>
    </w:p>
    <w:p w14:paraId="0B56FD6F">
      <w:pPr>
        <w:spacing w:line="420" w:lineRule="auto"/>
        <w:ind w:firstLine="480" w:firstLineChars="200"/>
        <w:rPr>
          <w:rFonts w:hint="eastAsia" w:ascii="Arial"/>
          <w:sz w:val="24"/>
          <w:szCs w:val="24"/>
        </w:rPr>
      </w:pPr>
      <w:r>
        <w:rPr>
          <w:rFonts w:hint="eastAsia" w:eastAsia="宋体"/>
          <w:sz w:val="24"/>
          <w:szCs w:val="24"/>
          <w:lang w:val="en-US" w:eastAsia="zh-CN"/>
        </w:rPr>
        <w:t>1.</w:t>
      </w:r>
      <w:r>
        <w:rPr>
          <w:rFonts w:hint="eastAsia" w:ascii="Arial"/>
          <w:sz w:val="24"/>
          <w:szCs w:val="24"/>
        </w:rPr>
        <w:t>4</w:t>
      </w:r>
      <w:r>
        <w:rPr>
          <w:rFonts w:hint="eastAsia" w:eastAsia="宋体"/>
          <w:sz w:val="24"/>
          <w:szCs w:val="24"/>
          <w:lang w:val="en-US" w:eastAsia="zh-CN"/>
        </w:rPr>
        <w:t xml:space="preserve"> </w:t>
      </w:r>
      <w:r>
        <w:rPr>
          <w:rFonts w:hint="eastAsia" w:ascii="Arial"/>
          <w:sz w:val="24"/>
          <w:szCs w:val="24"/>
        </w:rPr>
        <w:t>人员承诺：承诺所有派驻后厨工作人员持有效健康证上岗，无传染性疾病、无不良从业记录，服从甲方管理。</w:t>
      </w:r>
    </w:p>
    <w:p w14:paraId="6083C881">
      <w:pPr>
        <w:spacing w:line="420" w:lineRule="auto"/>
        <w:ind w:firstLine="480" w:firstLineChars="200"/>
        <w:rPr>
          <w:rFonts w:hint="eastAsia" w:ascii="Arial"/>
          <w:sz w:val="24"/>
          <w:szCs w:val="24"/>
        </w:rPr>
      </w:pPr>
      <w:r>
        <w:rPr>
          <w:rFonts w:hint="eastAsia" w:eastAsia="宋体"/>
          <w:sz w:val="24"/>
          <w:szCs w:val="24"/>
          <w:lang w:val="en-US" w:eastAsia="zh-CN"/>
        </w:rPr>
        <w:t>1.</w:t>
      </w:r>
      <w:r>
        <w:rPr>
          <w:rFonts w:hint="eastAsia" w:ascii="Arial"/>
          <w:sz w:val="24"/>
          <w:szCs w:val="24"/>
        </w:rPr>
        <w:t>5</w:t>
      </w:r>
      <w:r>
        <w:rPr>
          <w:rFonts w:hint="eastAsia" w:eastAsia="宋体"/>
          <w:sz w:val="24"/>
          <w:szCs w:val="24"/>
          <w:lang w:val="en-US" w:eastAsia="zh-CN"/>
        </w:rPr>
        <w:t xml:space="preserve"> </w:t>
      </w:r>
      <w:r>
        <w:rPr>
          <w:rFonts w:hint="eastAsia" w:ascii="Arial"/>
          <w:sz w:val="24"/>
          <w:szCs w:val="24"/>
        </w:rPr>
        <w:t>投标限制：本项目不接受联合体投标，不允许转包、分包本项目服务。</w:t>
      </w:r>
    </w:p>
    <w:p w14:paraId="3D9D3EEB">
      <w:pPr>
        <w:spacing w:line="420" w:lineRule="auto"/>
        <w:rPr>
          <w:rFonts w:hint="eastAsia" w:ascii="Arial"/>
          <w:sz w:val="21"/>
        </w:rPr>
      </w:pPr>
    </w:p>
    <w:p w14:paraId="3DA2193A">
      <w:pPr>
        <w:spacing w:before="78" w:line="221" w:lineRule="auto"/>
        <w:ind w:left="21"/>
        <w:rPr>
          <w:rFonts w:ascii="黑体" w:hAnsi="黑体" w:eastAsia="黑体" w:cs="黑体"/>
          <w:spacing w:val="-1"/>
          <w:sz w:val="24"/>
          <w:szCs w:val="24"/>
        </w:rPr>
      </w:pPr>
      <w:r>
        <w:rPr>
          <w:rFonts w:ascii="黑体" w:hAnsi="黑体" w:eastAsia="黑体" w:cs="黑体"/>
          <w:spacing w:val="-1"/>
          <w:sz w:val="24"/>
          <w:szCs w:val="24"/>
        </w:rPr>
        <w:t>2.技术（服务）标准</w:t>
      </w:r>
    </w:p>
    <w:p w14:paraId="7EACBA74">
      <w:pPr>
        <w:spacing w:before="78" w:line="221" w:lineRule="auto"/>
        <w:ind w:left="21"/>
        <w:rPr>
          <w:rFonts w:ascii="黑体" w:hAnsi="黑体" w:eastAsia="黑体" w:cs="黑体"/>
          <w:spacing w:val="-1"/>
          <w:sz w:val="24"/>
          <w:szCs w:val="24"/>
        </w:rPr>
      </w:pPr>
    </w:p>
    <w:tbl>
      <w:tblPr>
        <w:tblStyle w:val="52"/>
        <w:tblW w:w="45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6"/>
        <w:gridCol w:w="1716"/>
        <w:gridCol w:w="2390"/>
        <w:gridCol w:w="2016"/>
      </w:tblGrid>
      <w:tr w14:paraId="736CB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424" w:type="pct"/>
            <w:vAlign w:val="center"/>
          </w:tcPr>
          <w:p w14:paraId="37DA85F7">
            <w:pPr>
              <w:spacing w:before="120" w:after="120" w:line="288" w:lineRule="auto"/>
              <w:ind w:left="840"/>
              <w:jc w:val="center"/>
              <w:rPr>
                <w:rFonts w:hint="eastAsia" w:ascii="宋体" w:hAnsi="宋体" w:eastAsia="宋体"/>
                <w:sz w:val="24"/>
              </w:rPr>
            </w:pPr>
            <w:r>
              <w:rPr>
                <w:rFonts w:ascii="宋体" w:hAnsi="宋体" w:eastAsia="宋体" w:cs="Arial"/>
                <w:sz w:val="24"/>
              </w:rPr>
              <w:t>序号</w:t>
            </w:r>
          </w:p>
        </w:tc>
        <w:tc>
          <w:tcPr>
            <w:tcW w:w="854" w:type="pct"/>
            <w:vAlign w:val="center"/>
          </w:tcPr>
          <w:p w14:paraId="55523191">
            <w:pPr>
              <w:spacing w:before="120" w:after="120" w:line="288" w:lineRule="auto"/>
              <w:ind w:left="840"/>
              <w:jc w:val="center"/>
              <w:rPr>
                <w:rFonts w:hint="default" w:ascii="宋体" w:hAnsi="宋体" w:eastAsia="宋体"/>
                <w:sz w:val="24"/>
                <w:lang w:val="en-US" w:eastAsia="zh-CN"/>
              </w:rPr>
            </w:pPr>
            <w:r>
              <w:rPr>
                <w:rFonts w:hint="eastAsia" w:ascii="宋体" w:hAnsi="宋体" w:eastAsia="宋体" w:cs="Arial"/>
                <w:sz w:val="24"/>
                <w:lang w:val="en-US" w:eastAsia="zh-CN"/>
              </w:rPr>
              <w:t>服务标准</w:t>
            </w:r>
          </w:p>
        </w:tc>
        <w:tc>
          <w:tcPr>
            <w:tcW w:w="2048" w:type="pct"/>
            <w:vAlign w:val="center"/>
          </w:tcPr>
          <w:p w14:paraId="4D44638A">
            <w:pPr>
              <w:spacing w:before="120" w:after="120" w:line="288" w:lineRule="auto"/>
              <w:ind w:left="840"/>
              <w:jc w:val="center"/>
              <w:rPr>
                <w:rFonts w:hint="eastAsia" w:ascii="宋体" w:hAnsi="宋体" w:eastAsia="宋体"/>
                <w:sz w:val="24"/>
                <w:lang w:eastAsia="zh-CN"/>
              </w:rPr>
            </w:pPr>
            <w:r>
              <w:rPr>
                <w:rFonts w:ascii="宋体" w:hAnsi="宋体" w:eastAsia="宋体" w:cs="Arial"/>
                <w:sz w:val="24"/>
              </w:rPr>
              <w:t>核心</w:t>
            </w:r>
            <w:r>
              <w:rPr>
                <w:rFonts w:hint="eastAsia" w:ascii="宋体" w:hAnsi="宋体" w:eastAsia="宋体" w:cs="Arial"/>
                <w:sz w:val="24"/>
                <w:lang w:val="en-US" w:eastAsia="zh-CN"/>
              </w:rPr>
              <w:t>内容</w:t>
            </w:r>
          </w:p>
        </w:tc>
        <w:tc>
          <w:tcPr>
            <w:tcW w:w="1672" w:type="pct"/>
            <w:vAlign w:val="center"/>
          </w:tcPr>
          <w:p w14:paraId="53AB7322">
            <w:pPr>
              <w:spacing w:before="120" w:after="120" w:line="288" w:lineRule="auto"/>
              <w:ind w:left="840"/>
              <w:jc w:val="center"/>
              <w:rPr>
                <w:rFonts w:hint="eastAsia" w:ascii="宋体" w:hAnsi="宋体" w:eastAsia="宋体"/>
                <w:sz w:val="24"/>
              </w:rPr>
            </w:pPr>
            <w:r>
              <w:rPr>
                <w:rFonts w:ascii="宋体" w:hAnsi="宋体" w:eastAsia="宋体" w:cs="Arial"/>
                <w:sz w:val="24"/>
              </w:rPr>
              <w:t>执行标准与硬性要求</w:t>
            </w:r>
          </w:p>
        </w:tc>
      </w:tr>
      <w:tr w14:paraId="1E977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9" w:hRule="atLeast"/>
          <w:jc w:val="center"/>
        </w:trPr>
        <w:tc>
          <w:tcPr>
            <w:tcW w:w="424" w:type="pct"/>
            <w:vAlign w:val="center"/>
          </w:tcPr>
          <w:p w14:paraId="2D8AB8A8">
            <w:pPr>
              <w:spacing w:before="120" w:after="120" w:line="288" w:lineRule="auto"/>
              <w:ind w:left="840"/>
              <w:jc w:val="both"/>
              <w:rPr>
                <w:rFonts w:hint="eastAsia" w:ascii="宋体" w:hAnsi="宋体" w:eastAsia="宋体"/>
                <w:sz w:val="24"/>
              </w:rPr>
            </w:pPr>
            <w:r>
              <w:rPr>
                <w:rFonts w:ascii="宋体" w:hAnsi="宋体" w:eastAsia="宋体" w:cs="Arial"/>
                <w:sz w:val="24"/>
              </w:rPr>
              <w:t>1</w:t>
            </w:r>
          </w:p>
        </w:tc>
        <w:tc>
          <w:tcPr>
            <w:tcW w:w="854" w:type="pct"/>
            <w:vAlign w:val="center"/>
          </w:tcPr>
          <w:p w14:paraId="3DDABE80">
            <w:pPr>
              <w:spacing w:before="120" w:after="120" w:line="288" w:lineRule="auto"/>
              <w:ind w:left="840"/>
              <w:jc w:val="both"/>
              <w:rPr>
                <w:rFonts w:hint="eastAsia" w:ascii="宋体" w:hAnsi="宋体" w:eastAsia="宋体"/>
                <w:sz w:val="24"/>
              </w:rPr>
            </w:pPr>
            <w:r>
              <w:rPr>
                <w:rFonts w:ascii="宋体" w:hAnsi="宋体" w:eastAsia="宋体" w:cs="Arial"/>
                <w:sz w:val="24"/>
              </w:rPr>
              <w:t>食材加工与预处理</w:t>
            </w:r>
          </w:p>
        </w:tc>
        <w:tc>
          <w:tcPr>
            <w:tcW w:w="2048" w:type="pct"/>
            <w:vAlign w:val="center"/>
          </w:tcPr>
          <w:p w14:paraId="0BCB1A8E">
            <w:pPr>
              <w:spacing w:before="120" w:after="120" w:line="288" w:lineRule="auto"/>
              <w:ind w:left="840"/>
              <w:jc w:val="both"/>
              <w:rPr>
                <w:rFonts w:hint="eastAsia" w:ascii="宋体" w:hAnsi="宋体" w:eastAsia="宋体"/>
                <w:sz w:val="24"/>
              </w:rPr>
            </w:pPr>
            <w:r>
              <w:rPr>
                <w:rFonts w:ascii="宋体" w:hAnsi="宋体" w:eastAsia="宋体" w:cs="Arial"/>
                <w:sz w:val="24"/>
              </w:rPr>
              <w:t>1. 按当日菜单、用餐人数精准申领食材，核对原料规格、数量</w:t>
            </w:r>
            <w:r>
              <w:rPr>
                <w:rFonts w:ascii="宋体" w:hAnsi="宋体" w:eastAsia="宋体" w:cs="Arial"/>
                <w:sz w:val="24"/>
              </w:rPr>
              <w:br w:type="textWrapping"/>
            </w:r>
            <w:r>
              <w:rPr>
                <w:rFonts w:ascii="宋体" w:hAnsi="宋体" w:eastAsia="宋体" w:cs="Arial"/>
                <w:sz w:val="24"/>
              </w:rPr>
              <w:t>2. 蔬菜择洗、肉类解冻腌制、水产处理、干货泡发等初加工</w:t>
            </w:r>
            <w:r>
              <w:rPr>
                <w:rFonts w:ascii="宋体" w:hAnsi="宋体" w:eastAsia="宋体" w:cs="Arial"/>
                <w:sz w:val="24"/>
              </w:rPr>
              <w:br w:type="textWrapping"/>
            </w:r>
            <w:r>
              <w:rPr>
                <w:rFonts w:ascii="宋体" w:hAnsi="宋体" w:eastAsia="宋体" w:cs="Arial"/>
                <w:sz w:val="24"/>
              </w:rPr>
              <w:t>3. 生熟食材分开加工、分类盛装，做好半成品保鲜</w:t>
            </w:r>
            <w:r>
              <w:rPr>
                <w:rFonts w:ascii="宋体" w:hAnsi="宋体" w:eastAsia="宋体" w:cs="Arial"/>
                <w:sz w:val="24"/>
              </w:rPr>
              <w:br w:type="textWrapping"/>
            </w:r>
            <w:r>
              <w:rPr>
                <w:rFonts w:ascii="宋体" w:hAnsi="宋体" w:eastAsia="宋体" w:cs="Arial"/>
                <w:sz w:val="24"/>
              </w:rPr>
              <w:t>4. 合理利用食材边角料，严控加工损耗</w:t>
            </w:r>
          </w:p>
        </w:tc>
        <w:tc>
          <w:tcPr>
            <w:tcW w:w="1672" w:type="pct"/>
            <w:vAlign w:val="center"/>
          </w:tcPr>
          <w:p w14:paraId="09C67C33">
            <w:pPr>
              <w:spacing w:before="120" w:after="120" w:line="288" w:lineRule="auto"/>
              <w:ind w:left="840"/>
              <w:jc w:val="both"/>
              <w:rPr>
                <w:rFonts w:hint="eastAsia" w:ascii="宋体" w:hAnsi="宋体" w:eastAsia="宋体"/>
                <w:sz w:val="24"/>
              </w:rPr>
            </w:pPr>
            <w:r>
              <w:rPr>
                <w:rFonts w:ascii="宋体" w:hAnsi="宋体" w:eastAsia="宋体" w:cs="Arial"/>
                <w:sz w:val="24"/>
              </w:rPr>
              <w:t>1. 拒收变质、异味、过保质期的原料，立即报备主管</w:t>
            </w:r>
            <w:r>
              <w:rPr>
                <w:rFonts w:ascii="宋体" w:hAnsi="宋体" w:eastAsia="宋体" w:cs="Arial"/>
                <w:sz w:val="24"/>
              </w:rPr>
              <w:br w:type="textWrapping"/>
            </w:r>
            <w:r>
              <w:rPr>
                <w:rFonts w:ascii="宋体" w:hAnsi="宋体" w:eastAsia="宋体" w:cs="Arial"/>
                <w:sz w:val="24"/>
              </w:rPr>
              <w:t>2. 加工后食材标注存放时间，冷藏 / 冷冻分类存放，先进先出</w:t>
            </w:r>
            <w:r>
              <w:rPr>
                <w:rFonts w:ascii="宋体" w:hAnsi="宋体" w:eastAsia="宋体" w:cs="Arial"/>
                <w:sz w:val="24"/>
              </w:rPr>
              <w:br w:type="textWrapping"/>
            </w:r>
            <w:r>
              <w:rPr>
                <w:rFonts w:ascii="宋体" w:hAnsi="宋体" w:eastAsia="宋体" w:cs="Arial"/>
                <w:sz w:val="24"/>
              </w:rPr>
              <w:t>3. 初加工损耗控制在行业标准范围内，杜绝浪费</w:t>
            </w:r>
          </w:p>
        </w:tc>
      </w:tr>
      <w:tr w14:paraId="60804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2" w:hRule="atLeast"/>
          <w:jc w:val="center"/>
        </w:trPr>
        <w:tc>
          <w:tcPr>
            <w:tcW w:w="424" w:type="pct"/>
            <w:vAlign w:val="center"/>
          </w:tcPr>
          <w:p w14:paraId="33A48C5A">
            <w:pPr>
              <w:spacing w:before="120" w:after="120" w:line="288" w:lineRule="auto"/>
              <w:ind w:left="840"/>
              <w:jc w:val="both"/>
              <w:rPr>
                <w:rFonts w:hint="eastAsia" w:ascii="宋体" w:hAnsi="宋体" w:eastAsia="宋体"/>
                <w:sz w:val="24"/>
              </w:rPr>
            </w:pPr>
            <w:r>
              <w:rPr>
                <w:rFonts w:ascii="宋体" w:hAnsi="宋体" w:eastAsia="宋体" w:cs="Arial"/>
                <w:sz w:val="24"/>
              </w:rPr>
              <w:t>2</w:t>
            </w:r>
          </w:p>
        </w:tc>
        <w:tc>
          <w:tcPr>
            <w:tcW w:w="854" w:type="pct"/>
            <w:vAlign w:val="center"/>
          </w:tcPr>
          <w:p w14:paraId="4AA925DF">
            <w:pPr>
              <w:spacing w:before="120" w:after="120" w:line="288" w:lineRule="auto"/>
              <w:ind w:left="840"/>
              <w:jc w:val="both"/>
              <w:rPr>
                <w:rFonts w:hint="eastAsia" w:ascii="宋体" w:hAnsi="宋体" w:eastAsia="宋体"/>
                <w:sz w:val="24"/>
              </w:rPr>
            </w:pPr>
            <w:r>
              <w:rPr>
                <w:rFonts w:ascii="宋体" w:hAnsi="宋体" w:eastAsia="宋体" w:cs="Arial"/>
                <w:sz w:val="24"/>
              </w:rPr>
              <w:t>烹饪出品质量管控</w:t>
            </w:r>
          </w:p>
        </w:tc>
        <w:tc>
          <w:tcPr>
            <w:tcW w:w="2048" w:type="pct"/>
            <w:vAlign w:val="center"/>
          </w:tcPr>
          <w:p w14:paraId="561EB94C">
            <w:pPr>
              <w:spacing w:before="120" w:after="120" w:line="288" w:lineRule="auto"/>
              <w:ind w:left="840"/>
              <w:jc w:val="both"/>
              <w:rPr>
                <w:rFonts w:hint="eastAsia" w:ascii="宋体" w:hAnsi="宋体" w:eastAsia="宋体"/>
                <w:sz w:val="24"/>
              </w:rPr>
            </w:pPr>
            <w:r>
              <w:rPr>
                <w:rFonts w:ascii="宋体" w:hAnsi="宋体" w:eastAsia="宋体" w:cs="Arial"/>
                <w:sz w:val="24"/>
              </w:rPr>
              <w:t>1. 严格执行菜品标准配方、火候、调味、分量，保证出品统一</w:t>
            </w:r>
            <w:r>
              <w:rPr>
                <w:rFonts w:ascii="宋体" w:hAnsi="宋体" w:eastAsia="宋体" w:cs="Arial"/>
                <w:sz w:val="24"/>
              </w:rPr>
              <w:br w:type="textWrapping"/>
            </w:r>
            <w:r>
              <w:rPr>
                <w:rFonts w:ascii="宋体" w:hAnsi="宋体" w:eastAsia="宋体" w:cs="Arial"/>
                <w:sz w:val="24"/>
              </w:rPr>
              <w:t>2. 把控出餐节奏，高峰期有序备菜</w:t>
            </w:r>
            <w:r>
              <w:rPr>
                <w:rFonts w:hint="eastAsia" w:ascii="宋体" w:hAnsi="宋体" w:eastAsia="宋体" w:cs="Arial"/>
                <w:sz w:val="24"/>
                <w:lang w:eastAsia="zh-CN"/>
              </w:rPr>
              <w:t>、</w:t>
            </w:r>
            <w:r>
              <w:rPr>
                <w:rFonts w:hint="eastAsia" w:ascii="宋体" w:hAnsi="宋体" w:eastAsia="宋体" w:cs="Arial"/>
                <w:sz w:val="24"/>
                <w:lang w:val="en-US" w:eastAsia="zh-CN"/>
              </w:rPr>
              <w:t>出餐，不出错</w:t>
            </w:r>
            <w:r>
              <w:rPr>
                <w:rFonts w:ascii="宋体" w:hAnsi="宋体" w:eastAsia="宋体" w:cs="Arial"/>
                <w:sz w:val="24"/>
              </w:rPr>
              <w:br w:type="textWrapping"/>
            </w:r>
            <w:r>
              <w:rPr>
                <w:rFonts w:ascii="宋体" w:hAnsi="宋体" w:eastAsia="宋体" w:cs="Arial"/>
                <w:sz w:val="24"/>
              </w:rPr>
              <w:t>3. 出锅前自查菜品口感、温度、卫生，不合格菜品坚决不出餐</w:t>
            </w:r>
          </w:p>
        </w:tc>
        <w:tc>
          <w:tcPr>
            <w:tcW w:w="1672" w:type="pct"/>
            <w:vAlign w:val="center"/>
          </w:tcPr>
          <w:p w14:paraId="73B777EA">
            <w:pPr>
              <w:spacing w:before="120" w:after="120" w:line="288" w:lineRule="auto"/>
              <w:ind w:left="840"/>
              <w:jc w:val="both"/>
              <w:rPr>
                <w:rFonts w:hint="eastAsia" w:ascii="宋体" w:hAnsi="宋体" w:eastAsia="宋体"/>
                <w:sz w:val="24"/>
              </w:rPr>
            </w:pPr>
            <w:r>
              <w:rPr>
                <w:rFonts w:ascii="宋体" w:hAnsi="宋体" w:eastAsia="宋体" w:cs="Arial"/>
                <w:sz w:val="24"/>
              </w:rPr>
              <w:t>1. 同菜品口味、色泽、摆盘一致性达标率 100%</w:t>
            </w:r>
            <w:r>
              <w:rPr>
                <w:rFonts w:ascii="宋体" w:hAnsi="宋体" w:eastAsia="宋体" w:cs="Arial"/>
                <w:sz w:val="24"/>
              </w:rPr>
              <w:br w:type="textWrapping"/>
            </w:r>
            <w:r>
              <w:rPr>
                <w:rFonts w:ascii="宋体" w:hAnsi="宋体" w:eastAsia="宋体" w:cs="Arial"/>
                <w:sz w:val="24"/>
              </w:rPr>
              <w:t>2. 特殊餐食（清真、素食、忌口）单独制作，杜绝交叉污染</w:t>
            </w:r>
            <w:r>
              <w:rPr>
                <w:rFonts w:ascii="宋体" w:hAnsi="宋体" w:eastAsia="宋体" w:cs="Arial"/>
                <w:sz w:val="24"/>
              </w:rPr>
              <w:br w:type="textWrapping"/>
            </w:r>
            <w:r>
              <w:rPr>
                <w:rFonts w:ascii="宋体" w:hAnsi="宋体" w:eastAsia="宋体" w:cs="Arial"/>
                <w:sz w:val="24"/>
              </w:rPr>
              <w:t>3. 异物、异味、凉透菜品严禁流出后厨</w:t>
            </w:r>
          </w:p>
        </w:tc>
      </w:tr>
      <w:tr w14:paraId="3F054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0" w:hRule="atLeast"/>
          <w:jc w:val="center"/>
        </w:trPr>
        <w:tc>
          <w:tcPr>
            <w:tcW w:w="424" w:type="pct"/>
            <w:vAlign w:val="center"/>
          </w:tcPr>
          <w:p w14:paraId="353D8243">
            <w:pPr>
              <w:spacing w:before="120" w:after="120" w:line="288" w:lineRule="auto"/>
              <w:ind w:left="840"/>
              <w:jc w:val="both"/>
              <w:rPr>
                <w:rFonts w:hint="eastAsia" w:ascii="宋体" w:hAnsi="宋体" w:eastAsia="宋体"/>
                <w:sz w:val="24"/>
              </w:rPr>
            </w:pPr>
            <w:r>
              <w:rPr>
                <w:rFonts w:ascii="宋体" w:hAnsi="宋体" w:eastAsia="宋体" w:cs="Arial"/>
                <w:sz w:val="24"/>
              </w:rPr>
              <w:t>3</w:t>
            </w:r>
          </w:p>
        </w:tc>
        <w:tc>
          <w:tcPr>
            <w:tcW w:w="854" w:type="pct"/>
            <w:vAlign w:val="center"/>
          </w:tcPr>
          <w:p w14:paraId="13BB0E86">
            <w:pPr>
              <w:spacing w:before="120" w:after="120" w:line="288" w:lineRule="auto"/>
              <w:ind w:left="840"/>
              <w:jc w:val="both"/>
              <w:rPr>
                <w:rFonts w:hint="eastAsia" w:ascii="宋体" w:hAnsi="宋体" w:eastAsia="宋体"/>
                <w:sz w:val="24"/>
              </w:rPr>
            </w:pPr>
            <w:r>
              <w:rPr>
                <w:rFonts w:ascii="宋体" w:hAnsi="宋体" w:eastAsia="宋体" w:cs="Arial"/>
                <w:sz w:val="24"/>
              </w:rPr>
              <w:t>食品安全与卫生管理（核心红线）</w:t>
            </w:r>
          </w:p>
        </w:tc>
        <w:tc>
          <w:tcPr>
            <w:tcW w:w="2048" w:type="pct"/>
            <w:vAlign w:val="center"/>
          </w:tcPr>
          <w:p w14:paraId="0A28D76A">
            <w:pPr>
              <w:spacing w:before="120" w:after="120" w:line="288" w:lineRule="auto"/>
              <w:ind w:left="840"/>
              <w:jc w:val="both"/>
              <w:rPr>
                <w:rFonts w:hint="eastAsia" w:ascii="宋体" w:hAnsi="宋体" w:eastAsia="宋体"/>
                <w:sz w:val="24"/>
              </w:rPr>
            </w:pPr>
            <w:r>
              <w:rPr>
                <w:rFonts w:ascii="宋体" w:hAnsi="宋体" w:eastAsia="宋体" w:cs="Arial"/>
                <w:sz w:val="24"/>
              </w:rPr>
              <w:t>1. 持有效健康证上岗，规范穿戴工服、工帽、口罩，遵守个人卫生要求</w:t>
            </w:r>
            <w:r>
              <w:rPr>
                <w:rFonts w:ascii="宋体" w:hAnsi="宋体" w:eastAsia="宋体" w:cs="Arial"/>
                <w:sz w:val="24"/>
              </w:rPr>
              <w:br w:type="textWrapping"/>
            </w:r>
            <w:r>
              <w:rPr>
                <w:rFonts w:ascii="宋体" w:hAnsi="宋体" w:eastAsia="宋体" w:cs="Arial"/>
                <w:sz w:val="24"/>
              </w:rPr>
              <w:t>2. 班前班后全面清洁灶台、案板、刀具、设备、地面等区域</w:t>
            </w:r>
            <w:r>
              <w:rPr>
                <w:rFonts w:ascii="宋体" w:hAnsi="宋体" w:eastAsia="宋体" w:cs="Arial"/>
                <w:sz w:val="24"/>
              </w:rPr>
              <w:br w:type="textWrapping"/>
            </w:r>
            <w:r>
              <w:rPr>
                <w:rFonts w:ascii="宋体" w:hAnsi="宋体" w:eastAsia="宋体" w:cs="Arial"/>
                <w:sz w:val="24"/>
              </w:rPr>
              <w:t>3. 生熟刀具、砧板按色标分开使用，定期高温消毒</w:t>
            </w:r>
            <w:r>
              <w:rPr>
                <w:rFonts w:ascii="宋体" w:hAnsi="宋体" w:eastAsia="宋体" w:cs="Arial"/>
                <w:sz w:val="24"/>
              </w:rPr>
              <w:br w:type="textWrapping"/>
            </w:r>
            <w:r>
              <w:rPr>
                <w:rFonts w:ascii="宋体" w:hAnsi="宋体" w:eastAsia="宋体" w:cs="Arial"/>
                <w:sz w:val="24"/>
              </w:rPr>
              <w:t>4. 每餐按规范完成食品留样，做好登记</w:t>
            </w:r>
            <w:r>
              <w:rPr>
                <w:rFonts w:ascii="宋体" w:hAnsi="宋体" w:eastAsia="宋体" w:cs="Arial"/>
                <w:sz w:val="24"/>
              </w:rPr>
              <w:br w:type="textWrapping"/>
            </w:r>
            <w:r>
              <w:rPr>
                <w:rFonts w:ascii="宋体" w:hAnsi="宋体" w:eastAsia="宋体" w:cs="Arial"/>
                <w:sz w:val="24"/>
              </w:rPr>
              <w:t>5. 规范处理餐厨垃圾，保持后厨环境整洁无异味</w:t>
            </w:r>
          </w:p>
        </w:tc>
        <w:tc>
          <w:tcPr>
            <w:tcW w:w="1672" w:type="pct"/>
            <w:vAlign w:val="center"/>
          </w:tcPr>
          <w:p w14:paraId="5BDCC1D7">
            <w:pPr>
              <w:spacing w:before="120" w:after="120" w:line="288" w:lineRule="auto"/>
              <w:ind w:left="840"/>
              <w:jc w:val="both"/>
              <w:rPr>
                <w:rFonts w:hint="eastAsia" w:ascii="宋体" w:hAnsi="宋体" w:eastAsia="宋体"/>
                <w:sz w:val="24"/>
              </w:rPr>
            </w:pPr>
            <w:r>
              <w:rPr>
                <w:rFonts w:ascii="宋体" w:hAnsi="宋体" w:eastAsia="宋体" w:cs="Arial"/>
                <w:sz w:val="24"/>
              </w:rPr>
              <w:t>1. 健康证过期、个人卫生不达标严禁上岗</w:t>
            </w:r>
            <w:r>
              <w:rPr>
                <w:rFonts w:ascii="宋体" w:hAnsi="宋体" w:eastAsia="宋体" w:cs="Arial"/>
                <w:sz w:val="24"/>
              </w:rPr>
              <w:br w:type="textWrapping"/>
            </w:r>
            <w:r>
              <w:rPr>
                <w:rFonts w:ascii="宋体" w:hAnsi="宋体" w:eastAsia="宋体" w:cs="Arial"/>
                <w:sz w:val="24"/>
              </w:rPr>
              <w:t>2. 刀具、砧板每日消毒不少于 2 次，消毒记录完整</w:t>
            </w:r>
            <w:r>
              <w:rPr>
                <w:rFonts w:ascii="宋体" w:hAnsi="宋体" w:eastAsia="宋体" w:cs="Arial"/>
                <w:sz w:val="24"/>
              </w:rPr>
              <w:br w:type="textWrapping"/>
            </w:r>
            <w:r>
              <w:rPr>
                <w:rFonts w:ascii="宋体" w:hAnsi="宋体" w:eastAsia="宋体" w:cs="Arial"/>
                <w:sz w:val="24"/>
              </w:rPr>
              <w:t>3. 每样菜品留样≥125g，冷藏保存 48 小时，留样记录可追溯</w:t>
            </w:r>
            <w:r>
              <w:rPr>
                <w:rFonts w:ascii="宋体" w:hAnsi="宋体" w:eastAsia="宋体" w:cs="Arial"/>
                <w:sz w:val="24"/>
              </w:rPr>
              <w:br w:type="textWrapping"/>
            </w:r>
            <w:r>
              <w:rPr>
                <w:rFonts w:ascii="宋体" w:hAnsi="宋体" w:eastAsia="宋体" w:cs="Arial"/>
                <w:sz w:val="24"/>
              </w:rPr>
              <w:t>4. 食材离地离墙存放，冰箱定期除霜清理，无过期食材</w:t>
            </w:r>
          </w:p>
        </w:tc>
      </w:tr>
      <w:tr w14:paraId="6455F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6" w:hRule="atLeast"/>
          <w:jc w:val="center"/>
        </w:trPr>
        <w:tc>
          <w:tcPr>
            <w:tcW w:w="424" w:type="pct"/>
            <w:vAlign w:val="center"/>
          </w:tcPr>
          <w:p w14:paraId="48ACA022">
            <w:pPr>
              <w:spacing w:before="120" w:after="120" w:line="288" w:lineRule="auto"/>
              <w:ind w:left="840"/>
              <w:jc w:val="both"/>
              <w:rPr>
                <w:rFonts w:hint="eastAsia" w:ascii="宋体" w:hAnsi="宋体" w:eastAsia="宋体"/>
                <w:sz w:val="24"/>
              </w:rPr>
            </w:pPr>
            <w:r>
              <w:rPr>
                <w:rFonts w:ascii="宋体" w:hAnsi="宋体" w:eastAsia="宋体" w:cs="Arial"/>
                <w:sz w:val="24"/>
              </w:rPr>
              <w:t>4</w:t>
            </w:r>
          </w:p>
        </w:tc>
        <w:tc>
          <w:tcPr>
            <w:tcW w:w="854" w:type="pct"/>
            <w:vAlign w:val="center"/>
          </w:tcPr>
          <w:p w14:paraId="21880E26">
            <w:pPr>
              <w:spacing w:before="120" w:after="120" w:line="288" w:lineRule="auto"/>
              <w:ind w:left="840"/>
              <w:jc w:val="both"/>
              <w:rPr>
                <w:rFonts w:hint="eastAsia" w:ascii="宋体" w:hAnsi="宋体" w:eastAsia="宋体"/>
                <w:sz w:val="24"/>
              </w:rPr>
            </w:pPr>
            <w:r>
              <w:rPr>
                <w:rFonts w:ascii="宋体" w:hAnsi="宋体" w:eastAsia="宋体" w:cs="Arial"/>
                <w:sz w:val="24"/>
              </w:rPr>
              <w:t>设备工具操作与维护</w:t>
            </w:r>
          </w:p>
        </w:tc>
        <w:tc>
          <w:tcPr>
            <w:tcW w:w="2048" w:type="pct"/>
            <w:vAlign w:val="center"/>
          </w:tcPr>
          <w:p w14:paraId="7B937A74">
            <w:pPr>
              <w:spacing w:before="120" w:after="120" w:line="288" w:lineRule="auto"/>
              <w:ind w:left="840"/>
              <w:jc w:val="both"/>
              <w:rPr>
                <w:rFonts w:hint="eastAsia" w:ascii="宋体" w:hAnsi="宋体" w:eastAsia="宋体"/>
                <w:sz w:val="24"/>
              </w:rPr>
            </w:pPr>
            <w:r>
              <w:rPr>
                <w:rFonts w:ascii="宋体" w:hAnsi="宋体" w:eastAsia="宋体" w:cs="Arial"/>
                <w:sz w:val="24"/>
              </w:rPr>
              <w:t>1. 规范操作燃气灶、蒸饭柜、烤箱、切配设备等后厨器械</w:t>
            </w:r>
            <w:r>
              <w:rPr>
                <w:rFonts w:ascii="宋体" w:hAnsi="宋体" w:eastAsia="宋体" w:cs="Arial"/>
                <w:sz w:val="24"/>
              </w:rPr>
              <w:br w:type="textWrapping"/>
            </w:r>
            <w:r>
              <w:rPr>
                <w:rFonts w:ascii="宋体" w:hAnsi="宋体" w:eastAsia="宋体" w:cs="Arial"/>
                <w:sz w:val="24"/>
              </w:rPr>
              <w:t>2. 日常检查设备、水电燃气管路，发现故障、隐患第一时间上报</w:t>
            </w:r>
            <w:r>
              <w:rPr>
                <w:rFonts w:ascii="宋体" w:hAnsi="宋体" w:eastAsia="宋体" w:cs="Arial"/>
                <w:sz w:val="24"/>
              </w:rPr>
              <w:br w:type="textWrapping"/>
            </w:r>
            <w:r>
              <w:rPr>
                <w:rFonts w:ascii="宋体" w:hAnsi="宋体" w:eastAsia="宋体" w:cs="Arial"/>
                <w:sz w:val="24"/>
              </w:rPr>
              <w:t>3. 厨具用完清洗擦干归位，定期保养锅具、工具</w:t>
            </w:r>
            <w:r>
              <w:rPr>
                <w:rFonts w:ascii="宋体" w:hAnsi="宋体" w:eastAsia="宋体" w:cs="Arial"/>
                <w:sz w:val="24"/>
              </w:rPr>
              <w:br w:type="textWrapping"/>
            </w:r>
            <w:r>
              <w:rPr>
                <w:rFonts w:ascii="宋体" w:hAnsi="宋体" w:eastAsia="宋体" w:cs="Arial"/>
                <w:sz w:val="24"/>
              </w:rPr>
              <w:t>4. 下班前关闭所有水、电、气总阀门</w:t>
            </w:r>
          </w:p>
        </w:tc>
        <w:tc>
          <w:tcPr>
            <w:tcW w:w="1672" w:type="pct"/>
            <w:vAlign w:val="center"/>
          </w:tcPr>
          <w:p w14:paraId="63CDAC40">
            <w:pPr>
              <w:spacing w:before="120" w:after="120" w:line="288" w:lineRule="auto"/>
              <w:ind w:left="840"/>
              <w:jc w:val="both"/>
              <w:rPr>
                <w:rFonts w:hint="eastAsia" w:ascii="宋体" w:hAnsi="宋体" w:eastAsia="宋体"/>
                <w:sz w:val="24"/>
              </w:rPr>
            </w:pPr>
            <w:r>
              <w:rPr>
                <w:rFonts w:ascii="宋体" w:hAnsi="宋体" w:eastAsia="宋体" w:cs="Arial"/>
                <w:sz w:val="24"/>
              </w:rPr>
              <w:t>1. 严禁违规操作设备，杜绝安全事故</w:t>
            </w:r>
            <w:r>
              <w:rPr>
                <w:rFonts w:ascii="宋体" w:hAnsi="宋体" w:eastAsia="宋体" w:cs="Arial"/>
                <w:sz w:val="24"/>
              </w:rPr>
              <w:br w:type="textWrapping"/>
            </w:r>
            <w:r>
              <w:rPr>
                <w:rFonts w:ascii="宋体" w:hAnsi="宋体" w:eastAsia="宋体" w:cs="Arial"/>
                <w:sz w:val="24"/>
              </w:rPr>
              <w:t>2. 设备故障不得私自拆卸维修，必须报备专业人员处理</w:t>
            </w:r>
            <w:r>
              <w:rPr>
                <w:rFonts w:ascii="宋体" w:hAnsi="宋体" w:eastAsia="宋体" w:cs="Arial"/>
                <w:sz w:val="24"/>
              </w:rPr>
              <w:br w:type="textWrapping"/>
            </w:r>
            <w:r>
              <w:rPr>
                <w:rFonts w:ascii="宋体" w:hAnsi="宋体" w:eastAsia="宋体" w:cs="Arial"/>
                <w:sz w:val="24"/>
              </w:rPr>
              <w:t>3. 节约水电燃气，杜绝长流水、长明火</w:t>
            </w:r>
          </w:p>
        </w:tc>
      </w:tr>
      <w:tr w14:paraId="3ACE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9" w:hRule="atLeast"/>
          <w:jc w:val="center"/>
        </w:trPr>
        <w:tc>
          <w:tcPr>
            <w:tcW w:w="424" w:type="pct"/>
            <w:vAlign w:val="center"/>
          </w:tcPr>
          <w:p w14:paraId="507251A5">
            <w:pPr>
              <w:spacing w:before="120" w:after="120" w:line="288" w:lineRule="auto"/>
              <w:ind w:left="840"/>
              <w:jc w:val="both"/>
              <w:rPr>
                <w:rFonts w:hint="eastAsia" w:ascii="宋体" w:hAnsi="宋体" w:eastAsia="宋体"/>
                <w:sz w:val="24"/>
              </w:rPr>
            </w:pPr>
            <w:r>
              <w:rPr>
                <w:rFonts w:ascii="宋体" w:hAnsi="宋体" w:eastAsia="宋体" w:cs="Arial"/>
                <w:sz w:val="24"/>
              </w:rPr>
              <w:t>5</w:t>
            </w:r>
          </w:p>
        </w:tc>
        <w:tc>
          <w:tcPr>
            <w:tcW w:w="854" w:type="pct"/>
            <w:vAlign w:val="center"/>
          </w:tcPr>
          <w:p w14:paraId="4CB3154F">
            <w:pPr>
              <w:spacing w:before="120" w:after="120" w:line="288" w:lineRule="auto"/>
              <w:ind w:left="840"/>
              <w:jc w:val="both"/>
              <w:rPr>
                <w:rFonts w:hint="eastAsia" w:ascii="宋体" w:hAnsi="宋体" w:eastAsia="宋体"/>
                <w:sz w:val="24"/>
              </w:rPr>
            </w:pPr>
            <w:r>
              <w:rPr>
                <w:rFonts w:ascii="宋体" w:hAnsi="宋体" w:eastAsia="宋体" w:cs="Arial"/>
                <w:sz w:val="24"/>
              </w:rPr>
              <w:t>成本与库存管控</w:t>
            </w:r>
          </w:p>
        </w:tc>
        <w:tc>
          <w:tcPr>
            <w:tcW w:w="2048" w:type="pct"/>
            <w:vAlign w:val="center"/>
          </w:tcPr>
          <w:p w14:paraId="0D4566E5">
            <w:pPr>
              <w:spacing w:before="120" w:after="120" w:line="288" w:lineRule="auto"/>
              <w:ind w:left="840"/>
              <w:jc w:val="both"/>
              <w:rPr>
                <w:rFonts w:hint="eastAsia" w:ascii="宋体" w:hAnsi="宋体" w:eastAsia="宋体"/>
                <w:sz w:val="24"/>
              </w:rPr>
            </w:pPr>
            <w:r>
              <w:rPr>
                <w:rFonts w:ascii="宋体" w:hAnsi="宋体" w:eastAsia="宋体" w:cs="Arial"/>
                <w:sz w:val="24"/>
              </w:rPr>
              <w:t>1. 按需领料，不超额领用，严控食材、调料损耗</w:t>
            </w:r>
            <w:r>
              <w:rPr>
                <w:rFonts w:ascii="宋体" w:hAnsi="宋体" w:eastAsia="宋体" w:cs="Arial"/>
                <w:sz w:val="24"/>
              </w:rPr>
              <w:br w:type="textWrapping"/>
            </w:r>
            <w:r>
              <w:rPr>
                <w:rFonts w:ascii="宋体" w:hAnsi="宋体" w:eastAsia="宋体" w:cs="Arial"/>
                <w:sz w:val="24"/>
              </w:rPr>
              <w:t>2. 每日盘点剩余原材料、半成品，上报库存短缺情况</w:t>
            </w:r>
            <w:r>
              <w:rPr>
                <w:rFonts w:ascii="宋体" w:hAnsi="宋体" w:eastAsia="宋体" w:cs="Arial"/>
                <w:sz w:val="24"/>
              </w:rPr>
              <w:br w:type="textWrapping"/>
            </w:r>
            <w:r>
              <w:rPr>
                <w:rFonts w:ascii="宋体" w:hAnsi="宋体" w:eastAsia="宋体" w:cs="Arial"/>
                <w:sz w:val="24"/>
              </w:rPr>
              <w:t>3. 严格执行菜品标准投料量，控制单菜成本</w:t>
            </w:r>
            <w:r>
              <w:rPr>
                <w:rFonts w:ascii="宋体" w:hAnsi="宋体" w:eastAsia="宋体" w:cs="Arial"/>
                <w:sz w:val="24"/>
              </w:rPr>
              <w:br w:type="textWrapping"/>
            </w:r>
            <w:r>
              <w:rPr>
                <w:rFonts w:ascii="宋体" w:hAnsi="宋体" w:eastAsia="宋体" w:cs="Arial"/>
                <w:sz w:val="24"/>
              </w:rPr>
              <w:t>4. 严禁私自带走后厨食材、调料、成品</w:t>
            </w:r>
          </w:p>
        </w:tc>
        <w:tc>
          <w:tcPr>
            <w:tcW w:w="1672" w:type="pct"/>
            <w:vAlign w:val="center"/>
          </w:tcPr>
          <w:p w14:paraId="3A8927F3">
            <w:pPr>
              <w:spacing w:before="120" w:after="120" w:line="288" w:lineRule="auto"/>
              <w:ind w:left="840"/>
              <w:jc w:val="both"/>
              <w:rPr>
                <w:rFonts w:hint="eastAsia" w:ascii="宋体" w:hAnsi="宋体" w:eastAsia="宋体"/>
                <w:sz w:val="24"/>
              </w:rPr>
            </w:pPr>
            <w:r>
              <w:rPr>
                <w:rFonts w:ascii="宋体" w:hAnsi="宋体" w:eastAsia="宋体" w:cs="Arial"/>
                <w:sz w:val="24"/>
              </w:rPr>
              <w:t>1. 食材损耗率控制在门店 / 食堂核定标准内</w:t>
            </w:r>
            <w:r>
              <w:rPr>
                <w:rFonts w:ascii="宋体" w:hAnsi="宋体" w:eastAsia="宋体" w:cs="Arial"/>
                <w:sz w:val="24"/>
              </w:rPr>
              <w:br w:type="textWrapping"/>
            </w:r>
            <w:r>
              <w:rPr>
                <w:rFonts w:ascii="宋体" w:hAnsi="宋体" w:eastAsia="宋体" w:cs="Arial"/>
                <w:sz w:val="24"/>
              </w:rPr>
              <w:t>2. 每日库存盘点账实相符，短缺食材及时提报采购计划</w:t>
            </w:r>
            <w:r>
              <w:rPr>
                <w:rFonts w:ascii="宋体" w:hAnsi="宋体" w:eastAsia="宋体" w:cs="Arial"/>
                <w:sz w:val="24"/>
              </w:rPr>
              <w:br w:type="textWrapping"/>
            </w:r>
            <w:r>
              <w:rPr>
                <w:rFonts w:ascii="宋体" w:hAnsi="宋体" w:eastAsia="宋体" w:cs="Arial"/>
                <w:sz w:val="24"/>
              </w:rPr>
              <w:t>3. 杜绝浪费，剩余可食用食材合理二次利用</w:t>
            </w:r>
          </w:p>
        </w:tc>
      </w:tr>
      <w:tr w14:paraId="217C27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9" w:hRule="atLeast"/>
          <w:jc w:val="center"/>
        </w:trPr>
        <w:tc>
          <w:tcPr>
            <w:tcW w:w="424" w:type="pct"/>
            <w:vAlign w:val="center"/>
          </w:tcPr>
          <w:p w14:paraId="71D55098">
            <w:pPr>
              <w:spacing w:before="120" w:after="120" w:line="288" w:lineRule="auto"/>
              <w:ind w:left="840"/>
              <w:jc w:val="both"/>
              <w:rPr>
                <w:rFonts w:hint="eastAsia" w:ascii="宋体" w:hAnsi="宋体" w:eastAsia="宋体"/>
                <w:sz w:val="24"/>
                <w:lang w:eastAsia="zh-CN"/>
              </w:rPr>
            </w:pPr>
            <w:r>
              <w:rPr>
                <w:rFonts w:hint="eastAsia" w:ascii="宋体" w:hAnsi="宋体" w:eastAsia="宋体" w:cs="Arial"/>
                <w:sz w:val="24"/>
                <w:lang w:val="en-US" w:eastAsia="zh-CN"/>
              </w:rPr>
              <w:t>6</w:t>
            </w:r>
          </w:p>
        </w:tc>
        <w:tc>
          <w:tcPr>
            <w:tcW w:w="854" w:type="pct"/>
            <w:vAlign w:val="center"/>
          </w:tcPr>
          <w:p w14:paraId="1F81B88E">
            <w:pPr>
              <w:spacing w:before="120" w:after="120" w:line="288" w:lineRule="auto"/>
              <w:ind w:left="840"/>
              <w:jc w:val="both"/>
              <w:rPr>
                <w:rFonts w:hint="eastAsia" w:ascii="宋体" w:hAnsi="宋体" w:eastAsia="宋体"/>
                <w:sz w:val="24"/>
              </w:rPr>
            </w:pPr>
            <w:r>
              <w:rPr>
                <w:rFonts w:ascii="宋体" w:hAnsi="宋体" w:eastAsia="宋体" w:cs="Arial"/>
                <w:sz w:val="24"/>
              </w:rPr>
              <w:t>安全应急与风险防控</w:t>
            </w:r>
          </w:p>
        </w:tc>
        <w:tc>
          <w:tcPr>
            <w:tcW w:w="2048" w:type="pct"/>
            <w:vAlign w:val="center"/>
          </w:tcPr>
          <w:p w14:paraId="4E91D143">
            <w:pPr>
              <w:spacing w:before="120" w:after="120" w:line="288" w:lineRule="auto"/>
              <w:ind w:left="840"/>
              <w:jc w:val="both"/>
              <w:rPr>
                <w:rFonts w:hint="eastAsia" w:ascii="宋体" w:hAnsi="宋体" w:eastAsia="宋体"/>
                <w:sz w:val="24"/>
              </w:rPr>
            </w:pPr>
            <w:r>
              <w:rPr>
                <w:rFonts w:ascii="宋体" w:hAnsi="宋体" w:eastAsia="宋体" w:cs="Arial"/>
                <w:sz w:val="24"/>
              </w:rPr>
              <w:t>1. 掌握油锅起火、燃气泄漏等突发情况的应急处置方法</w:t>
            </w:r>
            <w:r>
              <w:rPr>
                <w:rFonts w:ascii="宋体" w:hAnsi="宋体" w:eastAsia="宋体" w:cs="Arial"/>
                <w:sz w:val="24"/>
              </w:rPr>
              <w:br w:type="textWrapping"/>
            </w:r>
            <w:r>
              <w:rPr>
                <w:rFonts w:ascii="宋体" w:hAnsi="宋体" w:eastAsia="宋体" w:cs="Arial"/>
                <w:sz w:val="24"/>
              </w:rPr>
              <w:t>2. 熟悉灭火器、消防器材的使用规范</w:t>
            </w:r>
            <w:r>
              <w:rPr>
                <w:rFonts w:ascii="宋体" w:hAnsi="宋体" w:eastAsia="宋体" w:cs="Arial"/>
                <w:sz w:val="24"/>
              </w:rPr>
              <w:br w:type="textWrapping"/>
            </w:r>
            <w:r>
              <w:rPr>
                <w:rFonts w:ascii="宋体" w:hAnsi="宋体" w:eastAsia="宋体" w:cs="Arial"/>
                <w:sz w:val="24"/>
              </w:rPr>
              <w:t>3. 发现食材安全隐患、蚊虫鼠害、设备故障立即上报</w:t>
            </w:r>
            <w:r>
              <w:rPr>
                <w:rFonts w:ascii="宋体" w:hAnsi="宋体" w:eastAsia="宋体" w:cs="Arial"/>
                <w:sz w:val="24"/>
              </w:rPr>
              <w:br w:type="textWrapping"/>
            </w:r>
            <w:r>
              <w:rPr>
                <w:rFonts w:ascii="宋体" w:hAnsi="宋体" w:eastAsia="宋体" w:cs="Arial"/>
                <w:sz w:val="24"/>
              </w:rPr>
              <w:t>4. 规范处理工作中的烫伤、割伤等意外，及时报备</w:t>
            </w:r>
          </w:p>
        </w:tc>
        <w:tc>
          <w:tcPr>
            <w:tcW w:w="1672" w:type="pct"/>
            <w:vAlign w:val="center"/>
          </w:tcPr>
          <w:p w14:paraId="4B15E196">
            <w:pPr>
              <w:spacing w:before="120" w:after="120" w:line="288" w:lineRule="auto"/>
              <w:ind w:left="840"/>
              <w:jc w:val="both"/>
              <w:rPr>
                <w:rFonts w:hint="eastAsia" w:ascii="宋体" w:hAnsi="宋体" w:eastAsia="宋体"/>
                <w:sz w:val="24"/>
              </w:rPr>
            </w:pPr>
            <w:r>
              <w:rPr>
                <w:rFonts w:ascii="宋体" w:hAnsi="宋体" w:eastAsia="宋体" w:cs="Arial"/>
                <w:sz w:val="24"/>
              </w:rPr>
              <w:t>1. 每月至少参与 1 次后厨安全应急培训</w:t>
            </w:r>
            <w:r>
              <w:rPr>
                <w:rFonts w:ascii="宋体" w:hAnsi="宋体" w:eastAsia="宋体" w:cs="Arial"/>
                <w:sz w:val="24"/>
              </w:rPr>
              <w:br w:type="textWrapping"/>
            </w:r>
            <w:r>
              <w:rPr>
                <w:rFonts w:ascii="宋体" w:hAnsi="宋体" w:eastAsia="宋体" w:cs="Arial"/>
                <w:sz w:val="24"/>
              </w:rPr>
              <w:t>2. 油锅起火严禁用水浇，按规范用锅盖、灭火毯处置</w:t>
            </w:r>
            <w:r>
              <w:rPr>
                <w:rFonts w:ascii="宋体" w:hAnsi="宋体" w:eastAsia="宋体" w:cs="Arial"/>
                <w:sz w:val="24"/>
              </w:rPr>
              <w:br w:type="textWrapping"/>
            </w:r>
            <w:r>
              <w:rPr>
                <w:rFonts w:ascii="宋体" w:hAnsi="宋体" w:eastAsia="宋体" w:cs="Arial"/>
                <w:sz w:val="24"/>
              </w:rPr>
              <w:t>3. 安全隐患未消除前，严禁违规操作</w:t>
            </w:r>
          </w:p>
        </w:tc>
      </w:tr>
      <w:tr w14:paraId="5A903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8" w:hRule="atLeast"/>
          <w:jc w:val="center"/>
        </w:trPr>
        <w:tc>
          <w:tcPr>
            <w:tcW w:w="424" w:type="pct"/>
            <w:vAlign w:val="center"/>
          </w:tcPr>
          <w:p w14:paraId="32F3560C">
            <w:pPr>
              <w:spacing w:before="120" w:after="120" w:line="288" w:lineRule="auto"/>
              <w:ind w:left="840"/>
              <w:jc w:val="both"/>
              <w:rPr>
                <w:rFonts w:hint="eastAsia" w:ascii="宋体" w:hAnsi="宋体" w:eastAsia="宋体"/>
                <w:sz w:val="24"/>
                <w:lang w:eastAsia="zh-CN"/>
              </w:rPr>
            </w:pPr>
            <w:r>
              <w:rPr>
                <w:rFonts w:hint="eastAsia" w:ascii="宋体" w:hAnsi="宋体" w:eastAsia="宋体" w:cs="Arial"/>
                <w:sz w:val="24"/>
                <w:lang w:val="en-US" w:eastAsia="zh-CN"/>
              </w:rPr>
              <w:t>7</w:t>
            </w:r>
          </w:p>
        </w:tc>
        <w:tc>
          <w:tcPr>
            <w:tcW w:w="854" w:type="pct"/>
            <w:vAlign w:val="center"/>
          </w:tcPr>
          <w:p w14:paraId="3C38DDE8">
            <w:pPr>
              <w:spacing w:before="120" w:after="120" w:line="288" w:lineRule="auto"/>
              <w:ind w:left="840"/>
              <w:jc w:val="both"/>
              <w:rPr>
                <w:rFonts w:hint="eastAsia" w:ascii="宋体" w:hAnsi="宋体" w:eastAsia="宋体"/>
                <w:sz w:val="24"/>
              </w:rPr>
            </w:pPr>
            <w:r>
              <w:rPr>
                <w:rFonts w:ascii="宋体" w:hAnsi="宋体" w:eastAsia="宋体" w:cs="Arial"/>
                <w:sz w:val="24"/>
              </w:rPr>
              <w:t>每日全流程工作规范</w:t>
            </w:r>
          </w:p>
        </w:tc>
        <w:tc>
          <w:tcPr>
            <w:tcW w:w="2048" w:type="pct"/>
            <w:vAlign w:val="center"/>
          </w:tcPr>
          <w:p w14:paraId="6CA5D50F">
            <w:pPr>
              <w:spacing w:before="120" w:after="120" w:line="288" w:lineRule="auto"/>
              <w:ind w:left="840"/>
              <w:jc w:val="both"/>
              <w:rPr>
                <w:rFonts w:hint="eastAsia" w:ascii="宋体" w:hAnsi="宋体" w:eastAsia="宋体"/>
                <w:sz w:val="24"/>
              </w:rPr>
            </w:pPr>
            <w:r>
              <w:rPr>
                <w:rFonts w:ascii="宋体" w:hAnsi="宋体" w:eastAsia="宋体" w:cs="Arial"/>
                <w:sz w:val="24"/>
              </w:rPr>
              <w:t>班前准备：穿戴工装、检查设备卫生、完成食材备料、熬制高汤 / 酱料</w:t>
            </w:r>
            <w:r>
              <w:rPr>
                <w:rFonts w:ascii="宋体" w:hAnsi="宋体" w:eastAsia="宋体" w:cs="Arial"/>
                <w:sz w:val="24"/>
              </w:rPr>
              <w:br w:type="textWrapping"/>
            </w:r>
            <w:r>
              <w:rPr>
                <w:rFonts w:ascii="宋体" w:hAnsi="宋体" w:eastAsia="宋体" w:cs="Arial"/>
                <w:sz w:val="24"/>
              </w:rPr>
              <w:t>餐中执行：按单有序烹饪、随时清洁操作区、做好食品留样</w:t>
            </w:r>
            <w:r>
              <w:rPr>
                <w:rFonts w:ascii="宋体" w:hAnsi="宋体" w:eastAsia="宋体" w:cs="Arial"/>
                <w:sz w:val="24"/>
              </w:rPr>
              <w:br w:type="textWrapping"/>
            </w:r>
            <w:r>
              <w:rPr>
                <w:rFonts w:ascii="宋体" w:hAnsi="宋体" w:eastAsia="宋体" w:cs="Arial"/>
                <w:sz w:val="24"/>
              </w:rPr>
              <w:t>班后收尾：剩余食材密封冷藏、全面清洁后厨、关闭水电气、盘点库存、填写工作台账</w:t>
            </w:r>
          </w:p>
        </w:tc>
        <w:tc>
          <w:tcPr>
            <w:tcW w:w="1672" w:type="pct"/>
            <w:vAlign w:val="center"/>
          </w:tcPr>
          <w:p w14:paraId="30EBA11A">
            <w:pPr>
              <w:spacing w:before="120" w:after="120" w:line="288" w:lineRule="auto"/>
              <w:ind w:left="840"/>
              <w:jc w:val="both"/>
              <w:rPr>
                <w:rFonts w:hint="eastAsia" w:ascii="宋体" w:hAnsi="宋体" w:eastAsia="宋体"/>
                <w:sz w:val="24"/>
              </w:rPr>
            </w:pPr>
            <w:r>
              <w:rPr>
                <w:rFonts w:ascii="宋体" w:hAnsi="宋体" w:eastAsia="宋体" w:cs="Arial"/>
                <w:sz w:val="24"/>
              </w:rPr>
              <w:t>1. 班前准备需在开餐前 1 小时完成，保障按时出餐</w:t>
            </w:r>
            <w:r>
              <w:rPr>
                <w:rFonts w:ascii="宋体" w:hAnsi="宋体" w:eastAsia="宋体" w:cs="Arial"/>
                <w:sz w:val="24"/>
              </w:rPr>
              <w:br w:type="textWrapping"/>
            </w:r>
            <w:r>
              <w:rPr>
                <w:rFonts w:ascii="宋体" w:hAnsi="宋体" w:eastAsia="宋体" w:cs="Arial"/>
                <w:sz w:val="24"/>
              </w:rPr>
              <w:t>2. 班后清洁需达到后厨卫生标准，无卫生死角</w:t>
            </w:r>
            <w:r>
              <w:rPr>
                <w:rFonts w:ascii="宋体" w:hAnsi="宋体" w:eastAsia="宋体" w:cs="Arial"/>
                <w:sz w:val="24"/>
              </w:rPr>
              <w:br w:type="textWrapping"/>
            </w:r>
            <w:r>
              <w:rPr>
                <w:rFonts w:ascii="宋体" w:hAnsi="宋体" w:eastAsia="宋体" w:cs="Arial"/>
                <w:sz w:val="24"/>
              </w:rPr>
              <w:t>3. 当日台账当日完成，不补填、不遗漏</w:t>
            </w:r>
          </w:p>
        </w:tc>
      </w:tr>
    </w:tbl>
    <w:p w14:paraId="7E9174E7">
      <w:pPr>
        <w:spacing w:line="424" w:lineRule="auto"/>
        <w:rPr>
          <w:rFonts w:ascii="Arial"/>
          <w:sz w:val="21"/>
        </w:rPr>
      </w:pPr>
    </w:p>
    <w:p w14:paraId="499BD34F">
      <w:pPr>
        <w:spacing w:before="78" w:line="221" w:lineRule="auto"/>
        <w:ind w:left="23"/>
        <w:rPr>
          <w:rFonts w:ascii="黑体" w:hAnsi="黑体" w:eastAsia="黑体" w:cs="黑体"/>
          <w:sz w:val="24"/>
          <w:szCs w:val="24"/>
        </w:rPr>
      </w:pPr>
      <w:r>
        <w:rPr>
          <w:rFonts w:ascii="黑体" w:hAnsi="黑体" w:eastAsia="黑体" w:cs="黑体"/>
          <w:spacing w:val="-1"/>
          <w:sz w:val="24"/>
          <w:szCs w:val="24"/>
        </w:rPr>
        <w:t>3.基本技术（服务）要求</w:t>
      </w:r>
    </w:p>
    <w:p w14:paraId="44B47B75">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3.1服务内容：</w:t>
      </w:r>
    </w:p>
    <w:p w14:paraId="01E1E9B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3.1.1 深圳市</w:t>
      </w:r>
      <w:r>
        <w:rPr>
          <w:rFonts w:hint="eastAsia" w:asciiTheme="minorEastAsia" w:hAnsiTheme="minorEastAsia" w:eastAsiaTheme="minorEastAsia" w:cstheme="minorEastAsia"/>
          <w:sz w:val="24"/>
          <w:szCs w:val="24"/>
          <w:lang w:val="en-US" w:eastAsia="zh-CN"/>
        </w:rPr>
        <w:t>网羽中心运营管理有限公司公司食堂用餐人员约40</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50人</w:t>
      </w:r>
      <w:r>
        <w:rPr>
          <w:rFonts w:hint="eastAsia" w:asciiTheme="minorEastAsia" w:hAnsiTheme="minorEastAsia" w:eastAsiaTheme="minorEastAsia" w:cstheme="minorEastAsia"/>
          <w:sz w:val="24"/>
          <w:szCs w:val="24"/>
        </w:rPr>
        <w:t>，中标</w:t>
      </w:r>
      <w:r>
        <w:rPr>
          <w:rFonts w:hint="eastAsia" w:asciiTheme="minorEastAsia" w:hAnsiTheme="minorEastAsia" w:eastAsiaTheme="minorEastAsia" w:cstheme="minorEastAsia"/>
          <w:sz w:val="24"/>
          <w:szCs w:val="24"/>
          <w:lang w:val="en-US" w:eastAsia="zh-CN"/>
        </w:rPr>
        <w:t>人</w:t>
      </w:r>
      <w:r>
        <w:rPr>
          <w:rFonts w:hint="eastAsia" w:asciiTheme="minorEastAsia" w:hAnsiTheme="minorEastAsia" w:eastAsiaTheme="minorEastAsia" w:cstheme="minorEastAsia"/>
          <w:sz w:val="24"/>
          <w:szCs w:val="24"/>
        </w:rPr>
        <w:t>负责本项目食堂的</w:t>
      </w:r>
      <w:r>
        <w:rPr>
          <w:rFonts w:hint="eastAsia" w:asciiTheme="minorEastAsia" w:hAnsiTheme="minorEastAsia" w:eastAsiaTheme="minorEastAsia" w:cstheme="minorEastAsia"/>
          <w:sz w:val="24"/>
          <w:szCs w:val="24"/>
          <w:lang w:val="en-US" w:eastAsia="zh-CN"/>
        </w:rPr>
        <w:t>早、中、晚三餐</w:t>
      </w:r>
      <w:r>
        <w:rPr>
          <w:rFonts w:hint="eastAsia" w:asciiTheme="minorEastAsia" w:hAnsiTheme="minorEastAsia" w:eastAsiaTheme="minorEastAsia" w:cstheme="minorEastAsia"/>
          <w:sz w:val="24"/>
          <w:szCs w:val="24"/>
        </w:rPr>
        <w:t>食品加工、烹饪、清洁卫生及其他服务工作。</w:t>
      </w:r>
    </w:p>
    <w:p w14:paraId="35C78C3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食堂设备、工具、食材、水、电、气及日常消耗用品（纸巾、洗洁精、牙签、锅碗瓢盆等）由采购人负责提供和采购，中标人须遵从厉行节约的原则，不得恶意浪费资源。</w:t>
      </w:r>
    </w:p>
    <w:p w14:paraId="42BB76A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val="en-US" w:eastAsia="zh-CN"/>
        </w:rPr>
        <w:t xml:space="preserve">.1.3 </w:t>
      </w:r>
      <w:r>
        <w:rPr>
          <w:rFonts w:hint="eastAsia" w:asciiTheme="minorEastAsia" w:hAnsiTheme="minorEastAsia" w:eastAsiaTheme="minorEastAsia" w:cstheme="minorEastAsia"/>
          <w:sz w:val="24"/>
          <w:szCs w:val="24"/>
        </w:rPr>
        <w:t>若采购人因工作加班需用餐或有临时紧急</w:t>
      </w:r>
      <w:r>
        <w:rPr>
          <w:rFonts w:hint="eastAsia" w:asciiTheme="minorEastAsia" w:hAnsiTheme="minorEastAsia" w:eastAsiaTheme="minorEastAsia" w:cstheme="minorEastAsia"/>
          <w:sz w:val="24"/>
          <w:szCs w:val="24"/>
          <w:lang w:val="en-US" w:eastAsia="zh-CN"/>
        </w:rPr>
        <w:t>用餐需求</w:t>
      </w:r>
      <w:r>
        <w:rPr>
          <w:rFonts w:hint="eastAsia" w:asciiTheme="minorEastAsia" w:hAnsiTheme="minorEastAsia" w:eastAsiaTheme="minorEastAsia" w:cstheme="minorEastAsia"/>
          <w:sz w:val="24"/>
          <w:szCs w:val="24"/>
        </w:rPr>
        <w:t>，中标人须无条件配合采购人备餐，另外，采购人不再额外支付任何加班费以及其他一切费用。</w:t>
      </w:r>
    </w:p>
    <w:p w14:paraId="1CC29D1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3.1.</w:t>
      </w:r>
      <w:r>
        <w:rPr>
          <w:rFonts w:hint="eastAsia" w:asciiTheme="minorEastAsia" w:hAnsiTheme="minorEastAsia" w:eastAsiaTheme="minorEastAsia" w:cstheme="minorEastAsia"/>
          <w:sz w:val="24"/>
          <w:szCs w:val="24"/>
        </w:rPr>
        <w:t>4</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协助食材的入库工作：采购的物料、食材来货时，负责搬卸货物到仓库指定食品存放区。</w:t>
      </w:r>
    </w:p>
    <w:p w14:paraId="51F97F2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3.1.5 </w:t>
      </w:r>
      <w:r>
        <w:rPr>
          <w:rFonts w:hint="eastAsia" w:asciiTheme="minorEastAsia" w:hAnsiTheme="minorEastAsia" w:eastAsiaTheme="minorEastAsia" w:cstheme="minorEastAsia"/>
          <w:sz w:val="24"/>
          <w:szCs w:val="24"/>
        </w:rPr>
        <w:t>食材在烹煮前须先进行检查及清洗，如发现有腐烂、变质食材应及时向采购人工作人员反映情况。挑菜洗菜人员要确实去除蔬菜腐烂变质的部分。负责煮饭、煮菜炒菜人员要确保饭菜熟透。</w:t>
      </w:r>
    </w:p>
    <w:p w14:paraId="411681F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3.1.6 </w:t>
      </w:r>
      <w:r>
        <w:rPr>
          <w:rFonts w:hint="eastAsia" w:asciiTheme="minorEastAsia" w:hAnsiTheme="minorEastAsia" w:eastAsiaTheme="minorEastAsia" w:cstheme="minorEastAsia"/>
          <w:sz w:val="24"/>
          <w:szCs w:val="24"/>
        </w:rPr>
        <w:t>做好厨具的保养，正确使用炉具，爱护公物，如因人为错误导致损坏的要负责赔偿。</w:t>
      </w:r>
    </w:p>
    <w:p w14:paraId="11B6D7A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3.1.7 </w:t>
      </w:r>
      <w:r>
        <w:rPr>
          <w:rFonts w:hint="eastAsia" w:asciiTheme="minorEastAsia" w:hAnsiTheme="minorEastAsia" w:eastAsiaTheme="minorEastAsia" w:cstheme="minorEastAsia"/>
          <w:sz w:val="24"/>
          <w:szCs w:val="24"/>
        </w:rPr>
        <w:t>餐具、厨具、餐桌、地板须及时洗刷、消毒，餐后产生的厨余垃圾须及时倾倒至固定位置。</w:t>
      </w:r>
    </w:p>
    <w:p w14:paraId="74E3CF2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3.1.8 </w:t>
      </w:r>
      <w:r>
        <w:rPr>
          <w:rFonts w:hint="eastAsia" w:asciiTheme="minorEastAsia" w:hAnsiTheme="minorEastAsia" w:eastAsiaTheme="minorEastAsia" w:cstheme="minorEastAsia"/>
          <w:sz w:val="24"/>
          <w:szCs w:val="24"/>
        </w:rPr>
        <w:t>做好防火防盗工作，爱护公物，正确使用各种设备（包括但不限于：锅炉、汤炉、消毒柜）、厨房用具等。如各种设备、餐具、厨具等工作异常应及时向采购人工作人员反映，因中标人人为错误导致损坏的一切物品，由中标人负责赔偿。</w:t>
      </w:r>
    </w:p>
    <w:p w14:paraId="2CEAA60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3.1.9 </w:t>
      </w:r>
      <w:r>
        <w:rPr>
          <w:rFonts w:hint="eastAsia" w:asciiTheme="minorEastAsia" w:hAnsiTheme="minorEastAsia" w:eastAsiaTheme="minorEastAsia" w:cstheme="minorEastAsia"/>
          <w:sz w:val="24"/>
          <w:szCs w:val="24"/>
        </w:rPr>
        <w:t>中标人需接受采购人的监督检查，发现问题及时整改。</w:t>
      </w:r>
    </w:p>
    <w:p w14:paraId="592753D4">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3.1.10 </w:t>
      </w:r>
      <w:r>
        <w:rPr>
          <w:rFonts w:hint="eastAsia" w:asciiTheme="minorEastAsia" w:hAnsiTheme="minorEastAsia" w:eastAsiaTheme="minorEastAsia" w:cstheme="minorEastAsia"/>
          <w:sz w:val="24"/>
          <w:szCs w:val="24"/>
        </w:rPr>
        <w:t>中标人须承诺严格</w:t>
      </w:r>
      <w:r>
        <w:rPr>
          <w:rFonts w:hint="eastAsia" w:asciiTheme="minorEastAsia" w:hAnsiTheme="minorEastAsia" w:eastAsiaTheme="minorEastAsia" w:cstheme="minorEastAsia"/>
          <w:sz w:val="24"/>
          <w:szCs w:val="24"/>
          <w:lang w:val="en-US" w:eastAsia="zh-CN"/>
        </w:rPr>
        <w:t>遵守</w:t>
      </w:r>
      <w:r>
        <w:rPr>
          <w:rFonts w:hint="eastAsia" w:asciiTheme="minorEastAsia" w:hAnsiTheme="minorEastAsia" w:cstheme="minorEastAsia"/>
          <w:sz w:val="24"/>
          <w:szCs w:val="24"/>
          <w:lang w:val="en-US" w:eastAsia="zh-CN"/>
        </w:rPr>
        <w:t>《中华人民共和国食品安全法》</w:t>
      </w:r>
      <w:r>
        <w:rPr>
          <w:rFonts w:hint="eastAsia" w:asciiTheme="minorEastAsia" w:hAnsiTheme="minorEastAsia" w:eastAsiaTheme="minorEastAsia" w:cstheme="minorEastAsia"/>
          <w:sz w:val="24"/>
          <w:szCs w:val="24"/>
        </w:rPr>
        <w:t>等国家法律法规，同时也要遵守采购人的相关规章制度及要求。中标人必须严格按照劳动法规定与派驻的所有工作人员签订正规的劳动合同并经过体检合格，有健康证</w:t>
      </w:r>
      <w:r>
        <w:rPr>
          <w:rFonts w:hint="eastAsia" w:asciiTheme="minorEastAsia" w:hAnsiTheme="minorEastAsia" w:cstheme="minorEastAsia"/>
          <w:sz w:val="24"/>
          <w:szCs w:val="24"/>
          <w:lang w:eastAsia="zh-CN"/>
        </w:rPr>
        <w:t>且</w:t>
      </w:r>
      <w:r>
        <w:rPr>
          <w:rFonts w:hint="eastAsia" w:asciiTheme="minorEastAsia" w:hAnsiTheme="minorEastAsia" w:eastAsiaTheme="minorEastAsia" w:cstheme="minorEastAsia"/>
          <w:sz w:val="24"/>
          <w:szCs w:val="24"/>
        </w:rPr>
        <w:t>无违法犯罪记录。派驻的所有工作人员须统一着装，在工作场所不允许抽烟，定期开展用水、用电、用气、制作食品等方面的安全和技能培训，依法按时发放工资，缴纳社会保险，并落实各项福利。派驻的所有工作人员服务期间所产生的法律责任（包括工资争议、工伤保险纠纷、侵权纠纷等）均由中标人自行</w:t>
      </w:r>
      <w:r>
        <w:rPr>
          <w:rFonts w:hint="eastAsia" w:asciiTheme="minorEastAsia" w:hAnsiTheme="minorEastAsia" w:cstheme="minorEastAsia"/>
          <w:sz w:val="24"/>
          <w:szCs w:val="24"/>
          <w:lang w:eastAsia="zh-CN"/>
        </w:rPr>
        <w:t>承担</w:t>
      </w:r>
      <w:r>
        <w:rPr>
          <w:rFonts w:hint="eastAsia" w:asciiTheme="minorEastAsia" w:hAnsiTheme="minorEastAsia" w:eastAsiaTheme="minorEastAsia" w:cstheme="minorEastAsia"/>
          <w:sz w:val="24"/>
          <w:szCs w:val="24"/>
        </w:rPr>
        <w:t>。</w:t>
      </w:r>
    </w:p>
    <w:p w14:paraId="3B24C37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3.2</w:t>
      </w:r>
      <w:r>
        <w:rPr>
          <w:rFonts w:hint="eastAsia" w:asciiTheme="minorEastAsia" w:hAnsiTheme="minorEastAsia" w:eastAsiaTheme="minorEastAsia" w:cstheme="minorEastAsia"/>
          <w:sz w:val="24"/>
          <w:szCs w:val="24"/>
        </w:rPr>
        <w:t>卫生要求</w:t>
      </w:r>
      <w:r>
        <w:rPr>
          <w:rFonts w:hint="eastAsia" w:asciiTheme="minorEastAsia" w:hAnsiTheme="minorEastAsia" w:eastAsiaTheme="minorEastAsia" w:cstheme="minorEastAsia"/>
          <w:sz w:val="24"/>
          <w:szCs w:val="24"/>
          <w:lang w:eastAsia="zh-CN"/>
        </w:rPr>
        <w:t>：</w:t>
      </w:r>
    </w:p>
    <w:p w14:paraId="068FDA9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3.2.1 </w:t>
      </w:r>
      <w:r>
        <w:rPr>
          <w:rFonts w:hint="eastAsia" w:asciiTheme="minorEastAsia" w:hAnsiTheme="minorEastAsia" w:eastAsiaTheme="minorEastAsia" w:cstheme="minorEastAsia"/>
          <w:sz w:val="24"/>
          <w:szCs w:val="24"/>
        </w:rPr>
        <w:t>餐具清洗：一刮二泡三清洗四消毒。蔬菜：一择二洗三切。</w:t>
      </w:r>
    </w:p>
    <w:p w14:paraId="194E012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3.2.2 </w:t>
      </w:r>
      <w:r>
        <w:rPr>
          <w:rFonts w:hint="eastAsia" w:asciiTheme="minorEastAsia" w:hAnsiTheme="minorEastAsia" w:eastAsiaTheme="minorEastAsia" w:cstheme="minorEastAsia"/>
          <w:sz w:val="24"/>
          <w:szCs w:val="24"/>
        </w:rPr>
        <w:t>经常清洁、消毒餐具及厨具，保证每套餐具及厨具清洁、整齐、无油污。</w:t>
      </w:r>
    </w:p>
    <w:p w14:paraId="0BFDA26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eastAsia="zh-CN"/>
        </w:rPr>
        <w:t>3.</w:t>
      </w:r>
      <w:r>
        <w:rPr>
          <w:rFonts w:hint="eastAsia" w:asciiTheme="minorEastAsia" w:hAnsiTheme="minorEastAsia" w:cstheme="minorEastAsia"/>
          <w:sz w:val="24"/>
          <w:szCs w:val="24"/>
          <w:lang w:val="en-US" w:eastAsia="zh-CN"/>
        </w:rPr>
        <w:t xml:space="preserve">2.3 </w:t>
      </w:r>
      <w:r>
        <w:rPr>
          <w:rFonts w:hint="eastAsia" w:asciiTheme="minorEastAsia" w:hAnsiTheme="minorEastAsia" w:eastAsiaTheme="minorEastAsia" w:cstheme="minorEastAsia"/>
          <w:sz w:val="24"/>
          <w:szCs w:val="24"/>
        </w:rPr>
        <w:t>保证桌椅、地面、门窗清洁、干净、无油迹、无灰尘。</w:t>
      </w:r>
    </w:p>
    <w:p w14:paraId="3FA05BD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3.2.</w:t>
      </w:r>
      <w:r>
        <w:rPr>
          <w:rFonts w:hint="eastAsia" w:asciiTheme="minorEastAsia" w:hAnsiTheme="minorEastAsia" w:cstheme="minorEastAsia"/>
          <w:sz w:val="24"/>
          <w:szCs w:val="24"/>
          <w:lang w:eastAsia="zh-CN"/>
        </w:rPr>
        <w:t>4</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接触食品人员一律戴工作帽、着工作服、戴卫生口罩，接触食物时必须戴一次性卫生手套。</w:t>
      </w:r>
    </w:p>
    <w:p w14:paraId="029E587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3.2.5 </w:t>
      </w:r>
      <w:r>
        <w:rPr>
          <w:rFonts w:hint="eastAsia" w:asciiTheme="minorEastAsia" w:hAnsiTheme="minorEastAsia" w:eastAsiaTheme="minorEastAsia" w:cstheme="minorEastAsia"/>
          <w:sz w:val="24"/>
          <w:szCs w:val="24"/>
        </w:rPr>
        <w:t>清除卫生死角，防止蚊蝇虫滋生，防鼠、防霉，定期清扫，做到空气清新，桌面、地面整洁无积水。</w:t>
      </w:r>
    </w:p>
    <w:p w14:paraId="061FB8C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3.2.6 </w:t>
      </w:r>
      <w:r>
        <w:rPr>
          <w:rFonts w:hint="eastAsia" w:asciiTheme="minorEastAsia" w:hAnsiTheme="minorEastAsia" w:eastAsiaTheme="minorEastAsia" w:cstheme="minorEastAsia"/>
          <w:sz w:val="24"/>
          <w:szCs w:val="24"/>
        </w:rPr>
        <w:t>炉灶、工作台、餐具、用具使用后及时清理，保持干净整洁，无油渍。</w:t>
      </w:r>
    </w:p>
    <w:p w14:paraId="7208C49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3.3</w:t>
      </w:r>
      <w:r>
        <w:rPr>
          <w:rFonts w:hint="eastAsia" w:asciiTheme="minorEastAsia" w:hAnsiTheme="minorEastAsia" w:eastAsiaTheme="minorEastAsia" w:cstheme="minorEastAsia"/>
          <w:sz w:val="24"/>
          <w:szCs w:val="24"/>
        </w:rPr>
        <w:t>其他要求</w:t>
      </w:r>
      <w:r>
        <w:rPr>
          <w:rFonts w:hint="eastAsia" w:asciiTheme="minorEastAsia" w:hAnsiTheme="minorEastAsia" w:eastAsiaTheme="minorEastAsia" w:cstheme="minorEastAsia"/>
          <w:sz w:val="24"/>
          <w:szCs w:val="24"/>
          <w:lang w:eastAsia="zh-CN"/>
        </w:rPr>
        <w:t>：</w:t>
      </w:r>
    </w:p>
    <w:p w14:paraId="354EB31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3.3.1 </w:t>
      </w:r>
      <w:r>
        <w:rPr>
          <w:rFonts w:hint="eastAsia" w:asciiTheme="minorEastAsia" w:hAnsiTheme="minorEastAsia" w:eastAsiaTheme="minorEastAsia" w:cstheme="minorEastAsia"/>
          <w:sz w:val="24"/>
          <w:szCs w:val="24"/>
        </w:rPr>
        <w:t>每天下班前要认真检查是否关好水、电、煤气、门窗等。</w:t>
      </w:r>
    </w:p>
    <w:p w14:paraId="4DF2FDA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3.3.2 </w:t>
      </w:r>
      <w:r>
        <w:rPr>
          <w:rFonts w:hint="eastAsia" w:asciiTheme="minorEastAsia" w:hAnsiTheme="minorEastAsia" w:eastAsiaTheme="minorEastAsia" w:cstheme="minorEastAsia"/>
          <w:sz w:val="24"/>
          <w:szCs w:val="24"/>
        </w:rPr>
        <w:t>中标人自觉遵守服务行业的相关规定，严格遵守采购人的规章制度。</w:t>
      </w:r>
    </w:p>
    <w:p w14:paraId="3C4AF1A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3.3.3 </w:t>
      </w:r>
      <w:r>
        <w:rPr>
          <w:rFonts w:hint="eastAsia" w:asciiTheme="minorEastAsia" w:hAnsiTheme="minorEastAsia" w:eastAsiaTheme="minorEastAsia" w:cstheme="minorEastAsia"/>
          <w:sz w:val="24"/>
          <w:szCs w:val="24"/>
        </w:rPr>
        <w:t>因食物存放、加工引起发生食物中毒或其他食源性疾患事件，所有责任由中标人承担。</w:t>
      </w:r>
    </w:p>
    <w:p w14:paraId="49F72F0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3.3.4 </w:t>
      </w:r>
      <w:r>
        <w:rPr>
          <w:rFonts w:hint="eastAsia" w:asciiTheme="minorEastAsia" w:hAnsiTheme="minorEastAsia" w:eastAsiaTheme="minorEastAsia" w:cstheme="minorEastAsia"/>
          <w:sz w:val="24"/>
          <w:szCs w:val="24"/>
        </w:rPr>
        <w:t>中标人必须严格进行刀具使用管理和燃气水电安全管理，否则因中标人管理不善造成的安全事故，由中标人承担所有责任。</w:t>
      </w:r>
    </w:p>
    <w:p w14:paraId="5CA4263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3.3.5 </w:t>
      </w:r>
      <w:r>
        <w:rPr>
          <w:rFonts w:hint="eastAsia" w:asciiTheme="minorEastAsia" w:hAnsiTheme="minorEastAsia" w:eastAsiaTheme="minorEastAsia" w:cstheme="minorEastAsia"/>
          <w:sz w:val="24"/>
          <w:szCs w:val="24"/>
        </w:rPr>
        <w:t>服务期内，中标人的</w:t>
      </w:r>
      <w:r>
        <w:rPr>
          <w:rFonts w:hint="eastAsia" w:asciiTheme="minorEastAsia" w:hAnsiTheme="minorEastAsia" w:eastAsiaTheme="minorEastAsia" w:cstheme="minorEastAsia"/>
          <w:sz w:val="24"/>
          <w:szCs w:val="24"/>
          <w:lang w:val="en-US" w:eastAsia="zh-CN"/>
        </w:rPr>
        <w:t>服务</w:t>
      </w:r>
      <w:r>
        <w:rPr>
          <w:rFonts w:hint="eastAsia" w:asciiTheme="minorEastAsia" w:hAnsiTheme="minorEastAsia" w:eastAsiaTheme="minorEastAsia" w:cstheme="minorEastAsia"/>
          <w:sz w:val="24"/>
          <w:szCs w:val="24"/>
        </w:rPr>
        <w:t>人员发生人身意外或伤亡等情况，由中标人承担所有责任。</w:t>
      </w:r>
    </w:p>
    <w:p w14:paraId="3AF1322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 xml:space="preserve">3.3.6 </w:t>
      </w:r>
      <w:r>
        <w:rPr>
          <w:rFonts w:hint="eastAsia" w:asciiTheme="minorEastAsia" w:hAnsiTheme="minorEastAsia" w:eastAsiaTheme="minorEastAsia" w:cstheme="minorEastAsia"/>
          <w:sz w:val="24"/>
          <w:szCs w:val="24"/>
        </w:rPr>
        <w:t>服务期内，食堂</w:t>
      </w:r>
      <w:r>
        <w:rPr>
          <w:rFonts w:hint="eastAsia" w:asciiTheme="minorEastAsia" w:hAnsiTheme="minorEastAsia" w:eastAsiaTheme="minorEastAsia" w:cstheme="minorEastAsia"/>
          <w:sz w:val="24"/>
          <w:szCs w:val="24"/>
          <w:lang w:val="en-US" w:eastAsia="zh-CN"/>
        </w:rPr>
        <w:t>服务</w:t>
      </w:r>
      <w:r>
        <w:rPr>
          <w:rFonts w:hint="eastAsia" w:asciiTheme="minorEastAsia" w:hAnsiTheme="minorEastAsia" w:eastAsiaTheme="minorEastAsia" w:cstheme="minorEastAsia"/>
          <w:sz w:val="24"/>
          <w:szCs w:val="24"/>
        </w:rPr>
        <w:t>人员发生劳务纠纷事宜的，一律由中标人负责并处理。</w:t>
      </w:r>
    </w:p>
    <w:p w14:paraId="154CDC7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 xml:space="preserve">3.3.7 </w:t>
      </w:r>
      <w:r>
        <w:rPr>
          <w:rFonts w:hint="eastAsia" w:asciiTheme="minorEastAsia" w:hAnsiTheme="minorEastAsia" w:eastAsiaTheme="minorEastAsia" w:cstheme="minorEastAsia"/>
          <w:sz w:val="24"/>
          <w:szCs w:val="24"/>
        </w:rPr>
        <w:t>服务期内，凡因中标人原因产生食品安全事故的，一律由中标人承担所有责任</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且采购人有权单方面终止合同。</w:t>
      </w:r>
    </w:p>
    <w:p w14:paraId="45B2AFFF">
      <w:pPr>
        <w:pStyle w:val="50"/>
        <w:rPr>
          <w:rFonts w:hint="eastAsia"/>
        </w:rPr>
        <w:sectPr>
          <w:footerReference r:id="rId11" w:type="default"/>
          <w:pgSz w:w="11907" w:h="16840"/>
          <w:pgMar w:top="1440" w:right="1800" w:bottom="1440" w:left="1800" w:header="567" w:footer="567" w:gutter="0"/>
          <w:cols w:space="720" w:num="1"/>
          <w:docGrid w:linePitch="312" w:charSpace="0"/>
        </w:sectPr>
      </w:pPr>
    </w:p>
    <w:p w14:paraId="0FAD9007">
      <w:pPr>
        <w:widowControl w:val="0"/>
        <w:autoSpaceDE w:val="0"/>
        <w:autoSpaceDN w:val="0"/>
        <w:adjustRightInd w:val="0"/>
        <w:snapToGrid w:val="0"/>
        <w:ind w:firstLine="0" w:firstLineChars="0"/>
        <w:rPr>
          <w:rFonts w:ascii="宋体" w:hAnsi="宋体"/>
        </w:rPr>
      </w:pPr>
    </w:p>
    <w:p w14:paraId="685B5200">
      <w:pPr>
        <w:pStyle w:val="13"/>
        <w:ind w:firstLine="420"/>
      </w:pPr>
    </w:p>
    <w:p w14:paraId="0B643E11">
      <w:pPr>
        <w:pStyle w:val="19"/>
        <w:ind w:firstLine="420"/>
      </w:pPr>
    </w:p>
    <w:p w14:paraId="41A143EF">
      <w:pPr>
        <w:pStyle w:val="19"/>
        <w:ind w:firstLine="420"/>
      </w:pPr>
    </w:p>
    <w:p w14:paraId="4CDB9F53">
      <w:pPr>
        <w:pStyle w:val="19"/>
        <w:ind w:firstLine="420"/>
      </w:pPr>
    </w:p>
    <w:p w14:paraId="59E5E74F">
      <w:pPr>
        <w:pStyle w:val="19"/>
        <w:ind w:firstLine="420"/>
      </w:pPr>
    </w:p>
    <w:p w14:paraId="78A72235">
      <w:pPr>
        <w:pStyle w:val="19"/>
        <w:ind w:firstLine="420"/>
      </w:pPr>
    </w:p>
    <w:p w14:paraId="7F15BAD9">
      <w:pPr>
        <w:pStyle w:val="19"/>
        <w:ind w:firstLine="420"/>
      </w:pPr>
    </w:p>
    <w:p w14:paraId="54A45767">
      <w:pPr>
        <w:pStyle w:val="19"/>
        <w:ind w:firstLine="420"/>
      </w:pPr>
    </w:p>
    <w:p w14:paraId="4547CC75">
      <w:pPr>
        <w:pStyle w:val="19"/>
        <w:ind w:firstLine="420"/>
      </w:pPr>
    </w:p>
    <w:p w14:paraId="47689520">
      <w:pPr>
        <w:pStyle w:val="19"/>
        <w:ind w:firstLine="420"/>
      </w:pPr>
    </w:p>
    <w:p w14:paraId="5590D911">
      <w:pPr>
        <w:pStyle w:val="19"/>
        <w:ind w:firstLine="420"/>
      </w:pPr>
    </w:p>
    <w:p w14:paraId="0BB9C0AD">
      <w:pPr>
        <w:pStyle w:val="19"/>
        <w:ind w:firstLine="420"/>
      </w:pPr>
    </w:p>
    <w:p w14:paraId="455DB9AC">
      <w:pPr>
        <w:pStyle w:val="19"/>
        <w:ind w:firstLine="420"/>
      </w:pPr>
    </w:p>
    <w:p w14:paraId="0483A36A">
      <w:pPr>
        <w:pStyle w:val="19"/>
        <w:ind w:firstLine="420"/>
        <w:rPr>
          <w:rFonts w:hint="eastAsia"/>
        </w:rPr>
      </w:pPr>
    </w:p>
    <w:p w14:paraId="0041B615">
      <w:pPr>
        <w:widowControl w:val="0"/>
        <w:autoSpaceDE w:val="0"/>
        <w:autoSpaceDN w:val="0"/>
        <w:adjustRightInd w:val="0"/>
        <w:snapToGrid w:val="0"/>
        <w:ind w:firstLine="0" w:firstLineChars="0"/>
        <w:jc w:val="center"/>
        <w:outlineLvl w:val="0"/>
        <w:rPr>
          <w:rFonts w:ascii="宋体" w:hAnsi="宋体"/>
          <w:sz w:val="52"/>
          <w:szCs w:val="52"/>
        </w:rPr>
      </w:pPr>
      <w:bookmarkStart w:id="403" w:name="_Toc18285"/>
      <w:bookmarkStart w:id="404" w:name="_Toc21876"/>
      <w:r>
        <w:rPr>
          <w:rFonts w:hint="eastAsia" w:ascii="宋体" w:hAnsi="宋体"/>
          <w:b/>
          <w:bCs/>
          <w:sz w:val="52"/>
          <w:szCs w:val="52"/>
        </w:rPr>
        <w:t>第五章 投标文件格式</w:t>
      </w:r>
      <w:bookmarkEnd w:id="389"/>
      <w:bookmarkEnd w:id="390"/>
      <w:bookmarkEnd w:id="391"/>
      <w:bookmarkEnd w:id="392"/>
      <w:bookmarkEnd w:id="393"/>
      <w:bookmarkEnd w:id="394"/>
      <w:bookmarkEnd w:id="395"/>
      <w:bookmarkEnd w:id="403"/>
      <w:bookmarkEnd w:id="404"/>
    </w:p>
    <w:p w14:paraId="1769B59C">
      <w:pPr>
        <w:widowControl w:val="0"/>
        <w:autoSpaceDE w:val="0"/>
        <w:autoSpaceDN w:val="0"/>
        <w:adjustRightInd w:val="0"/>
        <w:snapToGrid w:val="0"/>
        <w:ind w:firstLine="0" w:firstLineChars="0"/>
        <w:jc w:val="center"/>
        <w:rPr>
          <w:rFonts w:ascii="宋体" w:hAnsi="宋体"/>
          <w:sz w:val="84"/>
          <w:szCs w:val="84"/>
        </w:rPr>
      </w:pPr>
      <w:r>
        <w:rPr>
          <w:rFonts w:ascii="宋体" w:hAnsi="宋体"/>
        </w:rPr>
        <w:br w:type="page"/>
      </w:r>
      <w:bookmarkStart w:id="405" w:name="_Toc277844085"/>
      <w:bookmarkStart w:id="406" w:name="_Toc277844084"/>
    </w:p>
    <w:p w14:paraId="61741841">
      <w:pPr>
        <w:widowControl w:val="0"/>
        <w:autoSpaceDE w:val="0"/>
        <w:autoSpaceDN w:val="0"/>
        <w:adjustRightInd w:val="0"/>
        <w:snapToGrid w:val="0"/>
        <w:ind w:firstLine="0" w:firstLineChars="0"/>
        <w:jc w:val="center"/>
        <w:rPr>
          <w:rFonts w:ascii="宋体" w:hAnsi="宋体"/>
          <w:sz w:val="84"/>
          <w:szCs w:val="84"/>
        </w:rPr>
      </w:pPr>
    </w:p>
    <w:p w14:paraId="16420A95">
      <w:pPr>
        <w:widowControl w:val="0"/>
        <w:autoSpaceDE w:val="0"/>
        <w:autoSpaceDN w:val="0"/>
        <w:adjustRightInd w:val="0"/>
        <w:snapToGrid w:val="0"/>
        <w:ind w:firstLine="0" w:firstLineChars="0"/>
        <w:jc w:val="center"/>
        <w:rPr>
          <w:rFonts w:ascii="宋体" w:hAnsi="宋体"/>
          <w:b/>
          <w:sz w:val="20"/>
          <w:szCs w:val="20"/>
        </w:rPr>
      </w:pPr>
      <w:bookmarkStart w:id="407" w:name="_Toc8567"/>
      <w:bookmarkStart w:id="408" w:name="_Toc15836"/>
      <w:r>
        <w:rPr>
          <w:rFonts w:hint="eastAsia" w:ascii="宋体" w:hAnsi="宋体" w:cs="Courier New"/>
          <w:b/>
          <w:bCs/>
          <w:sz w:val="84"/>
          <w:szCs w:val="84"/>
        </w:rPr>
        <w:t>投标文件</w:t>
      </w:r>
      <w:bookmarkEnd w:id="407"/>
      <w:bookmarkEnd w:id="408"/>
    </w:p>
    <w:p w14:paraId="133DF5A6">
      <w:pPr>
        <w:widowControl w:val="0"/>
        <w:autoSpaceDE w:val="0"/>
        <w:autoSpaceDN w:val="0"/>
        <w:adjustRightInd w:val="0"/>
        <w:snapToGrid w:val="0"/>
        <w:ind w:firstLine="0" w:firstLineChars="0"/>
        <w:jc w:val="center"/>
        <w:rPr>
          <w:rFonts w:ascii="宋体" w:hAnsi="宋体"/>
          <w:sz w:val="28"/>
          <w:szCs w:val="28"/>
        </w:rPr>
      </w:pPr>
    </w:p>
    <w:p w14:paraId="0C5B2328">
      <w:pPr>
        <w:widowControl w:val="0"/>
        <w:autoSpaceDE w:val="0"/>
        <w:autoSpaceDN w:val="0"/>
        <w:adjustRightInd w:val="0"/>
        <w:snapToGrid w:val="0"/>
        <w:ind w:firstLine="0" w:firstLineChars="0"/>
        <w:jc w:val="center"/>
        <w:rPr>
          <w:rFonts w:ascii="宋体" w:hAnsi="宋体"/>
          <w:sz w:val="28"/>
          <w:szCs w:val="28"/>
        </w:rPr>
      </w:pPr>
    </w:p>
    <w:p w14:paraId="2A37AD6F">
      <w:pPr>
        <w:widowControl w:val="0"/>
        <w:autoSpaceDE w:val="0"/>
        <w:autoSpaceDN w:val="0"/>
        <w:adjustRightInd w:val="0"/>
        <w:snapToGrid w:val="0"/>
        <w:ind w:firstLine="0" w:firstLineChars="0"/>
        <w:jc w:val="center"/>
        <w:rPr>
          <w:rFonts w:ascii="宋体" w:hAnsi="宋体"/>
          <w:sz w:val="28"/>
          <w:szCs w:val="28"/>
        </w:rPr>
      </w:pPr>
    </w:p>
    <w:p w14:paraId="7EB8E6D9">
      <w:pPr>
        <w:widowControl w:val="0"/>
        <w:autoSpaceDE w:val="0"/>
        <w:autoSpaceDN w:val="0"/>
        <w:adjustRightInd w:val="0"/>
        <w:snapToGrid w:val="0"/>
        <w:ind w:firstLine="0" w:firstLineChars="0"/>
        <w:jc w:val="center"/>
        <w:rPr>
          <w:rFonts w:hint="eastAsia" w:ascii="宋体" w:hAnsi="宋体"/>
          <w:sz w:val="28"/>
          <w:szCs w:val="28"/>
        </w:rPr>
      </w:pPr>
    </w:p>
    <w:tbl>
      <w:tblPr>
        <w:tblStyle w:val="51"/>
        <w:tblW w:w="5000" w:type="pct"/>
        <w:tblInd w:w="-108" w:type="dxa"/>
        <w:tblLayout w:type="autofit"/>
        <w:tblCellMar>
          <w:top w:w="0" w:type="dxa"/>
          <w:left w:w="108" w:type="dxa"/>
          <w:bottom w:w="0" w:type="dxa"/>
          <w:right w:w="108" w:type="dxa"/>
        </w:tblCellMar>
      </w:tblPr>
      <w:tblGrid>
        <w:gridCol w:w="3650"/>
        <w:gridCol w:w="4873"/>
      </w:tblGrid>
      <w:tr w14:paraId="47F43508">
        <w:tblPrEx>
          <w:tblCellMar>
            <w:top w:w="0" w:type="dxa"/>
            <w:left w:w="108" w:type="dxa"/>
            <w:bottom w:w="0" w:type="dxa"/>
            <w:right w:w="108" w:type="dxa"/>
          </w:tblCellMar>
        </w:tblPrEx>
        <w:tc>
          <w:tcPr>
            <w:tcW w:w="2141" w:type="pct"/>
            <w:vAlign w:val="center"/>
          </w:tcPr>
          <w:p w14:paraId="123FF4AA">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项目名称：</w:t>
            </w:r>
          </w:p>
        </w:tc>
        <w:tc>
          <w:tcPr>
            <w:tcW w:w="2859" w:type="pct"/>
            <w:vAlign w:val="center"/>
          </w:tcPr>
          <w:p w14:paraId="602313A1">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0BC89756">
        <w:tblPrEx>
          <w:tblCellMar>
            <w:top w:w="0" w:type="dxa"/>
            <w:left w:w="108" w:type="dxa"/>
            <w:bottom w:w="0" w:type="dxa"/>
            <w:right w:w="108" w:type="dxa"/>
          </w:tblCellMar>
        </w:tblPrEx>
        <w:tc>
          <w:tcPr>
            <w:tcW w:w="2141" w:type="pct"/>
            <w:vAlign w:val="center"/>
          </w:tcPr>
          <w:p w14:paraId="025E6CE1">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项目编号：</w:t>
            </w:r>
          </w:p>
        </w:tc>
        <w:tc>
          <w:tcPr>
            <w:tcW w:w="2859" w:type="pct"/>
            <w:vAlign w:val="center"/>
          </w:tcPr>
          <w:p w14:paraId="02DE388E">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5AE1BEF3">
        <w:tblPrEx>
          <w:tblCellMar>
            <w:top w:w="0" w:type="dxa"/>
            <w:left w:w="108" w:type="dxa"/>
            <w:bottom w:w="0" w:type="dxa"/>
            <w:right w:w="108" w:type="dxa"/>
          </w:tblCellMar>
        </w:tblPrEx>
        <w:tc>
          <w:tcPr>
            <w:tcW w:w="2141" w:type="pct"/>
            <w:vAlign w:val="center"/>
          </w:tcPr>
          <w:p w14:paraId="0A86A7EC">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投标人：</w:t>
            </w:r>
          </w:p>
        </w:tc>
        <w:tc>
          <w:tcPr>
            <w:tcW w:w="2859" w:type="pct"/>
            <w:vAlign w:val="center"/>
          </w:tcPr>
          <w:p w14:paraId="350A9299">
            <w:pPr>
              <w:widowControl w:val="0"/>
              <w:autoSpaceDE w:val="0"/>
              <w:autoSpaceDN w:val="0"/>
              <w:adjustRightInd w:val="0"/>
              <w:snapToGrid w:val="0"/>
              <w:ind w:firstLine="0" w:firstLineChars="0"/>
              <w:rPr>
                <w:rFonts w:ascii="宋体" w:hAnsi="宋体"/>
                <w:b/>
                <w:sz w:val="32"/>
                <w:szCs w:val="32"/>
                <w:u w:val="single"/>
              </w:rPr>
            </w:pPr>
            <w:r>
              <w:rPr>
                <w:rFonts w:hint="eastAsia" w:ascii="宋体" w:hAnsi="宋体"/>
                <w:b/>
                <w:sz w:val="32"/>
                <w:szCs w:val="32"/>
                <w:u w:val="single"/>
              </w:rPr>
              <w:t xml:space="preserve">           </w:t>
            </w:r>
            <w:r>
              <w:rPr>
                <w:rFonts w:ascii="宋体" w:hAnsi="宋体"/>
                <w:b/>
                <w:sz w:val="32"/>
                <w:szCs w:val="32"/>
                <w:u w:val="single"/>
              </w:rPr>
              <w:t xml:space="preserve">                </w:t>
            </w:r>
            <w:r>
              <w:rPr>
                <w:rFonts w:hint="eastAsia" w:ascii="宋体" w:hAnsi="宋体"/>
                <w:b/>
                <w:sz w:val="32"/>
                <w:szCs w:val="32"/>
                <w:u w:val="single"/>
              </w:rPr>
              <w:t xml:space="preserve">  </w:t>
            </w:r>
          </w:p>
        </w:tc>
      </w:tr>
      <w:tr w14:paraId="7F69FA86">
        <w:tblPrEx>
          <w:tblCellMar>
            <w:top w:w="0" w:type="dxa"/>
            <w:left w:w="108" w:type="dxa"/>
            <w:bottom w:w="0" w:type="dxa"/>
            <w:right w:w="108" w:type="dxa"/>
          </w:tblCellMar>
        </w:tblPrEx>
        <w:tc>
          <w:tcPr>
            <w:tcW w:w="2141" w:type="pct"/>
            <w:vAlign w:val="center"/>
          </w:tcPr>
          <w:p w14:paraId="69E46469">
            <w:pPr>
              <w:widowControl w:val="0"/>
              <w:autoSpaceDE w:val="0"/>
              <w:autoSpaceDN w:val="0"/>
              <w:adjustRightInd w:val="0"/>
              <w:snapToGrid w:val="0"/>
              <w:ind w:firstLine="0" w:firstLineChars="0"/>
              <w:rPr>
                <w:rFonts w:ascii="宋体" w:hAnsi="宋体"/>
                <w:b/>
                <w:sz w:val="32"/>
                <w:szCs w:val="32"/>
              </w:rPr>
            </w:pPr>
            <w:r>
              <w:rPr>
                <w:rFonts w:hint="eastAsia" w:ascii="宋体" w:hAnsi="宋体"/>
                <w:b/>
                <w:sz w:val="32"/>
                <w:szCs w:val="32"/>
              </w:rPr>
              <w:t>法定代表人/单位负责人</w:t>
            </w:r>
          </w:p>
          <w:p w14:paraId="22DC0279">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或其委托代理人：</w:t>
            </w:r>
          </w:p>
        </w:tc>
        <w:tc>
          <w:tcPr>
            <w:tcW w:w="2859" w:type="pct"/>
            <w:vAlign w:val="center"/>
          </w:tcPr>
          <w:p w14:paraId="6C73B786">
            <w:pPr>
              <w:widowControl w:val="0"/>
              <w:autoSpaceDE w:val="0"/>
              <w:autoSpaceDN w:val="0"/>
              <w:adjustRightInd w:val="0"/>
              <w:snapToGrid w:val="0"/>
              <w:ind w:firstLine="0" w:firstLineChars="0"/>
              <w:rPr>
                <w:rFonts w:hint="eastAsia" w:ascii="宋体" w:hAnsi="宋体"/>
                <w:b/>
                <w:sz w:val="32"/>
                <w:szCs w:val="32"/>
                <w:u w:val="single"/>
              </w:rPr>
            </w:pPr>
            <w:r>
              <w:rPr>
                <w:rFonts w:ascii="宋体" w:hAnsi="宋体"/>
                <w:b/>
                <w:sz w:val="32"/>
                <w:szCs w:val="32"/>
                <w:u w:val="single"/>
              </w:rPr>
              <w:t xml:space="preserve">                             </w:t>
            </w:r>
          </w:p>
        </w:tc>
      </w:tr>
      <w:tr w14:paraId="21708838">
        <w:tblPrEx>
          <w:tblCellMar>
            <w:top w:w="0" w:type="dxa"/>
            <w:left w:w="108" w:type="dxa"/>
            <w:bottom w:w="0" w:type="dxa"/>
            <w:right w:w="108" w:type="dxa"/>
          </w:tblCellMar>
        </w:tblPrEx>
        <w:tc>
          <w:tcPr>
            <w:tcW w:w="2141" w:type="pct"/>
            <w:vAlign w:val="center"/>
          </w:tcPr>
          <w:p w14:paraId="35B1BBAB">
            <w:pPr>
              <w:widowControl w:val="0"/>
              <w:autoSpaceDE w:val="0"/>
              <w:autoSpaceDN w:val="0"/>
              <w:adjustRightInd w:val="0"/>
              <w:snapToGrid w:val="0"/>
              <w:ind w:firstLine="0" w:firstLineChars="0"/>
              <w:rPr>
                <w:rFonts w:hint="eastAsia" w:ascii="宋体" w:hAnsi="宋体"/>
                <w:b/>
                <w:sz w:val="32"/>
                <w:szCs w:val="32"/>
              </w:rPr>
            </w:pPr>
            <w:r>
              <w:rPr>
                <w:rFonts w:hint="eastAsia" w:ascii="宋体" w:hAnsi="宋体"/>
                <w:b/>
                <w:sz w:val="32"/>
                <w:szCs w:val="32"/>
              </w:rPr>
              <w:t>日期</w:t>
            </w:r>
            <w:r>
              <w:rPr>
                <w:rFonts w:ascii="宋体" w:hAnsi="宋体"/>
                <w:b/>
                <w:sz w:val="32"/>
                <w:szCs w:val="32"/>
              </w:rPr>
              <w:t>：</w:t>
            </w:r>
          </w:p>
        </w:tc>
        <w:tc>
          <w:tcPr>
            <w:tcW w:w="2859" w:type="pct"/>
            <w:vAlign w:val="center"/>
          </w:tcPr>
          <w:p w14:paraId="60CDD903">
            <w:pPr>
              <w:widowControl w:val="0"/>
              <w:autoSpaceDE w:val="0"/>
              <w:autoSpaceDN w:val="0"/>
              <w:adjustRightInd w:val="0"/>
              <w:snapToGrid w:val="0"/>
              <w:ind w:firstLine="0" w:firstLineChars="0"/>
              <w:rPr>
                <w:rFonts w:hint="eastAsia" w:ascii="宋体" w:hAnsi="宋体"/>
                <w:b/>
                <w:sz w:val="32"/>
                <w:szCs w:val="32"/>
                <w:u w:val="single"/>
              </w:rPr>
            </w:pP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hint="eastAsia" w:ascii="宋体" w:hAnsi="宋体"/>
                <w:b/>
                <w:sz w:val="32"/>
                <w:szCs w:val="32"/>
              </w:rPr>
              <w:t>月</w:t>
            </w:r>
            <w:r>
              <w:rPr>
                <w:rFonts w:hint="eastAsia" w:ascii="宋体" w:hAnsi="宋体"/>
                <w:b/>
                <w:sz w:val="32"/>
                <w:szCs w:val="32"/>
                <w:u w:val="single"/>
              </w:rPr>
              <w:t xml:space="preserve">    </w:t>
            </w:r>
            <w:r>
              <w:rPr>
                <w:rFonts w:hint="eastAsia" w:ascii="宋体" w:hAnsi="宋体"/>
                <w:b/>
                <w:sz w:val="32"/>
                <w:szCs w:val="32"/>
              </w:rPr>
              <w:t>日</w:t>
            </w:r>
          </w:p>
        </w:tc>
      </w:tr>
    </w:tbl>
    <w:p w14:paraId="66E91500">
      <w:pPr>
        <w:widowControl w:val="0"/>
        <w:autoSpaceDE w:val="0"/>
        <w:autoSpaceDN w:val="0"/>
        <w:adjustRightInd w:val="0"/>
        <w:snapToGrid w:val="0"/>
        <w:ind w:firstLine="0" w:firstLineChars="0"/>
        <w:jc w:val="left"/>
        <w:rPr>
          <w:rFonts w:ascii="宋体" w:hAnsi="宋体"/>
          <w:b/>
          <w:sz w:val="44"/>
          <w:szCs w:val="44"/>
        </w:rPr>
      </w:pPr>
    </w:p>
    <w:p w14:paraId="2D20A216">
      <w:pPr>
        <w:widowControl w:val="0"/>
        <w:autoSpaceDE w:val="0"/>
        <w:autoSpaceDN w:val="0"/>
        <w:adjustRightInd w:val="0"/>
        <w:snapToGrid w:val="0"/>
        <w:ind w:firstLine="0" w:firstLineChars="0"/>
        <w:rPr>
          <w:rFonts w:hint="eastAsia" w:ascii="宋体" w:hAnsi="宋体"/>
        </w:rPr>
      </w:pPr>
    </w:p>
    <w:p w14:paraId="3CF90524">
      <w:pPr>
        <w:ind w:firstLine="420"/>
      </w:pPr>
      <w:r>
        <w:rPr>
          <w:rFonts w:ascii="宋体" w:hAnsi="宋体"/>
        </w:rPr>
        <w:br w:type="page"/>
      </w:r>
      <w:bookmarkStart w:id="409" w:name="_Toc19109"/>
      <w:bookmarkStart w:id="410" w:name="_Toc28962"/>
      <w:bookmarkStart w:id="411" w:name="_Hlk532142363"/>
    </w:p>
    <w:p w14:paraId="27B73F93">
      <w:pPr>
        <w:ind w:firstLine="420"/>
      </w:pPr>
    </w:p>
    <w:p w14:paraId="4D487738">
      <w:pPr>
        <w:ind w:firstLine="420"/>
      </w:pPr>
    </w:p>
    <w:p w14:paraId="4C056C13">
      <w:pPr>
        <w:ind w:firstLine="420"/>
      </w:pPr>
    </w:p>
    <w:p w14:paraId="5EE111FD">
      <w:pPr>
        <w:ind w:firstLine="420"/>
      </w:pPr>
    </w:p>
    <w:p w14:paraId="2B435DA2">
      <w:pPr>
        <w:ind w:firstLine="420"/>
      </w:pPr>
    </w:p>
    <w:p w14:paraId="03F001D0">
      <w:pPr>
        <w:ind w:firstLine="420"/>
      </w:pPr>
    </w:p>
    <w:p w14:paraId="7684D34D">
      <w:pPr>
        <w:ind w:firstLine="420"/>
      </w:pPr>
    </w:p>
    <w:p w14:paraId="0F023AD9">
      <w:pPr>
        <w:ind w:firstLine="420"/>
      </w:pPr>
    </w:p>
    <w:p w14:paraId="61E913B0">
      <w:pPr>
        <w:ind w:firstLine="420"/>
      </w:pPr>
    </w:p>
    <w:p w14:paraId="0C8E2171">
      <w:pPr>
        <w:ind w:firstLine="420"/>
      </w:pPr>
    </w:p>
    <w:p w14:paraId="323D13C8">
      <w:pPr>
        <w:ind w:firstLine="420"/>
      </w:pPr>
    </w:p>
    <w:p w14:paraId="25B1AA3F">
      <w:pPr>
        <w:ind w:firstLine="420"/>
      </w:pPr>
    </w:p>
    <w:p w14:paraId="3F4336F5">
      <w:pPr>
        <w:ind w:firstLine="420"/>
      </w:pPr>
    </w:p>
    <w:p w14:paraId="4C4A0D8D">
      <w:pPr>
        <w:ind w:firstLine="420"/>
      </w:pPr>
    </w:p>
    <w:p w14:paraId="3CF79E34">
      <w:pPr>
        <w:ind w:firstLine="420"/>
      </w:pPr>
    </w:p>
    <w:p w14:paraId="50150FA1">
      <w:pPr>
        <w:ind w:firstLine="420"/>
      </w:pPr>
    </w:p>
    <w:p w14:paraId="44F0FEEE">
      <w:pPr>
        <w:ind w:firstLine="420"/>
      </w:pPr>
    </w:p>
    <w:p w14:paraId="487DAAA7">
      <w:pPr>
        <w:widowControl w:val="0"/>
        <w:autoSpaceDE w:val="0"/>
        <w:autoSpaceDN w:val="0"/>
        <w:adjustRightInd w:val="0"/>
        <w:snapToGrid w:val="0"/>
        <w:ind w:firstLine="0" w:firstLineChars="0"/>
        <w:jc w:val="center"/>
        <w:outlineLvl w:val="1"/>
        <w:rPr>
          <w:rFonts w:hint="eastAsia" w:ascii="宋体" w:hAnsi="宋体"/>
          <w:sz w:val="44"/>
          <w:szCs w:val="44"/>
        </w:rPr>
      </w:pPr>
      <w:bookmarkStart w:id="412" w:name="_Toc13360"/>
      <w:bookmarkStart w:id="413" w:name="_Toc19088"/>
      <w:r>
        <w:rPr>
          <w:rFonts w:hint="eastAsia" w:ascii="宋体" w:hAnsi="宋体"/>
          <w:b/>
          <w:sz w:val="44"/>
          <w:szCs w:val="44"/>
        </w:rPr>
        <w:t>一</w:t>
      </w:r>
      <w:r>
        <w:rPr>
          <w:rFonts w:ascii="宋体" w:hAnsi="宋体"/>
          <w:b/>
          <w:sz w:val="44"/>
          <w:szCs w:val="44"/>
        </w:rPr>
        <w:t>、</w:t>
      </w:r>
      <w:r>
        <w:rPr>
          <w:rFonts w:hint="eastAsia" w:ascii="宋体" w:hAnsi="宋体"/>
          <w:b/>
          <w:sz w:val="44"/>
          <w:szCs w:val="44"/>
        </w:rPr>
        <w:t>资格审查文件部分</w:t>
      </w:r>
      <w:bookmarkEnd w:id="409"/>
      <w:bookmarkEnd w:id="410"/>
      <w:bookmarkEnd w:id="411"/>
      <w:bookmarkEnd w:id="412"/>
      <w:bookmarkEnd w:id="413"/>
    </w:p>
    <w:p w14:paraId="683A728A">
      <w:pPr>
        <w:widowControl w:val="0"/>
        <w:autoSpaceDE w:val="0"/>
        <w:autoSpaceDN w:val="0"/>
        <w:adjustRightInd w:val="0"/>
        <w:snapToGrid w:val="0"/>
        <w:ind w:firstLine="0" w:firstLineChars="0"/>
        <w:outlineLvl w:val="2"/>
        <w:rPr>
          <w:rFonts w:ascii="宋体" w:hAnsi="宋体"/>
        </w:rPr>
      </w:pPr>
      <w:r>
        <w:rPr>
          <w:rFonts w:ascii="宋体" w:hAnsi="宋体"/>
        </w:rPr>
        <w:br w:type="page"/>
      </w:r>
      <w:bookmarkStart w:id="414" w:name="_Toc24159"/>
      <w:bookmarkStart w:id="415" w:name="_Toc19939"/>
      <w:bookmarkStart w:id="416" w:name="_Toc25492"/>
      <w:r>
        <w:rPr>
          <w:rFonts w:hint="eastAsia" w:ascii="宋体" w:hAnsi="宋体"/>
          <w:b/>
        </w:rPr>
        <w:t>A1、营业执照</w:t>
      </w:r>
      <w:bookmarkEnd w:id="414"/>
      <w:bookmarkEnd w:id="415"/>
      <w:bookmarkEnd w:id="416"/>
    </w:p>
    <w:p w14:paraId="5FA0104E">
      <w:pPr>
        <w:widowControl w:val="0"/>
        <w:autoSpaceDE w:val="0"/>
        <w:autoSpaceDN w:val="0"/>
        <w:adjustRightInd w:val="0"/>
        <w:snapToGrid w:val="0"/>
        <w:ind w:firstLine="0" w:firstLineChars="0"/>
        <w:jc w:val="left"/>
        <w:outlineLvl w:val="2"/>
        <w:rPr>
          <w:rFonts w:ascii="宋体" w:hAnsi="宋体"/>
          <w:b/>
          <w:szCs w:val="21"/>
        </w:rPr>
      </w:pPr>
      <w:r>
        <w:rPr>
          <w:rFonts w:ascii="宋体" w:hAnsi="宋体"/>
          <w:sz w:val="22"/>
        </w:rPr>
        <w:br w:type="page"/>
      </w:r>
      <w:bookmarkStart w:id="417" w:name="_Toc28474"/>
      <w:bookmarkStart w:id="418" w:name="_Toc25856"/>
      <w:bookmarkStart w:id="419" w:name="_Toc13789"/>
      <w:r>
        <w:rPr>
          <w:rFonts w:hint="eastAsia" w:ascii="宋体" w:hAnsi="宋体"/>
          <w:b/>
          <w:szCs w:val="21"/>
        </w:rPr>
        <w:t>A2、</w:t>
      </w:r>
      <w:r>
        <w:rPr>
          <w:rFonts w:ascii="宋体" w:hAnsi="宋体"/>
          <w:b/>
          <w:szCs w:val="21"/>
        </w:rPr>
        <w:t>法定</w:t>
      </w:r>
      <w:r>
        <w:rPr>
          <w:rFonts w:hint="eastAsia" w:ascii="宋体" w:hAnsi="宋体"/>
          <w:b/>
        </w:rPr>
        <w:t>代表人</w:t>
      </w:r>
      <w:r>
        <w:rPr>
          <w:rFonts w:hint="eastAsia" w:ascii="宋体" w:hAnsi="宋体"/>
          <w:b/>
          <w:szCs w:val="21"/>
        </w:rPr>
        <w:t>资格证明书</w:t>
      </w:r>
      <w:bookmarkEnd w:id="417"/>
      <w:bookmarkEnd w:id="418"/>
      <w:bookmarkEnd w:id="419"/>
    </w:p>
    <w:p w14:paraId="47F79207">
      <w:pPr>
        <w:widowControl w:val="0"/>
        <w:autoSpaceDE w:val="0"/>
        <w:autoSpaceDN w:val="0"/>
        <w:adjustRightInd w:val="0"/>
        <w:snapToGrid w:val="0"/>
        <w:ind w:firstLine="0" w:firstLineChars="0"/>
        <w:jc w:val="left"/>
        <w:rPr>
          <w:rFonts w:ascii="宋体" w:hAnsi="宋体"/>
          <w:sz w:val="24"/>
        </w:rPr>
      </w:pPr>
    </w:p>
    <w:p w14:paraId="5F3F6866">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法定代表人资格证明书</w:t>
      </w:r>
    </w:p>
    <w:p w14:paraId="0F60C04E">
      <w:pPr>
        <w:widowControl w:val="0"/>
        <w:autoSpaceDE w:val="0"/>
        <w:autoSpaceDN w:val="0"/>
        <w:adjustRightInd w:val="0"/>
        <w:snapToGrid w:val="0"/>
        <w:ind w:firstLine="0" w:firstLineChars="0"/>
        <w:jc w:val="left"/>
        <w:rPr>
          <w:rFonts w:ascii="宋体" w:hAnsi="宋体"/>
          <w:sz w:val="24"/>
        </w:rPr>
      </w:pPr>
    </w:p>
    <w:p w14:paraId="5B7A1A7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投标人名称：</w:t>
      </w:r>
      <w:r>
        <w:rPr>
          <w:rFonts w:hint="eastAsia" w:ascii="宋体" w:hAnsi="宋体"/>
          <w:szCs w:val="21"/>
          <w:u w:val="single"/>
        </w:rPr>
        <w:t xml:space="preserve">                                 </w:t>
      </w:r>
    </w:p>
    <w:p w14:paraId="1BFD4E3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单位性质：</w:t>
      </w:r>
      <w:r>
        <w:rPr>
          <w:rFonts w:hint="eastAsia" w:ascii="宋体" w:hAnsi="宋体"/>
          <w:szCs w:val="21"/>
          <w:u w:val="single"/>
        </w:rPr>
        <w:t xml:space="preserve">                                   </w:t>
      </w:r>
    </w:p>
    <w:p w14:paraId="6063942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地址：</w:t>
      </w:r>
      <w:r>
        <w:rPr>
          <w:rFonts w:hint="eastAsia" w:ascii="宋体" w:hAnsi="宋体"/>
          <w:szCs w:val="21"/>
          <w:u w:val="single"/>
        </w:rPr>
        <w:t xml:space="preserve">                                       </w:t>
      </w:r>
    </w:p>
    <w:p w14:paraId="129B6CA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成立时间：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5F8D9E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经营期限：</w:t>
      </w:r>
      <w:r>
        <w:rPr>
          <w:rFonts w:hint="eastAsia" w:ascii="宋体" w:hAnsi="宋体"/>
          <w:szCs w:val="21"/>
          <w:u w:val="single"/>
        </w:rPr>
        <w:t xml:space="preserve">                                   </w:t>
      </w:r>
    </w:p>
    <w:p w14:paraId="070970A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姓名：</w:t>
      </w:r>
      <w:r>
        <w:rPr>
          <w:rFonts w:hint="eastAsia" w:ascii="宋体" w:hAnsi="宋体"/>
          <w:szCs w:val="21"/>
          <w:u w:val="single"/>
        </w:rPr>
        <w:t xml:space="preserve">                                       </w:t>
      </w:r>
    </w:p>
    <w:p w14:paraId="50E75C32">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性别：</w:t>
      </w:r>
      <w:r>
        <w:rPr>
          <w:rFonts w:hint="eastAsia" w:ascii="宋体" w:hAnsi="宋体"/>
          <w:szCs w:val="21"/>
          <w:u w:val="single"/>
        </w:rPr>
        <w:t xml:space="preserve">                                       </w:t>
      </w:r>
    </w:p>
    <w:p w14:paraId="28FF51E0">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年龄：</w:t>
      </w:r>
      <w:r>
        <w:rPr>
          <w:rFonts w:hint="eastAsia" w:ascii="宋体" w:hAnsi="宋体"/>
          <w:szCs w:val="21"/>
          <w:u w:val="single"/>
        </w:rPr>
        <w:t xml:space="preserve">                                       </w:t>
      </w:r>
    </w:p>
    <w:p w14:paraId="0DABC4C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职务：</w:t>
      </w:r>
      <w:r>
        <w:rPr>
          <w:rFonts w:hint="eastAsia" w:ascii="宋体" w:hAnsi="宋体"/>
          <w:szCs w:val="21"/>
          <w:u w:val="single"/>
        </w:rPr>
        <w:t xml:space="preserve">                                       </w:t>
      </w:r>
    </w:p>
    <w:p w14:paraId="36266F2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系</w:t>
      </w:r>
      <w:r>
        <w:rPr>
          <w:rFonts w:hint="eastAsia" w:ascii="宋体" w:hAnsi="宋体"/>
          <w:szCs w:val="21"/>
          <w:u w:val="single"/>
        </w:rPr>
        <w:t xml:space="preserve">   （投标人名称）  </w:t>
      </w:r>
      <w:r>
        <w:rPr>
          <w:rFonts w:hint="eastAsia" w:ascii="宋体" w:hAnsi="宋体"/>
          <w:szCs w:val="21"/>
        </w:rPr>
        <w:t>的法定代表人。</w:t>
      </w:r>
    </w:p>
    <w:p w14:paraId="5DD2C8A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特此证明。</w:t>
      </w:r>
    </w:p>
    <w:p w14:paraId="4AC05590">
      <w:pPr>
        <w:widowControl w:val="0"/>
        <w:autoSpaceDE w:val="0"/>
        <w:autoSpaceDN w:val="0"/>
        <w:adjustRightInd w:val="0"/>
        <w:snapToGrid w:val="0"/>
        <w:ind w:firstLine="0" w:firstLineChars="0"/>
        <w:jc w:val="left"/>
        <w:rPr>
          <w:rFonts w:ascii="宋体" w:hAnsi="宋体"/>
          <w:bCs/>
          <w:szCs w:val="21"/>
        </w:rPr>
      </w:pPr>
    </w:p>
    <w:p w14:paraId="6E445AF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r>
        <w:rPr>
          <w:rFonts w:ascii="宋体" w:hAnsi="宋体"/>
          <w:szCs w:val="21"/>
          <w:u w:val="single"/>
        </w:rPr>
        <w:t xml:space="preserve">     </w:t>
      </w:r>
    </w:p>
    <w:p w14:paraId="2AE05C1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58ABE33">
      <w:pPr>
        <w:widowControl w:val="0"/>
        <w:autoSpaceDE w:val="0"/>
        <w:autoSpaceDN w:val="0"/>
        <w:adjustRightInd w:val="0"/>
        <w:snapToGrid w:val="0"/>
        <w:ind w:firstLine="0" w:firstLineChars="0"/>
        <w:jc w:val="left"/>
        <w:rPr>
          <w:rFonts w:ascii="宋体" w:hAnsi="宋体"/>
          <w:szCs w:val="21"/>
        </w:rPr>
      </w:pPr>
    </w:p>
    <w:p w14:paraId="14325C95">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71E22B55">
      <w:pPr>
        <w:widowControl w:val="0"/>
        <w:autoSpaceDE w:val="0"/>
        <w:autoSpaceDN w:val="0"/>
        <w:adjustRightInd w:val="0"/>
        <w:snapToGrid w:val="0"/>
        <w:ind w:firstLine="0" w:firstLineChars="0"/>
        <w:jc w:val="left"/>
        <w:rPr>
          <w:rFonts w:ascii="宋体" w:hAnsi="宋体"/>
          <w:szCs w:val="21"/>
        </w:rPr>
      </w:pPr>
      <w:r>
        <w:rPr>
          <w:rFonts w:ascii="宋体" w:hAnsi="宋体"/>
          <w:szCs w:val="21"/>
        </w:rPr>
        <w:t>1</w:t>
      </w:r>
      <w:r>
        <w:rPr>
          <w:rFonts w:hint="eastAsia" w:ascii="宋体" w:hAnsi="宋体"/>
          <w:szCs w:val="21"/>
        </w:rPr>
        <w:t>、如为法定代表人参加本次投标活动时，则不需要填写“法定代表人授权委托书”。</w:t>
      </w:r>
    </w:p>
    <w:p w14:paraId="26AA29E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2、后附法定代表人身份证复印件。</w:t>
      </w:r>
    </w:p>
    <w:p w14:paraId="08C5CD5E">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3、格式仅供参考</w:t>
      </w:r>
    </w:p>
    <w:p w14:paraId="1A642543">
      <w:pPr>
        <w:widowControl w:val="0"/>
        <w:autoSpaceDE w:val="0"/>
        <w:autoSpaceDN w:val="0"/>
        <w:adjustRightInd w:val="0"/>
        <w:snapToGrid w:val="0"/>
        <w:ind w:firstLine="0" w:firstLineChars="0"/>
        <w:jc w:val="left"/>
        <w:outlineLvl w:val="2"/>
        <w:rPr>
          <w:rFonts w:ascii="宋体" w:hAnsi="宋体"/>
          <w:b/>
          <w:szCs w:val="21"/>
        </w:rPr>
      </w:pPr>
      <w:r>
        <w:rPr>
          <w:rFonts w:ascii="宋体" w:hAnsi="宋体"/>
          <w:b/>
          <w:szCs w:val="21"/>
        </w:rPr>
        <w:br w:type="page"/>
      </w:r>
      <w:bookmarkStart w:id="420" w:name="_Toc5842"/>
      <w:bookmarkStart w:id="421" w:name="_Toc8505"/>
      <w:bookmarkStart w:id="422" w:name="_Toc11268"/>
      <w:r>
        <w:rPr>
          <w:rFonts w:hint="eastAsia" w:ascii="宋体" w:hAnsi="宋体"/>
          <w:b/>
          <w:szCs w:val="21"/>
        </w:rPr>
        <w:t>A3、</w:t>
      </w:r>
      <w:r>
        <w:rPr>
          <w:rFonts w:ascii="宋体" w:hAnsi="宋体"/>
          <w:b/>
          <w:szCs w:val="21"/>
        </w:rPr>
        <w:t>法定</w:t>
      </w:r>
      <w:r>
        <w:rPr>
          <w:rFonts w:hint="eastAsia" w:ascii="宋体" w:hAnsi="宋体"/>
          <w:b/>
        </w:rPr>
        <w:t>代表人</w:t>
      </w:r>
      <w:r>
        <w:rPr>
          <w:rFonts w:hint="eastAsia" w:ascii="宋体" w:hAnsi="宋体"/>
          <w:b/>
          <w:szCs w:val="21"/>
        </w:rPr>
        <w:t>授权委托书</w:t>
      </w:r>
      <w:bookmarkEnd w:id="420"/>
      <w:r>
        <w:rPr>
          <w:rFonts w:hint="eastAsia" w:ascii="宋体" w:hAnsi="宋体"/>
          <w:b/>
          <w:szCs w:val="21"/>
        </w:rPr>
        <w:t>（如有）</w:t>
      </w:r>
      <w:bookmarkEnd w:id="421"/>
      <w:bookmarkEnd w:id="422"/>
    </w:p>
    <w:p w14:paraId="7C97B89E">
      <w:pPr>
        <w:widowControl w:val="0"/>
        <w:autoSpaceDE w:val="0"/>
        <w:autoSpaceDN w:val="0"/>
        <w:adjustRightInd w:val="0"/>
        <w:snapToGrid w:val="0"/>
        <w:ind w:firstLine="0" w:firstLineChars="0"/>
        <w:jc w:val="left"/>
        <w:rPr>
          <w:rFonts w:ascii="宋体" w:hAnsi="宋体"/>
          <w:b/>
          <w:sz w:val="28"/>
          <w:szCs w:val="28"/>
        </w:rPr>
      </w:pPr>
    </w:p>
    <w:p w14:paraId="299C0822">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法定代表人授权委托书</w:t>
      </w:r>
    </w:p>
    <w:p w14:paraId="43E1DBD6">
      <w:pPr>
        <w:widowControl w:val="0"/>
        <w:autoSpaceDE w:val="0"/>
        <w:autoSpaceDN w:val="0"/>
        <w:adjustRightInd w:val="0"/>
        <w:snapToGrid w:val="0"/>
        <w:ind w:firstLine="0" w:firstLineChars="0"/>
        <w:jc w:val="left"/>
        <w:rPr>
          <w:rFonts w:ascii="宋体" w:hAnsi="宋体"/>
          <w:sz w:val="24"/>
        </w:rPr>
      </w:pPr>
    </w:p>
    <w:p w14:paraId="7F6C297A">
      <w:pPr>
        <w:widowControl w:val="0"/>
        <w:autoSpaceDE w:val="0"/>
        <w:autoSpaceDN w:val="0"/>
        <w:adjustRightInd w:val="0"/>
        <w:snapToGrid w:val="0"/>
        <w:ind w:firstLine="0" w:firstLineChars="0"/>
        <w:jc w:val="left"/>
        <w:rPr>
          <w:rFonts w:ascii="宋体" w:hAnsi="宋体"/>
          <w:u w:val="single"/>
        </w:rPr>
      </w:pPr>
      <w:r>
        <w:rPr>
          <w:rFonts w:hint="eastAsia" w:ascii="宋体" w:hAnsi="宋体"/>
        </w:rPr>
        <w:t>致：</w:t>
      </w:r>
      <w:r>
        <w:rPr>
          <w:rFonts w:hint="eastAsia" w:ascii="宋体" w:hAnsi="宋体"/>
          <w:u w:val="single"/>
        </w:rPr>
        <w:t xml:space="preserve"> （招标人名称)  </w:t>
      </w:r>
    </w:p>
    <w:p w14:paraId="6B88FEB7">
      <w:pPr>
        <w:widowControl w:val="0"/>
        <w:autoSpaceDE w:val="0"/>
        <w:autoSpaceDN w:val="0"/>
        <w:adjustRightInd w:val="0"/>
        <w:snapToGrid w:val="0"/>
        <w:ind w:firstLine="0" w:firstLineChars="0"/>
        <w:jc w:val="left"/>
        <w:rPr>
          <w:rFonts w:ascii="宋体" w:hAnsi="宋体"/>
          <w:szCs w:val="21"/>
        </w:rPr>
      </w:pPr>
    </w:p>
    <w:p w14:paraId="238FEEC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本授权委托书宣告：</w:t>
      </w:r>
      <w:r>
        <w:rPr>
          <w:rFonts w:hint="eastAsia" w:ascii="宋体" w:hAnsi="宋体"/>
          <w:szCs w:val="21"/>
          <w:u w:val="single"/>
        </w:rPr>
        <w:t>（投标人全称）</w:t>
      </w:r>
      <w:r>
        <w:rPr>
          <w:rFonts w:hint="eastAsia" w:ascii="宋体" w:hAnsi="宋体"/>
          <w:szCs w:val="21"/>
        </w:rPr>
        <w:t>的</w:t>
      </w:r>
      <w:r>
        <w:rPr>
          <w:rFonts w:hint="eastAsia" w:ascii="宋体" w:hAnsi="宋体"/>
          <w:szCs w:val="21"/>
          <w:u w:val="single"/>
        </w:rPr>
        <w:t xml:space="preserve"> （职务）（姓名）</w:t>
      </w:r>
      <w:r>
        <w:rPr>
          <w:rFonts w:hint="eastAsia" w:ascii="宋体" w:hAnsi="宋体"/>
          <w:szCs w:val="21"/>
        </w:rPr>
        <w:t>以其法定代表人的身份，合法地代表本单位，授权</w:t>
      </w:r>
      <w:r>
        <w:rPr>
          <w:rFonts w:hint="eastAsia" w:ascii="宋体" w:hAnsi="宋体"/>
          <w:szCs w:val="21"/>
          <w:u w:val="single"/>
        </w:rPr>
        <w:t xml:space="preserve"> （投标人全称） </w:t>
      </w:r>
      <w:r>
        <w:rPr>
          <w:rFonts w:hint="eastAsia" w:ascii="宋体" w:hAnsi="宋体"/>
          <w:szCs w:val="21"/>
        </w:rPr>
        <w:t>的</w:t>
      </w:r>
      <w:r>
        <w:rPr>
          <w:rFonts w:hint="eastAsia" w:ascii="宋体" w:hAnsi="宋体"/>
          <w:szCs w:val="21"/>
          <w:u w:val="single"/>
        </w:rPr>
        <w:t>（职务）（姓名）</w:t>
      </w:r>
      <w:r>
        <w:rPr>
          <w:rFonts w:hint="eastAsia" w:ascii="宋体" w:hAnsi="宋体"/>
          <w:szCs w:val="21"/>
        </w:rPr>
        <w:t>为我单位授权代理人，该授权代理人有权在的投标活动中，以我单位的名义签署投标函和投标文件、与招标人协商、谈判、签订合同协议以及全权处理与此有关的一切事项，其法律后果由我单位承担。</w:t>
      </w:r>
    </w:p>
    <w:p w14:paraId="1D4BF3E5">
      <w:pPr>
        <w:widowControl w:val="0"/>
        <w:autoSpaceDE w:val="0"/>
        <w:autoSpaceDN w:val="0"/>
        <w:adjustRightInd w:val="0"/>
        <w:snapToGrid w:val="0"/>
        <w:ind w:firstLine="0" w:firstLineChars="0"/>
        <w:jc w:val="left"/>
        <w:rPr>
          <w:rFonts w:ascii="宋体" w:hAnsi="宋体"/>
          <w:szCs w:val="21"/>
        </w:rPr>
      </w:pPr>
      <w:bookmarkStart w:id="423" w:name="tip_risk_bookmark_54"/>
      <w:r>
        <w:rPr>
          <w:rFonts w:hint="eastAsia" w:ascii="宋体" w:hAnsi="宋体"/>
          <w:szCs w:val="21"/>
        </w:rPr>
        <w:t>委托期限：</w:t>
      </w:r>
      <w:r>
        <w:rPr>
          <w:rFonts w:hint="eastAsia" w:ascii="宋体" w:hAnsi="宋体"/>
          <w:szCs w:val="21"/>
          <w:u w:val="single"/>
        </w:rPr>
        <w:t xml:space="preserve">                                                                    </w:t>
      </w:r>
      <w:r>
        <w:rPr>
          <w:rFonts w:hint="eastAsia" w:ascii="宋体" w:hAnsi="宋体"/>
          <w:szCs w:val="21"/>
        </w:rPr>
        <w:t>。</w:t>
      </w:r>
      <w:bookmarkEnd w:id="423"/>
    </w:p>
    <w:p w14:paraId="1EEBD3F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授权代理人无转委托权，特此委托。</w:t>
      </w:r>
    </w:p>
    <w:p w14:paraId="1C3872D0">
      <w:pPr>
        <w:widowControl w:val="0"/>
        <w:autoSpaceDE w:val="0"/>
        <w:autoSpaceDN w:val="0"/>
        <w:adjustRightInd w:val="0"/>
        <w:snapToGrid w:val="0"/>
        <w:ind w:firstLine="0" w:firstLineChars="0"/>
        <w:jc w:val="left"/>
        <w:rPr>
          <w:rFonts w:ascii="宋体" w:hAnsi="宋体"/>
          <w:szCs w:val="21"/>
        </w:rPr>
      </w:pPr>
    </w:p>
    <w:p w14:paraId="03D88F12">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p>
    <w:p w14:paraId="6930E437">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w:t>
      </w:r>
      <w:r>
        <w:rPr>
          <w:rFonts w:hint="eastAsia" w:ascii="宋体" w:hAnsi="宋体"/>
          <w:szCs w:val="21"/>
          <w:u w:val="single"/>
        </w:rPr>
        <w:t xml:space="preserve">                        </w:t>
      </w:r>
    </w:p>
    <w:p w14:paraId="2B71D4D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6EB08316">
      <w:pPr>
        <w:widowControl w:val="0"/>
        <w:autoSpaceDE w:val="0"/>
        <w:autoSpaceDN w:val="0"/>
        <w:adjustRightInd w:val="0"/>
        <w:snapToGrid w:val="0"/>
        <w:ind w:firstLine="0" w:firstLineChars="0"/>
        <w:jc w:val="left"/>
        <w:rPr>
          <w:rFonts w:ascii="宋体" w:hAnsi="宋体"/>
          <w:szCs w:val="21"/>
        </w:rPr>
      </w:pPr>
    </w:p>
    <w:p w14:paraId="3B9F2A87">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注：</w:t>
      </w:r>
    </w:p>
    <w:p w14:paraId="5D354A8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1、如为法定代表人参加本次投标活动时，则不需要填写“法定代表人授权委托书”；</w:t>
      </w:r>
    </w:p>
    <w:p w14:paraId="473C6E22">
      <w:pPr>
        <w:widowControl w:val="0"/>
        <w:autoSpaceDE w:val="0"/>
        <w:autoSpaceDN w:val="0"/>
        <w:adjustRightInd w:val="0"/>
        <w:snapToGrid w:val="0"/>
        <w:ind w:firstLine="0" w:firstLineChars="0"/>
        <w:jc w:val="left"/>
        <w:rPr>
          <w:rFonts w:ascii="宋体" w:hAnsi="宋体"/>
          <w:b/>
          <w:szCs w:val="21"/>
        </w:rPr>
      </w:pPr>
      <w:r>
        <w:rPr>
          <w:rFonts w:hint="eastAsia" w:ascii="宋体" w:hAnsi="宋体"/>
          <w:szCs w:val="21"/>
        </w:rPr>
        <w:t>2、后附授权代理人身份证复印件</w:t>
      </w:r>
      <w:r>
        <w:rPr>
          <w:rFonts w:hint="eastAsia" w:ascii="宋体" w:hAnsi="宋体"/>
          <w:spacing w:val="-8"/>
          <w:szCs w:val="21"/>
        </w:rPr>
        <w:t>；</w:t>
      </w:r>
    </w:p>
    <w:p w14:paraId="0472109D">
      <w:pPr>
        <w:widowControl w:val="0"/>
        <w:autoSpaceDE w:val="0"/>
        <w:autoSpaceDN w:val="0"/>
        <w:adjustRightInd w:val="0"/>
        <w:snapToGrid w:val="0"/>
        <w:ind w:firstLine="0" w:firstLineChars="0"/>
        <w:jc w:val="left"/>
        <w:rPr>
          <w:rFonts w:hint="eastAsia" w:ascii="宋体" w:hAnsi="宋体"/>
          <w:szCs w:val="21"/>
        </w:rPr>
      </w:pPr>
      <w:r>
        <w:rPr>
          <w:rFonts w:ascii="宋体" w:hAnsi="宋体"/>
          <w:spacing w:val="-8"/>
          <w:szCs w:val="21"/>
        </w:rPr>
        <w:t>3</w:t>
      </w:r>
      <w:r>
        <w:rPr>
          <w:rFonts w:hint="eastAsia" w:ascii="宋体" w:hAnsi="宋体"/>
          <w:spacing w:val="-8"/>
          <w:szCs w:val="21"/>
        </w:rPr>
        <w:t>、</w:t>
      </w:r>
      <w:r>
        <w:rPr>
          <w:rFonts w:hint="eastAsia" w:ascii="宋体" w:hAnsi="宋体"/>
          <w:szCs w:val="21"/>
        </w:rPr>
        <w:t>格式仅供</w:t>
      </w:r>
      <w:r>
        <w:rPr>
          <w:rFonts w:ascii="宋体" w:hAnsi="宋体"/>
          <w:szCs w:val="21"/>
        </w:rPr>
        <w:t>参考。</w:t>
      </w:r>
    </w:p>
    <w:p w14:paraId="1744365B">
      <w:pPr>
        <w:widowControl w:val="0"/>
        <w:autoSpaceDE w:val="0"/>
        <w:autoSpaceDN w:val="0"/>
        <w:adjustRightInd w:val="0"/>
        <w:snapToGrid w:val="0"/>
        <w:ind w:firstLine="0" w:firstLineChars="0"/>
        <w:jc w:val="left"/>
        <w:outlineLvl w:val="2"/>
        <w:rPr>
          <w:rFonts w:ascii="宋体" w:hAnsi="宋体"/>
          <w:b/>
          <w:szCs w:val="21"/>
        </w:rPr>
      </w:pPr>
      <w:r>
        <w:rPr>
          <w:rFonts w:ascii="宋体" w:hAnsi="宋体"/>
          <w:sz w:val="22"/>
        </w:rPr>
        <w:br w:type="page"/>
      </w:r>
      <w:bookmarkStart w:id="424" w:name="_Toc27398"/>
      <w:bookmarkStart w:id="425" w:name="_Toc7506"/>
      <w:bookmarkStart w:id="426" w:name="_Toc10737"/>
      <w:r>
        <w:rPr>
          <w:rFonts w:hint="eastAsia" w:ascii="宋体" w:hAnsi="宋体"/>
          <w:b/>
          <w:bCs/>
          <w:szCs w:val="21"/>
        </w:rPr>
        <w:t>A4、资格</w:t>
      </w:r>
      <w:r>
        <w:rPr>
          <w:rFonts w:hint="eastAsia" w:ascii="宋体" w:hAnsi="宋体"/>
          <w:b/>
        </w:rPr>
        <w:t>证明</w:t>
      </w:r>
      <w:r>
        <w:rPr>
          <w:rFonts w:hint="eastAsia" w:ascii="宋体" w:hAnsi="宋体"/>
          <w:b/>
          <w:bCs/>
          <w:szCs w:val="21"/>
        </w:rPr>
        <w:t>文件</w:t>
      </w:r>
      <w:bookmarkEnd w:id="424"/>
      <w:bookmarkEnd w:id="425"/>
      <w:bookmarkEnd w:id="426"/>
    </w:p>
    <w:p w14:paraId="0499D4FE">
      <w:pPr>
        <w:widowControl w:val="0"/>
        <w:autoSpaceDE w:val="0"/>
        <w:autoSpaceDN w:val="0"/>
        <w:adjustRightInd w:val="0"/>
        <w:snapToGrid w:val="0"/>
        <w:ind w:firstLine="0" w:firstLineChars="0"/>
        <w:jc w:val="left"/>
        <w:outlineLvl w:val="2"/>
        <w:rPr>
          <w:rFonts w:ascii="宋体" w:hAnsi="宋体"/>
          <w:b/>
          <w:bCs/>
          <w:sz w:val="28"/>
          <w:szCs w:val="28"/>
        </w:rPr>
      </w:pPr>
      <w:r>
        <w:rPr>
          <w:rFonts w:ascii="宋体" w:hAnsi="宋体"/>
          <w:b/>
          <w:bCs/>
          <w:sz w:val="24"/>
        </w:rPr>
        <w:br w:type="page"/>
      </w:r>
      <w:bookmarkStart w:id="427" w:name="_Toc13931"/>
      <w:bookmarkStart w:id="428" w:name="_Toc22091"/>
      <w:bookmarkStart w:id="429" w:name="_Toc17292"/>
      <w:r>
        <w:rPr>
          <w:rFonts w:hint="eastAsia" w:ascii="宋体" w:hAnsi="宋体"/>
          <w:b/>
        </w:rPr>
        <w:t>A5</w:t>
      </w:r>
      <w:r>
        <w:rPr>
          <w:rFonts w:hint="eastAsia" w:ascii="宋体" w:hAnsi="宋体"/>
          <w:b/>
          <w:bCs/>
          <w:szCs w:val="21"/>
        </w:rPr>
        <w:t>、投标人股东关系构成表</w:t>
      </w:r>
      <w:bookmarkEnd w:id="427"/>
      <w:bookmarkEnd w:id="428"/>
      <w:bookmarkEnd w:id="429"/>
    </w:p>
    <w:p w14:paraId="280CC421">
      <w:pPr>
        <w:widowControl w:val="0"/>
        <w:autoSpaceDE w:val="0"/>
        <w:autoSpaceDN w:val="0"/>
        <w:adjustRightInd w:val="0"/>
        <w:snapToGrid w:val="0"/>
        <w:ind w:firstLine="0" w:firstLineChars="0"/>
        <w:jc w:val="left"/>
        <w:rPr>
          <w:rFonts w:ascii="宋体" w:hAnsi="宋体"/>
          <w:b/>
          <w:bCs/>
          <w:szCs w:val="21"/>
        </w:rPr>
      </w:pPr>
    </w:p>
    <w:p w14:paraId="454DD445">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sz w:val="32"/>
          <w:szCs w:val="32"/>
        </w:rPr>
        <w:t>投标人股东关系构成表</w:t>
      </w:r>
    </w:p>
    <w:tbl>
      <w:tblPr>
        <w:tblStyle w:val="51"/>
        <w:tblW w:w="0" w:type="auto"/>
        <w:tblInd w:w="-1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13"/>
        <w:gridCol w:w="6310"/>
      </w:tblGrid>
      <w:tr w14:paraId="446AFE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54"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C64D117">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投标人名称</w:t>
            </w:r>
          </w:p>
        </w:tc>
        <w:tc>
          <w:tcPr>
            <w:tcW w:w="6310" w:type="dxa"/>
            <w:tcBorders>
              <w:top w:val="single" w:color="000000" w:sz="4" w:space="0"/>
              <w:left w:val="single" w:color="000000" w:sz="4" w:space="0"/>
              <w:bottom w:val="single" w:color="000000" w:sz="4" w:space="0"/>
              <w:right w:val="single" w:color="000000" w:sz="4" w:space="0"/>
            </w:tcBorders>
            <w:vAlign w:val="center"/>
          </w:tcPr>
          <w:p w14:paraId="767FDD46">
            <w:pPr>
              <w:widowControl w:val="0"/>
              <w:autoSpaceDE w:val="0"/>
              <w:autoSpaceDN w:val="0"/>
              <w:adjustRightInd w:val="0"/>
              <w:snapToGrid w:val="0"/>
              <w:ind w:firstLine="0" w:firstLineChars="0"/>
              <w:jc w:val="left"/>
              <w:rPr>
                <w:rFonts w:ascii="宋体" w:hAnsi="宋体" w:cs="Segoe UI Symbol"/>
                <w:kern w:val="0"/>
                <w:szCs w:val="21"/>
              </w:rPr>
            </w:pPr>
          </w:p>
        </w:tc>
      </w:tr>
      <w:tr w14:paraId="105ADD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749F9489">
            <w:pPr>
              <w:widowControl w:val="0"/>
              <w:autoSpaceDE w:val="0"/>
              <w:autoSpaceDN w:val="0"/>
              <w:adjustRightInd w:val="0"/>
              <w:snapToGrid w:val="0"/>
              <w:ind w:firstLine="0" w:firstLineChars="0"/>
              <w:jc w:val="left"/>
              <w:rPr>
                <w:rFonts w:hint="eastAsia" w:ascii="宋体" w:hAnsi="宋体"/>
                <w:b/>
                <w:bCs/>
                <w:szCs w:val="21"/>
              </w:rPr>
            </w:pPr>
            <w:r>
              <w:rPr>
                <w:rFonts w:hint="eastAsia" w:ascii="宋体" w:hAnsi="宋体"/>
                <w:b/>
                <w:bCs/>
                <w:szCs w:val="21"/>
              </w:rPr>
              <w:t>本单位负责人（法定代表人）姓名</w:t>
            </w:r>
          </w:p>
        </w:tc>
        <w:tc>
          <w:tcPr>
            <w:tcW w:w="6310" w:type="dxa"/>
            <w:tcBorders>
              <w:top w:val="single" w:color="000000" w:sz="4" w:space="0"/>
              <w:left w:val="single" w:color="000000" w:sz="4" w:space="0"/>
              <w:bottom w:val="single" w:color="000000" w:sz="4" w:space="0"/>
              <w:right w:val="single" w:color="000000" w:sz="4" w:space="0"/>
            </w:tcBorders>
            <w:vAlign w:val="center"/>
          </w:tcPr>
          <w:p w14:paraId="14C70380">
            <w:pPr>
              <w:widowControl w:val="0"/>
              <w:autoSpaceDE w:val="0"/>
              <w:autoSpaceDN w:val="0"/>
              <w:adjustRightInd w:val="0"/>
              <w:snapToGrid w:val="0"/>
              <w:ind w:firstLine="0" w:firstLineChars="0"/>
              <w:jc w:val="left"/>
              <w:rPr>
                <w:rFonts w:ascii="宋体" w:hAnsi="宋体" w:cs="Segoe UI Symbol"/>
                <w:kern w:val="0"/>
                <w:szCs w:val="21"/>
              </w:rPr>
            </w:pPr>
          </w:p>
        </w:tc>
      </w:tr>
      <w:tr w14:paraId="173F0C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3F7A6893">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是否存在本单位的控股股东</w:t>
            </w:r>
          </w:p>
        </w:tc>
        <w:tc>
          <w:tcPr>
            <w:tcW w:w="6310" w:type="dxa"/>
            <w:tcBorders>
              <w:top w:val="single" w:color="000000" w:sz="4" w:space="0"/>
              <w:left w:val="single" w:color="000000" w:sz="4" w:space="0"/>
              <w:bottom w:val="single" w:color="000000" w:sz="4" w:space="0"/>
              <w:right w:val="single" w:color="000000" w:sz="4" w:space="0"/>
            </w:tcBorders>
            <w:vAlign w:val="center"/>
          </w:tcPr>
          <w:p w14:paraId="1ABEB5FB">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□是，其控股股东为：</w:t>
            </w:r>
            <w:r>
              <w:rPr>
                <w:rFonts w:hint="eastAsia" w:ascii="宋体" w:hAnsi="宋体" w:cs="Segoe UI Symbol"/>
                <w:kern w:val="0"/>
                <w:szCs w:val="21"/>
                <w:u w:val="single"/>
              </w:rPr>
              <w:t xml:space="preserve">              </w:t>
            </w:r>
            <w:r>
              <w:rPr>
                <w:rFonts w:hint="eastAsia" w:ascii="宋体" w:hAnsi="宋体" w:cs="Segoe UI Symbol"/>
                <w:kern w:val="0"/>
                <w:szCs w:val="21"/>
              </w:rPr>
              <w:t>，股份占比：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26702EC0">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其他主要股东及其股份占比：</w:t>
            </w:r>
            <w:r>
              <w:rPr>
                <w:rFonts w:hint="eastAsia" w:ascii="宋体" w:hAnsi="宋体" w:cs="Segoe UI Symbol"/>
                <w:kern w:val="0"/>
                <w:szCs w:val="21"/>
                <w:u w:val="single"/>
              </w:rPr>
              <w:t xml:space="preserve">                               </w:t>
            </w:r>
            <w:r>
              <w:rPr>
                <w:rFonts w:hint="eastAsia" w:ascii="宋体" w:hAnsi="宋体" w:cs="Segoe UI Symbol"/>
                <w:kern w:val="0"/>
                <w:szCs w:val="21"/>
              </w:rPr>
              <w:t>。</w:t>
            </w:r>
          </w:p>
          <w:p w14:paraId="48A9F8B1">
            <w:pPr>
              <w:widowControl w:val="0"/>
              <w:autoSpaceDE w:val="0"/>
              <w:autoSpaceDN w:val="0"/>
              <w:adjustRightInd w:val="0"/>
              <w:snapToGrid w:val="0"/>
              <w:ind w:firstLine="0" w:firstLineChars="0"/>
              <w:jc w:val="left"/>
              <w:rPr>
                <w:rFonts w:ascii="宋体" w:hAnsi="宋体"/>
                <w:b/>
                <w:bCs/>
                <w:szCs w:val="21"/>
              </w:rPr>
            </w:pPr>
            <w:r>
              <w:rPr>
                <w:rFonts w:hint="eastAsia" w:ascii="宋体" w:hAnsi="宋体" w:cs="Segoe UI Symbol"/>
                <w:kern w:val="0"/>
                <w:szCs w:val="21"/>
              </w:rPr>
              <w:t>□否</w:t>
            </w:r>
          </w:p>
        </w:tc>
      </w:tr>
      <w:tr w14:paraId="3ECFD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07500D85">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是否存在“与本单位存在管理关系的单位”</w:t>
            </w:r>
          </w:p>
        </w:tc>
        <w:tc>
          <w:tcPr>
            <w:tcW w:w="6310" w:type="dxa"/>
            <w:tcBorders>
              <w:top w:val="single" w:color="000000" w:sz="4" w:space="0"/>
              <w:left w:val="single" w:color="000000" w:sz="4" w:space="0"/>
              <w:bottom w:val="single" w:color="000000" w:sz="4" w:space="0"/>
              <w:right w:val="single" w:color="000000" w:sz="4" w:space="0"/>
            </w:tcBorders>
            <w:vAlign w:val="center"/>
          </w:tcPr>
          <w:p w14:paraId="06F87D8D">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□是，该单位为：</w:t>
            </w:r>
            <w:r>
              <w:rPr>
                <w:rFonts w:hint="eastAsia" w:ascii="宋体" w:hAnsi="宋体" w:cs="Segoe UI Symbol"/>
                <w:kern w:val="0"/>
                <w:szCs w:val="21"/>
                <w:u w:val="single"/>
              </w:rPr>
              <w:t xml:space="preserve">                                          </w:t>
            </w:r>
          </w:p>
          <w:p w14:paraId="205A5F58">
            <w:pPr>
              <w:widowControl w:val="0"/>
              <w:autoSpaceDE w:val="0"/>
              <w:autoSpaceDN w:val="0"/>
              <w:adjustRightInd w:val="0"/>
              <w:snapToGrid w:val="0"/>
              <w:ind w:firstLine="0" w:firstLineChars="0"/>
              <w:jc w:val="left"/>
              <w:rPr>
                <w:rFonts w:ascii="宋体" w:hAnsi="宋体"/>
                <w:b/>
                <w:bCs/>
                <w:szCs w:val="21"/>
              </w:rPr>
            </w:pPr>
            <w:r>
              <w:rPr>
                <w:rFonts w:hint="eastAsia" w:ascii="宋体" w:hAnsi="宋体" w:cs="Segoe UI Symbol"/>
                <w:kern w:val="0"/>
                <w:szCs w:val="21"/>
              </w:rPr>
              <w:t>□否</w:t>
            </w:r>
          </w:p>
        </w:tc>
      </w:tr>
      <w:tr w14:paraId="7C652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18" w:hRule="atLeast"/>
        </w:trPr>
        <w:tc>
          <w:tcPr>
            <w:tcW w:w="2213" w:type="dxa"/>
            <w:tcBorders>
              <w:top w:val="single" w:color="000000" w:sz="4" w:space="0"/>
              <w:left w:val="single" w:color="000000" w:sz="4" w:space="0"/>
              <w:bottom w:val="single" w:color="000000" w:sz="4" w:space="0"/>
              <w:right w:val="single" w:color="000000" w:sz="4" w:space="0"/>
            </w:tcBorders>
            <w:shd w:val="clear" w:color="auto" w:fill="D9E2F3"/>
            <w:vAlign w:val="center"/>
          </w:tcPr>
          <w:p w14:paraId="4170BF02">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是否存在“与招标人有利害关系”的情况</w:t>
            </w:r>
          </w:p>
        </w:tc>
        <w:tc>
          <w:tcPr>
            <w:tcW w:w="6310" w:type="dxa"/>
            <w:tcBorders>
              <w:top w:val="single" w:color="000000" w:sz="4" w:space="0"/>
              <w:left w:val="single" w:color="000000" w:sz="4" w:space="0"/>
              <w:bottom w:val="single" w:color="000000" w:sz="4" w:space="0"/>
              <w:right w:val="single" w:color="000000" w:sz="4" w:space="0"/>
            </w:tcBorders>
            <w:vAlign w:val="center"/>
          </w:tcPr>
          <w:p w14:paraId="73E55BB5">
            <w:pPr>
              <w:widowControl w:val="0"/>
              <w:autoSpaceDE w:val="0"/>
              <w:autoSpaceDN w:val="0"/>
              <w:adjustRightInd w:val="0"/>
              <w:snapToGrid w:val="0"/>
              <w:ind w:firstLine="0" w:firstLineChars="0"/>
              <w:jc w:val="left"/>
              <w:rPr>
                <w:rFonts w:ascii="宋体" w:hAnsi="宋体" w:cs="Segoe UI Symbol"/>
                <w:kern w:val="0"/>
                <w:szCs w:val="21"/>
                <w:u w:val="single"/>
              </w:rPr>
            </w:pPr>
            <w:r>
              <w:rPr>
                <w:rFonts w:hint="eastAsia" w:ascii="宋体" w:hAnsi="宋体" w:cs="Segoe UI Symbol"/>
                <w:kern w:val="0"/>
                <w:szCs w:val="21"/>
              </w:rPr>
              <w:t>□是，与招标人的关系为：</w:t>
            </w:r>
            <w:r>
              <w:rPr>
                <w:rFonts w:hint="eastAsia" w:ascii="宋体" w:hAnsi="宋体" w:cs="Segoe UI Symbol"/>
                <w:kern w:val="0"/>
                <w:szCs w:val="21"/>
                <w:u w:val="single"/>
              </w:rPr>
              <w:t xml:space="preserve">                                   </w:t>
            </w:r>
          </w:p>
          <w:p w14:paraId="21D150B0">
            <w:pPr>
              <w:widowControl w:val="0"/>
              <w:autoSpaceDE w:val="0"/>
              <w:autoSpaceDN w:val="0"/>
              <w:adjustRightInd w:val="0"/>
              <w:snapToGrid w:val="0"/>
              <w:ind w:firstLine="0" w:firstLineChars="0"/>
              <w:jc w:val="left"/>
              <w:rPr>
                <w:rFonts w:ascii="宋体" w:hAnsi="宋体" w:cs="Segoe UI Symbol"/>
                <w:kern w:val="0"/>
                <w:szCs w:val="21"/>
              </w:rPr>
            </w:pPr>
            <w:r>
              <w:rPr>
                <w:rFonts w:hint="eastAsia" w:ascii="宋体" w:hAnsi="宋体" w:cs="Segoe UI Symbol"/>
                <w:kern w:val="0"/>
                <w:szCs w:val="21"/>
              </w:rPr>
              <w:t>□否</w:t>
            </w:r>
          </w:p>
        </w:tc>
      </w:tr>
    </w:tbl>
    <w:p w14:paraId="2472F0AA">
      <w:pPr>
        <w:widowControl w:val="0"/>
        <w:autoSpaceDE w:val="0"/>
        <w:autoSpaceDN w:val="0"/>
        <w:adjustRightInd w:val="0"/>
        <w:snapToGrid w:val="0"/>
        <w:ind w:firstLine="0" w:firstLineChars="0"/>
        <w:jc w:val="left"/>
        <w:rPr>
          <w:rFonts w:ascii="宋体" w:hAnsi="宋体"/>
          <w:b/>
          <w:bCs/>
          <w:szCs w:val="21"/>
        </w:rPr>
      </w:pPr>
      <w:r>
        <w:rPr>
          <w:rFonts w:hint="eastAsia" w:ascii="宋体" w:hAnsi="宋体"/>
          <w:b/>
          <w:bCs/>
          <w:szCs w:val="21"/>
        </w:rPr>
        <w:t>注：</w:t>
      </w:r>
    </w:p>
    <w:p w14:paraId="0D2EE59D">
      <w:pPr>
        <w:widowControl w:val="0"/>
        <w:autoSpaceDE w:val="0"/>
        <w:autoSpaceDN w:val="0"/>
        <w:adjustRightInd w:val="0"/>
        <w:snapToGrid w:val="0"/>
        <w:ind w:firstLine="0" w:firstLineChars="0"/>
        <w:jc w:val="left"/>
        <w:rPr>
          <w:rFonts w:ascii="宋体" w:hAnsi="宋体"/>
          <w:bCs/>
          <w:szCs w:val="21"/>
        </w:rPr>
      </w:pPr>
      <w:r>
        <w:rPr>
          <w:rFonts w:hint="eastAsia" w:ascii="宋体" w:hAnsi="宋体"/>
          <w:bCs/>
          <w:szCs w:val="21"/>
        </w:rPr>
        <w:t>1、控股是指：其出资额占有限责任公司资本总额百分之五十以上或其持有的股份占股份有限公司股本总额百分之五十以上的股东；出资额或者持有股份的比例虽然不足百分之五十，但依其出资额或者或其持有的股份享有的表决权已足以对股东会、股东大会的决议产生重大影响的股东；</w:t>
      </w:r>
    </w:p>
    <w:p w14:paraId="2F147695">
      <w:pPr>
        <w:widowControl w:val="0"/>
        <w:autoSpaceDE w:val="0"/>
        <w:autoSpaceDN w:val="0"/>
        <w:adjustRightInd w:val="0"/>
        <w:snapToGrid w:val="0"/>
        <w:ind w:firstLine="0" w:firstLineChars="0"/>
        <w:jc w:val="left"/>
        <w:rPr>
          <w:rFonts w:ascii="宋体" w:hAnsi="宋体"/>
          <w:bCs/>
          <w:szCs w:val="21"/>
        </w:rPr>
      </w:pPr>
      <w:r>
        <w:rPr>
          <w:rFonts w:hint="eastAsia" w:ascii="宋体" w:hAnsi="宋体"/>
          <w:bCs/>
          <w:szCs w:val="21"/>
        </w:rPr>
        <w:t>2、此表格必须填写，否则将视为未实质性响应招标文件；</w:t>
      </w:r>
    </w:p>
    <w:p w14:paraId="2958F4B5">
      <w:pPr>
        <w:widowControl w:val="0"/>
        <w:autoSpaceDE w:val="0"/>
        <w:autoSpaceDN w:val="0"/>
        <w:adjustRightInd w:val="0"/>
        <w:snapToGrid w:val="0"/>
        <w:ind w:firstLine="0" w:firstLineChars="0"/>
        <w:jc w:val="left"/>
        <w:rPr>
          <w:rFonts w:hint="eastAsia" w:ascii="宋体" w:hAnsi="宋体"/>
          <w:bCs/>
          <w:szCs w:val="21"/>
        </w:rPr>
      </w:pPr>
      <w:r>
        <w:rPr>
          <w:rFonts w:hint="eastAsia" w:ascii="宋体" w:hAnsi="宋体"/>
          <w:bCs/>
          <w:szCs w:val="21"/>
        </w:rPr>
        <w:t>3、投标人需如实填写上述信息，如查实上述信息与实际不符，视为提供虚假证明材料骗取中标，投标人应承担相应法律后果。</w:t>
      </w:r>
    </w:p>
    <w:p w14:paraId="2CC33406">
      <w:pPr>
        <w:widowControl w:val="0"/>
        <w:autoSpaceDE w:val="0"/>
        <w:autoSpaceDN w:val="0"/>
        <w:adjustRightInd w:val="0"/>
        <w:snapToGrid w:val="0"/>
        <w:ind w:firstLine="0" w:firstLineChars="0"/>
        <w:jc w:val="left"/>
        <w:outlineLvl w:val="2"/>
        <w:rPr>
          <w:rFonts w:hint="eastAsia" w:ascii="宋体" w:hAnsi="宋体"/>
          <w:b/>
        </w:rPr>
      </w:pPr>
      <w:r>
        <w:rPr>
          <w:rFonts w:ascii="宋体" w:hAnsi="宋体"/>
          <w:b/>
          <w:bCs/>
          <w:szCs w:val="21"/>
        </w:rPr>
        <w:br w:type="page"/>
      </w:r>
      <w:bookmarkStart w:id="430" w:name="_Toc9188"/>
      <w:bookmarkStart w:id="431" w:name="_Toc22600"/>
      <w:bookmarkStart w:id="432" w:name="_Toc18701"/>
      <w:r>
        <w:rPr>
          <w:rFonts w:hint="eastAsia" w:ascii="宋体" w:hAnsi="宋体"/>
          <w:b/>
          <w:bCs/>
          <w:szCs w:val="21"/>
        </w:rPr>
        <w:t>A6</w:t>
      </w:r>
      <w:r>
        <w:rPr>
          <w:rFonts w:hint="eastAsia" w:ascii="宋体" w:hAnsi="宋体"/>
          <w:b/>
        </w:rPr>
        <w:t>、其他</w:t>
      </w:r>
      <w:bookmarkEnd w:id="430"/>
      <w:bookmarkEnd w:id="431"/>
      <w:bookmarkEnd w:id="432"/>
    </w:p>
    <w:p w14:paraId="20AB5A68">
      <w:pPr>
        <w:ind w:firstLine="422"/>
        <w:rPr>
          <w:rFonts w:hint="eastAsia"/>
        </w:rPr>
      </w:pPr>
      <w:r>
        <w:rPr>
          <w:rFonts w:hint="eastAsia" w:ascii="宋体" w:hAnsi="宋体"/>
          <w:b/>
        </w:rPr>
        <w:t>2.</w:t>
      </w:r>
      <w:r>
        <w:rPr>
          <w:rFonts w:hint="eastAsia"/>
        </w:rPr>
        <w:t>投标人认为应补充提供的其他文件资料或说明。</w:t>
      </w:r>
    </w:p>
    <w:p w14:paraId="3C7AE428">
      <w:pPr>
        <w:ind w:firstLine="420"/>
        <w:rPr>
          <w:rFonts w:hint="eastAsia"/>
        </w:rPr>
      </w:pPr>
    </w:p>
    <w:p w14:paraId="1A3696A6">
      <w:pPr>
        <w:ind w:firstLine="420"/>
      </w:pPr>
      <w:r>
        <w:rPr>
          <w:rFonts w:ascii="宋体" w:hAnsi="宋体"/>
        </w:rPr>
        <w:br w:type="page"/>
      </w:r>
      <w:bookmarkStart w:id="433" w:name="_Toc22959"/>
      <w:bookmarkStart w:id="434" w:name="_Toc22578"/>
      <w:bookmarkStart w:id="435" w:name="_Toc688"/>
      <w:bookmarkStart w:id="436" w:name="_Hlk532142542"/>
    </w:p>
    <w:p w14:paraId="41C4EBA4">
      <w:pPr>
        <w:ind w:firstLine="420"/>
      </w:pPr>
    </w:p>
    <w:p w14:paraId="5DB44883">
      <w:pPr>
        <w:ind w:firstLine="420"/>
      </w:pPr>
    </w:p>
    <w:p w14:paraId="0C00CE5E">
      <w:pPr>
        <w:ind w:firstLine="420"/>
      </w:pPr>
    </w:p>
    <w:p w14:paraId="0C95A690">
      <w:pPr>
        <w:ind w:firstLine="420"/>
      </w:pPr>
    </w:p>
    <w:p w14:paraId="4C79660B">
      <w:pPr>
        <w:ind w:firstLine="420"/>
      </w:pPr>
    </w:p>
    <w:p w14:paraId="11F1FFCD">
      <w:pPr>
        <w:pStyle w:val="19"/>
        <w:ind w:firstLine="420"/>
      </w:pPr>
    </w:p>
    <w:p w14:paraId="7B7A38B4">
      <w:pPr>
        <w:ind w:firstLine="420"/>
      </w:pPr>
    </w:p>
    <w:p w14:paraId="5B918BEE">
      <w:pPr>
        <w:ind w:firstLine="420"/>
      </w:pPr>
    </w:p>
    <w:p w14:paraId="5842B696">
      <w:pPr>
        <w:ind w:firstLine="420"/>
      </w:pPr>
    </w:p>
    <w:p w14:paraId="3699D67E">
      <w:pPr>
        <w:ind w:firstLine="420"/>
      </w:pPr>
    </w:p>
    <w:p w14:paraId="70C30407">
      <w:pPr>
        <w:ind w:firstLine="420"/>
      </w:pPr>
    </w:p>
    <w:p w14:paraId="6265511E">
      <w:pPr>
        <w:ind w:firstLine="420"/>
      </w:pPr>
    </w:p>
    <w:p w14:paraId="23179559">
      <w:pPr>
        <w:ind w:firstLine="420"/>
      </w:pPr>
    </w:p>
    <w:p w14:paraId="695133DD">
      <w:pPr>
        <w:ind w:firstLine="420"/>
      </w:pPr>
    </w:p>
    <w:p w14:paraId="2A920BFC">
      <w:pPr>
        <w:ind w:firstLine="420"/>
      </w:pPr>
    </w:p>
    <w:p w14:paraId="1B2F1DC7">
      <w:pPr>
        <w:ind w:firstLine="420"/>
      </w:pPr>
    </w:p>
    <w:p w14:paraId="5686EE1E">
      <w:pPr>
        <w:ind w:firstLine="420"/>
      </w:pPr>
    </w:p>
    <w:p w14:paraId="6C8F1995">
      <w:pPr>
        <w:widowControl w:val="0"/>
        <w:autoSpaceDE w:val="0"/>
        <w:autoSpaceDN w:val="0"/>
        <w:adjustRightInd w:val="0"/>
        <w:snapToGrid w:val="0"/>
        <w:ind w:firstLine="0" w:firstLineChars="0"/>
        <w:jc w:val="center"/>
        <w:outlineLvl w:val="1"/>
        <w:rPr>
          <w:rFonts w:ascii="宋体" w:hAnsi="宋体"/>
          <w:b/>
          <w:sz w:val="44"/>
          <w:szCs w:val="44"/>
        </w:rPr>
      </w:pPr>
      <w:bookmarkStart w:id="437" w:name="_Toc20056"/>
      <w:bookmarkStart w:id="438" w:name="_Toc25175"/>
      <w:r>
        <w:rPr>
          <w:rFonts w:hint="eastAsia" w:ascii="宋体" w:hAnsi="宋体"/>
          <w:b/>
          <w:sz w:val="44"/>
          <w:szCs w:val="44"/>
        </w:rPr>
        <w:t>二</w:t>
      </w:r>
      <w:r>
        <w:rPr>
          <w:rFonts w:ascii="宋体" w:hAnsi="宋体"/>
          <w:b/>
          <w:sz w:val="44"/>
          <w:szCs w:val="44"/>
        </w:rPr>
        <w:t>、</w:t>
      </w:r>
      <w:r>
        <w:rPr>
          <w:rFonts w:hint="eastAsia" w:ascii="宋体" w:hAnsi="宋体"/>
          <w:b/>
          <w:sz w:val="44"/>
          <w:szCs w:val="44"/>
        </w:rPr>
        <w:t>商务标部分</w:t>
      </w:r>
      <w:bookmarkEnd w:id="433"/>
      <w:bookmarkEnd w:id="437"/>
      <w:bookmarkEnd w:id="438"/>
    </w:p>
    <w:bookmarkEnd w:id="434"/>
    <w:bookmarkEnd w:id="435"/>
    <w:bookmarkEnd w:id="436"/>
    <w:p w14:paraId="12A0A3C8">
      <w:pPr>
        <w:widowControl w:val="0"/>
        <w:autoSpaceDE w:val="0"/>
        <w:autoSpaceDN w:val="0"/>
        <w:adjustRightInd w:val="0"/>
        <w:snapToGrid w:val="0"/>
        <w:spacing w:line="240" w:lineRule="auto"/>
        <w:ind w:firstLine="0" w:firstLineChars="0"/>
        <w:jc w:val="left"/>
        <w:rPr>
          <w:rFonts w:ascii="宋体" w:hAnsi="宋体"/>
          <w:szCs w:val="21"/>
          <w:u w:val="single"/>
        </w:rPr>
      </w:pPr>
    </w:p>
    <w:bookmarkEnd w:id="405"/>
    <w:bookmarkEnd w:id="406"/>
    <w:p w14:paraId="23B8CD03">
      <w:pPr>
        <w:widowControl w:val="0"/>
        <w:autoSpaceDE w:val="0"/>
        <w:autoSpaceDN w:val="0"/>
        <w:adjustRightInd w:val="0"/>
        <w:snapToGrid w:val="0"/>
        <w:ind w:firstLine="0" w:firstLineChars="0"/>
        <w:jc w:val="left"/>
        <w:outlineLvl w:val="2"/>
        <w:rPr>
          <w:rFonts w:ascii="宋体" w:hAnsi="宋体" w:cs="Courier New"/>
          <w:b/>
          <w:bCs/>
          <w:sz w:val="84"/>
          <w:szCs w:val="84"/>
        </w:rPr>
      </w:pPr>
      <w:r>
        <w:rPr>
          <w:rFonts w:ascii="宋体" w:hAnsi="宋体"/>
          <w:b/>
          <w:szCs w:val="21"/>
        </w:rPr>
        <w:br w:type="page"/>
      </w:r>
      <w:bookmarkStart w:id="439" w:name="_Toc24270"/>
      <w:bookmarkStart w:id="440" w:name="_Toc5445"/>
      <w:bookmarkStart w:id="441" w:name="_Toc16851"/>
      <w:bookmarkStart w:id="442" w:name="_Toc22140"/>
      <w:r>
        <w:rPr>
          <w:rFonts w:hint="eastAsia" w:ascii="宋体" w:hAnsi="宋体"/>
          <w:b/>
          <w:szCs w:val="21"/>
        </w:rPr>
        <w:t>B1、</w:t>
      </w:r>
      <w:r>
        <w:rPr>
          <w:rFonts w:hint="eastAsia" w:ascii="宋体" w:hAnsi="宋体"/>
          <w:b/>
        </w:rPr>
        <w:t>投标</w:t>
      </w:r>
      <w:r>
        <w:rPr>
          <w:rFonts w:hint="eastAsia" w:ascii="宋体" w:hAnsi="宋体"/>
          <w:b/>
          <w:szCs w:val="21"/>
        </w:rPr>
        <w:t>函</w:t>
      </w:r>
      <w:bookmarkEnd w:id="439"/>
      <w:bookmarkEnd w:id="440"/>
      <w:bookmarkEnd w:id="441"/>
    </w:p>
    <w:p w14:paraId="22F0B1FA">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投标函</w:t>
      </w:r>
    </w:p>
    <w:p w14:paraId="100C86C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（招标人名称) </w:t>
      </w:r>
    </w:p>
    <w:p w14:paraId="4D8C6AD1">
      <w:pPr>
        <w:widowControl w:val="0"/>
        <w:autoSpaceDE w:val="0"/>
        <w:autoSpaceDN w:val="0"/>
        <w:adjustRightInd w:val="0"/>
        <w:snapToGrid w:val="0"/>
        <w:ind w:firstLine="0" w:firstLineChars="0"/>
        <w:rPr>
          <w:rFonts w:ascii="宋体" w:hAnsi="宋体"/>
        </w:rPr>
      </w:pPr>
      <w:r>
        <w:rPr>
          <w:rFonts w:hint="eastAsia" w:ascii="宋体" w:hAnsi="宋体"/>
        </w:rPr>
        <w:t>1、</w:t>
      </w:r>
      <w:r>
        <w:rPr>
          <w:rFonts w:ascii="宋体" w:hAnsi="宋体"/>
          <w:szCs w:val="21"/>
        </w:rPr>
        <w:t>在研究了</w:t>
      </w:r>
      <w:r>
        <w:rPr>
          <w:rFonts w:hint="eastAsia" w:ascii="宋体" w:hAnsi="宋体"/>
          <w:szCs w:val="21"/>
        </w:rPr>
        <w:t>你方</w:t>
      </w:r>
      <w:r>
        <w:rPr>
          <w:rFonts w:ascii="宋体" w:hAnsi="宋体"/>
          <w:szCs w:val="21"/>
        </w:rPr>
        <w:t>提供的招标文件</w:t>
      </w:r>
      <w:r>
        <w:rPr>
          <w:rFonts w:hint="eastAsia" w:ascii="宋体" w:hAnsi="宋体"/>
          <w:szCs w:val="21"/>
        </w:rPr>
        <w:t>及澄清或修改文件</w:t>
      </w:r>
      <w:r>
        <w:rPr>
          <w:rFonts w:ascii="宋体" w:hAnsi="宋体"/>
          <w:szCs w:val="21"/>
        </w:rPr>
        <w:t>后，</w:t>
      </w:r>
      <w:r>
        <w:rPr>
          <w:rFonts w:hint="eastAsia" w:ascii="宋体" w:hAnsi="宋体"/>
          <w:szCs w:val="21"/>
        </w:rPr>
        <w:t>我方愿意按投标报价一览表投标总价</w:t>
      </w:r>
      <w:r>
        <w:rPr>
          <w:rFonts w:hint="eastAsia" w:ascii="宋体" w:hAnsi="宋体"/>
        </w:rPr>
        <w:t>投标、服务期和服务要求提供服务，并履行招标文件及合同协议书中的责任和义务。</w:t>
      </w:r>
    </w:p>
    <w:p w14:paraId="4D2897DC">
      <w:pPr>
        <w:widowControl w:val="0"/>
        <w:autoSpaceDE w:val="0"/>
        <w:autoSpaceDN w:val="0"/>
        <w:adjustRightInd w:val="0"/>
        <w:snapToGrid w:val="0"/>
        <w:ind w:firstLine="0" w:firstLineChars="0"/>
        <w:jc w:val="left"/>
        <w:rPr>
          <w:rFonts w:ascii="宋体" w:hAnsi="宋体"/>
        </w:rPr>
      </w:pPr>
      <w:r>
        <w:rPr>
          <w:rFonts w:hint="eastAsia" w:ascii="宋体" w:hAnsi="宋体"/>
          <w:szCs w:val="21"/>
        </w:rPr>
        <w:t>2、我方已详细审查全部招标文件，包括澄清或修改文件（如有）以及有关附件。我方完全理解并同意放弃对这方面有不明及误解的权利。</w:t>
      </w:r>
    </w:p>
    <w:p w14:paraId="1821E8C5">
      <w:pPr>
        <w:widowControl w:val="0"/>
        <w:autoSpaceDE w:val="0"/>
        <w:autoSpaceDN w:val="0"/>
        <w:adjustRightInd w:val="0"/>
        <w:snapToGrid w:val="0"/>
        <w:ind w:firstLine="0" w:firstLineChars="0"/>
        <w:jc w:val="left"/>
        <w:rPr>
          <w:rFonts w:ascii="宋体" w:hAnsi="宋体"/>
          <w:bCs/>
        </w:rPr>
      </w:pPr>
      <w:bookmarkStart w:id="443" w:name="tip_risk_bookmark_55"/>
      <w:r>
        <w:rPr>
          <w:rFonts w:hint="eastAsia" w:ascii="宋体" w:hAnsi="宋体"/>
        </w:rPr>
        <w:t>3、</w:t>
      </w:r>
      <w:r>
        <w:rPr>
          <w:rFonts w:hint="eastAsia" w:ascii="宋体" w:hAnsi="宋体"/>
          <w:bCs/>
        </w:rPr>
        <w:t>本投标有效期为投标截止日起</w:t>
      </w:r>
      <w:r>
        <w:rPr>
          <w:rFonts w:hint="eastAsia" w:ascii="宋体" w:hAnsi="宋体"/>
          <w:bCs/>
          <w:u w:val="single"/>
        </w:rPr>
        <w:t xml:space="preserve">    </w:t>
      </w:r>
      <w:r>
        <w:rPr>
          <w:rFonts w:ascii="宋体" w:hAnsi="宋体"/>
          <w:bCs/>
          <w:u w:val="single"/>
        </w:rPr>
        <w:t xml:space="preserve"> </w:t>
      </w:r>
      <w:r>
        <w:rPr>
          <w:rFonts w:hint="eastAsia" w:ascii="宋体" w:hAnsi="宋体"/>
        </w:rPr>
        <w:t>日历日</w:t>
      </w:r>
      <w:r>
        <w:rPr>
          <w:rFonts w:hint="eastAsia" w:ascii="宋体" w:hAnsi="宋体"/>
          <w:bCs/>
        </w:rPr>
        <w:t>，我方保证在</w:t>
      </w:r>
      <w:r>
        <w:rPr>
          <w:rFonts w:ascii="宋体" w:hAnsi="宋体"/>
        </w:rPr>
        <w:t>投标有效期内严格遵守本投标函的各项承诺。在此期限届满之前，本投标函将对我方具有约束力，并随时接受中标</w:t>
      </w:r>
      <w:r>
        <w:rPr>
          <w:rFonts w:hint="eastAsia" w:ascii="宋体" w:hAnsi="宋体"/>
          <w:bCs/>
        </w:rPr>
        <w:t>。</w:t>
      </w:r>
      <w:bookmarkEnd w:id="443"/>
    </w:p>
    <w:p w14:paraId="5B5941A8">
      <w:pPr>
        <w:widowControl w:val="0"/>
        <w:autoSpaceDE w:val="0"/>
        <w:autoSpaceDN w:val="0"/>
        <w:adjustRightInd w:val="0"/>
        <w:snapToGrid w:val="0"/>
        <w:ind w:firstLine="0" w:firstLineChars="0"/>
        <w:jc w:val="left"/>
        <w:rPr>
          <w:rFonts w:ascii="宋体" w:hAnsi="宋体"/>
          <w:bCs/>
        </w:rPr>
      </w:pPr>
      <w:r>
        <w:rPr>
          <w:rFonts w:hint="eastAsia" w:ascii="宋体" w:hAnsi="宋体"/>
          <w:bCs/>
        </w:rPr>
        <w:t>4、我方同意按照你方的要求提供与本投标有关的一切数据或资料，完全理解你方不一定要接受最低价的投标或收到的任何投标。</w:t>
      </w:r>
      <w:r>
        <w:rPr>
          <w:rFonts w:ascii="宋体" w:hAnsi="宋体"/>
        </w:rPr>
        <w:t>同时也理解，</w:t>
      </w:r>
      <w:r>
        <w:rPr>
          <w:rFonts w:hint="eastAsia" w:ascii="宋体" w:hAnsi="宋体"/>
        </w:rPr>
        <w:t>你</w:t>
      </w:r>
      <w:r>
        <w:rPr>
          <w:rFonts w:ascii="宋体" w:hAnsi="宋体"/>
        </w:rPr>
        <w:t>方不负担我方的任何投标费用。</w:t>
      </w:r>
    </w:p>
    <w:p w14:paraId="18C8B170">
      <w:pPr>
        <w:widowControl w:val="0"/>
        <w:autoSpaceDE w:val="0"/>
        <w:autoSpaceDN w:val="0"/>
        <w:adjustRightInd w:val="0"/>
        <w:snapToGrid w:val="0"/>
        <w:ind w:firstLine="0" w:firstLineChars="0"/>
        <w:jc w:val="left"/>
        <w:rPr>
          <w:rFonts w:ascii="宋体" w:hAnsi="宋体"/>
          <w:bCs/>
        </w:rPr>
      </w:pPr>
      <w:r>
        <w:rPr>
          <w:rFonts w:hint="eastAsia" w:ascii="宋体" w:hAnsi="宋体"/>
          <w:bCs/>
        </w:rPr>
        <w:t>5、如果我方中标，我方保证按照招标文件规定的期限要求履行提供服务及有关责任和义务。</w:t>
      </w:r>
    </w:p>
    <w:p w14:paraId="386BEDA8">
      <w:pPr>
        <w:widowControl w:val="0"/>
        <w:autoSpaceDE w:val="0"/>
        <w:autoSpaceDN w:val="0"/>
        <w:adjustRightInd w:val="0"/>
        <w:snapToGrid w:val="0"/>
        <w:ind w:firstLine="0" w:firstLineChars="0"/>
        <w:jc w:val="left"/>
        <w:rPr>
          <w:rFonts w:ascii="宋体" w:hAnsi="宋体"/>
          <w:bCs/>
        </w:rPr>
      </w:pPr>
      <w:r>
        <w:rPr>
          <w:rFonts w:hint="eastAsia" w:ascii="宋体" w:hAnsi="宋体"/>
          <w:bCs/>
        </w:rPr>
        <w:t>6、</w:t>
      </w:r>
      <w:r>
        <w:rPr>
          <w:rFonts w:ascii="宋体" w:hAnsi="宋体"/>
        </w:rPr>
        <w:t>在合同协议书正式签署生效之前，本投标函连同</w:t>
      </w:r>
      <w:r>
        <w:rPr>
          <w:rFonts w:hint="eastAsia" w:ascii="宋体" w:hAnsi="宋体"/>
        </w:rPr>
        <w:t>你方发出</w:t>
      </w:r>
      <w:r>
        <w:rPr>
          <w:rFonts w:ascii="宋体" w:hAnsi="宋体"/>
        </w:rPr>
        <w:t>的中标通知书</w:t>
      </w:r>
      <w:r>
        <w:rPr>
          <w:rFonts w:hint="eastAsia" w:ascii="宋体" w:hAnsi="宋体"/>
        </w:rPr>
        <w:t>，</w:t>
      </w:r>
      <w:r>
        <w:rPr>
          <w:rFonts w:ascii="宋体" w:hAnsi="宋体"/>
        </w:rPr>
        <w:t>将构成</w:t>
      </w:r>
      <w:r>
        <w:rPr>
          <w:rFonts w:hint="eastAsia" w:ascii="宋体" w:hAnsi="宋体"/>
        </w:rPr>
        <w:t>你我</w:t>
      </w:r>
      <w:r>
        <w:rPr>
          <w:rFonts w:ascii="宋体" w:hAnsi="宋体"/>
        </w:rPr>
        <w:t>双方共同遵守的文件，对双方具有约束力。</w:t>
      </w:r>
    </w:p>
    <w:p w14:paraId="3AFDFD0B">
      <w:pPr>
        <w:widowControl w:val="0"/>
        <w:autoSpaceDE w:val="0"/>
        <w:autoSpaceDN w:val="0"/>
        <w:adjustRightInd w:val="0"/>
        <w:snapToGrid w:val="0"/>
        <w:ind w:firstLine="0" w:firstLineChars="0"/>
        <w:jc w:val="left"/>
        <w:rPr>
          <w:rFonts w:ascii="宋体" w:hAnsi="宋体"/>
          <w:bCs/>
        </w:rPr>
      </w:pPr>
      <w:r>
        <w:rPr>
          <w:rFonts w:ascii="宋体" w:hAnsi="宋体"/>
          <w:bCs/>
        </w:rPr>
        <w:t>7</w:t>
      </w:r>
      <w:r>
        <w:rPr>
          <w:rFonts w:hint="eastAsia" w:ascii="宋体" w:hAnsi="宋体"/>
          <w:bCs/>
        </w:rPr>
        <w:t>、</w:t>
      </w:r>
      <w:r>
        <w:rPr>
          <w:rFonts w:ascii="宋体" w:hAnsi="宋体"/>
          <w:bCs/>
        </w:rPr>
        <w:t>随同本投标函，</w:t>
      </w:r>
      <w:r>
        <w:rPr>
          <w:rFonts w:hint="eastAsia" w:ascii="宋体" w:hAnsi="宋体"/>
          <w:bCs/>
        </w:rPr>
        <w:t>我方缴纳符合招标文件要求的</w:t>
      </w:r>
      <w:r>
        <w:rPr>
          <w:rFonts w:ascii="宋体" w:hAnsi="宋体"/>
          <w:bCs/>
        </w:rPr>
        <w:t>投标</w:t>
      </w:r>
      <w:r>
        <w:rPr>
          <w:rFonts w:hint="eastAsia" w:ascii="宋体" w:hAnsi="宋体"/>
          <w:bCs/>
        </w:rPr>
        <w:t>保证金</w:t>
      </w:r>
      <w:r>
        <w:rPr>
          <w:rFonts w:ascii="宋体" w:hAnsi="宋体"/>
          <w:bCs/>
        </w:rPr>
        <w:t>。如果</w:t>
      </w:r>
      <w:r>
        <w:rPr>
          <w:rFonts w:hint="eastAsia" w:ascii="宋体" w:hAnsi="宋体"/>
          <w:bCs/>
        </w:rPr>
        <w:t>我方存在以下任何一种行为时，</w:t>
      </w:r>
      <w:r>
        <w:rPr>
          <w:rFonts w:ascii="宋体" w:hAnsi="宋体"/>
          <w:bCs/>
        </w:rPr>
        <w:t>你方有权</w:t>
      </w:r>
      <w:r>
        <w:rPr>
          <w:rFonts w:hint="eastAsia" w:ascii="宋体" w:hAnsi="宋体"/>
          <w:bCs/>
        </w:rPr>
        <w:t>不予退还</w:t>
      </w:r>
      <w:r>
        <w:rPr>
          <w:rFonts w:ascii="宋体" w:hAnsi="宋体"/>
          <w:bCs/>
        </w:rPr>
        <w:t>投标</w:t>
      </w:r>
      <w:r>
        <w:rPr>
          <w:rFonts w:hint="eastAsia" w:ascii="宋体" w:hAnsi="宋体"/>
          <w:bCs/>
        </w:rPr>
        <w:t>保证金</w:t>
      </w:r>
      <w:r>
        <w:rPr>
          <w:rFonts w:ascii="宋体" w:hAnsi="宋体"/>
          <w:bCs/>
        </w:rPr>
        <w:t>，</w:t>
      </w:r>
      <w:r>
        <w:rPr>
          <w:rFonts w:hint="eastAsia" w:ascii="宋体" w:hAnsi="宋体"/>
          <w:bCs/>
        </w:rPr>
        <w:t>取消我方中标资格，</w:t>
      </w:r>
      <w:r>
        <w:rPr>
          <w:rFonts w:ascii="宋体" w:hAnsi="宋体"/>
          <w:bCs/>
        </w:rPr>
        <w:t>另选中标单位</w:t>
      </w:r>
      <w:r>
        <w:rPr>
          <w:rFonts w:hint="eastAsia" w:ascii="宋体" w:hAnsi="宋体"/>
        </w:rPr>
        <w:t>，给你方造成的损失超过我方投标保证金的，你方还有权要求我方对超过部分进行赔偿</w:t>
      </w:r>
      <w:r>
        <w:rPr>
          <w:rFonts w:hint="eastAsia" w:ascii="宋体" w:hAnsi="宋体"/>
          <w:bCs/>
        </w:rPr>
        <w:t>：</w:t>
      </w:r>
    </w:p>
    <w:p w14:paraId="707C9AAC">
      <w:pPr>
        <w:widowControl w:val="0"/>
        <w:autoSpaceDE w:val="0"/>
        <w:autoSpaceDN w:val="0"/>
        <w:adjustRightInd w:val="0"/>
        <w:snapToGrid w:val="0"/>
        <w:ind w:firstLine="0" w:firstLineChars="0"/>
        <w:jc w:val="left"/>
        <w:rPr>
          <w:rFonts w:ascii="宋体" w:hAnsi="宋体"/>
          <w:bCs/>
        </w:rPr>
      </w:pPr>
      <w:r>
        <w:rPr>
          <w:rFonts w:hint="eastAsia" w:ascii="宋体" w:hAnsi="宋体"/>
          <w:bCs/>
        </w:rPr>
        <w:t>（1）投标截止时间</w:t>
      </w:r>
      <w:r>
        <w:rPr>
          <w:rFonts w:ascii="宋体" w:hAnsi="宋体"/>
          <w:bCs/>
        </w:rPr>
        <w:t>后，</w:t>
      </w:r>
      <w:r>
        <w:rPr>
          <w:rFonts w:hint="eastAsia" w:ascii="宋体" w:hAnsi="宋体"/>
          <w:bCs/>
        </w:rPr>
        <w:t>我方在</w:t>
      </w:r>
      <w:r>
        <w:rPr>
          <w:rFonts w:ascii="宋体" w:hAnsi="宋体"/>
          <w:bCs/>
        </w:rPr>
        <w:t>投标有效期内撤回</w:t>
      </w:r>
      <w:r>
        <w:rPr>
          <w:rFonts w:hint="eastAsia" w:ascii="宋体" w:hAnsi="宋体"/>
          <w:bCs/>
        </w:rPr>
        <w:t>或修改</w:t>
      </w:r>
      <w:r>
        <w:rPr>
          <w:rFonts w:ascii="宋体" w:hAnsi="宋体"/>
          <w:bCs/>
        </w:rPr>
        <w:t>投标文件</w:t>
      </w:r>
      <w:r>
        <w:rPr>
          <w:rFonts w:hint="eastAsia" w:ascii="宋体" w:hAnsi="宋体"/>
          <w:bCs/>
        </w:rPr>
        <w:t>；</w:t>
      </w:r>
    </w:p>
    <w:p w14:paraId="08439BA8">
      <w:pPr>
        <w:widowControl w:val="0"/>
        <w:autoSpaceDE w:val="0"/>
        <w:autoSpaceDN w:val="0"/>
        <w:adjustRightInd w:val="0"/>
        <w:snapToGrid w:val="0"/>
        <w:ind w:firstLine="0" w:firstLineChars="0"/>
        <w:jc w:val="left"/>
        <w:rPr>
          <w:rFonts w:ascii="宋体" w:hAnsi="宋体"/>
          <w:bCs/>
        </w:rPr>
      </w:pPr>
      <w:r>
        <w:rPr>
          <w:rFonts w:hint="eastAsia" w:ascii="宋体" w:hAnsi="宋体"/>
          <w:bCs/>
        </w:rPr>
        <w:t>（2）</w:t>
      </w:r>
      <w:r>
        <w:rPr>
          <w:rFonts w:hint="eastAsia" w:ascii="宋体" w:hAnsi="宋体"/>
        </w:rPr>
        <w:t>我方在接到中标通知书后放弃中标</w:t>
      </w:r>
      <w:r>
        <w:rPr>
          <w:rFonts w:ascii="宋体" w:hAnsi="宋体"/>
          <w:bCs/>
        </w:rPr>
        <w:t>；</w:t>
      </w:r>
    </w:p>
    <w:p w14:paraId="704DCCD4">
      <w:pPr>
        <w:widowControl w:val="0"/>
        <w:autoSpaceDE w:val="0"/>
        <w:autoSpaceDN w:val="0"/>
        <w:adjustRightInd w:val="0"/>
        <w:snapToGrid w:val="0"/>
        <w:ind w:firstLine="0" w:firstLineChars="0"/>
        <w:jc w:val="left"/>
        <w:rPr>
          <w:rFonts w:ascii="宋体" w:hAnsi="宋体"/>
          <w:bCs/>
        </w:rPr>
      </w:pPr>
      <w:r>
        <w:rPr>
          <w:rFonts w:hint="eastAsia" w:ascii="宋体" w:hAnsi="宋体"/>
          <w:bCs/>
        </w:rPr>
        <w:t>（3）我方自</w:t>
      </w:r>
      <w:r>
        <w:rPr>
          <w:rFonts w:ascii="宋体" w:hAnsi="宋体"/>
          <w:bCs/>
        </w:rPr>
        <w:t>中标通知</w:t>
      </w:r>
      <w:r>
        <w:rPr>
          <w:rFonts w:hint="eastAsia" w:ascii="宋体" w:hAnsi="宋体"/>
          <w:bCs/>
        </w:rPr>
        <w:t>书发出之日起</w:t>
      </w:r>
      <w:r>
        <w:rPr>
          <w:rFonts w:hint="eastAsia" w:ascii="宋体" w:hAnsi="宋体"/>
          <w:u w:val="single"/>
        </w:rPr>
        <w:t xml:space="preserve"> 30</w:t>
      </w:r>
      <w:r>
        <w:rPr>
          <w:rFonts w:ascii="宋体" w:hAnsi="宋体"/>
          <w:u w:val="single"/>
        </w:rPr>
        <w:t xml:space="preserve"> </w:t>
      </w:r>
      <w:r>
        <w:rPr>
          <w:rFonts w:hint="eastAsia" w:ascii="宋体" w:hAnsi="宋体"/>
        </w:rPr>
        <w:t>天</w:t>
      </w:r>
      <w:r>
        <w:rPr>
          <w:rFonts w:hint="eastAsia" w:ascii="宋体" w:hAnsi="宋体"/>
          <w:bCs/>
        </w:rPr>
        <w:t>内</w:t>
      </w:r>
      <w:r>
        <w:rPr>
          <w:rFonts w:ascii="宋体" w:hAnsi="宋体"/>
          <w:bCs/>
        </w:rPr>
        <w:t>拒绝</w:t>
      </w:r>
      <w:r>
        <w:rPr>
          <w:rFonts w:hint="eastAsia" w:ascii="宋体" w:hAnsi="宋体"/>
          <w:bCs/>
        </w:rPr>
        <w:t>按照你方指定的时间和地点</w:t>
      </w:r>
      <w:r>
        <w:rPr>
          <w:rFonts w:ascii="宋体" w:hAnsi="宋体"/>
          <w:bCs/>
        </w:rPr>
        <w:t>签订合同</w:t>
      </w:r>
      <w:r>
        <w:rPr>
          <w:rFonts w:hint="eastAsia" w:ascii="宋体" w:hAnsi="宋体"/>
          <w:bCs/>
        </w:rPr>
        <w:t>及附件；</w:t>
      </w:r>
    </w:p>
    <w:p w14:paraId="202AC698">
      <w:pPr>
        <w:widowControl w:val="0"/>
        <w:autoSpaceDE w:val="0"/>
        <w:autoSpaceDN w:val="0"/>
        <w:adjustRightInd w:val="0"/>
        <w:snapToGrid w:val="0"/>
        <w:ind w:firstLine="0" w:firstLineChars="0"/>
        <w:jc w:val="left"/>
        <w:rPr>
          <w:rFonts w:ascii="宋体" w:hAnsi="宋体"/>
          <w:bCs/>
        </w:rPr>
      </w:pPr>
      <w:r>
        <w:rPr>
          <w:rFonts w:hint="eastAsia" w:ascii="宋体" w:hAnsi="宋体"/>
          <w:bCs/>
        </w:rPr>
        <w:t>（4）我方</w:t>
      </w:r>
      <w:r>
        <w:rPr>
          <w:rFonts w:ascii="宋体" w:hAnsi="宋体"/>
          <w:bCs/>
        </w:rPr>
        <w:t>未能</w:t>
      </w:r>
      <w:r>
        <w:rPr>
          <w:rFonts w:hint="eastAsia" w:ascii="宋体" w:hAnsi="宋体"/>
          <w:bCs/>
        </w:rPr>
        <w:t>按招标文件要求</w:t>
      </w:r>
      <w:r>
        <w:rPr>
          <w:rFonts w:ascii="宋体" w:hAnsi="宋体"/>
          <w:bCs/>
        </w:rPr>
        <w:t>提交</w:t>
      </w:r>
      <w:r>
        <w:rPr>
          <w:rFonts w:hint="eastAsia" w:ascii="宋体" w:hAnsi="宋体"/>
          <w:bCs/>
        </w:rPr>
        <w:t>足额</w:t>
      </w:r>
      <w:r>
        <w:rPr>
          <w:rFonts w:ascii="宋体" w:hAnsi="宋体"/>
          <w:bCs/>
        </w:rPr>
        <w:t>履约</w:t>
      </w:r>
      <w:r>
        <w:rPr>
          <w:rFonts w:hint="eastAsia" w:ascii="宋体" w:hAnsi="宋体"/>
          <w:bCs/>
        </w:rPr>
        <w:t>担保；</w:t>
      </w:r>
    </w:p>
    <w:p w14:paraId="06E61DF0">
      <w:pPr>
        <w:widowControl w:val="0"/>
        <w:autoSpaceDE w:val="0"/>
        <w:autoSpaceDN w:val="0"/>
        <w:adjustRightInd w:val="0"/>
        <w:snapToGrid w:val="0"/>
        <w:ind w:firstLine="0" w:firstLineChars="0"/>
        <w:jc w:val="left"/>
        <w:rPr>
          <w:rFonts w:ascii="宋体" w:hAnsi="宋体"/>
          <w:bCs/>
        </w:rPr>
      </w:pPr>
      <w:r>
        <w:rPr>
          <w:rFonts w:hint="eastAsia" w:ascii="宋体" w:hAnsi="宋体"/>
          <w:bCs/>
        </w:rPr>
        <w:t>（5）我方在签订合同时提出你方不能接受的附加条件或者更改合同实质性内容的；</w:t>
      </w:r>
    </w:p>
    <w:p w14:paraId="00CE6602">
      <w:pPr>
        <w:widowControl w:val="0"/>
        <w:autoSpaceDE w:val="0"/>
        <w:autoSpaceDN w:val="0"/>
        <w:adjustRightInd w:val="0"/>
        <w:snapToGrid w:val="0"/>
        <w:ind w:firstLine="0" w:firstLineChars="0"/>
        <w:jc w:val="left"/>
        <w:rPr>
          <w:rFonts w:ascii="宋体" w:hAnsi="宋体"/>
          <w:bCs/>
        </w:rPr>
      </w:pPr>
      <w:r>
        <w:rPr>
          <w:rFonts w:hint="eastAsia" w:ascii="宋体" w:hAnsi="宋体"/>
          <w:bCs/>
        </w:rPr>
        <w:t>（</w:t>
      </w:r>
      <w:r>
        <w:rPr>
          <w:rFonts w:ascii="宋体" w:hAnsi="宋体"/>
          <w:bCs/>
        </w:rPr>
        <w:t>6</w:t>
      </w:r>
      <w:r>
        <w:rPr>
          <w:rFonts w:hint="eastAsia" w:ascii="宋体" w:hAnsi="宋体"/>
          <w:bCs/>
        </w:rPr>
        <w:t>）我方</w:t>
      </w:r>
      <w:r>
        <w:rPr>
          <w:rFonts w:ascii="宋体" w:hAnsi="宋体"/>
          <w:bCs/>
        </w:rPr>
        <w:t>资质证书被暂扣或吊销，但仍参与投标的</w:t>
      </w:r>
      <w:r>
        <w:rPr>
          <w:rFonts w:hint="eastAsia" w:ascii="宋体" w:hAnsi="宋体"/>
          <w:bCs/>
        </w:rPr>
        <w:t>；</w:t>
      </w:r>
    </w:p>
    <w:p w14:paraId="35BF4A9D">
      <w:pPr>
        <w:widowControl w:val="0"/>
        <w:autoSpaceDE w:val="0"/>
        <w:autoSpaceDN w:val="0"/>
        <w:adjustRightInd w:val="0"/>
        <w:snapToGrid w:val="0"/>
        <w:ind w:firstLine="0" w:firstLineChars="0"/>
        <w:jc w:val="left"/>
        <w:rPr>
          <w:rFonts w:ascii="宋体" w:hAnsi="宋体"/>
          <w:bCs/>
        </w:rPr>
      </w:pPr>
      <w:r>
        <w:rPr>
          <w:rFonts w:hint="eastAsia" w:ascii="宋体" w:hAnsi="宋体"/>
          <w:bCs/>
        </w:rPr>
        <w:t>（</w:t>
      </w:r>
      <w:r>
        <w:rPr>
          <w:rFonts w:ascii="宋体" w:hAnsi="宋体"/>
          <w:bCs/>
        </w:rPr>
        <w:t>7</w:t>
      </w:r>
      <w:r>
        <w:rPr>
          <w:rFonts w:hint="eastAsia" w:ascii="宋体" w:hAnsi="宋体"/>
          <w:bCs/>
        </w:rPr>
        <w:t>）我方有法律法规或招标文件中规定的可以不予退还投标保证金的其他行为。</w:t>
      </w:r>
    </w:p>
    <w:p w14:paraId="1B44E77E">
      <w:pPr>
        <w:widowControl w:val="0"/>
        <w:autoSpaceDE w:val="0"/>
        <w:autoSpaceDN w:val="0"/>
        <w:adjustRightInd w:val="0"/>
        <w:snapToGrid w:val="0"/>
        <w:ind w:firstLine="0" w:firstLineChars="0"/>
        <w:jc w:val="left"/>
        <w:rPr>
          <w:rFonts w:ascii="宋体" w:hAnsi="宋体"/>
          <w:bCs/>
          <w:u w:val="single"/>
        </w:rPr>
      </w:pPr>
      <w:r>
        <w:rPr>
          <w:rFonts w:hint="eastAsia" w:ascii="宋体" w:hAnsi="宋体"/>
          <w:bCs/>
        </w:rPr>
        <w:t>8、与本投标有关的一切正式往来通讯请发往：</w:t>
      </w:r>
    </w:p>
    <w:p w14:paraId="5DC817D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投标人：</w:t>
      </w:r>
      <w:r>
        <w:rPr>
          <w:rFonts w:hint="eastAsia" w:ascii="宋体" w:hAnsi="宋体"/>
          <w:szCs w:val="21"/>
          <w:u w:val="single"/>
        </w:rPr>
        <w:t xml:space="preserve">                               </w:t>
      </w:r>
    </w:p>
    <w:p w14:paraId="48139DD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法定代表人或其授权代理人：</w:t>
      </w:r>
      <w:r>
        <w:rPr>
          <w:rFonts w:hint="eastAsia" w:ascii="宋体" w:hAnsi="宋体"/>
          <w:szCs w:val="21"/>
          <w:u w:val="single"/>
        </w:rPr>
        <w:t xml:space="preserve">             </w:t>
      </w:r>
    </w:p>
    <w:p w14:paraId="7FE7BF59">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投标人地址：</w:t>
      </w:r>
      <w:r>
        <w:rPr>
          <w:rFonts w:hint="eastAsia" w:ascii="宋体" w:hAnsi="宋体"/>
          <w:szCs w:val="21"/>
          <w:u w:val="single"/>
        </w:rPr>
        <w:t xml:space="preserve">                           </w:t>
      </w:r>
    </w:p>
    <w:p w14:paraId="07EC159B">
      <w:pPr>
        <w:widowControl w:val="0"/>
        <w:autoSpaceDE w:val="0"/>
        <w:autoSpaceDN w:val="0"/>
        <w:adjustRightInd w:val="0"/>
        <w:snapToGrid w:val="0"/>
        <w:ind w:firstLine="0" w:firstLineChars="0"/>
        <w:jc w:val="left"/>
        <w:rPr>
          <w:rFonts w:ascii="宋体" w:hAnsi="宋体"/>
          <w:u w:val="single"/>
        </w:rPr>
      </w:pPr>
      <w:r>
        <w:rPr>
          <w:rFonts w:hint="eastAsia" w:ascii="宋体" w:hAnsi="宋体"/>
          <w:szCs w:val="21"/>
        </w:rPr>
        <w:t>电话：</w:t>
      </w:r>
      <w:r>
        <w:rPr>
          <w:rFonts w:hint="eastAsia" w:ascii="宋体" w:hAnsi="宋体"/>
          <w:szCs w:val="21"/>
          <w:u w:val="single"/>
        </w:rPr>
        <w:t xml:space="preserve">　                               </w:t>
      </w:r>
    </w:p>
    <w:p w14:paraId="76EE2F77">
      <w:pPr>
        <w:widowControl w:val="0"/>
        <w:autoSpaceDE w:val="0"/>
        <w:autoSpaceDN w:val="0"/>
        <w:adjustRightInd w:val="0"/>
        <w:snapToGrid w:val="0"/>
        <w:ind w:firstLine="0" w:firstLineChars="0"/>
        <w:jc w:val="left"/>
        <w:rPr>
          <w:rFonts w:ascii="宋体" w:hAnsi="宋体"/>
          <w:u w:val="single"/>
        </w:rPr>
      </w:pPr>
      <w:r>
        <w:rPr>
          <w:rFonts w:hint="eastAsia" w:ascii="宋体" w:hAnsi="宋体"/>
          <w:szCs w:val="21"/>
        </w:rPr>
        <w:t>电子邮箱：</w:t>
      </w:r>
      <w:r>
        <w:rPr>
          <w:rFonts w:hint="eastAsia" w:ascii="宋体" w:hAnsi="宋体"/>
          <w:szCs w:val="21"/>
          <w:u w:val="single"/>
        </w:rPr>
        <w:t xml:space="preserve"> </w:t>
      </w:r>
      <w:r>
        <w:rPr>
          <w:rFonts w:ascii="宋体" w:hAnsi="宋体"/>
          <w:szCs w:val="21"/>
          <w:u w:val="single"/>
        </w:rPr>
        <w:t xml:space="preserve">                            </w:t>
      </w:r>
    </w:p>
    <w:p w14:paraId="7D661FE7">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邮政编码：</w:t>
      </w:r>
      <w:r>
        <w:rPr>
          <w:rFonts w:hint="eastAsia" w:ascii="宋体" w:hAnsi="宋体"/>
          <w:szCs w:val="21"/>
          <w:u w:val="single"/>
        </w:rPr>
        <w:t xml:space="preserve">                             </w:t>
      </w:r>
    </w:p>
    <w:p w14:paraId="2FD45E61">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日</w:t>
      </w:r>
    </w:p>
    <w:p w14:paraId="431E01DA">
      <w:pPr>
        <w:widowControl w:val="0"/>
        <w:autoSpaceDE w:val="0"/>
        <w:autoSpaceDN w:val="0"/>
        <w:adjustRightInd w:val="0"/>
        <w:snapToGrid w:val="0"/>
        <w:ind w:firstLine="0" w:firstLineChars="0"/>
        <w:jc w:val="left"/>
        <w:outlineLvl w:val="2"/>
        <w:rPr>
          <w:rFonts w:ascii="宋体" w:hAnsi="宋体"/>
          <w:b/>
          <w:sz w:val="28"/>
          <w:szCs w:val="28"/>
        </w:rPr>
      </w:pPr>
      <w:r>
        <w:rPr>
          <w:rFonts w:hint="eastAsia" w:ascii="宋体" w:hAnsi="宋体"/>
          <w:b/>
          <w:szCs w:val="21"/>
        </w:rPr>
        <w:br w:type="page"/>
      </w:r>
      <w:bookmarkStart w:id="444" w:name="_Toc1191"/>
      <w:bookmarkStart w:id="445" w:name="_Toc10808"/>
      <w:bookmarkStart w:id="446" w:name="_Toc26393"/>
      <w:r>
        <w:rPr>
          <w:rFonts w:hint="eastAsia" w:ascii="宋体" w:hAnsi="宋体"/>
          <w:b/>
          <w:szCs w:val="21"/>
        </w:rPr>
        <w:t>B2、商务条款总体响应表</w:t>
      </w:r>
      <w:bookmarkEnd w:id="444"/>
      <w:bookmarkEnd w:id="445"/>
      <w:bookmarkEnd w:id="446"/>
    </w:p>
    <w:p w14:paraId="7E0FDD5A">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商务条款总体响应表</w:t>
      </w:r>
    </w:p>
    <w:tbl>
      <w:tblPr>
        <w:tblStyle w:val="5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886"/>
        <w:gridCol w:w="2693"/>
        <w:gridCol w:w="4133"/>
      </w:tblGrid>
      <w:tr w14:paraId="5EAFF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1DC8E6E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6840F36F">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招标文件商务要求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17FE58FB">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投标人响应</w:t>
            </w:r>
          </w:p>
        </w:tc>
      </w:tr>
      <w:tr w14:paraId="0B1F1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692D44C">
            <w:pPr>
              <w:widowControl w:val="0"/>
              <w:autoSpaceDE w:val="0"/>
              <w:autoSpaceDN w:val="0"/>
              <w:adjustRightInd w:val="0"/>
              <w:snapToGrid w:val="0"/>
              <w:ind w:firstLine="0" w:firstLineChars="0"/>
              <w:jc w:val="center"/>
              <w:rPr>
                <w:rFonts w:ascii="宋体" w:hAnsi="宋体"/>
                <w:b/>
                <w:szCs w:val="21"/>
              </w:rPr>
            </w:pPr>
          </w:p>
        </w:tc>
        <w:tc>
          <w:tcPr>
            <w:tcW w:w="886" w:type="dxa"/>
            <w:tcBorders>
              <w:top w:val="single" w:color="auto" w:sz="4" w:space="0"/>
              <w:left w:val="single" w:color="auto" w:sz="4" w:space="0"/>
              <w:bottom w:val="single" w:color="auto" w:sz="4" w:space="0"/>
              <w:right w:val="single" w:color="auto" w:sz="4" w:space="0"/>
            </w:tcBorders>
            <w:shd w:val="clear" w:color="auto" w:fill="DEEAF6"/>
            <w:vAlign w:val="center"/>
          </w:tcPr>
          <w:p w14:paraId="3E1CD233">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差别项名称</w:t>
            </w:r>
          </w:p>
        </w:tc>
        <w:tc>
          <w:tcPr>
            <w:tcW w:w="2693" w:type="dxa"/>
            <w:tcBorders>
              <w:top w:val="single" w:color="auto" w:sz="4" w:space="0"/>
              <w:left w:val="single" w:color="auto" w:sz="4" w:space="0"/>
              <w:bottom w:val="single" w:color="auto" w:sz="4" w:space="0"/>
              <w:right w:val="single" w:color="auto" w:sz="4" w:space="0"/>
            </w:tcBorders>
            <w:shd w:val="clear" w:color="auto" w:fill="DEEAF6"/>
            <w:vAlign w:val="center"/>
          </w:tcPr>
          <w:p w14:paraId="6981945E">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4BECC0EF">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差别说明</w:t>
            </w:r>
          </w:p>
        </w:tc>
      </w:tr>
      <w:tr w14:paraId="14DAE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BA1A1B4">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招标文件中标注“★”的商务条款</w:t>
            </w:r>
          </w:p>
        </w:tc>
      </w:tr>
      <w:tr w14:paraId="39BFF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6DBA472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34E1722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589145D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C3E23D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6D1E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1E3E469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3D2C22A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4B5BF64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782573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273D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6068D79">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招标文件中标注“▲”的商务条款</w:t>
            </w:r>
          </w:p>
        </w:tc>
      </w:tr>
      <w:tr w14:paraId="7F8D6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3DB973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73B0A9E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7B22790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7D9559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F93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45DCA72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5422946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26FEB67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CEFC70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2963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43DF1A5A">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招标文件中未标注“★”或“▲”的商务条款</w:t>
            </w:r>
          </w:p>
        </w:tc>
      </w:tr>
      <w:tr w14:paraId="6FE9F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2F90CC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66ED871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24CD57B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229670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5447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610CF7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35FEFDD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2AB98A4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30BAA53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8CD9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042735A3">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招标文件中合同条款、补充文件、答疑中的条款</w:t>
            </w:r>
          </w:p>
        </w:tc>
      </w:tr>
      <w:tr w14:paraId="650F0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76E940E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886" w:type="dxa"/>
            <w:tcBorders>
              <w:top w:val="single" w:color="auto" w:sz="4" w:space="0"/>
              <w:left w:val="single" w:color="auto" w:sz="4" w:space="0"/>
              <w:bottom w:val="single" w:color="auto" w:sz="4" w:space="0"/>
              <w:right w:val="single" w:color="auto" w:sz="4" w:space="0"/>
            </w:tcBorders>
            <w:vAlign w:val="center"/>
          </w:tcPr>
          <w:p w14:paraId="7C0C2C5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78FCA8C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0C7BB4C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3D5A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8084F3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886" w:type="dxa"/>
            <w:tcBorders>
              <w:top w:val="single" w:color="auto" w:sz="4" w:space="0"/>
              <w:left w:val="single" w:color="auto" w:sz="4" w:space="0"/>
              <w:bottom w:val="single" w:color="auto" w:sz="4" w:space="0"/>
              <w:right w:val="single" w:color="auto" w:sz="4" w:space="0"/>
            </w:tcBorders>
            <w:vAlign w:val="center"/>
          </w:tcPr>
          <w:p w14:paraId="0318576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693" w:type="dxa"/>
            <w:tcBorders>
              <w:top w:val="single" w:color="auto" w:sz="4" w:space="0"/>
              <w:left w:val="single" w:color="auto" w:sz="4" w:space="0"/>
              <w:bottom w:val="single" w:color="auto" w:sz="4" w:space="0"/>
              <w:right w:val="single" w:color="auto" w:sz="4" w:space="0"/>
            </w:tcBorders>
            <w:vAlign w:val="center"/>
          </w:tcPr>
          <w:p w14:paraId="25C6AC5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48B50F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71FA2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2D72E397">
            <w:pPr>
              <w:widowControl w:val="0"/>
              <w:autoSpaceDE w:val="0"/>
              <w:autoSpaceDN w:val="0"/>
              <w:adjustRightInd w:val="0"/>
              <w:snapToGrid w:val="0"/>
              <w:ind w:firstLine="0" w:firstLineChars="0"/>
              <w:jc w:val="left"/>
              <w:rPr>
                <w:rFonts w:ascii="宋体" w:hAnsi="宋体"/>
                <w:b/>
                <w:bCs/>
                <w:sz w:val="28"/>
                <w:szCs w:val="28"/>
              </w:rPr>
            </w:pPr>
            <w:r>
              <w:rPr>
                <w:rFonts w:hint="eastAsia" w:ascii="宋体" w:hAnsi="宋体"/>
                <w:b/>
                <w:bCs/>
                <w:sz w:val="28"/>
                <w:szCs w:val="28"/>
              </w:rPr>
              <w:t>除上述条款以外，我司承诺全部接受并按照招标文件的商务及合同条款要求承担本项目。</w:t>
            </w:r>
          </w:p>
        </w:tc>
      </w:tr>
    </w:tbl>
    <w:p w14:paraId="6A5FEAC3">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重要提示：</w:t>
      </w:r>
    </w:p>
    <w:p w14:paraId="4610A5A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1、投标人须在仔细阅读招标文件后，将投标文件响应与招标文件（含补遗、澄清文件）不一致的商务及合同条款填写在本表中，包括高于或低于招标文件要求的所有条款。</w:t>
      </w:r>
    </w:p>
    <w:p w14:paraId="7C1F5C3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投标文件中所有与招标文件商务和合同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37DC69C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3、投标人必须提供本表，如对招标文件商务条款及合同内容完全接受，则无需填写相关内容。</w:t>
      </w:r>
    </w:p>
    <w:p w14:paraId="59C20E06">
      <w:pPr>
        <w:widowControl w:val="0"/>
        <w:autoSpaceDE w:val="0"/>
        <w:autoSpaceDN w:val="0"/>
        <w:adjustRightInd w:val="0"/>
        <w:snapToGrid w:val="0"/>
        <w:ind w:firstLine="0" w:firstLineChars="0"/>
        <w:jc w:val="left"/>
        <w:rPr>
          <w:rFonts w:ascii="宋体" w:hAnsi="宋体"/>
          <w:szCs w:val="21"/>
        </w:rPr>
      </w:pPr>
    </w:p>
    <w:p w14:paraId="15EE7486">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投标人：</w:t>
      </w:r>
      <w:r>
        <w:rPr>
          <w:rFonts w:hint="eastAsia" w:ascii="宋体" w:hAnsi="宋体"/>
          <w:szCs w:val="21"/>
          <w:u w:val="single"/>
        </w:rPr>
        <w:t xml:space="preserve"> </w:t>
      </w:r>
      <w:r>
        <w:rPr>
          <w:rFonts w:ascii="宋体" w:hAnsi="宋体"/>
          <w:szCs w:val="21"/>
          <w:u w:val="single"/>
        </w:rPr>
        <w:t xml:space="preserve">                               </w:t>
      </w:r>
    </w:p>
    <w:p w14:paraId="1404BC41">
      <w:pPr>
        <w:widowControl w:val="0"/>
        <w:autoSpaceDE w:val="0"/>
        <w:autoSpaceDN w:val="0"/>
        <w:adjustRightInd w:val="0"/>
        <w:snapToGrid w:val="0"/>
        <w:ind w:firstLine="0" w:firstLineChars="0"/>
        <w:jc w:val="left"/>
        <w:outlineLvl w:val="2"/>
        <w:rPr>
          <w:rFonts w:ascii="宋体" w:hAnsi="宋体"/>
          <w:b/>
          <w:szCs w:val="21"/>
        </w:rPr>
      </w:pPr>
      <w:r>
        <w:rPr>
          <w:rFonts w:hint="eastAsia" w:ascii="宋体" w:hAnsi="宋体"/>
          <w:b/>
          <w:szCs w:val="21"/>
        </w:rPr>
        <w:br w:type="page"/>
      </w:r>
      <w:bookmarkStart w:id="447" w:name="_Toc14685"/>
      <w:bookmarkStart w:id="448" w:name="_Toc13833"/>
      <w:bookmarkStart w:id="449" w:name="_Toc9161"/>
      <w:r>
        <w:rPr>
          <w:rFonts w:hint="eastAsia" w:ascii="宋体" w:hAnsi="宋体"/>
          <w:b/>
          <w:szCs w:val="21"/>
        </w:rPr>
        <w:t>B3、</w:t>
      </w:r>
      <w:r>
        <w:rPr>
          <w:rFonts w:hint="eastAsia" w:ascii="宋体" w:hAnsi="宋体"/>
          <w:b/>
        </w:rPr>
        <w:t>承诺书</w:t>
      </w:r>
      <w:r>
        <w:rPr>
          <w:rFonts w:hint="eastAsia" w:ascii="宋体" w:hAnsi="宋体"/>
          <w:b/>
          <w:szCs w:val="21"/>
        </w:rPr>
        <w:t>（仅供</w:t>
      </w:r>
      <w:r>
        <w:rPr>
          <w:rFonts w:ascii="宋体" w:hAnsi="宋体"/>
          <w:b/>
          <w:szCs w:val="21"/>
        </w:rPr>
        <w:t>参考</w:t>
      </w:r>
      <w:r>
        <w:rPr>
          <w:rFonts w:hint="eastAsia" w:ascii="宋体" w:hAnsi="宋体"/>
          <w:b/>
          <w:szCs w:val="21"/>
        </w:rPr>
        <w:t>）</w:t>
      </w:r>
      <w:bookmarkEnd w:id="447"/>
      <w:bookmarkEnd w:id="448"/>
      <w:bookmarkEnd w:id="449"/>
    </w:p>
    <w:p w14:paraId="081E18E1">
      <w:pPr>
        <w:widowControl w:val="0"/>
        <w:autoSpaceDE w:val="0"/>
        <w:autoSpaceDN w:val="0"/>
        <w:adjustRightInd w:val="0"/>
        <w:snapToGrid w:val="0"/>
        <w:ind w:firstLine="0" w:firstLineChars="0"/>
        <w:jc w:val="left"/>
        <w:rPr>
          <w:rFonts w:ascii="宋体" w:hAnsi="宋体"/>
          <w:b/>
          <w:bCs/>
          <w:sz w:val="28"/>
          <w:szCs w:val="28"/>
        </w:rPr>
      </w:pPr>
    </w:p>
    <w:p w14:paraId="1A813399">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承诺书</w:t>
      </w:r>
    </w:p>
    <w:p w14:paraId="10F3FA12">
      <w:pPr>
        <w:widowControl w:val="0"/>
        <w:autoSpaceDE w:val="0"/>
        <w:autoSpaceDN w:val="0"/>
        <w:adjustRightInd w:val="0"/>
        <w:snapToGrid w:val="0"/>
        <w:ind w:firstLine="0" w:firstLineChars="0"/>
        <w:jc w:val="left"/>
        <w:rPr>
          <w:rFonts w:ascii="宋体" w:hAnsi="宋体"/>
          <w:szCs w:val="21"/>
        </w:rPr>
      </w:pPr>
    </w:p>
    <w:p w14:paraId="0298CD6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 xml:space="preserve">  （招标人）  </w:t>
      </w:r>
    </w:p>
    <w:p w14:paraId="4EECDBD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我司郑重承诺：</w:t>
      </w:r>
    </w:p>
    <w:p w14:paraId="65BA47F4">
      <w:pPr>
        <w:widowControl w:val="0"/>
        <w:autoSpaceDE w:val="0"/>
        <w:autoSpaceDN w:val="0"/>
        <w:adjustRightInd w:val="0"/>
        <w:snapToGrid w:val="0"/>
        <w:ind w:firstLine="0" w:firstLineChars="0"/>
        <w:jc w:val="left"/>
        <w:rPr>
          <w:rFonts w:ascii="宋体" w:hAnsi="宋体"/>
          <w:szCs w:val="21"/>
        </w:rPr>
      </w:pPr>
      <w:bookmarkStart w:id="450" w:name="tip_risk_bookmark_56"/>
      <w:r>
        <w:rPr>
          <w:rFonts w:hint="eastAsia" w:ascii="宋体" w:hAnsi="宋体"/>
          <w:szCs w:val="21"/>
        </w:rPr>
        <w:t>1、</w:t>
      </w:r>
      <w:r>
        <w:rPr>
          <w:rFonts w:hint="eastAsia" w:ascii="宋体" w:hAnsi="宋体"/>
          <w:szCs w:val="21"/>
          <w:u w:val="single"/>
        </w:rPr>
        <w:t>（投标人名称）</w:t>
      </w:r>
      <w:r>
        <w:rPr>
          <w:rFonts w:hint="eastAsia" w:ascii="宋体" w:hAnsi="宋体"/>
          <w:szCs w:val="21"/>
        </w:rPr>
        <w:t>在最近三年内（</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日至投标截止时间）没有处于被责令停业、或投标资格被取消，或财产被接管、冻结、破产状态；没有骗取中标或严重违约引起的合同终止、纠纷、争议、仲裁和诉讼记录，没有重大质量问题。</w:t>
      </w:r>
      <w:bookmarkEnd w:id="450"/>
    </w:p>
    <w:p w14:paraId="7BF4ED8B">
      <w:pPr>
        <w:widowControl w:val="0"/>
        <w:autoSpaceDE w:val="0"/>
        <w:autoSpaceDN w:val="0"/>
        <w:adjustRightInd w:val="0"/>
        <w:snapToGrid w:val="0"/>
        <w:ind w:firstLine="0" w:firstLineChars="0"/>
        <w:jc w:val="left"/>
        <w:rPr>
          <w:rFonts w:ascii="宋体" w:hAnsi="宋体"/>
          <w:szCs w:val="21"/>
        </w:rPr>
      </w:pPr>
      <w:bookmarkStart w:id="451" w:name="tip_risk_bookmark_57"/>
      <w:r>
        <w:rPr>
          <w:rFonts w:hint="eastAsia" w:ascii="宋体" w:hAnsi="宋体"/>
          <w:szCs w:val="21"/>
        </w:rPr>
        <w:t>2、</w:t>
      </w:r>
      <w:r>
        <w:rPr>
          <w:rFonts w:hint="eastAsia" w:ascii="宋体" w:hAnsi="宋体"/>
          <w:szCs w:val="21"/>
          <w:u w:val="single"/>
        </w:rPr>
        <w:t>（投标人名称）</w:t>
      </w:r>
      <w:r>
        <w:rPr>
          <w:rFonts w:hint="eastAsia" w:ascii="宋体" w:hAnsi="宋体"/>
          <w:szCs w:val="21"/>
        </w:rPr>
        <w:t>自</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日至投标截止时间，提供的产品在中国大陆地区项目中无重大安全事故。</w:t>
      </w:r>
      <w:bookmarkEnd w:id="451"/>
    </w:p>
    <w:p w14:paraId="25BC3CC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w:t>
      </w:r>
      <w:r>
        <w:rPr>
          <w:rFonts w:ascii="宋体" w:hAnsi="宋体"/>
          <w:szCs w:val="21"/>
        </w:rPr>
        <w:t>……</w:t>
      </w:r>
    </w:p>
    <w:p w14:paraId="1ED61512">
      <w:pPr>
        <w:widowControl w:val="0"/>
        <w:autoSpaceDE w:val="0"/>
        <w:autoSpaceDN w:val="0"/>
        <w:adjustRightInd w:val="0"/>
        <w:snapToGrid w:val="0"/>
        <w:ind w:firstLine="0" w:firstLineChars="0"/>
        <w:jc w:val="left"/>
        <w:rPr>
          <w:rFonts w:hint="eastAsia" w:ascii="宋体" w:hAnsi="宋体"/>
          <w:b/>
          <w:bCs/>
          <w:sz w:val="28"/>
          <w:szCs w:val="28"/>
        </w:rPr>
      </w:pPr>
      <w:r>
        <w:rPr>
          <w:rFonts w:hint="eastAsia" w:ascii="宋体" w:hAnsi="宋体"/>
          <w:szCs w:val="21"/>
        </w:rPr>
        <w:t>以上承诺如有虚假，你方有权取消我方中标资格，不予退还我方的投标保证金，我方同意给你方造成的损失予以赔偿。</w:t>
      </w:r>
    </w:p>
    <w:p w14:paraId="52B71F8D">
      <w:pPr>
        <w:widowControl w:val="0"/>
        <w:autoSpaceDE w:val="0"/>
        <w:autoSpaceDN w:val="0"/>
        <w:adjustRightInd w:val="0"/>
        <w:snapToGrid w:val="0"/>
        <w:ind w:firstLine="0" w:firstLineChars="0"/>
        <w:jc w:val="left"/>
        <w:rPr>
          <w:rFonts w:ascii="宋体" w:hAnsi="宋体"/>
          <w:b/>
          <w:szCs w:val="21"/>
        </w:rPr>
      </w:pPr>
    </w:p>
    <w:p w14:paraId="6662BDA6">
      <w:pPr>
        <w:widowControl w:val="0"/>
        <w:autoSpaceDE w:val="0"/>
        <w:autoSpaceDN w:val="0"/>
        <w:adjustRightInd w:val="0"/>
        <w:snapToGrid w:val="0"/>
        <w:ind w:firstLine="0" w:firstLineChars="0"/>
        <w:jc w:val="left"/>
        <w:rPr>
          <w:rFonts w:ascii="宋体" w:hAnsi="宋体"/>
          <w:b/>
          <w:szCs w:val="21"/>
        </w:rPr>
      </w:pPr>
    </w:p>
    <w:p w14:paraId="072C0B77">
      <w:pPr>
        <w:widowControl w:val="0"/>
        <w:autoSpaceDE w:val="0"/>
        <w:autoSpaceDN w:val="0"/>
        <w:adjustRightInd w:val="0"/>
        <w:snapToGrid w:val="0"/>
        <w:ind w:firstLine="0" w:firstLineChars="0"/>
        <w:jc w:val="left"/>
        <w:rPr>
          <w:rFonts w:ascii="宋体" w:hAnsi="宋体"/>
          <w:b/>
          <w:szCs w:val="21"/>
        </w:rPr>
      </w:pPr>
    </w:p>
    <w:p w14:paraId="07566000">
      <w:pPr>
        <w:widowControl w:val="0"/>
        <w:autoSpaceDE w:val="0"/>
        <w:autoSpaceDN w:val="0"/>
        <w:adjustRightInd w:val="0"/>
        <w:snapToGrid w:val="0"/>
        <w:ind w:firstLine="0" w:firstLineChars="0"/>
        <w:jc w:val="center"/>
        <w:rPr>
          <w:rFonts w:hint="eastAsia" w:ascii="宋体" w:hAnsi="宋体"/>
          <w:szCs w:val="21"/>
          <w:u w:val="single"/>
        </w:rPr>
      </w:pPr>
      <w:r>
        <w:rPr>
          <w:rFonts w:hint="eastAsia" w:ascii="宋体" w:hAnsi="宋体"/>
          <w:szCs w:val="21"/>
        </w:rPr>
        <w:t xml:space="preserve">             投标人：</w:t>
      </w:r>
      <w:r>
        <w:rPr>
          <w:rFonts w:hint="eastAsia" w:ascii="宋体" w:hAnsi="宋体"/>
          <w:szCs w:val="21"/>
          <w:u w:val="single"/>
        </w:rPr>
        <w:t xml:space="preserve"> </w:t>
      </w:r>
      <w:r>
        <w:rPr>
          <w:rFonts w:ascii="宋体" w:hAnsi="宋体"/>
          <w:szCs w:val="21"/>
          <w:u w:val="single"/>
        </w:rPr>
        <w:t xml:space="preserve">                             </w:t>
      </w:r>
    </w:p>
    <w:p w14:paraId="4D0E3860">
      <w:pPr>
        <w:widowControl w:val="0"/>
        <w:autoSpaceDE w:val="0"/>
        <w:autoSpaceDN w:val="0"/>
        <w:adjustRightInd w:val="0"/>
        <w:snapToGrid w:val="0"/>
        <w:spacing w:line="380" w:lineRule="exact"/>
        <w:ind w:firstLine="0" w:firstLineChars="0"/>
        <w:jc w:val="right"/>
        <w:rPr>
          <w:rFonts w:ascii="宋体" w:hAnsi="宋体"/>
          <w:szCs w:val="21"/>
          <w:u w:val="single"/>
        </w:rPr>
      </w:pPr>
      <w:r>
        <w:rPr>
          <w:rFonts w:hint="eastAsia" w:ascii="宋体" w:hAnsi="宋体"/>
          <w:szCs w:val="21"/>
        </w:rPr>
        <w:t>日期：</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年</w:t>
      </w:r>
      <w:r>
        <w:rPr>
          <w:rFonts w:ascii="宋体" w:hAnsi="宋体"/>
          <w:szCs w:val="21"/>
          <w:u w:val="single"/>
        </w:rPr>
        <w:t xml:space="preserve">        </w:t>
      </w:r>
      <w:r>
        <w:rPr>
          <w:rFonts w:hint="eastAsia" w:ascii="宋体" w:hAnsi="宋体"/>
          <w:szCs w:val="21"/>
        </w:rPr>
        <w:t>月</w:t>
      </w:r>
      <w:r>
        <w:rPr>
          <w:rFonts w:ascii="宋体" w:hAnsi="宋体"/>
          <w:szCs w:val="21"/>
          <w:u w:val="single"/>
        </w:rPr>
        <w:t xml:space="preserve">         </w:t>
      </w:r>
      <w:r>
        <w:rPr>
          <w:rFonts w:hint="eastAsia" w:ascii="宋体" w:hAnsi="宋体"/>
          <w:szCs w:val="21"/>
        </w:rPr>
        <w:t>日</w:t>
      </w:r>
    </w:p>
    <w:p w14:paraId="230405AF">
      <w:pPr>
        <w:widowControl w:val="0"/>
        <w:autoSpaceDE w:val="0"/>
        <w:autoSpaceDN w:val="0"/>
        <w:adjustRightInd w:val="0"/>
        <w:snapToGrid w:val="0"/>
        <w:ind w:firstLine="0" w:firstLineChars="0"/>
        <w:jc w:val="left"/>
        <w:outlineLvl w:val="2"/>
        <w:rPr>
          <w:rFonts w:hint="eastAsia" w:ascii="宋体" w:hAnsi="宋体"/>
          <w:b/>
        </w:rPr>
      </w:pPr>
      <w:r>
        <w:rPr>
          <w:rFonts w:hint="eastAsia" w:ascii="宋体" w:hAnsi="宋体"/>
          <w:b/>
          <w:szCs w:val="21"/>
        </w:rPr>
        <w:br w:type="page"/>
      </w:r>
      <w:bookmarkStart w:id="452" w:name="_Toc29190"/>
      <w:bookmarkStart w:id="453" w:name="_Toc25768"/>
      <w:bookmarkStart w:id="454" w:name="_Toc12065"/>
      <w:r>
        <w:rPr>
          <w:rFonts w:hint="eastAsia" w:ascii="宋体" w:hAnsi="宋体"/>
          <w:b/>
        </w:rPr>
        <w:t>B3、</w:t>
      </w:r>
      <w:r>
        <w:rPr>
          <w:rFonts w:hint="eastAsia" w:ascii="宋体" w:hAnsi="宋体"/>
          <w:b/>
          <w:szCs w:val="21"/>
        </w:rPr>
        <w:t>同类项目业绩一览表</w:t>
      </w:r>
      <w:bookmarkEnd w:id="452"/>
      <w:bookmarkEnd w:id="453"/>
      <w:bookmarkEnd w:id="454"/>
    </w:p>
    <w:p w14:paraId="21DB91D0">
      <w:pPr>
        <w:widowControl w:val="0"/>
        <w:autoSpaceDE w:val="0"/>
        <w:autoSpaceDN w:val="0"/>
        <w:adjustRightInd w:val="0"/>
        <w:snapToGrid w:val="0"/>
        <w:ind w:firstLine="0" w:firstLineChars="0"/>
        <w:jc w:val="left"/>
        <w:rPr>
          <w:rFonts w:hint="eastAsia" w:ascii="宋体" w:hAnsi="宋体"/>
          <w:szCs w:val="21"/>
        </w:rPr>
      </w:pPr>
    </w:p>
    <w:p w14:paraId="58E59EA8">
      <w:pPr>
        <w:widowControl w:val="0"/>
        <w:autoSpaceDE w:val="0"/>
        <w:autoSpaceDN w:val="0"/>
        <w:adjustRightInd w:val="0"/>
        <w:snapToGrid w:val="0"/>
        <w:ind w:firstLine="0" w:firstLineChars="0"/>
        <w:jc w:val="left"/>
        <w:rPr>
          <w:rFonts w:hint="eastAsia" w:ascii="宋体" w:hAnsi="宋体"/>
          <w:b/>
          <w:szCs w:val="21"/>
        </w:rPr>
      </w:pPr>
    </w:p>
    <w:p w14:paraId="1E3E7DD8">
      <w:pPr>
        <w:widowControl w:val="0"/>
        <w:autoSpaceDE w:val="0"/>
        <w:autoSpaceDN w:val="0"/>
        <w:adjustRightInd w:val="0"/>
        <w:snapToGrid w:val="0"/>
        <w:ind w:firstLine="0" w:firstLineChars="0"/>
        <w:jc w:val="left"/>
        <w:rPr>
          <w:rFonts w:hint="eastAsia" w:ascii="宋体" w:hAnsi="宋体"/>
          <w:b/>
          <w:szCs w:val="21"/>
        </w:rPr>
      </w:pPr>
    </w:p>
    <w:p w14:paraId="5B23E35A">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同类项目业绩一览表</w:t>
      </w:r>
    </w:p>
    <w:p w14:paraId="48CF7730">
      <w:pPr>
        <w:widowControl w:val="0"/>
        <w:autoSpaceDE w:val="0"/>
        <w:autoSpaceDN w:val="0"/>
        <w:adjustRightInd w:val="0"/>
        <w:snapToGrid w:val="0"/>
        <w:ind w:firstLine="0" w:firstLineChars="0"/>
        <w:jc w:val="left"/>
        <w:rPr>
          <w:rFonts w:ascii="宋体" w:hAnsi="宋体"/>
          <w:szCs w:val="21"/>
        </w:rPr>
      </w:pPr>
    </w:p>
    <w:p w14:paraId="6CA718D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致：</w:t>
      </w:r>
      <w:r>
        <w:rPr>
          <w:rFonts w:hint="eastAsia" w:ascii="宋体" w:hAnsi="宋体"/>
          <w:szCs w:val="21"/>
          <w:u w:val="single"/>
        </w:rPr>
        <w:t>（招标人）</w:t>
      </w:r>
    </w:p>
    <w:p w14:paraId="5C20B460">
      <w:pPr>
        <w:widowControl w:val="0"/>
        <w:autoSpaceDE w:val="0"/>
        <w:autoSpaceDN w:val="0"/>
        <w:adjustRightInd w:val="0"/>
        <w:snapToGrid w:val="0"/>
        <w:ind w:firstLine="0" w:firstLineChars="0"/>
        <w:jc w:val="left"/>
        <w:rPr>
          <w:rFonts w:ascii="宋体" w:hAnsi="宋体"/>
          <w:szCs w:val="21"/>
        </w:rPr>
      </w:pPr>
      <w:bookmarkStart w:id="455" w:name="tip_risk_bookmark_58"/>
      <w:r>
        <w:rPr>
          <w:rFonts w:hint="eastAsia" w:ascii="宋体" w:hAnsi="宋体"/>
          <w:szCs w:val="21"/>
        </w:rPr>
        <w:t>我方根据贵公司招标文件要求提供</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日至投标截止时间</w:t>
      </w:r>
      <w:r>
        <w:rPr>
          <w:rFonts w:hint="eastAsia" w:ascii="宋体" w:hAnsi="宋体"/>
          <w:szCs w:val="21"/>
          <w:u w:val="single"/>
        </w:rPr>
        <w:t>提供</w:t>
      </w:r>
      <w:r>
        <w:rPr>
          <w:rFonts w:hint="eastAsia" w:ascii="宋体" w:hAnsi="宋体"/>
          <w:szCs w:val="21"/>
        </w:rPr>
        <w:t>真实的业绩资料，证明合同附后，清单如下：</w:t>
      </w:r>
      <w:bookmarkEnd w:id="455"/>
    </w:p>
    <w:tbl>
      <w:tblPr>
        <w:tblStyle w:val="5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3"/>
        <w:gridCol w:w="1643"/>
        <w:gridCol w:w="917"/>
        <w:gridCol w:w="1360"/>
        <w:gridCol w:w="1361"/>
        <w:gridCol w:w="1095"/>
        <w:gridCol w:w="1098"/>
      </w:tblGrid>
      <w:tr w14:paraId="27485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8" w:hRule="atLeast"/>
          <w:jc w:val="center"/>
        </w:trPr>
        <w:tc>
          <w:tcPr>
            <w:tcW w:w="923" w:type="dxa"/>
            <w:tcBorders>
              <w:top w:val="single" w:color="auto" w:sz="4" w:space="0"/>
            </w:tcBorders>
            <w:shd w:val="clear" w:color="auto" w:fill="D9E2F3"/>
            <w:vAlign w:val="center"/>
          </w:tcPr>
          <w:p w14:paraId="60C7A163">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序号</w:t>
            </w:r>
          </w:p>
        </w:tc>
        <w:tc>
          <w:tcPr>
            <w:tcW w:w="1643" w:type="dxa"/>
            <w:shd w:val="clear" w:color="auto" w:fill="D9E2F3"/>
            <w:vAlign w:val="center"/>
          </w:tcPr>
          <w:p w14:paraId="4CA381FD">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合同名称</w:t>
            </w:r>
          </w:p>
        </w:tc>
        <w:tc>
          <w:tcPr>
            <w:tcW w:w="917" w:type="dxa"/>
            <w:tcBorders>
              <w:left w:val="single" w:color="auto" w:sz="4" w:space="0"/>
            </w:tcBorders>
            <w:shd w:val="clear" w:color="auto" w:fill="D9E2F3"/>
            <w:vAlign w:val="center"/>
          </w:tcPr>
          <w:p w14:paraId="7AD4E26E">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数量</w:t>
            </w:r>
          </w:p>
        </w:tc>
        <w:tc>
          <w:tcPr>
            <w:tcW w:w="1360" w:type="dxa"/>
            <w:shd w:val="clear" w:color="auto" w:fill="D9E2F3"/>
            <w:vAlign w:val="center"/>
          </w:tcPr>
          <w:p w14:paraId="717AC85A">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买方</w:t>
            </w:r>
          </w:p>
        </w:tc>
        <w:tc>
          <w:tcPr>
            <w:tcW w:w="1361" w:type="dxa"/>
            <w:shd w:val="clear" w:color="auto" w:fill="D9E2F3"/>
            <w:vAlign w:val="center"/>
          </w:tcPr>
          <w:p w14:paraId="26954D8E">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卖方</w:t>
            </w:r>
          </w:p>
        </w:tc>
        <w:tc>
          <w:tcPr>
            <w:tcW w:w="1095" w:type="dxa"/>
            <w:shd w:val="clear" w:color="auto" w:fill="D9E2F3"/>
            <w:vAlign w:val="center"/>
          </w:tcPr>
          <w:p w14:paraId="79286469">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合同签</w:t>
            </w:r>
          </w:p>
          <w:p w14:paraId="13BFA7BD">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订时间</w:t>
            </w:r>
          </w:p>
        </w:tc>
        <w:tc>
          <w:tcPr>
            <w:tcW w:w="1098" w:type="dxa"/>
            <w:shd w:val="clear" w:color="auto" w:fill="D9E2F3"/>
            <w:vAlign w:val="center"/>
          </w:tcPr>
          <w:p w14:paraId="6C7274A8">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合同</w:t>
            </w:r>
          </w:p>
          <w:p w14:paraId="0259755B">
            <w:pPr>
              <w:widowControl w:val="0"/>
              <w:autoSpaceDE w:val="0"/>
              <w:autoSpaceDN w:val="0"/>
              <w:adjustRightInd w:val="0"/>
              <w:snapToGrid w:val="0"/>
              <w:ind w:firstLine="0" w:firstLineChars="0"/>
              <w:jc w:val="center"/>
              <w:rPr>
                <w:rFonts w:ascii="宋体" w:hAnsi="宋体"/>
                <w:b/>
                <w:sz w:val="18"/>
                <w:szCs w:val="21"/>
              </w:rPr>
            </w:pPr>
            <w:r>
              <w:rPr>
                <w:rFonts w:hint="eastAsia" w:ascii="宋体" w:hAnsi="宋体"/>
                <w:b/>
                <w:sz w:val="18"/>
                <w:szCs w:val="21"/>
              </w:rPr>
              <w:t>金额</w:t>
            </w:r>
          </w:p>
        </w:tc>
      </w:tr>
      <w:tr w14:paraId="4865A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72011741">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1</w:t>
            </w:r>
          </w:p>
        </w:tc>
        <w:tc>
          <w:tcPr>
            <w:tcW w:w="1643" w:type="dxa"/>
            <w:vAlign w:val="center"/>
          </w:tcPr>
          <w:p w14:paraId="24E9AA2A">
            <w:pPr>
              <w:widowControl w:val="0"/>
              <w:autoSpaceDE w:val="0"/>
              <w:autoSpaceDN w:val="0"/>
              <w:adjustRightInd w:val="0"/>
              <w:snapToGrid w:val="0"/>
              <w:ind w:firstLine="0" w:firstLineChars="0"/>
              <w:jc w:val="left"/>
              <w:rPr>
                <w:rFonts w:ascii="宋体" w:hAnsi="宋体"/>
                <w:sz w:val="18"/>
                <w:szCs w:val="21"/>
              </w:rPr>
            </w:pPr>
          </w:p>
        </w:tc>
        <w:tc>
          <w:tcPr>
            <w:tcW w:w="917" w:type="dxa"/>
            <w:tcBorders>
              <w:left w:val="single" w:color="auto" w:sz="4" w:space="0"/>
            </w:tcBorders>
            <w:vAlign w:val="center"/>
          </w:tcPr>
          <w:p w14:paraId="3AF7B49A">
            <w:pPr>
              <w:widowControl w:val="0"/>
              <w:autoSpaceDE w:val="0"/>
              <w:autoSpaceDN w:val="0"/>
              <w:adjustRightInd w:val="0"/>
              <w:snapToGrid w:val="0"/>
              <w:ind w:firstLine="0" w:firstLineChars="0"/>
              <w:jc w:val="left"/>
              <w:rPr>
                <w:rFonts w:ascii="宋体" w:hAnsi="宋体"/>
                <w:sz w:val="18"/>
                <w:szCs w:val="21"/>
              </w:rPr>
            </w:pPr>
          </w:p>
        </w:tc>
        <w:tc>
          <w:tcPr>
            <w:tcW w:w="1360" w:type="dxa"/>
            <w:vAlign w:val="center"/>
          </w:tcPr>
          <w:p w14:paraId="76EE70D8">
            <w:pPr>
              <w:widowControl w:val="0"/>
              <w:autoSpaceDE w:val="0"/>
              <w:autoSpaceDN w:val="0"/>
              <w:adjustRightInd w:val="0"/>
              <w:snapToGrid w:val="0"/>
              <w:ind w:firstLine="0" w:firstLineChars="0"/>
              <w:jc w:val="left"/>
              <w:rPr>
                <w:rFonts w:ascii="宋体" w:hAnsi="宋体"/>
                <w:sz w:val="18"/>
                <w:szCs w:val="21"/>
              </w:rPr>
            </w:pPr>
          </w:p>
        </w:tc>
        <w:tc>
          <w:tcPr>
            <w:tcW w:w="1361" w:type="dxa"/>
            <w:vAlign w:val="center"/>
          </w:tcPr>
          <w:p w14:paraId="23E4B342">
            <w:pPr>
              <w:widowControl w:val="0"/>
              <w:autoSpaceDE w:val="0"/>
              <w:autoSpaceDN w:val="0"/>
              <w:adjustRightInd w:val="0"/>
              <w:snapToGrid w:val="0"/>
              <w:ind w:firstLine="0" w:firstLineChars="0"/>
              <w:jc w:val="left"/>
              <w:rPr>
                <w:rFonts w:ascii="宋体" w:hAnsi="宋体"/>
                <w:sz w:val="18"/>
                <w:szCs w:val="21"/>
              </w:rPr>
            </w:pPr>
          </w:p>
        </w:tc>
        <w:tc>
          <w:tcPr>
            <w:tcW w:w="1095" w:type="dxa"/>
            <w:vAlign w:val="center"/>
          </w:tcPr>
          <w:p w14:paraId="346AA141">
            <w:pPr>
              <w:widowControl w:val="0"/>
              <w:autoSpaceDE w:val="0"/>
              <w:autoSpaceDN w:val="0"/>
              <w:adjustRightInd w:val="0"/>
              <w:snapToGrid w:val="0"/>
              <w:ind w:firstLine="0" w:firstLineChars="0"/>
              <w:jc w:val="left"/>
              <w:rPr>
                <w:rFonts w:ascii="宋体" w:hAnsi="宋体"/>
                <w:sz w:val="18"/>
                <w:szCs w:val="21"/>
              </w:rPr>
            </w:pPr>
          </w:p>
        </w:tc>
        <w:tc>
          <w:tcPr>
            <w:tcW w:w="1098" w:type="dxa"/>
            <w:vAlign w:val="center"/>
          </w:tcPr>
          <w:p w14:paraId="525AC96E">
            <w:pPr>
              <w:widowControl w:val="0"/>
              <w:autoSpaceDE w:val="0"/>
              <w:autoSpaceDN w:val="0"/>
              <w:adjustRightInd w:val="0"/>
              <w:snapToGrid w:val="0"/>
              <w:ind w:firstLine="0" w:firstLineChars="0"/>
              <w:jc w:val="left"/>
              <w:rPr>
                <w:rFonts w:ascii="宋体" w:hAnsi="宋体"/>
                <w:sz w:val="18"/>
                <w:szCs w:val="21"/>
              </w:rPr>
            </w:pPr>
          </w:p>
        </w:tc>
      </w:tr>
      <w:tr w14:paraId="59D1F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730AA5E5">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2</w:t>
            </w:r>
          </w:p>
        </w:tc>
        <w:tc>
          <w:tcPr>
            <w:tcW w:w="1643" w:type="dxa"/>
            <w:vAlign w:val="center"/>
          </w:tcPr>
          <w:p w14:paraId="05B7EF56">
            <w:pPr>
              <w:widowControl w:val="0"/>
              <w:autoSpaceDE w:val="0"/>
              <w:autoSpaceDN w:val="0"/>
              <w:adjustRightInd w:val="0"/>
              <w:snapToGrid w:val="0"/>
              <w:ind w:firstLine="0" w:firstLineChars="0"/>
              <w:jc w:val="left"/>
              <w:rPr>
                <w:rFonts w:ascii="宋体" w:hAnsi="宋体"/>
                <w:sz w:val="18"/>
                <w:szCs w:val="21"/>
              </w:rPr>
            </w:pPr>
          </w:p>
        </w:tc>
        <w:tc>
          <w:tcPr>
            <w:tcW w:w="917" w:type="dxa"/>
            <w:tcBorders>
              <w:left w:val="single" w:color="auto" w:sz="4" w:space="0"/>
            </w:tcBorders>
            <w:vAlign w:val="center"/>
          </w:tcPr>
          <w:p w14:paraId="417AA624">
            <w:pPr>
              <w:widowControl w:val="0"/>
              <w:autoSpaceDE w:val="0"/>
              <w:autoSpaceDN w:val="0"/>
              <w:adjustRightInd w:val="0"/>
              <w:snapToGrid w:val="0"/>
              <w:ind w:firstLine="0" w:firstLineChars="0"/>
              <w:jc w:val="left"/>
              <w:rPr>
                <w:rFonts w:ascii="宋体" w:hAnsi="宋体"/>
                <w:sz w:val="18"/>
                <w:szCs w:val="21"/>
              </w:rPr>
            </w:pPr>
          </w:p>
        </w:tc>
        <w:tc>
          <w:tcPr>
            <w:tcW w:w="1360" w:type="dxa"/>
            <w:vAlign w:val="center"/>
          </w:tcPr>
          <w:p w14:paraId="5F49AE57">
            <w:pPr>
              <w:widowControl w:val="0"/>
              <w:autoSpaceDE w:val="0"/>
              <w:autoSpaceDN w:val="0"/>
              <w:adjustRightInd w:val="0"/>
              <w:snapToGrid w:val="0"/>
              <w:ind w:firstLine="0" w:firstLineChars="0"/>
              <w:jc w:val="left"/>
              <w:rPr>
                <w:rFonts w:ascii="宋体" w:hAnsi="宋体"/>
                <w:sz w:val="18"/>
                <w:szCs w:val="21"/>
              </w:rPr>
            </w:pPr>
          </w:p>
        </w:tc>
        <w:tc>
          <w:tcPr>
            <w:tcW w:w="1361" w:type="dxa"/>
            <w:vAlign w:val="center"/>
          </w:tcPr>
          <w:p w14:paraId="6FB36FFC">
            <w:pPr>
              <w:widowControl w:val="0"/>
              <w:autoSpaceDE w:val="0"/>
              <w:autoSpaceDN w:val="0"/>
              <w:adjustRightInd w:val="0"/>
              <w:snapToGrid w:val="0"/>
              <w:ind w:firstLine="0" w:firstLineChars="0"/>
              <w:jc w:val="left"/>
              <w:rPr>
                <w:rFonts w:ascii="宋体" w:hAnsi="宋体"/>
                <w:sz w:val="18"/>
                <w:szCs w:val="21"/>
              </w:rPr>
            </w:pPr>
          </w:p>
        </w:tc>
        <w:tc>
          <w:tcPr>
            <w:tcW w:w="1095" w:type="dxa"/>
            <w:vAlign w:val="center"/>
          </w:tcPr>
          <w:p w14:paraId="4E02D69A">
            <w:pPr>
              <w:widowControl w:val="0"/>
              <w:autoSpaceDE w:val="0"/>
              <w:autoSpaceDN w:val="0"/>
              <w:adjustRightInd w:val="0"/>
              <w:snapToGrid w:val="0"/>
              <w:ind w:firstLine="0" w:firstLineChars="0"/>
              <w:jc w:val="left"/>
              <w:rPr>
                <w:rFonts w:ascii="宋体" w:hAnsi="宋体"/>
                <w:sz w:val="18"/>
                <w:szCs w:val="21"/>
              </w:rPr>
            </w:pPr>
          </w:p>
        </w:tc>
        <w:tc>
          <w:tcPr>
            <w:tcW w:w="1098" w:type="dxa"/>
            <w:vAlign w:val="center"/>
          </w:tcPr>
          <w:p w14:paraId="18D5CDE5">
            <w:pPr>
              <w:widowControl w:val="0"/>
              <w:autoSpaceDE w:val="0"/>
              <w:autoSpaceDN w:val="0"/>
              <w:adjustRightInd w:val="0"/>
              <w:snapToGrid w:val="0"/>
              <w:ind w:firstLine="0" w:firstLineChars="0"/>
              <w:jc w:val="left"/>
              <w:rPr>
                <w:rFonts w:ascii="宋体" w:hAnsi="宋体"/>
                <w:sz w:val="18"/>
                <w:szCs w:val="21"/>
              </w:rPr>
            </w:pPr>
          </w:p>
        </w:tc>
      </w:tr>
      <w:tr w14:paraId="38116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6" w:hRule="atLeast"/>
          <w:jc w:val="center"/>
        </w:trPr>
        <w:tc>
          <w:tcPr>
            <w:tcW w:w="923" w:type="dxa"/>
            <w:vAlign w:val="center"/>
          </w:tcPr>
          <w:p w14:paraId="52FB628E">
            <w:pPr>
              <w:widowControl w:val="0"/>
              <w:autoSpaceDE w:val="0"/>
              <w:autoSpaceDN w:val="0"/>
              <w:adjustRightInd w:val="0"/>
              <w:snapToGrid w:val="0"/>
              <w:ind w:firstLine="0" w:firstLineChars="0"/>
              <w:jc w:val="left"/>
              <w:rPr>
                <w:rFonts w:ascii="宋体" w:hAnsi="宋体"/>
                <w:sz w:val="18"/>
                <w:szCs w:val="21"/>
              </w:rPr>
            </w:pPr>
            <w:r>
              <w:rPr>
                <w:rFonts w:hint="eastAsia" w:ascii="宋体" w:hAnsi="宋体"/>
                <w:sz w:val="18"/>
                <w:szCs w:val="21"/>
              </w:rPr>
              <w:t>3</w:t>
            </w:r>
          </w:p>
        </w:tc>
        <w:tc>
          <w:tcPr>
            <w:tcW w:w="1643" w:type="dxa"/>
            <w:vAlign w:val="center"/>
          </w:tcPr>
          <w:p w14:paraId="01DE521B">
            <w:pPr>
              <w:widowControl w:val="0"/>
              <w:autoSpaceDE w:val="0"/>
              <w:autoSpaceDN w:val="0"/>
              <w:adjustRightInd w:val="0"/>
              <w:snapToGrid w:val="0"/>
              <w:ind w:firstLine="0" w:firstLineChars="0"/>
              <w:jc w:val="left"/>
              <w:rPr>
                <w:rFonts w:ascii="宋体" w:hAnsi="宋体"/>
                <w:sz w:val="18"/>
                <w:szCs w:val="21"/>
              </w:rPr>
            </w:pPr>
          </w:p>
        </w:tc>
        <w:tc>
          <w:tcPr>
            <w:tcW w:w="917" w:type="dxa"/>
            <w:tcBorders>
              <w:left w:val="single" w:color="auto" w:sz="4" w:space="0"/>
            </w:tcBorders>
            <w:vAlign w:val="center"/>
          </w:tcPr>
          <w:p w14:paraId="6B235039">
            <w:pPr>
              <w:widowControl w:val="0"/>
              <w:autoSpaceDE w:val="0"/>
              <w:autoSpaceDN w:val="0"/>
              <w:adjustRightInd w:val="0"/>
              <w:snapToGrid w:val="0"/>
              <w:ind w:firstLine="0" w:firstLineChars="0"/>
              <w:jc w:val="left"/>
              <w:rPr>
                <w:rFonts w:ascii="宋体" w:hAnsi="宋体"/>
                <w:sz w:val="18"/>
                <w:szCs w:val="21"/>
              </w:rPr>
            </w:pPr>
          </w:p>
        </w:tc>
        <w:tc>
          <w:tcPr>
            <w:tcW w:w="1360" w:type="dxa"/>
            <w:vAlign w:val="center"/>
          </w:tcPr>
          <w:p w14:paraId="61B42DD4">
            <w:pPr>
              <w:widowControl w:val="0"/>
              <w:autoSpaceDE w:val="0"/>
              <w:autoSpaceDN w:val="0"/>
              <w:adjustRightInd w:val="0"/>
              <w:snapToGrid w:val="0"/>
              <w:ind w:firstLine="0" w:firstLineChars="0"/>
              <w:jc w:val="left"/>
              <w:rPr>
                <w:rFonts w:ascii="宋体" w:hAnsi="宋体"/>
                <w:sz w:val="18"/>
                <w:szCs w:val="21"/>
              </w:rPr>
            </w:pPr>
          </w:p>
        </w:tc>
        <w:tc>
          <w:tcPr>
            <w:tcW w:w="1361" w:type="dxa"/>
            <w:vAlign w:val="center"/>
          </w:tcPr>
          <w:p w14:paraId="09A6D4CA">
            <w:pPr>
              <w:widowControl w:val="0"/>
              <w:autoSpaceDE w:val="0"/>
              <w:autoSpaceDN w:val="0"/>
              <w:adjustRightInd w:val="0"/>
              <w:snapToGrid w:val="0"/>
              <w:ind w:firstLine="0" w:firstLineChars="0"/>
              <w:jc w:val="left"/>
              <w:rPr>
                <w:rFonts w:ascii="宋体" w:hAnsi="宋体"/>
                <w:sz w:val="18"/>
                <w:szCs w:val="21"/>
              </w:rPr>
            </w:pPr>
          </w:p>
        </w:tc>
        <w:tc>
          <w:tcPr>
            <w:tcW w:w="1095" w:type="dxa"/>
            <w:vAlign w:val="center"/>
          </w:tcPr>
          <w:p w14:paraId="79CEE1B8">
            <w:pPr>
              <w:widowControl w:val="0"/>
              <w:autoSpaceDE w:val="0"/>
              <w:autoSpaceDN w:val="0"/>
              <w:adjustRightInd w:val="0"/>
              <w:snapToGrid w:val="0"/>
              <w:ind w:firstLine="0" w:firstLineChars="0"/>
              <w:jc w:val="left"/>
              <w:rPr>
                <w:rFonts w:ascii="宋体" w:hAnsi="宋体"/>
                <w:sz w:val="18"/>
                <w:szCs w:val="21"/>
              </w:rPr>
            </w:pPr>
          </w:p>
        </w:tc>
        <w:tc>
          <w:tcPr>
            <w:tcW w:w="1098" w:type="dxa"/>
            <w:vAlign w:val="center"/>
          </w:tcPr>
          <w:p w14:paraId="407F71E0">
            <w:pPr>
              <w:widowControl w:val="0"/>
              <w:autoSpaceDE w:val="0"/>
              <w:autoSpaceDN w:val="0"/>
              <w:adjustRightInd w:val="0"/>
              <w:snapToGrid w:val="0"/>
              <w:ind w:firstLine="0" w:firstLineChars="0"/>
              <w:jc w:val="left"/>
              <w:rPr>
                <w:rFonts w:ascii="宋体" w:hAnsi="宋体"/>
                <w:sz w:val="18"/>
                <w:szCs w:val="21"/>
              </w:rPr>
            </w:pPr>
          </w:p>
        </w:tc>
      </w:tr>
      <w:tr w14:paraId="5EA5ED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5" w:hRule="atLeast"/>
          <w:jc w:val="center"/>
        </w:trPr>
        <w:tc>
          <w:tcPr>
            <w:tcW w:w="923" w:type="dxa"/>
            <w:vAlign w:val="center"/>
          </w:tcPr>
          <w:p w14:paraId="1AB46B57">
            <w:pPr>
              <w:widowControl w:val="0"/>
              <w:autoSpaceDE w:val="0"/>
              <w:autoSpaceDN w:val="0"/>
              <w:adjustRightInd w:val="0"/>
              <w:snapToGrid w:val="0"/>
              <w:ind w:firstLine="0" w:firstLineChars="0"/>
              <w:jc w:val="left"/>
              <w:rPr>
                <w:rFonts w:ascii="宋体" w:hAnsi="宋体"/>
                <w:sz w:val="18"/>
                <w:szCs w:val="21"/>
              </w:rPr>
            </w:pPr>
          </w:p>
        </w:tc>
        <w:tc>
          <w:tcPr>
            <w:tcW w:w="1643" w:type="dxa"/>
            <w:vAlign w:val="center"/>
          </w:tcPr>
          <w:p w14:paraId="096F096B">
            <w:pPr>
              <w:widowControl w:val="0"/>
              <w:autoSpaceDE w:val="0"/>
              <w:autoSpaceDN w:val="0"/>
              <w:adjustRightInd w:val="0"/>
              <w:snapToGrid w:val="0"/>
              <w:ind w:firstLine="0" w:firstLineChars="0"/>
              <w:jc w:val="left"/>
              <w:rPr>
                <w:rFonts w:ascii="宋体" w:hAnsi="宋体"/>
                <w:sz w:val="18"/>
                <w:szCs w:val="21"/>
              </w:rPr>
            </w:pPr>
            <w:r>
              <w:rPr>
                <w:rFonts w:ascii="宋体" w:hAnsi="宋体"/>
                <w:sz w:val="18"/>
                <w:szCs w:val="21"/>
              </w:rPr>
              <w:t>……</w:t>
            </w:r>
          </w:p>
        </w:tc>
        <w:tc>
          <w:tcPr>
            <w:tcW w:w="917" w:type="dxa"/>
            <w:tcBorders>
              <w:left w:val="single" w:color="auto" w:sz="4" w:space="0"/>
            </w:tcBorders>
            <w:vAlign w:val="center"/>
          </w:tcPr>
          <w:p w14:paraId="67EACAA8">
            <w:pPr>
              <w:widowControl w:val="0"/>
              <w:autoSpaceDE w:val="0"/>
              <w:autoSpaceDN w:val="0"/>
              <w:adjustRightInd w:val="0"/>
              <w:snapToGrid w:val="0"/>
              <w:ind w:firstLine="0" w:firstLineChars="0"/>
              <w:jc w:val="left"/>
              <w:rPr>
                <w:rFonts w:ascii="宋体" w:hAnsi="宋体"/>
                <w:sz w:val="18"/>
                <w:szCs w:val="21"/>
              </w:rPr>
            </w:pPr>
          </w:p>
        </w:tc>
        <w:tc>
          <w:tcPr>
            <w:tcW w:w="1360" w:type="dxa"/>
            <w:vAlign w:val="center"/>
          </w:tcPr>
          <w:p w14:paraId="7360E5A5">
            <w:pPr>
              <w:widowControl w:val="0"/>
              <w:autoSpaceDE w:val="0"/>
              <w:autoSpaceDN w:val="0"/>
              <w:adjustRightInd w:val="0"/>
              <w:snapToGrid w:val="0"/>
              <w:ind w:firstLine="0" w:firstLineChars="0"/>
              <w:jc w:val="left"/>
              <w:rPr>
                <w:rFonts w:ascii="宋体" w:hAnsi="宋体"/>
                <w:sz w:val="18"/>
                <w:szCs w:val="21"/>
              </w:rPr>
            </w:pPr>
          </w:p>
        </w:tc>
        <w:tc>
          <w:tcPr>
            <w:tcW w:w="1361" w:type="dxa"/>
            <w:vAlign w:val="center"/>
          </w:tcPr>
          <w:p w14:paraId="4CC58639">
            <w:pPr>
              <w:widowControl w:val="0"/>
              <w:autoSpaceDE w:val="0"/>
              <w:autoSpaceDN w:val="0"/>
              <w:adjustRightInd w:val="0"/>
              <w:snapToGrid w:val="0"/>
              <w:ind w:firstLine="0" w:firstLineChars="0"/>
              <w:jc w:val="left"/>
              <w:rPr>
                <w:rFonts w:ascii="宋体" w:hAnsi="宋体"/>
                <w:sz w:val="18"/>
                <w:szCs w:val="21"/>
              </w:rPr>
            </w:pPr>
          </w:p>
        </w:tc>
        <w:tc>
          <w:tcPr>
            <w:tcW w:w="1095" w:type="dxa"/>
            <w:vAlign w:val="center"/>
          </w:tcPr>
          <w:p w14:paraId="2525C3A9">
            <w:pPr>
              <w:widowControl w:val="0"/>
              <w:autoSpaceDE w:val="0"/>
              <w:autoSpaceDN w:val="0"/>
              <w:adjustRightInd w:val="0"/>
              <w:snapToGrid w:val="0"/>
              <w:ind w:firstLine="0" w:firstLineChars="0"/>
              <w:jc w:val="left"/>
              <w:rPr>
                <w:rFonts w:ascii="宋体" w:hAnsi="宋体"/>
                <w:sz w:val="18"/>
                <w:szCs w:val="21"/>
              </w:rPr>
            </w:pPr>
          </w:p>
        </w:tc>
        <w:tc>
          <w:tcPr>
            <w:tcW w:w="1098" w:type="dxa"/>
            <w:vAlign w:val="center"/>
          </w:tcPr>
          <w:p w14:paraId="58BD4B45">
            <w:pPr>
              <w:widowControl w:val="0"/>
              <w:autoSpaceDE w:val="0"/>
              <w:autoSpaceDN w:val="0"/>
              <w:adjustRightInd w:val="0"/>
              <w:snapToGrid w:val="0"/>
              <w:ind w:firstLine="0" w:firstLineChars="0"/>
              <w:jc w:val="left"/>
              <w:rPr>
                <w:rFonts w:ascii="宋体" w:hAnsi="宋体"/>
                <w:sz w:val="18"/>
                <w:szCs w:val="21"/>
              </w:rPr>
            </w:pPr>
          </w:p>
        </w:tc>
      </w:tr>
    </w:tbl>
    <w:p w14:paraId="2858665C">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重要提示：</w:t>
      </w:r>
    </w:p>
    <w:p w14:paraId="1C24CA8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1.投标人根据招标文件业绩部分评分标准仔细填写，已供评标委员会查验；</w:t>
      </w:r>
    </w:p>
    <w:p w14:paraId="756E400C">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2.上述业绩必须为真实有效，如发现业绩不符，将取消相应资格；</w:t>
      </w:r>
    </w:p>
    <w:p w14:paraId="1D32D908">
      <w:pPr>
        <w:widowControl w:val="0"/>
        <w:autoSpaceDE w:val="0"/>
        <w:autoSpaceDN w:val="0"/>
        <w:adjustRightInd w:val="0"/>
        <w:snapToGrid w:val="0"/>
        <w:ind w:firstLine="0" w:firstLineChars="0"/>
        <w:jc w:val="left"/>
        <w:rPr>
          <w:rFonts w:hint="eastAsia" w:ascii="宋体" w:hAnsi="宋体"/>
          <w:szCs w:val="21"/>
        </w:rPr>
      </w:pPr>
      <w:r>
        <w:rPr>
          <w:rFonts w:hint="eastAsia" w:ascii="宋体" w:hAnsi="宋体"/>
          <w:szCs w:val="21"/>
        </w:rPr>
        <w:t>3.证明材料附在本表后即可。</w:t>
      </w:r>
    </w:p>
    <w:p w14:paraId="671FD934">
      <w:pPr>
        <w:widowControl w:val="0"/>
        <w:autoSpaceDE w:val="0"/>
        <w:autoSpaceDN w:val="0"/>
        <w:adjustRightInd w:val="0"/>
        <w:snapToGrid w:val="0"/>
        <w:ind w:firstLine="0" w:firstLineChars="0"/>
        <w:jc w:val="left"/>
        <w:outlineLvl w:val="2"/>
        <w:rPr>
          <w:rFonts w:hint="eastAsia" w:ascii="宋体" w:hAnsi="宋体"/>
          <w:b/>
          <w:szCs w:val="21"/>
        </w:rPr>
      </w:pPr>
      <w:r>
        <w:rPr>
          <w:rFonts w:hint="eastAsia" w:ascii="宋体" w:hAnsi="宋体"/>
          <w:b/>
          <w:szCs w:val="21"/>
        </w:rPr>
        <w:br w:type="page"/>
      </w:r>
      <w:bookmarkStart w:id="456" w:name="_Toc27537"/>
      <w:bookmarkStart w:id="457" w:name="_Toc27124"/>
      <w:bookmarkStart w:id="458" w:name="_Toc4595"/>
      <w:r>
        <w:rPr>
          <w:rFonts w:hint="eastAsia" w:ascii="宋体" w:hAnsi="宋体"/>
          <w:b/>
        </w:rPr>
        <w:t>B4、</w:t>
      </w:r>
      <w:r>
        <w:rPr>
          <w:rFonts w:hint="eastAsia" w:ascii="宋体" w:hAnsi="宋体"/>
          <w:b/>
          <w:szCs w:val="21"/>
        </w:rPr>
        <w:t>企业认证</w:t>
      </w:r>
      <w:bookmarkEnd w:id="456"/>
    </w:p>
    <w:p w14:paraId="6D886F38">
      <w:pPr>
        <w:ind w:firstLine="420"/>
        <w:rPr>
          <w:rFonts w:hint="eastAsia"/>
        </w:rPr>
      </w:pPr>
    </w:p>
    <w:p w14:paraId="1E63C6C2">
      <w:pPr>
        <w:ind w:firstLine="420"/>
        <w:rPr>
          <w:rFonts w:hint="eastAsia"/>
        </w:rPr>
      </w:pPr>
    </w:p>
    <w:p w14:paraId="5DC66BDA">
      <w:pPr>
        <w:pStyle w:val="50"/>
        <w:ind w:firstLine="422"/>
        <w:rPr>
          <w:rFonts w:hint="eastAsia" w:ascii="宋体" w:hAnsi="宋体"/>
          <w:b/>
          <w:szCs w:val="21"/>
        </w:rPr>
      </w:pPr>
    </w:p>
    <w:p w14:paraId="072BA86C">
      <w:pPr>
        <w:pStyle w:val="50"/>
        <w:rPr>
          <w:rFonts w:hint="eastAsia"/>
        </w:rPr>
        <w:sectPr>
          <w:pgSz w:w="11907" w:h="16840"/>
          <w:pgMar w:top="1440" w:right="1800" w:bottom="1440" w:left="1800" w:header="567" w:footer="567" w:gutter="0"/>
          <w:cols w:space="720" w:num="1"/>
          <w:docGrid w:linePitch="312" w:charSpace="0"/>
        </w:sectPr>
      </w:pPr>
    </w:p>
    <w:p w14:paraId="22E90A9F">
      <w:pPr>
        <w:widowControl w:val="0"/>
        <w:autoSpaceDE w:val="0"/>
        <w:autoSpaceDN w:val="0"/>
        <w:adjustRightInd w:val="0"/>
        <w:snapToGrid w:val="0"/>
        <w:ind w:firstLine="0" w:firstLineChars="0"/>
        <w:jc w:val="left"/>
        <w:outlineLvl w:val="2"/>
        <w:rPr>
          <w:rFonts w:hint="default" w:ascii="宋体" w:hAnsi="宋体" w:eastAsia="宋体"/>
          <w:b/>
          <w:lang w:val="en-US" w:eastAsia="zh-CN"/>
        </w:rPr>
        <w:sectPr>
          <w:pgSz w:w="11907" w:h="16840"/>
          <w:pgMar w:top="1440" w:right="1800" w:bottom="1440" w:left="1800" w:header="567" w:footer="567" w:gutter="0"/>
          <w:cols w:space="720" w:num="1"/>
          <w:docGrid w:linePitch="312" w:charSpace="0"/>
        </w:sectPr>
      </w:pPr>
      <w:bookmarkStart w:id="459" w:name="_Toc29382"/>
      <w:r>
        <w:rPr>
          <w:rFonts w:hint="eastAsia" w:ascii="宋体" w:hAnsi="宋体"/>
          <w:b/>
        </w:rPr>
        <w:t>B5、</w:t>
      </w:r>
      <w:r>
        <w:rPr>
          <w:rFonts w:hint="eastAsia" w:ascii="宋体" w:hAnsi="宋体"/>
          <w:b/>
          <w:szCs w:val="21"/>
        </w:rPr>
        <w:t>售后服务方案</w:t>
      </w:r>
      <w:bookmarkEnd w:id="459"/>
      <w:r>
        <w:rPr>
          <w:rFonts w:hint="eastAsia" w:ascii="宋体" w:hAnsi="宋体"/>
          <w:b/>
          <w:szCs w:val="21"/>
          <w:lang w:eastAsia="zh-CN"/>
        </w:rPr>
        <w:t>（</w:t>
      </w:r>
      <w:r>
        <w:rPr>
          <w:rFonts w:hint="eastAsia" w:ascii="宋体" w:hAnsi="宋体"/>
          <w:b/>
          <w:szCs w:val="21"/>
          <w:lang w:val="en-US" w:eastAsia="zh-CN"/>
        </w:rPr>
        <w:t>如有）</w:t>
      </w:r>
    </w:p>
    <w:p w14:paraId="26B2B0B6">
      <w:pPr>
        <w:widowControl w:val="0"/>
        <w:autoSpaceDE w:val="0"/>
        <w:autoSpaceDN w:val="0"/>
        <w:adjustRightInd w:val="0"/>
        <w:snapToGrid w:val="0"/>
        <w:ind w:firstLine="0" w:firstLineChars="0"/>
        <w:jc w:val="left"/>
        <w:outlineLvl w:val="2"/>
        <w:rPr>
          <w:rFonts w:hint="eastAsia" w:ascii="宋体" w:hAnsi="宋体"/>
          <w:b/>
        </w:rPr>
      </w:pPr>
      <w:bookmarkStart w:id="460" w:name="_Toc19595"/>
      <w:r>
        <w:rPr>
          <w:rFonts w:hint="eastAsia" w:ascii="宋体" w:hAnsi="宋体"/>
          <w:b/>
        </w:rPr>
        <w:t>B6、</w:t>
      </w:r>
      <w:r>
        <w:rPr>
          <w:rFonts w:hint="eastAsia" w:ascii="宋体" w:hAnsi="宋体"/>
          <w:b/>
          <w:szCs w:val="21"/>
        </w:rPr>
        <w:t>其它</w:t>
      </w:r>
      <w:bookmarkEnd w:id="457"/>
      <w:bookmarkEnd w:id="458"/>
      <w:bookmarkEnd w:id="460"/>
    </w:p>
    <w:bookmarkEnd w:id="442"/>
    <w:p w14:paraId="33ABE819">
      <w:pPr>
        <w:widowControl w:val="0"/>
        <w:autoSpaceDN w:val="0"/>
        <w:adjustRightInd w:val="0"/>
        <w:snapToGrid w:val="0"/>
        <w:ind w:firstLine="0" w:firstLineChars="0"/>
        <w:rPr>
          <w:rFonts w:ascii="宋体" w:hAnsi="宋体"/>
          <w:bCs/>
          <w:szCs w:val="21"/>
        </w:rPr>
      </w:pPr>
      <w:bookmarkStart w:id="461" w:name="_Toc370197705"/>
      <w:bookmarkStart w:id="462" w:name="_Toc280341018"/>
      <w:bookmarkStart w:id="463" w:name="_Toc199215951"/>
      <w:bookmarkStart w:id="464" w:name="_Toc201997951"/>
      <w:bookmarkStart w:id="465" w:name="_Toc201742866"/>
      <w:bookmarkStart w:id="466" w:name="_Toc201743121"/>
      <w:bookmarkStart w:id="467" w:name="_Toc201719123"/>
      <w:bookmarkStart w:id="468" w:name="_Toc201401663"/>
      <w:bookmarkStart w:id="469" w:name="_Toc390444143"/>
      <w:r>
        <w:rPr>
          <w:rFonts w:hint="eastAsia" w:ascii="宋体" w:hAnsi="宋体"/>
          <w:szCs w:val="21"/>
        </w:rPr>
        <w:t>投标人认为应补充提供的其他文件资料或说明</w:t>
      </w:r>
      <w:r>
        <w:rPr>
          <w:rFonts w:ascii="宋体" w:hAnsi="宋体"/>
          <w:szCs w:val="21"/>
        </w:rPr>
        <w:t>。</w:t>
      </w:r>
    </w:p>
    <w:p w14:paraId="1891ECF0">
      <w:pPr>
        <w:ind w:firstLine="420"/>
      </w:pPr>
      <w:r>
        <w:rPr>
          <w:rFonts w:ascii="宋体" w:hAnsi="宋体"/>
          <w:bCs/>
          <w:szCs w:val="21"/>
        </w:rPr>
        <w:br w:type="page"/>
      </w:r>
      <w:bookmarkStart w:id="470" w:name="_Toc12952"/>
      <w:bookmarkStart w:id="471" w:name="_Toc24605"/>
    </w:p>
    <w:p w14:paraId="2BE923E2">
      <w:pPr>
        <w:ind w:firstLine="420"/>
      </w:pPr>
    </w:p>
    <w:p w14:paraId="0F02ABCD">
      <w:pPr>
        <w:ind w:firstLine="420"/>
      </w:pPr>
    </w:p>
    <w:p w14:paraId="10F3FF71">
      <w:pPr>
        <w:ind w:firstLine="420"/>
      </w:pPr>
    </w:p>
    <w:p w14:paraId="387E5E45">
      <w:pPr>
        <w:ind w:firstLine="420"/>
      </w:pPr>
    </w:p>
    <w:p w14:paraId="78CEAA78">
      <w:pPr>
        <w:ind w:firstLine="420"/>
      </w:pPr>
    </w:p>
    <w:p w14:paraId="527F9C41">
      <w:pPr>
        <w:ind w:firstLine="420"/>
      </w:pPr>
    </w:p>
    <w:p w14:paraId="013DDE17">
      <w:pPr>
        <w:ind w:firstLine="420"/>
      </w:pPr>
    </w:p>
    <w:p w14:paraId="3076224A">
      <w:pPr>
        <w:ind w:firstLine="420"/>
      </w:pPr>
    </w:p>
    <w:p w14:paraId="13700A0F">
      <w:pPr>
        <w:ind w:firstLine="420"/>
      </w:pPr>
    </w:p>
    <w:p w14:paraId="5D739609">
      <w:pPr>
        <w:ind w:firstLine="420"/>
      </w:pPr>
    </w:p>
    <w:p w14:paraId="66096AAA">
      <w:pPr>
        <w:ind w:firstLine="420"/>
      </w:pPr>
    </w:p>
    <w:p w14:paraId="2B157D5D">
      <w:pPr>
        <w:ind w:firstLine="420"/>
      </w:pPr>
    </w:p>
    <w:p w14:paraId="0422AE04">
      <w:pPr>
        <w:ind w:firstLine="420"/>
      </w:pPr>
    </w:p>
    <w:p w14:paraId="7B654A4F">
      <w:pPr>
        <w:ind w:firstLine="420"/>
      </w:pPr>
    </w:p>
    <w:p w14:paraId="759A8F91">
      <w:pPr>
        <w:ind w:firstLine="420"/>
      </w:pPr>
    </w:p>
    <w:p w14:paraId="6770D60D">
      <w:pPr>
        <w:ind w:firstLine="420"/>
      </w:pPr>
    </w:p>
    <w:p w14:paraId="6F147061">
      <w:pPr>
        <w:ind w:firstLine="420"/>
      </w:pPr>
    </w:p>
    <w:p w14:paraId="3106BFA7">
      <w:pPr>
        <w:widowControl w:val="0"/>
        <w:autoSpaceDE w:val="0"/>
        <w:autoSpaceDN w:val="0"/>
        <w:adjustRightInd w:val="0"/>
        <w:snapToGrid w:val="0"/>
        <w:ind w:firstLine="0" w:firstLineChars="0"/>
        <w:jc w:val="center"/>
        <w:outlineLvl w:val="1"/>
        <w:rPr>
          <w:rFonts w:ascii="宋体" w:hAnsi="宋体"/>
          <w:bCs/>
          <w:szCs w:val="21"/>
        </w:rPr>
      </w:pPr>
      <w:bookmarkStart w:id="472" w:name="_Toc16964"/>
      <w:bookmarkStart w:id="473" w:name="_Toc6717"/>
      <w:r>
        <w:rPr>
          <w:rFonts w:hint="eastAsia" w:ascii="宋体" w:hAnsi="宋体" w:cs="Courier New"/>
          <w:b/>
          <w:bCs/>
          <w:sz w:val="44"/>
          <w:szCs w:val="44"/>
        </w:rPr>
        <w:t>三、技术标部分</w:t>
      </w:r>
      <w:bookmarkEnd w:id="470"/>
      <w:bookmarkEnd w:id="471"/>
      <w:bookmarkEnd w:id="472"/>
      <w:bookmarkEnd w:id="473"/>
    </w:p>
    <w:p w14:paraId="59474EDE">
      <w:pPr>
        <w:widowControl w:val="0"/>
        <w:autoSpaceDE w:val="0"/>
        <w:autoSpaceDN w:val="0"/>
        <w:adjustRightInd w:val="0"/>
        <w:snapToGrid w:val="0"/>
        <w:ind w:firstLine="0" w:firstLineChars="0"/>
        <w:jc w:val="left"/>
        <w:outlineLvl w:val="2"/>
        <w:rPr>
          <w:rFonts w:ascii="宋体" w:hAnsi="宋体"/>
          <w:b/>
          <w:szCs w:val="21"/>
        </w:rPr>
      </w:pPr>
      <w:r>
        <w:rPr>
          <w:rFonts w:ascii="宋体" w:hAnsi="宋体" w:cs="Courier New"/>
          <w:b/>
          <w:bCs/>
          <w:sz w:val="84"/>
          <w:szCs w:val="84"/>
        </w:rPr>
        <w:br w:type="page"/>
      </w:r>
      <w:bookmarkStart w:id="474" w:name="_Toc9327"/>
      <w:bookmarkStart w:id="475" w:name="_Toc5053"/>
      <w:bookmarkStart w:id="476" w:name="_Toc14281"/>
      <w:bookmarkStart w:id="477" w:name="_Hlk532143411"/>
      <w:r>
        <w:rPr>
          <w:rFonts w:hint="eastAsia" w:ascii="宋体" w:hAnsi="宋体"/>
          <w:b/>
          <w:szCs w:val="21"/>
        </w:rPr>
        <w:t>C1、技术条款</w:t>
      </w:r>
      <w:r>
        <w:rPr>
          <w:rFonts w:hint="eastAsia" w:ascii="宋体" w:hAnsi="宋体"/>
          <w:b/>
        </w:rPr>
        <w:t>总体</w:t>
      </w:r>
      <w:r>
        <w:rPr>
          <w:rFonts w:hint="eastAsia" w:ascii="宋体" w:hAnsi="宋体"/>
          <w:b/>
          <w:szCs w:val="21"/>
        </w:rPr>
        <w:t>响应表</w:t>
      </w:r>
      <w:bookmarkEnd w:id="474"/>
      <w:bookmarkEnd w:id="475"/>
      <w:bookmarkEnd w:id="476"/>
    </w:p>
    <w:p w14:paraId="07BCB31E">
      <w:pPr>
        <w:widowControl w:val="0"/>
        <w:autoSpaceDE w:val="0"/>
        <w:autoSpaceDN w:val="0"/>
        <w:adjustRightInd w:val="0"/>
        <w:snapToGrid w:val="0"/>
        <w:ind w:firstLine="0" w:firstLineChars="0"/>
        <w:jc w:val="center"/>
        <w:rPr>
          <w:rFonts w:ascii="宋体" w:hAnsi="宋体"/>
          <w:b/>
          <w:sz w:val="32"/>
          <w:szCs w:val="32"/>
        </w:rPr>
      </w:pPr>
      <w:r>
        <w:rPr>
          <w:rFonts w:hint="eastAsia" w:ascii="宋体" w:hAnsi="宋体"/>
          <w:b/>
          <w:bCs/>
          <w:kern w:val="0"/>
          <w:sz w:val="32"/>
          <w:szCs w:val="32"/>
        </w:rPr>
        <w:t>技术条款总体响应表</w:t>
      </w:r>
    </w:p>
    <w:tbl>
      <w:tblPr>
        <w:tblStyle w:val="51"/>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1027"/>
        <w:gridCol w:w="2552"/>
        <w:gridCol w:w="4133"/>
      </w:tblGrid>
      <w:tr w14:paraId="6C9F0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restart"/>
            <w:tcBorders>
              <w:top w:val="single" w:color="auto" w:sz="4" w:space="0"/>
              <w:left w:val="single" w:color="auto" w:sz="4" w:space="0"/>
              <w:bottom w:val="single" w:color="auto" w:sz="4" w:space="0"/>
              <w:right w:val="single" w:color="auto" w:sz="4" w:space="0"/>
            </w:tcBorders>
            <w:shd w:val="clear" w:color="auto" w:fill="DEEAF6"/>
            <w:vAlign w:val="center"/>
          </w:tcPr>
          <w:p w14:paraId="6B31E11D">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序号</w:t>
            </w:r>
          </w:p>
        </w:tc>
        <w:tc>
          <w:tcPr>
            <w:tcW w:w="3579" w:type="dxa"/>
            <w:gridSpan w:val="2"/>
            <w:tcBorders>
              <w:top w:val="single" w:color="auto" w:sz="4" w:space="0"/>
              <w:left w:val="single" w:color="auto" w:sz="4" w:space="0"/>
              <w:bottom w:val="single" w:color="auto" w:sz="4" w:space="0"/>
              <w:right w:val="single" w:color="auto" w:sz="4" w:space="0"/>
            </w:tcBorders>
            <w:shd w:val="clear" w:color="auto" w:fill="DEEAF6"/>
            <w:vAlign w:val="center"/>
          </w:tcPr>
          <w:p w14:paraId="6017D68E">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招标文件技术要求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3F3565E5">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投标人响应</w:t>
            </w:r>
          </w:p>
        </w:tc>
      </w:tr>
      <w:tr w14:paraId="0B02D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829D162">
            <w:pPr>
              <w:widowControl w:val="0"/>
              <w:autoSpaceDE w:val="0"/>
              <w:autoSpaceDN w:val="0"/>
              <w:adjustRightInd w:val="0"/>
              <w:snapToGrid w:val="0"/>
              <w:ind w:firstLine="0" w:firstLineChars="0"/>
              <w:jc w:val="center"/>
              <w:rPr>
                <w:rFonts w:ascii="宋体" w:hAnsi="宋体"/>
                <w:b/>
                <w:szCs w:val="21"/>
              </w:rPr>
            </w:pPr>
          </w:p>
        </w:tc>
        <w:tc>
          <w:tcPr>
            <w:tcW w:w="1027" w:type="dxa"/>
            <w:tcBorders>
              <w:top w:val="single" w:color="auto" w:sz="4" w:space="0"/>
              <w:left w:val="single" w:color="auto" w:sz="4" w:space="0"/>
              <w:bottom w:val="single" w:color="auto" w:sz="4" w:space="0"/>
              <w:right w:val="single" w:color="auto" w:sz="4" w:space="0"/>
            </w:tcBorders>
            <w:shd w:val="clear" w:color="auto" w:fill="DEEAF6"/>
            <w:vAlign w:val="center"/>
          </w:tcPr>
          <w:p w14:paraId="5CC5E728">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差别项名称</w:t>
            </w:r>
          </w:p>
        </w:tc>
        <w:tc>
          <w:tcPr>
            <w:tcW w:w="2552" w:type="dxa"/>
            <w:tcBorders>
              <w:top w:val="single" w:color="auto" w:sz="4" w:space="0"/>
              <w:left w:val="single" w:color="auto" w:sz="4" w:space="0"/>
              <w:bottom w:val="single" w:color="auto" w:sz="4" w:space="0"/>
              <w:right w:val="single" w:color="auto" w:sz="4" w:space="0"/>
            </w:tcBorders>
            <w:shd w:val="clear" w:color="auto" w:fill="DEEAF6"/>
            <w:vAlign w:val="center"/>
          </w:tcPr>
          <w:p w14:paraId="19D57655">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差别项招标要求</w:t>
            </w:r>
          </w:p>
        </w:tc>
        <w:tc>
          <w:tcPr>
            <w:tcW w:w="4133" w:type="dxa"/>
            <w:tcBorders>
              <w:top w:val="single" w:color="auto" w:sz="4" w:space="0"/>
              <w:left w:val="single" w:color="auto" w:sz="4" w:space="0"/>
              <w:bottom w:val="single" w:color="auto" w:sz="4" w:space="0"/>
              <w:right w:val="single" w:color="auto" w:sz="4" w:space="0"/>
            </w:tcBorders>
            <w:shd w:val="clear" w:color="auto" w:fill="DEEAF6"/>
            <w:vAlign w:val="center"/>
          </w:tcPr>
          <w:p w14:paraId="6C97030E">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szCs w:val="21"/>
              </w:rPr>
              <w:t>差别说明</w:t>
            </w:r>
          </w:p>
        </w:tc>
      </w:tr>
      <w:tr w14:paraId="5E0A2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29E7A04">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招标文件中标注“★”的技术条款</w:t>
            </w:r>
          </w:p>
        </w:tc>
      </w:tr>
      <w:tr w14:paraId="5DDE3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FBFE29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1B1E952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176DFE9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A57436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E9CB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CCF20F1">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1D7077F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11D83ED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427C7CA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5D47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565F8024">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招标文件中标注“▲”的技术条款</w:t>
            </w:r>
          </w:p>
        </w:tc>
      </w:tr>
      <w:tr w14:paraId="5E5B0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DB85C8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2E4A58F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2F9E09F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FD5B97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B16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2133D620">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7EAA3A6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451A72B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1D1A7B77">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2BAD0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16D83E73">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招标文件中未标注“★”或“▲”的技术条款</w:t>
            </w:r>
          </w:p>
        </w:tc>
      </w:tr>
      <w:tr w14:paraId="1DD0F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ED966AB">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4CB8FEC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30950F44">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65F7C4D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0787C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0A4919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40B461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18ED013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56EBFFF6">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D4EE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6934FEBB">
            <w:pPr>
              <w:widowControl w:val="0"/>
              <w:autoSpaceDE w:val="0"/>
              <w:autoSpaceDN w:val="0"/>
              <w:adjustRightInd w:val="0"/>
              <w:snapToGrid w:val="0"/>
              <w:ind w:firstLine="0" w:firstLineChars="0"/>
              <w:jc w:val="center"/>
              <w:rPr>
                <w:rFonts w:ascii="宋体" w:hAnsi="宋体"/>
                <w:b/>
                <w:bCs/>
                <w:szCs w:val="21"/>
              </w:rPr>
            </w:pPr>
            <w:r>
              <w:rPr>
                <w:rFonts w:hint="eastAsia" w:ascii="宋体" w:hAnsi="宋体"/>
                <w:b/>
                <w:bCs/>
                <w:szCs w:val="21"/>
              </w:rPr>
              <w:t>招标文件中合同条款、补充文件、答疑中的条款</w:t>
            </w:r>
          </w:p>
        </w:tc>
      </w:tr>
      <w:tr w14:paraId="73E2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1A39715">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w:t>
            </w:r>
          </w:p>
        </w:tc>
        <w:tc>
          <w:tcPr>
            <w:tcW w:w="1027" w:type="dxa"/>
            <w:tcBorders>
              <w:top w:val="single" w:color="auto" w:sz="4" w:space="0"/>
              <w:left w:val="single" w:color="auto" w:sz="4" w:space="0"/>
              <w:bottom w:val="single" w:color="auto" w:sz="4" w:space="0"/>
              <w:right w:val="single" w:color="auto" w:sz="4" w:space="0"/>
            </w:tcBorders>
            <w:vAlign w:val="center"/>
          </w:tcPr>
          <w:p w14:paraId="4DA7697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49C32E43">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77A355B8">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32DA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9" w:type="dxa"/>
            <w:tcBorders>
              <w:top w:val="single" w:color="auto" w:sz="4" w:space="0"/>
              <w:left w:val="single" w:color="auto" w:sz="4" w:space="0"/>
              <w:bottom w:val="single" w:color="auto" w:sz="4" w:space="0"/>
              <w:right w:val="single" w:color="auto" w:sz="4" w:space="0"/>
            </w:tcBorders>
            <w:vAlign w:val="center"/>
          </w:tcPr>
          <w:p w14:paraId="0149899F">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1027" w:type="dxa"/>
            <w:tcBorders>
              <w:top w:val="single" w:color="auto" w:sz="4" w:space="0"/>
              <w:left w:val="single" w:color="auto" w:sz="4" w:space="0"/>
              <w:bottom w:val="single" w:color="auto" w:sz="4" w:space="0"/>
              <w:right w:val="single" w:color="auto" w:sz="4" w:space="0"/>
            </w:tcBorders>
            <w:vAlign w:val="center"/>
          </w:tcPr>
          <w:p w14:paraId="00C810E9">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w:t>
            </w:r>
          </w:p>
        </w:tc>
        <w:tc>
          <w:tcPr>
            <w:tcW w:w="2552" w:type="dxa"/>
            <w:tcBorders>
              <w:top w:val="single" w:color="auto" w:sz="4" w:space="0"/>
              <w:left w:val="single" w:color="auto" w:sz="4" w:space="0"/>
              <w:bottom w:val="single" w:color="auto" w:sz="4" w:space="0"/>
              <w:right w:val="single" w:color="auto" w:sz="4" w:space="0"/>
            </w:tcBorders>
            <w:vAlign w:val="center"/>
          </w:tcPr>
          <w:p w14:paraId="60E84B0D">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见招标文件第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c>
          <w:tcPr>
            <w:tcW w:w="4133" w:type="dxa"/>
            <w:tcBorders>
              <w:top w:val="single" w:color="auto" w:sz="4" w:space="0"/>
              <w:left w:val="single" w:color="auto" w:sz="4" w:space="0"/>
              <w:bottom w:val="single" w:color="auto" w:sz="4" w:space="0"/>
              <w:right w:val="single" w:color="auto" w:sz="4" w:space="0"/>
            </w:tcBorders>
            <w:vAlign w:val="center"/>
          </w:tcPr>
          <w:p w14:paraId="29CBC41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差别为：</w:t>
            </w:r>
            <w:r>
              <w:rPr>
                <w:rFonts w:hint="eastAsia" w:ascii="宋体" w:hAnsi="宋体"/>
                <w:szCs w:val="21"/>
                <w:u w:val="single"/>
              </w:rPr>
              <w:t xml:space="preserve">  </w:t>
            </w:r>
            <w:r>
              <w:rPr>
                <w:rFonts w:hint="eastAsia" w:ascii="宋体" w:hAnsi="宋体"/>
                <w:szCs w:val="21"/>
              </w:rPr>
              <w:t>，详见投标文件第</w:t>
            </w:r>
            <w:r>
              <w:rPr>
                <w:rFonts w:hint="eastAsia" w:ascii="宋体" w:hAnsi="宋体"/>
                <w:szCs w:val="21"/>
                <w:u w:val="single"/>
              </w:rPr>
              <w:t xml:space="preserve">  </w:t>
            </w:r>
            <w:r>
              <w:rPr>
                <w:rFonts w:hint="eastAsia" w:ascii="宋体" w:hAnsi="宋体"/>
                <w:szCs w:val="21"/>
              </w:rPr>
              <w:t>页第</w:t>
            </w:r>
            <w:r>
              <w:rPr>
                <w:rFonts w:hint="eastAsia" w:ascii="宋体" w:hAnsi="宋体"/>
                <w:szCs w:val="21"/>
                <w:u w:val="single"/>
              </w:rPr>
              <w:t xml:space="preserve">  </w:t>
            </w:r>
            <w:r>
              <w:rPr>
                <w:rFonts w:hint="eastAsia" w:ascii="宋体" w:hAnsi="宋体"/>
                <w:szCs w:val="21"/>
              </w:rPr>
              <w:t>条</w:t>
            </w:r>
          </w:p>
        </w:tc>
      </w:tr>
      <w:tr w14:paraId="68684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8381" w:type="dxa"/>
            <w:gridSpan w:val="4"/>
            <w:tcBorders>
              <w:top w:val="single" w:color="auto" w:sz="4" w:space="0"/>
              <w:left w:val="single" w:color="auto" w:sz="4" w:space="0"/>
              <w:bottom w:val="single" w:color="auto" w:sz="4" w:space="0"/>
              <w:right w:val="single" w:color="auto" w:sz="4" w:space="0"/>
            </w:tcBorders>
            <w:shd w:val="clear" w:color="auto" w:fill="DEEAF6"/>
            <w:vAlign w:val="center"/>
          </w:tcPr>
          <w:p w14:paraId="70E94547">
            <w:pPr>
              <w:widowControl w:val="0"/>
              <w:autoSpaceDE w:val="0"/>
              <w:autoSpaceDN w:val="0"/>
              <w:adjustRightInd w:val="0"/>
              <w:snapToGrid w:val="0"/>
              <w:ind w:firstLine="0" w:firstLineChars="0"/>
              <w:jc w:val="left"/>
              <w:rPr>
                <w:rFonts w:ascii="宋体" w:hAnsi="宋体"/>
                <w:b/>
                <w:bCs/>
                <w:sz w:val="28"/>
                <w:szCs w:val="28"/>
              </w:rPr>
            </w:pPr>
            <w:r>
              <w:rPr>
                <w:rFonts w:hint="eastAsia" w:ascii="宋体" w:hAnsi="宋体"/>
                <w:b/>
                <w:bCs/>
                <w:sz w:val="28"/>
                <w:szCs w:val="28"/>
              </w:rPr>
              <w:t>除上述条款以外，我司承诺全部接受并按照招标文件的技术及合同条款要求承担本项目。</w:t>
            </w:r>
          </w:p>
        </w:tc>
      </w:tr>
    </w:tbl>
    <w:p w14:paraId="141F29A8">
      <w:pPr>
        <w:widowControl w:val="0"/>
        <w:autoSpaceDE w:val="0"/>
        <w:autoSpaceDN w:val="0"/>
        <w:adjustRightInd w:val="0"/>
        <w:snapToGrid w:val="0"/>
        <w:ind w:firstLine="0" w:firstLineChars="0"/>
        <w:jc w:val="left"/>
        <w:rPr>
          <w:rFonts w:ascii="宋体" w:hAnsi="宋体"/>
          <w:b/>
          <w:szCs w:val="21"/>
        </w:rPr>
      </w:pPr>
      <w:r>
        <w:rPr>
          <w:rFonts w:hint="eastAsia" w:ascii="宋体" w:hAnsi="宋体"/>
          <w:b/>
          <w:szCs w:val="21"/>
        </w:rPr>
        <w:t>重要提示：</w:t>
      </w:r>
    </w:p>
    <w:p w14:paraId="30731012">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1、投标人须在仔细阅读招标文件后，将投标文件响应与招标文件（含补遗、澄清文件）不一致的技术条款填写在本表中，包括高于或低于招标文件要求的所有条款。</w:t>
      </w:r>
    </w:p>
    <w:p w14:paraId="76DDEAFA">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2、投标文件中所有与招标文件技术要求不一致的内容必须在本表中做出说明，未在本表中做出说明的差异，即使在投标文件的其他部分做出了说明，招标人（买方）也有权在评标时或履行合同时拒绝接受，并可要求中标人按照招标文件的要求继续履行合同，投标人拒绝履行的将视为违约。</w:t>
      </w:r>
    </w:p>
    <w:p w14:paraId="7EA1758E">
      <w:pPr>
        <w:widowControl w:val="0"/>
        <w:autoSpaceDE w:val="0"/>
        <w:autoSpaceDN w:val="0"/>
        <w:adjustRightInd w:val="0"/>
        <w:snapToGrid w:val="0"/>
        <w:ind w:firstLine="0" w:firstLineChars="0"/>
        <w:jc w:val="left"/>
        <w:rPr>
          <w:rFonts w:ascii="宋体" w:hAnsi="宋体"/>
          <w:szCs w:val="21"/>
        </w:rPr>
      </w:pPr>
      <w:r>
        <w:rPr>
          <w:rFonts w:hint="eastAsia" w:ascii="宋体" w:hAnsi="宋体"/>
          <w:szCs w:val="21"/>
        </w:rPr>
        <w:t>3、投标人必须提供本表，如对招标文件技术条款及合同内容完全接受，则无需填写相关内容。</w:t>
      </w:r>
    </w:p>
    <w:p w14:paraId="63F271E4">
      <w:pPr>
        <w:widowControl w:val="0"/>
        <w:autoSpaceDE w:val="0"/>
        <w:autoSpaceDN w:val="0"/>
        <w:adjustRightInd w:val="0"/>
        <w:snapToGrid w:val="0"/>
        <w:ind w:firstLine="0" w:firstLineChars="0"/>
        <w:jc w:val="left"/>
        <w:rPr>
          <w:rFonts w:hint="eastAsia" w:ascii="宋体" w:hAnsi="宋体"/>
          <w:szCs w:val="21"/>
        </w:rPr>
      </w:pPr>
    </w:p>
    <w:p w14:paraId="56C8511D">
      <w:pPr>
        <w:widowControl w:val="0"/>
        <w:autoSpaceDE w:val="0"/>
        <w:autoSpaceDN w:val="0"/>
        <w:adjustRightInd w:val="0"/>
        <w:snapToGrid w:val="0"/>
        <w:ind w:firstLine="0" w:firstLineChars="0"/>
        <w:jc w:val="left"/>
        <w:rPr>
          <w:rFonts w:ascii="宋体" w:hAnsi="宋体"/>
          <w:u w:val="single"/>
        </w:rPr>
      </w:pPr>
      <w:r>
        <w:rPr>
          <w:rFonts w:hint="eastAsia" w:ascii="宋体" w:hAnsi="宋体"/>
        </w:rPr>
        <w:t>投标人：</w:t>
      </w:r>
      <w:r>
        <w:rPr>
          <w:rFonts w:hint="eastAsia" w:ascii="宋体" w:hAnsi="宋体"/>
          <w:u w:val="single"/>
        </w:rPr>
        <w:t xml:space="preserve"> </w:t>
      </w:r>
      <w:r>
        <w:rPr>
          <w:rFonts w:ascii="宋体" w:hAnsi="宋体"/>
          <w:u w:val="single"/>
        </w:rPr>
        <w:t xml:space="preserve">                                       </w:t>
      </w:r>
    </w:p>
    <w:p w14:paraId="0BA3826A">
      <w:pPr>
        <w:widowControl w:val="0"/>
        <w:autoSpaceDE w:val="0"/>
        <w:autoSpaceDN w:val="0"/>
        <w:adjustRightInd w:val="0"/>
        <w:snapToGrid w:val="0"/>
        <w:ind w:firstLine="0" w:firstLineChars="0"/>
        <w:jc w:val="left"/>
        <w:outlineLvl w:val="2"/>
        <w:rPr>
          <w:rFonts w:hint="default" w:ascii="宋体" w:hAnsi="宋体" w:eastAsia="宋体"/>
          <w:b/>
          <w:lang w:val="en-US" w:eastAsia="zh-CN"/>
        </w:rPr>
      </w:pPr>
      <w:r>
        <w:rPr>
          <w:rFonts w:ascii="宋体" w:hAnsi="宋体"/>
        </w:rPr>
        <w:br w:type="page"/>
      </w:r>
      <w:bookmarkStart w:id="478" w:name="_Toc27223"/>
      <w:bookmarkStart w:id="479" w:name="_Toc18201"/>
      <w:bookmarkStart w:id="480" w:name="_Toc3736"/>
      <w:r>
        <w:rPr>
          <w:rFonts w:hint="eastAsia" w:ascii="宋体" w:hAnsi="宋体"/>
          <w:b/>
        </w:rPr>
        <w:t>C2、</w:t>
      </w:r>
      <w:bookmarkEnd w:id="478"/>
      <w:bookmarkEnd w:id="479"/>
      <w:r>
        <w:rPr>
          <w:rFonts w:hint="eastAsia" w:ascii="宋体" w:hAnsi="宋体"/>
          <w:b/>
        </w:rPr>
        <w:t>服务方案</w:t>
      </w:r>
      <w:bookmarkEnd w:id="480"/>
    </w:p>
    <w:p w14:paraId="19FFE9DB">
      <w:pPr>
        <w:widowControl w:val="0"/>
        <w:autoSpaceDE w:val="0"/>
        <w:autoSpaceDN w:val="0"/>
        <w:adjustRightInd w:val="0"/>
        <w:snapToGrid w:val="0"/>
        <w:ind w:firstLine="0" w:firstLineChars="0"/>
        <w:rPr>
          <w:rFonts w:ascii="宋体" w:hAnsi="宋体"/>
          <w:szCs w:val="21"/>
        </w:rPr>
      </w:pPr>
      <w:r>
        <w:rPr>
          <w:rFonts w:hint="eastAsia" w:ascii="宋体" w:hAnsi="宋体"/>
          <w:szCs w:val="21"/>
        </w:rPr>
        <w:t>投标人应根据招标文件/第四章编制技术（服务）方案，应设置目录，内容包括不限于以下内容：</w:t>
      </w:r>
    </w:p>
    <w:p w14:paraId="7223907E">
      <w:pPr>
        <w:widowControl w:val="0"/>
        <w:autoSpaceDE w:val="0"/>
        <w:autoSpaceDN w:val="0"/>
        <w:adjustRightInd w:val="0"/>
        <w:snapToGrid w:val="0"/>
        <w:ind w:firstLine="0" w:firstLineChars="0"/>
        <w:rPr>
          <w:rFonts w:hint="eastAsia" w:ascii="宋体" w:hAnsi="宋体"/>
        </w:rPr>
      </w:pPr>
      <w:r>
        <w:rPr>
          <w:rFonts w:hint="eastAsia" w:ascii="宋体" w:hAnsi="宋体"/>
        </w:rPr>
        <w:t>一、公司简介；</w:t>
      </w:r>
    </w:p>
    <w:p w14:paraId="1D4F8AEC">
      <w:pPr>
        <w:widowControl w:val="0"/>
        <w:autoSpaceDE w:val="0"/>
        <w:autoSpaceDN w:val="0"/>
        <w:adjustRightInd w:val="0"/>
        <w:snapToGrid w:val="0"/>
        <w:ind w:firstLine="0" w:firstLineChars="0"/>
        <w:rPr>
          <w:rFonts w:hint="eastAsia" w:ascii="宋体" w:hAnsi="宋体"/>
        </w:rPr>
      </w:pPr>
      <w:r>
        <w:rPr>
          <w:rFonts w:hint="eastAsia" w:ascii="宋体" w:hAnsi="宋体"/>
        </w:rPr>
        <w:t>二、为本项目制定的服务方案；</w:t>
      </w:r>
    </w:p>
    <w:p w14:paraId="6EBB051E">
      <w:pPr>
        <w:widowControl w:val="0"/>
        <w:autoSpaceDE w:val="0"/>
        <w:autoSpaceDN w:val="0"/>
        <w:adjustRightInd w:val="0"/>
        <w:snapToGrid w:val="0"/>
        <w:ind w:firstLine="0" w:firstLineChars="0"/>
        <w:rPr>
          <w:rFonts w:hint="eastAsia" w:ascii="宋体" w:hAnsi="宋体"/>
        </w:rPr>
      </w:pPr>
      <w:r>
        <w:rPr>
          <w:rFonts w:hint="eastAsia" w:ascii="宋体" w:hAnsi="宋体"/>
        </w:rPr>
        <w:t>三、团队组织架构；</w:t>
      </w:r>
    </w:p>
    <w:p w14:paraId="60B658F4">
      <w:pPr>
        <w:widowControl w:val="0"/>
        <w:autoSpaceDE w:val="0"/>
        <w:autoSpaceDN w:val="0"/>
        <w:adjustRightInd w:val="0"/>
        <w:snapToGrid w:val="0"/>
        <w:ind w:firstLine="0" w:firstLineChars="0"/>
        <w:rPr>
          <w:rFonts w:hint="eastAsia" w:ascii="宋体" w:hAnsi="宋体"/>
        </w:rPr>
      </w:pPr>
      <w:r>
        <w:rPr>
          <w:rFonts w:hint="eastAsia" w:ascii="宋体" w:hAnsi="宋体"/>
        </w:rPr>
        <w:t>四、流程和制度；</w:t>
      </w:r>
    </w:p>
    <w:p w14:paraId="74ADA3FF">
      <w:pPr>
        <w:widowControl w:val="0"/>
        <w:autoSpaceDE w:val="0"/>
        <w:autoSpaceDN w:val="0"/>
        <w:adjustRightInd w:val="0"/>
        <w:snapToGrid w:val="0"/>
        <w:ind w:firstLine="0" w:firstLineChars="0"/>
        <w:rPr>
          <w:rFonts w:hint="eastAsia" w:ascii="宋体" w:hAnsi="宋体"/>
        </w:rPr>
      </w:pPr>
      <w:r>
        <w:rPr>
          <w:rFonts w:hint="eastAsia" w:ascii="宋体" w:hAnsi="宋体"/>
        </w:rPr>
        <w:t>五、其他。</w:t>
      </w:r>
    </w:p>
    <w:p w14:paraId="6E21C8E1">
      <w:pPr>
        <w:widowControl w:val="0"/>
        <w:autoSpaceDE w:val="0"/>
        <w:autoSpaceDN w:val="0"/>
        <w:adjustRightInd w:val="0"/>
        <w:snapToGrid w:val="0"/>
        <w:ind w:firstLine="0" w:firstLineChars="0"/>
        <w:rPr>
          <w:rFonts w:ascii="宋体" w:hAnsi="宋体"/>
          <w:szCs w:val="21"/>
        </w:rPr>
      </w:pPr>
    </w:p>
    <w:p w14:paraId="656E7412">
      <w:pPr>
        <w:pStyle w:val="50"/>
        <w:rPr>
          <w:rFonts w:hint="eastAsia"/>
        </w:rPr>
      </w:pPr>
      <w:r>
        <w:rPr>
          <w:rFonts w:hint="eastAsia" w:ascii="宋体" w:hAnsi="宋体"/>
          <w:szCs w:val="21"/>
        </w:rPr>
        <w:t>注：如有</w:t>
      </w:r>
      <w:r>
        <w:rPr>
          <w:rFonts w:hint="eastAsia" w:ascii="宋体" w:hAnsi="宋体"/>
          <w:sz w:val="22"/>
        </w:rPr>
        <w:t>《技术标评审标准》评分的相应内容，请详细阐述并提供相关证明及说明。</w:t>
      </w:r>
    </w:p>
    <w:p w14:paraId="336B60D6">
      <w:pPr>
        <w:ind w:firstLine="420"/>
        <w:rPr>
          <w:rFonts w:hint="eastAsia"/>
        </w:rPr>
      </w:pPr>
    </w:p>
    <w:p w14:paraId="378A4AD4">
      <w:pPr>
        <w:ind w:firstLine="420"/>
      </w:pPr>
    </w:p>
    <w:p w14:paraId="4791CACF">
      <w:pPr>
        <w:widowControl w:val="0"/>
        <w:autoSpaceDE w:val="0"/>
        <w:autoSpaceDN w:val="0"/>
        <w:adjustRightInd w:val="0"/>
        <w:snapToGrid w:val="0"/>
        <w:ind w:firstLine="0" w:firstLineChars="0"/>
        <w:rPr>
          <w:rFonts w:ascii="宋体" w:hAnsi="宋体"/>
          <w:szCs w:val="21"/>
        </w:rPr>
      </w:pPr>
    </w:p>
    <w:p w14:paraId="6787ADFD">
      <w:pPr>
        <w:widowControl w:val="0"/>
        <w:tabs>
          <w:tab w:val="left" w:pos="945"/>
        </w:tabs>
        <w:autoSpaceDE w:val="0"/>
        <w:autoSpaceDN w:val="0"/>
        <w:adjustRightInd w:val="0"/>
        <w:snapToGrid w:val="0"/>
        <w:ind w:firstLine="0" w:firstLineChars="0"/>
        <w:rPr>
          <w:rFonts w:ascii="宋体" w:hAnsi="宋体"/>
          <w:szCs w:val="21"/>
        </w:rPr>
      </w:pPr>
      <w:r>
        <w:rPr>
          <w:rFonts w:ascii="宋体" w:hAnsi="宋体"/>
          <w:szCs w:val="21"/>
        </w:rPr>
        <w:tab/>
      </w:r>
    </w:p>
    <w:p w14:paraId="3263201E">
      <w:pPr>
        <w:widowControl w:val="0"/>
        <w:autoSpaceDE w:val="0"/>
        <w:autoSpaceDN w:val="0"/>
        <w:adjustRightInd w:val="0"/>
        <w:snapToGrid w:val="0"/>
        <w:ind w:firstLine="0" w:firstLineChars="0"/>
        <w:jc w:val="left"/>
        <w:outlineLvl w:val="2"/>
        <w:rPr>
          <w:rFonts w:hint="eastAsia" w:ascii="宋体" w:hAnsi="宋体"/>
        </w:rPr>
      </w:pPr>
      <w:r>
        <w:rPr>
          <w:rFonts w:ascii="宋体" w:hAnsi="宋体"/>
          <w:b/>
          <w:szCs w:val="21"/>
        </w:rPr>
        <w:br w:type="page"/>
      </w:r>
      <w:bookmarkStart w:id="481" w:name="_Toc14006"/>
      <w:bookmarkStart w:id="482" w:name="_Toc19979"/>
      <w:bookmarkStart w:id="483" w:name="_Toc1745"/>
      <w:r>
        <w:rPr>
          <w:rFonts w:hint="eastAsia" w:ascii="宋体" w:hAnsi="宋体"/>
          <w:b/>
          <w:szCs w:val="21"/>
        </w:rPr>
        <w:t>C</w:t>
      </w:r>
      <w:r>
        <w:rPr>
          <w:rFonts w:ascii="宋体" w:hAnsi="宋体"/>
          <w:b/>
          <w:szCs w:val="21"/>
        </w:rPr>
        <w:t>3</w:t>
      </w:r>
      <w:r>
        <w:rPr>
          <w:rFonts w:hint="eastAsia" w:ascii="宋体" w:hAnsi="宋体"/>
          <w:b/>
          <w:szCs w:val="21"/>
        </w:rPr>
        <w:t>、</w:t>
      </w:r>
      <w:r>
        <w:rPr>
          <w:rFonts w:hint="eastAsia" w:ascii="宋体" w:hAnsi="宋体"/>
          <w:b/>
        </w:rPr>
        <w:t>其他</w:t>
      </w:r>
      <w:bookmarkEnd w:id="481"/>
      <w:bookmarkEnd w:id="482"/>
      <w:bookmarkEnd w:id="483"/>
    </w:p>
    <w:p w14:paraId="0A11B25C">
      <w:pPr>
        <w:widowControl w:val="0"/>
        <w:autoSpaceDE w:val="0"/>
        <w:autoSpaceDN w:val="0"/>
        <w:adjustRightInd w:val="0"/>
        <w:snapToGrid w:val="0"/>
        <w:ind w:firstLine="0" w:firstLineChars="0"/>
        <w:jc w:val="left"/>
        <w:rPr>
          <w:rFonts w:ascii="宋体" w:hAnsi="宋体"/>
        </w:rPr>
      </w:pPr>
      <w:r>
        <w:rPr>
          <w:rFonts w:hint="eastAsia" w:ascii="宋体" w:hAnsi="宋体"/>
          <w:szCs w:val="21"/>
        </w:rPr>
        <w:t>投标人认为应补充提供的其他文件资料或说明</w:t>
      </w:r>
      <w:r>
        <w:rPr>
          <w:rFonts w:ascii="宋体" w:hAnsi="宋体"/>
          <w:szCs w:val="21"/>
        </w:rPr>
        <w:t>。</w:t>
      </w:r>
    </w:p>
    <w:p w14:paraId="61BD8DCD">
      <w:pPr>
        <w:ind w:firstLine="420"/>
      </w:pPr>
      <w:r>
        <w:rPr>
          <w:rFonts w:ascii="宋体" w:hAnsi="宋体" w:cs="Courier New"/>
          <w:bCs/>
          <w:szCs w:val="84"/>
        </w:rPr>
        <w:br w:type="page"/>
      </w:r>
      <w:bookmarkEnd w:id="461"/>
      <w:bookmarkEnd w:id="462"/>
      <w:bookmarkEnd w:id="463"/>
      <w:bookmarkEnd w:id="464"/>
      <w:bookmarkEnd w:id="465"/>
      <w:bookmarkEnd w:id="466"/>
      <w:bookmarkEnd w:id="467"/>
      <w:bookmarkEnd w:id="468"/>
      <w:bookmarkEnd w:id="469"/>
      <w:bookmarkEnd w:id="477"/>
      <w:bookmarkStart w:id="484" w:name="_Toc2848"/>
      <w:bookmarkStart w:id="485" w:name="_Toc29558"/>
      <w:bookmarkStart w:id="486" w:name="_Toc49247169"/>
      <w:bookmarkStart w:id="487" w:name="_Toc153524107"/>
      <w:bookmarkStart w:id="488" w:name="_Toc103256567"/>
      <w:bookmarkStart w:id="489" w:name="_Toc201719168"/>
      <w:bookmarkStart w:id="490" w:name="_Toc102316949"/>
      <w:bookmarkStart w:id="491" w:name="_Toc103704738"/>
      <w:bookmarkStart w:id="492" w:name="_Toc103257699"/>
      <w:bookmarkStart w:id="493" w:name="_Toc103258079"/>
      <w:bookmarkStart w:id="494" w:name="_Toc102316715"/>
      <w:bookmarkStart w:id="495" w:name="_Toc280341042"/>
      <w:bookmarkStart w:id="496" w:name="_Toc103734977"/>
      <w:bookmarkStart w:id="497" w:name="_Toc102315646"/>
      <w:bookmarkStart w:id="498" w:name="_Toc103258639"/>
      <w:bookmarkStart w:id="499" w:name="_Toc103257484"/>
      <w:bookmarkStart w:id="500" w:name="_Toc102391902"/>
      <w:bookmarkStart w:id="501" w:name="_Toc102319448"/>
      <w:bookmarkStart w:id="502" w:name="_Toc153591804"/>
      <w:bookmarkStart w:id="503" w:name="_Toc102392597"/>
      <w:bookmarkStart w:id="504" w:name="_Toc102385731"/>
      <w:bookmarkStart w:id="505" w:name="_Toc199215991"/>
      <w:bookmarkStart w:id="506" w:name="_Toc153177847"/>
      <w:bookmarkStart w:id="507" w:name="_Toc201401708"/>
      <w:bookmarkStart w:id="508" w:name="_Toc201997996"/>
      <w:bookmarkStart w:id="509" w:name="_Toc102316470"/>
      <w:bookmarkStart w:id="510" w:name="_Toc102318076"/>
      <w:bookmarkStart w:id="511" w:name="_Toc201743167"/>
      <w:bookmarkStart w:id="512" w:name="_Toc201742912"/>
    </w:p>
    <w:p w14:paraId="571364AB">
      <w:pPr>
        <w:ind w:firstLine="420"/>
      </w:pPr>
    </w:p>
    <w:p w14:paraId="3E5940D4">
      <w:pPr>
        <w:ind w:firstLine="420"/>
      </w:pPr>
    </w:p>
    <w:p w14:paraId="214D6B33">
      <w:pPr>
        <w:ind w:firstLine="420"/>
      </w:pPr>
    </w:p>
    <w:p w14:paraId="6FF054F9">
      <w:pPr>
        <w:pStyle w:val="19"/>
        <w:ind w:firstLine="420"/>
      </w:pPr>
    </w:p>
    <w:p w14:paraId="17CA857C">
      <w:pPr>
        <w:ind w:firstLine="420"/>
      </w:pPr>
    </w:p>
    <w:p w14:paraId="00F24A15">
      <w:pPr>
        <w:pStyle w:val="19"/>
        <w:ind w:firstLine="420"/>
      </w:pPr>
    </w:p>
    <w:p w14:paraId="5EE2EFDA">
      <w:pPr>
        <w:ind w:firstLine="420"/>
      </w:pPr>
    </w:p>
    <w:p w14:paraId="507A2919">
      <w:pPr>
        <w:pStyle w:val="19"/>
        <w:ind w:firstLine="420"/>
      </w:pPr>
    </w:p>
    <w:p w14:paraId="5ABE9BC0">
      <w:pPr>
        <w:ind w:firstLine="420"/>
      </w:pPr>
    </w:p>
    <w:p w14:paraId="04C88614">
      <w:pPr>
        <w:pStyle w:val="19"/>
        <w:ind w:firstLine="420"/>
      </w:pPr>
    </w:p>
    <w:p w14:paraId="5732CB83">
      <w:pPr>
        <w:ind w:firstLine="420"/>
      </w:pPr>
    </w:p>
    <w:p w14:paraId="721050E4">
      <w:pPr>
        <w:pStyle w:val="19"/>
        <w:ind w:firstLine="420"/>
      </w:pPr>
    </w:p>
    <w:p w14:paraId="4FF035C8">
      <w:pPr>
        <w:ind w:firstLine="420"/>
      </w:pPr>
    </w:p>
    <w:p w14:paraId="0B1989ED">
      <w:pPr>
        <w:pStyle w:val="19"/>
        <w:ind w:firstLine="420"/>
      </w:pPr>
    </w:p>
    <w:p w14:paraId="7AD746C2">
      <w:pPr>
        <w:ind w:firstLine="420"/>
      </w:pPr>
    </w:p>
    <w:p w14:paraId="7D1217A0">
      <w:pPr>
        <w:widowControl w:val="0"/>
        <w:autoSpaceDE w:val="0"/>
        <w:autoSpaceDN w:val="0"/>
        <w:adjustRightInd w:val="0"/>
        <w:snapToGrid w:val="0"/>
        <w:ind w:firstLine="0" w:firstLineChars="0"/>
        <w:jc w:val="center"/>
        <w:outlineLvl w:val="1"/>
        <w:rPr>
          <w:rFonts w:hint="eastAsia" w:ascii="宋体" w:hAnsi="宋体" w:cs="Courier New"/>
          <w:bCs/>
          <w:sz w:val="84"/>
          <w:szCs w:val="84"/>
        </w:rPr>
        <w:sectPr>
          <w:headerReference r:id="rId12" w:type="even"/>
          <w:pgSz w:w="11907" w:h="16840"/>
          <w:pgMar w:top="1440" w:right="1800" w:bottom="1440" w:left="1800" w:header="567" w:footer="567" w:gutter="0"/>
          <w:cols w:space="720" w:num="1"/>
          <w:docGrid w:linePitch="312" w:charSpace="0"/>
        </w:sectPr>
      </w:pPr>
      <w:bookmarkStart w:id="513" w:name="_Toc28814"/>
      <w:bookmarkStart w:id="514" w:name="_Toc17944"/>
      <w:r>
        <w:rPr>
          <w:rFonts w:hint="eastAsia" w:ascii="宋体" w:hAnsi="宋体" w:cs="Courier New"/>
          <w:b/>
          <w:bCs/>
          <w:sz w:val="44"/>
          <w:szCs w:val="44"/>
        </w:rPr>
        <w:t>四</w:t>
      </w:r>
      <w:r>
        <w:rPr>
          <w:rFonts w:ascii="宋体" w:hAnsi="宋体" w:cs="Courier New"/>
          <w:b/>
          <w:bCs/>
          <w:sz w:val="44"/>
          <w:szCs w:val="44"/>
        </w:rPr>
        <w:t>、</w:t>
      </w:r>
      <w:r>
        <w:rPr>
          <w:rFonts w:hint="eastAsia" w:ascii="宋体" w:hAnsi="宋体" w:cs="Courier New"/>
          <w:b/>
          <w:bCs/>
          <w:sz w:val="44"/>
          <w:szCs w:val="44"/>
        </w:rPr>
        <w:t>价格标部分</w:t>
      </w:r>
      <w:bookmarkEnd w:id="484"/>
      <w:bookmarkEnd w:id="485"/>
      <w:bookmarkEnd w:id="486"/>
      <w:bookmarkEnd w:id="513"/>
      <w:bookmarkEnd w:id="514"/>
    </w:p>
    <w:p w14:paraId="13CC5A63">
      <w:pPr>
        <w:widowControl w:val="0"/>
        <w:autoSpaceDE w:val="0"/>
        <w:autoSpaceDN w:val="0"/>
        <w:adjustRightInd w:val="0"/>
        <w:snapToGrid w:val="0"/>
        <w:ind w:firstLine="0" w:firstLineChars="0"/>
        <w:jc w:val="left"/>
        <w:outlineLvl w:val="2"/>
        <w:rPr>
          <w:rFonts w:ascii="宋体" w:hAnsi="宋体"/>
          <w:b/>
          <w:szCs w:val="21"/>
        </w:rPr>
      </w:pPr>
      <w:bookmarkStart w:id="515" w:name="_Toc16527"/>
      <w:bookmarkStart w:id="516" w:name="_Toc27186"/>
      <w:bookmarkStart w:id="517" w:name="_Toc3582"/>
      <w:r>
        <w:rPr>
          <w:rFonts w:hint="eastAsia" w:ascii="宋体" w:hAnsi="宋体"/>
          <w:b/>
          <w:szCs w:val="21"/>
        </w:rPr>
        <w:t>D1、投标</w:t>
      </w:r>
      <w:r>
        <w:rPr>
          <w:rFonts w:hint="eastAsia" w:ascii="宋体" w:hAnsi="宋体"/>
          <w:b/>
        </w:rPr>
        <w:t>报价</w:t>
      </w:r>
      <w:r>
        <w:rPr>
          <w:rFonts w:hint="eastAsia" w:ascii="宋体" w:hAnsi="宋体"/>
          <w:b/>
          <w:szCs w:val="21"/>
        </w:rPr>
        <w:t>一览表</w:t>
      </w:r>
      <w:bookmarkEnd w:id="515"/>
      <w:bookmarkEnd w:id="516"/>
      <w:bookmarkEnd w:id="517"/>
    </w:p>
    <w:p w14:paraId="19A9F02A">
      <w:pPr>
        <w:widowControl w:val="0"/>
        <w:autoSpaceDE w:val="0"/>
        <w:autoSpaceDN w:val="0"/>
        <w:adjustRightInd w:val="0"/>
        <w:snapToGrid w:val="0"/>
        <w:ind w:firstLine="0" w:firstLineChars="0"/>
        <w:jc w:val="left"/>
        <w:rPr>
          <w:rFonts w:ascii="宋体" w:hAnsi="宋体"/>
          <w:b/>
          <w:bCs/>
          <w:sz w:val="28"/>
          <w:szCs w:val="28"/>
        </w:rPr>
      </w:pPr>
      <w:r>
        <w:rPr>
          <w:rFonts w:ascii="宋体" w:hAnsi="宋体"/>
          <w:b/>
          <w:bCs/>
          <w:sz w:val="28"/>
          <w:szCs w:val="28"/>
        </w:rPr>
        <w:tab/>
      </w:r>
    </w:p>
    <w:p w14:paraId="5887FEA0">
      <w:pPr>
        <w:widowControl w:val="0"/>
        <w:autoSpaceDE w:val="0"/>
        <w:autoSpaceDN w:val="0"/>
        <w:adjustRightInd w:val="0"/>
        <w:snapToGrid w:val="0"/>
        <w:ind w:firstLine="0" w:firstLineChars="0"/>
        <w:jc w:val="center"/>
        <w:rPr>
          <w:rFonts w:ascii="宋体" w:hAnsi="宋体"/>
          <w:b/>
          <w:bCs/>
          <w:sz w:val="32"/>
          <w:szCs w:val="32"/>
        </w:rPr>
      </w:pPr>
      <w:r>
        <w:rPr>
          <w:rFonts w:hint="eastAsia" w:ascii="宋体" w:hAnsi="宋体"/>
          <w:b/>
          <w:bCs/>
          <w:sz w:val="32"/>
          <w:szCs w:val="32"/>
        </w:rPr>
        <w:t>投标报价一览表</w:t>
      </w:r>
    </w:p>
    <w:p w14:paraId="57AA7D5F">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项目名称：</w:t>
      </w:r>
      <w:r>
        <w:rPr>
          <w:rFonts w:hint="eastAsia" w:ascii="宋体" w:hAnsi="宋体"/>
          <w:szCs w:val="21"/>
          <w:u w:val="single"/>
        </w:rPr>
        <w:t xml:space="preserve">                        </w:t>
      </w:r>
    </w:p>
    <w:p w14:paraId="2DA8FA70">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项目编号：</w:t>
      </w:r>
      <w:r>
        <w:rPr>
          <w:rFonts w:hint="eastAsia" w:ascii="宋体" w:hAnsi="宋体"/>
          <w:szCs w:val="21"/>
          <w:u w:val="singl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3529"/>
        <w:gridCol w:w="1285"/>
        <w:gridCol w:w="977"/>
      </w:tblGrid>
      <w:tr w14:paraId="5163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jc w:val="center"/>
        </w:trPr>
        <w:tc>
          <w:tcPr>
            <w:tcW w:w="1809" w:type="dxa"/>
            <w:tcBorders>
              <w:right w:val="single" w:color="auto" w:sz="2" w:space="0"/>
            </w:tcBorders>
            <w:shd w:val="clear" w:color="auto" w:fill="DBE5F1"/>
            <w:vAlign w:val="center"/>
          </w:tcPr>
          <w:p w14:paraId="7112AD3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项目名称</w:t>
            </w:r>
          </w:p>
        </w:tc>
        <w:tc>
          <w:tcPr>
            <w:tcW w:w="3529" w:type="dxa"/>
            <w:tcBorders>
              <w:left w:val="single" w:color="auto" w:sz="2" w:space="0"/>
            </w:tcBorders>
            <w:shd w:val="clear" w:color="auto" w:fill="DBE5F1"/>
            <w:vAlign w:val="center"/>
          </w:tcPr>
          <w:p w14:paraId="4E4CF46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投标总价</w:t>
            </w:r>
          </w:p>
          <w:p w14:paraId="009A0390">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（人民币/元）</w:t>
            </w:r>
          </w:p>
        </w:tc>
        <w:tc>
          <w:tcPr>
            <w:tcW w:w="1285" w:type="dxa"/>
            <w:shd w:val="clear" w:color="auto" w:fill="DBE5F1"/>
            <w:vAlign w:val="center"/>
          </w:tcPr>
          <w:p w14:paraId="24D5EEB3">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服务期</w:t>
            </w:r>
          </w:p>
        </w:tc>
        <w:tc>
          <w:tcPr>
            <w:tcW w:w="977" w:type="dxa"/>
            <w:shd w:val="clear" w:color="auto" w:fill="DBE5F1"/>
            <w:vAlign w:val="center"/>
          </w:tcPr>
          <w:p w14:paraId="7C8E9756">
            <w:pPr>
              <w:widowControl w:val="0"/>
              <w:autoSpaceDE w:val="0"/>
              <w:autoSpaceDN w:val="0"/>
              <w:adjustRightInd w:val="0"/>
              <w:snapToGrid w:val="0"/>
              <w:ind w:firstLine="0" w:firstLineChars="0"/>
              <w:jc w:val="center"/>
              <w:rPr>
                <w:rFonts w:ascii="宋体" w:hAnsi="宋体"/>
                <w:b/>
                <w:szCs w:val="21"/>
              </w:rPr>
            </w:pPr>
            <w:r>
              <w:rPr>
                <w:rFonts w:hint="eastAsia" w:ascii="宋体" w:hAnsi="宋体"/>
                <w:b/>
                <w:szCs w:val="21"/>
              </w:rPr>
              <w:t>备注</w:t>
            </w:r>
          </w:p>
        </w:tc>
      </w:tr>
      <w:tr w14:paraId="35BAF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1" w:hRule="atLeast"/>
          <w:jc w:val="center"/>
        </w:trPr>
        <w:tc>
          <w:tcPr>
            <w:tcW w:w="1809" w:type="dxa"/>
            <w:tcBorders>
              <w:right w:val="single" w:color="auto" w:sz="2" w:space="0"/>
            </w:tcBorders>
            <w:vAlign w:val="center"/>
          </w:tcPr>
          <w:p w14:paraId="17DF0E45">
            <w:pPr>
              <w:widowControl w:val="0"/>
              <w:autoSpaceDE w:val="0"/>
              <w:autoSpaceDN w:val="0"/>
              <w:adjustRightInd w:val="0"/>
              <w:snapToGrid w:val="0"/>
              <w:ind w:firstLine="0" w:firstLineChars="0"/>
              <w:jc w:val="center"/>
              <w:rPr>
                <w:rFonts w:ascii="宋体" w:hAnsi="宋体" w:cs="宋体"/>
                <w:kern w:val="0"/>
                <w:szCs w:val="21"/>
              </w:rPr>
            </w:pPr>
          </w:p>
        </w:tc>
        <w:tc>
          <w:tcPr>
            <w:tcW w:w="3529" w:type="dxa"/>
            <w:tcBorders>
              <w:left w:val="single" w:color="auto" w:sz="2" w:space="0"/>
            </w:tcBorders>
            <w:vAlign w:val="center"/>
          </w:tcPr>
          <w:p w14:paraId="7A4EB19A">
            <w:pPr>
              <w:widowControl w:val="0"/>
              <w:autoSpaceDE w:val="0"/>
              <w:autoSpaceDN w:val="0"/>
              <w:adjustRightInd w:val="0"/>
              <w:snapToGrid w:val="0"/>
              <w:ind w:firstLine="0" w:firstLineChars="0"/>
              <w:jc w:val="center"/>
              <w:rPr>
                <w:rFonts w:ascii="宋体" w:hAnsi="宋体"/>
                <w:szCs w:val="21"/>
              </w:rPr>
            </w:pPr>
          </w:p>
        </w:tc>
        <w:tc>
          <w:tcPr>
            <w:tcW w:w="1285" w:type="dxa"/>
            <w:vAlign w:val="center"/>
          </w:tcPr>
          <w:p w14:paraId="58EBF3DD">
            <w:pPr>
              <w:widowControl w:val="0"/>
              <w:autoSpaceDE w:val="0"/>
              <w:autoSpaceDN w:val="0"/>
              <w:adjustRightInd w:val="0"/>
              <w:snapToGrid w:val="0"/>
              <w:ind w:firstLine="0" w:firstLineChars="0"/>
              <w:jc w:val="center"/>
              <w:rPr>
                <w:rFonts w:ascii="宋体" w:hAnsi="宋体"/>
                <w:szCs w:val="21"/>
              </w:rPr>
            </w:pPr>
          </w:p>
        </w:tc>
        <w:tc>
          <w:tcPr>
            <w:tcW w:w="977" w:type="dxa"/>
            <w:vAlign w:val="center"/>
          </w:tcPr>
          <w:p w14:paraId="6A212A6D">
            <w:pPr>
              <w:widowControl w:val="0"/>
              <w:autoSpaceDE w:val="0"/>
              <w:autoSpaceDN w:val="0"/>
              <w:adjustRightInd w:val="0"/>
              <w:snapToGrid w:val="0"/>
              <w:ind w:firstLine="0" w:firstLineChars="0"/>
              <w:jc w:val="center"/>
              <w:rPr>
                <w:rFonts w:hint="default" w:ascii="宋体" w:hAnsi="宋体" w:eastAsia="宋体"/>
                <w:szCs w:val="21"/>
                <w:lang w:val="en-US" w:eastAsia="zh-CN"/>
              </w:rPr>
            </w:pPr>
            <w:r>
              <w:rPr>
                <w:rFonts w:hint="eastAsia" w:ascii="宋体" w:hAnsi="宋体"/>
                <w:szCs w:val="21"/>
                <w:lang w:val="en-US" w:eastAsia="zh-CN"/>
              </w:rPr>
              <w:t>按项目需求对厨师长、厨师按照每人每月成本进行分项报价</w:t>
            </w:r>
          </w:p>
        </w:tc>
      </w:tr>
    </w:tbl>
    <w:p w14:paraId="5C6F6EB0">
      <w:pPr>
        <w:widowControl w:val="0"/>
        <w:autoSpaceDE w:val="0"/>
        <w:autoSpaceDN w:val="0"/>
        <w:adjustRightInd w:val="0"/>
        <w:snapToGrid w:val="0"/>
        <w:ind w:firstLine="0" w:firstLineChars="0"/>
        <w:jc w:val="left"/>
        <w:rPr>
          <w:rFonts w:ascii="宋体" w:hAnsi="宋体"/>
        </w:rPr>
      </w:pPr>
    </w:p>
    <w:p w14:paraId="059BE665">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p>
    <w:p w14:paraId="00776B83">
      <w:pPr>
        <w:widowControl w:val="0"/>
        <w:autoSpaceDE w:val="0"/>
        <w:autoSpaceDN w:val="0"/>
        <w:adjustRightInd w:val="0"/>
        <w:snapToGrid w:val="0"/>
        <w:ind w:firstLine="0" w:firstLineChars="0"/>
        <w:jc w:val="left"/>
        <w:rPr>
          <w:rFonts w:ascii="宋体" w:hAnsi="宋体"/>
          <w:b/>
          <w:szCs w:val="21"/>
        </w:rPr>
        <w:sectPr>
          <w:headerReference r:id="rId13" w:type="even"/>
          <w:pgSz w:w="11907" w:h="16840"/>
          <w:pgMar w:top="1418" w:right="1758" w:bottom="1247" w:left="1758" w:header="737" w:footer="851" w:gutter="0"/>
          <w:cols w:space="720" w:num="1"/>
          <w:docGrid w:linePitch="312" w:charSpace="0"/>
        </w:sectPr>
      </w:pPr>
    </w:p>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p w14:paraId="0CD01976">
      <w:pPr>
        <w:widowControl w:val="0"/>
        <w:autoSpaceDE w:val="0"/>
        <w:autoSpaceDN w:val="0"/>
        <w:adjustRightInd w:val="0"/>
        <w:snapToGrid w:val="0"/>
        <w:ind w:firstLine="0" w:firstLineChars="0"/>
        <w:jc w:val="left"/>
        <w:outlineLvl w:val="2"/>
        <w:rPr>
          <w:rFonts w:ascii="宋体" w:hAnsi="宋体"/>
          <w:b/>
          <w:szCs w:val="21"/>
        </w:rPr>
      </w:pPr>
      <w:bookmarkStart w:id="518" w:name="_Toc20306"/>
      <w:bookmarkStart w:id="519" w:name="_Toc19022"/>
      <w:bookmarkStart w:id="520" w:name="_Toc2770"/>
      <w:r>
        <w:rPr>
          <w:rFonts w:hint="eastAsia" w:ascii="宋体" w:hAnsi="宋体"/>
          <w:b/>
          <w:szCs w:val="21"/>
        </w:rPr>
        <w:t>D2、投标分项报价表</w:t>
      </w:r>
      <w:bookmarkEnd w:id="518"/>
      <w:bookmarkEnd w:id="519"/>
      <w:bookmarkEnd w:id="520"/>
    </w:p>
    <w:p w14:paraId="42CCF659">
      <w:pPr>
        <w:widowControl w:val="0"/>
        <w:autoSpaceDE w:val="0"/>
        <w:autoSpaceDN w:val="0"/>
        <w:adjustRightInd w:val="0"/>
        <w:snapToGrid w:val="0"/>
        <w:ind w:firstLine="0" w:firstLineChars="0"/>
        <w:jc w:val="center"/>
        <w:rPr>
          <w:rFonts w:ascii="宋体" w:hAnsi="宋体"/>
          <w:b/>
          <w:bCs/>
          <w:sz w:val="32"/>
          <w:szCs w:val="32"/>
        </w:rPr>
      </w:pPr>
      <w:bookmarkStart w:id="521" w:name="_Toc342394853"/>
      <w:bookmarkStart w:id="522" w:name="_Toc285611324"/>
      <w:bookmarkStart w:id="523" w:name="_Toc350769836"/>
      <w:bookmarkStart w:id="524" w:name="_Toc353538815"/>
      <w:bookmarkStart w:id="525" w:name="_Toc342473298"/>
      <w:bookmarkStart w:id="526" w:name="_Toc350774927"/>
      <w:bookmarkStart w:id="527" w:name="_Toc353179117"/>
      <w:bookmarkStart w:id="528" w:name="_Toc353110277"/>
      <w:bookmarkStart w:id="529" w:name="_Toc290993142"/>
      <w:bookmarkStart w:id="530" w:name="_Toc350871837"/>
      <w:bookmarkStart w:id="531" w:name="_Toc291178366"/>
      <w:bookmarkStart w:id="532" w:name="_Toc354928098"/>
      <w:bookmarkStart w:id="533" w:name="_Toc342056723"/>
      <w:bookmarkStart w:id="534" w:name="_Toc351032922"/>
      <w:bookmarkStart w:id="535" w:name="_Toc349224955"/>
      <w:bookmarkStart w:id="536" w:name="_Toc342064557"/>
      <w:bookmarkStart w:id="537" w:name="_Toc350770143"/>
      <w:bookmarkStart w:id="538" w:name="_Toc354072485"/>
      <w:bookmarkStart w:id="539" w:name="_Toc280341062"/>
      <w:r>
        <w:rPr>
          <w:rFonts w:hint="eastAsia" w:ascii="宋体" w:hAnsi="宋体"/>
          <w:b/>
          <w:bCs/>
          <w:sz w:val="32"/>
          <w:szCs w:val="32"/>
        </w:rPr>
        <w:t>投标分项报价表</w:t>
      </w:r>
    </w:p>
    <w:p w14:paraId="27A5B2E2">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项目名称：</w:t>
      </w:r>
      <w:r>
        <w:rPr>
          <w:rFonts w:hint="eastAsia" w:ascii="宋体" w:hAnsi="宋体"/>
          <w:szCs w:val="21"/>
          <w:u w:val="single"/>
        </w:rPr>
        <w:t xml:space="preserve">                        </w:t>
      </w:r>
    </w:p>
    <w:p w14:paraId="2BB7222C">
      <w:pPr>
        <w:widowControl w:val="0"/>
        <w:autoSpaceDE w:val="0"/>
        <w:autoSpaceDN w:val="0"/>
        <w:adjustRightInd w:val="0"/>
        <w:snapToGrid w:val="0"/>
        <w:ind w:firstLine="0" w:firstLineChars="0"/>
        <w:jc w:val="left"/>
        <w:rPr>
          <w:rFonts w:hint="eastAsia" w:ascii="宋体" w:hAnsi="宋体"/>
          <w:szCs w:val="21"/>
          <w:u w:val="single"/>
        </w:rPr>
      </w:pPr>
      <w:r>
        <w:rPr>
          <w:rFonts w:hint="eastAsia" w:ascii="宋体" w:hAnsi="宋体"/>
          <w:szCs w:val="21"/>
        </w:rPr>
        <w:t>项目编号：</w:t>
      </w:r>
      <w:r>
        <w:rPr>
          <w:rFonts w:hint="eastAsia" w:ascii="宋体" w:hAnsi="宋体"/>
          <w:szCs w:val="21"/>
          <w:u w:val="single"/>
        </w:rPr>
        <w:t xml:space="preserve">                        </w:t>
      </w:r>
    </w:p>
    <w:p w14:paraId="37864B8A">
      <w:pPr>
        <w:widowControl w:val="0"/>
        <w:autoSpaceDE w:val="0"/>
        <w:autoSpaceDN w:val="0"/>
        <w:adjustRightInd w:val="0"/>
        <w:snapToGrid w:val="0"/>
        <w:ind w:firstLine="0" w:firstLineChars="0"/>
        <w:jc w:val="left"/>
        <w:rPr>
          <w:rFonts w:hint="eastAsia" w:ascii="宋体" w:hAnsi="宋体"/>
          <w:b/>
          <w:szCs w:val="21"/>
        </w:rPr>
      </w:pPr>
    </w:p>
    <w:p w14:paraId="3F1ADB18">
      <w:pPr>
        <w:widowControl w:val="0"/>
        <w:autoSpaceDE w:val="0"/>
        <w:autoSpaceDN w:val="0"/>
        <w:adjustRightInd w:val="0"/>
        <w:snapToGrid w:val="0"/>
        <w:ind w:firstLine="0" w:firstLineChars="0"/>
        <w:jc w:val="left"/>
        <w:rPr>
          <w:rFonts w:hint="eastAsia" w:ascii="宋体" w:hAnsi="宋体"/>
          <w:b/>
          <w:szCs w:val="21"/>
        </w:rPr>
      </w:pPr>
    </w:p>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p w14:paraId="322EB7F7">
      <w:pPr>
        <w:widowControl w:val="0"/>
        <w:autoSpaceDE w:val="0"/>
        <w:autoSpaceDN w:val="0"/>
        <w:adjustRightInd w:val="0"/>
        <w:snapToGrid w:val="0"/>
        <w:ind w:firstLine="0" w:firstLineChars="0"/>
        <w:jc w:val="center"/>
        <w:rPr>
          <w:rFonts w:ascii="宋体" w:hAnsi="宋体"/>
          <w:szCs w:val="21"/>
        </w:rPr>
      </w:pPr>
      <w:r>
        <w:rPr>
          <w:rFonts w:hint="eastAsia" w:ascii="宋体" w:hAnsi="宋体"/>
          <w:szCs w:val="21"/>
        </w:rPr>
        <w:t>根据项目实际情况设置分项报价表</w:t>
      </w:r>
    </w:p>
    <w:p w14:paraId="4924B0B5">
      <w:pPr>
        <w:pStyle w:val="13"/>
        <w:ind w:firstLine="420"/>
        <w:rPr>
          <w:rFonts w:ascii="宋体" w:hAnsi="宋体"/>
          <w:szCs w:val="21"/>
        </w:rPr>
      </w:pPr>
    </w:p>
    <w:p w14:paraId="387C619F">
      <w:pPr>
        <w:pStyle w:val="19"/>
        <w:ind w:firstLine="420"/>
        <w:rPr>
          <w:rFonts w:ascii="宋体" w:hAnsi="宋体"/>
          <w:szCs w:val="21"/>
        </w:rPr>
      </w:pPr>
    </w:p>
    <w:p w14:paraId="446A3445">
      <w:pPr>
        <w:pStyle w:val="47"/>
        <w:ind w:firstLine="643"/>
      </w:pPr>
    </w:p>
    <w:p w14:paraId="1C01F8A4">
      <w:pPr>
        <w:widowControl w:val="0"/>
        <w:autoSpaceDE w:val="0"/>
        <w:autoSpaceDN w:val="0"/>
        <w:adjustRightInd w:val="0"/>
        <w:snapToGrid w:val="0"/>
        <w:ind w:firstLine="0" w:firstLineChars="0"/>
        <w:jc w:val="left"/>
        <w:rPr>
          <w:rFonts w:ascii="宋体" w:hAnsi="宋体"/>
          <w:szCs w:val="21"/>
          <w:u w:val="single"/>
        </w:rPr>
      </w:pPr>
      <w:r>
        <w:rPr>
          <w:rFonts w:hint="eastAsia" w:ascii="宋体" w:hAnsi="宋体"/>
          <w:szCs w:val="21"/>
        </w:rPr>
        <w:t>投标人：</w:t>
      </w:r>
      <w:r>
        <w:rPr>
          <w:rFonts w:hint="eastAsia" w:ascii="宋体" w:hAnsi="宋体"/>
          <w:szCs w:val="21"/>
          <w:u w:val="single"/>
        </w:rPr>
        <w:t xml:space="preserve">                                        </w:t>
      </w:r>
    </w:p>
    <w:p w14:paraId="1CA43060">
      <w:pPr>
        <w:widowControl w:val="0"/>
        <w:autoSpaceDE w:val="0"/>
        <w:autoSpaceDN w:val="0"/>
        <w:adjustRightInd w:val="0"/>
        <w:snapToGrid w:val="0"/>
        <w:ind w:firstLine="0" w:firstLineChars="0"/>
        <w:jc w:val="left"/>
        <w:rPr>
          <w:rFonts w:hint="eastAsia" w:ascii="宋体" w:hAnsi="宋体"/>
          <w:b/>
          <w:szCs w:val="21"/>
        </w:rPr>
      </w:pPr>
    </w:p>
    <w:sectPr>
      <w:pgSz w:w="11907" w:h="16840"/>
      <w:pgMar w:top="1440" w:right="1797" w:bottom="1440" w:left="1797" w:header="567" w:footer="567" w:gutter="0"/>
      <w:cols w:space="720" w:num="1"/>
      <w:docGrid w:linePitch="46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EDF6052-804D-4E3D-8338-CC8ED858990C}"/>
  </w:font>
  <w:font w:name="黑体">
    <w:panose1 w:val="02010609060101010101"/>
    <w:charset w:val="86"/>
    <w:family w:val="auto"/>
    <w:pitch w:val="default"/>
    <w:sig w:usb0="800002BF" w:usb1="38CF7CFA" w:usb2="00000016" w:usb3="00000000" w:csb0="00040001" w:csb1="00000000"/>
    <w:embedRegular r:id="rId2" w:fontKey="{133764B8-38E6-43D8-BB0A-16CF9331812C}"/>
  </w:font>
  <w:font w:name="Courier New">
    <w:panose1 w:val="02070309020205020404"/>
    <w:charset w:val="01"/>
    <w:family w:val="modern"/>
    <w:pitch w:val="default"/>
    <w:sig w:usb0="E0002EFF" w:usb1="C0007843" w:usb2="00000009" w:usb3="00000000" w:csb0="400001FF" w:csb1="FFFF0000"/>
    <w:embedRegular r:id="rId3" w:fontKey="{115546E0-947B-47A3-B650-3B72F1623612}"/>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AE0A1863-A782-4BF4-B8D2-4C6366D4FBDC}"/>
  </w:font>
  <w:font w:name="等线">
    <w:panose1 w:val="02010600030101010101"/>
    <w:charset w:val="86"/>
    <w:family w:val="auto"/>
    <w:pitch w:val="default"/>
    <w:sig w:usb0="A00002BF" w:usb1="38CF7CFA" w:usb2="00000016" w:usb3="00000000" w:csb0="0004000F" w:csb1="00000000"/>
    <w:embedRegular r:id="rId5" w:fontKey="{71B9D9DE-FFB7-4912-A20A-011E1AF7AB36}"/>
  </w:font>
  <w:font w:name="仿宋_GB2312">
    <w:altName w:val="仿宋"/>
    <w:panose1 w:val="02010609030101010101"/>
    <w:charset w:val="86"/>
    <w:family w:val="modern"/>
    <w:pitch w:val="default"/>
    <w:sig w:usb0="00000000" w:usb1="00000000" w:usb2="00000000" w:usb3="00000000" w:csb0="00040000" w:csb1="00000000"/>
    <w:embedRegular r:id="rId6" w:fontKey="{D2906604-D28F-48EF-8A83-BD0C7A93C0D9}"/>
  </w:font>
  <w:font w:name="仿宋">
    <w:panose1 w:val="02010609060101010101"/>
    <w:charset w:val="86"/>
    <w:family w:val="modern"/>
    <w:pitch w:val="default"/>
    <w:sig w:usb0="800002BF" w:usb1="38CF7CFA" w:usb2="00000016" w:usb3="00000000" w:csb0="00040001" w:csb1="00000000"/>
    <w:embedRegular r:id="rId7" w:fontKey="{4FB4719E-9EF3-474D-BD9D-C06CB4BA63FD}"/>
  </w:font>
  <w:font w:name="Courier">
    <w:altName w:val="Courier New"/>
    <w:panose1 w:val="02070409020205020404"/>
    <w:charset w:val="00"/>
    <w:family w:val="modern"/>
    <w:pitch w:val="default"/>
    <w:sig w:usb0="00000000" w:usb1="00000000" w:usb2="00000000" w:usb3="00000000" w:csb0="0000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长城仿宋">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8000012" w:usb3="00000000" w:csb0="4002009F" w:csb1="DFD70000"/>
  </w:font>
  <w:font w:name="Microsoft JhengHei">
    <w:panose1 w:val="020B0604030504040204"/>
    <w:charset w:val="88"/>
    <w:family w:val="swiss"/>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Arial Unicode MS">
    <w:panose1 w:val="020B0604020202020204"/>
    <w:charset w:val="86"/>
    <w:family w:val="swiss"/>
    <w:pitch w:val="default"/>
    <w:sig w:usb0="F7FFAEFF" w:usb1="F9DFFFFF" w:usb2="0000007F" w:usb3="00000000" w:csb0="203F01FF" w:csb1="DFFF0000"/>
  </w:font>
  <w:font w:name="Tahoma">
    <w:panose1 w:val="020B0604030504040204"/>
    <w:charset w:val="00"/>
    <w:family w:val="swiss"/>
    <w:pitch w:val="default"/>
    <w:sig w:usb0="E1002EFF" w:usb1="C000605B" w:usb2="00000029" w:usb3="00000000" w:csb0="200101FF" w:csb1="20280000"/>
  </w:font>
  <w:font w:name="全真中明體">
    <w:altName w:val="Microsoft JhengHei"/>
    <w:panose1 w:val="00000000000000000000"/>
    <w:charset w:val="88"/>
    <w:family w:val="modern"/>
    <w:pitch w:val="default"/>
    <w:sig w:usb0="00000000" w:usb1="00000000" w:usb2="00000010" w:usb3="00000000" w:csb0="00100000" w:csb1="00000000"/>
  </w:font>
  <w:font w:name="幼圆">
    <w:altName w:val="宋体"/>
    <w:panose1 w:val="02010509060101010101"/>
    <w:charset w:val="86"/>
    <w:family w:val="modern"/>
    <w:pitch w:val="default"/>
    <w:sig w:usb0="00000000" w:usb1="00000000" w:usb2="00000000" w:usb3="00000000" w:csb0="00040000" w:csb1="00000000"/>
  </w:font>
  <w:font w:name="Palatino">
    <w:altName w:val="Palatino Linotype"/>
    <w:panose1 w:val="00000000000000000000"/>
    <w:charset w:val="00"/>
    <w:family w:val="modern"/>
    <w:pitch w:val="default"/>
    <w:sig w:usb0="00000000" w:usb1="00000000" w:usb2="00000000" w:usb3="00000000" w:csb0="00000093" w:csb1="00000000"/>
  </w:font>
  <w:font w:name="Palatino Linotype">
    <w:panose1 w:val="02040502050505030304"/>
    <w:charset w:val="00"/>
    <w:family w:val="auto"/>
    <w:pitch w:val="default"/>
    <w:sig w:usb0="E0000287" w:usb1="40000013" w:usb2="00000000" w:usb3="00000000" w:csb0="2000019F" w:csb1="00000000"/>
  </w:font>
  <w:font w:name="隶书">
    <w:altName w:val="Arial Unicode MS"/>
    <w:panose1 w:val="02010509060101010101"/>
    <w:charset w:val="86"/>
    <w:family w:val="modern"/>
    <w:pitch w:val="default"/>
    <w:sig w:usb0="00000000" w:usb1="0000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8" w:fontKey="{81888EC3-0C5A-4AD6-8C4A-FD345A3D74D4}"/>
  </w:font>
  <w:font w:name="方正小标宋简体">
    <w:panose1 w:val="02000000000000000000"/>
    <w:charset w:val="86"/>
    <w:family w:val="auto"/>
    <w:pitch w:val="default"/>
    <w:sig w:usb0="00000001" w:usb1="08000000" w:usb2="00000000" w:usb3="00000000" w:csb0="00040000" w:csb1="00000000"/>
    <w:embedRegular r:id="rId9" w:fontKey="{EAE7C25D-E84A-420B-B32F-A484543D2037}"/>
  </w:font>
  <w:font w:name="Segoe UI Symbol">
    <w:panose1 w:val="020B0502040204020203"/>
    <w:charset w:val="00"/>
    <w:family w:val="swiss"/>
    <w:pitch w:val="default"/>
    <w:sig w:usb0="800001E3" w:usb1="1200FFEF" w:usb2="00040000" w:usb3="04000000" w:csb0="00000001" w:csb1="40000000"/>
    <w:embedRegular r:id="rId10" w:fontKey="{6B6E1478-341C-423E-91A1-E2F8134F4CD5}"/>
  </w:font>
  <w:font w:name="Wingdings 2">
    <w:panose1 w:val="05020102010507070707"/>
    <w:charset w:val="02"/>
    <w:family w:val="roman"/>
    <w:pitch w:val="default"/>
    <w:sig w:usb0="00000000" w:usb1="00000000" w:usb2="00000000" w:usb3="00000000" w:csb0="80000000" w:csb1="00000000"/>
    <w:embedRegular r:id="rId11" w:fontKey="{A112A322-81A6-43A8-B955-5EF528526738}"/>
  </w:font>
  <w:font w:name="MS Mincho">
    <w:altName w:val="Yu Gothic UI"/>
    <w:panose1 w:val="02020609040205080304"/>
    <w:charset w:val="80"/>
    <w:family w:val="roman"/>
    <w:pitch w:val="default"/>
    <w:sig w:usb0="00000000" w:usb1="00000000" w:usb2="00000010" w:usb3="00000000" w:csb0="00020000" w:csb1="00000000"/>
    <w:embedRegular r:id="rId12" w:fontKey="{EEEA6BF6-5FA0-4567-B2D8-2A2FDBFFA039}"/>
  </w:font>
  <w:font w:name="Yu Gothic UI">
    <w:panose1 w:val="020B0500000000000000"/>
    <w:charset w:val="80"/>
    <w:family w:val="auto"/>
    <w:pitch w:val="default"/>
    <w:sig w:usb0="E00002FF" w:usb1="2AC7FDFF" w:usb2="00000016" w:usb3="00000000" w:csb0="2002009F" w:csb1="00000000"/>
  </w:font>
  <w:font w:name="华文宋体">
    <w:panose1 w:val="02010600040101010101"/>
    <w:charset w:val="86"/>
    <w:family w:val="auto"/>
    <w:pitch w:val="default"/>
    <w:sig w:usb0="00000287" w:usb1="080F0000" w:usb2="00000000" w:usb3="00000000" w:csb0="0004009F" w:csb1="DFD70000"/>
    <w:embedRegular r:id="rId13" w:fontKey="{DAA79F0A-01EA-46C2-BE3F-B2BEAFA749FD}"/>
  </w:font>
  <w:font w:name="WPSEMBED1">
    <w:panose1 w:val="05020102010507070707"/>
    <w:charset w:val="00"/>
    <w:family w:val="auto"/>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F4F1A">
    <w:pPr>
      <w:pStyle w:val="31"/>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3635" cy="222250"/>
              <wp:effectExtent l="0" t="0" r="0" b="0"/>
              <wp:wrapNone/>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3635" cy="222250"/>
                      </a:xfrm>
                      <a:prstGeom prst="rect">
                        <a:avLst/>
                      </a:prstGeom>
                      <a:noFill/>
                      <a:ln>
                        <a:noFill/>
                      </a:ln>
                    </wps:spPr>
                    <wps:txbx>
                      <w:txbxContent>
                        <w:p w14:paraId="20B0ABAC">
                          <w:pPr>
                            <w:pStyle w:val="31"/>
                            <w:ind w:firstLine="360"/>
                          </w:pPr>
                          <w:r>
                            <w:t xml:space="preserve">第 </w:t>
                          </w:r>
                          <w:r>
                            <w:fldChar w:fldCharType="begin"/>
                          </w:r>
                          <w:r>
                            <w:instrText xml:space="preserve"> PAGE  \* MERGEFORMAT </w:instrText>
                          </w:r>
                          <w:r>
                            <w:fldChar w:fldCharType="separate"/>
                          </w:r>
                          <w:r>
                            <w:rPr>
                              <w:lang w:val="en-US" w:eastAsia="zh-CN"/>
                            </w:rPr>
                            <w:t>2</w:t>
                          </w:r>
                          <w:r>
                            <w:fldChar w:fldCharType="end"/>
                          </w:r>
                          <w:r>
                            <w:t xml:space="preserve"> 页 共 </w:t>
                          </w:r>
                          <w:r>
                            <w:fldChar w:fldCharType="begin"/>
                          </w:r>
                          <w:r>
                            <w:instrText xml:space="preserve"> NUMPAGES  \* MERGEFORMAT </w:instrText>
                          </w:r>
                          <w:r>
                            <w:fldChar w:fldCharType="separate"/>
                          </w:r>
                          <w:r>
                            <w:rPr>
                              <w:lang w:val="en-US" w:eastAsia="zh-CN"/>
                            </w:rPr>
                            <w:t>70</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3" o:spid="_x0000_s1026" o:spt="202" type="#_x0000_t202" style="position:absolute;left:0pt;margin-top:0pt;height:17.5pt;width:90.05pt;mso-position-horizontal:center;mso-position-horizontal-relative:margin;mso-wrap-style:none;z-index:251660288;mso-width-relative:page;mso-height-relative:page;" filled="f" stroked="f" coordsize="21600,21600" o:gfxdata="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mfGDw0QAAAAQBAAAPAAAAAAAAAAEAIAAAACIAAABkcnMv&#10;ZG93bnJldi54bWxQSwECFAAUAAAACACHTuJAgAu4MAoCAAADBAAADgAAAAAAAAABACAAAAAgAQAA&#10;ZHJzL2Uyb0RvYy54bWxQSwUGAAAAAAYABgBZAQAAnAUAAAAA&#10;">
              <v:fill on="f" focussize="0,0"/>
              <v:stroke on="f"/>
              <v:imagedata o:title=""/>
              <o:lock v:ext="edit" aspectratio="f"/>
              <v:textbox inset="0mm,0mm,0mm,0mm" style="mso-fit-shape-to-text:t;">
                <w:txbxContent>
                  <w:p w14:paraId="20B0ABAC">
                    <w:pPr>
                      <w:pStyle w:val="31"/>
                      <w:ind w:firstLine="360"/>
                    </w:pPr>
                    <w:r>
                      <w:t xml:space="preserve">第 </w:t>
                    </w:r>
                    <w:r>
                      <w:fldChar w:fldCharType="begin"/>
                    </w:r>
                    <w:r>
                      <w:instrText xml:space="preserve"> PAGE  \* MERGEFORMAT </w:instrText>
                    </w:r>
                    <w:r>
                      <w:fldChar w:fldCharType="separate"/>
                    </w:r>
                    <w:r>
                      <w:rPr>
                        <w:lang w:val="en-US" w:eastAsia="zh-CN"/>
                      </w:rPr>
                      <w:t>2</w:t>
                    </w:r>
                    <w:r>
                      <w:fldChar w:fldCharType="end"/>
                    </w:r>
                    <w:r>
                      <w:t xml:space="preserve"> 页 共 </w:t>
                    </w:r>
                    <w:r>
                      <w:fldChar w:fldCharType="begin"/>
                    </w:r>
                    <w:r>
                      <w:instrText xml:space="preserve"> NUMPAGES  \* MERGEFORMAT </w:instrText>
                    </w:r>
                    <w:r>
                      <w:fldChar w:fldCharType="separate"/>
                    </w:r>
                    <w:r>
                      <w:rPr>
                        <w:lang w:val="en-US" w:eastAsia="zh-CN"/>
                      </w:rPr>
                      <w:t>70</w:t>
                    </w:r>
                    <w:r>
                      <w:fldChar w:fldCharType="end"/>
                    </w:r>
                    <w:r>
                      <w:t xml:space="preserve"> 页</w:t>
                    </w:r>
                  </w:p>
                </w:txbxContent>
              </v:textbox>
            </v:shape>
          </w:pict>
        </mc:Fallback>
      </mc:AlternateContent>
    </w:r>
  </w:p>
  <w:p w14:paraId="3928C8D8">
    <w:pPr>
      <w:pStyle w:val="31"/>
      <w:ind w:firstLine="0" w:firstLineChars="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5F889E">
    <w:pPr>
      <w:pStyle w:val="31"/>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3B805">
    <w:pPr>
      <w:pStyle w:val="3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BA860">
    <w:pPr>
      <w:pStyle w:val="31"/>
      <w:ind w:firstLine="0" w:firstLineChars="0"/>
      <w:rPr>
        <w:rFonts w:hint="eastAsia"/>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200785" cy="222250"/>
              <wp:effectExtent l="0" t="0" r="0" b="0"/>
              <wp:wrapNone/>
              <wp:docPr id="4" name="文本框 1026"/>
              <wp:cNvGraphicFramePr/>
              <a:graphic xmlns:a="http://schemas.openxmlformats.org/drawingml/2006/main">
                <a:graphicData uri="http://schemas.microsoft.com/office/word/2010/wordprocessingShape">
                  <wps:wsp>
                    <wps:cNvSpPr txBox="1">
                      <a:spLocks noChangeArrowheads="1"/>
                    </wps:cNvSpPr>
                    <wps:spPr bwMode="auto">
                      <a:xfrm>
                        <a:off x="0" y="0"/>
                        <a:ext cx="1200785" cy="222250"/>
                      </a:xfrm>
                      <a:prstGeom prst="rect">
                        <a:avLst/>
                      </a:prstGeom>
                      <a:noFill/>
                      <a:ln>
                        <a:noFill/>
                      </a:ln>
                      <a:effectLst/>
                    </wps:spPr>
                    <wps:txbx>
                      <w:txbxContent>
                        <w:p w14:paraId="19086EA6">
                          <w:pPr>
                            <w:pStyle w:val="31"/>
                            <w:ind w:firstLine="360"/>
                          </w:pPr>
                          <w:r>
                            <w:t xml:space="preserve">第 </w:t>
                          </w:r>
                          <w:r>
                            <w:fldChar w:fldCharType="begin"/>
                          </w:r>
                          <w:r>
                            <w:instrText xml:space="preserve"> PAGE  \* MERGEFORMAT </w:instrText>
                          </w:r>
                          <w:r>
                            <w:fldChar w:fldCharType="separate"/>
                          </w:r>
                          <w:r>
                            <w:rPr>
                              <w:lang w:val="en-US" w:eastAsia="zh-CN"/>
                            </w:rPr>
                            <w:t>69</w:t>
                          </w:r>
                          <w:r>
                            <w:fldChar w:fldCharType="end"/>
                          </w:r>
                          <w:r>
                            <w:t xml:space="preserve"> 页 共 </w:t>
                          </w:r>
                          <w:r>
                            <w:fldChar w:fldCharType="begin"/>
                          </w:r>
                          <w:r>
                            <w:instrText xml:space="preserve"> NUMPAGES  \* MERGEFORMAT </w:instrText>
                          </w:r>
                          <w:r>
                            <w:fldChar w:fldCharType="separate"/>
                          </w:r>
                          <w:r>
                            <w:rPr>
                              <w:lang w:val="en-US" w:eastAsia="zh-CN"/>
                            </w:rPr>
                            <w:t>71</w:t>
                          </w:r>
                          <w:r>
                            <w:fldChar w:fldCharType="end"/>
                          </w:r>
                          <w:r>
                            <w:t xml:space="preserve"> 页</w:t>
                          </w:r>
                        </w:p>
                      </w:txbxContent>
                    </wps:txbx>
                    <wps:bodyPr rot="0" vert="horz" wrap="none" lIns="0" tIns="0" rIns="0" bIns="0" anchor="t" anchorCtr="0" upright="1">
                      <a:spAutoFit/>
                    </wps:bodyPr>
                  </wps:wsp>
                </a:graphicData>
              </a:graphic>
            </wp:anchor>
          </w:drawing>
        </mc:Choice>
        <mc:Fallback>
          <w:pict>
            <v:shape id="文本框 1026" o:spid="_x0000_s1026" o:spt="202" type="#_x0000_t202" style="position:absolute;left:0pt;margin-top:0pt;height:17.5pt;width:94.55pt;mso-position-horizontal:center;mso-position-horizontal-relative:margin;mso-wrap-style:none;z-index:251661312;mso-width-relative:page;mso-height-relative:page;" filled="f" stroked="f" coordsize="21600,21600" o:gfxdata="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FNpevzSAAAABAEAAA8AAAAAAAAAAQAgAAAA&#10;IgAAAGRycy9kb3ducmV2LnhtbFBLAQIUABQAAAAIAIdO4kAhmKj5EQIAABQEAAAOAAAAAAAAAAEA&#10;IAAAACEBAABkcnMvZTJvRG9jLnhtbFBLBQYAAAAABgAGAFkBAACkBQAAAAA=&#10;">
              <v:fill on="f" focussize="0,0"/>
              <v:stroke on="f"/>
              <v:imagedata o:title=""/>
              <o:lock v:ext="edit" aspectratio="f"/>
              <v:textbox inset="0mm,0mm,0mm,0mm" style="mso-fit-shape-to-text:t;">
                <w:txbxContent>
                  <w:p w14:paraId="19086EA6">
                    <w:pPr>
                      <w:pStyle w:val="31"/>
                      <w:ind w:firstLine="360"/>
                    </w:pPr>
                    <w:r>
                      <w:t xml:space="preserve">第 </w:t>
                    </w:r>
                    <w:r>
                      <w:fldChar w:fldCharType="begin"/>
                    </w:r>
                    <w:r>
                      <w:instrText xml:space="preserve"> PAGE  \* MERGEFORMAT </w:instrText>
                    </w:r>
                    <w:r>
                      <w:fldChar w:fldCharType="separate"/>
                    </w:r>
                    <w:r>
                      <w:rPr>
                        <w:lang w:val="en-US" w:eastAsia="zh-CN"/>
                      </w:rPr>
                      <w:t>69</w:t>
                    </w:r>
                    <w:r>
                      <w:fldChar w:fldCharType="end"/>
                    </w:r>
                    <w:r>
                      <w:t xml:space="preserve"> 页 共 </w:t>
                    </w:r>
                    <w:r>
                      <w:fldChar w:fldCharType="begin"/>
                    </w:r>
                    <w:r>
                      <w:instrText xml:space="preserve"> NUMPAGES  \* MERGEFORMAT </w:instrText>
                    </w:r>
                    <w:r>
                      <w:fldChar w:fldCharType="separate"/>
                    </w:r>
                    <w:r>
                      <w:rPr>
                        <w:lang w:val="en-US" w:eastAsia="zh-CN"/>
                      </w:rPr>
                      <w:t>71</w:t>
                    </w:r>
                    <w:r>
                      <w:fldChar w:fldCharType="end"/>
                    </w:r>
                    <w:r>
                      <w:t xml:space="preserve"> 页</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0</wp:posOffset>
              </wp:positionV>
              <wp:extent cx="381635" cy="427355"/>
              <wp:effectExtent l="0" t="0" r="0" b="0"/>
              <wp:wrapNone/>
              <wp:docPr id="2" name="文本框 1025"/>
              <wp:cNvGraphicFramePr/>
              <a:graphic xmlns:a="http://schemas.openxmlformats.org/drawingml/2006/main">
                <a:graphicData uri="http://schemas.microsoft.com/office/word/2010/wordprocessingShape">
                  <wps:wsp>
                    <wps:cNvSpPr txBox="1">
                      <a:spLocks noChangeArrowheads="1"/>
                    </wps:cNvSpPr>
                    <wps:spPr bwMode="auto">
                      <a:xfrm>
                        <a:off x="0" y="0"/>
                        <a:ext cx="381635" cy="427355"/>
                      </a:xfrm>
                      <a:prstGeom prst="rect">
                        <a:avLst/>
                      </a:prstGeom>
                      <a:noFill/>
                      <a:ln>
                        <a:noFill/>
                      </a:ln>
                    </wps:spPr>
                    <wps:txbx>
                      <w:txbxContent>
                        <w:p w14:paraId="14F4156D">
                          <w:pPr>
                            <w:pStyle w:val="31"/>
                            <w:ind w:firstLine="0" w:firstLineChars="0"/>
                          </w:pPr>
                        </w:p>
                        <w:p w14:paraId="1AE5962C">
                          <w:pPr>
                            <w:ind w:firstLine="420"/>
                          </w:pPr>
                        </w:p>
                      </w:txbxContent>
                    </wps:txbx>
                    <wps:bodyPr rot="0" vert="horz" wrap="none" lIns="0" tIns="0" rIns="0" bIns="0" anchor="t" anchorCtr="0" upright="1">
                      <a:spAutoFit/>
                    </wps:bodyPr>
                  </wps:wsp>
                </a:graphicData>
              </a:graphic>
            </wp:anchor>
          </w:drawing>
        </mc:Choice>
        <mc:Fallback>
          <w:pict>
            <v:shape id="文本框 1025" o:spid="_x0000_s1026" o:spt="202" type="#_x0000_t202" style="position:absolute;left:0pt;margin-top:0pt;height:33.65pt;width:30.05pt;mso-position-horizontal:left;mso-position-horizontal-relative:margin;mso-wrap-style:none;z-index:251659264;mso-width-relative:page;mso-height-relative:page;" filled="f" stroked="f" coordsize="21600,21600" o:gfxdata="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NyrYqzQAAAAAwEAAA8AAAAAAAAAAQAgAAAAIgAAAGRy&#10;cy9kb3ducmV2LnhtbFBLAQIUABQAAAAIAIdO4kD526tdDQIAAAUEAAAOAAAAAAAAAAEAIAAAAB8B&#10;AABkcnMvZTJvRG9jLnhtbFBLBQYAAAAABgAGAFkBAACeBQAAAAA=&#10;">
              <v:fill on="f" focussize="0,0"/>
              <v:stroke on="f"/>
              <v:imagedata o:title=""/>
              <o:lock v:ext="edit" aspectratio="f"/>
              <v:textbox inset="0mm,0mm,0mm,0mm" style="mso-fit-shape-to-text:t;">
                <w:txbxContent>
                  <w:p w14:paraId="14F4156D">
                    <w:pPr>
                      <w:pStyle w:val="31"/>
                      <w:ind w:firstLine="0" w:firstLineChars="0"/>
                    </w:pPr>
                  </w:p>
                  <w:p w14:paraId="1AE5962C">
                    <w:pPr>
                      <w:ind w:firstLine="42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40CC3">
    <w:pPr>
      <w:pStyle w:val="32"/>
      <w:pBdr>
        <w:bottom w:val="none" w:color="auto" w:sz="0" w:space="0"/>
      </w:pBdr>
      <w:ind w:firstLine="0" w:firstLineChars="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BC926">
    <w:pPr>
      <w:pStyle w:val="3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B188C4">
    <w:pPr>
      <w:pStyle w:val="32"/>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8D88C">
    <w:pPr>
      <w:pStyle w:val="32"/>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2492C">
    <w:pPr>
      <w:pStyle w:val="32"/>
      <w:ind w:firstLine="360"/>
      <w:jc w:val="left"/>
    </w:pPr>
    <w:r>
      <w:drawing>
        <wp:inline distT="0" distB="0" distL="0" distR="0">
          <wp:extent cx="676275" cy="266700"/>
          <wp:effectExtent l="0" t="0" r="0" b="0"/>
          <wp:docPr id="3" name="图片 10" descr="轨道公司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0" descr="轨道公司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676275" cy="266700"/>
                  </a:xfrm>
                  <a:prstGeom prst="rect">
                    <a:avLst/>
                  </a:prstGeom>
                  <a:noFill/>
                  <a:ln>
                    <a:noFill/>
                  </a:ln>
                </pic:spPr>
              </pic:pic>
            </a:graphicData>
          </a:graphic>
        </wp:inline>
      </w:drawing>
    </w:r>
    <w:r>
      <w:rPr>
        <w:rFonts w:hint="eastAsia"/>
      </w:rPr>
      <w:t>南昌市轨道交通1号线一期工程电梯采购及安装项目招标文件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4ED3A82"/>
    <w:multiLevelType w:val="multilevel"/>
    <w:tmpl w:val="04ED3A82"/>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0AC4DA9"/>
    <w:multiLevelType w:val="multilevel"/>
    <w:tmpl w:val="10AC4DA9"/>
    <w:lvl w:ilvl="0" w:tentative="0">
      <w:start w:val="1"/>
      <w:numFmt w:val="decimal"/>
      <w:lvlText w:val="%1、"/>
      <w:lvlJc w:val="left"/>
      <w:pPr>
        <w:ind w:left="0" w:firstLine="0"/>
      </w:pPr>
      <w:rPr>
        <w:rFonts w:hint="default"/>
      </w:rPr>
    </w:lvl>
    <w:lvl w:ilvl="1" w:tentative="0">
      <w:start w:val="2"/>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2">
    <w:nsid w:val="17456AA5"/>
    <w:multiLevelType w:val="multilevel"/>
    <w:tmpl w:val="17456AA5"/>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3">
    <w:nsid w:val="421304F6"/>
    <w:multiLevelType w:val="multilevel"/>
    <w:tmpl w:val="421304F6"/>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b w:val="0"/>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abstractNum w:abstractNumId="4">
    <w:nsid w:val="59B55058"/>
    <w:multiLevelType w:val="multilevel"/>
    <w:tmpl w:val="59B55058"/>
    <w:lvl w:ilvl="0" w:tentative="0">
      <w:start w:val="1"/>
      <w:numFmt w:val="decimal"/>
      <w:lvlText w:val="%1、"/>
      <w:lvlJc w:val="left"/>
      <w:pPr>
        <w:ind w:left="709" w:hanging="425"/>
      </w:pPr>
      <w:rPr>
        <w:rFonts w:hint="eastAsia"/>
      </w:rPr>
    </w:lvl>
    <w:lvl w:ilvl="1" w:tentative="0">
      <w:start w:val="1"/>
      <w:numFmt w:val="decimal"/>
      <w:lvlText w:val="%1.%2"/>
      <w:lvlJc w:val="left"/>
      <w:pPr>
        <w:ind w:left="851" w:hanging="567"/>
      </w:pPr>
      <w:rPr>
        <w:rFonts w:hint="eastAsia"/>
      </w:rPr>
    </w:lvl>
    <w:lvl w:ilvl="2" w:tentative="0">
      <w:start w:val="1"/>
      <w:numFmt w:val="decimal"/>
      <w:lvlText w:val="%1.%2.%3"/>
      <w:lvlJc w:val="left"/>
      <w:pPr>
        <w:ind w:left="993" w:hanging="709"/>
      </w:pPr>
      <w:rPr>
        <w:rFonts w:hint="eastAsia"/>
      </w:rPr>
    </w:lvl>
    <w:lvl w:ilvl="3" w:tentative="0">
      <w:start w:val="1"/>
      <w:numFmt w:val="decimal"/>
      <w:lvlText w:val="%1.%2.%3.%4"/>
      <w:lvlJc w:val="left"/>
      <w:pPr>
        <w:ind w:left="1135" w:hanging="851"/>
      </w:pPr>
      <w:rPr>
        <w:rFonts w:hint="eastAsia"/>
      </w:rPr>
    </w:lvl>
    <w:lvl w:ilvl="4" w:tentative="0">
      <w:start w:val="1"/>
      <w:numFmt w:val="decimal"/>
      <w:lvlText w:val="%1.%2.%3.%4.%5."/>
      <w:lvlJc w:val="left"/>
      <w:pPr>
        <w:ind w:left="1276" w:hanging="992"/>
      </w:pPr>
      <w:rPr>
        <w:rFonts w:hint="eastAsia"/>
      </w:rPr>
    </w:lvl>
    <w:lvl w:ilvl="5" w:tentative="0">
      <w:start w:val="1"/>
      <w:numFmt w:val="decimal"/>
      <w:lvlText w:val="%1.%2.%3.%4.%5.%6."/>
      <w:lvlJc w:val="left"/>
      <w:pPr>
        <w:ind w:left="1418" w:hanging="1134"/>
      </w:pPr>
      <w:rPr>
        <w:rFonts w:hint="eastAsia"/>
      </w:rPr>
    </w:lvl>
    <w:lvl w:ilvl="6" w:tentative="0">
      <w:start w:val="1"/>
      <w:numFmt w:val="decimal"/>
      <w:lvlText w:val="%1.%2.%3.%4.%5.%6.%7."/>
      <w:lvlJc w:val="left"/>
      <w:pPr>
        <w:ind w:left="1560" w:hanging="1276"/>
      </w:pPr>
      <w:rPr>
        <w:rFonts w:hint="eastAsia"/>
      </w:rPr>
    </w:lvl>
    <w:lvl w:ilvl="7" w:tentative="0">
      <w:start w:val="1"/>
      <w:numFmt w:val="decimal"/>
      <w:lvlText w:val="%1.%2.%3.%4.%5.%6.%7.%8."/>
      <w:lvlJc w:val="left"/>
      <w:pPr>
        <w:ind w:left="1702" w:hanging="1418"/>
      </w:pPr>
      <w:rPr>
        <w:rFonts w:hint="eastAsia"/>
      </w:rPr>
    </w:lvl>
    <w:lvl w:ilvl="8" w:tentative="0">
      <w:start w:val="1"/>
      <w:numFmt w:val="decimal"/>
      <w:lvlText w:val="%1.%2.%3.%4.%5.%6.%7.%8.%9."/>
      <w:lvlJc w:val="left"/>
      <w:pPr>
        <w:ind w:left="1843" w:hanging="1559"/>
      </w:pPr>
      <w:rPr>
        <w:rFonts w:hint="eastAsia"/>
      </w:rPr>
    </w:lvl>
  </w:abstractNum>
  <w:abstractNum w:abstractNumId="5">
    <w:nsid w:val="687F1834"/>
    <w:multiLevelType w:val="multilevel"/>
    <w:tmpl w:val="687F1834"/>
    <w:lvl w:ilvl="0" w:tentative="0">
      <w:start w:val="1"/>
      <w:numFmt w:val="decimal"/>
      <w:lvlText w:val="%1、"/>
      <w:lvlJc w:val="left"/>
      <w:pPr>
        <w:ind w:left="0" w:firstLine="0"/>
      </w:pPr>
      <w:rPr>
        <w:rFonts w:hint="default"/>
      </w:rPr>
    </w:lvl>
    <w:lvl w:ilvl="1" w:tentative="0">
      <w:start w:val="1"/>
      <w:numFmt w:val="decimal"/>
      <w:isLgl/>
      <w:lvlText w:val="%1.%2"/>
      <w:lvlJc w:val="left"/>
      <w:pPr>
        <w:ind w:left="0" w:firstLine="0"/>
      </w:pPr>
      <w:rPr>
        <w:rFonts w:hint="default"/>
        <w:b w:val="0"/>
      </w:rPr>
    </w:lvl>
    <w:lvl w:ilvl="2" w:tentative="0">
      <w:start w:val="1"/>
      <w:numFmt w:val="decimal"/>
      <w:isLgl/>
      <w:lvlText w:val="%1.%2.%3"/>
      <w:lvlJc w:val="left"/>
      <w:pPr>
        <w:ind w:left="0" w:firstLine="0"/>
      </w:pPr>
      <w:rPr>
        <w:rFonts w:hint="default"/>
      </w:rPr>
    </w:lvl>
    <w:lvl w:ilvl="3" w:tentative="0">
      <w:start w:val="1"/>
      <w:numFmt w:val="decimal"/>
      <w:isLgl/>
      <w:lvlText w:val="%1.%2.%3.%4"/>
      <w:lvlJc w:val="left"/>
      <w:pPr>
        <w:ind w:left="0" w:firstLine="0"/>
      </w:pPr>
      <w:rPr>
        <w:rFonts w:hint="default"/>
      </w:rPr>
    </w:lvl>
    <w:lvl w:ilvl="4" w:tentative="0">
      <w:start w:val="1"/>
      <w:numFmt w:val="decimal"/>
      <w:isLgl/>
      <w:lvlText w:val="%1.%2.%3.%4.%5"/>
      <w:lvlJc w:val="left"/>
      <w:pPr>
        <w:ind w:left="0" w:firstLine="0"/>
      </w:pPr>
      <w:rPr>
        <w:rFonts w:hint="default"/>
      </w:rPr>
    </w:lvl>
    <w:lvl w:ilvl="5" w:tentative="0">
      <w:start w:val="1"/>
      <w:numFmt w:val="decimal"/>
      <w:isLgl/>
      <w:lvlText w:val="%1.%2.%3.%4.%5.%6"/>
      <w:lvlJc w:val="left"/>
      <w:pPr>
        <w:ind w:left="0" w:firstLine="0"/>
      </w:pPr>
      <w:rPr>
        <w:rFonts w:hint="default"/>
      </w:rPr>
    </w:lvl>
    <w:lvl w:ilvl="6" w:tentative="0">
      <w:start w:val="1"/>
      <w:numFmt w:val="decimal"/>
      <w:isLgl/>
      <w:lvlText w:val="%1.%2.%3.%4.%5.%6.%7"/>
      <w:lvlJc w:val="left"/>
      <w:pPr>
        <w:ind w:left="0" w:firstLine="0"/>
      </w:pPr>
      <w:rPr>
        <w:rFonts w:hint="default"/>
      </w:rPr>
    </w:lvl>
    <w:lvl w:ilvl="7" w:tentative="0">
      <w:start w:val="1"/>
      <w:numFmt w:val="decimal"/>
      <w:isLgl/>
      <w:lvlText w:val="%1.%2.%3.%4.%5.%6.%7.%8"/>
      <w:lvlJc w:val="left"/>
      <w:pPr>
        <w:ind w:left="0" w:firstLine="0"/>
      </w:pPr>
      <w:rPr>
        <w:rFonts w:hint="default"/>
      </w:rPr>
    </w:lvl>
    <w:lvl w:ilvl="8" w:tentative="0">
      <w:start w:val="1"/>
      <w:numFmt w:val="decimal"/>
      <w:isLgl/>
      <w:lvlText w:val="%1.%2.%3.%4.%5.%6.%7.%8.%9"/>
      <w:lvlJc w:val="left"/>
      <w:pPr>
        <w:ind w:left="0" w:firstLine="0"/>
      </w:pPr>
      <w:rPr>
        <w:rFonts w:hint="default"/>
      </w:rPr>
    </w:lvl>
  </w:abstractNum>
  <w:abstractNum w:abstractNumId="6">
    <w:nsid w:val="7F703CE0"/>
    <w:multiLevelType w:val="multilevel"/>
    <w:tmpl w:val="7F703CE0"/>
    <w:lvl w:ilvl="0" w:tentative="0">
      <w:start w:val="1"/>
      <w:numFmt w:val="decimal"/>
      <w:lvlText w:val="%1、"/>
      <w:lvlJc w:val="left"/>
      <w:pPr>
        <w:ind w:left="0" w:firstLine="0"/>
      </w:pPr>
      <w:rPr>
        <w:rFonts w:hint="eastAsia"/>
      </w:rPr>
    </w:lvl>
    <w:lvl w:ilvl="1" w:tentative="0">
      <w:start w:val="1"/>
      <w:numFmt w:val="decimal"/>
      <w:lvlText w:val="%1.%2"/>
      <w:lvlJc w:val="left"/>
      <w:pPr>
        <w:ind w:left="0" w:firstLine="0"/>
      </w:pPr>
      <w:rPr>
        <w:rFonts w:hint="eastAsia"/>
        <w:b w:val="0"/>
      </w:rPr>
    </w:lvl>
    <w:lvl w:ilvl="2" w:tentative="0">
      <w:start w:val="1"/>
      <w:numFmt w:val="decimal"/>
      <w:lvlText w:val="%1.%2.%3"/>
      <w:lvlJc w:val="left"/>
      <w:pPr>
        <w:ind w:left="0" w:firstLine="0"/>
      </w:pPr>
      <w:rPr>
        <w:rFonts w:hint="eastAsia"/>
      </w:rPr>
    </w:lvl>
    <w:lvl w:ilvl="3" w:tentative="0">
      <w:start w:val="1"/>
      <w:numFmt w:val="decimal"/>
      <w:lvlText w:val="%1.%2.%3.%4"/>
      <w:lvlJc w:val="left"/>
      <w:pPr>
        <w:ind w:left="0" w:firstLine="0"/>
      </w:pPr>
      <w:rPr>
        <w:rFonts w:hint="eastAsia"/>
      </w:rPr>
    </w:lvl>
    <w:lvl w:ilvl="4" w:tentative="0">
      <w:start w:val="1"/>
      <w:numFmt w:val="decimal"/>
      <w:lvlText w:val="%1.%2.%3.%4.%5."/>
      <w:lvlJc w:val="left"/>
      <w:pPr>
        <w:ind w:left="0" w:firstLine="0"/>
      </w:pPr>
      <w:rPr>
        <w:rFonts w:hint="eastAsia"/>
      </w:rPr>
    </w:lvl>
    <w:lvl w:ilvl="5" w:tentative="0">
      <w:start w:val="1"/>
      <w:numFmt w:val="decimal"/>
      <w:lvlText w:val="%1.%2.%3.%4.%5.%6."/>
      <w:lvlJc w:val="left"/>
      <w:pPr>
        <w:ind w:left="0" w:firstLine="0"/>
      </w:pPr>
      <w:rPr>
        <w:rFonts w:hint="eastAsia"/>
      </w:rPr>
    </w:lvl>
    <w:lvl w:ilvl="6" w:tentative="0">
      <w:start w:val="1"/>
      <w:numFmt w:val="decimal"/>
      <w:lvlText w:val="%1.%2.%3.%4.%5.%6.%7."/>
      <w:lvlJc w:val="left"/>
      <w:pPr>
        <w:ind w:left="0" w:firstLine="0"/>
      </w:pPr>
      <w:rPr>
        <w:rFonts w:hint="eastAsia"/>
      </w:rPr>
    </w:lvl>
    <w:lvl w:ilvl="7" w:tentative="0">
      <w:start w:val="1"/>
      <w:numFmt w:val="decimal"/>
      <w:lvlText w:val="%1.%2.%3.%4.%5.%6.%7.%8."/>
      <w:lvlJc w:val="left"/>
      <w:pPr>
        <w:ind w:left="0" w:firstLine="0"/>
      </w:pPr>
      <w:rPr>
        <w:rFonts w:hint="eastAsia"/>
      </w:rPr>
    </w:lvl>
    <w:lvl w:ilvl="8" w:tentative="0">
      <w:start w:val="1"/>
      <w:numFmt w:val="decimal"/>
      <w:lvlText w:val="%1.%2.%3.%4.%5.%6.%7.%8.%9."/>
      <w:lvlJc w:val="left"/>
      <w:pPr>
        <w:ind w:left="0" w:firstLine="0"/>
      </w:pPr>
      <w:rPr>
        <w:rFonts w:hint="eastAsia"/>
      </w:rPr>
    </w:lvl>
  </w:abstractNum>
  <w:num w:numId="1">
    <w:abstractNumId w:val="0"/>
  </w:num>
  <w:num w:numId="2">
    <w:abstractNumId w:val="4"/>
  </w:num>
  <w:num w:numId="3">
    <w:abstractNumId w:val="2"/>
  </w:num>
  <w:num w:numId="4">
    <w:abstractNumId w:val="6"/>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210"/>
  <w:drawingGridHorizontalSpacing w:val="105"/>
  <w:drawingGridVerticalSpacing w:val="156"/>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2ZWExMDIwMTAyNTlkY2I3MDQ0MGE2NzkwYzQ5NGQifQ=="/>
  </w:docVars>
  <w:rsids>
    <w:rsidRoot w:val="00172A27"/>
    <w:rsid w:val="00000EA6"/>
    <w:rsid w:val="00000EEA"/>
    <w:rsid w:val="000024E0"/>
    <w:rsid w:val="00002620"/>
    <w:rsid w:val="000040EE"/>
    <w:rsid w:val="00004927"/>
    <w:rsid w:val="00005535"/>
    <w:rsid w:val="0000649A"/>
    <w:rsid w:val="00006612"/>
    <w:rsid w:val="00007D34"/>
    <w:rsid w:val="00007E10"/>
    <w:rsid w:val="00007F87"/>
    <w:rsid w:val="00010405"/>
    <w:rsid w:val="000104A4"/>
    <w:rsid w:val="00010849"/>
    <w:rsid w:val="0001132F"/>
    <w:rsid w:val="000115B0"/>
    <w:rsid w:val="000127DC"/>
    <w:rsid w:val="00012F50"/>
    <w:rsid w:val="0001436B"/>
    <w:rsid w:val="000149AE"/>
    <w:rsid w:val="0001510A"/>
    <w:rsid w:val="00015990"/>
    <w:rsid w:val="00015A7A"/>
    <w:rsid w:val="00016654"/>
    <w:rsid w:val="000168C5"/>
    <w:rsid w:val="00017578"/>
    <w:rsid w:val="0002064D"/>
    <w:rsid w:val="00021009"/>
    <w:rsid w:val="0002143C"/>
    <w:rsid w:val="00021443"/>
    <w:rsid w:val="000218DE"/>
    <w:rsid w:val="00022817"/>
    <w:rsid w:val="000241C7"/>
    <w:rsid w:val="000263B5"/>
    <w:rsid w:val="00026910"/>
    <w:rsid w:val="000272F5"/>
    <w:rsid w:val="00027A6B"/>
    <w:rsid w:val="00027EC0"/>
    <w:rsid w:val="00030068"/>
    <w:rsid w:val="000316AB"/>
    <w:rsid w:val="00031B9F"/>
    <w:rsid w:val="00031F7E"/>
    <w:rsid w:val="00032258"/>
    <w:rsid w:val="00032881"/>
    <w:rsid w:val="00032BCD"/>
    <w:rsid w:val="0003334F"/>
    <w:rsid w:val="00034755"/>
    <w:rsid w:val="0003478E"/>
    <w:rsid w:val="0003488D"/>
    <w:rsid w:val="00034DFF"/>
    <w:rsid w:val="00034EEC"/>
    <w:rsid w:val="000355DE"/>
    <w:rsid w:val="00037C09"/>
    <w:rsid w:val="00037D5D"/>
    <w:rsid w:val="00037DA6"/>
    <w:rsid w:val="00040403"/>
    <w:rsid w:val="0004104D"/>
    <w:rsid w:val="00041762"/>
    <w:rsid w:val="000417E5"/>
    <w:rsid w:val="00044AC6"/>
    <w:rsid w:val="000456FE"/>
    <w:rsid w:val="000458A3"/>
    <w:rsid w:val="000467DB"/>
    <w:rsid w:val="00046B5A"/>
    <w:rsid w:val="00047A9B"/>
    <w:rsid w:val="0005009A"/>
    <w:rsid w:val="00051A43"/>
    <w:rsid w:val="000521B6"/>
    <w:rsid w:val="00052428"/>
    <w:rsid w:val="000525C6"/>
    <w:rsid w:val="00052683"/>
    <w:rsid w:val="00052B49"/>
    <w:rsid w:val="00053664"/>
    <w:rsid w:val="00054131"/>
    <w:rsid w:val="00054FB1"/>
    <w:rsid w:val="000550B3"/>
    <w:rsid w:val="000559C9"/>
    <w:rsid w:val="00055BB0"/>
    <w:rsid w:val="00056805"/>
    <w:rsid w:val="000574F4"/>
    <w:rsid w:val="00057B99"/>
    <w:rsid w:val="00057C33"/>
    <w:rsid w:val="0006123F"/>
    <w:rsid w:val="00061BFB"/>
    <w:rsid w:val="0006271F"/>
    <w:rsid w:val="000627A4"/>
    <w:rsid w:val="000629EE"/>
    <w:rsid w:val="00062C6D"/>
    <w:rsid w:val="00064C99"/>
    <w:rsid w:val="0006568B"/>
    <w:rsid w:val="00066198"/>
    <w:rsid w:val="00066662"/>
    <w:rsid w:val="00066A2B"/>
    <w:rsid w:val="00066CD3"/>
    <w:rsid w:val="000679A5"/>
    <w:rsid w:val="00070264"/>
    <w:rsid w:val="000714CE"/>
    <w:rsid w:val="000715B2"/>
    <w:rsid w:val="00071D71"/>
    <w:rsid w:val="00072DF7"/>
    <w:rsid w:val="00073034"/>
    <w:rsid w:val="00073394"/>
    <w:rsid w:val="00074BD9"/>
    <w:rsid w:val="00077ED7"/>
    <w:rsid w:val="00080897"/>
    <w:rsid w:val="000808D3"/>
    <w:rsid w:val="00080A86"/>
    <w:rsid w:val="00082212"/>
    <w:rsid w:val="0008249F"/>
    <w:rsid w:val="00083986"/>
    <w:rsid w:val="0008655B"/>
    <w:rsid w:val="000903FB"/>
    <w:rsid w:val="0009102D"/>
    <w:rsid w:val="000910F1"/>
    <w:rsid w:val="00092B9C"/>
    <w:rsid w:val="00093CD6"/>
    <w:rsid w:val="0009430E"/>
    <w:rsid w:val="00094FA8"/>
    <w:rsid w:val="00095872"/>
    <w:rsid w:val="00095E2A"/>
    <w:rsid w:val="00096C0E"/>
    <w:rsid w:val="000A069B"/>
    <w:rsid w:val="000A070D"/>
    <w:rsid w:val="000A39D5"/>
    <w:rsid w:val="000A3F78"/>
    <w:rsid w:val="000A3FD7"/>
    <w:rsid w:val="000A3FF7"/>
    <w:rsid w:val="000A42DF"/>
    <w:rsid w:val="000A43B3"/>
    <w:rsid w:val="000A4A5F"/>
    <w:rsid w:val="000A4BE6"/>
    <w:rsid w:val="000A525C"/>
    <w:rsid w:val="000A5CAC"/>
    <w:rsid w:val="000A6170"/>
    <w:rsid w:val="000A61C9"/>
    <w:rsid w:val="000A6A4B"/>
    <w:rsid w:val="000A6D8F"/>
    <w:rsid w:val="000A7807"/>
    <w:rsid w:val="000B06D8"/>
    <w:rsid w:val="000B0C1C"/>
    <w:rsid w:val="000B1345"/>
    <w:rsid w:val="000B1C0F"/>
    <w:rsid w:val="000B203C"/>
    <w:rsid w:val="000B27F2"/>
    <w:rsid w:val="000B2CE1"/>
    <w:rsid w:val="000B3E79"/>
    <w:rsid w:val="000B3F10"/>
    <w:rsid w:val="000B4140"/>
    <w:rsid w:val="000B47C2"/>
    <w:rsid w:val="000B4CEC"/>
    <w:rsid w:val="000B717F"/>
    <w:rsid w:val="000C042A"/>
    <w:rsid w:val="000C0A57"/>
    <w:rsid w:val="000C17DA"/>
    <w:rsid w:val="000C1A77"/>
    <w:rsid w:val="000C23BF"/>
    <w:rsid w:val="000C2533"/>
    <w:rsid w:val="000C27C3"/>
    <w:rsid w:val="000C31B8"/>
    <w:rsid w:val="000C37CC"/>
    <w:rsid w:val="000C3E0E"/>
    <w:rsid w:val="000C4A36"/>
    <w:rsid w:val="000C4DA1"/>
    <w:rsid w:val="000C4F6C"/>
    <w:rsid w:val="000C5D07"/>
    <w:rsid w:val="000C7830"/>
    <w:rsid w:val="000D0220"/>
    <w:rsid w:val="000D05ED"/>
    <w:rsid w:val="000D12FA"/>
    <w:rsid w:val="000D13C3"/>
    <w:rsid w:val="000D16BE"/>
    <w:rsid w:val="000D21BA"/>
    <w:rsid w:val="000D2823"/>
    <w:rsid w:val="000D2ADD"/>
    <w:rsid w:val="000D34BF"/>
    <w:rsid w:val="000D355D"/>
    <w:rsid w:val="000D37BB"/>
    <w:rsid w:val="000D473A"/>
    <w:rsid w:val="000D4C76"/>
    <w:rsid w:val="000D5169"/>
    <w:rsid w:val="000D5FD1"/>
    <w:rsid w:val="000D6A89"/>
    <w:rsid w:val="000D6DFE"/>
    <w:rsid w:val="000D6E29"/>
    <w:rsid w:val="000D6FF0"/>
    <w:rsid w:val="000E0369"/>
    <w:rsid w:val="000E050E"/>
    <w:rsid w:val="000E1458"/>
    <w:rsid w:val="000E312E"/>
    <w:rsid w:val="000E3AC4"/>
    <w:rsid w:val="000E3C44"/>
    <w:rsid w:val="000E3FAC"/>
    <w:rsid w:val="000E404E"/>
    <w:rsid w:val="000E4113"/>
    <w:rsid w:val="000E6BD6"/>
    <w:rsid w:val="000E72C8"/>
    <w:rsid w:val="000E7AE1"/>
    <w:rsid w:val="000F011D"/>
    <w:rsid w:val="000F1DA5"/>
    <w:rsid w:val="000F2097"/>
    <w:rsid w:val="000F25E2"/>
    <w:rsid w:val="000F3181"/>
    <w:rsid w:val="000F3266"/>
    <w:rsid w:val="000F356D"/>
    <w:rsid w:val="000F3DF1"/>
    <w:rsid w:val="000F6454"/>
    <w:rsid w:val="000F73CB"/>
    <w:rsid w:val="0010019F"/>
    <w:rsid w:val="00100506"/>
    <w:rsid w:val="00100FA0"/>
    <w:rsid w:val="00101788"/>
    <w:rsid w:val="00101D33"/>
    <w:rsid w:val="001020DF"/>
    <w:rsid w:val="001026E1"/>
    <w:rsid w:val="00102796"/>
    <w:rsid w:val="0010577C"/>
    <w:rsid w:val="001065B2"/>
    <w:rsid w:val="001069A6"/>
    <w:rsid w:val="00106A66"/>
    <w:rsid w:val="001073E7"/>
    <w:rsid w:val="001074D8"/>
    <w:rsid w:val="001077DC"/>
    <w:rsid w:val="00107AFF"/>
    <w:rsid w:val="00112004"/>
    <w:rsid w:val="0011204C"/>
    <w:rsid w:val="0011281C"/>
    <w:rsid w:val="00114BEC"/>
    <w:rsid w:val="001212A7"/>
    <w:rsid w:val="001219F6"/>
    <w:rsid w:val="00121A38"/>
    <w:rsid w:val="00123106"/>
    <w:rsid w:val="001234B6"/>
    <w:rsid w:val="00123BBF"/>
    <w:rsid w:val="001245AF"/>
    <w:rsid w:val="00124E0A"/>
    <w:rsid w:val="00125CBE"/>
    <w:rsid w:val="0012698A"/>
    <w:rsid w:val="00127234"/>
    <w:rsid w:val="001272B8"/>
    <w:rsid w:val="001300A6"/>
    <w:rsid w:val="00130D96"/>
    <w:rsid w:val="001314CD"/>
    <w:rsid w:val="00131E9F"/>
    <w:rsid w:val="001332D5"/>
    <w:rsid w:val="00133EBE"/>
    <w:rsid w:val="00134555"/>
    <w:rsid w:val="00135289"/>
    <w:rsid w:val="00136179"/>
    <w:rsid w:val="00136613"/>
    <w:rsid w:val="00136D19"/>
    <w:rsid w:val="00137B4D"/>
    <w:rsid w:val="001402F9"/>
    <w:rsid w:val="00141814"/>
    <w:rsid w:val="00141CD5"/>
    <w:rsid w:val="00142CB4"/>
    <w:rsid w:val="001430D8"/>
    <w:rsid w:val="001456F1"/>
    <w:rsid w:val="0014584F"/>
    <w:rsid w:val="00145B2A"/>
    <w:rsid w:val="00145C80"/>
    <w:rsid w:val="00147284"/>
    <w:rsid w:val="0014748F"/>
    <w:rsid w:val="00147BC3"/>
    <w:rsid w:val="00150FD0"/>
    <w:rsid w:val="00151249"/>
    <w:rsid w:val="001514C5"/>
    <w:rsid w:val="00152026"/>
    <w:rsid w:val="00152A6D"/>
    <w:rsid w:val="00152DD3"/>
    <w:rsid w:val="00153A91"/>
    <w:rsid w:val="00153FCE"/>
    <w:rsid w:val="00154BE0"/>
    <w:rsid w:val="001550CE"/>
    <w:rsid w:val="00155245"/>
    <w:rsid w:val="0015797A"/>
    <w:rsid w:val="00157A50"/>
    <w:rsid w:val="00157E3F"/>
    <w:rsid w:val="001610E0"/>
    <w:rsid w:val="0016125D"/>
    <w:rsid w:val="001613E5"/>
    <w:rsid w:val="00161816"/>
    <w:rsid w:val="00162196"/>
    <w:rsid w:val="001624B6"/>
    <w:rsid w:val="001626FC"/>
    <w:rsid w:val="00162C0C"/>
    <w:rsid w:val="00162E32"/>
    <w:rsid w:val="001634F7"/>
    <w:rsid w:val="00164D6B"/>
    <w:rsid w:val="00165A42"/>
    <w:rsid w:val="00165FAB"/>
    <w:rsid w:val="00166609"/>
    <w:rsid w:val="00166BB3"/>
    <w:rsid w:val="001670E3"/>
    <w:rsid w:val="0016727C"/>
    <w:rsid w:val="0016783C"/>
    <w:rsid w:val="001700AF"/>
    <w:rsid w:val="00170146"/>
    <w:rsid w:val="001706D6"/>
    <w:rsid w:val="0017158F"/>
    <w:rsid w:val="00171D42"/>
    <w:rsid w:val="00172509"/>
    <w:rsid w:val="00172650"/>
    <w:rsid w:val="00172A27"/>
    <w:rsid w:val="00173112"/>
    <w:rsid w:val="001734CA"/>
    <w:rsid w:val="00173E36"/>
    <w:rsid w:val="0017453A"/>
    <w:rsid w:val="00174572"/>
    <w:rsid w:val="00176425"/>
    <w:rsid w:val="001779C9"/>
    <w:rsid w:val="00177AEB"/>
    <w:rsid w:val="00180048"/>
    <w:rsid w:val="00180071"/>
    <w:rsid w:val="001800DD"/>
    <w:rsid w:val="001802F6"/>
    <w:rsid w:val="0018030A"/>
    <w:rsid w:val="00180A18"/>
    <w:rsid w:val="001821C5"/>
    <w:rsid w:val="0018359D"/>
    <w:rsid w:val="001840A0"/>
    <w:rsid w:val="00184EF8"/>
    <w:rsid w:val="00185FCD"/>
    <w:rsid w:val="00186118"/>
    <w:rsid w:val="001861D6"/>
    <w:rsid w:val="0018719B"/>
    <w:rsid w:val="0018748D"/>
    <w:rsid w:val="00190564"/>
    <w:rsid w:val="00190E62"/>
    <w:rsid w:val="00191D8A"/>
    <w:rsid w:val="00192CF4"/>
    <w:rsid w:val="001941CF"/>
    <w:rsid w:val="00194824"/>
    <w:rsid w:val="00194BB7"/>
    <w:rsid w:val="00194D12"/>
    <w:rsid w:val="00195B58"/>
    <w:rsid w:val="00196486"/>
    <w:rsid w:val="00196A9E"/>
    <w:rsid w:val="00196E98"/>
    <w:rsid w:val="00197F01"/>
    <w:rsid w:val="001A0618"/>
    <w:rsid w:val="001A1ADF"/>
    <w:rsid w:val="001A3F64"/>
    <w:rsid w:val="001A427A"/>
    <w:rsid w:val="001A457C"/>
    <w:rsid w:val="001A63FF"/>
    <w:rsid w:val="001A66B4"/>
    <w:rsid w:val="001A68B4"/>
    <w:rsid w:val="001A7D58"/>
    <w:rsid w:val="001B201A"/>
    <w:rsid w:val="001B27CB"/>
    <w:rsid w:val="001B527B"/>
    <w:rsid w:val="001B5630"/>
    <w:rsid w:val="001B5DFA"/>
    <w:rsid w:val="001B63B3"/>
    <w:rsid w:val="001B7748"/>
    <w:rsid w:val="001C0089"/>
    <w:rsid w:val="001C0442"/>
    <w:rsid w:val="001C09D6"/>
    <w:rsid w:val="001C0F3D"/>
    <w:rsid w:val="001C3134"/>
    <w:rsid w:val="001C3C73"/>
    <w:rsid w:val="001C3F29"/>
    <w:rsid w:val="001C4787"/>
    <w:rsid w:val="001C4B7E"/>
    <w:rsid w:val="001C534B"/>
    <w:rsid w:val="001C6CD7"/>
    <w:rsid w:val="001C7975"/>
    <w:rsid w:val="001D1440"/>
    <w:rsid w:val="001D18EC"/>
    <w:rsid w:val="001D388B"/>
    <w:rsid w:val="001D39F4"/>
    <w:rsid w:val="001D3F92"/>
    <w:rsid w:val="001D450E"/>
    <w:rsid w:val="001D474B"/>
    <w:rsid w:val="001D4753"/>
    <w:rsid w:val="001D4CB6"/>
    <w:rsid w:val="001D62B9"/>
    <w:rsid w:val="001D6EF9"/>
    <w:rsid w:val="001E1FC8"/>
    <w:rsid w:val="001E227F"/>
    <w:rsid w:val="001E2B7C"/>
    <w:rsid w:val="001E34A2"/>
    <w:rsid w:val="001E3E84"/>
    <w:rsid w:val="001E5A5C"/>
    <w:rsid w:val="001E6D1A"/>
    <w:rsid w:val="001E7091"/>
    <w:rsid w:val="001F0F51"/>
    <w:rsid w:val="001F128E"/>
    <w:rsid w:val="001F1604"/>
    <w:rsid w:val="001F4623"/>
    <w:rsid w:val="001F5AE8"/>
    <w:rsid w:val="001F6D56"/>
    <w:rsid w:val="001F7877"/>
    <w:rsid w:val="001F7A18"/>
    <w:rsid w:val="002003B4"/>
    <w:rsid w:val="00200A84"/>
    <w:rsid w:val="00200C58"/>
    <w:rsid w:val="00200D96"/>
    <w:rsid w:val="002043DC"/>
    <w:rsid w:val="002046C9"/>
    <w:rsid w:val="00204741"/>
    <w:rsid w:val="002056D0"/>
    <w:rsid w:val="002064FB"/>
    <w:rsid w:val="0020652A"/>
    <w:rsid w:val="002067E0"/>
    <w:rsid w:val="00206DCB"/>
    <w:rsid w:val="00206EA8"/>
    <w:rsid w:val="002070C3"/>
    <w:rsid w:val="002076F8"/>
    <w:rsid w:val="00207C9A"/>
    <w:rsid w:val="0021008C"/>
    <w:rsid w:val="0021041A"/>
    <w:rsid w:val="0021049B"/>
    <w:rsid w:val="00210BE5"/>
    <w:rsid w:val="00211EC6"/>
    <w:rsid w:val="0021318B"/>
    <w:rsid w:val="00214562"/>
    <w:rsid w:val="00215B14"/>
    <w:rsid w:val="00215B7D"/>
    <w:rsid w:val="00215BFC"/>
    <w:rsid w:val="00215C16"/>
    <w:rsid w:val="002162E3"/>
    <w:rsid w:val="00216ADD"/>
    <w:rsid w:val="0021762D"/>
    <w:rsid w:val="00217894"/>
    <w:rsid w:val="00220618"/>
    <w:rsid w:val="00220B47"/>
    <w:rsid w:val="00220B6C"/>
    <w:rsid w:val="00220B8A"/>
    <w:rsid w:val="00221941"/>
    <w:rsid w:val="00221D82"/>
    <w:rsid w:val="00222F36"/>
    <w:rsid w:val="002232C6"/>
    <w:rsid w:val="00223DF0"/>
    <w:rsid w:val="002243AF"/>
    <w:rsid w:val="00224C8F"/>
    <w:rsid w:val="0022503F"/>
    <w:rsid w:val="00226571"/>
    <w:rsid w:val="00227E63"/>
    <w:rsid w:val="002310DF"/>
    <w:rsid w:val="002311A6"/>
    <w:rsid w:val="00231DEF"/>
    <w:rsid w:val="00232304"/>
    <w:rsid w:val="002328C4"/>
    <w:rsid w:val="00232DED"/>
    <w:rsid w:val="002330EB"/>
    <w:rsid w:val="00233DAE"/>
    <w:rsid w:val="00233E2E"/>
    <w:rsid w:val="00234CBD"/>
    <w:rsid w:val="002351F6"/>
    <w:rsid w:val="002352C6"/>
    <w:rsid w:val="00235BCB"/>
    <w:rsid w:val="00235CD9"/>
    <w:rsid w:val="00235D1D"/>
    <w:rsid w:val="00236490"/>
    <w:rsid w:val="00236E08"/>
    <w:rsid w:val="002377FB"/>
    <w:rsid w:val="0023794F"/>
    <w:rsid w:val="002417F8"/>
    <w:rsid w:val="00242634"/>
    <w:rsid w:val="002430C4"/>
    <w:rsid w:val="00243F18"/>
    <w:rsid w:val="00244719"/>
    <w:rsid w:val="002451ED"/>
    <w:rsid w:val="00246562"/>
    <w:rsid w:val="002475C4"/>
    <w:rsid w:val="00247623"/>
    <w:rsid w:val="002477A3"/>
    <w:rsid w:val="00247EFD"/>
    <w:rsid w:val="00250703"/>
    <w:rsid w:val="002507BB"/>
    <w:rsid w:val="00250A43"/>
    <w:rsid w:val="00250C64"/>
    <w:rsid w:val="00250E34"/>
    <w:rsid w:val="0025131A"/>
    <w:rsid w:val="00251A4F"/>
    <w:rsid w:val="00251F6D"/>
    <w:rsid w:val="002525C3"/>
    <w:rsid w:val="00254704"/>
    <w:rsid w:val="00255A59"/>
    <w:rsid w:val="0026026D"/>
    <w:rsid w:val="00260FF2"/>
    <w:rsid w:val="002619DA"/>
    <w:rsid w:val="00262D11"/>
    <w:rsid w:val="002631C6"/>
    <w:rsid w:val="00265060"/>
    <w:rsid w:val="002651E4"/>
    <w:rsid w:val="00265CE2"/>
    <w:rsid w:val="00265DCE"/>
    <w:rsid w:val="0026650C"/>
    <w:rsid w:val="00266612"/>
    <w:rsid w:val="002668DE"/>
    <w:rsid w:val="00266B14"/>
    <w:rsid w:val="00266C1D"/>
    <w:rsid w:val="002677C1"/>
    <w:rsid w:val="00267A65"/>
    <w:rsid w:val="00267AA7"/>
    <w:rsid w:val="00270DBE"/>
    <w:rsid w:val="00272389"/>
    <w:rsid w:val="002724CD"/>
    <w:rsid w:val="00272676"/>
    <w:rsid w:val="0027335A"/>
    <w:rsid w:val="002743FC"/>
    <w:rsid w:val="00275E8E"/>
    <w:rsid w:val="0027687B"/>
    <w:rsid w:val="00280571"/>
    <w:rsid w:val="0028094B"/>
    <w:rsid w:val="00281E81"/>
    <w:rsid w:val="00282AF1"/>
    <w:rsid w:val="00282CA7"/>
    <w:rsid w:val="00283641"/>
    <w:rsid w:val="00283668"/>
    <w:rsid w:val="002853AF"/>
    <w:rsid w:val="00286005"/>
    <w:rsid w:val="00286087"/>
    <w:rsid w:val="00286C43"/>
    <w:rsid w:val="00286E24"/>
    <w:rsid w:val="002901B3"/>
    <w:rsid w:val="002914D1"/>
    <w:rsid w:val="00291685"/>
    <w:rsid w:val="00292009"/>
    <w:rsid w:val="00292E01"/>
    <w:rsid w:val="002942C8"/>
    <w:rsid w:val="00295350"/>
    <w:rsid w:val="00295C40"/>
    <w:rsid w:val="00296208"/>
    <w:rsid w:val="0029763D"/>
    <w:rsid w:val="002977E7"/>
    <w:rsid w:val="002A0081"/>
    <w:rsid w:val="002A01AA"/>
    <w:rsid w:val="002A0398"/>
    <w:rsid w:val="002A0C0D"/>
    <w:rsid w:val="002A15C2"/>
    <w:rsid w:val="002A1A78"/>
    <w:rsid w:val="002A1D87"/>
    <w:rsid w:val="002A287F"/>
    <w:rsid w:val="002A34D1"/>
    <w:rsid w:val="002A3E7C"/>
    <w:rsid w:val="002A3FB6"/>
    <w:rsid w:val="002A4946"/>
    <w:rsid w:val="002A577F"/>
    <w:rsid w:val="002A5F20"/>
    <w:rsid w:val="002A64BD"/>
    <w:rsid w:val="002A68A2"/>
    <w:rsid w:val="002A691B"/>
    <w:rsid w:val="002A6FE6"/>
    <w:rsid w:val="002A77AE"/>
    <w:rsid w:val="002A7976"/>
    <w:rsid w:val="002B18F3"/>
    <w:rsid w:val="002B23DA"/>
    <w:rsid w:val="002B2815"/>
    <w:rsid w:val="002B2B78"/>
    <w:rsid w:val="002B2D11"/>
    <w:rsid w:val="002B2FA2"/>
    <w:rsid w:val="002B302C"/>
    <w:rsid w:val="002B3570"/>
    <w:rsid w:val="002B3AB2"/>
    <w:rsid w:val="002B55E0"/>
    <w:rsid w:val="002B57A6"/>
    <w:rsid w:val="002B5F71"/>
    <w:rsid w:val="002B6211"/>
    <w:rsid w:val="002B68B4"/>
    <w:rsid w:val="002B7090"/>
    <w:rsid w:val="002B7A44"/>
    <w:rsid w:val="002C0301"/>
    <w:rsid w:val="002C26C5"/>
    <w:rsid w:val="002C309C"/>
    <w:rsid w:val="002C30EC"/>
    <w:rsid w:val="002C4272"/>
    <w:rsid w:val="002C4E19"/>
    <w:rsid w:val="002C51D1"/>
    <w:rsid w:val="002C5CED"/>
    <w:rsid w:val="002C6076"/>
    <w:rsid w:val="002C62E0"/>
    <w:rsid w:val="002C6A24"/>
    <w:rsid w:val="002C714E"/>
    <w:rsid w:val="002C758D"/>
    <w:rsid w:val="002D0EB1"/>
    <w:rsid w:val="002D1F6C"/>
    <w:rsid w:val="002D3B4A"/>
    <w:rsid w:val="002D3EAF"/>
    <w:rsid w:val="002D3FED"/>
    <w:rsid w:val="002D4052"/>
    <w:rsid w:val="002D4081"/>
    <w:rsid w:val="002D45DF"/>
    <w:rsid w:val="002D4C57"/>
    <w:rsid w:val="002D5CA9"/>
    <w:rsid w:val="002D5CCA"/>
    <w:rsid w:val="002D6378"/>
    <w:rsid w:val="002D6884"/>
    <w:rsid w:val="002D6E65"/>
    <w:rsid w:val="002D7A3B"/>
    <w:rsid w:val="002E0A1A"/>
    <w:rsid w:val="002E0A3D"/>
    <w:rsid w:val="002E15ED"/>
    <w:rsid w:val="002E23A2"/>
    <w:rsid w:val="002E2C72"/>
    <w:rsid w:val="002E3F8C"/>
    <w:rsid w:val="002E4021"/>
    <w:rsid w:val="002E4079"/>
    <w:rsid w:val="002E4893"/>
    <w:rsid w:val="002E4CC9"/>
    <w:rsid w:val="002E5529"/>
    <w:rsid w:val="002E6580"/>
    <w:rsid w:val="002E77F4"/>
    <w:rsid w:val="002F012D"/>
    <w:rsid w:val="002F0F41"/>
    <w:rsid w:val="002F135F"/>
    <w:rsid w:val="002F3C52"/>
    <w:rsid w:val="002F3D4C"/>
    <w:rsid w:val="002F4CE7"/>
    <w:rsid w:val="002F4EDB"/>
    <w:rsid w:val="002F5A89"/>
    <w:rsid w:val="002F5C9D"/>
    <w:rsid w:val="002F5DB0"/>
    <w:rsid w:val="002F6DE5"/>
    <w:rsid w:val="002F78FC"/>
    <w:rsid w:val="0030013D"/>
    <w:rsid w:val="00301552"/>
    <w:rsid w:val="00301AED"/>
    <w:rsid w:val="003035E8"/>
    <w:rsid w:val="0030362A"/>
    <w:rsid w:val="00304568"/>
    <w:rsid w:val="00304956"/>
    <w:rsid w:val="00304C95"/>
    <w:rsid w:val="00305963"/>
    <w:rsid w:val="00306BF5"/>
    <w:rsid w:val="00307A3B"/>
    <w:rsid w:val="0031065E"/>
    <w:rsid w:val="00310B04"/>
    <w:rsid w:val="00310FBF"/>
    <w:rsid w:val="00312B75"/>
    <w:rsid w:val="00312C8A"/>
    <w:rsid w:val="00312EFD"/>
    <w:rsid w:val="003139A4"/>
    <w:rsid w:val="0031513F"/>
    <w:rsid w:val="003162EB"/>
    <w:rsid w:val="00320243"/>
    <w:rsid w:val="003203A4"/>
    <w:rsid w:val="00320595"/>
    <w:rsid w:val="00320612"/>
    <w:rsid w:val="00320B53"/>
    <w:rsid w:val="00322E5E"/>
    <w:rsid w:val="003233A5"/>
    <w:rsid w:val="0032402B"/>
    <w:rsid w:val="00324155"/>
    <w:rsid w:val="003251BB"/>
    <w:rsid w:val="003261E2"/>
    <w:rsid w:val="00326895"/>
    <w:rsid w:val="00326A09"/>
    <w:rsid w:val="00327A75"/>
    <w:rsid w:val="00327B3D"/>
    <w:rsid w:val="00330EA4"/>
    <w:rsid w:val="0033147E"/>
    <w:rsid w:val="003316BE"/>
    <w:rsid w:val="00331DEA"/>
    <w:rsid w:val="00332C4B"/>
    <w:rsid w:val="00334B63"/>
    <w:rsid w:val="00334DDE"/>
    <w:rsid w:val="003350B7"/>
    <w:rsid w:val="00337628"/>
    <w:rsid w:val="00337C3A"/>
    <w:rsid w:val="00337FCF"/>
    <w:rsid w:val="00340DBF"/>
    <w:rsid w:val="00341D13"/>
    <w:rsid w:val="00342071"/>
    <w:rsid w:val="00342139"/>
    <w:rsid w:val="0034298B"/>
    <w:rsid w:val="00342EAC"/>
    <w:rsid w:val="00343C10"/>
    <w:rsid w:val="00345202"/>
    <w:rsid w:val="0034613D"/>
    <w:rsid w:val="0034625C"/>
    <w:rsid w:val="00346E62"/>
    <w:rsid w:val="003471FF"/>
    <w:rsid w:val="00347200"/>
    <w:rsid w:val="00347474"/>
    <w:rsid w:val="003476E7"/>
    <w:rsid w:val="00347D3A"/>
    <w:rsid w:val="00347E57"/>
    <w:rsid w:val="00350234"/>
    <w:rsid w:val="003503FE"/>
    <w:rsid w:val="00350D98"/>
    <w:rsid w:val="00351411"/>
    <w:rsid w:val="00351A80"/>
    <w:rsid w:val="00352E08"/>
    <w:rsid w:val="003535CA"/>
    <w:rsid w:val="003540EA"/>
    <w:rsid w:val="00354183"/>
    <w:rsid w:val="003546CF"/>
    <w:rsid w:val="003549B1"/>
    <w:rsid w:val="003556D8"/>
    <w:rsid w:val="00356966"/>
    <w:rsid w:val="00360575"/>
    <w:rsid w:val="00360E12"/>
    <w:rsid w:val="00360F49"/>
    <w:rsid w:val="00361155"/>
    <w:rsid w:val="00361A09"/>
    <w:rsid w:val="00361C67"/>
    <w:rsid w:val="003621E7"/>
    <w:rsid w:val="00363E92"/>
    <w:rsid w:val="0036400A"/>
    <w:rsid w:val="003647F7"/>
    <w:rsid w:val="00365FD4"/>
    <w:rsid w:val="003661FE"/>
    <w:rsid w:val="003665E0"/>
    <w:rsid w:val="00367964"/>
    <w:rsid w:val="00367C85"/>
    <w:rsid w:val="00367E52"/>
    <w:rsid w:val="003702E1"/>
    <w:rsid w:val="003713D6"/>
    <w:rsid w:val="0037160D"/>
    <w:rsid w:val="003717C3"/>
    <w:rsid w:val="00371EA0"/>
    <w:rsid w:val="00372F1F"/>
    <w:rsid w:val="00373279"/>
    <w:rsid w:val="003743A3"/>
    <w:rsid w:val="0037505A"/>
    <w:rsid w:val="0037548D"/>
    <w:rsid w:val="00375546"/>
    <w:rsid w:val="00375DF3"/>
    <w:rsid w:val="00375E8D"/>
    <w:rsid w:val="003760BB"/>
    <w:rsid w:val="00376ABC"/>
    <w:rsid w:val="00376CE0"/>
    <w:rsid w:val="0037748D"/>
    <w:rsid w:val="00377BE2"/>
    <w:rsid w:val="00377CBB"/>
    <w:rsid w:val="00377D14"/>
    <w:rsid w:val="00381553"/>
    <w:rsid w:val="00382FD1"/>
    <w:rsid w:val="00383F10"/>
    <w:rsid w:val="00384D21"/>
    <w:rsid w:val="00384ECB"/>
    <w:rsid w:val="003851FE"/>
    <w:rsid w:val="00385230"/>
    <w:rsid w:val="00386368"/>
    <w:rsid w:val="003879C4"/>
    <w:rsid w:val="0039086A"/>
    <w:rsid w:val="00390F9C"/>
    <w:rsid w:val="0039119A"/>
    <w:rsid w:val="003919E9"/>
    <w:rsid w:val="00391EE3"/>
    <w:rsid w:val="00392264"/>
    <w:rsid w:val="003924A0"/>
    <w:rsid w:val="00393310"/>
    <w:rsid w:val="003945E6"/>
    <w:rsid w:val="00394B37"/>
    <w:rsid w:val="003958BD"/>
    <w:rsid w:val="00395A45"/>
    <w:rsid w:val="00395E08"/>
    <w:rsid w:val="00396019"/>
    <w:rsid w:val="00397311"/>
    <w:rsid w:val="00397477"/>
    <w:rsid w:val="0039775F"/>
    <w:rsid w:val="00397A29"/>
    <w:rsid w:val="003A1A3D"/>
    <w:rsid w:val="003A44ED"/>
    <w:rsid w:val="003A4D34"/>
    <w:rsid w:val="003A4D85"/>
    <w:rsid w:val="003A501D"/>
    <w:rsid w:val="003A58F1"/>
    <w:rsid w:val="003A5AAE"/>
    <w:rsid w:val="003A62F5"/>
    <w:rsid w:val="003A6E38"/>
    <w:rsid w:val="003A70E8"/>
    <w:rsid w:val="003A7383"/>
    <w:rsid w:val="003A7F69"/>
    <w:rsid w:val="003B045A"/>
    <w:rsid w:val="003B0981"/>
    <w:rsid w:val="003B2C85"/>
    <w:rsid w:val="003B36E2"/>
    <w:rsid w:val="003B3D68"/>
    <w:rsid w:val="003B3F28"/>
    <w:rsid w:val="003B4BB1"/>
    <w:rsid w:val="003B5313"/>
    <w:rsid w:val="003B5F30"/>
    <w:rsid w:val="003B7CA0"/>
    <w:rsid w:val="003B7D5B"/>
    <w:rsid w:val="003B7ED6"/>
    <w:rsid w:val="003C125E"/>
    <w:rsid w:val="003C22B4"/>
    <w:rsid w:val="003C28D2"/>
    <w:rsid w:val="003C29A6"/>
    <w:rsid w:val="003C3CAF"/>
    <w:rsid w:val="003C4594"/>
    <w:rsid w:val="003C4CA3"/>
    <w:rsid w:val="003C5CE2"/>
    <w:rsid w:val="003C63FF"/>
    <w:rsid w:val="003C6706"/>
    <w:rsid w:val="003C7293"/>
    <w:rsid w:val="003C77FA"/>
    <w:rsid w:val="003C7872"/>
    <w:rsid w:val="003D0048"/>
    <w:rsid w:val="003D10C1"/>
    <w:rsid w:val="003D1128"/>
    <w:rsid w:val="003D135C"/>
    <w:rsid w:val="003D16A3"/>
    <w:rsid w:val="003D1A3E"/>
    <w:rsid w:val="003D1BBA"/>
    <w:rsid w:val="003D2E2C"/>
    <w:rsid w:val="003D2FEB"/>
    <w:rsid w:val="003D4B8A"/>
    <w:rsid w:val="003D53F8"/>
    <w:rsid w:val="003D62F5"/>
    <w:rsid w:val="003D65AF"/>
    <w:rsid w:val="003D76B7"/>
    <w:rsid w:val="003E0088"/>
    <w:rsid w:val="003E0CBE"/>
    <w:rsid w:val="003E18DB"/>
    <w:rsid w:val="003E1DD4"/>
    <w:rsid w:val="003E1FA5"/>
    <w:rsid w:val="003E232D"/>
    <w:rsid w:val="003E3FC0"/>
    <w:rsid w:val="003E42E9"/>
    <w:rsid w:val="003E5758"/>
    <w:rsid w:val="003E5837"/>
    <w:rsid w:val="003E64E1"/>
    <w:rsid w:val="003E6735"/>
    <w:rsid w:val="003E6ACE"/>
    <w:rsid w:val="003E7137"/>
    <w:rsid w:val="003E77D5"/>
    <w:rsid w:val="003E7FD8"/>
    <w:rsid w:val="003F03E6"/>
    <w:rsid w:val="003F097A"/>
    <w:rsid w:val="003F0C3C"/>
    <w:rsid w:val="003F270D"/>
    <w:rsid w:val="003F2F50"/>
    <w:rsid w:val="003F41C6"/>
    <w:rsid w:val="003F43C4"/>
    <w:rsid w:val="003F4A3F"/>
    <w:rsid w:val="003F578C"/>
    <w:rsid w:val="003F5B4C"/>
    <w:rsid w:val="003F6351"/>
    <w:rsid w:val="003F7631"/>
    <w:rsid w:val="003F7C80"/>
    <w:rsid w:val="0040043D"/>
    <w:rsid w:val="00401830"/>
    <w:rsid w:val="00402CD5"/>
    <w:rsid w:val="004032CE"/>
    <w:rsid w:val="004034F9"/>
    <w:rsid w:val="00403648"/>
    <w:rsid w:val="00403860"/>
    <w:rsid w:val="004038DA"/>
    <w:rsid w:val="00404A5A"/>
    <w:rsid w:val="0040522E"/>
    <w:rsid w:val="00405C40"/>
    <w:rsid w:val="004060E2"/>
    <w:rsid w:val="00406810"/>
    <w:rsid w:val="00407716"/>
    <w:rsid w:val="00407DCA"/>
    <w:rsid w:val="004113D3"/>
    <w:rsid w:val="00412CDB"/>
    <w:rsid w:val="00412FA0"/>
    <w:rsid w:val="00413008"/>
    <w:rsid w:val="00413046"/>
    <w:rsid w:val="004146E9"/>
    <w:rsid w:val="0041475B"/>
    <w:rsid w:val="004177BB"/>
    <w:rsid w:val="00417E31"/>
    <w:rsid w:val="00417F47"/>
    <w:rsid w:val="00420232"/>
    <w:rsid w:val="004205CC"/>
    <w:rsid w:val="004209D9"/>
    <w:rsid w:val="00420D40"/>
    <w:rsid w:val="0042104F"/>
    <w:rsid w:val="004215DE"/>
    <w:rsid w:val="00421E5C"/>
    <w:rsid w:val="004220A7"/>
    <w:rsid w:val="00422AB7"/>
    <w:rsid w:val="00422D34"/>
    <w:rsid w:val="0042312D"/>
    <w:rsid w:val="00423F33"/>
    <w:rsid w:val="00424544"/>
    <w:rsid w:val="00426139"/>
    <w:rsid w:val="00426640"/>
    <w:rsid w:val="0042685F"/>
    <w:rsid w:val="00426E25"/>
    <w:rsid w:val="00427389"/>
    <w:rsid w:val="00427BF2"/>
    <w:rsid w:val="00427BF6"/>
    <w:rsid w:val="00430055"/>
    <w:rsid w:val="00430208"/>
    <w:rsid w:val="00430C7C"/>
    <w:rsid w:val="00431033"/>
    <w:rsid w:val="00431CF3"/>
    <w:rsid w:val="00433628"/>
    <w:rsid w:val="00433D50"/>
    <w:rsid w:val="004347DB"/>
    <w:rsid w:val="00434D3F"/>
    <w:rsid w:val="0043502C"/>
    <w:rsid w:val="00435D98"/>
    <w:rsid w:val="00437794"/>
    <w:rsid w:val="00440440"/>
    <w:rsid w:val="004405A7"/>
    <w:rsid w:val="00440A15"/>
    <w:rsid w:val="00440DD1"/>
    <w:rsid w:val="00441814"/>
    <w:rsid w:val="00442A74"/>
    <w:rsid w:val="00444875"/>
    <w:rsid w:val="00444944"/>
    <w:rsid w:val="00444ADE"/>
    <w:rsid w:val="00444F2D"/>
    <w:rsid w:val="00444FBF"/>
    <w:rsid w:val="00444FEA"/>
    <w:rsid w:val="004455E0"/>
    <w:rsid w:val="0044566F"/>
    <w:rsid w:val="0044590A"/>
    <w:rsid w:val="00445A29"/>
    <w:rsid w:val="00445C68"/>
    <w:rsid w:val="004463FA"/>
    <w:rsid w:val="00447010"/>
    <w:rsid w:val="00451499"/>
    <w:rsid w:val="00451601"/>
    <w:rsid w:val="00451670"/>
    <w:rsid w:val="0045446F"/>
    <w:rsid w:val="00454764"/>
    <w:rsid w:val="0045573F"/>
    <w:rsid w:val="004558C0"/>
    <w:rsid w:val="00455CDB"/>
    <w:rsid w:val="0045697D"/>
    <w:rsid w:val="00456DC5"/>
    <w:rsid w:val="00457BA2"/>
    <w:rsid w:val="00457D13"/>
    <w:rsid w:val="00460875"/>
    <w:rsid w:val="00461271"/>
    <w:rsid w:val="004613CB"/>
    <w:rsid w:val="00461BB3"/>
    <w:rsid w:val="00461FA0"/>
    <w:rsid w:val="004649E8"/>
    <w:rsid w:val="00464E44"/>
    <w:rsid w:val="00465ACD"/>
    <w:rsid w:val="00466777"/>
    <w:rsid w:val="00466C5E"/>
    <w:rsid w:val="004675EF"/>
    <w:rsid w:val="00467C8F"/>
    <w:rsid w:val="00470A1B"/>
    <w:rsid w:val="004717E6"/>
    <w:rsid w:val="00472A3D"/>
    <w:rsid w:val="0047326D"/>
    <w:rsid w:val="004738E6"/>
    <w:rsid w:val="00474050"/>
    <w:rsid w:val="004748DF"/>
    <w:rsid w:val="00475421"/>
    <w:rsid w:val="004757C0"/>
    <w:rsid w:val="00476473"/>
    <w:rsid w:val="00476625"/>
    <w:rsid w:val="004771AF"/>
    <w:rsid w:val="004805FB"/>
    <w:rsid w:val="00480707"/>
    <w:rsid w:val="00481023"/>
    <w:rsid w:val="0048103F"/>
    <w:rsid w:val="00481C0C"/>
    <w:rsid w:val="00481C7F"/>
    <w:rsid w:val="00482A1D"/>
    <w:rsid w:val="00483609"/>
    <w:rsid w:val="004879B0"/>
    <w:rsid w:val="00490DF0"/>
    <w:rsid w:val="00491E86"/>
    <w:rsid w:val="0049360B"/>
    <w:rsid w:val="00494183"/>
    <w:rsid w:val="004942E2"/>
    <w:rsid w:val="00495024"/>
    <w:rsid w:val="00495A8F"/>
    <w:rsid w:val="004960A1"/>
    <w:rsid w:val="004A160E"/>
    <w:rsid w:val="004A2614"/>
    <w:rsid w:val="004A3C36"/>
    <w:rsid w:val="004A44F9"/>
    <w:rsid w:val="004A4A5D"/>
    <w:rsid w:val="004A4E63"/>
    <w:rsid w:val="004A566C"/>
    <w:rsid w:val="004A6544"/>
    <w:rsid w:val="004A6DEF"/>
    <w:rsid w:val="004A7269"/>
    <w:rsid w:val="004A764A"/>
    <w:rsid w:val="004A7EB2"/>
    <w:rsid w:val="004B003B"/>
    <w:rsid w:val="004B0CAF"/>
    <w:rsid w:val="004B1BB4"/>
    <w:rsid w:val="004B2ECC"/>
    <w:rsid w:val="004B30EA"/>
    <w:rsid w:val="004B349C"/>
    <w:rsid w:val="004B6919"/>
    <w:rsid w:val="004C02C5"/>
    <w:rsid w:val="004C05A3"/>
    <w:rsid w:val="004C0661"/>
    <w:rsid w:val="004C0BF6"/>
    <w:rsid w:val="004C1786"/>
    <w:rsid w:val="004C19ED"/>
    <w:rsid w:val="004C1B94"/>
    <w:rsid w:val="004C2D4C"/>
    <w:rsid w:val="004C3AE4"/>
    <w:rsid w:val="004C3FFD"/>
    <w:rsid w:val="004C4152"/>
    <w:rsid w:val="004C427D"/>
    <w:rsid w:val="004C43D4"/>
    <w:rsid w:val="004C512B"/>
    <w:rsid w:val="004C6568"/>
    <w:rsid w:val="004C6B05"/>
    <w:rsid w:val="004C6E6A"/>
    <w:rsid w:val="004C7139"/>
    <w:rsid w:val="004C7F81"/>
    <w:rsid w:val="004D0303"/>
    <w:rsid w:val="004D3DC2"/>
    <w:rsid w:val="004D410E"/>
    <w:rsid w:val="004D4BB7"/>
    <w:rsid w:val="004D4C0A"/>
    <w:rsid w:val="004D4D3D"/>
    <w:rsid w:val="004D4E06"/>
    <w:rsid w:val="004D537C"/>
    <w:rsid w:val="004D58E6"/>
    <w:rsid w:val="004D608D"/>
    <w:rsid w:val="004D7889"/>
    <w:rsid w:val="004E0C0B"/>
    <w:rsid w:val="004E1725"/>
    <w:rsid w:val="004E2466"/>
    <w:rsid w:val="004E3116"/>
    <w:rsid w:val="004E31F5"/>
    <w:rsid w:val="004E3619"/>
    <w:rsid w:val="004E376B"/>
    <w:rsid w:val="004E3CDE"/>
    <w:rsid w:val="004E3E9E"/>
    <w:rsid w:val="004E477E"/>
    <w:rsid w:val="004E6C96"/>
    <w:rsid w:val="004E7BEF"/>
    <w:rsid w:val="004E7D8F"/>
    <w:rsid w:val="004F03DE"/>
    <w:rsid w:val="004F109D"/>
    <w:rsid w:val="004F1989"/>
    <w:rsid w:val="004F2E08"/>
    <w:rsid w:val="004F3582"/>
    <w:rsid w:val="004F36A1"/>
    <w:rsid w:val="004F40DC"/>
    <w:rsid w:val="004F4EB7"/>
    <w:rsid w:val="004F5037"/>
    <w:rsid w:val="004F50CB"/>
    <w:rsid w:val="004F58B6"/>
    <w:rsid w:val="004F6166"/>
    <w:rsid w:val="004F6D43"/>
    <w:rsid w:val="004F78E8"/>
    <w:rsid w:val="004F7AFB"/>
    <w:rsid w:val="004F7F83"/>
    <w:rsid w:val="00500585"/>
    <w:rsid w:val="00501404"/>
    <w:rsid w:val="00501517"/>
    <w:rsid w:val="005029DA"/>
    <w:rsid w:val="005043D8"/>
    <w:rsid w:val="0050689B"/>
    <w:rsid w:val="005069C5"/>
    <w:rsid w:val="005070D6"/>
    <w:rsid w:val="005072F9"/>
    <w:rsid w:val="00507859"/>
    <w:rsid w:val="00507FED"/>
    <w:rsid w:val="00510229"/>
    <w:rsid w:val="00511534"/>
    <w:rsid w:val="005118A7"/>
    <w:rsid w:val="00512DAC"/>
    <w:rsid w:val="0051381F"/>
    <w:rsid w:val="00513B7F"/>
    <w:rsid w:val="00516316"/>
    <w:rsid w:val="005163A0"/>
    <w:rsid w:val="0051674E"/>
    <w:rsid w:val="00516EC0"/>
    <w:rsid w:val="005173CD"/>
    <w:rsid w:val="0051782C"/>
    <w:rsid w:val="00517E2B"/>
    <w:rsid w:val="00521295"/>
    <w:rsid w:val="00521E40"/>
    <w:rsid w:val="005222CB"/>
    <w:rsid w:val="005229BA"/>
    <w:rsid w:val="00523465"/>
    <w:rsid w:val="00523CDE"/>
    <w:rsid w:val="00523F54"/>
    <w:rsid w:val="0052486F"/>
    <w:rsid w:val="005254C3"/>
    <w:rsid w:val="005261D5"/>
    <w:rsid w:val="00526CB0"/>
    <w:rsid w:val="00526D36"/>
    <w:rsid w:val="0052772E"/>
    <w:rsid w:val="00527C84"/>
    <w:rsid w:val="0053016B"/>
    <w:rsid w:val="00530C01"/>
    <w:rsid w:val="00530EE1"/>
    <w:rsid w:val="0053122C"/>
    <w:rsid w:val="00531550"/>
    <w:rsid w:val="00531DE3"/>
    <w:rsid w:val="005323F4"/>
    <w:rsid w:val="005324FB"/>
    <w:rsid w:val="0053256D"/>
    <w:rsid w:val="00533802"/>
    <w:rsid w:val="00533A2B"/>
    <w:rsid w:val="00535C23"/>
    <w:rsid w:val="00535EC1"/>
    <w:rsid w:val="00535F15"/>
    <w:rsid w:val="0053724C"/>
    <w:rsid w:val="005377D6"/>
    <w:rsid w:val="0053789C"/>
    <w:rsid w:val="005405EF"/>
    <w:rsid w:val="00540A1C"/>
    <w:rsid w:val="00540C2B"/>
    <w:rsid w:val="00540D00"/>
    <w:rsid w:val="005418AC"/>
    <w:rsid w:val="00543147"/>
    <w:rsid w:val="005445A9"/>
    <w:rsid w:val="00546683"/>
    <w:rsid w:val="00546BD8"/>
    <w:rsid w:val="0055298B"/>
    <w:rsid w:val="005536F4"/>
    <w:rsid w:val="00554BB2"/>
    <w:rsid w:val="00554D06"/>
    <w:rsid w:val="0055552A"/>
    <w:rsid w:val="005559B0"/>
    <w:rsid w:val="00555FDF"/>
    <w:rsid w:val="005561E4"/>
    <w:rsid w:val="00556A2E"/>
    <w:rsid w:val="005575D9"/>
    <w:rsid w:val="00561822"/>
    <w:rsid w:val="00563059"/>
    <w:rsid w:val="0056314F"/>
    <w:rsid w:val="005636B2"/>
    <w:rsid w:val="0056385D"/>
    <w:rsid w:val="00563A5E"/>
    <w:rsid w:val="0056407B"/>
    <w:rsid w:val="00564F6A"/>
    <w:rsid w:val="00565347"/>
    <w:rsid w:val="00565794"/>
    <w:rsid w:val="00565D56"/>
    <w:rsid w:val="00566255"/>
    <w:rsid w:val="00566672"/>
    <w:rsid w:val="00567543"/>
    <w:rsid w:val="00567C00"/>
    <w:rsid w:val="005700F5"/>
    <w:rsid w:val="005702CB"/>
    <w:rsid w:val="005713B5"/>
    <w:rsid w:val="00571458"/>
    <w:rsid w:val="00571548"/>
    <w:rsid w:val="00571781"/>
    <w:rsid w:val="00572AAE"/>
    <w:rsid w:val="00573D9D"/>
    <w:rsid w:val="00574420"/>
    <w:rsid w:val="00574752"/>
    <w:rsid w:val="00574838"/>
    <w:rsid w:val="00580301"/>
    <w:rsid w:val="005809E2"/>
    <w:rsid w:val="005820D0"/>
    <w:rsid w:val="0058257E"/>
    <w:rsid w:val="00583B8F"/>
    <w:rsid w:val="00584362"/>
    <w:rsid w:val="005844A5"/>
    <w:rsid w:val="0058464C"/>
    <w:rsid w:val="00585209"/>
    <w:rsid w:val="0058539E"/>
    <w:rsid w:val="00587556"/>
    <w:rsid w:val="005875A9"/>
    <w:rsid w:val="00587734"/>
    <w:rsid w:val="00590135"/>
    <w:rsid w:val="00590AF8"/>
    <w:rsid w:val="00592D0D"/>
    <w:rsid w:val="00593A0F"/>
    <w:rsid w:val="00593E7B"/>
    <w:rsid w:val="00593F62"/>
    <w:rsid w:val="005942B8"/>
    <w:rsid w:val="005946A1"/>
    <w:rsid w:val="0059509A"/>
    <w:rsid w:val="005955E8"/>
    <w:rsid w:val="005969A2"/>
    <w:rsid w:val="005973F1"/>
    <w:rsid w:val="00597763"/>
    <w:rsid w:val="00597BD5"/>
    <w:rsid w:val="005A18D1"/>
    <w:rsid w:val="005A195B"/>
    <w:rsid w:val="005A1D4E"/>
    <w:rsid w:val="005A28E2"/>
    <w:rsid w:val="005A2FB6"/>
    <w:rsid w:val="005A30E8"/>
    <w:rsid w:val="005A3641"/>
    <w:rsid w:val="005A38FE"/>
    <w:rsid w:val="005A44FB"/>
    <w:rsid w:val="005A5911"/>
    <w:rsid w:val="005A7084"/>
    <w:rsid w:val="005A7BE9"/>
    <w:rsid w:val="005B0070"/>
    <w:rsid w:val="005B04D5"/>
    <w:rsid w:val="005B063F"/>
    <w:rsid w:val="005B0D4F"/>
    <w:rsid w:val="005B0E62"/>
    <w:rsid w:val="005B2086"/>
    <w:rsid w:val="005B336E"/>
    <w:rsid w:val="005B38F6"/>
    <w:rsid w:val="005B4EF1"/>
    <w:rsid w:val="005B53B5"/>
    <w:rsid w:val="005B5DBA"/>
    <w:rsid w:val="005B635E"/>
    <w:rsid w:val="005B69C0"/>
    <w:rsid w:val="005B6FF1"/>
    <w:rsid w:val="005B7F1A"/>
    <w:rsid w:val="005B7FD0"/>
    <w:rsid w:val="005C13D6"/>
    <w:rsid w:val="005C26FA"/>
    <w:rsid w:val="005C2C78"/>
    <w:rsid w:val="005C30E6"/>
    <w:rsid w:val="005C3221"/>
    <w:rsid w:val="005C32D3"/>
    <w:rsid w:val="005C34B4"/>
    <w:rsid w:val="005C34F5"/>
    <w:rsid w:val="005C45F2"/>
    <w:rsid w:val="005C5C1E"/>
    <w:rsid w:val="005C6A43"/>
    <w:rsid w:val="005C6BF7"/>
    <w:rsid w:val="005C7A8A"/>
    <w:rsid w:val="005C7D0E"/>
    <w:rsid w:val="005C7E4A"/>
    <w:rsid w:val="005D1035"/>
    <w:rsid w:val="005D124C"/>
    <w:rsid w:val="005D13EF"/>
    <w:rsid w:val="005D1BFF"/>
    <w:rsid w:val="005D1E8D"/>
    <w:rsid w:val="005D20C6"/>
    <w:rsid w:val="005D281F"/>
    <w:rsid w:val="005D2AAD"/>
    <w:rsid w:val="005D3F4B"/>
    <w:rsid w:val="005D54A2"/>
    <w:rsid w:val="005D54F8"/>
    <w:rsid w:val="005D5C77"/>
    <w:rsid w:val="005D5D73"/>
    <w:rsid w:val="005D630F"/>
    <w:rsid w:val="005D6B09"/>
    <w:rsid w:val="005D6E9A"/>
    <w:rsid w:val="005D7222"/>
    <w:rsid w:val="005D762C"/>
    <w:rsid w:val="005E0235"/>
    <w:rsid w:val="005E07B4"/>
    <w:rsid w:val="005E0CB9"/>
    <w:rsid w:val="005E29E0"/>
    <w:rsid w:val="005E59DD"/>
    <w:rsid w:val="005E5B15"/>
    <w:rsid w:val="005E602B"/>
    <w:rsid w:val="005E6C42"/>
    <w:rsid w:val="005E6F36"/>
    <w:rsid w:val="005E710B"/>
    <w:rsid w:val="005E7218"/>
    <w:rsid w:val="005E7317"/>
    <w:rsid w:val="005E7738"/>
    <w:rsid w:val="005E777D"/>
    <w:rsid w:val="005E785E"/>
    <w:rsid w:val="005F01B8"/>
    <w:rsid w:val="005F0D16"/>
    <w:rsid w:val="005F13BC"/>
    <w:rsid w:val="005F1908"/>
    <w:rsid w:val="005F1AAA"/>
    <w:rsid w:val="005F2006"/>
    <w:rsid w:val="005F2386"/>
    <w:rsid w:val="005F2E39"/>
    <w:rsid w:val="005F523A"/>
    <w:rsid w:val="005F5AE4"/>
    <w:rsid w:val="005F64A0"/>
    <w:rsid w:val="005F661E"/>
    <w:rsid w:val="005F7C8C"/>
    <w:rsid w:val="005F7CF6"/>
    <w:rsid w:val="00600326"/>
    <w:rsid w:val="00600824"/>
    <w:rsid w:val="0060155D"/>
    <w:rsid w:val="006019B3"/>
    <w:rsid w:val="00601BDC"/>
    <w:rsid w:val="00601C66"/>
    <w:rsid w:val="0060299A"/>
    <w:rsid w:val="006035BD"/>
    <w:rsid w:val="00604620"/>
    <w:rsid w:val="00605455"/>
    <w:rsid w:val="006059B7"/>
    <w:rsid w:val="006064AE"/>
    <w:rsid w:val="006064DA"/>
    <w:rsid w:val="006067DD"/>
    <w:rsid w:val="00606FE8"/>
    <w:rsid w:val="006074F1"/>
    <w:rsid w:val="006075B7"/>
    <w:rsid w:val="006078E9"/>
    <w:rsid w:val="006101D6"/>
    <w:rsid w:val="0061051E"/>
    <w:rsid w:val="0061054F"/>
    <w:rsid w:val="00610E9D"/>
    <w:rsid w:val="006112D4"/>
    <w:rsid w:val="00611C20"/>
    <w:rsid w:val="00611DA1"/>
    <w:rsid w:val="0061217D"/>
    <w:rsid w:val="00612231"/>
    <w:rsid w:val="00612374"/>
    <w:rsid w:val="00612815"/>
    <w:rsid w:val="006136B4"/>
    <w:rsid w:val="00615379"/>
    <w:rsid w:val="006166D3"/>
    <w:rsid w:val="00616930"/>
    <w:rsid w:val="00617D08"/>
    <w:rsid w:val="00620C37"/>
    <w:rsid w:val="006225BC"/>
    <w:rsid w:val="0062271C"/>
    <w:rsid w:val="00622AB6"/>
    <w:rsid w:val="0062404A"/>
    <w:rsid w:val="00624E5F"/>
    <w:rsid w:val="00624E70"/>
    <w:rsid w:val="00625602"/>
    <w:rsid w:val="00625F5F"/>
    <w:rsid w:val="00627321"/>
    <w:rsid w:val="006274C7"/>
    <w:rsid w:val="006278B6"/>
    <w:rsid w:val="00630869"/>
    <w:rsid w:val="00630BA3"/>
    <w:rsid w:val="00630E40"/>
    <w:rsid w:val="00630FB6"/>
    <w:rsid w:val="00632AB6"/>
    <w:rsid w:val="006340B0"/>
    <w:rsid w:val="0063501D"/>
    <w:rsid w:val="00635C7B"/>
    <w:rsid w:val="00636868"/>
    <w:rsid w:val="0063744B"/>
    <w:rsid w:val="0063790B"/>
    <w:rsid w:val="00637DA4"/>
    <w:rsid w:val="00637E74"/>
    <w:rsid w:val="00640A6A"/>
    <w:rsid w:val="006432F5"/>
    <w:rsid w:val="00643602"/>
    <w:rsid w:val="0064396B"/>
    <w:rsid w:val="00643BBE"/>
    <w:rsid w:val="00643C9F"/>
    <w:rsid w:val="00644389"/>
    <w:rsid w:val="006445B4"/>
    <w:rsid w:val="006454C4"/>
    <w:rsid w:val="00645A96"/>
    <w:rsid w:val="00645D5E"/>
    <w:rsid w:val="006464EB"/>
    <w:rsid w:val="0064734F"/>
    <w:rsid w:val="0064788B"/>
    <w:rsid w:val="00647F79"/>
    <w:rsid w:val="00650011"/>
    <w:rsid w:val="00650C5F"/>
    <w:rsid w:val="00651FD1"/>
    <w:rsid w:val="006522BB"/>
    <w:rsid w:val="00652F23"/>
    <w:rsid w:val="0065345B"/>
    <w:rsid w:val="00653557"/>
    <w:rsid w:val="00654350"/>
    <w:rsid w:val="006543E8"/>
    <w:rsid w:val="00654444"/>
    <w:rsid w:val="00654DEE"/>
    <w:rsid w:val="0066001B"/>
    <w:rsid w:val="006602F6"/>
    <w:rsid w:val="006605F5"/>
    <w:rsid w:val="00661041"/>
    <w:rsid w:val="0066130E"/>
    <w:rsid w:val="00661598"/>
    <w:rsid w:val="00661AFB"/>
    <w:rsid w:val="00661C84"/>
    <w:rsid w:val="00662B73"/>
    <w:rsid w:val="00663375"/>
    <w:rsid w:val="00663A25"/>
    <w:rsid w:val="00663C0A"/>
    <w:rsid w:val="00663C7B"/>
    <w:rsid w:val="0066409E"/>
    <w:rsid w:val="00664410"/>
    <w:rsid w:val="00664DB3"/>
    <w:rsid w:val="00666661"/>
    <w:rsid w:val="006709E1"/>
    <w:rsid w:val="006716CB"/>
    <w:rsid w:val="00671AD8"/>
    <w:rsid w:val="00672788"/>
    <w:rsid w:val="00674271"/>
    <w:rsid w:val="0067478D"/>
    <w:rsid w:val="00674CA3"/>
    <w:rsid w:val="006751F8"/>
    <w:rsid w:val="00675AB7"/>
    <w:rsid w:val="00675E75"/>
    <w:rsid w:val="006761D0"/>
    <w:rsid w:val="00676382"/>
    <w:rsid w:val="0068002A"/>
    <w:rsid w:val="0068043F"/>
    <w:rsid w:val="00680592"/>
    <w:rsid w:val="00680E84"/>
    <w:rsid w:val="0068138E"/>
    <w:rsid w:val="0068184D"/>
    <w:rsid w:val="00681CB7"/>
    <w:rsid w:val="0068260E"/>
    <w:rsid w:val="00682817"/>
    <w:rsid w:val="00682A53"/>
    <w:rsid w:val="00683099"/>
    <w:rsid w:val="00683705"/>
    <w:rsid w:val="00684552"/>
    <w:rsid w:val="00684E16"/>
    <w:rsid w:val="00685353"/>
    <w:rsid w:val="006865AB"/>
    <w:rsid w:val="006867F8"/>
    <w:rsid w:val="0068792D"/>
    <w:rsid w:val="00687CD4"/>
    <w:rsid w:val="00690390"/>
    <w:rsid w:val="00690942"/>
    <w:rsid w:val="0069136E"/>
    <w:rsid w:val="00691971"/>
    <w:rsid w:val="006928A2"/>
    <w:rsid w:val="00692FA9"/>
    <w:rsid w:val="00694BBA"/>
    <w:rsid w:val="00694D49"/>
    <w:rsid w:val="00695327"/>
    <w:rsid w:val="00695E9D"/>
    <w:rsid w:val="00696D3B"/>
    <w:rsid w:val="006971FF"/>
    <w:rsid w:val="0069765D"/>
    <w:rsid w:val="00697B9A"/>
    <w:rsid w:val="006A041C"/>
    <w:rsid w:val="006A059E"/>
    <w:rsid w:val="006A0EFB"/>
    <w:rsid w:val="006A1A33"/>
    <w:rsid w:val="006A21DC"/>
    <w:rsid w:val="006A24AE"/>
    <w:rsid w:val="006A2810"/>
    <w:rsid w:val="006A3D32"/>
    <w:rsid w:val="006A4B81"/>
    <w:rsid w:val="006A586C"/>
    <w:rsid w:val="006A59CB"/>
    <w:rsid w:val="006A6B7A"/>
    <w:rsid w:val="006B04AB"/>
    <w:rsid w:val="006B06C1"/>
    <w:rsid w:val="006B1048"/>
    <w:rsid w:val="006B1CB0"/>
    <w:rsid w:val="006B243A"/>
    <w:rsid w:val="006B27C1"/>
    <w:rsid w:val="006B2B86"/>
    <w:rsid w:val="006B47B5"/>
    <w:rsid w:val="006B4B0F"/>
    <w:rsid w:val="006B563A"/>
    <w:rsid w:val="006B59E5"/>
    <w:rsid w:val="006B5A80"/>
    <w:rsid w:val="006B5D23"/>
    <w:rsid w:val="006B636B"/>
    <w:rsid w:val="006B7380"/>
    <w:rsid w:val="006B74F9"/>
    <w:rsid w:val="006B7579"/>
    <w:rsid w:val="006B772D"/>
    <w:rsid w:val="006C0093"/>
    <w:rsid w:val="006C03C5"/>
    <w:rsid w:val="006C14DD"/>
    <w:rsid w:val="006C17BF"/>
    <w:rsid w:val="006C251E"/>
    <w:rsid w:val="006C3D96"/>
    <w:rsid w:val="006C4A69"/>
    <w:rsid w:val="006C5305"/>
    <w:rsid w:val="006C5748"/>
    <w:rsid w:val="006C5D7C"/>
    <w:rsid w:val="006C5E9F"/>
    <w:rsid w:val="006C6414"/>
    <w:rsid w:val="006C6732"/>
    <w:rsid w:val="006C7756"/>
    <w:rsid w:val="006C77E2"/>
    <w:rsid w:val="006C7B44"/>
    <w:rsid w:val="006D0E17"/>
    <w:rsid w:val="006D1646"/>
    <w:rsid w:val="006D184A"/>
    <w:rsid w:val="006D2109"/>
    <w:rsid w:val="006D21EB"/>
    <w:rsid w:val="006D3A8F"/>
    <w:rsid w:val="006D3B74"/>
    <w:rsid w:val="006D3D0B"/>
    <w:rsid w:val="006D4C42"/>
    <w:rsid w:val="006D60F0"/>
    <w:rsid w:val="006D611F"/>
    <w:rsid w:val="006D6FB9"/>
    <w:rsid w:val="006D7722"/>
    <w:rsid w:val="006D7D9C"/>
    <w:rsid w:val="006E136C"/>
    <w:rsid w:val="006E2549"/>
    <w:rsid w:val="006E2D69"/>
    <w:rsid w:val="006E32BC"/>
    <w:rsid w:val="006E3329"/>
    <w:rsid w:val="006E3820"/>
    <w:rsid w:val="006E3A0F"/>
    <w:rsid w:val="006E47A6"/>
    <w:rsid w:val="006E559A"/>
    <w:rsid w:val="006E63B5"/>
    <w:rsid w:val="006E79C9"/>
    <w:rsid w:val="006E7A12"/>
    <w:rsid w:val="006F1C55"/>
    <w:rsid w:val="006F222E"/>
    <w:rsid w:val="006F2B4C"/>
    <w:rsid w:val="006F374F"/>
    <w:rsid w:val="006F39F2"/>
    <w:rsid w:val="006F3D25"/>
    <w:rsid w:val="006F47D0"/>
    <w:rsid w:val="006F4C2D"/>
    <w:rsid w:val="006F5529"/>
    <w:rsid w:val="006F6D62"/>
    <w:rsid w:val="006F7517"/>
    <w:rsid w:val="006F7E63"/>
    <w:rsid w:val="0070035E"/>
    <w:rsid w:val="00700CE2"/>
    <w:rsid w:val="00701FF3"/>
    <w:rsid w:val="007031A4"/>
    <w:rsid w:val="00703563"/>
    <w:rsid w:val="007038F6"/>
    <w:rsid w:val="00703BEC"/>
    <w:rsid w:val="00703F7C"/>
    <w:rsid w:val="00705B79"/>
    <w:rsid w:val="00705D88"/>
    <w:rsid w:val="00707CC5"/>
    <w:rsid w:val="0071021B"/>
    <w:rsid w:val="007105AD"/>
    <w:rsid w:val="00710D16"/>
    <w:rsid w:val="007110A9"/>
    <w:rsid w:val="007130CC"/>
    <w:rsid w:val="00713E3F"/>
    <w:rsid w:val="0071426B"/>
    <w:rsid w:val="007147DF"/>
    <w:rsid w:val="0071574E"/>
    <w:rsid w:val="007162EA"/>
    <w:rsid w:val="00716AD7"/>
    <w:rsid w:val="007174A6"/>
    <w:rsid w:val="00720261"/>
    <w:rsid w:val="0072086D"/>
    <w:rsid w:val="007212CA"/>
    <w:rsid w:val="007217ED"/>
    <w:rsid w:val="00721FE4"/>
    <w:rsid w:val="00722AC9"/>
    <w:rsid w:val="00722C55"/>
    <w:rsid w:val="00723D06"/>
    <w:rsid w:val="007242AD"/>
    <w:rsid w:val="0072501D"/>
    <w:rsid w:val="007253BD"/>
    <w:rsid w:val="00725C1D"/>
    <w:rsid w:val="00725C62"/>
    <w:rsid w:val="007275E0"/>
    <w:rsid w:val="007302C4"/>
    <w:rsid w:val="0073089A"/>
    <w:rsid w:val="007308FA"/>
    <w:rsid w:val="00730BF4"/>
    <w:rsid w:val="00731570"/>
    <w:rsid w:val="00733278"/>
    <w:rsid w:val="00733CA4"/>
    <w:rsid w:val="00734415"/>
    <w:rsid w:val="0073463C"/>
    <w:rsid w:val="007349CB"/>
    <w:rsid w:val="00734DE8"/>
    <w:rsid w:val="0073679C"/>
    <w:rsid w:val="00736965"/>
    <w:rsid w:val="007370BF"/>
    <w:rsid w:val="00737531"/>
    <w:rsid w:val="00740BDE"/>
    <w:rsid w:val="00741503"/>
    <w:rsid w:val="00741943"/>
    <w:rsid w:val="0074275D"/>
    <w:rsid w:val="0074289D"/>
    <w:rsid w:val="007429CA"/>
    <w:rsid w:val="00742D5A"/>
    <w:rsid w:val="0074336A"/>
    <w:rsid w:val="00743567"/>
    <w:rsid w:val="00743D51"/>
    <w:rsid w:val="00744EC5"/>
    <w:rsid w:val="007453E5"/>
    <w:rsid w:val="00745E1A"/>
    <w:rsid w:val="00746DA9"/>
    <w:rsid w:val="00746E0D"/>
    <w:rsid w:val="007508B9"/>
    <w:rsid w:val="007511A4"/>
    <w:rsid w:val="0075139B"/>
    <w:rsid w:val="007517D3"/>
    <w:rsid w:val="00751CCD"/>
    <w:rsid w:val="00751FE1"/>
    <w:rsid w:val="007531E4"/>
    <w:rsid w:val="0075320D"/>
    <w:rsid w:val="0075345D"/>
    <w:rsid w:val="00754063"/>
    <w:rsid w:val="00754092"/>
    <w:rsid w:val="00754264"/>
    <w:rsid w:val="007548A2"/>
    <w:rsid w:val="007553D7"/>
    <w:rsid w:val="0075634C"/>
    <w:rsid w:val="0075689D"/>
    <w:rsid w:val="00756942"/>
    <w:rsid w:val="007572EF"/>
    <w:rsid w:val="0076017E"/>
    <w:rsid w:val="00760405"/>
    <w:rsid w:val="00760A8C"/>
    <w:rsid w:val="0076174C"/>
    <w:rsid w:val="00761D88"/>
    <w:rsid w:val="00762AA9"/>
    <w:rsid w:val="00762D5A"/>
    <w:rsid w:val="00763D0F"/>
    <w:rsid w:val="007645CC"/>
    <w:rsid w:val="00765AB0"/>
    <w:rsid w:val="00765DD0"/>
    <w:rsid w:val="00767759"/>
    <w:rsid w:val="007677EF"/>
    <w:rsid w:val="007679E9"/>
    <w:rsid w:val="00767A5A"/>
    <w:rsid w:val="00770B8B"/>
    <w:rsid w:val="00770BE6"/>
    <w:rsid w:val="00771CF1"/>
    <w:rsid w:val="0077240A"/>
    <w:rsid w:val="007726E2"/>
    <w:rsid w:val="00772CAC"/>
    <w:rsid w:val="00772F59"/>
    <w:rsid w:val="0077323F"/>
    <w:rsid w:val="00773797"/>
    <w:rsid w:val="0077550D"/>
    <w:rsid w:val="00776539"/>
    <w:rsid w:val="00777476"/>
    <w:rsid w:val="00782672"/>
    <w:rsid w:val="007843B8"/>
    <w:rsid w:val="00784CED"/>
    <w:rsid w:val="00784F49"/>
    <w:rsid w:val="00784F66"/>
    <w:rsid w:val="0078601D"/>
    <w:rsid w:val="00786EDD"/>
    <w:rsid w:val="007904F5"/>
    <w:rsid w:val="00790F8B"/>
    <w:rsid w:val="00791F58"/>
    <w:rsid w:val="00792BE0"/>
    <w:rsid w:val="00792D75"/>
    <w:rsid w:val="00793554"/>
    <w:rsid w:val="00793582"/>
    <w:rsid w:val="0079391D"/>
    <w:rsid w:val="00794A80"/>
    <w:rsid w:val="00794BFF"/>
    <w:rsid w:val="00794CD1"/>
    <w:rsid w:val="00794D24"/>
    <w:rsid w:val="00794F36"/>
    <w:rsid w:val="00796B0F"/>
    <w:rsid w:val="00796D1E"/>
    <w:rsid w:val="00796F34"/>
    <w:rsid w:val="0079716C"/>
    <w:rsid w:val="0079720E"/>
    <w:rsid w:val="007A0CBE"/>
    <w:rsid w:val="007A25A4"/>
    <w:rsid w:val="007A2A86"/>
    <w:rsid w:val="007A33D6"/>
    <w:rsid w:val="007A4021"/>
    <w:rsid w:val="007A47CD"/>
    <w:rsid w:val="007A4BCF"/>
    <w:rsid w:val="007A4BD7"/>
    <w:rsid w:val="007A5C53"/>
    <w:rsid w:val="007A5E3A"/>
    <w:rsid w:val="007A65BB"/>
    <w:rsid w:val="007A6CC1"/>
    <w:rsid w:val="007A7B85"/>
    <w:rsid w:val="007A7C76"/>
    <w:rsid w:val="007B07A0"/>
    <w:rsid w:val="007B0CED"/>
    <w:rsid w:val="007B1756"/>
    <w:rsid w:val="007B1959"/>
    <w:rsid w:val="007B1BF8"/>
    <w:rsid w:val="007B22BB"/>
    <w:rsid w:val="007B2684"/>
    <w:rsid w:val="007B2EAC"/>
    <w:rsid w:val="007B396D"/>
    <w:rsid w:val="007B3CB3"/>
    <w:rsid w:val="007B3D53"/>
    <w:rsid w:val="007B4878"/>
    <w:rsid w:val="007B4FAD"/>
    <w:rsid w:val="007B55AE"/>
    <w:rsid w:val="007B751D"/>
    <w:rsid w:val="007B7C5F"/>
    <w:rsid w:val="007C1BE0"/>
    <w:rsid w:val="007C2661"/>
    <w:rsid w:val="007C39B4"/>
    <w:rsid w:val="007C42E3"/>
    <w:rsid w:val="007C5658"/>
    <w:rsid w:val="007C59C8"/>
    <w:rsid w:val="007C6EE3"/>
    <w:rsid w:val="007C77FE"/>
    <w:rsid w:val="007D0E20"/>
    <w:rsid w:val="007D1B0D"/>
    <w:rsid w:val="007D2278"/>
    <w:rsid w:val="007D29FE"/>
    <w:rsid w:val="007D2B28"/>
    <w:rsid w:val="007D47D6"/>
    <w:rsid w:val="007D53D4"/>
    <w:rsid w:val="007D75FB"/>
    <w:rsid w:val="007E0E94"/>
    <w:rsid w:val="007E0F8C"/>
    <w:rsid w:val="007E2562"/>
    <w:rsid w:val="007E26E9"/>
    <w:rsid w:val="007E2FAA"/>
    <w:rsid w:val="007E362A"/>
    <w:rsid w:val="007E528C"/>
    <w:rsid w:val="007E5332"/>
    <w:rsid w:val="007E6393"/>
    <w:rsid w:val="007E6E2C"/>
    <w:rsid w:val="007F1024"/>
    <w:rsid w:val="007F11D4"/>
    <w:rsid w:val="007F152E"/>
    <w:rsid w:val="007F1B9E"/>
    <w:rsid w:val="007F2FC7"/>
    <w:rsid w:val="007F3E41"/>
    <w:rsid w:val="007F4824"/>
    <w:rsid w:val="007F54F9"/>
    <w:rsid w:val="007F5987"/>
    <w:rsid w:val="007F677E"/>
    <w:rsid w:val="007F6A7A"/>
    <w:rsid w:val="007F6F6E"/>
    <w:rsid w:val="007F7997"/>
    <w:rsid w:val="008006A5"/>
    <w:rsid w:val="00800824"/>
    <w:rsid w:val="00801054"/>
    <w:rsid w:val="008015BF"/>
    <w:rsid w:val="008020C3"/>
    <w:rsid w:val="00802293"/>
    <w:rsid w:val="008023F8"/>
    <w:rsid w:val="00802D54"/>
    <w:rsid w:val="00802DF4"/>
    <w:rsid w:val="00803683"/>
    <w:rsid w:val="00804CF8"/>
    <w:rsid w:val="008052CB"/>
    <w:rsid w:val="00805CE5"/>
    <w:rsid w:val="008070AF"/>
    <w:rsid w:val="00810D31"/>
    <w:rsid w:val="008111ED"/>
    <w:rsid w:val="008117B4"/>
    <w:rsid w:val="00811C1A"/>
    <w:rsid w:val="00812104"/>
    <w:rsid w:val="0081242F"/>
    <w:rsid w:val="0081289B"/>
    <w:rsid w:val="00812D46"/>
    <w:rsid w:val="0081395C"/>
    <w:rsid w:val="00813CED"/>
    <w:rsid w:val="00814F71"/>
    <w:rsid w:val="0081551D"/>
    <w:rsid w:val="0081562C"/>
    <w:rsid w:val="00815B61"/>
    <w:rsid w:val="0081677D"/>
    <w:rsid w:val="00816A0A"/>
    <w:rsid w:val="00816C92"/>
    <w:rsid w:val="00817884"/>
    <w:rsid w:val="00817E69"/>
    <w:rsid w:val="00820DFB"/>
    <w:rsid w:val="0082113D"/>
    <w:rsid w:val="00821862"/>
    <w:rsid w:val="0082222E"/>
    <w:rsid w:val="00822692"/>
    <w:rsid w:val="00824F27"/>
    <w:rsid w:val="00826B16"/>
    <w:rsid w:val="008272E7"/>
    <w:rsid w:val="00827AB2"/>
    <w:rsid w:val="0083010C"/>
    <w:rsid w:val="008302E8"/>
    <w:rsid w:val="00830698"/>
    <w:rsid w:val="0083167E"/>
    <w:rsid w:val="00832121"/>
    <w:rsid w:val="00832BCA"/>
    <w:rsid w:val="00832C92"/>
    <w:rsid w:val="00832CCD"/>
    <w:rsid w:val="0083311E"/>
    <w:rsid w:val="00833CEC"/>
    <w:rsid w:val="008358E6"/>
    <w:rsid w:val="00836087"/>
    <w:rsid w:val="008360C7"/>
    <w:rsid w:val="00836675"/>
    <w:rsid w:val="00836FE9"/>
    <w:rsid w:val="00837BBB"/>
    <w:rsid w:val="0084036A"/>
    <w:rsid w:val="00840A97"/>
    <w:rsid w:val="00843EEA"/>
    <w:rsid w:val="00843F2B"/>
    <w:rsid w:val="00844453"/>
    <w:rsid w:val="00844A6E"/>
    <w:rsid w:val="00844A79"/>
    <w:rsid w:val="00844CDF"/>
    <w:rsid w:val="00846E25"/>
    <w:rsid w:val="00847AF8"/>
    <w:rsid w:val="00851A89"/>
    <w:rsid w:val="00852330"/>
    <w:rsid w:val="00852693"/>
    <w:rsid w:val="0085360B"/>
    <w:rsid w:val="00854976"/>
    <w:rsid w:val="00855419"/>
    <w:rsid w:val="00856490"/>
    <w:rsid w:val="00856F75"/>
    <w:rsid w:val="00857215"/>
    <w:rsid w:val="008601A3"/>
    <w:rsid w:val="00861855"/>
    <w:rsid w:val="008628FF"/>
    <w:rsid w:val="00862A42"/>
    <w:rsid w:val="00862C4C"/>
    <w:rsid w:val="00862C94"/>
    <w:rsid w:val="00862EA2"/>
    <w:rsid w:val="00862F7C"/>
    <w:rsid w:val="0086331C"/>
    <w:rsid w:val="00863F5B"/>
    <w:rsid w:val="00864DFE"/>
    <w:rsid w:val="0086637F"/>
    <w:rsid w:val="0086661C"/>
    <w:rsid w:val="00867C01"/>
    <w:rsid w:val="00867F0B"/>
    <w:rsid w:val="00870A5B"/>
    <w:rsid w:val="00870DC7"/>
    <w:rsid w:val="0087164C"/>
    <w:rsid w:val="00871B04"/>
    <w:rsid w:val="00871C7A"/>
    <w:rsid w:val="00872CF8"/>
    <w:rsid w:val="00874350"/>
    <w:rsid w:val="00874791"/>
    <w:rsid w:val="00874A3F"/>
    <w:rsid w:val="00874AE2"/>
    <w:rsid w:val="00875B77"/>
    <w:rsid w:val="00875D89"/>
    <w:rsid w:val="00876640"/>
    <w:rsid w:val="00876DFD"/>
    <w:rsid w:val="00877913"/>
    <w:rsid w:val="00877B9E"/>
    <w:rsid w:val="008808F9"/>
    <w:rsid w:val="00881562"/>
    <w:rsid w:val="00883DD6"/>
    <w:rsid w:val="00885EF2"/>
    <w:rsid w:val="008863AD"/>
    <w:rsid w:val="0088691B"/>
    <w:rsid w:val="00886E79"/>
    <w:rsid w:val="008873F9"/>
    <w:rsid w:val="00887692"/>
    <w:rsid w:val="00887C23"/>
    <w:rsid w:val="00891368"/>
    <w:rsid w:val="00891376"/>
    <w:rsid w:val="00892D7B"/>
    <w:rsid w:val="00893126"/>
    <w:rsid w:val="00893165"/>
    <w:rsid w:val="00893FDF"/>
    <w:rsid w:val="008942DE"/>
    <w:rsid w:val="00895C04"/>
    <w:rsid w:val="00896018"/>
    <w:rsid w:val="0089671E"/>
    <w:rsid w:val="00897DF6"/>
    <w:rsid w:val="008A02C4"/>
    <w:rsid w:val="008A0389"/>
    <w:rsid w:val="008A07EF"/>
    <w:rsid w:val="008A0828"/>
    <w:rsid w:val="008A14F1"/>
    <w:rsid w:val="008A1AF4"/>
    <w:rsid w:val="008A1D80"/>
    <w:rsid w:val="008A1F53"/>
    <w:rsid w:val="008A3A35"/>
    <w:rsid w:val="008A3B90"/>
    <w:rsid w:val="008A3E06"/>
    <w:rsid w:val="008A405D"/>
    <w:rsid w:val="008A430C"/>
    <w:rsid w:val="008A515C"/>
    <w:rsid w:val="008A52AF"/>
    <w:rsid w:val="008A5B28"/>
    <w:rsid w:val="008A63A0"/>
    <w:rsid w:val="008A6BA1"/>
    <w:rsid w:val="008A77C4"/>
    <w:rsid w:val="008B0163"/>
    <w:rsid w:val="008B0686"/>
    <w:rsid w:val="008B0E0F"/>
    <w:rsid w:val="008B14D9"/>
    <w:rsid w:val="008B1BEC"/>
    <w:rsid w:val="008B228E"/>
    <w:rsid w:val="008B3B6F"/>
    <w:rsid w:val="008B4C66"/>
    <w:rsid w:val="008B500A"/>
    <w:rsid w:val="008B51E6"/>
    <w:rsid w:val="008B5632"/>
    <w:rsid w:val="008B698E"/>
    <w:rsid w:val="008B6C99"/>
    <w:rsid w:val="008B7F30"/>
    <w:rsid w:val="008C0951"/>
    <w:rsid w:val="008C12CD"/>
    <w:rsid w:val="008C1917"/>
    <w:rsid w:val="008C1AC3"/>
    <w:rsid w:val="008C1BFF"/>
    <w:rsid w:val="008C1D2B"/>
    <w:rsid w:val="008C248B"/>
    <w:rsid w:val="008C3230"/>
    <w:rsid w:val="008C32E7"/>
    <w:rsid w:val="008C5763"/>
    <w:rsid w:val="008C58C3"/>
    <w:rsid w:val="008C5B4E"/>
    <w:rsid w:val="008C5BD3"/>
    <w:rsid w:val="008C69DA"/>
    <w:rsid w:val="008C6BA2"/>
    <w:rsid w:val="008C7CAE"/>
    <w:rsid w:val="008D0EC6"/>
    <w:rsid w:val="008D13C7"/>
    <w:rsid w:val="008D2BE3"/>
    <w:rsid w:val="008D3FF8"/>
    <w:rsid w:val="008D409C"/>
    <w:rsid w:val="008D44D8"/>
    <w:rsid w:val="008D4C95"/>
    <w:rsid w:val="008D53EE"/>
    <w:rsid w:val="008D60B6"/>
    <w:rsid w:val="008D6631"/>
    <w:rsid w:val="008D7035"/>
    <w:rsid w:val="008D774B"/>
    <w:rsid w:val="008D7E89"/>
    <w:rsid w:val="008E2307"/>
    <w:rsid w:val="008E237B"/>
    <w:rsid w:val="008E2996"/>
    <w:rsid w:val="008E29B7"/>
    <w:rsid w:val="008E3528"/>
    <w:rsid w:val="008E3E16"/>
    <w:rsid w:val="008E4327"/>
    <w:rsid w:val="008E4E74"/>
    <w:rsid w:val="008E5596"/>
    <w:rsid w:val="008E5818"/>
    <w:rsid w:val="008E64FC"/>
    <w:rsid w:val="008E70A4"/>
    <w:rsid w:val="008E70F2"/>
    <w:rsid w:val="008E765B"/>
    <w:rsid w:val="008E7A1B"/>
    <w:rsid w:val="008E7D03"/>
    <w:rsid w:val="008F0196"/>
    <w:rsid w:val="008F144F"/>
    <w:rsid w:val="008F1BDE"/>
    <w:rsid w:val="008F21B5"/>
    <w:rsid w:val="008F26B8"/>
    <w:rsid w:val="008F2F99"/>
    <w:rsid w:val="008F4090"/>
    <w:rsid w:val="008F41E3"/>
    <w:rsid w:val="008F5DE2"/>
    <w:rsid w:val="008F634C"/>
    <w:rsid w:val="008F63C1"/>
    <w:rsid w:val="008F6835"/>
    <w:rsid w:val="008F6D3D"/>
    <w:rsid w:val="008F6F5C"/>
    <w:rsid w:val="008F7305"/>
    <w:rsid w:val="008F79AC"/>
    <w:rsid w:val="008F7C46"/>
    <w:rsid w:val="00900347"/>
    <w:rsid w:val="0090048F"/>
    <w:rsid w:val="00900C75"/>
    <w:rsid w:val="00900D54"/>
    <w:rsid w:val="00901633"/>
    <w:rsid w:val="0090192D"/>
    <w:rsid w:val="00901985"/>
    <w:rsid w:val="00902564"/>
    <w:rsid w:val="00903773"/>
    <w:rsid w:val="0090546C"/>
    <w:rsid w:val="00905E1B"/>
    <w:rsid w:val="0090794B"/>
    <w:rsid w:val="00907C16"/>
    <w:rsid w:val="0091021B"/>
    <w:rsid w:val="00912E4E"/>
    <w:rsid w:val="0091305B"/>
    <w:rsid w:val="00913291"/>
    <w:rsid w:val="00913CFC"/>
    <w:rsid w:val="00914899"/>
    <w:rsid w:val="00914D7A"/>
    <w:rsid w:val="0091563E"/>
    <w:rsid w:val="009163F6"/>
    <w:rsid w:val="009167C8"/>
    <w:rsid w:val="00917259"/>
    <w:rsid w:val="00917CDC"/>
    <w:rsid w:val="00920092"/>
    <w:rsid w:val="0092037B"/>
    <w:rsid w:val="0092126D"/>
    <w:rsid w:val="00921E0A"/>
    <w:rsid w:val="00923541"/>
    <w:rsid w:val="00923BB8"/>
    <w:rsid w:val="00923C78"/>
    <w:rsid w:val="00923D6A"/>
    <w:rsid w:val="00926584"/>
    <w:rsid w:val="00926B4C"/>
    <w:rsid w:val="00926D6E"/>
    <w:rsid w:val="00927471"/>
    <w:rsid w:val="009278CA"/>
    <w:rsid w:val="00927E08"/>
    <w:rsid w:val="00927E3C"/>
    <w:rsid w:val="009304CE"/>
    <w:rsid w:val="00930E81"/>
    <w:rsid w:val="00931259"/>
    <w:rsid w:val="00932775"/>
    <w:rsid w:val="00932AB0"/>
    <w:rsid w:val="009333B1"/>
    <w:rsid w:val="00933C49"/>
    <w:rsid w:val="00933CD6"/>
    <w:rsid w:val="009342F8"/>
    <w:rsid w:val="00934BB4"/>
    <w:rsid w:val="00934CE9"/>
    <w:rsid w:val="00934CF7"/>
    <w:rsid w:val="00935554"/>
    <w:rsid w:val="00935F1B"/>
    <w:rsid w:val="0093604D"/>
    <w:rsid w:val="009360BF"/>
    <w:rsid w:val="00937CAA"/>
    <w:rsid w:val="00937E5F"/>
    <w:rsid w:val="00940C5B"/>
    <w:rsid w:val="00940D33"/>
    <w:rsid w:val="00941457"/>
    <w:rsid w:val="009417C1"/>
    <w:rsid w:val="00941BD7"/>
    <w:rsid w:val="00942085"/>
    <w:rsid w:val="00943F60"/>
    <w:rsid w:val="00946178"/>
    <w:rsid w:val="00946BF4"/>
    <w:rsid w:val="00946E58"/>
    <w:rsid w:val="00950EAD"/>
    <w:rsid w:val="0095151E"/>
    <w:rsid w:val="00953180"/>
    <w:rsid w:val="0095337B"/>
    <w:rsid w:val="00953994"/>
    <w:rsid w:val="009547F7"/>
    <w:rsid w:val="00955D9A"/>
    <w:rsid w:val="0095658E"/>
    <w:rsid w:val="00957529"/>
    <w:rsid w:val="00957EED"/>
    <w:rsid w:val="00960799"/>
    <w:rsid w:val="00960B4A"/>
    <w:rsid w:val="00961E0F"/>
    <w:rsid w:val="00962477"/>
    <w:rsid w:val="0096259B"/>
    <w:rsid w:val="00963390"/>
    <w:rsid w:val="0096422A"/>
    <w:rsid w:val="00964515"/>
    <w:rsid w:val="00964B96"/>
    <w:rsid w:val="00964E4F"/>
    <w:rsid w:val="009660BF"/>
    <w:rsid w:val="009667AE"/>
    <w:rsid w:val="00966A71"/>
    <w:rsid w:val="009670B3"/>
    <w:rsid w:val="0097067D"/>
    <w:rsid w:val="0097074C"/>
    <w:rsid w:val="00970AD2"/>
    <w:rsid w:val="00970D85"/>
    <w:rsid w:val="00970E05"/>
    <w:rsid w:val="00971B03"/>
    <w:rsid w:val="009722D2"/>
    <w:rsid w:val="00972914"/>
    <w:rsid w:val="0097292C"/>
    <w:rsid w:val="00973259"/>
    <w:rsid w:val="009749F5"/>
    <w:rsid w:val="009763AE"/>
    <w:rsid w:val="009768E1"/>
    <w:rsid w:val="00976C05"/>
    <w:rsid w:val="00977667"/>
    <w:rsid w:val="009779AC"/>
    <w:rsid w:val="00977A84"/>
    <w:rsid w:val="0098019A"/>
    <w:rsid w:val="0098055B"/>
    <w:rsid w:val="009817AA"/>
    <w:rsid w:val="00983F49"/>
    <w:rsid w:val="0098438A"/>
    <w:rsid w:val="009852B8"/>
    <w:rsid w:val="009862C6"/>
    <w:rsid w:val="00986BB5"/>
    <w:rsid w:val="00987725"/>
    <w:rsid w:val="009914A7"/>
    <w:rsid w:val="0099164E"/>
    <w:rsid w:val="00992AEE"/>
    <w:rsid w:val="00992CDC"/>
    <w:rsid w:val="00993442"/>
    <w:rsid w:val="00993C1A"/>
    <w:rsid w:val="00993F3C"/>
    <w:rsid w:val="00994945"/>
    <w:rsid w:val="00994B7E"/>
    <w:rsid w:val="00996253"/>
    <w:rsid w:val="009966A3"/>
    <w:rsid w:val="00997995"/>
    <w:rsid w:val="009A1842"/>
    <w:rsid w:val="009A1A60"/>
    <w:rsid w:val="009A20E6"/>
    <w:rsid w:val="009A24E2"/>
    <w:rsid w:val="009A26B5"/>
    <w:rsid w:val="009A3519"/>
    <w:rsid w:val="009A3DE9"/>
    <w:rsid w:val="009A41D2"/>
    <w:rsid w:val="009A4DDF"/>
    <w:rsid w:val="009A5437"/>
    <w:rsid w:val="009A6950"/>
    <w:rsid w:val="009A7CE8"/>
    <w:rsid w:val="009B093B"/>
    <w:rsid w:val="009B0A5E"/>
    <w:rsid w:val="009B10C1"/>
    <w:rsid w:val="009B1AAD"/>
    <w:rsid w:val="009B2295"/>
    <w:rsid w:val="009B25B6"/>
    <w:rsid w:val="009B4B16"/>
    <w:rsid w:val="009B518E"/>
    <w:rsid w:val="009B53D7"/>
    <w:rsid w:val="009B5FB5"/>
    <w:rsid w:val="009B61D3"/>
    <w:rsid w:val="009B6BA8"/>
    <w:rsid w:val="009B707D"/>
    <w:rsid w:val="009C0488"/>
    <w:rsid w:val="009C23D4"/>
    <w:rsid w:val="009C2B2B"/>
    <w:rsid w:val="009C3917"/>
    <w:rsid w:val="009C4125"/>
    <w:rsid w:val="009C4425"/>
    <w:rsid w:val="009C4AE9"/>
    <w:rsid w:val="009C62C7"/>
    <w:rsid w:val="009C651B"/>
    <w:rsid w:val="009C6889"/>
    <w:rsid w:val="009C69EE"/>
    <w:rsid w:val="009C7B68"/>
    <w:rsid w:val="009D0290"/>
    <w:rsid w:val="009D0935"/>
    <w:rsid w:val="009D0D2D"/>
    <w:rsid w:val="009D173C"/>
    <w:rsid w:val="009D2D4D"/>
    <w:rsid w:val="009D3371"/>
    <w:rsid w:val="009D3CE7"/>
    <w:rsid w:val="009D4783"/>
    <w:rsid w:val="009D4ADB"/>
    <w:rsid w:val="009D539F"/>
    <w:rsid w:val="009D5679"/>
    <w:rsid w:val="009D57C6"/>
    <w:rsid w:val="009D6322"/>
    <w:rsid w:val="009D6AAD"/>
    <w:rsid w:val="009D71FB"/>
    <w:rsid w:val="009D74C4"/>
    <w:rsid w:val="009E03CA"/>
    <w:rsid w:val="009E0497"/>
    <w:rsid w:val="009E0FE2"/>
    <w:rsid w:val="009E19B8"/>
    <w:rsid w:val="009E1E02"/>
    <w:rsid w:val="009E2507"/>
    <w:rsid w:val="009E2739"/>
    <w:rsid w:val="009E27EC"/>
    <w:rsid w:val="009E30DF"/>
    <w:rsid w:val="009E3DDB"/>
    <w:rsid w:val="009E4679"/>
    <w:rsid w:val="009E6058"/>
    <w:rsid w:val="009E68A9"/>
    <w:rsid w:val="009E6A67"/>
    <w:rsid w:val="009E7725"/>
    <w:rsid w:val="009E7EC2"/>
    <w:rsid w:val="009F10FF"/>
    <w:rsid w:val="009F2720"/>
    <w:rsid w:val="009F2C63"/>
    <w:rsid w:val="009F438F"/>
    <w:rsid w:val="009F549E"/>
    <w:rsid w:val="009F62F9"/>
    <w:rsid w:val="009F6674"/>
    <w:rsid w:val="009F68F3"/>
    <w:rsid w:val="009F6D3B"/>
    <w:rsid w:val="009F7E54"/>
    <w:rsid w:val="00A0000E"/>
    <w:rsid w:val="00A0027B"/>
    <w:rsid w:val="00A00C69"/>
    <w:rsid w:val="00A0239F"/>
    <w:rsid w:val="00A027AD"/>
    <w:rsid w:val="00A027C9"/>
    <w:rsid w:val="00A03850"/>
    <w:rsid w:val="00A05109"/>
    <w:rsid w:val="00A0541B"/>
    <w:rsid w:val="00A05CB1"/>
    <w:rsid w:val="00A062CC"/>
    <w:rsid w:val="00A06C1E"/>
    <w:rsid w:val="00A06D76"/>
    <w:rsid w:val="00A06E90"/>
    <w:rsid w:val="00A101C5"/>
    <w:rsid w:val="00A1089F"/>
    <w:rsid w:val="00A1228C"/>
    <w:rsid w:val="00A12622"/>
    <w:rsid w:val="00A1330F"/>
    <w:rsid w:val="00A135AE"/>
    <w:rsid w:val="00A13928"/>
    <w:rsid w:val="00A15818"/>
    <w:rsid w:val="00A15983"/>
    <w:rsid w:val="00A16AE4"/>
    <w:rsid w:val="00A16E3E"/>
    <w:rsid w:val="00A17267"/>
    <w:rsid w:val="00A17835"/>
    <w:rsid w:val="00A20E33"/>
    <w:rsid w:val="00A20FD4"/>
    <w:rsid w:val="00A21A52"/>
    <w:rsid w:val="00A21FED"/>
    <w:rsid w:val="00A25604"/>
    <w:rsid w:val="00A2703A"/>
    <w:rsid w:val="00A3067C"/>
    <w:rsid w:val="00A308CA"/>
    <w:rsid w:val="00A3090B"/>
    <w:rsid w:val="00A309E7"/>
    <w:rsid w:val="00A30D54"/>
    <w:rsid w:val="00A321E6"/>
    <w:rsid w:val="00A3267E"/>
    <w:rsid w:val="00A3706A"/>
    <w:rsid w:val="00A37368"/>
    <w:rsid w:val="00A37646"/>
    <w:rsid w:val="00A400AC"/>
    <w:rsid w:val="00A40375"/>
    <w:rsid w:val="00A4129D"/>
    <w:rsid w:val="00A41D25"/>
    <w:rsid w:val="00A4242C"/>
    <w:rsid w:val="00A42540"/>
    <w:rsid w:val="00A42891"/>
    <w:rsid w:val="00A42947"/>
    <w:rsid w:val="00A42F0E"/>
    <w:rsid w:val="00A436C1"/>
    <w:rsid w:val="00A43E05"/>
    <w:rsid w:val="00A44590"/>
    <w:rsid w:val="00A44A7C"/>
    <w:rsid w:val="00A44CEA"/>
    <w:rsid w:val="00A45A97"/>
    <w:rsid w:val="00A45BFC"/>
    <w:rsid w:val="00A463CC"/>
    <w:rsid w:val="00A47579"/>
    <w:rsid w:val="00A47767"/>
    <w:rsid w:val="00A47D28"/>
    <w:rsid w:val="00A52978"/>
    <w:rsid w:val="00A530DD"/>
    <w:rsid w:val="00A53971"/>
    <w:rsid w:val="00A53FE9"/>
    <w:rsid w:val="00A5418C"/>
    <w:rsid w:val="00A550DE"/>
    <w:rsid w:val="00A551B5"/>
    <w:rsid w:val="00A553F8"/>
    <w:rsid w:val="00A56914"/>
    <w:rsid w:val="00A570F2"/>
    <w:rsid w:val="00A57560"/>
    <w:rsid w:val="00A57C64"/>
    <w:rsid w:val="00A6082D"/>
    <w:rsid w:val="00A611E6"/>
    <w:rsid w:val="00A62369"/>
    <w:rsid w:val="00A6298F"/>
    <w:rsid w:val="00A63230"/>
    <w:rsid w:val="00A63AB9"/>
    <w:rsid w:val="00A63B4A"/>
    <w:rsid w:val="00A63F75"/>
    <w:rsid w:val="00A651C6"/>
    <w:rsid w:val="00A652D8"/>
    <w:rsid w:val="00A65A6A"/>
    <w:rsid w:val="00A65CCF"/>
    <w:rsid w:val="00A671A6"/>
    <w:rsid w:val="00A67680"/>
    <w:rsid w:val="00A70355"/>
    <w:rsid w:val="00A70798"/>
    <w:rsid w:val="00A712FE"/>
    <w:rsid w:val="00A71E55"/>
    <w:rsid w:val="00A72D5D"/>
    <w:rsid w:val="00A73505"/>
    <w:rsid w:val="00A73762"/>
    <w:rsid w:val="00A73AE1"/>
    <w:rsid w:val="00A73C82"/>
    <w:rsid w:val="00A74603"/>
    <w:rsid w:val="00A7471A"/>
    <w:rsid w:val="00A767F9"/>
    <w:rsid w:val="00A76B47"/>
    <w:rsid w:val="00A80529"/>
    <w:rsid w:val="00A8078C"/>
    <w:rsid w:val="00A807AB"/>
    <w:rsid w:val="00A808A0"/>
    <w:rsid w:val="00A82444"/>
    <w:rsid w:val="00A8324C"/>
    <w:rsid w:val="00A83A25"/>
    <w:rsid w:val="00A83ADE"/>
    <w:rsid w:val="00A83CBB"/>
    <w:rsid w:val="00A84462"/>
    <w:rsid w:val="00A84D7C"/>
    <w:rsid w:val="00A8646D"/>
    <w:rsid w:val="00A8699F"/>
    <w:rsid w:val="00A87074"/>
    <w:rsid w:val="00A870A6"/>
    <w:rsid w:val="00A875AC"/>
    <w:rsid w:val="00A87772"/>
    <w:rsid w:val="00A87F35"/>
    <w:rsid w:val="00A87F8E"/>
    <w:rsid w:val="00A90A5C"/>
    <w:rsid w:val="00A90A75"/>
    <w:rsid w:val="00A917F8"/>
    <w:rsid w:val="00A91A75"/>
    <w:rsid w:val="00A92DFE"/>
    <w:rsid w:val="00A9398D"/>
    <w:rsid w:val="00A94994"/>
    <w:rsid w:val="00A951DF"/>
    <w:rsid w:val="00A957A2"/>
    <w:rsid w:val="00A95E72"/>
    <w:rsid w:val="00A95F1A"/>
    <w:rsid w:val="00A96629"/>
    <w:rsid w:val="00A97189"/>
    <w:rsid w:val="00A97B7F"/>
    <w:rsid w:val="00AA0496"/>
    <w:rsid w:val="00AA1112"/>
    <w:rsid w:val="00AA1897"/>
    <w:rsid w:val="00AA1CE0"/>
    <w:rsid w:val="00AA2C10"/>
    <w:rsid w:val="00AA3022"/>
    <w:rsid w:val="00AA3D7D"/>
    <w:rsid w:val="00AA475C"/>
    <w:rsid w:val="00AA53F1"/>
    <w:rsid w:val="00AA6F17"/>
    <w:rsid w:val="00AB089E"/>
    <w:rsid w:val="00AB313B"/>
    <w:rsid w:val="00AB32F3"/>
    <w:rsid w:val="00AB4089"/>
    <w:rsid w:val="00AB5795"/>
    <w:rsid w:val="00AB6D57"/>
    <w:rsid w:val="00AB76A4"/>
    <w:rsid w:val="00AC1265"/>
    <w:rsid w:val="00AC16EF"/>
    <w:rsid w:val="00AC2309"/>
    <w:rsid w:val="00AC2F5F"/>
    <w:rsid w:val="00AC2F98"/>
    <w:rsid w:val="00AC470E"/>
    <w:rsid w:val="00AC4AF6"/>
    <w:rsid w:val="00AC6B8C"/>
    <w:rsid w:val="00AC7A56"/>
    <w:rsid w:val="00AD0468"/>
    <w:rsid w:val="00AD10C6"/>
    <w:rsid w:val="00AD151D"/>
    <w:rsid w:val="00AD2537"/>
    <w:rsid w:val="00AD2BB1"/>
    <w:rsid w:val="00AD4A0A"/>
    <w:rsid w:val="00AD4FBF"/>
    <w:rsid w:val="00AD565C"/>
    <w:rsid w:val="00AD5C8E"/>
    <w:rsid w:val="00AD6821"/>
    <w:rsid w:val="00AD6A9B"/>
    <w:rsid w:val="00AD6BFB"/>
    <w:rsid w:val="00AE17DF"/>
    <w:rsid w:val="00AE1A55"/>
    <w:rsid w:val="00AE1FD5"/>
    <w:rsid w:val="00AE257D"/>
    <w:rsid w:val="00AE31E8"/>
    <w:rsid w:val="00AE4A83"/>
    <w:rsid w:val="00AE4A9E"/>
    <w:rsid w:val="00AE5333"/>
    <w:rsid w:val="00AE7546"/>
    <w:rsid w:val="00AE7871"/>
    <w:rsid w:val="00AE7A85"/>
    <w:rsid w:val="00AE7EC5"/>
    <w:rsid w:val="00AF1038"/>
    <w:rsid w:val="00AF1B38"/>
    <w:rsid w:val="00AF25DB"/>
    <w:rsid w:val="00AF2902"/>
    <w:rsid w:val="00AF3078"/>
    <w:rsid w:val="00AF40C7"/>
    <w:rsid w:val="00AF466C"/>
    <w:rsid w:val="00AF4B93"/>
    <w:rsid w:val="00AF4F9E"/>
    <w:rsid w:val="00AF54DB"/>
    <w:rsid w:val="00AF57A8"/>
    <w:rsid w:val="00AF5DE5"/>
    <w:rsid w:val="00AF6A92"/>
    <w:rsid w:val="00B004C9"/>
    <w:rsid w:val="00B00CDB"/>
    <w:rsid w:val="00B01418"/>
    <w:rsid w:val="00B03453"/>
    <w:rsid w:val="00B037CF"/>
    <w:rsid w:val="00B03E79"/>
    <w:rsid w:val="00B04F7D"/>
    <w:rsid w:val="00B053C3"/>
    <w:rsid w:val="00B054DA"/>
    <w:rsid w:val="00B05D1C"/>
    <w:rsid w:val="00B05F52"/>
    <w:rsid w:val="00B0606C"/>
    <w:rsid w:val="00B0653C"/>
    <w:rsid w:val="00B07777"/>
    <w:rsid w:val="00B077C9"/>
    <w:rsid w:val="00B07B5F"/>
    <w:rsid w:val="00B10484"/>
    <w:rsid w:val="00B11862"/>
    <w:rsid w:val="00B11ACD"/>
    <w:rsid w:val="00B12470"/>
    <w:rsid w:val="00B12568"/>
    <w:rsid w:val="00B132EF"/>
    <w:rsid w:val="00B13753"/>
    <w:rsid w:val="00B1447D"/>
    <w:rsid w:val="00B145E9"/>
    <w:rsid w:val="00B14D82"/>
    <w:rsid w:val="00B1555C"/>
    <w:rsid w:val="00B15742"/>
    <w:rsid w:val="00B17E8D"/>
    <w:rsid w:val="00B20460"/>
    <w:rsid w:val="00B20959"/>
    <w:rsid w:val="00B21B68"/>
    <w:rsid w:val="00B21D53"/>
    <w:rsid w:val="00B22422"/>
    <w:rsid w:val="00B22675"/>
    <w:rsid w:val="00B22E4B"/>
    <w:rsid w:val="00B22E99"/>
    <w:rsid w:val="00B23380"/>
    <w:rsid w:val="00B24B43"/>
    <w:rsid w:val="00B25109"/>
    <w:rsid w:val="00B259DF"/>
    <w:rsid w:val="00B25D3B"/>
    <w:rsid w:val="00B26FCC"/>
    <w:rsid w:val="00B27D7A"/>
    <w:rsid w:val="00B27F92"/>
    <w:rsid w:val="00B30101"/>
    <w:rsid w:val="00B30162"/>
    <w:rsid w:val="00B3135A"/>
    <w:rsid w:val="00B31FDF"/>
    <w:rsid w:val="00B34450"/>
    <w:rsid w:val="00B3494F"/>
    <w:rsid w:val="00B349D6"/>
    <w:rsid w:val="00B349DD"/>
    <w:rsid w:val="00B353F1"/>
    <w:rsid w:val="00B35A5F"/>
    <w:rsid w:val="00B35A8C"/>
    <w:rsid w:val="00B35D7C"/>
    <w:rsid w:val="00B36476"/>
    <w:rsid w:val="00B37A06"/>
    <w:rsid w:val="00B402C8"/>
    <w:rsid w:val="00B409B3"/>
    <w:rsid w:val="00B40C0D"/>
    <w:rsid w:val="00B4238E"/>
    <w:rsid w:val="00B429CC"/>
    <w:rsid w:val="00B441AC"/>
    <w:rsid w:val="00B44421"/>
    <w:rsid w:val="00B44770"/>
    <w:rsid w:val="00B460DC"/>
    <w:rsid w:val="00B46980"/>
    <w:rsid w:val="00B46F9D"/>
    <w:rsid w:val="00B47465"/>
    <w:rsid w:val="00B50239"/>
    <w:rsid w:val="00B5068F"/>
    <w:rsid w:val="00B510EE"/>
    <w:rsid w:val="00B51329"/>
    <w:rsid w:val="00B53FBE"/>
    <w:rsid w:val="00B54E89"/>
    <w:rsid w:val="00B54F1D"/>
    <w:rsid w:val="00B55312"/>
    <w:rsid w:val="00B5592B"/>
    <w:rsid w:val="00B56166"/>
    <w:rsid w:val="00B562E0"/>
    <w:rsid w:val="00B565E7"/>
    <w:rsid w:val="00B56DF2"/>
    <w:rsid w:val="00B572BA"/>
    <w:rsid w:val="00B57FC0"/>
    <w:rsid w:val="00B60003"/>
    <w:rsid w:val="00B6258F"/>
    <w:rsid w:val="00B62CEA"/>
    <w:rsid w:val="00B63009"/>
    <w:rsid w:val="00B63A9B"/>
    <w:rsid w:val="00B650E0"/>
    <w:rsid w:val="00B65556"/>
    <w:rsid w:val="00B65D3F"/>
    <w:rsid w:val="00B66A47"/>
    <w:rsid w:val="00B66B55"/>
    <w:rsid w:val="00B67675"/>
    <w:rsid w:val="00B67F9F"/>
    <w:rsid w:val="00B70CB9"/>
    <w:rsid w:val="00B711BB"/>
    <w:rsid w:val="00B73DBA"/>
    <w:rsid w:val="00B742BF"/>
    <w:rsid w:val="00B762F9"/>
    <w:rsid w:val="00B776A1"/>
    <w:rsid w:val="00B801ED"/>
    <w:rsid w:val="00B8023B"/>
    <w:rsid w:val="00B8062B"/>
    <w:rsid w:val="00B80C19"/>
    <w:rsid w:val="00B832C9"/>
    <w:rsid w:val="00B83720"/>
    <w:rsid w:val="00B83A53"/>
    <w:rsid w:val="00B83AAB"/>
    <w:rsid w:val="00B83B53"/>
    <w:rsid w:val="00B83F38"/>
    <w:rsid w:val="00B84729"/>
    <w:rsid w:val="00B85309"/>
    <w:rsid w:val="00B8563B"/>
    <w:rsid w:val="00B86295"/>
    <w:rsid w:val="00B865A8"/>
    <w:rsid w:val="00B875AE"/>
    <w:rsid w:val="00B9013A"/>
    <w:rsid w:val="00B90304"/>
    <w:rsid w:val="00B9030A"/>
    <w:rsid w:val="00B90AC0"/>
    <w:rsid w:val="00B90DE3"/>
    <w:rsid w:val="00B92D26"/>
    <w:rsid w:val="00B92D4A"/>
    <w:rsid w:val="00B92E71"/>
    <w:rsid w:val="00B94383"/>
    <w:rsid w:val="00B94B50"/>
    <w:rsid w:val="00B94DF8"/>
    <w:rsid w:val="00B95F62"/>
    <w:rsid w:val="00B97277"/>
    <w:rsid w:val="00BA0079"/>
    <w:rsid w:val="00BA01F5"/>
    <w:rsid w:val="00BA0DF5"/>
    <w:rsid w:val="00BA18D2"/>
    <w:rsid w:val="00BA1CF5"/>
    <w:rsid w:val="00BA325C"/>
    <w:rsid w:val="00BA3C86"/>
    <w:rsid w:val="00BA4258"/>
    <w:rsid w:val="00BA4B72"/>
    <w:rsid w:val="00BA4CAC"/>
    <w:rsid w:val="00BA544D"/>
    <w:rsid w:val="00BA5DAB"/>
    <w:rsid w:val="00BA5E95"/>
    <w:rsid w:val="00BA670B"/>
    <w:rsid w:val="00BA6F32"/>
    <w:rsid w:val="00BB0398"/>
    <w:rsid w:val="00BB048D"/>
    <w:rsid w:val="00BB2290"/>
    <w:rsid w:val="00BB2499"/>
    <w:rsid w:val="00BB34FA"/>
    <w:rsid w:val="00BB35A1"/>
    <w:rsid w:val="00BB4E77"/>
    <w:rsid w:val="00BB707A"/>
    <w:rsid w:val="00BB7AA0"/>
    <w:rsid w:val="00BB7BB9"/>
    <w:rsid w:val="00BC001D"/>
    <w:rsid w:val="00BC1027"/>
    <w:rsid w:val="00BC106A"/>
    <w:rsid w:val="00BC10FD"/>
    <w:rsid w:val="00BC2560"/>
    <w:rsid w:val="00BC2588"/>
    <w:rsid w:val="00BC266B"/>
    <w:rsid w:val="00BC3A6F"/>
    <w:rsid w:val="00BC3AB4"/>
    <w:rsid w:val="00BC3F2B"/>
    <w:rsid w:val="00BC41CC"/>
    <w:rsid w:val="00BC4342"/>
    <w:rsid w:val="00BC510F"/>
    <w:rsid w:val="00BC55CA"/>
    <w:rsid w:val="00BC59D3"/>
    <w:rsid w:val="00BC6530"/>
    <w:rsid w:val="00BC6DC5"/>
    <w:rsid w:val="00BC70E6"/>
    <w:rsid w:val="00BC7779"/>
    <w:rsid w:val="00BC796A"/>
    <w:rsid w:val="00BD0BC1"/>
    <w:rsid w:val="00BD1EC0"/>
    <w:rsid w:val="00BD31A6"/>
    <w:rsid w:val="00BD3723"/>
    <w:rsid w:val="00BD44A3"/>
    <w:rsid w:val="00BD5550"/>
    <w:rsid w:val="00BD55C6"/>
    <w:rsid w:val="00BD607A"/>
    <w:rsid w:val="00BD684A"/>
    <w:rsid w:val="00BD7DFF"/>
    <w:rsid w:val="00BD7F1A"/>
    <w:rsid w:val="00BE0ABA"/>
    <w:rsid w:val="00BE0CBC"/>
    <w:rsid w:val="00BE1BC5"/>
    <w:rsid w:val="00BE1FC9"/>
    <w:rsid w:val="00BE2399"/>
    <w:rsid w:val="00BE31E8"/>
    <w:rsid w:val="00BE3364"/>
    <w:rsid w:val="00BE3F39"/>
    <w:rsid w:val="00BE4248"/>
    <w:rsid w:val="00BE4373"/>
    <w:rsid w:val="00BE579F"/>
    <w:rsid w:val="00BE5A7B"/>
    <w:rsid w:val="00BE6906"/>
    <w:rsid w:val="00BE753A"/>
    <w:rsid w:val="00BF0328"/>
    <w:rsid w:val="00BF06DD"/>
    <w:rsid w:val="00BF079A"/>
    <w:rsid w:val="00BF0BBB"/>
    <w:rsid w:val="00BF13FF"/>
    <w:rsid w:val="00BF16A3"/>
    <w:rsid w:val="00BF1D37"/>
    <w:rsid w:val="00BF2843"/>
    <w:rsid w:val="00BF2C1F"/>
    <w:rsid w:val="00BF5A8B"/>
    <w:rsid w:val="00BF639A"/>
    <w:rsid w:val="00BF6F05"/>
    <w:rsid w:val="00BF7369"/>
    <w:rsid w:val="00C00C81"/>
    <w:rsid w:val="00C00D88"/>
    <w:rsid w:val="00C00F7B"/>
    <w:rsid w:val="00C02540"/>
    <w:rsid w:val="00C02768"/>
    <w:rsid w:val="00C03145"/>
    <w:rsid w:val="00C0365C"/>
    <w:rsid w:val="00C036E7"/>
    <w:rsid w:val="00C03AD0"/>
    <w:rsid w:val="00C03C46"/>
    <w:rsid w:val="00C04083"/>
    <w:rsid w:val="00C040FB"/>
    <w:rsid w:val="00C048BC"/>
    <w:rsid w:val="00C049BA"/>
    <w:rsid w:val="00C04E97"/>
    <w:rsid w:val="00C058D4"/>
    <w:rsid w:val="00C05E75"/>
    <w:rsid w:val="00C06162"/>
    <w:rsid w:val="00C074FF"/>
    <w:rsid w:val="00C0754B"/>
    <w:rsid w:val="00C07C93"/>
    <w:rsid w:val="00C1078D"/>
    <w:rsid w:val="00C10D59"/>
    <w:rsid w:val="00C10EF3"/>
    <w:rsid w:val="00C11A88"/>
    <w:rsid w:val="00C129D4"/>
    <w:rsid w:val="00C12BBD"/>
    <w:rsid w:val="00C149A5"/>
    <w:rsid w:val="00C152A6"/>
    <w:rsid w:val="00C15CB4"/>
    <w:rsid w:val="00C15F8B"/>
    <w:rsid w:val="00C16EF3"/>
    <w:rsid w:val="00C17BD0"/>
    <w:rsid w:val="00C17D3C"/>
    <w:rsid w:val="00C17E26"/>
    <w:rsid w:val="00C201ED"/>
    <w:rsid w:val="00C21C34"/>
    <w:rsid w:val="00C2209E"/>
    <w:rsid w:val="00C22F72"/>
    <w:rsid w:val="00C24214"/>
    <w:rsid w:val="00C2530E"/>
    <w:rsid w:val="00C25831"/>
    <w:rsid w:val="00C25A1B"/>
    <w:rsid w:val="00C26CBB"/>
    <w:rsid w:val="00C26EFF"/>
    <w:rsid w:val="00C27AD7"/>
    <w:rsid w:val="00C30287"/>
    <w:rsid w:val="00C30D8D"/>
    <w:rsid w:val="00C31119"/>
    <w:rsid w:val="00C3229C"/>
    <w:rsid w:val="00C33D04"/>
    <w:rsid w:val="00C33EA8"/>
    <w:rsid w:val="00C33ECE"/>
    <w:rsid w:val="00C34D57"/>
    <w:rsid w:val="00C35298"/>
    <w:rsid w:val="00C35A45"/>
    <w:rsid w:val="00C35F03"/>
    <w:rsid w:val="00C368DA"/>
    <w:rsid w:val="00C36BCF"/>
    <w:rsid w:val="00C412DD"/>
    <w:rsid w:val="00C415E7"/>
    <w:rsid w:val="00C41A4C"/>
    <w:rsid w:val="00C41AD6"/>
    <w:rsid w:val="00C41C9E"/>
    <w:rsid w:val="00C42190"/>
    <w:rsid w:val="00C42B45"/>
    <w:rsid w:val="00C441CE"/>
    <w:rsid w:val="00C44C3D"/>
    <w:rsid w:val="00C45961"/>
    <w:rsid w:val="00C45DC6"/>
    <w:rsid w:val="00C46775"/>
    <w:rsid w:val="00C4690E"/>
    <w:rsid w:val="00C469AC"/>
    <w:rsid w:val="00C47357"/>
    <w:rsid w:val="00C52061"/>
    <w:rsid w:val="00C52315"/>
    <w:rsid w:val="00C5270A"/>
    <w:rsid w:val="00C5280A"/>
    <w:rsid w:val="00C52DC9"/>
    <w:rsid w:val="00C52FE2"/>
    <w:rsid w:val="00C53680"/>
    <w:rsid w:val="00C54436"/>
    <w:rsid w:val="00C55F26"/>
    <w:rsid w:val="00C575EB"/>
    <w:rsid w:val="00C6030B"/>
    <w:rsid w:val="00C60417"/>
    <w:rsid w:val="00C60EFB"/>
    <w:rsid w:val="00C617E0"/>
    <w:rsid w:val="00C621BA"/>
    <w:rsid w:val="00C62F2A"/>
    <w:rsid w:val="00C6344D"/>
    <w:rsid w:val="00C63E4D"/>
    <w:rsid w:val="00C654F5"/>
    <w:rsid w:val="00C6563D"/>
    <w:rsid w:val="00C67109"/>
    <w:rsid w:val="00C67D6D"/>
    <w:rsid w:val="00C71325"/>
    <w:rsid w:val="00C713B3"/>
    <w:rsid w:val="00C71715"/>
    <w:rsid w:val="00C73522"/>
    <w:rsid w:val="00C74A02"/>
    <w:rsid w:val="00C752A2"/>
    <w:rsid w:val="00C75FAC"/>
    <w:rsid w:val="00C76232"/>
    <w:rsid w:val="00C76FE1"/>
    <w:rsid w:val="00C77114"/>
    <w:rsid w:val="00C77283"/>
    <w:rsid w:val="00C772A1"/>
    <w:rsid w:val="00C77383"/>
    <w:rsid w:val="00C7770C"/>
    <w:rsid w:val="00C77C81"/>
    <w:rsid w:val="00C80E2B"/>
    <w:rsid w:val="00C8124C"/>
    <w:rsid w:val="00C819AE"/>
    <w:rsid w:val="00C82418"/>
    <w:rsid w:val="00C82D61"/>
    <w:rsid w:val="00C832D8"/>
    <w:rsid w:val="00C835CB"/>
    <w:rsid w:val="00C84268"/>
    <w:rsid w:val="00C84809"/>
    <w:rsid w:val="00C856C9"/>
    <w:rsid w:val="00C85E47"/>
    <w:rsid w:val="00C860C9"/>
    <w:rsid w:val="00C864D7"/>
    <w:rsid w:val="00C86548"/>
    <w:rsid w:val="00C86DA0"/>
    <w:rsid w:val="00C87296"/>
    <w:rsid w:val="00C8780D"/>
    <w:rsid w:val="00C87A97"/>
    <w:rsid w:val="00C90ABF"/>
    <w:rsid w:val="00C90C57"/>
    <w:rsid w:val="00C90C62"/>
    <w:rsid w:val="00C913B1"/>
    <w:rsid w:val="00C91415"/>
    <w:rsid w:val="00C9143C"/>
    <w:rsid w:val="00C91B2B"/>
    <w:rsid w:val="00C91E4F"/>
    <w:rsid w:val="00C922B9"/>
    <w:rsid w:val="00C92D54"/>
    <w:rsid w:val="00C92D5A"/>
    <w:rsid w:val="00C94112"/>
    <w:rsid w:val="00C941B1"/>
    <w:rsid w:val="00C94B27"/>
    <w:rsid w:val="00C95431"/>
    <w:rsid w:val="00C958B9"/>
    <w:rsid w:val="00C95AE6"/>
    <w:rsid w:val="00C9662B"/>
    <w:rsid w:val="00C97A23"/>
    <w:rsid w:val="00CA0AC3"/>
    <w:rsid w:val="00CA1267"/>
    <w:rsid w:val="00CA1643"/>
    <w:rsid w:val="00CA1C96"/>
    <w:rsid w:val="00CA1CE1"/>
    <w:rsid w:val="00CA1F6B"/>
    <w:rsid w:val="00CA2541"/>
    <w:rsid w:val="00CA2AE7"/>
    <w:rsid w:val="00CA2F00"/>
    <w:rsid w:val="00CA3674"/>
    <w:rsid w:val="00CA46FE"/>
    <w:rsid w:val="00CA5F19"/>
    <w:rsid w:val="00CA6671"/>
    <w:rsid w:val="00CA6742"/>
    <w:rsid w:val="00CA6AA2"/>
    <w:rsid w:val="00CA7C6D"/>
    <w:rsid w:val="00CB0D9C"/>
    <w:rsid w:val="00CB17C8"/>
    <w:rsid w:val="00CB184A"/>
    <w:rsid w:val="00CB1945"/>
    <w:rsid w:val="00CB19D3"/>
    <w:rsid w:val="00CB1C9F"/>
    <w:rsid w:val="00CB233C"/>
    <w:rsid w:val="00CB2693"/>
    <w:rsid w:val="00CB36F6"/>
    <w:rsid w:val="00CB45CB"/>
    <w:rsid w:val="00CB4F9D"/>
    <w:rsid w:val="00CB5363"/>
    <w:rsid w:val="00CB59ED"/>
    <w:rsid w:val="00CB5B80"/>
    <w:rsid w:val="00CB5C2B"/>
    <w:rsid w:val="00CB5D6F"/>
    <w:rsid w:val="00CB5F6F"/>
    <w:rsid w:val="00CB7A66"/>
    <w:rsid w:val="00CC0787"/>
    <w:rsid w:val="00CC0D89"/>
    <w:rsid w:val="00CC1863"/>
    <w:rsid w:val="00CC1867"/>
    <w:rsid w:val="00CC196B"/>
    <w:rsid w:val="00CC2FFD"/>
    <w:rsid w:val="00CC4305"/>
    <w:rsid w:val="00CC45A4"/>
    <w:rsid w:val="00CC477B"/>
    <w:rsid w:val="00CC47C2"/>
    <w:rsid w:val="00CC4F9E"/>
    <w:rsid w:val="00CC4FEA"/>
    <w:rsid w:val="00CC512C"/>
    <w:rsid w:val="00CC535B"/>
    <w:rsid w:val="00CC5B0A"/>
    <w:rsid w:val="00CC649E"/>
    <w:rsid w:val="00CC694D"/>
    <w:rsid w:val="00CC6F26"/>
    <w:rsid w:val="00CC6F9A"/>
    <w:rsid w:val="00CC72C7"/>
    <w:rsid w:val="00CC7DD1"/>
    <w:rsid w:val="00CD0EEA"/>
    <w:rsid w:val="00CD13E9"/>
    <w:rsid w:val="00CD1911"/>
    <w:rsid w:val="00CD1D48"/>
    <w:rsid w:val="00CD21A3"/>
    <w:rsid w:val="00CD225F"/>
    <w:rsid w:val="00CD40A3"/>
    <w:rsid w:val="00CD55D4"/>
    <w:rsid w:val="00CD5EB5"/>
    <w:rsid w:val="00CE0D32"/>
    <w:rsid w:val="00CE22C1"/>
    <w:rsid w:val="00CE374D"/>
    <w:rsid w:val="00CE3B54"/>
    <w:rsid w:val="00CE444B"/>
    <w:rsid w:val="00CE44C4"/>
    <w:rsid w:val="00CE467E"/>
    <w:rsid w:val="00CE4C09"/>
    <w:rsid w:val="00CE7BCC"/>
    <w:rsid w:val="00CF0A47"/>
    <w:rsid w:val="00CF0A5C"/>
    <w:rsid w:val="00CF0A6F"/>
    <w:rsid w:val="00CF0D83"/>
    <w:rsid w:val="00CF2674"/>
    <w:rsid w:val="00CF26C8"/>
    <w:rsid w:val="00CF299D"/>
    <w:rsid w:val="00CF2BEB"/>
    <w:rsid w:val="00CF31BA"/>
    <w:rsid w:val="00CF395A"/>
    <w:rsid w:val="00CF41A3"/>
    <w:rsid w:val="00CF4994"/>
    <w:rsid w:val="00CF4A0A"/>
    <w:rsid w:val="00CF4C5C"/>
    <w:rsid w:val="00CF4E21"/>
    <w:rsid w:val="00CF57D6"/>
    <w:rsid w:val="00CF5ADA"/>
    <w:rsid w:val="00CF5DD7"/>
    <w:rsid w:val="00CF62B4"/>
    <w:rsid w:val="00D00161"/>
    <w:rsid w:val="00D00FDB"/>
    <w:rsid w:val="00D015AC"/>
    <w:rsid w:val="00D017C1"/>
    <w:rsid w:val="00D029A8"/>
    <w:rsid w:val="00D02F01"/>
    <w:rsid w:val="00D036E8"/>
    <w:rsid w:val="00D03F1A"/>
    <w:rsid w:val="00D03F46"/>
    <w:rsid w:val="00D043DE"/>
    <w:rsid w:val="00D049D8"/>
    <w:rsid w:val="00D0535D"/>
    <w:rsid w:val="00D05556"/>
    <w:rsid w:val="00D05714"/>
    <w:rsid w:val="00D05FB8"/>
    <w:rsid w:val="00D06C31"/>
    <w:rsid w:val="00D1058B"/>
    <w:rsid w:val="00D1066D"/>
    <w:rsid w:val="00D11157"/>
    <w:rsid w:val="00D113DE"/>
    <w:rsid w:val="00D11A6D"/>
    <w:rsid w:val="00D1238B"/>
    <w:rsid w:val="00D12987"/>
    <w:rsid w:val="00D12D55"/>
    <w:rsid w:val="00D134AD"/>
    <w:rsid w:val="00D1418E"/>
    <w:rsid w:val="00D156A8"/>
    <w:rsid w:val="00D20DF6"/>
    <w:rsid w:val="00D21B12"/>
    <w:rsid w:val="00D22A50"/>
    <w:rsid w:val="00D2359D"/>
    <w:rsid w:val="00D236BE"/>
    <w:rsid w:val="00D23F5C"/>
    <w:rsid w:val="00D249D9"/>
    <w:rsid w:val="00D24F2F"/>
    <w:rsid w:val="00D25148"/>
    <w:rsid w:val="00D2637D"/>
    <w:rsid w:val="00D26808"/>
    <w:rsid w:val="00D277A8"/>
    <w:rsid w:val="00D31576"/>
    <w:rsid w:val="00D31836"/>
    <w:rsid w:val="00D32C65"/>
    <w:rsid w:val="00D32D64"/>
    <w:rsid w:val="00D34562"/>
    <w:rsid w:val="00D3638E"/>
    <w:rsid w:val="00D36456"/>
    <w:rsid w:val="00D36795"/>
    <w:rsid w:val="00D369E0"/>
    <w:rsid w:val="00D36F7B"/>
    <w:rsid w:val="00D37FF8"/>
    <w:rsid w:val="00D407F2"/>
    <w:rsid w:val="00D40DAD"/>
    <w:rsid w:val="00D4146E"/>
    <w:rsid w:val="00D43DB1"/>
    <w:rsid w:val="00D43E28"/>
    <w:rsid w:val="00D4450D"/>
    <w:rsid w:val="00D4459B"/>
    <w:rsid w:val="00D44A70"/>
    <w:rsid w:val="00D455CC"/>
    <w:rsid w:val="00D47ED1"/>
    <w:rsid w:val="00D47FF1"/>
    <w:rsid w:val="00D50D89"/>
    <w:rsid w:val="00D51F5D"/>
    <w:rsid w:val="00D527EF"/>
    <w:rsid w:val="00D54E09"/>
    <w:rsid w:val="00D55724"/>
    <w:rsid w:val="00D55A69"/>
    <w:rsid w:val="00D55CEB"/>
    <w:rsid w:val="00D55E2F"/>
    <w:rsid w:val="00D55EB7"/>
    <w:rsid w:val="00D56C43"/>
    <w:rsid w:val="00D56F76"/>
    <w:rsid w:val="00D5740B"/>
    <w:rsid w:val="00D5798B"/>
    <w:rsid w:val="00D60339"/>
    <w:rsid w:val="00D616DC"/>
    <w:rsid w:val="00D61705"/>
    <w:rsid w:val="00D61BAA"/>
    <w:rsid w:val="00D62B00"/>
    <w:rsid w:val="00D631DE"/>
    <w:rsid w:val="00D6323D"/>
    <w:rsid w:val="00D632B9"/>
    <w:rsid w:val="00D64618"/>
    <w:rsid w:val="00D6513A"/>
    <w:rsid w:val="00D6514C"/>
    <w:rsid w:val="00D656C5"/>
    <w:rsid w:val="00D66F92"/>
    <w:rsid w:val="00D70849"/>
    <w:rsid w:val="00D70C7A"/>
    <w:rsid w:val="00D7194B"/>
    <w:rsid w:val="00D72546"/>
    <w:rsid w:val="00D73E63"/>
    <w:rsid w:val="00D73F07"/>
    <w:rsid w:val="00D73F4C"/>
    <w:rsid w:val="00D74186"/>
    <w:rsid w:val="00D7554C"/>
    <w:rsid w:val="00D75A07"/>
    <w:rsid w:val="00D75F04"/>
    <w:rsid w:val="00D763D0"/>
    <w:rsid w:val="00D76636"/>
    <w:rsid w:val="00D76CD9"/>
    <w:rsid w:val="00D76D6E"/>
    <w:rsid w:val="00D76EDB"/>
    <w:rsid w:val="00D77856"/>
    <w:rsid w:val="00D80438"/>
    <w:rsid w:val="00D804B2"/>
    <w:rsid w:val="00D80C2A"/>
    <w:rsid w:val="00D80DA9"/>
    <w:rsid w:val="00D83865"/>
    <w:rsid w:val="00D838BE"/>
    <w:rsid w:val="00D83D56"/>
    <w:rsid w:val="00D8408D"/>
    <w:rsid w:val="00D84191"/>
    <w:rsid w:val="00D85235"/>
    <w:rsid w:val="00D861C6"/>
    <w:rsid w:val="00D86ACC"/>
    <w:rsid w:val="00D8764C"/>
    <w:rsid w:val="00D90818"/>
    <w:rsid w:val="00D91088"/>
    <w:rsid w:val="00D92BEB"/>
    <w:rsid w:val="00D9375E"/>
    <w:rsid w:val="00D938DD"/>
    <w:rsid w:val="00D952F9"/>
    <w:rsid w:val="00D95E73"/>
    <w:rsid w:val="00D95EF1"/>
    <w:rsid w:val="00D96F90"/>
    <w:rsid w:val="00D972C6"/>
    <w:rsid w:val="00D972E1"/>
    <w:rsid w:val="00D974D3"/>
    <w:rsid w:val="00D978B9"/>
    <w:rsid w:val="00DA130A"/>
    <w:rsid w:val="00DA1D82"/>
    <w:rsid w:val="00DA2067"/>
    <w:rsid w:val="00DA2DDB"/>
    <w:rsid w:val="00DA31F3"/>
    <w:rsid w:val="00DA34C9"/>
    <w:rsid w:val="00DA5104"/>
    <w:rsid w:val="00DA5133"/>
    <w:rsid w:val="00DA5754"/>
    <w:rsid w:val="00DA653F"/>
    <w:rsid w:val="00DA6736"/>
    <w:rsid w:val="00DA67D4"/>
    <w:rsid w:val="00DA6CE3"/>
    <w:rsid w:val="00DA7A95"/>
    <w:rsid w:val="00DB08A9"/>
    <w:rsid w:val="00DB0B06"/>
    <w:rsid w:val="00DB166B"/>
    <w:rsid w:val="00DB181E"/>
    <w:rsid w:val="00DB1AFC"/>
    <w:rsid w:val="00DB2B18"/>
    <w:rsid w:val="00DB2DE8"/>
    <w:rsid w:val="00DB2F6F"/>
    <w:rsid w:val="00DB4896"/>
    <w:rsid w:val="00DB49DE"/>
    <w:rsid w:val="00DB4E71"/>
    <w:rsid w:val="00DB599C"/>
    <w:rsid w:val="00DB5FEC"/>
    <w:rsid w:val="00DB6156"/>
    <w:rsid w:val="00DB661E"/>
    <w:rsid w:val="00DC0DD5"/>
    <w:rsid w:val="00DC1852"/>
    <w:rsid w:val="00DC19B1"/>
    <w:rsid w:val="00DC1AC6"/>
    <w:rsid w:val="00DC2EBB"/>
    <w:rsid w:val="00DC38A4"/>
    <w:rsid w:val="00DC3ED6"/>
    <w:rsid w:val="00DC487F"/>
    <w:rsid w:val="00DC5B32"/>
    <w:rsid w:val="00DC7071"/>
    <w:rsid w:val="00DC7AB5"/>
    <w:rsid w:val="00DD1799"/>
    <w:rsid w:val="00DD1B35"/>
    <w:rsid w:val="00DD2C2D"/>
    <w:rsid w:val="00DD3250"/>
    <w:rsid w:val="00DD32CF"/>
    <w:rsid w:val="00DD4F2D"/>
    <w:rsid w:val="00DD5561"/>
    <w:rsid w:val="00DD59ED"/>
    <w:rsid w:val="00DD5DEF"/>
    <w:rsid w:val="00DD5F2D"/>
    <w:rsid w:val="00DD62F6"/>
    <w:rsid w:val="00DD6858"/>
    <w:rsid w:val="00DE00B2"/>
    <w:rsid w:val="00DE024A"/>
    <w:rsid w:val="00DE1882"/>
    <w:rsid w:val="00DE19F5"/>
    <w:rsid w:val="00DE1B94"/>
    <w:rsid w:val="00DE1D8E"/>
    <w:rsid w:val="00DE26AE"/>
    <w:rsid w:val="00DE2DC7"/>
    <w:rsid w:val="00DE2FB9"/>
    <w:rsid w:val="00DE34AB"/>
    <w:rsid w:val="00DE3D85"/>
    <w:rsid w:val="00DE457F"/>
    <w:rsid w:val="00DE514D"/>
    <w:rsid w:val="00DE55B2"/>
    <w:rsid w:val="00DE746D"/>
    <w:rsid w:val="00DF0170"/>
    <w:rsid w:val="00DF18D4"/>
    <w:rsid w:val="00DF1954"/>
    <w:rsid w:val="00DF2CDC"/>
    <w:rsid w:val="00DF3B56"/>
    <w:rsid w:val="00DF40B0"/>
    <w:rsid w:val="00DF41B4"/>
    <w:rsid w:val="00DF42CB"/>
    <w:rsid w:val="00DF447D"/>
    <w:rsid w:val="00DF66ED"/>
    <w:rsid w:val="00DF67F3"/>
    <w:rsid w:val="00DF6C8E"/>
    <w:rsid w:val="00E007D7"/>
    <w:rsid w:val="00E011F8"/>
    <w:rsid w:val="00E01D43"/>
    <w:rsid w:val="00E0249B"/>
    <w:rsid w:val="00E02C40"/>
    <w:rsid w:val="00E02F54"/>
    <w:rsid w:val="00E03425"/>
    <w:rsid w:val="00E03701"/>
    <w:rsid w:val="00E039AA"/>
    <w:rsid w:val="00E03B80"/>
    <w:rsid w:val="00E040CB"/>
    <w:rsid w:val="00E04176"/>
    <w:rsid w:val="00E048B5"/>
    <w:rsid w:val="00E0557A"/>
    <w:rsid w:val="00E05E2C"/>
    <w:rsid w:val="00E066FB"/>
    <w:rsid w:val="00E07896"/>
    <w:rsid w:val="00E07A18"/>
    <w:rsid w:val="00E114BD"/>
    <w:rsid w:val="00E1353F"/>
    <w:rsid w:val="00E13BD8"/>
    <w:rsid w:val="00E13E21"/>
    <w:rsid w:val="00E142DB"/>
    <w:rsid w:val="00E14921"/>
    <w:rsid w:val="00E14D38"/>
    <w:rsid w:val="00E15185"/>
    <w:rsid w:val="00E15977"/>
    <w:rsid w:val="00E1624E"/>
    <w:rsid w:val="00E17D11"/>
    <w:rsid w:val="00E20645"/>
    <w:rsid w:val="00E20655"/>
    <w:rsid w:val="00E2083C"/>
    <w:rsid w:val="00E20B97"/>
    <w:rsid w:val="00E215B3"/>
    <w:rsid w:val="00E21792"/>
    <w:rsid w:val="00E21C7D"/>
    <w:rsid w:val="00E21FA7"/>
    <w:rsid w:val="00E22A90"/>
    <w:rsid w:val="00E22C5B"/>
    <w:rsid w:val="00E22D6B"/>
    <w:rsid w:val="00E23681"/>
    <w:rsid w:val="00E23731"/>
    <w:rsid w:val="00E244CE"/>
    <w:rsid w:val="00E245D8"/>
    <w:rsid w:val="00E24681"/>
    <w:rsid w:val="00E248F9"/>
    <w:rsid w:val="00E25035"/>
    <w:rsid w:val="00E25F6A"/>
    <w:rsid w:val="00E2656B"/>
    <w:rsid w:val="00E267A2"/>
    <w:rsid w:val="00E269B4"/>
    <w:rsid w:val="00E27167"/>
    <w:rsid w:val="00E27170"/>
    <w:rsid w:val="00E310D4"/>
    <w:rsid w:val="00E3151C"/>
    <w:rsid w:val="00E323A0"/>
    <w:rsid w:val="00E323C2"/>
    <w:rsid w:val="00E3244A"/>
    <w:rsid w:val="00E32820"/>
    <w:rsid w:val="00E328B0"/>
    <w:rsid w:val="00E3291E"/>
    <w:rsid w:val="00E32CD2"/>
    <w:rsid w:val="00E32E7F"/>
    <w:rsid w:val="00E35C82"/>
    <w:rsid w:val="00E366CB"/>
    <w:rsid w:val="00E372CF"/>
    <w:rsid w:val="00E377E2"/>
    <w:rsid w:val="00E403C5"/>
    <w:rsid w:val="00E40B27"/>
    <w:rsid w:val="00E41E26"/>
    <w:rsid w:val="00E41F58"/>
    <w:rsid w:val="00E41FF3"/>
    <w:rsid w:val="00E42507"/>
    <w:rsid w:val="00E42620"/>
    <w:rsid w:val="00E4313E"/>
    <w:rsid w:val="00E431B6"/>
    <w:rsid w:val="00E43A51"/>
    <w:rsid w:val="00E4629A"/>
    <w:rsid w:val="00E473A6"/>
    <w:rsid w:val="00E47C93"/>
    <w:rsid w:val="00E50CFF"/>
    <w:rsid w:val="00E5107D"/>
    <w:rsid w:val="00E51448"/>
    <w:rsid w:val="00E51B43"/>
    <w:rsid w:val="00E532CC"/>
    <w:rsid w:val="00E53304"/>
    <w:rsid w:val="00E5410B"/>
    <w:rsid w:val="00E54A88"/>
    <w:rsid w:val="00E554D7"/>
    <w:rsid w:val="00E55608"/>
    <w:rsid w:val="00E55A85"/>
    <w:rsid w:val="00E567BC"/>
    <w:rsid w:val="00E5727A"/>
    <w:rsid w:val="00E5776B"/>
    <w:rsid w:val="00E57800"/>
    <w:rsid w:val="00E579F1"/>
    <w:rsid w:val="00E60593"/>
    <w:rsid w:val="00E60625"/>
    <w:rsid w:val="00E612D6"/>
    <w:rsid w:val="00E61343"/>
    <w:rsid w:val="00E6190B"/>
    <w:rsid w:val="00E61E34"/>
    <w:rsid w:val="00E63888"/>
    <w:rsid w:val="00E65C37"/>
    <w:rsid w:val="00E65D65"/>
    <w:rsid w:val="00E65F9F"/>
    <w:rsid w:val="00E670A3"/>
    <w:rsid w:val="00E6774E"/>
    <w:rsid w:val="00E67DB4"/>
    <w:rsid w:val="00E71782"/>
    <w:rsid w:val="00E728F4"/>
    <w:rsid w:val="00E7306F"/>
    <w:rsid w:val="00E7477E"/>
    <w:rsid w:val="00E748D0"/>
    <w:rsid w:val="00E74A6F"/>
    <w:rsid w:val="00E75773"/>
    <w:rsid w:val="00E76A99"/>
    <w:rsid w:val="00E77E01"/>
    <w:rsid w:val="00E80D57"/>
    <w:rsid w:val="00E81500"/>
    <w:rsid w:val="00E82C8E"/>
    <w:rsid w:val="00E83B8E"/>
    <w:rsid w:val="00E84B7D"/>
    <w:rsid w:val="00E855F4"/>
    <w:rsid w:val="00E86948"/>
    <w:rsid w:val="00E90369"/>
    <w:rsid w:val="00E91005"/>
    <w:rsid w:val="00E917D6"/>
    <w:rsid w:val="00E92240"/>
    <w:rsid w:val="00E92450"/>
    <w:rsid w:val="00E9436F"/>
    <w:rsid w:val="00E94558"/>
    <w:rsid w:val="00E94A3E"/>
    <w:rsid w:val="00E9590D"/>
    <w:rsid w:val="00E973B5"/>
    <w:rsid w:val="00E97856"/>
    <w:rsid w:val="00E97CD7"/>
    <w:rsid w:val="00E97FD4"/>
    <w:rsid w:val="00EA08E3"/>
    <w:rsid w:val="00EA0F48"/>
    <w:rsid w:val="00EA1D55"/>
    <w:rsid w:val="00EA2296"/>
    <w:rsid w:val="00EA3907"/>
    <w:rsid w:val="00EA39FA"/>
    <w:rsid w:val="00EA455D"/>
    <w:rsid w:val="00EA4688"/>
    <w:rsid w:val="00EA68C3"/>
    <w:rsid w:val="00EA710D"/>
    <w:rsid w:val="00EA7741"/>
    <w:rsid w:val="00EA7B0F"/>
    <w:rsid w:val="00EA7F8C"/>
    <w:rsid w:val="00EB0028"/>
    <w:rsid w:val="00EB00FA"/>
    <w:rsid w:val="00EB06A3"/>
    <w:rsid w:val="00EB0B2A"/>
    <w:rsid w:val="00EB336F"/>
    <w:rsid w:val="00EB37F8"/>
    <w:rsid w:val="00EB40AA"/>
    <w:rsid w:val="00EB439E"/>
    <w:rsid w:val="00EB4614"/>
    <w:rsid w:val="00EB4CCE"/>
    <w:rsid w:val="00EB4D8D"/>
    <w:rsid w:val="00EB568A"/>
    <w:rsid w:val="00EB60C1"/>
    <w:rsid w:val="00EB6346"/>
    <w:rsid w:val="00EB6960"/>
    <w:rsid w:val="00EC0D17"/>
    <w:rsid w:val="00EC1BD7"/>
    <w:rsid w:val="00EC241B"/>
    <w:rsid w:val="00EC2958"/>
    <w:rsid w:val="00EC2EF8"/>
    <w:rsid w:val="00EC38A3"/>
    <w:rsid w:val="00EC3906"/>
    <w:rsid w:val="00EC39D2"/>
    <w:rsid w:val="00EC4820"/>
    <w:rsid w:val="00EC4E88"/>
    <w:rsid w:val="00EC571C"/>
    <w:rsid w:val="00EC5EF2"/>
    <w:rsid w:val="00EC6256"/>
    <w:rsid w:val="00EC7221"/>
    <w:rsid w:val="00EC7262"/>
    <w:rsid w:val="00EC738D"/>
    <w:rsid w:val="00EC7D45"/>
    <w:rsid w:val="00ED029B"/>
    <w:rsid w:val="00ED0403"/>
    <w:rsid w:val="00ED076A"/>
    <w:rsid w:val="00ED1B0A"/>
    <w:rsid w:val="00ED235A"/>
    <w:rsid w:val="00ED32E2"/>
    <w:rsid w:val="00ED3E9F"/>
    <w:rsid w:val="00ED4787"/>
    <w:rsid w:val="00ED47F2"/>
    <w:rsid w:val="00ED5368"/>
    <w:rsid w:val="00ED5607"/>
    <w:rsid w:val="00ED7821"/>
    <w:rsid w:val="00ED7D95"/>
    <w:rsid w:val="00EE0536"/>
    <w:rsid w:val="00EE0652"/>
    <w:rsid w:val="00EE2CE8"/>
    <w:rsid w:val="00EE2FBF"/>
    <w:rsid w:val="00EE342C"/>
    <w:rsid w:val="00EE3654"/>
    <w:rsid w:val="00EE3BBA"/>
    <w:rsid w:val="00EE3DCD"/>
    <w:rsid w:val="00EE4482"/>
    <w:rsid w:val="00EE451B"/>
    <w:rsid w:val="00EE4DE2"/>
    <w:rsid w:val="00EE5173"/>
    <w:rsid w:val="00EE5B2D"/>
    <w:rsid w:val="00EE5B2F"/>
    <w:rsid w:val="00EE5EB0"/>
    <w:rsid w:val="00EE60A3"/>
    <w:rsid w:val="00EE629E"/>
    <w:rsid w:val="00EE6C76"/>
    <w:rsid w:val="00EE776F"/>
    <w:rsid w:val="00EF0B73"/>
    <w:rsid w:val="00EF1F4C"/>
    <w:rsid w:val="00EF3427"/>
    <w:rsid w:val="00EF38CF"/>
    <w:rsid w:val="00EF3EC5"/>
    <w:rsid w:val="00EF55BE"/>
    <w:rsid w:val="00EF5E85"/>
    <w:rsid w:val="00EF5FB0"/>
    <w:rsid w:val="00EF61DF"/>
    <w:rsid w:val="00EF6A3B"/>
    <w:rsid w:val="00EF7022"/>
    <w:rsid w:val="00EF743D"/>
    <w:rsid w:val="00EF7B75"/>
    <w:rsid w:val="00F00E68"/>
    <w:rsid w:val="00F02796"/>
    <w:rsid w:val="00F02A0B"/>
    <w:rsid w:val="00F02C32"/>
    <w:rsid w:val="00F02ECF"/>
    <w:rsid w:val="00F04D21"/>
    <w:rsid w:val="00F05657"/>
    <w:rsid w:val="00F0574B"/>
    <w:rsid w:val="00F058E3"/>
    <w:rsid w:val="00F05E15"/>
    <w:rsid w:val="00F069F6"/>
    <w:rsid w:val="00F06C6E"/>
    <w:rsid w:val="00F070D5"/>
    <w:rsid w:val="00F070E1"/>
    <w:rsid w:val="00F07991"/>
    <w:rsid w:val="00F1043D"/>
    <w:rsid w:val="00F1050D"/>
    <w:rsid w:val="00F10D57"/>
    <w:rsid w:val="00F10E47"/>
    <w:rsid w:val="00F1278F"/>
    <w:rsid w:val="00F12882"/>
    <w:rsid w:val="00F1302E"/>
    <w:rsid w:val="00F1383A"/>
    <w:rsid w:val="00F14950"/>
    <w:rsid w:val="00F158DD"/>
    <w:rsid w:val="00F16866"/>
    <w:rsid w:val="00F170AD"/>
    <w:rsid w:val="00F17C19"/>
    <w:rsid w:val="00F17D10"/>
    <w:rsid w:val="00F17D4E"/>
    <w:rsid w:val="00F17FEF"/>
    <w:rsid w:val="00F20A4D"/>
    <w:rsid w:val="00F22079"/>
    <w:rsid w:val="00F2225F"/>
    <w:rsid w:val="00F231EA"/>
    <w:rsid w:val="00F236E6"/>
    <w:rsid w:val="00F2422D"/>
    <w:rsid w:val="00F24FE6"/>
    <w:rsid w:val="00F25E97"/>
    <w:rsid w:val="00F273CB"/>
    <w:rsid w:val="00F27B04"/>
    <w:rsid w:val="00F27D75"/>
    <w:rsid w:val="00F327D4"/>
    <w:rsid w:val="00F347EC"/>
    <w:rsid w:val="00F37811"/>
    <w:rsid w:val="00F411F9"/>
    <w:rsid w:val="00F412AC"/>
    <w:rsid w:val="00F416C9"/>
    <w:rsid w:val="00F41E8F"/>
    <w:rsid w:val="00F42F8E"/>
    <w:rsid w:val="00F4471D"/>
    <w:rsid w:val="00F45320"/>
    <w:rsid w:val="00F46B16"/>
    <w:rsid w:val="00F477CD"/>
    <w:rsid w:val="00F47CB4"/>
    <w:rsid w:val="00F47E8C"/>
    <w:rsid w:val="00F5015A"/>
    <w:rsid w:val="00F5071E"/>
    <w:rsid w:val="00F508DF"/>
    <w:rsid w:val="00F52304"/>
    <w:rsid w:val="00F52C87"/>
    <w:rsid w:val="00F52D7F"/>
    <w:rsid w:val="00F52F8B"/>
    <w:rsid w:val="00F53749"/>
    <w:rsid w:val="00F5399A"/>
    <w:rsid w:val="00F53F2D"/>
    <w:rsid w:val="00F55761"/>
    <w:rsid w:val="00F565D6"/>
    <w:rsid w:val="00F56FF9"/>
    <w:rsid w:val="00F600BE"/>
    <w:rsid w:val="00F6135D"/>
    <w:rsid w:val="00F6234B"/>
    <w:rsid w:val="00F62547"/>
    <w:rsid w:val="00F6313C"/>
    <w:rsid w:val="00F63198"/>
    <w:rsid w:val="00F634E6"/>
    <w:rsid w:val="00F63724"/>
    <w:rsid w:val="00F63927"/>
    <w:rsid w:val="00F64294"/>
    <w:rsid w:val="00F647BF"/>
    <w:rsid w:val="00F655B3"/>
    <w:rsid w:val="00F65732"/>
    <w:rsid w:val="00F67809"/>
    <w:rsid w:val="00F70C03"/>
    <w:rsid w:val="00F71900"/>
    <w:rsid w:val="00F71C29"/>
    <w:rsid w:val="00F71F1A"/>
    <w:rsid w:val="00F723FB"/>
    <w:rsid w:val="00F7381C"/>
    <w:rsid w:val="00F746F9"/>
    <w:rsid w:val="00F7578A"/>
    <w:rsid w:val="00F76315"/>
    <w:rsid w:val="00F76BA4"/>
    <w:rsid w:val="00F77485"/>
    <w:rsid w:val="00F80E33"/>
    <w:rsid w:val="00F81084"/>
    <w:rsid w:val="00F81B3A"/>
    <w:rsid w:val="00F8264C"/>
    <w:rsid w:val="00F82927"/>
    <w:rsid w:val="00F83175"/>
    <w:rsid w:val="00F8327B"/>
    <w:rsid w:val="00F83AF4"/>
    <w:rsid w:val="00F84676"/>
    <w:rsid w:val="00F846FE"/>
    <w:rsid w:val="00F84E60"/>
    <w:rsid w:val="00F84FCA"/>
    <w:rsid w:val="00F85130"/>
    <w:rsid w:val="00F8563A"/>
    <w:rsid w:val="00F857E4"/>
    <w:rsid w:val="00F86847"/>
    <w:rsid w:val="00F87B0C"/>
    <w:rsid w:val="00F87EB1"/>
    <w:rsid w:val="00F90015"/>
    <w:rsid w:val="00F91853"/>
    <w:rsid w:val="00F91909"/>
    <w:rsid w:val="00F92340"/>
    <w:rsid w:val="00F93E5C"/>
    <w:rsid w:val="00F950C2"/>
    <w:rsid w:val="00F95531"/>
    <w:rsid w:val="00F961B0"/>
    <w:rsid w:val="00F963BA"/>
    <w:rsid w:val="00F965BD"/>
    <w:rsid w:val="00F96625"/>
    <w:rsid w:val="00F966CC"/>
    <w:rsid w:val="00F97DB9"/>
    <w:rsid w:val="00FA0778"/>
    <w:rsid w:val="00FA15A0"/>
    <w:rsid w:val="00FA15E6"/>
    <w:rsid w:val="00FA2664"/>
    <w:rsid w:val="00FA2D47"/>
    <w:rsid w:val="00FA48A7"/>
    <w:rsid w:val="00FA4AB3"/>
    <w:rsid w:val="00FA4F1F"/>
    <w:rsid w:val="00FA5A45"/>
    <w:rsid w:val="00FA625B"/>
    <w:rsid w:val="00FA7883"/>
    <w:rsid w:val="00FA7FE8"/>
    <w:rsid w:val="00FB08E3"/>
    <w:rsid w:val="00FB1853"/>
    <w:rsid w:val="00FB1FB3"/>
    <w:rsid w:val="00FB304F"/>
    <w:rsid w:val="00FB40A0"/>
    <w:rsid w:val="00FB4121"/>
    <w:rsid w:val="00FB4143"/>
    <w:rsid w:val="00FB5B66"/>
    <w:rsid w:val="00FB5BE8"/>
    <w:rsid w:val="00FB771A"/>
    <w:rsid w:val="00FB7934"/>
    <w:rsid w:val="00FC0317"/>
    <w:rsid w:val="00FC1484"/>
    <w:rsid w:val="00FC15EE"/>
    <w:rsid w:val="00FC18DA"/>
    <w:rsid w:val="00FC2A07"/>
    <w:rsid w:val="00FC2A15"/>
    <w:rsid w:val="00FC300E"/>
    <w:rsid w:val="00FC362E"/>
    <w:rsid w:val="00FC4256"/>
    <w:rsid w:val="00FC5DDA"/>
    <w:rsid w:val="00FC7725"/>
    <w:rsid w:val="00FD059D"/>
    <w:rsid w:val="00FD06FE"/>
    <w:rsid w:val="00FD0CAC"/>
    <w:rsid w:val="00FD107D"/>
    <w:rsid w:val="00FD111A"/>
    <w:rsid w:val="00FD2987"/>
    <w:rsid w:val="00FD3BB9"/>
    <w:rsid w:val="00FD4D38"/>
    <w:rsid w:val="00FD5367"/>
    <w:rsid w:val="00FD6E82"/>
    <w:rsid w:val="00FD76E2"/>
    <w:rsid w:val="00FD7B37"/>
    <w:rsid w:val="00FD7BF5"/>
    <w:rsid w:val="00FE0357"/>
    <w:rsid w:val="00FE2CBB"/>
    <w:rsid w:val="00FE431C"/>
    <w:rsid w:val="00FE5015"/>
    <w:rsid w:val="00FE6333"/>
    <w:rsid w:val="00FE6396"/>
    <w:rsid w:val="00FE7075"/>
    <w:rsid w:val="00FE7888"/>
    <w:rsid w:val="00FF0613"/>
    <w:rsid w:val="00FF0AA6"/>
    <w:rsid w:val="00FF1B54"/>
    <w:rsid w:val="00FF1FD1"/>
    <w:rsid w:val="00FF2449"/>
    <w:rsid w:val="00FF30AD"/>
    <w:rsid w:val="00FF3945"/>
    <w:rsid w:val="00FF474A"/>
    <w:rsid w:val="00FF4E84"/>
    <w:rsid w:val="00FF5525"/>
    <w:rsid w:val="00FF5686"/>
    <w:rsid w:val="00FF68ED"/>
    <w:rsid w:val="00FF7951"/>
    <w:rsid w:val="01792949"/>
    <w:rsid w:val="02952F7D"/>
    <w:rsid w:val="02F331D5"/>
    <w:rsid w:val="045413D2"/>
    <w:rsid w:val="04E43113"/>
    <w:rsid w:val="05F86424"/>
    <w:rsid w:val="06543B7D"/>
    <w:rsid w:val="068E314F"/>
    <w:rsid w:val="0690373C"/>
    <w:rsid w:val="0698501F"/>
    <w:rsid w:val="06F80746"/>
    <w:rsid w:val="07367EFB"/>
    <w:rsid w:val="07F115A3"/>
    <w:rsid w:val="084D609E"/>
    <w:rsid w:val="089A57F0"/>
    <w:rsid w:val="08A737BE"/>
    <w:rsid w:val="08D16C8B"/>
    <w:rsid w:val="08FE110E"/>
    <w:rsid w:val="09A34AFA"/>
    <w:rsid w:val="09D821FD"/>
    <w:rsid w:val="09F0482A"/>
    <w:rsid w:val="0AB979B5"/>
    <w:rsid w:val="0AC3188F"/>
    <w:rsid w:val="0B275441"/>
    <w:rsid w:val="0C675F67"/>
    <w:rsid w:val="0CB87790"/>
    <w:rsid w:val="0CF54541"/>
    <w:rsid w:val="0DB60ED9"/>
    <w:rsid w:val="0E23648F"/>
    <w:rsid w:val="0EA77417"/>
    <w:rsid w:val="0EBC5557"/>
    <w:rsid w:val="0F2D75D7"/>
    <w:rsid w:val="0F9C79CF"/>
    <w:rsid w:val="10003E6A"/>
    <w:rsid w:val="10257179"/>
    <w:rsid w:val="11340E0C"/>
    <w:rsid w:val="11AF0294"/>
    <w:rsid w:val="11BE7A08"/>
    <w:rsid w:val="12260C08"/>
    <w:rsid w:val="122A6437"/>
    <w:rsid w:val="1303405D"/>
    <w:rsid w:val="130E7E8F"/>
    <w:rsid w:val="132A74B8"/>
    <w:rsid w:val="144F3496"/>
    <w:rsid w:val="14AD38EB"/>
    <w:rsid w:val="14C806C3"/>
    <w:rsid w:val="14F50E56"/>
    <w:rsid w:val="15780CAF"/>
    <w:rsid w:val="158A7DE6"/>
    <w:rsid w:val="15F952B2"/>
    <w:rsid w:val="16867798"/>
    <w:rsid w:val="1713030A"/>
    <w:rsid w:val="17F67AF4"/>
    <w:rsid w:val="183173F2"/>
    <w:rsid w:val="18E93111"/>
    <w:rsid w:val="19006911"/>
    <w:rsid w:val="195726C4"/>
    <w:rsid w:val="196A1AF8"/>
    <w:rsid w:val="1ABD2814"/>
    <w:rsid w:val="1AEA5F5E"/>
    <w:rsid w:val="1BA9620A"/>
    <w:rsid w:val="1BC31055"/>
    <w:rsid w:val="1BF51881"/>
    <w:rsid w:val="1C1B69A9"/>
    <w:rsid w:val="1CE02090"/>
    <w:rsid w:val="1CF113C7"/>
    <w:rsid w:val="1CFF4892"/>
    <w:rsid w:val="1D19382F"/>
    <w:rsid w:val="1DF79B87"/>
    <w:rsid w:val="1E644752"/>
    <w:rsid w:val="1E7D67AD"/>
    <w:rsid w:val="1E9F6519"/>
    <w:rsid w:val="1EB917B9"/>
    <w:rsid w:val="1EE472DE"/>
    <w:rsid w:val="1F5743AE"/>
    <w:rsid w:val="1FC16F46"/>
    <w:rsid w:val="204A6993"/>
    <w:rsid w:val="20A46298"/>
    <w:rsid w:val="2122761E"/>
    <w:rsid w:val="219D7EA2"/>
    <w:rsid w:val="21A85316"/>
    <w:rsid w:val="21B06830"/>
    <w:rsid w:val="21FFD744"/>
    <w:rsid w:val="22432408"/>
    <w:rsid w:val="225F48D4"/>
    <w:rsid w:val="22744922"/>
    <w:rsid w:val="228648D1"/>
    <w:rsid w:val="22C279CA"/>
    <w:rsid w:val="22C41C5F"/>
    <w:rsid w:val="22D617EA"/>
    <w:rsid w:val="22E373B0"/>
    <w:rsid w:val="22FE5468"/>
    <w:rsid w:val="235D6544"/>
    <w:rsid w:val="23F05FEE"/>
    <w:rsid w:val="24463481"/>
    <w:rsid w:val="24A32CC1"/>
    <w:rsid w:val="24BA708B"/>
    <w:rsid w:val="25230E74"/>
    <w:rsid w:val="256D62F8"/>
    <w:rsid w:val="25853B30"/>
    <w:rsid w:val="25B725E6"/>
    <w:rsid w:val="25EA783A"/>
    <w:rsid w:val="260A2F54"/>
    <w:rsid w:val="26433AF2"/>
    <w:rsid w:val="266B0AF4"/>
    <w:rsid w:val="26C35809"/>
    <w:rsid w:val="26E86A6C"/>
    <w:rsid w:val="271D0A24"/>
    <w:rsid w:val="27423267"/>
    <w:rsid w:val="276E2DA2"/>
    <w:rsid w:val="27FD6AB0"/>
    <w:rsid w:val="292C216F"/>
    <w:rsid w:val="29795D3D"/>
    <w:rsid w:val="2A255EC6"/>
    <w:rsid w:val="2A2D5389"/>
    <w:rsid w:val="2B176CB3"/>
    <w:rsid w:val="2B5A773E"/>
    <w:rsid w:val="2C5D6896"/>
    <w:rsid w:val="2C8C088A"/>
    <w:rsid w:val="2CF21A4B"/>
    <w:rsid w:val="2D2A1979"/>
    <w:rsid w:val="2D4C3CE0"/>
    <w:rsid w:val="2D8B36B9"/>
    <w:rsid w:val="2DC6371D"/>
    <w:rsid w:val="2DE52846"/>
    <w:rsid w:val="2EF51D26"/>
    <w:rsid w:val="2F1E2125"/>
    <w:rsid w:val="30601421"/>
    <w:rsid w:val="30EB47E3"/>
    <w:rsid w:val="31515A0E"/>
    <w:rsid w:val="315D3AEF"/>
    <w:rsid w:val="323D71D6"/>
    <w:rsid w:val="32BB342A"/>
    <w:rsid w:val="333C6176"/>
    <w:rsid w:val="335A4FCE"/>
    <w:rsid w:val="33E33661"/>
    <w:rsid w:val="34303D5C"/>
    <w:rsid w:val="34A60FDA"/>
    <w:rsid w:val="34F47CAB"/>
    <w:rsid w:val="350D6F12"/>
    <w:rsid w:val="351A7371"/>
    <w:rsid w:val="353135B0"/>
    <w:rsid w:val="35466E38"/>
    <w:rsid w:val="355065FE"/>
    <w:rsid w:val="361800C4"/>
    <w:rsid w:val="36952460"/>
    <w:rsid w:val="373F1E57"/>
    <w:rsid w:val="378E1F5E"/>
    <w:rsid w:val="37D270A9"/>
    <w:rsid w:val="37FBCF67"/>
    <w:rsid w:val="37FFC111"/>
    <w:rsid w:val="38C803E6"/>
    <w:rsid w:val="38E12DB7"/>
    <w:rsid w:val="396F7920"/>
    <w:rsid w:val="397B5BA0"/>
    <w:rsid w:val="39A51C6E"/>
    <w:rsid w:val="39BF001B"/>
    <w:rsid w:val="3A0670D1"/>
    <w:rsid w:val="3A570AD9"/>
    <w:rsid w:val="3AC06FE2"/>
    <w:rsid w:val="3BD732F4"/>
    <w:rsid w:val="3C0D6CE2"/>
    <w:rsid w:val="3C647986"/>
    <w:rsid w:val="3E190A46"/>
    <w:rsid w:val="3ECA7AEB"/>
    <w:rsid w:val="3EEF9507"/>
    <w:rsid w:val="3F223135"/>
    <w:rsid w:val="3F247041"/>
    <w:rsid w:val="3F7D18A1"/>
    <w:rsid w:val="3F8B0027"/>
    <w:rsid w:val="3F9010FA"/>
    <w:rsid w:val="40C44EBC"/>
    <w:rsid w:val="40E17D20"/>
    <w:rsid w:val="41645E7E"/>
    <w:rsid w:val="42300328"/>
    <w:rsid w:val="423A19AC"/>
    <w:rsid w:val="43320FEB"/>
    <w:rsid w:val="4473599A"/>
    <w:rsid w:val="44C10B4A"/>
    <w:rsid w:val="45D2015B"/>
    <w:rsid w:val="45F04BFC"/>
    <w:rsid w:val="45FC0E94"/>
    <w:rsid w:val="466C0978"/>
    <w:rsid w:val="467B28EF"/>
    <w:rsid w:val="46FB7EEA"/>
    <w:rsid w:val="470A3E86"/>
    <w:rsid w:val="47D575F6"/>
    <w:rsid w:val="47D81425"/>
    <w:rsid w:val="481A5BC9"/>
    <w:rsid w:val="484F1ED5"/>
    <w:rsid w:val="485C2BAD"/>
    <w:rsid w:val="48831CF9"/>
    <w:rsid w:val="49001C56"/>
    <w:rsid w:val="49513FAC"/>
    <w:rsid w:val="49C979EC"/>
    <w:rsid w:val="49DC3DB7"/>
    <w:rsid w:val="4A224A4A"/>
    <w:rsid w:val="4A31232F"/>
    <w:rsid w:val="4AA51EA6"/>
    <w:rsid w:val="4AD11264"/>
    <w:rsid w:val="4AD827D0"/>
    <w:rsid w:val="4B3159FA"/>
    <w:rsid w:val="4BED100B"/>
    <w:rsid w:val="4C41597A"/>
    <w:rsid w:val="4C6072BD"/>
    <w:rsid w:val="4CE8530F"/>
    <w:rsid w:val="4D85353E"/>
    <w:rsid w:val="4DEA6C9E"/>
    <w:rsid w:val="4DF3347D"/>
    <w:rsid w:val="4E0D11FD"/>
    <w:rsid w:val="4E0D2791"/>
    <w:rsid w:val="4E0F1107"/>
    <w:rsid w:val="4EA07212"/>
    <w:rsid w:val="4ECF5C98"/>
    <w:rsid w:val="4EEC00D4"/>
    <w:rsid w:val="4FBE262E"/>
    <w:rsid w:val="50503A69"/>
    <w:rsid w:val="50876BDC"/>
    <w:rsid w:val="50C3256E"/>
    <w:rsid w:val="50F025D2"/>
    <w:rsid w:val="512669F7"/>
    <w:rsid w:val="514967D9"/>
    <w:rsid w:val="515269B0"/>
    <w:rsid w:val="51855A3C"/>
    <w:rsid w:val="5210067F"/>
    <w:rsid w:val="521305AA"/>
    <w:rsid w:val="525D270C"/>
    <w:rsid w:val="52915EFF"/>
    <w:rsid w:val="532838FB"/>
    <w:rsid w:val="535B69D6"/>
    <w:rsid w:val="536B6514"/>
    <w:rsid w:val="53C05B67"/>
    <w:rsid w:val="53D3778D"/>
    <w:rsid w:val="53F7156C"/>
    <w:rsid w:val="55870BEA"/>
    <w:rsid w:val="560A7DEB"/>
    <w:rsid w:val="562E28C4"/>
    <w:rsid w:val="571858CA"/>
    <w:rsid w:val="571A17E5"/>
    <w:rsid w:val="57E435C9"/>
    <w:rsid w:val="57E92CAC"/>
    <w:rsid w:val="580D2DE0"/>
    <w:rsid w:val="5920472F"/>
    <w:rsid w:val="592F4560"/>
    <w:rsid w:val="59B43624"/>
    <w:rsid w:val="5A5C1B35"/>
    <w:rsid w:val="5AAD74A8"/>
    <w:rsid w:val="5B700045"/>
    <w:rsid w:val="5B8F21B5"/>
    <w:rsid w:val="5C190BA3"/>
    <w:rsid w:val="5C24361D"/>
    <w:rsid w:val="5C7A5495"/>
    <w:rsid w:val="5D36455C"/>
    <w:rsid w:val="5DE79B37"/>
    <w:rsid w:val="5E264947"/>
    <w:rsid w:val="5E3D0A42"/>
    <w:rsid w:val="5E4C0774"/>
    <w:rsid w:val="5E4C62E5"/>
    <w:rsid w:val="5E8E01E2"/>
    <w:rsid w:val="5EEC487D"/>
    <w:rsid w:val="5F0E6ED9"/>
    <w:rsid w:val="5F531FCE"/>
    <w:rsid w:val="5F7FDFCB"/>
    <w:rsid w:val="5F83204A"/>
    <w:rsid w:val="5FC42CC6"/>
    <w:rsid w:val="61A46B11"/>
    <w:rsid w:val="628261D9"/>
    <w:rsid w:val="63702E83"/>
    <w:rsid w:val="639800C6"/>
    <w:rsid w:val="63AD1FEB"/>
    <w:rsid w:val="64110EFF"/>
    <w:rsid w:val="6414790A"/>
    <w:rsid w:val="646F3406"/>
    <w:rsid w:val="64A22095"/>
    <w:rsid w:val="64E736D5"/>
    <w:rsid w:val="656040C8"/>
    <w:rsid w:val="65876D60"/>
    <w:rsid w:val="66300BF5"/>
    <w:rsid w:val="665D4842"/>
    <w:rsid w:val="66CF2D69"/>
    <w:rsid w:val="66D519CF"/>
    <w:rsid w:val="67067963"/>
    <w:rsid w:val="6718408A"/>
    <w:rsid w:val="67191D4F"/>
    <w:rsid w:val="67350CE5"/>
    <w:rsid w:val="677E4CD9"/>
    <w:rsid w:val="67F33070"/>
    <w:rsid w:val="684D0582"/>
    <w:rsid w:val="68C90547"/>
    <w:rsid w:val="68EE31CD"/>
    <w:rsid w:val="691D2227"/>
    <w:rsid w:val="69623DD4"/>
    <w:rsid w:val="69D51980"/>
    <w:rsid w:val="69F3A849"/>
    <w:rsid w:val="6A3C2816"/>
    <w:rsid w:val="6A3F7771"/>
    <w:rsid w:val="6B8CC06E"/>
    <w:rsid w:val="6BE90ED6"/>
    <w:rsid w:val="6C554EE6"/>
    <w:rsid w:val="6D192AA9"/>
    <w:rsid w:val="6D494E2E"/>
    <w:rsid w:val="6DA060CD"/>
    <w:rsid w:val="6E7C2960"/>
    <w:rsid w:val="6EA5740F"/>
    <w:rsid w:val="6FB57F4D"/>
    <w:rsid w:val="6FEFF644"/>
    <w:rsid w:val="70760A7F"/>
    <w:rsid w:val="70960621"/>
    <w:rsid w:val="71095F14"/>
    <w:rsid w:val="71431EA2"/>
    <w:rsid w:val="71A274FF"/>
    <w:rsid w:val="72BBEE4E"/>
    <w:rsid w:val="72C82315"/>
    <w:rsid w:val="73C33527"/>
    <w:rsid w:val="73E118C4"/>
    <w:rsid w:val="741D6087"/>
    <w:rsid w:val="744C59E1"/>
    <w:rsid w:val="74AC437B"/>
    <w:rsid w:val="74B76AF1"/>
    <w:rsid w:val="74D10A1F"/>
    <w:rsid w:val="74DB519C"/>
    <w:rsid w:val="7508118D"/>
    <w:rsid w:val="75705D51"/>
    <w:rsid w:val="75C209E5"/>
    <w:rsid w:val="761321F9"/>
    <w:rsid w:val="772F369C"/>
    <w:rsid w:val="77300469"/>
    <w:rsid w:val="774B5CFC"/>
    <w:rsid w:val="776C5676"/>
    <w:rsid w:val="77C95726"/>
    <w:rsid w:val="77CF68C8"/>
    <w:rsid w:val="77FE28DC"/>
    <w:rsid w:val="78CD3041"/>
    <w:rsid w:val="78F56699"/>
    <w:rsid w:val="792A1F5F"/>
    <w:rsid w:val="792F5BE5"/>
    <w:rsid w:val="79342C0C"/>
    <w:rsid w:val="794B6031"/>
    <w:rsid w:val="795BBC81"/>
    <w:rsid w:val="795F2AD1"/>
    <w:rsid w:val="796F6C66"/>
    <w:rsid w:val="79CCCF6F"/>
    <w:rsid w:val="79FF3BA3"/>
    <w:rsid w:val="7A0616DF"/>
    <w:rsid w:val="7A4D3D91"/>
    <w:rsid w:val="7AD90BDD"/>
    <w:rsid w:val="7BB94EE9"/>
    <w:rsid w:val="7C290489"/>
    <w:rsid w:val="7C4673EE"/>
    <w:rsid w:val="7C9F38DE"/>
    <w:rsid w:val="7CA131C0"/>
    <w:rsid w:val="7CFF6956"/>
    <w:rsid w:val="7D01415A"/>
    <w:rsid w:val="7D430D46"/>
    <w:rsid w:val="7DA912DF"/>
    <w:rsid w:val="7EBD24D7"/>
    <w:rsid w:val="7EBF8FC5"/>
    <w:rsid w:val="7ECC4EF7"/>
    <w:rsid w:val="7F3754AB"/>
    <w:rsid w:val="7FD65BDB"/>
    <w:rsid w:val="8BBFF99D"/>
    <w:rsid w:val="BD8D565C"/>
    <w:rsid w:val="BFFF1A92"/>
    <w:rsid w:val="C7E72469"/>
    <w:rsid w:val="CF9EEDD6"/>
    <w:rsid w:val="CFFF76E5"/>
    <w:rsid w:val="D57CFB7F"/>
    <w:rsid w:val="D7FD13AA"/>
    <w:rsid w:val="DCDB3A8A"/>
    <w:rsid w:val="DEFE83EF"/>
    <w:rsid w:val="DFB2820A"/>
    <w:rsid w:val="DFBA71B2"/>
    <w:rsid w:val="DFCFD867"/>
    <w:rsid w:val="DFCFEDC9"/>
    <w:rsid w:val="E77F44A3"/>
    <w:rsid w:val="EBFAE937"/>
    <w:rsid w:val="F8EE81B4"/>
    <w:rsid w:val="F8F7A855"/>
    <w:rsid w:val="F95F85F7"/>
    <w:rsid w:val="F9CF1921"/>
    <w:rsid w:val="FBBFD74A"/>
    <w:rsid w:val="FD308B3A"/>
    <w:rsid w:val="FD33065D"/>
    <w:rsid w:val="FDFF7B45"/>
    <w:rsid w:val="FE9D29A3"/>
    <w:rsid w:val="FEFBBBD1"/>
    <w:rsid w:val="FF7F4A5D"/>
    <w:rsid w:val="FF9D52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2"/>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63"/>
    <w:autoRedefine/>
    <w:qFormat/>
    <w:uiPriority w:val="0"/>
    <w:pPr>
      <w:keepNext/>
      <w:keepLines/>
      <w:spacing w:before="240" w:after="240"/>
      <w:outlineLvl w:val="1"/>
    </w:pPr>
    <w:rPr>
      <w:rFonts w:ascii="Arial" w:hAnsi="Arial" w:eastAsia="黑体"/>
      <w:b/>
      <w:bCs/>
      <w:sz w:val="32"/>
      <w:szCs w:val="32"/>
    </w:rPr>
  </w:style>
  <w:style w:type="paragraph" w:styleId="4">
    <w:name w:val="heading 3"/>
    <w:basedOn w:val="1"/>
    <w:next w:val="1"/>
    <w:link w:val="64"/>
    <w:autoRedefine/>
    <w:qFormat/>
    <w:uiPriority w:val="0"/>
    <w:pPr>
      <w:keepNext/>
      <w:keepLines/>
      <w:spacing w:before="120" w:after="120"/>
      <w:outlineLvl w:val="2"/>
    </w:pPr>
    <w:rPr>
      <w:b/>
      <w:bCs/>
      <w:sz w:val="24"/>
      <w:szCs w:val="32"/>
    </w:rPr>
  </w:style>
  <w:style w:type="paragraph" w:styleId="5">
    <w:name w:val="heading 4"/>
    <w:basedOn w:val="1"/>
    <w:next w:val="1"/>
    <w:link w:val="65"/>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6"/>
    <w:autoRedefine/>
    <w:qFormat/>
    <w:uiPriority w:val="0"/>
    <w:pPr>
      <w:keepNext/>
      <w:keepLines/>
      <w:tabs>
        <w:tab w:val="left" w:pos="1008"/>
      </w:tabs>
      <w:spacing w:before="280" w:after="290" w:line="376" w:lineRule="auto"/>
      <w:ind w:left="1008" w:hanging="1008"/>
      <w:jc w:val="left"/>
      <w:outlineLvl w:val="4"/>
    </w:pPr>
    <w:rPr>
      <w:b/>
      <w:bCs/>
      <w:kern w:val="0"/>
      <w:sz w:val="28"/>
      <w:szCs w:val="28"/>
    </w:rPr>
  </w:style>
  <w:style w:type="paragraph" w:styleId="7">
    <w:name w:val="heading 6"/>
    <w:basedOn w:val="1"/>
    <w:next w:val="1"/>
    <w:link w:val="67"/>
    <w:autoRedefine/>
    <w:qFormat/>
    <w:uiPriority w:val="0"/>
    <w:pPr>
      <w:keepNext/>
      <w:keepLines/>
      <w:tabs>
        <w:tab w:val="left" w:pos="1440"/>
      </w:tabs>
      <w:spacing w:before="240" w:after="64" w:line="320" w:lineRule="auto"/>
      <w:ind w:left="1152" w:hanging="1152"/>
      <w:jc w:val="left"/>
      <w:outlineLvl w:val="5"/>
    </w:pPr>
    <w:rPr>
      <w:rFonts w:ascii="Arial" w:hAnsi="Arial" w:eastAsia="黑体"/>
      <w:b/>
      <w:bCs/>
      <w:kern w:val="0"/>
      <w:sz w:val="24"/>
    </w:rPr>
  </w:style>
  <w:style w:type="paragraph" w:styleId="8">
    <w:name w:val="heading 7"/>
    <w:basedOn w:val="1"/>
    <w:next w:val="1"/>
    <w:link w:val="68"/>
    <w:autoRedefine/>
    <w:qFormat/>
    <w:uiPriority w:val="0"/>
    <w:pPr>
      <w:keepNext/>
      <w:keepLines/>
      <w:tabs>
        <w:tab w:val="left" w:pos="2520"/>
      </w:tabs>
      <w:spacing w:before="240" w:after="64" w:line="320" w:lineRule="auto"/>
      <w:ind w:left="1296" w:hanging="1296"/>
      <w:jc w:val="left"/>
      <w:outlineLvl w:val="6"/>
    </w:pPr>
    <w:rPr>
      <w:b/>
      <w:bCs/>
      <w:kern w:val="0"/>
      <w:sz w:val="24"/>
    </w:rPr>
  </w:style>
  <w:style w:type="paragraph" w:styleId="9">
    <w:name w:val="heading 8"/>
    <w:basedOn w:val="1"/>
    <w:next w:val="1"/>
    <w:link w:val="69"/>
    <w:autoRedefine/>
    <w:qFormat/>
    <w:uiPriority w:val="0"/>
    <w:pPr>
      <w:keepNext/>
      <w:keepLines/>
      <w:tabs>
        <w:tab w:val="left" w:pos="1440"/>
      </w:tabs>
      <w:spacing w:before="240" w:after="64" w:line="320" w:lineRule="auto"/>
      <w:ind w:left="1440" w:hanging="1440"/>
      <w:jc w:val="left"/>
      <w:outlineLvl w:val="7"/>
    </w:pPr>
    <w:rPr>
      <w:rFonts w:ascii="Arial" w:hAnsi="Arial" w:eastAsia="黑体"/>
      <w:kern w:val="0"/>
      <w:sz w:val="24"/>
    </w:rPr>
  </w:style>
  <w:style w:type="paragraph" w:styleId="10">
    <w:name w:val="heading 9"/>
    <w:basedOn w:val="1"/>
    <w:next w:val="1"/>
    <w:link w:val="70"/>
    <w:qFormat/>
    <w:uiPriority w:val="0"/>
    <w:pPr>
      <w:keepNext/>
      <w:keepLines/>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53">
    <w:name w:val="Default Paragraph Font"/>
    <w:autoRedefine/>
    <w:unhideWhenUsed/>
    <w:qFormat/>
    <w:uiPriority w:val="1"/>
  </w:style>
  <w:style w:type="table" w:default="1" w:styleId="51">
    <w:name w:val="Normal Table"/>
    <w:autoRedefine/>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style>
  <w:style w:type="paragraph" w:styleId="12">
    <w:name w:val="toc 7"/>
    <w:basedOn w:val="1"/>
    <w:next w:val="1"/>
    <w:unhideWhenUsed/>
    <w:qFormat/>
    <w:uiPriority w:val="39"/>
    <w:pPr>
      <w:widowControl w:val="0"/>
      <w:spacing w:line="240" w:lineRule="auto"/>
      <w:ind w:left="2520" w:leftChars="1200" w:firstLine="0" w:firstLineChars="0"/>
    </w:pPr>
    <w:rPr>
      <w:rFonts w:ascii="等线" w:hAnsi="等线" w:eastAsia="等线"/>
      <w:szCs w:val="22"/>
    </w:rPr>
  </w:style>
  <w:style w:type="paragraph" w:styleId="13">
    <w:name w:val="Normal Indent"/>
    <w:basedOn w:val="1"/>
    <w:link w:val="71"/>
    <w:autoRedefine/>
    <w:qFormat/>
    <w:uiPriority w:val="0"/>
  </w:style>
  <w:style w:type="paragraph" w:styleId="14">
    <w:name w:val="caption"/>
    <w:basedOn w:val="1"/>
    <w:next w:val="1"/>
    <w:qFormat/>
    <w:uiPriority w:val="0"/>
    <w:rPr>
      <w:rFonts w:ascii="Arial" w:hAnsi="Arial" w:eastAsia="黑体" w:cs="Arial"/>
      <w:sz w:val="20"/>
      <w:szCs w:val="20"/>
    </w:rPr>
  </w:style>
  <w:style w:type="paragraph" w:styleId="15">
    <w:name w:val="Document Map"/>
    <w:basedOn w:val="1"/>
    <w:link w:val="72"/>
    <w:autoRedefine/>
    <w:qFormat/>
    <w:uiPriority w:val="99"/>
    <w:rPr>
      <w:rFonts w:ascii="宋体"/>
      <w:sz w:val="18"/>
      <w:szCs w:val="18"/>
    </w:rPr>
  </w:style>
  <w:style w:type="paragraph" w:styleId="16">
    <w:name w:val="toa heading"/>
    <w:basedOn w:val="1"/>
    <w:next w:val="1"/>
    <w:qFormat/>
    <w:uiPriority w:val="0"/>
    <w:pPr>
      <w:spacing w:before="120"/>
    </w:pPr>
    <w:rPr>
      <w:rFonts w:ascii="Arial" w:hAnsi="Arial"/>
      <w:b/>
      <w:bCs/>
    </w:rPr>
  </w:style>
  <w:style w:type="paragraph" w:styleId="17">
    <w:name w:val="annotation text"/>
    <w:basedOn w:val="1"/>
    <w:link w:val="73"/>
    <w:autoRedefine/>
    <w:qFormat/>
    <w:uiPriority w:val="0"/>
    <w:pPr>
      <w:jc w:val="left"/>
    </w:pPr>
  </w:style>
  <w:style w:type="paragraph" w:styleId="18">
    <w:name w:val="Body Text 3"/>
    <w:basedOn w:val="1"/>
    <w:link w:val="74"/>
    <w:qFormat/>
    <w:uiPriority w:val="0"/>
    <w:rPr>
      <w:rFonts w:ascii="宋体"/>
      <w:sz w:val="24"/>
      <w:szCs w:val="20"/>
    </w:rPr>
  </w:style>
  <w:style w:type="paragraph" w:styleId="19">
    <w:name w:val="Body Text"/>
    <w:basedOn w:val="1"/>
    <w:link w:val="75"/>
    <w:autoRedefine/>
    <w:qFormat/>
    <w:uiPriority w:val="1"/>
    <w:pPr>
      <w:spacing w:after="120"/>
    </w:pPr>
  </w:style>
  <w:style w:type="paragraph" w:styleId="20">
    <w:name w:val="Body Text Indent"/>
    <w:basedOn w:val="1"/>
    <w:link w:val="61"/>
    <w:qFormat/>
    <w:uiPriority w:val="99"/>
    <w:pPr>
      <w:spacing w:after="120"/>
      <w:ind w:left="420" w:leftChars="200"/>
    </w:pPr>
  </w:style>
  <w:style w:type="paragraph" w:styleId="21">
    <w:name w:val="List 2"/>
    <w:basedOn w:val="1"/>
    <w:autoRedefine/>
    <w:qFormat/>
    <w:uiPriority w:val="0"/>
    <w:pPr>
      <w:ind w:left="100" w:leftChars="200" w:hanging="200" w:hangingChars="200"/>
    </w:pPr>
  </w:style>
  <w:style w:type="paragraph" w:styleId="22">
    <w:name w:val="List Bullet 2"/>
    <w:basedOn w:val="1"/>
    <w:qFormat/>
    <w:uiPriority w:val="0"/>
    <w:pPr>
      <w:tabs>
        <w:tab w:val="left" w:pos="780"/>
      </w:tabs>
      <w:ind w:left="840" w:hanging="420"/>
    </w:pPr>
  </w:style>
  <w:style w:type="paragraph" w:styleId="23">
    <w:name w:val="toc 5"/>
    <w:basedOn w:val="1"/>
    <w:next w:val="1"/>
    <w:unhideWhenUsed/>
    <w:qFormat/>
    <w:uiPriority w:val="39"/>
    <w:pPr>
      <w:widowControl w:val="0"/>
      <w:spacing w:line="240" w:lineRule="auto"/>
      <w:ind w:left="1680" w:leftChars="800" w:firstLine="0" w:firstLineChars="0"/>
    </w:pPr>
    <w:rPr>
      <w:rFonts w:ascii="等线" w:hAnsi="等线" w:eastAsia="等线"/>
      <w:szCs w:val="22"/>
    </w:rPr>
  </w:style>
  <w:style w:type="paragraph" w:styleId="24">
    <w:name w:val="toc 3"/>
    <w:basedOn w:val="1"/>
    <w:next w:val="1"/>
    <w:autoRedefine/>
    <w:qFormat/>
    <w:uiPriority w:val="39"/>
    <w:pPr>
      <w:ind w:left="940"/>
      <w:jc w:val="left"/>
    </w:pPr>
    <w:rPr>
      <w:rFonts w:ascii="宋体" w:hAnsi="宋体"/>
      <w:kern w:val="0"/>
      <w:szCs w:val="21"/>
      <w:lang w:eastAsia="en-US"/>
    </w:rPr>
  </w:style>
  <w:style w:type="paragraph" w:styleId="25">
    <w:name w:val="Plain Text"/>
    <w:basedOn w:val="1"/>
    <w:link w:val="76"/>
    <w:autoRedefine/>
    <w:qFormat/>
    <w:uiPriority w:val="0"/>
    <w:rPr>
      <w:rFonts w:ascii="宋体" w:hAnsi="Courier New"/>
      <w:szCs w:val="21"/>
    </w:rPr>
  </w:style>
  <w:style w:type="paragraph" w:styleId="26">
    <w:name w:val="toc 8"/>
    <w:basedOn w:val="1"/>
    <w:next w:val="1"/>
    <w:autoRedefine/>
    <w:unhideWhenUsed/>
    <w:qFormat/>
    <w:uiPriority w:val="39"/>
    <w:pPr>
      <w:widowControl w:val="0"/>
      <w:spacing w:line="240" w:lineRule="auto"/>
      <w:ind w:left="2940" w:leftChars="1400" w:firstLine="0" w:firstLineChars="0"/>
    </w:pPr>
    <w:rPr>
      <w:rFonts w:ascii="等线" w:hAnsi="等线" w:eastAsia="等线"/>
      <w:szCs w:val="22"/>
    </w:rPr>
  </w:style>
  <w:style w:type="paragraph" w:styleId="27">
    <w:name w:val="Date"/>
    <w:basedOn w:val="1"/>
    <w:next w:val="1"/>
    <w:link w:val="77"/>
    <w:autoRedefine/>
    <w:qFormat/>
    <w:uiPriority w:val="99"/>
    <w:rPr>
      <w:sz w:val="24"/>
      <w:szCs w:val="20"/>
    </w:rPr>
  </w:style>
  <w:style w:type="paragraph" w:styleId="28">
    <w:name w:val="Body Text Indent 2"/>
    <w:basedOn w:val="1"/>
    <w:link w:val="78"/>
    <w:autoRedefine/>
    <w:qFormat/>
    <w:uiPriority w:val="0"/>
    <w:pPr>
      <w:ind w:firstLine="640"/>
    </w:pPr>
    <w:rPr>
      <w:rFonts w:eastAsia="仿宋_GB2312"/>
      <w:sz w:val="32"/>
    </w:rPr>
  </w:style>
  <w:style w:type="paragraph" w:styleId="29">
    <w:name w:val="endnote text"/>
    <w:basedOn w:val="1"/>
    <w:link w:val="79"/>
    <w:qFormat/>
    <w:uiPriority w:val="0"/>
    <w:pPr>
      <w:jc w:val="left"/>
    </w:pPr>
    <w:rPr>
      <w:rFonts w:ascii="Courier" w:hAnsi="Courier" w:eastAsia="PMingLiU"/>
      <w:snapToGrid w:val="0"/>
      <w:kern w:val="0"/>
      <w:sz w:val="24"/>
      <w:szCs w:val="20"/>
      <w:lang w:val="en-AU" w:eastAsia="en-US"/>
    </w:rPr>
  </w:style>
  <w:style w:type="paragraph" w:styleId="30">
    <w:name w:val="Balloon Text"/>
    <w:basedOn w:val="1"/>
    <w:link w:val="80"/>
    <w:autoRedefine/>
    <w:qFormat/>
    <w:uiPriority w:val="99"/>
    <w:rPr>
      <w:sz w:val="18"/>
      <w:szCs w:val="18"/>
    </w:rPr>
  </w:style>
  <w:style w:type="paragraph" w:styleId="31">
    <w:name w:val="footer"/>
    <w:basedOn w:val="1"/>
    <w:link w:val="81"/>
    <w:autoRedefine/>
    <w:qFormat/>
    <w:uiPriority w:val="99"/>
    <w:pPr>
      <w:tabs>
        <w:tab w:val="center" w:pos="4153"/>
        <w:tab w:val="right" w:pos="8306"/>
      </w:tabs>
      <w:snapToGrid w:val="0"/>
      <w:jc w:val="left"/>
    </w:pPr>
    <w:rPr>
      <w:sz w:val="18"/>
      <w:szCs w:val="18"/>
    </w:rPr>
  </w:style>
  <w:style w:type="paragraph" w:styleId="32">
    <w:name w:val="header"/>
    <w:basedOn w:val="1"/>
    <w:link w:val="82"/>
    <w:autoRedefine/>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widowControl w:val="0"/>
      <w:kinsoku w:val="0"/>
      <w:overflowPunct w:val="0"/>
      <w:autoSpaceDE w:val="0"/>
      <w:autoSpaceDN w:val="0"/>
      <w:adjustRightInd w:val="0"/>
      <w:snapToGrid w:val="0"/>
      <w:ind w:firstLine="0" w:firstLineChars="0"/>
      <w:jc w:val="left"/>
    </w:pPr>
    <w:rPr>
      <w:rFonts w:ascii="宋体" w:hAnsi="宋体"/>
      <w:kern w:val="0"/>
      <w:szCs w:val="21"/>
      <w:lang w:eastAsia="en-US"/>
    </w:rPr>
  </w:style>
  <w:style w:type="paragraph" w:styleId="34">
    <w:name w:val="toc 4"/>
    <w:basedOn w:val="1"/>
    <w:next w:val="1"/>
    <w:autoRedefine/>
    <w:unhideWhenUsed/>
    <w:qFormat/>
    <w:uiPriority w:val="39"/>
    <w:pPr>
      <w:widowControl w:val="0"/>
      <w:spacing w:line="240" w:lineRule="auto"/>
      <w:ind w:left="1260" w:leftChars="600" w:firstLine="0" w:firstLineChars="0"/>
    </w:pPr>
    <w:rPr>
      <w:rFonts w:ascii="等线" w:hAnsi="等线" w:eastAsia="等线"/>
      <w:szCs w:val="22"/>
    </w:rPr>
  </w:style>
  <w:style w:type="paragraph" w:styleId="35">
    <w:name w:val="index heading"/>
    <w:basedOn w:val="1"/>
    <w:next w:val="36"/>
    <w:autoRedefine/>
    <w:qFormat/>
    <w:uiPriority w:val="0"/>
    <w:pPr>
      <w:spacing w:before="120" w:after="120"/>
      <w:jc w:val="left"/>
    </w:pPr>
    <w:rPr>
      <w:b/>
      <w:bCs/>
      <w:i/>
      <w:iCs/>
      <w:sz w:val="20"/>
      <w:szCs w:val="20"/>
    </w:rPr>
  </w:style>
  <w:style w:type="paragraph" w:styleId="36">
    <w:name w:val="index 1"/>
    <w:basedOn w:val="1"/>
    <w:next w:val="1"/>
    <w:autoRedefine/>
    <w:qFormat/>
    <w:uiPriority w:val="0"/>
    <w:pPr>
      <w:spacing w:line="220" w:lineRule="exact"/>
      <w:jc w:val="center"/>
    </w:pPr>
    <w:rPr>
      <w:rFonts w:ascii="仿宋_GB2312" w:eastAsia="仿宋_GB2312"/>
      <w:szCs w:val="21"/>
    </w:rPr>
  </w:style>
  <w:style w:type="paragraph" w:styleId="37">
    <w:name w:val="List"/>
    <w:basedOn w:val="1"/>
    <w:autoRedefine/>
    <w:qFormat/>
    <w:uiPriority w:val="0"/>
    <w:pPr>
      <w:ind w:left="200" w:hanging="200" w:hangingChars="200"/>
    </w:pPr>
  </w:style>
  <w:style w:type="paragraph" w:styleId="38">
    <w:name w:val="footnote text"/>
    <w:basedOn w:val="1"/>
    <w:link w:val="83"/>
    <w:autoRedefine/>
    <w:qFormat/>
    <w:uiPriority w:val="0"/>
    <w:pPr>
      <w:jc w:val="left"/>
    </w:pPr>
    <w:rPr>
      <w:rFonts w:ascii="Courier" w:hAnsi="Courier" w:eastAsia="PMingLiU"/>
      <w:snapToGrid w:val="0"/>
      <w:kern w:val="0"/>
      <w:sz w:val="24"/>
      <w:szCs w:val="20"/>
      <w:lang w:val="en-AU" w:eastAsia="en-US"/>
    </w:rPr>
  </w:style>
  <w:style w:type="paragraph" w:styleId="39">
    <w:name w:val="toc 6"/>
    <w:basedOn w:val="1"/>
    <w:next w:val="1"/>
    <w:autoRedefine/>
    <w:unhideWhenUsed/>
    <w:qFormat/>
    <w:uiPriority w:val="39"/>
    <w:pPr>
      <w:widowControl w:val="0"/>
      <w:spacing w:line="240" w:lineRule="auto"/>
      <w:ind w:left="2100" w:leftChars="1000" w:firstLine="0" w:firstLineChars="0"/>
    </w:pPr>
    <w:rPr>
      <w:rFonts w:ascii="等线" w:hAnsi="等线" w:eastAsia="等线"/>
      <w:szCs w:val="22"/>
    </w:rPr>
  </w:style>
  <w:style w:type="paragraph" w:styleId="40">
    <w:name w:val="List 5"/>
    <w:basedOn w:val="1"/>
    <w:autoRedefine/>
    <w:qFormat/>
    <w:uiPriority w:val="0"/>
    <w:pPr>
      <w:ind w:left="100" w:leftChars="800" w:hanging="200" w:hangingChars="200"/>
    </w:pPr>
  </w:style>
  <w:style w:type="paragraph" w:styleId="41">
    <w:name w:val="Body Text Indent 3"/>
    <w:basedOn w:val="1"/>
    <w:link w:val="84"/>
    <w:autoRedefine/>
    <w:qFormat/>
    <w:uiPriority w:val="0"/>
    <w:pPr>
      <w:spacing w:after="120"/>
      <w:ind w:left="420" w:leftChars="200"/>
    </w:pPr>
    <w:rPr>
      <w:sz w:val="16"/>
      <w:szCs w:val="16"/>
    </w:rPr>
  </w:style>
  <w:style w:type="paragraph" w:styleId="42">
    <w:name w:val="toc 2"/>
    <w:basedOn w:val="1"/>
    <w:next w:val="1"/>
    <w:autoRedefine/>
    <w:qFormat/>
    <w:uiPriority w:val="39"/>
    <w:pPr>
      <w:widowControl w:val="0"/>
      <w:kinsoku w:val="0"/>
      <w:overflowPunct w:val="0"/>
      <w:autoSpaceDE w:val="0"/>
      <w:autoSpaceDN w:val="0"/>
      <w:adjustRightInd w:val="0"/>
      <w:snapToGrid w:val="0"/>
      <w:jc w:val="left"/>
    </w:pPr>
    <w:rPr>
      <w:rFonts w:ascii="宋体" w:hAnsi="宋体"/>
      <w:kern w:val="0"/>
      <w:szCs w:val="21"/>
      <w:lang w:eastAsia="en-US"/>
    </w:rPr>
  </w:style>
  <w:style w:type="paragraph" w:styleId="43">
    <w:name w:val="toc 9"/>
    <w:basedOn w:val="1"/>
    <w:next w:val="1"/>
    <w:autoRedefine/>
    <w:unhideWhenUsed/>
    <w:qFormat/>
    <w:uiPriority w:val="39"/>
    <w:pPr>
      <w:widowControl w:val="0"/>
      <w:spacing w:line="240" w:lineRule="auto"/>
      <w:ind w:left="3360" w:leftChars="1600" w:firstLine="0" w:firstLineChars="0"/>
    </w:pPr>
    <w:rPr>
      <w:rFonts w:ascii="等线" w:hAnsi="等线" w:eastAsia="等线"/>
      <w:szCs w:val="22"/>
    </w:rPr>
  </w:style>
  <w:style w:type="paragraph" w:styleId="44">
    <w:name w:val="Body Text 2"/>
    <w:basedOn w:val="1"/>
    <w:link w:val="85"/>
    <w:autoRedefine/>
    <w:qFormat/>
    <w:uiPriority w:val="0"/>
    <w:pPr>
      <w:jc w:val="left"/>
    </w:pPr>
    <w:rPr>
      <w:rFonts w:ascii="楷体_GB2312" w:hAnsi="宋体" w:eastAsia="楷体_GB2312"/>
      <w:color w:val="000000"/>
      <w:kern w:val="0"/>
      <w:szCs w:val="21"/>
    </w:rPr>
  </w:style>
  <w:style w:type="paragraph" w:styleId="45">
    <w:name w:val="List 4"/>
    <w:basedOn w:val="1"/>
    <w:autoRedefine/>
    <w:qFormat/>
    <w:uiPriority w:val="0"/>
    <w:pPr>
      <w:ind w:left="100" w:leftChars="600" w:hanging="200" w:hangingChars="200"/>
    </w:pPr>
  </w:style>
  <w:style w:type="paragraph" w:styleId="46">
    <w:name w:val="Normal (Web)"/>
    <w:basedOn w:val="1"/>
    <w:autoRedefine/>
    <w:qFormat/>
    <w:uiPriority w:val="99"/>
    <w:pPr>
      <w:spacing w:before="100" w:beforeAutospacing="1" w:after="100" w:afterAutospacing="1" w:line="283" w:lineRule="atLeast"/>
      <w:jc w:val="left"/>
    </w:pPr>
    <w:rPr>
      <w:rFonts w:ascii="宋体" w:hAnsi="宋体"/>
      <w:color w:val="000000"/>
      <w:kern w:val="0"/>
      <w:sz w:val="19"/>
      <w:szCs w:val="19"/>
    </w:rPr>
  </w:style>
  <w:style w:type="paragraph" w:styleId="47">
    <w:name w:val="Title"/>
    <w:basedOn w:val="1"/>
    <w:next w:val="1"/>
    <w:link w:val="86"/>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8">
    <w:name w:val="annotation subject"/>
    <w:basedOn w:val="17"/>
    <w:next w:val="17"/>
    <w:link w:val="87"/>
    <w:autoRedefine/>
    <w:qFormat/>
    <w:uiPriority w:val="99"/>
  </w:style>
  <w:style w:type="paragraph" w:styleId="49">
    <w:name w:val="Body Text First Indent"/>
    <w:basedOn w:val="19"/>
    <w:autoRedefine/>
    <w:qFormat/>
    <w:uiPriority w:val="0"/>
    <w:pPr>
      <w:ind w:firstLine="420" w:firstLineChars="100"/>
    </w:pPr>
  </w:style>
  <w:style w:type="paragraph" w:styleId="50">
    <w:name w:val="Body Text First Indent 2"/>
    <w:basedOn w:val="20"/>
    <w:autoRedefine/>
    <w:qFormat/>
    <w:uiPriority w:val="0"/>
    <w:pPr>
      <w:adjustRightInd w:val="0"/>
      <w:spacing w:line="312" w:lineRule="atLeast"/>
      <w:ind w:firstLine="420"/>
      <w:textAlignment w:val="baseline"/>
    </w:pPr>
  </w:style>
  <w:style w:type="table" w:styleId="52">
    <w:name w:val="Table Grid"/>
    <w:basedOn w:val="51"/>
    <w:autoRedefine/>
    <w:qFormat/>
    <w:uiPriority w:val="0"/>
    <w:pPr>
      <w:ind w:left="840" w:hanging="420"/>
      <w:jc w:val="both"/>
    </w:pPr>
    <w:rPr>
      <w:rFonts w:ascii="Calibri" w:hAnsi="Calibri"/>
      <w:kern w:val="2"/>
      <w:sz w:val="21"/>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4">
    <w:name w:val="Strong"/>
    <w:autoRedefine/>
    <w:qFormat/>
    <w:uiPriority w:val="22"/>
    <w:rPr>
      <w:b/>
      <w:bCs/>
    </w:rPr>
  </w:style>
  <w:style w:type="character" w:styleId="55">
    <w:name w:val="page number"/>
    <w:autoRedefine/>
    <w:qFormat/>
    <w:uiPriority w:val="0"/>
  </w:style>
  <w:style w:type="character" w:styleId="56">
    <w:name w:val="Emphasis"/>
    <w:autoRedefine/>
    <w:qFormat/>
    <w:uiPriority w:val="20"/>
    <w:rPr>
      <w:color w:val="CC0000"/>
    </w:rPr>
  </w:style>
  <w:style w:type="character" w:styleId="57">
    <w:name w:val="Hyperlink"/>
    <w:autoRedefine/>
    <w:qFormat/>
    <w:uiPriority w:val="99"/>
    <w:rPr>
      <w:color w:val="0000FF"/>
      <w:u w:val="single"/>
    </w:rPr>
  </w:style>
  <w:style w:type="character" w:styleId="58">
    <w:name w:val="annotation reference"/>
    <w:autoRedefine/>
    <w:qFormat/>
    <w:uiPriority w:val="99"/>
    <w:rPr>
      <w:sz w:val="21"/>
      <w:szCs w:val="21"/>
    </w:rPr>
  </w:style>
  <w:style w:type="paragraph" w:customStyle="1" w:styleId="59">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customStyle="1" w:styleId="60">
    <w:name w:val="列出段落1"/>
    <w:basedOn w:val="1"/>
    <w:next w:val="1"/>
    <w:autoRedefine/>
    <w:qFormat/>
    <w:uiPriority w:val="0"/>
    <w:pPr>
      <w:spacing w:beforeLines="50" w:after="156" w:line="240" w:lineRule="atLeast"/>
      <w:ind w:left="425"/>
    </w:pPr>
    <w:rPr>
      <w:rFonts w:eastAsia="仿宋_GB2312"/>
      <w:sz w:val="24"/>
    </w:rPr>
  </w:style>
  <w:style w:type="character" w:customStyle="1" w:styleId="61">
    <w:name w:val="正文文本缩进 字符"/>
    <w:link w:val="20"/>
    <w:autoRedefine/>
    <w:qFormat/>
    <w:uiPriority w:val="99"/>
    <w:rPr>
      <w:kern w:val="2"/>
      <w:sz w:val="21"/>
      <w:szCs w:val="24"/>
    </w:rPr>
  </w:style>
  <w:style w:type="character" w:customStyle="1" w:styleId="62">
    <w:name w:val="标题 1 字符1"/>
    <w:link w:val="2"/>
    <w:autoRedefine/>
    <w:qFormat/>
    <w:uiPriority w:val="0"/>
    <w:rPr>
      <w:b/>
      <w:bCs/>
      <w:kern w:val="44"/>
      <w:sz w:val="44"/>
      <w:szCs w:val="44"/>
    </w:rPr>
  </w:style>
  <w:style w:type="character" w:customStyle="1" w:styleId="63">
    <w:name w:val="标题 2 字符"/>
    <w:link w:val="3"/>
    <w:autoRedefine/>
    <w:qFormat/>
    <w:uiPriority w:val="0"/>
    <w:rPr>
      <w:rFonts w:ascii="Arial" w:hAnsi="Arial" w:eastAsia="黑体"/>
      <w:b/>
      <w:bCs/>
      <w:kern w:val="2"/>
      <w:sz w:val="32"/>
      <w:szCs w:val="32"/>
    </w:rPr>
  </w:style>
  <w:style w:type="character" w:customStyle="1" w:styleId="64">
    <w:name w:val="标题 3 字符1"/>
    <w:link w:val="4"/>
    <w:autoRedefine/>
    <w:qFormat/>
    <w:uiPriority w:val="0"/>
    <w:rPr>
      <w:b/>
      <w:bCs/>
      <w:kern w:val="2"/>
      <w:sz w:val="24"/>
      <w:szCs w:val="32"/>
    </w:rPr>
  </w:style>
  <w:style w:type="character" w:customStyle="1" w:styleId="65">
    <w:name w:val="标题 4 字符"/>
    <w:link w:val="5"/>
    <w:autoRedefine/>
    <w:qFormat/>
    <w:uiPriority w:val="0"/>
    <w:rPr>
      <w:rFonts w:ascii="Arial" w:hAnsi="Arial" w:eastAsia="黑体"/>
      <w:b/>
      <w:bCs/>
      <w:kern w:val="2"/>
      <w:sz w:val="28"/>
      <w:szCs w:val="28"/>
    </w:rPr>
  </w:style>
  <w:style w:type="character" w:customStyle="1" w:styleId="66">
    <w:name w:val="标题 5 字符"/>
    <w:link w:val="6"/>
    <w:autoRedefine/>
    <w:qFormat/>
    <w:uiPriority w:val="0"/>
    <w:rPr>
      <w:b/>
      <w:bCs/>
      <w:sz w:val="28"/>
      <w:szCs w:val="28"/>
    </w:rPr>
  </w:style>
  <w:style w:type="character" w:customStyle="1" w:styleId="67">
    <w:name w:val="标题 6 字符"/>
    <w:link w:val="7"/>
    <w:autoRedefine/>
    <w:qFormat/>
    <w:uiPriority w:val="0"/>
    <w:rPr>
      <w:rFonts w:ascii="Arial" w:hAnsi="Arial" w:eastAsia="黑体"/>
      <w:b/>
      <w:bCs/>
      <w:sz w:val="24"/>
      <w:szCs w:val="24"/>
    </w:rPr>
  </w:style>
  <w:style w:type="character" w:customStyle="1" w:styleId="68">
    <w:name w:val="标题 7 字符"/>
    <w:link w:val="8"/>
    <w:autoRedefine/>
    <w:qFormat/>
    <w:uiPriority w:val="0"/>
    <w:rPr>
      <w:b/>
      <w:bCs/>
      <w:sz w:val="24"/>
      <w:szCs w:val="24"/>
    </w:rPr>
  </w:style>
  <w:style w:type="character" w:customStyle="1" w:styleId="69">
    <w:name w:val="标题 8 字符"/>
    <w:link w:val="9"/>
    <w:autoRedefine/>
    <w:qFormat/>
    <w:uiPriority w:val="0"/>
    <w:rPr>
      <w:rFonts w:ascii="Arial" w:hAnsi="Arial" w:eastAsia="黑体"/>
      <w:sz w:val="24"/>
      <w:szCs w:val="24"/>
    </w:rPr>
  </w:style>
  <w:style w:type="character" w:customStyle="1" w:styleId="70">
    <w:name w:val="标题 9 字符"/>
    <w:link w:val="10"/>
    <w:autoRedefine/>
    <w:qFormat/>
    <w:uiPriority w:val="0"/>
    <w:rPr>
      <w:rFonts w:ascii="Arial" w:hAnsi="Arial" w:eastAsia="黑体"/>
      <w:sz w:val="21"/>
      <w:szCs w:val="21"/>
    </w:rPr>
  </w:style>
  <w:style w:type="character" w:customStyle="1" w:styleId="71">
    <w:name w:val="正文缩进 字符"/>
    <w:link w:val="13"/>
    <w:autoRedefine/>
    <w:qFormat/>
    <w:uiPriority w:val="0"/>
    <w:rPr>
      <w:kern w:val="2"/>
      <w:sz w:val="21"/>
      <w:szCs w:val="24"/>
    </w:rPr>
  </w:style>
  <w:style w:type="character" w:customStyle="1" w:styleId="72">
    <w:name w:val="文档结构图 字符"/>
    <w:link w:val="15"/>
    <w:autoRedefine/>
    <w:qFormat/>
    <w:uiPriority w:val="99"/>
    <w:rPr>
      <w:rFonts w:ascii="宋体"/>
      <w:kern w:val="2"/>
      <w:sz w:val="18"/>
      <w:szCs w:val="18"/>
    </w:rPr>
  </w:style>
  <w:style w:type="character" w:customStyle="1" w:styleId="73">
    <w:name w:val="批注文字 字符"/>
    <w:link w:val="17"/>
    <w:autoRedefine/>
    <w:qFormat/>
    <w:uiPriority w:val="0"/>
    <w:rPr>
      <w:kern w:val="2"/>
      <w:sz w:val="21"/>
      <w:szCs w:val="24"/>
    </w:rPr>
  </w:style>
  <w:style w:type="character" w:customStyle="1" w:styleId="74">
    <w:name w:val="正文文本 3 字符"/>
    <w:link w:val="18"/>
    <w:autoRedefine/>
    <w:qFormat/>
    <w:uiPriority w:val="0"/>
    <w:rPr>
      <w:rFonts w:ascii="宋体"/>
      <w:kern w:val="2"/>
      <w:sz w:val="24"/>
    </w:rPr>
  </w:style>
  <w:style w:type="character" w:customStyle="1" w:styleId="75">
    <w:name w:val="正文文本 字符"/>
    <w:link w:val="19"/>
    <w:autoRedefine/>
    <w:qFormat/>
    <w:uiPriority w:val="1"/>
    <w:rPr>
      <w:kern w:val="2"/>
      <w:sz w:val="21"/>
      <w:szCs w:val="24"/>
    </w:rPr>
  </w:style>
  <w:style w:type="character" w:customStyle="1" w:styleId="76">
    <w:name w:val="纯文本 字符"/>
    <w:link w:val="25"/>
    <w:autoRedefine/>
    <w:qFormat/>
    <w:uiPriority w:val="0"/>
    <w:rPr>
      <w:rFonts w:ascii="宋体" w:hAnsi="Courier New" w:cs="Courier New"/>
      <w:kern w:val="2"/>
      <w:sz w:val="21"/>
      <w:szCs w:val="21"/>
    </w:rPr>
  </w:style>
  <w:style w:type="character" w:customStyle="1" w:styleId="77">
    <w:name w:val="日期 字符"/>
    <w:link w:val="27"/>
    <w:autoRedefine/>
    <w:qFormat/>
    <w:uiPriority w:val="99"/>
    <w:rPr>
      <w:kern w:val="2"/>
      <w:sz w:val="24"/>
    </w:rPr>
  </w:style>
  <w:style w:type="character" w:customStyle="1" w:styleId="78">
    <w:name w:val="正文文本缩进 2 字符"/>
    <w:link w:val="28"/>
    <w:autoRedefine/>
    <w:qFormat/>
    <w:uiPriority w:val="0"/>
    <w:rPr>
      <w:rFonts w:eastAsia="仿宋_GB2312"/>
      <w:kern w:val="2"/>
      <w:sz w:val="32"/>
      <w:szCs w:val="24"/>
    </w:rPr>
  </w:style>
  <w:style w:type="character" w:customStyle="1" w:styleId="79">
    <w:name w:val="尾注文本 字符"/>
    <w:link w:val="29"/>
    <w:autoRedefine/>
    <w:qFormat/>
    <w:uiPriority w:val="0"/>
    <w:rPr>
      <w:rFonts w:ascii="Courier" w:hAnsi="Courier" w:eastAsia="PMingLiU"/>
      <w:snapToGrid w:val="0"/>
      <w:sz w:val="24"/>
      <w:lang w:val="en-AU" w:eastAsia="en-US"/>
    </w:rPr>
  </w:style>
  <w:style w:type="character" w:customStyle="1" w:styleId="80">
    <w:name w:val="批注框文本 字符"/>
    <w:link w:val="30"/>
    <w:autoRedefine/>
    <w:qFormat/>
    <w:uiPriority w:val="99"/>
    <w:rPr>
      <w:kern w:val="2"/>
      <w:sz w:val="18"/>
      <w:szCs w:val="18"/>
    </w:rPr>
  </w:style>
  <w:style w:type="character" w:customStyle="1" w:styleId="81">
    <w:name w:val="页脚 字符1"/>
    <w:link w:val="31"/>
    <w:autoRedefine/>
    <w:qFormat/>
    <w:uiPriority w:val="99"/>
    <w:rPr>
      <w:kern w:val="2"/>
      <w:sz w:val="18"/>
      <w:szCs w:val="18"/>
    </w:rPr>
  </w:style>
  <w:style w:type="character" w:customStyle="1" w:styleId="82">
    <w:name w:val="页眉 字符"/>
    <w:link w:val="32"/>
    <w:autoRedefine/>
    <w:qFormat/>
    <w:uiPriority w:val="99"/>
    <w:rPr>
      <w:kern w:val="2"/>
      <w:sz w:val="18"/>
      <w:szCs w:val="18"/>
    </w:rPr>
  </w:style>
  <w:style w:type="character" w:customStyle="1" w:styleId="83">
    <w:name w:val="脚注文本 字符"/>
    <w:link w:val="38"/>
    <w:autoRedefine/>
    <w:qFormat/>
    <w:uiPriority w:val="0"/>
    <w:rPr>
      <w:rFonts w:ascii="Courier" w:hAnsi="Courier" w:eastAsia="PMingLiU"/>
      <w:snapToGrid w:val="0"/>
      <w:sz w:val="24"/>
      <w:lang w:val="en-AU" w:eastAsia="en-US"/>
    </w:rPr>
  </w:style>
  <w:style w:type="character" w:customStyle="1" w:styleId="84">
    <w:name w:val="正文文本缩进 3 字符"/>
    <w:link w:val="41"/>
    <w:autoRedefine/>
    <w:qFormat/>
    <w:uiPriority w:val="0"/>
    <w:rPr>
      <w:kern w:val="2"/>
      <w:sz w:val="16"/>
      <w:szCs w:val="16"/>
    </w:rPr>
  </w:style>
  <w:style w:type="character" w:customStyle="1" w:styleId="85">
    <w:name w:val="正文文本 2 字符"/>
    <w:link w:val="44"/>
    <w:autoRedefine/>
    <w:qFormat/>
    <w:uiPriority w:val="0"/>
    <w:rPr>
      <w:rFonts w:ascii="楷体_GB2312" w:hAnsi="宋体" w:eastAsia="楷体_GB2312"/>
      <w:color w:val="000000"/>
      <w:sz w:val="21"/>
      <w:szCs w:val="21"/>
      <w:lang w:val="en-US" w:eastAsia="zh-CN"/>
    </w:rPr>
  </w:style>
  <w:style w:type="character" w:customStyle="1" w:styleId="86">
    <w:name w:val="标题 字符"/>
    <w:link w:val="47"/>
    <w:autoRedefine/>
    <w:qFormat/>
    <w:uiPriority w:val="0"/>
    <w:rPr>
      <w:rFonts w:ascii="Arial" w:hAnsi="Arial"/>
      <w:b/>
      <w:sz w:val="32"/>
    </w:rPr>
  </w:style>
  <w:style w:type="character" w:customStyle="1" w:styleId="87">
    <w:name w:val="批注主题 字符"/>
    <w:link w:val="48"/>
    <w:autoRedefine/>
    <w:qFormat/>
    <w:uiPriority w:val="99"/>
    <w:rPr>
      <w:kern w:val="2"/>
      <w:sz w:val="21"/>
      <w:szCs w:val="24"/>
    </w:rPr>
  </w:style>
  <w:style w:type="character" w:customStyle="1" w:styleId="88">
    <w:name w:val="Char Char17"/>
    <w:autoRedefine/>
    <w:qFormat/>
    <w:uiPriority w:val="0"/>
    <w:rPr>
      <w:rFonts w:ascii="Arial" w:hAnsi="Arial" w:eastAsia="黑体"/>
      <w:b/>
      <w:bCs/>
      <w:sz w:val="28"/>
      <w:szCs w:val="28"/>
      <w:lang w:val="en-US" w:eastAsia="zh-CN" w:bidi="ar-SA"/>
    </w:rPr>
  </w:style>
  <w:style w:type="character" w:customStyle="1" w:styleId="89">
    <w:name w:val="正文缩进 Char1"/>
    <w:autoRedefine/>
    <w:qFormat/>
    <w:uiPriority w:val="0"/>
    <w:rPr>
      <w:kern w:val="2"/>
      <w:sz w:val="21"/>
    </w:rPr>
  </w:style>
  <w:style w:type="character" w:customStyle="1" w:styleId="90">
    <w:name w:val="正文首行缩进 2 Char1"/>
    <w:autoRedefine/>
    <w:semiHidden/>
    <w:qFormat/>
    <w:uiPriority w:val="99"/>
    <w:rPr>
      <w:kern w:val="2"/>
      <w:sz w:val="21"/>
      <w:szCs w:val="24"/>
    </w:rPr>
  </w:style>
  <w:style w:type="character" w:customStyle="1" w:styleId="91">
    <w:name w:val="应答文本 Char Char"/>
    <w:link w:val="92"/>
    <w:autoRedefine/>
    <w:qFormat/>
    <w:uiPriority w:val="0"/>
    <w:rPr>
      <w:sz w:val="21"/>
      <w:szCs w:val="21"/>
    </w:rPr>
  </w:style>
  <w:style w:type="paragraph" w:customStyle="1" w:styleId="92">
    <w:name w:val="应答文本"/>
    <w:basedOn w:val="1"/>
    <w:link w:val="91"/>
    <w:autoRedefine/>
    <w:qFormat/>
    <w:uiPriority w:val="0"/>
    <w:pPr>
      <w:adjustRightInd w:val="0"/>
      <w:snapToGrid w:val="0"/>
      <w:spacing w:afterLines="50"/>
      <w:ind w:left="200" w:leftChars="200"/>
    </w:pPr>
    <w:rPr>
      <w:kern w:val="0"/>
      <w:szCs w:val="21"/>
    </w:rPr>
  </w:style>
  <w:style w:type="character" w:customStyle="1" w:styleId="93">
    <w:name w:val="Char Char1"/>
    <w:autoRedefine/>
    <w:qFormat/>
    <w:uiPriority w:val="0"/>
    <w:rPr>
      <w:rFonts w:eastAsia="宋体"/>
      <w:szCs w:val="24"/>
      <w:lang w:bidi="ar-SA"/>
    </w:rPr>
  </w:style>
  <w:style w:type="character" w:customStyle="1" w:styleId="94">
    <w:name w:val="批注文字 Char1"/>
    <w:autoRedefine/>
    <w:semiHidden/>
    <w:qFormat/>
    <w:locked/>
    <w:uiPriority w:val="0"/>
    <w:rPr>
      <w:kern w:val="2"/>
      <w:sz w:val="21"/>
      <w:szCs w:val="24"/>
    </w:rPr>
  </w:style>
  <w:style w:type="character" w:customStyle="1" w:styleId="95">
    <w:name w:val="未处理的提及"/>
    <w:autoRedefine/>
    <w:unhideWhenUsed/>
    <w:qFormat/>
    <w:uiPriority w:val="99"/>
    <w:rPr>
      <w:color w:val="605E5C"/>
      <w:shd w:val="clear" w:color="auto" w:fill="E1DFDD"/>
    </w:rPr>
  </w:style>
  <w:style w:type="character" w:customStyle="1" w:styleId="96">
    <w:name w:val="明显参考1"/>
    <w:autoRedefine/>
    <w:qFormat/>
    <w:uiPriority w:val="32"/>
    <w:rPr>
      <w:b/>
      <w:bCs/>
      <w:smallCaps/>
      <w:color w:val="C0504D"/>
      <w:spacing w:val="5"/>
      <w:u w:val="single"/>
    </w:rPr>
  </w:style>
  <w:style w:type="character" w:customStyle="1" w:styleId="97">
    <w:name w:val="标题 4 + 宋体 小四 Char Char Char Char Char Char Char Char Char Char Char Char Char1 Char Char Char Char"/>
    <w:autoRedefine/>
    <w:qFormat/>
    <w:uiPriority w:val="0"/>
    <w:rPr>
      <w:rFonts w:ascii="宋体" w:hAnsi="宋体" w:eastAsia="宋体"/>
      <w:b/>
      <w:bCs/>
      <w:spacing w:val="4"/>
      <w:kern w:val="2"/>
      <w:sz w:val="24"/>
      <w:szCs w:val="32"/>
      <w:lang w:val="en-US" w:eastAsia="zh-CN" w:bidi="ar-SA"/>
    </w:rPr>
  </w:style>
  <w:style w:type="character" w:customStyle="1" w:styleId="98">
    <w:name w:val="标题 Char1"/>
    <w:autoRedefine/>
    <w:qFormat/>
    <w:uiPriority w:val="10"/>
    <w:rPr>
      <w:rFonts w:ascii="Cambria" w:hAnsi="Cambria" w:eastAsia="宋体" w:cs="Times New Roman"/>
      <w:b/>
      <w:bCs/>
      <w:kern w:val="0"/>
      <w:sz w:val="32"/>
      <w:szCs w:val="32"/>
    </w:rPr>
  </w:style>
  <w:style w:type="character" w:customStyle="1" w:styleId="99">
    <w:name w:val="正文文字 Char"/>
    <w:autoRedefine/>
    <w:qFormat/>
    <w:uiPriority w:val="0"/>
    <w:rPr>
      <w:rFonts w:ascii="宋体" w:eastAsia="宋体"/>
      <w:snapToGrid w:val="0"/>
      <w:color w:val="000000"/>
      <w:sz w:val="28"/>
      <w:lang w:val="en-US" w:eastAsia="zh-CN" w:bidi="ar-SA"/>
    </w:rPr>
  </w:style>
  <w:style w:type="character" w:customStyle="1" w:styleId="100">
    <w:name w:val="页脚 字符"/>
    <w:autoRedefine/>
    <w:qFormat/>
    <w:uiPriority w:val="99"/>
  </w:style>
  <w:style w:type="character" w:customStyle="1" w:styleId="101">
    <w:name w:val="表格 Char Char"/>
    <w:link w:val="102"/>
    <w:autoRedefine/>
    <w:qFormat/>
    <w:uiPriority w:val="0"/>
    <w:rPr>
      <w:rFonts w:ascii="宋体" w:hAnsi="宋体"/>
      <w:kern w:val="2"/>
      <w:sz w:val="21"/>
      <w:szCs w:val="28"/>
    </w:rPr>
  </w:style>
  <w:style w:type="paragraph" w:customStyle="1" w:styleId="102">
    <w:name w:val="表格 Char"/>
    <w:basedOn w:val="1"/>
    <w:link w:val="101"/>
    <w:autoRedefine/>
    <w:qFormat/>
    <w:uiPriority w:val="0"/>
    <w:pPr>
      <w:spacing w:before="100" w:beforeAutospacing="1" w:after="100" w:afterAutospacing="1"/>
      <w:jc w:val="center"/>
    </w:pPr>
    <w:rPr>
      <w:rFonts w:ascii="宋体" w:hAnsi="宋体"/>
      <w:szCs w:val="28"/>
    </w:rPr>
  </w:style>
  <w:style w:type="character" w:customStyle="1" w:styleId="103">
    <w:name w:val="正文文本 3 Char1"/>
    <w:autoRedefine/>
    <w:semiHidden/>
    <w:qFormat/>
    <w:uiPriority w:val="99"/>
    <w:rPr>
      <w:rFonts w:ascii="Times New Roman" w:hAnsi="Times New Roman" w:eastAsia="宋体" w:cs="Times New Roman"/>
      <w:kern w:val="0"/>
      <w:sz w:val="16"/>
      <w:szCs w:val="16"/>
    </w:rPr>
  </w:style>
  <w:style w:type="character" w:customStyle="1" w:styleId="104">
    <w:name w:val="Report Text Char"/>
    <w:link w:val="105"/>
    <w:autoRedefine/>
    <w:qFormat/>
    <w:uiPriority w:val="0"/>
    <w:rPr>
      <w:rFonts w:ascii="Arial" w:hAnsi="Arial"/>
      <w:kern w:val="28"/>
      <w:sz w:val="22"/>
    </w:rPr>
  </w:style>
  <w:style w:type="paragraph" w:customStyle="1" w:styleId="105">
    <w:name w:val="Report Text"/>
    <w:basedOn w:val="1"/>
    <w:link w:val="104"/>
    <w:autoRedefine/>
    <w:qFormat/>
    <w:uiPriority w:val="0"/>
    <w:pPr>
      <w:spacing w:before="240" w:after="120"/>
      <w:ind w:left="1080"/>
    </w:pPr>
    <w:rPr>
      <w:rFonts w:ascii="Arial" w:hAnsi="Arial"/>
      <w:kern w:val="28"/>
      <w:sz w:val="22"/>
      <w:szCs w:val="20"/>
    </w:rPr>
  </w:style>
  <w:style w:type="character" w:customStyle="1" w:styleId="106">
    <w:name w:val="正文文本 2 Char1"/>
    <w:autoRedefine/>
    <w:semiHidden/>
    <w:qFormat/>
    <w:uiPriority w:val="99"/>
    <w:rPr>
      <w:rFonts w:ascii="Times New Roman" w:hAnsi="Times New Roman" w:eastAsia="宋体" w:cs="Times New Roman"/>
      <w:kern w:val="0"/>
      <w:szCs w:val="20"/>
    </w:rPr>
  </w:style>
  <w:style w:type="character" w:customStyle="1" w:styleId="107">
    <w:name w:val="Char Char19"/>
    <w:autoRedefine/>
    <w:qFormat/>
    <w:uiPriority w:val="0"/>
    <w:rPr>
      <w:rFonts w:ascii="华文细黑" w:hAnsi="Arial" w:eastAsia="华文细黑"/>
      <w:b/>
      <w:bCs/>
      <w:sz w:val="44"/>
      <w:szCs w:val="32"/>
      <w:lang w:val="en-US" w:eastAsia="zh-CN" w:bidi="ar-SA"/>
    </w:rPr>
  </w:style>
  <w:style w:type="character" w:customStyle="1" w:styleId="108">
    <w:name w:val="列表框2 Char"/>
    <w:link w:val="109"/>
    <w:autoRedefine/>
    <w:qFormat/>
    <w:uiPriority w:val="0"/>
    <w:rPr>
      <w:rFonts w:ascii="宋体" w:hAnsi="宋体"/>
      <w:sz w:val="21"/>
      <w:szCs w:val="24"/>
    </w:rPr>
  </w:style>
  <w:style w:type="paragraph" w:customStyle="1" w:styleId="109">
    <w:name w:val="列表框2"/>
    <w:basedOn w:val="110"/>
    <w:link w:val="108"/>
    <w:autoRedefine/>
    <w:qFormat/>
    <w:uiPriority w:val="0"/>
    <w:pPr>
      <w:tabs>
        <w:tab w:val="left" w:pos="1682"/>
        <w:tab w:val="left" w:pos="2084"/>
      </w:tabs>
      <w:ind w:left="2118" w:leftChars="808" w:hanging="420"/>
    </w:pPr>
    <w:rPr>
      <w:szCs w:val="24"/>
    </w:rPr>
  </w:style>
  <w:style w:type="paragraph" w:customStyle="1" w:styleId="110">
    <w:name w:val="列表框1"/>
    <w:basedOn w:val="1"/>
    <w:link w:val="111"/>
    <w:autoRedefine/>
    <w:qFormat/>
    <w:uiPriority w:val="0"/>
    <w:pPr>
      <w:tabs>
        <w:tab w:val="left" w:pos="1682"/>
      </w:tabs>
      <w:adjustRightInd w:val="0"/>
      <w:snapToGrid w:val="0"/>
      <w:ind w:left="1748" w:hanging="434"/>
    </w:pPr>
    <w:rPr>
      <w:rFonts w:ascii="宋体" w:hAnsi="宋体"/>
      <w:kern w:val="0"/>
      <w:szCs w:val="21"/>
    </w:rPr>
  </w:style>
  <w:style w:type="character" w:customStyle="1" w:styleId="111">
    <w:name w:val="列表框1 Char Char"/>
    <w:link w:val="110"/>
    <w:autoRedefine/>
    <w:qFormat/>
    <w:uiPriority w:val="0"/>
    <w:rPr>
      <w:rFonts w:ascii="宋体" w:hAnsi="宋体"/>
      <w:sz w:val="21"/>
      <w:szCs w:val="21"/>
    </w:rPr>
  </w:style>
  <w:style w:type="character" w:customStyle="1" w:styleId="112">
    <w:name w:val="Char Char7"/>
    <w:autoRedefine/>
    <w:qFormat/>
    <w:uiPriority w:val="0"/>
    <w:rPr>
      <w:rFonts w:eastAsia="宋体"/>
      <w:kern w:val="2"/>
      <w:sz w:val="18"/>
      <w:szCs w:val="18"/>
      <w:lang w:val="en-US" w:eastAsia="zh-CN" w:bidi="ar-SA"/>
    </w:rPr>
  </w:style>
  <w:style w:type="character" w:customStyle="1" w:styleId="113">
    <w:name w:val="样式 标题 3 + 黑色 Char"/>
    <w:link w:val="114"/>
    <w:autoRedefine/>
    <w:qFormat/>
    <w:uiPriority w:val="0"/>
    <w:rPr>
      <w:color w:val="FF0000"/>
      <w:kern w:val="2"/>
      <w:sz w:val="24"/>
    </w:rPr>
  </w:style>
  <w:style w:type="paragraph" w:customStyle="1" w:styleId="114">
    <w:name w:val="样式 标题 3 + 黑色"/>
    <w:basedOn w:val="4"/>
    <w:link w:val="113"/>
    <w:autoRedefine/>
    <w:qFormat/>
    <w:uiPriority w:val="0"/>
    <w:pPr>
      <w:keepNext w:val="0"/>
      <w:keepLines w:val="0"/>
      <w:tabs>
        <w:tab w:val="left" w:pos="1200"/>
        <w:tab w:val="left" w:pos="1260"/>
      </w:tabs>
      <w:spacing w:before="0" w:after="0"/>
      <w:ind w:left="1200" w:hanging="1200" w:hangingChars="500"/>
    </w:pPr>
    <w:rPr>
      <w:b w:val="0"/>
      <w:bCs w:val="0"/>
      <w:color w:val="FF0000"/>
      <w:szCs w:val="20"/>
    </w:rPr>
  </w:style>
  <w:style w:type="character" w:customStyle="1" w:styleId="115">
    <w:name w:val="已访问的超链接1"/>
    <w:autoRedefine/>
    <w:qFormat/>
    <w:uiPriority w:val="99"/>
    <w:rPr>
      <w:color w:val="800080"/>
      <w:u w:val="single"/>
    </w:rPr>
  </w:style>
  <w:style w:type="character" w:customStyle="1" w:styleId="116">
    <w:name w:val="普通文字 Char Char"/>
    <w:autoRedefine/>
    <w:qFormat/>
    <w:uiPriority w:val="0"/>
    <w:rPr>
      <w:rFonts w:ascii="宋体" w:hAnsi="Courier New" w:eastAsia="宋体" w:cs="Courier New"/>
      <w:kern w:val="2"/>
      <w:sz w:val="21"/>
      <w:szCs w:val="21"/>
      <w:lang w:val="en-US" w:eastAsia="zh-CN" w:bidi="ar-SA"/>
    </w:rPr>
  </w:style>
  <w:style w:type="character" w:customStyle="1" w:styleId="117">
    <w:name w:val="樣式 標題 3 + (中文) MS Gothic 10.5 點 Char Char Char Char Char Char Char Char Char Char Char Char"/>
    <w:autoRedefine/>
    <w:qFormat/>
    <w:uiPriority w:val="0"/>
    <w:rPr>
      <w:rFonts w:hAnsi="PMingLiU" w:eastAsia="MS Gothic"/>
      <w:bCs/>
      <w:snapToGrid w:val="0"/>
      <w:kern w:val="2"/>
      <w:sz w:val="24"/>
      <w:szCs w:val="24"/>
      <w:lang w:val="en-AU" w:eastAsia="zh-TW" w:bidi="ar-SA"/>
    </w:rPr>
  </w:style>
  <w:style w:type="character" w:customStyle="1" w:styleId="118">
    <w:name w:val="批注框文本 Char1"/>
    <w:autoRedefine/>
    <w:semiHidden/>
    <w:qFormat/>
    <w:uiPriority w:val="99"/>
    <w:rPr>
      <w:rFonts w:ascii="Times New Roman" w:hAnsi="Times New Roman" w:eastAsia="宋体" w:cs="Times New Roman"/>
      <w:kern w:val="0"/>
      <w:sz w:val="18"/>
      <w:szCs w:val="18"/>
    </w:rPr>
  </w:style>
  <w:style w:type="character" w:customStyle="1" w:styleId="119">
    <w:name w:val="文档结构图 Char1"/>
    <w:autoRedefine/>
    <w:semiHidden/>
    <w:qFormat/>
    <w:uiPriority w:val="99"/>
    <w:rPr>
      <w:rFonts w:ascii="宋体" w:hAnsi="Times New Roman" w:eastAsia="宋体" w:cs="Times New Roman"/>
      <w:kern w:val="0"/>
      <w:sz w:val="18"/>
      <w:szCs w:val="18"/>
    </w:rPr>
  </w:style>
  <w:style w:type="character" w:customStyle="1" w:styleId="120">
    <w:name w:val="未处理的提及1"/>
    <w:autoRedefine/>
    <w:unhideWhenUsed/>
    <w:qFormat/>
    <w:uiPriority w:val="99"/>
    <w:rPr>
      <w:color w:val="605E5C"/>
      <w:shd w:val="clear" w:color="auto" w:fill="E1DFDD"/>
    </w:rPr>
  </w:style>
  <w:style w:type="character" w:customStyle="1" w:styleId="121">
    <w:name w:val="无编号正文 Char"/>
    <w:link w:val="122"/>
    <w:autoRedefine/>
    <w:qFormat/>
    <w:uiPriority w:val="0"/>
    <w:rPr>
      <w:rFonts w:ascii="宋体" w:hAnsi="宋体"/>
      <w:sz w:val="24"/>
      <w:szCs w:val="24"/>
    </w:rPr>
  </w:style>
  <w:style w:type="paragraph" w:customStyle="1" w:styleId="122">
    <w:name w:val="无编号正文"/>
    <w:basedOn w:val="19"/>
    <w:next w:val="1"/>
    <w:link w:val="121"/>
    <w:autoRedefine/>
    <w:qFormat/>
    <w:uiPriority w:val="0"/>
    <w:pPr>
      <w:spacing w:after="0"/>
      <w:ind w:left="200" w:leftChars="200"/>
    </w:pPr>
    <w:rPr>
      <w:rFonts w:ascii="宋体" w:hAnsi="宋体"/>
      <w:kern w:val="0"/>
      <w:sz w:val="24"/>
    </w:rPr>
  </w:style>
  <w:style w:type="character" w:customStyle="1" w:styleId="123">
    <w:name w:val="日期 Char1"/>
    <w:autoRedefine/>
    <w:semiHidden/>
    <w:qFormat/>
    <w:uiPriority w:val="99"/>
    <w:rPr>
      <w:rFonts w:ascii="Times New Roman" w:hAnsi="Times New Roman" w:eastAsia="宋体" w:cs="Times New Roman"/>
      <w:kern w:val="0"/>
      <w:szCs w:val="20"/>
    </w:rPr>
  </w:style>
  <w:style w:type="character" w:customStyle="1" w:styleId="124">
    <w:name w:val="正文文本缩进 Char2"/>
    <w:autoRedefine/>
    <w:semiHidden/>
    <w:qFormat/>
    <w:uiPriority w:val="99"/>
    <w:rPr>
      <w:rFonts w:ascii="Times New Roman" w:hAnsi="Times New Roman" w:eastAsia="宋体" w:cs="Times New Roman"/>
      <w:szCs w:val="24"/>
    </w:rPr>
  </w:style>
  <w:style w:type="character" w:customStyle="1" w:styleId="125">
    <w:name w:val="text"/>
    <w:autoRedefine/>
    <w:qFormat/>
    <w:uiPriority w:val="0"/>
    <w:rPr>
      <w:rFonts w:ascii="仿宋_GB2312" w:eastAsia="仿宋_GB2312"/>
      <w:b/>
      <w:kern w:val="2"/>
      <w:sz w:val="32"/>
      <w:szCs w:val="32"/>
      <w:lang w:val="en-US" w:eastAsia="zh-CN" w:bidi="ar-SA"/>
    </w:rPr>
  </w:style>
  <w:style w:type="character" w:customStyle="1" w:styleId="126">
    <w:name w:val="脚注文本 Char1"/>
    <w:autoRedefine/>
    <w:semiHidden/>
    <w:qFormat/>
    <w:uiPriority w:val="99"/>
    <w:rPr>
      <w:kern w:val="2"/>
      <w:sz w:val="18"/>
      <w:szCs w:val="18"/>
    </w:rPr>
  </w:style>
  <w:style w:type="character" w:customStyle="1" w:styleId="127">
    <w:name w:val="批注主题 Char1"/>
    <w:semiHidden/>
    <w:qFormat/>
    <w:uiPriority w:val="99"/>
    <w:rPr>
      <w:rFonts w:ascii="Times New Roman" w:hAnsi="Times New Roman" w:eastAsia="宋体" w:cs="Times New Roman"/>
      <w:b/>
      <w:bCs/>
      <w:kern w:val="0"/>
      <w:sz w:val="21"/>
      <w:szCs w:val="20"/>
    </w:rPr>
  </w:style>
  <w:style w:type="character" w:customStyle="1" w:styleId="128">
    <w:name w:val="Char Char15"/>
    <w:autoRedefine/>
    <w:qFormat/>
    <w:uiPriority w:val="0"/>
    <w:rPr>
      <w:rFonts w:ascii="Arial" w:hAnsi="Arial" w:eastAsia="黑体"/>
      <w:b/>
      <w:bCs/>
      <w:sz w:val="24"/>
      <w:szCs w:val="24"/>
      <w:lang w:val="en-US" w:eastAsia="zh-CN" w:bidi="ar-SA"/>
    </w:rPr>
  </w:style>
  <w:style w:type="character" w:customStyle="1" w:styleId="129">
    <w:name w:val="三级标题康"/>
    <w:autoRedefine/>
    <w:qFormat/>
    <w:uiPriority w:val="0"/>
    <w:rPr>
      <w:rFonts w:ascii="Arial" w:hAnsi="Arial" w:eastAsia="宋体" w:cs="Times New Roman"/>
      <w:b/>
      <w:bCs/>
      <w:sz w:val="21"/>
      <w:szCs w:val="32"/>
    </w:rPr>
  </w:style>
  <w:style w:type="character" w:customStyle="1" w:styleId="130">
    <w:name w:val="样式 表内文字"/>
    <w:autoRedefine/>
    <w:qFormat/>
    <w:uiPriority w:val="0"/>
    <w:rPr>
      <w:rFonts w:eastAsia="宋体"/>
      <w:snapToGrid/>
      <w:color w:val="000000"/>
      <w:spacing w:val="0"/>
      <w:kern w:val="0"/>
      <w:position w:val="0"/>
      <w:sz w:val="20"/>
      <w:szCs w:val="20"/>
      <w:u w:val="none"/>
    </w:rPr>
  </w:style>
  <w:style w:type="character" w:customStyle="1" w:styleId="131">
    <w:name w:val="Char Char13"/>
    <w:qFormat/>
    <w:uiPriority w:val="0"/>
    <w:rPr>
      <w:rFonts w:ascii="Arial" w:hAnsi="Arial" w:eastAsia="黑体"/>
      <w:sz w:val="24"/>
      <w:szCs w:val="24"/>
      <w:lang w:val="en-US" w:eastAsia="zh-CN" w:bidi="ar-SA"/>
    </w:rPr>
  </w:style>
  <w:style w:type="character" w:customStyle="1" w:styleId="132">
    <w:name w:val="Char Char11"/>
    <w:qFormat/>
    <w:uiPriority w:val="0"/>
    <w:rPr>
      <w:rFonts w:eastAsia="宋体"/>
      <w:b/>
      <w:bCs/>
      <w:kern w:val="2"/>
      <w:sz w:val="21"/>
      <w:szCs w:val="24"/>
      <w:lang w:val="en-US" w:eastAsia="zh-CN" w:bidi="ar-SA"/>
    </w:rPr>
  </w:style>
  <w:style w:type="character" w:customStyle="1" w:styleId="133">
    <w:name w:val="标题 3 Char1"/>
    <w:qFormat/>
    <w:uiPriority w:val="0"/>
    <w:rPr>
      <w:b/>
      <w:bCs/>
      <w:sz w:val="32"/>
      <w:szCs w:val="32"/>
    </w:rPr>
  </w:style>
  <w:style w:type="character" w:customStyle="1" w:styleId="134">
    <w:name w:val="图形布置 Char"/>
    <w:link w:val="135"/>
    <w:autoRedefine/>
    <w:qFormat/>
    <w:uiPriority w:val="0"/>
    <w:rPr>
      <w:rFonts w:ascii="Arial" w:hAnsi="Arial" w:cs="Arial"/>
      <w:sz w:val="21"/>
    </w:rPr>
  </w:style>
  <w:style w:type="paragraph" w:customStyle="1" w:styleId="135">
    <w:name w:val="图形布置"/>
    <w:basedOn w:val="136"/>
    <w:link w:val="134"/>
    <w:autoRedefine/>
    <w:qFormat/>
    <w:uiPriority w:val="0"/>
  </w:style>
  <w:style w:type="paragraph" w:customStyle="1" w:styleId="136">
    <w:name w:val="图形题注"/>
    <w:basedOn w:val="14"/>
    <w:link w:val="137"/>
    <w:autoRedefine/>
    <w:qFormat/>
    <w:uiPriority w:val="0"/>
    <w:pPr>
      <w:adjustRightInd w:val="0"/>
      <w:snapToGrid w:val="0"/>
      <w:spacing w:afterLines="50"/>
      <w:jc w:val="center"/>
    </w:pPr>
    <w:rPr>
      <w:rFonts w:eastAsia="宋体" w:cs="Times New Roman"/>
      <w:kern w:val="0"/>
      <w:sz w:val="21"/>
    </w:rPr>
  </w:style>
  <w:style w:type="character" w:customStyle="1" w:styleId="137">
    <w:name w:val="图形题注 Char"/>
    <w:link w:val="136"/>
    <w:qFormat/>
    <w:uiPriority w:val="0"/>
    <w:rPr>
      <w:rFonts w:ascii="Arial" w:hAnsi="Arial" w:cs="Arial"/>
      <w:sz w:val="21"/>
    </w:rPr>
  </w:style>
  <w:style w:type="character" w:customStyle="1" w:styleId="138">
    <w:name w:val="Char Char12"/>
    <w:qFormat/>
    <w:uiPriority w:val="0"/>
    <w:rPr>
      <w:rFonts w:ascii="Arial" w:hAnsi="Arial" w:eastAsia="黑体"/>
      <w:sz w:val="21"/>
      <w:szCs w:val="21"/>
      <w:lang w:val="en-US" w:eastAsia="zh-CN" w:bidi="ar-SA"/>
    </w:rPr>
  </w:style>
  <w:style w:type="character" w:customStyle="1" w:styleId="139">
    <w:name w:val="正文文本缩进 2 Char1"/>
    <w:autoRedefine/>
    <w:semiHidden/>
    <w:qFormat/>
    <w:uiPriority w:val="99"/>
    <w:rPr>
      <w:rFonts w:ascii="Times New Roman" w:hAnsi="Times New Roman" w:eastAsia="宋体" w:cs="Times New Roman"/>
      <w:kern w:val="0"/>
      <w:szCs w:val="20"/>
    </w:rPr>
  </w:style>
  <w:style w:type="character" w:customStyle="1" w:styleId="140">
    <w:name w:val="正文文本缩进 Char1"/>
    <w:autoRedefine/>
    <w:semiHidden/>
    <w:qFormat/>
    <w:uiPriority w:val="99"/>
    <w:rPr>
      <w:rFonts w:ascii="Times New Roman" w:hAnsi="Times New Roman" w:eastAsia="宋体" w:cs="Times New Roman"/>
      <w:kern w:val="0"/>
      <w:szCs w:val="20"/>
    </w:rPr>
  </w:style>
  <w:style w:type="character" w:customStyle="1" w:styleId="141">
    <w:name w:val="正文首行缩进 Char"/>
    <w:link w:val="142"/>
    <w:autoRedefine/>
    <w:qFormat/>
    <w:uiPriority w:val="0"/>
    <w:rPr>
      <w:kern w:val="2"/>
      <w:sz w:val="21"/>
      <w:szCs w:val="24"/>
    </w:rPr>
  </w:style>
  <w:style w:type="paragraph" w:customStyle="1" w:styleId="142">
    <w:name w:val="正文首行缩进1"/>
    <w:basedOn w:val="19"/>
    <w:link w:val="141"/>
    <w:autoRedefine/>
    <w:qFormat/>
    <w:uiPriority w:val="0"/>
    <w:pPr>
      <w:ind w:firstLine="100" w:firstLineChars="100"/>
    </w:pPr>
  </w:style>
  <w:style w:type="character" w:customStyle="1" w:styleId="143">
    <w:name w:val="页脚 Char1"/>
    <w:autoRedefine/>
    <w:semiHidden/>
    <w:qFormat/>
    <w:uiPriority w:val="99"/>
    <w:rPr>
      <w:rFonts w:ascii="Times New Roman" w:hAnsi="Times New Roman" w:eastAsia="宋体" w:cs="Times New Roman"/>
      <w:kern w:val="0"/>
      <w:sz w:val="18"/>
      <w:szCs w:val="18"/>
    </w:rPr>
  </w:style>
  <w:style w:type="character" w:customStyle="1" w:styleId="144">
    <w:name w:val="Char Char10"/>
    <w:autoRedefine/>
    <w:qFormat/>
    <w:uiPriority w:val="0"/>
    <w:rPr>
      <w:rFonts w:eastAsia="仿宋_GB2312"/>
      <w:kern w:val="2"/>
      <w:sz w:val="32"/>
      <w:szCs w:val="24"/>
      <w:lang w:val="en-US" w:eastAsia="zh-CN" w:bidi="ar-SA"/>
    </w:rPr>
  </w:style>
  <w:style w:type="character" w:customStyle="1" w:styleId="145">
    <w:name w:val="纯文本 Char1"/>
    <w:autoRedefine/>
    <w:qFormat/>
    <w:uiPriority w:val="99"/>
    <w:rPr>
      <w:rFonts w:ascii="宋体" w:hAnsi="Courier New" w:eastAsia="宋体" w:cs="Times New Roman"/>
      <w:szCs w:val="20"/>
    </w:rPr>
  </w:style>
  <w:style w:type="character" w:customStyle="1" w:styleId="146">
    <w:name w:val="正文文本缩进 3 Char1"/>
    <w:autoRedefine/>
    <w:semiHidden/>
    <w:qFormat/>
    <w:uiPriority w:val="99"/>
    <w:rPr>
      <w:rFonts w:ascii="Times New Roman" w:hAnsi="Times New Roman" w:eastAsia="宋体" w:cs="Times New Roman"/>
      <w:kern w:val="0"/>
      <w:sz w:val="16"/>
      <w:szCs w:val="16"/>
    </w:rPr>
  </w:style>
  <w:style w:type="character" w:customStyle="1" w:styleId="147">
    <w:name w:val="正文首行缩进 2 Char"/>
    <w:link w:val="148"/>
    <w:autoRedefine/>
    <w:qFormat/>
    <w:uiPriority w:val="0"/>
    <w:rPr>
      <w:kern w:val="2"/>
      <w:sz w:val="21"/>
      <w:szCs w:val="24"/>
    </w:rPr>
  </w:style>
  <w:style w:type="paragraph" w:customStyle="1" w:styleId="148">
    <w:name w:val="正文首行缩进 21"/>
    <w:basedOn w:val="20"/>
    <w:link w:val="147"/>
    <w:autoRedefine/>
    <w:qFormat/>
    <w:uiPriority w:val="0"/>
    <w:pPr>
      <w:adjustRightInd w:val="0"/>
      <w:spacing w:line="312" w:lineRule="atLeast"/>
      <w:textAlignment w:val="baseline"/>
    </w:pPr>
  </w:style>
  <w:style w:type="character" w:customStyle="1" w:styleId="149">
    <w:name w:val="样式4 Char"/>
    <w:link w:val="150"/>
    <w:autoRedefine/>
    <w:qFormat/>
    <w:uiPriority w:val="0"/>
    <w:rPr>
      <w:rFonts w:ascii="宋体"/>
      <w:kern w:val="2"/>
      <w:sz w:val="18"/>
      <w:szCs w:val="18"/>
    </w:rPr>
  </w:style>
  <w:style w:type="paragraph" w:customStyle="1" w:styleId="150">
    <w:name w:val="样式4"/>
    <w:basedOn w:val="32"/>
    <w:link w:val="149"/>
    <w:autoRedefine/>
    <w:qFormat/>
    <w:uiPriority w:val="0"/>
    <w:pPr>
      <w:pBdr>
        <w:bottom w:val="none" w:color="auto" w:sz="0" w:space="0"/>
      </w:pBdr>
      <w:autoSpaceDE w:val="0"/>
      <w:autoSpaceDN w:val="0"/>
      <w:adjustRightInd w:val="0"/>
      <w:snapToGrid/>
      <w:textAlignment w:val="baseline"/>
    </w:pPr>
    <w:rPr>
      <w:rFonts w:ascii="宋体"/>
    </w:rPr>
  </w:style>
  <w:style w:type="character" w:customStyle="1" w:styleId="151">
    <w:name w:val="Char Char Char Char1"/>
    <w:link w:val="152"/>
    <w:autoRedefine/>
    <w:qFormat/>
    <w:uiPriority w:val="0"/>
    <w:rPr>
      <w:rFonts w:ascii="仿宋_GB2312" w:eastAsia="仿宋_GB2312"/>
      <w:b/>
      <w:kern w:val="2"/>
      <w:sz w:val="32"/>
      <w:szCs w:val="32"/>
    </w:rPr>
  </w:style>
  <w:style w:type="paragraph" w:customStyle="1" w:styleId="152">
    <w:name w:val="Char Char Char1"/>
    <w:basedOn w:val="1"/>
    <w:link w:val="151"/>
    <w:autoRedefine/>
    <w:qFormat/>
    <w:uiPriority w:val="0"/>
    <w:rPr>
      <w:rFonts w:ascii="仿宋_GB2312" w:eastAsia="仿宋_GB2312"/>
      <w:b/>
      <w:sz w:val="32"/>
      <w:szCs w:val="32"/>
    </w:rPr>
  </w:style>
  <w:style w:type="character" w:customStyle="1" w:styleId="153">
    <w:name w:val="Char Char16"/>
    <w:autoRedefine/>
    <w:qFormat/>
    <w:uiPriority w:val="0"/>
    <w:rPr>
      <w:rFonts w:eastAsia="宋体"/>
      <w:b/>
      <w:bCs/>
      <w:sz w:val="28"/>
      <w:szCs w:val="28"/>
      <w:lang w:val="en-US" w:eastAsia="zh-CN" w:bidi="ar-SA"/>
    </w:rPr>
  </w:style>
  <w:style w:type="character" w:customStyle="1" w:styleId="154">
    <w:name w:val="页眉 Char1"/>
    <w:autoRedefine/>
    <w:semiHidden/>
    <w:qFormat/>
    <w:uiPriority w:val="99"/>
    <w:rPr>
      <w:rFonts w:ascii="Times New Roman" w:hAnsi="Times New Roman" w:eastAsia="宋体" w:cs="Times New Roman"/>
      <w:kern w:val="0"/>
      <w:sz w:val="18"/>
      <w:szCs w:val="18"/>
    </w:rPr>
  </w:style>
  <w:style w:type="character" w:customStyle="1" w:styleId="155">
    <w:name w:val="列出段落 Char"/>
    <w:link w:val="156"/>
    <w:autoRedefine/>
    <w:qFormat/>
    <w:uiPriority w:val="0"/>
    <w:rPr>
      <w:rFonts w:ascii="Calibri" w:hAnsi="Calibri"/>
      <w:kern w:val="2"/>
      <w:sz w:val="21"/>
      <w:szCs w:val="22"/>
    </w:rPr>
  </w:style>
  <w:style w:type="paragraph" w:customStyle="1" w:styleId="156">
    <w:name w:val="列出段落2"/>
    <w:basedOn w:val="1"/>
    <w:link w:val="155"/>
    <w:autoRedefine/>
    <w:qFormat/>
    <w:uiPriority w:val="0"/>
    <w:rPr>
      <w:rFonts w:ascii="Calibri" w:hAnsi="Calibri"/>
      <w:szCs w:val="22"/>
    </w:rPr>
  </w:style>
  <w:style w:type="character" w:customStyle="1" w:styleId="157">
    <w:name w:val="纯文本 Char2"/>
    <w:autoRedefine/>
    <w:qFormat/>
    <w:uiPriority w:val="0"/>
    <w:rPr>
      <w:rFonts w:ascii="宋体" w:hAnsi="Courier New" w:eastAsia="宋体"/>
      <w:kern w:val="2"/>
      <w:sz w:val="21"/>
      <w:lang w:val="en-US" w:eastAsia="zh-CN"/>
    </w:rPr>
  </w:style>
  <w:style w:type="character" w:customStyle="1" w:styleId="158">
    <w:name w:val="font161"/>
    <w:autoRedefine/>
    <w:qFormat/>
    <w:uiPriority w:val="0"/>
    <w:rPr>
      <w:b/>
      <w:bCs/>
      <w:sz w:val="32"/>
      <w:szCs w:val="32"/>
    </w:rPr>
  </w:style>
  <w:style w:type="character" w:customStyle="1" w:styleId="159">
    <w:name w:val="Char Char8"/>
    <w:autoRedefine/>
    <w:qFormat/>
    <w:uiPriority w:val="0"/>
    <w:rPr>
      <w:rFonts w:ascii="宋体" w:hAnsi="宋体" w:eastAsia="宋体"/>
      <w:kern w:val="2"/>
      <w:sz w:val="21"/>
      <w:szCs w:val="24"/>
      <w:lang w:val="en-US" w:eastAsia="zh-CN" w:bidi="ar-SA"/>
    </w:rPr>
  </w:style>
  <w:style w:type="character" w:customStyle="1" w:styleId="160">
    <w:name w:val="样式 超链接 + 仿宋_GB2312 小四 加粗"/>
    <w:autoRedefine/>
    <w:qFormat/>
    <w:uiPriority w:val="0"/>
    <w:rPr>
      <w:rFonts w:ascii="仿宋_GB2312" w:hAnsi="仿宋_GB2312" w:eastAsia="黑体"/>
      <w:b/>
      <w:bCs/>
      <w:color w:val="auto"/>
      <w:sz w:val="24"/>
      <w:u w:val="none"/>
    </w:rPr>
  </w:style>
  <w:style w:type="character" w:customStyle="1" w:styleId="161">
    <w:name w:val="批注文字 Char2"/>
    <w:autoRedefine/>
    <w:qFormat/>
    <w:uiPriority w:val="0"/>
    <w:rPr>
      <w:kern w:val="2"/>
      <w:sz w:val="21"/>
      <w:szCs w:val="24"/>
    </w:rPr>
  </w:style>
  <w:style w:type="character" w:customStyle="1" w:styleId="162">
    <w:name w:val="标题 3 字符"/>
    <w:autoRedefine/>
    <w:qFormat/>
    <w:uiPriority w:val="0"/>
    <w:rPr>
      <w:rFonts w:ascii="Times New Roman" w:hAnsi="Times New Roman" w:eastAsia="宋体" w:cs="Times New Roman"/>
      <w:b/>
      <w:bCs/>
      <w:sz w:val="32"/>
      <w:szCs w:val="32"/>
    </w:rPr>
  </w:style>
  <w:style w:type="character" w:customStyle="1" w:styleId="163">
    <w:name w:val="Char Char18"/>
    <w:autoRedefine/>
    <w:qFormat/>
    <w:uiPriority w:val="0"/>
    <w:rPr>
      <w:rFonts w:eastAsia="华文细黑"/>
      <w:bCs/>
      <w:sz w:val="36"/>
      <w:szCs w:val="32"/>
      <w:lang w:val="en-US" w:eastAsia="zh-CN" w:bidi="ar-SA"/>
    </w:rPr>
  </w:style>
  <w:style w:type="character" w:customStyle="1" w:styleId="164">
    <w:name w:val="正文文本 Char1"/>
    <w:autoRedefine/>
    <w:semiHidden/>
    <w:qFormat/>
    <w:uiPriority w:val="99"/>
    <w:rPr>
      <w:rFonts w:ascii="Times New Roman" w:hAnsi="Times New Roman" w:eastAsia="宋体" w:cs="Times New Roman"/>
      <w:kern w:val="0"/>
      <w:szCs w:val="20"/>
    </w:rPr>
  </w:style>
  <w:style w:type="character" w:customStyle="1" w:styleId="165">
    <w:name w:val="Char Char14"/>
    <w:autoRedefine/>
    <w:qFormat/>
    <w:uiPriority w:val="0"/>
    <w:rPr>
      <w:rFonts w:eastAsia="宋体"/>
      <w:b/>
      <w:bCs/>
      <w:sz w:val="24"/>
      <w:szCs w:val="24"/>
      <w:lang w:val="en-US" w:eastAsia="zh-CN" w:bidi="ar-SA"/>
    </w:rPr>
  </w:style>
  <w:style w:type="character" w:customStyle="1" w:styleId="166">
    <w:name w:val="Char Char6"/>
    <w:autoRedefine/>
    <w:qFormat/>
    <w:uiPriority w:val="0"/>
    <w:rPr>
      <w:rFonts w:eastAsia="宋体"/>
      <w:sz w:val="18"/>
      <w:szCs w:val="18"/>
      <w:lang w:bidi="ar-SA"/>
    </w:rPr>
  </w:style>
  <w:style w:type="character" w:customStyle="1" w:styleId="167">
    <w:name w:val="正文首行缩进 Char1"/>
    <w:autoRedefine/>
    <w:semiHidden/>
    <w:qFormat/>
    <w:uiPriority w:val="99"/>
    <w:rPr>
      <w:rFonts w:ascii="Times New Roman" w:hAnsi="Times New Roman" w:eastAsia="宋体" w:cs="Times New Roman"/>
      <w:kern w:val="0"/>
      <w:szCs w:val="20"/>
    </w:rPr>
  </w:style>
  <w:style w:type="character" w:customStyle="1" w:styleId="168">
    <w:name w:val="Char Char20"/>
    <w:autoRedefine/>
    <w:qFormat/>
    <w:uiPriority w:val="0"/>
    <w:rPr>
      <w:rFonts w:ascii="华文细黑" w:eastAsia="华文细黑"/>
      <w:b/>
      <w:bCs/>
      <w:snapToGrid w:val="0"/>
      <w:sz w:val="52"/>
      <w:szCs w:val="44"/>
      <w:lang w:val="en-US" w:eastAsia="zh-CN" w:bidi="ar-SA"/>
    </w:rPr>
  </w:style>
  <w:style w:type="character" w:customStyle="1" w:styleId="169">
    <w:name w:val="标题 1 字符"/>
    <w:autoRedefine/>
    <w:qFormat/>
    <w:uiPriority w:val="0"/>
    <w:rPr>
      <w:rFonts w:ascii="Times New Roman" w:hAnsi="Times New Roman" w:eastAsia="宋体" w:cs="Times New Roman"/>
      <w:b/>
      <w:bCs/>
      <w:kern w:val="44"/>
      <w:sz w:val="44"/>
      <w:szCs w:val="44"/>
    </w:rPr>
  </w:style>
  <w:style w:type="character" w:customStyle="1" w:styleId="170">
    <w:name w:val="Char Char2"/>
    <w:autoRedefine/>
    <w:qFormat/>
    <w:uiPriority w:val="0"/>
    <w:rPr>
      <w:rFonts w:ascii="楷体_GB2312" w:hAnsi="宋体" w:eastAsia="楷体_GB2312"/>
      <w:color w:val="000000"/>
      <w:sz w:val="21"/>
      <w:szCs w:val="21"/>
      <w:lang w:val="en-US" w:eastAsia="zh-CN" w:bidi="ar-SA"/>
    </w:rPr>
  </w:style>
  <w:style w:type="character" w:customStyle="1" w:styleId="171">
    <w:name w:val="Char Char9"/>
    <w:autoRedefine/>
    <w:qFormat/>
    <w:uiPriority w:val="0"/>
    <w:rPr>
      <w:rFonts w:ascii="宋体" w:hAnsi="宋体" w:eastAsia="宋体"/>
      <w:kern w:val="2"/>
      <w:sz w:val="24"/>
      <w:lang w:val="en-US" w:eastAsia="zh-CN" w:bidi="ar-SA"/>
    </w:rPr>
  </w:style>
  <w:style w:type="character" w:customStyle="1" w:styleId="172">
    <w:name w:val="尾注文本 Char1"/>
    <w:autoRedefine/>
    <w:semiHidden/>
    <w:qFormat/>
    <w:uiPriority w:val="99"/>
    <w:rPr>
      <w:kern w:val="2"/>
      <w:sz w:val="21"/>
      <w:szCs w:val="24"/>
    </w:rPr>
  </w:style>
  <w:style w:type="paragraph" w:customStyle="1" w:styleId="173">
    <w:name w:val="xl90"/>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styleId="174">
    <w:name w:val="No Spacing"/>
    <w:autoRedefine/>
    <w:qFormat/>
    <w:uiPriority w:val="1"/>
    <w:pPr>
      <w:widowControl w:val="0"/>
      <w:spacing w:line="360" w:lineRule="auto"/>
      <w:ind w:firstLine="420"/>
      <w:jc w:val="both"/>
    </w:pPr>
    <w:rPr>
      <w:rFonts w:ascii="Calibri" w:hAnsi="Calibri" w:eastAsia="宋体" w:cs="Times New Roman"/>
      <w:kern w:val="2"/>
      <w:sz w:val="21"/>
      <w:szCs w:val="22"/>
      <w:lang w:val="en-US" w:eastAsia="zh-CN" w:bidi="ar-SA"/>
    </w:rPr>
  </w:style>
  <w:style w:type="paragraph" w:customStyle="1" w:styleId="175">
    <w:name w:val="USE 5"/>
    <w:basedOn w:val="1"/>
    <w:autoRedefine/>
    <w:qFormat/>
    <w:uiPriority w:val="0"/>
    <w:pPr>
      <w:ind w:left="217" w:hanging="340"/>
      <w:jc w:val="left"/>
    </w:pPr>
    <w:rPr>
      <w:rFonts w:ascii="宋体" w:hAnsi="宋体"/>
      <w:sz w:val="24"/>
    </w:rPr>
  </w:style>
  <w:style w:type="paragraph" w:customStyle="1" w:styleId="176">
    <w:name w:val="xl80"/>
    <w:basedOn w:val="1"/>
    <w:autoRedefine/>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textAlignment w:val="center"/>
    </w:pPr>
    <w:rPr>
      <w:rFonts w:ascii="宋体" w:hAnsi="宋体" w:cs="宋体"/>
      <w:kern w:val="0"/>
      <w:szCs w:val="21"/>
    </w:rPr>
  </w:style>
  <w:style w:type="paragraph" w:customStyle="1" w:styleId="177">
    <w:name w:val="xl22"/>
    <w:basedOn w:val="1"/>
    <w:autoRedefine/>
    <w:qFormat/>
    <w:uiPriority w:val="0"/>
    <w:pPr>
      <w:spacing w:before="100" w:beforeAutospacing="1" w:after="100" w:afterAutospacing="1"/>
      <w:jc w:val="right"/>
      <w:textAlignment w:val="center"/>
    </w:pPr>
    <w:rPr>
      <w:rFonts w:ascii="宋体" w:hAnsi="宋体" w:cs="宋体"/>
      <w:color w:val="000000"/>
      <w:kern w:val="0"/>
      <w:sz w:val="24"/>
    </w:rPr>
  </w:style>
  <w:style w:type="paragraph" w:customStyle="1" w:styleId="178">
    <w:name w:val="cucd-4"/>
    <w:next w:val="1"/>
    <w:autoRedefine/>
    <w:qFormat/>
    <w:uiPriority w:val="0"/>
    <w:pPr>
      <w:spacing w:line="360" w:lineRule="auto"/>
      <w:ind w:firstLine="482" w:firstLineChars="200"/>
      <w:jc w:val="both"/>
      <w:outlineLvl w:val="3"/>
    </w:pPr>
    <w:rPr>
      <w:rFonts w:ascii="Times New Roman" w:hAnsi="Times New Roman" w:eastAsia="宋体" w:cs="Times New Roman"/>
      <w:b/>
      <w:color w:val="000000"/>
      <w:kern w:val="2"/>
      <w:sz w:val="24"/>
      <w:szCs w:val="24"/>
      <w:u w:val="single"/>
      <w:lang w:val="en-US" w:eastAsia="zh-CN" w:bidi="ar-SA"/>
    </w:rPr>
  </w:style>
  <w:style w:type="paragraph" w:customStyle="1" w:styleId="179">
    <w:name w:val="p0"/>
    <w:basedOn w:val="1"/>
    <w:autoRedefine/>
    <w:qFormat/>
    <w:uiPriority w:val="0"/>
    <w:rPr>
      <w:kern w:val="0"/>
      <w:szCs w:val="21"/>
    </w:rPr>
  </w:style>
  <w:style w:type="paragraph" w:customStyle="1" w:styleId="180">
    <w:name w:val="xl86"/>
    <w:basedOn w:val="1"/>
    <w:autoRedefine/>
    <w:qFormat/>
    <w:uiPriority w:val="0"/>
    <w:pPr>
      <w:spacing w:before="100" w:beforeAutospacing="1" w:after="100" w:afterAutospacing="1"/>
      <w:jc w:val="center"/>
    </w:pPr>
    <w:rPr>
      <w:rFonts w:ascii="宋体" w:hAnsi="宋体" w:cs="宋体"/>
      <w:kern w:val="0"/>
      <w:sz w:val="24"/>
    </w:rPr>
  </w:style>
  <w:style w:type="paragraph" w:customStyle="1" w:styleId="181">
    <w:name w:val="标题 21"/>
    <w:basedOn w:val="1"/>
    <w:autoRedefine/>
    <w:qFormat/>
    <w:uiPriority w:val="1"/>
    <w:pPr>
      <w:ind w:left="100"/>
      <w:jc w:val="left"/>
      <w:outlineLvl w:val="2"/>
    </w:pPr>
    <w:rPr>
      <w:rFonts w:ascii="Microsoft JhengHei" w:hAnsi="Microsoft JhengHei" w:eastAsia="Microsoft JhengHei"/>
      <w:b/>
      <w:bCs/>
      <w:kern w:val="0"/>
      <w:sz w:val="32"/>
      <w:szCs w:val="32"/>
      <w:lang w:eastAsia="en-US"/>
    </w:rPr>
  </w:style>
  <w:style w:type="paragraph" w:customStyle="1" w:styleId="182">
    <w:name w:val="xl43"/>
    <w:basedOn w:val="1"/>
    <w:autoRedefine/>
    <w:qFormat/>
    <w:uiPriority w:val="0"/>
    <w:pPr>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83">
    <w:name w:val="附件"/>
    <w:basedOn w:val="1"/>
    <w:autoRedefine/>
    <w:qFormat/>
    <w:uiPriority w:val="0"/>
    <w:pPr>
      <w:spacing w:line="480" w:lineRule="auto"/>
    </w:pPr>
    <w:rPr>
      <w:rFonts w:ascii="黑体" w:eastAsia="黑体"/>
      <w:b/>
      <w:sz w:val="36"/>
      <w:szCs w:val="20"/>
    </w:rPr>
  </w:style>
  <w:style w:type="paragraph" w:customStyle="1" w:styleId="184">
    <w:name w:val="xl7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185">
    <w:name w:val="xl67"/>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186">
    <w:name w:val="xl27"/>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187">
    <w:name w:val="Char Char Char Char Char Char Char Char Char Char Char Char Char Char Char Char Char Char Char Char Char Char Char Char2 Char"/>
    <w:basedOn w:val="1"/>
    <w:autoRedefine/>
    <w:qFormat/>
    <w:uiPriority w:val="0"/>
    <w:pPr>
      <w:spacing w:after="160" w:line="240" w:lineRule="exact"/>
      <w:jc w:val="center"/>
    </w:pPr>
    <w:rPr>
      <w:rFonts w:ascii="黑体" w:hAnsi="Verdana" w:eastAsia="黑体"/>
      <w:kern w:val="0"/>
      <w:sz w:val="32"/>
      <w:szCs w:val="32"/>
      <w:lang w:eastAsia="en-US"/>
    </w:rPr>
  </w:style>
  <w:style w:type="paragraph" w:customStyle="1" w:styleId="188">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189">
    <w:name w:val="纯文本2"/>
    <w:basedOn w:val="1"/>
    <w:autoRedefine/>
    <w:qFormat/>
    <w:uiPriority w:val="0"/>
    <w:rPr>
      <w:rFonts w:ascii="宋体" w:hAnsi="Courier New" w:cs="Courier New"/>
      <w:szCs w:val="21"/>
    </w:rPr>
  </w:style>
  <w:style w:type="paragraph" w:customStyle="1" w:styleId="190">
    <w:name w:val="1.1.1.1"/>
    <w:basedOn w:val="1"/>
    <w:autoRedefine/>
    <w:qFormat/>
    <w:uiPriority w:val="0"/>
    <w:pPr>
      <w:tabs>
        <w:tab w:val="left" w:pos="900"/>
        <w:tab w:val="left" w:pos="1134"/>
      </w:tabs>
      <w:adjustRightInd w:val="0"/>
      <w:snapToGrid w:val="0"/>
      <w:spacing w:beforeLines="50" w:afterLines="50" w:line="400" w:lineRule="atLeast"/>
      <w:ind w:left="869" w:leftChars="50" w:right="200" w:rightChars="200"/>
      <w:textAlignment w:val="baseline"/>
    </w:pPr>
    <w:rPr>
      <w:rFonts w:ascii="Arial" w:hAnsi="Arial"/>
      <w:kern w:val="0"/>
      <w:sz w:val="24"/>
      <w:szCs w:val="20"/>
    </w:rPr>
  </w:style>
  <w:style w:type="paragraph" w:customStyle="1" w:styleId="191">
    <w:name w:val="样式 标题 1 + 黑体 三号 非加粗 居中 段前: 6 磅 段后: 6 磅 行距: 固定值 20 磅"/>
    <w:basedOn w:val="2"/>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92">
    <w:name w:val="zhengwen"/>
    <w:basedOn w:val="1"/>
    <w:autoRedefine/>
    <w:qFormat/>
    <w:uiPriority w:val="0"/>
    <w:pPr>
      <w:tabs>
        <w:tab w:val="left" w:pos="1145"/>
      </w:tabs>
      <w:adjustRightInd w:val="0"/>
      <w:snapToGrid w:val="0"/>
      <w:spacing w:line="520" w:lineRule="exact"/>
      <w:ind w:left="1145" w:hanging="720"/>
    </w:pPr>
    <w:rPr>
      <w:bCs/>
      <w:sz w:val="28"/>
    </w:rPr>
  </w:style>
  <w:style w:type="paragraph" w:customStyle="1" w:styleId="193">
    <w:name w:val="Char Char Char Char Char Char Char"/>
    <w:basedOn w:val="1"/>
    <w:autoRedefine/>
    <w:qFormat/>
    <w:uiPriority w:val="0"/>
    <w:rPr>
      <w:rFonts w:ascii="仿宋_GB2312" w:eastAsia="仿宋_GB2312"/>
      <w:b/>
      <w:sz w:val="32"/>
      <w:szCs w:val="32"/>
    </w:rPr>
  </w:style>
  <w:style w:type="paragraph" w:customStyle="1" w:styleId="194">
    <w:name w:val="p8"/>
    <w:basedOn w:val="1"/>
    <w:autoRedefine/>
    <w:qFormat/>
    <w:uiPriority w:val="0"/>
    <w:pPr>
      <w:spacing w:line="30" w:lineRule="atLeast"/>
      <w:jc w:val="left"/>
    </w:pPr>
    <w:rPr>
      <w:rFonts w:hint="eastAsia" w:ascii="宋体" w:hAnsi="宋体" w:cs="宋体"/>
      <w:kern w:val="0"/>
      <w:szCs w:val="21"/>
    </w:rPr>
  </w:style>
  <w:style w:type="paragraph" w:customStyle="1" w:styleId="195">
    <w:name w:val="我的目录"/>
    <w:basedOn w:val="196"/>
    <w:autoRedefine/>
    <w:qFormat/>
    <w:uiPriority w:val="0"/>
    <w:pPr>
      <w:tabs>
        <w:tab w:val="right" w:leader="dot" w:pos="8296"/>
        <w:tab w:val="right" w:leader="dot" w:pos="8820"/>
      </w:tabs>
      <w:spacing w:before="120" w:after="120" w:line="240" w:lineRule="auto"/>
      <w:ind w:left="0" w:leftChars="0" w:firstLine="0" w:firstLineChars="0"/>
      <w:jc w:val="left"/>
    </w:pPr>
    <w:rPr>
      <w:b/>
      <w:caps/>
      <w:sz w:val="20"/>
      <w:szCs w:val="20"/>
    </w:rPr>
  </w:style>
  <w:style w:type="paragraph" w:customStyle="1" w:styleId="196">
    <w:name w:val="目录 11"/>
    <w:basedOn w:val="1"/>
    <w:next w:val="1"/>
    <w:autoRedefine/>
    <w:qFormat/>
    <w:uiPriority w:val="39"/>
    <w:pPr>
      <w:tabs>
        <w:tab w:val="right" w:leader="dot" w:pos="8296"/>
      </w:tabs>
      <w:ind w:left="850" w:leftChars="1" w:hanging="848" w:hangingChars="404"/>
      <w:jc w:val="center"/>
    </w:pPr>
  </w:style>
  <w:style w:type="paragraph" w:customStyle="1" w:styleId="197">
    <w:name w:val="目录 51"/>
    <w:basedOn w:val="1"/>
    <w:next w:val="1"/>
    <w:autoRedefine/>
    <w:qFormat/>
    <w:uiPriority w:val="39"/>
    <w:pPr>
      <w:ind w:left="1680" w:leftChars="800"/>
    </w:pPr>
    <w:rPr>
      <w:rFonts w:ascii="Calibri" w:hAnsi="Calibri"/>
      <w:szCs w:val="22"/>
    </w:rPr>
  </w:style>
  <w:style w:type="paragraph" w:customStyle="1" w:styleId="198">
    <w:name w:val="CM255"/>
    <w:basedOn w:val="199"/>
    <w:next w:val="199"/>
    <w:autoRedefine/>
    <w:qFormat/>
    <w:uiPriority w:val="0"/>
    <w:pPr>
      <w:spacing w:after="1728"/>
    </w:pPr>
    <w:rPr>
      <w:rFonts w:ascii="宋体" w:cs="宋体"/>
      <w:color w:val="auto"/>
    </w:rPr>
  </w:style>
  <w:style w:type="paragraph" w:customStyle="1" w:styleId="199">
    <w:name w:val="Default"/>
    <w:autoRedefine/>
    <w:qFormat/>
    <w:uiPriority w:val="0"/>
    <w:pPr>
      <w:widowControl w:val="0"/>
      <w:autoSpaceDE w:val="0"/>
      <w:autoSpaceDN w:val="0"/>
      <w:adjustRightInd w:val="0"/>
      <w:spacing w:line="360" w:lineRule="auto"/>
      <w:ind w:firstLine="420"/>
      <w:jc w:val="both"/>
    </w:pPr>
    <w:rPr>
      <w:rFonts w:ascii="Times New Roman" w:hAnsi="Times New Roman" w:eastAsia="宋体" w:cs="Times New Roman"/>
      <w:color w:val="000000"/>
      <w:sz w:val="24"/>
      <w:szCs w:val="24"/>
      <w:lang w:val="en-US" w:eastAsia="zh-CN" w:bidi="ar-SA"/>
    </w:rPr>
  </w:style>
  <w:style w:type="paragraph" w:customStyle="1" w:styleId="200">
    <w:name w:val="font10"/>
    <w:basedOn w:val="1"/>
    <w:autoRedefine/>
    <w:qFormat/>
    <w:uiPriority w:val="0"/>
    <w:pPr>
      <w:spacing w:before="100" w:beforeAutospacing="1" w:after="100" w:afterAutospacing="1"/>
      <w:jc w:val="left"/>
    </w:pPr>
    <w:rPr>
      <w:rFonts w:eastAsia="Arial Unicode MS"/>
      <w:color w:val="FF0000"/>
      <w:kern w:val="0"/>
      <w:sz w:val="20"/>
      <w:szCs w:val="20"/>
    </w:rPr>
  </w:style>
  <w:style w:type="paragraph" w:customStyle="1" w:styleId="201">
    <w:name w:val="标题 31"/>
    <w:basedOn w:val="1"/>
    <w:autoRedefine/>
    <w:qFormat/>
    <w:uiPriority w:val="1"/>
    <w:pPr>
      <w:ind w:left="237"/>
      <w:jc w:val="left"/>
      <w:outlineLvl w:val="3"/>
    </w:pPr>
    <w:rPr>
      <w:rFonts w:ascii="宋体" w:hAnsi="宋体"/>
      <w:kern w:val="0"/>
      <w:sz w:val="28"/>
      <w:szCs w:val="28"/>
      <w:lang w:eastAsia="en-US"/>
    </w:rPr>
  </w:style>
  <w:style w:type="paragraph" w:customStyle="1" w:styleId="202">
    <w:name w:val="font0"/>
    <w:basedOn w:val="1"/>
    <w:autoRedefine/>
    <w:qFormat/>
    <w:uiPriority w:val="0"/>
    <w:pPr>
      <w:spacing w:before="100" w:beforeAutospacing="1" w:after="100" w:afterAutospacing="1"/>
      <w:jc w:val="left"/>
    </w:pPr>
    <w:rPr>
      <w:rFonts w:hint="eastAsia" w:ascii="宋体" w:hAnsi="宋体"/>
      <w:kern w:val="0"/>
      <w:sz w:val="24"/>
    </w:rPr>
  </w:style>
  <w:style w:type="paragraph" w:customStyle="1" w:styleId="203">
    <w:name w:val="Char Char Char Char11"/>
    <w:basedOn w:val="1"/>
    <w:autoRedefine/>
    <w:qFormat/>
    <w:uiPriority w:val="0"/>
    <w:pPr>
      <w:shd w:val="clear" w:color="auto" w:fill="000080"/>
      <w:adjustRightInd w:val="0"/>
      <w:spacing w:line="436" w:lineRule="exact"/>
      <w:ind w:left="357"/>
      <w:jc w:val="left"/>
      <w:outlineLvl w:val="3"/>
    </w:pPr>
    <w:rPr>
      <w:rFonts w:ascii="Tahoma" w:hAnsi="Tahoma"/>
      <w:b/>
      <w:sz w:val="24"/>
      <w:szCs w:val="28"/>
      <w:shd w:val="clear" w:color="auto" w:fill="000080"/>
    </w:rPr>
  </w:style>
  <w:style w:type="paragraph" w:customStyle="1" w:styleId="204">
    <w:name w:val="xl24"/>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05">
    <w:name w:val="小标题"/>
    <w:basedOn w:val="1"/>
    <w:autoRedefine/>
    <w:qFormat/>
    <w:uiPriority w:val="0"/>
    <w:pPr>
      <w:spacing w:line="440" w:lineRule="exact"/>
      <w:ind w:left="420" w:hanging="420"/>
    </w:pPr>
    <w:rPr>
      <w:sz w:val="24"/>
    </w:rPr>
  </w:style>
  <w:style w:type="paragraph" w:customStyle="1" w:styleId="206">
    <w:name w:val="样式 宋体 小四 段前: 5 磅 段后: 5 磅"/>
    <w:basedOn w:val="1"/>
    <w:autoRedefine/>
    <w:qFormat/>
    <w:uiPriority w:val="0"/>
    <w:pPr>
      <w:spacing w:before="100" w:after="100"/>
      <w:ind w:left="2266" w:leftChars="200"/>
    </w:pPr>
    <w:rPr>
      <w:rFonts w:ascii="宋体" w:cs="宋体"/>
      <w:sz w:val="24"/>
      <w:szCs w:val="20"/>
    </w:rPr>
  </w:style>
  <w:style w:type="paragraph" w:customStyle="1" w:styleId="207">
    <w:name w:val="样式 样式 首行缩进:  2 字符 段前: 4.65 磅 + 首行缩进:  2 字符"/>
    <w:basedOn w:val="1"/>
    <w:autoRedefine/>
    <w:qFormat/>
    <w:uiPriority w:val="0"/>
    <w:pPr>
      <w:topLinePunct/>
      <w:spacing w:before="93"/>
      <w:ind w:firstLine="480"/>
    </w:pPr>
    <w:rPr>
      <w:rFonts w:cs="宋体"/>
      <w:sz w:val="24"/>
      <w:szCs w:val="20"/>
    </w:rPr>
  </w:style>
  <w:style w:type="paragraph" w:customStyle="1" w:styleId="208">
    <w:name w:val="USE 1"/>
    <w:basedOn w:val="1"/>
    <w:autoRedefine/>
    <w:qFormat/>
    <w:uiPriority w:val="0"/>
    <w:pPr>
      <w:spacing w:line="200" w:lineRule="atLeast"/>
      <w:jc w:val="left"/>
    </w:pPr>
    <w:rPr>
      <w:rFonts w:ascii="宋体" w:hAnsi="宋体"/>
      <w:b/>
      <w:sz w:val="24"/>
      <w:szCs w:val="28"/>
    </w:rPr>
  </w:style>
  <w:style w:type="paragraph" w:customStyle="1" w:styleId="209">
    <w:name w:val="备注"/>
    <w:basedOn w:val="1"/>
    <w:autoRedefine/>
    <w:qFormat/>
    <w:uiPriority w:val="0"/>
    <w:pPr>
      <w:tabs>
        <w:tab w:val="left" w:pos="547"/>
        <w:tab w:val="left" w:pos="990"/>
        <w:tab w:val="left" w:pos="1350"/>
      </w:tabs>
      <w:spacing w:line="400" w:lineRule="atLeast"/>
    </w:pPr>
    <w:rPr>
      <w:szCs w:val="21"/>
    </w:rPr>
  </w:style>
  <w:style w:type="paragraph" w:customStyle="1" w:styleId="210">
    <w:name w:val="xl49"/>
    <w:basedOn w:val="1"/>
    <w:autoRedefine/>
    <w:qFormat/>
    <w:uiPriority w:val="0"/>
    <w:pPr>
      <w:pBdr>
        <w:top w:val="single" w:color="auto" w:sz="4"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211">
    <w:name w:val="xl6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212">
    <w:name w:val="xl41"/>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13">
    <w:name w:val="USE 3"/>
    <w:basedOn w:val="1"/>
    <w:autoRedefine/>
    <w:qFormat/>
    <w:uiPriority w:val="0"/>
    <w:pPr>
      <w:ind w:left="710" w:hanging="170"/>
      <w:jc w:val="left"/>
    </w:pPr>
    <w:rPr>
      <w:rFonts w:ascii="宋体" w:hAnsi="宋体"/>
      <w:sz w:val="24"/>
      <w:szCs w:val="20"/>
    </w:rPr>
  </w:style>
  <w:style w:type="paragraph" w:customStyle="1" w:styleId="214">
    <w:name w:val="批注框文本 Char Char"/>
    <w:basedOn w:val="1"/>
    <w:qFormat/>
    <w:uiPriority w:val="0"/>
    <w:rPr>
      <w:sz w:val="18"/>
      <w:szCs w:val="20"/>
    </w:rPr>
  </w:style>
  <w:style w:type="paragraph" w:customStyle="1" w:styleId="215">
    <w:name w:val="font5"/>
    <w:basedOn w:val="1"/>
    <w:qFormat/>
    <w:uiPriority w:val="0"/>
    <w:pPr>
      <w:spacing w:before="100" w:beforeAutospacing="1" w:after="100" w:afterAutospacing="1"/>
      <w:jc w:val="left"/>
    </w:pPr>
    <w:rPr>
      <w:rFonts w:ascii="宋体" w:hAnsi="宋体" w:cs="宋体"/>
      <w:kern w:val="0"/>
      <w:sz w:val="18"/>
      <w:szCs w:val="18"/>
    </w:rPr>
  </w:style>
  <w:style w:type="paragraph" w:customStyle="1" w:styleId="216">
    <w:name w:val="表格"/>
    <w:basedOn w:val="1"/>
    <w:qFormat/>
    <w:uiPriority w:val="0"/>
    <w:pPr>
      <w:jc w:val="center"/>
      <w:textAlignment w:val="center"/>
    </w:pPr>
    <w:rPr>
      <w:rFonts w:ascii="华文细黑" w:hAnsi="华文细黑"/>
      <w:kern w:val="0"/>
      <w:szCs w:val="20"/>
    </w:rPr>
  </w:style>
  <w:style w:type="paragraph" w:customStyle="1" w:styleId="217">
    <w:name w:val="xl52"/>
    <w:basedOn w:val="1"/>
    <w:qFormat/>
    <w:uiPriority w:val="0"/>
    <w:pPr>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218">
    <w:name w:val="xl71"/>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19">
    <w:name w:val="retrait3"/>
    <w:basedOn w:val="1"/>
    <w:qFormat/>
    <w:uiPriority w:val="0"/>
    <w:pPr>
      <w:spacing w:before="20" w:after="20"/>
      <w:ind w:left="851"/>
      <w:jc w:val="left"/>
    </w:pPr>
    <w:rPr>
      <w:rFonts w:ascii="Arial" w:hAnsi="Arial"/>
      <w:kern w:val="0"/>
      <w:sz w:val="24"/>
      <w:szCs w:val="20"/>
      <w:lang w:val="en-GB"/>
    </w:rPr>
  </w:style>
  <w:style w:type="paragraph" w:customStyle="1" w:styleId="220">
    <w:name w:val="xl40"/>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kern w:val="0"/>
      <w:sz w:val="20"/>
      <w:szCs w:val="20"/>
    </w:rPr>
  </w:style>
  <w:style w:type="paragraph" w:customStyle="1" w:styleId="221">
    <w:name w:val="xl51"/>
    <w:basedOn w:val="1"/>
    <w:qFormat/>
    <w:uiPriority w:val="0"/>
    <w:pPr>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22">
    <w:name w:val="xl92"/>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223">
    <w:name w:val="Table Paragraph"/>
    <w:basedOn w:val="1"/>
    <w:qFormat/>
    <w:uiPriority w:val="1"/>
    <w:pPr>
      <w:jc w:val="left"/>
    </w:pPr>
    <w:rPr>
      <w:rFonts w:ascii="Calibri" w:hAnsi="Calibri"/>
      <w:kern w:val="0"/>
      <w:sz w:val="22"/>
      <w:szCs w:val="22"/>
      <w:lang w:eastAsia="en-US"/>
    </w:rPr>
  </w:style>
  <w:style w:type="paragraph" w:customStyle="1" w:styleId="224">
    <w:name w:val="标题333"/>
    <w:basedOn w:val="1"/>
    <w:autoRedefine/>
    <w:qFormat/>
    <w:uiPriority w:val="0"/>
    <w:rPr>
      <w:rFonts w:ascii="宋体" w:hAnsi="宋体" w:cs="宋体"/>
      <w:b/>
      <w:bCs/>
      <w:sz w:val="24"/>
      <w:szCs w:val="20"/>
    </w:rPr>
  </w:style>
  <w:style w:type="paragraph" w:customStyle="1" w:styleId="225">
    <w:name w:val="表格文字图表文字"/>
    <w:basedOn w:val="1"/>
    <w:autoRedefine/>
    <w:qFormat/>
    <w:uiPriority w:val="0"/>
    <w:pPr>
      <w:snapToGrid w:val="0"/>
      <w:jc w:val="center"/>
    </w:pPr>
    <w:rPr>
      <w:rFonts w:cs="宋体"/>
      <w:szCs w:val="20"/>
    </w:rPr>
  </w:style>
  <w:style w:type="paragraph" w:customStyle="1" w:styleId="226">
    <w:name w:val="xl58"/>
    <w:basedOn w:val="1"/>
    <w:qFormat/>
    <w:uiPriority w:val="0"/>
    <w:pPr>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27">
    <w:name w:val="font6"/>
    <w:basedOn w:val="1"/>
    <w:qFormat/>
    <w:uiPriority w:val="0"/>
    <w:pPr>
      <w:spacing w:before="100" w:beforeAutospacing="1" w:after="100" w:afterAutospacing="1"/>
      <w:jc w:val="left"/>
    </w:pPr>
    <w:rPr>
      <w:rFonts w:ascii="宋体" w:hAnsi="宋体" w:cs="宋体"/>
      <w:kern w:val="0"/>
      <w:sz w:val="18"/>
      <w:szCs w:val="18"/>
    </w:rPr>
  </w:style>
  <w:style w:type="paragraph" w:customStyle="1" w:styleId="228">
    <w:name w:val="样式 宋体 小四 黑色 左 行距: 1.5 倍行距1"/>
    <w:basedOn w:val="1"/>
    <w:autoRedefine/>
    <w:qFormat/>
    <w:uiPriority w:val="0"/>
    <w:pPr>
      <w:jc w:val="left"/>
    </w:pPr>
    <w:rPr>
      <w:rFonts w:ascii="宋体" w:hAnsi="宋体" w:cs="宋体"/>
      <w:color w:val="000000"/>
      <w:sz w:val="24"/>
      <w:szCs w:val="20"/>
    </w:rPr>
  </w:style>
  <w:style w:type="paragraph" w:customStyle="1" w:styleId="229">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30">
    <w:name w:val="USE 4"/>
    <w:basedOn w:val="1"/>
    <w:autoRedefine/>
    <w:qFormat/>
    <w:uiPriority w:val="0"/>
    <w:pPr>
      <w:ind w:left="104" w:hanging="227"/>
      <w:jc w:val="left"/>
    </w:pPr>
    <w:rPr>
      <w:rFonts w:ascii="宋体" w:hAnsi="宋体"/>
      <w:sz w:val="24"/>
      <w:szCs w:val="20"/>
    </w:rPr>
  </w:style>
  <w:style w:type="paragraph" w:customStyle="1" w:styleId="231">
    <w:name w:val="Char Char Char Char Char Char Char Char Char Char Char Char1 Char"/>
    <w:basedOn w:val="15"/>
    <w:qFormat/>
    <w:uiPriority w:val="0"/>
    <w:pPr>
      <w:shd w:val="clear" w:color="auto" w:fill="000080"/>
    </w:pPr>
    <w:rPr>
      <w:rFonts w:ascii="Times New Roman"/>
      <w:sz w:val="21"/>
      <w:szCs w:val="20"/>
    </w:rPr>
  </w:style>
  <w:style w:type="paragraph" w:customStyle="1" w:styleId="232">
    <w:name w:val="xl2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33">
    <w:name w:val="目录 91"/>
    <w:basedOn w:val="1"/>
    <w:next w:val="1"/>
    <w:qFormat/>
    <w:uiPriority w:val="39"/>
    <w:pPr>
      <w:ind w:left="3360" w:leftChars="1600"/>
    </w:pPr>
    <w:rPr>
      <w:rFonts w:ascii="Calibri" w:hAnsi="Calibri"/>
      <w:szCs w:val="22"/>
    </w:rPr>
  </w:style>
  <w:style w:type="paragraph" w:customStyle="1" w:styleId="234">
    <w:name w:val="retrait1"/>
    <w:basedOn w:val="1"/>
    <w:qFormat/>
    <w:uiPriority w:val="0"/>
    <w:pPr>
      <w:spacing w:before="20" w:after="20"/>
      <w:ind w:left="284"/>
      <w:jc w:val="left"/>
    </w:pPr>
    <w:rPr>
      <w:rFonts w:ascii="Arial" w:hAnsi="Arial"/>
      <w:kern w:val="0"/>
      <w:sz w:val="24"/>
      <w:szCs w:val="20"/>
      <w:lang w:val="en-GB"/>
    </w:rPr>
  </w:style>
  <w:style w:type="paragraph" w:customStyle="1" w:styleId="235">
    <w:name w:val="样式2"/>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236">
    <w:name w:val="条文 4"/>
    <w:next w:val="1"/>
    <w:qFormat/>
    <w:uiPriority w:val="0"/>
    <w:pPr>
      <w:spacing w:line="310" w:lineRule="exact"/>
      <w:ind w:left="2520" w:hanging="420"/>
      <w:jc w:val="both"/>
    </w:pPr>
    <w:rPr>
      <w:rFonts w:ascii="Times New Roman" w:hAnsi="Times New Roman" w:eastAsia="黑体" w:cs="Times New Roman"/>
      <w:sz w:val="21"/>
      <w:lang w:val="en-US" w:eastAsia="zh-CN" w:bidi="ar-SA"/>
    </w:rPr>
  </w:style>
  <w:style w:type="paragraph" w:customStyle="1" w:styleId="237">
    <w:name w:val="Char2 Char Char Char"/>
    <w:basedOn w:val="1"/>
    <w:autoRedefine/>
    <w:qFormat/>
    <w:uiPriority w:val="0"/>
    <w:pPr>
      <w:spacing w:after="160" w:line="240" w:lineRule="exact"/>
      <w:jc w:val="left"/>
    </w:pPr>
    <w:rPr>
      <w:rFonts w:ascii="Verdana" w:hAnsi="Verdana" w:eastAsia="仿宋_GB2312"/>
      <w:kern w:val="0"/>
      <w:sz w:val="24"/>
      <w:szCs w:val="20"/>
      <w:lang w:eastAsia="en-US"/>
    </w:rPr>
  </w:style>
  <w:style w:type="paragraph" w:customStyle="1" w:styleId="238">
    <w:name w:val="xl70"/>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18"/>
      <w:szCs w:val="18"/>
    </w:rPr>
  </w:style>
  <w:style w:type="paragraph" w:customStyle="1" w:styleId="239">
    <w:name w:val="font14"/>
    <w:basedOn w:val="1"/>
    <w:qFormat/>
    <w:uiPriority w:val="0"/>
    <w:pPr>
      <w:spacing w:before="100" w:beforeAutospacing="1" w:after="100" w:afterAutospacing="1"/>
      <w:jc w:val="left"/>
    </w:pPr>
    <w:rPr>
      <w:rFonts w:hint="eastAsia" w:ascii="宋体" w:hAnsi="宋体" w:cs="Arial Unicode MS"/>
      <w:b/>
      <w:bCs/>
      <w:color w:val="000000"/>
      <w:kern w:val="0"/>
      <w:sz w:val="18"/>
      <w:szCs w:val="18"/>
    </w:rPr>
  </w:style>
  <w:style w:type="paragraph" w:customStyle="1" w:styleId="240">
    <w:name w:val="Report Level 1"/>
    <w:basedOn w:val="1"/>
    <w:next w:val="105"/>
    <w:qFormat/>
    <w:uiPriority w:val="0"/>
    <w:pPr>
      <w:keepNext/>
      <w:tabs>
        <w:tab w:val="left" w:pos="1080"/>
      </w:tabs>
      <w:spacing w:beforeLines="50"/>
      <w:ind w:left="1077" w:hanging="1077"/>
      <w:jc w:val="left"/>
      <w:outlineLvl w:val="0"/>
    </w:pPr>
    <w:rPr>
      <w:rFonts w:ascii="宋体" w:hAnsi="宋体"/>
      <w:b/>
      <w:caps/>
      <w:kern w:val="0"/>
      <w:szCs w:val="21"/>
      <w:lang w:val="en-GB"/>
    </w:rPr>
  </w:style>
  <w:style w:type="paragraph" w:customStyle="1" w:styleId="241">
    <w:name w:val="xl8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242">
    <w:name w:val="_Style 67"/>
    <w:basedOn w:val="1"/>
    <w:autoRedefine/>
    <w:qFormat/>
    <w:uiPriority w:val="0"/>
    <w:pPr>
      <w:spacing w:after="160" w:line="240" w:lineRule="exact"/>
      <w:jc w:val="left"/>
    </w:pPr>
    <w:rPr>
      <w:rFonts w:ascii="楷体_GB2312" w:hAnsi="楷体_GB2312" w:eastAsia="仿宋_GB2312" w:cs="楷体_GB2312"/>
      <w:szCs w:val="20"/>
    </w:rPr>
  </w:style>
  <w:style w:type="paragraph" w:customStyle="1" w:styleId="243">
    <w:name w:val="font11"/>
    <w:basedOn w:val="1"/>
    <w:qFormat/>
    <w:uiPriority w:val="0"/>
    <w:pPr>
      <w:spacing w:before="100" w:beforeAutospacing="1" w:after="100" w:afterAutospacing="1"/>
      <w:jc w:val="left"/>
    </w:pPr>
    <w:rPr>
      <w:rFonts w:hint="eastAsia" w:ascii="宋体" w:hAnsi="宋体" w:cs="Arial Unicode MS"/>
      <w:color w:val="000000"/>
      <w:kern w:val="0"/>
      <w:sz w:val="16"/>
      <w:szCs w:val="16"/>
    </w:rPr>
  </w:style>
  <w:style w:type="paragraph" w:customStyle="1" w:styleId="244">
    <w:name w:val="列表段落1"/>
    <w:basedOn w:val="1"/>
    <w:qFormat/>
    <w:uiPriority w:val="0"/>
  </w:style>
  <w:style w:type="paragraph" w:customStyle="1" w:styleId="245">
    <w:name w:val="xl48"/>
    <w:basedOn w:val="1"/>
    <w:qFormat/>
    <w:uiPriority w:val="0"/>
    <w:pPr>
      <w:pBdr>
        <w:top w:val="single" w:color="auto" w:sz="4" w:space="0"/>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46">
    <w:name w:val="xl3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0"/>
      <w:szCs w:val="20"/>
    </w:rPr>
  </w:style>
  <w:style w:type="paragraph" w:customStyle="1" w:styleId="247">
    <w:name w:val="xl101"/>
    <w:basedOn w:val="1"/>
    <w:qFormat/>
    <w:uiPriority w:val="0"/>
    <w:pPr>
      <w:pBdr>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48">
    <w:name w:val="font7"/>
    <w:basedOn w:val="1"/>
    <w:qFormat/>
    <w:uiPriority w:val="0"/>
    <w:pPr>
      <w:spacing w:before="100" w:beforeAutospacing="1" w:after="100" w:afterAutospacing="1"/>
      <w:jc w:val="left"/>
    </w:pPr>
    <w:rPr>
      <w:kern w:val="0"/>
      <w:sz w:val="20"/>
      <w:szCs w:val="20"/>
    </w:rPr>
  </w:style>
  <w:style w:type="paragraph" w:customStyle="1" w:styleId="249">
    <w:name w:val="二级标题"/>
    <w:basedOn w:val="1"/>
    <w:qFormat/>
    <w:uiPriority w:val="0"/>
    <w:pPr>
      <w:tabs>
        <w:tab w:val="left" w:pos="-1341"/>
      </w:tabs>
      <w:ind w:left="2686" w:hanging="420"/>
      <w:outlineLvl w:val="1"/>
    </w:pPr>
    <w:rPr>
      <w:rFonts w:ascii="宋体" w:hAnsi="宋体"/>
      <w:sz w:val="24"/>
      <w:szCs w:val="20"/>
    </w:rPr>
  </w:style>
  <w:style w:type="paragraph" w:customStyle="1" w:styleId="250">
    <w:name w:val="xl59"/>
    <w:basedOn w:val="1"/>
    <w:autoRedefine/>
    <w:qFormat/>
    <w:uiPriority w:val="0"/>
    <w:pPr>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251">
    <w:name w:val="xl39"/>
    <w:basedOn w:val="1"/>
    <w:qFormat/>
    <w:uiPriority w:val="0"/>
    <w:pPr>
      <w:pBdr>
        <w:left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2">
    <w:name w:val="xl3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253">
    <w:name w:val="xl36"/>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54">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55">
    <w:name w:val="xl3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256">
    <w:name w:val="标题 11"/>
    <w:basedOn w:val="1"/>
    <w:autoRedefine/>
    <w:qFormat/>
    <w:uiPriority w:val="1"/>
    <w:pPr>
      <w:ind w:left="3"/>
      <w:jc w:val="left"/>
      <w:outlineLvl w:val="1"/>
    </w:pPr>
    <w:rPr>
      <w:rFonts w:ascii="Microsoft JhengHei" w:hAnsi="Microsoft JhengHei" w:eastAsia="Microsoft JhengHei"/>
      <w:b/>
      <w:bCs/>
      <w:kern w:val="0"/>
      <w:sz w:val="44"/>
      <w:szCs w:val="44"/>
      <w:lang w:eastAsia="en-US"/>
    </w:rPr>
  </w:style>
  <w:style w:type="paragraph" w:customStyle="1" w:styleId="257">
    <w:name w:val="标题2"/>
    <w:basedOn w:val="2"/>
    <w:qFormat/>
    <w:uiPriority w:val="0"/>
    <w:pPr>
      <w:spacing w:before="0" w:after="0" w:line="312" w:lineRule="auto"/>
      <w:jc w:val="center"/>
    </w:pPr>
    <w:rPr>
      <w:rFonts w:ascii="宋体"/>
      <w:bCs w:val="0"/>
      <w:sz w:val="30"/>
      <w:szCs w:val="20"/>
    </w:rPr>
  </w:style>
  <w:style w:type="paragraph" w:customStyle="1" w:styleId="258">
    <w:name w:val="P1"/>
    <w:qFormat/>
    <w:uiPriority w:val="0"/>
    <w:pPr>
      <w:widowControl w:val="0"/>
      <w:adjustRightInd w:val="0"/>
      <w:spacing w:after="240" w:line="0" w:lineRule="atLeast"/>
      <w:ind w:left="2304" w:hanging="576"/>
      <w:jc w:val="both"/>
      <w:textAlignment w:val="baseline"/>
    </w:pPr>
    <w:rPr>
      <w:rFonts w:ascii="Calibri" w:hAnsi="Calibri" w:eastAsia="全真中明體" w:cs="Times New Roman"/>
      <w:spacing w:val="20"/>
      <w:sz w:val="24"/>
      <w:szCs w:val="22"/>
      <w:lang w:val="en-GB" w:eastAsia="zh-TW" w:bidi="ar-SA"/>
    </w:rPr>
  </w:style>
  <w:style w:type="paragraph" w:customStyle="1" w:styleId="259">
    <w:name w:val="招标文件1.1.1.1"/>
    <w:basedOn w:val="1"/>
    <w:qFormat/>
    <w:uiPriority w:val="0"/>
    <w:pPr>
      <w:spacing w:before="120" w:after="120" w:line="480" w:lineRule="exact"/>
      <w:ind w:left="284"/>
      <w:jc w:val="left"/>
      <w:outlineLvl w:val="4"/>
    </w:pPr>
    <w:rPr>
      <w:rFonts w:ascii="宋体"/>
      <w:b/>
      <w:spacing w:val="10"/>
      <w:w w:val="95"/>
      <w:sz w:val="24"/>
      <w:szCs w:val="21"/>
    </w:rPr>
  </w:style>
  <w:style w:type="paragraph" w:customStyle="1" w:styleId="260">
    <w:name w:val="条文 5"/>
    <w:next w:val="1"/>
    <w:autoRedefine/>
    <w:qFormat/>
    <w:uiPriority w:val="0"/>
    <w:pPr>
      <w:spacing w:line="310" w:lineRule="exact"/>
      <w:ind w:left="2940" w:hanging="420"/>
      <w:jc w:val="both"/>
    </w:pPr>
    <w:rPr>
      <w:rFonts w:ascii="Times New Roman" w:hAnsi="Times New Roman" w:eastAsia="黑体" w:cs="Times New Roman"/>
      <w:sz w:val="21"/>
      <w:lang w:val="en-US" w:eastAsia="zh-CN" w:bidi="ar-SA"/>
    </w:rPr>
  </w:style>
  <w:style w:type="paragraph" w:customStyle="1" w:styleId="261">
    <w:name w:val="xl95"/>
    <w:basedOn w:val="1"/>
    <w:autoRedefine/>
    <w:qFormat/>
    <w:uiPriority w:val="0"/>
    <w:pPr>
      <w:spacing w:before="100" w:beforeAutospacing="1" w:after="100" w:afterAutospacing="1"/>
      <w:jc w:val="left"/>
      <w:textAlignment w:val="center"/>
    </w:pPr>
    <w:rPr>
      <w:rFonts w:ascii="宋体" w:hAnsi="宋体" w:cs="宋体"/>
      <w:kern w:val="0"/>
      <w:sz w:val="24"/>
    </w:rPr>
  </w:style>
  <w:style w:type="paragraph" w:customStyle="1" w:styleId="262">
    <w:name w:val="条文 1"/>
    <w:next w:val="1"/>
    <w:qFormat/>
    <w:uiPriority w:val="0"/>
    <w:pPr>
      <w:spacing w:line="310" w:lineRule="exact"/>
      <w:ind w:left="840" w:hanging="420"/>
      <w:jc w:val="both"/>
    </w:pPr>
    <w:rPr>
      <w:rFonts w:ascii="Times New Roman" w:hAnsi="Times New Roman" w:eastAsia="黑体" w:cs="Times New Roman"/>
      <w:sz w:val="21"/>
      <w:lang w:val="en-US" w:eastAsia="zh-CN" w:bidi="ar-SA"/>
    </w:rPr>
  </w:style>
  <w:style w:type="paragraph" w:customStyle="1" w:styleId="263">
    <w:name w:val="需求书2"/>
    <w:basedOn w:val="1"/>
    <w:qFormat/>
    <w:uiPriority w:val="0"/>
    <w:pPr>
      <w:spacing w:line="500" w:lineRule="exact"/>
      <w:ind w:left="735" w:hanging="735"/>
    </w:pPr>
    <w:rPr>
      <w:rFonts w:ascii="黑体" w:eastAsia="黑体"/>
      <w:szCs w:val="20"/>
    </w:rPr>
  </w:style>
  <w:style w:type="paragraph" w:customStyle="1" w:styleId="264">
    <w:name w:val="wuff32"/>
    <w:basedOn w:val="25"/>
    <w:qFormat/>
    <w:uiPriority w:val="0"/>
    <w:pPr>
      <w:jc w:val="center"/>
    </w:pPr>
    <w:rPr>
      <w:rFonts w:ascii="黑体" w:eastAsia="黑体"/>
      <w:sz w:val="24"/>
      <w:szCs w:val="20"/>
    </w:rPr>
  </w:style>
  <w:style w:type="paragraph" w:customStyle="1" w:styleId="265">
    <w:name w:val="font9"/>
    <w:basedOn w:val="1"/>
    <w:qFormat/>
    <w:uiPriority w:val="0"/>
    <w:pPr>
      <w:spacing w:before="100" w:beforeAutospacing="1" w:after="100" w:afterAutospacing="1"/>
      <w:jc w:val="left"/>
    </w:pPr>
    <w:rPr>
      <w:rFonts w:hint="eastAsia" w:ascii="宋体" w:hAnsi="宋体" w:cs="Arial Unicode MS"/>
      <w:color w:val="FF0000"/>
      <w:kern w:val="0"/>
      <w:sz w:val="20"/>
      <w:szCs w:val="20"/>
    </w:rPr>
  </w:style>
  <w:style w:type="paragraph" w:customStyle="1" w:styleId="266">
    <w:name w:val="Char Char Char"/>
    <w:basedOn w:val="1"/>
    <w:qFormat/>
    <w:uiPriority w:val="0"/>
    <w:rPr>
      <w:rFonts w:ascii="仿宋_GB2312" w:eastAsia="仿宋_GB2312"/>
      <w:b/>
      <w:sz w:val="32"/>
      <w:szCs w:val="32"/>
    </w:rPr>
  </w:style>
  <w:style w:type="paragraph" w:customStyle="1" w:styleId="267">
    <w:name w:val="目录 31"/>
    <w:basedOn w:val="1"/>
    <w:next w:val="1"/>
    <w:autoRedefine/>
    <w:qFormat/>
    <w:uiPriority w:val="39"/>
    <w:pPr>
      <w:ind w:left="840" w:leftChars="400"/>
    </w:pPr>
  </w:style>
  <w:style w:type="paragraph" w:customStyle="1" w:styleId="268">
    <w:name w:val="xl78"/>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69">
    <w:name w:val="样式 标题 2 + (西文) Times New Roman (中文) 仿宋_GB2312 居中 段前: 6 磅 段后:..."/>
    <w:basedOn w:val="3"/>
    <w:qFormat/>
    <w:uiPriority w:val="0"/>
    <w:pPr>
      <w:spacing w:before="120" w:after="120"/>
      <w:jc w:val="left"/>
    </w:pPr>
    <w:rPr>
      <w:rFonts w:ascii="Times New Roman" w:hAnsi="Times New Roman" w:eastAsia="仿宋_GB2312" w:cs="宋体"/>
      <w:szCs w:val="20"/>
    </w:rPr>
  </w:style>
  <w:style w:type="paragraph" w:customStyle="1" w:styleId="270">
    <w:name w:val="标题222"/>
    <w:basedOn w:val="1"/>
    <w:qFormat/>
    <w:uiPriority w:val="0"/>
    <w:rPr>
      <w:rFonts w:cs="宋体"/>
      <w:b/>
      <w:bCs/>
      <w:sz w:val="30"/>
      <w:szCs w:val="20"/>
    </w:rPr>
  </w:style>
  <w:style w:type="paragraph" w:customStyle="1" w:styleId="271">
    <w:name w:val="Char"/>
    <w:basedOn w:val="1"/>
    <w:qFormat/>
    <w:uiPriority w:val="0"/>
    <w:pPr>
      <w:tabs>
        <w:tab w:val="left" w:pos="360"/>
      </w:tabs>
    </w:pPr>
    <w:rPr>
      <w:sz w:val="24"/>
    </w:rPr>
  </w:style>
  <w:style w:type="paragraph" w:customStyle="1" w:styleId="272">
    <w:name w:val="一、"/>
    <w:next w:val="142"/>
    <w:qFormat/>
    <w:uiPriority w:val="0"/>
    <w:pPr>
      <w:tabs>
        <w:tab w:val="left" w:pos="360"/>
      </w:tabs>
      <w:spacing w:before="240" w:after="240" w:line="360" w:lineRule="auto"/>
      <w:ind w:firstLine="420"/>
      <w:jc w:val="both"/>
    </w:pPr>
    <w:rPr>
      <w:rFonts w:ascii="Times New Roman" w:hAnsi="Times New Roman" w:eastAsia="黑体" w:cs="Times New Roman"/>
      <w:sz w:val="28"/>
      <w:lang w:val="en-US" w:eastAsia="zh-CN" w:bidi="ar-SA"/>
    </w:rPr>
  </w:style>
  <w:style w:type="paragraph" w:customStyle="1" w:styleId="273">
    <w:name w:val="xl88"/>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74">
    <w:name w:val="xl81"/>
    <w:basedOn w:val="1"/>
    <w:qFormat/>
    <w:uiPriority w:val="0"/>
    <w:pPr>
      <w:pBdr>
        <w:top w:val="single" w:color="auto" w:sz="4" w:space="0"/>
        <w:left w:val="single" w:color="auto" w:sz="4" w:space="0"/>
        <w:bottom w:val="single" w:color="auto" w:sz="4" w:space="0"/>
        <w:right w:val="double" w:color="auto" w:sz="6" w:space="0"/>
      </w:pBdr>
      <w:spacing w:before="100" w:beforeAutospacing="1" w:after="100" w:afterAutospacing="1"/>
      <w:jc w:val="left"/>
      <w:textAlignment w:val="center"/>
    </w:pPr>
    <w:rPr>
      <w:rFonts w:ascii="宋体" w:hAnsi="宋体" w:cs="宋体"/>
      <w:kern w:val="0"/>
      <w:szCs w:val="21"/>
    </w:rPr>
  </w:style>
  <w:style w:type="paragraph" w:customStyle="1" w:styleId="275">
    <w:name w:val="xl53"/>
    <w:basedOn w:val="1"/>
    <w:autoRedefine/>
    <w:qFormat/>
    <w:uiPriority w:val="0"/>
    <w:pPr>
      <w:spacing w:before="100" w:beforeAutospacing="1" w:after="100" w:afterAutospacing="1"/>
      <w:jc w:val="left"/>
    </w:pPr>
    <w:rPr>
      <w:rFonts w:hint="eastAsia" w:ascii="黑体" w:hAnsi="宋体" w:eastAsia="黑体"/>
      <w:kern w:val="0"/>
      <w:sz w:val="24"/>
    </w:rPr>
  </w:style>
  <w:style w:type="paragraph" w:customStyle="1" w:styleId="276">
    <w:name w:val="USE 2"/>
    <w:basedOn w:val="1"/>
    <w:autoRedefine/>
    <w:qFormat/>
    <w:uiPriority w:val="0"/>
    <w:pPr>
      <w:ind w:left="4556" w:hanging="3836"/>
      <w:jc w:val="left"/>
    </w:pPr>
    <w:rPr>
      <w:rFonts w:ascii="宋体" w:hAnsi="宋体"/>
      <w:sz w:val="24"/>
      <w:szCs w:val="20"/>
    </w:rPr>
  </w:style>
  <w:style w:type="paragraph" w:customStyle="1" w:styleId="277">
    <w:name w:val="表格文字"/>
    <w:basedOn w:val="1"/>
    <w:autoRedefine/>
    <w:qFormat/>
    <w:uiPriority w:val="0"/>
    <w:pPr>
      <w:adjustRightInd w:val="0"/>
      <w:spacing w:line="420" w:lineRule="atLeast"/>
      <w:jc w:val="left"/>
      <w:textAlignment w:val="baseline"/>
    </w:pPr>
    <w:rPr>
      <w:kern w:val="0"/>
      <w:szCs w:val="20"/>
    </w:rPr>
  </w:style>
  <w:style w:type="paragraph" w:customStyle="1" w:styleId="278">
    <w:name w:val="1."/>
    <w:basedOn w:val="1"/>
    <w:autoRedefine/>
    <w:qFormat/>
    <w:uiPriority w:val="0"/>
    <w:pPr>
      <w:tabs>
        <w:tab w:val="left" w:pos="425"/>
      </w:tabs>
      <w:ind w:firstLine="482"/>
    </w:pPr>
    <w:rPr>
      <w:sz w:val="28"/>
      <w:szCs w:val="20"/>
    </w:rPr>
  </w:style>
  <w:style w:type="paragraph" w:customStyle="1" w:styleId="279">
    <w:name w:val="font8"/>
    <w:basedOn w:val="1"/>
    <w:autoRedefine/>
    <w:qFormat/>
    <w:uiPriority w:val="0"/>
    <w:pPr>
      <w:spacing w:before="100" w:beforeAutospacing="1" w:after="100" w:afterAutospacing="1"/>
      <w:jc w:val="left"/>
    </w:pPr>
    <w:rPr>
      <w:rFonts w:hint="eastAsia" w:ascii="楷体_GB2312" w:hAnsi="宋体" w:eastAsia="楷体_GB2312"/>
      <w:kern w:val="0"/>
      <w:sz w:val="20"/>
      <w:szCs w:val="20"/>
    </w:rPr>
  </w:style>
  <w:style w:type="paragraph" w:customStyle="1" w:styleId="280">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cs="宋体"/>
      <w:b w:val="0"/>
      <w:bCs w:val="0"/>
      <w:sz w:val="28"/>
      <w:szCs w:val="20"/>
    </w:rPr>
  </w:style>
  <w:style w:type="paragraph" w:customStyle="1" w:styleId="281">
    <w:name w:val="Body text 1"/>
    <w:basedOn w:val="282"/>
    <w:autoRedefine/>
    <w:qFormat/>
    <w:uiPriority w:val="0"/>
    <w:pPr>
      <w:tabs>
        <w:tab w:val="left" w:pos="1134"/>
      </w:tabs>
      <w:ind w:hanging="1134"/>
    </w:pPr>
  </w:style>
  <w:style w:type="paragraph" w:customStyle="1" w:styleId="282">
    <w:name w:val="正文文本1"/>
    <w:autoRedefine/>
    <w:qFormat/>
    <w:uiPriority w:val="0"/>
    <w:pPr>
      <w:widowControl w:val="0"/>
      <w:autoSpaceDE w:val="0"/>
      <w:autoSpaceDN w:val="0"/>
      <w:adjustRightInd w:val="0"/>
      <w:spacing w:before="170" w:line="300" w:lineRule="atLeast"/>
      <w:ind w:left="1134" w:firstLine="420"/>
      <w:jc w:val="both"/>
    </w:pPr>
    <w:rPr>
      <w:rFonts w:ascii="Times New Roman" w:hAnsi="Times New Roman" w:eastAsia="宋体" w:cs="Times New Roman"/>
      <w:color w:val="000000"/>
      <w:sz w:val="24"/>
      <w:lang w:val="en-US" w:eastAsia="zh-CN" w:bidi="ar-SA"/>
    </w:rPr>
  </w:style>
  <w:style w:type="paragraph" w:customStyle="1" w:styleId="283">
    <w:name w:val="_Style 10"/>
    <w:basedOn w:val="1"/>
    <w:next w:val="1"/>
    <w:autoRedefine/>
    <w:qFormat/>
    <w:uiPriority w:val="0"/>
  </w:style>
  <w:style w:type="paragraph" w:customStyle="1" w:styleId="284">
    <w:name w:val="xl79"/>
    <w:basedOn w:val="1"/>
    <w:autoRedefine/>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85">
    <w:name w:val="Char Char Char Char Char Char Char1"/>
    <w:basedOn w:val="1"/>
    <w:autoRedefine/>
    <w:qFormat/>
    <w:uiPriority w:val="0"/>
    <w:pPr>
      <w:spacing w:after="160" w:line="240" w:lineRule="exact"/>
      <w:jc w:val="left"/>
    </w:pPr>
    <w:rPr>
      <w:rFonts w:ascii="Arial" w:hAnsi="Arial" w:eastAsia="Times New Roman" w:cs="Verdana"/>
      <w:b/>
      <w:kern w:val="0"/>
      <w:sz w:val="24"/>
      <w:lang w:eastAsia="en-US"/>
    </w:rPr>
  </w:style>
  <w:style w:type="paragraph" w:customStyle="1" w:styleId="286">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paragraph" w:customStyle="1" w:styleId="287">
    <w:name w:val="Char Char Char Char"/>
    <w:basedOn w:val="1"/>
    <w:autoRedefine/>
    <w:qFormat/>
    <w:uiPriority w:val="0"/>
    <w:pPr>
      <w:tabs>
        <w:tab w:val="left" w:pos="360"/>
      </w:tabs>
    </w:pPr>
    <w:rPr>
      <w:sz w:val="24"/>
    </w:rPr>
  </w:style>
  <w:style w:type="paragraph" w:customStyle="1" w:styleId="288">
    <w:name w:val="标题3"/>
    <w:basedOn w:val="2"/>
    <w:autoRedefine/>
    <w:qFormat/>
    <w:uiPriority w:val="0"/>
    <w:pPr>
      <w:spacing w:beforeLines="50" w:after="0" w:line="312" w:lineRule="auto"/>
      <w:jc w:val="center"/>
    </w:pPr>
    <w:rPr>
      <w:rFonts w:ascii="宋体"/>
      <w:bCs w:val="0"/>
      <w:sz w:val="24"/>
      <w:szCs w:val="20"/>
    </w:rPr>
  </w:style>
  <w:style w:type="paragraph" w:customStyle="1" w:styleId="289">
    <w:name w:val="cucd-TB"/>
    <w:autoRedefine/>
    <w:qFormat/>
    <w:uiPriority w:val="0"/>
    <w:pPr>
      <w:spacing w:line="360" w:lineRule="auto"/>
      <w:ind w:firstLine="420"/>
      <w:jc w:val="center"/>
    </w:pPr>
    <w:rPr>
      <w:rFonts w:ascii="Times New Roman" w:hAnsi="Times New Roman" w:eastAsia="宋体" w:cs="Times New Roman"/>
      <w:kern w:val="2"/>
      <w:sz w:val="21"/>
      <w:szCs w:val="24"/>
      <w:lang w:val="en-US" w:eastAsia="zh-CN" w:bidi="ar-SA"/>
    </w:rPr>
  </w:style>
  <w:style w:type="paragraph" w:customStyle="1" w:styleId="290">
    <w:name w:val="xl72"/>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1">
    <w:name w:val="Char1"/>
    <w:basedOn w:val="1"/>
    <w:autoRedefine/>
    <w:qFormat/>
    <w:uiPriority w:val="0"/>
    <w:rPr>
      <w:rFonts w:ascii="仿宋_GB2312" w:eastAsia="仿宋_GB2312"/>
      <w:b/>
      <w:sz w:val="32"/>
      <w:szCs w:val="32"/>
    </w:rPr>
  </w:style>
  <w:style w:type="paragraph" w:customStyle="1" w:styleId="292">
    <w:name w:val="xl87"/>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293">
    <w:name w:val="样式 纯文本 + 居中 行距: 最小值 9 磅"/>
    <w:basedOn w:val="25"/>
    <w:autoRedefine/>
    <w:qFormat/>
    <w:uiPriority w:val="0"/>
    <w:pPr>
      <w:spacing w:line="180" w:lineRule="atLeast"/>
      <w:jc w:val="left"/>
    </w:pPr>
    <w:rPr>
      <w:rFonts w:cs="宋体"/>
      <w:sz w:val="24"/>
      <w:szCs w:val="20"/>
    </w:rPr>
  </w:style>
  <w:style w:type="paragraph" w:customStyle="1" w:styleId="294">
    <w:name w:val="Char Char Char Char Char Char Char Char Char Char Char Char Char"/>
    <w:basedOn w:val="1"/>
    <w:autoRedefine/>
    <w:qFormat/>
    <w:uiPriority w:val="0"/>
    <w:rPr>
      <w:rFonts w:ascii="仿宋_GB2312" w:eastAsia="仿宋_GB2312"/>
      <w:b/>
      <w:sz w:val="32"/>
      <w:szCs w:val="32"/>
    </w:rPr>
  </w:style>
  <w:style w:type="paragraph" w:customStyle="1" w:styleId="295">
    <w:name w:val="xl98"/>
    <w:basedOn w:val="1"/>
    <w:autoRedefine/>
    <w:qFormat/>
    <w:uiPriority w:val="0"/>
    <w:pPr>
      <w:pBdr>
        <w:top w:val="single" w:color="auto" w:sz="4" w:space="0"/>
        <w:left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296">
    <w:name w:val="xl25"/>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18"/>
      <w:szCs w:val="18"/>
    </w:rPr>
  </w:style>
  <w:style w:type="paragraph" w:customStyle="1" w:styleId="297">
    <w:name w:val="Style 樣式 標題 3 + (中文) MS Gothic 10.5 點 + (Latin) Times New Roman (A..."/>
    <w:basedOn w:val="1"/>
    <w:autoRedefine/>
    <w:qFormat/>
    <w:uiPriority w:val="0"/>
    <w:pPr>
      <w:keepNext/>
      <w:tabs>
        <w:tab w:val="left" w:pos="2098"/>
      </w:tabs>
      <w:ind w:left="1503" w:hanging="142"/>
      <w:outlineLvl w:val="2"/>
    </w:pPr>
    <w:rPr>
      <w:rFonts w:eastAsia="PMingLiU"/>
      <w:snapToGrid w:val="0"/>
      <w:sz w:val="24"/>
      <w:lang w:val="en-AU" w:eastAsia="zh-TW"/>
    </w:rPr>
  </w:style>
  <w:style w:type="paragraph" w:customStyle="1" w:styleId="298">
    <w:name w:val="tableau"/>
    <w:basedOn w:val="1"/>
    <w:autoRedefine/>
    <w:qFormat/>
    <w:uiPriority w:val="0"/>
    <w:pPr>
      <w:spacing w:before="20" w:after="20"/>
      <w:jc w:val="center"/>
    </w:pPr>
    <w:rPr>
      <w:rFonts w:ascii="Arial" w:hAnsi="Arial"/>
      <w:kern w:val="0"/>
      <w:sz w:val="16"/>
      <w:szCs w:val="20"/>
      <w:lang w:val="en-GB"/>
    </w:rPr>
  </w:style>
  <w:style w:type="paragraph" w:customStyle="1" w:styleId="299">
    <w:name w:val="xl35"/>
    <w:basedOn w:val="1"/>
    <w:autoRedefine/>
    <w:qFormat/>
    <w:uiPriority w:val="0"/>
    <w:pPr>
      <w:pBdr>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300">
    <w:name w:val="Char Char Char Char2"/>
    <w:basedOn w:val="1"/>
    <w:autoRedefine/>
    <w:qFormat/>
    <w:uiPriority w:val="0"/>
    <w:pPr>
      <w:tabs>
        <w:tab w:val="left" w:pos="1080"/>
      </w:tabs>
      <w:ind w:left="1078" w:leftChars="343" w:right="210" w:rightChars="100" w:hanging="358" w:hangingChars="149"/>
    </w:pPr>
    <w:rPr>
      <w:sz w:val="24"/>
      <w:szCs w:val="20"/>
    </w:rPr>
  </w:style>
  <w:style w:type="paragraph" w:customStyle="1" w:styleId="301">
    <w:name w:val="xl54"/>
    <w:basedOn w:val="1"/>
    <w:autoRedefine/>
    <w:qFormat/>
    <w:uiPriority w:val="0"/>
    <w:pPr>
      <w:pBdr>
        <w:top w:val="single" w:color="auto" w:sz="8" w:space="0"/>
        <w:left w:val="single" w:color="auto" w:sz="8"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02">
    <w:name w:val="xl33"/>
    <w:basedOn w:val="1"/>
    <w:autoRedefine/>
    <w:qFormat/>
    <w:uiPriority w:val="0"/>
    <w:pPr>
      <w:pBdr>
        <w:left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303">
    <w:name w:val="样式 宋体 小四 黑色 左 行距: 1.5 倍行距"/>
    <w:basedOn w:val="1"/>
    <w:autoRedefine/>
    <w:qFormat/>
    <w:uiPriority w:val="0"/>
    <w:pPr>
      <w:jc w:val="left"/>
    </w:pPr>
    <w:rPr>
      <w:rFonts w:ascii="宋体" w:hAnsi="宋体" w:cs="宋体"/>
      <w:color w:val="000000"/>
      <w:sz w:val="24"/>
      <w:szCs w:val="20"/>
    </w:rPr>
  </w:style>
  <w:style w:type="paragraph" w:customStyle="1" w:styleId="304">
    <w:name w:val="xl84"/>
    <w:basedOn w:val="1"/>
    <w:autoRedefine/>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05">
    <w:name w:val="xl64"/>
    <w:basedOn w:val="1"/>
    <w:autoRedefine/>
    <w:qFormat/>
    <w:uiPriority w:val="0"/>
    <w:pPr>
      <w:spacing w:before="100" w:beforeAutospacing="1" w:after="100" w:afterAutospacing="1"/>
      <w:jc w:val="center"/>
      <w:textAlignment w:val="center"/>
    </w:pPr>
    <w:rPr>
      <w:rFonts w:ascii="宋体" w:hAnsi="宋体" w:cs="宋体"/>
      <w:kern w:val="0"/>
      <w:sz w:val="24"/>
    </w:rPr>
  </w:style>
  <w:style w:type="paragraph" w:customStyle="1" w:styleId="306">
    <w:name w:val="Tétière"/>
    <w:basedOn w:val="1"/>
    <w:autoRedefine/>
    <w:qFormat/>
    <w:uiPriority w:val="0"/>
    <w:pPr>
      <w:spacing w:before="60" w:after="60"/>
      <w:jc w:val="center"/>
    </w:pPr>
    <w:rPr>
      <w:rFonts w:ascii="Arial" w:hAnsi="Arial"/>
      <w:b/>
      <w:kern w:val="0"/>
      <w:sz w:val="16"/>
      <w:szCs w:val="20"/>
      <w:lang w:val="en-GB"/>
    </w:rPr>
  </w:style>
  <w:style w:type="paragraph" w:customStyle="1" w:styleId="307">
    <w:name w:val="目录 81"/>
    <w:basedOn w:val="1"/>
    <w:next w:val="1"/>
    <w:autoRedefine/>
    <w:qFormat/>
    <w:uiPriority w:val="39"/>
    <w:pPr>
      <w:ind w:left="2940" w:leftChars="1400"/>
    </w:pPr>
    <w:rPr>
      <w:rFonts w:ascii="Calibri" w:hAnsi="Calibri"/>
      <w:szCs w:val="22"/>
    </w:rPr>
  </w:style>
  <w:style w:type="paragraph" w:customStyle="1" w:styleId="308">
    <w:name w:val="样式1"/>
    <w:basedOn w:val="32"/>
    <w:autoRedefine/>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09">
    <w:name w:val="Char Char Char Char Char Char Char Char Char Char"/>
    <w:basedOn w:val="1"/>
    <w:autoRedefine/>
    <w:qFormat/>
    <w:uiPriority w:val="0"/>
    <w:rPr>
      <w:rFonts w:ascii="Tahoma" w:hAnsi="Tahoma" w:cs="仿宋_GB2312"/>
      <w:sz w:val="24"/>
      <w:szCs w:val="20"/>
    </w:rPr>
  </w:style>
  <w:style w:type="paragraph" w:customStyle="1" w:styleId="310">
    <w:name w:val="孙（1）"/>
    <w:autoRedefine/>
    <w:qFormat/>
    <w:uiPriority w:val="0"/>
    <w:pPr>
      <w:spacing w:before="100" w:after="100" w:line="360" w:lineRule="auto"/>
      <w:ind w:firstLine="420"/>
      <w:jc w:val="both"/>
      <w:outlineLvl w:val="1"/>
    </w:pPr>
    <w:rPr>
      <w:rFonts w:ascii="Times New Roman" w:hAnsi="Times New Roman" w:eastAsia="宋体" w:cs="Times New Roman"/>
      <w:b/>
      <w:sz w:val="24"/>
      <w:szCs w:val="24"/>
      <w:lang w:val="en-US" w:eastAsia="zh-CN" w:bidi="ar-SA"/>
    </w:rPr>
  </w:style>
  <w:style w:type="paragraph" w:customStyle="1" w:styleId="311">
    <w:name w:val="Char4"/>
    <w:basedOn w:val="1"/>
    <w:autoRedefine/>
    <w:qFormat/>
    <w:uiPriority w:val="0"/>
  </w:style>
  <w:style w:type="paragraph" w:customStyle="1" w:styleId="312">
    <w:name w:val="目录 41"/>
    <w:basedOn w:val="1"/>
    <w:next w:val="1"/>
    <w:autoRedefine/>
    <w:qFormat/>
    <w:uiPriority w:val="39"/>
    <w:pPr>
      <w:ind w:left="1260" w:leftChars="600"/>
    </w:pPr>
    <w:rPr>
      <w:rFonts w:ascii="Calibri" w:hAnsi="Calibri"/>
      <w:szCs w:val="22"/>
    </w:rPr>
  </w:style>
  <w:style w:type="paragraph" w:customStyle="1" w:styleId="313">
    <w:name w:val="cucd-0"/>
    <w:autoRedefine/>
    <w:qFormat/>
    <w:uiPriority w:val="0"/>
    <w:pPr>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314">
    <w:name w:val="xl61"/>
    <w:basedOn w:val="1"/>
    <w:autoRedefine/>
    <w:qFormat/>
    <w:uiPriority w:val="0"/>
    <w:pPr>
      <w:pBdr>
        <w:left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15">
    <w:name w:val="1.1"/>
    <w:basedOn w:val="3"/>
    <w:autoRedefine/>
    <w:qFormat/>
    <w:uiPriority w:val="0"/>
    <w:pPr>
      <w:keepNext w:val="0"/>
      <w:keepLines w:val="0"/>
      <w:autoSpaceDE w:val="0"/>
      <w:autoSpaceDN w:val="0"/>
      <w:adjustRightInd w:val="0"/>
      <w:spacing w:before="0" w:after="0"/>
      <w:jc w:val="left"/>
      <w:outlineLvl w:val="2"/>
    </w:pPr>
    <w:rPr>
      <w:rFonts w:ascii="宋体" w:hAnsi="宋体" w:eastAsia="宋体"/>
      <w:b w:val="0"/>
      <w:bCs w:val="0"/>
      <w:kern w:val="0"/>
      <w:sz w:val="21"/>
      <w:szCs w:val="20"/>
    </w:rPr>
  </w:style>
  <w:style w:type="paragraph" w:customStyle="1" w:styleId="316">
    <w:name w:val="xl31"/>
    <w:basedOn w:val="1"/>
    <w:autoRedefine/>
    <w:qFormat/>
    <w:uiPriority w:val="0"/>
    <w:pPr>
      <w:spacing w:before="100" w:beforeAutospacing="1" w:after="100" w:afterAutospacing="1"/>
      <w:jc w:val="center"/>
      <w:textAlignment w:val="center"/>
    </w:pPr>
    <w:rPr>
      <w:rFonts w:ascii="宋体" w:hAnsi="宋体" w:cs="宋体"/>
      <w:b/>
      <w:bCs/>
      <w:color w:val="000000"/>
      <w:kern w:val="0"/>
      <w:sz w:val="32"/>
      <w:szCs w:val="32"/>
    </w:rPr>
  </w:style>
  <w:style w:type="paragraph" w:customStyle="1" w:styleId="317">
    <w:name w:val="文件正文"/>
    <w:basedOn w:val="1"/>
    <w:autoRedefine/>
    <w:qFormat/>
    <w:uiPriority w:val="0"/>
    <w:pPr>
      <w:ind w:firstLine="480"/>
    </w:pPr>
    <w:rPr>
      <w:rFonts w:eastAsia="仿宋_GB2312"/>
      <w:sz w:val="24"/>
      <w:szCs w:val="20"/>
    </w:rPr>
  </w:style>
  <w:style w:type="paragraph" w:customStyle="1" w:styleId="318">
    <w:name w:val="333"/>
    <w:basedOn w:val="1"/>
    <w:autoRedefine/>
    <w:qFormat/>
    <w:uiPriority w:val="0"/>
    <w:pPr>
      <w:tabs>
        <w:tab w:val="left" w:pos="9083"/>
      </w:tabs>
      <w:wordWrap w:val="0"/>
      <w:spacing w:beforeLines="50" w:afterLines="50"/>
      <w:ind w:right="1106"/>
    </w:pPr>
    <w:rPr>
      <w:rFonts w:ascii="宋体" w:hAnsi="宋体" w:cs="宋体"/>
      <w:sz w:val="24"/>
    </w:rPr>
  </w:style>
  <w:style w:type="paragraph" w:customStyle="1" w:styleId="319">
    <w:name w:val="xl32"/>
    <w:basedOn w:val="1"/>
    <w:autoRedefine/>
    <w:qFormat/>
    <w:uiPriority w:val="0"/>
    <w:pPr>
      <w:spacing w:before="100" w:beforeAutospacing="1" w:after="100" w:afterAutospacing="1"/>
      <w:jc w:val="left"/>
      <w:textAlignment w:val="center"/>
    </w:pPr>
    <w:rPr>
      <w:rFonts w:ascii="宋体" w:hAnsi="宋体" w:cs="宋体"/>
      <w:color w:val="000000"/>
      <w:kern w:val="0"/>
      <w:sz w:val="24"/>
    </w:rPr>
  </w:style>
  <w:style w:type="paragraph" w:customStyle="1" w:styleId="320">
    <w:name w:val="xl56"/>
    <w:basedOn w:val="1"/>
    <w:autoRedefine/>
    <w:qFormat/>
    <w:uiPriority w:val="0"/>
    <w:pPr>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21">
    <w:name w:val="xl50"/>
    <w:basedOn w:val="1"/>
    <w:autoRedefine/>
    <w:qFormat/>
    <w:uiPriority w:val="0"/>
    <w:pPr>
      <w:pBdr>
        <w:top w:val="single" w:color="auto" w:sz="4"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paragraph" w:customStyle="1" w:styleId="322">
    <w:name w:val="xl91"/>
    <w:basedOn w:val="1"/>
    <w:autoRedefine/>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23">
    <w:name w:val="通用专用"/>
    <w:basedOn w:val="1"/>
    <w:autoRedefine/>
    <w:qFormat/>
    <w:uiPriority w:val="0"/>
    <w:pPr>
      <w:jc w:val="center"/>
    </w:pPr>
    <w:rPr>
      <w:rFonts w:ascii="宋体"/>
      <w:b/>
      <w:sz w:val="36"/>
      <w:szCs w:val="20"/>
    </w:rPr>
  </w:style>
  <w:style w:type="paragraph" w:customStyle="1" w:styleId="324">
    <w:name w:val="Char Char Char Char Char Char Char Char Char Char Char Char Char1"/>
    <w:basedOn w:val="1"/>
    <w:autoRedefine/>
    <w:qFormat/>
    <w:uiPriority w:val="0"/>
    <w:rPr>
      <w:rFonts w:ascii="仿宋_GB2312" w:eastAsia="仿宋_GB2312"/>
      <w:b/>
      <w:sz w:val="32"/>
      <w:szCs w:val="32"/>
    </w:rPr>
  </w:style>
  <w:style w:type="paragraph" w:customStyle="1" w:styleId="325">
    <w:name w:val="xl34"/>
    <w:basedOn w:val="1"/>
    <w:autoRedefine/>
    <w:qFormat/>
    <w:uiPriority w:val="0"/>
    <w:pPr>
      <w:pBdr>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326">
    <w:name w:val="TOC 标题1"/>
    <w:basedOn w:val="2"/>
    <w:next w:val="1"/>
    <w:autoRedefine/>
    <w:qFormat/>
    <w:uiPriority w:val="39"/>
    <w:pPr>
      <w:spacing w:before="480" w:after="0" w:line="276" w:lineRule="auto"/>
      <w:jc w:val="left"/>
      <w:outlineLvl w:val="9"/>
    </w:pPr>
    <w:rPr>
      <w:rFonts w:ascii="Cambria" w:hAnsi="Cambria"/>
      <w:color w:val="365F91"/>
      <w:kern w:val="0"/>
      <w:sz w:val="28"/>
      <w:szCs w:val="28"/>
    </w:rPr>
  </w:style>
  <w:style w:type="paragraph" w:customStyle="1" w:styleId="327">
    <w:name w:val="需求书用目录1"/>
    <w:basedOn w:val="1"/>
    <w:autoRedefine/>
    <w:qFormat/>
    <w:uiPriority w:val="0"/>
    <w:pPr>
      <w:spacing w:before="360" w:after="40" w:line="500" w:lineRule="exact"/>
      <w:ind w:left="538" w:leftChars="256" w:firstLine="2803" w:firstLineChars="1000"/>
    </w:pPr>
    <w:rPr>
      <w:rFonts w:ascii="宋体"/>
      <w:b/>
      <w:sz w:val="28"/>
      <w:szCs w:val="20"/>
    </w:rPr>
  </w:style>
  <w:style w:type="paragraph" w:customStyle="1" w:styleId="328">
    <w:name w:val="xl62"/>
    <w:basedOn w:val="1"/>
    <w:autoRedefine/>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customStyle="1" w:styleId="329">
    <w:name w:val="重点"/>
    <w:basedOn w:val="1"/>
    <w:autoRedefine/>
    <w:qFormat/>
    <w:uiPriority w:val="0"/>
    <w:pPr>
      <w:tabs>
        <w:tab w:val="left" w:pos="0"/>
        <w:tab w:val="left" w:pos="420"/>
      </w:tabs>
      <w:adjustRightInd w:val="0"/>
      <w:snapToGrid w:val="0"/>
      <w:spacing w:line="560" w:lineRule="atLeast"/>
      <w:ind w:left="420" w:hanging="420"/>
    </w:pPr>
    <w:rPr>
      <w:kern w:val="24"/>
      <w:sz w:val="30"/>
      <w:szCs w:val="20"/>
    </w:rPr>
  </w:style>
  <w:style w:type="paragraph" w:customStyle="1" w:styleId="330">
    <w:name w:val="目录 61"/>
    <w:basedOn w:val="1"/>
    <w:next w:val="1"/>
    <w:autoRedefine/>
    <w:qFormat/>
    <w:uiPriority w:val="39"/>
    <w:pPr>
      <w:ind w:left="2100" w:leftChars="1000"/>
    </w:pPr>
    <w:rPr>
      <w:rFonts w:ascii="Calibri" w:hAnsi="Calibri"/>
      <w:szCs w:val="22"/>
    </w:rPr>
  </w:style>
  <w:style w:type="paragraph" w:customStyle="1" w:styleId="331">
    <w:name w:val="xl68"/>
    <w:basedOn w:val="1"/>
    <w:autoRedefine/>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332">
    <w:name w:val="xl93"/>
    <w:basedOn w:val="1"/>
    <w:autoRedefine/>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33">
    <w:name w:val="样式 样式 标题 3 + 仿宋_GB2312 小四 段前: 0 磅 段后: 0 磅 + 段前: 0.5 行"/>
    <w:basedOn w:val="334"/>
    <w:autoRedefine/>
    <w:qFormat/>
    <w:uiPriority w:val="0"/>
    <w:pPr>
      <w:spacing w:afterLines="50"/>
      <w:jc w:val="both"/>
    </w:pPr>
    <w:rPr>
      <w:rFonts w:ascii="宋体" w:eastAsia="宋体"/>
      <w:b w:val="0"/>
    </w:rPr>
  </w:style>
  <w:style w:type="paragraph" w:customStyle="1" w:styleId="334">
    <w:name w:val="样式 标题 3 + 仿宋_GB2312 小四 段前: 0 磅 段后: 0 磅"/>
    <w:basedOn w:val="4"/>
    <w:autoRedefine/>
    <w:qFormat/>
    <w:uiPriority w:val="0"/>
    <w:pPr>
      <w:spacing w:beforeLines="50" w:after="0" w:line="413" w:lineRule="auto"/>
      <w:jc w:val="center"/>
    </w:pPr>
    <w:rPr>
      <w:rFonts w:ascii="仿宋_GB2312" w:eastAsia="仿宋_GB2312" w:cs="宋体"/>
      <w:kern w:val="0"/>
      <w:szCs w:val="20"/>
    </w:rPr>
  </w:style>
  <w:style w:type="paragraph" w:customStyle="1" w:styleId="335">
    <w:name w:val="xl57"/>
    <w:basedOn w:val="1"/>
    <w:autoRedefine/>
    <w:qFormat/>
    <w:uiPriority w:val="0"/>
    <w:pPr>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336">
    <w:name w:val="青岛正文"/>
    <w:basedOn w:val="1"/>
    <w:autoRedefine/>
    <w:qFormat/>
    <w:uiPriority w:val="0"/>
    <w:rPr>
      <w:sz w:val="28"/>
    </w:rPr>
  </w:style>
  <w:style w:type="paragraph" w:customStyle="1" w:styleId="337">
    <w:name w:val="xl76"/>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宋体" w:hAnsi="宋体" w:cs="宋体"/>
      <w:kern w:val="0"/>
      <w:sz w:val="24"/>
    </w:rPr>
  </w:style>
  <w:style w:type="paragraph" w:customStyle="1" w:styleId="338">
    <w:name w:val="样式 标题 3 + (中文) 黑体 小四 非加粗 段前: 7.8 磅 段后: 0 磅 行距: 固定值 20 磅"/>
    <w:basedOn w:val="4"/>
    <w:qFormat/>
    <w:uiPriority w:val="0"/>
    <w:pPr>
      <w:spacing w:before="0" w:after="0" w:line="400" w:lineRule="exact"/>
    </w:pPr>
    <w:rPr>
      <w:rFonts w:eastAsia="黑体" w:cs="宋体"/>
      <w:b w:val="0"/>
      <w:bCs w:val="0"/>
      <w:szCs w:val="20"/>
    </w:rPr>
  </w:style>
  <w:style w:type="paragraph" w:customStyle="1" w:styleId="339">
    <w:name w:val="xl46"/>
    <w:basedOn w:val="1"/>
    <w:qFormat/>
    <w:uiPriority w:val="0"/>
    <w:pPr>
      <w:pBdr>
        <w:top w:val="single" w:color="auto" w:sz="4" w:space="0"/>
        <w:left w:val="single" w:color="auto" w:sz="8"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0">
    <w:name w:val="font12"/>
    <w:basedOn w:val="1"/>
    <w:qFormat/>
    <w:uiPriority w:val="0"/>
    <w:pPr>
      <w:spacing w:before="100" w:beforeAutospacing="1" w:after="100" w:afterAutospacing="1"/>
      <w:jc w:val="left"/>
    </w:pPr>
    <w:rPr>
      <w:rFonts w:hint="eastAsia" w:ascii="宋体" w:hAnsi="宋体" w:cs="Arial Unicode MS"/>
      <w:b/>
      <w:bCs/>
      <w:color w:val="000000"/>
      <w:kern w:val="0"/>
      <w:sz w:val="16"/>
      <w:szCs w:val="16"/>
    </w:rPr>
  </w:style>
  <w:style w:type="paragraph" w:customStyle="1" w:styleId="341">
    <w:name w:val="xl8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2">
    <w:name w:val="xl100"/>
    <w:basedOn w:val="1"/>
    <w:qFormat/>
    <w:uiPriority w:val="0"/>
    <w:pPr>
      <w:pBdr>
        <w:top w:val="single" w:color="auto" w:sz="4" w:space="0"/>
        <w:left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43">
    <w:name w:val="Report Level 2"/>
    <w:basedOn w:val="240"/>
    <w:next w:val="105"/>
    <w:qFormat/>
    <w:uiPriority w:val="0"/>
    <w:pPr>
      <w:ind w:left="0" w:firstLine="0"/>
      <w:outlineLvl w:val="1"/>
    </w:pPr>
    <w:rPr>
      <w:caps w:val="0"/>
    </w:rPr>
  </w:style>
  <w:style w:type="paragraph" w:styleId="344">
    <w:name w:val="List Paragraph"/>
    <w:basedOn w:val="1"/>
    <w:qFormat/>
    <w:uiPriority w:val="0"/>
    <w:pPr>
      <w:ind w:firstLine="420"/>
    </w:pPr>
  </w:style>
  <w:style w:type="paragraph" w:customStyle="1" w:styleId="345">
    <w:name w:val="xl45"/>
    <w:basedOn w:val="1"/>
    <w:qFormat/>
    <w:uiPriority w:val="0"/>
    <w:pPr>
      <w:pBdr>
        <w:top w:val="single" w:color="auto" w:sz="4" w:space="0"/>
        <w:left w:val="single" w:color="auto" w:sz="4" w:space="0"/>
        <w:bottom w:val="single" w:color="auto" w:sz="8"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346">
    <w:name w:val="xl44"/>
    <w:basedOn w:val="1"/>
    <w:qFormat/>
    <w:uiPriority w:val="0"/>
    <w:pPr>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7">
    <w:name w:val="xl4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hint="eastAsia" w:ascii="黑体" w:hAnsi="宋体" w:eastAsia="黑体"/>
      <w:kern w:val="0"/>
      <w:sz w:val="24"/>
    </w:rPr>
  </w:style>
  <w:style w:type="paragraph" w:customStyle="1" w:styleId="348">
    <w:name w:val="样式 宋体 小四 首行缩进:  0.93 厘米 段前: 11.15 磅 段后: 11.15 磅1"/>
    <w:basedOn w:val="199"/>
    <w:next w:val="199"/>
    <w:qFormat/>
    <w:uiPriority w:val="99"/>
    <w:rPr>
      <w:rFonts w:ascii="宋体"/>
      <w:color w:val="auto"/>
    </w:rPr>
  </w:style>
  <w:style w:type="paragraph" w:customStyle="1" w:styleId="349">
    <w:name w:val="纯文本1"/>
    <w:basedOn w:val="1"/>
    <w:qFormat/>
    <w:uiPriority w:val="0"/>
    <w:rPr>
      <w:rFonts w:ascii="宋体" w:hAnsi="Courier New" w:cs="Courier New"/>
      <w:szCs w:val="21"/>
    </w:rPr>
  </w:style>
  <w:style w:type="paragraph" w:customStyle="1" w:styleId="350">
    <w:name w:val="xl97"/>
    <w:basedOn w:val="1"/>
    <w:qFormat/>
    <w:uiPriority w:val="0"/>
    <w:pPr>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1">
    <w:name w:val="目录 21"/>
    <w:basedOn w:val="1"/>
    <w:next w:val="1"/>
    <w:qFormat/>
    <w:uiPriority w:val="39"/>
    <w:pPr>
      <w:tabs>
        <w:tab w:val="right" w:leader="dot" w:pos="8295"/>
      </w:tabs>
      <w:ind w:left="205" w:leftChars="205"/>
    </w:pPr>
  </w:style>
  <w:style w:type="paragraph" w:customStyle="1" w:styleId="352">
    <w:name w:val="1册标题1"/>
    <w:basedOn w:val="1"/>
    <w:next w:val="1"/>
    <w:qFormat/>
    <w:uiPriority w:val="0"/>
    <w:pPr>
      <w:spacing w:beforeLines="50" w:afterLines="50" w:line="300" w:lineRule="auto"/>
      <w:jc w:val="center"/>
      <w:outlineLvl w:val="0"/>
    </w:pPr>
    <w:rPr>
      <w:rFonts w:ascii="Arial" w:hAnsi="Arial" w:eastAsia="黑体"/>
      <w:b/>
      <w:bCs/>
      <w:sz w:val="48"/>
      <w:szCs w:val="20"/>
    </w:rPr>
  </w:style>
  <w:style w:type="paragraph" w:customStyle="1" w:styleId="353">
    <w:name w:val="xl94"/>
    <w:basedOn w:val="1"/>
    <w:qFormat/>
    <w:uiPriority w:val="0"/>
    <w:pPr>
      <w:pBdr>
        <w:left w:val="single" w:color="000000"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54">
    <w:name w:val="青岛标题4"/>
    <w:basedOn w:val="5"/>
    <w:qFormat/>
    <w:uiPriority w:val="0"/>
    <w:pPr>
      <w:spacing w:line="500" w:lineRule="atLeast"/>
      <w:jc w:val="left"/>
      <w:outlineLvl w:val="2"/>
    </w:pPr>
    <w:rPr>
      <w:rFonts w:eastAsia="宋体"/>
      <w:sz w:val="30"/>
    </w:rPr>
  </w:style>
  <w:style w:type="paragraph" w:customStyle="1" w:styleId="355">
    <w:name w:val="样式3"/>
    <w:basedOn w:val="32"/>
    <w:qFormat/>
    <w:uiPriority w:val="0"/>
    <w:pPr>
      <w:pBdr>
        <w:bottom w:val="none" w:color="auto" w:sz="0" w:space="0"/>
      </w:pBdr>
      <w:autoSpaceDE w:val="0"/>
      <w:autoSpaceDN w:val="0"/>
      <w:adjustRightInd w:val="0"/>
      <w:snapToGrid/>
      <w:textAlignment w:val="baseline"/>
    </w:pPr>
    <w:rPr>
      <w:rFonts w:ascii="宋体"/>
      <w:kern w:val="0"/>
      <w:szCs w:val="20"/>
    </w:rPr>
  </w:style>
  <w:style w:type="paragraph" w:customStyle="1" w:styleId="356">
    <w:name w:val="xl60"/>
    <w:basedOn w:val="1"/>
    <w:qFormat/>
    <w:uiPriority w:val="0"/>
    <w:pPr>
      <w:pBdr>
        <w:top w:val="single" w:color="auto" w:sz="4" w:space="0"/>
        <w:left w:val="single" w:color="auto" w:sz="4" w:space="0"/>
        <w:bottom w:val="single" w:color="auto" w:sz="4" w:space="0"/>
      </w:pBdr>
      <w:spacing w:before="100" w:after="100"/>
      <w:jc w:val="center"/>
      <w:textAlignment w:val="center"/>
    </w:pPr>
    <w:rPr>
      <w:rFonts w:eastAsia="Arial Unicode MS"/>
      <w:kern w:val="0"/>
      <w:szCs w:val="20"/>
    </w:rPr>
  </w:style>
  <w:style w:type="paragraph" w:customStyle="1" w:styleId="357">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58">
    <w:name w:val="xl66"/>
    <w:basedOn w:val="1"/>
    <w:qFormat/>
    <w:uiPriority w:val="0"/>
    <w:pPr>
      <w:pBdr>
        <w:top w:val="single" w:color="auto" w:sz="4" w:space="0"/>
        <w:left w:val="single" w:color="000000"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59">
    <w:name w:val="xl2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18"/>
      <w:szCs w:val="18"/>
    </w:rPr>
  </w:style>
  <w:style w:type="paragraph" w:customStyle="1" w:styleId="360">
    <w:name w:val="font13"/>
    <w:basedOn w:val="1"/>
    <w:qFormat/>
    <w:uiPriority w:val="0"/>
    <w:pPr>
      <w:spacing w:before="100" w:beforeAutospacing="1" w:after="100" w:afterAutospacing="1"/>
      <w:jc w:val="left"/>
    </w:pPr>
    <w:rPr>
      <w:rFonts w:hint="eastAsia" w:ascii="宋体" w:hAnsi="宋体" w:cs="Arial Unicode MS"/>
      <w:color w:val="000000"/>
      <w:kern w:val="0"/>
      <w:sz w:val="18"/>
      <w:szCs w:val="18"/>
    </w:rPr>
  </w:style>
  <w:style w:type="paragraph" w:customStyle="1" w:styleId="361">
    <w:name w:val="样式 (西文) 宋体 行距: 1.5 倍行距"/>
    <w:basedOn w:val="1"/>
    <w:qFormat/>
    <w:uiPriority w:val="0"/>
    <w:rPr>
      <w:rFonts w:ascii="宋体" w:hAnsi="宋体" w:cs="宋体"/>
      <w:szCs w:val="20"/>
    </w:rPr>
  </w:style>
  <w:style w:type="paragraph" w:customStyle="1" w:styleId="362">
    <w:name w:val="Retrait 1"/>
    <w:basedOn w:val="13"/>
    <w:qFormat/>
    <w:uiPriority w:val="0"/>
    <w:pPr>
      <w:spacing w:after="240"/>
      <w:ind w:left="1134" w:firstLine="0" w:firstLineChars="0"/>
      <w:jc w:val="left"/>
    </w:pPr>
    <w:rPr>
      <w:rFonts w:ascii="Palatino" w:hAnsi="Palatino"/>
      <w:kern w:val="0"/>
      <w:sz w:val="24"/>
      <w:szCs w:val="20"/>
      <w:lang w:val="en-GB"/>
    </w:rPr>
  </w:style>
  <w:style w:type="paragraph" w:customStyle="1" w:styleId="363">
    <w:name w:val="Report Level 3"/>
    <w:basedOn w:val="240"/>
    <w:next w:val="105"/>
    <w:qFormat/>
    <w:uiPriority w:val="0"/>
    <w:pPr>
      <w:tabs>
        <w:tab w:val="clear" w:pos="1080"/>
      </w:tabs>
      <w:ind w:left="0" w:firstLine="0"/>
      <w:jc w:val="both"/>
      <w:outlineLvl w:val="2"/>
    </w:pPr>
    <w:rPr>
      <w:b w:val="0"/>
      <w:caps w:val="0"/>
      <w:sz w:val="22"/>
    </w:rPr>
  </w:style>
  <w:style w:type="paragraph" w:customStyle="1" w:styleId="364">
    <w:name w:val="xl96"/>
    <w:basedOn w:val="1"/>
    <w:qFormat/>
    <w:uiPriority w:val="0"/>
    <w:pPr>
      <w:spacing w:before="100" w:beforeAutospacing="1" w:after="100" w:afterAutospacing="1"/>
      <w:jc w:val="left"/>
      <w:textAlignment w:val="center"/>
    </w:pPr>
    <w:rPr>
      <w:rFonts w:ascii="宋体" w:hAnsi="宋体" w:cs="宋体"/>
      <w:kern w:val="0"/>
      <w:sz w:val="24"/>
    </w:rPr>
  </w:style>
  <w:style w:type="paragraph" w:customStyle="1" w:styleId="365">
    <w:name w:val="xl77"/>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366">
    <w:name w:val="xl47"/>
    <w:basedOn w:val="1"/>
    <w:qFormat/>
    <w:uiPriority w:val="0"/>
    <w:pPr>
      <w:pBdr>
        <w:bottom w:val="single" w:color="auto" w:sz="8" w:space="0"/>
      </w:pBdr>
      <w:spacing w:before="100" w:beforeAutospacing="1" w:after="100" w:afterAutospacing="1"/>
      <w:jc w:val="center"/>
      <w:textAlignment w:val="center"/>
    </w:pPr>
    <w:rPr>
      <w:rFonts w:hint="eastAsia" w:ascii="隶书" w:hAnsi="宋体" w:eastAsia="隶书"/>
      <w:kern w:val="0"/>
      <w:sz w:val="44"/>
      <w:szCs w:val="44"/>
    </w:rPr>
  </w:style>
  <w:style w:type="paragraph" w:customStyle="1" w:styleId="367">
    <w:name w:val="xl83"/>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68">
    <w:name w:val="Char Char Char Char Char Char Char Char Char Char Char Char"/>
    <w:basedOn w:val="1"/>
    <w:qFormat/>
    <w:uiPriority w:val="0"/>
    <w:rPr>
      <w:rFonts w:ascii="Tahoma" w:hAnsi="Tahoma"/>
      <w:sz w:val="24"/>
      <w:szCs w:val="20"/>
    </w:rPr>
  </w:style>
  <w:style w:type="paragraph" w:customStyle="1" w:styleId="369">
    <w:name w:val="标题 41"/>
    <w:basedOn w:val="1"/>
    <w:qFormat/>
    <w:uiPriority w:val="1"/>
    <w:pPr>
      <w:ind w:left="522"/>
      <w:jc w:val="left"/>
      <w:outlineLvl w:val="4"/>
    </w:pPr>
    <w:rPr>
      <w:rFonts w:eastAsia="Times New Roman"/>
      <w:b/>
      <w:bCs/>
      <w:kern w:val="0"/>
      <w:szCs w:val="21"/>
      <w:lang w:eastAsia="en-US"/>
    </w:rPr>
  </w:style>
  <w:style w:type="paragraph" w:customStyle="1" w:styleId="370">
    <w:name w:val="CM226"/>
    <w:basedOn w:val="1"/>
    <w:next w:val="1"/>
    <w:qFormat/>
    <w:uiPriority w:val="0"/>
    <w:pPr>
      <w:autoSpaceDE w:val="0"/>
      <w:autoSpaceDN w:val="0"/>
      <w:adjustRightInd w:val="0"/>
      <w:spacing w:after="2445"/>
      <w:jc w:val="left"/>
    </w:pPr>
    <w:rPr>
      <w:rFonts w:ascii="宋体"/>
      <w:kern w:val="0"/>
      <w:sz w:val="24"/>
    </w:rPr>
  </w:style>
  <w:style w:type="paragraph" w:customStyle="1" w:styleId="371">
    <w:name w:val="xl2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372">
    <w:name w:val="样式 USE 1 + 行距: 单倍行距"/>
    <w:basedOn w:val="1"/>
    <w:qFormat/>
    <w:uiPriority w:val="0"/>
    <w:pPr>
      <w:spacing w:line="180" w:lineRule="atLeast"/>
      <w:jc w:val="left"/>
    </w:pPr>
    <w:rPr>
      <w:rFonts w:ascii="宋体" w:hAnsi="宋体" w:cs="宋体"/>
      <w:b/>
      <w:bCs/>
      <w:sz w:val="24"/>
      <w:szCs w:val="20"/>
    </w:rPr>
  </w:style>
  <w:style w:type="paragraph" w:customStyle="1" w:styleId="373">
    <w:name w:val="xl99"/>
    <w:basedOn w:val="1"/>
    <w:qFormat/>
    <w:uiPriority w:val="0"/>
    <w:pPr>
      <w:pBdr>
        <w:left w:val="single" w:color="auto" w:sz="4" w:space="0"/>
        <w:bottom w:val="single" w:color="auto" w:sz="4" w:space="0"/>
        <w:right w:val="single" w:color="000000" w:sz="4" w:space="0"/>
      </w:pBdr>
      <w:shd w:val="clear" w:color="000000" w:fill="FFFFFF"/>
      <w:spacing w:before="100" w:beforeAutospacing="1" w:after="100" w:afterAutospacing="1"/>
      <w:jc w:val="center"/>
      <w:textAlignment w:val="center"/>
    </w:pPr>
    <w:rPr>
      <w:rFonts w:ascii="宋体" w:hAnsi="宋体" w:cs="宋体"/>
      <w:kern w:val="0"/>
      <w:sz w:val="24"/>
    </w:rPr>
  </w:style>
  <w:style w:type="paragraph" w:customStyle="1" w:styleId="374">
    <w:name w:val="合同书"/>
    <w:basedOn w:val="1"/>
    <w:qFormat/>
    <w:uiPriority w:val="0"/>
    <w:pPr>
      <w:jc w:val="center"/>
    </w:pPr>
    <w:rPr>
      <w:b/>
      <w:sz w:val="36"/>
      <w:szCs w:val="20"/>
    </w:rPr>
  </w:style>
  <w:style w:type="paragraph" w:customStyle="1" w:styleId="375">
    <w:name w:val="修订1"/>
    <w:qFormat/>
    <w:uiPriority w:val="99"/>
    <w:pPr>
      <w:spacing w:line="360" w:lineRule="auto"/>
      <w:ind w:firstLine="420"/>
      <w:jc w:val="both"/>
    </w:pPr>
    <w:rPr>
      <w:rFonts w:ascii="Times New Roman" w:hAnsi="Times New Roman" w:eastAsia="宋体" w:cs="Times New Roman"/>
      <w:kern w:val="2"/>
      <w:sz w:val="21"/>
      <w:szCs w:val="24"/>
      <w:lang w:val="en-US" w:eastAsia="zh-CN" w:bidi="ar-SA"/>
    </w:rPr>
  </w:style>
  <w:style w:type="paragraph" w:customStyle="1" w:styleId="376">
    <w:name w:val="条文 0"/>
    <w:next w:val="1"/>
    <w:qFormat/>
    <w:uiPriority w:val="0"/>
    <w:pPr>
      <w:spacing w:before="240" w:after="240" w:line="360" w:lineRule="auto"/>
      <w:ind w:left="420" w:hanging="420"/>
      <w:jc w:val="both"/>
    </w:pPr>
    <w:rPr>
      <w:rFonts w:ascii="Times New Roman" w:hAnsi="Times New Roman" w:eastAsia="黑体" w:cs="Times New Roman"/>
      <w:sz w:val="21"/>
      <w:lang w:val="en-US" w:eastAsia="zh-CN" w:bidi="ar-SA"/>
    </w:rPr>
  </w:style>
  <w:style w:type="paragraph" w:customStyle="1" w:styleId="377">
    <w:name w:val="条文 3"/>
    <w:next w:val="1"/>
    <w:qFormat/>
    <w:uiPriority w:val="0"/>
    <w:pPr>
      <w:spacing w:line="310" w:lineRule="exact"/>
      <w:ind w:left="1680" w:hanging="420"/>
      <w:jc w:val="both"/>
    </w:pPr>
    <w:rPr>
      <w:rFonts w:ascii="Times New Roman" w:hAnsi="Times New Roman" w:eastAsia="黑体" w:cs="Times New Roman"/>
      <w:sz w:val="21"/>
      <w:lang w:val="en-US" w:eastAsia="zh-CN" w:bidi="ar-SA"/>
    </w:rPr>
  </w:style>
  <w:style w:type="paragraph" w:customStyle="1" w:styleId="378">
    <w:name w:val="Char Char Char Char Char1 Char"/>
    <w:basedOn w:val="1"/>
    <w:qFormat/>
    <w:uiPriority w:val="0"/>
    <w:pPr>
      <w:adjustRightInd w:val="0"/>
    </w:pPr>
    <w:rPr>
      <w:rFonts w:eastAsia="黑体"/>
      <w:spacing w:val="20"/>
      <w:sz w:val="32"/>
      <w:szCs w:val="32"/>
    </w:rPr>
  </w:style>
  <w:style w:type="paragraph" w:customStyle="1" w:styleId="379">
    <w:name w:val="批注主题 Char Char"/>
    <w:basedOn w:val="17"/>
    <w:next w:val="17"/>
    <w:qFormat/>
    <w:uiPriority w:val="0"/>
    <w:rPr>
      <w:b/>
      <w:szCs w:val="20"/>
    </w:rPr>
  </w:style>
  <w:style w:type="paragraph" w:customStyle="1" w:styleId="380">
    <w:name w:val="正文段"/>
    <w:basedOn w:val="1"/>
    <w:qFormat/>
    <w:uiPriority w:val="0"/>
    <w:pPr>
      <w:snapToGrid w:val="0"/>
      <w:spacing w:afterLines="50"/>
    </w:pPr>
    <w:rPr>
      <w:kern w:val="0"/>
      <w:sz w:val="24"/>
      <w:szCs w:val="20"/>
    </w:rPr>
  </w:style>
  <w:style w:type="paragraph" w:customStyle="1" w:styleId="381">
    <w:name w:val="xl2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cs="宋体"/>
      <w:kern w:val="0"/>
      <w:sz w:val="18"/>
      <w:szCs w:val="18"/>
    </w:rPr>
  </w:style>
  <w:style w:type="paragraph" w:customStyle="1" w:styleId="382">
    <w:name w:val="条文 表"/>
    <w:next w:val="1"/>
    <w:qFormat/>
    <w:uiPriority w:val="0"/>
    <w:pPr>
      <w:spacing w:line="360" w:lineRule="auto"/>
      <w:ind w:left="3360" w:hanging="420"/>
      <w:jc w:val="center"/>
    </w:pPr>
    <w:rPr>
      <w:rFonts w:ascii="Times New Roman" w:hAnsi="Times New Roman" w:eastAsia="黑体" w:cs="Times New Roman"/>
      <w:sz w:val="21"/>
      <w:lang w:val="en-US" w:eastAsia="zh-CN" w:bidi="ar-SA"/>
    </w:rPr>
  </w:style>
  <w:style w:type="paragraph" w:customStyle="1" w:styleId="383">
    <w:name w:val="xl69"/>
    <w:basedOn w:val="1"/>
    <w:qFormat/>
    <w:uiPriority w:val="0"/>
    <w:pPr>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宋体" w:hAnsi="宋体" w:cs="宋体"/>
      <w:kern w:val="0"/>
      <w:sz w:val="18"/>
      <w:szCs w:val="18"/>
    </w:rPr>
  </w:style>
  <w:style w:type="paragraph" w:customStyle="1" w:styleId="384">
    <w:name w:val="目录 71"/>
    <w:basedOn w:val="1"/>
    <w:next w:val="1"/>
    <w:qFormat/>
    <w:uiPriority w:val="39"/>
    <w:pPr>
      <w:ind w:left="2520" w:leftChars="1200"/>
    </w:pPr>
    <w:rPr>
      <w:rFonts w:ascii="Calibri" w:hAnsi="Calibri"/>
      <w:szCs w:val="22"/>
    </w:rPr>
  </w:style>
  <w:style w:type="paragraph" w:customStyle="1" w:styleId="385">
    <w:name w:val="TOC Heading"/>
    <w:basedOn w:val="2"/>
    <w:next w:val="1"/>
    <w:qFormat/>
    <w:uiPriority w:val="39"/>
    <w:pPr>
      <w:spacing w:before="240" w:after="0" w:line="259" w:lineRule="auto"/>
      <w:ind w:firstLine="0" w:firstLineChars="0"/>
      <w:jc w:val="left"/>
      <w:outlineLvl w:val="9"/>
    </w:pPr>
    <w:rPr>
      <w:rFonts w:ascii="Calibri Light" w:hAnsi="Calibri Light"/>
      <w:b w:val="0"/>
      <w:bCs w:val="0"/>
      <w:color w:val="2E74B5"/>
      <w:kern w:val="0"/>
      <w:sz w:val="32"/>
      <w:szCs w:val="32"/>
    </w:rPr>
  </w:style>
  <w:style w:type="paragraph" w:customStyle="1" w:styleId="386">
    <w:name w:val="青岛标题3"/>
    <w:basedOn w:val="4"/>
    <w:qFormat/>
    <w:uiPriority w:val="0"/>
    <w:pPr>
      <w:spacing w:line="500" w:lineRule="exact"/>
      <w:jc w:val="left"/>
      <w:outlineLvl w:val="1"/>
    </w:pPr>
  </w:style>
  <w:style w:type="paragraph" w:customStyle="1" w:styleId="387">
    <w:name w:val="xl63"/>
    <w:basedOn w:val="1"/>
    <w:qFormat/>
    <w:uiPriority w:val="0"/>
    <w:pPr>
      <w:pBdr>
        <w:left w:val="single" w:color="auto" w:sz="4" w:space="0"/>
        <w:bottom w:val="single" w:color="auto" w:sz="4" w:space="0"/>
        <w:right w:val="single" w:color="auto" w:sz="4" w:space="0"/>
      </w:pBdr>
      <w:spacing w:before="100" w:beforeAutospacing="1" w:after="100" w:afterAutospacing="1"/>
      <w:jc w:val="center"/>
    </w:pPr>
    <w:rPr>
      <w:rFonts w:ascii="宋体" w:hAnsi="宋体"/>
      <w:color w:val="000000"/>
      <w:kern w:val="0"/>
      <w:sz w:val="20"/>
      <w:szCs w:val="20"/>
    </w:rPr>
  </w:style>
  <w:style w:type="paragraph" w:customStyle="1" w:styleId="388">
    <w:name w:val="样式5"/>
    <w:basedOn w:val="1"/>
    <w:qFormat/>
    <w:uiPriority w:val="0"/>
    <w:pPr>
      <w:tabs>
        <w:tab w:val="left" w:pos="547"/>
        <w:tab w:val="left" w:pos="1080"/>
      </w:tabs>
      <w:spacing w:line="480" w:lineRule="atLeast"/>
      <w:jc w:val="center"/>
    </w:pPr>
    <w:rPr>
      <w:b/>
      <w:sz w:val="24"/>
    </w:rPr>
  </w:style>
  <w:style w:type="paragraph" w:customStyle="1" w:styleId="389">
    <w:name w:val="字元 字元 Char Char Char Char Char Char Char"/>
    <w:basedOn w:val="1"/>
    <w:qFormat/>
    <w:uiPriority w:val="0"/>
    <w:rPr>
      <w:rFonts w:ascii="Tahoma" w:hAnsi="Tahoma" w:cs="仿宋_GB2312"/>
      <w:sz w:val="24"/>
      <w:szCs w:val="20"/>
    </w:rPr>
  </w:style>
  <w:style w:type="paragraph" w:customStyle="1" w:styleId="390">
    <w:name w:val="样式 表格 + 加粗"/>
    <w:basedOn w:val="102"/>
    <w:qFormat/>
    <w:uiPriority w:val="0"/>
    <w:rPr>
      <w:b/>
      <w:bCs/>
    </w:rPr>
  </w:style>
  <w:style w:type="paragraph" w:customStyle="1" w:styleId="391">
    <w:name w:val="xl55"/>
    <w:basedOn w:val="1"/>
    <w:qFormat/>
    <w:uiPriority w:val="0"/>
    <w:pPr>
      <w:pBdr>
        <w:top w:val="single" w:color="auto" w:sz="8" w:space="0"/>
        <w:left w:val="single" w:color="auto" w:sz="4" w:space="31"/>
        <w:bottom w:val="single" w:color="auto" w:sz="4" w:space="0"/>
        <w:right w:val="single" w:color="auto" w:sz="4" w:space="0"/>
      </w:pBdr>
      <w:spacing w:before="100" w:beforeAutospacing="1" w:after="100" w:afterAutospacing="1"/>
      <w:jc w:val="left"/>
      <w:textAlignment w:val="center"/>
    </w:pPr>
    <w:rPr>
      <w:rFonts w:hint="eastAsia" w:ascii="楷体_GB2312" w:hAnsi="宋体" w:eastAsia="楷体_GB2312"/>
      <w:kern w:val="0"/>
      <w:sz w:val="24"/>
    </w:rPr>
  </w:style>
  <w:style w:type="table" w:customStyle="1" w:styleId="392">
    <w:name w:val="Table Normal_0"/>
    <w:unhideWhenUsed/>
    <w:qFormat/>
    <w:uiPriority w:val="2"/>
    <w:pPr>
      <w:widowControl w:val="0"/>
      <w:spacing w:line="360" w:lineRule="auto"/>
      <w:ind w:firstLine="420"/>
      <w:jc w:val="both"/>
    </w:pPr>
    <w:rPr>
      <w:rFonts w:ascii="Calibri" w:hAnsi="Calibri"/>
      <w:sz w:val="22"/>
      <w:szCs w:val="22"/>
      <w:lang w:eastAsia="en-US"/>
    </w:rPr>
    <w:tblPr>
      <w:tblCellMar>
        <w:top w:w="0" w:type="dxa"/>
        <w:left w:w="0" w:type="dxa"/>
        <w:bottom w:w="0" w:type="dxa"/>
        <w:right w:w="0" w:type="dxa"/>
      </w:tblCellMar>
    </w:tblPr>
  </w:style>
  <w:style w:type="paragraph" w:customStyle="1" w:styleId="393">
    <w:name w:val="WPSOffice手动目录 1"/>
    <w:qFormat/>
    <w:uiPriority w:val="0"/>
    <w:rPr>
      <w:rFonts w:ascii="Times New Roman" w:hAnsi="Times New Roman" w:eastAsia="宋体" w:cs="Times New Roman"/>
      <w:lang w:val="en-US" w:eastAsia="zh-CN" w:bidi="ar-SA"/>
    </w:rPr>
  </w:style>
  <w:style w:type="paragraph" w:customStyle="1" w:styleId="394">
    <w:name w:val="WPSOffice手动目录 2"/>
    <w:qFormat/>
    <w:uiPriority w:val="0"/>
    <w:pPr>
      <w:ind w:leftChars="200"/>
    </w:pPr>
    <w:rPr>
      <w:rFonts w:ascii="Times New Roman" w:hAnsi="Times New Roman" w:eastAsia="宋体" w:cs="Times New Roman"/>
      <w:lang w:val="en-US" w:eastAsia="zh-CN" w:bidi="ar-SA"/>
    </w:rPr>
  </w:style>
  <w:style w:type="paragraph" w:customStyle="1" w:styleId="395">
    <w:name w:val="Heading 2_0"/>
    <w:basedOn w:val="1"/>
    <w:qFormat/>
    <w:uiPriority w:val="1"/>
    <w:pPr>
      <w:autoSpaceDE w:val="0"/>
      <w:autoSpaceDN w:val="0"/>
      <w:adjustRightInd w:val="0"/>
      <w:ind w:left="144"/>
      <w:jc w:val="left"/>
      <w:outlineLvl w:val="1"/>
    </w:pPr>
    <w:rPr>
      <w:rFonts w:ascii="仿宋" w:eastAsia="仿宋" w:cs="仿宋"/>
      <w:kern w:val="0"/>
      <w:sz w:val="32"/>
      <w:szCs w:val="32"/>
    </w:rPr>
  </w:style>
  <w:style w:type="paragraph" w:customStyle="1" w:styleId="396">
    <w:name w:val="Heading 4_0"/>
    <w:basedOn w:val="1"/>
    <w:qFormat/>
    <w:uiPriority w:val="1"/>
    <w:pPr>
      <w:autoSpaceDE w:val="0"/>
      <w:autoSpaceDN w:val="0"/>
      <w:adjustRightInd w:val="0"/>
      <w:spacing w:before="8"/>
      <w:ind w:left="144"/>
      <w:jc w:val="left"/>
      <w:outlineLvl w:val="3"/>
    </w:pPr>
    <w:rPr>
      <w:rFonts w:ascii="仿宋" w:eastAsia="仿宋" w:cs="仿宋"/>
      <w:kern w:val="0"/>
      <w:sz w:val="24"/>
    </w:rPr>
  </w:style>
  <w:style w:type="character" w:customStyle="1" w:styleId="397">
    <w:name w:val="font41"/>
    <w:qFormat/>
    <w:uiPriority w:val="0"/>
    <w:rPr>
      <w:rFonts w:hint="eastAsia" w:ascii="微软雅黑" w:hAnsi="微软雅黑" w:eastAsia="微软雅黑" w:cs="微软雅黑"/>
      <w:b/>
      <w:bCs/>
      <w:color w:val="000000"/>
      <w:sz w:val="20"/>
      <w:szCs w:val="20"/>
      <w:u w:val="none"/>
    </w:rPr>
  </w:style>
  <w:style w:type="character" w:customStyle="1" w:styleId="398">
    <w:name w:val="font21"/>
    <w:autoRedefine/>
    <w:qFormat/>
    <w:uiPriority w:val="0"/>
    <w:rPr>
      <w:rFonts w:hint="eastAsia" w:ascii="微软雅黑" w:hAnsi="微软雅黑" w:eastAsia="微软雅黑" w:cs="微软雅黑"/>
      <w:b/>
      <w:bCs/>
      <w:color w:val="FF0000"/>
      <w:sz w:val="20"/>
      <w:szCs w:val="20"/>
      <w:u w:val="none"/>
    </w:rPr>
  </w:style>
  <w:style w:type="character" w:customStyle="1" w:styleId="399">
    <w:name w:val="font61"/>
    <w:basedOn w:val="53"/>
    <w:autoRedefine/>
    <w:qFormat/>
    <w:uiPriority w:val="0"/>
    <w:rPr>
      <w:rFonts w:hint="eastAsia" w:ascii="微软雅黑" w:hAnsi="微软雅黑" w:eastAsia="微软雅黑" w:cs="微软雅黑"/>
      <w:color w:val="000000"/>
      <w:sz w:val="20"/>
      <w:szCs w:val="20"/>
      <w:u w:val="none"/>
    </w:rPr>
  </w:style>
  <w:style w:type="character" w:customStyle="1" w:styleId="400">
    <w:name w:val="font112"/>
    <w:basedOn w:val="53"/>
    <w:autoRedefine/>
    <w:qFormat/>
    <w:uiPriority w:val="0"/>
    <w:rPr>
      <w:rFonts w:hint="eastAsia" w:ascii="微软雅黑" w:hAnsi="微软雅黑" w:eastAsia="微软雅黑" w:cs="微软雅黑"/>
      <w:color w:val="FF0000"/>
      <w:sz w:val="20"/>
      <w:szCs w:val="20"/>
      <w:u w:val="none"/>
    </w:rPr>
  </w:style>
  <w:style w:type="character" w:customStyle="1" w:styleId="401">
    <w:name w:val="font71"/>
    <w:basedOn w:val="53"/>
    <w:autoRedefine/>
    <w:qFormat/>
    <w:uiPriority w:val="0"/>
    <w:rPr>
      <w:rFonts w:hint="eastAsia" w:ascii="微软雅黑" w:hAnsi="微软雅黑" w:eastAsia="微软雅黑" w:cs="微软雅黑"/>
      <w:color w:val="000000"/>
      <w:sz w:val="20"/>
      <w:szCs w:val="20"/>
      <w:u w:val="none"/>
    </w:rPr>
  </w:style>
  <w:style w:type="character" w:customStyle="1" w:styleId="402">
    <w:name w:val="NormalCharacter"/>
    <w:autoRedefine/>
    <w:semiHidden/>
    <w:qFormat/>
    <w:uiPriority w:val="0"/>
  </w:style>
  <w:style w:type="paragraph" w:customStyle="1" w:styleId="403">
    <w:name w:val="179"/>
    <w:basedOn w:val="1"/>
    <w:autoRedefine/>
    <w:qFormat/>
    <w:uiPriority w:val="0"/>
    <w:pPr>
      <w:ind w:firstLine="420"/>
      <w:textAlignment w:val="baseline"/>
    </w:pPr>
    <w:rPr>
      <w:rFonts w:ascii="Calibri" w:hAnsi="Calibri"/>
      <w:szCs w:val="22"/>
    </w:rPr>
  </w:style>
  <w:style w:type="paragraph" w:customStyle="1" w:styleId="404">
    <w:name w:val="彩色列表1"/>
    <w:basedOn w:val="1"/>
    <w:autoRedefine/>
    <w:qFormat/>
    <w:uiPriority w:val="34"/>
    <w:pPr>
      <w:ind w:firstLine="420"/>
    </w:pPr>
    <w:rPr>
      <w:rFonts w:ascii="Calibri" w:hAnsi="Calibri"/>
      <w:szCs w:val="22"/>
    </w:rPr>
  </w:style>
  <w:style w:type="paragraph" w:customStyle="1" w:styleId="405">
    <w:name w:val="_Style 415"/>
    <w:basedOn w:val="1"/>
    <w:next w:val="344"/>
    <w:autoRedefine/>
    <w:qFormat/>
    <w:uiPriority w:val="99"/>
    <w:pPr>
      <w:ind w:firstLine="420"/>
    </w:pPr>
    <w:rPr>
      <w:rFonts w:ascii="Calibri" w:hAnsi="Calibri"/>
    </w:rPr>
  </w:style>
  <w:style w:type="paragraph" w:customStyle="1" w:styleId="406">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87</Pages>
  <Words>1048</Words>
  <Characters>1084</Characters>
  <Lines>205</Lines>
  <Paragraphs>57</Paragraphs>
  <TotalTime>1</TotalTime>
  <ScaleCrop>false</ScaleCrop>
  <LinksUpToDate>false</LinksUpToDate>
  <CharactersWithSpaces>1183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2023-09-27T15:04:00Z</dcterms:created>
  <dc:creator>1</dc:creator>
  <cp:lastModifiedBy>謙Rex</cp:lastModifiedBy>
  <cp:lastPrinted>2023-08-11T11:29:00Z</cp:lastPrinted>
  <dcterms:modified xsi:type="dcterms:W3CDTF">2026-07-28T01:49:32Z</dcterms:modified>
  <dc:title>中华人民共和国</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F8C9774FA32834E15C2A676AA104C895_43</vt:lpwstr>
  </property>
  <property fmtid="{D5CDD505-2E9C-101B-9397-08002B2CF9AE}" pid="3" name="KSOProductBuildVer">
    <vt:lpwstr>2052-12.1.0.26895</vt:lpwstr>
  </property>
  <property fmtid="{D5CDD505-2E9C-101B-9397-08002B2CF9AE}" pid="4" name="KSOTemplateDocerSaveRecord">
    <vt:lpwstr>eyJoZGlkIjoiZjc5MTg4ZDRlYTFiMThjYjFkOWViNzRlMDg1ZDhiNmQiLCJ1c2VySWQiOiIxMDAyMDIxNTM5In0=</vt:lpwstr>
  </property>
</Properties>
</file>