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D2F37">
      <w:pPr>
        <w:pStyle w:val="2"/>
        <w:rPr>
          <w:rFonts w:hint="default" w:eastAsiaTheme="minorEastAsia"/>
          <w:lang w:val="en-US" w:eastAsia="zh-CN"/>
        </w:rPr>
      </w:pPr>
      <w:r>
        <w:rPr>
          <w:rFonts w:hint="eastAsia"/>
        </w:rPr>
        <w:t>全自动琼脂糖电泳仪采购项目</w:t>
      </w:r>
      <w:r>
        <w:rPr>
          <w:rFonts w:hint="eastAsia"/>
          <w:lang w:eastAsia="zh-CN"/>
        </w:rPr>
        <w:t>（</w:t>
      </w:r>
      <w:r>
        <w:rPr>
          <w:rFonts w:hint="eastAsia"/>
          <w:lang w:val="en-US" w:eastAsia="zh-CN"/>
        </w:rPr>
        <w:t>第二次招标</w:t>
      </w:r>
      <w:r>
        <w:rPr>
          <w:rFonts w:hint="eastAsia"/>
          <w:lang w:eastAsia="zh-CN"/>
        </w:rPr>
        <w:t>）</w:t>
      </w:r>
      <w:r>
        <w:rPr>
          <w:rFonts w:hint="eastAsia"/>
          <w:lang w:val="en-US" w:eastAsia="zh-CN"/>
        </w:rPr>
        <w:t>招标公告</w:t>
      </w:r>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全自动琼脂糖电泳仪采购项目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08</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SZZZ2025-QA0001</w:t>
      </w:r>
    </w:p>
    <w:p w14:paraId="649AF3F2">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全自动琼脂糖电泳仪采购项目</w:t>
      </w:r>
    </w:p>
    <w:p w14:paraId="6A52D401">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4、预算金额：人民币34.5</w:t>
      </w:r>
      <w:r>
        <w:rPr>
          <w:rFonts w:hint="eastAsia" w:ascii="宋体" w:hAnsi="宋体" w:eastAsia="宋体"/>
          <w:snapToGrid w:val="0"/>
          <w:color w:val="auto"/>
          <w:sz w:val="21"/>
          <w:szCs w:val="21"/>
          <w:lang w:val="en-US" w:eastAsia="zh-CN"/>
        </w:rPr>
        <w:t>万元</w:t>
      </w:r>
    </w:p>
    <w:p w14:paraId="3D212948">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5、最高限价：人民币34.5</w:t>
      </w:r>
      <w:r>
        <w:rPr>
          <w:rFonts w:hint="eastAsia" w:ascii="宋体" w:hAnsi="宋体" w:eastAsia="宋体"/>
          <w:snapToGrid w:val="0"/>
          <w:color w:val="auto"/>
          <w:sz w:val="21"/>
          <w:szCs w:val="21"/>
          <w:lang w:val="en-US" w:eastAsia="zh-CN"/>
        </w:rPr>
        <w:t>万元</w:t>
      </w:r>
    </w:p>
    <w:p w14:paraId="3A6DF4A7">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
              <w:spacing w:line="360" w:lineRule="auto"/>
              <w:jc w:val="center"/>
              <w:rPr>
                <w:sz w:val="21"/>
              </w:rPr>
            </w:pPr>
            <w:r>
              <w:rPr>
                <w:sz w:val="21"/>
              </w:rPr>
              <w:t>标的名称</w:t>
            </w:r>
          </w:p>
        </w:tc>
        <w:tc>
          <w:tcPr>
            <w:tcW w:w="850" w:type="dxa"/>
            <w:shd w:val="clear" w:color="auto" w:fill="ABCDEF"/>
            <w:vAlign w:val="center"/>
          </w:tcPr>
          <w:p w14:paraId="10910DA6">
            <w:pPr>
              <w:pStyle w:val="4"/>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
              <w:spacing w:before="0" w:beforeAutospacing="0" w:after="0" w:afterAutospacing="0" w:line="360" w:lineRule="auto"/>
              <w:jc w:val="center"/>
              <w:rPr>
                <w:rFonts w:hint="eastAsia" w:asciiTheme="minorEastAsia" w:hAnsiTheme="minorEastAsia" w:eastAsiaTheme="minorEastAsia"/>
                <w:sz w:val="21"/>
                <w:szCs w:val="21"/>
                <w:lang w:eastAsia="zh-CN"/>
              </w:rPr>
            </w:pPr>
            <w:r>
              <w:rPr>
                <w:rFonts w:hint="eastAsia" w:ascii="宋体" w:hAnsi="宋体" w:cs="宋体" w:eastAsiaTheme="minorEastAsia"/>
                <w:sz w:val="21"/>
                <w:szCs w:val="21"/>
                <w:lang w:val="en-US" w:eastAsia="zh-CN"/>
              </w:rPr>
              <w:t>台</w:t>
            </w:r>
          </w:p>
        </w:tc>
        <w:tc>
          <w:tcPr>
            <w:tcW w:w="2977" w:type="dxa"/>
            <w:shd w:val="clear" w:color="auto" w:fill="auto"/>
            <w:vAlign w:val="center"/>
          </w:tcPr>
          <w:p w14:paraId="73E04DCD">
            <w:pPr>
              <w:pStyle w:val="4"/>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7"/>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7"/>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7"/>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16A55F9">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）本项目接受进口产品投标</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但不排斥国产产品</w:t>
      </w:r>
      <w:r>
        <w:rPr>
          <w:rFonts w:hint="eastAsia" w:asciiTheme="minorEastAsia" w:hAnsiTheme="minorEastAsia" w:eastAsiaTheme="minorEastAsia"/>
          <w:snapToGrid w:val="0"/>
          <w:color w:val="auto"/>
          <w:sz w:val="21"/>
        </w:rPr>
        <w:t>（进口产品是指通过中国海关报关验放进入中国境内且产自关境外的产品，相关内容以“财库【2007】119号文”和“财办库【2008】248号文”的相关规定为准）。</w:t>
      </w:r>
    </w:p>
    <w:p w14:paraId="23F6D7B6">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08</w:t>
      </w:r>
      <w:bookmarkStart w:id="1" w:name="_GoBack"/>
      <w:bookmarkEnd w:id="1"/>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334B5CD9">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7"/>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3F7396DA">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67B4D72">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名称：深圳市儿童医院</w:t>
      </w:r>
      <w:r>
        <w:rPr>
          <w:rFonts w:ascii="宋体" w:hAnsi="宋体" w:eastAsia="宋体"/>
          <w:snapToGrid w:val="0"/>
          <w:color w:val="auto"/>
          <w:sz w:val="21"/>
          <w:szCs w:val="21"/>
        </w:rPr>
        <w:t xml:space="preserve"> </w:t>
      </w:r>
    </w:p>
    <w:p w14:paraId="2B3372F0">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地址：深圳市福田区益田路7019号</w:t>
      </w:r>
      <w:r>
        <w:rPr>
          <w:rFonts w:ascii="宋体" w:hAnsi="宋体" w:eastAsia="宋体"/>
          <w:snapToGrid w:val="0"/>
          <w:color w:val="auto"/>
          <w:sz w:val="21"/>
          <w:szCs w:val="21"/>
        </w:rPr>
        <w:t xml:space="preserve"> </w:t>
      </w:r>
    </w:p>
    <w:p w14:paraId="32D3C5FA">
      <w:pPr>
        <w:pStyle w:val="7"/>
        <w:adjustRightInd w:val="0"/>
        <w:snapToGrid w:val="0"/>
        <w:spacing w:before="0" w:beforeAutospacing="0" w:after="0" w:afterAutospacing="0" w:line="360" w:lineRule="auto"/>
        <w:ind w:left="359" w:leftChars="171" w:firstLine="65" w:firstLineChars="31"/>
        <w:rPr>
          <w:rFonts w:hint="default" w:ascii="宋体" w:hAnsi="宋体" w:eastAsia="Arial Unicode MS"/>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甘老师，</w:t>
      </w:r>
      <w:r>
        <w:rPr>
          <w:rFonts w:hint="eastAsia" w:ascii="宋体" w:hAnsi="宋体" w:eastAsia="宋体"/>
          <w:snapToGrid w:val="0"/>
          <w:color w:val="auto"/>
          <w:sz w:val="21"/>
          <w:szCs w:val="21"/>
        </w:rPr>
        <w:t>0755-</w:t>
      </w:r>
      <w:r>
        <w:rPr>
          <w:rFonts w:hint="eastAsia" w:ascii="宋体" w:hAnsi="宋体" w:eastAsia="宋体"/>
          <w:snapToGrid w:val="0"/>
          <w:color w:val="auto"/>
          <w:sz w:val="21"/>
          <w:szCs w:val="21"/>
          <w:lang w:val="en-US" w:eastAsia="zh-CN"/>
        </w:rPr>
        <w:t>83009835</w:t>
      </w:r>
    </w:p>
    <w:p w14:paraId="617CE535">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288C54C8">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5DD322EB">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0E5F9492">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49FBA920">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41AE07BE">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234BF8E7">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7999D7A9">
      <w:pPr>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03</w:t>
      </w:r>
      <w:r>
        <w:rPr>
          <w:rFonts w:ascii="宋体" w:hAnsi="宋体"/>
          <w:snapToGrid w:val="0"/>
          <w:kern w:val="0"/>
          <w:sz w:val="24"/>
        </w:rPr>
        <w:t>月</w:t>
      </w:r>
      <w:r>
        <w:rPr>
          <w:rFonts w:hint="eastAsia" w:ascii="宋体" w:hAnsi="宋体"/>
          <w:snapToGrid w:val="0"/>
          <w:kern w:val="0"/>
          <w:sz w:val="24"/>
          <w:lang w:val="en-US" w:eastAsia="zh-CN"/>
        </w:rPr>
        <w:t>27</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821A4"/>
    <w:rsid w:val="33E701A3"/>
    <w:rsid w:val="37822829"/>
    <w:rsid w:val="41036148"/>
    <w:rsid w:val="6136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460" w:after="450" w:line="360" w:lineRule="auto"/>
      <w:jc w:val="center"/>
      <w:outlineLvl w:val="0"/>
    </w:pPr>
    <w:rPr>
      <w:rFonts w:eastAsiaTheme="minorEastAsia"/>
      <w:bCs w:val="0"/>
      <w:kern w:val="44"/>
      <w:sz w:val="44"/>
      <w:szCs w:val="28"/>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2257</Words>
  <Characters>2560</Characters>
  <Lines>0</Lines>
  <Paragraphs>0</Paragraphs>
  <TotalTime>3</TotalTime>
  <ScaleCrop>false</ScaleCrop>
  <LinksUpToDate>false</LinksUpToDate>
  <CharactersWithSpaces>2566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2025-03-21T09:21:00Z</dcterms:created>
  <dc:creator>Lenovo</dc:creator>
  <cp:lastModifiedBy>中正-杨先生</cp:lastModifiedBy>
  <dcterms:modified xsi:type="dcterms:W3CDTF">2025-03-27T10:17:22Z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eyJoZGlkIjoiYmQ1ZTAxM2IyZDFmZDQ0YzVkMjFmYjUzMzk2ZWZiNWUiLCJ1c2VySWQiOiIxMjAzMDAzMzMwIn0=</vt:lpwstr>
  </property>
  <property fmtid="{D5CDD505-2E9C-101B-9397-08002B2CF9AE}" pid="4" name="ICV">
    <vt:lpwstr>741218BAD18F420AB16CFB233BDE2F4D_12</vt:lpwstr>
  </property>
</Properties>
</file>