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654" w:firstLineChars="1300"/>
        <w:rPr>
          <w:rFonts w:ascii="宋体" w:hAnsi="宋体"/>
          <w:color w:val="FF0000"/>
          <w:szCs w:val="21"/>
        </w:rPr>
      </w:pPr>
      <w:bookmarkStart w:id="0" w:name="_Hlk71456902"/>
      <w:r>
        <w:rPr>
          <w:rFonts w:hint="eastAsia" w:ascii="宋体" w:hAnsi="宋体" w:eastAsia="黑体"/>
          <w:b/>
          <w:bCs/>
          <w:color w:val="FF0000"/>
          <w:kern w:val="44"/>
          <w:sz w:val="28"/>
          <w:szCs w:val="44"/>
        </w:rPr>
        <w:t>特别警示条款</w:t>
      </w:r>
    </w:p>
    <w:p>
      <w:pPr>
        <w:pBdr>
          <w:top w:val="none" w:color="auto" w:sz="0" w:space="0"/>
          <w:left w:val="none" w:color="auto" w:sz="0" w:space="0"/>
          <w:bottom w:val="none" w:color="auto" w:sz="0" w:space="0"/>
          <w:right w:val="none" w:color="auto" w:sz="0" w:space="0"/>
        </w:pBdr>
        <w:spacing w:after="240" w:afterLines="100" w:line="400" w:lineRule="exact"/>
        <w:ind w:firstLine="422" w:firstLineChars="200"/>
        <w:rPr>
          <w:rFonts w:ascii="宋体" w:hAnsi="宋体" w:cs="宋体"/>
          <w:b/>
          <w:bCs/>
          <w:color w:val="FF0000"/>
          <w:szCs w:val="21"/>
          <w:highlight w:val="yellow"/>
        </w:rPr>
      </w:pPr>
      <w:r>
        <w:rPr>
          <w:rFonts w:hint="eastAsia" w:ascii="宋体" w:hAnsi="宋体" w:cs="宋体"/>
          <w:b/>
          <w:bCs/>
          <w:color w:val="FF0000"/>
          <w:szCs w:val="21"/>
          <w:highlight w:val="yellow"/>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color w:val="FF0000"/>
                <w:szCs w:val="21"/>
              </w:rPr>
              <w:t>序号</w:t>
            </w:r>
          </w:p>
        </w:tc>
        <w:tc>
          <w:tcPr>
            <w:tcW w:w="7711" w:type="dxa"/>
            <w:tcBorders>
              <w:tl2br w:val="nil"/>
              <w:tr2bl w:val="nil"/>
            </w:tcBorders>
            <w:vAlign w:val="center"/>
          </w:tcPr>
          <w:p>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b/>
                <w:bCs/>
                <w:color w:val="FF0000"/>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color w:val="FF0000"/>
                <w:szCs w:val="21"/>
              </w:rPr>
              <w:t>1</w:t>
            </w:r>
          </w:p>
        </w:tc>
        <w:tc>
          <w:tcPr>
            <w:tcW w:w="7711" w:type="dxa"/>
            <w:tcBorders>
              <w:tl2br w:val="nil"/>
              <w:tr2bl w:val="nil"/>
            </w:tcBorders>
            <w:vAlign w:val="center"/>
          </w:tcPr>
          <w:p>
            <w:pPr>
              <w:pBdr>
                <w:top w:val="none" w:color="auto" w:sz="0" w:space="0"/>
                <w:left w:val="none" w:color="auto" w:sz="0" w:space="0"/>
                <w:bottom w:val="none" w:color="auto" w:sz="0" w:space="0"/>
                <w:right w:val="none" w:color="auto" w:sz="0" w:space="0"/>
              </w:pBdr>
              <w:spacing w:line="400" w:lineRule="exact"/>
              <w:jc w:val="left"/>
              <w:rPr>
                <w:rFonts w:ascii="宋体" w:hAnsi="宋体" w:cs="宋体"/>
                <w:color w:val="FF0000"/>
                <w:szCs w:val="21"/>
              </w:rPr>
            </w:pPr>
            <w:r>
              <w:rPr>
                <w:rFonts w:hint="eastAsia" w:ascii="宋体" w:hAnsi="宋体" w:cs="宋体"/>
                <w:color w:val="FF0000"/>
                <w:szCs w:val="21"/>
              </w:rPr>
              <w:t>与其他投标供应商的法定代表人、主要经营负责人、投标授权代表人、项目负责人、主要技术人员为</w:t>
            </w:r>
            <w:r>
              <w:rPr>
                <w:rFonts w:hint="eastAsia" w:ascii="宋体" w:hAnsi="宋体" w:cs="宋体"/>
                <w:b/>
                <w:bCs/>
                <w:color w:val="FF0000"/>
                <w:szCs w:val="21"/>
              </w:rPr>
              <w:t>同一人、属同一单位或者在同一单位缴纳社会保险</w:t>
            </w:r>
            <w:r>
              <w:rPr>
                <w:rFonts w:hint="eastAsia" w:ascii="宋体" w:hAnsi="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color w:val="FF0000"/>
                <w:szCs w:val="21"/>
              </w:rPr>
              <w:t>2</w:t>
            </w:r>
          </w:p>
        </w:tc>
        <w:tc>
          <w:tcPr>
            <w:tcW w:w="7711" w:type="dxa"/>
            <w:tcBorders>
              <w:tl2br w:val="nil"/>
              <w:tr2bl w:val="nil"/>
            </w:tcBorders>
            <w:vAlign w:val="center"/>
          </w:tcPr>
          <w:p>
            <w:pPr>
              <w:pBdr>
                <w:top w:val="none" w:color="auto" w:sz="0" w:space="0"/>
                <w:left w:val="none" w:color="auto" w:sz="0" w:space="0"/>
                <w:bottom w:val="none" w:color="auto" w:sz="0" w:space="0"/>
                <w:right w:val="none" w:color="auto" w:sz="0" w:space="0"/>
              </w:pBdr>
              <w:spacing w:line="400" w:lineRule="exact"/>
              <w:jc w:val="left"/>
              <w:rPr>
                <w:rFonts w:ascii="宋体" w:hAnsi="宋体" w:cs="宋体"/>
                <w:color w:val="FF0000"/>
                <w:szCs w:val="21"/>
              </w:rPr>
            </w:pPr>
            <w:r>
              <w:rPr>
                <w:rFonts w:hint="eastAsia" w:ascii="宋体" w:hAnsi="宋体" w:cs="宋体"/>
                <w:color w:val="FF0000"/>
                <w:szCs w:val="21"/>
              </w:rPr>
              <w:t>参与本项目政府采购活动时，与其他投标供应商存在单位负责人为</w:t>
            </w:r>
            <w:r>
              <w:rPr>
                <w:rFonts w:hint="eastAsia" w:ascii="宋体" w:hAnsi="宋体" w:cs="宋体"/>
                <w:b/>
                <w:bCs/>
                <w:color w:val="FF0000"/>
                <w:szCs w:val="21"/>
              </w:rPr>
              <w:t>同一人或直接控股、管理关系</w:t>
            </w:r>
            <w:r>
              <w:rPr>
                <w:rFonts w:hint="eastAsia" w:ascii="宋体" w:hAnsi="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color w:val="FF0000"/>
                <w:szCs w:val="21"/>
              </w:rPr>
              <w:t>3</w:t>
            </w:r>
          </w:p>
        </w:tc>
        <w:tc>
          <w:tcPr>
            <w:tcW w:w="7711" w:type="dxa"/>
            <w:tcBorders>
              <w:tl2br w:val="nil"/>
              <w:tr2bl w:val="nil"/>
            </w:tcBorders>
            <w:vAlign w:val="center"/>
          </w:tcPr>
          <w:p>
            <w:pPr>
              <w:pBdr>
                <w:top w:val="none" w:color="auto" w:sz="0" w:space="0"/>
                <w:left w:val="none" w:color="auto" w:sz="0" w:space="0"/>
                <w:bottom w:val="none" w:color="auto" w:sz="0" w:space="0"/>
                <w:right w:val="none" w:color="auto" w:sz="0" w:space="0"/>
              </w:pBdr>
              <w:spacing w:line="400" w:lineRule="exact"/>
              <w:jc w:val="left"/>
              <w:rPr>
                <w:rFonts w:ascii="宋体" w:hAnsi="宋体" w:cs="宋体"/>
                <w:color w:val="FF0000"/>
                <w:szCs w:val="21"/>
              </w:rPr>
            </w:pPr>
            <w:r>
              <w:rPr>
                <w:rFonts w:hint="eastAsia" w:ascii="宋体" w:hAnsi="宋体" w:cs="宋体"/>
                <w:color w:val="FF0000"/>
                <w:szCs w:val="21"/>
              </w:rPr>
              <w:t>与其他投标供应商的投标文件或部分投标文件</w:t>
            </w:r>
            <w:r>
              <w:rPr>
                <w:rFonts w:hint="eastAsia" w:ascii="宋体" w:hAnsi="宋体" w:cs="宋体"/>
                <w:b/>
                <w:bCs/>
                <w:color w:val="FF0000"/>
                <w:szCs w:val="21"/>
              </w:rPr>
              <w:t>相互混装或存在非正常一致</w:t>
            </w:r>
            <w:r>
              <w:rPr>
                <w:rFonts w:hint="eastAsia" w:ascii="宋体" w:hAnsi="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color w:val="FF0000"/>
                <w:szCs w:val="21"/>
              </w:rPr>
              <w:t>4</w:t>
            </w:r>
          </w:p>
        </w:tc>
        <w:tc>
          <w:tcPr>
            <w:tcW w:w="7711" w:type="dxa"/>
            <w:tcBorders>
              <w:tl2br w:val="nil"/>
              <w:tr2bl w:val="nil"/>
            </w:tcBorders>
            <w:vAlign w:val="center"/>
          </w:tcPr>
          <w:p>
            <w:pPr>
              <w:pBdr>
                <w:top w:val="none" w:color="auto" w:sz="0" w:space="0"/>
                <w:left w:val="none" w:color="auto" w:sz="0" w:space="0"/>
                <w:bottom w:val="none" w:color="auto" w:sz="0" w:space="0"/>
                <w:right w:val="none" w:color="auto" w:sz="0" w:space="0"/>
              </w:pBdr>
              <w:spacing w:line="400" w:lineRule="exact"/>
              <w:jc w:val="left"/>
              <w:rPr>
                <w:rFonts w:ascii="宋体" w:hAnsi="宋体" w:cs="宋体"/>
                <w:color w:val="FF0000"/>
                <w:szCs w:val="21"/>
              </w:rPr>
            </w:pPr>
            <w:r>
              <w:rPr>
                <w:rFonts w:hint="eastAsia" w:ascii="宋体" w:hAnsi="宋体" w:cs="宋体"/>
                <w:color w:val="FF0000"/>
                <w:szCs w:val="21"/>
              </w:rPr>
              <w:t>与其他投标供应商的投标文件由</w:t>
            </w:r>
            <w:r>
              <w:rPr>
                <w:rFonts w:hint="eastAsia" w:ascii="宋体" w:hAnsi="宋体" w:cs="宋体"/>
                <w:b/>
                <w:bCs/>
                <w:color w:val="FF0000"/>
                <w:szCs w:val="21"/>
              </w:rPr>
              <w:t>同一单位或者同一人编制</w:t>
            </w:r>
            <w:r>
              <w:rPr>
                <w:rFonts w:hint="eastAsia" w:ascii="宋体" w:hAnsi="宋体" w:cs="宋体"/>
                <w:color w:val="FF0000"/>
                <w:szCs w:val="21"/>
              </w:rPr>
              <w:t>，或者使用</w:t>
            </w:r>
            <w:r>
              <w:rPr>
                <w:rFonts w:hint="eastAsia" w:ascii="宋体" w:hAnsi="宋体" w:cs="宋体"/>
                <w:b/>
                <w:bCs/>
                <w:color w:val="FF0000"/>
                <w:szCs w:val="21"/>
              </w:rPr>
              <w:t>同一设备编制</w:t>
            </w:r>
            <w:r>
              <w:rPr>
                <w:rFonts w:hint="eastAsia" w:ascii="宋体" w:hAnsi="宋体" w:cs="宋体"/>
                <w:color w:val="FF0000"/>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color w:val="FF0000"/>
                <w:szCs w:val="21"/>
              </w:rPr>
              <w:t>5</w:t>
            </w:r>
          </w:p>
        </w:tc>
        <w:tc>
          <w:tcPr>
            <w:tcW w:w="7711" w:type="dxa"/>
            <w:tcBorders>
              <w:tl2br w:val="nil"/>
              <w:tr2bl w:val="nil"/>
            </w:tcBorders>
            <w:vAlign w:val="center"/>
          </w:tcPr>
          <w:p>
            <w:pPr>
              <w:pBdr>
                <w:top w:val="none" w:color="auto" w:sz="0" w:space="0"/>
                <w:left w:val="none" w:color="auto" w:sz="0" w:space="0"/>
                <w:bottom w:val="none" w:color="auto" w:sz="0" w:space="0"/>
                <w:right w:val="none" w:color="auto" w:sz="0" w:space="0"/>
              </w:pBdr>
              <w:spacing w:line="400" w:lineRule="exact"/>
              <w:jc w:val="left"/>
              <w:rPr>
                <w:rFonts w:ascii="宋体" w:hAnsi="宋体" w:cs="宋体"/>
                <w:color w:val="FF0000"/>
                <w:szCs w:val="21"/>
              </w:rPr>
            </w:pPr>
            <w:r>
              <w:rPr>
                <w:rFonts w:hint="eastAsia" w:ascii="宋体" w:hAnsi="宋体" w:cs="宋体"/>
                <w:color w:val="FF0000"/>
                <w:szCs w:val="21"/>
              </w:rPr>
              <w:t>提供</w:t>
            </w:r>
            <w:r>
              <w:rPr>
                <w:rFonts w:hint="eastAsia" w:ascii="宋体" w:hAnsi="宋体" w:cs="宋体"/>
                <w:b/>
                <w:bCs/>
                <w:color w:val="FF0000"/>
                <w:szCs w:val="21"/>
              </w:rPr>
              <w:t>未经出具机构核实</w:t>
            </w:r>
            <w:r>
              <w:rPr>
                <w:rFonts w:hint="eastAsia" w:ascii="宋体" w:hAnsi="宋体" w:cs="宋体"/>
                <w:color w:val="FF0000"/>
                <w:szCs w:val="21"/>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pPr>
              <w:pBdr>
                <w:top w:val="none" w:color="auto" w:sz="0" w:space="0"/>
                <w:left w:val="none" w:color="auto" w:sz="0" w:space="0"/>
                <w:bottom w:val="none" w:color="auto" w:sz="0" w:space="0"/>
                <w:right w:val="none" w:color="auto" w:sz="0" w:space="0"/>
              </w:pBdr>
              <w:spacing w:line="400" w:lineRule="exact"/>
              <w:jc w:val="center"/>
              <w:rPr>
                <w:rFonts w:ascii="宋体" w:hAnsi="宋体" w:cs="宋体"/>
                <w:color w:val="FF0000"/>
                <w:szCs w:val="21"/>
              </w:rPr>
            </w:pPr>
            <w:r>
              <w:rPr>
                <w:rFonts w:hint="eastAsia" w:ascii="宋体" w:hAnsi="宋体" w:cs="宋体"/>
                <w:color w:val="FF0000"/>
                <w:szCs w:val="21"/>
              </w:rPr>
              <w:t>6</w:t>
            </w:r>
          </w:p>
        </w:tc>
        <w:tc>
          <w:tcPr>
            <w:tcW w:w="7711" w:type="dxa"/>
            <w:tcBorders>
              <w:tl2br w:val="nil"/>
              <w:tr2bl w:val="nil"/>
            </w:tcBorders>
            <w:vAlign w:val="center"/>
          </w:tcPr>
          <w:p>
            <w:pPr>
              <w:pBdr>
                <w:top w:val="none" w:color="auto" w:sz="0" w:space="0"/>
                <w:left w:val="none" w:color="auto" w:sz="0" w:space="0"/>
                <w:bottom w:val="none" w:color="auto" w:sz="0" w:space="0"/>
                <w:right w:val="none" w:color="auto" w:sz="0" w:space="0"/>
              </w:pBdr>
              <w:spacing w:line="400" w:lineRule="exact"/>
              <w:jc w:val="left"/>
              <w:rPr>
                <w:rFonts w:ascii="宋体" w:hAnsi="宋体" w:cs="宋体"/>
                <w:color w:val="FF0000"/>
                <w:szCs w:val="21"/>
              </w:rPr>
            </w:pPr>
            <w:r>
              <w:rPr>
                <w:rFonts w:hint="eastAsia" w:ascii="宋体" w:hAnsi="宋体" w:cs="宋体"/>
                <w:color w:val="FF0000"/>
                <w:szCs w:val="21"/>
              </w:rPr>
              <w:t>擅自将投标密钥或电子营业执照出借他人使用或未妥善保管。</w:t>
            </w:r>
          </w:p>
        </w:tc>
      </w:tr>
    </w:tbl>
    <w:p>
      <w:pPr>
        <w:pBdr>
          <w:top w:val="none" w:color="auto" w:sz="0" w:space="0"/>
          <w:left w:val="none" w:color="auto" w:sz="0" w:space="0"/>
          <w:bottom w:val="none" w:color="auto" w:sz="0" w:space="0"/>
          <w:right w:val="none" w:color="auto" w:sz="0" w:space="0"/>
        </w:pBdr>
        <w:ind w:firstLine="400" w:firstLineChars="200"/>
        <w:rPr>
          <w:rFonts w:ascii="宋体" w:hAnsi="宋体"/>
          <w:color w:val="FF0000"/>
          <w:sz w:val="20"/>
          <w:szCs w:val="20"/>
        </w:rPr>
      </w:pPr>
    </w:p>
    <w:p>
      <w:pPr>
        <w:pBdr>
          <w:top w:val="none" w:color="auto" w:sz="0" w:space="0"/>
          <w:left w:val="none" w:color="auto" w:sz="0" w:space="0"/>
          <w:bottom w:val="none" w:color="auto" w:sz="0" w:space="0"/>
          <w:right w:val="none" w:color="auto" w:sz="0" w:space="0"/>
        </w:pBdr>
        <w:ind w:firstLine="400" w:firstLineChars="200"/>
        <w:rPr>
          <w:rFonts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pBdr>
          <w:top w:val="none" w:color="auto" w:sz="0" w:space="0"/>
          <w:left w:val="none" w:color="auto" w:sz="0" w:space="0"/>
          <w:bottom w:val="none" w:color="auto" w:sz="0" w:space="0"/>
          <w:right w:val="none" w:color="auto" w:sz="0" w:space="0"/>
        </w:pBdr>
        <w:ind w:firstLine="400" w:firstLineChars="200"/>
        <w:rPr>
          <w:rFonts w:ascii="宋体" w:hAnsi="宋体"/>
          <w:color w:val="FF0000"/>
          <w:sz w:val="20"/>
          <w:szCs w:val="20"/>
        </w:rPr>
      </w:pPr>
      <w:r>
        <w:rPr>
          <w:rFonts w:hint="eastAsia" w:ascii="宋体" w:hAnsi="宋体"/>
          <w:color w:val="FF0000"/>
          <w:sz w:val="20"/>
          <w:szCs w:val="20"/>
        </w:rPr>
        <w:t>（一）在采购活动中应当回避而未回避的；</w:t>
      </w:r>
    </w:p>
    <w:p>
      <w:pPr>
        <w:pBdr>
          <w:top w:val="none" w:color="auto" w:sz="0" w:space="0"/>
          <w:left w:val="none" w:color="auto" w:sz="0" w:space="0"/>
          <w:bottom w:val="none" w:color="auto" w:sz="0" w:space="0"/>
          <w:right w:val="none" w:color="auto" w:sz="0" w:space="0"/>
        </w:pBdr>
        <w:ind w:firstLine="400" w:firstLineChars="200"/>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pBdr>
          <w:top w:val="none" w:color="auto" w:sz="0" w:space="0"/>
          <w:left w:val="none" w:color="auto" w:sz="0" w:space="0"/>
          <w:bottom w:val="none" w:color="auto" w:sz="0" w:space="0"/>
          <w:right w:val="none" w:color="auto" w:sz="0" w:space="0"/>
        </w:pBdr>
        <w:ind w:firstLine="400" w:firstLineChars="200"/>
        <w:rPr>
          <w:rFonts w:ascii="宋体" w:hAnsi="宋体"/>
          <w:color w:val="FF0000"/>
          <w:sz w:val="20"/>
          <w:szCs w:val="20"/>
        </w:rPr>
      </w:pPr>
      <w:r>
        <w:rPr>
          <w:rFonts w:hint="eastAsia" w:ascii="宋体" w:hAnsi="宋体"/>
          <w:color w:val="FF0000"/>
          <w:sz w:val="20"/>
          <w:szCs w:val="20"/>
        </w:rPr>
        <w:t>（三）隐瞒真实情况，提供虚假资料的；</w:t>
      </w:r>
    </w:p>
    <w:p>
      <w:pPr>
        <w:pBdr>
          <w:top w:val="none" w:color="auto" w:sz="0" w:space="0"/>
          <w:left w:val="none" w:color="auto" w:sz="0" w:space="0"/>
          <w:bottom w:val="none" w:color="auto" w:sz="0" w:space="0"/>
          <w:right w:val="none" w:color="auto" w:sz="0" w:space="0"/>
        </w:pBdr>
        <w:ind w:firstLine="400" w:firstLineChars="200"/>
        <w:rPr>
          <w:rFonts w:ascii="宋体" w:hAnsi="宋体"/>
          <w:color w:val="FF0000"/>
          <w:sz w:val="20"/>
          <w:szCs w:val="20"/>
        </w:rPr>
      </w:pPr>
      <w:r>
        <w:rPr>
          <w:rFonts w:hint="eastAsia" w:ascii="宋体" w:hAnsi="宋体"/>
          <w:color w:val="FF0000"/>
          <w:sz w:val="20"/>
          <w:szCs w:val="20"/>
        </w:rPr>
        <w:t>（四）以非法手段排斥其他供应商参与竞争的；</w:t>
      </w:r>
    </w:p>
    <w:p>
      <w:pPr>
        <w:pBdr>
          <w:top w:val="none" w:color="auto" w:sz="0" w:space="0"/>
          <w:left w:val="none" w:color="auto" w:sz="0" w:space="0"/>
          <w:bottom w:val="none" w:color="auto" w:sz="0" w:space="0"/>
          <w:right w:val="none" w:color="auto" w:sz="0" w:space="0"/>
        </w:pBdr>
        <w:ind w:firstLine="400" w:firstLineChars="200"/>
        <w:rPr>
          <w:rFonts w:ascii="宋体" w:hAnsi="宋体"/>
          <w:color w:val="FF0000"/>
          <w:sz w:val="20"/>
          <w:szCs w:val="20"/>
        </w:rPr>
      </w:pPr>
      <w:r>
        <w:rPr>
          <w:rFonts w:hint="eastAsia" w:ascii="宋体" w:hAnsi="宋体"/>
          <w:color w:val="FF0000"/>
          <w:sz w:val="20"/>
          <w:szCs w:val="20"/>
        </w:rPr>
        <w:t>（五）与其他采购参加人串通投标的；</w:t>
      </w:r>
    </w:p>
    <w:p>
      <w:pPr>
        <w:pBdr>
          <w:top w:val="none" w:color="auto" w:sz="0" w:space="0"/>
          <w:left w:val="none" w:color="auto" w:sz="0" w:space="0"/>
          <w:bottom w:val="none" w:color="auto" w:sz="0" w:space="0"/>
          <w:right w:val="none" w:color="auto" w:sz="0" w:space="0"/>
        </w:pBdr>
        <w:ind w:firstLine="400" w:firstLineChars="200"/>
        <w:rPr>
          <w:rFonts w:ascii="宋体" w:hAnsi="宋体"/>
          <w:color w:val="FF0000"/>
          <w:sz w:val="20"/>
          <w:szCs w:val="20"/>
        </w:rPr>
      </w:pPr>
      <w:r>
        <w:rPr>
          <w:rFonts w:hint="eastAsia" w:ascii="宋体" w:hAnsi="宋体"/>
          <w:color w:val="FF0000"/>
          <w:sz w:val="20"/>
          <w:szCs w:val="20"/>
        </w:rPr>
        <w:t>（六）恶意投诉的；</w:t>
      </w:r>
    </w:p>
    <w:p>
      <w:pPr>
        <w:pBdr>
          <w:top w:val="none" w:color="auto" w:sz="0" w:space="0"/>
          <w:left w:val="none" w:color="auto" w:sz="0" w:space="0"/>
          <w:bottom w:val="none" w:color="auto" w:sz="0" w:space="0"/>
          <w:right w:val="none" w:color="auto" w:sz="0" w:space="0"/>
        </w:pBdr>
        <w:ind w:firstLine="400" w:firstLineChars="200"/>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pBdr>
          <w:top w:val="none" w:color="auto" w:sz="0" w:space="0"/>
          <w:left w:val="none" w:color="auto" w:sz="0" w:space="0"/>
          <w:bottom w:val="none" w:color="auto" w:sz="0" w:space="0"/>
          <w:right w:val="none" w:color="auto" w:sz="0" w:space="0"/>
        </w:pBdr>
        <w:ind w:firstLine="400" w:firstLineChars="200"/>
        <w:rPr>
          <w:rFonts w:ascii="宋体" w:hAnsi="宋体"/>
          <w:color w:val="FF0000"/>
          <w:sz w:val="20"/>
          <w:szCs w:val="20"/>
        </w:rPr>
      </w:pPr>
      <w:r>
        <w:rPr>
          <w:rFonts w:hint="eastAsia" w:ascii="宋体" w:hAnsi="宋体"/>
          <w:color w:val="FF0000"/>
          <w:sz w:val="20"/>
          <w:szCs w:val="20"/>
        </w:rPr>
        <w:t>（八）阻碍、抗拒主管部门监督检查的；</w:t>
      </w:r>
    </w:p>
    <w:p>
      <w:pPr>
        <w:pBdr>
          <w:top w:val="none" w:color="auto" w:sz="0" w:space="0"/>
          <w:left w:val="none" w:color="auto" w:sz="0" w:space="0"/>
          <w:bottom w:val="none" w:color="auto" w:sz="0" w:space="0"/>
          <w:right w:val="none" w:color="auto" w:sz="0" w:space="0"/>
        </w:pBdr>
        <w:ind w:firstLine="400" w:firstLineChars="200"/>
        <w:rPr>
          <w:rFonts w:ascii="宋体" w:hAnsi="宋体"/>
          <w:color w:val="FF0000"/>
          <w:sz w:val="20"/>
          <w:szCs w:val="20"/>
        </w:rPr>
      </w:pPr>
      <w:r>
        <w:rPr>
          <w:rFonts w:hint="eastAsia" w:ascii="宋体" w:hAnsi="宋体"/>
          <w:color w:val="FF0000"/>
          <w:sz w:val="20"/>
          <w:szCs w:val="20"/>
        </w:rPr>
        <w:t>（九）其他违反本条例规定的行为。</w:t>
      </w:r>
    </w:p>
    <w:p>
      <w:pPr>
        <w:pBdr>
          <w:top w:val="none" w:color="auto" w:sz="0" w:space="0"/>
          <w:left w:val="none" w:color="auto" w:sz="0" w:space="0"/>
          <w:bottom w:val="none" w:color="auto" w:sz="0" w:space="0"/>
          <w:right w:val="none" w:color="auto" w:sz="0" w:space="0"/>
        </w:pBdr>
        <w:ind w:firstLine="402" w:firstLineChars="200"/>
        <w:rPr>
          <w:rFonts w:ascii="宋体" w:hAnsi="宋体"/>
          <w:color w:val="FF0000"/>
          <w:sz w:val="20"/>
          <w:szCs w:val="20"/>
        </w:rPr>
      </w:pPr>
      <w:r>
        <w:rPr>
          <w:rFonts w:hint="eastAsia" w:ascii="宋体" w:hAnsi="宋体"/>
          <w:b/>
          <w:bCs/>
          <w:color w:val="FF0000"/>
          <w:sz w:val="20"/>
          <w:szCs w:val="20"/>
        </w:rPr>
        <w:t xml:space="preserve">二、《深圳经济特区政府采购条例实施细则》第七十五条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pPr>
        <w:pBdr>
          <w:top w:val="none" w:color="auto" w:sz="0" w:space="0"/>
          <w:left w:val="none" w:color="auto" w:sz="0" w:space="0"/>
          <w:bottom w:val="none" w:color="auto" w:sz="0" w:space="0"/>
          <w:right w:val="none" w:color="auto" w:sz="0" w:space="0"/>
        </w:pBdr>
        <w:ind w:firstLine="402" w:firstLineChars="200"/>
        <w:rPr>
          <w:rFonts w:ascii="宋体" w:hAnsi="宋体"/>
          <w:color w:val="FF0000"/>
          <w:sz w:val="20"/>
          <w:szCs w:val="20"/>
        </w:rPr>
      </w:pPr>
      <w:r>
        <w:rPr>
          <w:rFonts w:hint="eastAsia" w:ascii="宋体" w:hAnsi="宋体"/>
          <w:b/>
          <w:bCs/>
          <w:color w:val="FF0000"/>
          <w:sz w:val="20"/>
          <w:szCs w:val="20"/>
        </w:rPr>
        <w:t xml:space="preserve">三、《深圳经济特区政府采购条例实施细则》第七十七条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pBdr>
          <w:top w:val="none" w:color="auto" w:sz="0" w:space="0"/>
          <w:left w:val="none" w:color="auto" w:sz="0" w:space="0"/>
          <w:bottom w:val="none" w:color="auto" w:sz="0" w:space="0"/>
          <w:right w:val="none" w:color="auto" w:sz="0" w:space="0"/>
        </w:pBdr>
        <w:ind w:firstLine="400" w:firstLineChars="200"/>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pPr>
        <w:pBdr>
          <w:top w:val="none" w:color="auto" w:sz="0" w:space="0"/>
          <w:left w:val="none" w:color="auto" w:sz="0" w:space="0"/>
          <w:bottom w:val="none" w:color="auto" w:sz="0" w:space="0"/>
          <w:right w:val="none" w:color="auto" w:sz="0" w:space="0"/>
        </w:pBdr>
        <w:ind w:firstLine="400" w:firstLineChars="200"/>
        <w:rPr>
          <w:bCs/>
          <w:color w:val="FF0000"/>
          <w:sz w:val="20"/>
          <w:szCs w:val="20"/>
        </w:rPr>
      </w:pPr>
      <w:r>
        <w:rPr>
          <w:rFonts w:hint="eastAsia"/>
          <w:bCs/>
          <w:color w:val="FF0000"/>
          <w:sz w:val="20"/>
          <w:szCs w:val="20"/>
        </w:rPr>
        <w:t>四、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pBdr>
          <w:top w:val="none" w:color="auto" w:sz="0" w:space="0"/>
          <w:left w:val="none" w:color="auto" w:sz="0" w:space="0"/>
          <w:bottom w:val="none" w:color="auto" w:sz="0" w:space="0"/>
          <w:right w:val="none" w:color="auto" w:sz="0" w:space="0"/>
        </w:pBdr>
        <w:ind w:firstLine="400" w:firstLineChars="200"/>
        <w:rPr>
          <w:bCs/>
          <w:color w:val="FF0000"/>
          <w:sz w:val="20"/>
          <w:szCs w:val="20"/>
        </w:rPr>
      </w:pPr>
      <w:r>
        <w:rPr>
          <w:rFonts w:hint="eastAsia"/>
          <w:bCs/>
          <w:color w:val="FF0000"/>
          <w:sz w:val="20"/>
          <w:szCs w:val="20"/>
        </w:rPr>
        <w:t>为避免出现不同供应商投标文件的文件制作机器码、文件创建标识码、IP地址一致的异常情况，建议各供应商编制、上传投标文件时不要使用公共电脑设备或公共网络。</w:t>
      </w:r>
    </w:p>
    <w:p>
      <w:pPr>
        <w:pBdr>
          <w:top w:val="none" w:color="auto" w:sz="0" w:space="0"/>
          <w:left w:val="none" w:color="auto" w:sz="0" w:space="0"/>
          <w:bottom w:val="none" w:color="auto" w:sz="0" w:space="0"/>
          <w:right w:val="none" w:color="auto" w:sz="0" w:space="0"/>
        </w:pBdr>
        <w:ind w:firstLine="400" w:firstLineChars="200"/>
        <w:rPr>
          <w:bCs/>
          <w:color w:val="FF0000"/>
          <w:sz w:val="20"/>
          <w:szCs w:val="20"/>
        </w:rPr>
      </w:pPr>
      <w:r>
        <w:rPr>
          <w:rFonts w:hint="eastAsia"/>
          <w:bCs/>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olor w:val="FF0000"/>
          <w:sz w:val="20"/>
          <w:szCs w:val="20"/>
        </w:rPr>
        <w:t>取消参与本市政府采购资格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bCs/>
          <w:color w:val="FF0000"/>
          <w:sz w:val="20"/>
          <w:szCs w:val="20"/>
        </w:rPr>
        <w:t>，请各供应商独立编制、上传投标文件，妥善保管和使用电子秘钥。</w:t>
      </w:r>
    </w:p>
    <w:p>
      <w:pPr>
        <w:pBdr>
          <w:top w:val="none" w:color="auto" w:sz="0" w:space="0"/>
          <w:left w:val="none" w:color="auto" w:sz="0" w:space="0"/>
          <w:bottom w:val="none" w:color="auto" w:sz="0" w:space="0"/>
          <w:right w:val="none" w:color="auto" w:sz="0" w:space="0"/>
        </w:pBdr>
        <w:ind w:firstLine="422" w:firstLineChars="200"/>
        <w:rPr>
          <w:b/>
          <w:color w:val="FF0000"/>
        </w:rPr>
      </w:pPr>
      <w:r>
        <w:rPr>
          <w:rFonts w:hint="eastAsia"/>
          <w:b/>
          <w:color w:val="FF0000"/>
        </w:rPr>
        <w:t>五、请投标供应商阅读《政府采购违法行为风险知悉确认书》（内容详见“投标文件附件（信息不公开部分）”中节点“投标人认为需要加以说明的其他内容（格式自定）”），并经各投标供应商负责人签字并加盖单位公章后，扫描上传至投标文件一并提交。</w:t>
      </w:r>
    </w:p>
    <w:p>
      <w:pPr>
        <w:pStyle w:val="482"/>
        <w:ind w:firstLine="420"/>
      </w:pPr>
    </w:p>
    <w:p>
      <w:pPr>
        <w:pStyle w:val="38"/>
        <w:widowControl/>
        <w:pBdr>
          <w:top w:val="none" w:color="auto" w:sz="0" w:space="0"/>
          <w:left w:val="none" w:color="auto" w:sz="0" w:space="0"/>
          <w:bottom w:val="none" w:color="auto" w:sz="0" w:space="0"/>
          <w:right w:val="none" w:color="auto" w:sz="0" w:space="0"/>
        </w:pBdr>
        <w:ind w:left="381" w:hanging="276"/>
        <w:jc w:val="both"/>
        <w:outlineLvl w:val="1"/>
        <w:rPr>
          <w:b/>
          <w:color w:val="FF0000"/>
          <w:kern w:val="2"/>
          <w:sz w:val="21"/>
        </w:rPr>
      </w:pPr>
      <w:r>
        <w:rPr>
          <w:rFonts w:hint="eastAsia"/>
          <w:b/>
          <w:color w:val="FF0000"/>
          <w:kern w:val="2"/>
          <w:sz w:val="21"/>
        </w:rPr>
        <w:t>注：“特别警示条款”和《政府采购违法行为风险知悉确认书》用于对供应商违法行为的提醒，不作为供应商资格性审查及符合性审查条件。</w:t>
      </w:r>
    </w:p>
    <w:p>
      <w:pPr>
        <w:pStyle w:val="38"/>
        <w:widowControl/>
        <w:jc w:val="center"/>
        <w:outlineLvl w:val="1"/>
        <w:rPr>
          <w:rFonts w:hint="eastAsia" w:ascii="黑体" w:hAnsi="宋体" w:eastAsia="黑体" w:cs="黑体"/>
          <w:sz w:val="40"/>
          <w:szCs w:val="40"/>
          <w:lang w:eastAsia="zh-CN"/>
        </w:rPr>
      </w:pPr>
    </w:p>
    <w:p>
      <w:pPr>
        <w:pStyle w:val="38"/>
        <w:widowControl/>
        <w:jc w:val="center"/>
        <w:outlineLvl w:val="1"/>
        <w:rPr>
          <w:rFonts w:hint="eastAsia" w:ascii="黑体" w:hAnsi="宋体" w:eastAsia="黑体" w:cs="黑体"/>
          <w:sz w:val="40"/>
          <w:szCs w:val="40"/>
        </w:rPr>
      </w:pPr>
    </w:p>
    <w:p>
      <w:pPr>
        <w:pStyle w:val="38"/>
        <w:widowControl/>
        <w:jc w:val="center"/>
        <w:outlineLvl w:val="1"/>
        <w:rPr>
          <w:rFonts w:hint="eastAsia" w:ascii="黑体" w:hAnsi="宋体" w:eastAsia="黑体" w:cs="黑体"/>
          <w:sz w:val="40"/>
          <w:szCs w:val="40"/>
        </w:rPr>
      </w:pPr>
    </w:p>
    <w:p>
      <w:pPr>
        <w:pStyle w:val="38"/>
        <w:widowControl/>
        <w:jc w:val="center"/>
        <w:outlineLvl w:val="1"/>
        <w:rPr>
          <w:rFonts w:hint="eastAsia" w:ascii="黑体" w:hAnsi="宋体" w:eastAsia="黑体" w:cs="黑体"/>
          <w:sz w:val="40"/>
          <w:szCs w:val="40"/>
        </w:rPr>
      </w:pPr>
    </w:p>
    <w:p>
      <w:pPr>
        <w:pStyle w:val="38"/>
        <w:widowControl/>
        <w:jc w:val="center"/>
        <w:outlineLvl w:val="1"/>
        <w:rPr>
          <w:rFonts w:hint="eastAsia" w:ascii="黑体" w:hAnsi="宋体" w:eastAsia="黑体" w:cs="黑体"/>
          <w:sz w:val="40"/>
          <w:szCs w:val="40"/>
        </w:rPr>
      </w:pPr>
    </w:p>
    <w:p>
      <w:pPr>
        <w:pStyle w:val="38"/>
        <w:widowControl/>
        <w:jc w:val="center"/>
        <w:outlineLvl w:val="1"/>
        <w:rPr>
          <w:rFonts w:hint="eastAsia" w:ascii="黑体" w:hAnsi="宋体" w:eastAsia="黑体" w:cs="黑体"/>
          <w:sz w:val="40"/>
          <w:szCs w:val="40"/>
        </w:rPr>
      </w:pPr>
    </w:p>
    <w:p>
      <w:pPr>
        <w:pStyle w:val="38"/>
        <w:widowControl/>
        <w:jc w:val="center"/>
        <w:outlineLvl w:val="1"/>
        <w:rPr>
          <w:rFonts w:hint="eastAsia" w:ascii="黑体" w:hAnsi="宋体" w:eastAsia="黑体" w:cs="黑体"/>
          <w:sz w:val="40"/>
          <w:szCs w:val="40"/>
        </w:rPr>
      </w:pPr>
    </w:p>
    <w:p>
      <w:pPr>
        <w:pStyle w:val="38"/>
        <w:widowControl/>
        <w:jc w:val="center"/>
        <w:outlineLvl w:val="1"/>
        <w:rPr>
          <w:rFonts w:hint="eastAsia" w:ascii="黑体" w:hAnsi="宋体" w:eastAsia="黑体" w:cs="黑体"/>
          <w:sz w:val="40"/>
          <w:szCs w:val="40"/>
        </w:rPr>
      </w:pPr>
    </w:p>
    <w:p>
      <w:pPr>
        <w:pStyle w:val="38"/>
        <w:widowControl/>
        <w:jc w:val="center"/>
        <w:outlineLvl w:val="1"/>
        <w:rPr>
          <w:rFonts w:hint="eastAsia" w:ascii="黑体" w:hAnsi="宋体" w:eastAsia="黑体" w:cs="黑体"/>
          <w:sz w:val="40"/>
          <w:szCs w:val="40"/>
        </w:rPr>
      </w:pPr>
    </w:p>
    <w:p>
      <w:pPr>
        <w:pStyle w:val="38"/>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43"/>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widowControl/>
              <w:jc w:val="left"/>
              <w:rPr>
                <w:sz w:val="30"/>
                <w:szCs w:val="30"/>
              </w:rPr>
            </w:pPr>
            <w:r>
              <w:rPr>
                <w:rFonts w:hint="eastAsia"/>
                <w:sz w:val="30"/>
                <w:szCs w:val="30"/>
              </w:rPr>
              <w:t>LGZXCG-2025-00024</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widowControl/>
              <w:jc w:val="left"/>
              <w:rPr>
                <w:rFonts w:hint="eastAsia" w:eastAsia="宋体"/>
                <w:sz w:val="30"/>
                <w:szCs w:val="30"/>
                <w:lang w:eastAsia="zh-CN"/>
              </w:rPr>
            </w:pPr>
            <w:r>
              <w:rPr>
                <w:rFonts w:hint="eastAsia"/>
                <w:sz w:val="30"/>
                <w:szCs w:val="30"/>
                <w:lang w:eastAsia="zh-CN"/>
              </w:rPr>
              <w:t>深圳未来双语学校（龙岗）物理、化学实验室设备采购</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38"/>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38"/>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43"/>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38"/>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43"/>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未按招标文件所提供的样式填写《投标函》；未按招标文件所提供的《政府采购投标及履约承诺函》进行承诺；未按招标文件对投标文件组成的要求提供投标文件；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hint="eastAsia" w:ascii="宋体" w:hAnsi="宋体" w:cs="宋体"/>
                <w:kern w:val="0"/>
                <w:szCs w:val="21"/>
                <w:lang w:val="en-US" w:eastAsia="zh-CN"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hint="eastAsia" w:ascii="宋体" w:hAnsi="宋体" w:cs="宋体"/>
                <w:kern w:val="0"/>
                <w:szCs w:val="21"/>
                <w:lang w:val="en-US" w:eastAsia="zh-CN"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38"/>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38"/>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43"/>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eastAsia="宋体"/>
                <w:szCs w:val="21"/>
                <w:lang w:eastAsia="zh-CN"/>
              </w:rPr>
            </w:pPr>
            <w:r>
              <w:rPr>
                <w:szCs w:val="21"/>
              </w:rPr>
              <w:t>综合评分法，</w:t>
            </w:r>
            <w:r>
              <w:rPr>
                <w:rFonts w:hint="eastAsia"/>
                <w:szCs w:val="21"/>
              </w:rPr>
              <w:t>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lang w:eastAsia="zh-CN"/>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Cs w:val="21"/>
              </w:rPr>
            </w:pPr>
            <w:r>
              <w:rPr>
                <w:szCs w:val="21"/>
              </w:rPr>
              <w:t>价格分计算方法：</w:t>
            </w:r>
          </w:p>
          <w:p>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p>
          <w:p>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p>
          <w:p>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p>
          <w:p>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p>
          <w:p>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p>
          <w:p>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pPr>
              <w:pStyle w:val="38"/>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hint="eastAsia" w:ascii="宋体" w:hAnsi="宋体" w:eastAsia="宋体" w:cs="宋体"/>
                <w:b/>
                <w:bCs/>
                <w:sz w:val="21"/>
                <w:szCs w:val="21"/>
              </w:rPr>
            </w:pPr>
            <w:bookmarkStart w:id="2" w:name="_Hlk72360569"/>
            <w:r>
              <w:rPr>
                <w:rFonts w:hint="eastAsia" w:ascii="宋体" w:hAnsi="宋体" w:eastAsia="宋体" w:cs="宋体"/>
                <w:b/>
                <w:bCs/>
                <w:kern w:val="0"/>
                <w:sz w:val="21"/>
                <w:szCs w:val="21"/>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1"/>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技术</w:t>
            </w:r>
            <w:r>
              <w:rPr>
                <w:rFonts w:hint="eastAsia" w:ascii="宋体" w:hAnsi="宋体" w:eastAsia="宋体" w:cs="宋体"/>
                <w:b/>
                <w:bCs/>
                <w:color w:val="0000FF"/>
                <w:kern w:val="0"/>
                <w:sz w:val="21"/>
                <w:szCs w:val="21"/>
                <w:lang w:val="en-US" w:eastAsia="zh-CN" w:bidi="ar"/>
              </w:rPr>
              <w:t>商务</w:t>
            </w:r>
            <w:r>
              <w:rPr>
                <w:rFonts w:hint="eastAsia" w:ascii="宋体" w:hAnsi="宋体" w:eastAsia="宋体" w:cs="宋体"/>
                <w:b/>
                <w:bCs/>
                <w:color w:val="0000FF"/>
                <w:kern w:val="0"/>
                <w:sz w:val="21"/>
                <w:szCs w:val="21"/>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1"/>
                <w:szCs w:val="21"/>
                <w:lang w:val="en-US" w:eastAsia="zh-CN"/>
              </w:rPr>
            </w:pPr>
            <w:r>
              <w:rPr>
                <w:rFonts w:hint="eastAsia" w:ascii="宋体" w:hAnsi="宋体" w:eastAsia="宋体" w:cs="宋体"/>
                <w:b/>
                <w:bCs/>
                <w:color w:val="0000FF"/>
                <w:sz w:val="21"/>
                <w:szCs w:val="21"/>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1"/>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hint="eastAsia" w:ascii="宋体" w:hAnsi="宋体" w:eastAsia="宋体" w:cs="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rPr>
            </w:pPr>
            <w:r>
              <w:rPr>
                <w:rFonts w:hint="eastAsia" w:ascii="宋体" w:hAnsi="宋体" w:eastAsia="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rPr>
            </w:pPr>
            <w:r>
              <w:rPr>
                <w:rFonts w:hint="eastAsia" w:ascii="宋体" w:hAnsi="宋体" w:eastAsia="宋体" w:cs="宋体"/>
                <w:sz w:val="21"/>
                <w:szCs w:val="21"/>
              </w:rPr>
              <w:t>所投产品▲号技术参数响应情况评价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39</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（一）评分内容： </w:t>
            </w:r>
          </w:p>
          <w:p>
            <w:pPr>
              <w:snapToGrid w:val="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所投产品▲技术参数全部满足得100分；有负偏离的，每负偏离一项扣</w:t>
            </w:r>
            <w:r>
              <w:rPr>
                <w:rFonts w:hint="eastAsia" w:ascii="宋体" w:hAnsi="宋体" w:eastAsia="宋体" w:cs="宋体"/>
                <w:color w:val="auto"/>
                <w:kern w:val="0"/>
                <w:szCs w:val="21"/>
                <w:highlight w:val="none"/>
                <w:lang w:val="en-US" w:eastAsia="zh-CN"/>
              </w:rPr>
              <w:t>7</w:t>
            </w:r>
            <w:r>
              <w:rPr>
                <w:rFonts w:hint="eastAsia" w:ascii="宋体" w:hAnsi="宋体" w:eastAsia="宋体" w:cs="宋体"/>
                <w:color w:val="auto"/>
                <w:kern w:val="0"/>
                <w:szCs w:val="21"/>
                <w:highlight w:val="none"/>
              </w:rPr>
              <w:t xml:space="preserve">分，扣完为止。 </w:t>
            </w:r>
          </w:p>
          <w:p>
            <w:pPr>
              <w:snapToGrid w:val="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（二）评分依据： </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auto"/>
                <w:kern w:val="0"/>
                <w:szCs w:val="21"/>
                <w:highlight w:val="none"/>
              </w:rPr>
              <w:t>《技术要求偏离表》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widowControl/>
              <w:wordWrap w:val="0"/>
              <w:snapToGrid/>
              <w:jc w:val="center"/>
              <w:textAlignment w:val="top"/>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所投产品一般技术参数</w:t>
            </w:r>
          </w:p>
          <w:p>
            <w:pPr>
              <w:widowControl/>
              <w:wordWrap w:val="0"/>
              <w:snapToGrid/>
              <w:jc w:val="center"/>
              <w:textAlignment w:val="top"/>
              <w:rPr>
                <w:rFonts w:hint="eastAsia" w:ascii="宋体" w:hAnsi="宋体" w:eastAsia="宋体" w:cs="宋体"/>
                <w:b w:val="0"/>
                <w:kern w:val="2"/>
                <w:sz w:val="21"/>
                <w:szCs w:val="21"/>
                <w:lang w:val="en-US" w:eastAsia="zh-CN" w:bidi="ar-SA"/>
              </w:rPr>
            </w:pPr>
            <w:r>
              <w:rPr>
                <w:rFonts w:hint="eastAsia" w:ascii="宋体" w:hAnsi="宋体" w:eastAsia="宋体" w:cs="宋体"/>
                <w:b w:val="0"/>
                <w:kern w:val="2"/>
                <w:sz w:val="21"/>
                <w:szCs w:val="21"/>
                <w:lang w:val="en-US" w:eastAsia="zh-CN" w:bidi="ar-SA"/>
              </w:rPr>
              <w:t>（非“▲”参数）</w:t>
            </w:r>
          </w:p>
          <w:p>
            <w:pPr>
              <w:widowControl/>
              <w:wordWrap w:val="0"/>
              <w:snapToGrid/>
              <w:jc w:val="center"/>
              <w:textAlignment w:val="top"/>
              <w:rPr>
                <w:rFonts w:hint="eastAsia" w:ascii="宋体" w:hAnsi="宋体" w:eastAsia="宋体" w:cs="宋体"/>
                <w:b/>
                <w:kern w:val="2"/>
                <w:sz w:val="21"/>
                <w:szCs w:val="21"/>
                <w:lang w:val="en-US" w:eastAsia="zh-CN" w:bidi="ar-SA"/>
              </w:rPr>
            </w:pPr>
            <w:r>
              <w:rPr>
                <w:rFonts w:hint="eastAsia" w:ascii="宋体" w:hAnsi="宋体" w:eastAsia="宋体" w:cs="宋体"/>
                <w:b w:val="0"/>
                <w:kern w:val="2"/>
                <w:sz w:val="21"/>
                <w:szCs w:val="21"/>
                <w:lang w:val="en-US" w:eastAsia="zh-CN" w:bidi="ar-SA"/>
              </w:rPr>
              <w:t xml:space="preserve">响应情况评价 </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FFFFFF" w:themeFill="background1"/>
            <w:vAlign w:val="top"/>
          </w:tcPr>
          <w:p>
            <w:pPr>
              <w:snapToGrid w:val="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（一）评分内容： </w:t>
            </w:r>
          </w:p>
          <w:p>
            <w:pPr>
              <w:snapToGrid w:val="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所投产品▲技术参数全部满足得100分；有负偏离的，每负偏离一项扣</w:t>
            </w:r>
            <w:r>
              <w:rPr>
                <w:rFonts w:hint="eastAsia" w:ascii="宋体" w:hAnsi="宋体" w:eastAsia="宋体" w:cs="宋体"/>
                <w:color w:val="auto"/>
                <w:kern w:val="0"/>
                <w:szCs w:val="21"/>
                <w:highlight w:val="none"/>
                <w:lang w:val="en-US" w:eastAsia="zh-CN"/>
              </w:rPr>
              <w:t>0.7</w:t>
            </w:r>
            <w:r>
              <w:rPr>
                <w:rFonts w:hint="eastAsia" w:ascii="宋体" w:hAnsi="宋体" w:eastAsia="宋体" w:cs="宋体"/>
                <w:color w:val="auto"/>
                <w:kern w:val="0"/>
                <w:szCs w:val="21"/>
                <w:highlight w:val="none"/>
              </w:rPr>
              <w:t xml:space="preserve">分，扣完为止。 </w:t>
            </w:r>
          </w:p>
          <w:p>
            <w:pPr>
              <w:snapToGrid w:val="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（二）评分依据： </w:t>
            </w:r>
          </w:p>
          <w:p>
            <w:pPr>
              <w:autoSpaceDE w:val="0"/>
              <w:autoSpaceDN w:val="0"/>
              <w:adjustRightInd w:val="0"/>
              <w:spacing w:line="300" w:lineRule="exact"/>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color w:val="auto"/>
                <w:kern w:val="0"/>
                <w:szCs w:val="21"/>
                <w:highlight w:val="none"/>
              </w:rPr>
              <w:t>《技术要求偏离表》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FFFFFF" w:themeFill="background1"/>
            <w:vAlign w:val="top"/>
          </w:tcPr>
          <w:p>
            <w:pPr>
              <w:widowControl/>
              <w:numPr>
                <w:ilvl w:val="0"/>
                <w:numId w:val="7"/>
              </w:numPr>
              <w:wordWrap w:val="0"/>
              <w:ind w:firstLine="0" w:firstLineChars="0"/>
              <w:jc w:val="left"/>
              <w:textAlignment w:val="top"/>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评分内容：</w:t>
            </w:r>
          </w:p>
          <w:p>
            <w:pPr>
              <w:widowControl/>
              <w:numPr>
                <w:ilvl w:val="-1"/>
                <w:numId w:val="0"/>
              </w:numPr>
              <w:wordWrap w:val="0"/>
              <w:ind w:firstLine="0" w:firstLineChars="0"/>
              <w:jc w:val="left"/>
              <w:textAlignment w:val="top"/>
              <w:rPr>
                <w:rFonts w:hint="eastAsia" w:ascii="宋体" w:hAnsi="宋体" w:eastAsia="宋体" w:cs="宋体"/>
                <w:sz w:val="21"/>
                <w:szCs w:val="21"/>
              </w:rPr>
            </w:pPr>
            <w:r>
              <w:rPr>
                <w:rFonts w:hint="eastAsia" w:ascii="宋体" w:hAnsi="宋体" w:eastAsia="宋体" w:cs="宋体"/>
                <w:sz w:val="21"/>
                <w:szCs w:val="21"/>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snapToGrid w:val="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 xml:space="preserve">（二）评分依据： </w:t>
            </w:r>
          </w:p>
          <w:p>
            <w:pPr>
              <w:widowControl/>
              <w:wordWrap w:val="0"/>
              <w:snapToGrid/>
              <w:ind w:firstLine="0" w:firstLineChars="0"/>
              <w:jc w:val="left"/>
              <w:textAlignment w:val="top"/>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提供《市场监管总局关于发布参与实施政府采购节能产品、环境标志产品认证机构名录的公告》（2019年第16号）确定的认证机构出具的</w:t>
            </w:r>
            <w:r>
              <w:rPr>
                <w:rFonts w:hint="eastAsia" w:ascii="宋体" w:hAnsi="宋体" w:eastAsia="宋体" w:cs="宋体"/>
                <w:sz w:val="21"/>
                <w:szCs w:val="21"/>
                <w:lang w:val="en-US" w:eastAsia="zh-CN"/>
              </w:rPr>
              <w:t>且</w:t>
            </w:r>
            <w:r>
              <w:rPr>
                <w:rFonts w:hint="eastAsia" w:ascii="宋体" w:hAnsi="宋体" w:eastAsia="宋体" w:cs="宋体"/>
                <w:sz w:val="21"/>
                <w:szCs w:val="21"/>
              </w:rPr>
              <w:t>处于有效期内的节能产品</w:t>
            </w:r>
            <w:r>
              <w:rPr>
                <w:rFonts w:hint="eastAsia" w:ascii="宋体" w:hAnsi="宋体" w:eastAsia="宋体" w:cs="宋体"/>
                <w:sz w:val="21"/>
                <w:szCs w:val="21"/>
                <w:lang w:val="en-US" w:eastAsia="zh-CN"/>
              </w:rPr>
              <w:t>或</w:t>
            </w:r>
            <w:r>
              <w:rPr>
                <w:rFonts w:hint="eastAsia" w:ascii="宋体" w:hAnsi="宋体" w:eastAsia="宋体" w:cs="宋体"/>
                <w:sz w:val="21"/>
                <w:szCs w:val="21"/>
              </w:rPr>
              <w:t>环境标志产品认证证书扫描件</w:t>
            </w:r>
            <w:r>
              <w:rPr>
                <w:rFonts w:hint="eastAsia" w:ascii="宋体" w:hAnsi="宋体" w:eastAsia="宋体" w:cs="宋体"/>
                <w:sz w:val="21"/>
                <w:szCs w:val="21"/>
                <w:lang w:eastAsia="zh-CN"/>
              </w:rPr>
              <w:t>；</w:t>
            </w:r>
          </w:p>
          <w:p>
            <w:pPr>
              <w:widowControl/>
              <w:wordWrap w:val="0"/>
              <w:snapToGrid/>
              <w:ind w:firstLine="0" w:firstLineChars="0"/>
              <w:jc w:val="left"/>
              <w:textAlignment w:val="top"/>
              <w:rPr>
                <w:rFonts w:hint="eastAsia" w:ascii="宋体" w:hAnsi="宋体" w:eastAsia="宋体" w:cs="宋体"/>
                <w:color w:val="0000FF"/>
                <w:kern w:val="0"/>
                <w:sz w:val="21"/>
                <w:szCs w:val="21"/>
                <w:highlight w:val="none"/>
                <w:lang w:val="en-US" w:eastAsia="zh-CN" w:bidi="ar-SA"/>
              </w:rPr>
            </w:pPr>
            <w:r>
              <w:rPr>
                <w:rFonts w:hint="eastAsia" w:ascii="宋体" w:hAnsi="宋体" w:eastAsia="宋体" w:cs="宋体"/>
                <w:sz w:val="21"/>
                <w:szCs w:val="21"/>
                <w:lang w:val="en-US" w:eastAsia="zh-CN"/>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color w:val="auto"/>
                <w:sz w:val="21"/>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keepNext w:val="0"/>
              <w:keepLines w:val="0"/>
              <w:pageBreakBefore w:val="0"/>
              <w:widowControl/>
              <w:numPr>
                <w:ilvl w:val="0"/>
                <w:numId w:val="0"/>
              </w:numPr>
              <w:suppressLineNumbers w:val="0"/>
              <w:kinsoku/>
              <w:wordWrap/>
              <w:overflowPunct/>
              <w:topLinePunct w:val="0"/>
              <w:bidi w:val="0"/>
              <w:spacing w:line="320" w:lineRule="exact"/>
              <w:jc w:val="left"/>
              <w:textAlignment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（一）评分内容：</w:t>
            </w:r>
          </w:p>
          <w:p>
            <w:pPr>
              <w:keepNext w:val="0"/>
              <w:keepLines w:val="0"/>
              <w:pageBreakBefore w:val="0"/>
              <w:widowControl/>
              <w:numPr>
                <w:ilvl w:val="0"/>
                <w:numId w:val="0"/>
              </w:numPr>
              <w:suppressLineNumbers w:val="0"/>
              <w:kinsoku/>
              <w:wordWrap/>
              <w:overflowPunct/>
              <w:topLinePunct w:val="0"/>
              <w:bidi w:val="0"/>
              <w:spacing w:line="320" w:lineRule="exact"/>
              <w:ind w:firstLine="0" w:firstLineChars="0"/>
              <w:jc w:val="left"/>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sz w:val="21"/>
                <w:szCs w:val="21"/>
              </w:rPr>
              <w:t>根据招标文件中的图纸和对应的技术要求进行规划设计，提供</w:t>
            </w:r>
            <w:r>
              <w:rPr>
                <w:rFonts w:hint="eastAsia" w:ascii="宋体" w:hAnsi="宋体" w:eastAsia="宋体" w:cs="宋体"/>
                <w:b w:val="0"/>
                <w:bCs w:val="0"/>
                <w:kern w:val="0"/>
                <w:sz w:val="21"/>
                <w:szCs w:val="21"/>
                <w:highlight w:val="none"/>
                <w:lang w:val="en-US" w:eastAsia="zh-CN" w:bidi="ar"/>
              </w:rPr>
              <w:t>二间化学实验室及二间物理实验室</w:t>
            </w:r>
            <w:r>
              <w:rPr>
                <w:rFonts w:hint="eastAsia" w:ascii="宋体" w:hAnsi="宋体" w:eastAsia="宋体" w:cs="宋体"/>
                <w:sz w:val="21"/>
                <w:szCs w:val="21"/>
              </w:rPr>
              <w:t>平面布局图及效果图：</w:t>
            </w:r>
          </w:p>
          <w:p>
            <w:pPr>
              <w:keepNext w:val="0"/>
              <w:keepLines w:val="0"/>
              <w:pageBreakBefore w:val="0"/>
              <w:widowControl/>
              <w:numPr>
                <w:ilvl w:val="0"/>
                <w:numId w:val="0"/>
              </w:numPr>
              <w:suppressLineNumbers w:val="0"/>
              <w:kinsoku/>
              <w:wordWrap/>
              <w:overflowPunct/>
              <w:topLinePunct w:val="0"/>
              <w:bidi w:val="0"/>
              <w:spacing w:line="320" w:lineRule="exact"/>
              <w:ind w:firstLine="0" w:firstLineChars="0"/>
              <w:jc w:val="left"/>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1、场所平面布置图(每间1张，共2张) ；</w:t>
            </w:r>
          </w:p>
          <w:p>
            <w:pPr>
              <w:keepNext w:val="0"/>
              <w:keepLines w:val="0"/>
              <w:pageBreakBefore w:val="0"/>
              <w:widowControl/>
              <w:numPr>
                <w:ilvl w:val="-1"/>
                <w:numId w:val="0"/>
              </w:numPr>
              <w:suppressLineNumbers w:val="0"/>
              <w:kinsoku/>
              <w:wordWrap/>
              <w:overflowPunct/>
              <w:topLinePunct w:val="0"/>
              <w:bidi w:val="0"/>
              <w:spacing w:line="320" w:lineRule="exact"/>
              <w:ind w:firstLine="0" w:firstLineChars="0"/>
              <w:jc w:val="left"/>
              <w:textAlignment w:val="center"/>
              <w:rPr>
                <w:rFonts w:hint="eastAsia" w:ascii="宋体" w:hAnsi="宋体" w:eastAsia="宋体" w:cs="宋体"/>
                <w:b w:val="0"/>
                <w:bCs w:val="0"/>
                <w:kern w:val="0"/>
                <w:sz w:val="21"/>
                <w:szCs w:val="21"/>
                <w:highlight w:val="none"/>
                <w:lang w:val="en-US" w:eastAsia="zh-CN" w:bidi="ar"/>
              </w:rPr>
            </w:pPr>
            <w:r>
              <w:rPr>
                <w:rFonts w:hint="eastAsia" w:ascii="宋体" w:hAnsi="宋体" w:eastAsia="宋体" w:cs="宋体"/>
                <w:b w:val="0"/>
                <w:bCs w:val="0"/>
                <w:kern w:val="0"/>
                <w:sz w:val="21"/>
                <w:szCs w:val="21"/>
                <w:highlight w:val="none"/>
                <w:lang w:val="en-US" w:eastAsia="zh-CN" w:bidi="ar"/>
              </w:rPr>
              <w:t>2、场所水电风施工图</w:t>
            </w:r>
            <w:r>
              <w:rPr>
                <w:rFonts w:hint="eastAsia" w:ascii="宋体" w:hAnsi="宋体" w:eastAsia="宋体" w:cs="宋体"/>
                <w:szCs w:val="21"/>
                <w:lang w:eastAsia="zh-CN"/>
              </w:rPr>
              <w:t>（</w:t>
            </w:r>
            <w:r>
              <w:rPr>
                <w:rFonts w:hint="eastAsia" w:ascii="宋体" w:hAnsi="宋体" w:eastAsia="宋体" w:cs="宋体"/>
                <w:szCs w:val="21"/>
                <w:lang w:val="en-US" w:eastAsia="zh-CN"/>
              </w:rPr>
              <w:t>共15张）</w:t>
            </w:r>
            <w:r>
              <w:rPr>
                <w:rFonts w:hint="eastAsia" w:ascii="宋体" w:hAnsi="宋体" w:eastAsia="宋体" w:cs="宋体"/>
                <w:b w:val="0"/>
                <w:bCs w:val="0"/>
                <w:kern w:val="0"/>
                <w:sz w:val="21"/>
                <w:szCs w:val="21"/>
                <w:highlight w:val="none"/>
                <w:lang w:val="en-US" w:eastAsia="zh-CN" w:bidi="ar"/>
              </w:rPr>
              <w:t>；</w:t>
            </w:r>
          </w:p>
          <w:p>
            <w:pPr>
              <w:keepNext w:val="0"/>
              <w:keepLines w:val="0"/>
              <w:pageBreakBefore w:val="0"/>
              <w:widowControl/>
              <w:numPr>
                <w:ilvl w:val="-1"/>
                <w:numId w:val="0"/>
              </w:numPr>
              <w:suppressLineNumbers w:val="0"/>
              <w:kinsoku/>
              <w:wordWrap/>
              <w:overflowPunct/>
              <w:topLinePunct w:val="0"/>
              <w:bidi w:val="0"/>
              <w:spacing w:line="320" w:lineRule="exact"/>
              <w:ind w:firstLine="0" w:firstLineChars="0"/>
              <w:jc w:val="left"/>
              <w:textAlignment w:val="center"/>
              <w:rPr>
                <w:rFonts w:hint="eastAsia" w:ascii="宋体" w:hAnsi="宋体" w:eastAsia="宋体" w:cs="宋体"/>
                <w:b w:val="0"/>
                <w:bCs w:val="0"/>
                <w:kern w:val="0"/>
                <w:sz w:val="21"/>
                <w:szCs w:val="21"/>
                <w:lang w:val="en-US" w:eastAsia="zh-CN" w:bidi="ar"/>
              </w:rPr>
            </w:pPr>
            <w:r>
              <w:rPr>
                <w:rFonts w:hint="eastAsia" w:ascii="宋体" w:hAnsi="宋体" w:eastAsia="宋体" w:cs="宋体"/>
                <w:b w:val="0"/>
                <w:bCs w:val="0"/>
                <w:kern w:val="0"/>
                <w:sz w:val="21"/>
                <w:szCs w:val="21"/>
                <w:highlight w:val="none"/>
                <w:lang w:val="en-US" w:eastAsia="zh-CN" w:bidi="ar"/>
              </w:rPr>
              <w:t>3、场所效果图（每间3张，每间须含前视图，后视图，俯视图，共12张），效果图须体现出货物清单明细中要求的货物（课桌椅、水电设备及边柜内容等）</w:t>
            </w:r>
          </w:p>
          <w:p>
            <w:pPr>
              <w:keepNext w:val="0"/>
              <w:keepLines w:val="0"/>
              <w:pageBreakBefore w:val="0"/>
              <w:widowControl/>
              <w:numPr>
                <w:ilvl w:val="-1"/>
                <w:numId w:val="0"/>
              </w:numPr>
              <w:suppressLineNumbers w:val="0"/>
              <w:kinsoku/>
              <w:wordWrap/>
              <w:overflowPunct/>
              <w:topLinePunct w:val="0"/>
              <w:bidi w:val="0"/>
              <w:spacing w:line="320" w:lineRule="exact"/>
              <w:ind w:firstLine="0" w:firstLineChars="0"/>
              <w:jc w:val="left"/>
              <w:textAlignment w:val="center"/>
              <w:rPr>
                <w:rFonts w:hint="eastAsia" w:ascii="宋体" w:hAnsi="宋体" w:eastAsia="宋体" w:cs="宋体"/>
                <w:b/>
                <w:bCs/>
                <w:kern w:val="0"/>
                <w:sz w:val="21"/>
                <w:szCs w:val="21"/>
                <w:highlight w:val="none"/>
                <w:lang w:bidi="ar"/>
              </w:rPr>
            </w:pPr>
            <w:r>
              <w:rPr>
                <w:rFonts w:hint="eastAsia" w:ascii="宋体" w:hAnsi="宋体" w:eastAsia="宋体" w:cs="宋体"/>
                <w:b/>
                <w:bCs/>
                <w:kern w:val="0"/>
                <w:sz w:val="21"/>
                <w:szCs w:val="21"/>
                <w:highlight w:val="none"/>
                <w:lang w:bidi="ar"/>
              </w:rPr>
              <w:t>（二）评分依据：</w:t>
            </w:r>
          </w:p>
          <w:p>
            <w:pPr>
              <w:keepNext w:val="0"/>
              <w:keepLines w:val="0"/>
              <w:pageBreakBefore w:val="0"/>
              <w:widowControl/>
              <w:numPr>
                <w:ilvl w:val="-1"/>
                <w:numId w:val="0"/>
              </w:numPr>
              <w:suppressLineNumbers w:val="0"/>
              <w:kinsoku/>
              <w:wordWrap/>
              <w:overflowPunct/>
              <w:topLinePunct w:val="0"/>
              <w:bidi w:val="0"/>
              <w:spacing w:line="320" w:lineRule="exact"/>
              <w:ind w:left="0" w:firstLine="0" w:firstLineChars="0"/>
              <w:jc w:val="left"/>
              <w:textAlignment w:val="center"/>
              <w:rPr>
                <w:rFonts w:hint="eastAsia" w:ascii="宋体" w:hAnsi="宋体" w:eastAsia="宋体" w:cs="宋体"/>
                <w:kern w:val="0"/>
                <w:sz w:val="21"/>
                <w:szCs w:val="21"/>
                <w:highlight w:val="none"/>
                <w:lang w:bidi="ar"/>
              </w:rPr>
            </w:pPr>
            <w:r>
              <w:rPr>
                <w:rFonts w:hint="eastAsia" w:ascii="宋体" w:hAnsi="宋体" w:cs="宋体"/>
                <w:kern w:val="0"/>
                <w:sz w:val="21"/>
                <w:szCs w:val="21"/>
                <w:highlight w:val="none"/>
                <w:lang w:val="en-US" w:eastAsia="zh-CN" w:bidi="ar"/>
              </w:rPr>
              <w:t>1、</w:t>
            </w:r>
            <w:r>
              <w:rPr>
                <w:rFonts w:hint="eastAsia" w:ascii="宋体" w:hAnsi="宋体" w:eastAsia="宋体" w:cs="宋体"/>
                <w:kern w:val="0"/>
                <w:sz w:val="21"/>
                <w:szCs w:val="21"/>
                <w:highlight w:val="none"/>
                <w:lang w:bidi="ar"/>
              </w:rPr>
              <w:t>投标人每提供上述符合要求的一项设计 图得</w:t>
            </w:r>
            <w:r>
              <w:rPr>
                <w:rFonts w:hint="eastAsia" w:ascii="宋体" w:hAnsi="宋体" w:cs="宋体"/>
                <w:kern w:val="0"/>
                <w:sz w:val="21"/>
                <w:szCs w:val="21"/>
                <w:highlight w:val="none"/>
                <w:lang w:val="en-US" w:eastAsia="zh-CN" w:bidi="ar"/>
              </w:rPr>
              <w:t>20</w:t>
            </w:r>
            <w:r>
              <w:rPr>
                <w:rFonts w:hint="eastAsia" w:ascii="宋体" w:hAnsi="宋体" w:eastAsia="宋体" w:cs="宋体"/>
                <w:kern w:val="0"/>
                <w:sz w:val="21"/>
                <w:szCs w:val="21"/>
                <w:highlight w:val="none"/>
                <w:lang w:bidi="ar"/>
              </w:rPr>
              <w:t>分，满分60分。</w:t>
            </w:r>
          </w:p>
          <w:p>
            <w:pPr>
              <w:keepNext w:val="0"/>
              <w:keepLines w:val="0"/>
              <w:pageBreakBefore w:val="0"/>
              <w:widowControl/>
              <w:numPr>
                <w:ilvl w:val="-1"/>
                <w:numId w:val="0"/>
              </w:numPr>
              <w:suppressLineNumbers w:val="0"/>
              <w:kinsoku/>
              <w:wordWrap/>
              <w:overflowPunct/>
              <w:topLinePunct w:val="0"/>
              <w:bidi w:val="0"/>
              <w:spacing w:line="320" w:lineRule="exact"/>
              <w:ind w:left="0" w:firstLine="0" w:firstLineChars="0"/>
              <w:jc w:val="left"/>
              <w:textAlignment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 xml:space="preserve">2、在此基础上根据以下标准进行评价： </w:t>
            </w:r>
          </w:p>
          <w:p>
            <w:pPr>
              <w:keepNext w:val="0"/>
              <w:keepLines w:val="0"/>
              <w:pageBreakBefore w:val="0"/>
              <w:widowControl/>
              <w:numPr>
                <w:ilvl w:val="-1"/>
                <w:numId w:val="0"/>
              </w:numPr>
              <w:suppressLineNumbers w:val="0"/>
              <w:kinsoku/>
              <w:wordWrap/>
              <w:overflowPunct/>
              <w:topLinePunct w:val="0"/>
              <w:bidi w:val="0"/>
              <w:spacing w:line="320" w:lineRule="exact"/>
              <w:ind w:left="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bidi="ar"/>
              </w:rPr>
              <w:t xml:space="preserve">（1）内容完整，设计合理、实用性强，图 片清晰、整体效果完全符合宿舍实际需求的 评价为优，加40分； </w:t>
            </w:r>
          </w:p>
          <w:p>
            <w:pPr>
              <w:keepNext w:val="0"/>
              <w:keepLines w:val="0"/>
              <w:pageBreakBefore w:val="0"/>
              <w:widowControl/>
              <w:numPr>
                <w:ilvl w:val="-1"/>
                <w:numId w:val="0"/>
              </w:numPr>
              <w:suppressLineNumbers w:val="0"/>
              <w:kinsoku/>
              <w:wordWrap/>
              <w:overflowPunct/>
              <w:topLinePunct w:val="0"/>
              <w:bidi w:val="0"/>
              <w:spacing w:line="320" w:lineRule="exact"/>
              <w:ind w:left="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bidi="ar"/>
              </w:rPr>
              <w:t>（2）内容完整，设计较为合理、实用性一 般，图片清晰、整体效果基本符合宿舍室实 际需求的评价为良，加2</w:t>
            </w:r>
            <w:r>
              <w:rPr>
                <w:rFonts w:hint="eastAsia" w:ascii="宋体" w:hAnsi="宋体" w:eastAsia="宋体" w:cs="宋体"/>
                <w:kern w:val="0"/>
                <w:sz w:val="21"/>
                <w:szCs w:val="21"/>
                <w:highlight w:val="none"/>
                <w:lang w:val="en-US" w:eastAsia="zh-CN" w:bidi="ar"/>
              </w:rPr>
              <w:t>0</w:t>
            </w:r>
            <w:r>
              <w:rPr>
                <w:rFonts w:hint="eastAsia" w:ascii="宋体" w:hAnsi="宋体" w:eastAsia="宋体" w:cs="宋体"/>
                <w:kern w:val="0"/>
                <w:sz w:val="21"/>
                <w:szCs w:val="21"/>
                <w:highlight w:val="none"/>
                <w:lang w:bidi="ar"/>
              </w:rPr>
              <w:t xml:space="preserve">分； </w:t>
            </w:r>
          </w:p>
          <w:p>
            <w:pPr>
              <w:keepNext w:val="0"/>
              <w:keepLines w:val="0"/>
              <w:pageBreakBefore w:val="0"/>
              <w:widowControl/>
              <w:numPr>
                <w:ilvl w:val="-1"/>
                <w:numId w:val="0"/>
              </w:numPr>
              <w:suppressLineNumbers w:val="0"/>
              <w:kinsoku/>
              <w:wordWrap/>
              <w:overflowPunct/>
              <w:topLinePunct w:val="0"/>
              <w:bidi w:val="0"/>
              <w:spacing w:line="320" w:lineRule="exact"/>
              <w:ind w:left="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bidi="ar"/>
              </w:rPr>
              <w:t xml:space="preserve">（3）内容基本完整，设计合理性较差、实 用性较差，图片清晰、整体效果不符合宿舍 实际需求的评价为中，加10分； </w:t>
            </w:r>
          </w:p>
          <w:p>
            <w:pPr>
              <w:keepNext w:val="0"/>
              <w:keepLines w:val="0"/>
              <w:pageBreakBefore w:val="0"/>
              <w:widowControl/>
              <w:numPr>
                <w:ilvl w:val="0"/>
                <w:numId w:val="0"/>
              </w:numPr>
              <w:suppressLineNumbers w:val="0"/>
              <w:kinsoku/>
              <w:wordWrap/>
              <w:overflowPunct/>
              <w:topLinePunct w:val="0"/>
              <w:bidi w:val="0"/>
              <w:spacing w:line="320" w:lineRule="exact"/>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highlight w:val="none"/>
                <w:lang w:bidi="ar"/>
              </w:rPr>
              <w:t xml:space="preserve">（4）未按要求提供或提供的材料不能证明 相关情况的或提供不清晰导致专家无法判断 的不得分。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kern w:val="0"/>
                <w:sz w:val="21"/>
                <w:szCs w:val="21"/>
                <w:lang w:val="en-US" w:eastAsia="zh-CN"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b/>
                <w:bCs/>
                <w:kern w:val="0"/>
                <w:sz w:val="21"/>
                <w:szCs w:val="21"/>
                <w:lang w:val="en-US" w:eastAsia="zh-CN" w:bidi="ar"/>
              </w:rPr>
              <w:t>（一）评分内容</w:t>
            </w:r>
            <w:r>
              <w:rPr>
                <w:rFonts w:hint="eastAsia" w:ascii="宋体" w:hAnsi="宋体" w:eastAsia="宋体" w:cs="宋体"/>
                <w:kern w:val="0"/>
                <w:sz w:val="21"/>
                <w:szCs w:val="21"/>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根据投标人提供本项目的组织实施方案进行评价，方案包含但不限于以下：</w:t>
            </w:r>
          </w:p>
          <w:p>
            <w:pPr>
              <w:keepNext w:val="0"/>
              <w:keepLines w:val="0"/>
              <w:widowControl/>
              <w:numPr>
                <w:ilvl w:val="-1"/>
                <w:numId w:val="0"/>
              </w:numPr>
              <w:suppressLineNumbers w:val="0"/>
              <w:ind w:firstLine="0" w:firstLineChars="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1、项目进度计划安排 </w:t>
            </w:r>
          </w:p>
          <w:p>
            <w:pPr>
              <w:keepNext w:val="0"/>
              <w:keepLines w:val="0"/>
              <w:widowControl/>
              <w:numPr>
                <w:ilvl w:val="-1"/>
                <w:numId w:val="0"/>
              </w:numPr>
              <w:suppressLineNumbers w:val="0"/>
              <w:ind w:firstLine="0" w:firstLineChars="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2、施工组织计划 </w:t>
            </w:r>
          </w:p>
          <w:p>
            <w:pPr>
              <w:keepNext w:val="0"/>
              <w:keepLines w:val="0"/>
              <w:widowControl/>
              <w:numPr>
                <w:ilvl w:val="-1"/>
                <w:numId w:val="0"/>
              </w:numPr>
              <w:suppressLineNumbers w:val="0"/>
              <w:ind w:firstLine="0" w:firstLineChars="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3、验收组织计划 </w:t>
            </w:r>
          </w:p>
          <w:p>
            <w:pPr>
              <w:keepNext w:val="0"/>
              <w:keepLines w:val="0"/>
              <w:widowControl/>
              <w:numPr>
                <w:ilvl w:val="-1"/>
                <w:numId w:val="0"/>
              </w:numPr>
              <w:suppressLineNumbers w:val="0"/>
              <w:ind w:firstLine="0" w:firstLineChars="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4、产品培训方案</w:t>
            </w:r>
          </w:p>
          <w:p>
            <w:pPr>
              <w:wordWrap w:val="0"/>
              <w:rPr>
                <w:rFonts w:hint="eastAsia" w:ascii="宋体" w:hAnsi="宋体" w:eastAsia="宋体" w:cs="宋体"/>
                <w:b/>
                <w:bCs/>
                <w:szCs w:val="21"/>
              </w:rPr>
            </w:pPr>
            <w:r>
              <w:rPr>
                <w:rFonts w:hint="eastAsia" w:ascii="宋体" w:hAnsi="宋体" w:eastAsia="宋体" w:cs="宋体"/>
                <w:b/>
                <w:bCs/>
                <w:szCs w:val="21"/>
              </w:rPr>
              <w:t>（二）评分</w:t>
            </w:r>
            <w:r>
              <w:rPr>
                <w:rFonts w:hint="eastAsia" w:ascii="宋体" w:hAnsi="宋体" w:eastAsia="宋体" w:cs="宋体"/>
                <w:b/>
                <w:bCs/>
                <w:sz w:val="21"/>
                <w:szCs w:val="21"/>
                <w:highlight w:val="none"/>
              </w:rPr>
              <w:t>依据</w:t>
            </w:r>
            <w:r>
              <w:rPr>
                <w:rFonts w:hint="eastAsia" w:ascii="宋体" w:hAnsi="宋体" w:eastAsia="宋体" w:cs="宋体"/>
                <w:b/>
                <w:bCs/>
                <w:szCs w:val="21"/>
              </w:rPr>
              <w:t>：</w:t>
            </w:r>
          </w:p>
          <w:p>
            <w:pPr>
              <w:wordWrap w:val="0"/>
              <w:rPr>
                <w:rFonts w:hint="eastAsia" w:ascii="宋体" w:hAnsi="宋体" w:eastAsia="宋体" w:cs="宋体"/>
                <w:szCs w:val="21"/>
              </w:rPr>
            </w:pPr>
            <w:r>
              <w:rPr>
                <w:rFonts w:hint="eastAsia" w:ascii="宋体" w:hAnsi="宋体" w:eastAsia="宋体" w:cs="宋体"/>
                <w:szCs w:val="21"/>
              </w:rPr>
              <w:t>1、每提供上述任意一项内容得</w:t>
            </w:r>
            <w:r>
              <w:rPr>
                <w:rFonts w:hint="eastAsia" w:ascii="宋体" w:hAnsi="宋体" w:eastAsia="宋体" w:cs="宋体"/>
                <w:szCs w:val="21"/>
                <w:lang w:val="en-US" w:eastAsia="zh-CN"/>
              </w:rPr>
              <w:t>15</w:t>
            </w:r>
            <w:r>
              <w:rPr>
                <w:rFonts w:hint="eastAsia" w:ascii="宋体" w:hAnsi="宋体" w:eastAsia="宋体" w:cs="宋体"/>
                <w:szCs w:val="21"/>
              </w:rPr>
              <w:t>分，全部提供得</w:t>
            </w:r>
            <w:r>
              <w:rPr>
                <w:rFonts w:hint="eastAsia" w:ascii="宋体" w:hAnsi="宋体" w:eastAsia="宋体" w:cs="宋体"/>
                <w:szCs w:val="21"/>
                <w:lang w:val="en-US" w:eastAsia="zh-CN"/>
              </w:rPr>
              <w:t>60</w:t>
            </w:r>
            <w:r>
              <w:rPr>
                <w:rFonts w:hint="eastAsia" w:ascii="宋体" w:hAnsi="宋体" w:eastAsia="宋体" w:cs="宋体"/>
                <w:szCs w:val="21"/>
              </w:rPr>
              <w:t>分；</w:t>
            </w:r>
          </w:p>
          <w:p>
            <w:pPr>
              <w:wordWrap w:val="0"/>
              <w:rPr>
                <w:rFonts w:hint="eastAsia" w:ascii="宋体" w:hAnsi="宋体" w:eastAsia="宋体" w:cs="宋体"/>
                <w:szCs w:val="21"/>
              </w:rPr>
            </w:pPr>
            <w:r>
              <w:rPr>
                <w:rFonts w:hint="eastAsia" w:ascii="宋体" w:hAnsi="宋体" w:eastAsia="宋体" w:cs="宋体"/>
                <w:szCs w:val="21"/>
              </w:rPr>
              <w:t>2、在此基础上，专家根据各</w:t>
            </w:r>
            <w:r>
              <w:rPr>
                <w:rFonts w:hint="eastAsia" w:ascii="宋体" w:hAnsi="宋体" w:eastAsia="宋体" w:cs="宋体"/>
                <w:szCs w:val="21"/>
                <w:lang w:val="en-US" w:eastAsia="zh-CN"/>
              </w:rPr>
              <w:t>投标人</w:t>
            </w:r>
            <w:r>
              <w:rPr>
                <w:rFonts w:hint="eastAsia" w:ascii="宋体" w:hAnsi="宋体" w:eastAsia="宋体" w:cs="宋体"/>
                <w:szCs w:val="21"/>
              </w:rPr>
              <w:t>的具体响应内容按照量化的评审因素指标进一步评审：</w:t>
            </w:r>
          </w:p>
          <w:p>
            <w:pPr>
              <w:wordWrap w:val="0"/>
              <w:rPr>
                <w:rFonts w:hint="eastAsia" w:ascii="宋体" w:hAnsi="宋体" w:eastAsia="宋体" w:cs="宋体"/>
                <w:szCs w:val="21"/>
              </w:rPr>
            </w:pPr>
            <w:r>
              <w:rPr>
                <w:rFonts w:hint="eastAsia" w:ascii="宋体" w:hAnsi="宋体" w:eastAsia="宋体" w:cs="宋体"/>
                <w:szCs w:val="21"/>
              </w:rPr>
              <w:t>（1）评审为优：方案符合实际、完整、规范、思路清晰，内容合理性强，加</w:t>
            </w:r>
            <w:r>
              <w:rPr>
                <w:rFonts w:hint="eastAsia" w:ascii="宋体" w:hAnsi="宋体" w:eastAsia="宋体" w:cs="宋体"/>
                <w:szCs w:val="21"/>
                <w:lang w:val="en-US" w:eastAsia="zh-CN"/>
              </w:rPr>
              <w:t>40</w:t>
            </w:r>
            <w:r>
              <w:rPr>
                <w:rFonts w:hint="eastAsia" w:ascii="宋体" w:hAnsi="宋体" w:eastAsia="宋体" w:cs="宋体"/>
                <w:szCs w:val="21"/>
              </w:rPr>
              <w:t>分；</w:t>
            </w:r>
          </w:p>
          <w:p>
            <w:pPr>
              <w:wordWrap w:val="0"/>
              <w:rPr>
                <w:rFonts w:hint="eastAsia" w:ascii="宋体" w:hAnsi="宋体" w:eastAsia="宋体" w:cs="宋体"/>
                <w:szCs w:val="21"/>
              </w:rPr>
            </w:pPr>
            <w:r>
              <w:rPr>
                <w:rFonts w:hint="eastAsia" w:ascii="宋体" w:hAnsi="宋体" w:eastAsia="宋体" w:cs="宋体"/>
                <w:szCs w:val="21"/>
              </w:rPr>
              <w:t>（2）评审为良：方案较符合实际、较完整规范、思路较清晰，内容合理性较强，加</w:t>
            </w:r>
            <w:r>
              <w:rPr>
                <w:rFonts w:hint="eastAsia" w:ascii="宋体" w:hAnsi="宋体" w:eastAsia="宋体" w:cs="宋体"/>
                <w:szCs w:val="21"/>
                <w:lang w:val="en-US" w:eastAsia="zh-CN"/>
              </w:rPr>
              <w:t>20</w:t>
            </w:r>
            <w:r>
              <w:rPr>
                <w:rFonts w:hint="eastAsia" w:ascii="宋体" w:hAnsi="宋体" w:eastAsia="宋体" w:cs="宋体"/>
                <w:szCs w:val="21"/>
              </w:rPr>
              <w:t>分；</w:t>
            </w:r>
          </w:p>
          <w:p>
            <w:pPr>
              <w:wordWrap w:val="0"/>
              <w:rPr>
                <w:rFonts w:hint="eastAsia" w:ascii="宋体" w:hAnsi="宋体" w:eastAsia="宋体" w:cs="宋体"/>
                <w:szCs w:val="21"/>
              </w:rPr>
            </w:pPr>
            <w:r>
              <w:rPr>
                <w:rFonts w:hint="eastAsia" w:ascii="宋体" w:hAnsi="宋体" w:eastAsia="宋体" w:cs="宋体"/>
                <w:szCs w:val="21"/>
              </w:rPr>
              <w:t>（3）评审为中：方案较普通、完整性、规范性一般，思路不够清晰，内容合理性</w:t>
            </w:r>
            <w:r>
              <w:rPr>
                <w:rFonts w:hint="eastAsia" w:ascii="宋体" w:hAnsi="宋体" w:eastAsia="宋体" w:cs="宋体"/>
                <w:szCs w:val="21"/>
                <w:lang w:val="en-US" w:eastAsia="zh-CN"/>
              </w:rPr>
              <w:t>一</w:t>
            </w:r>
            <w:r>
              <w:rPr>
                <w:rFonts w:hint="eastAsia" w:ascii="宋体" w:hAnsi="宋体" w:eastAsia="宋体" w:cs="宋体"/>
                <w:szCs w:val="21"/>
              </w:rPr>
              <w:t>般，加</w:t>
            </w:r>
            <w:r>
              <w:rPr>
                <w:rFonts w:hint="eastAsia" w:ascii="宋体" w:hAnsi="宋体" w:eastAsia="宋体" w:cs="宋体"/>
                <w:szCs w:val="21"/>
                <w:lang w:val="en-US" w:eastAsia="zh-CN"/>
              </w:rPr>
              <w:t>10</w:t>
            </w:r>
            <w:r>
              <w:rPr>
                <w:rFonts w:hint="eastAsia" w:ascii="宋体" w:hAnsi="宋体" w:eastAsia="宋体" w:cs="宋体"/>
                <w:szCs w:val="21"/>
              </w:rPr>
              <w:t>分；</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rPr>
              <w:t>（4）评审为差：方案不完整、不规范，思路不清晰，内容合理性较差，不加分。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 w:val="21"/>
                <w:szCs w:val="21"/>
              </w:rPr>
              <w:t>售后服务方案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b/>
                <w:bCs/>
                <w:kern w:val="0"/>
                <w:sz w:val="21"/>
                <w:szCs w:val="21"/>
                <w:lang w:val="en-US" w:eastAsia="zh-CN" w:bidi="ar"/>
              </w:rPr>
              <w:t>（一）评分内容</w:t>
            </w:r>
            <w:r>
              <w:rPr>
                <w:rFonts w:hint="eastAsia" w:ascii="宋体" w:hAnsi="宋体" w:eastAsia="宋体" w:cs="宋体"/>
                <w:kern w:val="0"/>
                <w:sz w:val="21"/>
                <w:szCs w:val="21"/>
                <w:lang w:val="en-US" w:eastAsia="zh-CN" w:bidi="ar"/>
              </w:rPr>
              <w:t>：</w:t>
            </w:r>
          </w:p>
          <w:p>
            <w:pPr>
              <w:widowControl/>
              <w:numPr>
                <w:ilvl w:val="0"/>
                <w:numId w:val="0"/>
              </w:numPr>
              <w:snapToGrid w:val="0"/>
              <w:spacing w:line="320" w:lineRule="exact"/>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根据投标人提供本项目的售后服务方案</w:t>
            </w:r>
            <w:r>
              <w:rPr>
                <w:rFonts w:hint="eastAsia" w:ascii="宋体" w:hAnsi="宋体" w:eastAsia="宋体" w:cs="宋体"/>
                <w:kern w:val="0"/>
                <w:sz w:val="21"/>
                <w:szCs w:val="21"/>
                <w:lang w:val="en-US" w:eastAsia="zh-CN" w:bidi="ar"/>
              </w:rPr>
              <w:t>进行评价</w:t>
            </w:r>
            <w:r>
              <w:rPr>
                <w:rFonts w:hint="eastAsia" w:ascii="宋体" w:hAnsi="宋体" w:eastAsia="宋体" w:cs="宋体"/>
                <w:bCs/>
                <w:szCs w:val="21"/>
                <w:highlight w:val="none"/>
                <w:lang w:val="en-US" w:eastAsia="zh-CN"/>
              </w:rPr>
              <w:t>，</w:t>
            </w:r>
            <w:r>
              <w:rPr>
                <w:rFonts w:hint="eastAsia" w:ascii="宋体" w:hAnsi="宋体" w:eastAsia="宋体" w:cs="宋体"/>
                <w:sz w:val="21"/>
                <w:szCs w:val="21"/>
              </w:rPr>
              <w:t>方案</w:t>
            </w:r>
            <w:r>
              <w:rPr>
                <w:rFonts w:hint="eastAsia" w:ascii="宋体" w:hAnsi="宋体" w:eastAsia="宋体" w:cs="宋体"/>
                <w:bCs/>
                <w:szCs w:val="21"/>
                <w:highlight w:val="none"/>
                <w:lang w:val="en-US" w:eastAsia="zh-CN"/>
              </w:rPr>
              <w:t>包括但不限于以下：</w:t>
            </w:r>
          </w:p>
          <w:p>
            <w:pPr>
              <w:widowControl/>
              <w:numPr>
                <w:ilvl w:val="0"/>
                <w:numId w:val="8"/>
              </w:numPr>
              <w:snapToGrid w:val="0"/>
              <w:spacing w:line="320" w:lineRule="exact"/>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服务内容；</w:t>
            </w:r>
          </w:p>
          <w:p>
            <w:pPr>
              <w:widowControl/>
              <w:numPr>
                <w:ilvl w:val="0"/>
                <w:numId w:val="8"/>
              </w:numPr>
              <w:snapToGrid w:val="0"/>
              <w:spacing w:line="320" w:lineRule="exact"/>
              <w:ind w:left="0" w:leftChars="0" w:firstLine="0" w:firstLineChars="0"/>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维修应急方案；</w:t>
            </w:r>
          </w:p>
          <w:p>
            <w:pPr>
              <w:widowControl/>
              <w:numPr>
                <w:ilvl w:val="0"/>
                <w:numId w:val="8"/>
              </w:numPr>
              <w:snapToGrid w:val="0"/>
              <w:spacing w:line="320" w:lineRule="exact"/>
              <w:ind w:left="0" w:leftChars="0" w:firstLine="0" w:firstLineChars="0"/>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培训计划；</w:t>
            </w:r>
          </w:p>
          <w:p>
            <w:pPr>
              <w:widowControl/>
              <w:numPr>
                <w:ilvl w:val="0"/>
                <w:numId w:val="8"/>
              </w:numPr>
              <w:snapToGrid w:val="0"/>
              <w:spacing w:line="320" w:lineRule="exact"/>
              <w:ind w:left="0" w:leftChars="0" w:firstLine="0" w:firstLineChars="0"/>
              <w:rPr>
                <w:rFonts w:hint="eastAsia" w:ascii="宋体" w:hAnsi="宋体" w:eastAsia="宋体" w:cs="宋体"/>
                <w:bCs/>
                <w:szCs w:val="21"/>
                <w:highlight w:val="none"/>
                <w:lang w:val="en-US" w:eastAsia="zh-CN"/>
              </w:rPr>
            </w:pPr>
            <w:r>
              <w:rPr>
                <w:rFonts w:hint="eastAsia" w:ascii="宋体" w:hAnsi="宋体" w:eastAsia="宋体" w:cs="宋体"/>
                <w:bCs/>
                <w:szCs w:val="21"/>
                <w:highlight w:val="none"/>
                <w:lang w:val="en-US" w:eastAsia="zh-CN"/>
              </w:rPr>
              <w:t>其他特色服务等。</w:t>
            </w:r>
          </w:p>
          <w:p>
            <w:pPr>
              <w:wordWrap w:val="0"/>
              <w:rPr>
                <w:rFonts w:hint="eastAsia" w:ascii="宋体" w:hAnsi="宋体" w:eastAsia="宋体" w:cs="宋体"/>
                <w:b/>
                <w:bCs/>
                <w:szCs w:val="21"/>
              </w:rPr>
            </w:pPr>
            <w:r>
              <w:rPr>
                <w:rFonts w:hint="eastAsia" w:ascii="宋体" w:hAnsi="宋体" w:eastAsia="宋体" w:cs="宋体"/>
                <w:b/>
                <w:bCs/>
                <w:szCs w:val="21"/>
              </w:rPr>
              <w:t>（二）评分</w:t>
            </w:r>
            <w:r>
              <w:rPr>
                <w:rFonts w:hint="eastAsia" w:ascii="宋体" w:hAnsi="宋体" w:eastAsia="宋体" w:cs="宋体"/>
                <w:b/>
                <w:bCs/>
                <w:sz w:val="21"/>
                <w:szCs w:val="21"/>
                <w:highlight w:val="none"/>
              </w:rPr>
              <w:t>依据</w:t>
            </w:r>
            <w:r>
              <w:rPr>
                <w:rFonts w:hint="eastAsia" w:ascii="宋体" w:hAnsi="宋体" w:eastAsia="宋体" w:cs="宋体"/>
                <w:b/>
                <w:bCs/>
                <w:szCs w:val="21"/>
              </w:rPr>
              <w:t>：</w:t>
            </w:r>
          </w:p>
          <w:p>
            <w:pPr>
              <w:wordWrap w:val="0"/>
              <w:rPr>
                <w:rFonts w:hint="eastAsia" w:ascii="宋体" w:hAnsi="宋体" w:eastAsia="宋体" w:cs="宋体"/>
                <w:szCs w:val="21"/>
              </w:rPr>
            </w:pPr>
            <w:r>
              <w:rPr>
                <w:rFonts w:hint="eastAsia" w:ascii="宋体" w:hAnsi="宋体" w:eastAsia="宋体" w:cs="宋体"/>
                <w:szCs w:val="21"/>
              </w:rPr>
              <w:t>1、每提供上述任意一项内容得</w:t>
            </w:r>
            <w:r>
              <w:rPr>
                <w:rFonts w:hint="eastAsia" w:ascii="宋体" w:hAnsi="宋体" w:eastAsia="宋体" w:cs="宋体"/>
                <w:szCs w:val="21"/>
                <w:lang w:val="en-US" w:eastAsia="zh-CN"/>
              </w:rPr>
              <w:t>15</w:t>
            </w:r>
            <w:r>
              <w:rPr>
                <w:rFonts w:hint="eastAsia" w:ascii="宋体" w:hAnsi="宋体" w:eastAsia="宋体" w:cs="宋体"/>
                <w:szCs w:val="21"/>
              </w:rPr>
              <w:t>分，全部提供得</w:t>
            </w:r>
            <w:r>
              <w:rPr>
                <w:rFonts w:hint="eastAsia" w:ascii="宋体" w:hAnsi="宋体" w:eastAsia="宋体" w:cs="宋体"/>
                <w:szCs w:val="21"/>
                <w:lang w:val="en-US" w:eastAsia="zh-CN"/>
              </w:rPr>
              <w:t>60</w:t>
            </w:r>
            <w:r>
              <w:rPr>
                <w:rFonts w:hint="eastAsia" w:ascii="宋体" w:hAnsi="宋体" w:eastAsia="宋体" w:cs="宋体"/>
                <w:szCs w:val="21"/>
              </w:rPr>
              <w:t>分；</w:t>
            </w:r>
          </w:p>
          <w:p>
            <w:pPr>
              <w:wordWrap w:val="0"/>
              <w:rPr>
                <w:rFonts w:hint="eastAsia" w:ascii="宋体" w:hAnsi="宋体" w:eastAsia="宋体" w:cs="宋体"/>
                <w:szCs w:val="21"/>
              </w:rPr>
            </w:pPr>
            <w:r>
              <w:rPr>
                <w:rFonts w:hint="eastAsia" w:ascii="宋体" w:hAnsi="宋体" w:eastAsia="宋体" w:cs="宋体"/>
                <w:szCs w:val="21"/>
              </w:rPr>
              <w:t>2、在此基础上，专家根据各</w:t>
            </w:r>
            <w:r>
              <w:rPr>
                <w:rFonts w:hint="eastAsia" w:ascii="宋体" w:hAnsi="宋体" w:eastAsia="宋体" w:cs="宋体"/>
                <w:szCs w:val="21"/>
                <w:lang w:val="en-US" w:eastAsia="zh-CN"/>
              </w:rPr>
              <w:t>投标人</w:t>
            </w:r>
            <w:r>
              <w:rPr>
                <w:rFonts w:hint="eastAsia" w:ascii="宋体" w:hAnsi="宋体" w:eastAsia="宋体" w:cs="宋体"/>
                <w:szCs w:val="21"/>
              </w:rPr>
              <w:t>的具体响应内容按照量化的评审因素指标进一步评审：</w:t>
            </w:r>
          </w:p>
          <w:p>
            <w:pPr>
              <w:wordWrap w:val="0"/>
              <w:rPr>
                <w:rFonts w:hint="eastAsia" w:ascii="宋体" w:hAnsi="宋体" w:eastAsia="宋体" w:cs="宋体"/>
                <w:szCs w:val="21"/>
              </w:rPr>
            </w:pPr>
            <w:r>
              <w:rPr>
                <w:rFonts w:hint="eastAsia" w:ascii="宋体" w:hAnsi="宋体" w:eastAsia="宋体" w:cs="宋体"/>
                <w:szCs w:val="21"/>
              </w:rPr>
              <w:t>（1）评审为优：方案符合实际、完整、规范、思路清晰，内容合理性强，加</w:t>
            </w:r>
            <w:r>
              <w:rPr>
                <w:rFonts w:hint="eastAsia" w:ascii="宋体" w:hAnsi="宋体" w:eastAsia="宋体" w:cs="宋体"/>
                <w:szCs w:val="21"/>
                <w:lang w:val="en-US" w:eastAsia="zh-CN"/>
              </w:rPr>
              <w:t>40</w:t>
            </w:r>
            <w:r>
              <w:rPr>
                <w:rFonts w:hint="eastAsia" w:ascii="宋体" w:hAnsi="宋体" w:eastAsia="宋体" w:cs="宋体"/>
                <w:szCs w:val="21"/>
              </w:rPr>
              <w:t>分；</w:t>
            </w:r>
          </w:p>
          <w:p>
            <w:pPr>
              <w:wordWrap w:val="0"/>
              <w:rPr>
                <w:rFonts w:hint="eastAsia" w:ascii="宋体" w:hAnsi="宋体" w:eastAsia="宋体" w:cs="宋体"/>
                <w:szCs w:val="21"/>
              </w:rPr>
            </w:pPr>
            <w:r>
              <w:rPr>
                <w:rFonts w:hint="eastAsia" w:ascii="宋体" w:hAnsi="宋体" w:eastAsia="宋体" w:cs="宋体"/>
                <w:szCs w:val="21"/>
              </w:rPr>
              <w:t>（2）评审为良：方案较符合实际、较完整规范、思路较清晰，内容合理性较强，加</w:t>
            </w:r>
            <w:r>
              <w:rPr>
                <w:rFonts w:hint="eastAsia" w:ascii="宋体" w:hAnsi="宋体" w:eastAsia="宋体" w:cs="宋体"/>
                <w:szCs w:val="21"/>
                <w:lang w:val="en-US" w:eastAsia="zh-CN"/>
              </w:rPr>
              <w:t>20</w:t>
            </w:r>
            <w:r>
              <w:rPr>
                <w:rFonts w:hint="eastAsia" w:ascii="宋体" w:hAnsi="宋体" w:eastAsia="宋体" w:cs="宋体"/>
                <w:szCs w:val="21"/>
              </w:rPr>
              <w:t>分；</w:t>
            </w:r>
          </w:p>
          <w:p>
            <w:pPr>
              <w:wordWrap w:val="0"/>
              <w:rPr>
                <w:rFonts w:hint="eastAsia" w:ascii="宋体" w:hAnsi="宋体" w:eastAsia="宋体" w:cs="宋体"/>
                <w:szCs w:val="21"/>
              </w:rPr>
            </w:pPr>
            <w:r>
              <w:rPr>
                <w:rFonts w:hint="eastAsia" w:ascii="宋体" w:hAnsi="宋体" w:eastAsia="宋体" w:cs="宋体"/>
                <w:szCs w:val="21"/>
              </w:rPr>
              <w:t>（3）评审为中：方案较普通、完整性、规范性一般，思路不够清晰，内容合理性</w:t>
            </w:r>
            <w:r>
              <w:rPr>
                <w:rFonts w:hint="eastAsia" w:ascii="宋体" w:hAnsi="宋体" w:eastAsia="宋体" w:cs="宋体"/>
                <w:szCs w:val="21"/>
                <w:lang w:val="en-US" w:eastAsia="zh-CN"/>
              </w:rPr>
              <w:t>一</w:t>
            </w:r>
            <w:r>
              <w:rPr>
                <w:rFonts w:hint="eastAsia" w:ascii="宋体" w:hAnsi="宋体" w:eastAsia="宋体" w:cs="宋体"/>
                <w:szCs w:val="21"/>
              </w:rPr>
              <w:t>般，加</w:t>
            </w:r>
            <w:r>
              <w:rPr>
                <w:rFonts w:hint="eastAsia" w:ascii="宋体" w:hAnsi="宋体" w:eastAsia="宋体" w:cs="宋体"/>
                <w:szCs w:val="21"/>
                <w:lang w:val="en-US" w:eastAsia="zh-CN"/>
              </w:rPr>
              <w:t>10</w:t>
            </w:r>
            <w:r>
              <w:rPr>
                <w:rFonts w:hint="eastAsia" w:ascii="宋体" w:hAnsi="宋体" w:eastAsia="宋体" w:cs="宋体"/>
                <w:szCs w:val="21"/>
              </w:rPr>
              <w:t>分；</w:t>
            </w:r>
          </w:p>
          <w:p>
            <w:pPr>
              <w:widowControl/>
              <w:numPr>
                <w:ilvl w:val="0"/>
                <w:numId w:val="0"/>
              </w:numPr>
              <w:snapToGrid w:val="0"/>
              <w:spacing w:line="320" w:lineRule="exact"/>
              <w:ind w:left="0" w:leftChars="0" w:firstLine="420" w:firstLineChars="200"/>
              <w:rPr>
                <w:rFonts w:hint="eastAsia" w:ascii="宋体" w:hAnsi="宋体" w:eastAsia="宋体" w:cs="宋体"/>
                <w:kern w:val="0"/>
                <w:sz w:val="21"/>
                <w:szCs w:val="21"/>
                <w:lang w:val="en-US" w:eastAsia="zh-CN" w:bidi="ar-SA"/>
              </w:rPr>
            </w:pPr>
            <w:r>
              <w:rPr>
                <w:rFonts w:hint="eastAsia" w:ascii="宋体" w:hAnsi="宋体" w:eastAsia="宋体" w:cs="宋体"/>
                <w:szCs w:val="21"/>
              </w:rPr>
              <w:t>（4）评审为差：方案不完整、不规范，思路不清晰，内容合理性较差，不加分。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1"/>
                <w:szCs w:val="21"/>
                <w:lang w:val="en-US" w:eastAsia="zh-CN"/>
              </w:rPr>
            </w:pPr>
            <w:r>
              <w:rPr>
                <w:rFonts w:hint="eastAsia" w:ascii="宋体" w:hAnsi="宋体" w:eastAsia="宋体" w:cs="宋体"/>
                <w:b/>
                <w:bCs/>
                <w:color w:val="0000FF"/>
                <w:kern w:val="0"/>
                <w:sz w:val="21"/>
                <w:szCs w:val="21"/>
                <w:lang w:val="en-US" w:eastAsia="zh-CN" w:bidi="ar"/>
              </w:rPr>
              <w:t>综合实力</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1"/>
                <w:szCs w:val="21"/>
                <w:lang w:val="en-US" w:eastAsia="zh-CN"/>
              </w:rPr>
            </w:pPr>
            <w:r>
              <w:rPr>
                <w:rFonts w:hint="eastAsia" w:ascii="宋体" w:hAnsi="宋体" w:eastAsia="宋体" w:cs="宋体"/>
                <w:b/>
                <w:bCs/>
                <w:color w:val="0000FF"/>
                <w:sz w:val="21"/>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1"/>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hint="eastAsia" w:ascii="宋体" w:hAnsi="宋体" w:eastAsia="宋体" w:cs="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rPr>
            </w:pPr>
            <w:r>
              <w:rPr>
                <w:rFonts w:hint="eastAsia" w:ascii="宋体" w:hAnsi="宋体" w:eastAsia="宋体" w:cs="宋体"/>
                <w:kern w:val="0"/>
                <w:sz w:val="21"/>
                <w:szCs w:val="21"/>
              </w:rPr>
              <w:t>投标人同类业绩</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widowControl/>
              <w:rPr>
                <w:rFonts w:hint="eastAsia" w:ascii="宋体" w:hAnsi="宋体" w:eastAsia="宋体" w:cs="宋体"/>
                <w:sz w:val="21"/>
                <w:szCs w:val="21"/>
              </w:rPr>
            </w:pPr>
            <w:r>
              <w:rPr>
                <w:rFonts w:hint="eastAsia" w:ascii="宋体" w:hAnsi="宋体" w:eastAsia="宋体" w:cs="宋体"/>
                <w:b/>
                <w:bCs/>
                <w:sz w:val="21"/>
                <w:szCs w:val="21"/>
              </w:rPr>
              <w:t>（一）评分内容：</w:t>
            </w:r>
          </w:p>
          <w:p>
            <w:pPr>
              <w:rPr>
                <w:rFonts w:hint="eastAsia" w:ascii="宋体" w:hAnsi="宋体" w:eastAsia="宋体" w:cs="宋体"/>
                <w:sz w:val="21"/>
                <w:szCs w:val="21"/>
                <w:lang w:val="en-US" w:eastAsia="zh-CN"/>
              </w:rPr>
            </w:pPr>
            <w:r>
              <w:rPr>
                <w:rFonts w:hint="eastAsia" w:ascii="宋体" w:hAnsi="宋体" w:eastAsia="宋体" w:cs="宋体"/>
                <w:sz w:val="21"/>
                <w:szCs w:val="21"/>
              </w:rPr>
              <w:t>投标人自202</w:t>
            </w:r>
            <w:r>
              <w:rPr>
                <w:rFonts w:hint="eastAsia" w:ascii="宋体" w:hAnsi="宋体" w:eastAsia="宋体" w:cs="宋体"/>
                <w:sz w:val="21"/>
                <w:szCs w:val="21"/>
                <w:lang w:val="en-US" w:eastAsia="zh-CN"/>
              </w:rPr>
              <w:t>2</w:t>
            </w:r>
            <w:r>
              <w:rPr>
                <w:rFonts w:hint="eastAsia" w:ascii="宋体" w:hAnsi="宋体" w:eastAsia="宋体" w:cs="宋体"/>
                <w:sz w:val="21"/>
                <w:szCs w:val="21"/>
              </w:rPr>
              <w:t>年1月1日至本项目投标截止日（以合同签订日期为准），</w:t>
            </w:r>
            <w:r>
              <w:rPr>
                <w:rFonts w:hint="eastAsia" w:ascii="宋体" w:hAnsi="宋体" w:eastAsia="宋体" w:cs="宋体"/>
                <w:sz w:val="21"/>
                <w:szCs w:val="21"/>
                <w:lang w:val="en-US" w:eastAsia="zh-CN"/>
              </w:rPr>
              <w:t>每提供一项</w:t>
            </w:r>
            <w:r>
              <w:rPr>
                <w:rFonts w:hint="eastAsia" w:ascii="宋体" w:hAnsi="宋体" w:eastAsia="宋体" w:cs="宋体"/>
                <w:kern w:val="2"/>
                <w:sz w:val="21"/>
                <w:szCs w:val="21"/>
              </w:rPr>
              <w:t>教学设备</w:t>
            </w:r>
            <w:r>
              <w:rPr>
                <w:rFonts w:hint="eastAsia" w:ascii="宋体" w:hAnsi="宋体" w:eastAsia="宋体" w:cs="宋体"/>
                <w:kern w:val="2"/>
                <w:sz w:val="21"/>
                <w:szCs w:val="21"/>
                <w:lang w:val="en-US" w:eastAsia="zh-CN"/>
              </w:rPr>
              <w:t>货物类</w:t>
            </w:r>
            <w:r>
              <w:rPr>
                <w:rFonts w:hint="eastAsia" w:ascii="宋体" w:hAnsi="宋体" w:eastAsia="宋体" w:cs="宋体"/>
                <w:sz w:val="21"/>
                <w:szCs w:val="21"/>
              </w:rPr>
              <w:t>项目业绩得</w:t>
            </w:r>
            <w:r>
              <w:rPr>
                <w:rFonts w:hint="eastAsia" w:ascii="宋体" w:hAnsi="宋体" w:eastAsia="宋体" w:cs="宋体"/>
                <w:sz w:val="21"/>
                <w:szCs w:val="21"/>
                <w:lang w:val="en-US" w:eastAsia="zh-CN"/>
              </w:rPr>
              <w:t>20</w:t>
            </w:r>
            <w:r>
              <w:rPr>
                <w:rFonts w:hint="eastAsia" w:ascii="宋体" w:hAnsi="宋体" w:eastAsia="宋体" w:cs="宋体"/>
                <w:sz w:val="21"/>
                <w:szCs w:val="21"/>
              </w:rPr>
              <w:t>分，最高得1</w:t>
            </w:r>
            <w:r>
              <w:rPr>
                <w:rFonts w:hint="eastAsia" w:ascii="宋体" w:hAnsi="宋体" w:eastAsia="宋体" w:cs="宋体"/>
                <w:sz w:val="21"/>
                <w:szCs w:val="21"/>
                <w:lang w:val="en-US" w:eastAsia="zh-CN"/>
              </w:rPr>
              <w:t>0</w:t>
            </w:r>
            <w:r>
              <w:rPr>
                <w:rFonts w:hint="eastAsia" w:ascii="宋体" w:hAnsi="宋体" w:eastAsia="宋体" w:cs="宋体"/>
                <w:sz w:val="21"/>
                <w:szCs w:val="21"/>
              </w:rPr>
              <w:t>0分</w:t>
            </w:r>
            <w:r>
              <w:rPr>
                <w:rFonts w:hint="eastAsia" w:ascii="宋体" w:hAnsi="宋体" w:eastAsia="宋体" w:cs="宋体"/>
                <w:sz w:val="21"/>
                <w:szCs w:val="21"/>
                <w:lang w:val="en-US" w:eastAsia="zh-CN"/>
              </w:rPr>
              <w:t>。</w:t>
            </w:r>
          </w:p>
          <w:p>
            <w:pPr>
              <w:widowControl/>
              <w:wordWrap/>
              <w:rPr>
                <w:rFonts w:hint="eastAsia" w:ascii="宋体" w:hAnsi="宋体" w:eastAsia="宋体" w:cs="宋体"/>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二</w:t>
            </w:r>
            <w:r>
              <w:rPr>
                <w:rFonts w:hint="eastAsia" w:ascii="宋体" w:hAnsi="宋体" w:eastAsia="宋体" w:cs="宋体"/>
                <w:b/>
                <w:bCs/>
                <w:sz w:val="21"/>
                <w:szCs w:val="21"/>
                <w:lang w:eastAsia="zh-CN"/>
              </w:rPr>
              <w:t>）</w:t>
            </w:r>
            <w:r>
              <w:rPr>
                <w:rFonts w:hint="eastAsia" w:ascii="宋体" w:hAnsi="宋体" w:eastAsia="宋体" w:cs="宋体"/>
                <w:b/>
                <w:bCs/>
                <w:sz w:val="21"/>
                <w:szCs w:val="21"/>
              </w:rPr>
              <w:t>评分依据</w:t>
            </w:r>
            <w:r>
              <w:rPr>
                <w:rFonts w:hint="eastAsia" w:ascii="宋体" w:hAnsi="宋体" w:eastAsia="宋体" w:cs="宋体"/>
                <w:b/>
                <w:bCs/>
                <w:sz w:val="21"/>
                <w:szCs w:val="21"/>
                <w:lang w:eastAsia="zh-CN"/>
              </w:rPr>
              <w:t>：</w:t>
            </w:r>
          </w:p>
          <w:p>
            <w:pPr>
              <w:wordWrap w:val="0"/>
              <w:rPr>
                <w:rFonts w:hint="eastAsia" w:ascii="宋体" w:hAnsi="宋体" w:eastAsia="宋体" w:cs="宋体"/>
                <w:szCs w:val="21"/>
              </w:rPr>
            </w:pPr>
            <w:r>
              <w:rPr>
                <w:rFonts w:hint="eastAsia" w:ascii="宋体" w:hAnsi="宋体" w:eastAsia="宋体" w:cs="宋体"/>
                <w:szCs w:val="21"/>
              </w:rPr>
              <w:t>1、每项业绩按以下要求提供完整准确的证明文件，一个合同计算一个业绩，一年一签的续签合同只计算一个业绩：</w:t>
            </w:r>
          </w:p>
          <w:p>
            <w:pPr>
              <w:wordWrap w:val="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①中标通知书</w:t>
            </w:r>
            <w:r>
              <w:rPr>
                <w:rFonts w:hint="eastAsia" w:ascii="宋体" w:hAnsi="宋体" w:eastAsia="宋体" w:cs="宋体"/>
                <w:b w:val="0"/>
                <w:bCs w:val="0"/>
                <w:sz w:val="21"/>
                <w:szCs w:val="21"/>
                <w:lang w:eastAsia="zh-CN"/>
              </w:rPr>
              <w:t>；</w:t>
            </w:r>
          </w:p>
          <w:p>
            <w:pPr>
              <w:wordWrap w:val="0"/>
              <w:rPr>
                <w:rFonts w:hint="eastAsia" w:ascii="宋体" w:hAnsi="宋体" w:eastAsia="宋体" w:cs="宋体"/>
                <w:szCs w:val="21"/>
              </w:rPr>
            </w:pPr>
            <w:r>
              <w:rPr>
                <w:rFonts w:hint="eastAsia" w:ascii="宋体" w:hAnsi="宋体" w:eastAsia="宋体" w:cs="宋体"/>
                <w:szCs w:val="21"/>
              </w:rPr>
              <w:t>②合同关键页（关键信息包括但不仅限于合同的项目名称、服务内容、合同服务的起止时间、合同双方的盖章、签订日期等）；</w:t>
            </w:r>
          </w:p>
          <w:p>
            <w:pPr>
              <w:widowControl/>
              <w:wordWrap/>
              <w:jc w:val="left"/>
              <w:textAlignment w:val="auto"/>
              <w:rPr>
                <w:rFonts w:hint="eastAsia" w:ascii="宋体" w:hAnsi="宋体" w:eastAsia="宋体" w:cs="宋体"/>
                <w:szCs w:val="21"/>
              </w:rPr>
            </w:pPr>
            <w:r>
              <w:rPr>
                <w:rFonts w:hint="eastAsia" w:ascii="宋体" w:hAnsi="宋体" w:eastAsia="宋体" w:cs="宋体"/>
                <w:szCs w:val="21"/>
              </w:rPr>
              <w:t>2、未提供证明材料或者提供的证明材料不符合要求或提供的证明材料不清晰导致评审专家无法辨认的，不得分。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1"/>
                <w:szCs w:val="21"/>
                <w:lang w:eastAsia="zh-CN"/>
              </w:rPr>
            </w:pPr>
            <w:r>
              <w:rPr>
                <w:rFonts w:hint="eastAsia" w:ascii="宋体" w:hAnsi="宋体" w:eastAsia="宋体" w:cs="宋体"/>
                <w:b/>
                <w:bCs/>
                <w:color w:val="0000FF"/>
                <w:kern w:val="0"/>
                <w:sz w:val="21"/>
                <w:szCs w:val="21"/>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宋体" w:hAnsi="宋体" w:eastAsia="宋体" w:cs="宋体"/>
                <w:b/>
                <w:bCs/>
                <w:color w:val="0000FF"/>
                <w:sz w:val="21"/>
                <w:szCs w:val="21"/>
                <w:lang w:val="en-US" w:eastAsia="zh-CN"/>
              </w:rPr>
            </w:pPr>
            <w:r>
              <w:rPr>
                <w:rFonts w:hint="eastAsia" w:ascii="宋体" w:hAnsi="宋体" w:eastAsia="宋体" w:cs="宋体"/>
                <w:b/>
                <w:bCs/>
                <w:color w:val="0000FF"/>
                <w:sz w:val="21"/>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1"/>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宋体" w:hAnsi="宋体" w:eastAsia="宋体" w:cs="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hint="eastAsia" w:ascii="宋体" w:hAnsi="宋体" w:eastAsia="宋体" w:cs="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宋体" w:hAnsi="宋体" w:eastAsia="宋体" w:cs="宋体"/>
                <w:szCs w:val="21"/>
              </w:rPr>
            </w:pPr>
            <w:r>
              <w:rPr>
                <w:rFonts w:hint="eastAsia" w:ascii="宋体" w:hAnsi="宋体" w:eastAsia="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rPr>
            </w:pPr>
            <w:r>
              <w:rPr>
                <w:rFonts w:hint="eastAsia" w:ascii="宋体" w:hAnsi="宋体" w:eastAsia="宋体" w:cs="宋体"/>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rPr>
            </w:pPr>
            <w:r>
              <w:rPr>
                <w:rFonts w:hint="eastAsia" w:ascii="宋体" w:hAnsi="宋体" w:eastAsia="宋体" w:cs="宋体"/>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rPr>
            </w:pPr>
            <w:r>
              <w:rPr>
                <w:rFonts w:hint="eastAsia" w:ascii="宋体" w:hAnsi="宋体" w:eastAsia="宋体" w:cs="宋体"/>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宋体" w:hAnsi="宋体" w:eastAsia="宋体" w:cs="宋体"/>
                <w:b w:val="0"/>
                <w:bCs w:val="0"/>
                <w:sz w:val="21"/>
                <w:szCs w:val="21"/>
                <w:lang w:val="en-US" w:eastAsia="zh-CN"/>
              </w:rPr>
              <w:t>有关</w:t>
            </w:r>
            <w:r>
              <w:rPr>
                <w:rFonts w:hint="eastAsia" w:ascii="宋体" w:hAnsi="宋体" w:eastAsia="宋体" w:cs="宋体"/>
                <w:b w:val="0"/>
                <w:bCs w:val="0"/>
                <w:sz w:val="21"/>
                <w:szCs w:val="21"/>
              </w:rPr>
              <w:t>供应商诚信查询结果。</w:t>
            </w:r>
          </w:p>
          <w:p>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Pr>
        <w:rPr>
          <w:rFonts w:hint="eastAsia" w:ascii="宋体" w:hAnsi="宋体" w:eastAsia="宋体" w:cs="宋体"/>
          <w:szCs w:val="21"/>
        </w:rPr>
      </w:pPr>
    </w:p>
    <w:p>
      <w:pPr>
        <w:sectPr>
          <w:pgSz w:w="11907" w:h="16840"/>
          <w:pgMar w:top="1440" w:right="1418" w:bottom="1440" w:left="1418" w:header="851" w:footer="992" w:gutter="0"/>
          <w:cols w:space="425" w:num="1"/>
          <w:titlePg/>
          <w:docGrid w:linePitch="462" w:charSpace="0"/>
        </w:sectPr>
      </w:pPr>
    </w:p>
    <w:p>
      <w:pPr>
        <w:jc w:val="both"/>
        <w:rPr>
          <w:b/>
          <w:sz w:val="84"/>
          <w:szCs w:val="84"/>
        </w:rPr>
      </w:pPr>
    </w:p>
    <w:p>
      <w:pPr>
        <w:jc w:val="center"/>
        <w:rPr>
          <w:b/>
          <w:sz w:val="120"/>
          <w:szCs w:val="120"/>
        </w:rPr>
      </w:pPr>
      <w:r>
        <w:rPr>
          <w:rFonts w:hint="eastAsia"/>
          <w:b/>
          <w:sz w:val="120"/>
          <w:szCs w:val="120"/>
        </w:rPr>
        <w:t>政府采购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ind w:firstLine="3654" w:firstLineChars="1300"/>
        <w:rPr>
          <w:rFonts w:ascii="宋体" w:hAnsi="宋体"/>
          <w:color w:val="FF0000"/>
          <w:szCs w:val="21"/>
        </w:rPr>
      </w:pPr>
      <w:bookmarkStart w:id="4" w:name="_Hlk73564573"/>
      <w:r>
        <w:rPr>
          <w:rFonts w:hint="eastAsia" w:ascii="宋体" w:hAnsi="宋体" w:eastAsia="黑体"/>
          <w:b/>
          <w:bCs/>
          <w:color w:val="FF0000"/>
          <w:kern w:val="44"/>
          <w:sz w:val="28"/>
          <w:szCs w:val="44"/>
        </w:rPr>
        <w:t>警示条款</w:t>
      </w:r>
    </w:p>
    <w:p>
      <w:pPr>
        <w:ind w:firstLine="400" w:firstLineChars="200"/>
        <w:rPr>
          <w:rFonts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ind w:firstLine="400" w:firstLineChars="200"/>
        <w:rPr>
          <w:rFonts w:ascii="宋体" w:hAnsi="宋体"/>
          <w:color w:val="FF0000"/>
          <w:sz w:val="20"/>
          <w:szCs w:val="20"/>
        </w:rPr>
      </w:pPr>
      <w:r>
        <w:rPr>
          <w:rFonts w:hint="eastAsia" w:ascii="宋体" w:hAnsi="宋体"/>
          <w:color w:val="FF0000"/>
          <w:sz w:val="20"/>
          <w:szCs w:val="20"/>
        </w:rPr>
        <w:t>（一）在采购活动中应当回避而未回避的；</w:t>
      </w:r>
    </w:p>
    <w:p>
      <w:pPr>
        <w:ind w:firstLine="400" w:firstLineChars="200"/>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ind w:firstLine="400" w:firstLineChars="200"/>
        <w:rPr>
          <w:rFonts w:ascii="宋体" w:hAnsi="宋体"/>
          <w:color w:val="FF0000"/>
          <w:sz w:val="20"/>
          <w:szCs w:val="20"/>
        </w:rPr>
      </w:pPr>
      <w:r>
        <w:rPr>
          <w:rFonts w:hint="eastAsia" w:ascii="宋体" w:hAnsi="宋体"/>
          <w:color w:val="FF0000"/>
          <w:sz w:val="20"/>
          <w:szCs w:val="20"/>
        </w:rPr>
        <w:t>（三）隐瞒真实情况，提供虚假资料的；</w:t>
      </w:r>
    </w:p>
    <w:p>
      <w:pPr>
        <w:ind w:firstLine="400" w:firstLineChars="200"/>
        <w:rPr>
          <w:rFonts w:ascii="宋体" w:hAnsi="宋体"/>
          <w:color w:val="FF0000"/>
          <w:sz w:val="20"/>
          <w:szCs w:val="20"/>
        </w:rPr>
      </w:pPr>
      <w:r>
        <w:rPr>
          <w:rFonts w:hint="eastAsia" w:ascii="宋体" w:hAnsi="宋体"/>
          <w:color w:val="FF0000"/>
          <w:sz w:val="20"/>
          <w:szCs w:val="20"/>
        </w:rPr>
        <w:t>（四）以非法手段排斥其他供应商参与竞争的；</w:t>
      </w:r>
    </w:p>
    <w:p>
      <w:pPr>
        <w:ind w:firstLine="400" w:firstLineChars="200"/>
        <w:rPr>
          <w:rFonts w:ascii="宋体" w:hAnsi="宋体"/>
          <w:color w:val="FF0000"/>
          <w:sz w:val="20"/>
          <w:szCs w:val="20"/>
        </w:rPr>
      </w:pPr>
      <w:r>
        <w:rPr>
          <w:rFonts w:hint="eastAsia" w:ascii="宋体" w:hAnsi="宋体"/>
          <w:color w:val="FF0000"/>
          <w:sz w:val="20"/>
          <w:szCs w:val="20"/>
        </w:rPr>
        <w:t>（五）与其他采购参加人串通投标的；</w:t>
      </w:r>
    </w:p>
    <w:p>
      <w:pPr>
        <w:ind w:firstLine="400" w:firstLineChars="200"/>
        <w:rPr>
          <w:rFonts w:ascii="宋体" w:hAnsi="宋体"/>
          <w:color w:val="FF0000"/>
          <w:sz w:val="20"/>
          <w:szCs w:val="20"/>
        </w:rPr>
      </w:pPr>
      <w:r>
        <w:rPr>
          <w:rFonts w:hint="eastAsia" w:ascii="宋体" w:hAnsi="宋体"/>
          <w:color w:val="FF0000"/>
          <w:sz w:val="20"/>
          <w:szCs w:val="20"/>
        </w:rPr>
        <w:t>（六）恶意投诉的；</w:t>
      </w:r>
    </w:p>
    <w:p>
      <w:pPr>
        <w:ind w:firstLine="400" w:firstLineChars="200"/>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ind w:firstLine="400" w:firstLineChars="200"/>
        <w:rPr>
          <w:rFonts w:ascii="宋体" w:hAnsi="宋体"/>
          <w:color w:val="FF0000"/>
          <w:sz w:val="20"/>
          <w:szCs w:val="20"/>
        </w:rPr>
      </w:pPr>
      <w:r>
        <w:rPr>
          <w:rFonts w:hint="eastAsia" w:ascii="宋体" w:hAnsi="宋体"/>
          <w:color w:val="FF0000"/>
          <w:sz w:val="20"/>
          <w:szCs w:val="20"/>
        </w:rPr>
        <w:t>（八）阻碍、抗拒主管部门监督检查的；</w:t>
      </w:r>
    </w:p>
    <w:p>
      <w:pPr>
        <w:ind w:firstLine="400" w:firstLineChars="200"/>
        <w:rPr>
          <w:rFonts w:ascii="宋体" w:hAnsi="宋体"/>
          <w:color w:val="FF0000"/>
          <w:sz w:val="20"/>
          <w:szCs w:val="20"/>
        </w:rPr>
      </w:pPr>
      <w:r>
        <w:rPr>
          <w:rFonts w:hint="eastAsia" w:ascii="宋体" w:hAnsi="宋体"/>
          <w:color w:val="FF0000"/>
          <w:sz w:val="20"/>
          <w:szCs w:val="20"/>
        </w:rPr>
        <w:t>（九）其他违反本条例规定的行为。</w:t>
      </w:r>
    </w:p>
    <w:p>
      <w:pPr>
        <w:ind w:firstLine="402" w:firstLineChars="200"/>
        <w:rPr>
          <w:rFonts w:ascii="宋体" w:hAnsi="宋体"/>
          <w:color w:val="FF0000"/>
          <w:sz w:val="20"/>
          <w:szCs w:val="20"/>
        </w:rPr>
      </w:pPr>
      <w:r>
        <w:rPr>
          <w:rFonts w:hint="eastAsia" w:ascii="宋体" w:hAnsi="宋体"/>
          <w:b/>
          <w:bCs/>
          <w:color w:val="FF0000"/>
          <w:sz w:val="20"/>
          <w:szCs w:val="20"/>
        </w:rPr>
        <w:t>二、《深圳经济特区政府采购条例实施细则》第七十五条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ind w:firstLine="402" w:firstLineChars="200"/>
        <w:rPr>
          <w:rFonts w:ascii="宋体" w:hAnsi="宋体"/>
          <w:color w:val="FF0000"/>
          <w:sz w:val="20"/>
          <w:szCs w:val="20"/>
        </w:rPr>
      </w:pPr>
      <w:r>
        <w:rPr>
          <w:rFonts w:hint="eastAsia" w:ascii="宋体" w:hAnsi="宋体"/>
          <w:b/>
          <w:bCs/>
          <w:color w:val="FF0000"/>
          <w:sz w:val="20"/>
          <w:szCs w:val="20"/>
        </w:rPr>
        <w:t>三、《深圳经济特区政府采购条例实施细则》第七十七条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ind w:firstLine="400" w:firstLineChars="200"/>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bookmarkEnd w:id="4"/>
    <w:p>
      <w:pPr>
        <w:ind w:firstLine="422" w:firstLineChars="200"/>
        <w:rPr>
          <w:rFonts w:hint="eastAsia"/>
          <w:b/>
          <w:color w:val="FF0000"/>
        </w:rPr>
      </w:pPr>
      <w:r>
        <w:rPr>
          <w:rFonts w:hint="eastAsia"/>
          <w:b/>
          <w:color w:val="FF0000"/>
        </w:rPr>
        <w:t>四、请投标供应商阅读《政府采购违法行为风险知悉确认书》（内容详见“投标文件附件（信息不公开部分）”中节点“投标人认为需要加以说明的其他内容（格式自定）”），并经各投标供应商负责人或投标授权代表签字并加盖单位公章后，扫描上传至投标文件一并提交。注：该风险知悉确认书用于对供应商违法行为的警示，不作为供应商资格性审查及符合性审查条件。</w:t>
      </w:r>
    </w:p>
    <w:p>
      <w:pPr>
        <w:ind w:firstLine="400" w:firstLineChars="200"/>
        <w:rPr>
          <w:rFonts w:hint="eastAsia"/>
          <w:b w:val="0"/>
          <w:bCs/>
          <w:color w:val="FF0000"/>
          <w:sz w:val="20"/>
          <w:szCs w:val="20"/>
          <w:lang w:val="en-US" w:eastAsia="zh-CN"/>
        </w:rPr>
      </w:pPr>
      <w:r>
        <w:rPr>
          <w:rFonts w:hint="eastAsia"/>
          <w:b w:val="0"/>
          <w:bCs/>
          <w:color w:val="FF0000"/>
          <w:sz w:val="20"/>
          <w:szCs w:val="20"/>
          <w:lang w:val="en-US" w:eastAsia="zh-CN"/>
        </w:rPr>
        <w:t>五、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ind w:firstLine="400" w:firstLineChars="200"/>
        <w:rPr>
          <w:rFonts w:hint="eastAsia"/>
          <w:b w:val="0"/>
          <w:bCs/>
          <w:color w:val="FF0000"/>
          <w:sz w:val="20"/>
          <w:szCs w:val="20"/>
          <w:lang w:val="en-US" w:eastAsia="zh-CN"/>
        </w:rPr>
      </w:pPr>
      <w:r>
        <w:rPr>
          <w:rFonts w:hint="eastAsia"/>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ind w:firstLine="400" w:firstLineChars="200"/>
        <w:rPr>
          <w:rFonts w:hint="eastAsia"/>
          <w:b w:val="0"/>
          <w:bCs/>
          <w:color w:val="FF0000"/>
          <w:sz w:val="20"/>
          <w:szCs w:val="20"/>
          <w:lang w:val="en-US" w:eastAsia="zh-CN"/>
        </w:rPr>
      </w:pPr>
      <w:r>
        <w:rPr>
          <w:rFonts w:hint="eastAsia"/>
          <w:b w:val="0"/>
          <w:bCs/>
          <w:color w:val="FF0000"/>
          <w:sz w:val="20"/>
          <w:szCs w:val="20"/>
          <w:lang w:val="en-US" w:eastAsia="zh-CN"/>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olor w:val="FF0000"/>
          <w:sz w:val="20"/>
          <w:szCs w:val="20"/>
        </w:rPr>
        <w:t>取消参与本市政府采购资格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b w:val="0"/>
          <w:bCs/>
          <w:color w:val="FF0000"/>
          <w:sz w:val="20"/>
          <w:szCs w:val="20"/>
          <w:lang w:val="en-US" w:eastAsia="zh-CN"/>
        </w:rPr>
        <w:t>，请各供应商独立编制、上传投标文件，妥善保管和使用电子秘钥。</w:t>
      </w:r>
    </w:p>
    <w:p>
      <w:pPr>
        <w:ind w:firstLine="400" w:firstLineChars="200"/>
        <w:rPr>
          <w:rFonts w:ascii="宋体" w:hAnsi="宋体"/>
          <w:color w:val="FF0000"/>
          <w:sz w:val="20"/>
          <w:szCs w:val="20"/>
        </w:rPr>
        <w:sectPr>
          <w:pgSz w:w="11907" w:h="16840"/>
          <w:pgMar w:top="1440" w:right="1797" w:bottom="1440" w:left="1797" w:header="851" w:footer="992" w:gutter="0"/>
          <w:cols w:space="425" w:num="1"/>
          <w:titlePg/>
          <w:docGrid w:linePitch="462" w:charSpace="0"/>
        </w:sectPr>
      </w:pP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5"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6" w:name="_Hlk71994379"/>
      <w:r>
        <w:rPr>
          <w:rFonts w:hint="eastAsia" w:ascii="宋体" w:hAnsi="宋体"/>
          <w:szCs w:val="21"/>
        </w:rPr>
        <w:t>对通用条款的补充内容及其他关键信息</w:t>
      </w:r>
      <w:bookmarkEnd w:id="6"/>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2"/>
        <w:rPr>
          <w:rFonts w:hint="eastAsia"/>
        </w:rPr>
      </w:pPr>
    </w:p>
    <w:p>
      <w:pPr>
        <w:pStyle w:val="36"/>
        <w:rPr>
          <w:rFonts w:hint="eastAsia"/>
        </w:rPr>
      </w:pPr>
    </w:p>
    <w:p>
      <w:pPr>
        <w:pStyle w:val="36"/>
        <w:rPr>
          <w:rFonts w:hint="eastAsia"/>
        </w:rPr>
      </w:pPr>
    </w:p>
    <w:p>
      <w:pPr>
        <w:pStyle w:val="2"/>
        <w:rPr>
          <w:rFonts w:hint="eastAsia"/>
        </w:rPr>
        <w:sectPr>
          <w:pgSz w:w="11907" w:h="16840"/>
          <w:pgMar w:top="1440" w:right="1797" w:bottom="1440" w:left="1797" w:header="851" w:footer="992" w:gutter="0"/>
          <w:cols w:space="425" w:num="1"/>
          <w:titlePg/>
          <w:docGrid w:linePitch="462" w:charSpace="0"/>
        </w:sectPr>
      </w:pPr>
    </w:p>
    <w:bookmarkEnd w:id="5"/>
    <w:p>
      <w:pPr>
        <w:pStyle w:val="3"/>
        <w:rPr>
          <w:color w:val="FF0000"/>
          <w:sz w:val="24"/>
        </w:rPr>
      </w:pPr>
      <w:bookmarkStart w:id="7" w:name="bt投标文件签署授权委托书"/>
      <w:bookmarkEnd w:id="7"/>
      <w:bookmarkStart w:id="8" w:name="bt商务标投标文件格式"/>
      <w:bookmarkEnd w:id="8"/>
      <w:bookmarkStart w:id="9" w:name="bt合同条款"/>
      <w:bookmarkEnd w:id="9"/>
      <w:bookmarkStart w:id="10" w:name="bt项目管理班子配备情况"/>
      <w:bookmarkEnd w:id="10"/>
      <w:bookmarkStart w:id="11" w:name="bt其他资料由投标人自定"/>
      <w:bookmarkEnd w:id="11"/>
      <w:bookmarkStart w:id="12" w:name="bt投标人须知"/>
      <w:bookmarkEnd w:id="12"/>
      <w:bookmarkStart w:id="13" w:name="bt其他资料2"/>
      <w:bookmarkEnd w:id="13"/>
      <w:bookmarkStart w:id="14" w:name="bt合同条款及格式"/>
      <w:bookmarkEnd w:id="14"/>
      <w:bookmarkStart w:id="15" w:name="bt说明"/>
      <w:bookmarkEnd w:id="15"/>
      <w:bookmarkStart w:id="16" w:name="bt投标函"/>
      <w:bookmarkEnd w:id="16"/>
      <w:bookmarkStart w:id="17" w:name="bt本工程承诺书"/>
      <w:bookmarkEnd w:id="17"/>
      <w:bookmarkStart w:id="18" w:name="bt合同格式"/>
      <w:bookmarkEnd w:id="18"/>
      <w:bookmarkStart w:id="19" w:name="bt投标报价汇总表"/>
      <w:bookmarkEnd w:id="19"/>
      <w:bookmarkStart w:id="20" w:name="bt开标一览表"/>
      <w:bookmarkEnd w:id="20"/>
      <w:bookmarkStart w:id="21" w:name="bt技术标投标文件格式"/>
      <w:bookmarkEnd w:id="21"/>
      <w:bookmarkStart w:id="22" w:name="bt投标人情况介绍"/>
      <w:bookmarkEnd w:id="22"/>
      <w:bookmarkStart w:id="23" w:name="合同格式"/>
      <w:bookmarkEnd w:id="23"/>
      <w:r>
        <w:rPr>
          <w:rFonts w:hint="eastAsia"/>
        </w:rPr>
        <w:t>第一册  专用条款</w:t>
      </w:r>
    </w:p>
    <w:p>
      <w:pPr>
        <w:pStyle w:val="6"/>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具有独立承担民事责任的能力（提供营业执照或事业单位法人证书等证明资料扫描件，原件备查，分支机构参与投标的，须同时提供总公司授权文件且授权书载明其民事责任由总公司承担）</w:t>
      </w:r>
      <w:r>
        <w:rPr>
          <w:rFonts w:hint="eastAsia"/>
          <w:lang w:eastAsia="zh-CN"/>
        </w:rPr>
        <w:t>；</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w:t>
      </w:r>
      <w:r>
        <w:rPr>
          <w:rFonts w:hint="eastAsia" w:ascii="宋体" w:hAnsi="宋体" w:cs="宋体"/>
          <w:color w:val="FF0000"/>
          <w:kern w:val="0"/>
          <w:szCs w:val="21"/>
          <w:lang w:val="en-US" w:eastAsia="zh-CN"/>
        </w:rPr>
        <w:t>，</w:t>
      </w:r>
      <w:r>
        <w:rPr>
          <w:rFonts w:hint="eastAsia" w:ascii="宋体" w:hAnsi="宋体" w:cs="宋体"/>
          <w:color w:val="FF0000"/>
          <w:kern w:val="0"/>
          <w:szCs w:val="21"/>
        </w:rPr>
        <w:t>不接受投标人选用进口产品参与投标，</w:t>
      </w:r>
      <w:r>
        <w:rPr>
          <w:rFonts w:hint="eastAsia" w:ascii="宋体" w:hAnsi="宋体" w:cs="宋体"/>
          <w:color w:val="FF0000"/>
          <w:kern w:val="0"/>
          <w:szCs w:val="21"/>
          <w:lang w:val="en-US" w:eastAsia="zh-CN"/>
        </w:rPr>
        <w:t>不允许分包，</w:t>
      </w:r>
      <w:r>
        <w:rPr>
          <w:rFonts w:hint="eastAsia" w:ascii="宋体" w:hAnsi="宋体" w:cs="宋体"/>
          <w:color w:val="FF0000"/>
          <w:kern w:val="0"/>
          <w:szCs w:val="21"/>
        </w:rPr>
        <w:t>详见招标文件</w:t>
      </w:r>
      <w:r>
        <w:rPr>
          <w:rFonts w:hint="eastAsia" w:ascii="宋体" w:hAnsi="宋体" w:cs="宋体"/>
          <w:color w:val="FF0000"/>
          <w:kern w:val="0"/>
          <w:szCs w:val="21"/>
          <w:lang w:eastAsia="zh-CN"/>
        </w:rPr>
        <w:t>“</w:t>
      </w:r>
      <w:r>
        <w:rPr>
          <w:rFonts w:hint="eastAsia" w:ascii="宋体" w:hAnsi="宋体" w:cs="宋体"/>
          <w:color w:val="FF0000"/>
          <w:kern w:val="0"/>
          <w:szCs w:val="21"/>
          <w:lang w:val="en-US" w:eastAsia="zh-CN"/>
        </w:rPr>
        <w:t>第三章 用户需求书</w:t>
      </w:r>
      <w:r>
        <w:rPr>
          <w:rFonts w:hint="eastAsia" w:ascii="宋体" w:hAnsi="宋体" w:cs="宋体"/>
          <w:color w:val="FF0000"/>
          <w:kern w:val="0"/>
          <w:szCs w:val="21"/>
        </w:rPr>
        <w:t>”；</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参与本项目政府采购活动时不存在被有关部门禁止参与政府采购活动且在有效期内的情况（由供应商在《政府采购投标及履约承诺函》中作出声明）；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具备《中华人民共和国政府采购法》第二十二条第一款的条件（由供应商在《政府采购投标及履约承诺函》中作出声明）；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未被列入失信被执行人、重大税收违法案件当事人名单、政府采购严重违法失信行为记录名单（由供应商在《政府采购投标及履约承诺函》中作出声明）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（由供应商在《政府采购投标及履约承诺函》中作出声明）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.为采购项目提供整体设计、规范编制或者项目管理、监理、检测等服务的供应商，不得再参加该采购项目的其他采购活动（由供应商在《政府采购投标及履约承诺函》中作出声明）</w:t>
      </w:r>
      <w:r>
        <w:rPr>
          <w:rFonts w:hint="eastAsia" w:ascii="宋体" w:hAnsi="宋体" w:cs="宋体"/>
          <w:kern w:val="0"/>
          <w:szCs w:val="21"/>
          <w:lang w:val="en-US"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宋体" w:hAnsi="宋体" w:eastAsia="宋体" w:cs="宋体"/>
          <w:kern w:val="0"/>
          <w:szCs w:val="21"/>
          <w:lang w:eastAsia="zh-CN"/>
        </w:rPr>
      </w:pPr>
      <w:r>
        <w:rPr>
          <w:rFonts w:hint="eastAsia" w:ascii="宋体" w:hAnsi="宋体" w:cs="宋体"/>
          <w:kern w:val="0"/>
          <w:szCs w:val="21"/>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hint="eastAsia" w:ascii="宋体" w:hAnsi="宋体" w:cs="宋体"/>
          <w:kern w:val="0"/>
          <w:szCs w:val="21"/>
        </w:rPr>
      </w:pPr>
      <w:r>
        <w:rPr>
          <w:rFonts w:hint="eastAsia" w:ascii="宋体" w:hAnsi="宋体" w:cs="宋体"/>
          <w:kern w:val="0"/>
          <w:szCs w:val="21"/>
        </w:rPr>
        <w:t>9.本项目全部专门面向中小企业采购：否。</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（2）供应商投标（上传投标文件）必须先行办理注册手续，具体请按照本公告“六、其他补充事宜</w:t>
      </w:r>
      <w:r>
        <w:rPr>
          <w:rFonts w:ascii="宋体" w:hAnsi="宋体"/>
        </w:rPr>
        <w:t>”</w:t>
      </w:r>
      <w:r>
        <w:rPr>
          <w:rFonts w:hint="eastAsia" w:ascii="宋体" w:hAnsi="宋体"/>
        </w:rPr>
        <w:t>相关内容指引办理。</w:t>
      </w:r>
    </w:p>
    <w:p>
      <w:pPr>
        <w:ind w:firstLine="420" w:firstLineChars="200"/>
        <w:rPr>
          <w:rFonts w:ascii="宋体" w:hAnsi="宋体"/>
        </w:rPr>
      </w:pPr>
    </w:p>
    <w:p>
      <w:pPr>
        <w:ind w:firstLine="442" w:firstLineChars="200"/>
        <w:rPr>
          <w:b/>
        </w:rPr>
      </w:pPr>
      <w:r>
        <w:rPr>
          <w:rFonts w:hint="eastAsia"/>
          <w:b/>
          <w:sz w:val="22"/>
          <w:szCs w:val="18"/>
          <w:highlight w:val="none"/>
        </w:rPr>
        <w:t>完整公告内容详见：深圳公共资源交易网（</w:t>
      </w:r>
      <w:r>
        <w:rPr>
          <w:b/>
          <w:sz w:val="22"/>
          <w:szCs w:val="18"/>
          <w:highlight w:val="none"/>
        </w:rPr>
        <w:t>https://www.szggzy.com</w:t>
      </w:r>
      <w:r>
        <w:rPr>
          <w:rFonts w:hint="eastAsia"/>
          <w:b/>
          <w:sz w:val="22"/>
          <w:szCs w:val="18"/>
          <w:highlight w:val="none"/>
        </w:rPr>
        <w:t>）</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6"/>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pPr>
        <w:pStyle w:val="6"/>
        <w:spacing w:before="120" w:beforeLines="50" w:after="120" w:afterLines="50"/>
        <w:rPr>
          <w:szCs w:val="24"/>
        </w:rPr>
      </w:pPr>
      <w:bookmarkStart w:id="25" w:name="_Toc60631620"/>
      <w:bookmarkStart w:id="26" w:name="_Toc73518117"/>
      <w:bookmarkStart w:id="27" w:name="_Toc100052364"/>
      <w:bookmarkStart w:id="28" w:name="_Toc73521635"/>
      <w:bookmarkStart w:id="29" w:name="_Toc73517639"/>
      <w:bookmarkStart w:id="30" w:name="_Toc101074876"/>
      <w:bookmarkStart w:id="31" w:name="_Toc73521547"/>
      <w:bookmarkStart w:id="32" w:name="_Toc60560625"/>
      <w:r>
        <w:rPr>
          <w:rFonts w:hint="eastAsia"/>
          <w:szCs w:val="24"/>
        </w:rPr>
        <w:t>一、对通用条款的补充内容</w:t>
      </w:r>
    </w:p>
    <w:bookmarkEnd w:id="25"/>
    <w:bookmarkEnd w:id="26"/>
    <w:bookmarkEnd w:id="27"/>
    <w:bookmarkEnd w:id="28"/>
    <w:bookmarkEnd w:id="29"/>
    <w:bookmarkEnd w:id="30"/>
    <w:bookmarkEnd w:id="31"/>
    <w:bookmarkEnd w:id="32"/>
    <w:tbl>
      <w:tblPr>
        <w:tblStyle w:val="43"/>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b/>
                <w:bCs/>
              </w:rPr>
            </w:pPr>
            <w:bookmarkStart w:id="33" w:name="_Hlk72218097"/>
            <w:r>
              <w:rPr>
                <w:rFonts w:hint="eastAsia" w:ascii="宋体" w:hAnsi="宋体"/>
                <w:b/>
                <w:bCs/>
              </w:rPr>
              <w:t>通用条款序号</w:t>
            </w:r>
          </w:p>
        </w:tc>
        <w:tc>
          <w:tcPr>
            <w:tcW w:w="2409" w:type="dxa"/>
            <w:vAlign w:val="center"/>
          </w:tcPr>
          <w:p>
            <w:pPr>
              <w:jc w:val="center"/>
              <w:rPr>
                <w:rFonts w:ascii="宋体" w:hAnsi="宋体"/>
                <w:b/>
                <w:bCs/>
              </w:rPr>
            </w:pPr>
            <w:r>
              <w:rPr>
                <w:rFonts w:hint="eastAsia" w:ascii="宋体" w:hAnsi="宋体"/>
                <w:b/>
                <w:bCs/>
              </w:rPr>
              <w:t>涉及事项</w:t>
            </w:r>
          </w:p>
        </w:tc>
        <w:tc>
          <w:tcPr>
            <w:tcW w:w="4980"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hint="eastAsia" w:ascii="宋体" w:hAnsi="宋体" w:eastAsia="宋体"/>
                <w:lang w:eastAsia="zh-CN"/>
              </w:rPr>
            </w:pPr>
            <w:r>
              <w:rPr>
                <w:rFonts w:hint="eastAsia" w:ascii="宋体" w:hAnsi="宋体"/>
                <w:lang w:eastAsia="zh-CN"/>
              </w:rPr>
              <w:t>深圳未来双语学校（龙岗）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.2</w:t>
            </w:r>
          </w:p>
        </w:tc>
        <w:tc>
          <w:tcPr>
            <w:tcW w:w="2409" w:type="dxa"/>
            <w:vAlign w:val="center"/>
          </w:tcPr>
          <w:p>
            <w:pPr>
              <w:jc w:val="center"/>
              <w:rPr>
                <w:rFonts w:ascii="宋体" w:hAnsi="宋体"/>
              </w:rPr>
            </w:pPr>
            <w:r>
              <w:rPr>
                <w:rFonts w:hint="eastAsia" w:ascii="宋体" w:hAnsi="宋体"/>
              </w:rPr>
              <w:t>政府集中采购机构</w:t>
            </w:r>
          </w:p>
        </w:tc>
        <w:tc>
          <w:tcPr>
            <w:tcW w:w="4980" w:type="dxa"/>
            <w:vAlign w:val="center"/>
          </w:tcPr>
          <w:p>
            <w:pPr>
              <w:jc w:val="center"/>
              <w:rPr>
                <w:rFonts w:ascii="宋体" w:hAnsi="宋体"/>
              </w:rPr>
            </w:pPr>
            <w:r>
              <w:rPr>
                <w:rFonts w:hint="eastAsia" w:ascii="宋体" w:hAnsi="宋体"/>
              </w:rPr>
              <w:t>深圳公共资源交易中心（深圳交易集团有限公司</w:t>
            </w:r>
            <w:r>
              <w:rPr>
                <w:rFonts w:hint="eastAsia" w:ascii="宋体" w:hAnsi="宋体" w:cs="宋体"/>
                <w:kern w:val="0"/>
              </w:rPr>
              <w:t>龙岗</w:t>
            </w:r>
            <w:r>
              <w:rPr>
                <w:rFonts w:hint="eastAsia" w:ascii="宋体" w:hAnsi="宋体"/>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5</w:t>
            </w:r>
            <w:r>
              <w:rPr>
                <w:rFonts w:ascii="宋体" w:hAnsi="宋体"/>
              </w:rPr>
              <w:t>.3</w:t>
            </w:r>
          </w:p>
        </w:tc>
        <w:tc>
          <w:tcPr>
            <w:tcW w:w="2409" w:type="dxa"/>
            <w:vAlign w:val="center"/>
          </w:tcPr>
          <w:p>
            <w:pPr>
              <w:jc w:val="center"/>
              <w:rPr>
                <w:rFonts w:ascii="宋体" w:hAnsi="宋体"/>
              </w:rPr>
            </w:pPr>
            <w:r>
              <w:rPr>
                <w:rFonts w:hint="eastAsia" w:ascii="宋体" w:hAnsi="宋体"/>
              </w:rPr>
              <w:t>联合体投标</w:t>
            </w:r>
          </w:p>
        </w:tc>
        <w:tc>
          <w:tcPr>
            <w:tcW w:w="4980" w:type="dxa"/>
            <w:vAlign w:val="center"/>
          </w:tcPr>
          <w:p>
            <w:pPr>
              <w:jc w:val="center"/>
              <w:rPr>
                <w:rFonts w:ascii="宋体" w:hAnsi="宋体"/>
              </w:rPr>
            </w:pPr>
            <w:r>
              <w:rPr>
                <w:rFonts w:hint="eastAsia" w:ascii="宋体" w:hAnsi="宋体"/>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9</w:t>
            </w:r>
          </w:p>
        </w:tc>
        <w:tc>
          <w:tcPr>
            <w:tcW w:w="2409" w:type="dxa"/>
            <w:vAlign w:val="center"/>
          </w:tcPr>
          <w:p>
            <w:pPr>
              <w:jc w:val="center"/>
              <w:rPr>
                <w:rFonts w:ascii="宋体" w:hAnsi="宋体"/>
              </w:rPr>
            </w:pPr>
            <w:r>
              <w:rPr>
                <w:rFonts w:hint="eastAsia" w:ascii="宋体" w:hAnsi="宋体"/>
              </w:rPr>
              <w:t>踏勘现场</w:t>
            </w:r>
          </w:p>
        </w:tc>
        <w:tc>
          <w:tcPr>
            <w:tcW w:w="4980" w:type="dxa"/>
            <w:vAlign w:val="center"/>
          </w:tcPr>
          <w:p>
            <w:pPr>
              <w:jc w:val="center"/>
              <w:rPr>
                <w:rFonts w:ascii="宋体" w:hAnsi="宋体"/>
              </w:rPr>
            </w:pPr>
            <w:r>
              <w:rPr>
                <w:rFonts w:hint="eastAsia" w:ascii="宋体" w:hAnsi="宋体"/>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0</w:t>
            </w:r>
          </w:p>
        </w:tc>
        <w:tc>
          <w:tcPr>
            <w:tcW w:w="2409" w:type="dxa"/>
            <w:vAlign w:val="center"/>
          </w:tcPr>
          <w:p>
            <w:pPr>
              <w:jc w:val="center"/>
              <w:rPr>
                <w:rFonts w:ascii="宋体" w:hAnsi="宋体"/>
              </w:rPr>
            </w:pPr>
            <w:r>
              <w:rPr>
                <w:rFonts w:hint="eastAsia" w:ascii="宋体" w:hAnsi="宋体"/>
              </w:rPr>
              <w:t>标前会议</w:t>
            </w:r>
          </w:p>
        </w:tc>
        <w:tc>
          <w:tcPr>
            <w:tcW w:w="4980" w:type="dxa"/>
            <w:vAlign w:val="center"/>
          </w:tcPr>
          <w:p>
            <w:pPr>
              <w:jc w:val="center"/>
              <w:rPr>
                <w:rFonts w:ascii="宋体" w:hAnsi="宋体"/>
              </w:rPr>
            </w:pPr>
            <w:r>
              <w:rPr>
                <w:rFonts w:hint="eastAsia" w:ascii="宋体" w:hAnsi="宋体"/>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ascii="宋体" w:hAnsi="宋体"/>
              </w:rPr>
            </w:pPr>
            <w:r>
              <w:rPr>
                <w:rFonts w:hint="eastAsia" w:ascii="宋体" w:hAnsi="宋体"/>
              </w:rPr>
              <w:t>招标文件的澄清和修改</w:t>
            </w:r>
          </w:p>
        </w:tc>
        <w:tc>
          <w:tcPr>
            <w:tcW w:w="4980" w:type="dxa"/>
            <w:vAlign w:val="center"/>
          </w:tcPr>
          <w:p>
            <w:pPr>
              <w:jc w:val="center"/>
              <w:rPr>
                <w:rFonts w:ascii="宋体" w:hAnsi="宋体"/>
              </w:rPr>
            </w:pPr>
            <w:r>
              <w:rPr>
                <w:rFonts w:hint="eastAsia" w:ascii="宋体" w:hAnsi="宋体"/>
              </w:rPr>
              <w:t>不晚于投标截止日三日前，投标人有义务在招标期间在政府集中采购机构网站浏览与本项目有关的澄清和修改信息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0</w:t>
            </w:r>
          </w:p>
        </w:tc>
        <w:tc>
          <w:tcPr>
            <w:tcW w:w="2409" w:type="dxa"/>
            <w:vAlign w:val="center"/>
          </w:tcPr>
          <w:p>
            <w:pPr>
              <w:jc w:val="center"/>
              <w:rPr>
                <w:rFonts w:ascii="宋体" w:hAnsi="宋体"/>
              </w:rPr>
            </w:pPr>
            <w:r>
              <w:rPr>
                <w:rFonts w:hint="eastAsia" w:ascii="宋体" w:hAnsi="宋体"/>
              </w:rPr>
              <w:t>投标有效期</w:t>
            </w:r>
          </w:p>
        </w:tc>
        <w:tc>
          <w:tcPr>
            <w:tcW w:w="4980" w:type="dxa"/>
            <w:vAlign w:val="center"/>
          </w:tcPr>
          <w:p>
            <w:pPr>
              <w:jc w:val="center"/>
              <w:rPr>
                <w:rFonts w:ascii="宋体" w:hAnsi="宋体"/>
              </w:rPr>
            </w:pPr>
            <w:r>
              <w:rPr>
                <w:rFonts w:hint="eastAsia" w:ascii="宋体" w:hAnsi="宋体"/>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2</w:t>
            </w:r>
          </w:p>
        </w:tc>
        <w:tc>
          <w:tcPr>
            <w:tcW w:w="2409" w:type="dxa"/>
            <w:vAlign w:val="center"/>
          </w:tcPr>
          <w:p>
            <w:pPr>
              <w:jc w:val="center"/>
              <w:rPr>
                <w:rFonts w:ascii="宋体" w:hAnsi="宋体"/>
              </w:rPr>
            </w:pPr>
            <w:r>
              <w:rPr>
                <w:rFonts w:hint="eastAsia" w:ascii="宋体" w:hAnsi="宋体"/>
              </w:rPr>
              <w:t>投标人的替代方案</w:t>
            </w:r>
          </w:p>
        </w:tc>
        <w:tc>
          <w:tcPr>
            <w:tcW w:w="4980" w:type="dxa"/>
            <w:vAlign w:val="center"/>
          </w:tcPr>
          <w:p>
            <w:pPr>
              <w:jc w:val="center"/>
              <w:rPr>
                <w:rFonts w:ascii="宋体" w:hAnsi="宋体"/>
              </w:rPr>
            </w:pPr>
            <w:r>
              <w:rPr>
                <w:rFonts w:hint="eastAsia" w:ascii="宋体" w:hAnsi="宋体"/>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5</w:t>
            </w:r>
          </w:p>
        </w:tc>
        <w:tc>
          <w:tcPr>
            <w:tcW w:w="2409" w:type="dxa"/>
            <w:vAlign w:val="center"/>
          </w:tcPr>
          <w:p>
            <w:pPr>
              <w:jc w:val="center"/>
              <w:rPr>
                <w:rFonts w:ascii="宋体" w:hAnsi="宋体"/>
              </w:rPr>
            </w:pPr>
            <w:r>
              <w:rPr>
                <w:rFonts w:hint="eastAsia" w:ascii="宋体" w:hAnsi="宋体"/>
              </w:rPr>
              <w:t>投标文件的大小</w:t>
            </w:r>
          </w:p>
        </w:tc>
        <w:tc>
          <w:tcPr>
            <w:tcW w:w="4980" w:type="dxa"/>
            <w:vAlign w:val="center"/>
          </w:tcPr>
          <w:p>
            <w:pPr>
              <w:jc w:val="center"/>
              <w:rPr>
                <w:rFonts w:ascii="宋体" w:hAnsi="宋体"/>
              </w:rPr>
            </w:pPr>
            <w:r>
              <w:rPr>
                <w:rFonts w:hint="eastAsia" w:ascii="宋体" w:hAnsi="宋体"/>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6</w:t>
            </w:r>
          </w:p>
        </w:tc>
        <w:tc>
          <w:tcPr>
            <w:tcW w:w="2409" w:type="dxa"/>
            <w:vAlign w:val="center"/>
          </w:tcPr>
          <w:p>
            <w:pPr>
              <w:jc w:val="center"/>
              <w:rPr>
                <w:rFonts w:ascii="宋体" w:hAnsi="宋体"/>
              </w:rPr>
            </w:pPr>
            <w:bookmarkStart w:id="34" w:name="_Hlk71664860"/>
            <w:r>
              <w:rPr>
                <w:rFonts w:hint="eastAsia" w:ascii="宋体" w:hAnsi="宋体"/>
              </w:rPr>
              <w:t>样品、现场演示、方案讲解</w:t>
            </w:r>
            <w:bookmarkEnd w:id="34"/>
          </w:p>
        </w:tc>
        <w:tc>
          <w:tcPr>
            <w:tcW w:w="4980" w:type="dxa"/>
            <w:vAlign w:val="center"/>
          </w:tcPr>
          <w:p>
            <w:pPr>
              <w:jc w:val="center"/>
              <w:rPr>
                <w:rFonts w:ascii="宋体" w:hAnsi="宋体"/>
              </w:rPr>
            </w:pPr>
            <w:r>
              <w:rPr>
                <w:rFonts w:hint="eastAsia" w:ascii="宋体" w:hAnsi="宋体"/>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7</w:t>
            </w:r>
          </w:p>
        </w:tc>
        <w:tc>
          <w:tcPr>
            <w:tcW w:w="2409" w:type="dxa"/>
            <w:vAlign w:val="center"/>
          </w:tcPr>
          <w:p>
            <w:pPr>
              <w:jc w:val="center"/>
              <w:rPr>
                <w:rFonts w:ascii="宋体" w:hAnsi="宋体"/>
              </w:rPr>
            </w:pPr>
            <w:r>
              <w:rPr>
                <w:rFonts w:hint="eastAsia" w:ascii="宋体" w:hAnsi="宋体"/>
              </w:rPr>
              <w:t>评审方法</w:t>
            </w:r>
          </w:p>
        </w:tc>
        <w:tc>
          <w:tcPr>
            <w:tcW w:w="4980" w:type="dxa"/>
            <w:vAlign w:val="center"/>
          </w:tcPr>
          <w:p>
            <w:pPr>
              <w:jc w:val="center"/>
              <w:rPr>
                <w:rFonts w:ascii="宋体" w:hAnsi="宋体"/>
              </w:rPr>
            </w:pPr>
            <w:r>
              <w:rPr>
                <w:rFonts w:hint="eastAsia" w:ascii="宋体" w:hAnsi="宋体"/>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8</w:t>
            </w:r>
          </w:p>
        </w:tc>
        <w:tc>
          <w:tcPr>
            <w:tcW w:w="2409" w:type="dxa"/>
            <w:vAlign w:val="center"/>
          </w:tcPr>
          <w:p>
            <w:pPr>
              <w:jc w:val="center"/>
              <w:rPr>
                <w:rFonts w:ascii="宋体" w:hAnsi="宋体"/>
              </w:rPr>
            </w:pPr>
            <w:r>
              <w:rPr>
                <w:rFonts w:hint="eastAsia" w:ascii="宋体" w:hAnsi="宋体"/>
              </w:rPr>
              <w:t>定标方法</w:t>
            </w:r>
          </w:p>
        </w:tc>
        <w:tc>
          <w:tcPr>
            <w:tcW w:w="4980" w:type="dxa"/>
            <w:vAlign w:val="center"/>
          </w:tcPr>
          <w:p>
            <w:pPr>
              <w:jc w:val="center"/>
              <w:rPr>
                <w:rFonts w:ascii="宋体" w:hAnsi="宋体"/>
              </w:rPr>
            </w:pPr>
            <w:r>
              <w:rPr>
                <w:rFonts w:hint="eastAsia" w:ascii="宋体" w:hAnsi="宋体"/>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4</w:t>
            </w:r>
            <w:r>
              <w:rPr>
                <w:rFonts w:ascii="宋体" w:hAnsi="宋体"/>
              </w:rPr>
              <w:t>6</w:t>
            </w:r>
          </w:p>
        </w:tc>
        <w:tc>
          <w:tcPr>
            <w:tcW w:w="2409" w:type="dxa"/>
            <w:vAlign w:val="center"/>
          </w:tcPr>
          <w:p>
            <w:pPr>
              <w:jc w:val="center"/>
              <w:rPr>
                <w:rFonts w:ascii="宋体" w:hAnsi="宋体"/>
              </w:rPr>
            </w:pPr>
            <w:r>
              <w:rPr>
                <w:rFonts w:hint="eastAsia" w:ascii="宋体" w:hAnsi="宋体"/>
              </w:rPr>
              <w:t>履约担保</w:t>
            </w:r>
          </w:p>
        </w:tc>
        <w:tc>
          <w:tcPr>
            <w:tcW w:w="4980" w:type="dxa"/>
            <w:vAlign w:val="center"/>
          </w:tcPr>
          <w:p>
            <w:pPr>
              <w:jc w:val="center"/>
              <w:rPr>
                <w:rFonts w:ascii="宋体" w:hAnsi="宋体"/>
              </w:rPr>
            </w:pPr>
            <w:r>
              <w:rPr>
                <w:rFonts w:hint="eastAsia" w:ascii="宋体" w:hAnsi="宋体"/>
              </w:rPr>
              <w:t>不需要</w:t>
            </w:r>
          </w:p>
        </w:tc>
      </w:tr>
    </w:tbl>
    <w:p>
      <w:pPr>
        <w:rPr>
          <w:b/>
        </w:rPr>
      </w:pPr>
      <w:r>
        <w:rPr>
          <w:rFonts w:hint="eastAsia"/>
          <w:szCs w:val="21"/>
        </w:rPr>
        <w:t>备注：本表是通用条款相关条款的补充和明确，如与通用条款内容相冲突的，以本表为准。</w:t>
      </w:r>
    </w:p>
    <w:bookmarkEnd w:id="33"/>
    <w:p>
      <w:pPr>
        <w:pStyle w:val="6"/>
        <w:spacing w:before="120" w:beforeLines="50" w:after="120" w:afterLines="50"/>
        <w:rPr>
          <w:szCs w:val="24"/>
        </w:rPr>
      </w:pPr>
      <w:bookmarkStart w:id="35" w:name="_Hlk72218117"/>
      <w:r>
        <w:rPr>
          <w:rFonts w:hint="eastAsia"/>
          <w:szCs w:val="24"/>
        </w:rPr>
        <w:t>二、其他关键信息</w:t>
      </w:r>
    </w:p>
    <w:p>
      <w:pPr>
        <w:ind w:firstLine="422" w:firstLineChars="200"/>
        <w:rPr>
          <w:b/>
          <w:bCs/>
        </w:rPr>
      </w:pPr>
      <w:bookmarkStart w:id="36" w:name="_Hlk72579427"/>
      <w:r>
        <w:rPr>
          <w:rFonts w:hint="eastAsia"/>
          <w:b/>
          <w:bCs/>
        </w:rPr>
        <w:t>（一）与“对通用条款的补充内容”章节相关的事项</w:t>
      </w:r>
    </w:p>
    <w:p>
      <w:pPr>
        <w:spacing w:line="276" w:lineRule="auto"/>
        <w:jc w:val="left"/>
        <w:rPr>
          <w:rFonts w:asciiTheme="minorEastAsia" w:hAnsiTheme="minorEastAsia" w:eastAsiaTheme="minorEastAsia"/>
          <w:b/>
          <w:kern w:val="0"/>
          <w:szCs w:val="20"/>
        </w:rPr>
      </w:pPr>
      <w:r>
        <w:rPr>
          <w:rFonts w:hint="eastAsia" w:asciiTheme="minorEastAsia" w:hAnsiTheme="minorEastAsia" w:eastAsiaTheme="minorEastAsia"/>
          <w:b/>
          <w:kern w:val="0"/>
          <w:szCs w:val="20"/>
        </w:rPr>
        <w:t>1、评标定标信息</w:t>
      </w:r>
    </w:p>
    <w:p>
      <w:pPr>
        <w:jc w:val="center"/>
      </w:pPr>
      <w:r>
        <w:rPr>
          <w:rFonts w:hint="eastAsia"/>
          <w:b/>
        </w:rPr>
        <w:t>非评定分离项目</w:t>
      </w:r>
    </w:p>
    <w:tbl>
      <w:tblPr>
        <w:tblStyle w:val="44"/>
        <w:tblW w:w="8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5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Pr>
          <w:p>
            <w:pPr>
              <w:jc w:val="center"/>
            </w:pPr>
            <w:r>
              <w:rPr>
                <w:rFonts w:hint="eastAsia"/>
              </w:rPr>
              <w:t>评标方法</w:t>
            </w:r>
          </w:p>
        </w:tc>
        <w:tc>
          <w:tcPr>
            <w:tcW w:w="5064" w:type="dxa"/>
          </w:tcPr>
          <w:p>
            <w:pPr>
              <w:jc w:val="center"/>
              <w:rPr>
                <w:rFonts w:hint="default" w:eastAsia="宋体"/>
                <w:lang w:val="en-US" w:eastAsia="zh-CN"/>
              </w:rPr>
            </w:pPr>
            <w:r>
              <w:rPr>
                <w:rFonts w:hint="eastAsia"/>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Pr>
          <w:p>
            <w:pPr>
              <w:jc w:val="center"/>
            </w:pPr>
            <w:r>
              <w:rPr>
                <w:rFonts w:hint="eastAsia"/>
              </w:rPr>
              <w:t>候选中标供应商家数</w:t>
            </w:r>
          </w:p>
        </w:tc>
        <w:tc>
          <w:tcPr>
            <w:tcW w:w="5064" w:type="dxa"/>
          </w:tcPr>
          <w:p>
            <w:pPr>
              <w:jc w:val="center"/>
              <w:rPr>
                <w:rFonts w:hint="default" w:eastAsia="宋体"/>
                <w:lang w:val="en-US" w:eastAsia="zh-CN"/>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8" w:type="dxa"/>
          </w:tcPr>
          <w:p>
            <w:pPr>
              <w:jc w:val="center"/>
            </w:pPr>
            <w:r>
              <w:rPr>
                <w:rFonts w:hint="eastAsia"/>
              </w:rPr>
              <w:t>中标供应商家数</w:t>
            </w:r>
          </w:p>
        </w:tc>
        <w:tc>
          <w:tcPr>
            <w:tcW w:w="5064" w:type="dxa"/>
          </w:tcPr>
          <w:p>
            <w:pPr>
              <w:jc w:val="center"/>
            </w:pPr>
            <w:r>
              <w:rPr>
                <w:rFonts w:hint="eastAsia"/>
              </w:rPr>
              <w:t>1</w:t>
            </w:r>
          </w:p>
        </w:tc>
      </w:tr>
    </w:tbl>
    <w:p>
      <w:pPr>
        <w:pStyle w:val="36"/>
      </w:pPr>
    </w:p>
    <w:p>
      <w:pPr>
        <w:ind w:firstLine="422" w:firstLineChars="200"/>
        <w:rPr>
          <w:b/>
        </w:rPr>
      </w:pPr>
      <w:r>
        <w:rPr>
          <w:rFonts w:hint="eastAsia"/>
          <w:b/>
        </w:rPr>
        <w:t>（二）其他事项</w:t>
      </w:r>
      <w:bookmarkEnd w:id="36"/>
    </w:p>
    <w:p>
      <w:pPr>
        <w:ind w:firstLine="422" w:firstLineChars="200"/>
        <w:rPr>
          <w:rFonts w:hint="default" w:eastAsia="宋体"/>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pPr>
      <w:r>
        <w:rPr>
          <w:rFonts w:hint="eastAsia"/>
          <w:lang w:eastAsia="zh-CN"/>
        </w:rPr>
        <w:t>（</w:t>
      </w:r>
      <w:r>
        <w:rPr>
          <w:rFonts w:hint="eastAsia"/>
          <w:lang w:val="en-US" w:eastAsia="zh-CN"/>
        </w:rPr>
        <w:t>1</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none"/>
          <w:lang w:val="en-US" w:eastAsia="zh-CN"/>
        </w:rPr>
        <w:t xml:space="preserve"> </w:t>
      </w:r>
      <w:r>
        <w:rPr>
          <w:color w:val="FF0000"/>
          <w:u w:val="none"/>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numPr>
          <w:ilvl w:val="0"/>
          <w:numId w:val="0"/>
        </w:numPr>
        <w:ind w:firstLine="420" w:firstLineChars="200"/>
        <w:rPr>
          <w:rFonts w:hint="eastAsia" w:asciiTheme="minorEastAsia" w:hAnsiTheme="minorEastAsia" w:eastAsiaTheme="minorEastAsia" w:cstheme="minorEastAsia"/>
          <w:b/>
          <w:bCs/>
          <w:color w:val="FF0000"/>
          <w:sz w:val="21"/>
          <w:szCs w:val="21"/>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numPr>
          <w:ilvl w:val="-1"/>
          <w:numId w:val="0"/>
        </w:num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color w:val="FF0000"/>
        </w:rPr>
      </w:pPr>
      <w:r>
        <w:rPr>
          <w:rFonts w:hint="eastAsia"/>
        </w:rPr>
        <w:t>（</w:t>
      </w:r>
      <w:r>
        <w:rPr>
          <w:rFonts w:hint="eastAsia"/>
          <w:lang w:val="en-US" w:eastAsia="zh-CN"/>
        </w:rPr>
        <w:t>4</w:t>
      </w:r>
      <w:r>
        <w:rPr>
          <w:rFonts w:hint="eastAsia"/>
        </w:rPr>
        <w:t>）享受价格扣除获得政府采购合同的，小微企业不得将合同分包给大中型企业。</w:t>
      </w:r>
    </w:p>
    <w:p>
      <w:pPr>
        <w:ind w:firstLine="422" w:firstLineChars="200"/>
        <w:rPr>
          <w:rFonts w:hint="eastAsia"/>
          <w:b/>
        </w:rPr>
      </w:pPr>
      <w:r>
        <w:rPr>
          <w:rFonts w:hint="eastAsia"/>
          <w:b/>
          <w:lang w:val="en-US" w:eastAsia="zh-CN"/>
        </w:rPr>
        <w:t>2</w:t>
      </w:r>
      <w:r>
        <w:rPr>
          <w:rFonts w:hint="eastAsia"/>
          <w:b/>
        </w:rPr>
        <w:t>、</w:t>
      </w:r>
      <w:bookmarkStart w:id="37" w:name="_Hlk72594729"/>
      <w:bookmarkStart w:id="38" w:name="_Hlk76855768"/>
      <w:r>
        <w:rPr>
          <w:rFonts w:hint="eastAsia"/>
          <w:b/>
        </w:rPr>
        <w:t>本项目为代理服务项目，将向中标</w:t>
      </w:r>
      <w:r>
        <w:rPr>
          <w:rFonts w:hint="eastAsia"/>
          <w:b/>
          <w:lang w:eastAsia="zh-CN"/>
        </w:rPr>
        <w:t>（</w:t>
      </w:r>
      <w:r>
        <w:rPr>
          <w:rFonts w:hint="eastAsia"/>
          <w:b/>
          <w:lang w:val="en-US" w:eastAsia="zh-CN"/>
        </w:rPr>
        <w:t>成交</w:t>
      </w:r>
      <w:r>
        <w:rPr>
          <w:rFonts w:hint="eastAsia"/>
          <w:b/>
          <w:lang w:eastAsia="zh-CN"/>
        </w:rPr>
        <w:t>）</w:t>
      </w:r>
      <w:r>
        <w:rPr>
          <w:rFonts w:hint="eastAsia"/>
          <w:b/>
        </w:rPr>
        <w:t>供应商收取代理服务费。</w:t>
      </w:r>
    </w:p>
    <w:bookmarkEnd w:id="37"/>
    <w:bookmarkEnd w:id="38"/>
    <w:p>
      <w:pPr>
        <w:ind w:firstLine="420" w:firstLineChars="200"/>
      </w:pPr>
      <w:r>
        <w:rPr>
          <w:rFonts w:hint="eastAsia"/>
        </w:rPr>
        <w:t>中标</w:t>
      </w:r>
      <w:r>
        <w:rPr>
          <w:rFonts w:hint="eastAsia"/>
          <w:lang w:eastAsia="zh-CN"/>
        </w:rPr>
        <w:t>（</w:t>
      </w:r>
      <w:r>
        <w:rPr>
          <w:rFonts w:hint="eastAsia"/>
          <w:lang w:val="en-US" w:eastAsia="zh-CN"/>
        </w:rPr>
        <w:t>成交</w:t>
      </w:r>
      <w:r>
        <w:rPr>
          <w:rFonts w:hint="eastAsia"/>
          <w:lang w:eastAsia="zh-CN"/>
        </w:rPr>
        <w:t>）</w:t>
      </w:r>
      <w:r>
        <w:rPr>
          <w:rFonts w:hint="eastAsia"/>
        </w:rPr>
        <w:t>供应商在领取《中标</w:t>
      </w:r>
      <w:r>
        <w:rPr>
          <w:rFonts w:hint="eastAsia"/>
          <w:lang w:eastAsia="zh-CN"/>
        </w:rPr>
        <w:t>（</w:t>
      </w:r>
      <w:r>
        <w:rPr>
          <w:rFonts w:hint="eastAsia"/>
          <w:lang w:val="en-US" w:eastAsia="zh-CN"/>
        </w:rPr>
        <w:t>成交</w:t>
      </w:r>
      <w:r>
        <w:rPr>
          <w:rFonts w:hint="eastAsia"/>
          <w:lang w:eastAsia="zh-CN"/>
        </w:rPr>
        <w:t>）</w:t>
      </w:r>
      <w:r>
        <w:rPr>
          <w:rFonts w:hint="eastAsia"/>
        </w:rPr>
        <w:t>通知书》之前须向深圳公共资源交易中心（深圳交易集团有限公司</w:t>
      </w:r>
      <w:r>
        <w:rPr>
          <w:rFonts w:hint="eastAsia"/>
          <w:lang w:val="en-US" w:eastAsia="zh-CN"/>
        </w:rPr>
        <w:t>龙岗</w:t>
      </w:r>
      <w:r>
        <w:rPr>
          <w:rFonts w:hint="eastAsia"/>
        </w:rPr>
        <w:t>分公司）交纳代理服务费。若因中标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lang w:val="en-US" w:eastAsia="zh-CN"/>
        </w:rPr>
        <w:t>下列</w:t>
      </w:r>
      <w:r>
        <w:rPr>
          <w:rFonts w:hint="eastAsia"/>
        </w:rPr>
        <w:t>标准收取。</w:t>
      </w:r>
      <w:r>
        <w:rPr>
          <w:rFonts w:hint="eastAsia"/>
          <w:b/>
          <w:color w:val="FF0000"/>
        </w:rPr>
        <w:t>本项目类型为货物采购：</w:t>
      </w:r>
    </w:p>
    <w:p>
      <w:pPr>
        <w:ind w:firstLine="420" w:firstLineChars="200"/>
      </w:pPr>
      <w:r>
        <w:rPr>
          <w:rFonts w:hint="eastAsia"/>
        </w:rPr>
        <w:t>（</w:t>
      </w:r>
      <w:r>
        <w:rPr>
          <w:rFonts w:hint="eastAsia"/>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lang w:val="en-US" w:eastAsia="zh-CN"/>
        </w:rPr>
        <w:t>中标（</w:t>
      </w:r>
      <w:r>
        <w:rPr>
          <w:rFonts w:hint="eastAsia"/>
        </w:rPr>
        <w:t>成交</w:t>
      </w:r>
      <w:r>
        <w:rPr>
          <w:rFonts w:hint="eastAsia"/>
          <w:lang w:eastAsia="zh-CN"/>
        </w:rPr>
        <w:t>）</w:t>
      </w:r>
      <w:r>
        <w:rPr>
          <w:rFonts w:hint="eastAsia"/>
        </w:rPr>
        <w:t>金额作为计算基数，按差额定率累进法计算。</w:t>
      </w:r>
    </w:p>
    <w:p>
      <w:pPr>
        <w:ind w:firstLine="420" w:firstLineChars="200"/>
      </w:pPr>
      <w:r>
        <w:rPr>
          <w:rFonts w:hint="eastAsia"/>
        </w:rPr>
        <w:t>（</w:t>
      </w:r>
      <w:r>
        <w:rPr>
          <w:rFonts w:hint="eastAsia"/>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lang w:eastAsia="zh-CN"/>
        </w:rPr>
        <w:t>（</w:t>
      </w:r>
      <w:r>
        <w:rPr>
          <w:rFonts w:hint="eastAsia"/>
          <w:lang w:val="en-US" w:eastAsia="zh-CN"/>
        </w:rPr>
        <w:t>成交</w:t>
      </w:r>
      <w:r>
        <w:rPr>
          <w:rFonts w:hint="eastAsia"/>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pPr>
      <w:r>
        <w:rPr>
          <w:rFonts w:hint="eastAsia"/>
        </w:rPr>
        <w:t>（</w:t>
      </w:r>
      <w:r>
        <w:rPr>
          <w:rFonts w:hint="eastAsia"/>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lang w:eastAsia="zh-CN"/>
        </w:rPr>
        <w:t>（</w:t>
      </w:r>
      <w:r>
        <w:rPr>
          <w:rFonts w:hint="eastAsia"/>
          <w:lang w:val="en-US" w:eastAsia="zh-CN"/>
        </w:rPr>
        <w:t>付款</w:t>
      </w:r>
      <w:r>
        <w:rPr>
          <w:rFonts w:hint="eastAsia"/>
          <w:lang w:eastAsia="zh-CN"/>
        </w:rPr>
        <w:t>）</w:t>
      </w:r>
      <w:r>
        <w:rPr>
          <w:rFonts w:hint="eastAsia"/>
        </w:rPr>
        <w:t>通知书执行。</w:t>
      </w:r>
    </w:p>
    <w:p>
      <w:pPr>
        <w:pStyle w:val="2"/>
        <w:rPr>
          <w:b/>
        </w:rPr>
      </w:pPr>
    </w:p>
    <w:p>
      <w:pPr>
        <w:pStyle w:val="36"/>
        <w:rPr>
          <w:b/>
        </w:rPr>
      </w:pPr>
    </w:p>
    <w:p>
      <w:pPr>
        <w:pStyle w:val="36"/>
        <w:ind w:firstLine="964" w:firstLineChars="400"/>
        <w:rPr>
          <w:b/>
        </w:rPr>
        <w:sectPr>
          <w:pgSz w:w="11907" w:h="16840"/>
          <w:pgMar w:top="1440" w:right="1797" w:bottom="1440" w:left="1797" w:header="851" w:footer="992" w:gutter="0"/>
          <w:cols w:space="425" w:num="1"/>
          <w:titlePg/>
          <w:docGrid w:linePitch="462" w:charSpace="0"/>
        </w:sectPr>
      </w:pPr>
    </w:p>
    <w:bookmarkEnd w:id="35"/>
    <w:p>
      <w:pPr>
        <w:pStyle w:val="6"/>
        <w:ind w:firstLine="2811" w:firstLineChars="1000"/>
        <w:jc w:val="both"/>
        <w:rPr>
          <w:sz w:val="28"/>
          <w:szCs w:val="28"/>
        </w:rPr>
      </w:pPr>
      <w:r>
        <w:rPr>
          <w:rFonts w:hint="eastAsia"/>
          <w:sz w:val="28"/>
          <w:szCs w:val="28"/>
        </w:rPr>
        <w:t>第三章 用户需求书</w:t>
      </w:r>
    </w:p>
    <w:p>
      <w:pPr>
        <w:pStyle w:val="6"/>
        <w:spacing w:before="120" w:beforeLines="50" w:after="120" w:afterLines="50"/>
        <w:rPr>
          <w:szCs w:val="24"/>
        </w:rPr>
      </w:pPr>
      <w:r>
        <w:rPr>
          <w:rFonts w:hint="eastAsia"/>
          <w:szCs w:val="24"/>
        </w:rPr>
        <w:t>一、项目基本信息</w:t>
      </w:r>
    </w:p>
    <w:p>
      <w:pPr>
        <w:rPr>
          <w:rFonts w:ascii="宋体" w:hAnsi="宋体"/>
          <w:b/>
          <w:color w:val="FF0000"/>
          <w:szCs w:val="21"/>
        </w:rPr>
      </w:pPr>
    </w:p>
    <w:tbl>
      <w:tblPr>
        <w:tblStyle w:val="43"/>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widowControl/>
              <w:jc w:val="left"/>
              <w:textAlignment w:val="center"/>
              <w:rPr>
                <w:rFonts w:hint="eastAsia" w:ascii="宋体" w:hAnsi="宋体" w:cs="宋体"/>
                <w:bCs w:val="0"/>
                <w:color w:val="000000"/>
                <w:kern w:val="0"/>
                <w:szCs w:val="21"/>
                <w:u w:val="none"/>
                <w:lang w:bidi="ar"/>
              </w:rPr>
            </w:pPr>
            <w:r>
              <w:rPr>
                <w:rFonts w:hint="eastAsia" w:ascii="宋体" w:hAnsi="宋体" w:cs="宋体"/>
                <w:bCs w:val="0"/>
                <w:color w:val="000000"/>
                <w:kern w:val="0"/>
                <w:szCs w:val="21"/>
                <w:u w:val="none"/>
                <w:lang w:bidi="ar"/>
              </w:rPr>
              <w:t>序号</w:t>
            </w:r>
          </w:p>
        </w:tc>
        <w:tc>
          <w:tcPr>
            <w:tcW w:w="2603" w:type="dxa"/>
            <w:vAlign w:val="center"/>
          </w:tcPr>
          <w:p>
            <w:pPr>
              <w:widowControl/>
              <w:ind w:firstLine="840" w:firstLineChars="400"/>
              <w:jc w:val="left"/>
              <w:textAlignment w:val="center"/>
              <w:rPr>
                <w:rFonts w:hint="eastAsia" w:ascii="宋体" w:hAnsi="宋体" w:cs="宋体"/>
                <w:bCs w:val="0"/>
                <w:color w:val="000000"/>
                <w:kern w:val="0"/>
                <w:szCs w:val="21"/>
                <w:u w:val="none"/>
                <w:lang w:bidi="ar"/>
              </w:rPr>
            </w:pPr>
            <w:r>
              <w:rPr>
                <w:rFonts w:hint="eastAsia" w:ascii="宋体" w:hAnsi="宋体" w:eastAsia="宋体" w:cs="宋体"/>
                <w:b w:val="0"/>
                <w:bCs w:val="0"/>
                <w:color w:val="000000"/>
                <w:kern w:val="0"/>
                <w:sz w:val="21"/>
                <w:szCs w:val="21"/>
                <w:u w:val="none"/>
                <w:lang w:val="en-US" w:eastAsia="zh-CN" w:bidi="ar"/>
              </w:rPr>
              <w:t>项目编号</w:t>
            </w:r>
          </w:p>
        </w:tc>
        <w:tc>
          <w:tcPr>
            <w:tcW w:w="3158" w:type="dxa"/>
            <w:vAlign w:val="center"/>
          </w:tcPr>
          <w:p>
            <w:pPr>
              <w:widowControl/>
              <w:jc w:val="left"/>
              <w:textAlignment w:val="center"/>
              <w:rPr>
                <w:rFonts w:hint="eastAsia" w:ascii="宋体" w:hAnsi="宋体" w:cs="宋体"/>
                <w:bCs w:val="0"/>
                <w:color w:val="000000"/>
                <w:kern w:val="0"/>
                <w:szCs w:val="21"/>
                <w:u w:val="none"/>
                <w:lang w:bidi="ar"/>
              </w:rPr>
            </w:pPr>
            <w:r>
              <w:rPr>
                <w:rFonts w:hint="eastAsia" w:ascii="宋体" w:hAnsi="宋体" w:cs="宋体"/>
                <w:bCs w:val="0"/>
                <w:color w:val="000000"/>
                <w:kern w:val="0"/>
                <w:szCs w:val="21"/>
                <w:u w:val="none"/>
                <w:lang w:bidi="ar"/>
              </w:rPr>
              <w:t>采购项目名称</w:t>
            </w:r>
          </w:p>
        </w:tc>
        <w:tc>
          <w:tcPr>
            <w:tcW w:w="2355" w:type="dxa"/>
            <w:vAlign w:val="center"/>
          </w:tcPr>
          <w:p>
            <w:pPr>
              <w:widowControl/>
              <w:jc w:val="left"/>
              <w:textAlignment w:val="center"/>
              <w:rPr>
                <w:rFonts w:hint="eastAsia" w:ascii="宋体" w:hAnsi="宋体" w:cs="宋体"/>
                <w:b w:val="0"/>
                <w:bCs w:val="0"/>
                <w:color w:val="000000"/>
                <w:kern w:val="0"/>
                <w:szCs w:val="21"/>
                <w:u w:val="none"/>
                <w:lang w:bidi="ar"/>
              </w:rPr>
            </w:pPr>
            <w:r>
              <w:rPr>
                <w:rFonts w:hint="eastAsia" w:ascii="宋体" w:hAnsi="宋体" w:cs="宋体"/>
                <w:b w:val="0"/>
                <w:bCs w:val="0"/>
                <w:color w:val="000000"/>
                <w:kern w:val="0"/>
                <w:szCs w:val="21"/>
                <w:u w:val="none"/>
                <w:lang w:bidi="ar"/>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widowControl/>
              <w:jc w:val="left"/>
              <w:textAlignment w:val="center"/>
              <w:rPr>
                <w:rFonts w:hint="eastAsia" w:ascii="宋体" w:hAnsi="宋体" w:cs="宋体"/>
                <w:bCs w:val="0"/>
                <w:color w:val="000000"/>
                <w:kern w:val="0"/>
                <w:szCs w:val="21"/>
                <w:u w:val="none"/>
                <w:lang w:bidi="ar"/>
              </w:rPr>
            </w:pPr>
            <w:r>
              <w:rPr>
                <w:rFonts w:hint="eastAsia" w:ascii="宋体" w:hAnsi="宋体" w:cs="宋体"/>
                <w:bCs w:val="0"/>
                <w:color w:val="000000"/>
                <w:kern w:val="0"/>
                <w:szCs w:val="21"/>
                <w:u w:val="none"/>
                <w:lang w:bidi="ar"/>
              </w:rPr>
              <w:t>1</w:t>
            </w:r>
          </w:p>
        </w:tc>
        <w:tc>
          <w:tcPr>
            <w:tcW w:w="2603" w:type="dxa"/>
            <w:vAlign w:val="center"/>
          </w:tcPr>
          <w:p>
            <w:pPr>
              <w:widowControl/>
              <w:jc w:val="left"/>
              <w:textAlignment w:val="center"/>
              <w:rPr>
                <w:rFonts w:hint="eastAsia" w:ascii="宋体" w:hAnsi="宋体" w:cs="宋体"/>
                <w:bCs w:val="0"/>
                <w:color w:val="000000"/>
                <w:kern w:val="0"/>
                <w:szCs w:val="21"/>
                <w:u w:val="none"/>
                <w:lang w:val="en-US" w:bidi="ar"/>
              </w:rPr>
            </w:pPr>
            <w:r>
              <w:rPr>
                <w:rFonts w:hint="eastAsia" w:ascii="宋体" w:hAnsi="宋体" w:cs="宋体"/>
                <w:bCs w:val="0"/>
                <w:color w:val="000000"/>
                <w:kern w:val="0"/>
                <w:szCs w:val="21"/>
                <w:u w:val="none"/>
                <w:lang w:val="en-US" w:bidi="ar"/>
              </w:rPr>
              <w:t>LGZXCG-2025-00024</w:t>
            </w:r>
            <w:bookmarkStart w:id="137" w:name="_GoBack"/>
            <w:bookmarkEnd w:id="137"/>
          </w:p>
        </w:tc>
        <w:tc>
          <w:tcPr>
            <w:tcW w:w="3158" w:type="dxa"/>
            <w:vMerge w:val="restart"/>
            <w:vAlign w:val="center"/>
          </w:tcPr>
          <w:p>
            <w:pPr>
              <w:widowControl/>
              <w:jc w:val="left"/>
              <w:textAlignment w:val="center"/>
              <w:rPr>
                <w:rFonts w:hint="eastAsia" w:ascii="宋体" w:hAnsi="宋体" w:eastAsia="宋体" w:cs="宋体"/>
                <w:b w:val="0"/>
                <w:bCs w:val="0"/>
                <w:color w:val="000000"/>
                <w:kern w:val="0"/>
                <w:szCs w:val="21"/>
                <w:u w:val="none"/>
                <w:lang w:eastAsia="zh-CN" w:bidi="ar"/>
              </w:rPr>
            </w:pPr>
            <w:r>
              <w:rPr>
                <w:rFonts w:hint="eastAsia" w:ascii="宋体" w:hAnsi="宋体" w:cs="宋体"/>
                <w:b w:val="0"/>
                <w:bCs w:val="0"/>
                <w:color w:val="000000"/>
                <w:kern w:val="0"/>
                <w:szCs w:val="21"/>
                <w:u w:val="none"/>
                <w:lang w:eastAsia="zh-CN" w:bidi="ar"/>
              </w:rPr>
              <w:t>深圳未来双语学校（龙岗）物理、化学实验室设备采购</w:t>
            </w:r>
          </w:p>
        </w:tc>
        <w:tc>
          <w:tcPr>
            <w:tcW w:w="2355" w:type="dxa"/>
            <w:vAlign w:val="center"/>
          </w:tcPr>
          <w:p>
            <w:pPr>
              <w:widowControl/>
              <w:jc w:val="center"/>
              <w:textAlignment w:val="center"/>
              <w:rPr>
                <w:rFonts w:hint="default" w:ascii="宋体" w:hAnsi="宋体" w:eastAsia="宋体" w:cs="宋体"/>
                <w:bCs w:val="0"/>
                <w:color w:val="000000"/>
                <w:kern w:val="0"/>
                <w:szCs w:val="21"/>
                <w:u w:val="none"/>
                <w:lang w:val="en-US" w:eastAsia="zh-CN" w:bidi="ar"/>
              </w:rPr>
            </w:pPr>
            <w:r>
              <w:rPr>
                <w:rFonts w:hint="eastAsia" w:ascii="宋体" w:hAnsi="宋体" w:cs="宋体"/>
                <w:bCs w:val="0"/>
                <w:color w:val="000000"/>
                <w:kern w:val="0"/>
                <w:szCs w:val="21"/>
                <w:u w:val="none"/>
                <w:lang w:val="en-US" w:eastAsia="zh-CN" w:bidi="ar"/>
              </w:rPr>
              <w:t>960000.00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174" w:type="dxa"/>
            <w:gridSpan w:val="3"/>
            <w:vAlign w:val="center"/>
          </w:tcPr>
          <w:p>
            <w:pPr>
              <w:widowControl/>
              <w:jc w:val="center"/>
              <w:textAlignment w:val="center"/>
              <w:rPr>
                <w:rFonts w:hint="eastAsia" w:ascii="宋体" w:hAnsi="宋体" w:cs="宋体"/>
                <w:b w:val="0"/>
                <w:bCs w:val="0"/>
                <w:color w:val="000000"/>
                <w:kern w:val="0"/>
                <w:szCs w:val="21"/>
                <w:u w:val="none"/>
                <w:lang w:bidi="ar"/>
              </w:rPr>
            </w:pPr>
            <w:r>
              <w:rPr>
                <w:rFonts w:hint="eastAsia" w:ascii="宋体" w:hAnsi="宋体" w:cs="宋体"/>
                <w:b w:val="0"/>
                <w:bCs w:val="0"/>
                <w:color w:val="000000"/>
                <w:kern w:val="0"/>
                <w:szCs w:val="21"/>
                <w:u w:val="none"/>
                <w:lang w:bidi="ar"/>
              </w:rPr>
              <w:t>合计</w:t>
            </w:r>
          </w:p>
        </w:tc>
        <w:tc>
          <w:tcPr>
            <w:tcW w:w="2355" w:type="dxa"/>
            <w:vAlign w:val="center"/>
          </w:tcPr>
          <w:p>
            <w:pPr>
              <w:widowControl/>
              <w:jc w:val="left"/>
              <w:textAlignment w:val="center"/>
              <w:rPr>
                <w:rFonts w:hint="eastAsia" w:ascii="宋体" w:hAnsi="宋体" w:cs="宋体"/>
                <w:bCs w:val="0"/>
                <w:color w:val="000000"/>
                <w:kern w:val="0"/>
                <w:szCs w:val="21"/>
                <w:u w:val="none"/>
                <w:lang w:bidi="ar"/>
              </w:rPr>
            </w:pPr>
          </w:p>
        </w:tc>
      </w:tr>
    </w:tbl>
    <w:p>
      <w:pPr>
        <w:rPr>
          <w:rFonts w:ascii="宋体" w:hAnsi="宋体"/>
          <w:b/>
          <w:color w:val="FF0000"/>
          <w:szCs w:val="21"/>
        </w:rPr>
      </w:pPr>
    </w:p>
    <w:p>
      <w:pPr>
        <w:rPr>
          <w:rFonts w:ascii="宋体" w:hAnsi="宋体"/>
          <w:b/>
          <w:color w:val="FF0000"/>
          <w:szCs w:val="21"/>
        </w:rPr>
      </w:pPr>
    </w:p>
    <w:p>
      <w:pPr>
        <w:pStyle w:val="6"/>
        <w:spacing w:before="120" w:beforeLines="50" w:after="120" w:afterLines="50"/>
        <w:rPr>
          <w:rFonts w:hint="eastAsia"/>
          <w:szCs w:val="24"/>
        </w:rPr>
      </w:pPr>
      <w:bookmarkStart w:id="39" w:name="_Hlk72258617"/>
      <w:r>
        <w:rPr>
          <w:rFonts w:hint="eastAsia"/>
          <w:szCs w:val="24"/>
        </w:rPr>
        <w:t>二、</w:t>
      </w:r>
      <w:bookmarkStart w:id="40" w:name="_Hlk72073432"/>
      <w:r>
        <w:rPr>
          <w:rFonts w:hint="eastAsia"/>
          <w:szCs w:val="24"/>
        </w:rPr>
        <w:t>货物需求明细</w:t>
      </w:r>
      <w:bookmarkEnd w:id="40"/>
    </w:p>
    <w:tbl>
      <w:tblPr>
        <w:tblStyle w:val="43"/>
        <w:tblW w:w="876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7"/>
        <w:gridCol w:w="1590"/>
        <w:gridCol w:w="870"/>
        <w:gridCol w:w="660"/>
        <w:gridCol w:w="2280"/>
        <w:gridCol w:w="720"/>
        <w:gridCol w:w="855"/>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bookmarkStart w:id="41" w:name="OLE_LINK1" w:colFirst="0" w:colLast="5"/>
            <w:r>
              <w:rPr>
                <w:rFonts w:hint="eastAsia" w:ascii="宋体" w:hAnsi="宋体" w:eastAsia="宋体" w:cs="宋体"/>
                <w:b/>
                <w:bCs/>
                <w:i w:val="0"/>
                <w:iCs w:val="0"/>
                <w:color w:val="000000"/>
                <w:kern w:val="0"/>
                <w:sz w:val="21"/>
                <w:szCs w:val="21"/>
                <w:u w:val="none"/>
                <w:lang w:val="en-US" w:eastAsia="zh-CN" w:bidi="ar"/>
              </w:rPr>
              <w:t>序号</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货物名称   （标的名称）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放置教室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是否接受进口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b/>
                <w:bCs/>
                <w:color w:val="FF0000"/>
                <w:szCs w:val="21"/>
                <w:lang w:val="en-US" w:eastAsia="zh-CN"/>
              </w:rPr>
              <w:t>是否专门面向中小企业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b/>
                <w:bCs/>
                <w:color w:val="FF0000"/>
                <w:szCs w:val="21"/>
                <w:lang w:val="en-US" w:eastAsia="zh-CN"/>
              </w:rPr>
              <w:t>标的所属行业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82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highlight w:val="yellow"/>
                <w:u w:val="none"/>
                <w:lang w:val="en-US" w:eastAsia="zh-CN" w:bidi="ar"/>
              </w:rPr>
              <w:t>一、物理实验室1（52座）</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教师演示讲台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210" w:firstLineChars="10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教师转椅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物理学生实验桌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多功能柱</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边台柜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边台柜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教师演示电源</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学生安全电源</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网口</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实验凳</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实验室强弱电系统</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设备辅助材料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消防设施</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82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highlight w:val="yellow"/>
                <w:u w:val="none"/>
                <w:lang w:val="en-US" w:eastAsia="zh-CN" w:bidi="ar"/>
              </w:rPr>
              <w:t>二、物理实验室2（48座）</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教师演示讲台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教师转椅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物理学生实验桌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多功能柱</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教师演示电源</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学生安全电源</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实验凳</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实验室供电系统</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bookmarkEnd w:id="41"/>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设备辅助材料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消防设施</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82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highlight w:val="yellow"/>
                <w:u w:val="none"/>
                <w:lang w:val="en-US" w:eastAsia="zh-CN" w:bidi="ar"/>
              </w:rPr>
              <w:t>三、物理仪器准备室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教师准备台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教师转椅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水槽柜</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化验专</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用水槽</w:t>
            </w: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三联高低位龙头</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仪器盘</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仪器盘</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仪器手推车</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辆</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塔式插座</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实验室供电系统</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Cs w:val="21"/>
                <w:u w:val="none"/>
              </w:rPr>
            </w:pPr>
            <w:r>
              <w:rPr>
                <w:rFonts w:hint="eastAsia" w:ascii="宋体" w:hAnsi="宋体" w:eastAsia="宋体" w:cs="宋体"/>
                <w:i w:val="0"/>
                <w:iCs w:val="0"/>
                <w:color w:val="auto"/>
                <w:kern w:val="0"/>
                <w:sz w:val="21"/>
                <w:szCs w:val="21"/>
                <w:u w:val="none"/>
                <w:lang w:val="en-US" w:eastAsia="zh-CN" w:bidi="ar"/>
              </w:rPr>
              <w:t>13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消防设施</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设备辅助材料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82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highlight w:val="yellow"/>
                <w:u w:val="none"/>
                <w:lang w:val="en-US" w:eastAsia="zh-CN" w:bidi="ar"/>
              </w:rPr>
              <w:t>四、物理仪器设备</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计算器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打孔器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手摇抽气机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直联泵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旋片式真空泵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两用气筒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抽气筒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打气筒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抽气盘</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充磁器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放大镜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望远镜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注射器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透明盛液筒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透明水槽(圆形或方形)</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碘升华凝华管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方座支架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多功能实验支架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三脚架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泥三角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旋转架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旋转架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学生电源</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教学电源</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调压变压器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电池盒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感应圈</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演示直尺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木直尺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钢直尺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钢卷尺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布卷尺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游标卡尺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外径千分尺(螺旋测微器)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物理天平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托盘天平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托盘天平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电子天平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单杠杆天平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案秤</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弹簧度盘秤</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金属钩码</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金属槽码</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机械停表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机械停钟</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电子停表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电子停钟</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节拍器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沙漏</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日晷</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温度计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温度计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演示温度计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热敏温度计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双金属片温度计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体温计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电子体温计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红外线快速体温检测仪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寒暑表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条形盒测力计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条形盒测力计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条形盒测力计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条形盒测力计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圆筒测力计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圆筒测力计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平板测力计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圆盘测力计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演示测力计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拉压测力计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双向测力计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握力计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拉力计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演示电表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电能表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绝缘电阻表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直流电流表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直流电压表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灵敏电流计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多用电表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教学示波器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大屏幕示波器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密度计1</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密度计2</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湿度计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圆柱体组</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立方体组</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运动和力实验器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惯性演示器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摩擦计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螺旋弹簧组</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阿基米德原理实验器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阿基米德原理及其应用实验器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液体压强与深度关系实验器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连通器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帕斯卡球</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浮力原理演示器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物体浮沉条件演示器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潜水艇浮沉演示器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液体内部压强实验器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液体对器壁压强演示器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气体浮力演示器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马德堡半球</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大气压系列实验器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压力和压强演示器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流体流速与压强关系演示器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演示滑轮组</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滑轮组</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滚摆</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离心轨道</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力学实验盒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初中力学演示板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飞机升力原理演示器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手摇离心转台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音叉</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音叉</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发音齿轮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单摆</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纵波演示器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声传播演示器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声速测量仪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内聚力演示器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空气压缩引火仪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爆燃器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机械能热能互变演示器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固体缩力演示器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热传导演示器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双金属片</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气体做功内能减少演示器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声热实验盒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纸盘扬声器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手持式喇叭</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玻棒(附丝绸)</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玻棒(附丝绸)</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胶棒(附毛皮)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胶棒(附毛皮)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箔片验电器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箔片验电器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指针验电器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感应起电机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枕形导体</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小灯座</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单刀开关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滑动变阻器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滑动变阻器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滑动变阻器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电阻圈</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电阻定律演示器木质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电阻定律实验器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电阻定律实验器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演示电阻箱</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教学电阻箱</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简式电阻箱</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演示线路实验板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初中电学演示箱</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初中电学演示箱</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学生线路实验板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单刀双掷开关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双刀双掷开关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焦耳定律演示器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保险丝作用演示器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保险丝作用演示器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玩具电动机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电子门铃</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条形磁铁</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蹄形磁铁</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磁感线演示器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立体磁感线演示器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磁感线演示板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电流磁场演示器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菱形小磁针</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翼形磁针</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演示原副线圈</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原副线圈</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蹄形电磁铁</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电铃</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演示电磁继电器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电磁继电器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左右手定则演示器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小型电动机实验器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手摇交直流发电机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阴极射线管(磁效应管)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低频信号发生器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电学实验盒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能的转化实验器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磁悬浮演示器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光具盘</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凹面镜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凸面镜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玻璃砖</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光具座</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光具组</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三棱镜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白光的色散与合成演示器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透镜及其应用实验器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平面镜成像实验器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光的传播、反射、折射实验器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激光笔</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光的三原色合成实验器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手持直视分光镜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抽水机模型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离心水泵模型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液压机模型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水轮机模型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汽油机模型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柴油机模型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磁分子模型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电机模型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能量守恒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能源与可持续发展</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酒精灯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漏斗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平底管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T形管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可密封长玻璃管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镊子</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石棉网</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乳胶管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蒸发皿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电工材料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甲电池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1号电池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电珠(小灯泡)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测电笔</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一字螺丝刀</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十字螺丝刀</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尖咀钳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电工刀</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手摇钻</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木锉</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木工锯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木工锤</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铇</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斧</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钢手锯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剥线钳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钢丝钳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手锤</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錾子</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锉刀</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三角锉刀</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什锦锉</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活扳手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直角尺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高度游标卡尺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电烙铁</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平口钳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手电钻</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钻头</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投影片绘制工具</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工作服</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护目镜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保护手套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82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highlight w:val="yellow"/>
                <w:u w:val="none"/>
                <w:lang w:val="en-US" w:eastAsia="zh-CN" w:bidi="ar"/>
              </w:rPr>
              <w:t>五、化学实验室1（52座）</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教师演示讲台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教师转椅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三联高低位龙头</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学生化验专用水槽</w:t>
            </w: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紧急洗眼器</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化学学生实验桌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边台柜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边台柜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多功能柱</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多功能集成系统水槽                                                                                                                                                                                        </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三联“L”型化验水嘴</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教师演示电源</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学生安全电源</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实验凳</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网口</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实验室强弱供电系统</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实验室给排水系统</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万向</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吸风罩</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实验室</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废气活性炭箱</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通风管道</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进出口</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柔性申缩</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通风管道管件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阻尼减振器</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室外通风系统电路及配管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风机控制系统</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消防设施</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辅助材料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82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highlight w:val="yellow"/>
                <w:u w:val="none"/>
                <w:lang w:val="en-US" w:eastAsia="zh-CN" w:bidi="ar"/>
              </w:rPr>
              <w:t>六、化学实验室2（48座）</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教师演示讲台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教师转椅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三联高低位龙头</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学生化验专用水槽</w:t>
            </w:r>
          </w:p>
        </w:tc>
        <w:tc>
          <w:tcPr>
            <w:tcW w:w="8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紧急洗眼器</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化学学生实验桌</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多功能柱</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多功能集成系统水槽                                                                                                                                                                                        </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三联“L”型化验水嘴</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教师演示电源</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学生安全电源</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实验凳</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实验室</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供电系统</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实验室给排水系统</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万向吸风罩</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实验室通风机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废气活性炭箱</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通风管道</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进出口柔性申缩</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通风管道管件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阻尼减振器</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室外通风系统电路及配管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风机控制系统</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消防设施</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82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highlight w:val="yellow"/>
                <w:u w:val="none"/>
                <w:lang w:val="en-US" w:eastAsia="zh-CN" w:bidi="ar"/>
              </w:rPr>
              <w:t>七、化学仪器准备室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教师准备台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教师转椅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全钢通风柜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化验专</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用水槽</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三联高低位龙头</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紧急洗眼器</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给排水系统</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钢玻试剂架（单面）</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药品柜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仪器盘</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仪器盘</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仪器手推车</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辆</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供电系统</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塔式插座</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消防设施</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82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highlight w:val="yellow"/>
                <w:u w:val="none"/>
                <w:lang w:val="en-US" w:eastAsia="zh-CN" w:bidi="ar"/>
              </w:rPr>
              <w:t>八、化学危化品室</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通风药品柜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剧毒药品储存柜  </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易燃液体防火安全柜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强酸强碱储存柜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药品柜吸风罩</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风机进口处消声器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室内通风管道</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通风管道管件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实验室</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通风机</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风机变频调速控制器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进出口</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柔性申缩</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阻尼减振器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室外通风系统电路及配管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设备辅助材料等费用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82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highlight w:val="yellow"/>
                <w:u w:val="none"/>
                <w:lang w:val="en-US" w:eastAsia="zh-CN" w:bidi="ar"/>
              </w:rPr>
              <w:t>九、化学仪器设备</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highlight w:val="yellow"/>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打孔器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打孔夹板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打孔器刮刀</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手摇钻孔器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离心沉淀器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磁力加热搅拌器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酒精喷灯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电加热器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列管式烘干器（11管）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烘干箱</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注射器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塑料洗瓶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试剂瓶托盘</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实验用品提篮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塑料水槽</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碘升华凝华管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方座支架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方座支架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万能夹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三脚架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泥三角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漏斗架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漏斗架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滴定台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滴定夹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多用滴管架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学生电源</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教学电源</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托盘天平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托盘天平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电子天平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电子天平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温度计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温度计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数字测温计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多用电表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密度计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密度计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酸度计(pH计)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水电解演示器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水电解实验器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原电池实验器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玻璃仪器刷洗器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贮气装置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初中微型化学实验箱</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分子间隔实验器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化学实验废水处理装置(22L)</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元素学习卡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炼铁高炉模型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初中分子结构模型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初中分子结构模型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金刚石结构模型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金刚石结构模型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石墨结构模型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石墨结构模型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碳-60结构模型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碳-60结构模型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氯化钠晶体结构模型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碳的同素异形体结构模型</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金属矿物、金属及合金标本</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原油常见馏分标本</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合成有机高分子材料标本</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新型无机非金属材料标本</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容量瓶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容量瓶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滴定管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滴定管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具支试管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硬质玻璃管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硬质玻璃管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锥形瓶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锥形瓶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蒸馏烧瓶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酒精灯</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抽滤瓶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抽气管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干燥器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气体发生器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冷凝器</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牛角管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漏斗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漏斗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安全漏斗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安全漏斗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分液漏斗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分液漏斗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布氏漏斗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T形管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Y形管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干燥管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干燥管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圆水槽</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圆水槽</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玻璃钟罩</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集气瓶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集气瓶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液封除毒气集气瓶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坩埚</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坩埚钳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镊子</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止水皮管夹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螺旋皮管夹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石棉网</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燃烧匙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软胶塞</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橡胶管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乳胶管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试管刷</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烧瓶刷</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结晶皿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表面皿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表面皿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研钵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研钵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蒸发皿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蒸发皿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反应板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井穴板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井穴板</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塑料多用滴管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铝片</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铝箔</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铝丝</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锌粒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还原铁粉</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铁丝</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锡粒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铅粒</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紫铜片</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铜丝</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碘</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活性炭</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二氧化锰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三氧化二铁</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氧化铜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氯化钾</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无水氯化钙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氯化镁</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三氯化铁</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碘化钾</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硫酸钾</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硫酸铝</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硫酸铜(蓝矾、胆矾)</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硫酸铵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硫酸铝钾(明矾)</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无水硫酸铜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碳酸钾</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碳酸钠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碳酸氢钠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大理石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碳酸氢铵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碱式碳酸铜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乙酸铅</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氢氧化钡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氧化钙(生石灰)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氢氧化钙(熟石灰)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碱石灰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无水乙酸钠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柠檬酸钠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葡萄糖</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蔗糖</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酒精</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煤油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石蕊</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0.025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酚酞</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0.025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品红</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0.025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pH广范围试纸</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蓝石蕊试纸</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红石蕊试纸</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定性滤纸</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草酸</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氯化钡</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甲酸</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氢氧化钾</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氢氧化钠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氢氧化钠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一字螺丝刀</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十字螺丝刀</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钢丝钳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手锤</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237</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锉刀</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238</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剪刀</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239</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工作服</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护目镜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防护面罩</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防毒口罩</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243</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耐酸手套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244</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简易急救箱</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245</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实验防护屏</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废液桶</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拒绝进口</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工业</w:t>
            </w:r>
          </w:p>
        </w:tc>
      </w:tr>
    </w:tbl>
    <w:p/>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ind w:firstLine="422" w:firstLineChars="200"/>
        <w:rPr>
          <w:rFonts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ind w:firstLine="422" w:firstLineChars="200"/>
        <w:rPr>
          <w:rFonts w:ascii="宋体" w:hAnsi="宋体"/>
          <w:b/>
          <w:color w:val="FF0000"/>
          <w:szCs w:val="21"/>
        </w:rPr>
      </w:pPr>
      <w:r>
        <w:rPr>
          <w:rFonts w:hint="eastAsia" w:ascii="宋体" w:hAnsi="宋体"/>
          <w:b/>
          <w:color w:val="FF0000"/>
          <w:szCs w:val="21"/>
        </w:rPr>
        <w:t>3、本项目核心产品为：</w:t>
      </w:r>
      <w:r>
        <w:rPr>
          <w:rFonts w:hint="eastAsia" w:ascii="宋体" w:hAnsi="宋体"/>
          <w:b/>
          <w:color w:val="FF0000"/>
          <w:szCs w:val="21"/>
          <w:u w:val="single"/>
          <w:lang w:val="en-US" w:eastAsia="zh-CN"/>
        </w:rPr>
        <w:t>化学实验室1</w:t>
      </w:r>
      <w:r>
        <w:rPr>
          <w:rFonts w:hint="eastAsia"/>
          <w:b/>
          <w:bCs/>
          <w:color w:val="FF0000"/>
          <w:u w:val="single"/>
          <w:lang w:eastAsia="zh-CN"/>
        </w:rPr>
        <w:t>教师演示讲台</w:t>
      </w:r>
      <w:r>
        <w:rPr>
          <w:rFonts w:hint="eastAsia" w:ascii="宋体" w:hAnsi="宋体"/>
          <w:b/>
          <w:color w:val="FF0000"/>
          <w:szCs w:val="21"/>
          <w:u w:val="single"/>
        </w:rPr>
        <w:t xml:space="preserve"> </w:t>
      </w:r>
      <w:r>
        <w:rPr>
          <w:rFonts w:hint="eastAsia" w:ascii="宋体" w:hAnsi="宋体"/>
          <w:b/>
          <w:color w:val="FF0000"/>
          <w:szCs w:val="21"/>
        </w:rPr>
        <w:t>。</w:t>
      </w:r>
    </w:p>
    <w:bookmarkEnd w:id="39"/>
    <w:p>
      <w:pPr>
        <w:rPr>
          <w:rFonts w:ascii="宋体" w:hAnsi="宋体"/>
          <w:b/>
          <w:color w:val="FF0000"/>
          <w:szCs w:val="21"/>
        </w:rPr>
      </w:pPr>
    </w:p>
    <w:p>
      <w:pPr>
        <w:pStyle w:val="2"/>
      </w:pPr>
    </w:p>
    <w:p>
      <w:pPr>
        <w:pStyle w:val="6"/>
        <w:spacing w:before="120" w:beforeLines="50" w:after="120" w:afterLines="50"/>
        <w:rPr>
          <w:sz w:val="28"/>
          <w:szCs w:val="28"/>
        </w:rPr>
      </w:pPr>
      <w:bookmarkStart w:id="42" w:name="_Toc128884461"/>
      <w:bookmarkStart w:id="43" w:name="OLE_LINK2"/>
      <w:r>
        <w:rPr>
          <w:rFonts w:hint="eastAsia"/>
          <w:sz w:val="28"/>
          <w:szCs w:val="28"/>
        </w:rPr>
        <w:t>三、实质性条款</w:t>
      </w:r>
    </w:p>
    <w:tbl>
      <w:tblPr>
        <w:tblStyle w:val="43"/>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282"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 w:type="dxa"/>
            <w:vAlign w:val="center"/>
          </w:tcPr>
          <w:p>
            <w:pPr>
              <w:adjustRightInd w:val="0"/>
              <w:snapToGrid w:val="0"/>
              <w:spacing w:line="360" w:lineRule="auto"/>
              <w:jc w:val="center"/>
              <w:rPr>
                <w:rFonts w:hint="eastAsia" w:ascii="宋体" w:hAnsi="宋体" w:eastAsia="宋体" w:cs="宋体"/>
                <w:kern w:val="0"/>
                <w:szCs w:val="21"/>
              </w:rPr>
            </w:pPr>
            <w:r>
              <w:rPr>
                <w:rFonts w:hint="eastAsia" w:ascii="宋体" w:hAnsi="宋体" w:eastAsia="宋体" w:cs="宋体"/>
                <w:kern w:val="0"/>
                <w:szCs w:val="21"/>
              </w:rPr>
              <w:t>1</w:t>
            </w:r>
          </w:p>
        </w:tc>
        <w:tc>
          <w:tcPr>
            <w:tcW w:w="7282" w:type="dxa"/>
            <w:vAlign w:val="center"/>
          </w:tcPr>
          <w:p>
            <w:pPr>
              <w:rPr>
                <w:rFonts w:hint="eastAsia" w:ascii="宋体" w:hAnsi="宋体" w:eastAsia="宋体" w:cs="宋体"/>
                <w:bCs/>
                <w:kern w:val="2"/>
                <w:sz w:val="21"/>
                <w:szCs w:val="21"/>
                <w:lang w:val="en-US" w:eastAsia="zh-CN" w:bidi="ar-SA"/>
              </w:rPr>
            </w:pPr>
            <w:r>
              <w:rPr>
                <w:rFonts w:hint="eastAsia" w:ascii="宋体" w:hAnsi="宋体" w:cs="宋体"/>
                <w:b/>
                <w:color w:val="FF0000"/>
                <w:sz w:val="24"/>
              </w:rPr>
              <w:t>★</w:t>
            </w:r>
            <w:r>
              <w:rPr>
                <w:rFonts w:hint="eastAsia" w:ascii="宋体" w:hAnsi="宋体" w:eastAsia="宋体" w:cs="宋体"/>
                <w:bCs/>
                <w:sz w:val="21"/>
                <w:szCs w:val="21"/>
              </w:rPr>
              <w:t>2.1免费保修期：免费保修期自货物最终验收合格并交付使用之日起</w:t>
            </w:r>
            <w:r>
              <w:rPr>
                <w:rFonts w:hint="eastAsia" w:ascii="宋体" w:hAnsi="宋体" w:eastAsia="宋体" w:cs="宋体"/>
                <w:b w:val="0"/>
                <w:bCs/>
                <w:color w:val="FF0000"/>
                <w:sz w:val="21"/>
                <w:szCs w:val="21"/>
                <w:lang w:val="en-US" w:eastAsia="zh-CN"/>
              </w:rPr>
              <w:t>1</w:t>
            </w:r>
            <w:r>
              <w:rPr>
                <w:rFonts w:hint="eastAsia" w:ascii="宋体" w:hAnsi="宋体" w:eastAsia="宋体" w:cs="宋体"/>
                <w:b w:val="0"/>
                <w:bCs/>
                <w:color w:val="FF0000"/>
                <w:sz w:val="21"/>
                <w:szCs w:val="21"/>
              </w:rPr>
              <w:t>年</w:t>
            </w:r>
            <w:r>
              <w:rPr>
                <w:rFonts w:hint="eastAsia" w:ascii="宋体" w:hAnsi="宋体" w:eastAsia="宋体" w:cs="宋体"/>
                <w:bCs/>
                <w:sz w:val="21"/>
                <w:szCs w:val="21"/>
              </w:rPr>
              <w:t>。在免费保修期内，一旦发生质量问题，投标人保证在接到通知12小时内赶到现场进行修理或更换，免费保修期内中标供应商负责免费维修及更换配件。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pPr>
              <w:adjustRightInd w:val="0"/>
              <w:snapToGrid w:val="0"/>
              <w:spacing w:line="360" w:lineRule="auto"/>
              <w:jc w:val="both"/>
              <w:rPr>
                <w:rFonts w:hint="eastAsia" w:ascii="宋体" w:hAnsi="宋体" w:eastAsia="宋体" w:cs="宋体"/>
                <w:kern w:val="0"/>
                <w:szCs w:val="21"/>
                <w:lang w:val="en-US"/>
              </w:rPr>
            </w:pPr>
            <w:r>
              <w:rPr>
                <w:rFonts w:hint="eastAsia" w:ascii="宋体" w:hAnsi="宋体" w:eastAsia="宋体" w:cs="宋体"/>
                <w:kern w:val="0"/>
                <w:szCs w:val="21"/>
                <w:lang w:val="en-US" w:eastAsia="zh-CN"/>
              </w:rPr>
              <w:t>2</w:t>
            </w:r>
          </w:p>
        </w:tc>
        <w:tc>
          <w:tcPr>
            <w:tcW w:w="7282" w:type="dxa"/>
            <w:vAlign w:val="center"/>
          </w:tcPr>
          <w:p>
            <w:pPr>
              <w:adjustRightInd/>
              <w:snapToGrid/>
              <w:spacing w:line="240" w:lineRule="auto"/>
              <w:jc w:val="left"/>
              <w:rPr>
                <w:rFonts w:hint="eastAsia" w:ascii="宋体" w:hAnsi="宋体" w:eastAsia="宋体" w:cs="宋体"/>
                <w:bCs/>
                <w:kern w:val="2"/>
                <w:sz w:val="21"/>
                <w:szCs w:val="21"/>
                <w:lang w:val="en-US" w:eastAsia="zh-CN"/>
              </w:rPr>
            </w:pPr>
            <w:r>
              <w:rPr>
                <w:rFonts w:hint="eastAsia" w:ascii="宋体" w:hAnsi="宋体" w:cs="宋体"/>
                <w:b/>
                <w:color w:val="FF0000"/>
                <w:sz w:val="24"/>
              </w:rPr>
              <w:t>★</w:t>
            </w:r>
            <w:r>
              <w:rPr>
                <w:rFonts w:hint="eastAsia" w:ascii="宋体" w:hAnsi="宋体" w:eastAsia="宋体" w:cs="宋体"/>
                <w:bCs/>
                <w:kern w:val="2"/>
                <w:sz w:val="21"/>
                <w:szCs w:val="21"/>
              </w:rPr>
              <w:t>1.3签订合同后30天（日历日）内</w:t>
            </w:r>
            <w:r>
              <w:rPr>
                <w:rFonts w:hint="eastAsia" w:ascii="宋体" w:hAnsi="宋体" w:eastAsia="宋体" w:cs="宋体"/>
                <w:bCs/>
                <w:kern w:val="2"/>
                <w:sz w:val="21"/>
                <w:szCs w:val="21"/>
                <w:lang w:val="en-US" w:eastAsia="zh-CN"/>
              </w:rPr>
              <w:t>完成验收工作</w:t>
            </w:r>
            <w:r>
              <w:rPr>
                <w:rFonts w:hint="eastAsia" w:ascii="宋体" w:hAnsi="宋体" w:eastAsia="宋体" w:cs="宋体"/>
                <w:bCs/>
                <w:kern w:val="2"/>
                <w:sz w:val="21"/>
                <w:szCs w:val="21"/>
              </w:rPr>
              <w:t>。</w:t>
            </w:r>
          </w:p>
        </w:tc>
      </w:tr>
    </w:tbl>
    <w:p>
      <w:pPr>
        <w:rPr>
          <w:b/>
        </w:rPr>
      </w:pPr>
      <w:r>
        <w:rPr>
          <w:rFonts w:hint="eastAsia"/>
          <w:b/>
        </w:rPr>
        <w:t>注：上表所列内容为不可负偏离条款</w:t>
      </w:r>
      <w:bookmarkEnd w:id="42"/>
      <w:r>
        <w:rPr>
          <w:rFonts w:hint="eastAsia"/>
          <w:b/>
        </w:rPr>
        <w:t>，负偏离将视为未实质性满足招标文件要求作投标无效处理。</w:t>
      </w:r>
    </w:p>
    <w:bookmarkEnd w:id="43"/>
    <w:p>
      <w:pPr>
        <w:rPr>
          <w:b/>
          <w:szCs w:val="21"/>
        </w:rPr>
      </w:pPr>
    </w:p>
    <w:p>
      <w:pPr>
        <w:pStyle w:val="2"/>
      </w:pPr>
    </w:p>
    <w:p>
      <w:pPr>
        <w:pStyle w:val="6"/>
        <w:spacing w:before="120" w:beforeLines="50" w:after="120" w:afterLines="50"/>
        <w:rPr>
          <w:sz w:val="28"/>
          <w:szCs w:val="28"/>
        </w:rPr>
      </w:pPr>
      <w:r>
        <w:rPr>
          <w:rFonts w:hint="eastAsia"/>
          <w:sz w:val="28"/>
          <w:szCs w:val="28"/>
        </w:rPr>
        <w:t>四、技术要求</w:t>
      </w:r>
    </w:p>
    <w:p>
      <w:pPr>
        <w:ind w:firstLine="422" w:firstLineChars="200"/>
        <w:rPr>
          <w:b/>
        </w:rPr>
      </w:pPr>
      <w:r>
        <w:rPr>
          <w:rFonts w:hint="eastAsia"/>
          <w:b/>
          <w:szCs w:val="21"/>
        </w:rPr>
        <w:t>说明：</w:t>
      </w:r>
      <w:r>
        <w:rPr>
          <w:b/>
          <w:szCs w:val="21"/>
        </w:rPr>
        <w:t xml:space="preserve"> </w:t>
      </w:r>
      <w:r>
        <w:rPr>
          <w:b/>
        </w:rPr>
        <w:t>1</w:t>
      </w:r>
      <w:r>
        <w:rPr>
          <w:rFonts w:hint="eastAsia"/>
          <w:b/>
        </w:rPr>
        <w:t>、评分时，如对一项招标技术要求（以招标技术要求所在列的</w:t>
      </w:r>
      <w:r>
        <w:rPr>
          <w:rFonts w:hint="eastAsia"/>
          <w:b/>
          <w:highlight w:val="yellow"/>
        </w:rPr>
        <w:t>序号为准</w:t>
      </w:r>
      <w:r>
        <w:rPr>
          <w:rFonts w:hint="eastAsia"/>
          <w:b/>
        </w:rPr>
        <w:t>）中的内容存在两处（或以上）负偏离的，在评分时只作一项负偏离扣分。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w:t>
      </w:r>
      <w:r>
        <w:rPr>
          <w:rFonts w:hint="eastAsia"/>
          <w:b/>
          <w:szCs w:val="21"/>
          <w:lang w:val="en-US" w:eastAsia="zh-CN"/>
        </w:rPr>
        <w:t>负</w:t>
      </w:r>
      <w:r>
        <w:rPr>
          <w:rFonts w:hint="eastAsia"/>
          <w:b/>
          <w:szCs w:val="21"/>
        </w:rPr>
        <w:t>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”指标项为重要参数条款，负偏离时依相关评分准则内容作重点扣分处理。</w:t>
      </w:r>
    </w:p>
    <w:p>
      <w:pPr>
        <w:ind w:firstLine="422" w:firstLineChars="200"/>
        <w:rPr>
          <w:rFonts w:hint="eastAsia"/>
          <w:b/>
          <w:szCs w:val="21"/>
        </w:rPr>
      </w:pPr>
      <w:r>
        <w:rPr>
          <w:b/>
          <w:szCs w:val="21"/>
        </w:rPr>
        <w:t>3</w:t>
      </w:r>
      <w:r>
        <w:rPr>
          <w:rFonts w:hint="eastAsia"/>
          <w:b/>
          <w:szCs w:val="21"/>
        </w:rPr>
        <w:t>、</w:t>
      </w:r>
      <w:bookmarkStart w:id="44" w:name="_Hlk72585069"/>
      <w:r>
        <w:rPr>
          <w:rFonts w:hint="eastAsia"/>
          <w:b/>
          <w:szCs w:val="21"/>
        </w:rPr>
        <w:t>招标技术要求中，用红色加粗字体标注的指标项均要求提供证明资料，</w:t>
      </w:r>
      <w:r>
        <w:rPr>
          <w:rFonts w:hint="eastAsia"/>
          <w:b/>
          <w:color w:val="FF0000"/>
          <w:szCs w:val="21"/>
        </w:rPr>
        <w:t>共</w:t>
      </w:r>
      <w:r>
        <w:rPr>
          <w:rFonts w:hint="eastAsia"/>
          <w:b/>
          <w:color w:val="FF0000"/>
          <w:szCs w:val="21"/>
          <w:lang w:val="en-US" w:eastAsia="zh-CN"/>
        </w:rPr>
        <w:t>14</w:t>
      </w:r>
      <w:r>
        <w:rPr>
          <w:rFonts w:hint="eastAsia"/>
          <w:b/>
          <w:color w:val="FF0000"/>
          <w:szCs w:val="21"/>
        </w:rPr>
        <w:t>项</w:t>
      </w:r>
      <w:r>
        <w:rPr>
          <w:rFonts w:hint="eastAsia"/>
          <w:b/>
          <w:szCs w:val="21"/>
        </w:rPr>
        <w:t>；其余指标项未要求提供证明资料，无需提供相关证明资料。</w:t>
      </w:r>
    </w:p>
    <w:p>
      <w:pPr>
        <w:ind w:firstLine="422" w:firstLineChars="200"/>
        <w:rPr>
          <w:rFonts w:hint="eastAsia"/>
          <w:b/>
          <w:szCs w:val="21"/>
        </w:rPr>
      </w:pPr>
      <w:r>
        <w:rPr>
          <w:rFonts w:hint="eastAsia"/>
          <w:b/>
          <w:szCs w:val="21"/>
        </w:rPr>
        <w:t>4.涉及区间的技术要求，除特别注明以外，均包含首尾两端本数，所投产品响应数值在招标文件要求的区间范围内即认定为满足该项技术要求，产品参数区间与招标要求不一致的均视为负偏离。例：</w:t>
      </w:r>
    </w:p>
    <w:p>
      <w:pPr>
        <w:ind w:firstLine="422" w:firstLineChars="200"/>
        <w:rPr>
          <w:rFonts w:hint="eastAsia"/>
          <w:b/>
          <w:szCs w:val="21"/>
        </w:rPr>
      </w:pPr>
      <w:r>
        <w:rPr>
          <w:rFonts w:hint="eastAsia"/>
          <w:b/>
          <w:szCs w:val="21"/>
        </w:rPr>
        <w:t>（1）“20L”（凡是响应内容与该数值不一致者，均视为负偏离）；</w:t>
      </w:r>
    </w:p>
    <w:p>
      <w:pPr>
        <w:ind w:firstLine="422" w:firstLineChars="200"/>
        <w:rPr>
          <w:rFonts w:hint="eastAsia"/>
          <w:b/>
          <w:szCs w:val="21"/>
        </w:rPr>
      </w:pPr>
      <w:r>
        <w:rPr>
          <w:rFonts w:hint="eastAsia"/>
          <w:b/>
          <w:szCs w:val="21"/>
        </w:rPr>
        <w:t>（2）“H≥6m”（凡是响应内容存在小于6m可能情形的均视为负偏离）；</w:t>
      </w:r>
    </w:p>
    <w:p>
      <w:pPr>
        <w:ind w:firstLine="422" w:firstLineChars="200"/>
        <w:rPr>
          <w:rFonts w:hint="eastAsia"/>
          <w:b/>
          <w:szCs w:val="21"/>
        </w:rPr>
      </w:pPr>
      <w:r>
        <w:rPr>
          <w:rFonts w:hint="eastAsia"/>
          <w:b/>
          <w:szCs w:val="21"/>
        </w:rPr>
        <w:t>（3）区间要求为0-20ML,只要响应的不是广于等于“0-20ML”，如投标文件响应为 0-15ML、1-12ML 、 9-20ML 、6-21ML 、9ML 等情形均视为负偏离。</w:t>
      </w:r>
    </w:p>
    <w:p>
      <w:pPr>
        <w:pStyle w:val="2"/>
        <w:spacing w:line="240" w:lineRule="auto"/>
        <w:ind w:firstLine="422" w:firstLineChars="200"/>
        <w:rPr>
          <w:rFonts w:hint="eastAsia"/>
          <w:b/>
          <w:bCs w:val="0"/>
          <w:sz w:val="21"/>
          <w:szCs w:val="21"/>
        </w:rPr>
      </w:pPr>
      <w:r>
        <w:rPr>
          <w:rFonts w:hint="eastAsia"/>
          <w:b/>
          <w:bCs w:val="0"/>
          <w:sz w:val="21"/>
          <w:szCs w:val="21"/>
        </w:rPr>
        <w:t>5.相关证明材料的产品名称与招标技术要求的货物名称不一致的，需提供为同种产品的说明；若名称不一致又未提供说明的，由评审委员会判定是否符合文件要求。</w:t>
      </w:r>
    </w:p>
    <w:p>
      <w:pPr>
        <w:ind w:firstLine="422" w:firstLineChars="200"/>
        <w:rPr>
          <w:rFonts w:hint="eastAsia" w:asciiTheme="minorEastAsia" w:hAnsiTheme="minorEastAsia" w:eastAsiaTheme="minorEastAsia" w:cstheme="minorEastAsia"/>
          <w:b/>
          <w:sz w:val="21"/>
          <w:szCs w:val="21"/>
          <w:highlight w:val="yellow"/>
        </w:rPr>
      </w:pPr>
      <w:r>
        <w:rPr>
          <w:rFonts w:hint="eastAsia" w:asciiTheme="minorEastAsia" w:hAnsiTheme="minorEastAsia" w:eastAsiaTheme="minorEastAsia" w:cstheme="minorEastAsia"/>
          <w:b/>
          <w:sz w:val="21"/>
          <w:szCs w:val="21"/>
          <w:highlight w:val="yellow"/>
          <w:lang w:val="en-US" w:eastAsia="zh-CN"/>
        </w:rPr>
        <w:t>6.</w:t>
      </w:r>
      <w:r>
        <w:rPr>
          <w:rFonts w:hint="eastAsia" w:asciiTheme="minorEastAsia" w:hAnsiTheme="minorEastAsia" w:eastAsiaTheme="minorEastAsia" w:cstheme="minorEastAsia"/>
          <w:b/>
          <w:sz w:val="21"/>
          <w:szCs w:val="21"/>
          <w:highlight w:val="yellow"/>
        </w:rPr>
        <w:t>检测报告中若出现检测标准</w:t>
      </w:r>
      <w:r>
        <w:rPr>
          <w:rFonts w:hint="eastAsia" w:asciiTheme="minorEastAsia" w:hAnsiTheme="minorEastAsia" w:eastAsiaTheme="minorEastAsia" w:cstheme="minorEastAsia"/>
          <w:b/>
          <w:sz w:val="21"/>
          <w:szCs w:val="21"/>
          <w:highlight w:val="yellow"/>
          <w:lang w:val="en-US" w:eastAsia="zh-CN"/>
        </w:rPr>
        <w:t>新旧</w:t>
      </w:r>
      <w:r>
        <w:rPr>
          <w:rFonts w:hint="eastAsia" w:asciiTheme="minorEastAsia" w:hAnsiTheme="minorEastAsia" w:eastAsiaTheme="minorEastAsia" w:cstheme="minorEastAsia"/>
          <w:b/>
          <w:sz w:val="21"/>
          <w:szCs w:val="21"/>
          <w:highlight w:val="yellow"/>
        </w:rPr>
        <w:t>交替时</w:t>
      </w:r>
      <w:r>
        <w:rPr>
          <w:rFonts w:hint="eastAsia" w:asciiTheme="minorEastAsia" w:hAnsiTheme="minorEastAsia" w:eastAsiaTheme="minorEastAsia" w:cstheme="minorEastAsia"/>
          <w:b/>
          <w:sz w:val="21"/>
          <w:szCs w:val="21"/>
          <w:highlight w:val="yellow"/>
          <w:lang w:val="en-US" w:eastAsia="zh-CN"/>
        </w:rPr>
        <w:t>旧标准</w:t>
      </w:r>
      <w:r>
        <w:rPr>
          <w:rFonts w:hint="eastAsia" w:asciiTheme="minorEastAsia" w:hAnsiTheme="minorEastAsia" w:eastAsiaTheme="minorEastAsia" w:cstheme="minorEastAsia"/>
          <w:b/>
          <w:sz w:val="21"/>
          <w:szCs w:val="21"/>
          <w:highlight w:val="yellow"/>
        </w:rPr>
        <w:t>也予以认可，若检测报告要求的检测标准有更新的标准也予以认可。</w:t>
      </w:r>
    </w:p>
    <w:p>
      <w:pPr>
        <w:ind w:firstLine="422" w:firstLineChars="200"/>
        <w:rPr>
          <w:rFonts w:hint="default"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bCs w:val="0"/>
          <w:i w:val="0"/>
          <w:iCs w:val="0"/>
          <w:kern w:val="2"/>
          <w:sz w:val="21"/>
          <w:szCs w:val="21"/>
          <w:highlight w:val="yellow"/>
          <w:lang w:val="en-US" w:eastAsia="zh-CN"/>
          <w14:ligatures w14:val="none"/>
        </w:rPr>
        <w:t>7</w:t>
      </w:r>
      <w:r>
        <w:rPr>
          <w:rFonts w:hint="eastAsia" w:asciiTheme="minorEastAsia" w:hAnsiTheme="minorEastAsia" w:eastAsiaTheme="minorEastAsia" w:cstheme="minorEastAsia"/>
          <w:b/>
          <w:sz w:val="21"/>
          <w:szCs w:val="21"/>
          <w:highlight w:val="yellow"/>
          <w:lang w:val="en-US" w:eastAsia="zh-CN"/>
        </w:rPr>
        <w:t>.要求提供防霉性能相关检测报告证明材料的，投标人可在投标时提供符合要求的证明材料，或者承诺在中标后40天内向采购人提供满足条件的检验报告。</w:t>
      </w:r>
    </w:p>
    <w:p>
      <w:pPr>
        <w:pStyle w:val="53"/>
        <w:rPr>
          <w:rFonts w:hint="eastAsia"/>
        </w:rPr>
      </w:pPr>
    </w:p>
    <w:tbl>
      <w:tblPr>
        <w:tblStyle w:val="43"/>
        <w:tblW w:w="8616" w:type="dxa"/>
        <w:tblInd w:w="-13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9"/>
        <w:gridCol w:w="771"/>
        <w:gridCol w:w="4535"/>
        <w:gridCol w:w="541"/>
        <w:gridCol w:w="417"/>
        <w:gridCol w:w="417"/>
        <w:gridCol w:w="1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blHead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设备名称</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技术参数</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c>
          <w:tcPr>
            <w:tcW w:w="13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放置教室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61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一、物理实验室1（52座）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教师演示讲台</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规格：全钢结构  2400*700*850mm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w:t>
            </w:r>
          </w:p>
          <w:p>
            <w:pPr>
              <w:keepNext w:val="0"/>
              <w:keepLines w:val="0"/>
              <w:widowControl/>
              <w:numPr>
                <w:ilvl w:val="0"/>
                <w:numId w:val="9"/>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台面：采用12mm厚抗倍特板台面，台面前沿加工成光滑半圆型；</w:t>
            </w:r>
          </w:p>
          <w:p>
            <w:pPr>
              <w:keepNext w:val="0"/>
              <w:keepLines w:val="0"/>
              <w:widowControl/>
              <w:numPr>
                <w:ilvl w:val="0"/>
                <w:numId w:val="9"/>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桌身：采用0.8mm镀锌钢板，CO2保护焊焊接，经磷化、酸洗、除油、除锈、处理后经高温固化成光滑表面。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3、滑轨：采用三节静音滑轨；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4、铰链：采用具注塑成型，开合不变形。</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5、脚垫：采用高密度ABS工程塑料，模具注塑成型，装有螺旋螺丝，上可连接桌脚，下可连接地面。</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教师转椅</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规格：500*500*800mm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xml:space="preserve">                                        1、椅面/椅背选用网布面料；</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2、PP扶手；</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3、底座：电镀钢铁支架，气动升降；</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4、配件：采用螺丝五金配件。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物理学生实验桌</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规格：1200*600*780mm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1、台面：采用国内≥12.7mm厚双面膜实芯理化板台面。各项性能满足如下要求：</w:t>
            </w:r>
          </w:p>
          <w:p>
            <w:pPr>
              <w:keepNext w:val="0"/>
              <w:keepLines w:val="0"/>
              <w:widowControl/>
              <w:suppressLineNumbers w:val="0"/>
              <w:jc w:val="left"/>
              <w:textAlignment w:val="center"/>
              <w:rPr>
                <w:rFonts w:hint="eastAsia" w:ascii="宋体" w:hAnsi="宋体" w:eastAsia="宋体" w:cs="宋体"/>
                <w:b/>
                <w:bCs/>
                <w:i w:val="0"/>
                <w:iCs w:val="0"/>
                <w:color w:val="FF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▲2、台面检测依据国家标准GB/T 17657-2022标准进行检测，需满足以下性能：静曲强度≥140Mpa；弹性模量≥10450Mpa；抗拉强度≥69Mpa；拉伸强度≥69Mpa；表面耐龟裂性能：5级：表面无裂纹；耐高温性能：表面无裂纹；表面耐干热性能：5级：无明显变化；表面耐湿热性能：5级：无明显变化；耐光色牢度＞4级；洛氏硬度：126；耐臭氧（72h）：外观无明显变化；尺寸稳定性：横向和纵向均需一致≤0.03%；漆膜附着力：六级：切割边缘完全平滑，网格内无脱落；漆膜硬度＞9H；表面耐划痕性能：4.5N作用下，试件表面无大于90%的连续划痕；耐沸水性能：质量增加百分率≤0.01%、厚度增加百分率≤0.06%，表面质量等级：5级：无变化，边缘质量等级：5级：无明显变化；抗冲击性能：冲击高度≥1m，压痕直径≤5.1mm；表面耐磨性能≥1120r，未出现磨损；弯曲强度≥140Mpa；弯曲弹性模量≥8330Mpa；表面耐冷热循环：表面无裂纹及鼓泡。【投标人或产品制造商提供理化板第三方检测机构出具的具有CMA或CNAS标识的检测报告并提供检测报告在全国认证认可信息公共服务平台网站 (http://cx.cnca.cn/)的查询结果截图证明；报告需体现上述对应参数所有内容的检测结果，缺项不得分，原件备查】。</w:t>
            </w:r>
          </w:p>
          <w:p>
            <w:pPr>
              <w:keepNext w:val="0"/>
              <w:keepLines w:val="0"/>
              <w:widowControl/>
              <w:suppressLineNumbers w:val="0"/>
              <w:jc w:val="left"/>
              <w:textAlignment w:val="center"/>
              <w:rPr>
                <w:rFonts w:hint="eastAsia" w:ascii="宋体" w:hAnsi="宋体" w:eastAsia="宋体" w:cs="宋体"/>
                <w:b/>
                <w:bCs/>
                <w:i w:val="0"/>
                <w:iCs w:val="0"/>
                <w:color w:val="FF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▲3、台面检测依据 GB/T 39600-2021标准，甲醛释放量≤0.005mg/m³，满足技术要求E0级；【投标人或产品制造商提供理化板第三方检测机构出具的具有CMA或CNAS标识的检测报告并提供检测报告在全国认证认可信息公共服务平台网站 (http://cx.cnca.cn/)的查询结果截图证明；报告需体现上述对应参数所有内容的检测结果，缺项不得分，原件备查】。</w:t>
            </w:r>
          </w:p>
          <w:p>
            <w:pPr>
              <w:keepNext w:val="0"/>
              <w:keepLines w:val="0"/>
              <w:widowControl/>
              <w:suppressLineNumbers w:val="0"/>
              <w:jc w:val="left"/>
              <w:textAlignment w:val="center"/>
              <w:rPr>
                <w:rFonts w:hint="eastAsia" w:ascii="宋体" w:hAnsi="宋体" w:eastAsia="宋体" w:cs="宋体"/>
                <w:b/>
                <w:bCs/>
                <w:i w:val="0"/>
                <w:iCs w:val="0"/>
                <w:color w:val="FF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▲4、台面检测依据GB/T 17657-2022标准对面板正反两面进行耐污染物检验，其中硫酸（98%）、77%硫酸、硝酸（65%）、乙酸(99%)、氢氟酸（48%）、3%双氧水、无水乙醇、水杨酸、碘伏、亚甲基蓝(5%)、乙腈、无水甲醇、正己烷、三氯乙酸等不少于135种溶液或试剂检验结果达到5级并无明显变化；【投标人或产品制造商提供理化板第三方检测机构出具的具有CMA或CNAS标识的检测报告并提供检测报告在全国认证认可信息公共服务平台网站 (http://cx.cnca.cn/)的查询结果截图证明；报告需体现上述对应参数所有内容的检测结果，缺项不得分，原件备查】。</w:t>
            </w:r>
          </w:p>
          <w:p>
            <w:pPr>
              <w:widowControl/>
              <w:jc w:val="left"/>
              <w:textAlignment w:val="center"/>
              <w:rPr>
                <w:rFonts w:hint="eastAsia" w:ascii="宋体" w:hAnsi="宋体" w:eastAsia="宋体" w:cs="宋体"/>
                <w:b/>
                <w:bCs/>
                <w:color w:val="FF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▲5、台面检测依据JC/T 2039-2010标准检测板材抗霉菌性能：黑曲霉、土曲霉、宛氏拟青霉、绳状青霉、出芽短梗霉、球毛壳霉、长枝木霉等7种的霉菌检测长霉等级0级。【投标人或产品制造商提供理化板第三方检测机构出具的具有CMA或CNAS标识的检测报告并提供检测报告在全国认证认可信息公共服务平台网站 (http://cx.cnca.cn/)的查询结果截图证明；报告需体现上述对应参数所有内容的检测结果，缺项不得分，原件备查】。</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结构：新型塑铝结构，整体桌脚呈Z字造型。学生位镂空式，符合人体工程学设计。书包斗采用整体ABS工程塑料一次性注塑成型，规格420*255*165，中间设挂凳卡；两个书包斗中间设有一个翻盖式电源盒，采用ABS工程塑料注塑成型，耐老化不导电。</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桌脚采用三段式高强度铝合金结构，整体规格570*760，左右两边配有装饰彩带，中立柱采用96mm*46*1.5mm厚承重型铝合金型材，采用倾斜式设计。上下脚采用铝合金一次压铸成型，上脚规格：长570*宽51*高116mm，下脚规格：长556*宽67*高112mm，上下脚的壁厚≥2.5mm，连接处壁厚加强至4mm;采用4个高强度螺丝连接；上脚后部装有支撑杆，支撑杆采用铝合金压铸成型，规格不小于25*25*240mm，一头嵌入上桌架，另一头固定在立柱上，呈三角形结构，使整体结构更稳固。下桌架设有专用孔位与地面固定，可以安装调整脚，并配有跟台面同色ABS脚套装饰盖。易碰撞处全部采用倒圆角，产品款式要求整体设计合理、安全、牢固。</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8、桌脚间通过4条专用铝合金型材连接，上方三条铝合金型材中前后两条横梁为40*40mm 1/4圆形铝合金型材用高强度螺丝连接，中间一条为45*20mm方形铝合金型材；桌子下部一条横梁为89*14mm铝合金型材，用高强度螺丝固定在两侧桌脚的立柱上，易碰撞处全部采用倒圆角，产品款式要求整体设计合理、安全、牢固。</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多功能柱</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功能柱规格：长355*宽210*高760mm，采用ABS塑料一次注塑成型，功能柱正面设有ABS注塑成型的的检修门，并配有专用锁具,便</w:t>
            </w:r>
            <w:r>
              <w:rPr>
                <w:rFonts w:hint="eastAsia" w:ascii="宋体" w:hAnsi="宋体" w:cs="宋体"/>
                <w:i w:val="0"/>
                <w:iCs w:val="0"/>
                <w:color w:val="000000"/>
                <w:kern w:val="0"/>
                <w:sz w:val="21"/>
                <w:szCs w:val="21"/>
                <w:u w:val="none"/>
                <w:lang w:val="en-US" w:eastAsia="zh-CN" w:bidi="ar"/>
              </w:rPr>
              <w:t>于</w:t>
            </w:r>
            <w:r>
              <w:rPr>
                <w:rFonts w:hint="eastAsia" w:ascii="宋体" w:hAnsi="宋体" w:eastAsia="宋体" w:cs="宋体"/>
                <w:i w:val="0"/>
                <w:iCs w:val="0"/>
                <w:color w:val="000000"/>
                <w:kern w:val="0"/>
                <w:sz w:val="21"/>
                <w:szCs w:val="21"/>
                <w:u w:val="none"/>
                <w:lang w:val="en-US" w:eastAsia="zh-CN" w:bidi="ar"/>
              </w:rPr>
              <w:t>安装和维修。</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边台柜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规格：2000*500*780mm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1、台面：一体化台面，采用12.7mm厚防静电、防水、防火、耐刮、耐磨、抗击耐酸碱的实芯理化板,四周边加厚至25.4mm。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2、桌身：采用1.0mm镀锌钢板，CO2保护焊焊接，经磷化、酸洗、除油、除锈处理后再经高温固化成光滑表面。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3、滑轨：采用三节静音滑轨；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4、铰链：采用具注塑成型，开合不变形。</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5、脚垫：采用高密度ABS工程塑料，模具注塑成型，并装有螺旋螺丝，上可连接桌脚，下可连接地面。</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边台柜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规格：1500*500*780mm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1、台面：一体化台面，采用12.7mm厚防静电、防水、防火、耐刮、耐磨、抗击耐酸碱的实芯理化板,四周边加厚至25.4mm。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2、桌身：采用1.0mm镀锌钢板，CO2保护焊焊接，经磷化、酸洗、除油、除锈处理后再经高温固化成光滑表面。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3、滑轨：采用三节静音滑轨；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4、铰链：采用具注塑成型。</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5、脚垫：采用高密度ABS工程塑料，模具注塑成型，并装有螺旋螺丝，上可连接桌脚，下可连接地面。</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教师演示电源</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1、教师端主控，主机采用铁制机箱，机械抽屉式。控制显示采用7寸液晶真彩触摸屏和数据显示一体化。</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2、具备1个220V国标五孔交流电源输出插座。</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3、系统具备漏电保护功能。</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4、通过教师控制界面可设置直流0-30V分辨率0.1V，交流1-30V分辨率1V，具备过载保护。</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学生安全电源</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1、ABS翻转式电源盒，书包盒中间，便于实验和安装。</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2、学生电源采用耐磨、耐腐蚀、耐高温（≤140℃）的PC磨砂薄膜面板，学生电源的控制采用电容触摸数字键盘，微电脑控制，数字显示电源电压。</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3、学生交流电源通过数字键盘直接选取1～30V电压，最小调节单元可达1V,额定电流2A，具有过载保护智能检测功能）。</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4、学生直流电源通过数字键盘直接选取，调节范围为1.5～30V，分辨率可达0.1V,额定电流2A，具有过载保护智能检测功能。</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5、学生低压电源可接收老师发送的锁定信号，在锁定指示灯点亮后，学生只能接收老师输送的设定电源电压，学生自己无法操作，可避免学生的误操作，如老师没有</w:t>
            </w:r>
            <w:r>
              <w:rPr>
                <w:rFonts w:hint="eastAsia" w:ascii="宋体" w:hAnsi="宋体" w:cs="宋体"/>
                <w:i w:val="0"/>
                <w:iCs w:val="0"/>
                <w:color w:val="000000"/>
                <w:kern w:val="0"/>
                <w:sz w:val="21"/>
                <w:szCs w:val="21"/>
                <w:u w:val="none"/>
                <w:lang w:val="en-US" w:eastAsia="zh-CN" w:bidi="ar"/>
              </w:rPr>
              <w:t>发</w:t>
            </w:r>
            <w:r>
              <w:rPr>
                <w:rFonts w:hint="eastAsia" w:ascii="宋体" w:hAnsi="宋体" w:eastAsia="宋体" w:cs="宋体"/>
                <w:i w:val="0"/>
                <w:iCs w:val="0"/>
                <w:color w:val="000000"/>
                <w:kern w:val="0"/>
                <w:sz w:val="21"/>
                <w:szCs w:val="21"/>
                <w:u w:val="none"/>
                <w:lang w:val="en-US" w:eastAsia="zh-CN" w:bidi="ar"/>
              </w:rPr>
              <w:t>送锁定信号，学生可</w:t>
            </w:r>
            <w:r>
              <w:rPr>
                <w:rFonts w:hint="eastAsia" w:ascii="宋体" w:hAnsi="宋体" w:cs="宋体"/>
                <w:i w:val="0"/>
                <w:iCs w:val="0"/>
                <w:color w:val="000000"/>
                <w:kern w:val="0"/>
                <w:sz w:val="21"/>
                <w:szCs w:val="21"/>
                <w:u w:val="none"/>
                <w:lang w:val="en-US" w:eastAsia="zh-CN" w:bidi="ar"/>
              </w:rPr>
              <w:t>自由</w:t>
            </w:r>
            <w:r>
              <w:rPr>
                <w:rFonts w:hint="eastAsia" w:ascii="宋体" w:hAnsi="宋体" w:eastAsia="宋体" w:cs="宋体"/>
                <w:i w:val="0"/>
                <w:iCs w:val="0"/>
                <w:color w:val="000000"/>
                <w:kern w:val="0"/>
                <w:sz w:val="21"/>
                <w:szCs w:val="21"/>
                <w:u w:val="none"/>
                <w:lang w:val="en-US" w:eastAsia="zh-CN" w:bidi="ar"/>
              </w:rPr>
              <w:t>操作。</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6、220V交流输出为带安全门的五孔新国标插座。</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网口</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网络接口，220V/10A市电输出，电源受教师台控制。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规格：Φ320*450-500mm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1、凳面：直径320mm×30mm 采用环保型PP改性塑料一次性注塑成型 ，表面细纹咬花，防滑不发光。</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2、凳架：采用20×40×1.2mm椭圆形无缝钢管成型制作，全圆满焊接完成，结构牢固，经高温粉体烤漆处理，长时间使用不会产生表面烤漆剥落现象。</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3、升降螺杆：采用内置螺杆式螺旋升降，凳面升高后看不到螺杆不摇晃,高度范围430-490mm</w:t>
            </w:r>
            <w:r>
              <w:rPr>
                <w:rFonts w:hint="eastAsia" w:ascii="宋体" w:hAnsi="宋体" w:cs="宋体"/>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4、托盘采用165*165*1.8MM钢板冲压而成，托盘与螺杆之间设有一个锥形盘加固。</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5、脚垫：采用PP加耐磨纤维质塑料注塑成型，有效降低凳子拖动产生的刺耳噪音。</w:t>
            </w:r>
          </w:p>
        </w:tc>
        <w:tc>
          <w:tcPr>
            <w:tcW w:w="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实验室强弱电系统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学生220V交流电，采用 2.5mm²电线进行系统布线含波纹管。</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设备辅助材料等费用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含胶布、胶带、弯头，焊锡丝、玻璃胶、玻纹管、自功螺丝、扎带定位片等辅材。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消防设施</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干粉灭火器2KG含灭火箱，符合安全条例。</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61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二、物理实验室2（48座）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教师演示讲台</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规格：全钢结构  1600*700*850mm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1、台面：采用12mm厚抗倍特板台面，台面前沿加工成光滑半圆型。</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2、桌身：采用0.8mm镀锌钢板，CO2保护焊焊接，经磷化、酸洗、除油、除锈处理后再经高温固化成光滑表面。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3、滑轨：采用三节静音滑轨；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4、铰链：采用具注塑成型。</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5、脚垫：采用高密度ABS工程塑料，模具注塑成型，装有螺旋螺丝，上可连接桌脚，下可连接地面。</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教师转椅</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规格：500*500*800mm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xml:space="preserve">                                        1、椅面/椅背选用网布面料；</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2、PP扶手；</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3、底座：电镀钢铁支架，气动升降；</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4、配件：采用螺丝五金配件。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物理学生实验桌</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规格：3000*1200*780mm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1、台面：采用国内≥12.7mm厚双面膜实芯理化板台面。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结构：新型塑铝结构，整体桌脚呈Z字造型。学生位镂空式，符合人体工程学设计。书包斗采用整体ABS工程塑料一次性注塑成型，规格420*255*165，中间设挂凳卡；两个书包斗中间设有一个翻盖式电源盒，采用ABS工程塑料注塑成型，耐老化不导电。</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桌脚采用三段式高强度铝合金结构，整体规格570*760，左右两边配有装饰彩带，中立柱采用96mm*46*1.5mm厚承重型铝合金型材，采用倾斜式设计。上下脚采用铝合金一次压铸成型，上脚规格：长570*宽51*高116mm，下脚规格：长556*宽67*高112mm，上下脚的壁厚≥2.5mm，连接处壁厚加强至4mm;采用4个高强度螺丝连接；上脚后部装有支撑杆，支撑杆采用铝合金压铸成型，规格不小于25*25*240mm，一头嵌入上桌架，另一头固定在立柱上，呈三角形结构，使整体结构更稳固。下桌架设有专用孔位与地面固定，可以安装调整脚，并配有跟台面同色ABS脚套装饰盖。易碰撞处全部采用倒圆角。</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4、桌脚间通过4条专用铝合金型材连接，上方三条铝合金型材中前后两条横梁为40*40mm 1/4圆形铝合金型材用高强度螺丝连接，中间一条为45*20mm方形铝合金型材；桌子下部一条横梁为89*14mm铝合金型材，用高强度螺丝固定在两侧桌脚的立柱上，易碰撞处全部采用倒圆角。</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多功能柱</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功能柱规格：长355*宽210*高760mm，采用ABS塑料一次注塑成型，功能柱正面设有ABS注塑成型的的检修门，并配有专用锁具,便于安装和维修。</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教师演示电源</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1、教师端主控，主机采用铁制机箱，机械抽屉式。控制显示采用7寸液晶真彩触摸屏和数据显示一体化。</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2、具备1个220V国标五孔交流电源输出插座。</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3、系统具备漏电保护功能。</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4、通过教师控制界面可设置直流0-30V分辨率0.1V，交流1-30V分辨率1V，具备过载保护。</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学生安全电源</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1、ABS翻转式电源盒，书包盒中间，便于实验和安装。</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2、学生电源采用耐磨、耐腐蚀、耐高温（≤140℃）的PC磨砂薄膜面板，学生电源的控制采用电容触摸数字键盘，微电脑控制，数字显示电源电压。</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3、学生交流电源通过数字键盘直接选取1～30V电压，最小调节单元可达1V,额定电流2A，具有过载保护智能检测功能）。</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4、学生直流电源通过数字键盘直接选取，调节范围为1.5～30V，分辨率可达0.1V,额定电流2A，具有过载保护智能检测功能。</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5、学生低压电源可接收老师发送的锁定信号，在锁定指示灯点亮后，学生只能接收老师输送的设定电源电压，学生自己无法操作，可避免学生的误操作，如老师没有</w:t>
            </w:r>
            <w:r>
              <w:rPr>
                <w:rFonts w:hint="eastAsia" w:ascii="宋体" w:hAnsi="宋体" w:cs="宋体"/>
                <w:i w:val="0"/>
                <w:iCs w:val="0"/>
                <w:color w:val="000000"/>
                <w:kern w:val="0"/>
                <w:sz w:val="21"/>
                <w:szCs w:val="21"/>
                <w:u w:val="none"/>
                <w:lang w:val="en-US" w:eastAsia="zh-CN" w:bidi="ar"/>
              </w:rPr>
              <w:t>发</w:t>
            </w:r>
            <w:r>
              <w:rPr>
                <w:rFonts w:hint="eastAsia" w:ascii="宋体" w:hAnsi="宋体" w:eastAsia="宋体" w:cs="宋体"/>
                <w:i w:val="0"/>
                <w:iCs w:val="0"/>
                <w:color w:val="000000"/>
                <w:kern w:val="0"/>
                <w:sz w:val="21"/>
                <w:szCs w:val="21"/>
                <w:u w:val="none"/>
                <w:lang w:val="en-US" w:eastAsia="zh-CN" w:bidi="ar"/>
              </w:rPr>
              <w:t>送锁定信号，学生可</w:t>
            </w:r>
            <w:r>
              <w:rPr>
                <w:rFonts w:hint="eastAsia" w:ascii="宋体" w:hAnsi="宋体" w:cs="宋体"/>
                <w:i w:val="0"/>
                <w:iCs w:val="0"/>
                <w:color w:val="000000"/>
                <w:kern w:val="0"/>
                <w:sz w:val="21"/>
                <w:szCs w:val="21"/>
                <w:u w:val="none"/>
                <w:lang w:val="en-US" w:eastAsia="zh-CN" w:bidi="ar"/>
              </w:rPr>
              <w:t>自由</w:t>
            </w:r>
            <w:r>
              <w:rPr>
                <w:rFonts w:hint="eastAsia" w:ascii="宋体" w:hAnsi="宋体" w:eastAsia="宋体" w:cs="宋体"/>
                <w:i w:val="0"/>
                <w:iCs w:val="0"/>
                <w:color w:val="000000"/>
                <w:kern w:val="0"/>
                <w:sz w:val="21"/>
                <w:szCs w:val="21"/>
                <w:u w:val="none"/>
                <w:lang w:val="en-US" w:eastAsia="zh-CN" w:bidi="ar"/>
              </w:rPr>
              <w:t>操作。</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6、220V交流输出为带安全门的五孔新国标插座。</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规格：Φ320*450-500mm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1、凳脚材质:4个凳脚采用20*40*1.8MM椭圆形无缝钢管模具一次成型,全圆满焊完成,经高温粉体烤漆处理,长时间使用不会产生表面烤漆剥落现象。</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2、凳脚弧度:上部凳脚弧度66°,下部凳脚弧度24°。</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3、方形托盘厚度3MM边长160*160MM4.凳面:凳面直径320MM采用环保型PP改性塑料注塑成型;表面细纹咬花,防滑不发光。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4、脚垫:采用PP加耐磨纤维质塑料,实心倒勾式一体射出成型 。</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5、凳子可螺旋升降,升降到一定高度后有固定不旋转装置并且升到最高时凳面不可脱落</w:t>
            </w:r>
            <w:r>
              <w:rPr>
                <w:rFonts w:hint="eastAsia" w:ascii="宋体" w:hAnsi="宋体" w:cs="宋体"/>
                <w:i w:val="0"/>
                <w:iCs w:val="0"/>
                <w:color w:val="000000"/>
                <w:kern w:val="0"/>
                <w:sz w:val="21"/>
                <w:szCs w:val="21"/>
                <w:u w:val="none"/>
                <w:lang w:val="en-US" w:eastAsia="zh-CN" w:bidi="ar"/>
              </w:rPr>
              <w:t>。</w:t>
            </w:r>
          </w:p>
        </w:tc>
        <w:tc>
          <w:tcPr>
            <w:tcW w:w="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实验室供电系统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学生220V交流电，采用 2.5mm²，电线进行系统布线含波纹管。</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设备辅助材料等费用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含胶布、胶带、弯头，焊锡丝、玻璃胶、玻纹管、自功螺丝、扎带定位片等辅材。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消防设施</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干粉灭火器2KG含灭火箱，符合安全条例。</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61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教师准备台</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规格：全钢结构  3000*750*800mm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1、台面：一体化台面，采用12.7mm厚防静电、防水、防火、耐刮、耐磨、抗击耐酸碱的实芯理化板,四周边加厚至25.4mm。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2、桌身：采用1.0mm镀锌钢板，CO2保护焊焊接，经磷化、酸洗、除油、除锈处理后再经高温固化成光滑表面。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3、滑轨：采用三节静音滑轨；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4、铰链：采用具注塑成型。</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5、脚垫：采用高密度ABS工程塑料，模具注塑成型，并装有螺旋螺丝，上可连接桌脚，下可连接地面。</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教师转椅</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规格：500*500*800mm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xml:space="preserve">                            1、椅面/椅背选用网布面料；</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2、PP扶手；</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3、底座：电镀钢铁支架，气动升降；</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4、配件：采用螺丝五金配件。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水槽柜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规格：1000*700*800mm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1、台面：一体化台面，采用12.7mm厚防静电、防水、防火、耐刮、耐磨、抗击耐酸碱的实芯理化板,四周边加厚至25.4mm。台面前沿加工成光滑半圆型。</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2、桌身：采用1.0mm镀锌钢板，CO2保护焊焊接，经磷化、酸洗、除油、除锈处理后再经自动喷枪环氧树脂金属粉末喷涂，经高温固化成光滑表面。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3、滑轨：采用三节静音滑轨；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4、铰链：采用高密度ABS工程塑料，模具注塑成型。</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 脚垫：采用高密度ABS工程塑料，模具注塑成型，并装有螺旋螺丝，上可连接桌脚，下可连接地面。</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化验专</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用水槽</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规格：540*440*310mm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采用实验室专用高密度PP一体化成型水槽，易清洁，耐腐蚀，且利于台面残水自然回流；具耐酸碱、耐有机溶剂、耐紫外线等特点。</w:t>
            </w:r>
          </w:p>
        </w:tc>
        <w:tc>
          <w:tcPr>
            <w:tcW w:w="5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三联高低位龙头</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一高二低水嘴，管体部份为黄铜合金制，陶瓷阀芯，表面经环氧树脂静电喷涂处理，耐酸碱腐蚀。出水嘴为铜质瓷芯尖嘴型，可拆卸清洗阻塞。</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4"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1、规格1000*500*2000mm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侧板、层板采用环保型pp改性材料一次注塑成型，表面做磨砂处理。榫卯连接结构并合理布局加强筋，配合专用塑料紧固件连接，顶板、中板和底板的底部镶嵌15*30mm钢管加强，承重力强，产品不变形、不扭曲，可重复拆装使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3、上柜门：采用增强型PP材质一体注塑成型，外嵌4mm±0.5mm钢化烤漆玻璃,中间玻璃做镂空处理，透明可视。</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4、下柜门：采用增强型PP材质一体注塑成型，外嵌4mm±0.5mm钢化烤漆玻璃。</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5、门把手：采用增强型PP材质一次注塑成型，安装于两门的门缝处，凹凸配套，增加柜子内部的气密性。</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层板：上柜配两块活动层板，下柜配一块活动层板；层板采用工程塑料经模具挤出成型，中空双层结构，内部均匀分布加强筋并内置两条30*15mm钢管；两边配置密封堵头，整板无裸露金属，避免腐蚀生锈。层板可以抽取，自由组合各层空间。</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7、门铰链：用改性pp材料模具一次成型，伸缩式pp旋转门轴，内嵌隐藏方便安装，耐腐蚀。</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8、柜门固定所需螺丝均采用304不锈钢，柜子内部空间无裸露金属材料，确保柜子的耐腐蚀性。</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9、柜子顶部留通风系统接口，与通风管路连接；接口处配有手动调节装置，可以打开或关闭通风口。</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规格：1500*500*2000mm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1、全钢结构</w:t>
            </w:r>
            <w:r>
              <w:rPr>
                <w:rFonts w:hint="eastAsia" w:ascii="宋体" w:hAnsi="宋体" w:cs="宋体"/>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2、柜体采用钢材裸板厚度1.0mm一级镀锌钢板冲折制作，表面经磷化等防腐处理后再经环氧树脂静电粉末喷涂。</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3、采用双开门型式，上部为玻璃开门（门框为整板开孔，双层门），下部为钢制开门（双层门）。上柜配置两块钢制层板，下柜配置一块钢制层板，层板高度可以上下调节，不锈钢弓形拉手。</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仪器盘</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规格：300*210*50mm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UPVC有孔</w:t>
            </w:r>
          </w:p>
        </w:tc>
        <w:tc>
          <w:tcPr>
            <w:tcW w:w="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仪器盘</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规格：360*270*50mm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UPVC无孔</w:t>
            </w:r>
          </w:p>
        </w:tc>
        <w:tc>
          <w:tcPr>
            <w:tcW w:w="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仪器手推车</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规格：600*450*800H</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不锈钢架方通支架1.0厘</w:t>
            </w:r>
            <w:r>
              <w:rPr>
                <w:rFonts w:hint="eastAsia" w:ascii="宋体" w:hAnsi="宋体" w:cs="宋体"/>
                <w:i w:val="0"/>
                <w:iCs w:val="0"/>
                <w:color w:val="000000"/>
                <w:kern w:val="0"/>
                <w:sz w:val="21"/>
                <w:szCs w:val="21"/>
                <w:u w:val="none"/>
                <w:lang w:val="en-US" w:eastAsia="zh-CN" w:bidi="ar"/>
              </w:rPr>
              <w:t>米</w:t>
            </w:r>
            <w:r>
              <w:rPr>
                <w:rFonts w:hint="eastAsia" w:ascii="宋体" w:hAnsi="宋体" w:eastAsia="宋体" w:cs="宋体"/>
                <w:i w:val="0"/>
                <w:iCs w:val="0"/>
                <w:color w:val="000000"/>
                <w:kern w:val="0"/>
                <w:sz w:val="21"/>
                <w:szCs w:val="21"/>
                <w:u w:val="none"/>
                <w:lang w:val="en-US" w:eastAsia="zh-CN" w:bidi="ar"/>
              </w:rPr>
              <w:t>厚、二层不锈钢板1.0厘</w:t>
            </w:r>
            <w:r>
              <w:rPr>
                <w:rFonts w:hint="eastAsia" w:ascii="宋体" w:hAnsi="宋体" w:cs="宋体"/>
                <w:i w:val="0"/>
                <w:iCs w:val="0"/>
                <w:color w:val="000000"/>
                <w:kern w:val="0"/>
                <w:sz w:val="21"/>
                <w:szCs w:val="21"/>
                <w:u w:val="none"/>
                <w:lang w:val="en-US" w:eastAsia="zh-CN" w:bidi="ar"/>
              </w:rPr>
              <w:t>米</w:t>
            </w:r>
            <w:r>
              <w:rPr>
                <w:rFonts w:hint="eastAsia" w:ascii="宋体" w:hAnsi="宋体" w:eastAsia="宋体" w:cs="宋体"/>
                <w:i w:val="0"/>
                <w:iCs w:val="0"/>
                <w:color w:val="000000"/>
                <w:kern w:val="0"/>
                <w:sz w:val="21"/>
                <w:szCs w:val="21"/>
                <w:u w:val="none"/>
                <w:lang w:val="en-US" w:eastAsia="zh-CN" w:bidi="ar"/>
              </w:rPr>
              <w:t>厚机压成型焊接</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辆</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塔式插座</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2+3塔式插座</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实验室供电系统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φ25，按配电标准预埋敷设，采用PVC线管。采用2.5mm²国标线。</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消防设施</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干粉灭火器2KG含灭火箱，符合安全条例。</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设备辅助材料</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含胶布、胶带、弯头，焊锡丝、玻璃胶、玻纹管、自功螺丝、扎带定位片等辅材。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61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四、物理仪器设备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计算器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函数型，参数</w:t>
            </w:r>
            <w:r>
              <w:rPr>
                <w:rFonts w:hint="eastAsia" w:ascii="宋体" w:hAnsi="宋体" w:cs="宋体"/>
                <w:i w:val="0"/>
                <w:iCs w:val="0"/>
                <w:color w:val="000000"/>
                <w:kern w:val="0"/>
                <w:sz w:val="21"/>
                <w:szCs w:val="21"/>
                <w:u w:val="none"/>
                <w:lang w:val="en-US" w:eastAsia="zh-CN" w:bidi="ar"/>
              </w:rPr>
              <w:t>如下</w:t>
            </w:r>
            <w:r>
              <w:rPr>
                <w:rFonts w:hint="eastAsia" w:ascii="宋体" w:hAnsi="宋体" w:eastAsia="宋体" w:cs="宋体"/>
                <w:i w:val="0"/>
                <w:iCs w:val="0"/>
                <w:color w:val="000000"/>
                <w:kern w:val="0"/>
                <w:sz w:val="21"/>
                <w:szCs w:val="21"/>
                <w:u w:val="none"/>
                <w:lang w:val="en-US" w:eastAsia="zh-CN" w:bidi="ar"/>
              </w:rPr>
              <w:t>：</w:t>
            </w:r>
          </w:p>
          <w:p>
            <w:pPr>
              <w:keepNext w:val="0"/>
              <w:keepLines w:val="0"/>
              <w:widowControl/>
              <w:numPr>
                <w:ilvl w:val="0"/>
                <w:numId w:val="1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双行显示屏，上行显示计算式，下行显示计算结果。</w:t>
            </w:r>
          </w:p>
          <w:p>
            <w:pPr>
              <w:keepNext w:val="0"/>
              <w:keepLines w:val="0"/>
              <w:widowControl/>
              <w:numPr>
                <w:ilvl w:val="0"/>
                <w:numId w:val="1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有基本算术运算、存储器计算、分数计算、百分比计算、科学函数计算、统计计算、度分秒计算等功能。</w:t>
            </w:r>
          </w:p>
          <w:p>
            <w:pPr>
              <w:keepNext w:val="0"/>
              <w:keepLines w:val="0"/>
              <w:widowControl/>
              <w:numPr>
                <w:ilvl w:val="0"/>
                <w:numId w:val="1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有自动关机功能、应保留普通计算器的其他功能。</w:t>
            </w:r>
          </w:p>
          <w:p>
            <w:pPr>
              <w:keepNext w:val="0"/>
              <w:keepLines w:val="0"/>
              <w:widowControl/>
              <w:numPr>
                <w:ilvl w:val="0"/>
                <w:numId w:val="1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机壳及键盘用安全可靠的材质制成，按键弹动灵活，接触良好。</w:t>
            </w:r>
          </w:p>
          <w:p>
            <w:pPr>
              <w:keepNext w:val="0"/>
              <w:keepLines w:val="0"/>
              <w:widowControl/>
              <w:numPr>
                <w:ilvl w:val="0"/>
                <w:numId w:val="1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计算器外形尺寸不小于156mm×82mm×18mm。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打孔器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采钢材，防锈处理。穿孔管用外径为6mm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8mm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10mm，管长80mm，壁厚1mm的冷拔无缝钢管。四件为一套，可穿4mm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6mm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8mm的圆孔。</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手摇抽气机</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适用于中小学实验中的抽气，抽气极限真空≤133Pa。采用双缸交替工作。双缸系统由双气缸体、活塞、双拐曲轴、连杆、密封片和弹簧等组成。缸体和手轮为铸铁铸造成型，整体外表面烤漆处理。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直联泵</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单相，功率不小于370W，扬程不小于10m，流量每小时不小于1.5m</w:t>
            </w:r>
            <w:r>
              <w:rPr>
                <w:rStyle w:val="477"/>
                <w:rFonts w:ascii="宋体" w:hAnsi="宋体" w:eastAsia="宋体" w:cs="宋体"/>
                <w:sz w:val="21"/>
                <w:szCs w:val="21"/>
                <w:lang w:val="en-US" w:eastAsia="zh-CN" w:bidi="ar"/>
              </w:rPr>
              <w:t>3</w:t>
            </w:r>
            <w:r>
              <w:rPr>
                <w:rFonts w:hint="eastAsia" w:ascii="宋体" w:hAnsi="宋体" w:eastAsia="宋体" w:cs="宋体"/>
                <w:i w:val="0"/>
                <w:iCs w:val="0"/>
                <w:color w:val="000000"/>
                <w:kern w:val="0"/>
                <w:sz w:val="21"/>
                <w:szCs w:val="21"/>
                <w:u w:val="none"/>
                <w:lang w:val="en-US" w:eastAsia="zh-CN" w:bidi="ar"/>
              </w:rPr>
              <w:t>，出水口直径约25mm。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8"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旋片式真空泵</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一种旋片式油封单级真空泵。</w:t>
            </w:r>
          </w:p>
          <w:p>
            <w:pPr>
              <w:keepNext w:val="0"/>
              <w:keepLines w:val="0"/>
              <w:widowControl/>
              <w:numPr>
                <w:ilvl w:val="0"/>
                <w:numId w:val="1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抽气速率：3.6M</w:t>
            </w:r>
            <w:r>
              <w:rPr>
                <w:rStyle w:val="477"/>
                <w:rFonts w:ascii="宋体" w:hAnsi="宋体" w:eastAsia="宋体" w:cs="宋体"/>
                <w:sz w:val="21"/>
                <w:szCs w:val="21"/>
                <w:lang w:val="en-US" w:eastAsia="zh-CN" w:bidi="ar"/>
              </w:rPr>
              <w:t>3</w:t>
            </w:r>
            <w:r>
              <w:rPr>
                <w:rFonts w:hint="eastAsia" w:ascii="宋体" w:hAnsi="宋体" w:eastAsia="宋体" w:cs="宋体"/>
                <w:i w:val="0"/>
                <w:iCs w:val="0"/>
                <w:color w:val="000000"/>
                <w:kern w:val="0"/>
                <w:sz w:val="21"/>
                <w:szCs w:val="21"/>
                <w:u w:val="none"/>
                <w:lang w:val="en-US" w:eastAsia="zh-CN" w:bidi="ar"/>
              </w:rPr>
              <w:t>/H（1L/S) ，极限压力：5Pa ，电机功率：150 W ，进气口径：Φ9mm ，用油量：220ml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两用气筒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手持式。钢管筒长约200mm,直径约25mm，塑料手柄。</w:t>
            </w:r>
          </w:p>
          <w:p>
            <w:pPr>
              <w:keepNext w:val="0"/>
              <w:keepLines w:val="0"/>
              <w:widowControl/>
              <w:numPr>
                <w:ilvl w:val="0"/>
                <w:numId w:val="12"/>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极限抽气压力≤6.7×103Pa。</w:t>
            </w:r>
          </w:p>
          <w:p>
            <w:pPr>
              <w:keepNext w:val="0"/>
              <w:keepLines w:val="0"/>
              <w:widowControl/>
              <w:numPr>
                <w:ilvl w:val="0"/>
                <w:numId w:val="1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最低打气压力不小于2.9×105Pa</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抽气筒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手持式。技术参数：</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1.抽气筒由筒体带抽气接头、抽气活塞、拉杆、手柄、塑料打气嘴、金属打气嘴等组成。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打气筒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手持式。技术参数：</w:t>
            </w:r>
          </w:p>
          <w:p>
            <w:pPr>
              <w:keepNext w:val="0"/>
              <w:keepLines w:val="0"/>
              <w:widowControl/>
              <w:numPr>
                <w:ilvl w:val="0"/>
                <w:numId w:val="13"/>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打气筒由筒体带打气接头、打气活塞、拉杆、手柄、塑料打气嘴、金属打气嘴等组成。2、筒体为塑料制，外径35mm，长210mm。</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3、拉杆为金属制，表面电镀处理，直径4.4mm。</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4、手柄为塑料制，长55mm，与拉杆连接可靠。</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抽气盘</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1、产品由底盘、钟罩、电铃、气阀、垫圈等组成。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2、底盘为塑料制成，要求表面平整，无气孔、砂眼，外径Φ≥180mm。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3、钟罩为透明式，外径不小于150mm。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4、抽气盘的密封性能：极限压强≤6000Pa，极限压强下保持15分钟，腔内压强变化不大于2K Pa。</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5、电铃电源：直流3～6V。</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6、电铃放置于抽气盘内应平稳，工作中无倒覆。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充磁器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4"/>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主要由螺线管、整流器、电源按钮开关和外壳组成。</w:t>
            </w:r>
          </w:p>
          <w:p>
            <w:pPr>
              <w:keepNext w:val="0"/>
              <w:keepLines w:val="0"/>
              <w:widowControl/>
              <w:numPr>
                <w:ilvl w:val="0"/>
                <w:numId w:val="1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对中学物理实验室配备的小磁针、磁针进行充磁或消磁。</w:t>
            </w:r>
          </w:p>
          <w:p>
            <w:pPr>
              <w:keepNext w:val="0"/>
              <w:keepLines w:val="0"/>
              <w:widowControl/>
              <w:numPr>
                <w:ilvl w:val="0"/>
                <w:numId w:val="1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绝缘电阻≥20MΩ。</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放大镜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5倍，直径不小于40mm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望远镜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双筒7×35目镜透镜Φ19mm，物镜透镜Φ35mm，望远距离12m～9880m，配背带。</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注射器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1、100mL、注射器外套应有足够透明度，能清晰地看到基准线；</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2、表面必须清洁无杂质，不得有气泡、疙瘩、沙粒等缺陷。</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3、橡胶活塞应无胶丝、胶屑、外来杂质、喷霜。</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4、标尺的分度容量线及计量数字印刷应完整，字迹清楚，线条清晰，粗细均匀。</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透明盛液筒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1、产品由透明塑料制成。</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2、外表尺寸：高：300mm；直径：φ100mm，壁厚2mm。</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3、产品口部圆正，底部平整，表面无凹凸不平现象，无擦伤、划痕、裂缝，透明度好。</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4、符合JY0001－2003《教学仪器一般质量要求》的有关规定。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透明水槽(圆形或方形)</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长方形水槽。</w:t>
            </w:r>
          </w:p>
          <w:p>
            <w:pPr>
              <w:keepNext w:val="0"/>
              <w:keepLines w:val="0"/>
              <w:widowControl/>
              <w:numPr>
                <w:ilvl w:val="0"/>
                <w:numId w:val="15"/>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外形尺寸：250mm×180mm×100mm；壁厚≥2mm，；</w:t>
            </w:r>
          </w:p>
          <w:p>
            <w:pPr>
              <w:keepNext w:val="0"/>
              <w:keepLines w:val="0"/>
              <w:widowControl/>
              <w:numPr>
                <w:ilvl w:val="0"/>
                <w:numId w:val="1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材料为透苯塑料注塑成型。</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碘升华凝华管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6"/>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由玻璃密封管体和手柄组成，管体和手柄彼此独立，不连通。管的高度≥25mm，直径≥25mm。管内密封碘的质量≥0.1克。</w:t>
            </w:r>
          </w:p>
          <w:p>
            <w:pPr>
              <w:keepNext w:val="0"/>
              <w:keepLines w:val="0"/>
              <w:widowControl/>
              <w:numPr>
                <w:ilvl w:val="0"/>
                <w:numId w:val="1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手柄长≥85mm，直径为Φ6±1mm。</w:t>
            </w:r>
          </w:p>
          <w:p>
            <w:pPr>
              <w:keepNext w:val="0"/>
              <w:keepLines w:val="0"/>
              <w:widowControl/>
              <w:numPr>
                <w:ilvl w:val="0"/>
                <w:numId w:val="1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管体外形端正，玻璃熔接平滑均匀，无气泡、无条纹。管体在90℃热水中检测无泄漏（无气泡溢出）。</w:t>
            </w:r>
          </w:p>
          <w:p>
            <w:pPr>
              <w:keepNext w:val="0"/>
              <w:keepLines w:val="0"/>
              <w:widowControl/>
              <w:numPr>
                <w:ilvl w:val="0"/>
                <w:numId w:val="1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管体应耐80℃温差的急冷骤热。</w:t>
            </w:r>
          </w:p>
          <w:p>
            <w:pPr>
              <w:keepNext w:val="0"/>
              <w:keepLines w:val="0"/>
              <w:widowControl/>
              <w:numPr>
                <w:ilvl w:val="0"/>
                <w:numId w:val="1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升华与凝华的全过程耗时应≤2分钟。</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方座支架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冲压底板0.5kg，冲压烧瓶夹，大小圈（Φ110mm/Φ70mm），钢材直径（Φ6.6mm，立杆Φ11.3mmｘ615mm）铝合金平行夹，垂直夹</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多功能实验支架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7"/>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物理实验室通用仪器，可组装成垂直、平行、吊挂、夹持、放置等多种实验支架。</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2、有大小A型座各1个，立杆两支（500mm，Φ12mm ； 700mm，Φ12mm各一支）平行夹1只，垂直夹2只，烧瓶夹1只，万向夹1只，台边夹1只，大铁环1个，圆托盘1个，吊钩4只，吊钩杆1个，绝缘杆1支，滴定夹1个，漏斗架1个。    </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升降台</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产品由上面板、下面板、旋转轴、手轮等组成。</w:t>
            </w:r>
          </w:p>
          <w:p>
            <w:pPr>
              <w:keepNext w:val="0"/>
              <w:keepLines w:val="0"/>
              <w:widowControl/>
              <w:numPr>
                <w:ilvl w:val="0"/>
                <w:numId w:val="1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升降范围不小于150mm，载重量不小于10kg。</w:t>
            </w:r>
          </w:p>
          <w:p>
            <w:pPr>
              <w:keepNext w:val="0"/>
              <w:keepLines w:val="0"/>
              <w:widowControl/>
              <w:numPr>
                <w:ilvl w:val="0"/>
                <w:numId w:val="1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工作台面：上面板150mm×150mm，下底板180mm×180mm。</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4、上下面板均采用厚不小于1mm的冷轧板冲压成型，成型厚度约8mm，表面烤黑漆。其它金属表面均电镀处理。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三脚架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numPr>
                <w:ilvl w:val="-1"/>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1、由铁环和3只脚组成。</w:t>
            </w:r>
          </w:p>
          <w:p>
            <w:pPr>
              <w:keepNext w:val="0"/>
              <w:keepLines w:val="0"/>
              <w:widowControl/>
              <w:numPr>
                <w:ilvl w:val="-1"/>
                <w:numId w:val="0"/>
              </w:numPr>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2、铁环内径：74mm ，外径：90mm，厚度4.3mm。</w:t>
            </w:r>
          </w:p>
          <w:p>
            <w:pPr>
              <w:keepNext w:val="0"/>
              <w:keepLines w:val="0"/>
              <w:widowControl/>
              <w:numPr>
                <w:ilvl w:val="-1"/>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3、三只脚与铁环焊接紧固，脚距相等，立放台上时圆环应与台面平行，所支承的容器不得有滑动。脚高：156mm，直径5.7mm。</w:t>
            </w:r>
          </w:p>
          <w:p>
            <w:pPr>
              <w:keepNext w:val="0"/>
              <w:keepLines w:val="0"/>
              <w:widowControl/>
              <w:numPr>
                <w:ilvl w:val="-1"/>
                <w:numId w:val="0"/>
              </w:numPr>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4、三脚架须经烤漆防锈处理，漆层均匀、牢固。</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泥三角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由3个空心瓷棒、3根铁线串接组成，呈三角形。瓷棒外径不小于6mm。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30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5"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旋转架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numPr>
                <w:ilvl w:val="-1"/>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1、仪器由底座、支杆、旋转体构成。</w:t>
            </w:r>
          </w:p>
          <w:p>
            <w:pPr>
              <w:keepNext w:val="0"/>
              <w:keepLines w:val="0"/>
              <w:widowControl/>
              <w:numPr>
                <w:ilvl w:val="-1"/>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2、底座支杆用塑料制成，表面平整、光滑、无毛刺、无变形。</w:t>
            </w:r>
          </w:p>
          <w:p>
            <w:pPr>
              <w:keepNext w:val="0"/>
              <w:keepLines w:val="0"/>
              <w:widowControl/>
              <w:numPr>
                <w:ilvl w:val="-1"/>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3、底座直径Φ≥70mm，杆高约95mm。</w:t>
            </w:r>
          </w:p>
          <w:p>
            <w:pPr>
              <w:keepNext w:val="0"/>
              <w:keepLines w:val="0"/>
              <w:widowControl/>
              <w:numPr>
                <w:ilvl w:val="-1"/>
                <w:numId w:val="0"/>
              </w:numPr>
              <w:suppressLineNumbers w:val="0"/>
              <w:jc w:val="both"/>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4、支杆上嵌有钢</w:t>
            </w:r>
            <w:r>
              <w:rPr>
                <w:rFonts w:hint="eastAsia" w:ascii="宋体" w:hAnsi="宋体" w:eastAsia="宋体" w:cs="宋体"/>
                <w:i w:val="0"/>
                <w:iCs w:val="0"/>
                <w:color w:val="auto"/>
                <w:kern w:val="0"/>
                <w:sz w:val="21"/>
                <w:szCs w:val="21"/>
                <w:u w:val="none"/>
                <w:lang w:val="en-US" w:eastAsia="zh-CN" w:bidi="ar"/>
              </w:rPr>
              <w:t>针以支撑旋转体。</w:t>
            </w:r>
          </w:p>
          <w:p>
            <w:pPr>
              <w:keepNext w:val="0"/>
              <w:keepLines w:val="0"/>
              <w:widowControl/>
              <w:numPr>
                <w:ilvl w:val="-1"/>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5、旋转体由透明塑料制成，</w:t>
            </w:r>
            <w:r>
              <w:rPr>
                <w:rStyle w:val="478"/>
                <w:rFonts w:ascii="宋体" w:hAnsi="宋体" w:eastAsia="宋体" w:cs="宋体"/>
                <w:color w:val="auto"/>
                <w:sz w:val="21"/>
                <w:szCs w:val="21"/>
                <w:lang w:val="en-US" w:eastAsia="zh-CN" w:bidi="ar"/>
              </w:rPr>
              <w:t>倒立口杯型</w:t>
            </w:r>
            <w:r>
              <w:rPr>
                <w:rFonts w:hint="eastAsia" w:ascii="宋体" w:hAnsi="宋体" w:eastAsia="宋体" w:cs="宋体"/>
                <w:i w:val="0"/>
                <w:iCs w:val="0"/>
                <w:color w:val="000000"/>
                <w:kern w:val="0"/>
                <w:sz w:val="21"/>
                <w:szCs w:val="21"/>
                <w:u w:val="none"/>
                <w:lang w:val="en-US" w:eastAsia="zh-CN" w:bidi="ar"/>
              </w:rPr>
              <w:t>，下口直径约82mm，上底约50mm，高100mm。上端嵌有放条形磁铁和玻棒，胶棒的凹槽，旋转体内上端由铜制(直径5mm,长8mm,孔直径1mm,深2mm)顶针轴直径，下端附有配重环,铁制直径2mm,环直径82mm,表面镀铬。</w:t>
            </w:r>
          </w:p>
          <w:p>
            <w:pPr>
              <w:keepNext w:val="0"/>
              <w:keepLines w:val="0"/>
              <w:widowControl/>
              <w:numPr>
                <w:ilvl w:val="-1"/>
                <w:numId w:val="0"/>
              </w:numPr>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6、产品应符合JY0001第7章的有关规定。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旋转架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由底座、支杆、旋转体构成，二件为一套。底座直径65mm，高20mm。支杆直径10mm，长75mm，顶尖为钢制，表面镀铬处理。旋转体外形尺寸：40mm×25mm×20mm，旋转体上有盛放磁铁和胶棒的凹槽。组装后的高度为106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学生电源</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1、输出电压：1.5V－9V直流稳压输出，每1.5V一档共六档。</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2、额定电流：1.5A。</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3、空载电压偏调：±（1％U标＋0.1V）。</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4、电压稳定性：输入电压在198V－242V间变化，在满载时各档输出电压变化量不大于0.1V。</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5、负载稳定性：输入电压保持220V不变，负载电流在0至满载范围内变化，各档输出电压变化量不大于1％U标＋0.1V。</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6、纹波电压：电源电压保持220V，满载时各档纹波电压不大于3mv（有效值）。</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7、过载保护：当输出电流在额定输出电流值的1.05－1.5倍间自动关断输出。</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8、短路保护：当输出电路短路时，仪器自动关断电压输出。</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9、工作电压：220V 50Hz。</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10、机箱采用全塑料注塑成型，外形尺寸：190mm×160mm×95mm。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教学电源</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1、输出电压：交流输出：2V－12V，每2V一挡；共六档；额定输出电流：5A。</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2、直流稳压输出，1.5V－12V，分1.5V、3V、4.5V、6V、9V、12V六档；额定输出电流：2A。3、直流大电流短时输出：40A，8秒自动关断。4、交流输出：a.各档空载电压不大于1.05 U标＋0.3V； b.各档满载电压不小于0.95 U标－0.3V。</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5、直流稳压输出：a. 电压偏调：±（2％U标＋0.1V） b. 电压稳定性：输入电压在198V－242V件变化，在满载时各档输出电压变化量不大于2％U标＋0.1V。 c. 负载稳定性：输入电压保持220V不变，负载电流在0至满载范围内变化，各档输出电压变化量不大于2％U标＋0.1V。 d. 纹波电压：电源电压保持220V，满载时各档纹波电压不大于0.1％U标（有效值）。 </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6、直流大电流短时输出电流大于10A时，20s±2s自动关断。输出短时电流为40A+10A，8 s±2自动关断 。</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7、过载保护：交流和直流稳压输出电流在额定电流值的1.05－1.5倍时，自动关断输出。 </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8、机箱采用全塑料注塑成型，外形尺寸：250mm×200mm×115mm。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调压变压器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单相，环形。</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电池盒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4个电池盒为1组。</w:t>
            </w:r>
          </w:p>
          <w:p>
            <w:pPr>
              <w:keepNext w:val="0"/>
              <w:keepLines w:val="0"/>
              <w:widowControl/>
              <w:numPr>
                <w:ilvl w:val="0"/>
                <w:numId w:val="19"/>
              </w:numPr>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仪器可放置1节1号电池。外形尺寸750×40×380mm。</w:t>
            </w:r>
          </w:p>
          <w:p>
            <w:pPr>
              <w:keepNext w:val="0"/>
              <w:keepLines w:val="0"/>
              <w:widowControl/>
              <w:numPr>
                <w:ilvl w:val="0"/>
                <w:numId w:val="19"/>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各触点使用不锈钢材料；要求接触良好，整体结构结实牢固，ABS塑料件光滑、无毛刺</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感应圈</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电子开关式。</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1、直接使用220V、50Hz市电、消耗功率不大于120W  。</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2、输出端放电火花距离为100mm </w:t>
            </w:r>
          </w:p>
          <w:p>
            <w:pPr>
              <w:keepNext w:val="0"/>
              <w:keepLines w:val="0"/>
              <w:widowControl/>
              <w:numPr>
                <w:ilvl w:val="0"/>
                <w:numId w:val="19"/>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火花条数在两条以上 </w:t>
            </w:r>
          </w:p>
          <w:p>
            <w:pPr>
              <w:keepNext w:val="0"/>
              <w:keepLines w:val="0"/>
              <w:widowControl/>
              <w:numPr>
                <w:ilvl w:val="0"/>
                <w:numId w:val="19"/>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可连续工作15分钟    </w:t>
            </w:r>
          </w:p>
          <w:p>
            <w:pPr>
              <w:keepNext w:val="0"/>
              <w:keepLines w:val="0"/>
              <w:widowControl/>
              <w:numPr>
                <w:ilvl w:val="0"/>
                <w:numId w:val="1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箱内装有一对（两根）放电针杆 。 </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演示直尺</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木材制作，表面平整。最小分度值：1cm。外形尺寸：1000mm×30mm×8mm，全尺刻度累计误差≤2mm，尺面平面度公差≤3mm，尺边直线度公差≤2mm，两面均涂白色漆，印黑色刻度线和红色数字。</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木直尺</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1、用木材制作，表面平整、无毛刺。木材材质应无裂纹、无伤痕，并经过脱脂干燥处理。</w:t>
            </w:r>
          </w:p>
          <w:p>
            <w:pPr>
              <w:keepNext w:val="0"/>
              <w:keepLines w:val="0"/>
              <w:widowControl/>
              <w:numPr>
                <w:ilvl w:val="0"/>
                <w:numId w:val="17"/>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尺身一面黄底，印有黑色刻线和数字，最小刻度为1毫米，每5毫米为一中格，每10毫米的刻线上标有数字。</w:t>
            </w:r>
          </w:p>
          <w:p>
            <w:pPr>
              <w:keepNext w:val="0"/>
              <w:keepLines w:val="0"/>
              <w:widowControl/>
              <w:numPr>
                <w:ilvl w:val="0"/>
                <w:numId w:val="1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漆层色调厚薄均匀、附着力强。</w:t>
            </w:r>
          </w:p>
          <w:p>
            <w:pPr>
              <w:keepNext w:val="0"/>
              <w:keepLines w:val="0"/>
              <w:widowControl/>
              <w:numPr>
                <w:ilvl w:val="0"/>
                <w:numId w:val="1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刻线和数字排列整齐端正，刻线粗细一致。5、米尺的外形尺寸：1000mm×25mm×8mm。</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6、全尺刻度累计误差≤2mm。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钢直尺</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200mm,不锈钢制。最小分度值为1mm。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钢卷尺</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2000mm，塑料外壳，有尺带锁紧装置。最小分度值为1mm。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布卷尺</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30m。布卷尺。外壳由ABS塑料制成，带摇手装置。具有抗冲击功能。采用全公制，纤维尺带不导电，不生锈，尺带黄色、亚光，尺带宽13mm。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游标卡尺</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测量范围: 0～150mm，分辨率:0.02mm，碳钢材质，表面做防锈处理，塑料盒装。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外径千分尺(螺旋测微器)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测量范围: 0mm～25mm，分辨率: 0.01mm。尺架材质：铁铸件，尺架表面处理：喷塑，量面材质：硬质合金。</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物理天平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杠杆式等臂双盘天平，有游码装置及水准器，砝码盒等。 最大载荷500g,标尺称量：0-1g，分度值20mg，不等臂偏差不大于60mg，全量变动性不大于20mg，横梁材料必须为铝合金制品，刀口、刀承材料为高碳钢或玛瑙，称盘直径不小于118mm，制动机构应保证横梁升降平稳。</w:t>
            </w:r>
          </w:p>
          <w:p>
            <w:pPr>
              <w:keepNext w:val="0"/>
              <w:keepLines w:val="0"/>
              <w:widowControl/>
              <w:numPr>
                <w:ilvl w:val="0"/>
                <w:numId w:val="2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砝码盒为塑料制品，内装200g砝码2个、100g砝码1个、50g砝码1个、20g砝码2个、10g砝码1个、5g砝码1个、2g砝码2个、1g砝码1个及砝码镊一把，定位包装。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托盘天平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最大称量200g，分度值0.2 g。 </w:t>
            </w:r>
          </w:p>
          <w:p>
            <w:pPr>
              <w:keepNext w:val="0"/>
              <w:keepLines w:val="0"/>
              <w:widowControl/>
              <w:numPr>
                <w:ilvl w:val="0"/>
                <w:numId w:val="2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秤量允许误差为±0.5d(分度值)。 </w:t>
            </w:r>
          </w:p>
          <w:p>
            <w:pPr>
              <w:keepNext w:val="0"/>
              <w:keepLines w:val="0"/>
              <w:widowControl/>
              <w:numPr>
                <w:ilvl w:val="0"/>
                <w:numId w:val="2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砝码组合的总质量（包括标尺计量值）不小于天平的最大秤量。 </w:t>
            </w:r>
          </w:p>
          <w:p>
            <w:pPr>
              <w:keepNext w:val="0"/>
              <w:keepLines w:val="0"/>
              <w:widowControl/>
              <w:numPr>
                <w:ilvl w:val="0"/>
                <w:numId w:val="2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冲压件表面应光洁平整，</w:t>
            </w:r>
            <w:r>
              <w:rPr>
                <w:rFonts w:hint="eastAsia" w:ascii="宋体" w:hAnsi="宋体" w:cs="宋体"/>
                <w:i w:val="0"/>
                <w:iCs w:val="0"/>
                <w:color w:val="000000"/>
                <w:kern w:val="0"/>
                <w:sz w:val="21"/>
                <w:szCs w:val="21"/>
                <w:u w:val="none"/>
                <w:lang w:val="en-US" w:eastAsia="zh-CN" w:bidi="ar"/>
              </w:rPr>
              <w:t>无</w:t>
            </w:r>
            <w:r>
              <w:rPr>
                <w:rFonts w:hint="eastAsia" w:ascii="宋体" w:hAnsi="宋体" w:eastAsia="宋体" w:cs="宋体"/>
                <w:i w:val="0"/>
                <w:iCs w:val="0"/>
                <w:color w:val="000000"/>
                <w:kern w:val="0"/>
                <w:sz w:val="21"/>
                <w:szCs w:val="21"/>
                <w:u w:val="none"/>
                <w:lang w:val="en-US" w:eastAsia="zh-CN" w:bidi="ar"/>
              </w:rPr>
              <w:t>毛刺、锋棱、裂纹。</w:t>
            </w:r>
          </w:p>
          <w:p>
            <w:pPr>
              <w:keepNext w:val="0"/>
              <w:keepLines w:val="0"/>
              <w:widowControl/>
              <w:numPr>
                <w:ilvl w:val="0"/>
                <w:numId w:val="2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电镀件的镀层应色泽均匀，</w:t>
            </w:r>
            <w:r>
              <w:rPr>
                <w:rFonts w:hint="eastAsia" w:ascii="宋体" w:hAnsi="宋体" w:cs="宋体"/>
                <w:i w:val="0"/>
                <w:iCs w:val="0"/>
                <w:color w:val="000000"/>
                <w:kern w:val="0"/>
                <w:sz w:val="21"/>
                <w:szCs w:val="21"/>
                <w:u w:val="none"/>
                <w:lang w:val="en-US" w:eastAsia="zh-CN" w:bidi="ar"/>
              </w:rPr>
              <w:t>无</w:t>
            </w:r>
            <w:r>
              <w:rPr>
                <w:rFonts w:hint="eastAsia" w:ascii="宋体" w:hAnsi="宋体" w:eastAsia="宋体" w:cs="宋体"/>
                <w:i w:val="0"/>
                <w:iCs w:val="0"/>
                <w:color w:val="000000"/>
                <w:kern w:val="0"/>
                <w:sz w:val="21"/>
                <w:szCs w:val="21"/>
                <w:u w:val="none"/>
                <w:lang w:val="en-US" w:eastAsia="zh-CN" w:bidi="ar"/>
              </w:rPr>
              <w:t xml:space="preserve">露底和显见的麻点、水迹、擦伤等缺陷。 </w:t>
            </w:r>
          </w:p>
          <w:p>
            <w:pPr>
              <w:keepNext w:val="0"/>
              <w:keepLines w:val="0"/>
              <w:widowControl/>
              <w:numPr>
                <w:ilvl w:val="0"/>
                <w:numId w:val="2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油漆件表面应平整光滑，色泽均匀，</w:t>
            </w:r>
            <w:r>
              <w:rPr>
                <w:rFonts w:hint="eastAsia" w:ascii="宋体" w:hAnsi="宋体" w:cs="宋体"/>
                <w:i w:val="0"/>
                <w:iCs w:val="0"/>
                <w:color w:val="000000"/>
                <w:kern w:val="0"/>
                <w:sz w:val="21"/>
                <w:szCs w:val="21"/>
                <w:u w:val="none"/>
                <w:lang w:val="en-US" w:eastAsia="zh-CN" w:bidi="ar"/>
              </w:rPr>
              <w:t>无</w:t>
            </w:r>
            <w:r>
              <w:rPr>
                <w:rFonts w:hint="eastAsia" w:ascii="宋体" w:hAnsi="宋体" w:eastAsia="宋体" w:cs="宋体"/>
                <w:i w:val="0"/>
                <w:iCs w:val="0"/>
                <w:color w:val="000000"/>
                <w:kern w:val="0"/>
                <w:sz w:val="21"/>
                <w:szCs w:val="21"/>
                <w:u w:val="none"/>
                <w:lang w:val="en-US" w:eastAsia="zh-CN" w:bidi="ar"/>
              </w:rPr>
              <w:t>露底、起泡、挂漆、擦伤等缺陷。</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托盘天平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2"/>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最大称量500g，分度值0.5 g。 </w:t>
            </w:r>
          </w:p>
          <w:p>
            <w:pPr>
              <w:keepNext w:val="0"/>
              <w:keepLines w:val="0"/>
              <w:widowControl/>
              <w:numPr>
                <w:ilvl w:val="0"/>
                <w:numId w:val="2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秤量允许误差为±0.5d(分度值)。 </w:t>
            </w:r>
          </w:p>
          <w:p>
            <w:pPr>
              <w:keepNext w:val="0"/>
              <w:keepLines w:val="0"/>
              <w:widowControl/>
              <w:numPr>
                <w:ilvl w:val="0"/>
                <w:numId w:val="2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砝码组合的总质量（包括标尺计量值）不小于天平的最大秤量。 </w:t>
            </w:r>
          </w:p>
          <w:p>
            <w:pPr>
              <w:keepNext w:val="0"/>
              <w:keepLines w:val="0"/>
              <w:widowControl/>
              <w:numPr>
                <w:ilvl w:val="0"/>
                <w:numId w:val="2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冲压件表面应光洁平整，</w:t>
            </w:r>
            <w:r>
              <w:rPr>
                <w:rFonts w:hint="eastAsia" w:ascii="宋体" w:hAnsi="宋体" w:cs="宋体"/>
                <w:i w:val="0"/>
                <w:iCs w:val="0"/>
                <w:color w:val="000000"/>
                <w:kern w:val="0"/>
                <w:sz w:val="21"/>
                <w:szCs w:val="21"/>
                <w:u w:val="none"/>
                <w:lang w:val="en-US" w:eastAsia="zh-CN" w:bidi="ar"/>
              </w:rPr>
              <w:t>无</w:t>
            </w:r>
            <w:r>
              <w:rPr>
                <w:rFonts w:hint="eastAsia" w:ascii="宋体" w:hAnsi="宋体" w:eastAsia="宋体" w:cs="宋体"/>
                <w:i w:val="0"/>
                <w:iCs w:val="0"/>
                <w:color w:val="000000"/>
                <w:kern w:val="0"/>
                <w:sz w:val="21"/>
                <w:szCs w:val="21"/>
                <w:u w:val="none"/>
                <w:lang w:val="en-US" w:eastAsia="zh-CN" w:bidi="ar"/>
              </w:rPr>
              <w:t>毛刺、锋棱、裂纹。</w:t>
            </w:r>
          </w:p>
          <w:p>
            <w:pPr>
              <w:keepNext w:val="0"/>
              <w:keepLines w:val="0"/>
              <w:widowControl/>
              <w:numPr>
                <w:ilvl w:val="0"/>
                <w:numId w:val="2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电镀件的镀层应色泽均匀，</w:t>
            </w:r>
            <w:r>
              <w:rPr>
                <w:rFonts w:hint="eastAsia" w:ascii="宋体" w:hAnsi="宋体" w:cs="宋体"/>
                <w:i w:val="0"/>
                <w:iCs w:val="0"/>
                <w:color w:val="000000"/>
                <w:kern w:val="0"/>
                <w:sz w:val="21"/>
                <w:szCs w:val="21"/>
                <w:u w:val="none"/>
                <w:lang w:val="en-US" w:eastAsia="zh-CN" w:bidi="ar"/>
              </w:rPr>
              <w:t>无</w:t>
            </w:r>
            <w:r>
              <w:rPr>
                <w:rFonts w:hint="eastAsia" w:ascii="宋体" w:hAnsi="宋体" w:eastAsia="宋体" w:cs="宋体"/>
                <w:i w:val="0"/>
                <w:iCs w:val="0"/>
                <w:color w:val="000000"/>
                <w:kern w:val="0"/>
                <w:sz w:val="21"/>
                <w:szCs w:val="21"/>
                <w:u w:val="none"/>
                <w:lang w:val="en-US" w:eastAsia="zh-CN" w:bidi="ar"/>
              </w:rPr>
              <w:t xml:space="preserve">露底和显见的麻点、水迹、擦伤等缺陷。 </w:t>
            </w:r>
          </w:p>
          <w:p>
            <w:pPr>
              <w:keepNext w:val="0"/>
              <w:keepLines w:val="0"/>
              <w:widowControl/>
              <w:numPr>
                <w:ilvl w:val="0"/>
                <w:numId w:val="2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油漆件表面应平整光滑，色泽均匀，无露底、起泡、挂漆、擦伤等缺陷。</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电子天平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3"/>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最大秤量1000g ,分度值 0.01g，天平等级三级。</w:t>
            </w:r>
          </w:p>
          <w:p>
            <w:pPr>
              <w:keepNext w:val="0"/>
              <w:keepLines w:val="0"/>
              <w:widowControl/>
              <w:numPr>
                <w:ilvl w:val="0"/>
                <w:numId w:val="2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塑料上下壳，配有调整脚，LED显示。</w:t>
            </w:r>
          </w:p>
          <w:p>
            <w:pPr>
              <w:keepNext w:val="0"/>
              <w:keepLines w:val="0"/>
              <w:widowControl/>
              <w:numPr>
                <w:ilvl w:val="0"/>
                <w:numId w:val="2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秤盘不锈钢材质，圆盘，秤盘直径128mm。4、使用电源：220V 50Hz。</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5、全量程去皮称重模式，附防风透明罩。</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单杠杆天平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4"/>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本产品为单杠杆不等臂单吊盘（链式）天平，横梁为铝合金，横梁上有游码刻度标尺、可直接准确的读出被称物质的质量。微量读数可通过转动链条刻度盘准确直观读出，无砝码装置，附有磁性缓冲器，使天平摆动能较快停止。</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最大称量：100g，精确度：10mg。</w:t>
            </w:r>
          </w:p>
          <w:p>
            <w:pPr>
              <w:keepNext w:val="0"/>
              <w:keepLines w:val="0"/>
              <w:widowControl/>
              <w:numPr>
                <w:ilvl w:val="0"/>
                <w:numId w:val="2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标尺刻度：0-100g；标尺最小刻度：1g；链盘最小刻度：0.01g。</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案秤</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产品由底座、盘架、标尺、砣架、砣及盛物盘等组成。</w:t>
            </w:r>
          </w:p>
          <w:p>
            <w:pPr>
              <w:keepNext w:val="0"/>
              <w:keepLines w:val="0"/>
              <w:widowControl/>
              <w:numPr>
                <w:ilvl w:val="0"/>
                <w:numId w:val="25"/>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最大秤量：10kg，最小分度值10g。</w:t>
            </w:r>
          </w:p>
          <w:p>
            <w:pPr>
              <w:keepNext w:val="0"/>
              <w:keepLines w:val="0"/>
              <w:widowControl/>
              <w:numPr>
                <w:ilvl w:val="0"/>
                <w:numId w:val="2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底座和盘架为铸铁制造，表面喷漆处理。</w:t>
            </w:r>
          </w:p>
          <w:p>
            <w:pPr>
              <w:keepNext w:val="0"/>
              <w:keepLines w:val="0"/>
              <w:widowControl/>
              <w:numPr>
                <w:ilvl w:val="0"/>
                <w:numId w:val="2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砣架为金属制，电镀。</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弹簧度盘秤</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1、产品由圆盘指针、秤盘等组成。</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2、最大秤量为8kg，最小分度值为50g。</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3、圆盘直径200mm。</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4、秤盘为不锈钢制成，直径260mm。</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5、有调零装置。整体机架为金属材料制，表面喷漆处理。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金属钩码</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10g×1,20g×2,50g×2,200g×2。塑料盒包装。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金属槽码</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lOg×1,20g×2,50g×2,200g×1，另附10g金属槽码盘，塑料盒定位包装。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机械停表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一、适用范围、规格型号：</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 用于中学物理学生实验测量时间使用。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 最小刻度值（秒）：0.1；延续走时（时）≥6；秒针每转（秒）：30；分针每转（分）：15；等级：1等；有暂停机构。</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二、技术要求：</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1．秒表在环境温度为-10℃～40℃工作时不应停摆。</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2．秒表在任何位置工作时不应停摆。</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3．秒表质量等级和平均分走时差、分走时偏差、最大秒走时差应符合QB/T 1534第4.3条要求。</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4．延时走时符合QB/T 1534第4.4条要求。5．上条机构、启动、停止、回零按钮、秒针、分针和秒针示值、刻度盘刻度等项应符合QB/T 1534第4.5～4.19条要求。</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6.金属外壳。塑料盒定位包装。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机械停钟</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6"/>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采用不锈钢发条，单金属光摆轮，镍基合金游丝机构。</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盘内附两个刻度图，及两根指针。</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一幅刻度图最小刻度为0.1s，共60个数值；一幅刻度图最小刻度为1分钟。 </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外壳尺寸：约95×85×55mm，重量：约120克。  </w:t>
            </w:r>
          </w:p>
          <w:p>
            <w:pPr>
              <w:keepNext w:val="0"/>
              <w:keepLines w:val="0"/>
              <w:widowControl/>
              <w:numPr>
                <w:ilvl w:val="0"/>
                <w:numId w:val="2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金属外壳，表机能在－10℃到＋40℃温度范围内保持正常工作。</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电子停表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用电子秒表，采用电子芯片，电池电压为1.5V。外包装应采用防潮、防尘的硬纸盒包装。数据可精确到0.01s。秒表计时应带有简易计时、分段计时、两段时间显示，且必须带暂停按钮。秒表具有每小时报时，每日定时响闹及自动重响功能，应可显示时间，12及24小时制式，日历、星期、结构等功能。</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电子停钟</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ABS壳体，大液晶显示，0-99分59秒正计时、倒计时，精度0.1S，7号电池。带支架。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节拍器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电子节拍器。产品由节拍（音响视听）、节拍速度及速度/节拍调节构成。</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1、节拍速度在20～200拍/分的范围内持续可调。</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2、外接电源DC9V－12V。</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3、用三位数码管显示节拍的速度，</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4、节拍调节可依次显示2/4、3/4、4/4、6/8。</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5、仪器外壳采用全塑料制成，带支撑架，外壳尺寸：195mm×175mm×70mm。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沙漏</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由细沙容器、细沙、保护支套等组成。细沙容器采用95#玻璃制成上下容积相等的葫芦状玻璃瓶，内装细沙。容器的最大圆弧直径55mm，容器壁厚均匀，密封完好；细沙颗粒均匀、干燥并经染色；保护支套采用木材或有机玻璃制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日晷</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赤道式日晷，平面型。由盘面、支架、指示器等组成。盘面直径250mm；支架为直径4mm铁丝绕制而成，可任意调整角度。</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温度计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玻璃制。红液，0℃～100℃</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温度计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玻璃制。水银，0℃～200℃</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演示温度计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温度测量教具，供中学教学演示实验用，可悬挂。</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面板规格：380mm×60mm×10mm；</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温度示值范围：-40℃～50℃和-40℉～120℉。</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示值允许误差:±1℃或±2℉。</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热敏温度计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中学物理演示实验用。</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测量范围： -10～+100℃，线性刻度</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由测温元件、单管直流放大器和机盒组成。4</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工作电压：DC6V。注：应与演示用大型电表配套使用（灵敏度500uA-2mA）。</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双金属片温度计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塑料制。</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由温度刻度、湿度刻度、透明罩、2指针组成。</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产品为圆形指针式温度计，外径130mm。</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温度指示范围：-30℃～50℃，测量误差不大于5%。</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 xml:space="preserve">湿度指示范围：0-100%。 </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指针转动灵活，无卡滞现象，刻度清晰，字迹清楚。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体温计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棒式，测量部位为口腔，测量范围35－42℃。</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体温计按国际实用温标刻度，稳度最小分度值为0.1℃，分度均匀，两相邻分度中心的距离应不小于0.55mm。</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标度线、计量数字和标志颜色牢固，不允许由脱色、影响读数、颜色污迹等现象。</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产品应符合国标1588－89《体温计》的要求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电子体温计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7"/>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显示范围32～42.9℃。</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测量时间：口腔1min、液下3min。</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电池为扭扣电池。</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蜂鸣提示：温度稳定约10秒鸣响。</w:t>
            </w:r>
          </w:p>
          <w:p>
            <w:pPr>
              <w:keepNext w:val="0"/>
              <w:keepLines w:val="0"/>
              <w:widowControl/>
              <w:numPr>
                <w:ilvl w:val="0"/>
                <w:numId w:val="2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警示功能：高于37.81℃自动报警。</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红外线快速体温检测仪</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测量单位：摄氏温度/华氏温度可选；</w:t>
            </w:r>
          </w:p>
          <w:p>
            <w:pPr>
              <w:keepNext w:val="0"/>
              <w:keepLines w:val="0"/>
              <w:widowControl/>
              <w:numPr>
                <w:ilvl w:val="0"/>
                <w:numId w:val="2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体表模式测量范围：0-60℃（32-140℉）。3、显示精确位数：0.1℃（32.18℉）。</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4、最佳测量距离：5毫米内，约7秒自动关机。</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寒暑表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numPr>
                <w:ilvl w:val="-1"/>
                <w:numId w:val="0"/>
              </w:numPr>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1、由木质材料镶嵌玻璃棒芯组成。</w:t>
            </w:r>
          </w:p>
          <w:p>
            <w:pPr>
              <w:keepNext w:val="0"/>
              <w:keepLines w:val="0"/>
              <w:widowControl/>
              <w:numPr>
                <w:ilvl w:val="-1"/>
                <w:numId w:val="0"/>
              </w:numPr>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2、采用摄氏（℃）和华氏（℉）塑料双刻度，面板标有：摄氏 -50℃～40℃，华氏-20℉～120℉；玻璃棒芯感温液，正面放大玻璃液读数。</w:t>
            </w:r>
          </w:p>
          <w:p>
            <w:pPr>
              <w:keepNext w:val="0"/>
              <w:keepLines w:val="0"/>
              <w:widowControl/>
              <w:numPr>
                <w:ilvl w:val="-1"/>
                <w:numId w:val="0"/>
              </w:numPr>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3、最小分度值：2℃；4.储藏条件：-30℃～60℃；5.外形尺寸：260mm×57mm×10mm。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条形盒测力计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10N。</w:t>
            </w:r>
          </w:p>
          <w:p>
            <w:pPr>
              <w:keepNext w:val="0"/>
              <w:keepLines w:val="0"/>
              <w:widowControl/>
              <w:numPr>
                <w:ilvl w:val="0"/>
                <w:numId w:val="29"/>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由方形弹簧盒（带刻板）、弹簧、提环、挂钩、指针等组成。零点可调。</w:t>
            </w:r>
          </w:p>
          <w:p>
            <w:pPr>
              <w:keepNext w:val="0"/>
              <w:keepLines w:val="0"/>
              <w:widowControl/>
              <w:numPr>
                <w:ilvl w:val="0"/>
                <w:numId w:val="2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盒体外形尺寸：153mm×34mm×18mm。</w:t>
            </w:r>
          </w:p>
          <w:p>
            <w:pPr>
              <w:keepNext w:val="0"/>
              <w:keepLines w:val="0"/>
              <w:widowControl/>
              <w:numPr>
                <w:ilvl w:val="0"/>
                <w:numId w:val="2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最小刻度：0.2N。</w:t>
            </w:r>
          </w:p>
          <w:p>
            <w:pPr>
              <w:keepNext w:val="0"/>
              <w:keepLines w:val="0"/>
              <w:widowControl/>
              <w:numPr>
                <w:ilvl w:val="0"/>
                <w:numId w:val="2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金属表面防锈处理。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条形盒测力计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5N。</w:t>
            </w:r>
          </w:p>
          <w:p>
            <w:pPr>
              <w:keepNext w:val="0"/>
              <w:keepLines w:val="0"/>
              <w:widowControl/>
              <w:numPr>
                <w:ilvl w:val="0"/>
                <w:numId w:val="3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由方形弹簧盒（带刻板）、弹簧、提环、挂钩、指针等组成。零点可调。 </w:t>
            </w:r>
          </w:p>
          <w:p>
            <w:pPr>
              <w:keepNext w:val="0"/>
              <w:keepLines w:val="0"/>
              <w:widowControl/>
              <w:numPr>
                <w:ilvl w:val="0"/>
                <w:numId w:val="3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盒体外形尺寸：153mm×34mm×18mm。</w:t>
            </w:r>
          </w:p>
          <w:p>
            <w:pPr>
              <w:keepNext w:val="0"/>
              <w:keepLines w:val="0"/>
              <w:widowControl/>
              <w:numPr>
                <w:ilvl w:val="0"/>
                <w:numId w:val="3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最小刻度：0.1N。</w:t>
            </w:r>
          </w:p>
          <w:p>
            <w:pPr>
              <w:keepNext w:val="0"/>
              <w:keepLines w:val="0"/>
              <w:widowControl/>
              <w:numPr>
                <w:ilvl w:val="0"/>
                <w:numId w:val="3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金属表面防锈处理。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条形盒测力计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2.5N。</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由方形弹簧盒（带刻板）、弹簧、提环、挂钩、指针等组成。零点可调。 </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盒体外形尺寸：153mm×34mm×18mm。</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最小刻度：0.05N。</w:t>
            </w:r>
          </w:p>
          <w:p>
            <w:pPr>
              <w:keepNext w:val="0"/>
              <w:keepLines w:val="0"/>
              <w:widowControl/>
              <w:numPr>
                <w:ilvl w:val="0"/>
                <w:numId w:val="3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金属表面防锈处理。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条形盒测力计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1N。</w:t>
            </w:r>
          </w:p>
          <w:p>
            <w:pPr>
              <w:keepNext w:val="0"/>
              <w:keepLines w:val="0"/>
              <w:widowControl/>
              <w:numPr>
                <w:ilvl w:val="0"/>
                <w:numId w:val="32"/>
              </w:numPr>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由方形弹簧盒（带刻板）、弹簧、提环、挂钩、指针等组成。零点可调。 </w:t>
            </w:r>
          </w:p>
          <w:p>
            <w:pPr>
              <w:keepNext w:val="0"/>
              <w:keepLines w:val="0"/>
              <w:widowControl/>
              <w:numPr>
                <w:ilvl w:val="0"/>
                <w:numId w:val="32"/>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体外形尺寸：153mm×34mm×18mm。</w:t>
            </w:r>
          </w:p>
          <w:p>
            <w:pPr>
              <w:keepNext w:val="0"/>
              <w:keepLines w:val="0"/>
              <w:widowControl/>
              <w:numPr>
                <w:ilvl w:val="0"/>
                <w:numId w:val="32"/>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最小刻度：0.02N。</w:t>
            </w:r>
          </w:p>
          <w:p>
            <w:pPr>
              <w:keepNext w:val="0"/>
              <w:keepLines w:val="0"/>
              <w:widowControl/>
              <w:numPr>
                <w:ilvl w:val="0"/>
                <w:numId w:val="32"/>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金属表面防锈处理。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圆筒测力计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5N。</w:t>
            </w:r>
          </w:p>
          <w:p>
            <w:pPr>
              <w:keepNext w:val="0"/>
              <w:keepLines w:val="0"/>
              <w:widowControl/>
              <w:numPr>
                <w:ilvl w:val="0"/>
                <w:numId w:val="33"/>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外筒由透明塑料制成，具有测量性能的耐疫劳弹簧、提环和塑料外筒等构成，全封闭结构。</w:t>
            </w:r>
          </w:p>
          <w:p>
            <w:pPr>
              <w:keepNext w:val="0"/>
              <w:keepLines w:val="0"/>
              <w:widowControl/>
              <w:numPr>
                <w:ilvl w:val="0"/>
                <w:numId w:val="3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有N和g对应刻度，最小分度值为0.1N，最大分度值1N上标有数字。</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圆筒测力计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1N。</w:t>
            </w:r>
          </w:p>
          <w:p>
            <w:pPr>
              <w:keepNext w:val="0"/>
              <w:keepLines w:val="0"/>
              <w:widowControl/>
              <w:numPr>
                <w:ilvl w:val="0"/>
                <w:numId w:val="34"/>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外筒由透明塑料制成，具有优良测量性能的耐疫劳弹簧、提环和塑料外筒等构成，全封闭结构。</w:t>
            </w:r>
          </w:p>
          <w:p>
            <w:pPr>
              <w:keepNext w:val="0"/>
              <w:keepLines w:val="0"/>
              <w:widowControl/>
              <w:numPr>
                <w:ilvl w:val="0"/>
                <w:numId w:val="3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有N和g对应刻度，最小分度值为0.05N，最大分度值0.2N上标有数字。</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平板测力计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5N，由对疲劳弹簧、可调节指针、旋片及刻度板等构成，最小刻度值为0.1N，白色塑料面板或铝板。</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圆盘测力计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10N，圆盘指针式。产品由上滑杆、予力调正套、复零调节套、指针、示度盘、下予力调正套、下滑杆、后盖、联销轴、圆盘、垫板、支撑板等组成。表面直径约200mm，分度值1N。</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演示测力计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由弹簧、指针、刻度板、拉杆、悬挂装置、夹持柄等组成，刻度板为塑料制品，外形尺寸：310mm×85mm×8mm，中间槽孔尺寸：272mm×25mm，刻度值为 0N～2N，最小分度值为0.1N、最大分度值为0.5N。右左侧刻度线一致。</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拉压测力计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压两用,结构组成：由具有测量性能的耐疲劳弹簧，指针，调节器，小勾，承压台，刻度板构成。最大量程：10N,指针、调节器、小勾、刻度板采用塑料制，承压台圆形塑料制。刻度板表面印刷刻线，尺寸225mm×35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双向测力计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35"/>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产品主要由具有测量性能的耐疲劳弹簧、指针、调节器、分度板等组成；</w:t>
            </w:r>
          </w:p>
          <w:p>
            <w:pPr>
              <w:keepNext w:val="0"/>
              <w:keepLines w:val="0"/>
              <w:widowControl/>
              <w:numPr>
                <w:ilvl w:val="0"/>
                <w:numId w:val="3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使用时指针在所测力的方向上（无负荷时）必要时对准零位；</w:t>
            </w:r>
          </w:p>
          <w:p>
            <w:pPr>
              <w:keepNext w:val="0"/>
              <w:keepLines w:val="0"/>
              <w:widowControl/>
              <w:numPr>
                <w:ilvl w:val="0"/>
                <w:numId w:val="3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将测力计固定在支架上或其他能固定的位置上，便可测量拉力或秤物等实验。</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握力计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符合JY0001－2003《教学仪器一般质量要求》的有关规定。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拉力计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弹簧可增减。</w:t>
            </w:r>
          </w:p>
          <w:p>
            <w:pPr>
              <w:keepNext w:val="0"/>
              <w:keepLines w:val="0"/>
              <w:widowControl/>
              <w:numPr>
                <w:ilvl w:val="0"/>
                <w:numId w:val="36"/>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产品由木质手柄2个、挂簧架2个及拉簧5根组成。</w:t>
            </w:r>
          </w:p>
          <w:p>
            <w:pPr>
              <w:keepNext w:val="0"/>
              <w:keepLines w:val="0"/>
              <w:widowControl/>
              <w:numPr>
                <w:ilvl w:val="0"/>
                <w:numId w:val="3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金属件表面电镀处理。</w:t>
            </w:r>
          </w:p>
          <w:p>
            <w:pPr>
              <w:keepNext w:val="0"/>
              <w:keepLines w:val="0"/>
              <w:widowControl/>
              <w:numPr>
                <w:ilvl w:val="0"/>
                <w:numId w:val="3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弹簧直径15mm，长26mm，密绕。</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演示电表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测量范围：G：-100uA~0~+100uA；DCA：0~200uA、0~0.5A、0~2.5A压降95mV；DCV：0~2.5V、0~10V；电压灵敏度2KΩ/V；精度：2.5级；防外磁场Ⅳ级；阻尼时间：不大于6秒；外形尺寸：270mm×270mm×112mm。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电能表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单相。1.电压：220V 10（40）A  50Hz  1600imp/kw.h。2.塑料外壳，尺寸：145mm×110mm×50mm。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绝缘电阻表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手提式。ZC25-3型，额定电压：500V，测量范围：0-500MΩ；准确度：10级；摇柄额定转速：120r/min；绝缘电阻：20MΩ；试电电压：1000V；外形尺寸：205mm×120mm×145mm。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直流电流表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产品由测量机构、外壳等组成。</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1、指示面板与水平面成45度夹角。</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2、测量范围：（-1~0~3V）（-5~0~15V）。</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3、仪表准确度等级：2.5级。</w:t>
            </w:r>
          </w:p>
          <w:p>
            <w:pPr>
              <w:keepNext w:val="0"/>
              <w:keepLines w:val="0"/>
              <w:widowControl/>
              <w:numPr>
                <w:ilvl w:val="-1"/>
                <w:numId w:val="0"/>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4、对外界磁场的防御等级为Ⅲ级。</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直流电压表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产品由测量机构、外壳等组成。</w:t>
            </w:r>
          </w:p>
          <w:p>
            <w:pPr>
              <w:keepNext w:val="0"/>
              <w:keepLines w:val="0"/>
              <w:widowControl/>
              <w:numPr>
                <w:ilvl w:val="0"/>
                <w:numId w:val="37"/>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指示面板与水平面成45度夹角。</w:t>
            </w:r>
          </w:p>
          <w:p>
            <w:pPr>
              <w:keepNext w:val="0"/>
              <w:keepLines w:val="0"/>
              <w:widowControl/>
              <w:numPr>
                <w:ilvl w:val="0"/>
                <w:numId w:val="3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测量范围：±300μA内阻。</w:t>
            </w:r>
          </w:p>
          <w:p>
            <w:pPr>
              <w:keepNext w:val="0"/>
              <w:keepLines w:val="0"/>
              <w:widowControl/>
              <w:numPr>
                <w:ilvl w:val="0"/>
                <w:numId w:val="3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仪表准确度等级：2.5级。</w:t>
            </w:r>
          </w:p>
          <w:p>
            <w:pPr>
              <w:keepNext w:val="0"/>
              <w:keepLines w:val="0"/>
              <w:widowControl/>
              <w:numPr>
                <w:ilvl w:val="0"/>
                <w:numId w:val="3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对外界磁场的防御等级为Ⅲ级。</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灵敏电流计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产品由测量机构、外壳等组成。</w:t>
            </w:r>
          </w:p>
          <w:p>
            <w:pPr>
              <w:keepNext w:val="0"/>
              <w:keepLines w:val="0"/>
              <w:widowControl/>
              <w:numPr>
                <w:ilvl w:val="0"/>
                <w:numId w:val="3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指示面板与水平面成45度夹角。</w:t>
            </w:r>
          </w:p>
          <w:p>
            <w:pPr>
              <w:keepNext w:val="0"/>
              <w:keepLines w:val="0"/>
              <w:widowControl/>
              <w:numPr>
                <w:ilvl w:val="0"/>
                <w:numId w:val="3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测量范围：±300μA内阻。</w:t>
            </w:r>
          </w:p>
          <w:p>
            <w:pPr>
              <w:keepNext w:val="0"/>
              <w:keepLines w:val="0"/>
              <w:widowControl/>
              <w:numPr>
                <w:ilvl w:val="0"/>
                <w:numId w:val="3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仪表准确度等级：2.5级。</w:t>
            </w:r>
          </w:p>
          <w:p>
            <w:pPr>
              <w:keepNext w:val="0"/>
              <w:keepLines w:val="0"/>
              <w:widowControl/>
              <w:numPr>
                <w:ilvl w:val="0"/>
                <w:numId w:val="3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对外界磁场的防御等级为Ⅲ级。</w:t>
            </w:r>
          </w:p>
          <w:p>
            <w:pPr>
              <w:keepNext w:val="0"/>
              <w:keepLines w:val="0"/>
              <w:widowControl/>
              <w:numPr>
                <w:ilvl w:val="0"/>
                <w:numId w:val="3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规格：130mm×95mm×90mm。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多用电表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MF-47型，内磁表头。测量范围：直流电流：0～5～50～500mA,10A；直流电压：0～0.25～0.5～10～50～250～500～1000V，交流电压：0～10～50～250～500～1000V；直流电阻：X1～X10K。</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教学示波器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垂直系统频率响应：直流DC~5MHz≤3dB，交流10Hz~5MHz≤3dB；偏转因素：20mVp-p／格，误差±10%；输入电容：1M∥40PF；衰减倍率：1、10、100、1000，误差±10%；输入耐压：400V（DC+ACpk）；扫描系统扫描频率： 10Hz~100kHz，分四挡；同步：内正、内负、外同步；水平系统频率响应：10Hz~500kHz≤3dB；偏转因素：100mVp-p／格；输入电容：1M∥60PF；波形：正弦波 50Hz；幅度：250mVp-p±10%；余辉：中；工作环境：温度0℃~+40℃；相对湿度：≤90%（40℃）。</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大屏幕示波器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39"/>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显示面积：270mm×220mm，中余辉。</w:t>
            </w:r>
          </w:p>
          <w:p>
            <w:pPr>
              <w:keepNext w:val="0"/>
              <w:keepLines w:val="0"/>
              <w:widowControl/>
              <w:numPr>
                <w:ilvl w:val="0"/>
                <w:numId w:val="3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Y轴灵敏度：200mVP-P/格，可调。</w:t>
            </w:r>
          </w:p>
          <w:p>
            <w:pPr>
              <w:keepNext w:val="0"/>
              <w:keepLines w:val="0"/>
              <w:widowControl/>
              <w:numPr>
                <w:ilvl w:val="0"/>
                <w:numId w:val="3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Y轴频响：20Hz-20kHz  小于5dB（幅度为10cm时）。</w:t>
            </w:r>
          </w:p>
          <w:p>
            <w:pPr>
              <w:keepNext w:val="0"/>
              <w:keepLines w:val="0"/>
              <w:widowControl/>
              <w:numPr>
                <w:ilvl w:val="0"/>
                <w:numId w:val="3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X轴扫描频率：20Hz-2500Hz 可调。</w:t>
            </w:r>
          </w:p>
          <w:p>
            <w:pPr>
              <w:keepNext w:val="0"/>
              <w:keepLines w:val="0"/>
              <w:widowControl/>
              <w:numPr>
                <w:ilvl w:val="0"/>
                <w:numId w:val="3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X轴灵敏度：100mVp-p/格  可调。</w:t>
            </w:r>
          </w:p>
          <w:p>
            <w:pPr>
              <w:keepNext w:val="0"/>
              <w:keepLines w:val="0"/>
              <w:widowControl/>
              <w:numPr>
                <w:ilvl w:val="0"/>
                <w:numId w:val="3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X轴频响：20Hz-2500Hz 小于5dB（幅度为18cm时）。</w:t>
            </w:r>
          </w:p>
          <w:p>
            <w:pPr>
              <w:keepNext w:val="0"/>
              <w:keepLines w:val="0"/>
              <w:widowControl/>
              <w:numPr>
                <w:ilvl w:val="0"/>
                <w:numId w:val="3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机内汛号：正弦波。</w:t>
            </w:r>
          </w:p>
          <w:p>
            <w:pPr>
              <w:keepNext w:val="0"/>
              <w:keepLines w:val="0"/>
              <w:widowControl/>
              <w:numPr>
                <w:ilvl w:val="0"/>
                <w:numId w:val="3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工作电源：220V，50Hz。</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密度计1</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标准温度20℃，温度范围0～70℃，分度值为1度。</w:t>
            </w:r>
          </w:p>
          <w:p>
            <w:pPr>
              <w:keepNext w:val="0"/>
              <w:keepLines w:val="0"/>
              <w:widowControl/>
              <w:numPr>
                <w:ilvl w:val="0"/>
                <w:numId w:val="4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密度范围：1.000～2.000。</w:t>
            </w:r>
          </w:p>
          <w:p>
            <w:pPr>
              <w:keepNext w:val="0"/>
              <w:keepLines w:val="0"/>
              <w:widowControl/>
              <w:numPr>
                <w:ilvl w:val="0"/>
                <w:numId w:val="4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在液体中倾斜度不大于0.2分度值。</w:t>
            </w:r>
          </w:p>
          <w:p>
            <w:pPr>
              <w:keepNext w:val="0"/>
              <w:keepLines w:val="0"/>
              <w:widowControl/>
              <w:numPr>
                <w:ilvl w:val="0"/>
                <w:numId w:val="4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其它性能指标应符合GB/T 17764－1999的有关规定。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密度计2</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标准温度20℃，温度范围10～70℃，分度值为1度。</w:t>
            </w:r>
          </w:p>
          <w:p>
            <w:pPr>
              <w:keepNext w:val="0"/>
              <w:keepLines w:val="0"/>
              <w:widowControl/>
              <w:numPr>
                <w:ilvl w:val="0"/>
                <w:numId w:val="4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密度范围：0.700～1.000。</w:t>
            </w:r>
          </w:p>
          <w:p>
            <w:pPr>
              <w:keepNext w:val="0"/>
              <w:keepLines w:val="0"/>
              <w:widowControl/>
              <w:numPr>
                <w:ilvl w:val="0"/>
                <w:numId w:val="4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在液体中倾斜度不大于0.2分度值。</w:t>
            </w:r>
          </w:p>
          <w:p>
            <w:pPr>
              <w:keepNext w:val="0"/>
              <w:keepLines w:val="0"/>
              <w:widowControl/>
              <w:numPr>
                <w:ilvl w:val="0"/>
                <w:numId w:val="4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其它性能指标应符合GB/T 17764－1999的有关规定。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湿度计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双指针式、全塑料外壳，带座可悬挂。</w:t>
            </w:r>
          </w:p>
          <w:p>
            <w:pPr>
              <w:keepNext w:val="0"/>
              <w:keepLines w:val="0"/>
              <w:widowControl/>
              <w:numPr>
                <w:ilvl w:val="0"/>
                <w:numId w:val="42"/>
              </w:numPr>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可测温度及湿度。</w:t>
            </w:r>
          </w:p>
          <w:p>
            <w:pPr>
              <w:keepNext w:val="0"/>
              <w:keepLines w:val="0"/>
              <w:widowControl/>
              <w:numPr>
                <w:ilvl w:val="0"/>
                <w:numId w:val="42"/>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直径约135mm。</w:t>
            </w:r>
          </w:p>
          <w:p>
            <w:pPr>
              <w:keepNext w:val="0"/>
              <w:keepLines w:val="0"/>
              <w:widowControl/>
              <w:numPr>
                <w:ilvl w:val="0"/>
                <w:numId w:val="42"/>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温度可测 -30°C~50°C，湿度可测 10%RH~90%RH。</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圆柱体组</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以三种材料圆柱体组成，分别为铜、铁、铝制成，三只圆柱体几何尺寸完全相同，直径20mm,高32mm。塑料盒定位包装。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立方体组</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3"/>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由铜、铁、铝、木材四种材料组成；</w:t>
            </w:r>
          </w:p>
          <w:p>
            <w:pPr>
              <w:keepNext w:val="0"/>
              <w:keepLines w:val="0"/>
              <w:widowControl/>
              <w:numPr>
                <w:ilvl w:val="0"/>
                <w:numId w:val="4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四种材料均为20mm。</w:t>
            </w:r>
          </w:p>
          <w:p>
            <w:pPr>
              <w:keepNext w:val="0"/>
              <w:keepLines w:val="0"/>
              <w:widowControl/>
              <w:numPr>
                <w:ilvl w:val="0"/>
                <w:numId w:val="4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木质致密，表面平整光滑，铁件电镀处理。4、塑料盒包装。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运动和力实验器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水平板、斜面板、小车、毛巾，布，小球2个(金属球、玻璃球），水平板和斜面板用合页连接，宽度100mm，厚度18mm。水平板长度520mm，斜面板长215mm，小车为塑料制品，尺寸不小于105mm×65mm×40mm，金属球直径为14mm；玻璃球直径为15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惯性演示器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4"/>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本仪器为工程塑料制作而成，由蓝色壳体、红色启动键、拉簧、红色绳线、金属挡片、钢球等组成。</w:t>
            </w:r>
          </w:p>
          <w:p>
            <w:pPr>
              <w:keepNext w:val="0"/>
              <w:keepLines w:val="0"/>
              <w:widowControl/>
              <w:numPr>
                <w:ilvl w:val="0"/>
                <w:numId w:val="4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壳体为塑料制品，尺寸为：158mm×72mm×75mm。</w:t>
            </w:r>
          </w:p>
          <w:p>
            <w:pPr>
              <w:keepNext w:val="0"/>
              <w:keepLines w:val="0"/>
              <w:widowControl/>
              <w:numPr>
                <w:ilvl w:val="0"/>
                <w:numId w:val="4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红色启动键为塑料制品，无阻滞现象。</w:t>
            </w:r>
          </w:p>
          <w:p>
            <w:pPr>
              <w:keepNext w:val="0"/>
              <w:keepLines w:val="0"/>
              <w:widowControl/>
              <w:numPr>
                <w:ilvl w:val="0"/>
                <w:numId w:val="4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拉簧用弹簧钢丝制成，表面镀锌。</w:t>
            </w:r>
          </w:p>
          <w:p>
            <w:pPr>
              <w:keepNext w:val="0"/>
              <w:keepLines w:val="0"/>
              <w:widowControl/>
              <w:numPr>
                <w:ilvl w:val="0"/>
                <w:numId w:val="4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钢球直径不小于19mm，外表作镀镍处理，光滑明亮。</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摩擦计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由木制摩擦板和摩擦块组成。摩擦板外形尺寸不小于500mm×49mm×12mm。摩擦块外形尺寸不小于100mm×38mm×40mm。上面有两个砝码孔，端面中心有挂钩。</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螺旋弹簧组</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5"/>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由钢丝绕成的螺旋弹簧2种一组组成。</w:t>
            </w:r>
          </w:p>
          <w:p>
            <w:pPr>
              <w:keepNext w:val="0"/>
              <w:keepLines w:val="0"/>
              <w:widowControl/>
              <w:numPr>
                <w:ilvl w:val="0"/>
                <w:numId w:val="4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2种螺旋弹簧拉力限量分别为：0.5N,1N,2N，3N,5N。表面镀镍防护，弹簧上端为园环，下端有三角片，杆勾，指针组成。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阿基米德原理实验器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由透明溢杯、测量筒、塑料桶、圆柱体组成。透明溢杯直径65mm、高140mm、离杯口20mm处有一倾角的溢水咀，溢水咀长不小于15mm；测量筒为透明，直径不小于35mm、高不小于100mm，侧面有0至90mm刻度标尺；塑料桷为半透明塑料制成，上下均有挂环、外形尺寸：直径35mm、</w:t>
            </w:r>
            <w:r>
              <w:rPr>
                <w:rStyle w:val="479"/>
                <w:rFonts w:ascii="宋体" w:hAnsi="宋体" w:eastAsia="宋体" w:cs="宋体"/>
                <w:color w:val="auto"/>
                <w:sz w:val="21"/>
                <w:szCs w:val="21"/>
                <w:lang w:val="en-US" w:eastAsia="zh-CN" w:bidi="ar"/>
              </w:rPr>
              <w:t>高79mm</w:t>
            </w:r>
            <w:r>
              <w:rPr>
                <w:rFonts w:hint="eastAsia" w:ascii="宋体" w:hAnsi="宋体" w:eastAsia="宋体" w:cs="宋体"/>
                <w:i w:val="0"/>
                <w:iCs w:val="0"/>
                <w:color w:val="auto"/>
                <w:kern w:val="0"/>
                <w:sz w:val="21"/>
                <w:szCs w:val="21"/>
                <w:u w:val="none"/>
                <w:lang w:val="en-US" w:eastAsia="zh-CN" w:bidi="ar"/>
              </w:rPr>
              <w:t>，内壁上有两条刻线、刻线距离10mm、外壁上有毫米刻度标示；圆柱体为金属材料制成，表面电镀处理，圆柱外径30mm、</w:t>
            </w:r>
            <w:r>
              <w:rPr>
                <w:rStyle w:val="479"/>
                <w:rFonts w:ascii="宋体" w:hAnsi="宋体" w:eastAsia="宋体" w:cs="宋体"/>
                <w:color w:val="auto"/>
                <w:sz w:val="21"/>
                <w:szCs w:val="21"/>
                <w:lang w:val="en-US" w:eastAsia="zh-CN" w:bidi="ar"/>
              </w:rPr>
              <w:t>厚16mm,</w:t>
            </w:r>
            <w:r>
              <w:rPr>
                <w:rFonts w:hint="eastAsia" w:ascii="宋体" w:hAnsi="宋体" w:eastAsia="宋体" w:cs="宋体"/>
                <w:i w:val="0"/>
                <w:iCs w:val="0"/>
                <w:color w:val="000000"/>
                <w:kern w:val="0"/>
                <w:sz w:val="21"/>
                <w:szCs w:val="21"/>
                <w:u w:val="none"/>
                <w:lang w:val="en-US" w:eastAsia="zh-CN" w:bidi="ar"/>
              </w:rPr>
              <w:t>一端有挂环。</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阿基米德原理及其应用实验器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6"/>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塑料吊桶、塑料圆柱体、溢液杯组成。</w:t>
            </w:r>
          </w:p>
          <w:p>
            <w:pPr>
              <w:keepNext w:val="0"/>
              <w:keepLines w:val="0"/>
              <w:widowControl/>
              <w:numPr>
                <w:ilvl w:val="0"/>
                <w:numId w:val="4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塑料圆柱的体积为100ml,有等分刻度线，质量≥120g，直径不小于φ35mm,塑料吊桶透明,外直径不小于φ400mm，容积为100ml，有等分刻度线,溢液杯透明。</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液体压强与深度关系实验器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组装式。产品由透明外筒、塑料接水槽、透明塑料深度实验筒及压强计等组成。</w:t>
            </w:r>
          </w:p>
          <w:p>
            <w:pPr>
              <w:keepNext w:val="0"/>
              <w:keepLines w:val="0"/>
              <w:widowControl/>
              <w:numPr>
                <w:ilvl w:val="0"/>
                <w:numId w:val="47"/>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透明外筒尺寸：外径104mm±1mm，高152mm±1mm。厚2mm±0.5mm。</w:t>
            </w:r>
          </w:p>
          <w:p>
            <w:pPr>
              <w:keepNext w:val="0"/>
              <w:keepLines w:val="0"/>
              <w:widowControl/>
              <w:numPr>
                <w:ilvl w:val="0"/>
                <w:numId w:val="4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塑料接水槽尺寸为：200mm×125mm×35mm。3、透明塑料深度实验筒尺寸为：外径约30mm，高约190mm。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连通器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产品由透明玻璃注塑成型的连通管各插接式底座两部分组成。1、连通管有粗直管一根、弯直管一根、三球管一根、细直管一根，它们上端开口不连通，下部连通的容器。</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帕斯卡球</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产品主要由圆管、空心球、活塞、活塞杆、手柄组成。</w:t>
            </w:r>
          </w:p>
          <w:p>
            <w:pPr>
              <w:keepNext w:val="0"/>
              <w:keepLines w:val="0"/>
              <w:widowControl/>
              <w:numPr>
                <w:ilvl w:val="0"/>
                <w:numId w:val="4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圆管选用金属无缝钢管，有效尺寸不小于直径28×180mm,一端应有连接空白球的螺纹，另一端有拧盖螺纹、螺纹连接部分应牢靠、表面防锈处理。</w:t>
            </w:r>
          </w:p>
          <w:p>
            <w:pPr>
              <w:keepNext w:val="0"/>
              <w:keepLines w:val="0"/>
              <w:widowControl/>
              <w:numPr>
                <w:ilvl w:val="0"/>
                <w:numId w:val="4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空心球用不锈钢制作，直径不小于80mm.圆球上装有10个不同方向的喷嘴，喷嘴连接牢固、密封。圆球与圆管连接方便。无漏水现象。</w:t>
            </w:r>
          </w:p>
          <w:p>
            <w:pPr>
              <w:keepNext w:val="0"/>
              <w:keepLines w:val="0"/>
              <w:widowControl/>
              <w:numPr>
                <w:ilvl w:val="0"/>
                <w:numId w:val="4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活塞选用耐油橡胶制作、规格尺寸与圆管内径密封配合，活塞安装在活塞杆上。活塞另一端安装塑料手柄。</w:t>
            </w:r>
          </w:p>
          <w:p>
            <w:pPr>
              <w:keepNext w:val="0"/>
              <w:keepLines w:val="0"/>
              <w:widowControl/>
              <w:numPr>
                <w:ilvl w:val="0"/>
                <w:numId w:val="4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组装后的帕斯卡球应抽动自如，密封性良好。 钢材表面采用防锈处理加环保油漆涂层精制而成。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浮力原理演示器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numPr>
                <w:ilvl w:val="0"/>
                <w:numId w:val="49"/>
              </w:numPr>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大水槽1个，用透明材料制成，表面0～300刻度，规格不小于Φ110×300（mm）,在大水槽的底部分隔一个小水槽，规格不小于Φ70×90（mm）。</w:t>
            </w:r>
          </w:p>
          <w:p>
            <w:pPr>
              <w:keepNext w:val="0"/>
              <w:keepLines w:val="0"/>
              <w:widowControl/>
              <w:numPr>
                <w:ilvl w:val="0"/>
                <w:numId w:val="49"/>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排气管1个在小水槽上部侧面的位置、进气口在小水槽的底部。</w:t>
            </w:r>
          </w:p>
          <w:p>
            <w:pPr>
              <w:keepNext w:val="0"/>
              <w:keepLines w:val="0"/>
              <w:widowControl/>
              <w:numPr>
                <w:ilvl w:val="0"/>
                <w:numId w:val="49"/>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浮体附配重物5个，直径49mm、高17mm。4、附浮胶管1根。</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物体浮沉条件演示器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产品由透明盛液筒、浮筒、配重体、导引磁铁、铁丝条组成。</w:t>
            </w:r>
          </w:p>
          <w:p>
            <w:pPr>
              <w:keepNext w:val="0"/>
              <w:keepLines w:val="0"/>
              <w:widowControl/>
              <w:numPr>
                <w:ilvl w:val="0"/>
                <w:numId w:val="5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盛液筒用无毒、透明塑料制成，高300mmn、内径108mm，筒壁应有刻度标志，盛液筒底面平稳。</w:t>
            </w:r>
          </w:p>
          <w:p>
            <w:pPr>
              <w:keepNext w:val="0"/>
              <w:keepLines w:val="0"/>
              <w:widowControl/>
              <w:numPr>
                <w:ilvl w:val="0"/>
                <w:numId w:val="5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浮筒为圆柱形状、空心，外径96mm，内径60mm，高98mm。</w:t>
            </w:r>
          </w:p>
          <w:p>
            <w:pPr>
              <w:keepNext w:val="0"/>
              <w:keepLines w:val="0"/>
              <w:widowControl/>
              <w:numPr>
                <w:ilvl w:val="0"/>
                <w:numId w:val="5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配重体为直径85mm的铁丝绕制，铁丝直径2mm，表面防锈。</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潜水艇浮沉演示器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5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产品由透明球体、配重块、吸排气筒等组成。</w:t>
            </w:r>
          </w:p>
          <w:p>
            <w:pPr>
              <w:keepNext w:val="0"/>
              <w:keepLines w:val="0"/>
              <w:widowControl/>
              <w:numPr>
                <w:ilvl w:val="0"/>
                <w:numId w:val="5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透明球体直径≥70mm。</w:t>
            </w:r>
          </w:p>
          <w:p>
            <w:pPr>
              <w:keepNext w:val="0"/>
              <w:keepLines w:val="0"/>
              <w:widowControl/>
              <w:numPr>
                <w:ilvl w:val="0"/>
                <w:numId w:val="5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吸排气筒容量：0～20ml。</w:t>
            </w:r>
          </w:p>
          <w:p>
            <w:pPr>
              <w:keepNext w:val="0"/>
              <w:keepLines w:val="0"/>
              <w:widowControl/>
              <w:numPr>
                <w:ilvl w:val="0"/>
                <w:numId w:val="5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透明塑胶管长度≥20cm.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5、各处配合无漏气现象。</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液体内部压强实验器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52"/>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本仪器由承压盒、支杆、胶膜等组成。 </w:t>
            </w:r>
          </w:p>
          <w:p>
            <w:pPr>
              <w:keepNext w:val="0"/>
              <w:keepLines w:val="0"/>
              <w:widowControl/>
              <w:numPr>
                <w:ilvl w:val="0"/>
                <w:numId w:val="5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承压盒的内经Φ36mm，转轴孔径Φ4mm。</w:t>
            </w:r>
          </w:p>
          <w:p>
            <w:pPr>
              <w:keepNext w:val="0"/>
              <w:keepLines w:val="0"/>
              <w:widowControl/>
              <w:numPr>
                <w:ilvl w:val="0"/>
                <w:numId w:val="5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支杆由Φ4mm的低碳钢制成，一端弯解为90°±1°，表面油漆。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液体对器壁压强演示器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流体力学仪器，演示液体对器壁压强的实验。由圆柱形透明玻璃圆管，胶膜以及橡胶绳组成，圆管侧面另与两个凸出玻璃圆管连通。直管直径约30mm，长200mm；侧管直径约17mm，长25mm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气体浮力演示器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基本结构：由大球Φ15cm、大气球 、 塑料网、50g钩码1个、球针、杠杆尺、支架、底座等组成。底座尺寸不小于200mm×60mm×10mm。   </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马德堡半球</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53"/>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铸铁制成半球（圆盘）的合口处边表面粗糙度最大允许值为3.2um，当半球（圆盘）的内外压强差为0.0677Mpa(500mmHg)，经30分钟后，其压强不低于0.064MPa（480mmHg），内外压差用准确度不低于1.5级真空表测量。</w:t>
            </w:r>
          </w:p>
          <w:p>
            <w:pPr>
              <w:keepNext w:val="0"/>
              <w:keepLines w:val="0"/>
              <w:widowControl/>
              <w:numPr>
                <w:ilvl w:val="0"/>
                <w:numId w:val="5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半球（圆盘）外径不小于Φ105mm，内经不小于Φ75mm。</w:t>
            </w:r>
          </w:p>
          <w:p>
            <w:pPr>
              <w:keepNext w:val="0"/>
              <w:keepLines w:val="0"/>
              <w:widowControl/>
              <w:numPr>
                <w:ilvl w:val="0"/>
                <w:numId w:val="5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半球（圆盘）为铸铁、拉环为铁件，须进行时效处理，消除内应力，防止变形。</w:t>
            </w:r>
          </w:p>
          <w:p>
            <w:pPr>
              <w:keepNext w:val="0"/>
              <w:keepLines w:val="0"/>
              <w:widowControl/>
              <w:numPr>
                <w:ilvl w:val="0"/>
                <w:numId w:val="5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旋塞和抽气管咀由黄铜制成。外径Φ8mm，旋塞一端装有与通气孔方向一致的旋片，旋塞应松紧适宜、转动灵活。</w:t>
            </w:r>
          </w:p>
          <w:p>
            <w:pPr>
              <w:keepNext w:val="0"/>
              <w:keepLines w:val="0"/>
              <w:widowControl/>
              <w:numPr>
                <w:ilvl w:val="0"/>
                <w:numId w:val="5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产品外表面喷漆、平整、光滑、无毛刺。两半球（圆盘）的合口处和旋塞应进行成组匝配。</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5"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大气压系列实验器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由透明杯，橡胶套圈，胶塞，方格盖板，带嘴盖板，多孔球盖，小气球，弹簧夹和乳胶管等组成。</w:t>
            </w:r>
          </w:p>
          <w:p>
            <w:pPr>
              <w:keepNext w:val="0"/>
              <w:keepLines w:val="0"/>
              <w:widowControl/>
              <w:numPr>
                <w:ilvl w:val="-1"/>
                <w:numId w:val="0"/>
              </w:numPr>
              <w:suppressLineNumbers w:val="0"/>
              <w:ind w:left="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透明杯：由聚苯之类的透明材料制成，高约96mm。</w:t>
            </w:r>
          </w:p>
          <w:p>
            <w:pPr>
              <w:keepNext w:val="0"/>
              <w:keepLines w:val="0"/>
              <w:widowControl/>
              <w:numPr>
                <w:ilvl w:val="-1"/>
                <w:numId w:val="0"/>
              </w:numPr>
              <w:suppressLineNumbers w:val="0"/>
              <w:ind w:left="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橡胶套圈：可环套在杯口上，下抵杯的环肩，上部与盖板配合，实现对杯口的严紧密封。</w:t>
            </w:r>
          </w:p>
          <w:p>
            <w:pPr>
              <w:keepNext w:val="0"/>
              <w:keepLines w:val="0"/>
              <w:widowControl/>
              <w:numPr>
                <w:ilvl w:val="-1"/>
                <w:numId w:val="0"/>
              </w:numPr>
              <w:suppressLineNumbers w:val="0"/>
              <w:ind w:left="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胶塞：可堵塞在杯底的气咀内，实现杯的密封。</w:t>
            </w:r>
          </w:p>
          <w:p>
            <w:pPr>
              <w:keepNext w:val="0"/>
              <w:keepLines w:val="0"/>
              <w:widowControl/>
              <w:numPr>
                <w:ilvl w:val="-1"/>
                <w:numId w:val="0"/>
              </w:numPr>
              <w:suppressLineNumbers w:val="0"/>
              <w:ind w:left="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方格盖板：由聚苯之类的透明材料制成，Φ80mm，厚约3mm。</w:t>
            </w:r>
          </w:p>
          <w:p>
            <w:pPr>
              <w:keepNext w:val="0"/>
              <w:keepLines w:val="0"/>
              <w:widowControl/>
              <w:numPr>
                <w:ilvl w:val="-1"/>
                <w:numId w:val="0"/>
              </w:numPr>
              <w:suppressLineNumbers w:val="0"/>
              <w:ind w:left="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带嘴盖板：由聚苯之类的透明材料制成，Φ80mm，厚约3mm。</w:t>
            </w:r>
          </w:p>
          <w:p>
            <w:pPr>
              <w:keepNext w:val="0"/>
              <w:keepLines w:val="0"/>
              <w:widowControl/>
              <w:numPr>
                <w:ilvl w:val="-1"/>
                <w:numId w:val="0"/>
              </w:numPr>
              <w:suppressLineNumbers w:val="0"/>
              <w:ind w:left="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多空盖板外径约65mm。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压力和压强演示器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由压强小桌、海绵块组成。压强小桌应采用ABS塑料注塑成型，表面光滑平整，桌面尺寸不小于130×80mm。小桌腿上粗下细，总长45mm。海绵块尺寸不小于130×70×30mm。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流体流速与压强关系演示器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54"/>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产品由示教板1套、U形管2支、滴管1支、小漏斗1个、乳胶管50cm、线夹2支、弹簧夹2个、快、慢流速管1支组成。</w:t>
            </w:r>
          </w:p>
          <w:p>
            <w:pPr>
              <w:keepNext w:val="0"/>
              <w:keepLines w:val="0"/>
              <w:widowControl/>
              <w:numPr>
                <w:ilvl w:val="0"/>
                <w:numId w:val="5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示教板由底座及面板组成：（1）底座为金属制品，尺寸440×110×20mm。（2）面板为金属制品，一侧印有黑色刻度线。尺寸：440×288×16.5mm（3）底座与面板用M4螺钉连接固定，固定牢靠、摆放平稳。</w:t>
            </w:r>
          </w:p>
          <w:p>
            <w:pPr>
              <w:keepNext w:val="0"/>
              <w:keepLines w:val="0"/>
              <w:widowControl/>
              <w:numPr>
                <w:ilvl w:val="0"/>
                <w:numId w:val="5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U形管为比例制作，直径6.3×4.7，外形尺寸76×160mm.</w:t>
            </w:r>
          </w:p>
          <w:p>
            <w:pPr>
              <w:keepNext w:val="0"/>
              <w:keepLines w:val="0"/>
              <w:widowControl/>
              <w:numPr>
                <w:ilvl w:val="0"/>
                <w:numId w:val="5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滴管为玻璃制作，附乳胶头。</w:t>
            </w:r>
          </w:p>
          <w:p>
            <w:pPr>
              <w:keepNext w:val="0"/>
              <w:keepLines w:val="0"/>
              <w:widowControl/>
              <w:numPr>
                <w:ilvl w:val="0"/>
                <w:numId w:val="5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小漏斗为塑料制作，漏斗嘴与乳胶管配合无漏气现象。</w:t>
            </w:r>
          </w:p>
          <w:p>
            <w:pPr>
              <w:keepNext w:val="0"/>
              <w:keepLines w:val="0"/>
              <w:widowControl/>
              <w:numPr>
                <w:ilvl w:val="0"/>
                <w:numId w:val="5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快、慢流速管为玻璃制品，长度410mm,两端Φ9mm,中间Φ43mm,同向有3个通孔嘴。</w:t>
            </w:r>
          </w:p>
          <w:p>
            <w:pPr>
              <w:keepNext w:val="0"/>
              <w:keepLines w:val="0"/>
              <w:widowControl/>
              <w:numPr>
                <w:ilvl w:val="0"/>
                <w:numId w:val="5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组装后的仪器实验效果明显，可视性强。产品参考JY229-87《液体对器壁压强演示器》的有关规定。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塑料制品。</w:t>
            </w:r>
          </w:p>
          <w:p>
            <w:pPr>
              <w:keepNext w:val="0"/>
              <w:keepLines w:val="0"/>
              <w:widowControl/>
              <w:numPr>
                <w:ilvl w:val="0"/>
                <w:numId w:val="55"/>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本产品由杠杆、轴、调平装置组成。外形尺寸：480mm×28mm×7mm。</w:t>
            </w:r>
          </w:p>
          <w:p>
            <w:pPr>
              <w:keepNext w:val="0"/>
              <w:keepLines w:val="0"/>
              <w:widowControl/>
              <w:numPr>
                <w:ilvl w:val="0"/>
                <w:numId w:val="5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杠杆尺正面刻印厘米单位刻线，线宽不大于1.5mm，每5厘米印一长线并注数字，数字下面有挂孔。</w:t>
            </w:r>
          </w:p>
          <w:p>
            <w:pPr>
              <w:keepNext w:val="0"/>
              <w:keepLines w:val="0"/>
              <w:widowControl/>
              <w:numPr>
                <w:ilvl w:val="0"/>
                <w:numId w:val="5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杠杆尺两端装有调平螺杆和调平螺母。螺母重不大于10g，每个螺杆可调罗纹长度25mm。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演示滑轮组</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可卡式。</w:t>
            </w:r>
          </w:p>
          <w:p>
            <w:pPr>
              <w:keepNext w:val="0"/>
              <w:keepLines w:val="0"/>
              <w:widowControl/>
              <w:numPr>
                <w:ilvl w:val="0"/>
                <w:numId w:val="56"/>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配备：单滑轮2只。外径53mm。三并滑轮2组，外径53mm。三串滑轮2组，外径53、40、30mm；可卡2套，滑轮直径53mm。</w:t>
            </w:r>
          </w:p>
          <w:p>
            <w:pPr>
              <w:keepNext w:val="0"/>
              <w:keepLines w:val="0"/>
              <w:widowControl/>
              <w:numPr>
                <w:ilvl w:val="0"/>
                <w:numId w:val="5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滑轮框架结构均为封闭式，采用ABS塑料制成。</w:t>
            </w:r>
          </w:p>
          <w:p>
            <w:pPr>
              <w:keepNext w:val="0"/>
              <w:keepLines w:val="0"/>
              <w:widowControl/>
              <w:numPr>
                <w:ilvl w:val="0"/>
                <w:numId w:val="5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滑轮挂钩由金属制成，使用时将挂钩置于滑轮的挂钩孔位内即可。</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滑轮组</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可卡式。</w:t>
            </w:r>
          </w:p>
          <w:p>
            <w:pPr>
              <w:keepNext w:val="0"/>
              <w:keepLines w:val="0"/>
              <w:widowControl/>
              <w:numPr>
                <w:ilvl w:val="0"/>
                <w:numId w:val="57"/>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单滑轮4只，二并滑轮2组，二串滑轮2组，可卡2组。</w:t>
            </w:r>
          </w:p>
          <w:p>
            <w:pPr>
              <w:keepNext w:val="0"/>
              <w:keepLines w:val="0"/>
              <w:widowControl/>
              <w:numPr>
                <w:ilvl w:val="0"/>
                <w:numId w:val="5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滑轮框架结构均为封闭式，上下挂钩互成90°。</w:t>
            </w:r>
          </w:p>
          <w:p>
            <w:pPr>
              <w:keepNext w:val="0"/>
              <w:keepLines w:val="0"/>
              <w:widowControl/>
              <w:numPr>
                <w:ilvl w:val="0"/>
                <w:numId w:val="5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轮盘采用ABS塑料注塑制成，直径40mm。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滚摆</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5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滚摆摆体（摆轮和摆轴）、悬线、支柱、横梁和底座组成。</w:t>
            </w:r>
          </w:p>
          <w:p>
            <w:pPr>
              <w:keepNext w:val="0"/>
              <w:keepLines w:val="0"/>
              <w:widowControl/>
              <w:numPr>
                <w:ilvl w:val="0"/>
                <w:numId w:val="5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摆轮Φ115mm。摆轴Φ8mm，长160mm，轴上两个穿线孔距离140mm，穿线孔径Φ1.5mm。支柱高350mm，横梁长240mm。</w:t>
            </w:r>
          </w:p>
          <w:p>
            <w:pPr>
              <w:keepNext w:val="0"/>
              <w:keepLines w:val="0"/>
              <w:widowControl/>
              <w:numPr>
                <w:ilvl w:val="0"/>
                <w:numId w:val="5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摆轴对摆轮的垂直度公差为0.5mm。</w:t>
            </w:r>
          </w:p>
          <w:p>
            <w:pPr>
              <w:keepNext w:val="0"/>
              <w:keepLines w:val="0"/>
              <w:widowControl/>
              <w:numPr>
                <w:ilvl w:val="0"/>
                <w:numId w:val="5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摆轴应粗细均匀。轴上二穿线孔对于摆轮的对称公差0.5mm。</w:t>
            </w:r>
          </w:p>
          <w:p>
            <w:pPr>
              <w:keepNext w:val="0"/>
              <w:keepLines w:val="0"/>
              <w:widowControl/>
              <w:numPr>
                <w:ilvl w:val="0"/>
                <w:numId w:val="5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摆体重心偏移轴线公差为0.5mm。6、摆轴镀铬。底座应稳固，表面涂漆，支柱表面应作防锈处理。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离心轨道</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有捕球网</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力学实验盒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符合JY0001－2003《教学仪器一般质量要求》的有关规定。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初中力学演示板</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59"/>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为手提式组合教具，全部教具组装于塑料箱内，所有配件应有定位放置。仪器由实验底板、大三角支板、紧固销、塑料吊杯、支撑杆、平直导轨、双向测力计等组成。</w:t>
            </w:r>
          </w:p>
          <w:p>
            <w:pPr>
              <w:keepNext w:val="0"/>
              <w:keepLines w:val="0"/>
              <w:widowControl/>
              <w:numPr>
                <w:ilvl w:val="0"/>
                <w:numId w:val="5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完成初中物理力学“重力的方向和重锤线”、“用弹簧称测力”、“弹簧的伸长跟所受的拉力成正比”、“二力平衡的条件”、“物体的惯性”、“摩擦”、“杠杆的作用和平衡条件”、“轮轴的作用和平衡条件”、“定滑轮、动画轮和滑轮组的作用”、“功的原理”、“斜面”、“机械效率”、等不少于22个实验。</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飞机升力原理演示器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机翼模型、滑杆、底座、风扇等组成。机翼采用轻质材料制成，其形状仿飞机模形。风扇部分电源开关、调节器，外壳采用塑料，有良好的绝缘性，底座由胶合板制成。底座尺寸不小于520mm×150mm×12mm，电源：AC220V</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手摇离心转台</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产品由机座、主动轮（附摇手）和从动轮等组成。</w:t>
            </w:r>
          </w:p>
          <w:p>
            <w:pPr>
              <w:keepNext w:val="0"/>
              <w:keepLines w:val="0"/>
              <w:widowControl/>
              <w:numPr>
                <w:ilvl w:val="0"/>
                <w:numId w:val="6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机座材料为铸铁，平放、立放均平稳可靠。2、主动轮和从动轮转动灵活、平稳，转动时皮带来会脱落。</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3、各部件作防锈处理。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音叉</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叉、橡皮槌、共鸣箱，频率256Hz，音叉应为45#碳钢制成，表面镀铬，四面平直棱角应整齐，音叉总长300mm，槌头为橡胶带木质手柄，直径不小于20mm，长度160mm，共鸣箱应采用实木制成，空心，箱体带音叉插孔，外形尺寸：300mm×90mm×54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音叉</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本仪器为单支系整块45号碳钢制成,表面镀烙,四面平直菱角整齐,另附有共鸣箱和橡皮击槌。橡皮击槌球直径20mm，木柄直径长160mm；共鸣箱外形尺寸：150mm×90mm×55mm。512HZ</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发音齿轮</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6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三片齿轮顶圆直径为Φ78mm。</w:t>
            </w:r>
          </w:p>
          <w:p>
            <w:pPr>
              <w:keepNext w:val="0"/>
              <w:keepLines w:val="0"/>
              <w:widowControl/>
              <w:numPr>
                <w:ilvl w:val="0"/>
                <w:numId w:val="6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三片齿轮的齿数分别为  80、 60、 40齿，齿形角度为90°±1。</w:t>
            </w:r>
          </w:p>
          <w:p>
            <w:pPr>
              <w:keepNext w:val="0"/>
              <w:keepLines w:val="0"/>
              <w:widowControl/>
              <w:numPr>
                <w:ilvl w:val="0"/>
                <w:numId w:val="6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三片齿轮相距23mm，装在转动轴上，轴下端为锥体，锥度为1∶20，大端直径为Φ10±0.1mm。</w:t>
            </w:r>
          </w:p>
          <w:p>
            <w:pPr>
              <w:keepNext w:val="0"/>
              <w:keepLines w:val="0"/>
              <w:widowControl/>
              <w:numPr>
                <w:ilvl w:val="0"/>
                <w:numId w:val="6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零件表面防锈处理。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单摆</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62"/>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由摆球、线绳组成。</w:t>
            </w:r>
          </w:p>
          <w:p>
            <w:pPr>
              <w:keepNext w:val="0"/>
              <w:keepLines w:val="0"/>
              <w:widowControl/>
              <w:numPr>
                <w:ilvl w:val="0"/>
                <w:numId w:val="6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钢球直径19mm。</w:t>
            </w:r>
          </w:p>
          <w:p>
            <w:pPr>
              <w:keepNext w:val="0"/>
              <w:keepLines w:val="0"/>
              <w:widowControl/>
              <w:numPr>
                <w:ilvl w:val="0"/>
                <w:numId w:val="6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摆球均沿直径方向钻孔，供穿线使用，钢球表面镀铬、抛光。</w:t>
            </w:r>
          </w:p>
          <w:p>
            <w:pPr>
              <w:keepNext w:val="0"/>
              <w:keepLines w:val="0"/>
              <w:widowControl/>
              <w:numPr>
                <w:ilvl w:val="0"/>
                <w:numId w:val="6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摆球附悬线1根，长度均≥1100mm。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纵波演示器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学物理演示纵波的传播、反射等；仪器采用塑料支架悬挂弹簧形式，全长不小于100cm、Φ60mm螺旋弹簧自由悬挂在支架上，振源金属可上下调节，整套仪器包括机架1个（螺旋弹簧1支、振源2只）；连接杆15个；反光白布1块；可拆卸后装入40×35×15cm的纸箱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声传播演示器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演示器由演示板、信号发生器、放大杨声器、传声棒、音亮调节器等组成。</w:t>
            </w:r>
          </w:p>
          <w:p>
            <w:pPr>
              <w:keepNext w:val="0"/>
              <w:keepLines w:val="0"/>
              <w:widowControl/>
              <w:numPr>
                <w:ilvl w:val="0"/>
                <w:numId w:val="63"/>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演示板采用塑料注塑成型，外形尺寸为355mm×255mm×22mm，外包脚尺寸为115mm×20mm×70mm。</w:t>
            </w:r>
          </w:p>
          <w:p>
            <w:pPr>
              <w:keepNext w:val="0"/>
              <w:keepLines w:val="0"/>
              <w:widowControl/>
              <w:numPr>
                <w:ilvl w:val="0"/>
                <w:numId w:val="6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透明圆筒尺寸为直径45mm，长190mm，壁厚不小于3mm。</w:t>
            </w:r>
          </w:p>
          <w:p>
            <w:pPr>
              <w:keepNext w:val="0"/>
              <w:keepLines w:val="0"/>
              <w:widowControl/>
              <w:numPr>
                <w:ilvl w:val="0"/>
                <w:numId w:val="6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杨声器可发出不小于50分贝。</w:t>
            </w:r>
          </w:p>
          <w:p>
            <w:pPr>
              <w:keepNext w:val="0"/>
              <w:keepLines w:val="0"/>
              <w:widowControl/>
              <w:numPr>
                <w:ilvl w:val="0"/>
                <w:numId w:val="6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能演示空气传播、固体传播、液体传播及真空传播四种演示效果。</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声速测量仪</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由一台主机、两个专用传感器带支架底座、自行车铃及连接导线组成。声源频率：5kHz；传感器间距：3-4m；测量精度：5%；工作电压：DC9V。</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内聚力演示器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由两个中空镶铅圆柱体、刮削器组成。</w:t>
            </w:r>
          </w:p>
          <w:p>
            <w:pPr>
              <w:keepNext w:val="0"/>
              <w:keepLines w:val="0"/>
              <w:widowControl/>
              <w:numPr>
                <w:ilvl w:val="0"/>
                <w:numId w:val="64"/>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铅柱分为红、蓝各1，每支上有挂钩，外形尺寸不小于：Φ20mm，长50mm。</w:t>
            </w:r>
          </w:p>
          <w:p>
            <w:pPr>
              <w:keepNext w:val="0"/>
              <w:keepLines w:val="0"/>
              <w:widowControl/>
              <w:numPr>
                <w:ilvl w:val="0"/>
                <w:numId w:val="6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刮削器外壳为塑料，塑料筒内置刀片。</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空气压缩引火仪</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65"/>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由手柄、连杆、端盖、耐油橡皮圈、气缸体、底座等组成。</w:t>
            </w:r>
          </w:p>
          <w:p>
            <w:pPr>
              <w:keepNext w:val="0"/>
              <w:keepLines w:val="0"/>
              <w:widowControl/>
              <w:numPr>
                <w:ilvl w:val="0"/>
                <w:numId w:val="6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手柄和底座为塑料制品。</w:t>
            </w:r>
          </w:p>
          <w:p>
            <w:pPr>
              <w:keepNext w:val="0"/>
              <w:keepLines w:val="0"/>
              <w:widowControl/>
              <w:numPr>
                <w:ilvl w:val="0"/>
                <w:numId w:val="6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气缸体为透明塑料注塑成型，表面光洁、透明。</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爆燃器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酒精点火，透明盒，附电子点火器</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机械能热能互变演示器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由绳、黄铜管（外径为16mm，高74mm）、弓形架、橡皮塞等组成。弓形架采用铸铁铸造成型，并有压紧装置，表面烤漆处理。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固体缩力演示器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numPr>
                <w:ilvl w:val="0"/>
                <w:numId w:val="66"/>
              </w:numPr>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由试棒、底座、铸铁销和手柄等组成。</w:t>
            </w:r>
          </w:p>
          <w:p>
            <w:pPr>
              <w:keepNext w:val="0"/>
              <w:keepLines w:val="0"/>
              <w:widowControl/>
              <w:numPr>
                <w:ilvl w:val="0"/>
                <w:numId w:val="66"/>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试棒用炭素钢制成，Φ14mm，全长300mm，一端有直径6mm的插销孔，另一端有M14螺纹，螺纹长度不小于35mm，表面防锈处理。</w:t>
            </w:r>
          </w:p>
          <w:p>
            <w:pPr>
              <w:keepNext w:val="0"/>
              <w:keepLines w:val="0"/>
              <w:widowControl/>
              <w:numPr>
                <w:ilvl w:val="0"/>
                <w:numId w:val="66"/>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底座用铸铁制造，应有足够的强度，放置平稳。左右两端有个U型槽，两U型槽外端面的距离为280mm，试棒取放方便。转动手柄时，试棒不应转动。底座表面烤漆。</w:t>
            </w:r>
          </w:p>
          <w:p>
            <w:pPr>
              <w:keepNext w:val="0"/>
              <w:keepLines w:val="0"/>
              <w:widowControl/>
              <w:numPr>
                <w:ilvl w:val="0"/>
                <w:numId w:val="66"/>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铸铁销直径5mm-6mm，长度60mm，无砂眼，气孔等缺陷。</w:t>
            </w:r>
          </w:p>
          <w:p>
            <w:pPr>
              <w:keepNext w:val="0"/>
              <w:keepLines w:val="0"/>
              <w:widowControl/>
              <w:numPr>
                <w:ilvl w:val="0"/>
                <w:numId w:val="66"/>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手柄与试棒螺纹配合，配合长度不小于20mm松紧适宜，手柄表面烤漆。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热传导演示器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67"/>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由底座、支架、蓄热块和导热杆组成。</w:t>
            </w:r>
          </w:p>
          <w:p>
            <w:pPr>
              <w:keepNext w:val="0"/>
              <w:keepLines w:val="0"/>
              <w:widowControl/>
              <w:numPr>
                <w:ilvl w:val="0"/>
                <w:numId w:val="6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蓄热块是一个铝块，左边是铜、铁铝三根导热热杆，等粗等长，都有三个分布均匀的凹坑。相对于蓄热块，导热杆呈辐射状分布。</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双金属片</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由铜、铁组成。该产品由长度约200mm、宽约15mm、厚≧0.3mm铜、铁板材各1片铆合而成，铆合应牢固。手柄为木制。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气体做功内能减少演示器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6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结构：储气瓶  胶塞  底座  ；</w:t>
            </w:r>
          </w:p>
          <w:p>
            <w:pPr>
              <w:keepNext w:val="0"/>
              <w:keepLines w:val="0"/>
              <w:widowControl/>
              <w:numPr>
                <w:ilvl w:val="0"/>
                <w:numId w:val="6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技术要求：演示气体在膨胀时对外做功，气体内能减少，温度降低。</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声热实验盒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符合JY0001－2003《教学仪器一般质量要求》的有关规定。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纸盘扬声器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69"/>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扬声器的阻抗8Ω，功率5W。</w:t>
            </w:r>
          </w:p>
          <w:p>
            <w:pPr>
              <w:keepNext w:val="0"/>
              <w:keepLines w:val="0"/>
              <w:widowControl/>
              <w:numPr>
                <w:ilvl w:val="0"/>
                <w:numId w:val="6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扬声器无杂音，演示效果明显。</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手持式喇叭</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手持式，塑料制。功能：音亮调节、语音播放、音乐播放。</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玻棒(附丝绸)</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有机玻棒，教师用，外形尺寸≥φ12×300mm，附丝绸≥360×360mm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玻棒(附丝绸)</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有机玻棒(附丝绸)，学生用，应符合JY 0001－2003 《教学仪器设备产品一般质量要求》和JY 0002－2003《教学仪器设备产品的检验规则》的要求。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胶棒(附毛皮)</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教师用，或聚碳酸酯棒，外形尺寸≥φ12×300mm，附毛皮≥150×150mm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胶棒(附毛皮)</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聚碳酸酯棒(附毛皮),学生用</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箔片验电器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一对装。</w:t>
            </w:r>
          </w:p>
          <w:p>
            <w:pPr>
              <w:keepNext w:val="0"/>
              <w:keepLines w:val="0"/>
              <w:widowControl/>
              <w:numPr>
                <w:ilvl w:val="0"/>
                <w:numId w:val="7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产品由透明外壳、底座、圆盘、导电杆、箔片等组成。 </w:t>
            </w:r>
          </w:p>
          <w:p>
            <w:pPr>
              <w:keepNext w:val="0"/>
              <w:keepLines w:val="0"/>
              <w:widowControl/>
              <w:numPr>
                <w:ilvl w:val="0"/>
                <w:numId w:val="7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外壳采用透明塑料注塑成型。 </w:t>
            </w:r>
          </w:p>
          <w:p>
            <w:pPr>
              <w:keepNext w:val="0"/>
              <w:keepLines w:val="0"/>
              <w:widowControl/>
              <w:numPr>
                <w:ilvl w:val="0"/>
                <w:numId w:val="7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圆盘、导电杆用金属制成，表面镀铬处理。安装后无明显松动及歪斜现象。 </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导电杆与外壳间应有绝缘套，安装后应无明显缝隙，取下方便，不致损坏箔片。 </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箔片验电器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学生用，一对装。</w:t>
            </w:r>
          </w:p>
          <w:p>
            <w:pPr>
              <w:keepNext w:val="0"/>
              <w:keepLines w:val="0"/>
              <w:widowControl/>
              <w:numPr>
                <w:ilvl w:val="0"/>
                <w:numId w:val="7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产品由透明外壳、导电杆、圆球及箔片组成。</w:t>
            </w:r>
          </w:p>
          <w:p>
            <w:pPr>
              <w:keepNext w:val="0"/>
              <w:keepLines w:val="0"/>
              <w:widowControl/>
              <w:numPr>
                <w:ilvl w:val="0"/>
                <w:numId w:val="7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箔片成条形，片体平整，无卷曲。</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3、外壳采用透明塑料注塑成型，表面光洁明亮，无划痕。</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指针验电器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一对装。产品由底座、金属圆筒、绝缘套、金属杆、指针架、指针和接地接线柱组成。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感应起电机</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72"/>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环境温度：-10~40℃。</w:t>
            </w:r>
          </w:p>
          <w:p>
            <w:pPr>
              <w:keepNext w:val="0"/>
              <w:keepLines w:val="0"/>
              <w:widowControl/>
              <w:numPr>
                <w:ilvl w:val="0"/>
                <w:numId w:val="7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起电盘直径：235mm。</w:t>
            </w:r>
          </w:p>
          <w:p>
            <w:pPr>
              <w:keepNext w:val="0"/>
              <w:keepLines w:val="0"/>
              <w:widowControl/>
              <w:numPr>
                <w:ilvl w:val="0"/>
                <w:numId w:val="7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放电距离：在相对湿度为65%的环境中火花放电距离≥30mm。</w:t>
            </w:r>
          </w:p>
          <w:p>
            <w:pPr>
              <w:keepNext w:val="0"/>
              <w:keepLines w:val="0"/>
              <w:widowControl/>
              <w:numPr>
                <w:ilvl w:val="0"/>
                <w:numId w:val="7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本仪器由底座、莱顿瓶、支架、放电叉绝缘柄、集电杆、放电叉杆、导电层、中和电刷（感应电刷）、电刷杆、上轴及上轴螺钉、莱顿瓶盖、导电弹簧、大皮带轮、连接片组成。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枕形导体</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用于演示静电感应和感应起电。结构：二只金属制成的空心圆筒，空心圆筒外形尺寸为Φ60mm±1mm，高约68mm；一端为半球面，另一端为平口，将二只圆筒的平口对合起来，</w:t>
            </w:r>
            <w:r>
              <w:rPr>
                <w:rFonts w:hint="eastAsia" w:ascii="宋体" w:hAnsi="宋体" w:cs="宋体"/>
                <w:i w:val="0"/>
                <w:iCs w:val="0"/>
                <w:color w:val="000000"/>
                <w:kern w:val="0"/>
                <w:sz w:val="21"/>
                <w:szCs w:val="21"/>
                <w:u w:val="none"/>
                <w:lang w:val="en-US" w:eastAsia="zh-CN" w:bidi="ar"/>
              </w:rPr>
              <w:t>合成</w:t>
            </w:r>
            <w:r>
              <w:rPr>
                <w:rFonts w:hint="eastAsia" w:ascii="宋体" w:hAnsi="宋体" w:eastAsia="宋体" w:cs="宋体"/>
                <w:i w:val="0"/>
                <w:iCs w:val="0"/>
                <w:color w:val="000000"/>
                <w:kern w:val="0"/>
                <w:sz w:val="21"/>
                <w:szCs w:val="21"/>
                <w:u w:val="none"/>
                <w:lang w:val="en-US" w:eastAsia="zh-CN" w:bidi="ar"/>
              </w:rPr>
              <w:t>一个枕形导体，每只导体均有绝缘支杆及底座。支杆为有机玻璃。</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小灯座</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73"/>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由底座、电珠座，正（红）、负(黑）接线柱帽等组成；</w:t>
            </w:r>
          </w:p>
          <w:p>
            <w:pPr>
              <w:keepNext w:val="0"/>
              <w:keepLines w:val="0"/>
              <w:widowControl/>
              <w:numPr>
                <w:ilvl w:val="0"/>
                <w:numId w:val="7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底板纯新塑料制作，螺丝口由有色金属制作。</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单刀开关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74"/>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由底座，接线柱，闸刀，刀座，刀承和绝缘手柄组成。</w:t>
            </w:r>
          </w:p>
          <w:p>
            <w:pPr>
              <w:keepNext w:val="0"/>
              <w:keepLines w:val="0"/>
              <w:widowControl/>
              <w:numPr>
                <w:ilvl w:val="0"/>
                <w:numId w:val="7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底座：黑色塑料 ,工作电压不超过36V，工作电流不超过6A。</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滑动变阻器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1、20Ω，2A；</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2、产品由线绕瓷管、滑动头、滑杆、支架、接线柱等主要部件组成。有氧化膜绝缘层的铜镍合金电阻丝密绕在瓷管上。</w:t>
            </w:r>
          </w:p>
          <w:p>
            <w:pPr>
              <w:keepNext w:val="0"/>
              <w:keepLines w:val="0"/>
              <w:widowControl/>
              <w:numPr>
                <w:ilvl w:val="0"/>
                <w:numId w:val="74"/>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变阻器电阻值误差不超过±10%。</w:t>
            </w:r>
          </w:p>
          <w:p>
            <w:pPr>
              <w:keepNext w:val="0"/>
              <w:keepLines w:val="0"/>
              <w:widowControl/>
              <w:numPr>
                <w:ilvl w:val="0"/>
                <w:numId w:val="7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变阻器能在环境温度-10℃至+40℃，相对湿度不大于85%的条件下连续工作。</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滑动变阻器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1、50Ω，1.5A   </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2、电阻阻值误差≤10% </w:t>
            </w:r>
          </w:p>
          <w:p>
            <w:pPr>
              <w:keepNext w:val="0"/>
              <w:keepLines w:val="0"/>
              <w:widowControl/>
              <w:numPr>
                <w:ilvl w:val="0"/>
                <w:numId w:val="7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绝缘层耐压1.5V  </w:t>
            </w:r>
          </w:p>
          <w:p>
            <w:pPr>
              <w:keepNext w:val="0"/>
              <w:keepLines w:val="0"/>
              <w:widowControl/>
              <w:numPr>
                <w:ilvl w:val="0"/>
                <w:numId w:val="7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工作温升≤300℃  </w:t>
            </w:r>
          </w:p>
          <w:p>
            <w:pPr>
              <w:keepNext w:val="0"/>
              <w:keepLines w:val="0"/>
              <w:widowControl/>
              <w:numPr>
                <w:ilvl w:val="0"/>
                <w:numId w:val="7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绝缘电阻：≥20MΩ  </w:t>
            </w:r>
          </w:p>
          <w:p>
            <w:pPr>
              <w:keepNext w:val="0"/>
              <w:keepLines w:val="0"/>
              <w:widowControl/>
              <w:numPr>
                <w:ilvl w:val="0"/>
                <w:numId w:val="7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耐压1.5kV不出现飞弧和击穿。 </w:t>
            </w:r>
          </w:p>
          <w:p>
            <w:pPr>
              <w:keepNext w:val="0"/>
              <w:keepLines w:val="0"/>
              <w:widowControl/>
              <w:numPr>
                <w:ilvl w:val="0"/>
                <w:numId w:val="7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电接触：滑动头在滑动时电阻阻值应均匀化，不得有间断跳跃现象。   </w:t>
            </w:r>
          </w:p>
          <w:p>
            <w:pPr>
              <w:keepNext w:val="0"/>
              <w:keepLines w:val="0"/>
              <w:widowControl/>
              <w:numPr>
                <w:ilvl w:val="0"/>
                <w:numId w:val="7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触头机械压力：滑动头与电阻线、滑杆保持良好的弹性、接头应圆滑，压力均可，滑动应顺畅。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滑动变阻器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1、10Ω，3A；</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2、产品由线绕瓷管、滑动头、滑杆、支架、接线柱等主要部件组成。有氧化膜绝缘层的铜镍合金电阻丝密绕在瓷管上。</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3、变阻器电阻值误差不超过±10%。</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bidi="ar"/>
              </w:rPr>
            </w:pPr>
            <w:r>
              <w:rPr>
                <w:rFonts w:hint="eastAsia" w:ascii="宋体" w:hAnsi="宋体" w:eastAsia="宋体" w:cs="宋体"/>
                <w:i w:val="0"/>
                <w:iCs w:val="0"/>
                <w:color w:val="000000"/>
                <w:kern w:val="0"/>
                <w:sz w:val="21"/>
                <w:szCs w:val="21"/>
                <w:u w:val="none"/>
                <w:lang w:val="en-US" w:eastAsia="zh-CN" w:bidi="ar"/>
              </w:rPr>
              <w:t>4、变阻器能在环境温度-10℃至+40℃，相对湿度不大于85%的条件下连续工作。</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电阻圈</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75"/>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电阻圈用康铜丝绕制而成，通过接线柱固定于长方形塑料座中。塑料座外形尺寸为：95mm×30mm×20mm。</w:t>
            </w:r>
          </w:p>
          <w:p>
            <w:pPr>
              <w:keepNext w:val="0"/>
              <w:keepLines w:val="0"/>
              <w:widowControl/>
              <w:numPr>
                <w:ilvl w:val="0"/>
                <w:numId w:val="7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阻值：5W、10W、15W各一只。</w:t>
            </w:r>
          </w:p>
          <w:p>
            <w:pPr>
              <w:keepNext w:val="0"/>
              <w:keepLines w:val="0"/>
              <w:widowControl/>
              <w:numPr>
                <w:ilvl w:val="0"/>
                <w:numId w:val="7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总阻值误差≤±1％。</w:t>
            </w:r>
          </w:p>
          <w:p>
            <w:pPr>
              <w:keepNext w:val="0"/>
              <w:keepLines w:val="0"/>
              <w:widowControl/>
              <w:numPr>
                <w:ilvl w:val="0"/>
                <w:numId w:val="7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电阻丝表面应经过绝缘处理，线圈排列整齐。塑料座应牢固，并标明电阻圈的规格。接线柱与电阻丝要接触良好。</w:t>
            </w:r>
          </w:p>
          <w:p>
            <w:pPr>
              <w:keepNext w:val="0"/>
              <w:keepLines w:val="0"/>
              <w:widowControl/>
              <w:numPr>
                <w:ilvl w:val="0"/>
                <w:numId w:val="7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在额定电流下工作后，电阻丝无明显变形，绝缘层不得剥落，塑料座无灼焦及开裂现象。</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电阻定律演示器</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76"/>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本产品由底板及铜、铁、镍铬三种金属导线、接线柱、连接片、支撑架等组成。</w:t>
            </w:r>
          </w:p>
          <w:p>
            <w:pPr>
              <w:keepNext w:val="0"/>
              <w:keepLines w:val="0"/>
              <w:widowControl/>
              <w:numPr>
                <w:ilvl w:val="0"/>
                <w:numId w:val="7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外形尺寸： 1064×153×19mm</w:t>
            </w:r>
          </w:p>
          <w:p>
            <w:pPr>
              <w:keepNext w:val="0"/>
              <w:keepLines w:val="0"/>
              <w:widowControl/>
              <w:numPr>
                <w:ilvl w:val="0"/>
                <w:numId w:val="7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金属导线应精细均匀，在有效长度内不能有弯折、锈蚀现象。</w:t>
            </w:r>
          </w:p>
          <w:p>
            <w:pPr>
              <w:keepNext w:val="0"/>
              <w:keepLines w:val="0"/>
              <w:widowControl/>
              <w:numPr>
                <w:ilvl w:val="0"/>
                <w:numId w:val="7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金属导线、接线柱与底板装接应牢固、无松动现象。金属导线在两接线柱间的长度为1000±2mm。</w:t>
            </w:r>
          </w:p>
          <w:p>
            <w:pPr>
              <w:keepNext w:val="0"/>
              <w:keepLines w:val="0"/>
              <w:widowControl/>
              <w:numPr>
                <w:ilvl w:val="0"/>
                <w:numId w:val="7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金属导线的材质、直径在底板上应有明显的标记。</w:t>
            </w:r>
          </w:p>
          <w:p>
            <w:pPr>
              <w:keepNext w:val="0"/>
              <w:keepLines w:val="0"/>
              <w:widowControl/>
              <w:numPr>
                <w:ilvl w:val="0"/>
                <w:numId w:val="7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底板应平整无变形、表面作防护处理。</w:t>
            </w:r>
          </w:p>
          <w:p>
            <w:pPr>
              <w:keepNext w:val="0"/>
              <w:keepLines w:val="0"/>
              <w:widowControl/>
              <w:numPr>
                <w:ilvl w:val="0"/>
                <w:numId w:val="7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产品应符合JY217－87《电阻定律演示器》的要求。</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8、符合JY0001－2003《教学仪器一般质量要求》的有关规定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电阻定律实验器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77"/>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电学仪器，供中学演示金属导体电阻定律用。 </w:t>
            </w:r>
          </w:p>
          <w:p>
            <w:pPr>
              <w:keepNext w:val="0"/>
              <w:keepLines w:val="0"/>
              <w:widowControl/>
              <w:numPr>
                <w:ilvl w:val="0"/>
                <w:numId w:val="7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由塑料底板，三种金属导线 分别为：铜丝（Φ0.5mm），铁丝（Φ0.5mm），镍铬丝（Φ0.5mm）2条组成。  </w:t>
            </w:r>
          </w:p>
          <w:p>
            <w:pPr>
              <w:keepNext w:val="0"/>
              <w:keepLines w:val="0"/>
              <w:widowControl/>
              <w:numPr>
                <w:ilvl w:val="0"/>
                <w:numId w:val="7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有效长度均为500mm。    </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电阻定律实验器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由底板：喷塑钢板，规格：560mm×180mm×20mm。三种金属导线分别为：康铜（Φ0.5mm），碳钢丝（Φ0.5mm）镍铬丝（Φ0.5mm）2条。铜连接片（2个），8个6mm大接线柱组成,底板后面带支撑架。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演示电阻箱</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插头式，阻值为 1 Ω、2 Ω、2 Ω、5 Ω</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教学电阻箱</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十进多盘式，调解范围 0 Ω～9999.9 Ω</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简式电阻箱</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0～9999 Ω。</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演示线路实验板</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7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插拼式。线路板由底板4块、电池夹6个、单极开关3个、双极开关1个、灯座3个、绕线电阻（4W5欧1个、10欧2个、15欧1个、20欧1个）、接线柱座6个、空位插座1个、镍铬丝直径0.3mm的3.3米、康铜丝直径0.3mm的1.1米、铁铬丝直径0.3mm的1.1米、电珠（3.8V4只、6.2V2只）、A符插座3个、V符插座3个、吊环14个、拼接肖30个、走线插座60个、三角插板5个、压杆和压钩各2个、各种规格连接导线若干。1.底板共4块，采用塑料注塑成型。单板面积为360mm×240mm，分布96个小孔，纵横距离30mm。</w:t>
            </w:r>
          </w:p>
          <w:p>
            <w:pPr>
              <w:keepNext w:val="0"/>
              <w:keepLines w:val="0"/>
              <w:widowControl/>
              <w:numPr>
                <w:ilvl w:val="0"/>
                <w:numId w:val="7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单台包装采用彩色纸盒包装。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初中电学演示箱</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磁昅式。演示箱包括特大高清型磁吸式演示电流表（0-0.6A、0-3A，尺寸：320*330*6mm）1个；特大高清型磁吸式演示电压表（0-3A、0-15V，尺寸：320*330*6mm）1个；大型磁吸式演示电池盒（尺寸：150*35*27mm）4个；大型磁吸式演示单刀单掷开关2个；大型磁吸式演示单刀双掷开关1个；磁吸式演示滑动变阻器2个（20欧和50欧）；大型磁吸式演示灯座3个；演示用电动机模型1个；大型磁吸式定值电阻，5欧，10欧，15欧，20欧各1个；演示实验用电珠，灯泡5个2.5V；演示用鳄鱼夹导线10根；演示用电阻定律（康铜丝直径0.5mm、镍铬丝直径0.5mm和0.7mm各一根，底座尺寸：610*90*15mm）1个；发光二极管2个。铝合金教具实验箱（665mm*350mm*160mm）1个。灯座、发光二极管、定值电阻、单刀单掷、双掷的底座尺寸：115*60*15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初中电学演示箱</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插入式</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学生线路实验板</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拼接式。线路板由实验板1块、电池盒4个、单极开关3个、灯座3个、5欧电阻座2个、10欧电阻座2个、走线插座6个、小灯泡及各种规格的导线构成。</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1、实验板由ABS工程塑料制成，单板面积为360×240mm，板面上均布等间距的96个小孔。 2、包装采用彩色纸盒。</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单刀双掷开关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底座、接线柱，闸刀，刀座，双刀承和绝缘手柄组成。开关的最高工作电压36V，额定工作电流6A。底座为塑料制，尺寸：77mm×35mm×9mm。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双刀双掷开关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底座、接线柱，双闸刀，刀座，双刀承和绝缘手柄组成。开关的最高工作电压36V，额定工作电流6A。底座为塑料制，尺寸：77mm×53mm×10mm。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焦耳定律演示器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产品由贮气盒、安装面板、气门螺帽、连接软管、玻璃管、电阻、支撑脚等组成。</w:t>
            </w:r>
          </w:p>
          <w:p>
            <w:pPr>
              <w:keepNext w:val="0"/>
              <w:keepLines w:val="0"/>
              <w:widowControl/>
              <w:numPr>
                <w:ilvl w:val="0"/>
                <w:numId w:val="79"/>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安装面板外形尺寸： 290×255×5mm，面板须印上刻度标尺线十三条，条距10mm，材料为白色塑料板。</w:t>
            </w:r>
          </w:p>
          <w:p>
            <w:pPr>
              <w:keepNext w:val="0"/>
              <w:keepLines w:val="0"/>
              <w:widowControl/>
              <w:numPr>
                <w:ilvl w:val="0"/>
                <w:numId w:val="7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kern w:val="0"/>
                <w:szCs w:val="21"/>
                <w:lang w:val="en-US" w:eastAsia="zh-CN" w:bidi="ar"/>
              </w:rPr>
              <w:t>贮气盒外形尺寸： 95×95×42mm，</w:t>
            </w:r>
            <w:r>
              <w:rPr>
                <w:rFonts w:hint="eastAsia" w:ascii="宋体" w:hAnsi="宋体" w:eastAsia="宋体" w:cs="宋体"/>
                <w:i w:val="0"/>
                <w:iCs w:val="0"/>
                <w:color w:val="000000"/>
                <w:kern w:val="0"/>
                <w:sz w:val="21"/>
                <w:szCs w:val="21"/>
                <w:u w:val="none"/>
                <w:lang w:val="en-US" w:eastAsia="zh-CN" w:bidi="ar"/>
              </w:rPr>
              <w:t>由PC透明塑料制成，与面板安装后保证密封性。</w:t>
            </w:r>
          </w:p>
          <w:p>
            <w:pPr>
              <w:keepNext w:val="0"/>
              <w:keepLines w:val="0"/>
              <w:widowControl/>
              <w:numPr>
                <w:ilvl w:val="0"/>
                <w:numId w:val="7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玻璃管尺寸Ф6×4×240mm，U型。</w:t>
            </w:r>
          </w:p>
          <w:p>
            <w:pPr>
              <w:keepNext w:val="0"/>
              <w:keepLines w:val="0"/>
              <w:widowControl/>
              <w:numPr>
                <w:ilvl w:val="0"/>
                <w:numId w:val="7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连接软管外形尺寸：Ф5×4×105mm，为医用乳胶管。</w:t>
            </w:r>
          </w:p>
          <w:p>
            <w:pPr>
              <w:keepNext w:val="0"/>
              <w:keepLines w:val="0"/>
              <w:widowControl/>
              <w:numPr>
                <w:ilvl w:val="0"/>
                <w:numId w:val="7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支撑脚呈“⊥'形，长135mm，宽10mm，高147mm，脚与示教板用强夹固定，摆放平稳。</w:t>
            </w:r>
          </w:p>
          <w:p>
            <w:pPr>
              <w:keepNext w:val="0"/>
              <w:keepLines w:val="0"/>
              <w:widowControl/>
              <w:numPr>
                <w:ilvl w:val="0"/>
                <w:numId w:val="7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电阻为通电发热元件。</w:t>
            </w:r>
          </w:p>
          <w:p>
            <w:pPr>
              <w:keepNext w:val="0"/>
              <w:keepLines w:val="0"/>
              <w:widowControl/>
              <w:numPr>
                <w:ilvl w:val="0"/>
                <w:numId w:val="7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工作电压DC.6V-10V。或者AC 6V-10V 50Hz;</w:t>
            </w:r>
          </w:p>
          <w:p>
            <w:pPr>
              <w:keepNext w:val="0"/>
              <w:keepLines w:val="0"/>
              <w:widowControl/>
              <w:numPr>
                <w:ilvl w:val="0"/>
                <w:numId w:val="7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电阻阻值：R1、R2、R3分别为5Ω；R4为10Ω。</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保险丝作用演示器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符合JY0001－2003《教学仪器一般质量要求》的有关规定。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保险丝作用演示器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手提式带支脚。</w:t>
            </w:r>
          </w:p>
          <w:p>
            <w:pPr>
              <w:keepNext w:val="0"/>
              <w:keepLines w:val="0"/>
              <w:widowControl/>
              <w:numPr>
                <w:ilvl w:val="0"/>
                <w:numId w:val="8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面板尺寸；450mm×310mm。</w:t>
            </w:r>
          </w:p>
          <w:p>
            <w:pPr>
              <w:keepNext w:val="0"/>
              <w:keepLines w:val="0"/>
              <w:widowControl/>
              <w:numPr>
                <w:ilvl w:val="0"/>
                <w:numId w:val="8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面板布局合理、标志字迹清晰、插接使用方便。</w:t>
            </w:r>
          </w:p>
          <w:p>
            <w:pPr>
              <w:keepNext w:val="0"/>
              <w:keepLines w:val="0"/>
              <w:widowControl/>
              <w:numPr>
                <w:ilvl w:val="0"/>
                <w:numId w:val="8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外接电压：220V 50Hz，电流表1只。</w:t>
            </w:r>
          </w:p>
          <w:p>
            <w:pPr>
              <w:keepNext w:val="0"/>
              <w:keepLines w:val="0"/>
              <w:widowControl/>
              <w:numPr>
                <w:ilvl w:val="0"/>
                <w:numId w:val="8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应配置12V 21W灯泡1只，12V 10W灯泡1只。</w:t>
            </w:r>
          </w:p>
          <w:p>
            <w:pPr>
              <w:keepNext w:val="0"/>
              <w:keepLines w:val="0"/>
              <w:widowControl/>
              <w:numPr>
                <w:ilvl w:val="0"/>
                <w:numId w:val="8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演示直观。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玩具电动机</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带座和风扇。产品由小电机、风叶、电机固定架、支架组成。</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1、风叶、固定架、支架采用塑料注塑成型。2、小电机：使用直流电压3V。</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电子门铃</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产品由门铃、开关及连接导线组成。</w:t>
            </w:r>
          </w:p>
          <w:p>
            <w:pPr>
              <w:keepNext w:val="0"/>
              <w:keepLines w:val="0"/>
              <w:widowControl/>
              <w:numPr>
                <w:ilvl w:val="0"/>
                <w:numId w:val="8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门铃是通过开关控制，声频为音乐。</w:t>
            </w:r>
          </w:p>
          <w:p>
            <w:pPr>
              <w:keepNext w:val="0"/>
              <w:keepLines w:val="0"/>
              <w:widowControl/>
              <w:numPr>
                <w:ilvl w:val="0"/>
                <w:numId w:val="8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电源电压为直流1.5V。</w:t>
            </w:r>
          </w:p>
          <w:p>
            <w:pPr>
              <w:keepNext w:val="0"/>
              <w:keepLines w:val="0"/>
              <w:widowControl/>
              <w:numPr>
                <w:ilvl w:val="0"/>
                <w:numId w:val="8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门铃的外壳为塑料制。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条形磁铁</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D-CG-LT-180，一对装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蹄形磁铁</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D-CG-LU-80</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磁感线演示器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产品由透明有机成型盒内装细铁粉、配条形磁铁组成。透明有机成型盒外形尺寸：200mm×110mm×30mm，盒体下部一角应有释放铁粉的螺丝孔。</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立体磁感线演示器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82"/>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为组合式，主要由上盖1个，下底1个，矩形凹形片6片，矩形半圆形片1个，小软铁片。碲形磁铁1个，条形磁铁1个组成。2、上盖和下底用透明塑料制作，外形规格直径170mm,厚5mm,上下对称面分别6等分凹槽和3等分支撑点。</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3、矩形片用透明塑料制作，正面钉50个。规格195×75×2mm,钉Φ3×2mm.</w:t>
            </w:r>
          </w:p>
          <w:p>
            <w:pPr>
              <w:keepNext w:val="0"/>
              <w:keepLines w:val="0"/>
              <w:widowControl/>
              <w:numPr>
                <w:ilvl w:val="0"/>
                <w:numId w:val="8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磁铁用U084碲形磁铁和80×20×20条形磁铁，两级标示明显。</w:t>
            </w:r>
          </w:p>
          <w:p>
            <w:pPr>
              <w:keepNext w:val="0"/>
              <w:keepLines w:val="0"/>
              <w:widowControl/>
              <w:numPr>
                <w:ilvl w:val="0"/>
                <w:numId w:val="8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中心缝内可嵌入条形盒碲形磁铁。</w:t>
            </w:r>
          </w:p>
          <w:p>
            <w:pPr>
              <w:keepNext w:val="0"/>
              <w:keepLines w:val="0"/>
              <w:widowControl/>
              <w:numPr>
                <w:ilvl w:val="0"/>
                <w:numId w:val="8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组装后的立体磁感线演示器Φ175×205mm.</w:t>
            </w:r>
          </w:p>
          <w:p>
            <w:pPr>
              <w:keepNext w:val="0"/>
              <w:keepLines w:val="0"/>
              <w:widowControl/>
              <w:numPr>
                <w:ilvl w:val="0"/>
                <w:numId w:val="8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小铁片外形为菱形，安装在矩形片钉上。转动灵活，但无脱落现象。</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磁感线演示板</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numPr>
                <w:ilvl w:val="0"/>
                <w:numId w:val="83"/>
              </w:numPr>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可投影，条形、蹄形；</w:t>
            </w:r>
          </w:p>
          <w:p>
            <w:pPr>
              <w:keepNext w:val="0"/>
              <w:keepLines w:val="0"/>
              <w:widowControl/>
              <w:numPr>
                <w:ilvl w:val="0"/>
                <w:numId w:val="83"/>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由聚苯烯透明塑料板（内附铁磁针）2块，T054磁铁1对，U082磁铁1个构成；</w:t>
            </w:r>
          </w:p>
          <w:p>
            <w:pPr>
              <w:keepNext w:val="0"/>
              <w:keepLines w:val="0"/>
              <w:widowControl/>
              <w:numPr>
                <w:ilvl w:val="0"/>
                <w:numId w:val="83"/>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小磁针直径不大于1mm，在透明板孔内转动灵活。</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电流磁场演示器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产品由透明底座、方线圈、圆线圈、螺线管各一块组成。</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底座尺寸分别为：178×138×38mm一块和140×88×38mm地二块。</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方线圈（60×60mm),圆线圈（Φ35mm），螺线管（Φ55mm）采用铜线。</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菱形小磁针</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一套16个，带底座。</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翼形磁针</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84"/>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磁学仪器，供演示磁体的指向性和磁极的相互作用。</w:t>
            </w:r>
          </w:p>
          <w:p>
            <w:pPr>
              <w:keepNext w:val="0"/>
              <w:keepLines w:val="0"/>
              <w:widowControl/>
              <w:numPr>
                <w:ilvl w:val="0"/>
                <w:numId w:val="8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有垂直翼形针体和支座两部分。一对装。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演示原副线圈</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演示原副线圈由演示原线圈、演示付线圈、铁芯三部分组成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原副线圈</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85"/>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原副线圈由原线圈、副线圈、软铁芯三部分组成。</w:t>
            </w:r>
          </w:p>
          <w:p>
            <w:pPr>
              <w:keepNext w:val="0"/>
              <w:keepLines w:val="0"/>
              <w:widowControl/>
              <w:numPr>
                <w:ilvl w:val="0"/>
                <w:numId w:val="8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原付线圈骨架用黑色塑料制成，表面光洁。付线圈底座平整，直立于平面时不应晃动。</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蹄形电磁铁</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产品由U型铁芯、两个线圈和衔铁组成。</w:t>
            </w:r>
          </w:p>
          <w:p>
            <w:pPr>
              <w:keepNext w:val="0"/>
              <w:keepLines w:val="0"/>
              <w:widowControl/>
              <w:numPr>
                <w:ilvl w:val="0"/>
                <w:numId w:val="86"/>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铁芯直径11mm，两端中心距40mm，高103mm，带挂钩。</w:t>
            </w:r>
          </w:p>
          <w:p>
            <w:pPr>
              <w:keepNext w:val="0"/>
              <w:keepLines w:val="0"/>
              <w:widowControl/>
              <w:numPr>
                <w:ilvl w:val="0"/>
                <w:numId w:val="8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线圈绕线长度44mm，有绕向标志。</w:t>
            </w:r>
          </w:p>
          <w:p>
            <w:pPr>
              <w:keepNext w:val="0"/>
              <w:keepLines w:val="0"/>
              <w:widowControl/>
              <w:numPr>
                <w:ilvl w:val="0"/>
                <w:numId w:val="8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衔铁厚度2mm，带挂钩。</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电铃</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87"/>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产品为立式结构，由电磁铁、衔铁、铁铃、衬板和底座组成。</w:t>
            </w:r>
          </w:p>
          <w:p>
            <w:pPr>
              <w:keepNext w:val="0"/>
              <w:keepLines w:val="0"/>
              <w:widowControl/>
              <w:numPr>
                <w:ilvl w:val="0"/>
                <w:numId w:val="8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工作电压：直流3～6V。</w:t>
            </w:r>
          </w:p>
          <w:p>
            <w:pPr>
              <w:keepNext w:val="0"/>
              <w:keepLines w:val="0"/>
              <w:widowControl/>
              <w:numPr>
                <w:ilvl w:val="0"/>
                <w:numId w:val="8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影响效果在15米范围内铃声清晰。电磁铁线圈的直流电阻为10～20Ω。衔铁的触点为铜质。电路导线的走向应醒目整齐。铁铃采用Φ55mm国产自行车铃盖。底板应放置平稳。</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演示电磁继电器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演示用，主要由电磁系统和触点系统两部分组成。电磁系统包括：电磁线圈、铁芯、轭铁、衔铁，触点系统包括：常开、常闭触点各一对。卧式或立式吸合电流不大于48mA。金属表面电镀处理。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电磁继电器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8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电磁继电器由控制系统和电磁系统两部分组成。</w:t>
            </w:r>
          </w:p>
          <w:p>
            <w:pPr>
              <w:keepNext w:val="0"/>
              <w:keepLines w:val="0"/>
              <w:widowControl/>
              <w:numPr>
                <w:ilvl w:val="0"/>
                <w:numId w:val="8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控制系统包括：动断和动合触点各一对。</w:t>
            </w:r>
          </w:p>
          <w:p>
            <w:pPr>
              <w:keepNext w:val="0"/>
              <w:keepLines w:val="0"/>
              <w:widowControl/>
              <w:numPr>
                <w:ilvl w:val="0"/>
                <w:numId w:val="8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电磁系统包括：线圈、铁芯、支架、衔铁等。</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左右手定则演示器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89"/>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产品为组合式，由底座、撑杆、接线板、方形线圈组成；</w:t>
            </w:r>
          </w:p>
          <w:p>
            <w:pPr>
              <w:keepNext w:val="0"/>
              <w:keepLines w:val="0"/>
              <w:widowControl/>
              <w:numPr>
                <w:ilvl w:val="0"/>
                <w:numId w:val="8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底座用塑料制作，规格150×80×18mm，底部用4个橡胶脚支撑。</w:t>
            </w:r>
          </w:p>
          <w:p>
            <w:pPr>
              <w:keepNext w:val="0"/>
              <w:keepLines w:val="0"/>
              <w:widowControl/>
              <w:numPr>
                <w:ilvl w:val="0"/>
                <w:numId w:val="8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撑杆用金属制作，两端尺寸M6，长度440mm与底部安装牢固。</w:t>
            </w:r>
          </w:p>
          <w:p>
            <w:pPr>
              <w:keepNext w:val="0"/>
              <w:keepLines w:val="0"/>
              <w:widowControl/>
              <w:numPr>
                <w:ilvl w:val="0"/>
                <w:numId w:val="8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接线板用塑料制作，长度为150mm，其上安装红、黑两只接线柱。</w:t>
            </w:r>
          </w:p>
          <w:p>
            <w:pPr>
              <w:keepNext w:val="0"/>
              <w:keepLines w:val="0"/>
              <w:widowControl/>
              <w:numPr>
                <w:ilvl w:val="0"/>
                <w:numId w:val="8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方形线圈：（1）线圈框架为塑料制品，结构为正方形，内边边长63mm，其上有绕线槽。（2）线圈引线采用导线截面积0.8 mm²的多股软线，线端接线叉加套管。</w:t>
            </w:r>
          </w:p>
          <w:p>
            <w:pPr>
              <w:keepNext w:val="0"/>
              <w:keepLines w:val="0"/>
              <w:widowControl/>
              <w:numPr>
                <w:ilvl w:val="0"/>
                <w:numId w:val="8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符合JY0001－2003《教学仪器一般质量要求》的有关规定。其余应符合JY0014-90行业标准中的规定。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小型电动机实验器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符合JY0001－2003《教学仪器一般质量要求》的有关规定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手摇交直流发电机</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学仪器，供中学物理演示交直流发电机的结构和工作原理使用，可兼作小功率电源；结构：由定子、转子，电刷、转动机构、集流环（或换向器）、二极管，底板等组成。1.底板采用木制，尺寸：290mm×200mm×15mm。2.空载电压不小于8V，负载电压不小于4V。</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阴极射线管(磁效应管)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演示阴极射线在磁场内发生偏转的现象，说明阴极射线是从阴极发射出的带电微粒流；结构由泡壳、挡板、荧光板、阴极、阳极、塑料座等组成。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低频信号发生器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9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输出频率范围：20Hz～20KHz，有功率输出。</w:t>
            </w:r>
          </w:p>
          <w:p>
            <w:pPr>
              <w:keepNext w:val="0"/>
              <w:keepLines w:val="0"/>
              <w:widowControl/>
              <w:numPr>
                <w:ilvl w:val="0"/>
                <w:numId w:val="9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工作环境条件：温度 0～40℃ 相对湿度 不大于85%（40℃）。</w:t>
            </w:r>
          </w:p>
          <w:p>
            <w:pPr>
              <w:keepNext w:val="0"/>
              <w:keepLines w:val="0"/>
              <w:widowControl/>
              <w:numPr>
                <w:ilvl w:val="0"/>
                <w:numId w:val="9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 220V±22V  50Hz±2.5Hz。</w:t>
            </w:r>
          </w:p>
          <w:p>
            <w:pPr>
              <w:keepNext w:val="0"/>
              <w:keepLines w:val="0"/>
              <w:widowControl/>
              <w:numPr>
                <w:ilvl w:val="0"/>
                <w:numId w:val="9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装有保护接地端子。</w:t>
            </w:r>
          </w:p>
          <w:p>
            <w:pPr>
              <w:keepNext w:val="0"/>
              <w:keepLines w:val="0"/>
              <w:widowControl/>
              <w:numPr>
                <w:ilvl w:val="0"/>
                <w:numId w:val="9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绝缘电阻：不小于20MΩ。</w:t>
            </w:r>
          </w:p>
          <w:p>
            <w:pPr>
              <w:keepNext w:val="0"/>
              <w:keepLines w:val="0"/>
              <w:widowControl/>
              <w:numPr>
                <w:ilvl w:val="0"/>
                <w:numId w:val="9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电压试验：1.5kV（漏电流5mA），不应出现飞弧和击穿。</w:t>
            </w:r>
          </w:p>
          <w:p>
            <w:pPr>
              <w:keepNext w:val="0"/>
              <w:keepLines w:val="0"/>
              <w:widowControl/>
              <w:numPr>
                <w:ilvl w:val="0"/>
                <w:numId w:val="9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显示方式：5位、0.5寸LED。</w:t>
            </w:r>
          </w:p>
          <w:p>
            <w:pPr>
              <w:keepNext w:val="0"/>
              <w:keepLines w:val="0"/>
              <w:widowControl/>
              <w:numPr>
                <w:ilvl w:val="0"/>
                <w:numId w:val="9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正弦波输出衰减范围：0dB、20dB、40dB、功率。</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电学实验盒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符合JY0001－2003《教学仪器一般质量要求》的有关规定。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能的转化实验器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产品由底座、电机、支架、手轮、电池盒、风叶、发光二极管及开关组成。1、底座采用塑料注塑成型，2、所有组件均安装在底座上，底座上印刷线路应正确、清晰。</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磁悬浮演示器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仪器由底座，浮体组成。浮体为黑白相间，两端形状成锥体状。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光具盘</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分离型、磁吸附式。矩形光盘长≥650 mm，宽≥240 mm；圆形光盘直径≥245 mm。盘面分四个象限，以一条直径为始边，分别刻有0°～90°刻度。半导体激光光源，可显示 5条平行光。光学零件：梯形玻砖 1 件，等腰直角棱镜 1 件，半圆柱透镜 1 件，小双凹柱透镜 1 件，小双凸柱透镜 1 件，大双凸柱透镜 1 件，平面镜 1 件，凹凸柱面镜 1 件，正三棱镜 2 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凹面镜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9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用于中学物理课程光学部分实验。</w:t>
            </w:r>
          </w:p>
          <w:p>
            <w:pPr>
              <w:keepNext w:val="0"/>
              <w:keepLines w:val="0"/>
              <w:widowControl/>
              <w:numPr>
                <w:ilvl w:val="0"/>
                <w:numId w:val="9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基本配置为面镜、镜框、支架、镜座（各1个）组成。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凸面镜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92"/>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用于中学物理课程光学部分实验。</w:t>
            </w:r>
          </w:p>
          <w:p>
            <w:pPr>
              <w:keepNext w:val="0"/>
              <w:keepLines w:val="0"/>
              <w:widowControl/>
              <w:numPr>
                <w:ilvl w:val="0"/>
                <w:numId w:val="9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基本配置为面镜、镜框、支架、镜座（各1个）组成。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玻璃砖</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长方形玻璃砖。</w:t>
            </w:r>
          </w:p>
          <w:p>
            <w:pPr>
              <w:keepNext w:val="0"/>
              <w:keepLines w:val="0"/>
              <w:widowControl/>
              <w:numPr>
                <w:ilvl w:val="0"/>
                <w:numId w:val="93"/>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玻璃砖的边缘倒角按GB1204-75《光学零件的倒角》的要求进行；</w:t>
            </w:r>
          </w:p>
          <w:p>
            <w:pPr>
              <w:keepNext w:val="0"/>
              <w:keepLines w:val="0"/>
              <w:widowControl/>
              <w:numPr>
                <w:ilvl w:val="0"/>
                <w:numId w:val="9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精加工面不允许有目测划痕和砂眼，边缘不许有裂、碎、缺角。</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光具座</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平凸透镜（Φ=50mm、F=300±12mm）1件、双凸透镜（Φ=30mm、F=50±3mm）1件、毛玻璃屏带支架（80mm×118mm）1件、1字屏（80mm×105mm）1件、烛台1件、插杆5根、光源（DC6V、8W）配有Φ36mmF=50mm的双凸透镜1套、滑块4只、双凸透镜（Φ=40mm、F=100±3mm）1件、双凹透镜（Φ=30mm、F=-75±5mm）1件、白屏（80mm×105mm）1件、刻度尺1根、底座2件、导轨2根等组成。</w:t>
            </w:r>
          </w:p>
          <w:p>
            <w:pPr>
              <w:keepNext w:val="0"/>
              <w:keepLines w:val="0"/>
              <w:widowControl/>
              <w:numPr>
                <w:ilvl w:val="0"/>
                <w:numId w:val="94"/>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导轨采用不锈钢管制成，外径约16mm。</w:t>
            </w:r>
          </w:p>
          <w:p>
            <w:pPr>
              <w:keepNext w:val="0"/>
              <w:keepLines w:val="0"/>
              <w:widowControl/>
              <w:numPr>
                <w:ilvl w:val="0"/>
                <w:numId w:val="9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标尺：总长约960mm,宽为18mm；刻线长度900mm,最小刻度为1mm。</w:t>
            </w:r>
          </w:p>
          <w:p>
            <w:pPr>
              <w:keepNext w:val="0"/>
              <w:keepLines w:val="0"/>
              <w:widowControl/>
              <w:numPr>
                <w:ilvl w:val="0"/>
                <w:numId w:val="9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滑块采用ABS塑料注塑成型，滑块和支架的插杆孔中心在一条线上，指示刻线与标尺间隙约3mm。</w:t>
            </w:r>
          </w:p>
          <w:p>
            <w:pPr>
              <w:keepNext w:val="0"/>
              <w:keepLines w:val="0"/>
              <w:widowControl/>
              <w:numPr>
                <w:ilvl w:val="0"/>
                <w:numId w:val="9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插杆直径约6mm，长约75mm，表面镀铬。</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光具组</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产品由光学元件、毛玻璃屏、1字屏、白屏、烛台、底座、插杆、支架及光源组成。</w:t>
            </w:r>
          </w:p>
          <w:p>
            <w:pPr>
              <w:keepNext w:val="0"/>
              <w:keepLines w:val="0"/>
              <w:widowControl/>
              <w:numPr>
                <w:ilvl w:val="0"/>
                <w:numId w:val="95"/>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平行光源：光源用电压6-8V，功率不小于3W的灯泡。</w:t>
            </w:r>
          </w:p>
          <w:p>
            <w:pPr>
              <w:keepNext w:val="0"/>
              <w:keepLines w:val="0"/>
              <w:widowControl/>
              <w:numPr>
                <w:ilvl w:val="0"/>
                <w:numId w:val="9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透镜：F=100±2mm，Φ=40mm；F=50±2mm，Φ=30mm；F=300±12mm，Φ=50mm；F=-75±4.5mm，Φ=30mm。</w:t>
            </w:r>
          </w:p>
          <w:p>
            <w:pPr>
              <w:keepNext w:val="0"/>
              <w:keepLines w:val="0"/>
              <w:widowControl/>
              <w:numPr>
                <w:ilvl w:val="0"/>
                <w:numId w:val="9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底座4只为塑料制品，底座上应有锁紧螺丝、可使插杆上下移动。</w:t>
            </w:r>
          </w:p>
          <w:p>
            <w:pPr>
              <w:keepNext w:val="0"/>
              <w:keepLines w:val="0"/>
              <w:widowControl/>
              <w:numPr>
                <w:ilvl w:val="0"/>
                <w:numId w:val="9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插杆为金属制5根，表面电镀处理，直径6mm，长75mm，一端为连接丝杆为M4。</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三棱镜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1、产品由三棱镜、托架、支柱、底座等组成。</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2、应符合JY142-82《三棱镜》》的有关规定。</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3、符合JY0001－2003《教学仪器一般质量要求》的有关规定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白光的色散与合成演示器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96"/>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由棱镜、棱镜台、白屏、支杆及光源等组成。</w:t>
            </w:r>
          </w:p>
          <w:p>
            <w:pPr>
              <w:keepNext w:val="0"/>
              <w:keepLines w:val="0"/>
              <w:widowControl/>
              <w:numPr>
                <w:ilvl w:val="0"/>
                <w:numId w:val="96"/>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棱镜为重量火石玻璃，顶角为60°。</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3、光源额定电压为6-8V。</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透镜及其应用实验器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产品由凸透镜、凹透镜、支架和底座组成。</w:t>
            </w:r>
          </w:p>
          <w:p>
            <w:pPr>
              <w:keepNext w:val="0"/>
              <w:keepLines w:val="0"/>
              <w:widowControl/>
              <w:numPr>
                <w:ilvl w:val="0"/>
                <w:numId w:val="97"/>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凹凸透镜直径42mm。</w:t>
            </w:r>
          </w:p>
          <w:p>
            <w:pPr>
              <w:keepNext w:val="0"/>
              <w:keepLines w:val="0"/>
              <w:widowControl/>
              <w:numPr>
                <w:ilvl w:val="0"/>
                <w:numId w:val="9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塑料框架及支杆，支杆直径10mm、长42mm。</w:t>
            </w:r>
          </w:p>
          <w:p>
            <w:pPr>
              <w:keepNext w:val="0"/>
              <w:keepLines w:val="0"/>
              <w:widowControl/>
              <w:numPr>
                <w:ilvl w:val="0"/>
                <w:numId w:val="9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塑料底座直径55mm。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平面镜成像实验器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由平面镜1个、平面镜支架1对、带刻度三角尺、像物2个组成。平面镜尺寸约：120mm×80mm，厚度4mm。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5"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光的传播、反射、折射实验器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9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产品为组装式，主要由Z型玻璃棒，平面镜、水槽、圆形角度盘、激光笔、磁吸、激光笔套筒、支架组成；</w:t>
            </w:r>
          </w:p>
          <w:p>
            <w:pPr>
              <w:keepNext w:val="0"/>
              <w:keepLines w:val="0"/>
              <w:widowControl/>
              <w:numPr>
                <w:ilvl w:val="0"/>
                <w:numId w:val="9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Z型玻璃棒用透明玻璃制作，规则直径5mm,j尖点为球状。表面光洁，无气泡、毛刺现象。长度120mm；</w:t>
            </w:r>
          </w:p>
          <w:p>
            <w:pPr>
              <w:keepNext w:val="0"/>
              <w:keepLines w:val="0"/>
              <w:widowControl/>
              <w:numPr>
                <w:ilvl w:val="0"/>
                <w:numId w:val="9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平面镜用PVC镀膜镜，尺寸94×20×1mm，表面无划痕，气泡现象；</w:t>
            </w:r>
          </w:p>
          <w:p>
            <w:pPr>
              <w:keepNext w:val="0"/>
              <w:keepLines w:val="0"/>
              <w:widowControl/>
              <w:numPr>
                <w:ilvl w:val="0"/>
                <w:numId w:val="9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水槽用透明塑料制作，外形状形成平圆形，直径90mm,厚度19mm,双边突出部位与角度盘配合良好；</w:t>
            </w:r>
          </w:p>
          <w:p>
            <w:pPr>
              <w:keepNext w:val="0"/>
              <w:keepLines w:val="0"/>
              <w:widowControl/>
              <w:numPr>
                <w:ilvl w:val="0"/>
                <w:numId w:val="9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圆形度盘用白色塑料制作，直径98×1.5mm,表面都有0～90°刻线和安装水槽，平面镜的支架；</w:t>
            </w:r>
          </w:p>
          <w:p>
            <w:pPr>
              <w:keepNext w:val="0"/>
              <w:keepLines w:val="0"/>
              <w:widowControl/>
              <w:numPr>
                <w:ilvl w:val="0"/>
                <w:numId w:val="9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激光笔和激光笔磁吸套筒配合良好，套筒顶端装有光束镜，一面装有磁铁块；</w:t>
            </w:r>
          </w:p>
          <w:p>
            <w:pPr>
              <w:keepNext w:val="0"/>
              <w:keepLines w:val="0"/>
              <w:widowControl/>
              <w:numPr>
                <w:ilvl w:val="0"/>
                <w:numId w:val="9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支架选用金属冷冲成型制作，尺寸150×54×160mm.厚度1.2mm,表面喷漆防锈处理；</w:t>
            </w:r>
          </w:p>
          <w:p>
            <w:pPr>
              <w:keepNext w:val="0"/>
              <w:keepLines w:val="0"/>
              <w:widowControl/>
              <w:numPr>
                <w:ilvl w:val="0"/>
                <w:numId w:val="9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组装后摆放平稳，光源转动，可停留任何位置。</w:t>
            </w:r>
          </w:p>
          <w:p>
            <w:pPr>
              <w:keepNext w:val="0"/>
              <w:keepLines w:val="0"/>
              <w:widowControl/>
              <w:numPr>
                <w:ilvl w:val="0"/>
                <w:numId w:val="9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塑料产品选用ABS，及聚丙稀全新塑料注塑而成，无毒、环保、性能好。</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激光笔</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1、产品由塑胶笔身和激光头、钮扣电池组成。2、使用范围7-15m，波长650 nm。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光的三原色合成实验器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numPr>
                <w:ilvl w:val="0"/>
                <w:numId w:val="99"/>
              </w:numPr>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主体用塑料制作；</w:t>
            </w:r>
          </w:p>
          <w:p>
            <w:pPr>
              <w:keepNext w:val="0"/>
              <w:keepLines w:val="0"/>
              <w:widowControl/>
              <w:numPr>
                <w:ilvl w:val="0"/>
                <w:numId w:val="99"/>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光源为红、绿、蓝超亮发光二极管，DC6V，工作电0.3A；</w:t>
            </w:r>
          </w:p>
          <w:p>
            <w:pPr>
              <w:keepNext w:val="0"/>
              <w:keepLines w:val="0"/>
              <w:widowControl/>
              <w:numPr>
                <w:ilvl w:val="0"/>
                <w:numId w:val="99"/>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集成电路中，由发光二极管，红、绿、蓝亮度调节旋钮，稳压电阻，红、绿、蓝控制开关，可任意关闭和开启所需的发光二极管；</w:t>
            </w:r>
          </w:p>
          <w:p>
            <w:pPr>
              <w:keepNext w:val="0"/>
              <w:keepLines w:val="0"/>
              <w:widowControl/>
              <w:numPr>
                <w:ilvl w:val="0"/>
                <w:numId w:val="99"/>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主体内可安装4节5号干电池，接线装置导线可外接电源使用。</w:t>
            </w:r>
          </w:p>
          <w:p>
            <w:pPr>
              <w:keepNext w:val="0"/>
              <w:keepLines w:val="0"/>
              <w:widowControl/>
              <w:numPr>
                <w:ilvl w:val="0"/>
                <w:numId w:val="99"/>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其余按JY0310《白光的色散与合成演示器》技术要求执行。</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手持直视分光镜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分光镜采用光学玻璃，制成复合棱镜和会聚透镜，将平行光管与棱镜装在一个套管内，镀铬狭缝与会聚透镜产生的平行光束，通过棱镜，可用眼直接观察色散光谱。利用它可以对各种发光体的光谱进行分析。主要部件：1.保护片 2.单缝 3.透镜 4.组合棱镜 5.保护片。</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抽水机模型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1、吸取式抽水机模型由支架、缸筒、活塞、活塞环（密封圈）、连杆、进水阀、出水阀、进水管、出水嘴、缸盖、立柱、压杆、手柄和水槽组成。</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2、立柱、缸盖、压杆采用金属制成，表面防锈处理。</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3、缸筒、进水阀、出水阀、出水管用透明塑料制成，</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4、安装稳固，密封；结构原理直观，实验效果明显。</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离心水泵模型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1、仪器为齿轮式，由泵体、叶轮、机轴、吸水口、出水口、排水口、手轮、齿轮、手柄组成。</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2、扬水和吸水高度均不小于0.6米。</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3、泵体表面经防锈处理，泵体轴孔应密封不漏水。</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4、叶轮应该转动灵活，无跳动卡滞现象。</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液压机模型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产品由大缸体、小缸体、角式截气阀、底座、压力表和压力弹簧等构成。</w:t>
            </w:r>
          </w:p>
          <w:p>
            <w:pPr>
              <w:keepNext w:val="0"/>
              <w:keepLines w:val="0"/>
              <w:widowControl/>
              <w:numPr>
                <w:ilvl w:val="0"/>
                <w:numId w:val="10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大小活塞为透明材料；</w:t>
            </w:r>
          </w:p>
          <w:p>
            <w:pPr>
              <w:keepNext w:val="0"/>
              <w:keepLines w:val="0"/>
              <w:widowControl/>
              <w:numPr>
                <w:ilvl w:val="0"/>
                <w:numId w:val="10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底座为塑料注塑成型。</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水轮机模型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产品由水槽、导水槽、套管、传动轴、传动轮、叶轮、橡皮塞、支脚等组成。</w:t>
            </w:r>
          </w:p>
          <w:p>
            <w:pPr>
              <w:keepNext w:val="0"/>
              <w:keepLines w:val="0"/>
              <w:widowControl/>
              <w:numPr>
                <w:ilvl w:val="0"/>
                <w:numId w:val="10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水槽为透明塑料注塑成型，为台阶式；</w:t>
            </w:r>
          </w:p>
          <w:p>
            <w:pPr>
              <w:keepNext w:val="0"/>
              <w:keepLines w:val="0"/>
              <w:widowControl/>
              <w:numPr>
                <w:ilvl w:val="0"/>
                <w:numId w:val="10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各部件比例适当，位置正确，连接牢固。叶轮转动灵活，无跳动卡滞现象。</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汽油机模型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由塑料制成，由进气管、进气阀、排气管、排气阀、气缸、活塞、连杆、曲轴、火花塞、齿轮组、主动轮、挺杆等组成，外壳剖开，能看清内部结构。模型各部件比例适当，位置正确，联接牢固，工作可靠，原理正确。模型能直观地演示出吸气过程、压缩过程、做功过程及排气过程，在做功冲程时活塞到达上止点时，演示火花点火的灯泡应发光，点火完成后灯熄灭。</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柴油机模型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塑料制成，由进气管、进气阀、排气管、排气阀、气缸、活塞、连杆、曲轴、喷油嘴、油针、齿轮、凸轮总成、手柄齿轮、介轮、挺杆等组成 ，外壳剖开，能看清内部结构。各部件比例适当，位置正确，联接牢固，工作可靠，原理正确。模型能直观地演示出吸气过程、压缩过程、做功过程及排气过程，在做功冲程时，油针应开启。</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磁分子模型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符合JY0001－2003《教学仪器一般质量要求》的有关规定。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电机模型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立式结构,即转子的转轴为竖直方向。产品由集流环、电刷、电刷架、接线柱、U型支架、电枢、摇手、转轴、指示灯、开关、磁铁、上盖板、电路板等组成。</w:t>
            </w:r>
          </w:p>
          <w:p>
            <w:pPr>
              <w:keepNext w:val="0"/>
              <w:keepLines w:val="0"/>
              <w:widowControl/>
              <w:numPr>
                <w:ilvl w:val="0"/>
                <w:numId w:val="102"/>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起动电压4V。</w:t>
            </w:r>
          </w:p>
          <w:p>
            <w:pPr>
              <w:keepNext w:val="0"/>
              <w:keepLines w:val="0"/>
              <w:widowControl/>
              <w:numPr>
                <w:ilvl w:val="0"/>
                <w:numId w:val="10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U型支架为塑料制。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能量守恒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幅数2幅，对开开本,纸张规格不低于128g铜版纸，印刷符合GB/T 7705-2008  《平版装潢印刷品》的要求。符合新课标教学的要求。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能源与可持续发展</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幅数3幅，对开开本,纸张规格不低于128g铜版纸，印刷符合GB/T 7705-2008  《平版装潢印刷品》的要求。符合新课标教学的要求。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量杯</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Φ15mm×150mm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Φ30mm×200mm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圆、长，500mL   </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平、长，250mL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酒精灯</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150mL含灯芯</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漏斗</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平底管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Φ12mm×150mm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T形管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玻璃 </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可密封长玻璃管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内径10mm×800mm，有胶塞，带刻度衬板</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镊子</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不锈钢或不锈铁，小号125mm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石棉网</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由金属网和附在网上的石棉组成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Φ7～Φ8mm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乳胶管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60m/kg，乳胶制品</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蒸发皿</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 瓷，Φ60-75mm，附中铁圈。</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 皿口内径：Φ60mm±2mm；皿高约为外径的1/2。</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3、白色无杂色。</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电工材料</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鳄鱼夹，插口夹,香蕉夹，电阻丝，导线等</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甲电池</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供物理分组实验用，1.6V，接线柱为铜质</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1号电池</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每组2个</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电珠(小灯泡)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2.5V或3.8V</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测电笔</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80-500V</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一字螺丝刀</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中号，木制手柄，长度为160mm。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十字螺丝刀</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中号，木制手柄，长度为160mm。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尖咀钳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中号，其他符合执行QB/T 2442.3标准。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电工刀</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规格3#，符合SG177的标准要求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手摇钻</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手持式</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木锉</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规格：长200mm。形式为手柄及锥形锉体。</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木工锯</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规格350mm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木工锤</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0.25kg,羊角锤。手柄长250mm。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铇</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木工用,宽约45mm,木壳长不小于150mm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斧</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规格约1kg，木工斧</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钢手锯</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钢锯架，规格300mm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剥线钳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规格160mm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钢丝钳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中号，长度160mm，高碳钢精工锻造，镀镍处理，刃口感应淬火，剪切力强，双色防滑手柄，加弹簧片。</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手锤</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木制手柄。长度为：250mm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錾子</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平口錾，钢制，口宽12mm，錾体长100mm，手柄长100mm。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锉刀</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平面锉刀，由锉体及手柄构成，锉体尺寸：150mm×15mm×3mm，两面交叉斜齿。手柄长80mm。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三角锉刀</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三欠锉刀，由锉体及手柄构成，锉体尺寸：150mm×6mm，三面斜齿。手柄长80mm。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什锦锉</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铁制品</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活扳手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6英寸</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手剪</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由剪口和手柄组成，剪口长度180mm，钢制。手柄长200mm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直角尺</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钳工工具</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高度游标卡尺</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0-200</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电烙铁</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50W或60W，20W</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平口钳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80mm，台钻上用</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手电钻</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Φ1～Φ10mm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钻头</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Φ1～Φ13mm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投影片绘制工具</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投影片绘制工具由12色油性彩色画笔、塑料三角板、塑料量角器及塑料直尺组成。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工作服</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纯白色，由布料制成，防酸。</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护目镜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用于实验教师防强光、眩光、紫外线、激光或是机械性伤害(机加工)</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保护手套</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线保护手套</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物理仪器准备室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61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教师演示讲台</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 2400*700*850mm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1、采用国内≥13mm厚优抗板台面，四周边加厚至26mm。各项性能满足或优于如下要求：</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▲2、台面按国家标准GB/T 17657-2022进行检测，需满足以下性能：耐高温性能：表面无裂纹；表面耐水蒸气：5级 无变化, 表面耐干热性能：5级 无明显变化，表面耐湿热性能：5级 无明显变化；耐臭氧（72h）；外观无明显变化；24h吸水率: ≤0.2%；尺寸稳定性: 横向和纵向均≤ 0.05%；漆膜硬度&gt;9H；抗冲击性能：冲击高度≥1m，压痕直径≤4.9mm；静曲强度≥137；弹性模量≥9890；抗拉强度≥76；顺纹抗压强度≥176；板面握螺钉力≥4150N；负荷变形温度＞200℃；漆膜附着力：六级：切割边缘完全平滑，网格内无脱落；表面耐磨性能：≥1510r，未出现磨损；体积电阻≤3.1*1012；表面电阻≤4.7*1012；【投标人或产品制造商需提供优抗板有效期内第三方检测机构出具的具有CMA或CNAS标识的检测报告并提供检测报告在全国认证认可信息公共服务平台网站 (http://cx.cnca.cn/)的查询结果截图证明；报告需体现上述对应参数所有内容的检测结果，缺项不得分，原件备查】</w:t>
            </w:r>
            <w:r>
              <w:rPr>
                <w:rFonts w:hint="eastAsia" w:ascii="宋体" w:hAnsi="宋体" w:eastAsia="宋体" w:cs="宋体"/>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b/>
                <w:bCs/>
                <w:i w:val="0"/>
                <w:iCs w:val="0"/>
                <w:color w:val="FF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▲3、台面检测依据 GB/T 39600-2021标准，甲醛释放量≤0.008mg/m³，满足技术要求E0级；【投标人或产品制造商需提供优抗板有效期内第三方检测机构出具的具有CMA或CNAS标识的检测报告并提供检测报告在全国认证认可信息公共服务平台网站 (http://cx.cnca.cn/)的查询结果截图证明；报告需体现上述对应参数所有内容的检测结果，缺项不得分，原件备查】。</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▲4、台面按照GB/T 17657-2022标准对正反两面进行耐污染物检验，其中硫酸（98%）、77%硫酸、硝酸（65%）、乙醇(99%)、40%氢氟酸、双氧水(3%)、无水乙醇、水杨酸、碘伏、亚甲基蓝(5%)、乙腈、无水甲醇、正己烷、三氯乙酸等不少于138种溶液或试剂检验结果达到5级并无明显变化；【投标人或产品制造商需提供优抗板有效期内第三方检测机构出具的具有CMA或CNAS标识的检测报告并提供检测报告在全国认证认可信息公共服务平台网站 (http://cx.cnca.cn/)的查询结果截图证明；报告需体现上述对应参数所有内容的检测结果，缺项不得分，原件备查】</w:t>
            </w:r>
            <w:r>
              <w:rPr>
                <w:rFonts w:hint="eastAsia" w:ascii="宋体" w:hAnsi="宋体" w:eastAsia="宋体" w:cs="宋体"/>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b/>
                <w:bCs/>
                <w:i w:val="0"/>
                <w:iCs w:val="0"/>
                <w:color w:val="FF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▲5、化学物排放：提供参照ISO16000-9-2006《室内空气 第9部分：来自建筑产品和家具的挥发性有机化合物排放的测定 排放试验室法》检验标准，结果达到TVOC 浓度≤0.05mg/(m²*h)，苯、甲苯、二甲苯≤0.006mg/(m²*h)；【投标人或产品制造商需提供优抗板有效期内第三方检测机构出具的具有CMA或CNAS标识的检测报告并提供检测报告在全国认证认可信息公共服务平台网站 (http://cx.cnca.cn/)的查询结果截图证明；报告需体现上述对应参数所有内容的检测结果，缺项不得分，原件备查】。</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6、桌身：采用0.8mm镀锌钢板，CO2保护焊焊接，经过磷化、酸洗、除油、除锈、处理后再经过经高温固化成光滑表面。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 滑轨：采用品牌三节静音滑轨；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 铰链：采用具注塑成型，开合达10万次以上不变形。</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 脚垫：采用高密度ABS工程塑料，模具注塑成型，并装有螺旋螺丝，上可连接桌脚，下可连接地面，使设备寿命延长。</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教师转椅</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规格：500*500*800mm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xml:space="preserve">                                         1、椅面/椅背选用网布面料；</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2、PP扶手；</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3、底座：电镀钢铁支架，气动升降；</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4、配件：采用螺丝五金配件。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三联高低位龙头</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一高二低水嘴，管体部份为黄铜合金制，陶瓷阀芯，表面经环氧树脂静电喷涂处理，耐酸碱腐蚀。出水嘴为铜质瓷芯尖嘴型，可拆卸清洗阻塞。</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学生化验专用水槽</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规格：440*325*300mm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采用实验室专用高密度PP一体化成型水槽，易清洁，耐腐蚀，利于台面残水自然回流；具耐酸碱、耐有机溶剂、耐紫外线等特点。</w:t>
            </w:r>
          </w:p>
        </w:tc>
        <w:tc>
          <w:tcPr>
            <w:tcW w:w="5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紧急洗眼器</w:t>
            </w:r>
          </w:p>
        </w:tc>
        <w:tc>
          <w:tcPr>
            <w:tcW w:w="45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单面洗眼器，在实验的过程中如化学试剂或有机物质喷溅入眼睛，可以紧急使用洗眼器进行冲洗</w:t>
            </w:r>
            <w:r>
              <w:rPr>
                <w:rFonts w:hint="eastAsia" w:ascii="宋体" w:hAnsi="宋体" w:cs="宋体"/>
                <w:i w:val="0"/>
                <w:iCs w:val="0"/>
                <w:color w:val="000000"/>
                <w:kern w:val="0"/>
                <w:sz w:val="21"/>
                <w:szCs w:val="21"/>
                <w:u w:val="none"/>
                <w:lang w:val="en-US" w:eastAsia="zh-CN" w:bidi="ar"/>
              </w:rPr>
              <w:t>。</w:t>
            </w:r>
          </w:p>
        </w:tc>
        <w:tc>
          <w:tcPr>
            <w:tcW w:w="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化学学生实验桌</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规格：1200*600*780mm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1、台面采用20mm厚实验室专用工业陶瓷台面板，检测内容如下：</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▲2、台面陶瓷板耐光色牢度性能依据GB/T 17657-2022标准检测，耐光色牢度检测结果为4-5级的检测报告。</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【投标人或产品制造商需提供陶瓷板有效期内第三方检测机构出具的具有CMA或CNAS标识的检测报告并提供检测报告在全国认证认可信息公共服务平台网站 (http://cx.cnca.cn/)的查询结果截图证明；报告需体现上述对应参数所有内容的检测结果，缺项不得分，原件备查】</w:t>
            </w:r>
            <w:r>
              <w:rPr>
                <w:rFonts w:hint="eastAsia" w:ascii="宋体" w:hAnsi="宋体" w:eastAsia="宋体" w:cs="宋体"/>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▲3、台面陶瓷板耐高温依据GB/T 17657-2022标准检测，检测结果为表面无裂纹的检测报告。</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【投标人或产品制造商需提供陶瓷板有效期内第三方检测机构出具的具有CMA或CNAS标识的检测报告并提供检测报告在全国认证认可信息公共服务平台网站 (http://cx.cnca.cn/)的查询结果截图证明；报告需体现上述对应参数所有内容的检测结果，缺项不得分，原件备查】</w:t>
            </w:r>
            <w:r>
              <w:rPr>
                <w:rFonts w:hint="eastAsia" w:ascii="宋体" w:hAnsi="宋体" w:eastAsia="宋体" w:cs="宋体"/>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▲4、台面陶瓷板表面耐冷热循环性能依据GB/T 17657-2022标准检测，检测结果为表面无裂纹、鼓泡等现象的检测报告。【投标人或产品制造商需提供陶瓷板有效期内第三方检测机构出具的具有CMA或CNAS标识的检测报告并提供检测报告在全国认证认可信息公共服务平台网站 (http://cx.cnca.cn/)的查询结果截图证明；报告需体现上述对应参数所有内容的检测结果，缺项不得分，原件备查】</w:t>
            </w:r>
            <w:r>
              <w:rPr>
                <w:rFonts w:hint="eastAsia" w:ascii="宋体" w:hAnsi="宋体" w:eastAsia="宋体" w:cs="宋体"/>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▲5、台面陶瓷板耐划痕性能依据GB/T 17657-2022标准检测，耐划痕检测结果为2级的检测报告。【投标人或产品制造商需提供陶瓷板有效期内第三方检测机构出具的具有CMA或CNAS标识的检测报告并提供检测报告在全国认证认可信息公共服务平台网站 (http://cx.cnca.cn/)的查询结果截图证明；报告需体现上述对应参数所有内容的检测结果，缺项不得分，原件备查】</w:t>
            </w:r>
            <w:r>
              <w:rPr>
                <w:rFonts w:hint="eastAsia" w:ascii="宋体" w:hAnsi="宋体" w:eastAsia="宋体" w:cs="宋体"/>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结构：新型塑铝结构，整体桌脚呈Z字造型。学生位镂空式，符合人体工程学设计。书包斗采用整体ABS工程塑料一次性注塑成型，规格420*255*165，中间设挂凳卡；两个书包斗中间设有一个翻盖式电源盒，采用ABS工程塑料注塑成型，耐老化不导电。</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桌脚采用三段式高强度铝合金结构，整体规格570*760，左右两边配有装饰彩带，中立柱采用96mm*46*1.5mm厚承重型铝合金型材，采用倾斜式设计。上下脚采用铝合金一次压铸成型，上脚规格：长570*宽51*高116mm，下脚规格：长556*宽67*高112mm，上下脚的壁厚≥2.5mm，连接处壁厚加强至4mm;采用4个高强度螺丝连接；上脚后部装有支撑杆，支撑杆采用铝合金压铸成型，规格不小于25*25*240mm，使整体结构更稳固。下桌架设有专用孔位与地面固定，可以安装调整脚，并配有跟台面同色ABS脚套装饰盖。易碰撞处全部采用倒圆角，产品款式要求整体设计、合理、安全、牢固。</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8、桌脚间通过4条专用铝合金型材连接，上方三条铝合金型材中前后两条横梁为40*40mm 1/4圆形铝合金型材用高强度螺丝连接，中间一条为45*20mm方形铝合金型材；桌子下部一条横梁为89*14mm铝合金型材，用高强度螺丝固定在两侧桌脚的立柱上，易碰撞处全部采用倒圆角，产品款式要求整体设计合理、安全、牢固。</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边台柜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规格：2000*500*780mm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1、台面：一体化台面，采用12.7mm厚防静电、防水、防火、耐刮、耐磨、抗击耐酸碱的实芯理化板,四周边加厚至25.4mm。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2、桌身：采用1.0mm镀锌钢板，CO2保护焊焊接，经过磷化、酸洗、除油、除锈、处理后再经过经高温固化成光滑表面。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3、滑轨：采用三节静音滑轨；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4、铰链：采用具注塑成型，开合达10万次以上不变形。</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5、脚垫：采用高密度ABS工程塑料，模具注塑成型，并装有螺旋螺丝，上可连接桌脚，下可连接地面。</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7"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边台柜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规格：1580*500*780mm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1、台面：一体化台面，采用12.7mm厚防静电、防水、防火、耐刮、耐磨、抗击耐酸碱的实芯理化板,四周边加厚至25.4mm。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2、桌身：采用1.0mm镀锌钢板，CO2保护焊焊接，经过磷化、酸洗、除油、除锈、处理后再经过经高温固化成光滑表面。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3、滑轨：采用三节静音滑轨；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 铰链：采用具注塑成型，开合达10万次以上不变形。</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5、脚垫：采用高密度ABS工程塑料，模具注塑成型，并装有螺旋螺丝，上可连接桌脚，下可连接地面。</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多功能柱</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功能柱规格：长355*宽210*高760mm，采用ABS塑料一次注塑成型，功能柱正面设有ABS注塑成型的的检修门，并配有专用锁具,方便安装和日后维修。</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多功能集成系统水槽                                                                                                                                                                                        </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规格：500*600*1050mm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1、结构特点：水槽滴水架、柜体、下柜三段组合式结构。水槽面部下沉式构造，台面设预留安装紧急洗眼器余位口、配洗手液瓶，三联水嘴，水槽内部设一个防溢水口，底部有滤网，柜体左右两侧设把手位。</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2、水槽和滴水架注塑模具一次成型无缝链接，采用环保型PP改性材料，无臭无毒、耐强酸碱，设滴水架正面含八条试管位，滴水架顶部面上有一个给、排水、电源快速接头带防尘盖收纳盒。</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3、水槽内配有阶梯型304不锈钢溢水板，使废水无法沿着台面侵蚀柜体。</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4、柜体材料采用环保型ABS工程塑料注塑成型，柜体后面和下柜后面设两扇检修门，推拉挂锁设计。</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5、下柜部箱体采用ABS工程塑料磨具一次成型，耐酸碱。底部装有脚垫。</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三联“L”型化验水嘴</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1、结构：插壁式接水，L型三联(一高二低）带有三个陶瓷阀芯，ABS手柄，鹅颈管可360°随意旋转。                                                                                                                                                                                          2、材质：主体黄铜材质，表面经高亮度环氧树脂喷涂，耐腐蚀，耐热                                                                                                                                                        3、规格：≤245㎜×145㎜×375㎜，鹅颈、低位铜管φ16mm。</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教师演示电源</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1、教师端主控，主机采用铁制机箱，机械抽屉式。控制显示采用7寸液晶真彩触摸屏和数据显示一体化。</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2、具备1个220V国标五孔交流电源输出插座。</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3、系统具备漏电保护功能。</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4、通过教师控制界面可设置直流0-30V分辨率0.1V，交流1-30V分辨率1V，具备过载保护。</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学生安全电源</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1、ABS翻转式电源盒，书包盒中间，便于实验和安装。</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2、学生电源采用耐磨、耐腐蚀、耐高温（≤140℃）的PC磨砂薄膜面板，学生电源的控制采用电容触摸数字键盘，微电脑控制，数字显示电源电压。</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3、学生交流电源通过数字键盘直接选取1～30V电压，最小调节单元可达1V,额定电流2A，具有过载保护智能检测功能。</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4、学生直流电源也是通过数字键盘直接选取，调节范围为1.5～30V，分辨率可达0.1V,额定电流2A，具有过载保护智能检测功能。</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5、学生低压电源都可接收老师发送的锁定信号，在锁定指示灯点亮后，学生只能接收老师输送的设定电源电压，学生自己无法操作，可避免学生的误操作，如老师没有送锁定信号，学生可随意操作。</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6、220V交流输出为带安全门的五孔新国标插座。</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规格：Φ320*450-500mm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1、凳脚材质:4个凳脚采用20*40*1.8MM椭圆形无缝钢管模具一次成型,全圆满焊完成,结构牢固,经高温粉体烤漆处理,长时间使用也不会产生表面烤漆剥落现象。</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2、凳脚弧度:上部凳脚弧度66°,下部凳脚弧度24°。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3、方形托盘厚度3MM边长160*160MM4.凳面:凳面直径320MM采用环保型PP改性塑料注塑成型;表面细纹咬花,防滑不发光。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4、脚垫:采用PP加耐磨纤维质塑料,实心倒勾式一体射出成型。  </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5、凳子可螺旋升降,升降到一定高度后要有固定不旋转装置并且升到最高时凳面不可脱落。</w:t>
            </w:r>
          </w:p>
        </w:tc>
        <w:tc>
          <w:tcPr>
            <w:tcW w:w="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网口</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网络接口，220V/10A市电输出，电源受教师台控制。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实验室强弱供电系统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学生220V交流电，采用 2.5mm²，电线进行系统布线含波纹管。</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实验室给排水系统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每个学生实验桌位和教师讲台位包含φ20截止阀，水管热熔连接、给水：304不锈钢软管φ20长度80cm、排水：EVA软管φ50长度80cm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万向</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吸风罩</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1、关节：高密度PP材质，可360°旋转调节方向。</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2、关节密封圈：不易老化之高密度橡胶。</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3、关节连接杆：304不锈钢。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4、关节松紧选钮：高密度PP材质，内嵌不锈钢轴承，与关节连接杆锁合。</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5、气流调节阀：手动调节外部阀门旋钮。</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6、拱形集气罩：直径375mm，高密度PP制成。</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7、伸缩导管：直径75mmPP。</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8、固定底座：高密度PVC材质，非粘接而成，模具注塑一体成型。</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实验室</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通风机</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1、通风机结构：PP蜗牛式离心风机。</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2、电机配用：5.5KW4P变频电机；380V。</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3、工作时：风量6677一12017m3/h，全压1139一724Pa。</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4、换气次数：实验室换气次数可达20次以上/H。</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5、风速：吸风口管壁风速可达11米以上/S；吸风罩风速&gt;7M/S。</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6、噪音：系统运行时室内噪音≤50dB（A）。</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废气活性炭箱</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活性炭吸附层装置：</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吸附层采用双层防水活性炭进行废气颗粒吸附，规格：1300mm×1000mm×1300mm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。(长宽高含支腿), 活性炭可填最大量:160块, 活性炭规格:100*100*100,PP板材厚度:8mm, 进出风口:400mm具有吸附容量大、吸附速度快，且具有良好的耐热、耐酸、耐碱，成型性好。废气在风机的作用下自进风口进入活性炭吸附板装置，利用活性炭的吸附能力，使废气与大表面的多孔性固体物质相接触，废气中的污染物被吸附在固体表面上，使其与气体混合物分离，达到净化目的。</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通风管道</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室内通风管道：选用耐酸碱腐蚀、防污染、抗高压的PP塑料专用、管道φ400PP管，φ200，φ160，φ110。</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进出口</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柔性申缩</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柔性材质，通风机与消声器的连接。</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通风管道管件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风机管道室内φ400管、φ110外管弯头，三通、直通、补心分别φ400、φ200、φ110、PP管材料，抱箍等角铁，不锈钢扁铁。</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阻尼减振器</w:t>
            </w:r>
          </w:p>
        </w:tc>
        <w:tc>
          <w:tcPr>
            <w:tcW w:w="45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强力弹性橡胶减振，可以使风机在工作时，降低对地面的震音。</w:t>
            </w:r>
          </w:p>
        </w:tc>
        <w:tc>
          <w:tcPr>
            <w:tcW w:w="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室外通风系统电路及配管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风机：5根24芯4平方电缆线穿φ32高级PVC-U管，由楼顶风机连接到室内电源控制箱含开关、三相四线、内线，PVC线管。</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风机控制系统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通风机控制采用风机矢量控制变频器：应用空间电压矢量控制原理，采用模块化设计、双 CPU 控制，是集数字技术、计算 机技术、现代自控技术于一体的高科技产品，具有精度高、噪 音低、转矩大、性能可靠等特点。主要参数指标为：一.频率指示、异常指示、转速指示、状态指示等均由 LED 显示；二.输入额定电压：三相 380V，±15%；三.输入额定频率：50/60 HZ；四.控制方式：空间电压矢量控制；五.输出频率：1.00~400.0 HZ；六.过载能力：150% 额定电流；七.保护功能：输入缺相、输入欠 压、直流过压、过载等。</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消防设施</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干粉灭火器2KG含灭火箱，符合安全条例。</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辅助材料</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含胶布、胶带、电磁阀、漏电开关、焊锡丝、玻璃胶、玻纹管、自功螺丝、扎带定位片等辅助材料。</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化学实验室1（52座）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61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1"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教师演示讲台</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规格：2200*1500*850mm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1、台面：采用国内≥13mm厚优抗板台面，四周边加厚至26mm。各项性能满足或优于如下要求：</w:t>
            </w:r>
          </w:p>
          <w:p>
            <w:pPr>
              <w:keepNext w:val="0"/>
              <w:keepLines w:val="0"/>
              <w:widowControl/>
              <w:suppressLineNumbers w:val="0"/>
              <w:jc w:val="left"/>
              <w:textAlignment w:val="center"/>
              <w:rPr>
                <w:rFonts w:hint="eastAsia" w:ascii="宋体" w:hAnsi="宋体" w:eastAsia="宋体" w:cs="宋体"/>
                <w:b/>
                <w:bCs/>
                <w:i w:val="0"/>
                <w:iCs w:val="0"/>
                <w:color w:val="FF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▲2、依据JC/T 2039-2010标准检测板材抗霉菌性能：黑曲霉、土曲霉、宛氏拟青霉、绳状青霉、出芽短梗霉、球毛壳霉、长枝木霉等7种的霉菌检测长霉等级为0级；【投标人或产品制造商需提供优抗板有效期内第三方检测机构出具的具有CMA或CNAS标识的检测报告并提供检测报告在全国认证认可信息公共服务平台网站 (http://cx.cnca.cn/)的查询结果截图证明；检测报告出具的时间应在本项目投标截止日前三年内；报告需体现上述对应参数所有内容的检测结果，缺项不得分，原件备查】。</w:t>
            </w:r>
          </w:p>
          <w:p>
            <w:pPr>
              <w:keepNext w:val="0"/>
              <w:keepLines w:val="0"/>
              <w:widowControl/>
              <w:suppressLineNumbers w:val="0"/>
              <w:jc w:val="left"/>
              <w:textAlignment w:val="center"/>
              <w:rPr>
                <w:rFonts w:hint="eastAsia" w:ascii="宋体" w:hAnsi="宋体" w:eastAsia="宋体" w:cs="宋体"/>
                <w:b/>
                <w:bCs/>
                <w:i w:val="0"/>
                <w:iCs w:val="0"/>
                <w:color w:val="FF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▲3、依据JC/T 2039-2010标准检测板材抗菌性能：金黄色葡萄球菌、耐甲氧西林金黄色葡萄球、白色念珠菌、肺炎克雷伯氏菌、鼠伤寒沙门氏菌、甲型溶血性链球群、大肠埃希氏菌、枯草芽孢杆菌、肠沙门氏菌肠亚种、单核细胞增生李斯特氏菌、粪肠球菌、宋氏志贺氏菌、白色葡萄球菌、变异库克菌、表皮葡萄球菌、海氏肠球菌、铜绿假单胞菌等不少于17种的菌种抗菌率≥99.99%；【投标人或产品制造商提供优抗板有效期内第三方检测机构出具的具有CMA或CNAS标识的检测报告并提供检测报告在全国认证认可信息公共服务平台网站 (http://cx.cnca.cn/)的查询结果截图证明；检测报告出具的时间应在本项目投标截止日前三年内；报告需体现上述对应参数所有内容的检测结果，缺项不得分，原件备查】。</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4、桌身：采用0.8mm镀锌钢板，CO2保护焊焊接，经过磷化、酸洗、除油、除锈、处理后再经过经高温固化成光滑表面。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 滑轨：采用品牌三节静音滑轨；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6、铰链：采用具注塑成型，开合达10万次以上不变形。</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7、脚垫：采用高密度ABS工程塑料，模具注塑成型，并装有螺旋螺丝，上可连接桌脚，下可连接地面。</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教师转椅</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规格：500*500*800mm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xml:space="preserve">                                        1、椅面/椅背选用网布面料；</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2、PP扶手；</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3、底座：电镀钢铁支架，气动升降；</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4、配件：采用螺丝五金配件。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三联高低位龙头</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一高二低水嘴，管体部份为黄铜合金制，陶瓷阀芯，表面经环氧树脂静电喷涂处理，耐酸碱腐蚀。出水嘴为铜质瓷芯尖嘴型，可拆卸清洗阻塞。</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学生化验专用水槽</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规格：440*325*300mm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采用实验室专用高密度PP一体化成型水槽，易清洁，耐腐蚀，且利于台面残水自然回流；具耐酸碱、耐有机溶剂、耐紫外线等特点。</w:t>
            </w:r>
          </w:p>
        </w:tc>
        <w:tc>
          <w:tcPr>
            <w:tcW w:w="5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紧急洗眼器</w:t>
            </w:r>
          </w:p>
        </w:tc>
        <w:tc>
          <w:tcPr>
            <w:tcW w:w="45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单面洗眼器，在实验的过程中如化学试剂或有机物质喷溅入眼睛，可以紧急使用洗眼器进行冲洗，其安装于教师台靠近水槽位置。</w:t>
            </w:r>
          </w:p>
        </w:tc>
        <w:tc>
          <w:tcPr>
            <w:tcW w:w="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2"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化学学生实验桌</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规格：2700*1200*780mm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1、台面：采用国内≥12.7mm厚双面膜实芯理化板台面。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结构：新型塑铝结构，整体桌脚呈Z字造型。学生位镂空式，符合人体工程学设计。书包斗采用整体ABS工程塑料一次性注塑成型，规格420*255*165，中间设挂凳卡；两个书包斗中间设有一个翻盖式电源盒，采用ABS工程塑料注塑成型，耐老化不导电。</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桌脚采用三段式高强度铝合金结构，整体规格570*760，左右两边配有装饰彩带，中立柱采用96mm*46*1.5mm厚承重型铝合金型材，采用倾斜式设计。上下脚采用铝合金一次压铸成型，上脚规格：长570*宽51*高116mm，下脚规格：长556*宽67*高112mm，上下脚的壁厚≥2.5mm，连接处壁厚加强至4mm;采用4个高强度螺丝连接；上脚后部装有支撑杆，支撑杆采用铝合金压铸成型，规格不小于25*25*240mm，使整体结构更稳固。下桌架设有专用孔位与地面固定，可以安装调整脚，并配有跟台面同色ABS脚套装饰盖。易碰撞处全部采用倒圆角，产品款式要求整体设计合理、安全、牢固。</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4、桌脚间通过4条专用铝合金型材连接，上方三条铝合金型材中前后两条横梁为40*40mm 1/4圆形铝合金型材用高强度螺丝连接，中间一条为45*20mm方形铝合金型材；桌子下部一条横梁为89*14mm铝合金型材，用高强度螺丝固定在两侧桌脚的立柱上，易碰撞处全部采用倒圆角，产品款式要求整体设计合理、安全、牢固。</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多功能柱</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功能柱规格：长355*宽210*高760mm，采用ABS塑料一次注塑成型，功能柱正面设有ABS注塑成型的的检修门，并配有专用锁具,便于安装和维修。</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多功能集成系统水槽                                                                                                                                                                                        </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规格：500*600*1050mm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1、结构特点：水槽滴水架、柜体、下柜三段组合式结构。水槽面部下沉式构造，台面设预留安装紧急洗眼器余位口、配洗手液瓶，三联水嘴，水槽内部设一个防溢水口，底部有滤网，柜体左右两侧设把手位。</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2、水槽和滴水架注塑模具一次成型无缝链接，采用环保型PP改性材料，无臭无毒、耐强酸碱，设滴水架正面含八条试管位，滴水架顶部面上有一个给、排水、电源快速接头带防尘盖收纳盒。</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3、水槽内配有阶梯型304不锈钢溢水板，使废水无法沿着台面侵蚀柜体。</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4、柜体材料采用环保型ABS工程塑料注塑成型，柜体后面和下柜后面设两扇检修门，推拉挂锁设计，方便检修使用。</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5、下柜部箱体采用ABS工程塑料磨具一次成型，耐酸碱。底部装有脚垫。</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三联“L”型化验水嘴</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1、结构：插壁式接水，L型三联(一高二低）带有三个陶瓷阀芯，ABS手柄，鹅颈管可360°随意旋转。                                                                                                                                                                                           2、材质：主体黄铜材质，表面经高亮度环氧树脂喷涂，耐腐蚀，耐热。                                                                                                                                                        3、规格：≤245㎜×145㎜×375㎜，鹅颈、低位铜管φ16mm。</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教师演示电源</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1、教师端主控，主机采用铁制机箱，机械抽屉式。控制显示采用7寸液晶真彩触摸屏和数据显示一体化。</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2、具备1个220V国标五孔交流电源输出插座。</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3、系统具备漏电保护功能。</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4、通过教师控制界面可设置直流0-30V分辨率0.1V，交流1-30V分辨率1V，具备过载保护。</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学生安全电源</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1、ABS翻转式电源盒，书包盒中间，实验和安装都非常方便。</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2、学生电源采用耐磨、耐腐蚀、耐高温（≤140℃）的PC磨砂薄膜面板，，学生电源的控制采用电容触摸数字键盘，微电脑控制，数字显示电源电压。</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3、学生交流电源通过数字键盘直接选取1～30V电压，最小调节单元可达1V,额定电流2A，具有过载保护智能检测功能）。</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4、学生直流电源也是通过数字键盘直接选取，调节范围为1.5～30V，分辨率可达0.1V,额定电流2A，亦具有过载保护智能检测功能。</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5、学生低压电源都可接收老师发送的锁定信号，在锁定指示灯点亮后，学生只能接收老师输送的设定电源电压，学生自己无法操作，可避免学生的误操作，如老师没有送锁定信号，学生可随意操作。</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6、220V交流输出为带安全门的五孔新国标插座。</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规格：Φ320*450-500mm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1、凳脚材质:4个凳脚采用20*40*1.8MM椭圆形无缝钢管模具一次成型,全圆满焊完成,结构牢固,经高温粉体烤漆处理,长时间使用也不会产生表面烤漆剥落现象。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2、凳脚弧度:上部凳脚弧度66°,下部凳脚弧度24°。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3、方形托盘厚度3MM边长160*160MM4.凳面:凳面直径320MM采用环保型PP改性塑料注塑成型;表面细纹咬花,防滑不发光。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4、脚垫:采用PP加耐磨纤维质塑料,实心倒勾式一体射出成型。  </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5、凳子可螺旋升降,升降到一定高度后要有固定不旋转装置并且升到最高时凳面不可脱落。</w:t>
            </w:r>
          </w:p>
        </w:tc>
        <w:tc>
          <w:tcPr>
            <w:tcW w:w="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实验室</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供电系统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学生220V交流电，采用 2.5mm²，电线进行系统布线含波纹管。</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实验室给排水系统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每个学生实验桌位和教师讲台位包含φ20截止阀，水管热熔连接、给水：304不锈钢软管φ20长度80cm、排水：EVA软管φ50长度80cm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万向吸风罩</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1、关节：高密度PP材质，可360°旋转调节方向。</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2、关节密封圈：不易老化之高密度橡胶。</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 关节连接杆：304不锈钢。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4、关节松紧选钮：高密度PP材质，内嵌不锈钢轴承，与关节连接杆锁合。</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5、气流调节阀：手动调节外部阀门旋钮。</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6、拱形集气罩：直径375mm，高密度PP制成。</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7、伸缩导管：直径75mmPP。</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8、固定底座：高密度PVC材质，非粘接而成，模具注塑一体成型。</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实验室通风机</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1、通风机结构：PP蜗牛式离心风机。</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2、电机配用：5.5KW4P变频电机；380V；</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3、工作时：风量6677一12017m3/h，全压1139一724Pa。</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4、换气次数：实验室换气次数可达20次以上/H。</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5、风速：吸风口管壁风速可达11米以上/S；吸风罩风速&gt;7M/S。</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6、噪音：系统运行时室内噪音≤50dB</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废气活性炭箱</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活性炭吸附层装置：</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吸附层采用双层防水活性炭进行废气颗粒吸附，规格：1300mm×1000mm×1300mm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。(长宽高含支腿), 活性炭可填最大量:160块, 活性炭规格:100*100*100,PP板材厚度:8mm, 进出风口:400mm具有吸附容量大、吸附速度快，且具有良好的耐热、耐酸、耐碱，成型性好。废气在风机的作用下自进风口进入活性炭吸附板装置，利用活性炭的吸附能力，使废气与大表面的多孔性固体物质相接触，废气中的污染物被吸附在固体表面上，使其与气体混合物分离，达到净化目的。</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通风管道</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室内通风管道：选用耐酸碱腐蚀、防污染、抗高压的PP塑料专用、管道φ400PP管，φ200，φ160，φ110等</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进出口柔性申缩</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柔性材质，通风机与消声器的连接。</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通风管道管件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风机管道室内φ400管、φ110外管弯头，三通、直通、补心分别φ400、φ200、φ110、PP管材料，抱箍等角铁，不锈钢扁铁</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阻尼减振器</w:t>
            </w:r>
          </w:p>
        </w:tc>
        <w:tc>
          <w:tcPr>
            <w:tcW w:w="45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强力弹性橡胶减振，可以使风机在工作时，降低对地面的震音</w:t>
            </w:r>
          </w:p>
        </w:tc>
        <w:tc>
          <w:tcPr>
            <w:tcW w:w="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室外通风系统电路及配管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风机：5根24芯4平方电缆线穿φ32高级PVC-U管，由楼顶风机连接到室内电源控制箱含开关、三相四线、内线，PVC线管</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风机控制系统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通风机控制采用风机矢量控制变频器：应用空间电压矢量控制原理，采用模块化设计、双 CPU 控制，是集数字技术、计算 机技术、现代自控技术于一体的高科技产品，具有精度高、噪 音低、转矩大、性能可靠等特点。主要参数指标为：一.频率指 示、异常指示、转速指示、状态指示等均由 LED 显示；二.输入 额定电压：三相 380V，±15%；三.输入额定频率：50/60 HZ；四. 控制方式：空间电压矢量控制；五.输出频率：1.00~400.0 HZ；六.过载能力：150% 额定电流；7.保护功能：输入缺相、输入欠 压、直流过压、过载等。</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消防设施</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干粉灭火器2KG含灭火箱，符合安全条例，满足意外事故需要。</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化学实验室2（48座）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61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七、化学仪器准备室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教师准备台</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规格：3000*750*800mm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1、台面：一体化台面，采用12.7mm厚防静电、防水、防火、耐刮、耐磨、抗击耐酸碱的实芯理化板,四周边加厚至25.4mm。台面前沿加工成光滑半圆型，并注重人性化设计。</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2、桌身：采用1.0mm镀锌钢板，CO2保护焊焊接，经过磷化、酸洗、除油、除锈、处理后再经自动喷枪环氧树脂金属粉末喷涂，经高温固化成光滑表面。</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3、滑轨：采用品牌三节静音滑轨；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4、铰链：采用高密度ABS工程塑料，模具注塑成型，开合达10万次以上不变形。</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5、脚垫：采用高密度ABS工程塑料，模具注塑成型，并装有螺旋螺丝，上可连接桌脚，下可连接地面。</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教师转椅</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规格：500*500*800mm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xml:space="preserve">                                         1、椅面/椅背选用网布面料；</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2、PP扶手；</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3、底座：电镀钢铁支架，气动升降；</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4、配件：采用螺丝五金配件。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全钢通风柜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规格：1500*850*2350mm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1、主体左右旁板、前钢板、背板、顶板、下柜体可采用1.0~1.2mm厚钢板，全自动数控激光切割机下料，折弯采用全自动数控折弯机一次性一体折弯成型，表面经环氧树脂粉末静电流水线自动化喷涂及高温固化。</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2、内衬板、导流板采用5mm厚实芯抗倍特板具有良好的防腐蚀、化学抗性。导流板固定件使用PP材质制作一体成型。</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3、移动视窗玻璃两侧PP夹条包裹，拉手PP一体成型，嵌入5mm钢化玻璃，门开启高度为760mm,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自由升降，移门上下滑动装置采用滑轮钢丝绳结构，无级任意停留，移门导向装置由抗腐蚀的聚氯乙稀材质构成。</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4、固定视窗框架为钢板制作环氧树脂喷涂，框内嵌入5mm厚钢化玻璃。</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5、台面采用实芯理化板（12.7mm厚）耐酸碱，耐冲击，耐腐蚀，甲醛达到E1级别标准。</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6、连接部分所有的内部连接装置都需隐藏布置和抗腐蚀，没有外露的螺钉，外部连接装置都抗化学腐蚀的不锈钢部件与非金属材料。</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7、排气出口采用与顶板一体成型集气罩，出风口直径250mm圆孔，套管连接，减少气体扰流。</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化验专</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用水槽</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规格：540*440*310mm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采用实验室专用高密度PP一体化成型水槽，易清洁，耐腐蚀，且利于台面残水自然回流；具耐酸碱、耐有机溶剂、耐紫外线等特点。</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三联高低位龙头</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一高二低水嘴，管体部份为黄铜合金制，陶瓷阀芯，表面经环氧树脂静电喷涂处理，耐酸碱腐蚀。出水嘴为铜质瓷芯尖嘴型，可拆卸清洗阻塞。</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紧急洗眼器</w:t>
            </w:r>
          </w:p>
        </w:tc>
        <w:tc>
          <w:tcPr>
            <w:tcW w:w="45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单面洗眼器，在实验的过程中如化学试剂或有机物质喷溅入眼睛，可以紧急使用洗眼器进行冲洗，其安装于教师台靠近水槽位置。</w:t>
            </w:r>
          </w:p>
        </w:tc>
        <w:tc>
          <w:tcPr>
            <w:tcW w:w="5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给排水系统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每个学生实验桌位和教师讲台位包含φ20截止阀，水管热熔连接、给水：304不锈钢软管φ20长度80cm、排水：EVA软管φ50长度80cm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钢玻试剂架（单面）</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规格：1000*300*700mm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主体采用80*50方钢支架，隔板采用10mm厚钢化玻璃，含二个2+3插座</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规格：1000*500*2000mm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侧板、层板采用环保型pp改性材料一次注塑成型，表面做磨砂处理。连接结构并合理布局加强筋，配合专用塑料紧固件连接，顶板、中板和底板的底部镶嵌15*30mm钢管加强，承重力强，产品不变形、不扭曲，可重复拆装使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2、上柜门：采用增强型PP材质一体注塑成型，外嵌4mm钢化烤漆玻璃,中间玻璃做镂空处理，透明可视。</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3、下柜门：采用增强型PP材质一体注塑成型，外嵌4mm钢化烤漆玻璃。</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4、门把手：采用增强型PP材质一次注塑成型，安装于两门的门缝处，凹凸配套，增加柜子内部的气密性。</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层板：上柜配两块活动层板，下柜配一块活动层板；层板采用工程塑料经模具挤出成型，中空双层结构，内部均匀分布加强筋并内置两条30*15mm钢管，单块层板静置100公斤重物不变形；两边配置密封堵头，整板无裸露金属，避免腐蚀生锈。层板可以抽取，自由组合各层空间。</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6、门铰链：用改性pp材料模具一次成型，伸缩式pp旋转门轴，内嵌隐藏方便安装，耐腐蚀。</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7、柜子固定所需螺丝均采用304不锈钢，并加盖塑料盖帽隐藏安装，柜子内部无裸露金属材料，确保柜子的耐腐蚀性。</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药品柜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规格;1000*500*2000mm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侧板、层板采用环保型pp改性材料一次注塑成型，表面做磨砂处理。榫卯连接结构并合理布局加强筋，配合专用塑料紧固件连接，顶板、中板和底板的底部镶嵌15*30mm钢管加强，承重力强，产品不变形、不扭曲，可重复拆装使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2、上柜门：采用增强型PP材质一体注塑成型，外嵌4mm钢化烤漆玻璃,中间玻璃做镂空处理，透明可视。</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3、下柜门：采用增强型PP材质一体注塑成型，外嵌4mm钢化烤漆玻璃。</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4、门把手：采用增强型PP材质一次注塑成型，安装于两门的门缝处，凹凸配套，增加柜子内部的气密性。</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层板：上柜配两块活动层板，下柜配一块活动层板；层板采用工程塑料经模具挤出成型，中空双层结构，内部均匀分布加强筋并内置两条30*15mm钢管，单块层板静置100公斤重物不变形；两边配置密封堵头，整板无裸露金属，避免腐蚀生锈。层板可以抽取，自由组合各层空间。</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6、门铰链：用改性pp材料模具一次成型，伸缩式pp旋转门轴，内嵌隐藏方便安装，耐腐蚀。</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7、柜子固定所需螺丝均采用304不锈钢，并加盖塑料盖帽隐藏安装，柜子内部无裸露金属材料，确保柜子的耐腐蚀性。</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8、柜子顶部和底部都预留通风系统接口，与通风管路连接；接口处配有手动调节装置，可以打开或关闭通风口。</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9、阶梯：上柜配置两块药品阶梯，阶梯采用中空双层塑料型材拼装而成，两端用一次注塑成型的堵头加固。</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仪器盘</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规格：300*210*50mm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UPVC有孔</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仪器盘</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规格：360*270*50mm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UPVC无孔</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仪器手推车</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规格：600*450*800H</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不锈钢架方通支架1.0厘厚、二层不锈钢板1.0厘厚机压成型焊接</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辆</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供电系统</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φ25，按配电标准，采用PVC线管。采用2.5㎜2国标线，</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塔式插座</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2+3塔式插座</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消防设施</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干粉灭火器2KG含灭火箱，符合安全条例，满足意外事故需要。</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61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八、化学危化品室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通风药品柜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规格;1000*500*2000mm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侧板、层板采用环保型pp改性材料一次注塑成型，表面做磨砂处理。榫卯连接结构并合理布局加强筋，配合专用塑料紧固件连接，顶板、中板和底板的底部镶嵌15*30mm钢管加强，承重力强，产品不变形、不扭曲，可重复拆装使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2、上柜门：采用增强型PP材质一体注塑成型，外嵌4mm钢化烤漆玻璃,中间玻璃做镂空处理，透明可视。</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3、下柜门：采用增强型PP材质一体注塑成型，外嵌4mm钢化烤漆玻璃。</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4、门把手：采用增强型PP材质一次注塑成型，安装于两门的门缝处，凹凸配套，增加柜子内部的气密性。</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层板：上柜配两块活动层板，下柜配一块活动层板；层板采用工程塑料经模具挤出成型，中空双层结构，内部均匀分布加强筋并内置两条30*15mm钢管，单块层板静置100公斤重物不变形；两边配置密封堵头，整板无裸露金属，避免腐蚀生锈。层板可以抽取，自由组合各层空间。</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6、门铰链：用改性pp材料模具一次成型，伸缩式pp旋转门轴，内嵌隐藏方便安装，耐腐蚀。</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7、柜子固定所需螺丝均采用304不锈钢，并加盖塑料盖帽隐藏安装，柜子内部无裸露金属材料，确保柜子的耐腐蚀性。</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8、柜子顶部和底部都预留通风系统接口，与通风管路连接；接口处配有手动调节装置，可以打开或关闭通风口。</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9、阶梯：上柜配置两块药品阶梯，阶梯采用中空双层塑料型材拼装而成，两端用一次注塑成型的堵头加固。</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剧毒药品储存柜  </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颜色：灰白色</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层板：2块层板加2块pp托盘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材质：冷轧钢板</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涂层：磷酸钝化处理，环氧树脂烤漆</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规格：双门，手动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尺寸: 1090*460*1650mm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产品特点：</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1、柜体内外部采用环氧树脂静电烤漆；</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2、厚度大于1.2mm的双层钢板焊接成型；</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3、机械锁双锁控制，双重防盗保护；</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4、防盗报警装置，密码输错3次或剧烈震动时自动报警；</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5、产品两侧装有防火透气孔；</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6、每层都配有一只防泄漏耐腐蚀托盘；</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7、柜身设有静电接地传导端口，方便连接静电接地导线；</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易燃液体防火安全柜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容积：45加仑</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颜色：黄色</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层板：2块层板可调</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材质：冷轧钢板</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涂层：磷酸钝化处理，环氧树脂烤漆</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规格：双门，手动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尺寸：1090*460*1650mm</w:t>
            </w:r>
            <w:r>
              <w:rPr>
                <w:rFonts w:hint="eastAsia" w:ascii="宋体" w:hAnsi="宋体" w:eastAsia="宋体" w:cs="宋体"/>
                <w:b w:val="0"/>
                <w:bCs w:val="0"/>
                <w:i w:val="0"/>
                <w:iCs w:val="0"/>
                <w:color w:val="000000"/>
                <w:kern w:val="0"/>
                <w:sz w:val="21"/>
                <w:szCs w:val="21"/>
                <w:u w:val="none"/>
                <w:lang w:val="en-US" w:eastAsia="zh-CN"/>
              </w:rPr>
              <w:t>(±10mm)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产品特点</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1、柜体：采用1.2mm 冷轧钢板，经酸洗磷化处理，表面通过环氧树脂静电喷涂，</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达到防酸碱及防锈之效果；</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2、三点联动式门锁，轻松自如启闭180度的柜门配有双钥匙；</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3、专业规范的警示标签显而易见； </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4、装设有防闭火装置的双透气孔； </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5、独有的防溢漏式层板可在每6厘米层挡上下之间自由调节；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强酸强碱储存柜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规格：1090*450*1650mm</w:t>
            </w:r>
            <w:r>
              <w:rPr>
                <w:rFonts w:hint="eastAsia" w:ascii="宋体" w:hAnsi="宋体" w:eastAsia="宋体" w:cs="宋体"/>
                <w:b w:val="0"/>
                <w:bCs w:val="0"/>
                <w:i w:val="0"/>
                <w:iCs w:val="0"/>
                <w:color w:val="000000"/>
                <w:kern w:val="0"/>
                <w:sz w:val="21"/>
                <w:szCs w:val="21"/>
                <w:u w:val="none"/>
                <w:lang w:val="en-US" w:eastAsia="zh-CN"/>
              </w:rPr>
              <w:t>(±10mm)</w:t>
            </w:r>
            <w:r>
              <w:rPr>
                <w:rFonts w:hint="eastAsia" w:ascii="宋体" w:hAnsi="宋体" w:eastAsia="宋体" w:cs="宋体"/>
                <w:i w:val="0"/>
                <w:iCs w:val="0"/>
                <w:color w:val="000000"/>
                <w:kern w:val="0"/>
                <w:sz w:val="21"/>
                <w:szCs w:val="21"/>
                <w:u w:val="none"/>
                <w:lang w:val="en-US" w:eastAsia="zh-CN" w:bidi="ar"/>
              </w:rPr>
              <w:t xml:space="preserve">                                                                                                             开关：双门/手动.PP材质</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别针对强腐蚀性化学品的存储和渗漏而设计，适用存放具有强腐蚀性的化学品物质（例如硫酸、盐酸、硝酸、KOH、NaOH等化学品物质）。*MIANN存储柜可以规范管理，有条理，分类存储不同性质及危险等级的化学品，减少灾害发生风险。</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药品柜吸风罩</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采用ABS塑料注塑成型的吸风罩，设柜台面上。</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风机进口处消声器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风机进口处消声器，Ø500、长850PVC内附吸音材料、分内外管两层，内管采用微小孔消声原理，夹层有吸声材料，有效降低管道噪音。</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室内通风管道</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室内通风管道：选用耐酸碱腐蚀、防污染、抗高压的PP塑料专用、管道φ200，φ160，φ110等</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通风管道管件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风机管道室内、外管弯头，三通、直通、分别φ315、φ200、φ110、PP管材料，角铁，不锈钢扁铁</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实验室</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通风机</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1、通风机结构：PP蜗牛式离心风机。</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2、电机配用：2.2KW4P变频电机；380V；</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3、工作时：风量3654一6820m3/h，全压751一506Pa。</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4、换气次数：实验室换气次数可达20次以上/H。</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5、风速：吸风口管壁风速可达11米以上/S；吸风罩风速&gt;7M/S。</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6、噪音：系统运行时室内噪音≤50dB（A）。</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风机变频调速控制器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变频器控制系统：性能指标：无速度传感器矢量控制；电机参数自测试；内置PID；功能丰富的输入输出接口；高性能DSP专用控制芯片；无噪声运行；体积小。</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额定容量（KVA）8.5；</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额定电流（A）13A；</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电压（V）0～380V，0～400HZ；</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过载能力：150% 1分钟；</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输入电源：3相380V，50/60 HZ。风机机壳及叶片材质均采用耐酸碱腐蚀、抗高压的UPVC材料加工制作。含电箱</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进出口</w:t>
            </w:r>
          </w:p>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柔性申缩</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柔性材质，通风机与消声器的连接。</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阻尼减振器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强力弹性橡胶减振，可以使风机在工作时，降低对地面的震音</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室外通风系统电路及配管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风机：5根24芯4平方电缆线穿φ32高级PVC-U管，由楼顶风机连接到室内电源控制箱含开关、三相四线、内线，PVC线管</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设备辅助材料等费用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含胶布、胶带、弯头，焊锡丝、玻璃胶、玻纹管、自功螺丝、扎带定位片等辅材。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61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九、化学仪器设备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打孔器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采用钢材，防锈处理。穿孔管用外径为6mm．8mm．10mm，管长80mm，壁厚1mm的冷拔无缝钢管，手柄用2mm厚低碳钢板，通用条Φ3mm碳素钢等制成。四件为一套，可穿4mm．6mm．8mm的圆孔。</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打孔夹板</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1、上、下夹板应由脱脂干燥处理过的木材制成，表面平整。</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2、上夹板应备有直径为6mm，8mm，10mm，12mm直穿孔4个。</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3、紧固螺钉与下夹板紧固为一体，不得松动；紧固螺钉长度不小于80mm。上夹板上下高度可调，由蝴蝶螺母定位。</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打孔器刮刀</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03"/>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本产品由壳体及油石组成。</w:t>
            </w:r>
          </w:p>
          <w:p>
            <w:pPr>
              <w:keepNext w:val="0"/>
              <w:keepLines w:val="0"/>
              <w:widowControl/>
              <w:numPr>
                <w:ilvl w:val="0"/>
                <w:numId w:val="10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壳体钢材制。壳体在磨刀时应夹紧打孔器，且打孔器正好与油石靠牢。</w:t>
            </w:r>
          </w:p>
          <w:p>
            <w:pPr>
              <w:keepNext w:val="0"/>
              <w:keepLines w:val="0"/>
              <w:widowControl/>
              <w:numPr>
                <w:ilvl w:val="0"/>
                <w:numId w:val="10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油石为白刚玉料。</w:t>
            </w:r>
          </w:p>
          <w:p>
            <w:pPr>
              <w:keepNext w:val="0"/>
              <w:keepLines w:val="0"/>
              <w:widowControl/>
              <w:numPr>
                <w:ilvl w:val="0"/>
                <w:numId w:val="10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打孔器刮刀装配牢固，无松动现象。</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手摇钻孔器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04"/>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组成：仪器由旋转立柱、夹持固定装置、四个不同直径刀头及捅条组成；</w:t>
            </w:r>
          </w:p>
          <w:p>
            <w:pPr>
              <w:keepNext w:val="0"/>
              <w:keepLines w:val="0"/>
              <w:widowControl/>
              <w:numPr>
                <w:ilvl w:val="0"/>
                <w:numId w:val="104"/>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螺旋立柱应能通过手轮的转动向安装后的刀头稳定加压打孔；</w:t>
            </w:r>
          </w:p>
          <w:p>
            <w:pPr>
              <w:keepNext w:val="0"/>
              <w:keepLines w:val="0"/>
              <w:widowControl/>
              <w:numPr>
                <w:ilvl w:val="0"/>
                <w:numId w:val="104"/>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四支刀口外径分别为Φ12mm，Φ10mm,Φ8mm,Φ6mm，捅条直径不小于φ4mm，刀口锋利，无卷边。</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离心沉淀器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手摇式，供中学实验室作离心沉淀用。仪器通过螺栓与桌面固定，由旋转盘、支杆、及试管放置架等构成。旋转盘应采用塑料注塑成型，外框采用塑料。转轴、支杆及试管放置架均应采用铁质金属表层电镀。</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磁力加热搅拌器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仪器尺寸长230*宽160*高125mm（总高度约340mm），支杆高度约230mm，立杆采用φ8mm圆钢制作。盘面采用铝材制作，直径120mm。使用电源：AC 220V±22V，50Hz。消耗功率：150W±25W。电机采用无级调速，调速范围为0r/min～2000r/min、搅拌时噪声不大于55 dB（A）。配一粒搅拌子。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酒精喷灯</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用，作为热源及玻璃管的加工，结构为座式，采用全铜金属材质。由壶体预燃杯、壶咀、喷管、火苗调节杆和铜帽等部分组成，壶体容积250ml，温度可达800-1000℃，壶体焊缝紧密，不漏洒酒精和漏气，喷管各焊接处用银铜料焊接，不会因喷火燃烧而熔化焊接处。</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电加热器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密封式、方形结构。</w:t>
            </w:r>
          </w:p>
          <w:p>
            <w:pPr>
              <w:keepNext w:val="0"/>
              <w:keepLines w:val="0"/>
              <w:widowControl/>
              <w:numPr>
                <w:ilvl w:val="0"/>
                <w:numId w:val="105"/>
              </w:numPr>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额定电压ＡＣ220Ｖ±5％ 50Ｈz＋5,消耗功率1000Ｗ。</w:t>
            </w:r>
          </w:p>
          <w:p>
            <w:pPr>
              <w:keepNext w:val="0"/>
              <w:keepLines w:val="0"/>
              <w:widowControl/>
              <w:numPr>
                <w:ilvl w:val="0"/>
                <w:numId w:val="105"/>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加热盘直径150mm。</w:t>
            </w:r>
          </w:p>
          <w:p>
            <w:pPr>
              <w:keepNext w:val="0"/>
              <w:keepLines w:val="0"/>
              <w:widowControl/>
              <w:numPr>
                <w:ilvl w:val="0"/>
                <w:numId w:val="105"/>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温控旋扭控制温度，指示灯显示加热。</w:t>
            </w:r>
          </w:p>
          <w:p>
            <w:pPr>
              <w:keepNext w:val="0"/>
              <w:keepLines w:val="0"/>
              <w:widowControl/>
              <w:numPr>
                <w:ilvl w:val="0"/>
                <w:numId w:val="105"/>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外形尺寸：210×210×50(mm)。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列管式烘干器（11管）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即：试管瓶子干燥器，外形尺寸：Ф250 mm*高360mm、 11管、工作电压：220V±10%。仪器由鼓风装置、加热器件、壳体及吹风列管等部分构成。壳体由不锈钢材质制造，列管由铝材制作，散热性能更好。通风管直径10mm，长度180mm，每支通风管上均布多个通气孔.  额定功率：240W±20%,电机功率：20W , 发热功率：220W,干燥气流温度：50℃~60℃,整机噪声：≤50dB。（11管）</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烘干箱</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工作室尺寸：宽400*深380*高530mm，容积约80L，功率600W，温控范围：室温～120℃，电源220V，外形尺寸：宽460*深465*高760mm，包装尺寸510*510*810 mm，数显温度，有箱体、温度指示仪表、控制系统。观察窗直径145mm.配隔板2块。冷态绝缘电阻：不小于0.5MΩ。温度波动：不大于±1℃。温度均匀性：不大于2℃。</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注射器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注射器由针头、注射管（100ml），活塞组成。注射管是用塑料做成的,符合GB15810标准。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塑料洗瓶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试剂瓶托盘</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06"/>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本盘平时放于药品柜中，尺寸约300mm×200mm×55mm，短边有提耳，一盘内可同时放小试剂瓶30个以内。</w:t>
            </w:r>
          </w:p>
          <w:p>
            <w:pPr>
              <w:keepNext w:val="0"/>
              <w:keepLines w:val="0"/>
              <w:widowControl/>
              <w:numPr>
                <w:ilvl w:val="0"/>
                <w:numId w:val="10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短边两侧有放置试管的孔，单边孔径分别为：Φ20mm孔3个，Φ16mm孔4个，Φ7mm孔4个。</w:t>
            </w:r>
          </w:p>
          <w:p>
            <w:pPr>
              <w:keepNext w:val="0"/>
              <w:keepLines w:val="0"/>
              <w:widowControl/>
              <w:numPr>
                <w:ilvl w:val="0"/>
                <w:numId w:val="106"/>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材质为耐酸碱塑料注塑成型，化学稳定性好，防止化学药品的腐蚀。</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实验用品提篮</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产品为全木质、带提手。可固定试管、试剂瓶等仪器，底部有抽屉。</w:t>
            </w:r>
          </w:p>
          <w:p>
            <w:pPr>
              <w:keepNext w:val="0"/>
              <w:keepLines w:val="0"/>
              <w:widowControl/>
              <w:numPr>
                <w:ilvl w:val="0"/>
                <w:numId w:val="107"/>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提蓝外形尺寸约：450mm×343mm×143mm，底部抽屉深度不小于49mm。</w:t>
            </w:r>
          </w:p>
          <w:p>
            <w:pPr>
              <w:keepNext w:val="0"/>
              <w:keepLines w:val="0"/>
              <w:widowControl/>
              <w:numPr>
                <w:ilvl w:val="0"/>
                <w:numId w:val="10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提手部位为圆柱形，高约280mm（装好后的高度）。</w:t>
            </w:r>
          </w:p>
          <w:p>
            <w:pPr>
              <w:keepNext w:val="0"/>
              <w:keepLines w:val="0"/>
              <w:widowControl/>
              <w:numPr>
                <w:ilvl w:val="0"/>
                <w:numId w:val="107"/>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整体表面刷清漆。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塑料水槽</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产品为半透明塑料注塑成型。外形尺寸：250mm×180mm×100mm,水槽表面无瑕疵。</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碘升华凝华管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0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由玻璃密封管体和手柄组成，管体和手柄彼此独立，不连通。管的高度≥25mm，直径≥25mm。管内密封碘的质量≥0.1克。</w:t>
            </w:r>
          </w:p>
          <w:p>
            <w:pPr>
              <w:keepNext w:val="0"/>
              <w:keepLines w:val="0"/>
              <w:widowControl/>
              <w:numPr>
                <w:ilvl w:val="0"/>
                <w:numId w:val="10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手柄长≥85mm，直径为Φ6±1mm。</w:t>
            </w:r>
          </w:p>
          <w:p>
            <w:pPr>
              <w:keepNext w:val="0"/>
              <w:keepLines w:val="0"/>
              <w:widowControl/>
              <w:numPr>
                <w:ilvl w:val="0"/>
                <w:numId w:val="10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管体外形端正，玻璃熔接平滑均匀，无气泡、无条纹。管体在90℃热水中检测无泄漏（无气泡溢出）。</w:t>
            </w:r>
          </w:p>
          <w:p>
            <w:pPr>
              <w:keepNext w:val="0"/>
              <w:keepLines w:val="0"/>
              <w:widowControl/>
              <w:numPr>
                <w:ilvl w:val="0"/>
                <w:numId w:val="10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管体应耐80℃温差的急冷骤热。</w:t>
            </w:r>
          </w:p>
          <w:p>
            <w:pPr>
              <w:keepNext w:val="0"/>
              <w:keepLines w:val="0"/>
              <w:widowControl/>
              <w:numPr>
                <w:ilvl w:val="0"/>
                <w:numId w:val="10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升华与凝华的全过程耗时应≤2分钟。</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方座支架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冲压底板0.5kg，冲压烧瓶夹，大小圈（Φ110mm/Φ70mm），钢材直径（Φ6.6mm，立杆Φ11.3mmｘ615mm）铝合金平行夹，垂直夹</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方座支架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铸铁底板尺寸（210mmｘ135mm）1kg,冲压烧瓶夹大小圈（Φ110mm/Φ70mm），铝合金平行夹，垂直夹钢材直径（Φ6.6mm,立杆Φ11.3mmｘ615mm）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万能夹</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产品由夹持柄及夹头组成，全钢制，表面电镀处理。1.上下夹口应转动自如、灵活，</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三脚架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1、由铁环和3只脚组成。</w:t>
            </w:r>
          </w:p>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2、铁环内径：74mm ，外径：90mm，厚度4.3mm。</w:t>
            </w:r>
          </w:p>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3、三只脚与铁环焊接紧固，脚距相等，立放台上时圆环应与台面平行，所支承的容器不得有滑动。脚高：156mm。</w:t>
            </w:r>
          </w:p>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4、三脚架须经烤漆防锈处理，漆层均匀、牢固。</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泥三角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由3个空心瓷棒、3根铁线串接组成，呈三角形。瓷棒外径不小于6mm。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1、产品由顶板、底板、插杆组成，8孔、8柱，全塑料制。8孔分布均匀；</w:t>
            </w:r>
          </w:p>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2、底板外形尺寸：240×64×7（mm），底板8个凹槽应与顶板8孔同心，孔深约5mm。</w:t>
            </w:r>
          </w:p>
          <w:p>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3、插杆为长60mm，直径10mm，与底板孔对应成排。</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漏斗架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2孔，全木制。1、漏斗架由漏斗板、支杆及底座三部分组成；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漏斗架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4孔，全木制。1、漏斗架由漏斗板、支杆及底座三部分组成；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滴定台</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09"/>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底座台面为铁质，尺寸为300×150×16mm；</w:t>
            </w:r>
          </w:p>
          <w:p>
            <w:pPr>
              <w:keepNext w:val="0"/>
              <w:keepLines w:val="0"/>
              <w:widowControl/>
              <w:numPr>
                <w:ilvl w:val="0"/>
                <w:numId w:val="109"/>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立柱由Φ10mm圆钢制成，一端有螺纹并附螺帽及垫片，表面镀铬，置于工作台面上与台面垂直不大于5°；</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3、底座四脚有橡胶垫脚，放置平衡不晃动。</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滴定夹</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1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塑料制。</w:t>
            </w:r>
          </w:p>
          <w:p>
            <w:pPr>
              <w:keepNext w:val="0"/>
              <w:keepLines w:val="0"/>
              <w:widowControl/>
              <w:numPr>
                <w:ilvl w:val="0"/>
                <w:numId w:val="11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固定支杆的部位为塑料带凹槽，滴管夹子弹性强，夹持牢固。</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多用滴管架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1、与塑料多用滴管配套使用。</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学生电源</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1、输出电压：1.5V－9V直流稳压输出，每1.5V一档共六档。</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2、额定电流：1.5A。</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3、空载电压偏调：±（1％U标＋0.1V）。</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4、电压稳定性：输入电压在198V－242V间变化，在满载时各档输出电压变化量不大于0.1V。</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5、负载稳定性：输入电压保持220V不变，负载电流在0至满载范围内变化，各档输出电压变化量不大于1％U标＋0.1V。</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6、纹波电压：电源电压保持220V，满载时各档纹波电压不大于3mv（有效值）。</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7、过载保护：当输出电流在额定输出电流值的1.05－1.5倍间自动关断输出。</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8、短路保护：当输出电路短路时，仪器自动关断电压输出。</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9、工作电压：220V 50Hz。</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10、机箱采用全塑料注塑成型，外形尺寸：190mm×160mm×95mm。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教学电源</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1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输出电压：交流输出：2V－12V，每2V一挡；共六档；额定输出电流：5A。</w:t>
            </w:r>
          </w:p>
          <w:p>
            <w:pPr>
              <w:keepNext w:val="0"/>
              <w:keepLines w:val="0"/>
              <w:widowControl/>
              <w:numPr>
                <w:ilvl w:val="0"/>
                <w:numId w:val="11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直流稳压输出，1.5V－12V，分1.5V、3V、4.5V、6V、9V、12V六档；额定输出电流：2A。</w:t>
            </w:r>
          </w:p>
          <w:p>
            <w:pPr>
              <w:keepNext w:val="0"/>
              <w:keepLines w:val="0"/>
              <w:widowControl/>
              <w:numPr>
                <w:ilvl w:val="0"/>
                <w:numId w:val="11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直流大电流短时输出：40A，8秒自动关断。</w:t>
            </w:r>
          </w:p>
          <w:p>
            <w:pPr>
              <w:keepNext w:val="0"/>
              <w:keepLines w:val="0"/>
              <w:widowControl/>
              <w:numPr>
                <w:ilvl w:val="0"/>
                <w:numId w:val="11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交流输出：a.各档空载电压不大于1.05 U标＋0.3V； b.各档满载电压不小于0.95 U标－0.3V。</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5、直流稳压输出：a. 电压偏调：±（2％U标＋0.1V） b. 电压稳定性：输入电压在198V－242V件变化，在满载时各档输出电压变化量不大于2％U标＋0.1V。 c. 负载稳定性：输入电压保持220V不变，负载电流在0至满载范围内变化，各档输出电压变化量不大于2％U标＋0.1V。 d. 纹波电压：电源电压保持220V，满载时各档纹波电压不大于0.1％U标（有效值）。</w:t>
            </w:r>
          </w:p>
          <w:p>
            <w:pPr>
              <w:keepNext w:val="0"/>
              <w:keepLines w:val="0"/>
              <w:widowControl/>
              <w:numPr>
                <w:ilvl w:val="0"/>
                <w:numId w:val="10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直流大电流短时输出电流大于10A时，20s±2s自动关断。输出短时电流为40A+10A，8 s±2自动关断 。</w:t>
            </w:r>
          </w:p>
          <w:p>
            <w:pPr>
              <w:keepNext w:val="0"/>
              <w:keepLines w:val="0"/>
              <w:widowControl/>
              <w:numPr>
                <w:ilvl w:val="0"/>
                <w:numId w:val="10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7.过载保护：交流和直流稳压输出电流在额定电流值的1.05－1.5倍时，自动关断输出。 8、机箱采用全塑料注塑成型，外形尺寸：250mm×200mm×115mm。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托盘天平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12"/>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最大称量100g，分度值0.1g。 </w:t>
            </w:r>
          </w:p>
          <w:p>
            <w:pPr>
              <w:keepNext w:val="0"/>
              <w:keepLines w:val="0"/>
              <w:widowControl/>
              <w:numPr>
                <w:ilvl w:val="0"/>
                <w:numId w:val="11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砝码组合的总质量（包括标尺计量值）应不小于天平的最大秤量；</w:t>
            </w:r>
          </w:p>
          <w:p>
            <w:pPr>
              <w:keepNext w:val="0"/>
              <w:keepLines w:val="0"/>
              <w:widowControl/>
              <w:numPr>
                <w:ilvl w:val="0"/>
                <w:numId w:val="11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冲压件表面应光洁平整。 </w:t>
            </w:r>
          </w:p>
          <w:p>
            <w:pPr>
              <w:keepNext w:val="0"/>
              <w:keepLines w:val="0"/>
              <w:widowControl/>
              <w:numPr>
                <w:ilvl w:val="0"/>
                <w:numId w:val="11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电镀件的镀层应色泽均匀，无露底和显见的麻点、水迹、擦伤等缺陷。 </w:t>
            </w:r>
          </w:p>
          <w:p>
            <w:pPr>
              <w:keepNext w:val="0"/>
              <w:keepLines w:val="0"/>
              <w:widowControl/>
              <w:numPr>
                <w:ilvl w:val="0"/>
                <w:numId w:val="11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油漆件表面应平整光滑，色泽均匀，无露底、起泡、挂漆、擦伤等缺陷。</w:t>
            </w:r>
          </w:p>
          <w:p>
            <w:pPr>
              <w:keepNext w:val="0"/>
              <w:keepLines w:val="0"/>
              <w:widowControl/>
              <w:numPr>
                <w:ilvl w:val="0"/>
                <w:numId w:val="11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附塑料镊子一把。</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托盘天平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13"/>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最大称量500g，分度值0.5 g。 </w:t>
            </w:r>
          </w:p>
          <w:p>
            <w:pPr>
              <w:keepNext w:val="0"/>
              <w:keepLines w:val="0"/>
              <w:widowControl/>
              <w:numPr>
                <w:ilvl w:val="0"/>
                <w:numId w:val="11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秤量允许误差为±0.5d(分度值)。 </w:t>
            </w:r>
          </w:p>
          <w:p>
            <w:pPr>
              <w:keepNext w:val="0"/>
              <w:keepLines w:val="0"/>
              <w:widowControl/>
              <w:numPr>
                <w:ilvl w:val="0"/>
                <w:numId w:val="11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砝码组合的总质量（包括标尺计量值）应不小于天平的最大秤量。 </w:t>
            </w:r>
          </w:p>
          <w:p>
            <w:pPr>
              <w:keepNext w:val="0"/>
              <w:keepLines w:val="0"/>
              <w:widowControl/>
              <w:numPr>
                <w:ilvl w:val="0"/>
                <w:numId w:val="11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冲压件表面应光洁平整，无毛刺、锋棱、裂纹。 </w:t>
            </w:r>
          </w:p>
          <w:p>
            <w:pPr>
              <w:keepNext w:val="0"/>
              <w:keepLines w:val="0"/>
              <w:widowControl/>
              <w:numPr>
                <w:ilvl w:val="0"/>
                <w:numId w:val="11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电镀件的镀层应色泽均匀，无露底和显见的麻点、水迹、擦伤等缺陷。</w:t>
            </w:r>
          </w:p>
          <w:p>
            <w:pPr>
              <w:keepNext w:val="0"/>
              <w:keepLines w:val="0"/>
              <w:widowControl/>
              <w:numPr>
                <w:ilvl w:val="0"/>
                <w:numId w:val="11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油漆件表面应平整光滑，色泽均匀，无露底、起泡、挂漆、擦伤等缺陷</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电子天平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100g，0.001g；</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1、电源电压：220VAC。</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2、采用高精度电磁平衡传达室感器，LED显示。</w:t>
            </w:r>
          </w:p>
          <w:p>
            <w:pPr>
              <w:keepNext w:val="0"/>
              <w:keepLines w:val="0"/>
              <w:widowControl/>
              <w:numPr>
                <w:ilvl w:val="0"/>
                <w:numId w:val="11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具有计数、确认、清零、校准。</w:t>
            </w:r>
          </w:p>
          <w:p>
            <w:pPr>
              <w:keepNext w:val="0"/>
              <w:keepLines w:val="0"/>
              <w:widowControl/>
              <w:numPr>
                <w:ilvl w:val="0"/>
                <w:numId w:val="11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防风罩一套，采用透明塑料注塑成型。</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电子天平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400g，0.1g。</w:t>
            </w:r>
          </w:p>
          <w:p>
            <w:pPr>
              <w:keepNext w:val="0"/>
              <w:keepLines w:val="0"/>
              <w:widowControl/>
              <w:numPr>
                <w:ilvl w:val="0"/>
                <w:numId w:val="114"/>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电源电压：220VAC。</w:t>
            </w:r>
          </w:p>
          <w:p>
            <w:pPr>
              <w:keepNext w:val="0"/>
              <w:keepLines w:val="0"/>
              <w:widowControl/>
              <w:numPr>
                <w:ilvl w:val="0"/>
                <w:numId w:val="11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采用高精度电磁平衡传达室感器，LED显示。</w:t>
            </w:r>
          </w:p>
          <w:p>
            <w:pPr>
              <w:keepNext w:val="0"/>
              <w:keepLines w:val="0"/>
              <w:widowControl/>
              <w:numPr>
                <w:ilvl w:val="0"/>
                <w:numId w:val="114"/>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具有计数、确认、清零、校准。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温度计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红液，0～100℃</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温度计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水银，0～200℃</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数字测温计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15"/>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工作参数：220V±10%.2W。</w:t>
            </w:r>
          </w:p>
          <w:p>
            <w:pPr>
              <w:keepNext w:val="0"/>
              <w:keepLines w:val="0"/>
              <w:widowControl/>
              <w:numPr>
                <w:ilvl w:val="0"/>
                <w:numId w:val="11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外形尺寸：200×175×80mm，塑料垂纹外壳，塑料仪器面板，有散热孔。</w:t>
            </w:r>
          </w:p>
          <w:p>
            <w:pPr>
              <w:keepNext w:val="0"/>
              <w:keepLines w:val="0"/>
              <w:widowControl/>
              <w:numPr>
                <w:ilvl w:val="0"/>
                <w:numId w:val="11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测温范围：-55～+199℃。</w:t>
            </w:r>
          </w:p>
          <w:p>
            <w:pPr>
              <w:keepNext w:val="0"/>
              <w:keepLines w:val="0"/>
              <w:widowControl/>
              <w:numPr>
                <w:ilvl w:val="0"/>
                <w:numId w:val="11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测量误差：±0.5℃。</w:t>
            </w:r>
          </w:p>
          <w:p>
            <w:pPr>
              <w:keepNext w:val="0"/>
              <w:keepLines w:val="0"/>
              <w:widowControl/>
              <w:numPr>
                <w:ilvl w:val="0"/>
                <w:numId w:val="115"/>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显示方式：</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多用电表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MF-47型，内磁表头。测量范围：直流电流：0～5～50～500mA,10A；直流电压：0～0.25～0.5～10～50～250～500～1000V，交流电压：0～10～50～250～500～1000V；直流电阻：X1～X10K；</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密度计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密度＞1 g/cm</w:t>
            </w:r>
            <w:r>
              <w:rPr>
                <w:rStyle w:val="481"/>
                <w:rFonts w:ascii="宋体" w:hAnsi="宋体" w:eastAsia="宋体" w:cs="宋体"/>
                <w:sz w:val="21"/>
                <w:szCs w:val="21"/>
                <w:lang w:val="en-US" w:eastAsia="zh-CN" w:bidi="ar"/>
              </w:rPr>
              <w:t>3</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密度计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密度＜1 g/cm</w:t>
            </w:r>
            <w:r>
              <w:rPr>
                <w:rStyle w:val="481"/>
                <w:rFonts w:ascii="宋体" w:hAnsi="宋体" w:eastAsia="宋体" w:cs="宋体"/>
                <w:sz w:val="21"/>
                <w:szCs w:val="21"/>
                <w:lang w:val="en-US" w:eastAsia="zh-CN" w:bidi="ar"/>
              </w:rPr>
              <w:t>3</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酸度计(pH计)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笔式    KL-009（I），仪器尺寸142mm×29mm×15mm，笔式，测量范围：0.0~14.0pH，分辨率：0.1PH，精度：±0.1PH(20℃)±0.2PH，工作电压：3×1.5V(AG13)，工作温度 ：0℃～50℃，校正：1点校正 。配备校正液2瓶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水电解演示器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1、使用电源电压：DC16～24V；</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2、底座（塑料）、玻管两支等组成；</w:t>
            </w:r>
          </w:p>
          <w:p>
            <w:pPr>
              <w:keepNext w:val="0"/>
              <w:keepLines w:val="0"/>
              <w:widowControl/>
              <w:numPr>
                <w:ilvl w:val="0"/>
                <w:numId w:val="11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电极为合金。</w:t>
            </w:r>
          </w:p>
          <w:p>
            <w:pPr>
              <w:keepNext w:val="0"/>
              <w:keepLines w:val="0"/>
              <w:widowControl/>
              <w:numPr>
                <w:ilvl w:val="0"/>
                <w:numId w:val="11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玻管：外径15±1mm，长度260±3mm，容积约35mL；</w:t>
            </w:r>
          </w:p>
          <w:p>
            <w:pPr>
              <w:keepNext w:val="0"/>
              <w:keepLines w:val="0"/>
              <w:widowControl/>
              <w:numPr>
                <w:ilvl w:val="0"/>
                <w:numId w:val="11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活塞密封性能良好。</w:t>
            </w:r>
          </w:p>
          <w:p>
            <w:pPr>
              <w:keepNext w:val="0"/>
              <w:keepLines w:val="0"/>
              <w:widowControl/>
              <w:numPr>
                <w:ilvl w:val="0"/>
                <w:numId w:val="11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玻件应光洁透明，厚度不小于1mm，烧结口厚薄均匀，平整光滑牢固；</w:t>
            </w:r>
          </w:p>
          <w:p>
            <w:pPr>
              <w:keepNext w:val="0"/>
              <w:keepLines w:val="0"/>
              <w:widowControl/>
              <w:numPr>
                <w:ilvl w:val="0"/>
                <w:numId w:val="11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底座稳固。</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水电解实验器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16"/>
              </w:numPr>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使用电源电压：DC16～24V；</w:t>
            </w:r>
          </w:p>
          <w:p>
            <w:pPr>
              <w:keepNext w:val="0"/>
              <w:keepLines w:val="0"/>
              <w:widowControl/>
              <w:numPr>
                <w:ilvl w:val="0"/>
                <w:numId w:val="116"/>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底座（塑料）、玻管两支等组成；</w:t>
            </w:r>
          </w:p>
          <w:p>
            <w:pPr>
              <w:keepNext w:val="0"/>
              <w:keepLines w:val="0"/>
              <w:widowControl/>
              <w:numPr>
                <w:ilvl w:val="0"/>
                <w:numId w:val="116"/>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电极为合金。</w:t>
            </w:r>
          </w:p>
          <w:p>
            <w:pPr>
              <w:keepNext w:val="0"/>
              <w:keepLines w:val="0"/>
              <w:widowControl/>
              <w:numPr>
                <w:ilvl w:val="0"/>
                <w:numId w:val="116"/>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玻管：外径15±1mm，长度260±3mm，容积约35mL；</w:t>
            </w:r>
          </w:p>
          <w:p>
            <w:pPr>
              <w:keepNext w:val="0"/>
              <w:keepLines w:val="0"/>
              <w:widowControl/>
              <w:numPr>
                <w:ilvl w:val="0"/>
                <w:numId w:val="116"/>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活塞密封性能良好。</w:t>
            </w:r>
          </w:p>
          <w:p>
            <w:pPr>
              <w:keepNext w:val="0"/>
              <w:keepLines w:val="0"/>
              <w:widowControl/>
              <w:numPr>
                <w:ilvl w:val="0"/>
                <w:numId w:val="116"/>
              </w:numPr>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玻件应光洁透明，厚度不小于1mm，烧结口厚薄均匀，平整光滑牢固，底座稳固。</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原电池实验器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17"/>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供中学化学课学生分组进行原电池实验用2、产品由容器、电极板（铜板、锌板、铝板）、电极卡、容器盖、接线柱组成。</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3、容器由透明塑料制成。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玻璃仪器刷洗器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机械式。产品由主机、旋转轴、水管等组成，1、主机外壳为金属制，表面烤漆处理，外形尺寸：230mm×130mm×90mm。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2、工作电压：220V 50Hz，功率：30W，转速：2500y/min。</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贮气装置</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1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产品为注塑成型，主要由注水室、出水管、导气阀、贮气室、底座、乳胶管组成。</w:t>
            </w:r>
          </w:p>
          <w:p>
            <w:pPr>
              <w:keepNext w:val="0"/>
              <w:keepLines w:val="0"/>
              <w:widowControl/>
              <w:numPr>
                <w:ilvl w:val="0"/>
                <w:numId w:val="11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贮气装置外形尺寸直径160mm,高200mm。3、贮气装置用透明塑料和ABS工程塑料注塑成型、表面清晰、无划痕、气泡、飞边等现象。</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4、贮气装置集气容量3000ml。</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5、各焊接部位焊接牢固、密封、无漏气现象。6、符合JY0001－2003《教学仪器设备产品一般质量要求》的有关规定。　</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初中微型化学实验箱</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为微型器件，由泡沫塑料定位包装。器材包括：烧杯250ml1个、试管2支、小酒精灯1个、玻璃尖管1根、玻璃弯管120度2个、直角弯管带塞1个、直角玻管3个、具支玻管2个、小漏斗1个、玻棒1根、蒸发皿1个、表面皿1个、玻璃瓶4个、药匙1个、水槽1个、多用滴管5个、井穴板2个、乳胶管1根、橡胶塞3个。</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分子间隔实验器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化学实验废水处理装置(22L)</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型号26017、仪器尺寸：365*365*760mm ，适应中学化学实验室废液处理的需要，单次可处理废液不少于22L，双搅拌，带循环泵和过滤装置。具有体积小、净化效果好、制作工艺精良、对锰、铜、锌、铅、铬、银等金属离子污染物净化收集，对有机磷化合物、砷化物、BOD、COD等部分去除,可以直接排放。化学反应后采用液相分离与固相吸附相结合的方式，净化实验所产生的废液。整机为半透明高分子耐腐蚀材料制造,支撑脚采用直径20mm的透明材料。耐热、耐酸碱和有机溶剂腐蚀，无振动、噪声低。设计有反应槽、搅拌机、竖式PH计(选配)，过滤槽、过滤孔，吸附槽、排水孔。具有双重分享与多重净化的特点。吸附剂为微粒子碳纤维，净化效果好。包装尺寸：410*410*715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元素学习卡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学习元素名称、符号用。由白板纸彩色印刷制作，</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炼铁高炉模型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1、产品为炼铁高炉缩小模型，能反映内部结构。</w:t>
            </w:r>
          </w:p>
          <w:p>
            <w:pPr>
              <w:keepNext w:val="0"/>
              <w:keepLines w:val="0"/>
              <w:widowControl/>
              <w:numPr>
                <w:ilvl w:val="-1"/>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2、它主要由炉喉、炉身、炉腹、炉缸等五个部分组成。</w:t>
            </w:r>
          </w:p>
          <w:p>
            <w:pPr>
              <w:keepNext w:val="0"/>
              <w:keepLines w:val="0"/>
              <w:widowControl/>
              <w:numPr>
                <w:ilvl w:val="0"/>
                <w:numId w:val="118"/>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有两个进口（进料口和进风口），三个出口（出铁口、出渣口和高炉煤气出口）。</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初中分子结构模型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球直径23mm，塑料棍，散装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初中分子结构模型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演示用，氢原子球直径不小于30mm，其他原子球直径不小于40mm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金刚石结构模型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演示用，  小的， 球直径23mm，塑料棍，散装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金刚石结构模型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球直径23mm，塑料棍，组装好</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石墨结构模型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球直径23mm，塑料棍，散装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石墨结构模型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球直径23mm，塑料棍，组装好</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碳-60结构模型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球直径23mm，塑料棍，散装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碳-60结构模型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球直径23mm，塑料棍，组装好</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氯化钠晶体结构模型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球直径23mm，塑料棍，散装</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碳的同素异形体结构模型</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包括金刚石,石墨,碳-60三种结构模型;小型,球管式,</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金属矿物、金属及合金标本</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各类不少于5种</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原油常见馏分标本</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不小于8种</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合成有机高分子材料标本</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不少于10种</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新型无机非金属材料标本</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氧化铝陶瓷,氮化硅陶瓷,光导纤维等</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量杯</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容量瓶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容量瓶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滴定管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酸式，25mL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滴定管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碱式，25mL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Φ12mm×70mm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Φ15mm×150mm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Φ18mm×180mm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Φ20mm×200mm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Φ32mm×200mm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具支试管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Φ20mm×200mm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硬质玻璃管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Φ15mm×150mm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硬质玻璃管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Φ20mm×250mm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圆、长，250mL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平、长，250mL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锥形瓶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锥形瓶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蒸馏烧瓶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酒精灯</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150mL含灯芯</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抽滤瓶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抽气管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干燥器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气体发生器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冷凝器</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直固，300mm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牛角管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弯形，Φ18mm×150mm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漏斗</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漏斗</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安全漏斗</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直形</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安全漏斗</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双球</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分液漏斗</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锥形，100mL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分液漏斗</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梨形，50mL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布氏漏斗</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瓷，80mm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T形管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直径Φ7－8mm，直通管长度100mm，垂直管长度50mm。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Y形管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1、弯管长：50mm±5mm；支管长：50mm±5mm；管厚：1±0.2mm；管径：Φ7mm－8mm；全高：100mm±5mm。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2、弯管角度：60º±3º。</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1、由玻璃滴管和胶头组成。</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2、规格：150mm；管身Φ7mm－8mm；管全长：150mm±10mm；喇叭口Φ10mm±1mm。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3、球距上管口长：50mm±5mm。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干燥管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单球，150mm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干燥管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U型，Φ15mm×150mm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直形</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圆水槽</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Φ200mm×100mm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圆水槽</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Φ270mm×140mm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玻璃钟罩</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Φ150mm×280mm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集气瓶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集气瓶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液封除毒气集气瓶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茶，60mL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茶，125mL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茶，60mL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茶，125mL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茶，250mL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茶，500mL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细口瓶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茶，1000mL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茶，30mL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滴瓶</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茶，60mL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坩埚</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瓷，30mL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坩埚钳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19"/>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产品钢制，表面电镀处理。总长度约220mm。</w:t>
            </w:r>
          </w:p>
          <w:p>
            <w:pPr>
              <w:keepNext w:val="0"/>
              <w:keepLines w:val="0"/>
              <w:widowControl/>
              <w:numPr>
                <w:ilvl w:val="0"/>
                <w:numId w:val="119"/>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钳子的夹持端为弯头，端头应有齿纹，便于夹住物体，吻合一致。</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烧杯夹</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1、产品用厚度为2㎜的不锈钢板制造。总长度为300mm，宽度为20㎜。</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2、产品制作应光滑、平整、无缺陷。</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3、产品的夹持端为菱形，吻合应一致。</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镊子</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 镊子用不锈钢板材制成。镊子的宽度不小于9mm，镊子的长度为160±5mm。</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2、镊子制作应光滑、平整、无缺陷。</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3、镊子的夹持端应有齿纹，便于夹住物体，吻合一致，弹性好。</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试管夹</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numPr>
                <w:ilvl w:val="0"/>
                <w:numId w:val="120"/>
              </w:numPr>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产品为竹制品。</w:t>
            </w:r>
          </w:p>
          <w:p>
            <w:pPr>
              <w:keepNext w:val="0"/>
              <w:keepLines w:val="0"/>
              <w:widowControl/>
              <w:numPr>
                <w:ilvl w:val="0"/>
                <w:numId w:val="120"/>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长度170mm，宽度12mm，厚度7.5mm。</w:t>
            </w:r>
          </w:p>
          <w:p>
            <w:pPr>
              <w:keepNext w:val="0"/>
              <w:keepLines w:val="0"/>
              <w:widowControl/>
              <w:numPr>
                <w:ilvl w:val="0"/>
                <w:numId w:val="120"/>
              </w:numPr>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试管夹弹簧有足够弹性，作防锈处理。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止水皮管夹</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 产品用直径Φ1.5mm的钢丝制成。应作防锈处理。</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2、产品制作应光滑、平整、无缺陷。</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3、产品的夹持角度不小于60º。夹子的夹持应可靠，吻合好，弹性好。</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螺旋皮管夹</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1、产品用钢材制成，应作防锈处理。</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 产品制作应光滑、平整、无缺陷。</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3、产品的夹持范围最大应不小于20mm，夹子的夹持应可靠，吻合好。</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4、螺母与螺杆螺纹应吻合好，旋动轻便，不应有卡死现象。</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石棉网</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1、产品由金属网和附在网上的石棉组成。</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2、金属网由Φ0.1mm左右的钢丝编织而成，密度均匀，织网密度间距不大于2mm，金属网为边长不小于100mm的正方形，边缘应作卷边处理，不散网、不翘丝。</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3、金属网上所附石棉圈为双面附着的正圆形，直径不小于Φ100mm，厚度为3mm左右，要求不散、不裂、不脱落。</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4、整体应平整，不翘角。</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燃烧匙</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21"/>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产品由半圆面和金属丝结合制成。</w:t>
            </w:r>
          </w:p>
          <w:p>
            <w:pPr>
              <w:keepNext w:val="0"/>
              <w:keepLines w:val="0"/>
              <w:widowControl/>
              <w:numPr>
                <w:ilvl w:val="0"/>
                <w:numId w:val="121"/>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半圆面为铜材制造，直径Φ为20mm左右。3、金属丝约用Φ2mm的钢丝或铁丝制造，长度为240mm左右。</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药匙</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22"/>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药匙采用塑料制成。药匙的宽度约10mm，长度为120±5mm。</w:t>
            </w:r>
          </w:p>
          <w:p>
            <w:pPr>
              <w:keepNext w:val="0"/>
              <w:keepLines w:val="0"/>
              <w:widowControl/>
              <w:numPr>
                <w:ilvl w:val="0"/>
                <w:numId w:val="122"/>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产品制作应光滑、平整、无毛剌、无缺陷。</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Φ5～Φ6mm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Φ7～Φ8mm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Φ3～Φ4mm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玻璃棒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Φ5～Φ6mm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软胶塞</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1、产品用天然橡胶制造，白色。</w:t>
            </w:r>
          </w:p>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2、每包软胶塞由0~10号的胶塞组成，要求搭配合理。</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橡胶管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 产品用天然橡胶制造。</w:t>
            </w:r>
          </w:p>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2、产品内径为7~8mm，壁厚1mm。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乳胶管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1、产品用乳胶制造。</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2、产品内径为5~6mm，壁厚1mm。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 产品每根之长度应不少于10m。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试管刷</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1、产品由金属丝和绞合在其上的猪鬃毛制成。</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2、金属丝用约Φ1.5mm左右的镀锌铁丝2根绞合，总长度不小于200mm。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3、制成的试管刷要求不散、不脱毛。</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烧瓶刷</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1、产品由金属丝和绞合在其上的猪鬃毛制成。</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2、金属丝用约Φ1.5mm左右的镀锌铁丝2根绞合，总长度不小于200mm。</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3、制成的烧瓶刷呈鼓形，最大直径约Φ60mm，长度约100mm，要求不散、脱毛。</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25  </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结晶皿</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表面皿</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表面皿</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研钵</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瓷，60mm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研钵</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瓷，90mm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蒸发皿</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瓷，60mm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蒸发皿</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瓷，100mm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反应板</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至少6穴</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井穴板</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产品为透明塑料注塑料成型。9孔，0.7mL×9。整体外形尺寸：115mm×11mm×15mm。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井穴板</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产品为透明塑料注塑料成型。6孔，5mL×6。整体外形尺寸：80mm×55mm×22mm。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塑料多用滴管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4mL</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铝片</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铝箔</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铝丝</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锌粒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还原铁粉</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铁丝</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锡粒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铅粒</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紫铜片</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铜丝</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碘</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活性炭</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二氧化锰</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三氧化二铁</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氧化铜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氯化钾</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氯化钠</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氯化钠</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氯化钙</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无水氯化钙</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氯化镁</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三氯化铁</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氯化铵</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碘化钾</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硫酸钾</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硫酸铝</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硫酸铜(蓝矾、胆矾)</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硫酸铵</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硫酸铝钾(明矾)</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无水硫酸铜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碳酸钾</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碳酸钠</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碳酸氢钠</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大理石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粒状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碳酸氢铵</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碱式碳酸铜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乙酸铅</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氢氧化钡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氧化钙(生石灰)</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氢氧化钙(熟石灰)</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碱石灰</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无水乙酸钠</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柠檬酸钠</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葡萄糖</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蔗糖</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酒精</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煤油</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石蕊</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指示剂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0.025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酚酞</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指示剂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0.025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品红</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染料</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0.025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pH广范围试纸</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蓝石蕊试纸</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蓝色</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红石蕊试纸</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红色</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定性滤纸</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快速，9cm，100张</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草酸</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氯化钡</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甲酸</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乙酸</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氢氧化钾</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氢氧化钠</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试剂</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氢氧化钠</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千克</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化学危化品室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一字螺丝刀</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中号，木制或塑料手柄，长度为160mm。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十字螺丝刀</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中号，木制或塑料手柄，长度为160mm。</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钢丝钳</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规格：150mm，镀铬双色塑柄，45﹟钢，</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手锤</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0.5kg</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锉刀</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平中齿，150mm，带手柄</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剪刀</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民用，150mm，尖头</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工作服</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防酸碱   由白色布料制成。</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护目镜</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全塑料制，侧面完全遮挡。眼架的距离可调。</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防护面罩</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1、产品由透明有机玻璃和帽架组成。</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2、面罩应清洁透明，应无波纹、无划伤、裂纹。</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3、帽架应采用韧性好的材料制作，不易拆断、变形。</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4、面罩与帽架的连接应牢固可靠。帽架系带应宜于调整松紧。</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防毒口罩</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1、</w:t>
            </w:r>
            <w:r>
              <w:rPr>
                <w:rFonts w:hint="eastAsia" w:ascii="宋体" w:hAnsi="宋体" w:eastAsia="宋体" w:cs="宋体"/>
                <w:i w:val="0"/>
                <w:iCs w:val="0"/>
                <w:color w:val="000000"/>
                <w:sz w:val="21"/>
                <w:szCs w:val="21"/>
                <w:u w:val="none"/>
              </w:rPr>
              <w:t>直接式防毒口罩。</w:t>
            </w:r>
          </w:p>
          <w:p>
            <w:pPr>
              <w:numPr>
                <w:ilvl w:val="-1"/>
                <w:numId w:val="0"/>
              </w:numPr>
              <w:jc w:val="left"/>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2、</w:t>
            </w:r>
            <w:r>
              <w:rPr>
                <w:rFonts w:hint="eastAsia" w:ascii="宋体" w:hAnsi="宋体" w:eastAsia="宋体" w:cs="宋体"/>
                <w:i w:val="0"/>
                <w:iCs w:val="0"/>
                <w:color w:val="000000"/>
                <w:sz w:val="21"/>
                <w:szCs w:val="21"/>
                <w:u w:val="none"/>
              </w:rPr>
              <w:t>由主体、滤毒盒、滤毒材料、吸气阀和系带组成。</w:t>
            </w:r>
          </w:p>
          <w:p>
            <w:pPr>
              <w:numPr>
                <w:ilvl w:val="0"/>
                <w:numId w:val="122"/>
              </w:numPr>
              <w:jc w:val="left"/>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口罩能完全罩住口、鼻不漏气。</w:t>
            </w:r>
          </w:p>
          <w:p>
            <w:pPr>
              <w:numPr>
                <w:ilvl w:val="0"/>
                <w:numId w:val="122"/>
              </w:numPr>
              <w:jc w:val="left"/>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系带可调节松紧。</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耐酸手套</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1、产品为橡胶制品，长袖口带五指套。</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2、应耐强酸、强碱及氧化剂、还原剂等化学药品试剂的腐蚀，并结实耐用。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3、冬季不得发硬，夏季不得粘连。</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4、各部位应完整严密，无开裂和小孔。</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简易急救箱</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急救箱内应配备以下药品及器材：酒精棉球1瓶；红霉素软膏1支；甲紫溶液1瓶；碘酒1瓶；医用脱脂纱布1包；医用棉签1包；医用绷带1卷；橡皮胶1卷；创可贴5条；旅行剪刀1把；镊子1把。塑料箱1个。</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实验防护屏</w:t>
            </w:r>
          </w:p>
        </w:tc>
        <w:tc>
          <w:tcPr>
            <w:tcW w:w="4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23"/>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产品为三片折叠式结构，由透明度好的有机玻璃制造。</w:t>
            </w:r>
          </w:p>
          <w:p>
            <w:pPr>
              <w:keepNext w:val="0"/>
              <w:keepLines w:val="0"/>
              <w:widowControl/>
              <w:numPr>
                <w:ilvl w:val="0"/>
                <w:numId w:val="12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尺寸300mm×290mm一块，尺寸300mm×145mm二块，厚度不小于2mm。</w:t>
            </w:r>
          </w:p>
          <w:p>
            <w:pPr>
              <w:keepNext w:val="0"/>
              <w:keepLines w:val="0"/>
              <w:widowControl/>
              <w:numPr>
                <w:ilvl w:val="0"/>
                <w:numId w:val="12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防护屏支撑牢靠，平稳。</w:t>
            </w:r>
          </w:p>
          <w:p>
            <w:pPr>
              <w:keepNext w:val="0"/>
              <w:keepLines w:val="0"/>
              <w:widowControl/>
              <w:numPr>
                <w:ilvl w:val="0"/>
                <w:numId w:val="123"/>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合叶与屏板连接牢靠，经多次开合不得脱落。 </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废液桶</w:t>
            </w:r>
          </w:p>
        </w:tc>
        <w:tc>
          <w:tcPr>
            <w:tcW w:w="4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实验室废液收集桶25l耐酸碱化学试剂废液桶25kg塑料化工桶酒精桶</w:t>
            </w:r>
          </w:p>
        </w:tc>
        <w:tc>
          <w:tcPr>
            <w:tcW w:w="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化学仪器准备室</w:t>
            </w:r>
          </w:p>
        </w:tc>
      </w:tr>
    </w:tbl>
    <w:p>
      <w:pPr>
        <w:pStyle w:val="22"/>
        <w:ind w:left="-619" w:leftChars="-295" w:firstLine="0" w:firstLineChars="0"/>
        <w:rPr>
          <w:rFonts w:hint="eastAsia"/>
          <w:b/>
          <w:bCs/>
          <w:sz w:val="21"/>
          <w:szCs w:val="21"/>
        </w:rPr>
      </w:pPr>
    </w:p>
    <w:p>
      <w:pPr>
        <w:pStyle w:val="22"/>
        <w:rPr>
          <w:rFonts w:hint="eastAsia"/>
          <w:b/>
          <w:bCs/>
          <w:sz w:val="21"/>
          <w:szCs w:val="21"/>
          <w:lang w:val="en-US" w:eastAsia="zh-CN"/>
        </w:rPr>
      </w:pPr>
      <w:r>
        <w:rPr>
          <w:rFonts w:hint="eastAsia"/>
          <w:b/>
          <w:bCs/>
          <w:sz w:val="21"/>
          <w:szCs w:val="21"/>
          <w:lang w:val="en-US" w:eastAsia="zh-CN"/>
        </w:rPr>
        <w:t>实验室平面</w:t>
      </w:r>
    </w:p>
    <w:p>
      <w:pPr>
        <w:pStyle w:val="22"/>
        <w:rPr>
          <w:rFonts w:hint="default"/>
          <w:b/>
          <w:bCs/>
          <w:sz w:val="21"/>
          <w:szCs w:val="21"/>
          <w:lang w:val="en-US" w:eastAsia="zh-CN"/>
        </w:rPr>
      </w:pPr>
      <w:r>
        <w:drawing>
          <wp:inline distT="0" distB="0" distL="114300" distR="114300">
            <wp:extent cx="5275580" cy="2587625"/>
            <wp:effectExtent l="0" t="0" r="1270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5580" cy="2587625"/>
                    </a:xfrm>
                    <a:prstGeom prst="rect">
                      <a:avLst/>
                    </a:prstGeom>
                    <a:noFill/>
                    <a:ln>
                      <a:noFill/>
                    </a:ln>
                  </pic:spPr>
                </pic:pic>
              </a:graphicData>
            </a:graphic>
          </wp:inline>
        </w:drawing>
      </w:r>
      <w:r>
        <w:drawing>
          <wp:inline distT="0" distB="0" distL="114300" distR="114300">
            <wp:extent cx="5278120" cy="2316480"/>
            <wp:effectExtent l="0" t="0" r="1016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8120" cy="2316480"/>
                    </a:xfrm>
                    <a:prstGeom prst="rect">
                      <a:avLst/>
                    </a:prstGeom>
                    <a:noFill/>
                    <a:ln>
                      <a:noFill/>
                    </a:ln>
                  </pic:spPr>
                </pic:pic>
              </a:graphicData>
            </a:graphic>
          </wp:inline>
        </w:drawing>
      </w:r>
    </w:p>
    <w:p>
      <w:pPr>
        <w:pStyle w:val="36"/>
        <w:rPr>
          <w:rFonts w:hint="eastAsia"/>
        </w:rPr>
      </w:pPr>
      <w:r>
        <w:br w:type="page"/>
      </w:r>
    </w:p>
    <w:bookmarkEnd w:id="44"/>
    <w:p>
      <w:pPr>
        <w:pStyle w:val="6"/>
        <w:spacing w:before="120" w:beforeLines="50" w:after="120" w:afterLines="50"/>
        <w:rPr>
          <w:sz w:val="28"/>
          <w:szCs w:val="28"/>
        </w:rPr>
      </w:pP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43"/>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vAlign w:val="center"/>
          </w:tcPr>
          <w:p>
            <w:pPr>
              <w:jc w:val="center"/>
              <w:rPr>
                <w:b/>
              </w:rPr>
            </w:pPr>
            <w:r>
              <w:rPr>
                <w:rFonts w:hint="eastAsia"/>
                <w:b/>
              </w:rPr>
              <w:t>序号</w:t>
            </w:r>
          </w:p>
        </w:tc>
        <w:tc>
          <w:tcPr>
            <w:tcW w:w="1457" w:type="dxa"/>
            <w:vAlign w:val="center"/>
          </w:tcPr>
          <w:p>
            <w:pPr>
              <w:jc w:val="center"/>
              <w:rPr>
                <w:b/>
              </w:rPr>
            </w:pPr>
            <w:r>
              <w:rPr>
                <w:rFonts w:hint="eastAsia"/>
                <w:b/>
              </w:rPr>
              <w:t>商务需求项</w:t>
            </w:r>
          </w:p>
        </w:tc>
        <w:tc>
          <w:tcPr>
            <w:tcW w:w="6523" w:type="dxa"/>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Align w:val="center"/>
          </w:tcPr>
          <w:p>
            <w:pPr>
              <w:jc w:val="center"/>
              <w:rPr>
                <w:bCs/>
              </w:rPr>
            </w:pPr>
            <w:r>
              <w:rPr>
                <w:rFonts w:hint="eastAsia"/>
                <w:bCs/>
              </w:rPr>
              <w:t>1</w:t>
            </w:r>
          </w:p>
        </w:tc>
        <w:tc>
          <w:tcPr>
            <w:tcW w:w="1457" w:type="dxa"/>
            <w:vAlign w:val="center"/>
          </w:tcPr>
          <w:p>
            <w:pPr>
              <w:jc w:val="center"/>
            </w:pPr>
            <w:r>
              <w:rPr>
                <w:rFonts w:hint="eastAsia" w:ascii="宋体" w:hAnsi="宋体"/>
                <w:sz w:val="21"/>
                <w:szCs w:val="21"/>
              </w:rPr>
              <w:t>维修响应及故障解决时间</w:t>
            </w:r>
          </w:p>
        </w:tc>
        <w:tc>
          <w:tcPr>
            <w:tcW w:w="6523" w:type="dxa"/>
            <w:vAlign w:val="top"/>
          </w:tcPr>
          <w:p>
            <w:pPr>
              <w:rPr>
                <w:b/>
              </w:rPr>
            </w:pPr>
            <w:r>
              <w:rPr>
                <w:rFonts w:hint="eastAsia" w:ascii="宋体" w:hAnsi="宋体"/>
                <w:bCs/>
                <w:sz w:val="21"/>
                <w:szCs w:val="21"/>
              </w:rPr>
              <w:t>在保修期内，一旦发生质量问题，投标人保证在接到通知</w:t>
            </w:r>
            <w:r>
              <w:rPr>
                <w:rFonts w:ascii="宋体" w:hAnsi="宋体"/>
                <w:bCs/>
                <w:sz w:val="21"/>
                <w:szCs w:val="21"/>
              </w:rPr>
              <w:t>24</w:t>
            </w:r>
            <w:r>
              <w:rPr>
                <w:rFonts w:hint="eastAsia" w:ascii="宋体" w:hAnsi="宋体"/>
                <w:bCs/>
                <w:sz w:val="21"/>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vAlign w:val="center"/>
          </w:tcPr>
          <w:p>
            <w:pPr>
              <w:jc w:val="center"/>
              <w:rPr>
                <w:szCs w:val="21"/>
              </w:rPr>
            </w:pPr>
            <w:r>
              <w:rPr>
                <w:rFonts w:hint="eastAsia"/>
                <w:szCs w:val="21"/>
              </w:rPr>
              <w:t>2</w:t>
            </w:r>
          </w:p>
        </w:tc>
        <w:tc>
          <w:tcPr>
            <w:tcW w:w="1457" w:type="dxa"/>
            <w:vMerge w:val="restart"/>
            <w:vAlign w:val="center"/>
          </w:tcPr>
          <w:p>
            <w:pPr>
              <w:jc w:val="center"/>
              <w:rPr>
                <w:szCs w:val="21"/>
              </w:rPr>
            </w:pPr>
            <w:r>
              <w:rPr>
                <w:rFonts w:hint="eastAsia" w:ascii="宋体" w:hAnsi="宋体"/>
                <w:sz w:val="21"/>
                <w:szCs w:val="21"/>
              </w:rPr>
              <w:t>关于免费保修期</w:t>
            </w:r>
          </w:p>
        </w:tc>
        <w:tc>
          <w:tcPr>
            <w:tcW w:w="6523" w:type="dxa"/>
            <w:vAlign w:val="top"/>
          </w:tcPr>
          <w:p>
            <w:pPr>
              <w:rPr>
                <w:rFonts w:ascii="宋体" w:hAnsi="宋体"/>
                <w:bCs/>
                <w:sz w:val="21"/>
                <w:szCs w:val="21"/>
              </w:rPr>
            </w:pPr>
            <w:r>
              <w:rPr>
                <w:rFonts w:hint="eastAsia" w:ascii="宋体" w:hAnsi="宋体" w:cs="宋体"/>
                <w:b/>
                <w:color w:val="FF0000"/>
                <w:sz w:val="21"/>
                <w:szCs w:val="21"/>
              </w:rPr>
              <w:t>★</w:t>
            </w:r>
            <w:r>
              <w:rPr>
                <w:rFonts w:hint="eastAsia" w:ascii="宋体" w:hAnsi="宋体" w:cs="宋体"/>
                <w:sz w:val="21"/>
                <w:szCs w:val="21"/>
              </w:rPr>
              <w:t>2.1</w:t>
            </w:r>
            <w:r>
              <w:rPr>
                <w:rFonts w:hint="eastAsia" w:ascii="宋体" w:hAnsi="宋体"/>
                <w:sz w:val="21"/>
                <w:szCs w:val="21"/>
              </w:rPr>
              <w:t>免费保修期</w:t>
            </w:r>
            <w:r>
              <w:rPr>
                <w:rFonts w:hint="eastAsia" w:ascii="宋体" w:hAnsi="宋体"/>
                <w:bCs/>
                <w:sz w:val="21"/>
                <w:szCs w:val="21"/>
              </w:rPr>
              <w:t>：</w:t>
            </w:r>
            <w:r>
              <w:rPr>
                <w:rFonts w:hint="eastAsia" w:ascii="宋体" w:hAnsi="宋体"/>
                <w:sz w:val="21"/>
                <w:szCs w:val="21"/>
              </w:rPr>
              <w:t>免费保修期</w:t>
            </w:r>
            <w:r>
              <w:rPr>
                <w:rFonts w:hint="eastAsia" w:ascii="宋体" w:hAnsi="宋体"/>
                <w:bCs/>
                <w:sz w:val="21"/>
                <w:szCs w:val="21"/>
              </w:rPr>
              <w:t>自货物最终验收合格并交付使用之日起</w:t>
            </w:r>
            <w:r>
              <w:rPr>
                <w:rFonts w:hint="eastAsia" w:ascii="宋体" w:hAnsi="宋体"/>
                <w:b/>
                <w:color w:val="FF0000"/>
                <w:sz w:val="21"/>
                <w:szCs w:val="21"/>
              </w:rPr>
              <w:t>3年</w:t>
            </w:r>
            <w:r>
              <w:rPr>
                <w:rFonts w:hint="eastAsia" w:ascii="宋体" w:hAnsi="宋体"/>
                <w:bCs/>
                <w:sz w:val="21"/>
                <w:szCs w:val="21"/>
              </w:rPr>
              <w:t>。在</w:t>
            </w:r>
            <w:r>
              <w:rPr>
                <w:rFonts w:hint="eastAsia" w:ascii="宋体" w:hAnsi="宋体"/>
                <w:sz w:val="21"/>
                <w:szCs w:val="21"/>
              </w:rPr>
              <w:t>免费保修期</w:t>
            </w:r>
            <w:r>
              <w:rPr>
                <w:rFonts w:hint="eastAsia" w:ascii="宋体" w:hAnsi="宋体"/>
                <w:bCs/>
                <w:sz w:val="21"/>
                <w:szCs w:val="21"/>
              </w:rPr>
              <w:t>内，一旦发生质量问题，投标人保证在接到通知12小时内赶到现场进行修理或更换，</w:t>
            </w:r>
            <w:r>
              <w:rPr>
                <w:rFonts w:hint="eastAsia" w:ascii="宋体" w:hAnsi="宋体"/>
                <w:sz w:val="21"/>
                <w:szCs w:val="21"/>
              </w:rPr>
              <w:t>免费保修期</w:t>
            </w:r>
            <w:r>
              <w:rPr>
                <w:rFonts w:hint="eastAsia" w:ascii="宋体" w:hAnsi="宋体"/>
                <w:bCs/>
                <w:sz w:val="21"/>
                <w:szCs w:val="21"/>
              </w:rPr>
              <w:t>内中标供应商负责免费维修及更换配件。</w:t>
            </w:r>
          </w:p>
          <w:p>
            <w:pPr>
              <w:rPr>
                <w:rFonts w:ascii="宋体" w:hAnsi="宋体"/>
                <w:bCs/>
                <w:sz w:val="21"/>
                <w:szCs w:val="21"/>
              </w:rPr>
            </w:pPr>
            <w:r>
              <w:rPr>
                <w:rFonts w:hint="eastAsia" w:ascii="宋体" w:hAnsi="宋体"/>
                <w:sz w:val="21"/>
                <w:szCs w:val="21"/>
              </w:rPr>
              <w:t>2.2免费保修期</w:t>
            </w:r>
            <w:r>
              <w:rPr>
                <w:rFonts w:hint="eastAsia" w:ascii="宋体" w:hAnsi="宋体"/>
                <w:bCs/>
                <w:sz w:val="21"/>
                <w:szCs w:val="21"/>
              </w:rPr>
              <w:t>内，非采购人的人为原因而出现产品质量及安装问题，由中标供应商负责包修、包换或包退，并承担因此而产生的一切费用。</w:t>
            </w:r>
          </w:p>
          <w:p>
            <w:pPr>
              <w:rPr>
                <w:b/>
                <w:szCs w:val="21"/>
              </w:rPr>
            </w:pPr>
            <w:r>
              <w:rPr>
                <w:rFonts w:hint="eastAsia" w:ascii="宋体" w:hAnsi="宋体"/>
                <w:bCs/>
                <w:sz w:val="21"/>
                <w:szCs w:val="21"/>
              </w:rPr>
              <w:t>2.3所有货物质保服务方式均为中标供应商上门服务，即由中标供应商派员到货物使用现场维修，由此产生的一切费用均由中标供应商承担。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vAlign w:val="center"/>
          </w:tcPr>
          <w:p>
            <w:pPr>
              <w:jc w:val="center"/>
              <w:rPr>
                <w:b/>
              </w:rPr>
            </w:pPr>
          </w:p>
        </w:tc>
        <w:tc>
          <w:tcPr>
            <w:tcW w:w="1457" w:type="dxa"/>
            <w:vMerge w:val="continue"/>
            <w:vAlign w:val="center"/>
          </w:tcPr>
          <w:p/>
        </w:tc>
        <w:tc>
          <w:tcPr>
            <w:tcW w:w="6523" w:type="dxa"/>
            <w:vAlign w:val="center"/>
          </w:tcPr>
          <w:p>
            <w:pPr>
              <w:rPr>
                <w:bCs/>
                <w:szCs w:val="21"/>
              </w:rPr>
            </w:pPr>
            <w:r>
              <w:rPr>
                <w:rFonts w:hint="eastAsia" w:ascii="宋体" w:hAnsi="宋体"/>
                <w:bCs/>
                <w:sz w:val="21"/>
                <w:szCs w:val="21"/>
              </w:rPr>
              <w:t>投标人应按其投标文件中的承诺，进行其他售后服务工作。投标人提供的服务应与投标人在招标文件中承诺的范围一致。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b/>
              </w:rPr>
            </w:pPr>
            <w:r>
              <w:rPr>
                <w:rFonts w:hint="eastAsia"/>
                <w:szCs w:val="21"/>
              </w:rPr>
              <w:t>3</w:t>
            </w:r>
          </w:p>
        </w:tc>
        <w:tc>
          <w:tcPr>
            <w:tcW w:w="1457" w:type="dxa"/>
            <w:vAlign w:val="center"/>
          </w:tcPr>
          <w:p>
            <w:pPr>
              <w:jc w:val="center"/>
              <w:rPr>
                <w:b/>
              </w:rPr>
            </w:pPr>
            <w:r>
              <w:rPr>
                <w:rFonts w:hint="eastAsia" w:ascii="宋体" w:hAnsi="宋体"/>
                <w:sz w:val="21"/>
                <w:szCs w:val="21"/>
              </w:rPr>
              <w:t>其他</w:t>
            </w:r>
          </w:p>
        </w:tc>
        <w:tc>
          <w:tcPr>
            <w:tcW w:w="6523" w:type="dxa"/>
            <w:vAlign w:val="top"/>
          </w:tcPr>
          <w:p>
            <w:pPr>
              <w:rPr>
                <w:bCs/>
              </w:rPr>
            </w:pPr>
            <w:r>
              <w:rPr>
                <w:rFonts w:hint="eastAsia" w:ascii="宋体" w:hAnsi="宋体"/>
                <w:bCs/>
                <w:sz w:val="21"/>
                <w:szCs w:val="21"/>
              </w:rPr>
              <w:t>在保修期内，一旦发生质量问题，投标人保证在接到通知</w:t>
            </w:r>
            <w:r>
              <w:rPr>
                <w:rFonts w:ascii="宋体" w:hAnsi="宋体"/>
                <w:bCs/>
                <w:sz w:val="21"/>
                <w:szCs w:val="21"/>
              </w:rPr>
              <w:t>24</w:t>
            </w:r>
            <w:r>
              <w:rPr>
                <w:rFonts w:hint="eastAsia" w:ascii="宋体" w:hAnsi="宋体"/>
                <w:bCs/>
                <w:sz w:val="21"/>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20" w:type="dxa"/>
            <w:gridSpan w:val="3"/>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840" w:type="dxa"/>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vAlign w:val="center"/>
          </w:tcPr>
          <w:p>
            <w:pPr>
              <w:jc w:val="center"/>
              <w:rPr>
                <w:rFonts w:ascii="宋体" w:hAnsi="宋体"/>
                <w:b/>
                <w:color w:val="000000"/>
                <w:sz w:val="20"/>
                <w:szCs w:val="20"/>
              </w:rPr>
            </w:pPr>
            <w:r>
              <w:rPr>
                <w:rFonts w:hint="eastAsia" w:ascii="宋体" w:hAnsi="宋体"/>
                <w:sz w:val="21"/>
                <w:szCs w:val="21"/>
              </w:rPr>
              <w:t>维修响应及故障解决时间</w:t>
            </w:r>
          </w:p>
        </w:tc>
        <w:tc>
          <w:tcPr>
            <w:tcW w:w="6523" w:type="dxa"/>
            <w:vAlign w:val="center"/>
          </w:tcPr>
          <w:p>
            <w:pPr>
              <w:rPr>
                <w:rFonts w:ascii="宋体" w:hAnsi="宋体"/>
                <w:b/>
                <w:color w:val="000000"/>
              </w:rPr>
            </w:pPr>
            <w:r>
              <w:rPr>
                <w:rFonts w:hint="eastAsia" w:ascii="宋体" w:hAnsi="宋体"/>
                <w:bCs/>
                <w:sz w:val="21"/>
                <w:szCs w:val="21"/>
              </w:rPr>
              <w:t>一旦发生质量问题，投标人保证在接到通知24小时内赶到现场进行修理或更换。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Align w:val="center"/>
          </w:tcPr>
          <w:p>
            <w:pPr>
              <w:spacing w:line="360" w:lineRule="exact"/>
              <w:jc w:val="center"/>
              <w:rPr>
                <w:rFonts w:hint="eastAsia" w:ascii="宋体" w:hAnsi="宋体" w:eastAsia="宋体"/>
                <w:b/>
                <w:lang w:val="en-US" w:eastAsia="zh-CN"/>
              </w:rPr>
            </w:pPr>
            <w:r>
              <w:rPr>
                <w:rFonts w:hint="eastAsia" w:ascii="宋体" w:hAnsi="宋体"/>
                <w:b/>
                <w:lang w:val="en-US" w:eastAsia="zh-CN"/>
              </w:rPr>
              <w:t>2</w:t>
            </w:r>
          </w:p>
        </w:tc>
        <w:tc>
          <w:tcPr>
            <w:tcW w:w="1457" w:type="dxa"/>
            <w:vAlign w:val="center"/>
          </w:tcPr>
          <w:p>
            <w:pPr>
              <w:jc w:val="center"/>
              <w:rPr>
                <w:rStyle w:val="47"/>
                <w:rFonts w:ascii="宋体" w:hAnsi="宋体" w:cs="宋体"/>
                <w:color w:val="000000"/>
                <w:sz w:val="20"/>
                <w:szCs w:val="20"/>
              </w:rPr>
            </w:pPr>
            <w:r>
              <w:rPr>
                <w:rFonts w:hint="eastAsia" w:ascii="宋体" w:hAnsi="宋体"/>
                <w:sz w:val="21"/>
                <w:szCs w:val="21"/>
              </w:rPr>
              <w:t>免费保修期外维修费用</w:t>
            </w:r>
          </w:p>
        </w:tc>
        <w:tc>
          <w:tcPr>
            <w:tcW w:w="6523" w:type="dxa"/>
            <w:vAlign w:val="center"/>
          </w:tcPr>
          <w:p>
            <w:pPr>
              <w:rPr>
                <w:rFonts w:hint="eastAsia" w:ascii="宋体" w:hAnsi="宋体" w:cs="宋体"/>
                <w:color w:val="000000"/>
                <w:sz w:val="20"/>
                <w:szCs w:val="20"/>
              </w:rPr>
            </w:pPr>
            <w:r>
              <w:rPr>
                <w:rFonts w:hint="eastAsia" w:ascii="宋体" w:hAnsi="宋体"/>
                <w:bCs/>
                <w:sz w:val="21"/>
                <w:szCs w:val="21"/>
              </w:rPr>
              <w:t>维修免人工费、上门费，仅收取配件费。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20" w:type="dxa"/>
            <w:gridSpan w:val="3"/>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vAlign w:val="center"/>
          </w:tcPr>
          <w:p>
            <w:pPr>
              <w:spacing w:line="360" w:lineRule="exact"/>
              <w:jc w:val="center"/>
              <w:rPr>
                <w:rFonts w:hint="eastAsia" w:ascii="宋体" w:hAnsi="宋体"/>
                <w:b/>
                <w:sz w:val="20"/>
                <w:szCs w:val="20"/>
              </w:rPr>
            </w:pPr>
            <w:r>
              <w:rPr>
                <w:rFonts w:hint="eastAsia" w:ascii="宋体" w:hAnsi="宋体"/>
                <w:sz w:val="21"/>
                <w:szCs w:val="21"/>
              </w:rPr>
              <w:t>关于交货</w:t>
            </w:r>
          </w:p>
        </w:tc>
        <w:tc>
          <w:tcPr>
            <w:tcW w:w="6523" w:type="dxa"/>
            <w:vAlign w:val="top"/>
          </w:tcPr>
          <w:p>
            <w:pPr>
              <w:spacing w:line="360" w:lineRule="exact"/>
              <w:rPr>
                <w:rFonts w:hint="eastAsia" w:ascii="宋体" w:hAnsi="宋体" w:cs="宋体"/>
                <w:color w:val="000000"/>
                <w:sz w:val="20"/>
                <w:szCs w:val="20"/>
              </w:rPr>
            </w:pPr>
            <w:r>
              <w:rPr>
                <w:rFonts w:ascii="宋体" w:hAnsi="宋体"/>
                <w:bCs/>
                <w:sz w:val="21"/>
                <w:szCs w:val="21"/>
              </w:rPr>
              <w:t>1.1</w:t>
            </w:r>
            <w:r>
              <w:rPr>
                <w:rFonts w:hint="eastAsia" w:ascii="宋体" w:hAnsi="宋体"/>
                <w:bCs/>
                <w:sz w:val="21"/>
                <w:szCs w:val="21"/>
              </w:rPr>
              <w:t>交货地点：</w:t>
            </w:r>
            <w:r>
              <w:rPr>
                <w:rFonts w:hint="eastAsia" w:hAnsi="宋体" w:cs="Times New Roman"/>
                <w:b w:val="0"/>
                <w:bCs/>
                <w:sz w:val="21"/>
                <w:szCs w:val="21"/>
                <w:lang w:eastAsia="zh-CN"/>
              </w:rPr>
              <w:t>深圳未来双语学校（龙岗）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spacing w:line="360" w:lineRule="exact"/>
              <w:jc w:val="center"/>
              <w:rPr>
                <w:rFonts w:hint="eastAsia" w:ascii="宋体" w:hAnsi="宋体"/>
                <w:b/>
                <w:sz w:val="20"/>
                <w:szCs w:val="20"/>
              </w:rPr>
            </w:pPr>
          </w:p>
        </w:tc>
        <w:tc>
          <w:tcPr>
            <w:tcW w:w="1457" w:type="dxa"/>
            <w:vMerge w:val="continue"/>
            <w:vAlign w:val="center"/>
          </w:tcPr>
          <w:p>
            <w:pPr>
              <w:spacing w:line="360" w:lineRule="exact"/>
              <w:jc w:val="center"/>
              <w:rPr>
                <w:rFonts w:hint="eastAsia" w:ascii="宋体" w:hAnsi="宋体"/>
                <w:b/>
                <w:sz w:val="20"/>
                <w:szCs w:val="20"/>
              </w:rPr>
            </w:pPr>
          </w:p>
        </w:tc>
        <w:tc>
          <w:tcPr>
            <w:tcW w:w="6523" w:type="dxa"/>
            <w:vAlign w:val="top"/>
          </w:tcPr>
          <w:p>
            <w:pPr>
              <w:spacing w:line="360" w:lineRule="exact"/>
              <w:rPr>
                <w:rFonts w:hint="eastAsia" w:ascii="宋体" w:hAnsi="宋体" w:cs="宋体"/>
                <w:color w:val="000000"/>
                <w:sz w:val="20"/>
                <w:szCs w:val="20"/>
              </w:rPr>
            </w:pPr>
            <w:r>
              <w:rPr>
                <w:rFonts w:ascii="宋体" w:hAnsi="宋体"/>
                <w:bCs/>
                <w:sz w:val="21"/>
                <w:szCs w:val="21"/>
              </w:rPr>
              <w:t>1.2</w:t>
            </w:r>
            <w:r>
              <w:rPr>
                <w:rFonts w:hint="eastAsia" w:ascii="宋体" w:hAnsi="宋体"/>
                <w:bCs/>
                <w:sz w:val="21"/>
                <w:szCs w:val="21"/>
              </w:rPr>
              <w:t>投标人承担的设备运输、安装调试、验收检测和提供设备操作说明书、图纸等其他类似的义务。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spacing w:line="360" w:lineRule="exact"/>
              <w:jc w:val="center"/>
              <w:rPr>
                <w:rFonts w:hint="eastAsia" w:ascii="宋体" w:hAnsi="宋体"/>
                <w:b/>
                <w:sz w:val="20"/>
                <w:szCs w:val="20"/>
              </w:rPr>
            </w:pPr>
          </w:p>
        </w:tc>
        <w:tc>
          <w:tcPr>
            <w:tcW w:w="1457" w:type="dxa"/>
            <w:vMerge w:val="continue"/>
            <w:vAlign w:val="center"/>
          </w:tcPr>
          <w:p>
            <w:pPr>
              <w:spacing w:line="360" w:lineRule="exact"/>
              <w:jc w:val="center"/>
              <w:rPr>
                <w:rFonts w:hint="eastAsia" w:ascii="宋体" w:hAnsi="宋体"/>
                <w:b/>
                <w:sz w:val="20"/>
                <w:szCs w:val="20"/>
              </w:rPr>
            </w:pPr>
          </w:p>
        </w:tc>
        <w:tc>
          <w:tcPr>
            <w:tcW w:w="6523" w:type="dxa"/>
            <w:vAlign w:val="top"/>
          </w:tcPr>
          <w:p>
            <w:pPr>
              <w:spacing w:line="360" w:lineRule="exact"/>
              <w:rPr>
                <w:rFonts w:hint="eastAsia" w:ascii="宋体" w:hAnsi="宋体" w:cs="宋体"/>
                <w:color w:val="000000"/>
                <w:sz w:val="20"/>
                <w:szCs w:val="20"/>
              </w:rPr>
            </w:pPr>
            <w:r>
              <w:rPr>
                <w:rFonts w:hint="eastAsia"/>
                <w:color w:val="FF0000"/>
                <w:sz w:val="21"/>
                <w:szCs w:val="21"/>
              </w:rPr>
              <w:t>★</w:t>
            </w:r>
            <w:r>
              <w:rPr>
                <w:rFonts w:ascii="宋体" w:hAnsi="宋体"/>
                <w:bCs/>
                <w:sz w:val="21"/>
                <w:szCs w:val="21"/>
              </w:rPr>
              <w:t>1.3</w:t>
            </w:r>
            <w:r>
              <w:rPr>
                <w:rFonts w:hint="eastAsia" w:ascii="宋体" w:hAnsi="宋体"/>
                <w:bCs/>
                <w:sz w:val="21"/>
                <w:szCs w:val="21"/>
              </w:rPr>
              <w:t>签订合同后</w:t>
            </w:r>
            <w:r>
              <w:rPr>
                <w:rFonts w:ascii="宋体" w:hAnsi="宋体"/>
                <w:b/>
                <w:bCs/>
                <w:color w:val="FF0000"/>
                <w:sz w:val="21"/>
                <w:szCs w:val="21"/>
                <w:u w:val="single"/>
              </w:rPr>
              <w:t>30</w:t>
            </w:r>
            <w:r>
              <w:rPr>
                <w:rFonts w:hint="eastAsia" w:ascii="宋体" w:hAnsi="宋体"/>
                <w:bCs/>
                <w:sz w:val="21"/>
                <w:szCs w:val="21"/>
              </w:rPr>
              <w:t>天（日历日）内交货。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spacing w:line="360" w:lineRule="exact"/>
              <w:jc w:val="center"/>
              <w:rPr>
                <w:rFonts w:hint="eastAsia" w:ascii="宋体" w:hAnsi="宋体" w:eastAsia="宋体"/>
                <w:b/>
                <w:bCs w:val="0"/>
                <w:sz w:val="20"/>
                <w:szCs w:val="20"/>
                <w:lang w:eastAsia="zh-CN"/>
              </w:rPr>
            </w:pPr>
            <w:bookmarkStart w:id="45" w:name="_Hlk72260973"/>
            <w:r>
              <w:rPr>
                <w:rFonts w:hint="eastAsia" w:ascii="宋体" w:hAnsi="宋体"/>
                <w:b/>
                <w:bCs w:val="0"/>
                <w:sz w:val="20"/>
                <w:szCs w:val="20"/>
                <w:lang w:val="en-US" w:eastAsia="zh-CN"/>
              </w:rPr>
              <w:t>2</w:t>
            </w:r>
          </w:p>
        </w:tc>
        <w:tc>
          <w:tcPr>
            <w:tcW w:w="1457" w:type="dxa"/>
            <w:vMerge w:val="restart"/>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sz w:val="21"/>
                <w:szCs w:val="21"/>
              </w:rPr>
              <w:t>关于验收</w:t>
            </w:r>
          </w:p>
        </w:tc>
        <w:tc>
          <w:tcPr>
            <w:tcW w:w="6523" w:type="dxa"/>
            <w:vAlign w:val="center"/>
          </w:tcPr>
          <w:p>
            <w:pPr>
              <w:tabs>
                <w:tab w:val="left" w:pos="1260"/>
              </w:tabs>
              <w:rPr>
                <w:rFonts w:hint="eastAsia" w:ascii="宋体" w:hAnsi="宋体" w:eastAsia="宋体" w:cs="Times New Roman"/>
                <w:bCs/>
                <w:szCs w:val="21"/>
                <w:lang w:val="en-US" w:eastAsia="zh-CN"/>
              </w:rPr>
            </w:pPr>
            <w:r>
              <w:rPr>
                <w:rFonts w:hint="eastAsia" w:ascii="宋体" w:hAnsi="宋体" w:eastAsia="宋体" w:cs="Times New Roman"/>
                <w:bCs/>
                <w:sz w:val="21"/>
                <w:szCs w:val="21"/>
              </w:rPr>
              <w:t>2.1投标人货物经过第三方抽样检测合格后，签署验收报告，产品保修期自验收合格之日起算，由投标人提供产品保修文件。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40" w:type="dxa"/>
            <w:vMerge w:val="continue"/>
            <w:vAlign w:val="center"/>
          </w:tcPr>
          <w:p>
            <w:pPr>
              <w:spacing w:line="360" w:lineRule="exact"/>
              <w:jc w:val="center"/>
              <w:rPr>
                <w:rFonts w:ascii="宋体" w:hAnsi="宋体"/>
                <w:b/>
                <w:bCs w:val="0"/>
                <w:sz w:val="20"/>
                <w:szCs w:val="20"/>
              </w:rPr>
            </w:pPr>
          </w:p>
        </w:tc>
        <w:tc>
          <w:tcPr>
            <w:tcW w:w="1457" w:type="dxa"/>
            <w:vMerge w:val="continue"/>
            <w:vAlign w:val="center"/>
          </w:tcPr>
          <w:p>
            <w:pPr>
              <w:spacing w:line="360" w:lineRule="exact"/>
              <w:jc w:val="center"/>
              <w:rPr>
                <w:rFonts w:ascii="宋体" w:hAnsi="宋体"/>
                <w:b/>
                <w:bCs w:val="0"/>
                <w:sz w:val="20"/>
                <w:szCs w:val="20"/>
              </w:rPr>
            </w:pPr>
          </w:p>
        </w:tc>
        <w:tc>
          <w:tcPr>
            <w:tcW w:w="6523" w:type="dxa"/>
            <w:vAlign w:val="center"/>
          </w:tcPr>
          <w:p>
            <w:pPr>
              <w:tabs>
                <w:tab w:val="left" w:pos="1260"/>
              </w:tabs>
              <w:rPr>
                <w:rFonts w:hint="eastAsia" w:ascii="宋体" w:hAnsi="宋体" w:eastAsia="宋体" w:cs="Times New Roman"/>
                <w:bCs/>
                <w:sz w:val="21"/>
                <w:szCs w:val="21"/>
              </w:rPr>
            </w:pPr>
            <w:r>
              <w:rPr>
                <w:rFonts w:hint="eastAsia" w:ascii="宋体" w:hAnsi="宋体" w:eastAsia="宋体" w:cs="Times New Roman"/>
                <w:bCs/>
                <w:sz w:val="21"/>
                <w:szCs w:val="21"/>
              </w:rPr>
              <w:t>2.2当满足以下条件时，采购人才向中标人签发货物验收报告：</w:t>
            </w:r>
          </w:p>
          <w:p>
            <w:pPr>
              <w:tabs>
                <w:tab w:val="left" w:pos="1260"/>
              </w:tabs>
              <w:rPr>
                <w:rFonts w:hint="eastAsia" w:ascii="宋体" w:hAnsi="宋体" w:eastAsia="宋体" w:cs="Times New Roman"/>
                <w:bCs/>
                <w:sz w:val="21"/>
                <w:szCs w:val="21"/>
              </w:rPr>
            </w:pPr>
            <w:r>
              <w:rPr>
                <w:rFonts w:hint="eastAsia" w:ascii="宋体" w:hAnsi="宋体" w:eastAsia="宋体" w:cs="Times New Roman"/>
                <w:bCs/>
                <w:sz w:val="21"/>
                <w:szCs w:val="21"/>
              </w:rPr>
              <w:t>a、中标人已按照合同规定提供了全部产品及完整的技术资料。</w:t>
            </w:r>
          </w:p>
          <w:p>
            <w:pPr>
              <w:tabs>
                <w:tab w:val="left" w:pos="1260"/>
              </w:tabs>
              <w:rPr>
                <w:rFonts w:hint="eastAsia" w:ascii="宋体" w:hAnsi="宋体" w:eastAsia="宋体" w:cs="Times New Roman"/>
                <w:bCs/>
                <w:sz w:val="21"/>
                <w:szCs w:val="21"/>
              </w:rPr>
            </w:pPr>
            <w:r>
              <w:rPr>
                <w:rFonts w:hint="eastAsia" w:ascii="宋体" w:hAnsi="宋体" w:eastAsia="宋体" w:cs="Times New Roman"/>
                <w:bCs/>
                <w:sz w:val="21"/>
                <w:szCs w:val="21"/>
              </w:rPr>
              <w:t>b、货物符合招标文件技术规格书的要求，性能满足要求。</w:t>
            </w:r>
          </w:p>
          <w:p>
            <w:pPr>
              <w:tabs>
                <w:tab w:val="left" w:pos="1260"/>
              </w:tabs>
              <w:rPr>
                <w:rFonts w:hint="eastAsia" w:ascii="宋体" w:hAnsi="宋体" w:eastAsia="宋体" w:cs="Times New Roman"/>
                <w:bCs/>
                <w:sz w:val="21"/>
                <w:szCs w:val="21"/>
              </w:rPr>
            </w:pPr>
            <w:r>
              <w:rPr>
                <w:rFonts w:hint="eastAsia" w:ascii="宋体" w:hAnsi="宋体" w:eastAsia="宋体" w:cs="Times New Roman"/>
                <w:bCs/>
                <w:sz w:val="21"/>
                <w:szCs w:val="21"/>
              </w:rPr>
              <w:t>c、货物具备产品合格证。</w:t>
            </w:r>
          </w:p>
          <w:p>
            <w:pPr>
              <w:tabs>
                <w:tab w:val="left" w:pos="1260"/>
              </w:tabs>
              <w:rPr>
                <w:rFonts w:hint="eastAsia" w:ascii="宋体" w:hAnsi="宋体" w:eastAsia="宋体" w:cs="Times New Roman"/>
                <w:bCs/>
                <w:sz w:val="21"/>
                <w:szCs w:val="21"/>
              </w:rPr>
            </w:pPr>
            <w:r>
              <w:rPr>
                <w:rFonts w:hint="eastAsia" w:ascii="宋体" w:hAnsi="宋体" w:eastAsia="宋体" w:cs="Times New Roman"/>
                <w:bCs/>
                <w:sz w:val="21"/>
                <w:szCs w:val="21"/>
              </w:rPr>
              <w:t>d、中标人所提供的产品已经完成相应的安装。</w:t>
            </w:r>
          </w:p>
          <w:p>
            <w:pPr>
              <w:tabs>
                <w:tab w:val="left" w:pos="1260"/>
              </w:tabs>
              <w:rPr>
                <w:rFonts w:hint="eastAsia" w:ascii="宋体" w:hAnsi="宋体" w:eastAsia="宋体" w:cs="Times New Roman"/>
                <w:bCs/>
                <w:szCs w:val="21"/>
                <w:lang w:val="en-US" w:eastAsia="zh-CN"/>
              </w:rPr>
            </w:pPr>
            <w:r>
              <w:rPr>
                <w:rFonts w:hint="eastAsia" w:ascii="宋体" w:hAnsi="宋体" w:eastAsia="宋体" w:cs="Times New Roman"/>
                <w:bCs/>
                <w:sz w:val="21"/>
                <w:szCs w:val="21"/>
              </w:rPr>
              <w:t>e、由第三方监理出具相关质量检测报告。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jc w:val="center"/>
              <w:rPr>
                <w:rFonts w:hint="default" w:ascii="宋体" w:hAnsi="宋体"/>
                <w:b/>
                <w:bCs w:val="0"/>
                <w:sz w:val="20"/>
                <w:szCs w:val="20"/>
                <w:lang w:val="en-US" w:eastAsia="zh-CN"/>
              </w:rPr>
            </w:pPr>
            <w:r>
              <w:rPr>
                <w:rFonts w:ascii="宋体" w:hAnsi="宋体"/>
                <w:b/>
                <w:sz w:val="21"/>
                <w:szCs w:val="21"/>
              </w:rPr>
              <w:t>3</w:t>
            </w:r>
          </w:p>
        </w:tc>
        <w:tc>
          <w:tcPr>
            <w:tcW w:w="1457" w:type="dxa"/>
            <w:vMerge w:val="restart"/>
            <w:vAlign w:val="center"/>
          </w:tcPr>
          <w:p>
            <w:pPr>
              <w:jc w:val="center"/>
              <w:rPr>
                <w:rStyle w:val="47"/>
                <w:rFonts w:hint="eastAsia" w:ascii="宋体" w:hAnsi="宋体" w:cs="宋体"/>
                <w:b/>
                <w:bCs w:val="0"/>
                <w:color w:val="000000"/>
                <w:sz w:val="20"/>
                <w:szCs w:val="20"/>
              </w:rPr>
            </w:pPr>
            <w:r>
              <w:rPr>
                <w:rFonts w:hint="eastAsia" w:ascii="宋体" w:hAnsi="宋体"/>
                <w:sz w:val="21"/>
                <w:szCs w:val="21"/>
              </w:rPr>
              <w:t>关于违约</w:t>
            </w:r>
          </w:p>
        </w:tc>
        <w:tc>
          <w:tcPr>
            <w:tcW w:w="6523" w:type="dxa"/>
            <w:vAlign w:val="center"/>
          </w:tcPr>
          <w:p>
            <w:pPr>
              <w:rPr>
                <w:rFonts w:hint="eastAsia" w:ascii="宋体" w:hAnsi="宋体" w:cs="宋体"/>
                <w:color w:val="000000"/>
                <w:sz w:val="20"/>
                <w:szCs w:val="20"/>
                <w:lang w:val="en-US" w:eastAsia="zh-CN"/>
              </w:rPr>
            </w:pPr>
            <w:r>
              <w:rPr>
                <w:rFonts w:hint="eastAsia" w:ascii="宋体" w:hAnsi="宋体"/>
                <w:sz w:val="21"/>
                <w:szCs w:val="21"/>
              </w:rPr>
              <w:t>3.1中标人不能交货的，需偿付不能交货部分货款的100%的违约金并按主管部门相关规定处理。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spacing w:line="360" w:lineRule="exact"/>
              <w:jc w:val="center"/>
              <w:rPr>
                <w:rFonts w:hint="default" w:ascii="宋体" w:hAnsi="宋体"/>
                <w:b/>
                <w:bCs w:val="0"/>
                <w:sz w:val="20"/>
                <w:szCs w:val="20"/>
                <w:lang w:val="en-US" w:eastAsia="zh-CN"/>
              </w:rPr>
            </w:pPr>
          </w:p>
        </w:tc>
        <w:tc>
          <w:tcPr>
            <w:tcW w:w="1457" w:type="dxa"/>
            <w:vMerge w:val="continue"/>
            <w:vAlign w:val="center"/>
          </w:tcPr>
          <w:p>
            <w:pPr>
              <w:spacing w:line="360" w:lineRule="exact"/>
              <w:jc w:val="center"/>
              <w:rPr>
                <w:rStyle w:val="47"/>
                <w:rFonts w:hint="eastAsia" w:ascii="宋体" w:hAnsi="宋体" w:cs="宋体"/>
                <w:b/>
                <w:bCs w:val="0"/>
                <w:color w:val="000000"/>
                <w:sz w:val="20"/>
                <w:szCs w:val="20"/>
              </w:rPr>
            </w:pPr>
          </w:p>
        </w:tc>
        <w:tc>
          <w:tcPr>
            <w:tcW w:w="6523" w:type="dxa"/>
            <w:vAlign w:val="center"/>
          </w:tcPr>
          <w:p>
            <w:pPr>
              <w:spacing w:line="360" w:lineRule="exact"/>
              <w:rPr>
                <w:rFonts w:hint="eastAsia" w:ascii="宋体" w:hAnsi="宋体" w:cs="宋体"/>
                <w:color w:val="000000"/>
                <w:sz w:val="20"/>
                <w:szCs w:val="20"/>
                <w:lang w:val="en-US" w:eastAsia="zh-CN"/>
              </w:rPr>
            </w:pPr>
            <w:r>
              <w:rPr>
                <w:rFonts w:hint="eastAsia" w:ascii="宋体" w:hAnsi="宋体"/>
                <w:sz w:val="21"/>
                <w:szCs w:val="21"/>
              </w:rPr>
              <w:t>3.2中标人逾期交货的，将被没收履约保证金并按主管部门相关规定处理。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spacing w:line="360" w:lineRule="exact"/>
              <w:jc w:val="center"/>
              <w:rPr>
                <w:rFonts w:hint="default" w:ascii="宋体" w:hAnsi="宋体"/>
                <w:b/>
                <w:bCs w:val="0"/>
                <w:sz w:val="20"/>
                <w:szCs w:val="20"/>
                <w:lang w:val="en-US" w:eastAsia="zh-CN"/>
              </w:rPr>
            </w:pPr>
          </w:p>
        </w:tc>
        <w:tc>
          <w:tcPr>
            <w:tcW w:w="1457" w:type="dxa"/>
            <w:vMerge w:val="continue"/>
            <w:vAlign w:val="center"/>
          </w:tcPr>
          <w:p>
            <w:pPr>
              <w:spacing w:line="360" w:lineRule="exact"/>
              <w:jc w:val="center"/>
              <w:rPr>
                <w:rStyle w:val="47"/>
                <w:rFonts w:hint="eastAsia" w:ascii="宋体" w:hAnsi="宋体" w:cs="宋体"/>
                <w:b/>
                <w:bCs w:val="0"/>
                <w:color w:val="000000"/>
                <w:sz w:val="20"/>
                <w:szCs w:val="20"/>
              </w:rPr>
            </w:pPr>
          </w:p>
        </w:tc>
        <w:tc>
          <w:tcPr>
            <w:tcW w:w="6523" w:type="dxa"/>
            <w:vAlign w:val="center"/>
          </w:tcPr>
          <w:p>
            <w:pPr>
              <w:spacing w:line="360" w:lineRule="exact"/>
              <w:rPr>
                <w:rFonts w:hint="eastAsia" w:ascii="宋体" w:hAnsi="宋体" w:cs="宋体"/>
                <w:color w:val="000000"/>
                <w:sz w:val="20"/>
                <w:szCs w:val="20"/>
                <w:lang w:val="en-US" w:eastAsia="zh-CN"/>
              </w:rPr>
            </w:pPr>
            <w:r>
              <w:rPr>
                <w:rFonts w:hint="eastAsia" w:ascii="宋体" w:hAnsi="宋体"/>
                <w:sz w:val="21"/>
                <w:szCs w:val="21"/>
              </w:rPr>
              <w:t>3.3中标人所交付产品、工程或服务不符合其投标承诺的，或在投标阶段为了中标而盲目虚假承诺、低价恶性竞争，在履约阶段则通过偷工减料、以次充好而获取利润的，被履约评价工作实施机构评为履约等级“差”并按主管部门相关规定处理。</w:t>
            </w:r>
          </w:p>
        </w:tc>
      </w:tr>
      <w:bookmarkEnd w:id="4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840" w:type="dxa"/>
            <w:vMerge w:val="restart"/>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4</w:t>
            </w:r>
          </w:p>
        </w:tc>
        <w:tc>
          <w:tcPr>
            <w:tcW w:w="1457" w:type="dxa"/>
            <w:vMerge w:val="restart"/>
            <w:vAlign w:val="center"/>
          </w:tcPr>
          <w:p>
            <w:pPr>
              <w:spacing w:line="360" w:lineRule="exact"/>
              <w:jc w:val="center"/>
              <w:rPr>
                <w:rFonts w:ascii="宋体" w:hAnsi="宋体"/>
                <w:color w:val="000000"/>
                <w:sz w:val="20"/>
                <w:szCs w:val="20"/>
              </w:rPr>
            </w:pPr>
            <w:r>
              <w:rPr>
                <w:rFonts w:hint="eastAsia" w:ascii="宋体" w:hAnsi="宋体"/>
                <w:sz w:val="21"/>
                <w:szCs w:val="21"/>
              </w:rPr>
              <w:t>关于付款</w:t>
            </w:r>
          </w:p>
        </w:tc>
        <w:tc>
          <w:tcPr>
            <w:tcW w:w="6523" w:type="dxa"/>
            <w:vAlign w:val="center"/>
          </w:tcPr>
          <w:p>
            <w:pPr>
              <w:tabs>
                <w:tab w:val="left" w:pos="1260"/>
              </w:tabs>
              <w:spacing w:line="360" w:lineRule="exact"/>
              <w:rPr>
                <w:rFonts w:ascii="宋体" w:hAnsi="宋体"/>
                <w:bCs/>
                <w:color w:val="000000"/>
                <w:szCs w:val="21"/>
              </w:rPr>
            </w:pPr>
            <w:r>
              <w:rPr>
                <w:rFonts w:hint="eastAsia" w:ascii="宋体" w:hAnsi="宋体"/>
                <w:sz w:val="21"/>
                <w:szCs w:val="21"/>
              </w:rPr>
              <w:t>4.</w:t>
            </w:r>
            <w:r>
              <w:rPr>
                <w:rFonts w:hint="eastAsia" w:ascii="宋体" w:hAnsi="宋体"/>
                <w:sz w:val="21"/>
                <w:szCs w:val="21"/>
                <w:lang w:eastAsia="zh-HK"/>
              </w:rPr>
              <w:t>1</w:t>
            </w:r>
            <w:r>
              <w:rPr>
                <w:rFonts w:hint="eastAsia" w:ascii="宋体" w:hAnsi="宋体"/>
                <w:sz w:val="21"/>
                <w:szCs w:val="21"/>
              </w:rPr>
              <w:t>合同签订后30个工作日内采购人向中标人支付合同金额的</w:t>
            </w:r>
            <w:r>
              <w:rPr>
                <w:rFonts w:hint="eastAsia" w:ascii="宋体" w:hAnsi="宋体"/>
                <w:sz w:val="21"/>
                <w:szCs w:val="21"/>
                <w:lang w:eastAsia="zh-HK"/>
              </w:rPr>
              <w:t>50</w:t>
            </w:r>
            <w:r>
              <w:rPr>
                <w:rFonts w:hint="eastAsia" w:ascii="宋体" w:hAnsi="宋体"/>
                <w:sz w:val="21"/>
                <w:szCs w:val="21"/>
              </w:rPr>
              <w:t>%，项目验收合格后30个工作日内，中标人支付合同尾款。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vMerge w:val="restart"/>
            <w:vAlign w:val="center"/>
          </w:tcPr>
          <w:p>
            <w:pPr>
              <w:spacing w:line="360" w:lineRule="exact"/>
              <w:jc w:val="center"/>
              <w:rPr>
                <w:rFonts w:ascii="宋体" w:hAnsi="宋体"/>
                <w:b/>
                <w:sz w:val="20"/>
                <w:szCs w:val="20"/>
              </w:rPr>
            </w:pPr>
            <w:r>
              <w:rPr>
                <w:rFonts w:hint="eastAsia" w:ascii="宋体" w:hAnsi="宋体"/>
                <w:sz w:val="21"/>
                <w:szCs w:val="21"/>
              </w:rPr>
              <w:t>关于生产</w:t>
            </w:r>
          </w:p>
        </w:tc>
        <w:tc>
          <w:tcPr>
            <w:tcW w:w="6523" w:type="dxa"/>
            <w:vAlign w:val="center"/>
          </w:tcPr>
          <w:p>
            <w:pPr>
              <w:rPr>
                <w:rFonts w:ascii="宋体" w:hAnsi="宋体" w:cs="宋体"/>
                <w:color w:val="000000"/>
                <w:sz w:val="20"/>
                <w:szCs w:val="20"/>
              </w:rPr>
            </w:pPr>
            <w:r>
              <w:rPr>
                <w:rFonts w:hint="eastAsia" w:ascii="宋体" w:hAnsi="宋体"/>
                <w:sz w:val="21"/>
                <w:szCs w:val="21"/>
              </w:rPr>
              <w:t>5.1</w:t>
            </w:r>
            <w:r>
              <w:rPr>
                <w:rFonts w:hint="eastAsia" w:ascii="宋体" w:hAnsi="宋体"/>
                <w:bCs/>
                <w:sz w:val="21"/>
                <w:szCs w:val="21"/>
              </w:rPr>
              <w:t>本招标文件未对家具具体颜色做出要求，实物颜色由中标人根据采购</w:t>
            </w:r>
            <w:r>
              <w:rPr>
                <w:rFonts w:hint="eastAsia" w:ascii="宋体" w:hAnsi="宋体"/>
                <w:sz w:val="21"/>
                <w:szCs w:val="21"/>
              </w:rPr>
              <w:t>人</w:t>
            </w:r>
            <w:r>
              <w:rPr>
                <w:rFonts w:hint="eastAsia" w:ascii="宋体" w:hAnsi="宋体"/>
                <w:bCs/>
                <w:sz w:val="21"/>
                <w:szCs w:val="21"/>
              </w:rPr>
              <w:t>现有家具颜色报样板给采购</w:t>
            </w:r>
            <w:r>
              <w:rPr>
                <w:rFonts w:hint="eastAsia" w:ascii="宋体" w:hAnsi="宋体"/>
                <w:sz w:val="21"/>
                <w:szCs w:val="21"/>
              </w:rPr>
              <w:t>人</w:t>
            </w:r>
            <w:r>
              <w:rPr>
                <w:rFonts w:hint="eastAsia" w:ascii="宋体" w:hAnsi="宋体"/>
                <w:bCs/>
                <w:sz w:val="21"/>
                <w:szCs w:val="21"/>
              </w:rPr>
              <w:t>选择确认再制作，否则造成损失由中标</w:t>
            </w:r>
            <w:r>
              <w:rPr>
                <w:rFonts w:hint="eastAsia" w:ascii="宋体" w:hAnsi="宋体"/>
                <w:sz w:val="21"/>
                <w:szCs w:val="21"/>
              </w:rPr>
              <w:t>人</w:t>
            </w:r>
            <w:r>
              <w:rPr>
                <w:rFonts w:hint="eastAsia" w:ascii="宋体" w:hAnsi="宋体"/>
                <w:bCs/>
                <w:sz w:val="21"/>
                <w:szCs w:val="21"/>
              </w:rPr>
              <w:t>全力承担。中标</w:t>
            </w:r>
            <w:r>
              <w:rPr>
                <w:rFonts w:hint="eastAsia" w:ascii="宋体" w:hAnsi="宋体"/>
                <w:sz w:val="21"/>
                <w:szCs w:val="21"/>
              </w:rPr>
              <w:t>人</w:t>
            </w:r>
            <w:r>
              <w:rPr>
                <w:rFonts w:hint="eastAsia" w:ascii="宋体" w:hAnsi="宋体"/>
                <w:bCs/>
                <w:sz w:val="21"/>
                <w:szCs w:val="21"/>
              </w:rPr>
              <w:t>中标后项目不转包，未经采购人同意不进行分包。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spacing w:line="360" w:lineRule="exact"/>
              <w:jc w:val="center"/>
              <w:rPr>
                <w:rFonts w:ascii="宋体" w:hAnsi="宋体"/>
                <w:b/>
                <w:sz w:val="20"/>
                <w:szCs w:val="20"/>
              </w:rPr>
            </w:pPr>
          </w:p>
        </w:tc>
        <w:tc>
          <w:tcPr>
            <w:tcW w:w="1457" w:type="dxa"/>
            <w:vMerge w:val="continue"/>
            <w:vAlign w:val="center"/>
          </w:tcPr>
          <w:p>
            <w:pPr>
              <w:spacing w:line="360" w:lineRule="exact"/>
              <w:rPr>
                <w:rFonts w:ascii="宋体" w:hAnsi="宋体"/>
                <w:b/>
                <w:sz w:val="20"/>
                <w:szCs w:val="20"/>
              </w:rPr>
            </w:pPr>
          </w:p>
        </w:tc>
        <w:tc>
          <w:tcPr>
            <w:tcW w:w="6523" w:type="dxa"/>
            <w:vAlign w:val="center"/>
          </w:tcPr>
          <w:p>
            <w:pPr>
              <w:rPr>
                <w:rFonts w:ascii="宋体" w:hAnsi="宋体" w:cs="宋体"/>
                <w:color w:val="000000"/>
                <w:sz w:val="20"/>
                <w:szCs w:val="20"/>
              </w:rPr>
            </w:pPr>
            <w:r>
              <w:rPr>
                <w:rFonts w:hint="eastAsia" w:ascii="宋体" w:hAnsi="宋体"/>
                <w:sz w:val="21"/>
                <w:szCs w:val="21"/>
              </w:rPr>
              <w:t>5.2</w:t>
            </w:r>
            <w:r>
              <w:rPr>
                <w:rFonts w:hint="eastAsia" w:ascii="宋体" w:hAnsi="宋体"/>
                <w:bCs/>
                <w:sz w:val="21"/>
                <w:szCs w:val="21"/>
              </w:rPr>
              <w:t>本招标文件</w:t>
            </w:r>
            <w:r>
              <w:rPr>
                <w:rFonts w:hint="eastAsia" w:ascii="宋体" w:hAnsi="宋体"/>
                <w:bCs/>
                <w:sz w:val="21"/>
                <w:szCs w:val="21"/>
                <w:lang w:val="en-US" w:eastAsia="zh-CN"/>
              </w:rPr>
              <w:t>货物</w:t>
            </w:r>
            <w:r>
              <w:rPr>
                <w:rFonts w:hint="eastAsia" w:ascii="宋体" w:hAnsi="宋体"/>
                <w:bCs/>
                <w:sz w:val="21"/>
                <w:szCs w:val="21"/>
              </w:rPr>
              <w:t>实际尺寸中标人实地测量并出具图纸供经采购人确认后再制作，否则造成损失由中标</w:t>
            </w:r>
            <w:r>
              <w:rPr>
                <w:rFonts w:hint="eastAsia" w:ascii="宋体" w:hAnsi="宋体"/>
                <w:sz w:val="21"/>
                <w:szCs w:val="21"/>
              </w:rPr>
              <w:t>人</w:t>
            </w:r>
            <w:r>
              <w:rPr>
                <w:rFonts w:hint="eastAsia" w:ascii="宋体" w:hAnsi="宋体"/>
                <w:bCs/>
                <w:sz w:val="21"/>
                <w:szCs w:val="21"/>
              </w:rPr>
              <w:t>全力承担,工程量计算以实地测量为准。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spacing w:line="360" w:lineRule="exact"/>
              <w:jc w:val="center"/>
              <w:rPr>
                <w:rFonts w:ascii="宋体" w:hAnsi="宋体"/>
                <w:b/>
                <w:sz w:val="20"/>
                <w:szCs w:val="20"/>
              </w:rPr>
            </w:pPr>
          </w:p>
        </w:tc>
        <w:tc>
          <w:tcPr>
            <w:tcW w:w="1457" w:type="dxa"/>
            <w:vMerge w:val="continue"/>
            <w:vAlign w:val="center"/>
          </w:tcPr>
          <w:p>
            <w:pPr>
              <w:spacing w:line="360" w:lineRule="exact"/>
              <w:rPr>
                <w:rFonts w:ascii="宋体" w:hAnsi="宋体"/>
                <w:b/>
                <w:sz w:val="20"/>
                <w:szCs w:val="20"/>
              </w:rPr>
            </w:pPr>
          </w:p>
        </w:tc>
        <w:tc>
          <w:tcPr>
            <w:tcW w:w="6523" w:type="dxa"/>
            <w:vAlign w:val="center"/>
          </w:tcPr>
          <w:p>
            <w:pPr>
              <w:rPr>
                <w:rFonts w:hint="eastAsia" w:ascii="宋体" w:hAnsi="宋体" w:cs="宋体"/>
                <w:color w:val="000000"/>
                <w:sz w:val="20"/>
                <w:szCs w:val="20"/>
                <w:lang w:val="en-US" w:eastAsia="zh-CN"/>
              </w:rPr>
            </w:pPr>
            <w:r>
              <w:rPr>
                <w:rFonts w:hint="eastAsia" w:ascii="宋体" w:hAnsi="宋体"/>
                <w:sz w:val="21"/>
                <w:szCs w:val="21"/>
              </w:rPr>
              <w:t>5.3</w:t>
            </w:r>
            <w:r>
              <w:rPr>
                <w:rFonts w:hint="eastAsia" w:ascii="宋体" w:hAnsi="宋体"/>
                <w:bCs/>
                <w:sz w:val="21"/>
                <w:szCs w:val="21"/>
              </w:rPr>
              <w:t>出具图纸后，中标人提供拟选用的板材及五金配件供采购人确认。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restart"/>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vAlign w:val="center"/>
          </w:tcPr>
          <w:p>
            <w:pPr>
              <w:spacing w:line="360" w:lineRule="exact"/>
              <w:jc w:val="center"/>
              <w:rPr>
                <w:rFonts w:ascii="宋体" w:hAnsi="宋体"/>
                <w:b/>
                <w:sz w:val="20"/>
                <w:szCs w:val="20"/>
              </w:rPr>
            </w:pPr>
            <w:r>
              <w:rPr>
                <w:rFonts w:hint="eastAsia" w:ascii="宋体" w:hAnsi="宋体"/>
                <w:sz w:val="21"/>
                <w:szCs w:val="21"/>
              </w:rPr>
              <w:t>其他说明</w:t>
            </w:r>
          </w:p>
        </w:tc>
        <w:tc>
          <w:tcPr>
            <w:tcW w:w="6523" w:type="dxa"/>
            <w:vAlign w:val="center"/>
          </w:tcPr>
          <w:p>
            <w:pPr>
              <w:jc w:val="left"/>
            </w:pPr>
            <w:r>
              <w:rPr>
                <w:rFonts w:hint="eastAsia" w:ascii="宋体" w:hAnsi="宋体"/>
                <w:sz w:val="21"/>
                <w:szCs w:val="21"/>
              </w:rPr>
              <w:t>6.1</w:t>
            </w:r>
            <w:r>
              <w:rPr>
                <w:rFonts w:hint="eastAsia" w:ascii="宋体" w:hAnsi="宋体"/>
                <w:color w:val="000000"/>
                <w:sz w:val="21"/>
                <w:szCs w:val="21"/>
              </w:rPr>
              <w:t>投标</w:t>
            </w:r>
            <w:r>
              <w:rPr>
                <w:rFonts w:hint="eastAsia" w:ascii="宋体" w:hAnsi="宋体"/>
                <w:sz w:val="21"/>
                <w:szCs w:val="21"/>
              </w:rPr>
              <w:t>人</w:t>
            </w:r>
            <w:r>
              <w:rPr>
                <w:rFonts w:hint="eastAsia" w:ascii="宋体" w:hAnsi="宋体"/>
                <w:color w:val="000000"/>
                <w:sz w:val="21"/>
                <w:szCs w:val="21"/>
              </w:rPr>
              <w:t>应该为安装人员购买必要的保险并签订安全责任书，对于安装人员因为工作在学校引起的各种工伤、安全事件和事故，采购</w:t>
            </w:r>
            <w:r>
              <w:rPr>
                <w:rFonts w:hint="eastAsia" w:ascii="宋体" w:hAnsi="宋体"/>
                <w:sz w:val="21"/>
                <w:szCs w:val="21"/>
              </w:rPr>
              <w:t>人</w:t>
            </w:r>
            <w:r>
              <w:rPr>
                <w:rFonts w:hint="eastAsia" w:ascii="宋体" w:hAnsi="宋体"/>
                <w:color w:val="000000"/>
                <w:sz w:val="21"/>
                <w:szCs w:val="21"/>
              </w:rPr>
              <w:t>免于一切责任。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vMerge w:val="continue"/>
            <w:vAlign w:val="center"/>
          </w:tcPr>
          <w:p>
            <w:pPr>
              <w:spacing w:line="360" w:lineRule="exact"/>
              <w:jc w:val="center"/>
              <w:rPr>
                <w:rFonts w:ascii="宋体" w:hAnsi="宋体"/>
                <w:b/>
              </w:rPr>
            </w:pPr>
          </w:p>
        </w:tc>
        <w:tc>
          <w:tcPr>
            <w:tcW w:w="1457" w:type="dxa"/>
            <w:vMerge w:val="continue"/>
            <w:vAlign w:val="center"/>
          </w:tcPr>
          <w:p>
            <w:pPr>
              <w:spacing w:line="360" w:lineRule="exact"/>
              <w:rPr>
                <w:rFonts w:ascii="宋体" w:hAnsi="宋体"/>
                <w:b/>
              </w:rPr>
            </w:pPr>
          </w:p>
        </w:tc>
        <w:tc>
          <w:tcPr>
            <w:tcW w:w="6523" w:type="dxa"/>
            <w:vAlign w:val="center"/>
          </w:tcPr>
          <w:p>
            <w:pPr>
              <w:jc w:val="left"/>
              <w:rPr>
                <w:rFonts w:ascii="宋体" w:hAnsi="宋体" w:cs="宋体"/>
                <w:color w:val="000000"/>
                <w:sz w:val="20"/>
                <w:szCs w:val="20"/>
              </w:rPr>
            </w:pPr>
            <w:r>
              <w:rPr>
                <w:rFonts w:hint="eastAsia" w:ascii="宋体" w:hAnsi="宋体"/>
                <w:sz w:val="21"/>
                <w:szCs w:val="21"/>
              </w:rPr>
              <w:t>6.2</w:t>
            </w:r>
            <w:r>
              <w:rPr>
                <w:rFonts w:hint="eastAsia" w:ascii="宋体" w:hAnsi="宋体"/>
                <w:color w:val="000000"/>
                <w:sz w:val="21"/>
                <w:szCs w:val="21"/>
              </w:rPr>
              <w:t>因学校环境特殊，在考虑校内人员正常活动的情况下，投标人应合理安排安装时间及合理使用安装工具，避免对学生及采购人工作人员造成影响。</w:t>
            </w:r>
          </w:p>
        </w:tc>
      </w:tr>
    </w:tbl>
    <w:p>
      <w:pPr>
        <w:rPr>
          <w:b/>
        </w:rPr>
      </w:pPr>
    </w:p>
    <w:p>
      <w:pPr>
        <w:pStyle w:val="8"/>
        <w:spacing w:before="60" w:beforeLines="25" w:after="60" w:afterLines="25"/>
        <w:ind w:firstLine="0" w:firstLineChars="0"/>
        <w:rPr>
          <w:rFonts w:ascii="宋体" w:hAnsi="宋体"/>
          <w:szCs w:val="21"/>
        </w:rPr>
      </w:pPr>
    </w:p>
    <w:p>
      <w:pPr>
        <w:pStyle w:val="6"/>
        <w:spacing w:before="120" w:beforeLines="50" w:after="120" w:afterLines="50"/>
        <w:rPr>
          <w:rFonts w:hint="eastAsia"/>
          <w:sz w:val="28"/>
          <w:szCs w:val="28"/>
          <w:lang w:val="en-US" w:eastAsia="zh-CN"/>
        </w:rPr>
      </w:pPr>
    </w:p>
    <w:p>
      <w:pPr>
        <w:pStyle w:val="6"/>
        <w:spacing w:before="120" w:beforeLines="50" w:after="120" w:afterLines="50"/>
        <w:ind w:firstLine="3092" w:firstLineChars="1100"/>
        <w:jc w:val="both"/>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、除政府采购合同继续履行将损害国家利益和社会公共利益外，双方当事人不得擅自变更、中止或者终止合同。</w:t>
      </w:r>
    </w:p>
    <w:p>
      <w:pPr>
        <w:ind w:firstLine="420" w:firstLineChars="200"/>
        <w:rPr>
          <w:rFonts w:hint="eastAsia"/>
          <w:bCs/>
          <w:szCs w:val="21"/>
          <w:lang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eastAsia="zh-CN"/>
        </w:rPr>
        <w:t>。</w:t>
      </w:r>
    </w:p>
    <w:p>
      <w:pPr>
        <w:pStyle w:val="2"/>
        <w:rPr>
          <w:rFonts w:hint="eastAsia"/>
          <w:bCs/>
          <w:szCs w:val="21"/>
          <w:lang w:eastAsia="zh-CN"/>
        </w:rPr>
      </w:pPr>
    </w:p>
    <w:p>
      <w:pPr>
        <w:pStyle w:val="36"/>
        <w:rPr>
          <w:rFonts w:hint="eastAsia"/>
          <w:bCs/>
          <w:szCs w:val="21"/>
          <w:lang w:eastAsia="zh-CN"/>
        </w:rPr>
      </w:pPr>
    </w:p>
    <w:p>
      <w:pPr>
        <w:pStyle w:val="36"/>
        <w:ind w:firstLine="2409" w:firstLineChars="1000"/>
        <w:rPr>
          <w:rFonts w:hint="eastAsia" w:ascii="宋体" w:hAnsi="宋体" w:eastAsia="宋体" w:cs="Times New Roman"/>
          <w:b/>
          <w:bCs/>
          <w:szCs w:val="20"/>
          <w:lang w:val="en-US" w:eastAsia="zh-CN"/>
        </w:rPr>
      </w:pPr>
      <w:r>
        <w:rPr>
          <w:rFonts w:hint="eastAsia" w:ascii="宋体" w:hAnsi="宋体" w:eastAsia="宋体" w:cs="Times New Roman"/>
          <w:b/>
          <w:bCs/>
          <w:szCs w:val="20"/>
          <w:lang w:val="en-US" w:eastAsia="zh-CN"/>
        </w:rPr>
        <w:t>第四章  投标文件组成要求及格式</w:t>
      </w:r>
    </w:p>
    <w:p>
      <w:pPr>
        <w:pStyle w:val="36"/>
        <w:rPr>
          <w:rFonts w:hint="eastAsia"/>
          <w:bCs/>
          <w:szCs w:val="21"/>
          <w:lang w:val="en-US" w:eastAsia="zh-CN"/>
        </w:rPr>
      </w:pPr>
    </w:p>
    <w:p>
      <w:pPr>
        <w:pStyle w:val="36"/>
        <w:rPr>
          <w:rFonts w:hint="eastAsia"/>
          <w:bCs/>
          <w:szCs w:val="21"/>
          <w:lang w:val="en-US" w:eastAsia="zh-CN"/>
        </w:rPr>
      </w:pPr>
    </w:p>
    <w:p>
      <w:pPr>
        <w:pStyle w:val="36"/>
        <w:rPr>
          <w:rFonts w:hint="eastAsia"/>
          <w:bCs/>
          <w:szCs w:val="21"/>
          <w:lang w:val="en-US" w:eastAsia="zh-CN"/>
        </w:rPr>
      </w:pPr>
      <w:r>
        <w:rPr>
          <w:rStyle w:val="59"/>
          <w:rFonts w:hAnsi="Times New Roman" w:cs="Times New Roman"/>
          <w:sz w:val="28"/>
          <w:szCs w:val="28"/>
        </w:rPr>
        <w:t>投标文件组成：</w:t>
      </w:r>
    </w:p>
    <w:p>
      <w:pPr>
        <w:pStyle w:val="36"/>
        <w:ind w:firstLine="1200" w:firstLineChars="500"/>
        <w:rPr>
          <w:rFonts w:hint="eastAsia"/>
          <w:bCs/>
          <w:szCs w:val="21"/>
          <w:lang w:val="en-US" w:eastAsia="zh-CN"/>
        </w:rPr>
      </w:pPr>
    </w:p>
    <w:p>
      <w:pPr>
        <w:pStyle w:val="36"/>
        <w:spacing w:line="240" w:lineRule="auto"/>
        <w:ind w:firstLine="1200" w:firstLineChars="500"/>
        <w:rPr>
          <w:rFonts w:hint="eastAsia"/>
          <w:bCs/>
          <w:szCs w:val="21"/>
          <w:lang w:val="en-US" w:eastAsia="zh-CN"/>
        </w:rPr>
      </w:pPr>
      <w:r>
        <w:rPr>
          <w:rFonts w:hint="eastAsia"/>
          <w:bCs/>
          <w:szCs w:val="21"/>
          <w:lang w:val="en-US" w:eastAsia="zh-CN"/>
        </w:rPr>
        <w:t>1.投标文件正文（不公开部分），主要包括以下内容：</w:t>
      </w:r>
    </w:p>
    <w:p>
      <w:pPr>
        <w:pStyle w:val="36"/>
        <w:spacing w:line="240" w:lineRule="auto"/>
        <w:ind w:firstLine="1920" w:firstLineChars="800"/>
        <w:rPr>
          <w:rFonts w:hint="eastAsia"/>
          <w:bCs/>
          <w:szCs w:val="21"/>
          <w:lang w:val="en-US" w:eastAsia="zh-CN"/>
        </w:rPr>
      </w:pPr>
      <w:r>
        <w:rPr>
          <w:rFonts w:hint="eastAsia"/>
          <w:bCs/>
          <w:szCs w:val="21"/>
          <w:lang w:val="en-US" w:eastAsia="zh-CN"/>
        </w:rPr>
        <w:t>（1）投标函</w:t>
      </w:r>
    </w:p>
    <w:p>
      <w:pPr>
        <w:pStyle w:val="36"/>
        <w:spacing w:line="240" w:lineRule="auto"/>
        <w:ind w:firstLine="1920" w:firstLineChars="800"/>
        <w:rPr>
          <w:rFonts w:hint="eastAsia"/>
          <w:bCs/>
          <w:szCs w:val="21"/>
          <w:lang w:val="en-US" w:eastAsia="zh-CN"/>
        </w:rPr>
      </w:pPr>
      <w:r>
        <w:rPr>
          <w:rFonts w:hint="eastAsia"/>
          <w:bCs/>
          <w:szCs w:val="21"/>
          <w:lang w:val="en-US" w:eastAsia="zh-CN"/>
        </w:rPr>
        <w:t>（2）政府采购投标及履约承诺函</w:t>
      </w:r>
    </w:p>
    <w:p>
      <w:pPr>
        <w:pStyle w:val="36"/>
        <w:spacing w:line="240" w:lineRule="auto"/>
        <w:ind w:firstLine="1920" w:firstLineChars="800"/>
        <w:rPr>
          <w:rFonts w:hint="eastAsia"/>
          <w:bCs/>
          <w:szCs w:val="21"/>
          <w:lang w:val="en-US" w:eastAsia="zh-CN"/>
        </w:rPr>
      </w:pPr>
      <w:r>
        <w:rPr>
          <w:rFonts w:hint="eastAsia"/>
          <w:bCs/>
          <w:szCs w:val="21"/>
          <w:lang w:val="en-US" w:eastAsia="zh-CN"/>
        </w:rPr>
        <w:t>（3）投标人情况及资格证明文件</w:t>
      </w:r>
    </w:p>
    <w:p>
      <w:pPr>
        <w:pStyle w:val="36"/>
        <w:spacing w:line="240" w:lineRule="auto"/>
        <w:ind w:firstLine="1920" w:firstLineChars="800"/>
        <w:rPr>
          <w:rFonts w:hint="eastAsia"/>
          <w:bCs/>
          <w:szCs w:val="21"/>
          <w:lang w:val="en-US" w:eastAsia="zh-CN"/>
        </w:rPr>
      </w:pPr>
      <w:r>
        <w:rPr>
          <w:rFonts w:hint="eastAsia"/>
          <w:bCs/>
          <w:szCs w:val="21"/>
          <w:lang w:val="en-US" w:eastAsia="zh-CN"/>
        </w:rPr>
        <w:t>（4）项目详细报价</w:t>
      </w:r>
    </w:p>
    <w:p>
      <w:pPr>
        <w:pStyle w:val="36"/>
        <w:spacing w:line="240" w:lineRule="auto"/>
        <w:ind w:firstLine="1920" w:firstLineChars="800"/>
        <w:rPr>
          <w:rFonts w:hint="eastAsia"/>
          <w:bCs/>
          <w:szCs w:val="21"/>
          <w:lang w:val="en-US" w:eastAsia="zh-CN"/>
        </w:rPr>
      </w:pPr>
      <w:r>
        <w:rPr>
          <w:rFonts w:hint="eastAsia"/>
          <w:bCs/>
          <w:szCs w:val="21"/>
          <w:lang w:val="en-US" w:eastAsia="zh-CN"/>
        </w:rPr>
        <w:t>（5）投标人同类业绩</w:t>
      </w:r>
    </w:p>
    <w:p>
      <w:pPr>
        <w:ind w:firstLine="1920" w:firstLineChars="800"/>
        <w:rPr>
          <w:rFonts w:hint="default" w:ascii="Times New Roman" w:hAnsi="Times New Roman" w:eastAsia="宋体" w:cs="Times New Roman"/>
          <w:bCs/>
          <w:sz w:val="24"/>
          <w:szCs w:val="21"/>
          <w:lang w:val="en-US" w:eastAsia="zh-CN"/>
        </w:rPr>
      </w:pPr>
      <w:r>
        <w:rPr>
          <w:rFonts w:hint="eastAsia" w:ascii="Times New Roman" w:hAnsi="Times New Roman" w:eastAsia="宋体" w:cs="Times New Roman"/>
          <w:bCs/>
          <w:sz w:val="24"/>
          <w:szCs w:val="21"/>
          <w:lang w:val="en-US" w:eastAsia="zh-CN"/>
        </w:rPr>
        <w:t xml:space="preserve"> </w:t>
      </w:r>
      <w:r>
        <w:rPr>
          <w:rFonts w:hint="eastAsia" w:cs="Times New Roman"/>
          <w:bCs/>
          <w:sz w:val="24"/>
          <w:szCs w:val="21"/>
          <w:lang w:val="en-US" w:eastAsia="zh-CN"/>
        </w:rPr>
        <w:t>（6）政府采购节能环保产品情况</w:t>
      </w:r>
    </w:p>
    <w:p>
      <w:pPr>
        <w:ind w:firstLine="1920" w:firstLineChars="800"/>
        <w:rPr>
          <w:rFonts w:hint="eastAsia" w:ascii="Times New Roman" w:hAnsi="Times New Roman" w:eastAsia="宋体" w:cs="Times New Roman"/>
          <w:bCs/>
          <w:kern w:val="2"/>
          <w:sz w:val="24"/>
          <w:szCs w:val="21"/>
          <w:lang w:val="en-US"/>
        </w:rPr>
      </w:pPr>
      <w:r>
        <w:rPr>
          <w:rFonts w:hint="eastAsia" w:ascii="Times New Roman" w:hAnsi="Times New Roman" w:eastAsia="宋体" w:cs="Times New Roman"/>
          <w:bCs/>
          <w:sz w:val="24"/>
          <w:szCs w:val="21"/>
          <w:lang w:val="en-US" w:eastAsia="zh-CN"/>
        </w:rPr>
        <w:t>（</w:t>
      </w:r>
      <w:r>
        <w:rPr>
          <w:rFonts w:hint="eastAsia" w:cs="Times New Roman"/>
          <w:bCs/>
          <w:sz w:val="24"/>
          <w:szCs w:val="21"/>
          <w:lang w:val="en-US" w:eastAsia="zh-CN"/>
        </w:rPr>
        <w:t>7</w:t>
      </w:r>
      <w:r>
        <w:rPr>
          <w:rFonts w:hint="eastAsia" w:ascii="Times New Roman" w:hAnsi="Times New Roman" w:eastAsia="宋体" w:cs="Times New Roman"/>
          <w:bCs/>
          <w:sz w:val="24"/>
          <w:szCs w:val="21"/>
          <w:lang w:val="en-US" w:eastAsia="zh-CN"/>
        </w:rPr>
        <w:t>）投标人认为需要加以说明的其他内容（正文部分）</w:t>
      </w:r>
    </w:p>
    <w:p>
      <w:pPr>
        <w:pStyle w:val="36"/>
        <w:spacing w:line="240" w:lineRule="auto"/>
        <w:ind w:firstLine="1920" w:firstLineChars="800"/>
        <w:rPr>
          <w:rFonts w:hint="default"/>
          <w:bCs/>
          <w:szCs w:val="21"/>
          <w:lang w:val="en-US" w:eastAsia="zh-CN"/>
        </w:rPr>
      </w:pPr>
    </w:p>
    <w:p>
      <w:pPr>
        <w:pStyle w:val="36"/>
        <w:spacing w:line="240" w:lineRule="auto"/>
        <w:ind w:firstLine="1200" w:firstLineChars="500"/>
        <w:rPr>
          <w:rFonts w:hint="eastAsia"/>
          <w:bCs/>
          <w:szCs w:val="21"/>
          <w:lang w:val="en-US" w:eastAsia="zh-CN"/>
        </w:rPr>
      </w:pPr>
      <w:r>
        <w:rPr>
          <w:rFonts w:hint="eastAsia"/>
          <w:bCs/>
          <w:szCs w:val="21"/>
          <w:lang w:val="en-US" w:eastAsia="zh-CN"/>
        </w:rPr>
        <w:t>2.投标文件附件（不公开部分），主要包括以下内容：</w:t>
      </w:r>
    </w:p>
    <w:p>
      <w:pPr>
        <w:pStyle w:val="36"/>
        <w:spacing w:line="240" w:lineRule="auto"/>
        <w:ind w:firstLine="1920" w:firstLineChars="800"/>
        <w:rPr>
          <w:rFonts w:hint="default"/>
          <w:bCs/>
          <w:szCs w:val="21"/>
          <w:lang w:val="en-US" w:eastAsia="zh-CN"/>
        </w:rPr>
      </w:pPr>
      <w:r>
        <w:rPr>
          <w:rFonts w:hint="eastAsia"/>
          <w:bCs/>
          <w:szCs w:val="21"/>
          <w:lang w:val="en-US" w:eastAsia="zh-CN"/>
        </w:rPr>
        <w:t>（1）</w:t>
      </w:r>
      <w:r>
        <w:rPr>
          <w:rFonts w:hint="eastAsia" w:asciiTheme="minorEastAsia" w:hAnsiTheme="minorEastAsia" w:eastAsiaTheme="minorEastAsia" w:cstheme="minorEastAsia"/>
          <w:sz w:val="24"/>
          <w:szCs w:val="24"/>
        </w:rPr>
        <w:t>供应商基本情况表</w:t>
      </w:r>
    </w:p>
    <w:p>
      <w:pPr>
        <w:pStyle w:val="36"/>
        <w:spacing w:line="240" w:lineRule="auto"/>
        <w:ind w:firstLine="1920" w:firstLineChars="800"/>
        <w:rPr>
          <w:rFonts w:hint="eastAsia"/>
          <w:bCs/>
          <w:szCs w:val="21"/>
          <w:lang w:val="en-US" w:eastAsia="zh-CN"/>
        </w:rPr>
      </w:pPr>
      <w:r>
        <w:rPr>
          <w:rFonts w:hint="eastAsia"/>
          <w:bCs/>
          <w:szCs w:val="21"/>
          <w:lang w:val="en-US" w:eastAsia="zh-CN"/>
        </w:rPr>
        <w:t>（2）法定代表人（负责人）证明书</w:t>
      </w:r>
    </w:p>
    <w:p>
      <w:pPr>
        <w:pStyle w:val="36"/>
        <w:spacing w:line="240" w:lineRule="auto"/>
        <w:ind w:firstLine="1920" w:firstLineChars="800"/>
        <w:rPr>
          <w:rFonts w:hint="eastAsia"/>
          <w:bCs/>
          <w:szCs w:val="21"/>
          <w:lang w:val="en-US" w:eastAsia="zh-CN"/>
        </w:rPr>
      </w:pPr>
      <w:r>
        <w:rPr>
          <w:rFonts w:hint="eastAsia"/>
          <w:bCs/>
          <w:szCs w:val="21"/>
          <w:lang w:val="en-US" w:eastAsia="zh-CN"/>
        </w:rPr>
        <w:t>（3）投标文件签署授权委托书</w:t>
      </w:r>
    </w:p>
    <w:p>
      <w:pPr>
        <w:pStyle w:val="36"/>
        <w:spacing w:line="240" w:lineRule="auto"/>
        <w:ind w:firstLine="1920" w:firstLineChars="800"/>
        <w:rPr>
          <w:rFonts w:hint="eastAsia"/>
          <w:bCs/>
          <w:szCs w:val="21"/>
          <w:lang w:val="en-US" w:eastAsia="zh-CN"/>
        </w:rPr>
      </w:pPr>
      <w:r>
        <w:rPr>
          <w:rFonts w:hint="eastAsia"/>
          <w:bCs/>
          <w:szCs w:val="21"/>
          <w:lang w:val="en-US" w:eastAsia="zh-CN"/>
        </w:rPr>
        <w:t>（4）实质性条款响应情况表</w:t>
      </w:r>
    </w:p>
    <w:p>
      <w:pPr>
        <w:pStyle w:val="36"/>
        <w:spacing w:line="240" w:lineRule="auto"/>
        <w:ind w:firstLine="1920" w:firstLineChars="800"/>
        <w:rPr>
          <w:rFonts w:hint="eastAsia"/>
          <w:bCs/>
          <w:szCs w:val="21"/>
          <w:lang w:val="en-US" w:eastAsia="zh-CN"/>
        </w:rPr>
      </w:pPr>
      <w:r>
        <w:rPr>
          <w:rFonts w:hint="eastAsia"/>
          <w:bCs/>
          <w:szCs w:val="21"/>
          <w:lang w:val="en-US" w:eastAsia="zh-CN"/>
        </w:rPr>
        <w:t>（5）技术要求偏离表</w:t>
      </w:r>
    </w:p>
    <w:p>
      <w:pPr>
        <w:pStyle w:val="36"/>
        <w:spacing w:line="240" w:lineRule="auto"/>
        <w:ind w:firstLine="1920" w:firstLineChars="800"/>
        <w:rPr>
          <w:rFonts w:hint="eastAsia"/>
          <w:bCs/>
          <w:szCs w:val="21"/>
          <w:lang w:val="en-US" w:eastAsia="zh-CN"/>
        </w:rPr>
      </w:pPr>
      <w:r>
        <w:rPr>
          <w:rFonts w:hint="eastAsia"/>
          <w:bCs/>
          <w:szCs w:val="21"/>
          <w:lang w:val="en-US" w:eastAsia="zh-CN"/>
        </w:rPr>
        <w:t>（6）设计图评价</w:t>
      </w:r>
    </w:p>
    <w:p>
      <w:pPr>
        <w:pStyle w:val="36"/>
        <w:spacing w:line="240" w:lineRule="auto"/>
        <w:ind w:firstLine="1920" w:firstLineChars="800"/>
        <w:rPr>
          <w:rFonts w:hint="eastAsia"/>
          <w:bCs/>
          <w:szCs w:val="21"/>
          <w:lang w:val="en-US" w:eastAsia="zh-CN"/>
        </w:rPr>
      </w:pPr>
      <w:r>
        <w:rPr>
          <w:rFonts w:hint="eastAsia"/>
          <w:bCs/>
          <w:szCs w:val="21"/>
          <w:lang w:val="en-US" w:eastAsia="zh-CN"/>
        </w:rPr>
        <w:t>（7）项目组织实施方案的评价</w:t>
      </w:r>
    </w:p>
    <w:p>
      <w:pPr>
        <w:pStyle w:val="36"/>
        <w:spacing w:line="240" w:lineRule="auto"/>
        <w:ind w:firstLine="1920" w:firstLineChars="800"/>
        <w:rPr>
          <w:rFonts w:hint="eastAsia"/>
          <w:bCs/>
          <w:szCs w:val="21"/>
          <w:lang w:val="en-US" w:eastAsia="zh-CN"/>
        </w:rPr>
      </w:pPr>
      <w:r>
        <w:rPr>
          <w:rFonts w:hint="eastAsia"/>
          <w:bCs/>
          <w:szCs w:val="21"/>
          <w:lang w:val="en-US" w:eastAsia="zh-CN"/>
        </w:rPr>
        <w:t>（8）</w:t>
      </w:r>
      <w:r>
        <w:rPr>
          <w:rFonts w:hint="eastAsia" w:ascii="宋体" w:hAnsi="宋体" w:eastAsia="宋体" w:cs="宋体"/>
          <w:sz w:val="21"/>
          <w:szCs w:val="21"/>
        </w:rPr>
        <w:t>售后服务方案</w:t>
      </w:r>
    </w:p>
    <w:p>
      <w:pPr>
        <w:pStyle w:val="36"/>
        <w:spacing w:line="240" w:lineRule="auto"/>
        <w:ind w:firstLine="1920" w:firstLineChars="800"/>
        <w:rPr>
          <w:rFonts w:hint="default"/>
          <w:bCs/>
          <w:szCs w:val="21"/>
          <w:lang w:val="en-US" w:eastAsia="zh-CN"/>
        </w:rPr>
      </w:pPr>
      <w:r>
        <w:rPr>
          <w:rFonts w:hint="eastAsia"/>
          <w:bCs/>
          <w:szCs w:val="21"/>
          <w:lang w:val="en-US" w:eastAsia="zh-CN"/>
        </w:rPr>
        <w:t>（9）投标人认为需要加以说明的其他内容（附件部分）</w:t>
      </w:r>
    </w:p>
    <w:p>
      <w:pPr>
        <w:pStyle w:val="36"/>
        <w:spacing w:line="240" w:lineRule="auto"/>
        <w:rPr>
          <w:rFonts w:hint="eastAsia"/>
          <w:bCs/>
          <w:szCs w:val="21"/>
          <w:lang w:val="en-US" w:eastAsia="zh-CN"/>
        </w:rPr>
      </w:pPr>
    </w:p>
    <w:p>
      <w:pPr>
        <w:ind w:firstLine="0" w:firstLineChars="0"/>
        <w:rPr>
          <w:rFonts w:ascii="宋体" w:hAnsi="宋体" w:eastAsia="宋体" w:cs="Times New Roman"/>
          <w:b/>
          <w:szCs w:val="21"/>
        </w:rPr>
      </w:pPr>
      <w:r>
        <w:rPr>
          <w:rFonts w:hint="eastAsia" w:ascii="宋体" w:hAnsi="宋体" w:eastAsia="宋体" w:cs="Times New Roman"/>
          <w:b/>
          <w:szCs w:val="21"/>
        </w:rPr>
        <w:t>备注：</w:t>
      </w:r>
    </w:p>
    <w:p>
      <w:pPr>
        <w:ind w:firstLine="422" w:firstLineChars="200"/>
        <w:rPr>
          <w:rFonts w:ascii="宋体" w:hAnsi="宋体" w:eastAsia="宋体" w:cs="Times New Roman"/>
          <w:b/>
          <w:szCs w:val="21"/>
        </w:rPr>
      </w:pPr>
      <w:r>
        <w:rPr>
          <w:rFonts w:hint="eastAsia" w:ascii="宋体" w:hAnsi="宋体" w:eastAsia="宋体" w:cs="Times New Roman"/>
          <w:b/>
          <w:szCs w:val="21"/>
        </w:rPr>
        <w:t>1.本项目为网上电子投标项目，投标文件不需法人或授权委托人另行签字，无需加盖单位公章，招标文件另有规定的除外。</w:t>
      </w:r>
    </w:p>
    <w:p>
      <w:pPr>
        <w:rPr>
          <w:rFonts w:ascii="宋体" w:hAnsi="宋体"/>
          <w:color w:val="FF0000"/>
          <w:sz w:val="24"/>
        </w:rPr>
        <w:sectPr>
          <w:pgSz w:w="11907" w:h="16840"/>
          <w:pgMar w:top="1440" w:right="1797" w:bottom="1440" w:left="1797" w:header="851" w:footer="992" w:gutter="0"/>
          <w:cols w:space="425" w:num="1"/>
          <w:titlePg/>
          <w:docGrid w:linePitch="462" w:charSpace="0"/>
        </w:sectPr>
      </w:pPr>
      <w:r>
        <w:rPr>
          <w:rFonts w:hint="eastAsia" w:ascii="宋体" w:hAnsi="宋体" w:eastAsia="宋体" w:cs="Times New Roman"/>
          <w:b/>
          <w:szCs w:val="21"/>
        </w:rPr>
        <w:t>2.关于填写“开标一览表”的说明：“开标一览表”中除“投标总价”外，其他信息不作评审依据。</w:t>
      </w:r>
    </w:p>
    <w:p>
      <w:pPr>
        <w:outlineLvl w:val="1"/>
        <w:rPr>
          <w:rFonts w:ascii="宋体" w:hAnsi="宋体"/>
          <w:b/>
          <w:color w:val="FF0000"/>
          <w:sz w:val="28"/>
          <w:szCs w:val="28"/>
        </w:rPr>
      </w:pPr>
      <w:r>
        <w:rPr>
          <w:rFonts w:hint="eastAsia" w:ascii="宋体" w:hAnsi="宋体"/>
          <w:b/>
          <w:color w:val="FF0000"/>
          <w:sz w:val="28"/>
          <w:szCs w:val="28"/>
        </w:rPr>
        <w:t>投标文件正文</w:t>
      </w:r>
    </w:p>
    <w:p>
      <w:pPr>
        <w:pStyle w:val="4"/>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6"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7"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Cs w:val="21"/>
          <w:u w:val="thick"/>
          <w:lang w:eastAsia="zh-CN"/>
        </w:rPr>
        <w:t>（</w:t>
      </w:r>
      <w:r>
        <w:rPr>
          <w:rFonts w:hint="eastAsia"/>
          <w:szCs w:val="21"/>
          <w:u w:val="thick"/>
        </w:rPr>
        <w:t>项目</w:t>
      </w:r>
      <w:r>
        <w:rPr>
          <w:rFonts w:hint="eastAsia"/>
          <w:szCs w:val="21"/>
          <w:u w:val="thick"/>
          <w:lang w:val="en-US" w:eastAsia="zh-CN"/>
        </w:rPr>
        <w:t>名称</w:t>
      </w:r>
      <w:r>
        <w:rPr>
          <w:rFonts w:hint="eastAsia"/>
          <w:szCs w:val="21"/>
          <w:u w:val="thick"/>
          <w:lang w:eastAsia="zh-CN"/>
        </w:rPr>
        <w:t>）</w:t>
      </w:r>
      <w:r>
        <w:rPr>
          <w:rFonts w:hint="eastAsia"/>
          <w:szCs w:val="21"/>
          <w:u w:val="thick"/>
        </w:rPr>
        <w:t xml:space="preserve">          </w:t>
      </w:r>
      <w:r>
        <w:rPr>
          <w:rFonts w:hint="eastAsia"/>
          <w:szCs w:val="21"/>
        </w:rPr>
        <w:t>项目的招标文件，遵照《深圳经济特区政府采购条例》和《深圳网上政府采购管理暂行办法》等有关规定，我单位经研究上述招标文件的专用条款及通用条款后，</w:t>
      </w:r>
      <w:bookmarkStart w:id="48" w:name="_Hlk72263588"/>
      <w:r>
        <w:rPr>
          <w:rFonts w:hint="eastAsia"/>
          <w:szCs w:val="21"/>
        </w:rPr>
        <w:t>愿意按照招标文件要求承包上述项目并修补其任何缺陷。</w:t>
      </w:r>
      <w:bookmarkEnd w:id="48"/>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49" w:name="_Hlk73819847"/>
      <w:r>
        <w:rPr>
          <w:rFonts w:hint="eastAsia" w:ascii="宋体" w:hAnsi="宋体"/>
          <w:szCs w:val="21"/>
        </w:rPr>
        <w:t>投标价格见</w:t>
      </w:r>
      <w:r>
        <w:rPr>
          <w:rFonts w:hint="eastAsia"/>
          <w:szCs w:val="21"/>
        </w:rPr>
        <w:t>投标书编制软件中《开标一览表》中填写的投标总价。</w:t>
      </w:r>
      <w:bookmarkEnd w:id="49"/>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7"/>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szCs w:val="21"/>
        </w:rPr>
      </w:pPr>
      <w:r>
        <w:rPr>
          <w:rFonts w:hint="eastAsia"/>
          <w:szCs w:val="21"/>
        </w:rPr>
        <w:t>投标人：</w:t>
      </w:r>
      <w:r>
        <w:rPr>
          <w:rFonts w:hint="eastAsia"/>
          <w:szCs w:val="21"/>
          <w:u w:val="thick"/>
        </w:rPr>
        <w:t xml:space="preserve">                   </w:t>
      </w:r>
      <w:r>
        <w:rPr>
          <w:rFonts w:hint="eastAsia"/>
          <w:szCs w:val="21"/>
        </w:rPr>
        <w:t xml:space="preserve">  ；  单位地址：</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rPr>
          <w:rFonts w:ascii="黑体" w:hAnsi="宋体" w:eastAsia="黑体"/>
        </w:rPr>
      </w:pPr>
    </w:p>
    <w:p>
      <w:pPr>
        <w:rPr>
          <w:rFonts w:ascii="黑体" w:hAnsi="宋体" w:eastAsia="黑体"/>
        </w:rPr>
      </w:pPr>
    </w:p>
    <w:bookmarkEnd w:id="46"/>
    <w:p>
      <w:pPr>
        <w:pStyle w:val="4"/>
        <w:jc w:val="center"/>
        <w:rPr>
          <w:rFonts w:ascii="黑体" w:eastAsia="黑体"/>
          <w:b w:val="0"/>
          <w:sz w:val="24"/>
        </w:rPr>
      </w:pPr>
      <w:r>
        <w:rPr>
          <w:rFonts w:hint="eastAsia" w:ascii="黑体" w:eastAsia="黑体"/>
          <w:b w:val="0"/>
          <w:sz w:val="24"/>
        </w:rPr>
        <w:t>二、政府采购投标及履约承诺函</w:t>
      </w:r>
    </w:p>
    <w:p>
      <w:pPr>
        <w:rPr>
          <w:rFonts w:ascii="宋体" w:hAnsi="宋体"/>
          <w:color w:val="FF0000"/>
          <w:szCs w:val="21"/>
        </w:rPr>
      </w:pPr>
      <w:bookmarkStart w:id="50"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1.我单位参与本项目所投标（响应）的货物、工程或服务，不存在侵犯知识产权的情况。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rPr>
        <w:t>政府采购活动时不存在被有关部门禁止参与政府采购活动且在有效期内的情况。</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未被列入失信被执行人、重大税收违法案件当事人名单、政府采购严重违法失信行为记录名单。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default" w:ascii="宋体" w:hAnsi="宋体"/>
          <w:b/>
          <w:szCs w:val="21"/>
          <w:lang w:val="en-US"/>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p>
      <w:pPr>
        <w:spacing w:before="60" w:beforeLines="25" w:after="60" w:afterLines="25"/>
        <w:ind w:firstLine="5460" w:firstLineChars="2600"/>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bookmarkEnd w:id="50"/>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4"/>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1"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其中要求提供《政府采购投标及履约承诺函》《供应商基本情况表》且已在规定章节中提供的，此处不重复提供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2" w:name="_Hlk72257908"/>
      <w:r>
        <w:rPr>
          <w:rFonts w:hint="eastAsia" w:ascii="黑体" w:hAnsi="宋体" w:eastAsia="黑体"/>
          <w:bCs/>
          <w:kern w:val="0"/>
          <w:sz w:val="24"/>
          <w:szCs w:val="32"/>
        </w:rPr>
        <w:t>（二）中小企业声明函、残疾人福利性单位声明函及监狱企业声明函</w:t>
      </w:r>
    </w:p>
    <w:bookmarkEnd w:id="51"/>
    <w:p>
      <w:pPr>
        <w:jc w:val="left"/>
        <w:outlineLvl w:val="3"/>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判断《中小企业声明函》载明的货物制造商是否属于采购文件所属行业的中型企业/小型企业/微型企业。</w:t>
      </w:r>
    </w:p>
    <w:p>
      <w:pPr>
        <w:pStyle w:val="482"/>
        <w:ind w:firstLine="420" w:firstLineChars="200"/>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pStyle w:val="482"/>
        <w:ind w:firstLine="420" w:firstLineChars="200"/>
        <w:rPr>
          <w:rFonts w:hint="eastAsia" w:eastAsia="黑体"/>
          <w:lang w:val="en-US" w:eastAsia="zh-CN"/>
        </w:rPr>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124"/>
        </w:numPr>
        <w:jc w:val="center"/>
        <w:outlineLvl w:val="3"/>
        <w:rPr>
          <w:b/>
          <w:sz w:val="24"/>
        </w:rPr>
      </w:pPr>
      <w:r>
        <w:rPr>
          <w:b/>
          <w:sz w:val="24"/>
        </w:rPr>
        <w:t>中小企业声明函（货物）</w:t>
      </w:r>
    </w:p>
    <w:p>
      <w:pPr>
        <w:pStyle w:val="2"/>
        <w:widowControl w:val="0"/>
        <w:numPr>
          <w:ilvl w:val="0"/>
          <w:numId w:val="0"/>
        </w:numPr>
        <w:spacing w:line="360" w:lineRule="auto"/>
        <w:jc w:val="both"/>
      </w:pPr>
    </w:p>
    <w:p>
      <w:pPr>
        <w:pStyle w:val="36"/>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36"/>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36"/>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36"/>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36"/>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3"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53"/>
    </w:p>
    <w:p>
      <w:pPr>
        <w:ind w:firstLine="420" w:firstLineChars="200"/>
        <w:outlineLvl w:val="3"/>
        <w:rPr>
          <w:rFonts w:ascii="宋体" w:hAnsi="宋体"/>
          <w:bCs/>
          <w:color w:val="FF0000"/>
          <w:kern w:val="0"/>
          <w:szCs w:val="21"/>
        </w:rPr>
      </w:pPr>
    </w:p>
    <w:p/>
    <w:p>
      <w:pPr>
        <w:ind w:firstLine="420" w:firstLineChars="200"/>
      </w:pPr>
    </w:p>
    <w:p>
      <w:pPr>
        <w:jc w:val="center"/>
        <w:outlineLvl w:val="3"/>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331"/>
      <w:bookmarkStart w:id="55" w:name="_Hlk73562245"/>
      <w:r>
        <w:rPr>
          <w:rFonts w:hint="eastAsia" w:asciiTheme="minorEastAsia" w:hAnsiTheme="minorEastAsia" w:eastAsiaTheme="minorEastAsia" w:cstheme="minorEastAsia"/>
          <w:kern w:val="2"/>
          <w:sz w:val="21"/>
          <w:szCs w:val="21"/>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4"/>
    </w:p>
    <w:bookmarkEnd w:id="55"/>
    <w:p>
      <w:pPr>
        <w:ind w:firstLine="420" w:firstLineChars="200"/>
        <w:rPr>
          <w:rFonts w:ascii="宋体" w:hAnsi="宋体"/>
          <w:szCs w:val="21"/>
        </w:rPr>
      </w:pPr>
    </w:p>
    <w:p>
      <w:pPr>
        <w:ind w:firstLine="420" w:firstLineChars="200"/>
        <w:rPr>
          <w:rFonts w:ascii="宋体" w:hAnsi="宋体"/>
          <w:szCs w:val="21"/>
        </w:rPr>
      </w:pPr>
    </w:p>
    <w:p>
      <w:pPr>
        <w:jc w:val="center"/>
        <w:outlineLvl w:val="3"/>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本投标人郑重声明，根据《财政部司法部关于政府采购支持监狱企业发展有关问题的通知》（财库〔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b/>
          <w:bCs/>
          <w:color w:val="FF0000"/>
          <w:sz w:val="21"/>
          <w:szCs w:val="21"/>
        </w:rPr>
      </w:pPr>
      <w:r>
        <w:rPr>
          <w:rFonts w:hint="eastAsia" w:ascii="宋体" w:hAnsi="宋体"/>
          <w:sz w:val="21"/>
          <w:szCs w:val="21"/>
        </w:rPr>
        <w:t>附：省级以上监狱管理局、戒毒管理局（含新疆生产建设兵团）出具的监狱企业证明文件。</w:t>
      </w:r>
      <w:bookmarkEnd w:id="52"/>
    </w:p>
    <w:p>
      <w:pPr>
        <w:pStyle w:val="4"/>
        <w:jc w:val="center"/>
        <w:rPr>
          <w:rFonts w:ascii="黑体" w:eastAsia="黑体"/>
          <w:b w:val="0"/>
          <w:sz w:val="24"/>
          <w:szCs w:val="24"/>
        </w:rPr>
      </w:pPr>
      <w:bookmarkStart w:id="56"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43"/>
        <w:tblW w:w="7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018"/>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018"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4" w:type="dxa"/>
            <w:gridSpan w:val="11"/>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highlight w:val="yellow"/>
              </w:rPr>
              <w:t>一、物理实验室1（52座）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1018"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教师演示讲台</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ascii="Times New Roman" w:hAnsi="Times New Roman" w:eastAsia="宋体" w:cs="Times New Roman"/>
                <w:b/>
                <w:bCs/>
                <w:szCs w:val="21"/>
              </w:rPr>
            </w:pPr>
            <w:r>
              <w:rPr>
                <w:rFonts w:ascii="Times New Roman" w:hAnsi="Times New Roman" w:eastAsia="宋体" w:cs="Times New Roman"/>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1018"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教师转椅</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1018"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物理学生实验桌</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1018"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多功能柱</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边台柜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边台柜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教师演示电源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学生安全电源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网口</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实验凳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实验室强弱电系统</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设备辅助材料</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消防设施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41" w:type="dxa"/>
            <w:gridSpan w:val="10"/>
            <w:vAlign w:val="center"/>
          </w:tcPr>
          <w:p>
            <w:pPr>
              <w:jc w:val="center"/>
              <w:rPr>
                <w:rFonts w:ascii="Times New Roman" w:hAnsi="Times New Roman" w:eastAsia="宋体" w:cs="Times New Roman"/>
                <w:bCs/>
                <w:szCs w:val="21"/>
              </w:rPr>
            </w:pPr>
            <w:r>
              <w:rPr>
                <w:rFonts w:hint="eastAsia" w:ascii="宋体" w:hAnsi="宋体" w:eastAsia="宋体" w:cs="宋体"/>
                <w:b/>
                <w:bCs/>
                <w:i w:val="0"/>
                <w:iCs w:val="0"/>
                <w:color w:val="000000"/>
                <w:kern w:val="0"/>
                <w:sz w:val="21"/>
                <w:szCs w:val="21"/>
                <w:highlight w:val="yellow"/>
                <w:u w:val="none"/>
                <w:lang w:val="en-US" w:eastAsia="zh-CN" w:bidi="ar"/>
              </w:rPr>
              <w:t>二、物理实验室2（48座）</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教师演示讲台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教师转椅</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物理学生实验桌</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多功能柱</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教师演示电源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学生安全电源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实验凳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w:t>
            </w:r>
          </w:p>
        </w:tc>
        <w:tc>
          <w:tcPr>
            <w:tcW w:w="1018"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实验室供电系统</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设备辅助材料</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消防设施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41" w:type="dxa"/>
            <w:gridSpan w:val="10"/>
            <w:vAlign w:val="center"/>
          </w:tcPr>
          <w:p>
            <w:pPr>
              <w:jc w:val="center"/>
              <w:rPr>
                <w:rFonts w:ascii="Times New Roman" w:hAnsi="Times New Roman" w:eastAsia="宋体" w:cs="Times New Roman"/>
                <w:bCs/>
                <w:szCs w:val="21"/>
              </w:rPr>
            </w:pPr>
            <w:r>
              <w:rPr>
                <w:rFonts w:hint="eastAsia" w:ascii="宋体" w:hAnsi="宋体" w:eastAsia="宋体" w:cs="宋体"/>
                <w:b/>
                <w:bCs/>
                <w:i w:val="0"/>
                <w:iCs w:val="0"/>
                <w:color w:val="000000"/>
                <w:kern w:val="0"/>
                <w:sz w:val="21"/>
                <w:szCs w:val="21"/>
                <w:highlight w:val="yellow"/>
                <w:u w:val="none"/>
                <w:lang w:val="en-US" w:eastAsia="zh-CN" w:bidi="ar"/>
              </w:rPr>
              <w:t>三、物理仪器准备室</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教师准备台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教师转椅</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水槽柜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101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化验专</w:t>
            </w:r>
          </w:p>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用水槽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三联高低位龙头</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仪器柜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仪器柜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仪器盘</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仪器盘</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仪器手推车</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辆</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塔式插座</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auto"/>
                <w:kern w:val="0"/>
                <w:sz w:val="21"/>
                <w:szCs w:val="21"/>
                <w:u w:val="none"/>
                <w:lang w:val="en-US" w:eastAsia="zh-CN" w:bidi="ar"/>
              </w:rPr>
              <w:t>12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实验室供电系统</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widowControl/>
              <w:jc w:val="center"/>
              <w:textAlignment w:val="center"/>
              <w:rPr>
                <w:rFonts w:ascii="Times New Roman" w:hAnsi="Times New Roman" w:eastAsia="宋体" w:cs="Times New Roman"/>
                <w:bCs/>
                <w:szCs w:val="21"/>
              </w:rPr>
            </w:pPr>
            <w:r>
              <w:rPr>
                <w:rFonts w:hint="eastAsia" w:ascii="宋体" w:hAnsi="宋体" w:eastAsia="宋体" w:cs="宋体"/>
                <w:i w:val="0"/>
                <w:iCs w:val="0"/>
                <w:color w:val="auto"/>
                <w:kern w:val="0"/>
                <w:sz w:val="21"/>
                <w:szCs w:val="21"/>
                <w:u w:val="none"/>
                <w:lang w:val="en-US" w:eastAsia="zh-CN" w:bidi="ar"/>
              </w:rPr>
              <w:t>13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消防设施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auto"/>
                <w:kern w:val="0"/>
                <w:sz w:val="21"/>
                <w:szCs w:val="21"/>
                <w:u w:val="none"/>
                <w:lang w:val="en-US" w:eastAsia="zh-CN" w:bidi="ar"/>
              </w:rPr>
              <w:t>14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设备辅助材料</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41" w:type="dxa"/>
            <w:gridSpan w:val="10"/>
            <w:vAlign w:val="center"/>
          </w:tcPr>
          <w:p>
            <w:pPr>
              <w:jc w:val="center"/>
              <w:rPr>
                <w:rFonts w:ascii="Times New Roman" w:hAnsi="Times New Roman" w:eastAsia="宋体" w:cs="Times New Roman"/>
                <w:bCs/>
                <w:szCs w:val="21"/>
              </w:rPr>
            </w:pPr>
            <w:r>
              <w:rPr>
                <w:rFonts w:hint="eastAsia" w:ascii="宋体" w:hAnsi="宋体" w:eastAsia="宋体" w:cs="宋体"/>
                <w:b/>
                <w:bCs/>
                <w:i w:val="0"/>
                <w:iCs w:val="0"/>
                <w:color w:val="000000"/>
                <w:kern w:val="0"/>
                <w:sz w:val="21"/>
                <w:szCs w:val="21"/>
                <w:highlight w:val="yellow"/>
                <w:u w:val="none"/>
                <w:lang w:val="en-US" w:eastAsia="zh-CN" w:bidi="ar"/>
              </w:rPr>
              <w:t>四、物理仪器设备</w:t>
            </w: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计算器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4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打孔器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手摇抽气机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直联泵</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旋片式真空泵</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两用气筒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抽气筒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打气筒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抽气盘</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充磁器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放大镜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望远镜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注射器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透明盛液筒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透明水槽(圆形或方形)</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2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w:t>
            </w:r>
          </w:p>
        </w:tc>
        <w:tc>
          <w:tcPr>
            <w:tcW w:w="1018"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碘升华凝华管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方座支架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多功能实验支架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升降台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三脚架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泥三角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30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旋转架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旋转架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学生电源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教学电源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调压变压器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电池盒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感应圈</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演示直尺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木直尺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钢直尺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钢卷尺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盒</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布卷尺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盒</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游标卡尺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把</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外径千分尺(螺旋测微器)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物理天平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托盘天平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托盘天平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电子天平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单杠杆天平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案秤</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弹簧度盘秤</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金属钩码</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金属槽码</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机械停表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机械停钟</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电子停表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电子停钟</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节拍器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沙漏</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日晷</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温度计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温度计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演示温度计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热敏温度计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双金属片温度计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体温计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电子体温计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红外线快速体温检测仪</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寒暑表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条形盒测力计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条形盒测力计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条形盒测力计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2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条形盒测力计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圆筒测力计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2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圆筒测力计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2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平板测力计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圆盘测力计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2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演示测力计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拉压测力计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2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双向测力计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2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握力计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拉力计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演示电表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电能表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绝缘电阻表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直流电流表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直流电压表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灵敏电流计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多用电表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教学示波器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大屏幕示波器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密度计1</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密度计2</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湿度计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圆柱体组</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立方体组</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运动和力实验器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惯性演示器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摩擦计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螺旋弹簧组</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组</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阿基米德原理实验器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阿基米德原理及其应用实验器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液体压强与深度关系实验器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连通器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帕斯卡球</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浮力原理演示器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物体浮沉条件演示器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潜水艇浮沉演示器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液体内部压强实验器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液体对器壁压强演示器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气体浮力演示器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马德堡半球</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大气压系列实验器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压力和压强演示器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盒</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流体流速与压强关系演示器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杠杆</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演示滑轮组</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组</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滑轮组</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组</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滚摆</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2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离心轨道</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力学实验盒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初中力学演示板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飞机升力原理演示器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手摇离心转台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音叉</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音叉</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发音齿轮</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单摆</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纵波演示器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声传播演示器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声速测量仪</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内聚力演示器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空气压缩引火仪</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爆燃器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机械能热能互变演示器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固体缩力演示器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热传导演示器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双金属片</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气体做功内能减少演示器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声热实验盒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纸盘扬声器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手持式喇叭</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玻棒(附丝绸)</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玻棒(附丝绸)</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胶棒(附毛皮)</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胶棒(附毛皮)</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箔片验电器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箔片验电器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指针验电器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感应起电机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枕形导体</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小灯座</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单刀开关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滑动变阻器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滑动变阻器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滑动变阻器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电阻圈</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组</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电阻定律演示器木质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电阻定律实验器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电阻定律实验器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演示电阻箱</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教学电阻箱</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简式电阻箱</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演示线路实验板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初中电学演示箱</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初中电学演示箱</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学生线路实验板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单刀双掷开关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双刀双掷开关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焦耳定律演示器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保险丝作用演示器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保险丝作用演示器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玩具电动机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电子门铃</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条形磁铁</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蹄形磁铁</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磁感线演示器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立体磁感线演示器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磁感线演示板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电流磁场演示器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菱形小磁针</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翼形磁针</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演示原副线圈</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原副线圈</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蹄形电磁铁</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组</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电铃</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演示电磁继电器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电磁继电器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左右手定则演示器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小型电动机实验器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手摇交直流发电机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阴极射线管(磁效应管)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低频信号发生器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电学实验盒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能的转化实验器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磁悬浮演示器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光具盘</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凹面镜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凸面镜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玻璃砖</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光具座</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光具组</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三棱镜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白光的色散与合成演示器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1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透镜及其应用实验器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盒</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平面镜成像实验器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光的传播、反射、折射实验器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激光笔</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25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光的三原色合成实验器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手持直视分光镜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抽水机模型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离心水泵模型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液压机模型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水轮机模型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汽油机模型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柴油机模型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磁分子模型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电机模型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能量守恒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能源与可持续发展</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量筒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2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量筒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量杯</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2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试管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试管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5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烧杯</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烧杯</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烧瓶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烧瓶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5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酒精灯</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漏斗</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平底管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2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T形管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可密封长玻璃管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镊子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石棉网</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玻璃管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乳胶管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蒸发皿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电工材料</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甲电池</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1号电池</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组</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电珠(小灯泡)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测电笔</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一字螺丝刀</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十字螺丝刀</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尖咀钳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电工刀</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手摇钻</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木锉</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木工锯</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木工锤</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铇</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斧</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钢手锯</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剥线钳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钢丝钳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手锤</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錾子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锉刀</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三角锉刀</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什锦锉</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活扳手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手剪</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直角尺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高度游标卡尺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电烙铁</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平口钳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手电钻</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钻头</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投影片绘制工具</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工作服</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件</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护目镜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保护手套</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双</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4" w:type="dxa"/>
            <w:gridSpan w:val="11"/>
            <w:vAlign w:val="center"/>
          </w:tcPr>
          <w:p>
            <w:pPr>
              <w:jc w:val="center"/>
              <w:rPr>
                <w:rFonts w:ascii="Times New Roman" w:hAnsi="Times New Roman" w:eastAsia="宋体" w:cs="Times New Roman"/>
                <w:b/>
                <w:bCs/>
                <w:color w:val="FF0000"/>
                <w:szCs w:val="21"/>
              </w:rPr>
            </w:pPr>
            <w:r>
              <w:rPr>
                <w:rFonts w:hint="eastAsia" w:ascii="宋体" w:hAnsi="宋体" w:eastAsia="宋体" w:cs="宋体"/>
                <w:b/>
                <w:bCs/>
                <w:i w:val="0"/>
                <w:iCs w:val="0"/>
                <w:color w:val="000000"/>
                <w:kern w:val="0"/>
                <w:sz w:val="21"/>
                <w:szCs w:val="21"/>
                <w:highlight w:val="yellow"/>
                <w:u w:val="none"/>
                <w:lang w:val="en-US" w:eastAsia="zh-CN" w:bidi="ar"/>
              </w:rPr>
              <w:t>五、化学实验室1（52座）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教师演示讲台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教师转椅</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三联高低位龙头</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学生化验专用水槽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紧急洗眼器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化学学生实验桌</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边台柜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边台柜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多功能柱</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多功能集成系统水槽                                                                                                                                                                                        </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三联“L”型化验水嘴</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教师演示电源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学生安全电源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实验凳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网口</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实验室强弱供电系统</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实验室给排水系统</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w:t>
            </w:r>
          </w:p>
        </w:tc>
        <w:tc>
          <w:tcPr>
            <w:tcW w:w="101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万向</w:t>
            </w:r>
          </w:p>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吸风罩</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27</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w:t>
            </w:r>
          </w:p>
        </w:tc>
        <w:tc>
          <w:tcPr>
            <w:tcW w:w="101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实验室</w:t>
            </w:r>
          </w:p>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通风机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废气活性炭箱</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w:t>
            </w:r>
          </w:p>
        </w:tc>
        <w:tc>
          <w:tcPr>
            <w:tcW w:w="1018"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通风管道</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w:t>
            </w:r>
          </w:p>
        </w:tc>
        <w:tc>
          <w:tcPr>
            <w:tcW w:w="101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进出口</w:t>
            </w:r>
          </w:p>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柔性申缩</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通风管道管件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阻尼减振器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室外通风系统电路及配管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风机控制系统</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消防设施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辅助材料</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4" w:type="dxa"/>
            <w:gridSpan w:val="11"/>
            <w:vAlign w:val="center"/>
          </w:tcPr>
          <w:p>
            <w:pPr>
              <w:jc w:val="center"/>
              <w:rPr>
                <w:rFonts w:ascii="Times New Roman" w:hAnsi="Times New Roman" w:eastAsia="宋体" w:cs="Times New Roman"/>
                <w:b/>
                <w:bCs/>
                <w:color w:val="FF0000"/>
                <w:szCs w:val="21"/>
              </w:rPr>
            </w:pPr>
            <w:r>
              <w:rPr>
                <w:rFonts w:hint="eastAsia" w:ascii="宋体" w:hAnsi="宋体" w:eastAsia="宋体" w:cs="宋体"/>
                <w:b/>
                <w:bCs/>
                <w:i w:val="0"/>
                <w:iCs w:val="0"/>
                <w:color w:val="000000"/>
                <w:kern w:val="0"/>
                <w:sz w:val="21"/>
                <w:szCs w:val="21"/>
                <w:highlight w:val="yellow"/>
                <w:u w:val="none"/>
                <w:lang w:val="en-US" w:eastAsia="zh-CN" w:bidi="ar"/>
              </w:rPr>
              <w:t>六、化学实验室2（48座）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教师演示讲台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教师转椅</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三联高低位龙头</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学生化验专用水槽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紧急洗眼器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化学学生实验桌</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多功能柱</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多功能集成系统水槽                                                                                                                                                                                        </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三联“L”型化验水嘴</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教师演示电源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学生安全电源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实验凳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w:t>
            </w:r>
          </w:p>
        </w:tc>
        <w:tc>
          <w:tcPr>
            <w:tcW w:w="101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实验室</w:t>
            </w:r>
          </w:p>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供电系统</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实验室给排水系统</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万向吸风罩</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实验室通风机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废气活性炭箱</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w:t>
            </w:r>
          </w:p>
        </w:tc>
        <w:tc>
          <w:tcPr>
            <w:tcW w:w="1018" w:type="dxa"/>
            <w:vAlign w:val="center"/>
          </w:tcPr>
          <w:p>
            <w:pPr>
              <w:keepNext w:val="0"/>
              <w:keepLines w:val="0"/>
              <w:widowControl/>
              <w:suppressLineNumbers w:val="0"/>
              <w:jc w:val="left"/>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通风管道</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进出口柔性申缩</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通风管道管件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阻尼减振器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室外通风系统电路及配管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风机控制系统</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消防设施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4" w:type="dxa"/>
            <w:gridSpan w:val="11"/>
            <w:vAlign w:val="center"/>
          </w:tcPr>
          <w:p>
            <w:pPr>
              <w:jc w:val="center"/>
              <w:rPr>
                <w:rFonts w:ascii="Times New Roman" w:hAnsi="Times New Roman" w:eastAsia="宋体" w:cs="Times New Roman"/>
                <w:b/>
                <w:bCs/>
                <w:color w:val="FF0000"/>
                <w:szCs w:val="21"/>
              </w:rPr>
            </w:pPr>
            <w:r>
              <w:rPr>
                <w:rFonts w:hint="eastAsia" w:ascii="宋体" w:hAnsi="宋体" w:eastAsia="宋体" w:cs="宋体"/>
                <w:b/>
                <w:bCs/>
                <w:i w:val="0"/>
                <w:iCs w:val="0"/>
                <w:color w:val="000000"/>
                <w:kern w:val="0"/>
                <w:sz w:val="21"/>
                <w:szCs w:val="21"/>
                <w:highlight w:val="yellow"/>
                <w:u w:val="none"/>
                <w:lang w:val="en-US" w:eastAsia="zh-CN" w:bidi="ar"/>
              </w:rPr>
              <w:t>七、化学仪器准备室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教师准备台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教师转椅</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全钢通风柜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101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化验专</w:t>
            </w:r>
          </w:p>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用水槽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三联高低位龙头</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紧急洗眼器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给排水系统</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钢玻试剂架（单面）</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仪器柜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药品柜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仪器盘</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仪器盘</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仪器手推车</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辆</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供电系统</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塔式插座</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消防设施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4" w:type="dxa"/>
            <w:gridSpan w:val="11"/>
            <w:vAlign w:val="center"/>
          </w:tcPr>
          <w:p>
            <w:pPr>
              <w:jc w:val="center"/>
              <w:rPr>
                <w:rFonts w:ascii="Times New Roman" w:hAnsi="Times New Roman" w:eastAsia="宋体" w:cs="Times New Roman"/>
                <w:b/>
                <w:bCs/>
                <w:color w:val="FF0000"/>
                <w:szCs w:val="21"/>
              </w:rPr>
            </w:pPr>
            <w:r>
              <w:rPr>
                <w:rFonts w:hint="eastAsia" w:ascii="宋体" w:hAnsi="宋体" w:eastAsia="宋体" w:cs="宋体"/>
                <w:b/>
                <w:bCs/>
                <w:i w:val="0"/>
                <w:iCs w:val="0"/>
                <w:color w:val="000000"/>
                <w:kern w:val="0"/>
                <w:sz w:val="21"/>
                <w:szCs w:val="21"/>
                <w:highlight w:val="yellow"/>
                <w:u w:val="none"/>
                <w:lang w:val="en-US" w:eastAsia="zh-CN" w:bidi="ar"/>
              </w:rPr>
              <w:t>八、化学危化品室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通风药品柜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剧毒药品储存柜  </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易燃液体防火安全柜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强酸强碱储存柜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药品柜吸风罩</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风机进口处消声器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室内通风管道</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通风管道管件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项</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101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实验室</w:t>
            </w:r>
          </w:p>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通风机</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风机变频调速控制器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w:t>
            </w:r>
          </w:p>
        </w:tc>
        <w:tc>
          <w:tcPr>
            <w:tcW w:w="1018"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进出口</w:t>
            </w:r>
          </w:p>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柔性申缩</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阻尼减振器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室外通风系统电路及配管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设备辅助材料等费用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室</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44" w:type="dxa"/>
            <w:gridSpan w:val="11"/>
            <w:vAlign w:val="center"/>
          </w:tcPr>
          <w:p>
            <w:pPr>
              <w:jc w:val="center"/>
              <w:rPr>
                <w:rFonts w:ascii="Times New Roman" w:hAnsi="Times New Roman" w:eastAsia="宋体" w:cs="Times New Roman"/>
                <w:b/>
                <w:bCs/>
                <w:color w:val="FF0000"/>
                <w:szCs w:val="21"/>
              </w:rPr>
            </w:pPr>
            <w:r>
              <w:rPr>
                <w:rFonts w:hint="eastAsia" w:ascii="宋体" w:hAnsi="宋体" w:eastAsia="宋体" w:cs="宋体"/>
                <w:b/>
                <w:bCs/>
                <w:i w:val="0"/>
                <w:iCs w:val="0"/>
                <w:color w:val="000000"/>
                <w:kern w:val="0"/>
                <w:sz w:val="21"/>
                <w:szCs w:val="21"/>
                <w:highlight w:val="yellow"/>
                <w:u w:val="none"/>
                <w:lang w:val="en-US" w:eastAsia="zh-CN" w:bidi="ar"/>
              </w:rPr>
              <w:t>九、化学仪器设备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打孔器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打孔夹板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打孔器刮刀</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手摇钻孔器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离心沉淀器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磁力加热搅拌器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酒精喷灯</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电加热器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列管式烘干器（11管）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烘干箱</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注射器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塑料洗瓶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试剂瓶托盘</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实验用品提篮</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塑料水槽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碘升华凝华管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方座支架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方座支架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万能夹</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三脚架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泥三角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试管架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漏斗架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漏斗架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滴定台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滴定夹</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多用滴管架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学生电源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教学电源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托盘天平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托盘天平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电子天平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电子天平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温度计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温度计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数字测温计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多用电表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密度计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密度计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酸度计(pH计)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水电解演示器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水电解实验器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原电池实验器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玻璃仪器刷洗器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贮气装置</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初中微型化学实验箱</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分子间隔实验器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件</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化学实验废水处理装置(22L)</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元素学习卡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炼铁高炉模型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初中分子结构模型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初中分子结构模型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金刚石结构模型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金刚石结构模型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石墨结构模型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石墨结构模型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碳-60结构模型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碳-60结构模型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氯化钠晶体结构模型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碳的同素异形体结构模型</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金属矿物、金属及合金标本</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盒</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原油常见馏分标本</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盒</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合成有机高分子材料标本</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盒</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新型无机非金属材料标本</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盒</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量筒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量筒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量筒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量筒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量杯</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容量瓶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容量瓶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滴定管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滴定管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试管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试管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试管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试管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试管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具支试管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硬质玻璃管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硬质玻璃管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烧杯</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烧杯</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烧杯</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烧杯</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烧杯</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烧杯</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烧瓶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烧瓶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锥形瓶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锥形瓶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蒸馏烧瓶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酒精灯</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抽滤瓶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抽气管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干燥器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气体发生器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冷凝器</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牛角管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漏斗</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漏斗</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安全漏斗</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安全漏斗</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分液漏斗</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分液漏斗</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布氏漏斗</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T形管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Y形管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滴管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离心管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干燥管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干燥管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活塞</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圆水槽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圆水槽</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玻璃钟罩</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集气瓶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集气瓶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液封除毒气集气瓶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广口瓶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广口瓶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广口瓶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25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广口瓶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广口瓶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广口瓶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广口瓶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细口瓶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细口瓶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细口瓶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细口瓶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细口瓶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细口瓶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细口瓶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细口瓶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细口瓶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8</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细口瓶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细口瓶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滴瓶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滴瓶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滴瓶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滴瓶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坩埚</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坩埚钳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烧杯夹</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镊子</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试管夹</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止水皮管夹</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螺旋皮管夹</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149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石棉网</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燃烧匙</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药匙</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玻璃管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玻璃管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玻璃棒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玻璃棒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软胶塞</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橡胶管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乳胶管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米</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159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试管刷</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烧瓶刷</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 xml:space="preserve">25  </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结晶皿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表面皿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表面皿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研钵</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研钵</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蒸发皿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蒸发皿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反应板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169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井穴板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井穴板</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塑料多用滴管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960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支</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铝片</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铝箔</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铝丝</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锌粒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还原铁粉</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铁丝</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锡粒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179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铅粒</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紫铜片</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铜丝</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碘</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0.25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活性炭</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二氧化锰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三氧化二铁</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氧化铜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氯化钾</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氯化钠</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189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氯化钠</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氯化钙</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无水氯化钙</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氯化镁</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三氯化铁</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氯化铵</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碘化钾</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硫酸钾</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硫酸铝</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硫酸铜(蓝矾、胆矾)</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199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硫酸铵</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硫酸铝钾(明矾)</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无水硫酸铜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碳酸钾</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碳酸钠</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碳酸氢钠</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大理石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碳酸氢铵</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碱式碳酸铜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乙酸铅</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209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氢氧化钡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氧化钙(生石灰)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氢氧化钙(熟石灰)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碱石灰</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无水乙酸钠</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柠檬酸钠</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葡萄糖</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蔗糖</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酒精</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煤油</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升</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219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石蕊</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0.025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酚酞</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0.025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品红</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0.025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pH广范围试纸</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本</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蓝石蕊试纸</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本</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红石蕊试纸</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本</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定性滤纸</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盒</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草酸</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升</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氯化钡</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甲酸</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升</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乙酸</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升</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氢氧化钾</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氢氧化钠</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0.5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氢氧化钠</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千克</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一字螺丝刀</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十字螺丝刀</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钢丝钳</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手锤</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237</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锉刀</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238</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剪刀</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把</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239</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工作服</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件</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240</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护目镜</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52</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241</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防护面罩</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242</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防毒口罩</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243</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耐酸手套</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双</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244</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简易急救箱</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件</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245</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实验防护屏</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件</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6"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246</w:t>
            </w:r>
          </w:p>
        </w:tc>
        <w:tc>
          <w:tcPr>
            <w:tcW w:w="1018" w:type="dxa"/>
            <w:vAlign w:val="center"/>
          </w:tcPr>
          <w:p>
            <w:pPr>
              <w:keepNext w:val="0"/>
              <w:keepLines w:val="0"/>
              <w:widowControl/>
              <w:suppressLineNumbers w:val="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废液桶</w:t>
            </w:r>
          </w:p>
        </w:tc>
        <w:tc>
          <w:tcPr>
            <w:tcW w:w="703" w:type="dxa"/>
            <w:vAlign w:val="center"/>
          </w:tcPr>
          <w:p>
            <w:pPr>
              <w:jc w:val="center"/>
              <w:rPr>
                <w:rFonts w:hint="eastAsia"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color w:val="FF0000"/>
                <w:szCs w:val="21"/>
              </w:rPr>
            </w:pP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7"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7"/>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numPr>
          <w:ilvl w:val="0"/>
          <w:numId w:val="125"/>
        </w:numPr>
        <w:tabs>
          <w:tab w:val="left" w:pos="720"/>
        </w:tabs>
        <w:jc w:val="center"/>
        <w:rPr>
          <w:rFonts w:hint="eastAsia"/>
          <w:b/>
          <w:sz w:val="24"/>
        </w:rPr>
      </w:pPr>
      <w:bookmarkStart w:id="58" w:name="_Hlk72073235"/>
      <w:r>
        <w:rPr>
          <w:rFonts w:hint="eastAsia"/>
          <w:b/>
          <w:sz w:val="24"/>
        </w:rPr>
        <w:t>投标人认为需要涉及的其他内容报价清单</w:t>
      </w:r>
      <w:bookmarkEnd w:id="58"/>
    </w:p>
    <w:p>
      <w:pPr>
        <w:pStyle w:val="2"/>
        <w:numPr>
          <w:ilvl w:val="-1"/>
          <w:numId w:val="0"/>
        </w:numPr>
        <w:rPr>
          <w:rFonts w:hint="eastAsia"/>
          <w:b/>
          <w:sz w:val="24"/>
        </w:rPr>
      </w:pPr>
    </w:p>
    <w:p>
      <w:pPr>
        <w:pStyle w:val="2"/>
        <w:numPr>
          <w:ilvl w:val="-1"/>
          <w:numId w:val="0"/>
        </w:numPr>
        <w:rPr>
          <w:rFonts w:hint="eastAsia"/>
          <w:b/>
          <w:sz w:val="24"/>
        </w:rPr>
      </w:pPr>
    </w:p>
    <w:p>
      <w:pPr>
        <w:pStyle w:val="2"/>
        <w:numPr>
          <w:ilvl w:val="0"/>
          <w:numId w:val="126"/>
        </w:numPr>
        <w:ind w:left="2100"/>
        <w:rPr>
          <w:rFonts w:hint="eastAsia"/>
          <w:bCs/>
          <w:szCs w:val="21"/>
          <w:lang w:val="en-US" w:eastAsia="zh-CN"/>
        </w:rPr>
      </w:pPr>
      <w:r>
        <w:rPr>
          <w:rFonts w:hint="eastAsia"/>
          <w:bCs/>
          <w:szCs w:val="21"/>
          <w:lang w:val="en-US" w:eastAsia="zh-CN"/>
        </w:rPr>
        <w:t>投标人同类业绩</w:t>
      </w:r>
    </w:p>
    <w:p>
      <w:pPr>
        <w:pStyle w:val="36"/>
        <w:numPr>
          <w:ilvl w:val="0"/>
          <w:numId w:val="126"/>
        </w:numPr>
        <w:ind w:left="2100"/>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 w:val="24"/>
          <w:szCs w:val="21"/>
        </w:rPr>
        <w:t>政府采购节能环保产品情况</w:t>
      </w:r>
    </w:p>
    <w:p>
      <w:pPr>
        <w:pStyle w:val="36"/>
        <w:numPr>
          <w:ilvl w:val="-1"/>
          <w:numId w:val="0"/>
        </w:numPr>
        <w:ind w:left="0" w:firstLine="1446" w:firstLineChars="600"/>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 w:val="24"/>
          <w:szCs w:val="21"/>
          <w:lang w:val="en-US" w:eastAsia="zh-CN"/>
        </w:rPr>
        <w:t>七、投标人认为需要加以说明的其他内容（正文部分）</w:t>
      </w:r>
    </w:p>
    <w:p>
      <w:pPr>
        <w:rPr>
          <w:b/>
          <w:bCs/>
        </w:rPr>
      </w:pPr>
    </w:p>
    <w:p/>
    <w:p>
      <w:r>
        <w:rPr>
          <w:rFonts w:hint="eastAsia"/>
        </w:rPr>
        <w:t xml:space="preserve"> </w:t>
      </w:r>
      <w:r>
        <w:t xml:space="preserve">      </w:t>
      </w:r>
    </w:p>
    <w:p>
      <w:pPr>
        <w:ind w:firstLine="723" w:firstLineChars="300"/>
        <w:rPr>
          <w:rFonts w:hint="eastAsia"/>
          <w:b/>
          <w:color w:val="FF0000"/>
          <w:sz w:val="24"/>
        </w:rPr>
      </w:pPr>
    </w:p>
    <w:p>
      <w:pPr>
        <w:ind w:firstLine="723" w:firstLineChars="300"/>
        <w:rPr>
          <w:rFonts w:hint="eastAsia"/>
          <w:b/>
          <w:color w:val="FF0000"/>
          <w:sz w:val="24"/>
        </w:rPr>
      </w:pPr>
    </w:p>
    <w:p>
      <w:pPr>
        <w:ind w:firstLine="723" w:firstLineChars="300"/>
        <w:rPr>
          <w:rFonts w:hint="eastAsia"/>
          <w:b/>
          <w:color w:val="FF0000"/>
          <w:sz w:val="24"/>
        </w:rPr>
      </w:pPr>
    </w:p>
    <w:p>
      <w:pPr>
        <w:ind w:firstLine="723" w:firstLineChars="300"/>
        <w:rPr>
          <w:rFonts w:hint="eastAsia"/>
          <w:b/>
          <w:color w:val="FF0000"/>
          <w:sz w:val="24"/>
        </w:rPr>
      </w:pPr>
    </w:p>
    <w:p>
      <w:pPr>
        <w:ind w:firstLine="723" w:firstLineChars="300"/>
        <w:rPr>
          <w:rFonts w:hint="eastAsia"/>
          <w:b/>
          <w:color w:val="FF0000"/>
          <w:sz w:val="24"/>
        </w:rPr>
      </w:pPr>
    </w:p>
    <w:bookmarkEnd w:id="56"/>
    <w:p>
      <w:pPr>
        <w:outlineLvl w:val="1"/>
        <w:rPr>
          <w:rFonts w:ascii="宋体" w:hAnsi="宋体"/>
          <w:b/>
          <w:color w:val="FF0000"/>
          <w:sz w:val="28"/>
          <w:szCs w:val="28"/>
        </w:rPr>
      </w:pPr>
      <w:bookmarkStart w:id="59" w:name="_Hlk72260530"/>
      <w:r>
        <w:rPr>
          <w:rFonts w:hint="eastAsia" w:ascii="宋体" w:hAnsi="宋体"/>
          <w:b/>
          <w:color w:val="FF0000"/>
          <w:sz w:val="28"/>
          <w:szCs w:val="28"/>
        </w:rPr>
        <w:t>投标文件附件</w:t>
      </w:r>
    </w:p>
    <w:p>
      <w:pPr>
        <w:snapToGrid w:val="0"/>
        <w:jc w:val="center"/>
        <w:outlineLvl w:val="0"/>
        <w:rPr>
          <w:rFonts w:ascii="黑体" w:hAnsi="宋体" w:eastAsia="黑体"/>
          <w:bCs/>
          <w:sz w:val="24"/>
          <w:szCs w:val="32"/>
        </w:rPr>
      </w:pPr>
      <w:r>
        <w:rPr>
          <w:rFonts w:hint="eastAsia" w:ascii="黑体" w:hAnsi="宋体" w:eastAsia="黑体"/>
          <w:bCs/>
          <w:sz w:val="24"/>
          <w:szCs w:val="32"/>
        </w:rPr>
        <w:t>一、供应商基本情况表</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pct"/>
            <w:gridSpan w:val="2"/>
            <w:vAlign w:val="center"/>
          </w:tcPr>
          <w:p>
            <w:pPr>
              <w:rPr>
                <w:rFonts w:ascii="宋体" w:hAnsi="宋体" w:cs="宋体"/>
                <w:szCs w:val="21"/>
              </w:rPr>
            </w:pPr>
            <w:r>
              <w:rPr>
                <w:rFonts w:hint="eastAsia" w:ascii="宋体" w:hAnsi="宋体" w:cs="宋体"/>
                <w:szCs w:val="21"/>
              </w:rPr>
              <w:t>投标（响应）供应商</w:t>
            </w:r>
          </w:p>
        </w:tc>
        <w:tc>
          <w:tcPr>
            <w:tcW w:w="1427" w:type="pct"/>
            <w:gridSpan w:val="2"/>
            <w:vAlign w:val="center"/>
          </w:tcPr>
          <w:p>
            <w:pPr>
              <w:jc w:val="center"/>
              <w:rPr>
                <w:rFonts w:ascii="宋体" w:hAnsi="宋体" w:cs="宋体"/>
                <w:szCs w:val="21"/>
              </w:rPr>
            </w:pPr>
          </w:p>
        </w:tc>
        <w:tc>
          <w:tcPr>
            <w:tcW w:w="1113" w:type="pct"/>
            <w:gridSpan w:val="2"/>
            <w:vAlign w:val="center"/>
          </w:tcPr>
          <w:p>
            <w:pPr>
              <w:jc w:val="center"/>
              <w:rPr>
                <w:rFonts w:ascii="宋体" w:hAnsi="宋体" w:cs="宋体"/>
                <w:szCs w:val="21"/>
              </w:rPr>
            </w:pPr>
            <w:r>
              <w:rPr>
                <w:rFonts w:hint="eastAsia" w:ascii="宋体" w:hAnsi="宋体" w:cs="宋体"/>
                <w:szCs w:val="21"/>
              </w:rPr>
              <w:t>项目名称及编号</w:t>
            </w:r>
          </w:p>
        </w:tc>
        <w:tc>
          <w:tcPr>
            <w:tcW w:w="1669" w:type="pct"/>
            <w:gridSpan w:val="2"/>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pPr>
              <w:jc w:val="center"/>
              <w:rPr>
                <w:rFonts w:ascii="宋体" w:hAnsi="宋体" w:cs="宋体"/>
                <w:szCs w:val="21"/>
              </w:rPr>
            </w:pPr>
            <w:r>
              <w:rPr>
                <w:rFonts w:hint="eastAsia" w:ascii="宋体" w:hAnsi="宋体" w:cs="宋体"/>
                <w:b/>
                <w:bCs/>
                <w:szCs w:val="21"/>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vAlign w:val="center"/>
          </w:tcPr>
          <w:p>
            <w:pPr>
              <w:snapToGrid w:val="0"/>
              <w:jc w:val="center"/>
              <w:rPr>
                <w:rFonts w:ascii="宋体" w:hAnsi="宋体" w:cs="宋体"/>
                <w:szCs w:val="21"/>
              </w:rPr>
            </w:pPr>
            <w:r>
              <w:rPr>
                <w:rFonts w:hint="eastAsia" w:ascii="宋体" w:hAnsi="宋体" w:cs="宋体"/>
                <w:szCs w:val="21"/>
              </w:rPr>
              <w:t>序号</w:t>
            </w:r>
          </w:p>
        </w:tc>
        <w:tc>
          <w:tcPr>
            <w:tcW w:w="1275" w:type="pct"/>
            <w:gridSpan w:val="2"/>
            <w:tcBorders>
              <w:bottom w:val="single" w:color="auto" w:sz="4" w:space="0"/>
            </w:tcBorders>
            <w:vAlign w:val="center"/>
          </w:tcPr>
          <w:p>
            <w:pPr>
              <w:jc w:val="center"/>
              <w:rPr>
                <w:rFonts w:ascii="宋体" w:hAnsi="宋体" w:cs="宋体"/>
                <w:szCs w:val="21"/>
              </w:rPr>
            </w:pPr>
            <w:r>
              <w:rPr>
                <w:rFonts w:hint="eastAsia" w:ascii="宋体" w:hAnsi="宋体" w:cs="宋体"/>
                <w:szCs w:val="21"/>
              </w:rPr>
              <w:t>职务</w:t>
            </w:r>
          </w:p>
        </w:tc>
        <w:tc>
          <w:tcPr>
            <w:tcW w:w="529" w:type="pct"/>
            <w:tcBorders>
              <w:bottom w:val="single" w:color="auto" w:sz="4" w:space="0"/>
            </w:tcBorders>
            <w:vAlign w:val="center"/>
          </w:tcPr>
          <w:p>
            <w:pPr>
              <w:jc w:val="center"/>
              <w:rPr>
                <w:rFonts w:ascii="宋体" w:hAnsi="宋体" w:cs="宋体"/>
                <w:szCs w:val="21"/>
              </w:rPr>
            </w:pPr>
            <w:r>
              <w:rPr>
                <w:rFonts w:hint="eastAsia" w:ascii="宋体" w:hAnsi="宋体" w:cs="宋体"/>
                <w:szCs w:val="21"/>
              </w:rPr>
              <w:t>姓名</w:t>
            </w:r>
          </w:p>
        </w:tc>
        <w:tc>
          <w:tcPr>
            <w:tcW w:w="1113" w:type="pct"/>
            <w:gridSpan w:val="2"/>
            <w:tcBorders>
              <w:bottom w:val="single" w:color="auto" w:sz="4" w:space="0"/>
            </w:tcBorders>
            <w:vAlign w:val="center"/>
          </w:tcPr>
          <w:p>
            <w:pPr>
              <w:jc w:val="center"/>
              <w:rPr>
                <w:rFonts w:ascii="宋体" w:hAnsi="宋体" w:cs="宋体"/>
                <w:szCs w:val="21"/>
              </w:rPr>
            </w:pPr>
            <w:r>
              <w:rPr>
                <w:rFonts w:hint="eastAsia" w:ascii="宋体" w:hAnsi="宋体" w:cs="宋体"/>
                <w:szCs w:val="21"/>
              </w:rPr>
              <w:t>身份证号码</w:t>
            </w:r>
          </w:p>
        </w:tc>
        <w:tc>
          <w:tcPr>
            <w:tcW w:w="838" w:type="pct"/>
            <w:tcBorders>
              <w:bottom w:val="single" w:color="auto" w:sz="4" w:space="0"/>
            </w:tcBorders>
            <w:vAlign w:val="center"/>
          </w:tcPr>
          <w:p>
            <w:pPr>
              <w:snapToGrid w:val="0"/>
              <w:jc w:val="center"/>
              <w:rPr>
                <w:rFonts w:ascii="宋体" w:hAnsi="宋体" w:cs="宋体"/>
                <w:szCs w:val="21"/>
              </w:rPr>
            </w:pPr>
            <w:r>
              <w:rPr>
                <w:rFonts w:hint="eastAsia" w:ascii="宋体" w:hAnsi="宋体" w:cs="宋体"/>
                <w:szCs w:val="21"/>
              </w:rPr>
              <w:t>劳动合同</w:t>
            </w:r>
          </w:p>
          <w:p>
            <w:pPr>
              <w:snapToGrid w:val="0"/>
              <w:jc w:val="center"/>
              <w:rPr>
                <w:rFonts w:ascii="宋体" w:hAnsi="宋体" w:cs="宋体"/>
                <w:szCs w:val="21"/>
              </w:rPr>
            </w:pPr>
            <w:r>
              <w:rPr>
                <w:rFonts w:hint="eastAsia" w:ascii="宋体" w:hAnsi="宋体" w:cs="宋体"/>
                <w:szCs w:val="21"/>
              </w:rPr>
              <w:t>关系单位</w:t>
            </w:r>
          </w:p>
        </w:tc>
        <w:tc>
          <w:tcPr>
            <w:tcW w:w="830" w:type="pct"/>
            <w:tcBorders>
              <w:bottom w:val="single" w:color="auto" w:sz="4" w:space="0"/>
            </w:tcBorders>
            <w:vAlign w:val="center"/>
          </w:tcPr>
          <w:p>
            <w:pPr>
              <w:snapToGrid w:val="0"/>
              <w:jc w:val="center"/>
              <w:rPr>
                <w:rFonts w:ascii="宋体" w:hAnsi="宋体" w:cs="宋体"/>
                <w:szCs w:val="21"/>
              </w:rPr>
            </w:pPr>
            <w:r>
              <w:rPr>
                <w:rFonts w:hint="eastAsia" w:ascii="宋体" w:hAnsi="宋体" w:cs="宋体"/>
                <w:szCs w:val="21"/>
              </w:rPr>
              <w:t>缴纳社会</w:t>
            </w:r>
          </w:p>
          <w:p>
            <w:pPr>
              <w:snapToGrid w:val="0"/>
              <w:jc w:val="center"/>
              <w:rPr>
                <w:rFonts w:ascii="宋体" w:hAnsi="宋体" w:cs="宋体"/>
                <w:szCs w:val="21"/>
              </w:rPr>
            </w:pPr>
            <w:r>
              <w:rPr>
                <w:rFonts w:hint="eastAsia" w:ascii="宋体" w:hAnsi="宋体" w:cs="宋体"/>
                <w:szCs w:val="21"/>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w:t>
            </w:r>
          </w:p>
        </w:tc>
        <w:tc>
          <w:tcPr>
            <w:tcW w:w="1275" w:type="pct"/>
            <w:gridSpan w:val="2"/>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cs="宋体"/>
                <w:szCs w:val="21"/>
              </w:rPr>
            </w:pPr>
            <w:r>
              <w:rPr>
                <w:rFonts w:hint="eastAsia" w:ascii="宋体" w:hAnsi="宋体" w:cs="宋体"/>
                <w:szCs w:val="21"/>
              </w:rPr>
              <w:t>法定代表人/单位负责人/主要经营负责人</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113"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83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83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2</w:t>
            </w:r>
          </w:p>
        </w:tc>
        <w:tc>
          <w:tcPr>
            <w:tcW w:w="1275"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项目投标授权代表人</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1113"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83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83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vAlign w:val="center"/>
          </w:tcPr>
          <w:p>
            <w:pPr>
              <w:jc w:val="center"/>
              <w:rPr>
                <w:rFonts w:ascii="宋体" w:hAnsi="宋体" w:cs="宋体"/>
                <w:szCs w:val="21"/>
              </w:rPr>
            </w:pPr>
            <w:r>
              <w:rPr>
                <w:rFonts w:hint="eastAsia" w:ascii="宋体" w:hAnsi="宋体" w:cs="宋体"/>
                <w:szCs w:val="21"/>
              </w:rPr>
              <w:t>3</w:t>
            </w:r>
          </w:p>
        </w:tc>
        <w:tc>
          <w:tcPr>
            <w:tcW w:w="1275" w:type="pct"/>
            <w:gridSpan w:val="2"/>
            <w:tcBorders>
              <w:top w:val="single" w:color="auto" w:sz="4" w:space="0"/>
            </w:tcBorders>
            <w:vAlign w:val="center"/>
          </w:tcPr>
          <w:p>
            <w:pPr>
              <w:jc w:val="center"/>
              <w:rPr>
                <w:rFonts w:ascii="宋体" w:hAnsi="宋体" w:cs="宋体"/>
                <w:szCs w:val="21"/>
              </w:rPr>
            </w:pPr>
            <w:r>
              <w:rPr>
                <w:rFonts w:hint="eastAsia" w:ascii="宋体" w:hAnsi="宋体" w:cs="宋体"/>
                <w:szCs w:val="21"/>
              </w:rPr>
              <w:t>项目负责人</w:t>
            </w:r>
          </w:p>
        </w:tc>
        <w:tc>
          <w:tcPr>
            <w:tcW w:w="529" w:type="pct"/>
            <w:tcBorders>
              <w:top w:val="single" w:color="auto" w:sz="4" w:space="0"/>
            </w:tcBorders>
            <w:vAlign w:val="center"/>
          </w:tcPr>
          <w:p>
            <w:pPr>
              <w:jc w:val="center"/>
              <w:rPr>
                <w:rFonts w:ascii="宋体" w:hAnsi="宋体" w:cs="宋体"/>
                <w:szCs w:val="21"/>
              </w:rPr>
            </w:pPr>
          </w:p>
        </w:tc>
        <w:tc>
          <w:tcPr>
            <w:tcW w:w="1113" w:type="pct"/>
            <w:gridSpan w:val="2"/>
            <w:tcBorders>
              <w:top w:val="single" w:color="auto" w:sz="4" w:space="0"/>
            </w:tcBorders>
            <w:vAlign w:val="center"/>
          </w:tcPr>
          <w:p>
            <w:pPr>
              <w:jc w:val="center"/>
              <w:rPr>
                <w:rFonts w:ascii="宋体" w:hAnsi="宋体" w:cs="宋体"/>
                <w:szCs w:val="21"/>
              </w:rPr>
            </w:pPr>
          </w:p>
        </w:tc>
        <w:tc>
          <w:tcPr>
            <w:tcW w:w="838" w:type="pct"/>
            <w:tcBorders>
              <w:top w:val="single" w:color="auto" w:sz="4" w:space="0"/>
            </w:tcBorders>
            <w:vAlign w:val="center"/>
          </w:tcPr>
          <w:p>
            <w:pPr>
              <w:jc w:val="center"/>
              <w:rPr>
                <w:rFonts w:ascii="宋体" w:hAnsi="宋体" w:cs="宋体"/>
                <w:szCs w:val="21"/>
              </w:rPr>
            </w:pPr>
          </w:p>
        </w:tc>
        <w:tc>
          <w:tcPr>
            <w:tcW w:w="830" w:type="pct"/>
            <w:tcBorders>
              <w:top w:val="single" w:color="auto" w:sz="4" w:space="0"/>
            </w:tcBorders>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pPr>
              <w:jc w:val="center"/>
              <w:rPr>
                <w:rFonts w:ascii="宋体" w:hAnsi="宋体" w:cs="宋体"/>
                <w:szCs w:val="21"/>
              </w:rPr>
            </w:pPr>
            <w:r>
              <w:rPr>
                <w:rFonts w:hint="eastAsia" w:ascii="宋体" w:hAnsi="宋体" w:cs="宋体"/>
                <w:szCs w:val="21"/>
              </w:rPr>
              <w:t>4</w:t>
            </w:r>
          </w:p>
        </w:tc>
        <w:tc>
          <w:tcPr>
            <w:tcW w:w="1275" w:type="pct"/>
            <w:gridSpan w:val="2"/>
            <w:vAlign w:val="center"/>
          </w:tcPr>
          <w:p>
            <w:pPr>
              <w:jc w:val="center"/>
              <w:rPr>
                <w:rFonts w:ascii="宋体" w:hAnsi="宋体" w:cs="宋体"/>
                <w:szCs w:val="21"/>
              </w:rPr>
            </w:pPr>
            <w:r>
              <w:rPr>
                <w:rFonts w:hint="eastAsia" w:ascii="宋体" w:hAnsi="宋体" w:cs="宋体"/>
                <w:szCs w:val="21"/>
              </w:rPr>
              <w:t>主要技术人员</w:t>
            </w:r>
          </w:p>
        </w:tc>
        <w:tc>
          <w:tcPr>
            <w:tcW w:w="529" w:type="pct"/>
            <w:vAlign w:val="center"/>
          </w:tcPr>
          <w:p>
            <w:pPr>
              <w:jc w:val="center"/>
              <w:rPr>
                <w:rFonts w:ascii="宋体" w:hAnsi="宋体" w:cs="宋体"/>
                <w:szCs w:val="21"/>
              </w:rPr>
            </w:pPr>
          </w:p>
        </w:tc>
        <w:tc>
          <w:tcPr>
            <w:tcW w:w="1113" w:type="pct"/>
            <w:gridSpan w:val="2"/>
            <w:vAlign w:val="center"/>
          </w:tcPr>
          <w:p>
            <w:pPr>
              <w:jc w:val="center"/>
              <w:rPr>
                <w:rFonts w:ascii="宋体" w:hAnsi="宋体" w:cs="宋体"/>
                <w:szCs w:val="21"/>
              </w:rPr>
            </w:pPr>
          </w:p>
        </w:tc>
        <w:tc>
          <w:tcPr>
            <w:tcW w:w="838" w:type="pct"/>
            <w:vAlign w:val="center"/>
          </w:tcPr>
          <w:p>
            <w:pPr>
              <w:jc w:val="center"/>
              <w:rPr>
                <w:rFonts w:ascii="宋体" w:hAnsi="宋体" w:cs="宋体"/>
                <w:szCs w:val="21"/>
              </w:rPr>
            </w:pPr>
          </w:p>
        </w:tc>
        <w:tc>
          <w:tcPr>
            <w:tcW w:w="830" w:type="pct"/>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pPr>
              <w:jc w:val="center"/>
              <w:rPr>
                <w:rFonts w:ascii="宋体" w:hAnsi="宋体" w:cs="宋体"/>
                <w:szCs w:val="21"/>
              </w:rPr>
            </w:pPr>
            <w:r>
              <w:rPr>
                <w:rFonts w:hint="eastAsia" w:ascii="宋体" w:hAnsi="宋体" w:cs="宋体"/>
                <w:szCs w:val="21"/>
              </w:rPr>
              <w:t>5</w:t>
            </w:r>
          </w:p>
        </w:tc>
        <w:tc>
          <w:tcPr>
            <w:tcW w:w="1275" w:type="pct"/>
            <w:gridSpan w:val="2"/>
            <w:vAlign w:val="center"/>
          </w:tcPr>
          <w:p>
            <w:pPr>
              <w:snapToGrid w:val="0"/>
              <w:jc w:val="center"/>
              <w:rPr>
                <w:rFonts w:ascii="宋体" w:hAnsi="宋体" w:cs="宋体"/>
                <w:szCs w:val="21"/>
              </w:rPr>
            </w:pPr>
            <w:r>
              <w:rPr>
                <w:rFonts w:hint="eastAsia" w:ascii="宋体" w:hAnsi="宋体" w:cs="宋体"/>
                <w:szCs w:val="21"/>
              </w:rPr>
              <w:t>投标文件编制人员</w:t>
            </w:r>
          </w:p>
        </w:tc>
        <w:tc>
          <w:tcPr>
            <w:tcW w:w="529" w:type="pct"/>
            <w:vAlign w:val="center"/>
          </w:tcPr>
          <w:p>
            <w:pPr>
              <w:jc w:val="center"/>
              <w:rPr>
                <w:rFonts w:ascii="宋体" w:hAnsi="宋体" w:cs="宋体"/>
                <w:szCs w:val="21"/>
              </w:rPr>
            </w:pPr>
          </w:p>
        </w:tc>
        <w:tc>
          <w:tcPr>
            <w:tcW w:w="1113" w:type="pct"/>
            <w:gridSpan w:val="2"/>
            <w:vAlign w:val="center"/>
          </w:tcPr>
          <w:p>
            <w:pPr>
              <w:jc w:val="center"/>
              <w:rPr>
                <w:rFonts w:ascii="宋体" w:hAnsi="宋体" w:cs="宋体"/>
                <w:szCs w:val="21"/>
              </w:rPr>
            </w:pPr>
          </w:p>
        </w:tc>
        <w:tc>
          <w:tcPr>
            <w:tcW w:w="838" w:type="pct"/>
            <w:vAlign w:val="center"/>
          </w:tcPr>
          <w:p>
            <w:pPr>
              <w:jc w:val="center"/>
              <w:rPr>
                <w:rFonts w:ascii="宋体" w:hAnsi="宋体" w:cs="宋体"/>
                <w:szCs w:val="21"/>
              </w:rPr>
            </w:pPr>
          </w:p>
        </w:tc>
        <w:tc>
          <w:tcPr>
            <w:tcW w:w="830" w:type="pct"/>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pPr>
              <w:rPr>
                <w:rFonts w:ascii="宋体" w:hAnsi="宋体" w:cs="宋体"/>
                <w:szCs w:val="21"/>
              </w:rPr>
            </w:pPr>
            <w:r>
              <w:rPr>
                <w:rFonts w:hint="eastAsia" w:ascii="宋体" w:hAnsi="宋体" w:cs="宋体"/>
                <w:b/>
                <w:bCs/>
                <w:szCs w:val="21"/>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vAlign w:val="center"/>
          </w:tcPr>
          <w:p>
            <w:pPr>
              <w:jc w:val="center"/>
              <w:rPr>
                <w:rFonts w:ascii="宋体" w:hAnsi="宋体" w:cs="宋体"/>
                <w:b/>
                <w:bCs/>
                <w:szCs w:val="21"/>
              </w:rPr>
            </w:pPr>
            <w:r>
              <w:rPr>
                <w:rFonts w:hint="eastAsia" w:ascii="宋体" w:hAnsi="宋体" w:cs="宋体"/>
                <w:b/>
                <w:bCs/>
                <w:szCs w:val="21"/>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vAlign w:val="center"/>
          </w:tcPr>
          <w:p>
            <w:pPr>
              <w:jc w:val="center"/>
              <w:rPr>
                <w:rFonts w:ascii="宋体" w:hAnsi="宋体" w:cs="宋体"/>
                <w:szCs w:val="21"/>
              </w:rPr>
            </w:pPr>
            <w:r>
              <w:rPr>
                <w:rFonts w:hint="eastAsia" w:ascii="宋体" w:hAnsi="宋体" w:cs="宋体"/>
                <w:szCs w:val="21"/>
              </w:rPr>
              <w:t>序号</w:t>
            </w:r>
          </w:p>
        </w:tc>
        <w:tc>
          <w:tcPr>
            <w:tcW w:w="1275" w:type="pct"/>
            <w:gridSpan w:val="2"/>
            <w:tcBorders>
              <w:bottom w:val="single" w:color="auto" w:sz="4" w:space="0"/>
            </w:tcBorders>
            <w:vAlign w:val="center"/>
          </w:tcPr>
          <w:p>
            <w:pPr>
              <w:jc w:val="center"/>
              <w:rPr>
                <w:rFonts w:ascii="宋体" w:hAnsi="宋体" w:cs="宋体"/>
                <w:szCs w:val="21"/>
              </w:rPr>
            </w:pPr>
            <w:r>
              <w:rPr>
                <w:rFonts w:hint="eastAsia" w:ascii="宋体" w:hAnsi="宋体" w:cs="宋体"/>
                <w:szCs w:val="21"/>
              </w:rPr>
              <w:t>关联关系类型</w:t>
            </w:r>
          </w:p>
        </w:tc>
        <w:tc>
          <w:tcPr>
            <w:tcW w:w="971" w:type="pct"/>
            <w:gridSpan w:val="2"/>
            <w:tcBorders>
              <w:bottom w:val="single" w:color="auto" w:sz="4" w:space="0"/>
            </w:tcBorders>
            <w:vAlign w:val="center"/>
          </w:tcPr>
          <w:p>
            <w:pPr>
              <w:jc w:val="center"/>
              <w:rPr>
                <w:rFonts w:ascii="宋体" w:hAnsi="宋体" w:cs="宋体"/>
                <w:szCs w:val="21"/>
              </w:rPr>
            </w:pPr>
            <w:r>
              <w:rPr>
                <w:rFonts w:hint="eastAsia" w:ascii="宋体" w:hAnsi="宋体" w:cs="宋体"/>
                <w:szCs w:val="21"/>
              </w:rPr>
              <w:t>关联主体名称</w:t>
            </w:r>
          </w:p>
        </w:tc>
        <w:tc>
          <w:tcPr>
            <w:tcW w:w="2340" w:type="pct"/>
            <w:gridSpan w:val="3"/>
            <w:tcBorders>
              <w:bottom w:val="single" w:color="auto" w:sz="4" w:space="0"/>
            </w:tcBorders>
            <w:vAlign w:val="center"/>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1</w:t>
            </w:r>
          </w:p>
        </w:tc>
        <w:tc>
          <w:tcPr>
            <w:tcW w:w="1275"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控股股东</w:t>
            </w:r>
          </w:p>
        </w:tc>
        <w:tc>
          <w:tcPr>
            <w:tcW w:w="971"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2340" w:type="pct"/>
            <w:gridSpan w:val="3"/>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szCs w:val="21"/>
              </w:rPr>
            </w:pPr>
            <w:r>
              <w:rPr>
                <w:rFonts w:hint="eastAsia" w:ascii="宋体" w:hAnsi="宋体" w:cs="宋体"/>
                <w:szCs w:val="21"/>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11"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2</w:t>
            </w:r>
          </w:p>
        </w:tc>
        <w:tc>
          <w:tcPr>
            <w:tcW w:w="1275"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管理关系</w:t>
            </w:r>
          </w:p>
        </w:tc>
        <w:tc>
          <w:tcPr>
            <w:tcW w:w="971"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p>
        </w:tc>
        <w:tc>
          <w:tcPr>
            <w:tcW w:w="2340" w:type="pct"/>
            <w:gridSpan w:val="3"/>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szCs w:val="21"/>
              </w:rPr>
            </w:pPr>
            <w:r>
              <w:rPr>
                <w:rFonts w:hint="eastAsia" w:ascii="宋体" w:hAnsi="宋体" w:cs="宋体"/>
                <w:szCs w:val="21"/>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szCs w:val="21"/>
              </w:rPr>
            </w:pPr>
            <w:r>
              <w:rPr>
                <w:rFonts w:hint="eastAsia" w:ascii="宋体" w:hAnsi="宋体" w:cs="宋体"/>
                <w:b/>
                <w:bCs/>
                <w:szCs w:val="21"/>
              </w:rPr>
              <w:t>说明：同一关联关系类型有多个主体的，应分行填写。</w:t>
            </w:r>
          </w:p>
        </w:tc>
      </w:tr>
    </w:tbl>
    <w:p>
      <w:pPr>
        <w:pStyle w:val="4"/>
        <w:jc w:val="center"/>
        <w:rPr>
          <w:rFonts w:hint="eastAsia" w:ascii="黑体" w:eastAsia="黑体"/>
          <w:b w:val="0"/>
          <w:sz w:val="24"/>
        </w:rPr>
      </w:pPr>
    </w:p>
    <w:p>
      <w:pPr>
        <w:pStyle w:val="4"/>
        <w:jc w:val="center"/>
        <w:rPr>
          <w:rFonts w:ascii="黑体" w:eastAsia="黑体"/>
          <w:b w:val="0"/>
          <w:sz w:val="24"/>
        </w:rPr>
      </w:pPr>
      <w:r>
        <w:rPr>
          <w:rFonts w:hint="eastAsia" w:ascii="黑体" w:eastAsia="黑体"/>
          <w:b w:val="0"/>
          <w:sz w:val="24"/>
          <w:lang w:val="en-US" w:eastAsia="zh-CN"/>
        </w:rPr>
        <w:t>二</w:t>
      </w:r>
      <w:r>
        <w:rPr>
          <w:rFonts w:hint="eastAsia" w:ascii="黑体" w:eastAsia="黑体"/>
          <w:b w:val="0"/>
          <w:sz w:val="24"/>
        </w:rPr>
        <w:t>、</w:t>
      </w:r>
      <w:bookmarkStart w:id="60" w:name="_Hlk72092499"/>
      <w:r>
        <w:rPr>
          <w:rFonts w:hint="eastAsia" w:ascii="黑体" w:eastAsia="黑体"/>
          <w:b w:val="0"/>
          <w:sz w:val="24"/>
        </w:rPr>
        <w:t>法定代表人（负责人）证明书</w:t>
      </w:r>
      <w:bookmarkEnd w:id="60"/>
    </w:p>
    <w:p>
      <w:pPr>
        <w:rPr>
          <w:sz w:val="24"/>
        </w:rPr>
      </w:pPr>
    </w:p>
    <w:p>
      <w:pPr>
        <w:spacing w:line="360" w:lineRule="auto"/>
        <w:ind w:firstLine="420" w:firstLineChars="200"/>
        <w:rPr>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特此证明。</w:t>
      </w:r>
    </w:p>
    <w:p>
      <w:pPr>
        <w:spacing w:line="360" w:lineRule="auto"/>
        <w:ind w:firstLine="420" w:firstLineChars="200"/>
        <w:rPr>
          <w:szCs w:val="21"/>
        </w:rPr>
      </w:pPr>
      <w:r>
        <w:rPr>
          <w:rFonts w:hint="eastAsia"/>
          <w:szCs w:val="21"/>
        </w:rPr>
        <w:t>说明：1、法定代表人为投标人（企业事业单位、国家机关、社会团体）的主要行政负责人。</w:t>
      </w:r>
    </w:p>
    <w:p>
      <w:pPr>
        <w:numPr>
          <w:ilvl w:val="0"/>
          <w:numId w:val="127"/>
        </w:numPr>
        <w:spacing w:line="360" w:lineRule="auto"/>
        <w:ind w:firstLine="420" w:firstLineChars="200"/>
        <w:rPr>
          <w:szCs w:val="21"/>
        </w:rPr>
      </w:pPr>
      <w:r>
        <w:rPr>
          <w:rFonts w:hint="eastAsia"/>
          <w:szCs w:val="21"/>
        </w:rPr>
        <w:t>本证明书要供法定代表人（负责人）相关身份证明文件：身份证扫描件（正反两面）；港澳台居民可提供来往通行证扫描件；非中国国籍管辖范围人员，可提供公安部门认可的身份证明材料扫描件。</w:t>
      </w:r>
    </w:p>
    <w:p>
      <w:pPr>
        <w:numPr>
          <w:ilvl w:val="0"/>
          <w:numId w:val="127"/>
        </w:numPr>
        <w:spacing w:line="360" w:lineRule="auto"/>
        <w:ind w:firstLine="420" w:firstLineChars="200"/>
        <w:rPr>
          <w:szCs w:val="21"/>
        </w:rPr>
      </w:pPr>
      <w:r>
        <w:rPr>
          <w:rFonts w:hint="eastAsia"/>
          <w:szCs w:val="21"/>
        </w:rPr>
        <w:t>本项目投标授权代表为法定代表人（负责人）的，无需提供《投标文件签署授权委托书》。</w:t>
      </w:r>
    </w:p>
    <w:p>
      <w:pPr>
        <w:numPr>
          <w:ilvl w:val="0"/>
          <w:numId w:val="127"/>
        </w:numPr>
        <w:spacing w:line="360" w:lineRule="auto"/>
        <w:ind w:firstLine="420" w:firstLineChars="200"/>
        <w:rPr>
          <w:szCs w:val="21"/>
        </w:rPr>
      </w:pPr>
      <w:r>
        <w:rPr>
          <w:rFonts w:hint="eastAsia"/>
          <w:szCs w:val="21"/>
        </w:rPr>
        <w:t>内容必须填写真实、清楚，涂改无效，不得转让、买卖。</w:t>
      </w:r>
    </w:p>
    <w:tbl>
      <w:tblPr>
        <w:tblStyle w:val="4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rPr>
              <w:t>证件扫描件正面</w:t>
            </w:r>
          </w:p>
          <w:p>
            <w:pPr>
              <w:pStyle w:val="2"/>
              <w:jc w:val="center"/>
            </w:pPr>
          </w:p>
          <w:p>
            <w:pPr>
              <w:pStyle w:val="36"/>
              <w:jc w:val="center"/>
            </w:pPr>
          </w:p>
          <w:p>
            <w:pPr>
              <w:pStyle w:val="36"/>
              <w:jc w:val="center"/>
            </w:pPr>
          </w:p>
          <w:p>
            <w:pPr>
              <w:pStyle w:val="36"/>
              <w:jc w:val="center"/>
            </w:pPr>
          </w:p>
          <w:p>
            <w:pPr>
              <w:pStyle w:val="36"/>
              <w:jc w:val="center"/>
            </w:pPr>
          </w:p>
          <w:p>
            <w:pPr>
              <w:pStyle w:val="36"/>
              <w:jc w:val="center"/>
            </w:pPr>
          </w:p>
          <w:p>
            <w:pPr>
              <w:pStyle w:val="36"/>
              <w:jc w:val="center"/>
            </w:pPr>
          </w:p>
        </w:tc>
        <w:tc>
          <w:tcPr>
            <w:tcW w:w="4265" w:type="dxa"/>
          </w:tcPr>
          <w:p>
            <w:pPr>
              <w:jc w:val="center"/>
            </w:pPr>
            <w:r>
              <w:rPr>
                <w:rFonts w:hint="eastAsia"/>
              </w:rPr>
              <w:t>证件扫描件反面</w:t>
            </w:r>
          </w:p>
          <w:p>
            <w:pPr>
              <w:pStyle w:val="2"/>
              <w:jc w:val="center"/>
            </w:pPr>
          </w:p>
          <w:p>
            <w:pPr>
              <w:pStyle w:val="36"/>
              <w:jc w:val="center"/>
            </w:pPr>
          </w:p>
        </w:tc>
      </w:tr>
    </w:tbl>
    <w:p>
      <w:pPr>
        <w:rPr>
          <w:sz w:val="24"/>
        </w:rPr>
      </w:pPr>
    </w:p>
    <w:p>
      <w:pPr>
        <w:pStyle w:val="482"/>
        <w:ind w:firstLine="482"/>
        <w:rPr>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szCs w:val="21"/>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pPr>
        <w:rPr>
          <w:sz w:val="24"/>
        </w:rPr>
      </w:pPr>
    </w:p>
    <w:p>
      <w:pPr>
        <w:pStyle w:val="4"/>
        <w:spacing w:before="120" w:after="120"/>
        <w:jc w:val="center"/>
        <w:rPr>
          <w:rFonts w:ascii="黑体" w:eastAsia="黑体"/>
          <w:b w:val="0"/>
          <w:sz w:val="24"/>
        </w:rPr>
      </w:pPr>
      <w:r>
        <w:rPr>
          <w:rFonts w:hint="eastAsia" w:ascii="黑体" w:eastAsia="黑体"/>
          <w:b w:val="0"/>
          <w:sz w:val="24"/>
          <w:lang w:val="en-US" w:eastAsia="zh-CN"/>
        </w:rPr>
        <w:t>三</w:t>
      </w:r>
      <w:r>
        <w:rPr>
          <w:rFonts w:hint="eastAsia" w:ascii="黑体" w:eastAsia="黑体"/>
          <w:b w:val="0"/>
          <w:sz w:val="24"/>
        </w:rPr>
        <w:t>、投标文件签署授权委托书</w:t>
      </w:r>
    </w:p>
    <w:p>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szCs w:val="21"/>
        </w:rPr>
      </w:pPr>
      <w:r>
        <w:rPr>
          <w:rFonts w:hint="eastAsia"/>
          <w:szCs w:val="21"/>
        </w:rPr>
        <w:t>代理人无转委托权，特此委托。</w:t>
      </w:r>
    </w:p>
    <w:p>
      <w:pPr>
        <w:spacing w:line="360" w:lineRule="auto"/>
        <w:ind w:firstLine="420" w:firstLineChars="200"/>
        <w:rPr>
          <w:szCs w:val="21"/>
        </w:rPr>
      </w:pPr>
    </w:p>
    <w:p>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4"/>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rPr>
              <w:t>证件扫描件正面</w:t>
            </w:r>
          </w:p>
          <w:p>
            <w:pPr>
              <w:pStyle w:val="2"/>
              <w:jc w:val="center"/>
            </w:pPr>
          </w:p>
          <w:p>
            <w:pPr>
              <w:pStyle w:val="36"/>
              <w:jc w:val="center"/>
            </w:pPr>
          </w:p>
          <w:p>
            <w:pPr>
              <w:pStyle w:val="36"/>
              <w:jc w:val="center"/>
            </w:pPr>
          </w:p>
          <w:p>
            <w:pPr>
              <w:pStyle w:val="36"/>
              <w:jc w:val="center"/>
            </w:pPr>
          </w:p>
          <w:p>
            <w:pPr>
              <w:pStyle w:val="36"/>
              <w:jc w:val="center"/>
            </w:pPr>
          </w:p>
          <w:p>
            <w:pPr>
              <w:pStyle w:val="36"/>
              <w:jc w:val="center"/>
            </w:pPr>
          </w:p>
          <w:p>
            <w:pPr>
              <w:pStyle w:val="36"/>
              <w:jc w:val="center"/>
            </w:pPr>
          </w:p>
        </w:tc>
        <w:tc>
          <w:tcPr>
            <w:tcW w:w="4265" w:type="dxa"/>
          </w:tcPr>
          <w:p>
            <w:pPr>
              <w:jc w:val="center"/>
            </w:pPr>
            <w:r>
              <w:rPr>
                <w:rFonts w:hint="eastAsia"/>
              </w:rPr>
              <w:t>证件扫描件反面</w:t>
            </w:r>
          </w:p>
          <w:p>
            <w:pPr>
              <w:pStyle w:val="2"/>
              <w:jc w:val="center"/>
            </w:pPr>
          </w:p>
          <w:p>
            <w:pPr>
              <w:pStyle w:val="36"/>
              <w:jc w:val="center"/>
            </w:pPr>
          </w:p>
        </w:tc>
      </w:tr>
    </w:tbl>
    <w:p>
      <w:pPr>
        <w:rPr>
          <w:rFonts w:ascii="黑体" w:hAnsi="黑体" w:eastAsia="黑体" w:cs="黑体"/>
          <w:b/>
          <w:bCs/>
          <w:sz w:val="24"/>
        </w:rPr>
      </w:pPr>
    </w:p>
    <w:p>
      <w:pPr>
        <w:rPr>
          <w:rFonts w:ascii="Calibri" w:hAnsi="Calibri"/>
          <w:szCs w:val="22"/>
        </w:rPr>
      </w:pPr>
      <w:r>
        <w:rPr>
          <w:rFonts w:hint="eastAsia" w:ascii="黑体" w:hAnsi="黑体" w:eastAsia="黑体" w:cs="黑体"/>
          <w:b/>
          <w:bCs/>
          <w:sz w:val="24"/>
        </w:rPr>
        <w:t>温馨提示</w:t>
      </w:r>
      <w:r>
        <w:rPr>
          <w:rFonts w:hint="eastAsia" w:ascii="黑体" w:hAnsi="黑体" w:eastAsia="黑体" w:cs="黑体"/>
          <w:sz w:val="24"/>
        </w:rPr>
        <w:t>：</w:t>
      </w:r>
      <w:r>
        <w:rPr>
          <w:rFonts w:hint="eastAsia"/>
          <w:szCs w:val="21"/>
        </w:rPr>
        <w:t>为避免出现《深圳经济特区政府采购条例实施细则》第七十五条第二项所列情形，请投标供应商核实贵单位法定代表人、本项目投标授权代表人、项目负责人（如有）、主要技术人员（如有）等是否在贵单位缴纳社会保险。</w:t>
      </w:r>
    </w:p>
    <w:p>
      <w:pPr>
        <w:pStyle w:val="4"/>
        <w:jc w:val="center"/>
        <w:rPr>
          <w:rFonts w:ascii="黑体" w:eastAsia="黑体"/>
          <w:b w:val="0"/>
          <w:kern w:val="0"/>
          <w:sz w:val="24"/>
          <w:szCs w:val="24"/>
        </w:rPr>
      </w:pPr>
      <w:r>
        <w:rPr>
          <w:rFonts w:hint="eastAsia" w:ascii="黑体" w:eastAsia="黑体"/>
          <w:b w:val="0"/>
          <w:kern w:val="0"/>
          <w:sz w:val="24"/>
          <w:szCs w:val="24"/>
          <w:lang w:val="en-US" w:eastAsia="zh-CN"/>
        </w:rPr>
        <w:t>四</w:t>
      </w:r>
      <w:r>
        <w:rPr>
          <w:rFonts w:hint="eastAsia" w:ascii="黑体" w:eastAsia="黑体"/>
          <w:b w:val="0"/>
          <w:kern w:val="0"/>
          <w:sz w:val="24"/>
          <w:szCs w:val="24"/>
        </w:rPr>
        <w:t>、</w:t>
      </w:r>
      <w:bookmarkStart w:id="61" w:name="_Hlk72092634"/>
      <w:r>
        <w:rPr>
          <w:rFonts w:hint="eastAsia" w:ascii="黑体" w:eastAsia="黑体"/>
          <w:b w:val="0"/>
          <w:kern w:val="0"/>
          <w:sz w:val="24"/>
          <w:szCs w:val="24"/>
        </w:rPr>
        <w:t>实质性条款响应情况表</w:t>
      </w:r>
      <w:bookmarkEnd w:id="61"/>
    </w:p>
    <w:tbl>
      <w:tblPr>
        <w:tblStyle w:val="43"/>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857"/>
        <w:gridCol w:w="1395"/>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2" w:name="_Hlk72092651"/>
            <w:r>
              <w:rPr>
                <w:rFonts w:hint="eastAsia" w:ascii="宋体" w:hAnsi="宋体"/>
                <w:kern w:val="0"/>
                <w:szCs w:val="21"/>
              </w:rPr>
              <w:t>序号</w:t>
            </w:r>
          </w:p>
        </w:tc>
        <w:tc>
          <w:tcPr>
            <w:tcW w:w="2857"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395"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857" w:type="dxa"/>
            <w:vAlign w:val="top"/>
          </w:tcPr>
          <w:p>
            <w:pPr>
              <w:adjustRightInd w:val="0"/>
              <w:snapToGrid w:val="0"/>
              <w:spacing w:line="360" w:lineRule="auto"/>
              <w:jc w:val="left"/>
              <w:rPr>
                <w:rFonts w:hAnsi="宋体"/>
                <w:kern w:val="0"/>
                <w:szCs w:val="21"/>
              </w:rPr>
            </w:pPr>
            <w:r>
              <w:rPr>
                <w:rFonts w:hint="eastAsia" w:hAnsi="宋体"/>
                <w:kern w:val="0"/>
                <w:szCs w:val="21"/>
              </w:rPr>
              <w:t>★2.1免费保修期：免费保修期自货物最终验收合格并交付使用之日起3年。在免费保修期内，一旦发生质量问题，投标人保证在接到通知12小时内赶到现场进行修理或更换，免费保修期内中标供应商负责免费维修及更换配件。</w:t>
            </w:r>
          </w:p>
        </w:tc>
        <w:tc>
          <w:tcPr>
            <w:tcW w:w="1395" w:type="dxa"/>
          </w:tcPr>
          <w:p>
            <w:pPr>
              <w:adjustRightInd w:val="0"/>
              <w:snapToGrid w:val="0"/>
              <w:spacing w:line="360" w:lineRule="auto"/>
              <w:jc w:val="left"/>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2</w:t>
            </w:r>
          </w:p>
        </w:tc>
        <w:tc>
          <w:tcPr>
            <w:tcW w:w="2857" w:type="dxa"/>
            <w:vAlign w:val="top"/>
          </w:tcPr>
          <w:p>
            <w:pPr>
              <w:adjustRightInd w:val="0"/>
              <w:snapToGrid w:val="0"/>
              <w:spacing w:line="360" w:lineRule="auto"/>
              <w:jc w:val="left"/>
              <w:rPr>
                <w:rFonts w:hAnsi="宋体"/>
                <w:kern w:val="0"/>
                <w:szCs w:val="21"/>
              </w:rPr>
            </w:pPr>
            <w:r>
              <w:rPr>
                <w:rFonts w:hint="eastAsia" w:ascii="宋体" w:hAnsi="宋体" w:cs="宋体"/>
                <w:b/>
                <w:color w:val="FF0000"/>
                <w:sz w:val="24"/>
              </w:rPr>
              <w:t>★</w:t>
            </w:r>
            <w:r>
              <w:rPr>
                <w:rFonts w:hint="eastAsia" w:ascii="宋体" w:hAnsi="宋体" w:eastAsia="宋体" w:cs="宋体"/>
                <w:bCs/>
                <w:kern w:val="2"/>
                <w:sz w:val="21"/>
                <w:szCs w:val="21"/>
              </w:rPr>
              <w:t>1.3签订合同后30天（日历日）内</w:t>
            </w:r>
            <w:r>
              <w:rPr>
                <w:rFonts w:hint="eastAsia" w:ascii="宋体" w:hAnsi="宋体" w:eastAsia="宋体" w:cs="宋体"/>
                <w:bCs/>
                <w:kern w:val="2"/>
                <w:sz w:val="21"/>
                <w:szCs w:val="21"/>
                <w:lang w:val="en-US" w:eastAsia="zh-CN"/>
              </w:rPr>
              <w:t>完成验收工作</w:t>
            </w:r>
            <w:r>
              <w:rPr>
                <w:rFonts w:hint="eastAsia" w:ascii="宋体" w:hAnsi="宋体" w:eastAsia="宋体" w:cs="宋体"/>
                <w:bCs/>
                <w:kern w:val="2"/>
                <w:sz w:val="21"/>
                <w:szCs w:val="21"/>
              </w:rPr>
              <w:t>。</w:t>
            </w:r>
          </w:p>
        </w:tc>
        <w:tc>
          <w:tcPr>
            <w:tcW w:w="1395"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59"/>
    </w:p>
    <w:p>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p/>
    <w:p>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43"/>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pPr>
              <w:jc w:val="center"/>
              <w:rPr>
                <w:color w:val="000000" w:themeColor="text1"/>
                <w:szCs w:val="21"/>
                <w14:textFill>
                  <w14:solidFill>
                    <w14:schemeClr w14:val="tx1"/>
                  </w14:solidFill>
                </w14:textFill>
              </w:rPr>
            </w:pPr>
            <w:r>
              <w:rPr>
                <w:rFonts w:hint="eastAsia"/>
                <w:sz w:val="24"/>
              </w:rPr>
              <w:t>序号</w:t>
            </w:r>
          </w:p>
        </w:tc>
        <w:tc>
          <w:tcPr>
            <w:tcW w:w="772" w:type="dxa"/>
            <w:vAlign w:val="center"/>
          </w:tcPr>
          <w:p>
            <w:pPr>
              <w:jc w:val="center"/>
              <w:rPr>
                <w:color w:val="000000" w:themeColor="text1"/>
                <w:szCs w:val="21"/>
                <w14:textFill>
                  <w14:solidFill>
                    <w14:schemeClr w14:val="tx1"/>
                  </w14:solidFill>
                </w14:textFill>
              </w:rPr>
            </w:pPr>
            <w:r>
              <w:rPr>
                <w:rFonts w:hint="eastAsia"/>
                <w:sz w:val="24"/>
              </w:rPr>
              <w:t>货物名称</w:t>
            </w:r>
          </w:p>
        </w:tc>
        <w:tc>
          <w:tcPr>
            <w:tcW w:w="5446" w:type="dxa"/>
            <w:vAlign w:val="center"/>
          </w:tcPr>
          <w:p>
            <w:pPr>
              <w:jc w:val="center"/>
              <w:rPr>
                <w:color w:val="000000" w:themeColor="text1"/>
                <w:szCs w:val="21"/>
                <w14:textFill>
                  <w14:solidFill>
                    <w14:schemeClr w14:val="tx1"/>
                  </w14:solidFill>
                </w14:textFill>
              </w:rPr>
            </w:pPr>
            <w:r>
              <w:rPr>
                <w:rFonts w:hint="eastAsia"/>
                <w:sz w:val="24"/>
              </w:rPr>
              <w:t>招标技术要求</w:t>
            </w:r>
          </w:p>
        </w:tc>
        <w:tc>
          <w:tcPr>
            <w:tcW w:w="972" w:type="dxa"/>
            <w:vAlign w:val="center"/>
          </w:tcPr>
          <w:p>
            <w:pPr>
              <w:jc w:val="center"/>
              <w:rPr>
                <w:color w:val="000000" w:themeColor="text1"/>
                <w:szCs w:val="21"/>
                <w14:textFill>
                  <w14:solidFill>
                    <w14:schemeClr w14:val="tx1"/>
                  </w14:solidFill>
                </w14:textFill>
              </w:rPr>
            </w:pPr>
            <w:r>
              <w:rPr>
                <w:rFonts w:hint="eastAsia"/>
                <w:sz w:val="24"/>
              </w:rPr>
              <w:t>投标技术响应</w:t>
            </w:r>
          </w:p>
        </w:tc>
        <w:tc>
          <w:tcPr>
            <w:tcW w:w="710" w:type="dxa"/>
            <w:vAlign w:val="center"/>
          </w:tcPr>
          <w:p>
            <w:pPr>
              <w:jc w:val="center"/>
              <w:rPr>
                <w:color w:val="000000" w:themeColor="text1"/>
                <w:szCs w:val="21"/>
                <w14:textFill>
                  <w14:solidFill>
                    <w14:schemeClr w14:val="tx1"/>
                  </w14:solidFill>
                </w14:textFill>
              </w:rPr>
            </w:pPr>
            <w:r>
              <w:rPr>
                <w:rFonts w:hint="eastAsia"/>
                <w:sz w:val="24"/>
              </w:rPr>
              <w:t>偏离情况</w:t>
            </w:r>
          </w:p>
        </w:tc>
        <w:tc>
          <w:tcPr>
            <w:tcW w:w="390" w:type="dxa"/>
            <w:vAlign w:val="center"/>
          </w:tcPr>
          <w:p>
            <w:pPr>
              <w:jc w:val="center"/>
              <w:rPr>
                <w:color w:val="000000" w:themeColor="text1"/>
                <w:szCs w:val="21"/>
                <w14:textFill>
                  <w14:solidFill>
                    <w14:schemeClr w14:val="tx1"/>
                  </w14:solidFill>
                </w14:textFill>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72"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设备</w:t>
            </w:r>
          </w:p>
        </w:tc>
        <w:tc>
          <w:tcPr>
            <w:tcW w:w="5446" w:type="dxa"/>
          </w:tcPr>
          <w:p>
            <w:pPr>
              <w:jc w:val="center"/>
              <w:rPr>
                <w:color w:val="000000" w:themeColor="text1"/>
                <w:szCs w:val="21"/>
                <w14:textFill>
                  <w14:solidFill>
                    <w14:schemeClr w14:val="tx1"/>
                  </w14:solidFill>
                </w14:textFill>
              </w:rPr>
            </w:pPr>
            <w:r>
              <w:rPr>
                <w:rFonts w:hint="eastAsia"/>
              </w:rPr>
              <w:t>（填写相关内容）</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772" w:type="dxa"/>
            <w:vMerge w:val="continue"/>
            <w:vAlign w:val="center"/>
          </w:tcPr>
          <w:p>
            <w:pPr>
              <w:jc w:val="center"/>
              <w:rPr>
                <w:color w:val="000000" w:themeColor="text1"/>
                <w:szCs w:val="21"/>
                <w14:textFill>
                  <w14:solidFill>
                    <w14:schemeClr w14:val="tx1"/>
                  </w14:solidFill>
                </w14:textFill>
              </w:rPr>
            </w:pPr>
          </w:p>
        </w:tc>
        <w:tc>
          <w:tcPr>
            <w:tcW w:w="5446" w:type="dxa"/>
          </w:tcPr>
          <w:p>
            <w:pPr>
              <w:jc w:val="center"/>
              <w:rPr>
                <w:color w:val="000000" w:themeColor="text1"/>
                <w:szCs w:val="21"/>
                <w14:textFill>
                  <w14:solidFill>
                    <w14:schemeClr w14:val="tx1"/>
                  </w14:solidFill>
                </w14:textFill>
              </w:rPr>
            </w:pPr>
            <w:r>
              <w:rPr>
                <w:rFonts w:hint="eastAsia"/>
              </w:rPr>
              <w:t>（填写相关内容）</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772" w:type="dxa"/>
            <w:vMerge w:val="continue"/>
            <w:vAlign w:val="center"/>
          </w:tcPr>
          <w:p>
            <w:pPr>
              <w:jc w:val="center"/>
              <w:rPr>
                <w:color w:val="000000" w:themeColor="text1"/>
                <w:szCs w:val="21"/>
                <w14:textFill>
                  <w14:solidFill>
                    <w14:schemeClr w14:val="tx1"/>
                  </w14:solidFill>
                </w14:textFill>
              </w:rPr>
            </w:pPr>
          </w:p>
        </w:tc>
        <w:tc>
          <w:tcPr>
            <w:tcW w:w="5446" w:type="dxa"/>
          </w:tcPr>
          <w:p>
            <w:pPr>
              <w:jc w:val="center"/>
              <w:rPr>
                <w:color w:val="000000" w:themeColor="text1"/>
                <w:szCs w:val="21"/>
                <w14:textFill>
                  <w14:solidFill>
                    <w14:schemeClr w14:val="tx1"/>
                  </w14:solidFill>
                </w14:textFill>
              </w:rPr>
            </w:pPr>
            <w:r>
              <w:rPr>
                <w:rFonts w:hint="eastAsia"/>
              </w:rPr>
              <w:t>（填写相关内容）</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772" w:type="dxa"/>
            <w:vMerge w:val="continue"/>
            <w:vAlign w:val="center"/>
          </w:tcPr>
          <w:p>
            <w:pPr>
              <w:jc w:val="center"/>
              <w:rPr>
                <w:color w:val="000000" w:themeColor="text1"/>
                <w:szCs w:val="21"/>
                <w14:textFill>
                  <w14:solidFill>
                    <w14:schemeClr w14:val="tx1"/>
                  </w14:solidFill>
                </w14:textFill>
              </w:rPr>
            </w:pPr>
          </w:p>
        </w:tc>
        <w:tc>
          <w:tcPr>
            <w:tcW w:w="5446" w:type="dxa"/>
          </w:tcPr>
          <w:p>
            <w:pPr>
              <w:jc w:val="center"/>
              <w:rPr>
                <w:color w:val="000000" w:themeColor="text1"/>
                <w:szCs w:val="21"/>
                <w14:textFill>
                  <w14:solidFill>
                    <w14:schemeClr w14:val="tx1"/>
                  </w14:solidFill>
                </w14:textFill>
              </w:rPr>
            </w:pPr>
            <w:r>
              <w:rPr>
                <w:rFonts w:hint="eastAsia"/>
              </w:rPr>
              <w:t>（填写相关内容）</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772" w:type="dxa"/>
            <w:vMerge w:val="continue"/>
            <w:vAlign w:val="center"/>
          </w:tcPr>
          <w:p>
            <w:pPr>
              <w:jc w:val="center"/>
              <w:rPr>
                <w:color w:val="000000" w:themeColor="text1"/>
                <w:szCs w:val="21"/>
                <w14:textFill>
                  <w14:solidFill>
                    <w14:schemeClr w14:val="tx1"/>
                  </w14:solidFill>
                </w14:textFill>
              </w:rPr>
            </w:pPr>
          </w:p>
        </w:tc>
        <w:tc>
          <w:tcPr>
            <w:tcW w:w="5446" w:type="dxa"/>
          </w:tcPr>
          <w:p>
            <w:pPr>
              <w:jc w:val="center"/>
              <w:rPr>
                <w:color w:val="000000" w:themeColor="text1"/>
                <w:szCs w:val="21"/>
                <w14:textFill>
                  <w14:solidFill>
                    <w14:schemeClr w14:val="tx1"/>
                  </w14:solidFill>
                </w14:textFill>
              </w:rPr>
            </w:pPr>
            <w:r>
              <w:rPr>
                <w:rFonts w:hint="eastAsia"/>
              </w:rPr>
              <w:t>（填写相关内容）</w:t>
            </w:r>
          </w:p>
        </w:tc>
        <w:tc>
          <w:tcPr>
            <w:tcW w:w="972" w:type="dxa"/>
          </w:tcPr>
          <w:p>
            <w:pPr>
              <w:rPr>
                <w:rStyle w:val="47"/>
                <w:b w:val="0"/>
                <w:bCs w:val="0"/>
                <w:color w:val="000000" w:themeColor="text1"/>
                <w:szCs w:val="21"/>
                <w14:textFill>
                  <w14:solidFill>
                    <w14:schemeClr w14:val="tx1"/>
                  </w14:solidFill>
                </w14:textFill>
              </w:rPr>
            </w:pPr>
          </w:p>
        </w:tc>
        <w:tc>
          <w:tcPr>
            <w:tcW w:w="710" w:type="dxa"/>
          </w:tcPr>
          <w:p>
            <w:pPr>
              <w:rPr>
                <w:rStyle w:val="47"/>
                <w:b w:val="0"/>
                <w:bCs w:val="0"/>
                <w:color w:val="000000" w:themeColor="text1"/>
                <w:szCs w:val="21"/>
                <w14:textFill>
                  <w14:solidFill>
                    <w14:schemeClr w14:val="tx1"/>
                  </w14:solidFill>
                </w14:textFill>
              </w:rPr>
            </w:pPr>
          </w:p>
        </w:tc>
        <w:tc>
          <w:tcPr>
            <w:tcW w:w="390" w:type="dxa"/>
          </w:tcPr>
          <w:p>
            <w:pPr>
              <w:rPr>
                <w:rStyle w:val="47"/>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772" w:type="dxa"/>
            <w:vMerge w:val="continue"/>
            <w:vAlign w:val="center"/>
          </w:tcPr>
          <w:p>
            <w:pPr>
              <w:jc w:val="center"/>
              <w:rPr>
                <w:color w:val="000000" w:themeColor="text1"/>
                <w:szCs w:val="21"/>
                <w14:textFill>
                  <w14:solidFill>
                    <w14:schemeClr w14:val="tx1"/>
                  </w14:solidFill>
                </w14:textFill>
              </w:rPr>
            </w:pPr>
          </w:p>
        </w:tc>
        <w:tc>
          <w:tcPr>
            <w:tcW w:w="5446" w:type="dxa"/>
          </w:tcPr>
          <w:p>
            <w:pPr>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772" w:type="dxa"/>
            <w:vMerge w:val="continue"/>
            <w:vAlign w:val="center"/>
          </w:tcPr>
          <w:p>
            <w:pPr>
              <w:jc w:val="center"/>
              <w:rPr>
                <w:color w:val="000000" w:themeColor="text1"/>
                <w:szCs w:val="21"/>
                <w14:textFill>
                  <w14:solidFill>
                    <w14:schemeClr w14:val="tx1"/>
                  </w14:solidFill>
                </w14:textFill>
              </w:rPr>
            </w:pPr>
          </w:p>
        </w:tc>
        <w:tc>
          <w:tcPr>
            <w:tcW w:w="5446" w:type="dxa"/>
          </w:tcPr>
          <w:p>
            <w:pPr>
              <w:jc w:val="center"/>
              <w:rPr>
                <w:b/>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972" w:type="dxa"/>
          </w:tcPr>
          <w:p>
            <w:pPr>
              <w:rPr>
                <w:b/>
                <w:bCs/>
                <w:color w:val="FF0000"/>
                <w:szCs w:val="21"/>
              </w:rPr>
            </w:pPr>
          </w:p>
        </w:tc>
        <w:tc>
          <w:tcPr>
            <w:tcW w:w="710" w:type="dxa"/>
          </w:tcPr>
          <w:p>
            <w:pPr>
              <w:rPr>
                <w:b/>
                <w:bCs/>
                <w:color w:val="FF0000"/>
                <w:szCs w:val="21"/>
              </w:rPr>
            </w:pPr>
          </w:p>
        </w:tc>
        <w:tc>
          <w:tcPr>
            <w:tcW w:w="390" w:type="dxa"/>
          </w:tcPr>
          <w:p>
            <w:pPr>
              <w:rPr>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jc w:val="center"/>
              <w:rPr>
                <w:color w:val="000000" w:themeColor="text1"/>
                <w:szCs w:val="21"/>
                <w14:textFill>
                  <w14:solidFill>
                    <w14:schemeClr w14:val="tx1"/>
                  </w14:solidFill>
                </w14:textFill>
              </w:rPr>
            </w:pPr>
          </w:p>
        </w:tc>
        <w:tc>
          <w:tcPr>
            <w:tcW w:w="772" w:type="dxa"/>
            <w:vMerge w:val="continue"/>
            <w:vAlign w:val="center"/>
          </w:tcPr>
          <w:p>
            <w:pPr>
              <w:jc w:val="center"/>
              <w:rPr>
                <w:color w:val="000000" w:themeColor="text1"/>
                <w:szCs w:val="21"/>
                <w14:textFill>
                  <w14:solidFill>
                    <w14:schemeClr w14:val="tx1"/>
                  </w14:solidFill>
                </w14:textFill>
              </w:rPr>
            </w:pPr>
          </w:p>
        </w:tc>
        <w:tc>
          <w:tcPr>
            <w:tcW w:w="5446" w:type="dxa"/>
          </w:tcPr>
          <w:p>
            <w:pPr>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64"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72"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设备</w:t>
            </w:r>
          </w:p>
        </w:tc>
        <w:tc>
          <w:tcPr>
            <w:tcW w:w="5446" w:type="dxa"/>
          </w:tcPr>
          <w:p>
            <w:pPr>
              <w:jc w:val="center"/>
              <w:rPr>
                <w:b/>
                <w:bCs/>
                <w:color w:val="000000" w:themeColor="text1"/>
                <w:szCs w:val="21"/>
                <w14:textFill>
                  <w14:solidFill>
                    <w14:schemeClr w14:val="tx1"/>
                  </w14:solidFill>
                </w14:textFill>
              </w:rPr>
            </w:pPr>
            <w:r>
              <w:rPr>
                <w:rFonts w:hint="eastAsia"/>
              </w:rPr>
              <w:t>（填写相关内容）</w:t>
            </w:r>
          </w:p>
        </w:tc>
        <w:tc>
          <w:tcPr>
            <w:tcW w:w="972" w:type="dxa"/>
          </w:tcPr>
          <w:p>
            <w:pPr>
              <w:rPr>
                <w:b/>
                <w:bCs/>
                <w:color w:val="FF0000"/>
                <w:szCs w:val="21"/>
              </w:rPr>
            </w:pPr>
          </w:p>
        </w:tc>
        <w:tc>
          <w:tcPr>
            <w:tcW w:w="710" w:type="dxa"/>
          </w:tcPr>
          <w:p>
            <w:pPr>
              <w:rPr>
                <w:b/>
                <w:bCs/>
                <w:color w:val="FF0000"/>
                <w:szCs w:val="21"/>
              </w:rPr>
            </w:pPr>
          </w:p>
        </w:tc>
        <w:tc>
          <w:tcPr>
            <w:tcW w:w="390" w:type="dxa"/>
          </w:tcPr>
          <w:p>
            <w:pPr>
              <w:rPr>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tcPr>
          <w:p>
            <w:pPr>
              <w:jc w:val="center"/>
              <w:rPr>
                <w:color w:val="000000" w:themeColor="text1"/>
                <w:szCs w:val="21"/>
                <w14:textFill>
                  <w14:solidFill>
                    <w14:schemeClr w14:val="tx1"/>
                  </w14:solidFill>
                </w14:textFill>
              </w:rPr>
            </w:pPr>
          </w:p>
        </w:tc>
        <w:tc>
          <w:tcPr>
            <w:tcW w:w="772" w:type="dxa"/>
            <w:vMerge w:val="continue"/>
          </w:tcPr>
          <w:p>
            <w:pPr>
              <w:rPr>
                <w:color w:val="000000" w:themeColor="text1"/>
                <w:szCs w:val="21"/>
                <w14:textFill>
                  <w14:solidFill>
                    <w14:schemeClr w14:val="tx1"/>
                  </w14:solidFill>
                </w14:textFill>
              </w:rPr>
            </w:pPr>
          </w:p>
        </w:tc>
        <w:tc>
          <w:tcPr>
            <w:tcW w:w="5446" w:type="dxa"/>
          </w:tcPr>
          <w:p>
            <w:pPr>
              <w:jc w:val="center"/>
              <w:rPr>
                <w:color w:val="000000" w:themeColor="text1"/>
                <w:szCs w:val="21"/>
                <w14:textFill>
                  <w14:solidFill>
                    <w14:schemeClr w14:val="tx1"/>
                  </w14:solidFill>
                </w14:textFill>
              </w:rPr>
            </w:pPr>
            <w:r>
              <w:rPr>
                <w:rFonts w:hint="eastAsia"/>
              </w:rPr>
              <w:t>（填写相关内容）</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464" w:type="dxa"/>
            <w:vMerge w:val="continue"/>
          </w:tcPr>
          <w:p>
            <w:pPr>
              <w:jc w:val="center"/>
              <w:rPr>
                <w:color w:val="000000" w:themeColor="text1"/>
                <w:szCs w:val="21"/>
                <w14:textFill>
                  <w14:solidFill>
                    <w14:schemeClr w14:val="tx1"/>
                  </w14:solidFill>
                </w14:textFill>
              </w:rPr>
            </w:pPr>
          </w:p>
        </w:tc>
        <w:tc>
          <w:tcPr>
            <w:tcW w:w="772" w:type="dxa"/>
            <w:vMerge w:val="continue"/>
          </w:tcPr>
          <w:p>
            <w:pPr>
              <w:rPr>
                <w:color w:val="000000" w:themeColor="text1"/>
                <w:szCs w:val="21"/>
                <w14:textFill>
                  <w14:solidFill>
                    <w14:schemeClr w14:val="tx1"/>
                  </w14:solidFill>
                </w14:textFill>
              </w:rPr>
            </w:pPr>
          </w:p>
        </w:tc>
        <w:tc>
          <w:tcPr>
            <w:tcW w:w="5446" w:type="dxa"/>
          </w:tcPr>
          <w:p>
            <w:pPr>
              <w:jc w:val="center"/>
              <w:rPr>
                <w:color w:val="000000" w:themeColor="text1"/>
                <w:szCs w:val="21"/>
                <w14:textFill>
                  <w14:solidFill>
                    <w14:schemeClr w14:val="tx1"/>
                  </w14:solidFill>
                </w14:textFill>
              </w:rPr>
            </w:pPr>
            <w:r>
              <w:rPr>
                <w:rFonts w:hint="eastAsia"/>
              </w:rPr>
              <w:t>（填写相关内容）</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4" w:type="dxa"/>
            <w:vMerge w:val="continue"/>
          </w:tcPr>
          <w:p>
            <w:pPr>
              <w:jc w:val="center"/>
              <w:rPr>
                <w:color w:val="000000" w:themeColor="text1"/>
                <w:szCs w:val="21"/>
                <w14:textFill>
                  <w14:solidFill>
                    <w14:schemeClr w14:val="tx1"/>
                  </w14:solidFill>
                </w14:textFill>
              </w:rPr>
            </w:pPr>
          </w:p>
        </w:tc>
        <w:tc>
          <w:tcPr>
            <w:tcW w:w="772" w:type="dxa"/>
            <w:vMerge w:val="continue"/>
          </w:tcPr>
          <w:p>
            <w:pPr>
              <w:rPr>
                <w:color w:val="000000" w:themeColor="text1"/>
                <w:szCs w:val="21"/>
                <w14:textFill>
                  <w14:solidFill>
                    <w14:schemeClr w14:val="tx1"/>
                  </w14:solidFill>
                </w14:textFill>
              </w:rPr>
            </w:pPr>
          </w:p>
        </w:tc>
        <w:tc>
          <w:tcPr>
            <w:tcW w:w="5446" w:type="dxa"/>
          </w:tcPr>
          <w:p>
            <w:pPr>
              <w:jc w:val="center"/>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3" w:name="_Hlk72095977"/>
      <w:r>
        <w:rPr>
          <w:rFonts w:hint="eastAsia"/>
          <w:sz w:val="21"/>
          <w:szCs w:val="21"/>
        </w:rPr>
        <w:t>证明资料【如有的话，提供的证明资料应统一编号（排序），格式自定】</w:t>
      </w:r>
      <w:bookmarkEnd w:id="63"/>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4" w:name="_Hlk72094407"/>
      <w:r>
        <w:rPr>
          <w:rFonts w:hint="eastAsia"/>
          <w:b w:val="0"/>
          <w:bCs/>
          <w:sz w:val="21"/>
          <w:szCs w:val="21"/>
        </w:rPr>
        <w:t>对应“用户需求书”中的“技术要求”章节</w:t>
      </w:r>
      <w:bookmarkEnd w:id="64"/>
      <w:r>
        <w:rPr>
          <w:rFonts w:hint="eastAsia"/>
          <w:b w:val="0"/>
          <w:bCs/>
          <w:sz w:val="21"/>
          <w:szCs w:val="21"/>
        </w:rPr>
        <w:t>相关内容。</w:t>
      </w:r>
    </w:p>
    <w:p>
      <w:pPr>
        <w:pStyle w:val="38"/>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1"/>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5" w:name="_Hlk72158270"/>
      <w:r>
        <w:rPr>
          <w:rFonts w:hint="eastAsia"/>
          <w:b w:val="0"/>
          <w:bCs/>
          <w:sz w:val="21"/>
          <w:szCs w:val="21"/>
        </w:rPr>
        <w:t>“偏离情况”</w:t>
      </w:r>
      <w:bookmarkEnd w:id="65"/>
      <w:r>
        <w:rPr>
          <w:rFonts w:hint="eastAsia"/>
          <w:b w:val="0"/>
          <w:bCs/>
          <w:sz w:val="21"/>
          <w:szCs w:val="21"/>
        </w:rPr>
        <w:t>一栏填写如实填写“正偏离”、“负偏离”或“无偏离”，其中：</w:t>
      </w:r>
      <w:bookmarkStart w:id="66" w:name="_Hlk72093866"/>
      <w:r>
        <w:rPr>
          <w:rFonts w:hint="eastAsia"/>
          <w:b w:val="0"/>
          <w:bCs/>
          <w:sz w:val="21"/>
          <w:szCs w:val="21"/>
        </w:rPr>
        <w:t>“正偏离”表示“投标响应优于招标技术要求”，“负偏离”表示“投标响应不满足招标技术要求”，“无偏离”表示“投标响应与招标技术要求一致”</w:t>
      </w:r>
      <w:bookmarkEnd w:id="66"/>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7" w:name="_Hlk72096106"/>
      <w:r>
        <w:rPr>
          <w:rFonts w:hint="eastAsia"/>
          <w:b w:val="0"/>
          <w:bCs/>
          <w:sz w:val="21"/>
          <w:szCs w:val="21"/>
        </w:rPr>
        <w:t>证明资料条款响应要求</w:t>
      </w:r>
      <w:bookmarkEnd w:id="67"/>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8"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9" w:name="_Hlk73558164"/>
      <w:r>
        <w:rPr>
          <w:rFonts w:hint="eastAsia"/>
          <w:b w:val="0"/>
          <w:bCs/>
          <w:sz w:val="21"/>
          <w:szCs w:val="21"/>
        </w:rPr>
        <w:t>且投标人在“偏离情况”一栏响应为“正偏离”或“无偏离”的，经评审委员会认定，将判定为负偏离。</w:t>
      </w:r>
      <w:bookmarkEnd w:id="68"/>
      <w:bookmarkEnd w:id="69"/>
    </w:p>
    <w:p>
      <w:pPr>
        <w:ind w:firstLine="420" w:firstLineChars="200"/>
        <w:rPr>
          <w:b w:val="0"/>
          <w:bCs/>
          <w:sz w:val="21"/>
          <w:szCs w:val="21"/>
        </w:rPr>
      </w:pPr>
      <w:r>
        <w:rPr>
          <w:rFonts w:hint="eastAsia"/>
          <w:b w:val="0"/>
          <w:bCs/>
          <w:sz w:val="21"/>
          <w:szCs w:val="21"/>
        </w:rPr>
        <w:t>6、</w:t>
      </w:r>
      <w:bookmarkStart w:id="70" w:name="_Hlk72096137"/>
      <w:r>
        <w:rPr>
          <w:rFonts w:hint="eastAsia"/>
          <w:b w:val="0"/>
          <w:bCs/>
          <w:sz w:val="21"/>
          <w:szCs w:val="21"/>
        </w:rPr>
        <w:t>表后“证明资料”部分内容的编制</w:t>
      </w:r>
      <w:bookmarkEnd w:id="70"/>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1" w:name="_Hlk73558180"/>
      <w:r>
        <w:rPr>
          <w:rFonts w:hint="eastAsia"/>
          <w:b w:val="0"/>
          <w:bCs/>
          <w:sz w:val="21"/>
          <w:szCs w:val="21"/>
        </w:rPr>
        <w:t>未按照招标文件要求在表后放置证明材料的供应商将承担不利后果，经评审委员会认定，相关技术要求将判定为负偏离。</w:t>
      </w:r>
      <w:bookmarkEnd w:id="71"/>
    </w:p>
    <w:p>
      <w:pPr>
        <w:ind w:firstLine="420" w:firstLineChars="200"/>
        <w:rPr>
          <w:b w:val="0"/>
          <w:bCs/>
          <w:sz w:val="21"/>
          <w:szCs w:val="21"/>
        </w:rPr>
      </w:pPr>
      <w:r>
        <w:rPr>
          <w:rFonts w:hint="eastAsia"/>
          <w:b w:val="0"/>
          <w:bCs/>
          <w:sz w:val="21"/>
          <w:szCs w:val="21"/>
        </w:rPr>
        <w:t>7、</w:t>
      </w:r>
      <w:bookmarkStart w:id="72" w:name="_Hlk72096176"/>
      <w:r>
        <w:rPr>
          <w:rFonts w:hint="eastAsia"/>
          <w:b w:val="0"/>
          <w:bCs/>
          <w:sz w:val="21"/>
          <w:szCs w:val="21"/>
        </w:rPr>
        <w:t>证明资料的形式及其它具体要求</w:t>
      </w:r>
      <w:bookmarkEnd w:id="72"/>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3"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3"/>
    </w:p>
    <w:p>
      <w:pPr>
        <w:ind w:firstLine="482" w:firstLineChars="200"/>
        <w:rPr>
          <w:b/>
          <w:sz w:val="24"/>
        </w:rPr>
      </w:pPr>
    </w:p>
    <w:p>
      <w:pPr>
        <w:pStyle w:val="2"/>
        <w:spacing w:line="240" w:lineRule="auto"/>
        <w:rPr>
          <w:b/>
          <w:sz w:val="24"/>
        </w:rPr>
      </w:pPr>
    </w:p>
    <w:p>
      <w:pPr>
        <w:pStyle w:val="36"/>
        <w:numPr>
          <w:ilvl w:val="-1"/>
          <w:numId w:val="0"/>
        </w:numPr>
        <w:spacing w:line="240" w:lineRule="auto"/>
        <w:ind w:left="0"/>
        <w:rPr>
          <w:rFonts w:hint="eastAsia" w:ascii="黑体" w:hAnsi="宋体" w:eastAsia="黑体" w:cs="Times New Roman"/>
          <w:bCs w:val="0"/>
          <w:szCs w:val="20"/>
          <w:lang w:val="en-US" w:eastAsia="zh-CN"/>
        </w:rPr>
      </w:pPr>
    </w:p>
    <w:p>
      <w:pPr>
        <w:pStyle w:val="36"/>
        <w:numPr>
          <w:ilvl w:val="0"/>
          <w:numId w:val="0"/>
        </w:numPr>
        <w:spacing w:line="240" w:lineRule="auto"/>
        <w:ind w:left="3000" w:leftChars="0"/>
        <w:rPr>
          <w:rFonts w:hint="eastAsia" w:ascii="黑体" w:hAnsi="Times New Roman" w:eastAsia="黑体" w:cs="Times New Roman"/>
          <w:bCs w:val="0"/>
          <w:szCs w:val="20"/>
          <w:lang w:val="en-US" w:eastAsia="zh-CN"/>
        </w:rPr>
      </w:pPr>
      <w:r>
        <w:rPr>
          <w:rFonts w:hint="eastAsia" w:ascii="黑体" w:hAnsi="Times New Roman" w:eastAsia="黑体" w:cs="Times New Roman"/>
          <w:bCs w:val="0"/>
          <w:szCs w:val="20"/>
          <w:lang w:val="en-US" w:eastAsia="zh-CN"/>
        </w:rPr>
        <w:t>六、</w:t>
      </w:r>
      <w:r>
        <w:rPr>
          <w:rFonts w:hint="eastAsia" w:ascii="黑体" w:eastAsia="黑体"/>
          <w:bCs w:val="0"/>
          <w:szCs w:val="20"/>
          <w:lang w:val="en-US" w:eastAsia="zh-CN"/>
        </w:rPr>
        <w:t>设计图评价</w:t>
      </w:r>
    </w:p>
    <w:p>
      <w:pPr>
        <w:pStyle w:val="36"/>
        <w:numPr>
          <w:ilvl w:val="0"/>
          <w:numId w:val="0"/>
        </w:numPr>
        <w:ind w:left="3000"/>
        <w:rPr>
          <w:rFonts w:hint="eastAsia" w:ascii="黑体" w:eastAsia="黑体"/>
          <w:b w:val="0"/>
          <w:bCs w:val="0"/>
          <w:sz w:val="24"/>
          <w:szCs w:val="20"/>
        </w:rPr>
      </w:pPr>
      <w:r>
        <w:rPr>
          <w:rFonts w:hint="eastAsia" w:ascii="黑体" w:hAnsi="Times New Roman" w:eastAsia="黑体" w:cs="Times New Roman"/>
          <w:sz w:val="24"/>
          <w:szCs w:val="20"/>
          <w:lang w:val="en-US" w:eastAsia="zh-CN"/>
        </w:rPr>
        <w:t>七</w:t>
      </w:r>
      <w:r>
        <w:rPr>
          <w:rFonts w:hint="eastAsia" w:ascii="黑体" w:eastAsia="黑体"/>
          <w:b w:val="0"/>
          <w:bCs w:val="0"/>
          <w:sz w:val="24"/>
          <w:szCs w:val="20"/>
        </w:rPr>
        <w:t>、项目组织实施方案的评价</w:t>
      </w:r>
    </w:p>
    <w:p>
      <w:pPr>
        <w:pStyle w:val="36"/>
        <w:numPr>
          <w:ilvl w:val="0"/>
          <w:numId w:val="0"/>
        </w:numPr>
        <w:ind w:left="3000"/>
        <w:rPr>
          <w:rFonts w:hint="default" w:ascii="黑体" w:eastAsia="黑体"/>
          <w:b w:val="0"/>
          <w:bCs w:val="0"/>
          <w:sz w:val="24"/>
          <w:szCs w:val="20"/>
          <w:lang w:val="en-US" w:eastAsia="zh-CN"/>
        </w:rPr>
      </w:pPr>
      <w:r>
        <w:rPr>
          <w:rFonts w:hint="eastAsia" w:ascii="黑体" w:eastAsia="黑体"/>
          <w:b w:val="0"/>
          <w:bCs w:val="0"/>
          <w:sz w:val="24"/>
          <w:szCs w:val="20"/>
          <w:lang w:val="en-US" w:eastAsia="zh-CN"/>
        </w:rPr>
        <w:t>八、售后服务方案</w:t>
      </w:r>
    </w:p>
    <w:p>
      <w:pPr>
        <w:pStyle w:val="36"/>
        <w:numPr>
          <w:ilvl w:val="0"/>
          <w:numId w:val="0"/>
        </w:numPr>
        <w:ind w:left="0" w:firstLine="1920" w:firstLineChars="800"/>
        <w:rPr>
          <w:rFonts w:hint="eastAsia" w:ascii="黑体" w:eastAsia="黑体"/>
          <w:b w:val="0"/>
          <w:bCs w:val="0"/>
          <w:sz w:val="24"/>
          <w:szCs w:val="20"/>
        </w:rPr>
      </w:pPr>
      <w:bookmarkStart w:id="74" w:name="_Hlk72260576"/>
      <w:r>
        <w:rPr>
          <w:rFonts w:hint="eastAsia" w:ascii="黑体" w:eastAsia="黑体"/>
          <w:b w:val="0"/>
          <w:bCs w:val="0"/>
          <w:sz w:val="24"/>
          <w:szCs w:val="20"/>
          <w:lang w:val="en-US" w:eastAsia="zh-CN"/>
        </w:rPr>
        <w:t>九</w:t>
      </w:r>
      <w:r>
        <w:rPr>
          <w:rFonts w:hint="eastAsia" w:ascii="黑体" w:eastAsia="黑体"/>
          <w:b w:val="0"/>
          <w:bCs w:val="0"/>
          <w:sz w:val="24"/>
          <w:szCs w:val="20"/>
        </w:rPr>
        <w:t>、</w:t>
      </w:r>
      <w:bookmarkStart w:id="75" w:name="_Hlk72062872"/>
      <w:r>
        <w:rPr>
          <w:rFonts w:hint="eastAsia" w:ascii="黑体" w:eastAsia="黑体"/>
          <w:b w:val="0"/>
          <w:bCs w:val="0"/>
          <w:sz w:val="24"/>
          <w:szCs w:val="20"/>
        </w:rPr>
        <w:t>投标人认为需要加以说明的其他内容</w:t>
      </w:r>
      <w:bookmarkEnd w:id="75"/>
      <w:r>
        <w:rPr>
          <w:rFonts w:hint="eastAsia" w:ascii="黑体" w:eastAsia="黑体"/>
          <w:bCs w:val="0"/>
          <w:szCs w:val="20"/>
          <w:lang w:val="en-US" w:eastAsia="zh-CN"/>
        </w:rPr>
        <w:t>（附件部分）</w:t>
      </w:r>
    </w:p>
    <w:bookmarkEnd w:id="74"/>
    <w:p>
      <w:pPr>
        <w:widowControl/>
        <w:jc w:val="center"/>
        <w:rPr>
          <w:rFonts w:hint="eastAsia" w:ascii="黑体" w:hAnsi="宋体" w:eastAsia="黑体"/>
          <w:kern w:val="0"/>
          <w:sz w:val="24"/>
          <w:szCs w:val="20"/>
        </w:rPr>
      </w:pPr>
    </w:p>
    <w:p>
      <w:pPr>
        <w:widowControl/>
        <w:jc w:val="center"/>
        <w:rPr>
          <w:rFonts w:hint="eastAsia" w:ascii="黑体" w:hAnsi="宋体" w:eastAsia="黑体"/>
          <w:kern w:val="0"/>
          <w:sz w:val="24"/>
          <w:szCs w:val="20"/>
        </w:rPr>
      </w:pPr>
    </w:p>
    <w:p>
      <w:pPr>
        <w:widowControl/>
        <w:jc w:val="center"/>
        <w:rPr>
          <w:rFonts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政府采购违法行为风险知悉确认书</w:t>
      </w:r>
    </w:p>
    <w:p>
      <w:pPr>
        <w:widowControl/>
        <w:jc w:val="center"/>
        <w:rPr>
          <w:rFonts w:ascii="黑体" w:hAnsi="宋体" w:eastAsia="黑体"/>
          <w:kern w:val="0"/>
          <w:sz w:val="24"/>
          <w:szCs w:val="20"/>
        </w:rPr>
      </w:pPr>
    </w:p>
    <w:p>
      <w:pPr>
        <w:spacing w:after="120" w:afterLines="50" w:line="360" w:lineRule="exact"/>
        <w:ind w:firstLine="422" w:firstLineChars="200"/>
        <w:rPr>
          <w:rFonts w:ascii="宋体" w:hAnsi="宋体" w:cs="宋体"/>
          <w:b/>
          <w:bCs/>
          <w:szCs w:val="21"/>
        </w:rPr>
      </w:pPr>
      <w:r>
        <w:rPr>
          <w:rFonts w:hint="eastAsia" w:ascii="宋体" w:hAnsi="宋体" w:cs="宋体"/>
          <w:b/>
          <w:bCs/>
          <w:szCs w:val="21"/>
        </w:rPr>
        <w:t>我单位在投标前已充分知悉以下情形为参与政府采购活动时的重大风险事项，并承诺已对下述风险提示事项重点排查，若存在下述情况，我单位愿意依法承担被记入供应商诚信档案、罚款、取消参与政府采购资格、吊销营业执照等处罚；构成犯罪的，依法承担刑事责任。</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pPr>
              <w:spacing w:line="400" w:lineRule="exact"/>
              <w:jc w:val="center"/>
              <w:rPr>
                <w:rFonts w:ascii="宋体" w:hAnsi="宋体" w:cs="宋体"/>
                <w:szCs w:val="21"/>
              </w:rPr>
            </w:pPr>
            <w:r>
              <w:rPr>
                <w:rFonts w:hint="eastAsia" w:ascii="宋体" w:hAnsi="宋体" w:cs="宋体"/>
                <w:szCs w:val="21"/>
              </w:rPr>
              <w:t>序号</w:t>
            </w:r>
          </w:p>
        </w:tc>
        <w:tc>
          <w:tcPr>
            <w:tcW w:w="7811" w:type="dxa"/>
          </w:tcPr>
          <w:p>
            <w:pPr>
              <w:spacing w:line="400" w:lineRule="exact"/>
              <w:jc w:val="center"/>
              <w:rPr>
                <w:rFonts w:ascii="宋体" w:hAnsi="宋体" w:cs="宋体"/>
                <w:szCs w:val="21"/>
              </w:rPr>
            </w:pPr>
            <w:r>
              <w:rPr>
                <w:rFonts w:hint="eastAsia" w:ascii="宋体" w:hAnsi="宋体" w:cs="宋体"/>
                <w:b/>
                <w:bCs/>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宋体" w:hAnsi="宋体" w:cs="宋体"/>
                <w:szCs w:val="21"/>
              </w:rPr>
            </w:pPr>
            <w:r>
              <w:rPr>
                <w:rFonts w:hint="eastAsia" w:ascii="宋体" w:hAnsi="宋体" w:cs="宋体"/>
                <w:szCs w:val="21"/>
              </w:rPr>
              <w:t>1</w:t>
            </w:r>
          </w:p>
        </w:tc>
        <w:tc>
          <w:tcPr>
            <w:tcW w:w="7811" w:type="dxa"/>
            <w:vAlign w:val="center"/>
          </w:tcPr>
          <w:p>
            <w:pPr>
              <w:spacing w:line="400" w:lineRule="exact"/>
              <w:jc w:val="left"/>
              <w:rPr>
                <w:rFonts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ascii="宋体" w:hAnsi="宋体" w:cs="宋体"/>
                <w:szCs w:val="21"/>
              </w:rPr>
            </w:pPr>
            <w:r>
              <w:rPr>
                <w:rFonts w:hint="eastAsia" w:ascii="宋体" w:hAnsi="宋体" w:cs="宋体"/>
                <w:szCs w:val="21"/>
              </w:rPr>
              <w:t>2</w:t>
            </w:r>
          </w:p>
        </w:tc>
        <w:tc>
          <w:tcPr>
            <w:tcW w:w="7811" w:type="dxa"/>
            <w:vAlign w:val="center"/>
          </w:tcPr>
          <w:p>
            <w:pPr>
              <w:spacing w:line="400" w:lineRule="exact"/>
              <w:jc w:val="left"/>
              <w:rPr>
                <w:rFonts w:ascii="宋体" w:hAnsi="宋体" w:cs="宋体"/>
                <w:szCs w:val="21"/>
              </w:rPr>
            </w:pPr>
            <w:r>
              <w:rPr>
                <w:rFonts w:hint="eastAsia" w:ascii="宋体" w:hAnsi="宋体" w:cs="宋体"/>
                <w:szCs w:val="21"/>
              </w:rPr>
              <w:t>参与本项目政府采购活动时，与其他投标供应商存在单位负责人为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宋体" w:hAnsi="宋体" w:cs="宋体"/>
                <w:szCs w:val="21"/>
              </w:rPr>
            </w:pPr>
            <w:r>
              <w:rPr>
                <w:rFonts w:hint="eastAsia" w:ascii="宋体" w:hAnsi="宋体" w:cs="宋体"/>
                <w:szCs w:val="21"/>
              </w:rPr>
              <w:t>3</w:t>
            </w:r>
          </w:p>
        </w:tc>
        <w:tc>
          <w:tcPr>
            <w:tcW w:w="7811" w:type="dxa"/>
            <w:vAlign w:val="center"/>
          </w:tcPr>
          <w:p>
            <w:pPr>
              <w:spacing w:line="400" w:lineRule="exact"/>
              <w:jc w:val="left"/>
              <w:rPr>
                <w:rFonts w:ascii="宋体" w:hAnsi="宋体" w:cs="宋体"/>
                <w:szCs w:val="21"/>
              </w:rPr>
            </w:pPr>
            <w:r>
              <w:rPr>
                <w:rFonts w:hint="eastAsia" w:ascii="宋体" w:hAnsi="宋体" w:cs="宋体"/>
                <w:szCs w:val="21"/>
              </w:rPr>
              <w:t>与其他投标供应商的投标文件或部分投标文件</w:t>
            </w:r>
            <w:r>
              <w:rPr>
                <w:rFonts w:hint="eastAsia" w:ascii="宋体" w:hAnsi="宋体" w:cs="宋体"/>
                <w:b/>
                <w:bCs/>
                <w:szCs w:val="21"/>
              </w:rPr>
              <w:t>相互混装或存在非正常一致</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宋体" w:hAnsi="宋体" w:cs="宋体"/>
                <w:szCs w:val="21"/>
              </w:rPr>
            </w:pPr>
            <w:r>
              <w:rPr>
                <w:rFonts w:hint="eastAsia" w:ascii="宋体" w:hAnsi="宋体" w:cs="宋体"/>
                <w:szCs w:val="21"/>
              </w:rPr>
              <w:t>4</w:t>
            </w:r>
          </w:p>
        </w:tc>
        <w:tc>
          <w:tcPr>
            <w:tcW w:w="7811" w:type="dxa"/>
            <w:vAlign w:val="center"/>
          </w:tcPr>
          <w:p>
            <w:pPr>
              <w:spacing w:line="400" w:lineRule="exact"/>
              <w:jc w:val="left"/>
              <w:rPr>
                <w:rFonts w:ascii="宋体" w:hAnsi="宋体" w:cs="宋体"/>
                <w:szCs w:val="21"/>
              </w:rPr>
            </w:pPr>
            <w:r>
              <w:rPr>
                <w:rFonts w:hint="eastAsia" w:ascii="宋体" w:hAnsi="宋体" w:cs="宋体"/>
                <w:szCs w:val="21"/>
              </w:rPr>
              <w:t>与其他投标供应商的投标文件由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ascii="宋体" w:hAnsi="宋体" w:cs="宋体"/>
                <w:szCs w:val="21"/>
              </w:rPr>
            </w:pPr>
            <w:r>
              <w:rPr>
                <w:rFonts w:hint="eastAsia" w:ascii="宋体" w:hAnsi="宋体" w:cs="宋体"/>
                <w:szCs w:val="21"/>
              </w:rPr>
              <w:t>5</w:t>
            </w:r>
          </w:p>
        </w:tc>
        <w:tc>
          <w:tcPr>
            <w:tcW w:w="7811" w:type="dxa"/>
            <w:vAlign w:val="center"/>
          </w:tcPr>
          <w:p>
            <w:pPr>
              <w:spacing w:line="400" w:lineRule="exact"/>
              <w:jc w:val="left"/>
              <w:rPr>
                <w:rFonts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宋体" w:hAnsi="宋体" w:cs="宋体"/>
                <w:szCs w:val="21"/>
              </w:rPr>
            </w:pPr>
            <w:r>
              <w:rPr>
                <w:rFonts w:hint="eastAsia" w:ascii="宋体" w:hAnsi="宋体" w:cs="宋体"/>
                <w:szCs w:val="21"/>
              </w:rPr>
              <w:t>6</w:t>
            </w:r>
          </w:p>
        </w:tc>
        <w:tc>
          <w:tcPr>
            <w:tcW w:w="7811" w:type="dxa"/>
            <w:vAlign w:val="center"/>
          </w:tcPr>
          <w:p>
            <w:pPr>
              <w:spacing w:line="400" w:lineRule="exact"/>
              <w:jc w:val="left"/>
              <w:rPr>
                <w:rFonts w:ascii="宋体" w:hAnsi="宋体" w:cs="宋体"/>
                <w:szCs w:val="21"/>
              </w:rPr>
            </w:pPr>
            <w:r>
              <w:rPr>
                <w:rFonts w:hint="eastAsia" w:ascii="宋体" w:hAnsi="宋体" w:cs="宋体"/>
                <w:szCs w:val="21"/>
              </w:rPr>
              <w:t>擅自将投标密钥或电子营业执照出借他人使用或未妥善保管。</w:t>
            </w:r>
          </w:p>
        </w:tc>
      </w:tr>
    </w:tbl>
    <w:p>
      <w:pPr>
        <w:spacing w:before="120" w:beforeLines="50" w:line="380" w:lineRule="exact"/>
        <w:ind w:firstLine="422" w:firstLineChars="200"/>
        <w:rPr>
          <w:rFonts w:ascii="宋体" w:hAnsi="宋体" w:cs="宋体"/>
          <w:b/>
          <w:szCs w:val="21"/>
        </w:rPr>
      </w:pPr>
      <w:r>
        <w:rPr>
          <w:rFonts w:hint="eastAsia" w:ascii="宋体" w:hAnsi="宋体" w:cs="宋体"/>
          <w:b/>
          <w:szCs w:val="21"/>
        </w:rPr>
        <w:t>一、我单位已充分知悉“隐瞒真实情况，提供虚假资料”的法定情形，包括但不限于：</w:t>
      </w:r>
    </w:p>
    <w:p>
      <w:pPr>
        <w:spacing w:line="380" w:lineRule="exact"/>
        <w:ind w:firstLine="420" w:firstLineChars="200"/>
        <w:rPr>
          <w:rFonts w:ascii="宋体" w:hAnsi="宋体" w:cs="宋体"/>
          <w:szCs w:val="21"/>
        </w:rPr>
      </w:pPr>
      <w:r>
        <w:rPr>
          <w:rFonts w:hint="eastAsia" w:ascii="宋体" w:hAnsi="宋体" w:cs="宋体"/>
          <w:szCs w:val="21"/>
        </w:rPr>
        <w:t>（一）通过转让或者租借等方式从其他单位获取资格或者资质证书投标的。</w:t>
      </w:r>
    </w:p>
    <w:p>
      <w:pPr>
        <w:spacing w:line="380" w:lineRule="exact"/>
        <w:ind w:firstLine="420" w:firstLineChars="200"/>
        <w:rPr>
          <w:rFonts w:ascii="宋体" w:hAnsi="宋体" w:cs="宋体"/>
          <w:szCs w:val="21"/>
        </w:rPr>
      </w:pPr>
      <w:r>
        <w:rPr>
          <w:rFonts w:hint="eastAsia" w:ascii="宋体" w:hAnsi="宋体" w:cs="宋体"/>
          <w:szCs w:val="21"/>
        </w:rPr>
        <w:t>（二）由其他单位或者其他单位负责人在投标供应商编制的投标文件上加盖印章或者签字的。</w:t>
      </w:r>
    </w:p>
    <w:p>
      <w:pPr>
        <w:spacing w:line="380" w:lineRule="exact"/>
        <w:ind w:firstLine="420" w:firstLineChars="200"/>
        <w:rPr>
          <w:rFonts w:ascii="宋体" w:hAnsi="宋体" w:cs="宋体"/>
          <w:szCs w:val="21"/>
        </w:rPr>
      </w:pPr>
      <w:r>
        <w:rPr>
          <w:rFonts w:hint="eastAsia" w:ascii="宋体" w:hAnsi="宋体" w:cs="宋体"/>
          <w:szCs w:val="21"/>
        </w:rPr>
        <w:t>（三）项目负责人或者主要技术人员不是本单位人员的。</w:t>
      </w:r>
    </w:p>
    <w:p>
      <w:pPr>
        <w:spacing w:line="380" w:lineRule="exact"/>
        <w:ind w:firstLine="420" w:firstLineChars="200"/>
        <w:rPr>
          <w:rFonts w:ascii="宋体" w:hAnsi="宋体" w:cs="宋体"/>
          <w:szCs w:val="21"/>
        </w:rPr>
      </w:pPr>
      <w:r>
        <w:rPr>
          <w:rFonts w:hint="eastAsia" w:ascii="宋体" w:hAnsi="宋体" w:cs="宋体"/>
          <w:szCs w:val="21"/>
        </w:rPr>
        <w:t>（四）投标保证金不是从投标供应商基本账户转出的。</w:t>
      </w:r>
    </w:p>
    <w:p>
      <w:pPr>
        <w:spacing w:line="380" w:lineRule="exact"/>
        <w:ind w:firstLine="420" w:firstLineChars="200"/>
        <w:rPr>
          <w:rFonts w:ascii="宋体" w:hAnsi="宋体" w:cs="宋体"/>
          <w:szCs w:val="21"/>
        </w:rPr>
      </w:pPr>
      <w:r>
        <w:rPr>
          <w:rFonts w:hint="eastAsia" w:ascii="宋体" w:hAnsi="宋体" w:cs="宋体"/>
          <w:szCs w:val="21"/>
        </w:rPr>
        <w:t>（五）其他隐瞒真实情况、提供虚假资料的行为。</w:t>
      </w:r>
    </w:p>
    <w:p>
      <w:pPr>
        <w:spacing w:line="380" w:lineRule="exact"/>
        <w:ind w:firstLine="422" w:firstLineChars="200"/>
        <w:rPr>
          <w:rFonts w:ascii="宋体" w:hAnsi="宋体" w:cs="宋体"/>
          <w:b/>
          <w:szCs w:val="21"/>
        </w:rPr>
      </w:pPr>
      <w:r>
        <w:rPr>
          <w:rFonts w:hint="eastAsia" w:ascii="宋体" w:hAnsi="宋体" w:cs="宋体"/>
          <w:b/>
          <w:szCs w:val="21"/>
        </w:rPr>
        <w:t>二、我单位已充分知悉“与其他采购参加人串通投标”的法定情形，包括但不限于：</w:t>
      </w:r>
    </w:p>
    <w:p>
      <w:pPr>
        <w:spacing w:line="380" w:lineRule="exact"/>
        <w:ind w:firstLine="420" w:firstLineChars="200"/>
        <w:rPr>
          <w:rFonts w:ascii="宋体" w:hAnsi="宋体" w:cs="宋体"/>
          <w:szCs w:val="21"/>
        </w:rPr>
      </w:pPr>
      <w:r>
        <w:rPr>
          <w:rFonts w:hint="eastAsia" w:ascii="宋体" w:hAnsi="宋体" w:cs="宋体"/>
          <w:szCs w:val="21"/>
        </w:rPr>
        <w:t>（一）投标供应商之间相互约定给予未中标的供应商利益补偿。</w:t>
      </w:r>
    </w:p>
    <w:p>
      <w:pPr>
        <w:spacing w:line="380" w:lineRule="exact"/>
        <w:ind w:firstLine="420" w:firstLineChars="200"/>
        <w:rPr>
          <w:rFonts w:ascii="宋体" w:hAnsi="宋体" w:cs="宋体"/>
          <w:szCs w:val="21"/>
        </w:rPr>
      </w:pPr>
      <w:r>
        <w:rPr>
          <w:rFonts w:hint="eastAsia" w:ascii="宋体" w:hAnsi="宋体" w:cs="宋体"/>
          <w:szCs w:val="21"/>
        </w:rPr>
        <w:t>（二）不同投标供应商的法定代表人、主要经营负责人、项目投标授权代表人、项目负责人、主要技术人员为同一人、属同一单位或者在同一单位缴纳社会保险。</w:t>
      </w:r>
    </w:p>
    <w:p>
      <w:pPr>
        <w:spacing w:line="340" w:lineRule="exact"/>
        <w:ind w:firstLine="420" w:firstLineChars="200"/>
        <w:rPr>
          <w:rFonts w:ascii="宋体" w:hAnsi="宋体" w:cs="宋体"/>
          <w:szCs w:val="21"/>
        </w:rPr>
      </w:pPr>
      <w:r>
        <w:rPr>
          <w:rFonts w:hint="eastAsia" w:ascii="宋体" w:hAnsi="宋体" w:cs="宋体"/>
          <w:szCs w:val="21"/>
        </w:rPr>
        <w:t>（三）不同投标供应商的投标文件由同一单位或者同一人编制，或者由同一人分阶段参与编制的。</w:t>
      </w:r>
    </w:p>
    <w:p>
      <w:pPr>
        <w:spacing w:line="340" w:lineRule="exact"/>
        <w:ind w:firstLine="420" w:firstLineChars="200"/>
        <w:rPr>
          <w:rFonts w:ascii="宋体" w:hAnsi="宋体" w:cs="宋体"/>
          <w:szCs w:val="21"/>
        </w:rPr>
      </w:pPr>
      <w:r>
        <w:rPr>
          <w:rFonts w:hint="eastAsia" w:ascii="宋体" w:hAnsi="宋体" w:cs="宋体"/>
          <w:szCs w:val="21"/>
        </w:rPr>
        <w:t>（四）不同投标供应商的投标文件或部分投标文件相互混装。</w:t>
      </w:r>
    </w:p>
    <w:p>
      <w:pPr>
        <w:spacing w:line="340" w:lineRule="exact"/>
        <w:ind w:firstLine="420" w:firstLineChars="200"/>
        <w:rPr>
          <w:rFonts w:ascii="宋体" w:hAnsi="宋体" w:cs="宋体"/>
          <w:szCs w:val="21"/>
        </w:rPr>
      </w:pPr>
      <w:r>
        <w:rPr>
          <w:rFonts w:hint="eastAsia" w:ascii="宋体" w:hAnsi="宋体" w:cs="宋体"/>
          <w:szCs w:val="21"/>
        </w:rPr>
        <w:t>（五）不同投标供应商的投标文件内容存在非正常一致。</w:t>
      </w:r>
    </w:p>
    <w:p>
      <w:pPr>
        <w:spacing w:line="340" w:lineRule="exact"/>
        <w:ind w:firstLine="420" w:firstLineChars="200"/>
        <w:rPr>
          <w:rFonts w:ascii="宋体" w:hAnsi="宋体" w:cs="宋体"/>
          <w:szCs w:val="21"/>
        </w:rPr>
      </w:pPr>
      <w:r>
        <w:rPr>
          <w:rFonts w:hint="eastAsia" w:ascii="宋体" w:hAnsi="宋体" w:cs="宋体"/>
          <w:szCs w:val="21"/>
        </w:rPr>
        <w:t>（六）由同一单位工作人员为两家以上（含两家）供应商进行同一项投标活动的。</w:t>
      </w:r>
    </w:p>
    <w:p>
      <w:pPr>
        <w:spacing w:line="340" w:lineRule="exact"/>
        <w:ind w:firstLine="420" w:firstLineChars="200"/>
        <w:rPr>
          <w:rFonts w:ascii="宋体" w:hAnsi="宋体" w:cs="宋体"/>
          <w:szCs w:val="21"/>
        </w:rPr>
      </w:pPr>
      <w:r>
        <w:rPr>
          <w:rFonts w:hint="eastAsia" w:ascii="宋体" w:hAnsi="宋体" w:cs="宋体"/>
          <w:szCs w:val="21"/>
        </w:rPr>
        <w:t>（七）不同投标人的投标报价呈规律性差异。</w:t>
      </w:r>
    </w:p>
    <w:p>
      <w:pPr>
        <w:spacing w:line="340" w:lineRule="exact"/>
        <w:ind w:firstLine="420" w:firstLineChars="200"/>
        <w:rPr>
          <w:rFonts w:ascii="宋体" w:hAnsi="宋体" w:cs="宋体"/>
          <w:szCs w:val="21"/>
        </w:rPr>
      </w:pPr>
      <w:r>
        <w:rPr>
          <w:rFonts w:hint="eastAsia" w:ascii="宋体" w:hAnsi="宋体" w:cs="宋体"/>
          <w:szCs w:val="21"/>
        </w:rPr>
        <w:t>（八）不同投标人的投标保证金从同一单位或者个人的账户转出。</w:t>
      </w:r>
    </w:p>
    <w:p>
      <w:pPr>
        <w:spacing w:line="340" w:lineRule="exact"/>
        <w:ind w:firstLine="420" w:firstLineChars="200"/>
        <w:rPr>
          <w:rFonts w:ascii="宋体" w:hAnsi="宋体" w:cs="宋体"/>
          <w:szCs w:val="21"/>
        </w:rPr>
      </w:pPr>
      <w:r>
        <w:rPr>
          <w:rFonts w:hint="eastAsia" w:ascii="宋体" w:hAnsi="宋体" w:cs="宋体"/>
          <w:szCs w:val="21"/>
        </w:rPr>
        <w:t>（九）主管部门依照法律、法规认定的其他情形。</w:t>
      </w:r>
    </w:p>
    <w:p>
      <w:pPr>
        <w:spacing w:line="340" w:lineRule="exact"/>
        <w:ind w:firstLine="422" w:firstLineChars="200"/>
        <w:rPr>
          <w:rFonts w:ascii="宋体" w:hAnsi="宋体" w:cs="宋体"/>
          <w:b/>
          <w:szCs w:val="21"/>
        </w:rPr>
      </w:pPr>
      <w:r>
        <w:rPr>
          <w:rFonts w:hint="eastAsia" w:ascii="宋体" w:hAnsi="宋体" w:cs="宋体"/>
          <w:b/>
          <w:szCs w:val="21"/>
        </w:rPr>
        <w:t>三、我单位已充分知悉下列情形存在法律风险，在投标前已对相关风险事项进行排查。</w:t>
      </w:r>
    </w:p>
    <w:p>
      <w:pPr>
        <w:spacing w:line="340" w:lineRule="exact"/>
        <w:ind w:firstLine="420" w:firstLineChars="200"/>
        <w:rPr>
          <w:rFonts w:ascii="宋体" w:hAnsi="宋体" w:cs="宋体"/>
          <w:b/>
          <w:szCs w:val="21"/>
        </w:rPr>
      </w:pPr>
      <w:r>
        <w:rPr>
          <w:rFonts w:hint="eastAsia" w:ascii="宋体" w:hAnsi="宋体" w:cs="宋体"/>
          <w:szCs w:val="21"/>
        </w:rPr>
        <w:t>（一）对于从其他主体获取的投标资料，我单位应审慎核查，确保其真实性。</w:t>
      </w:r>
      <w:r>
        <w:rPr>
          <w:rFonts w:hint="eastAsia" w:ascii="宋体" w:hAnsi="宋体" w:cs="宋体"/>
          <w:b/>
          <w:szCs w:val="21"/>
        </w:rPr>
        <w:t>如主管部门查实投标文件中存在虚假资料的，无论相关资料是否由第三方或本公司员工提供，均不影响主管部门对供应商存在“隐瞒真实情况，提供虚假资料”违法行为的认定。</w:t>
      </w:r>
    </w:p>
    <w:p>
      <w:pPr>
        <w:spacing w:line="340" w:lineRule="exact"/>
        <w:ind w:firstLine="420" w:firstLineChars="200"/>
        <w:rPr>
          <w:rFonts w:ascii="宋体" w:hAnsi="宋体" w:cs="宋体"/>
          <w:szCs w:val="21"/>
        </w:rPr>
      </w:pPr>
      <w:r>
        <w:rPr>
          <w:rFonts w:hint="eastAsia" w:ascii="宋体" w:hAnsi="宋体" w:cs="宋体"/>
          <w:szCs w:val="21"/>
        </w:rPr>
        <w:t>（二）对于涉及国家机关出具的公文、证件、证明材料等文件，一旦涉嫌虚假，经查实，主管部门将依法从严处理，并移送有关部门追究法律责任；涉嫌犯罪的，移送司法机关处理。</w:t>
      </w:r>
    </w:p>
    <w:p>
      <w:pPr>
        <w:spacing w:line="340" w:lineRule="exact"/>
        <w:ind w:firstLine="420" w:firstLineChars="200"/>
        <w:rPr>
          <w:rFonts w:ascii="宋体" w:hAnsi="宋体" w:cs="宋体"/>
          <w:szCs w:val="21"/>
        </w:rPr>
      </w:pPr>
      <w:r>
        <w:rPr>
          <w:rFonts w:hint="eastAsia" w:ascii="宋体" w:hAnsi="宋体" w:cs="宋体"/>
          <w:szCs w:val="21"/>
        </w:rPr>
        <w:t>（三）我单位对投标电子密钥或电子营业执照负有妥善保管、及时变更和续期等主体责任；使用电子密钥或电子营业执照在深圳政府采购网站进行的活动，均具有法律效力，须承担相应的法律后果。若</w:t>
      </w:r>
      <w:r>
        <w:rPr>
          <w:rFonts w:hint="eastAsia" w:ascii="宋体" w:hAnsi="宋体" w:cs="宋体"/>
          <w:b/>
          <w:bCs/>
          <w:szCs w:val="21"/>
        </w:rPr>
        <w:t>擅自将投标密钥或电子营业执照出借他人使用所造成的法律后果，由我单位自行承担</w:t>
      </w:r>
      <w:r>
        <w:rPr>
          <w:rFonts w:hint="eastAsia" w:ascii="宋体" w:hAnsi="宋体" w:cs="宋体"/>
          <w:szCs w:val="21"/>
        </w:rPr>
        <w:t>。</w:t>
      </w:r>
    </w:p>
    <w:p>
      <w:pPr>
        <w:spacing w:line="340" w:lineRule="exact"/>
        <w:ind w:firstLine="422" w:firstLineChars="200"/>
        <w:rPr>
          <w:rFonts w:ascii="宋体" w:hAnsi="宋体" w:cs="宋体"/>
          <w:b/>
          <w:szCs w:val="21"/>
        </w:rPr>
      </w:pPr>
      <w:r>
        <w:rPr>
          <w:rFonts w:hint="eastAsia" w:ascii="宋体" w:hAnsi="宋体" w:cs="宋体"/>
          <w:b/>
          <w:szCs w:val="21"/>
        </w:rPr>
        <w:t>四、我单位已充分知悉政府采购违法、违规行为的法律后果。</w:t>
      </w:r>
    </w:p>
    <w:p>
      <w:pPr>
        <w:spacing w:line="340" w:lineRule="exact"/>
        <w:ind w:firstLine="420" w:firstLineChars="200"/>
        <w:rPr>
          <w:rFonts w:ascii="宋体" w:hAnsi="宋体" w:cs="宋体"/>
          <w:szCs w:val="21"/>
        </w:rPr>
      </w:pPr>
      <w:r>
        <w:rPr>
          <w:rFonts w:hint="eastAsia" w:ascii="宋体" w:hAnsi="宋体" w:cs="宋体"/>
          <w:szCs w:val="21"/>
        </w:rPr>
        <w:t>经查实，若我单位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pPr>
        <w:spacing w:line="340" w:lineRule="exact"/>
        <w:ind w:firstLine="420" w:firstLineChars="200"/>
        <w:rPr>
          <w:rFonts w:ascii="宋体" w:hAnsi="宋体" w:cs="宋体"/>
          <w:szCs w:val="21"/>
          <w:highlight w:val="yellow"/>
        </w:rPr>
      </w:pPr>
      <w:r>
        <w:rPr>
          <w:rFonts w:hint="eastAsia" w:ascii="宋体" w:hAnsi="宋体" w:cs="宋体"/>
          <w:szCs w:val="21"/>
          <w:highlight w:val="yellow"/>
        </w:rPr>
        <w:t>以下文字请投标供应商抄写并确认：“我单位已仔细阅读《政府采购违法行为风险知悉确认书》，充分知悉违法行为的法律后果，并承诺将严谨、诚信、依法依规参与政府采购活动”。</w:t>
      </w:r>
    </w:p>
    <w:tbl>
      <w:tblPr>
        <w:tblStyle w:val="475"/>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304" w:hRule="atLeast"/>
        </w:trPr>
        <w:tc>
          <w:tcPr>
            <w:tcW w:w="8529" w:type="dxa"/>
            <w:tcBorders>
              <w:top w:val="nil"/>
              <w:left w:val="nil"/>
              <w:bottom w:val="single" w:color="000000" w:sz="8" w:space="0"/>
              <w:right w:val="nil"/>
            </w:tcBorders>
          </w:tcPr>
          <w:p>
            <w:pPr>
              <w:autoSpaceDE w:val="0"/>
              <w:autoSpaceDN w:val="0"/>
              <w:spacing w:line="340" w:lineRule="exact"/>
              <w:ind w:firstLine="1866"/>
              <w:rPr>
                <w:rFonts w:ascii="宋体" w:hAnsi="宋体" w:cs="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340" w:lineRule="exact"/>
              <w:ind w:firstLine="1866"/>
              <w:rPr>
                <w:rFonts w:ascii="宋体" w:hAnsi="宋体" w:cs="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340" w:lineRule="exact"/>
              <w:ind w:firstLine="1866"/>
              <w:rPr>
                <w:rFonts w:ascii="宋体" w:hAnsi="宋体" w:cs="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340" w:lineRule="exact"/>
              <w:ind w:firstLine="1866"/>
              <w:rPr>
                <w:rFonts w:ascii="宋体" w:hAnsi="宋体" w:cs="宋体" w:eastAsiaTheme="minorEastAsia"/>
                <w:spacing w:val="-4"/>
                <w:kern w:val="0"/>
                <w:szCs w:val="21"/>
              </w:rPr>
            </w:pPr>
          </w:p>
        </w:tc>
      </w:tr>
    </w:tbl>
    <w:p>
      <w:pPr>
        <w:widowControl/>
        <w:wordWrap w:val="0"/>
        <w:autoSpaceDE w:val="0"/>
        <w:autoSpaceDN w:val="0"/>
        <w:spacing w:line="340" w:lineRule="exact"/>
        <w:ind w:right="808" w:firstLine="404" w:firstLineChars="200"/>
        <w:jc w:val="right"/>
        <w:rPr>
          <w:rFonts w:ascii="宋体" w:hAnsi="宋体" w:cs="宋体"/>
          <w:spacing w:val="-4"/>
          <w:kern w:val="0"/>
          <w:szCs w:val="21"/>
        </w:rPr>
      </w:pPr>
    </w:p>
    <w:p>
      <w:pPr>
        <w:widowControl/>
        <w:wordWrap w:val="0"/>
        <w:autoSpaceDE w:val="0"/>
        <w:autoSpaceDN w:val="0"/>
        <w:spacing w:line="340" w:lineRule="exact"/>
        <w:ind w:right="808" w:firstLine="404" w:firstLineChars="200"/>
        <w:jc w:val="right"/>
        <w:rPr>
          <w:rFonts w:ascii="宋体" w:hAnsi="宋体" w:cs="宋体"/>
          <w:spacing w:val="-4"/>
          <w:kern w:val="0"/>
          <w:szCs w:val="21"/>
          <w:u w:val="single"/>
        </w:rPr>
      </w:pPr>
      <w:r>
        <w:rPr>
          <w:rFonts w:hint="eastAsia" w:ascii="宋体" w:hAnsi="宋体" w:cs="宋体"/>
          <w:spacing w:val="-4"/>
          <w:kern w:val="0"/>
          <w:szCs w:val="21"/>
        </w:rPr>
        <w:t>单位负责人签名：</w:t>
      </w:r>
      <w:r>
        <w:rPr>
          <w:rFonts w:hint="eastAsia" w:ascii="宋体" w:hAnsi="宋体" w:cs="宋体"/>
          <w:spacing w:val="-4"/>
          <w:kern w:val="0"/>
          <w:szCs w:val="21"/>
          <w:u w:val="single"/>
        </w:rPr>
        <w:t xml:space="preserve">              </w:t>
      </w:r>
    </w:p>
    <w:p>
      <w:pPr>
        <w:widowControl/>
        <w:wordWrap w:val="0"/>
        <w:autoSpaceDE w:val="0"/>
        <w:autoSpaceDN w:val="0"/>
        <w:spacing w:line="340" w:lineRule="exact"/>
        <w:ind w:right="808" w:firstLine="404" w:firstLineChars="200"/>
        <w:jc w:val="center"/>
        <w:rPr>
          <w:rFonts w:ascii="宋体" w:hAnsi="宋体" w:cs="宋体"/>
          <w:spacing w:val="-4"/>
          <w:kern w:val="0"/>
          <w:szCs w:val="21"/>
          <w:u w:val="single"/>
        </w:rPr>
      </w:pPr>
      <w:r>
        <w:rPr>
          <w:rFonts w:hint="eastAsia" w:ascii="宋体" w:hAnsi="宋体" w:cs="宋体"/>
          <w:spacing w:val="-4"/>
          <w:kern w:val="0"/>
          <w:szCs w:val="21"/>
        </w:rPr>
        <w:t xml:space="preserve">                                 （加盖公章）</w:t>
      </w:r>
    </w:p>
    <w:p>
      <w:pPr>
        <w:widowControl/>
        <w:wordWrap w:val="0"/>
        <w:autoSpaceDE w:val="0"/>
        <w:autoSpaceDN w:val="0"/>
        <w:spacing w:line="340" w:lineRule="exact"/>
        <w:ind w:right="808" w:firstLine="404" w:firstLineChars="200"/>
        <w:jc w:val="right"/>
        <w:rPr>
          <w:rFonts w:ascii="宋体" w:hAnsi="宋体" w:cs="宋体"/>
          <w:spacing w:val="-4"/>
          <w:kern w:val="0"/>
          <w:szCs w:val="21"/>
          <w:u w:val="single"/>
        </w:rPr>
      </w:pPr>
      <w:r>
        <w:rPr>
          <w:rFonts w:hint="eastAsia" w:ascii="宋体" w:hAnsi="宋体" w:cs="宋体"/>
          <w:spacing w:val="-4"/>
          <w:kern w:val="0"/>
          <w:szCs w:val="21"/>
        </w:rPr>
        <w:t xml:space="preserve">     日期：</w:t>
      </w:r>
      <w:r>
        <w:rPr>
          <w:rFonts w:hint="eastAsia" w:ascii="宋体" w:hAnsi="宋体" w:cs="宋体"/>
          <w:spacing w:val="-4"/>
          <w:kern w:val="0"/>
          <w:szCs w:val="21"/>
          <w:u w:val="single"/>
        </w:rPr>
        <w:t xml:space="preserve">              </w:t>
      </w:r>
    </w:p>
    <w:p>
      <w:pPr>
        <w:widowControl/>
        <w:autoSpaceDE w:val="0"/>
        <w:autoSpaceDN w:val="0"/>
        <w:spacing w:line="340" w:lineRule="exact"/>
        <w:ind w:firstLine="406" w:firstLineChars="200"/>
        <w:jc w:val="left"/>
        <w:rPr>
          <w:rFonts w:ascii="宋体" w:hAnsi="宋体" w:cs="宋体"/>
          <w:b/>
          <w:bCs/>
          <w:spacing w:val="-4"/>
          <w:kern w:val="0"/>
          <w:szCs w:val="21"/>
        </w:rPr>
      </w:pPr>
    </w:p>
    <w:p>
      <w:pPr>
        <w:widowControl/>
        <w:autoSpaceDE w:val="0"/>
        <w:autoSpaceDN w:val="0"/>
        <w:spacing w:line="340" w:lineRule="exact"/>
        <w:ind w:firstLine="406" w:firstLineChars="200"/>
        <w:jc w:val="left"/>
        <w:rPr>
          <w:rFonts w:ascii="宋体" w:hAnsi="宋体" w:cs="宋体"/>
          <w:b/>
          <w:bCs/>
          <w:spacing w:val="-4"/>
          <w:kern w:val="0"/>
          <w:szCs w:val="21"/>
        </w:rPr>
      </w:pPr>
      <w:r>
        <w:rPr>
          <w:rFonts w:hint="eastAsia" w:ascii="宋体" w:hAnsi="宋体" w:cs="宋体"/>
          <w:b/>
          <w:bCs/>
          <w:spacing w:val="-4"/>
          <w:kern w:val="0"/>
          <w:szCs w:val="21"/>
        </w:rPr>
        <w:t>注：1.《政府采购违法行为风险知悉确认书》需由投标供应商负责人签字并加盖单位公章后，扫描上传至投标文件一并提交。</w:t>
      </w:r>
    </w:p>
    <w:p>
      <w:pPr>
        <w:pStyle w:val="482"/>
        <w:ind w:firstLine="414"/>
      </w:pPr>
      <w:r>
        <w:rPr>
          <w:rFonts w:hint="eastAsia" w:ascii="宋体" w:hAnsi="宋体" w:cs="宋体"/>
          <w:b/>
          <w:bCs/>
          <w:spacing w:val="-4"/>
          <w:kern w:val="0"/>
          <w:szCs w:val="21"/>
        </w:rPr>
        <w:t>2.根据《深圳市财政局关于在采购文件及深圳政府采购智慧平台增设供应商投标特别警示条款等事宜的通知》（深财购〔2025〕7号）的要求，《政府采购违法行为风险知悉确认书》用于对供应商违法行为的提醒，不作为供应商资格性审查及符合性审查条件。</w:t>
      </w:r>
    </w:p>
    <w:p>
      <w:pPr>
        <w:widowControl/>
        <w:autoSpaceDE w:val="0"/>
        <w:autoSpaceDN w:val="0"/>
        <w:spacing w:line="400" w:lineRule="exact"/>
        <w:jc w:val="left"/>
        <w:rPr>
          <w:rFonts w:ascii="宋体" w:hAnsi="宋体" w:eastAsiaTheme="minorEastAsia"/>
          <w:color w:val="FF0000"/>
          <w:spacing w:val="-4"/>
          <w:kern w:val="0"/>
          <w:szCs w:val="21"/>
        </w:rPr>
      </w:pPr>
    </w:p>
    <w:p>
      <w:pPr>
        <w:pStyle w:val="482"/>
        <w:ind w:firstLine="412"/>
        <w:rPr>
          <w:rFonts w:ascii="宋体" w:hAnsi="宋体" w:eastAsiaTheme="minorEastAsia"/>
          <w:color w:val="FF0000"/>
          <w:spacing w:val="-4"/>
          <w:kern w:val="0"/>
          <w:szCs w:val="21"/>
        </w:rPr>
      </w:pPr>
    </w:p>
    <w:p>
      <w:pPr>
        <w:pStyle w:val="482"/>
        <w:ind w:firstLine="412"/>
        <w:rPr>
          <w:rFonts w:ascii="宋体" w:hAnsi="宋体" w:eastAsiaTheme="minorEastAsia"/>
          <w:color w:val="FF0000"/>
          <w:spacing w:val="-4"/>
          <w:kern w:val="0"/>
          <w:szCs w:val="21"/>
        </w:rPr>
      </w:pPr>
    </w:p>
    <w:p>
      <w:pPr>
        <w:widowControl/>
        <w:autoSpaceDE w:val="0"/>
        <w:autoSpaceDN w:val="0"/>
        <w:spacing w:line="400" w:lineRule="exact"/>
        <w:ind w:right="1414" w:firstLine="480" w:firstLineChars="200"/>
        <w:jc w:val="right"/>
        <w:rPr>
          <w:rFonts w:eastAsiaTheme="minorEastAsia"/>
          <w:kern w:val="0"/>
          <w:sz w:val="24"/>
        </w:rPr>
      </w:pPr>
    </w:p>
    <w:p>
      <w:pPr>
        <w:jc w:val="center"/>
        <w:rPr>
          <w:rFonts w:ascii="黑体" w:eastAsia="黑体"/>
          <w:sz w:val="24"/>
          <w:szCs w:val="20"/>
        </w:rPr>
      </w:pPr>
      <w:r>
        <w:rPr>
          <w:rFonts w:hint="eastAsia" w:ascii="黑体" w:eastAsia="黑体"/>
          <w:sz w:val="24"/>
          <w:szCs w:val="20"/>
        </w:rPr>
        <w:t>（二）订单融资情况</w:t>
      </w:r>
    </w:p>
    <w:p>
      <w:pPr>
        <w:ind w:firstLine="422" w:firstLineChars="200"/>
        <w:rPr>
          <w:rFonts w:ascii="宋体" w:hAnsi="宋体" w:cs="宋体"/>
          <w:b/>
          <w:bCs/>
        </w:rPr>
      </w:pPr>
      <w:r>
        <w:rPr>
          <w:rFonts w:hint="eastAsia" w:ascii="宋体" w:hAnsi="宋体" w:cs="宋体"/>
          <w:b/>
          <w:bCs/>
        </w:rPr>
        <w:t>1、关于政府采购订单融资政策</w:t>
      </w:r>
    </w:p>
    <w:p>
      <w:pPr>
        <w:pStyle w:val="2"/>
        <w:spacing w:line="240" w:lineRule="auto"/>
        <w:ind w:firstLine="420" w:firstLineChars="200"/>
        <w:rPr>
          <w:b w:val="0"/>
          <w:sz w:val="21"/>
          <w:szCs w:val="21"/>
        </w:rPr>
      </w:pPr>
      <w:r>
        <w:rPr>
          <w:rFonts w:hint="eastAsia"/>
          <w:b w:val="0"/>
          <w:sz w:val="21"/>
          <w:szCs w:val="21"/>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ascii="宋体" w:hAnsi="宋体" w:cs="宋体"/>
          <w:b/>
          <w:bCs/>
        </w:rPr>
      </w:pPr>
      <w:r>
        <w:rPr>
          <w:rFonts w:hint="eastAsia" w:ascii="宋体" w:hAnsi="宋体" w:cs="宋体"/>
          <w:b/>
          <w:bCs/>
        </w:rPr>
        <w:t>2、供应商账户信息</w:t>
      </w:r>
    </w:p>
    <w:p>
      <w:pPr>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szCs w:val="21"/>
        </w:rPr>
        <w:t xml:space="preserve">；  </w:t>
      </w:r>
    </w:p>
    <w:p>
      <w:pPr>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pPr>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szCs w:val="21"/>
        </w:rPr>
        <w:t>；</w:t>
      </w:r>
      <w:r>
        <w:rPr>
          <w:rFonts w:hint="eastAsia"/>
          <w:szCs w:val="21"/>
          <w:u w:val="thick"/>
        </w:rPr>
        <w:t xml:space="preserve">               </w:t>
      </w:r>
    </w:p>
    <w:p>
      <w:pPr>
        <w:ind w:left="420" w:leftChars="200" w:firstLine="210" w:firstLineChars="100"/>
        <w:rPr>
          <w:szCs w:val="21"/>
        </w:rPr>
      </w:pPr>
      <w:r>
        <w:rPr>
          <w:rFonts w:hint="eastAsia"/>
          <w:szCs w:val="21"/>
        </w:rPr>
        <w:t>开户银行名称：</w:t>
      </w:r>
      <w:r>
        <w:rPr>
          <w:rFonts w:hint="eastAsia"/>
          <w:szCs w:val="21"/>
          <w:u w:val="thick"/>
        </w:rPr>
        <w:t xml:space="preserve">                                                           </w:t>
      </w:r>
      <w:r>
        <w:rPr>
          <w:rFonts w:hint="eastAsia"/>
          <w:szCs w:val="21"/>
        </w:rPr>
        <w:t>；</w:t>
      </w:r>
    </w:p>
    <w:p>
      <w:pPr>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 xml:space="preserve"> </w:t>
      </w:r>
      <w:r>
        <w:rPr>
          <w:rFonts w:hint="eastAsia" w:ascii="宋体" w:hAnsi="宋体" w:eastAsiaTheme="minorEastAsia"/>
          <w:b/>
          <w:bCs/>
          <w:color w:val="FF0000"/>
          <w:spacing w:val="-4"/>
          <w:kern w:val="0"/>
          <w:szCs w:val="21"/>
        </w:rPr>
        <w:t>注：本项填写内容作为订单融资开展的参考信息，不作为供应商资格性审查及符合性审查条件。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6"/>
      </w:pPr>
      <w:r>
        <w:rPr>
          <w:rFonts w:hint="eastAsia"/>
        </w:rPr>
        <w:t>第五章  合同条款及格式</w:t>
      </w:r>
    </w:p>
    <w:p/>
    <w:p>
      <w:pPr>
        <w:jc w:val="center"/>
        <w:outlineLvl w:val="0"/>
      </w:pPr>
      <w:bookmarkStart w:id="76"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2"/>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6"/>
    <w:p>
      <w:pPr>
        <w:keepNext/>
        <w:keepLines/>
        <w:widowControl w:val="0"/>
        <w:adjustRightInd w:val="0"/>
        <w:snapToGrid w:val="0"/>
        <w:spacing w:beforeLines="0" w:line="400" w:lineRule="exact"/>
        <w:jc w:val="center"/>
        <w:outlineLvl w:val="1"/>
        <w:rPr>
          <w:rFonts w:hint="eastAsia" w:ascii="黑体" w:hAnsi="黑体" w:eastAsia="黑体" w:cs="Times New Roman"/>
          <w:b/>
          <w:bCs/>
          <w:kern w:val="2"/>
          <w:sz w:val="28"/>
          <w:szCs w:val="28"/>
          <w:lang w:val="en-US" w:eastAsia="zh-CN" w:bidi="ar-SA"/>
        </w:rPr>
      </w:pPr>
      <w:bookmarkStart w:id="77"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7"/>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的招标文件等采购文件、乙方的《投标（响应）文件》及《中标（成交）通知书》，甲乙双方同意签订本合同。具体情况及要求如下：     </w:t>
      </w:r>
    </w:p>
    <w:p>
      <w:pPr>
        <w:numPr>
          <w:ilvl w:val="0"/>
          <w:numId w:val="128"/>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129"/>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128"/>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128"/>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128"/>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130"/>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12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）投标（响应）文件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12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12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43"/>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8" w:name="_Toc27624"/>
      <w:r>
        <w:rPr>
          <w:rFonts w:hint="eastAsia" w:ascii="黑体" w:hAnsi="黑体" w:eastAsia="黑体" w:cs="Times New Roman"/>
          <w:b w:val="0"/>
          <w:bCs w:val="0"/>
          <w:kern w:val="2"/>
          <w:sz w:val="28"/>
          <w:szCs w:val="28"/>
          <w:lang w:val="en-US" w:eastAsia="zh-CN" w:bidi="ar-SA"/>
        </w:rPr>
        <w:t>第二节 政府采购合同通用条款</w:t>
      </w:r>
      <w:bookmarkEnd w:id="78"/>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rPr>
        <w:t>投标（响应）文件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供应商按采购文件、投标（响应）文件的规定，根据分包意向协议，将中标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131"/>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132"/>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9"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9"/>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1"/>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33"/>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根据采购文件和投标（响应）文件规定进行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w:t>
      </w:r>
      <w:r>
        <w:rPr>
          <w:rFonts w:hint="eastAsia" w:ascii="宋体" w:hAnsi="宋体" w:eastAsia="宋体"/>
          <w:color w:val="auto"/>
          <w:szCs w:val="21"/>
          <w:highlight w:val="none"/>
        </w:rPr>
        <w:t>投标（响应）文件签订分包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34"/>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0"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0"/>
    </w:p>
    <w:tbl>
      <w:tblPr>
        <w:tblStyle w:val="4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pStyle w:val="6"/>
        <w:spacing w:before="120" w:beforeLines="50" w:after="120" w:afterLines="50"/>
        <w:ind w:left="562"/>
        <w:rPr>
          <w:sz w:val="28"/>
          <w:szCs w:val="28"/>
        </w:rPr>
      </w:pPr>
      <w:r>
        <w:rPr>
          <w:rFonts w:hint="eastAsia"/>
          <w:sz w:val="28"/>
          <w:szCs w:val="28"/>
        </w:rPr>
        <w:t>第二册  通用条款（公开招标）</w:t>
      </w:r>
    </w:p>
    <w:p>
      <w:pPr>
        <w:pStyle w:val="6"/>
        <w:numPr>
          <w:ilvl w:val="0"/>
          <w:numId w:val="135"/>
        </w:numPr>
        <w:spacing w:before="120" w:beforeLines="50" w:after="120" w:afterLines="50"/>
        <w:ind w:left="562" w:hanging="562"/>
        <w:rPr>
          <w:sz w:val="28"/>
          <w:szCs w:val="28"/>
        </w:rPr>
      </w:pPr>
      <w:bookmarkStart w:id="81" w:name="_Hlk72399513"/>
      <w:r>
        <w:rPr>
          <w:rFonts w:hint="eastAsia"/>
          <w:sz w:val="28"/>
          <w:szCs w:val="28"/>
        </w:rPr>
        <w:t>总则</w:t>
      </w:r>
    </w:p>
    <w:bookmarkEnd w:id="81"/>
    <w:p>
      <w:pPr>
        <w:rPr>
          <w:rFonts w:ascii="黑体" w:hAnsi="宋体" w:eastAsia="黑体"/>
          <w:sz w:val="24"/>
        </w:rPr>
      </w:pPr>
      <w:r>
        <w:rPr>
          <w:rFonts w:hint="eastAsia" w:ascii="黑体" w:hAnsi="宋体" w:eastAsia="黑体"/>
          <w:sz w:val="24"/>
        </w:rPr>
        <w:t>1. 通用条款说明</w:t>
      </w:r>
    </w:p>
    <w:p>
      <w:pPr>
        <w:ind w:firstLine="411" w:firstLineChars="196"/>
        <w:rPr>
          <w:rFonts w:ascii="宋体" w:hAnsi="宋体"/>
          <w:szCs w:val="21"/>
        </w:rPr>
      </w:pPr>
      <w:r>
        <w:rPr>
          <w:rFonts w:hint="eastAsia" w:ascii="宋体" w:hAnsi="宋体"/>
          <w:szCs w:val="21"/>
        </w:rPr>
        <w:t>1.1政府集中采购机构发出招标文件通用条款版本，列出深圳市政府采购项目进行招标采购所适用的通用条款内容。</w:t>
      </w:r>
      <w:bookmarkStart w:id="82" w:name="_Hlk72399729"/>
      <w:r>
        <w:rPr>
          <w:rFonts w:hint="eastAsia" w:ascii="宋体" w:hAnsi="宋体"/>
          <w:szCs w:val="21"/>
        </w:rPr>
        <w:t>如有需要，政府集中采购机构可以对通用条款的内容进行补充。</w:t>
      </w:r>
      <w:bookmarkEnd w:id="82"/>
    </w:p>
    <w:p>
      <w:pPr>
        <w:ind w:firstLine="411" w:firstLineChars="196"/>
        <w:rPr>
          <w:rFonts w:ascii="宋体" w:hAnsi="宋体"/>
          <w:szCs w:val="21"/>
        </w:rPr>
      </w:pPr>
      <w:r>
        <w:rPr>
          <w:rFonts w:hint="eastAsia" w:ascii="宋体" w:hAnsi="宋体"/>
          <w:szCs w:val="21"/>
        </w:rPr>
        <w:t>1.2招标文件分为第一册“专用条款”和第二册“通用条款”。</w:t>
      </w:r>
    </w:p>
    <w:p>
      <w:pPr>
        <w:ind w:firstLine="411" w:firstLineChars="196"/>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11" w:firstLineChars="196"/>
        <w:rPr>
          <w:rFonts w:ascii="宋体" w:hAnsi="宋体"/>
          <w:szCs w:val="21"/>
        </w:rPr>
      </w:pPr>
      <w:r>
        <w:rPr>
          <w:rFonts w:hint="eastAsia" w:ascii="宋体" w:hAnsi="宋体"/>
          <w:szCs w:val="21"/>
        </w:rPr>
        <w:t>1.4“通用条款”是适用于政府采购公开招标项目的基础性条款，具有普遍性和通用性。</w:t>
      </w:r>
    </w:p>
    <w:p>
      <w:pPr>
        <w:ind w:firstLine="411" w:firstLineChars="196"/>
        <w:rPr>
          <w:rFonts w:ascii="宋体" w:hAnsi="宋体"/>
          <w:szCs w:val="21"/>
        </w:rPr>
      </w:pPr>
      <w:r>
        <w:rPr>
          <w:rFonts w:hint="eastAsia" w:ascii="宋体" w:hAnsi="宋体"/>
          <w:szCs w:val="21"/>
        </w:rPr>
        <w:t>1.5 “专用条款”和“通用条款”表述不一致或有冲突时，以“专用条款”为准。</w:t>
      </w:r>
    </w:p>
    <w:p>
      <w:pPr>
        <w:rPr>
          <w:rFonts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pPr>
        <w:ind w:firstLine="411" w:firstLineChars="196"/>
        <w:rPr>
          <w:rFonts w:ascii="宋体" w:hAnsi="宋体"/>
          <w:szCs w:val="21"/>
        </w:rPr>
      </w:pPr>
      <w:r>
        <w:rPr>
          <w:rFonts w:hint="eastAsia" w:ascii="宋体" w:hAnsi="宋体"/>
          <w:szCs w:val="21"/>
        </w:rPr>
        <w:t>本项目按照《深圳经济特区政府采购条例》、《深圳经济特区政府采购条例实施细则》及政府采购其他法律法规，通过公开招标方式确定中标供应商。</w:t>
      </w:r>
    </w:p>
    <w:p>
      <w:pPr>
        <w:rPr>
          <w:rFonts w:ascii="黑体" w:hAnsi="宋体" w:eastAsia="黑体"/>
          <w:sz w:val="24"/>
        </w:rPr>
      </w:pPr>
      <w:r>
        <w:rPr>
          <w:rFonts w:hint="eastAsia" w:ascii="黑体" w:hAnsi="宋体" w:eastAsia="黑体"/>
          <w:sz w:val="24"/>
        </w:rPr>
        <w:t>3．定义</w:t>
      </w:r>
    </w:p>
    <w:p>
      <w:pPr>
        <w:ind w:firstLine="420" w:firstLineChars="200"/>
        <w:rPr>
          <w:rFonts w:ascii="宋体" w:hAnsi="宋体"/>
          <w:szCs w:val="21"/>
        </w:rPr>
      </w:pPr>
      <w:r>
        <w:rPr>
          <w:rFonts w:ascii="宋体" w:hAnsi="宋体"/>
          <w:szCs w:val="21"/>
        </w:rPr>
        <w:t>招标文件中下列术语应解释为：</w:t>
      </w:r>
    </w:p>
    <w:p>
      <w:pPr>
        <w:ind w:firstLine="411" w:firstLineChars="196"/>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“采购人”：指利用财政性资金依法进行政府采购的国家机关、事业单位、团体组织；</w:t>
      </w:r>
      <w:r>
        <w:rPr>
          <w:rFonts w:ascii="宋体" w:hAnsi="宋体"/>
          <w:szCs w:val="21"/>
        </w:rPr>
        <w:t xml:space="preserve"> </w:t>
      </w:r>
    </w:p>
    <w:p>
      <w:pPr>
        <w:ind w:firstLine="411" w:firstLineChars="196"/>
        <w:rPr>
          <w:rFonts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是指市政府设立的，组织实施政府采购项目，并对政府采购活动提供服务的专门机构；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11" w:firstLineChars="196"/>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11" w:firstLineChars="196"/>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11" w:firstLineChars="196"/>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11" w:firstLineChars="196"/>
        <w:rPr>
          <w:rFonts w:ascii="宋体" w:hAnsi="宋体"/>
          <w:szCs w:val="21"/>
        </w:rPr>
      </w:pPr>
      <w:r>
        <w:rPr>
          <w:rFonts w:hint="eastAsia" w:ascii="宋体" w:hAnsi="宋体"/>
          <w:szCs w:val="21"/>
        </w:rPr>
        <w:t>3.6“合同”指由本次招标所产生的合同或合约文件；</w:t>
      </w:r>
    </w:p>
    <w:p>
      <w:pPr>
        <w:ind w:firstLine="411" w:firstLineChars="196"/>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w:t>
      </w:r>
      <w:r>
        <w:rPr>
          <w:rFonts w:hint="eastAsia" w:ascii="宋体" w:hAnsi="宋体"/>
          <w:b/>
          <w:bCs/>
          <w:color w:val="FF0000"/>
          <w:szCs w:val="21"/>
          <w:lang w:val="en-US" w:eastAsia="zh-CN"/>
        </w:rPr>
        <w:t>龙岗</w:t>
      </w:r>
      <w:r>
        <w:rPr>
          <w:rFonts w:hint="eastAsia" w:ascii="宋体" w:hAnsi="宋体"/>
          <w:b/>
          <w:bCs/>
          <w:color w:val="FF0000"/>
          <w:szCs w:val="21"/>
        </w:rPr>
        <w:t>分公司）</w:t>
      </w:r>
      <w:r>
        <w:rPr>
          <w:rFonts w:hint="eastAsia" w:ascii="宋体" w:hAnsi="宋体"/>
          <w:szCs w:val="21"/>
        </w:rPr>
        <w:t>网站提供的深圳智慧采购平台投标文件制作专用软件（以下简称：投标文件制作软件）制作并加密的投标文件,适用于网上投标；（投标文件制作软件可从“下载地址：http://zfcg.szggzy.com:8081/cgxy/013002/20210923/173e0b2c-7a4c-4246-a0c7-e0ea75d84dd6.html深圳智慧采购平台投标文件制作专用软件.zip”下载）</w:t>
      </w:r>
    </w:p>
    <w:p>
      <w:pPr>
        <w:ind w:firstLine="411" w:firstLineChars="196"/>
        <w:rPr>
          <w:rFonts w:ascii="宋体" w:hAnsi="宋体"/>
          <w:szCs w:val="21"/>
        </w:rPr>
      </w:pPr>
      <w:r>
        <w:rPr>
          <w:rFonts w:hint="eastAsia" w:ascii="宋体" w:hAnsi="宋体"/>
          <w:szCs w:val="21"/>
        </w:rPr>
        <w:t>3.8“网上投标”指通过</w:t>
      </w:r>
      <w:r>
        <w:rPr>
          <w:rFonts w:hint="eastAsia" w:ascii="宋体" w:hAnsi="宋体"/>
          <w:b/>
          <w:bCs/>
          <w:color w:val="FF0000"/>
          <w:szCs w:val="21"/>
        </w:rPr>
        <w:t>深圳公共资源交易中心（深圳交易集团有限公司</w:t>
      </w:r>
      <w:r>
        <w:rPr>
          <w:rFonts w:hint="eastAsia" w:ascii="宋体" w:hAnsi="宋体"/>
          <w:b/>
          <w:bCs/>
          <w:color w:val="FF0000"/>
          <w:szCs w:val="21"/>
          <w:lang w:val="en-US" w:eastAsia="zh-CN"/>
        </w:rPr>
        <w:t>龙岗</w:t>
      </w:r>
      <w:r>
        <w:rPr>
          <w:rFonts w:hint="eastAsia" w:ascii="宋体" w:hAnsi="宋体"/>
          <w:b/>
          <w:bCs/>
          <w:color w:val="FF0000"/>
          <w:szCs w:val="21"/>
        </w:rPr>
        <w:t>分公司）</w:t>
      </w:r>
      <w:r>
        <w:rPr>
          <w:rFonts w:hint="eastAsia" w:ascii="宋体" w:hAnsi="宋体"/>
          <w:szCs w:val="21"/>
        </w:rPr>
        <w:t>网站上传电子投标文件；</w:t>
      </w:r>
    </w:p>
    <w:p>
      <w:pPr>
        <w:ind w:firstLine="411" w:firstLineChars="196"/>
        <w:rPr>
          <w:rFonts w:ascii="宋体" w:hAnsi="宋体"/>
          <w:szCs w:val="21"/>
        </w:rPr>
      </w:pPr>
      <w:r>
        <w:rPr>
          <w:rFonts w:hint="eastAsia" w:ascii="宋体" w:hAnsi="宋体"/>
          <w:szCs w:val="21"/>
        </w:rPr>
        <w:t>3.9招标文件中的标题或题名仅起引导作用，而不应视为对招标文件内容的理解和解释。</w:t>
      </w:r>
    </w:p>
    <w:p>
      <w:pPr>
        <w:rPr>
          <w:rFonts w:ascii="黑体" w:hAnsi="宋体" w:eastAsia="黑体"/>
          <w:sz w:val="24"/>
        </w:rPr>
      </w:pPr>
      <w:r>
        <w:rPr>
          <w:rFonts w:hint="eastAsia" w:ascii="黑体" w:hAnsi="宋体" w:eastAsia="黑体"/>
          <w:sz w:val="24"/>
        </w:rPr>
        <w:t xml:space="preserve">4. </w:t>
      </w:r>
      <w:bookmarkStart w:id="83" w:name="_Hlk72398643"/>
      <w:r>
        <w:rPr>
          <w:rFonts w:hint="eastAsia" w:ascii="黑体" w:hAnsi="宋体" w:eastAsia="黑体"/>
          <w:sz w:val="24"/>
        </w:rPr>
        <w:t>政府采购供应商责任</w:t>
      </w:r>
    </w:p>
    <w:p>
      <w:pPr>
        <w:ind w:firstLine="411" w:firstLineChars="196"/>
        <w:rPr>
          <w:rFonts w:ascii="宋体" w:hAnsi="宋体"/>
          <w:szCs w:val="21"/>
        </w:rPr>
      </w:pPr>
      <w:r>
        <w:rPr>
          <w:rFonts w:hint="eastAsia" w:ascii="宋体" w:hAnsi="宋体"/>
          <w:szCs w:val="21"/>
        </w:rPr>
        <w:t>4.1欢迎诚信、有实力和有社会责任心的供应商参与政府采购事业。</w:t>
      </w:r>
    </w:p>
    <w:p>
      <w:pPr>
        <w:ind w:firstLine="411" w:firstLineChars="196"/>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rPr>
          <w:rFonts w:ascii="黑体" w:hAnsi="宋体" w:eastAsia="黑体"/>
          <w:sz w:val="24"/>
        </w:rPr>
      </w:pPr>
      <w:r>
        <w:rPr>
          <w:rFonts w:hint="eastAsia" w:ascii="黑体" w:hAnsi="宋体" w:eastAsia="黑体"/>
          <w:sz w:val="24"/>
        </w:rPr>
        <w:t>5．投标人参加政府采购的条件</w:t>
      </w:r>
    </w:p>
    <w:p>
      <w:pPr>
        <w:ind w:firstLine="411" w:firstLineChars="196"/>
        <w:jc w:val="left"/>
        <w:rPr>
          <w:rFonts w:ascii="宋体" w:hAnsi="宋体"/>
          <w:szCs w:val="21"/>
        </w:rPr>
      </w:pPr>
      <w:r>
        <w:rPr>
          <w:rFonts w:hint="eastAsia" w:ascii="宋体" w:hAnsi="宋体"/>
          <w:szCs w:val="21"/>
        </w:rPr>
        <w:t>5.1投标人应在投标前到</w:t>
      </w:r>
      <w:r>
        <w:rPr>
          <w:rFonts w:hint="eastAsia" w:ascii="宋体" w:hAnsi="宋体"/>
          <w:b/>
          <w:bCs/>
          <w:szCs w:val="21"/>
        </w:rPr>
        <w:t>深圳公共资源交易中心（具体在深圳交易集团有限公司政府采购业务分公司进行办理）</w:t>
      </w:r>
      <w:r>
        <w:rPr>
          <w:rFonts w:hint="eastAsia" w:ascii="宋体" w:hAnsi="宋体"/>
          <w:szCs w:val="21"/>
        </w:rPr>
        <w:t>进行注册并办理电子密钥。《供应商注册及信息变更指引》详见www.szggzy.com网站“交易服务指南-政府采购”</w:t>
      </w:r>
      <w:r>
        <w:rPr>
          <w:rFonts w:hint="eastAsia" w:ascii="宋体" w:hAnsi="宋体"/>
          <w:szCs w:val="21"/>
          <w:lang w:val="en-US" w:eastAsia="zh-CN"/>
        </w:rPr>
        <w:t>。</w:t>
      </w:r>
      <w:r>
        <w:rPr>
          <w:rFonts w:hint="eastAsia" w:ascii="宋体" w:hAnsi="宋体"/>
          <w:szCs w:val="21"/>
        </w:rPr>
        <w:t>。</w:t>
      </w:r>
    </w:p>
    <w:p>
      <w:pPr>
        <w:ind w:firstLine="411" w:firstLineChars="196"/>
        <w:rPr>
          <w:rFonts w:ascii="宋体" w:hAnsi="宋体"/>
          <w:szCs w:val="21"/>
        </w:rPr>
      </w:pPr>
      <w:r>
        <w:rPr>
          <w:rFonts w:hint="eastAsia" w:ascii="宋体" w:hAnsi="宋体"/>
          <w:szCs w:val="21"/>
        </w:rPr>
        <w:t>5.2投标人资格要求</w:t>
      </w:r>
    </w:p>
    <w:p>
      <w:pPr>
        <w:ind w:firstLine="411" w:firstLineChars="196"/>
        <w:rPr>
          <w:rFonts w:ascii="宋体" w:hAnsi="宋体"/>
          <w:szCs w:val="21"/>
        </w:rPr>
      </w:pPr>
      <w:r>
        <w:rPr>
          <w:rFonts w:hint="eastAsia" w:ascii="宋体" w:hAnsi="宋体"/>
          <w:szCs w:val="21"/>
        </w:rPr>
        <w:t>参加本项目的投标人应具备的资格条件详见本项目招标公告中“投标人资格要求”（即申请人的资格要求）的内容。</w:t>
      </w:r>
    </w:p>
    <w:p>
      <w:pPr>
        <w:ind w:firstLine="411" w:firstLineChars="196"/>
        <w:rPr>
          <w:rFonts w:ascii="宋体" w:hAnsi="宋体"/>
          <w:szCs w:val="21"/>
        </w:rPr>
      </w:pPr>
      <w:r>
        <w:rPr>
          <w:rFonts w:hint="eastAsia" w:ascii="宋体" w:hAnsi="宋体"/>
          <w:szCs w:val="21"/>
        </w:rPr>
        <w:t>5.3联合体投标</w:t>
      </w:r>
    </w:p>
    <w:p>
      <w:pPr>
        <w:ind w:firstLine="411" w:firstLineChars="196"/>
        <w:rPr>
          <w:rFonts w:ascii="宋体" w:hAnsi="宋体"/>
          <w:szCs w:val="21"/>
        </w:rPr>
      </w:pPr>
      <w:r>
        <w:rPr>
          <w:rFonts w:hint="eastAsia" w:ascii="宋体" w:hAnsi="宋体"/>
          <w:szCs w:val="21"/>
        </w:rPr>
        <w:t>5.3.1　以下有关联合体投标的条款仅适用于允许投标人组成联合体投标的项目。</w:t>
      </w:r>
    </w:p>
    <w:p>
      <w:pPr>
        <w:ind w:firstLine="411" w:firstLineChars="196"/>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11" w:firstLineChars="196"/>
        <w:rPr>
          <w:rFonts w:ascii="宋体" w:hAnsi="宋体"/>
        </w:rPr>
      </w:pPr>
      <w:r>
        <w:rPr>
          <w:rFonts w:hint="eastAsia" w:ascii="宋体" w:hAnsi="宋体"/>
        </w:rPr>
        <w:t>（1）投标联合体各方参加政府采购活动应当具备下列条件：</w:t>
      </w:r>
      <w:r>
        <w:rPr>
          <w:rFonts w:ascii="宋体" w:hAnsi="宋体"/>
        </w:rPr>
        <w:t xml:space="preserve"> </w:t>
      </w:r>
    </w:p>
    <w:p>
      <w:pPr>
        <w:ind w:left="420" w:leftChars="200" w:firstLine="411" w:firstLineChars="196"/>
        <w:rPr>
          <w:rFonts w:ascii="宋体" w:hAnsi="宋体"/>
        </w:rPr>
      </w:pPr>
      <w:r>
        <w:rPr>
          <w:rFonts w:hint="eastAsia" w:ascii="宋体" w:hAnsi="宋体"/>
        </w:rPr>
        <w:t>1、具有独立承担民事责任的能力；</w:t>
      </w:r>
      <w:r>
        <w:rPr>
          <w:rFonts w:ascii="宋体" w:hAnsi="宋体"/>
        </w:rPr>
        <w:t xml:space="preserve"> </w:t>
      </w:r>
    </w:p>
    <w:p>
      <w:pPr>
        <w:ind w:left="420" w:firstLine="411" w:firstLineChars="196"/>
        <w:rPr>
          <w:rFonts w:ascii="宋体" w:hAnsi="宋体"/>
        </w:rPr>
      </w:pPr>
      <w:r>
        <w:rPr>
          <w:rFonts w:hint="eastAsia" w:ascii="宋体" w:hAnsi="宋体"/>
        </w:rPr>
        <w:t>2、有良好的商业信誉和健全的财务会计制度；</w:t>
      </w:r>
      <w:r>
        <w:rPr>
          <w:rFonts w:ascii="宋体" w:hAnsi="宋体"/>
        </w:rPr>
        <w:t xml:space="preserve"> </w:t>
      </w:r>
    </w:p>
    <w:p>
      <w:pPr>
        <w:ind w:left="420" w:leftChars="200" w:firstLine="411" w:firstLineChars="196"/>
        <w:rPr>
          <w:rFonts w:ascii="宋体" w:hAnsi="宋体"/>
        </w:rPr>
      </w:pPr>
      <w:r>
        <w:rPr>
          <w:rFonts w:hint="eastAsia" w:ascii="宋体" w:hAnsi="宋体"/>
        </w:rPr>
        <w:t>3、具有履行合同所必需的设备和专业技术能力；</w:t>
      </w:r>
      <w:r>
        <w:rPr>
          <w:rFonts w:ascii="宋体" w:hAnsi="宋体"/>
        </w:rPr>
        <w:t xml:space="preserve"> </w:t>
      </w:r>
    </w:p>
    <w:p>
      <w:pPr>
        <w:ind w:left="420" w:leftChars="200" w:firstLine="411" w:firstLineChars="196"/>
        <w:rPr>
          <w:rFonts w:ascii="宋体" w:hAnsi="宋体"/>
        </w:rPr>
      </w:pPr>
      <w:r>
        <w:rPr>
          <w:rFonts w:hint="eastAsia" w:ascii="宋体" w:hAnsi="宋体"/>
        </w:rPr>
        <w:t>4、有依法缴纳税收和社会保障资金的良好记录；</w:t>
      </w:r>
      <w:r>
        <w:rPr>
          <w:rFonts w:ascii="宋体" w:hAnsi="宋体"/>
        </w:rPr>
        <w:t xml:space="preserve"> </w:t>
      </w:r>
    </w:p>
    <w:p>
      <w:pPr>
        <w:ind w:left="420" w:leftChars="200" w:firstLine="411" w:firstLineChars="196"/>
        <w:rPr>
          <w:rFonts w:ascii="宋体" w:hAnsi="宋体"/>
        </w:rPr>
      </w:pPr>
      <w:r>
        <w:rPr>
          <w:rFonts w:hint="eastAsia" w:ascii="宋体" w:hAnsi="宋体"/>
        </w:rPr>
        <w:t>5、参加政府采购活动前三年内，在经营活动中没有重大违法记录；</w:t>
      </w:r>
      <w:r>
        <w:rPr>
          <w:rFonts w:ascii="宋体" w:hAnsi="宋体"/>
        </w:rPr>
        <w:t xml:space="preserve"> </w:t>
      </w:r>
    </w:p>
    <w:p>
      <w:pPr>
        <w:ind w:left="420" w:leftChars="200" w:firstLine="411" w:firstLineChars="196"/>
        <w:rPr>
          <w:rFonts w:ascii="宋体" w:hAnsi="宋体"/>
        </w:rPr>
      </w:pPr>
      <w:r>
        <w:rPr>
          <w:rFonts w:hint="eastAsia" w:ascii="宋体" w:hAnsi="宋体"/>
        </w:rPr>
        <w:t>6、法律、行政法规规定的其他条件。</w:t>
      </w:r>
      <w:r>
        <w:rPr>
          <w:rFonts w:ascii="宋体" w:hAnsi="宋体"/>
        </w:rPr>
        <w:t xml:space="preserve"> </w:t>
      </w:r>
    </w:p>
    <w:p>
      <w:pPr>
        <w:ind w:firstLine="411" w:firstLineChars="196"/>
        <w:rPr>
          <w:rFonts w:ascii="宋体" w:hAnsi="宋体"/>
        </w:rPr>
      </w:pPr>
      <w:r>
        <w:rPr>
          <w:rFonts w:hint="eastAsia" w:ascii="宋体" w:hAnsi="宋体"/>
        </w:rPr>
        <w:t>（2）在投标截止前，投标联合体各方均应注册成政府集中采购机构供应商；</w:t>
      </w:r>
    </w:p>
    <w:p>
      <w:pPr>
        <w:ind w:firstLine="411" w:firstLineChars="196"/>
        <w:rPr>
          <w:rFonts w:ascii="宋体" w:hAnsi="宋体"/>
        </w:rPr>
      </w:pPr>
      <w:r>
        <w:rPr>
          <w:rFonts w:hint="eastAsia" w:ascii="宋体" w:hAnsi="宋体"/>
        </w:rPr>
        <w:t>（3）联合体中有同类资质的供应商按照联合体分工承担相同工作的，应当按照资质等级较低的供应商确定资质等级；</w:t>
      </w:r>
    </w:p>
    <w:p>
      <w:pPr>
        <w:ind w:firstLine="411" w:firstLineChars="196"/>
      </w:pPr>
      <w:r>
        <w:rPr>
          <w:rFonts w:hint="eastAsia"/>
        </w:rPr>
        <w:t>（4）是否允许联合体参加投标，应当由采购人和采购代理机构根据项目的实际情况和潜在供应商的数量自主决定，如果决定接受联合体投标则应当在招标公告中明示；</w:t>
      </w:r>
    </w:p>
    <w:p>
      <w:pPr>
        <w:ind w:firstLine="411" w:firstLineChars="196"/>
        <w:rPr>
          <w:rFonts w:ascii="宋体" w:hAnsi="宋体"/>
        </w:rPr>
      </w:pPr>
      <w:r>
        <w:rPr>
          <w:rFonts w:hint="eastAsia" w:ascii="宋体" w:hAnsi="宋体"/>
        </w:rPr>
        <w:t>（5）投标人的投标文件及中标后签署的合同协议对联合体各方均具法律约束力；</w:t>
      </w:r>
    </w:p>
    <w:p>
      <w:pPr>
        <w:ind w:firstLine="411" w:firstLineChars="196"/>
        <w:rPr>
          <w:rFonts w:ascii="宋体" w:hAnsi="宋体"/>
        </w:rPr>
      </w:pPr>
      <w:r>
        <w:rPr>
          <w:rFonts w:hint="eastAsia" w:ascii="宋体" w:hAnsi="宋体"/>
        </w:rPr>
        <w:t>（6）联合体各方应当签订联合体投标协议，明确约定各方拟承担的工作和责任，并将该协议随投标文件一并递交给政府集中采购机构；</w:t>
      </w:r>
    </w:p>
    <w:p>
      <w:pPr>
        <w:ind w:firstLine="411" w:firstLineChars="196"/>
        <w:rPr>
          <w:rFonts w:ascii="宋体" w:hAnsi="宋体"/>
        </w:rPr>
      </w:pPr>
      <w:r>
        <w:rPr>
          <w:rFonts w:hint="eastAsia" w:ascii="宋体" w:hAnsi="宋体"/>
        </w:rPr>
        <w:t>（7）联合体中标后，联合体各方应当共同与采购人签订合同，就中标项目向采购人承担连带责任；</w:t>
      </w:r>
    </w:p>
    <w:p>
      <w:pPr>
        <w:ind w:firstLine="411" w:firstLineChars="196"/>
        <w:rPr>
          <w:rFonts w:ascii="宋体" w:hAnsi="宋体"/>
        </w:rPr>
      </w:pPr>
      <w:r>
        <w:rPr>
          <w:rFonts w:hint="eastAsia" w:ascii="宋体" w:hAnsi="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pPr>
        <w:ind w:firstLine="411" w:firstLineChars="196"/>
        <w:rPr>
          <w:rFonts w:ascii="宋体" w:hAnsi="宋体"/>
          <w:szCs w:val="21"/>
        </w:rPr>
      </w:pPr>
      <w:r>
        <w:rPr>
          <w:rFonts w:hint="eastAsia" w:ascii="宋体" w:hAnsi="宋体"/>
        </w:rPr>
        <w:t>（9）本通用条款中“投标人”一词亦指联合体各方，专用条款另有规定或说明的除外。</w:t>
      </w:r>
    </w:p>
    <w:p>
      <w:pPr>
        <w:rPr>
          <w:rFonts w:ascii="黑体" w:hAnsi="宋体" w:eastAsia="黑体"/>
          <w:sz w:val="24"/>
        </w:rPr>
      </w:pPr>
      <w:r>
        <w:rPr>
          <w:rFonts w:hint="eastAsia" w:ascii="黑体" w:hAnsi="宋体" w:eastAsia="黑体"/>
          <w:sz w:val="24"/>
        </w:rPr>
        <w:t>6．政策导向</w:t>
      </w:r>
    </w:p>
    <w:p>
      <w:pPr>
        <w:ind w:firstLine="411" w:firstLineChars="196"/>
        <w:rPr>
          <w:rFonts w:ascii="宋体" w:hAnsi="宋体"/>
        </w:rPr>
      </w:pPr>
      <w:r>
        <w:rPr>
          <w:rFonts w:hint="eastAsia" w:ascii="宋体" w:hAnsi="宋体"/>
        </w:rPr>
        <w:t>6.1</w:t>
      </w:r>
      <w:r>
        <w:rPr>
          <w:rFonts w:ascii="宋体" w:hAnsi="宋体"/>
        </w:rPr>
        <w:t xml:space="preserve">  </w:t>
      </w:r>
      <w:r>
        <w:rPr>
          <w:rFonts w:hint="eastAsia" w:ascii="宋体" w:hAnsi="宋体"/>
        </w:rPr>
        <w:t>政府采购支持本国产品、支持中小企业、监狱企业和残疾人福利性单位发展，支持乡村产业振兴，支持创新、节能减排、绿色环保等。</w:t>
      </w:r>
    </w:p>
    <w:p>
      <w:pPr>
        <w:ind w:firstLine="405"/>
        <w:rPr>
          <w:rFonts w:hint="eastAsia" w:ascii="宋体" w:hAnsi="宋体"/>
        </w:rPr>
      </w:pPr>
      <w:r>
        <w:rPr>
          <w:rFonts w:hint="eastAsia" w:ascii="宋体" w:hAnsi="宋体"/>
        </w:rPr>
        <w:t>6.2</w:t>
      </w:r>
      <w:r>
        <w:rPr>
          <w:rFonts w:ascii="宋体" w:hAnsi="宋体"/>
        </w:rPr>
        <w:t xml:space="preserve">  </w:t>
      </w:r>
      <w:r>
        <w:rPr>
          <w:rFonts w:hint="eastAsia" w:ascii="宋体" w:hAnsi="宋体"/>
        </w:rPr>
        <w:t>本项目落实深圳市政府采购供应商诚信管理政策要求。</w:t>
      </w:r>
    </w:p>
    <w:p>
      <w:pPr>
        <w:ind w:firstLine="405"/>
        <w:rPr>
          <w:rFonts w:hint="default" w:eastAsia="宋体"/>
          <w:lang w:val="en-US" w:eastAsia="zh-CN"/>
        </w:rPr>
      </w:pPr>
      <w:r>
        <w:rPr>
          <w:rFonts w:hint="eastAsia" w:ascii="宋体" w:hAnsi="宋体"/>
          <w:lang w:val="en-US" w:eastAsia="zh-CN"/>
        </w:rPr>
        <w:t>6.3  本项目支持投标人性别平等的相关政策。</w:t>
      </w:r>
    </w:p>
    <w:p>
      <w:pPr>
        <w:rPr>
          <w:rFonts w:ascii="黑体" w:hAnsi="宋体" w:eastAsia="黑体"/>
          <w:sz w:val="24"/>
        </w:rPr>
      </w:pPr>
      <w:r>
        <w:rPr>
          <w:rFonts w:hint="eastAsia" w:ascii="黑体" w:hAnsi="宋体" w:eastAsia="黑体"/>
          <w:sz w:val="24"/>
        </w:rPr>
        <w:t>7. 本项目若涉及采购货物，则合格的货物及相应服务应满足以下要求：</w:t>
      </w:r>
    </w:p>
    <w:p>
      <w:pPr>
        <w:ind w:firstLine="411" w:firstLineChars="196"/>
        <w:rPr>
          <w:rFonts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pPr>
        <w:ind w:firstLine="411" w:firstLineChars="196"/>
        <w:rPr>
          <w:rFonts w:ascii="宋体" w:hAnsi="宋体"/>
        </w:rPr>
      </w:pPr>
      <w:r>
        <w:rPr>
          <w:rFonts w:hint="eastAsia" w:ascii="宋体" w:hAnsi="宋体"/>
        </w:rPr>
        <w:t>7.2  国产的货物及其有关服务必须符合中华人民共和国的设计、制造生产标准及行业标准。招标公告有其他要求的，亦应符合其要求。</w:t>
      </w:r>
    </w:p>
    <w:p>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3</w:t>
      </w:r>
      <w:r>
        <w:rPr>
          <w:rFonts w:ascii="宋体" w:hAnsi="宋体"/>
        </w:rPr>
        <w:t xml:space="preserve">  </w:t>
      </w:r>
      <w:r>
        <w:rPr>
          <w:rFonts w:hint="eastAsia" w:ascii="宋体" w:hAnsi="宋体"/>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11" w:firstLineChars="196"/>
        <w:rPr>
          <w:rFonts w:ascii="宋体" w:hAnsi="宋体"/>
        </w:rPr>
      </w:pPr>
      <w:r>
        <w:rPr>
          <w:rFonts w:hint="eastAsia" w:ascii="宋体" w:hAnsi="宋体"/>
        </w:rPr>
        <w:t>7</w:t>
      </w:r>
      <w:r>
        <w:rPr>
          <w:rFonts w:ascii="宋体" w:hAnsi="宋体"/>
        </w:rPr>
        <w:t>.</w:t>
      </w:r>
      <w:r>
        <w:rPr>
          <w:rFonts w:hint="eastAsia" w:ascii="宋体" w:hAnsi="宋体"/>
        </w:rPr>
        <w:t>4</w:t>
      </w:r>
      <w:r>
        <w:rPr>
          <w:rFonts w:ascii="宋体" w:hAnsi="宋体"/>
        </w:rPr>
        <w:t xml:space="preserve">  </w:t>
      </w:r>
      <w:r>
        <w:rPr>
          <w:rFonts w:hint="eastAsia" w:ascii="宋体" w:hAnsi="宋体"/>
        </w:rPr>
        <w:t>投标人</w:t>
      </w:r>
      <w:bookmarkStart w:id="84" w:name="_Hlk72152753"/>
      <w:r>
        <w:rPr>
          <w:rFonts w:hint="eastAsia" w:ascii="宋体" w:hAnsi="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4"/>
    </w:p>
    <w:p>
      <w:pPr>
        <w:ind w:firstLine="411" w:firstLineChars="196"/>
        <w:rPr>
          <w:rFonts w:ascii="宋体" w:hAnsi="宋体"/>
        </w:rPr>
      </w:pPr>
      <w:r>
        <w:rPr>
          <w:rFonts w:hint="eastAsia" w:ascii="宋体" w:hAnsi="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11" w:firstLineChars="196"/>
        <w:rPr>
          <w:rFonts w:ascii="宋体" w:hAnsi="宋体"/>
        </w:rPr>
      </w:pPr>
      <w:r>
        <w:rPr>
          <w:rFonts w:hint="eastAsia" w:ascii="宋体" w:hAnsi="宋体"/>
        </w:rPr>
        <w:t>7.6  工期要求：投标人在投标时对其所投项目应提交交货进度、交货计划等，在合同规定的时间内完成项目实施工作。</w:t>
      </w:r>
    </w:p>
    <w:p>
      <w:pPr>
        <w:ind w:firstLine="411" w:firstLineChars="196"/>
        <w:rPr>
          <w:rFonts w:ascii="宋体" w:hAnsi="宋体"/>
        </w:rPr>
      </w:pPr>
      <w:r>
        <w:rPr>
          <w:rFonts w:hint="eastAsia" w:ascii="宋体" w:hAnsi="宋体"/>
        </w:rPr>
        <w:t>7.7  投标人必须承担的设备运输、安装调试、验收检测和提供设备操作说明书、图纸等其他相关及类似的义务。</w:t>
      </w:r>
    </w:p>
    <w:p>
      <w:pPr>
        <w:rPr>
          <w:rFonts w:ascii="黑体" w:hAnsi="宋体" w:eastAsia="黑体"/>
          <w:sz w:val="24"/>
        </w:rPr>
      </w:pPr>
      <w:r>
        <w:rPr>
          <w:rFonts w:hint="eastAsia" w:ascii="黑体" w:hAnsi="宋体" w:eastAsia="黑体"/>
          <w:sz w:val="24"/>
        </w:rPr>
        <w:t>8．投标费用</w:t>
      </w:r>
    </w:p>
    <w:p>
      <w:pPr>
        <w:ind w:firstLine="411" w:firstLineChars="196"/>
        <w:rPr>
          <w:rFonts w:ascii="宋体" w:hAnsi="宋体"/>
          <w:szCs w:val="21"/>
        </w:rPr>
      </w:pPr>
      <w:r>
        <w:rPr>
          <w:rFonts w:hint="eastAsia" w:ascii="宋体" w:hAnsi="宋体"/>
          <w:szCs w:val="21"/>
        </w:rPr>
        <w:t>不论投标结果如何，投标人应承担其编制投标文件与递交投标文件所涉及的一切费用。</w:t>
      </w:r>
    </w:p>
    <w:p>
      <w:pPr>
        <w:rPr>
          <w:rFonts w:ascii="黑体" w:hAnsi="宋体" w:eastAsia="黑体"/>
          <w:sz w:val="24"/>
        </w:rPr>
      </w:pPr>
      <w:r>
        <w:rPr>
          <w:rFonts w:hint="eastAsia" w:ascii="黑体" w:hAnsi="宋体" w:eastAsia="黑体"/>
          <w:sz w:val="24"/>
        </w:rPr>
        <w:t>9．踏勘现场</w:t>
      </w:r>
    </w:p>
    <w:p>
      <w:pPr>
        <w:ind w:firstLine="411" w:firstLineChars="196"/>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11" w:firstLineChars="196"/>
        <w:rPr>
          <w:rFonts w:ascii="宋体" w:hAnsi="宋体"/>
        </w:rPr>
      </w:pPr>
      <w:r>
        <w:rPr>
          <w:rFonts w:hint="eastAsia" w:ascii="宋体" w:hAnsi="宋体"/>
        </w:rPr>
        <w:t>9.2投标人及其人员经过采购人的允许，可以进入采购人的项目现场踏勘。若招标文件要求投标人于统一时间地点踏勘现场的，投标人应当按时前往。</w:t>
      </w:r>
    </w:p>
    <w:p>
      <w:pPr>
        <w:ind w:firstLine="411" w:firstLineChars="196"/>
        <w:rPr>
          <w:rFonts w:ascii="宋体" w:hAnsi="宋体"/>
        </w:rPr>
      </w:pPr>
      <w:r>
        <w:rPr>
          <w:rFonts w:hint="eastAsia" w:ascii="宋体" w:hAnsi="宋体"/>
        </w:rPr>
        <w:t>9.3采购人应当通过政府集中采购机构向投标人提供有关现场的书面资料和数据。</w:t>
      </w:r>
    </w:p>
    <w:p>
      <w:pPr>
        <w:ind w:firstLine="411" w:firstLineChars="196"/>
        <w:rPr>
          <w:rFonts w:ascii="宋体" w:hAnsi="宋体"/>
        </w:rPr>
      </w:pPr>
      <w:r>
        <w:rPr>
          <w:rFonts w:hint="eastAsia" w:ascii="宋体" w:hAnsi="宋体"/>
        </w:rPr>
        <w:t>9.4任何人或任何组织在踏勘现场时向投标人提供的任何书面资料或口头承诺，未经政府集中采购机构在网上发布或书面通知，均作无效处理。</w:t>
      </w:r>
    </w:p>
    <w:p>
      <w:pPr>
        <w:ind w:firstLine="411" w:firstLineChars="196"/>
        <w:rPr>
          <w:rFonts w:ascii="宋体" w:hAnsi="宋体"/>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rPr>
          <w:rFonts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11" w:firstLineChars="196"/>
        <w:rPr>
          <w:rFonts w:ascii="宋体" w:hAnsi="宋体"/>
          <w:szCs w:val="21"/>
        </w:rPr>
      </w:pPr>
      <w:r>
        <w:rPr>
          <w:rFonts w:ascii="宋体" w:hAnsi="宋体"/>
        </w:rPr>
        <w:t>10</w:t>
      </w:r>
      <w:r>
        <w:rPr>
          <w:rFonts w:hint="eastAsia" w:ascii="宋体" w:hAnsi="宋体"/>
        </w:rPr>
        <w:t>.</w:t>
      </w:r>
      <w:r>
        <w:rPr>
          <w:rFonts w:ascii="宋体" w:hAnsi="宋体"/>
        </w:rPr>
        <w:t>2</w:t>
      </w:r>
      <w:r>
        <w:rPr>
          <w:rFonts w:hint="eastAsia" w:ascii="宋体" w:hAnsi="宋体"/>
        </w:rPr>
        <w:t>任何人或任何组织在标前会议时向投标人提供的任何书面资料或口头承诺，未经政府集中采购机构在网上发布或书面通知，均作无效处理。</w:t>
      </w:r>
    </w:p>
    <w:p>
      <w:pPr>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3"/>
    <w:p>
      <w:pPr>
        <w:ind w:firstLine="411" w:firstLineChars="196"/>
        <w:rPr>
          <w:rFonts w:ascii="宋体" w:hAnsi="宋体"/>
        </w:rPr>
      </w:pPr>
    </w:p>
    <w:p>
      <w:pPr>
        <w:pStyle w:val="6"/>
        <w:numPr>
          <w:ilvl w:val="0"/>
          <w:numId w:val="135"/>
        </w:numPr>
        <w:spacing w:before="120" w:beforeLines="50" w:after="120" w:afterLines="50"/>
        <w:ind w:left="562" w:hanging="562"/>
        <w:rPr>
          <w:sz w:val="28"/>
          <w:szCs w:val="28"/>
        </w:rPr>
      </w:pPr>
      <w:r>
        <w:rPr>
          <w:rFonts w:hint="eastAsia"/>
          <w:sz w:val="28"/>
          <w:szCs w:val="28"/>
        </w:rPr>
        <w:t>招标文件</w:t>
      </w:r>
    </w:p>
    <w:p>
      <w:pPr>
        <w:rPr>
          <w:rFonts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85" w:name="_Hlk72399819"/>
      <w:r>
        <w:rPr>
          <w:rFonts w:hint="eastAsia" w:ascii="黑体" w:hAnsi="宋体" w:eastAsia="黑体"/>
          <w:sz w:val="24"/>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11" w:firstLineChars="196"/>
        <w:rPr>
          <w:rFonts w:ascii="宋体" w:hAnsi="宋体"/>
          <w:szCs w:val="21"/>
        </w:rPr>
      </w:pPr>
      <w:r>
        <w:rPr>
          <w:rFonts w:hint="eastAsia" w:ascii="宋体" w:hAnsi="宋体"/>
          <w:szCs w:val="21"/>
        </w:rPr>
        <w:t>招标文件包括下列内容：</w:t>
      </w:r>
    </w:p>
    <w:p>
      <w:pPr>
        <w:ind w:left="420" w:leftChars="200" w:firstLine="413" w:firstLineChars="196"/>
        <w:rPr>
          <w:rFonts w:ascii="宋体" w:hAnsi="宋体"/>
          <w:b/>
          <w:szCs w:val="21"/>
        </w:rPr>
      </w:pPr>
      <w:r>
        <w:rPr>
          <w:rFonts w:hint="eastAsia" w:ascii="宋体" w:hAnsi="宋体"/>
          <w:b/>
          <w:szCs w:val="21"/>
        </w:rPr>
        <w:t>第一册  专用条款</w:t>
      </w:r>
    </w:p>
    <w:p>
      <w:pPr>
        <w:ind w:left="1079" w:leftChars="514"/>
        <w:rPr>
          <w:rFonts w:ascii="宋体" w:hAnsi="宋体"/>
          <w:b/>
          <w:szCs w:val="21"/>
        </w:rPr>
      </w:pPr>
      <w:r>
        <w:rPr>
          <w:rFonts w:hint="eastAsia" w:ascii="宋体" w:hAnsi="宋体"/>
          <w:b/>
          <w:szCs w:val="21"/>
        </w:rPr>
        <w:t>关键信息</w:t>
      </w:r>
    </w:p>
    <w:p>
      <w:pPr>
        <w:ind w:left="630" w:leftChars="300" w:firstLine="411" w:firstLineChars="196"/>
        <w:rPr>
          <w:rFonts w:ascii="宋体" w:hAnsi="宋体"/>
          <w:szCs w:val="21"/>
        </w:rPr>
      </w:pPr>
      <w:r>
        <w:rPr>
          <w:rFonts w:hint="eastAsia" w:ascii="宋体" w:hAnsi="宋体"/>
          <w:szCs w:val="21"/>
        </w:rPr>
        <w:t>第一章  招标公告</w:t>
      </w:r>
    </w:p>
    <w:p>
      <w:pPr>
        <w:ind w:left="630" w:leftChars="300" w:firstLine="411" w:firstLineChars="196"/>
        <w:rPr>
          <w:rFonts w:ascii="宋体" w:hAnsi="宋体"/>
          <w:szCs w:val="21"/>
        </w:rPr>
      </w:pPr>
      <w:r>
        <w:rPr>
          <w:rFonts w:hint="eastAsia" w:ascii="宋体" w:hAnsi="宋体"/>
          <w:szCs w:val="21"/>
        </w:rPr>
        <w:t>第二章  对通用条款的补充内容及其他关键信息</w:t>
      </w:r>
    </w:p>
    <w:p>
      <w:pPr>
        <w:ind w:left="630" w:leftChars="300" w:firstLine="411" w:firstLineChars="196"/>
        <w:rPr>
          <w:rFonts w:ascii="宋体" w:hAnsi="宋体"/>
          <w:szCs w:val="21"/>
        </w:rPr>
      </w:pPr>
      <w:r>
        <w:rPr>
          <w:rFonts w:hint="eastAsia" w:ascii="宋体" w:hAnsi="宋体"/>
          <w:szCs w:val="21"/>
        </w:rPr>
        <w:t>第三章  用户需求书</w:t>
      </w:r>
    </w:p>
    <w:p>
      <w:pPr>
        <w:ind w:left="630" w:leftChars="300" w:firstLine="411" w:firstLineChars="196"/>
        <w:rPr>
          <w:rFonts w:ascii="宋体" w:hAnsi="宋体"/>
          <w:szCs w:val="21"/>
        </w:rPr>
      </w:pPr>
      <w:r>
        <w:rPr>
          <w:rFonts w:hint="eastAsia"/>
        </w:rPr>
        <w:t xml:space="preserve">第四章 </w:t>
      </w:r>
      <w:r>
        <w:t xml:space="preserve"> </w:t>
      </w:r>
      <w:r>
        <w:rPr>
          <w:rFonts w:hint="eastAsia"/>
        </w:rPr>
        <w:t>投标文件格式及附件</w:t>
      </w:r>
    </w:p>
    <w:p>
      <w:pPr>
        <w:ind w:left="630" w:leftChars="300" w:firstLine="411" w:firstLineChars="196"/>
        <w:rPr>
          <w:rFonts w:ascii="宋体" w:hAnsi="宋体"/>
          <w:szCs w:val="21"/>
        </w:rPr>
      </w:pPr>
      <w:r>
        <w:rPr>
          <w:rFonts w:hint="eastAsia" w:ascii="宋体" w:hAnsi="宋体"/>
          <w:szCs w:val="21"/>
        </w:rPr>
        <w:t>第五章  合同条款及格式</w:t>
      </w:r>
    </w:p>
    <w:p>
      <w:pPr>
        <w:ind w:left="420" w:leftChars="200" w:firstLine="413" w:firstLineChars="196"/>
        <w:rPr>
          <w:rFonts w:ascii="宋体" w:hAnsi="宋体"/>
          <w:b/>
          <w:szCs w:val="21"/>
        </w:rPr>
      </w:pPr>
      <w:r>
        <w:rPr>
          <w:rFonts w:hint="eastAsia" w:ascii="宋体" w:hAnsi="宋体"/>
          <w:b/>
          <w:szCs w:val="21"/>
        </w:rPr>
        <w:t>第二册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left="630" w:leftChars="300" w:firstLine="411" w:firstLineChars="196"/>
        <w:rPr>
          <w:rFonts w:ascii="宋体" w:hAnsi="宋体"/>
          <w:szCs w:val="21"/>
        </w:rPr>
      </w:pPr>
      <w:r>
        <w:rPr>
          <w:rFonts w:hint="eastAsia" w:ascii="宋体" w:hAnsi="宋体"/>
          <w:szCs w:val="21"/>
        </w:rPr>
        <w:t>第十一章  质疑处理</w:t>
      </w:r>
    </w:p>
    <w:p>
      <w:pPr>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rPr>
          <w:rFonts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.2投标人如对招标文件内容有疑问，应当在招标公告规定的澄清（提问）截止时间前以网上提问的形式通过网上政府采购系统提交政府集中采购机构。</w:t>
      </w:r>
    </w:p>
    <w:p>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rPr>
          <w:rFonts w:ascii="黑体" w:hAnsi="宋体" w:eastAsia="黑体"/>
          <w:sz w:val="24"/>
        </w:rPr>
      </w:pPr>
      <w:r>
        <w:rPr>
          <w:rFonts w:ascii="黑体" w:hAnsi="宋体" w:eastAsia="黑体"/>
          <w:sz w:val="24"/>
        </w:rPr>
        <w:t>1</w:t>
      </w:r>
      <w:r>
        <w:rPr>
          <w:rFonts w:hint="eastAsia" w:ascii="黑体" w:hAnsi="宋体" w:eastAsia="黑体"/>
          <w:sz w:val="24"/>
        </w:rPr>
        <w:t>3．招标文件的修改</w:t>
      </w:r>
    </w:p>
    <w:p>
      <w:pPr>
        <w:ind w:firstLine="411" w:firstLineChars="196"/>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11" w:firstLineChars="196"/>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11" w:firstLineChars="196"/>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11" w:firstLineChars="196"/>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5"/>
    </w:p>
    <w:p>
      <w:pPr>
        <w:rPr>
          <w:rFonts w:ascii="宋体" w:hAnsi="宋体"/>
          <w:szCs w:val="21"/>
        </w:rPr>
      </w:pPr>
    </w:p>
    <w:p>
      <w:pPr>
        <w:pStyle w:val="6"/>
        <w:numPr>
          <w:ilvl w:val="0"/>
          <w:numId w:val="135"/>
        </w:numPr>
        <w:spacing w:before="120" w:beforeLines="50" w:after="120" w:afterLines="50"/>
        <w:ind w:left="562" w:hanging="562"/>
        <w:rPr>
          <w:sz w:val="28"/>
          <w:szCs w:val="28"/>
        </w:rPr>
      </w:pPr>
      <w:r>
        <w:rPr>
          <w:rFonts w:hint="eastAsia"/>
          <w:sz w:val="28"/>
          <w:szCs w:val="28"/>
        </w:rPr>
        <w:t>投标文件的编制</w:t>
      </w:r>
    </w:p>
    <w:p>
      <w:pPr>
        <w:rPr>
          <w:rFonts w:ascii="黑体" w:hAnsi="宋体" w:eastAsia="黑体"/>
          <w:sz w:val="24"/>
        </w:rPr>
      </w:pPr>
      <w:r>
        <w:rPr>
          <w:rFonts w:hint="eastAsia" w:ascii="黑体" w:hAnsi="宋体" w:eastAsia="黑体"/>
          <w:sz w:val="24"/>
        </w:rPr>
        <w:t>14．</w:t>
      </w:r>
      <w:bookmarkStart w:id="86" w:name="_Hlk72400236"/>
      <w:r>
        <w:rPr>
          <w:rFonts w:hint="eastAsia" w:ascii="黑体" w:hAnsi="宋体" w:eastAsia="黑体"/>
          <w:sz w:val="24"/>
        </w:rPr>
        <w:t>投标文件的语言及度量单位</w:t>
      </w:r>
    </w:p>
    <w:p>
      <w:pPr>
        <w:ind w:firstLine="411" w:firstLineChars="196"/>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pPr>
        <w:ind w:firstLine="411" w:firstLineChars="196"/>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6"/>
    <w:p>
      <w:pPr>
        <w:rPr>
          <w:rFonts w:ascii="黑体" w:hAnsi="宋体" w:eastAsia="黑体"/>
          <w:sz w:val="24"/>
        </w:rPr>
      </w:pPr>
      <w:r>
        <w:rPr>
          <w:rFonts w:hint="eastAsia" w:ascii="黑体" w:hAnsi="宋体" w:eastAsia="黑体"/>
          <w:sz w:val="24"/>
        </w:rPr>
        <w:t>15．</w:t>
      </w:r>
      <w:bookmarkStart w:id="87" w:name="_Hlk72401567"/>
      <w:r>
        <w:rPr>
          <w:rFonts w:hint="eastAsia" w:ascii="黑体" w:hAnsi="宋体" w:eastAsia="黑体"/>
          <w:sz w:val="24"/>
        </w:rPr>
        <w:t>投标文件的组成</w:t>
      </w:r>
    </w:p>
    <w:p>
      <w:pPr>
        <w:ind w:firstLine="411" w:firstLineChars="196"/>
        <w:rPr>
          <w:rFonts w:ascii="宋体" w:hAnsi="宋体"/>
          <w:szCs w:val="21"/>
        </w:rPr>
      </w:pPr>
      <w:r>
        <w:rPr>
          <w:rFonts w:hint="eastAsia" w:ascii="宋体" w:hAnsi="宋体"/>
          <w:szCs w:val="21"/>
        </w:rPr>
        <w:t>具体内容在招标文件专用条款中进行规定。</w:t>
      </w:r>
    </w:p>
    <w:p>
      <w:pPr>
        <w:rPr>
          <w:rFonts w:ascii="黑体" w:hAnsi="宋体" w:eastAsia="黑体"/>
          <w:sz w:val="24"/>
        </w:rPr>
      </w:pPr>
      <w:r>
        <w:rPr>
          <w:rFonts w:ascii="黑体" w:hAnsi="宋体" w:eastAsia="黑体"/>
          <w:sz w:val="24"/>
        </w:rPr>
        <w:t>16．投标文件格式</w:t>
      </w:r>
    </w:p>
    <w:p>
      <w:pPr>
        <w:ind w:firstLine="411" w:firstLineChars="196"/>
        <w:rPr>
          <w:rFonts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rPr>
          <w:rFonts w:ascii="黑体" w:hAnsi="宋体" w:eastAsia="黑体"/>
          <w:sz w:val="24"/>
        </w:rPr>
      </w:pPr>
      <w:r>
        <w:rPr>
          <w:rFonts w:hint="eastAsia" w:ascii="黑体" w:hAnsi="宋体" w:eastAsia="黑体"/>
          <w:sz w:val="24"/>
        </w:rPr>
        <w:t>17．投标货币</w:t>
      </w:r>
    </w:p>
    <w:p>
      <w:pPr>
        <w:ind w:firstLine="411" w:firstLineChars="196"/>
        <w:rPr>
          <w:rFonts w:ascii="宋体" w:hAnsi="宋体"/>
          <w:szCs w:val="21"/>
        </w:rPr>
      </w:pPr>
      <w:r>
        <w:rPr>
          <w:rFonts w:hint="eastAsia" w:ascii="宋体" w:hAnsi="宋体"/>
          <w:szCs w:val="21"/>
        </w:rPr>
        <w:t>本项目的投标报价应以人民币计。</w:t>
      </w:r>
    </w:p>
    <w:bookmarkEnd w:id="87"/>
    <w:p>
      <w:pPr>
        <w:rPr>
          <w:rFonts w:ascii="黑体" w:hAnsi="宋体" w:eastAsia="黑体"/>
          <w:sz w:val="24"/>
        </w:rPr>
      </w:pPr>
      <w:r>
        <w:rPr>
          <w:rFonts w:hint="eastAsia" w:ascii="黑体" w:hAnsi="宋体" w:eastAsia="黑体"/>
          <w:sz w:val="24"/>
        </w:rPr>
        <w:t>18．</w:t>
      </w:r>
      <w:bookmarkStart w:id="88" w:name="_Hlk72401735"/>
      <w:r>
        <w:rPr>
          <w:rFonts w:hint="eastAsia" w:ascii="黑体" w:hAnsi="宋体" w:eastAsia="黑体"/>
          <w:sz w:val="24"/>
        </w:rPr>
        <w:t>证明投标文件投标技术方案的合格性和符合招标文件规定的文件要求</w:t>
      </w:r>
    </w:p>
    <w:p>
      <w:pPr>
        <w:ind w:firstLine="411" w:firstLineChars="196"/>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11" w:firstLineChars="196"/>
        <w:rPr>
          <w:rFonts w:ascii="宋体" w:hAnsi="宋体"/>
          <w:szCs w:val="21"/>
        </w:rPr>
      </w:pPr>
      <w:r>
        <w:rPr>
          <w:rFonts w:hint="eastAsia" w:ascii="宋体" w:hAnsi="宋体"/>
          <w:szCs w:val="21"/>
        </w:rPr>
        <w:t>18.2.1主要技术指标和性能的详细说明。</w:t>
      </w:r>
    </w:p>
    <w:p>
      <w:pPr>
        <w:ind w:firstLine="411" w:firstLineChars="196"/>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11" w:firstLineChars="196"/>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11" w:firstLineChars="196"/>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pPr>
        <w:ind w:firstLine="411" w:firstLineChars="196"/>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11" w:firstLineChars="196"/>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pPr>
        <w:ind w:firstLine="411" w:firstLineChars="196"/>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8"/>
    <w:p>
      <w:pPr>
        <w:rPr>
          <w:rFonts w:ascii="黑体" w:hAnsi="宋体" w:eastAsia="黑体"/>
          <w:sz w:val="24"/>
        </w:rPr>
      </w:pPr>
      <w:r>
        <w:rPr>
          <w:rFonts w:hint="eastAsia" w:ascii="黑体" w:hAnsi="宋体" w:eastAsia="黑体"/>
          <w:sz w:val="24"/>
        </w:rPr>
        <w:t>19．</w:t>
      </w:r>
      <w:bookmarkStart w:id="89" w:name="_Hlk72402034"/>
      <w:r>
        <w:rPr>
          <w:rFonts w:hint="eastAsia" w:ascii="黑体" w:hAnsi="宋体" w:eastAsia="黑体"/>
          <w:sz w:val="24"/>
        </w:rPr>
        <w:t>投标文件其他证明文件的要求</w:t>
      </w:r>
    </w:p>
    <w:p>
      <w:pPr>
        <w:rPr>
          <w:rFonts w:ascii="宋体" w:hAnsi="宋体"/>
          <w:color w:val="FF0000"/>
          <w:szCs w:val="21"/>
        </w:rPr>
      </w:pPr>
      <w:r>
        <w:rPr>
          <w:rFonts w:hint="eastAsia" w:ascii="黑体" w:hAnsi="宋体" w:eastAsia="黑体"/>
          <w:sz w:val="24"/>
        </w:rPr>
        <w:t xml:space="preserve">    </w:t>
      </w: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90" w:name="_Hlk71407299"/>
      <w:r>
        <w:rPr>
          <w:rFonts w:hint="eastAsia" w:ascii="宋体" w:hAnsi="宋体"/>
          <w:szCs w:val="21"/>
        </w:rPr>
        <w:t>若投标人未按要求提供证明材料或提供的是部分证明材料或提供不清晰的扫描件（或照片）的，采购人</w:t>
      </w:r>
      <w:r>
        <w:rPr>
          <w:rFonts w:hint="eastAsia" w:ascii="宋体" w:hAnsi="宋体"/>
          <w:szCs w:val="21"/>
          <w:lang w:eastAsia="zh-CN"/>
        </w:rPr>
        <w:t>、</w:t>
      </w:r>
      <w:r>
        <w:rPr>
          <w:rFonts w:hint="eastAsia" w:ascii="宋体" w:hAnsi="宋体"/>
          <w:szCs w:val="21"/>
        </w:rPr>
        <w:t>代理机构</w:t>
      </w:r>
      <w:r>
        <w:rPr>
          <w:rFonts w:hint="eastAsia" w:ascii="宋体" w:hAnsi="宋体"/>
          <w:szCs w:val="21"/>
          <w:lang w:val="en-US" w:eastAsia="zh-CN"/>
        </w:rPr>
        <w:t>及</w:t>
      </w:r>
      <w:r>
        <w:rPr>
          <w:rFonts w:hint="eastAsia" w:ascii="宋体" w:hAnsi="宋体"/>
          <w:szCs w:val="21"/>
        </w:rPr>
        <w:t>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90"/>
    <w:p>
      <w:pPr>
        <w:ind w:firstLine="411" w:firstLineChars="196"/>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rPr>
          <w:rFonts w:ascii="黑体" w:hAnsi="宋体" w:eastAsia="黑体"/>
          <w:sz w:val="24"/>
        </w:rPr>
      </w:pPr>
      <w:r>
        <w:rPr>
          <w:rFonts w:hint="eastAsia" w:ascii="黑体" w:hAnsi="宋体" w:eastAsia="黑体"/>
          <w:sz w:val="24"/>
        </w:rPr>
        <w:t>20．投标有效期</w:t>
      </w:r>
    </w:p>
    <w:bookmarkEnd w:id="89"/>
    <w:p>
      <w:pPr>
        <w:ind w:firstLine="411" w:firstLineChars="196"/>
        <w:rPr>
          <w:rFonts w:ascii="宋体" w:hAnsi="宋体"/>
          <w:szCs w:val="21"/>
        </w:rPr>
      </w:pPr>
      <w:bookmarkStart w:id="91"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11" w:firstLineChars="196"/>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11" w:firstLineChars="196"/>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1"/>
    <w:p>
      <w:pPr>
        <w:rPr>
          <w:rFonts w:ascii="黑体" w:hAnsi="宋体" w:eastAsia="黑体"/>
          <w:sz w:val="24"/>
        </w:rPr>
      </w:pPr>
      <w:r>
        <w:rPr>
          <w:rFonts w:hint="eastAsia" w:ascii="黑体" w:hAnsi="宋体" w:eastAsia="黑体"/>
          <w:sz w:val="24"/>
        </w:rPr>
        <w:t>21．</w:t>
      </w:r>
      <w:bookmarkStart w:id="92" w:name="_Hlk72402325"/>
      <w:r>
        <w:rPr>
          <w:rFonts w:hint="eastAsia" w:ascii="黑体" w:hAnsi="宋体" w:eastAsia="黑体"/>
          <w:sz w:val="24"/>
        </w:rPr>
        <w:t xml:space="preserve">关于投标保证金 </w:t>
      </w:r>
    </w:p>
    <w:p>
      <w:pPr>
        <w:rPr>
          <w:rFonts w:ascii="宋体" w:hAnsi="宋体"/>
          <w:szCs w:val="21"/>
        </w:rPr>
      </w:pPr>
      <w:r>
        <w:rPr>
          <w:rFonts w:hint="eastAsia" w:ascii="宋体" w:hAnsi="宋体"/>
          <w:szCs w:val="21"/>
        </w:rPr>
        <w:t xml:space="preserve">    21.1</w:t>
      </w:r>
      <w:r>
        <w:rPr>
          <w:rFonts w:hint="eastAsia"/>
        </w:rPr>
        <w:t>根据《深圳市财政局关于调整政府采购投标（响应）保证金管理政策的通知》（深财购〔2021〕51号）文的规定，本项目不收取投标保证金。</w:t>
      </w:r>
    </w:p>
    <w:p>
      <w:pPr>
        <w:rPr>
          <w:rFonts w:ascii="黑体" w:hAnsi="宋体" w:eastAsia="黑体"/>
          <w:sz w:val="24"/>
        </w:rPr>
      </w:pPr>
      <w:r>
        <w:rPr>
          <w:rFonts w:hint="eastAsia" w:ascii="黑体" w:hAnsi="宋体" w:eastAsia="黑体"/>
          <w:sz w:val="24"/>
        </w:rPr>
        <w:t>22．投标人的替代方案</w:t>
      </w:r>
    </w:p>
    <w:p>
      <w:pPr>
        <w:ind w:firstLine="411" w:firstLineChars="196"/>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11" w:firstLineChars="196"/>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92"/>
    <w:p>
      <w:pPr>
        <w:rPr>
          <w:rFonts w:ascii="黑体" w:hAnsi="宋体" w:eastAsia="黑体"/>
          <w:sz w:val="24"/>
        </w:rPr>
      </w:pPr>
      <w:r>
        <w:rPr>
          <w:rFonts w:hint="eastAsia" w:ascii="黑体" w:hAnsi="宋体" w:eastAsia="黑体"/>
          <w:sz w:val="24"/>
        </w:rPr>
        <w:t>23．</w:t>
      </w:r>
      <w:bookmarkStart w:id="93"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pPr>
        <w:ind w:firstLine="411" w:firstLineChars="196"/>
        <w:rPr>
          <w:rFonts w:ascii="宋体" w:hAnsi="宋体"/>
        </w:rPr>
      </w:pPr>
      <w:r>
        <w:rPr>
          <w:rFonts w:hint="eastAsia" w:ascii="宋体" w:hAnsi="宋体"/>
        </w:rPr>
        <w:t>23.1投标人应准备所投项目的电子投标文件一份。此电子投标文件须由投标人根据政府集中采购机构提供的后缀名为.</w:t>
      </w:r>
      <w:r>
        <w:t xml:space="preserve"> </w:t>
      </w:r>
      <w:r>
        <w:rPr>
          <w:rFonts w:ascii="宋体" w:hAnsi="宋体"/>
        </w:rPr>
        <w:t>szczf</w:t>
      </w:r>
      <w:r>
        <w:rPr>
          <w:rFonts w:hint="eastAsia" w:ascii="宋体" w:hAnsi="宋体"/>
        </w:rPr>
        <w:t>的电子招标文件，下载并使用相应的深圳智慧采购平台投标文件制作专用软件打开招标文件（.szczf格式）【下载地址：</w:t>
      </w:r>
      <w:r>
        <w:rPr>
          <w:rFonts w:ascii="宋体" w:hAnsi="宋体"/>
        </w:rPr>
        <w:t>http://zfcg.szggzy.com:8081/cgxy/013002/list.html</w:t>
      </w:r>
      <w:r>
        <w:rPr>
          <w:rFonts w:hint="eastAsia" w:ascii="宋体" w:hAnsi="宋体"/>
        </w:rPr>
        <w:t>】。</w:t>
      </w:r>
    </w:p>
    <w:p>
      <w:pPr>
        <w:ind w:firstLine="411" w:firstLineChars="196"/>
        <w:rPr>
          <w:rFonts w:ascii="宋体" w:hAnsi="宋体"/>
        </w:rPr>
      </w:pPr>
      <w:r>
        <w:rPr>
          <w:rFonts w:hint="eastAsia" w:ascii="宋体" w:hAnsi="宋体"/>
        </w:rPr>
        <w:t>23.2投标人在使用《投标书编制软件》编制投标书时须注意：</w:t>
      </w:r>
    </w:p>
    <w:p>
      <w:pPr>
        <w:ind w:firstLine="411" w:firstLineChars="196"/>
        <w:rPr>
          <w:rFonts w:ascii="宋体" w:hAnsi="宋体"/>
        </w:rPr>
      </w:pPr>
      <w:r>
        <w:rPr>
          <w:rFonts w:hint="eastAsia" w:ascii="宋体" w:hAnsi="宋体"/>
        </w:rPr>
        <w:t>23.2.1导入《投标书编制软件》的招标文件项目编号、包号应与以此制作的投标文件项目编号、包号一致。例如，不能将甲项目A包的招标书导入《投标书编制软件》，制作乙项目B包的投标书。</w:t>
      </w:r>
    </w:p>
    <w:p>
      <w:pPr>
        <w:ind w:firstLine="411" w:firstLineChars="196"/>
        <w:rPr>
          <w:rFonts w:ascii="宋体" w:hAnsi="宋体"/>
        </w:rPr>
      </w:pPr>
      <w:r>
        <w:rPr>
          <w:rFonts w:hint="eastAsia" w:ascii="宋体" w:hAnsi="宋体"/>
        </w:rPr>
        <w:t>23.2.2不能用非本公司的电子密钥加密本公司的投标文件，或者用其它公司的登录用户上传本公司的投标文件。</w:t>
      </w:r>
    </w:p>
    <w:p>
      <w:pPr>
        <w:ind w:firstLine="411" w:firstLineChars="196"/>
        <w:rPr>
          <w:rFonts w:ascii="宋体" w:hAnsi="宋体"/>
        </w:rPr>
      </w:pPr>
      <w:r>
        <w:rPr>
          <w:rFonts w:hint="eastAsia" w:ascii="宋体" w:hAnsi="宋体"/>
        </w:rPr>
        <w:t>23.2.3要求用《投标书编制软件》编制投标书的包，不能用其它方式编制投标书。编制投标文件时，电脑须连通互联网。</w:t>
      </w:r>
    </w:p>
    <w:p>
      <w:pPr>
        <w:ind w:firstLine="411" w:firstLineChars="196"/>
        <w:rPr>
          <w:rFonts w:ascii="宋体" w:hAnsi="宋体"/>
        </w:rPr>
      </w:pPr>
      <w:r>
        <w:rPr>
          <w:rFonts w:hint="eastAsia" w:ascii="宋体" w:hAnsi="宋体"/>
        </w:rPr>
        <w:t>23.2.4投标文件不能带病毒。政府集中采购机构将用专业杀毒软件对投标文件进行病毒检测，如果这两种软件均报告发现病毒，则政府集中采购机构认为该投标文件带病毒。</w:t>
      </w:r>
    </w:p>
    <w:p>
      <w:pPr>
        <w:ind w:firstLine="411" w:firstLineChars="196"/>
        <w:rPr>
          <w:rFonts w:ascii="宋体" w:hAnsi="宋体"/>
        </w:rPr>
      </w:pPr>
      <w:r>
        <w:rPr>
          <w:rFonts w:hint="eastAsia" w:ascii="宋体" w:hAnsi="宋体"/>
        </w:rPr>
        <w:t>23.2.5完整填写“投标关键信息”，如下图所示：</w:t>
      </w:r>
    </w:p>
    <w:p>
      <w:pPr>
        <w:ind w:firstLine="411" w:firstLineChars="196"/>
        <w:rPr>
          <w:rFonts w:ascii="宋体" w:hAnsi="宋体"/>
        </w:rPr>
      </w:pPr>
      <w:r>
        <w:rPr>
          <w:rFonts w:ascii="宋体" w:hAnsi="宋体"/>
        </w:rPr>
        <w:drawing>
          <wp:inline distT="0" distB="0" distL="0" distR="0">
            <wp:extent cx="5278755" cy="2721610"/>
            <wp:effectExtent l="0" t="0" r="0" b="0"/>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pPr>
        <w:ind w:firstLine="413" w:firstLineChars="196"/>
        <w:rPr>
          <w:rFonts w:ascii="宋体" w:hAnsi="宋体"/>
          <w:b/>
        </w:rPr>
      </w:pPr>
    </w:p>
    <w:p>
      <w:pPr>
        <w:ind w:firstLine="411" w:firstLineChars="196"/>
        <w:rPr>
          <w:rFonts w:ascii="宋体" w:hAnsi="宋体"/>
        </w:rPr>
      </w:pPr>
    </w:p>
    <w:p>
      <w:pPr>
        <w:rPr>
          <w:rFonts w:ascii="宋体" w:hAnsi="宋体"/>
        </w:rPr>
      </w:pPr>
    </w:p>
    <w:p>
      <w:pPr>
        <w:widowControl/>
        <w:jc w:val="left"/>
        <w:rPr>
          <w:rFonts w:ascii="宋体" w:hAnsi="宋体" w:cs="宋体"/>
          <w:kern w:val="0"/>
          <w:sz w:val="24"/>
        </w:rPr>
      </w:pPr>
    </w:p>
    <w:p>
      <w:pPr>
        <w:ind w:firstLine="413" w:firstLineChars="196"/>
        <w:rPr>
          <w:rFonts w:ascii="宋体" w:hAnsi="宋体"/>
          <w:b/>
        </w:rPr>
      </w:pPr>
      <w:r>
        <w:rPr>
          <w:rFonts w:hint="eastAsia" w:ascii="宋体" w:hAnsi="宋体"/>
          <w:b/>
        </w:rPr>
        <w:t>备注：上述“开标一览表”中的“投标报价”将作为价格分计算依据；其它信息仅是对投标文件相关内容的概括性表述，不作为评审依据。</w:t>
      </w:r>
    </w:p>
    <w:p>
      <w:pPr>
        <w:ind w:firstLine="411" w:firstLineChars="196"/>
        <w:rPr>
          <w:rFonts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pPr>
        <w:ind w:firstLine="411" w:firstLineChars="196"/>
        <w:rPr>
          <w:rFonts w:ascii="宋体" w:hAnsi="宋体"/>
        </w:rPr>
      </w:pPr>
      <w:r>
        <w:rPr>
          <w:rFonts w:hint="eastAsia" w:ascii="宋体" w:hAnsi="宋体"/>
        </w:rPr>
        <w:t>23.2.7投标文件编写完成后，</w:t>
      </w:r>
      <w:r>
        <w:rPr>
          <w:rFonts w:hint="eastAsia" w:ascii="宋体" w:hAnsi="宋体"/>
          <w:b/>
        </w:rPr>
        <w:t>必须用属于投标人的电子密钥</w:t>
      </w:r>
      <w:r>
        <w:rPr>
          <w:rFonts w:hint="eastAsia" w:ascii="宋体" w:hAnsi="宋体"/>
          <w:b/>
          <w:lang w:val="en-US" w:eastAsia="zh-CN"/>
        </w:rPr>
        <w:t>或电子营业执照</w:t>
      </w:r>
      <w:r>
        <w:rPr>
          <w:rFonts w:hint="eastAsia" w:ascii="宋体" w:hAnsi="宋体"/>
          <w:b/>
        </w:rPr>
        <w:t>进行加密，否则视同未盖公章，将导致投标文件无效。</w:t>
      </w:r>
    </w:p>
    <w:p>
      <w:pPr>
        <w:ind w:firstLine="411" w:firstLineChars="196"/>
        <w:rPr>
          <w:rFonts w:ascii="宋体" w:hAnsi="宋体"/>
        </w:rPr>
      </w:pPr>
      <w:r>
        <w:rPr>
          <w:rFonts w:hint="eastAsia" w:ascii="宋体" w:hAnsi="宋体"/>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11" w:firstLineChars="196"/>
        <w:rPr>
          <w:rFonts w:ascii="宋体" w:hAnsi="宋体"/>
        </w:rPr>
      </w:pPr>
      <w:r>
        <w:rPr>
          <w:rFonts w:hint="eastAsia" w:ascii="宋体" w:hAnsi="宋体"/>
        </w:rPr>
        <w:t>23.2.9如果开标时出现网络故障、技术故障，影响了政府采购活动，政府集中采购机构有权采取措施如延期、接受无法从网上上传的投标书等，以保障政府采购活动的公开、公平和公正。</w:t>
      </w:r>
    </w:p>
    <w:p>
      <w:pPr>
        <w:ind w:firstLine="411" w:firstLineChars="196"/>
        <w:rPr>
          <w:rFonts w:ascii="宋体" w:hAnsi="宋体"/>
        </w:rPr>
      </w:pPr>
      <w:r>
        <w:rPr>
          <w:rFonts w:hint="eastAsia" w:ascii="宋体" w:hAnsi="宋体"/>
        </w:rPr>
        <w:t>23.3电报、电话、传真形式的投标概不接受。</w:t>
      </w:r>
    </w:p>
    <w:p>
      <w:pPr>
        <w:ind w:firstLine="413" w:firstLineChars="196"/>
        <w:rPr>
          <w:rFonts w:ascii="宋体" w:hAnsi="宋体"/>
          <w:b/>
        </w:rPr>
      </w:pPr>
      <w:r>
        <w:rPr>
          <w:rFonts w:hint="eastAsia" w:ascii="宋体" w:hAnsi="宋体"/>
          <w:b/>
        </w:rPr>
        <w:t>23.4经投标人电子密钥</w:t>
      </w:r>
      <w:r>
        <w:rPr>
          <w:rFonts w:hint="eastAsia" w:ascii="宋体" w:hAnsi="宋体"/>
          <w:b/>
          <w:lang w:val="en-US" w:eastAsia="zh-CN"/>
        </w:rPr>
        <w:t>或电子营业执照</w:t>
      </w:r>
      <w:r>
        <w:rPr>
          <w:rFonts w:hint="eastAsia" w:ascii="宋体" w:hAnsi="宋体"/>
          <w:b/>
        </w:rPr>
        <w:t>加密的投标文件无须盖章或签字，</w:t>
      </w:r>
      <w:r>
        <w:rPr>
          <w:rFonts w:hint="eastAsia" w:ascii="宋体" w:hAnsi="宋体"/>
        </w:rPr>
        <w:t>专用条款另有要求的除外。</w:t>
      </w:r>
    </w:p>
    <w:p>
      <w:pPr>
        <w:ind w:firstLine="413" w:firstLineChars="196"/>
        <w:rPr>
          <w:rFonts w:ascii="宋体" w:hAnsi="宋体"/>
        </w:rPr>
      </w:pPr>
      <w:r>
        <w:rPr>
          <w:rFonts w:hint="eastAsia" w:ascii="宋体" w:hAnsi="宋体"/>
          <w:b/>
        </w:rPr>
        <w:t>23.5</w:t>
      </w:r>
      <w:r>
        <w:rPr>
          <w:rFonts w:hint="eastAsia" w:ascii="宋体" w:hAnsi="宋体"/>
        </w:rPr>
        <w:t xml:space="preserve"> 各类资格（资质）文件提供扫描件，专用条款另有要求的除外。</w:t>
      </w:r>
      <w:bookmarkEnd w:id="93"/>
    </w:p>
    <w:p>
      <w:pPr>
        <w:ind w:firstLine="411" w:firstLineChars="196"/>
        <w:rPr>
          <w:rFonts w:ascii="宋体" w:hAnsi="宋体"/>
          <w:szCs w:val="21"/>
        </w:rPr>
      </w:pPr>
    </w:p>
    <w:p>
      <w:pPr>
        <w:pStyle w:val="6"/>
        <w:numPr>
          <w:ilvl w:val="0"/>
          <w:numId w:val="135"/>
        </w:numPr>
        <w:spacing w:before="120" w:beforeLines="50" w:after="120" w:afterLines="50"/>
        <w:ind w:left="562" w:hanging="562"/>
        <w:rPr>
          <w:sz w:val="28"/>
          <w:szCs w:val="28"/>
        </w:rPr>
      </w:pPr>
      <w:r>
        <w:rPr>
          <w:rFonts w:hint="eastAsia"/>
          <w:sz w:val="28"/>
          <w:szCs w:val="28"/>
        </w:rPr>
        <w:t>投标文件的递交</w:t>
      </w:r>
    </w:p>
    <w:p>
      <w:pPr>
        <w:rPr>
          <w:rFonts w:ascii="黑体" w:hAnsi="宋体" w:eastAsia="黑体"/>
          <w:sz w:val="24"/>
        </w:rPr>
      </w:pPr>
      <w:bookmarkStart w:id="94" w:name="_Hlk72405459"/>
      <w:r>
        <w:rPr>
          <w:rFonts w:hint="eastAsia" w:ascii="黑体" w:hAnsi="宋体" w:eastAsia="黑体"/>
          <w:sz w:val="24"/>
        </w:rPr>
        <w:t>24．投标文件的保密</w:t>
      </w:r>
    </w:p>
    <w:p>
      <w:pPr>
        <w:ind w:firstLine="411" w:firstLineChars="196"/>
        <w:rPr>
          <w:rFonts w:ascii="宋体" w:hAnsi="宋体"/>
        </w:rPr>
      </w:pPr>
      <w:r>
        <w:rPr>
          <w:rFonts w:hint="eastAsia" w:ascii="宋体" w:hAnsi="宋体"/>
        </w:rPr>
        <w:t>24.1在投标文件制作完成后，在投标书编制软件点击【生成标书】按钮进入【填写开标一览表界面】界面，在该界面填写完开标一览表信息后点击【确定】，进入投标文件生成环节。投标文件制作软件会在投标文件生成过程中，提示用户输入密码，输入密码后对</w:t>
      </w:r>
      <w:r>
        <w:rPr>
          <w:rFonts w:hint="eastAsia" w:ascii="宋体" w:hAnsi="宋体"/>
          <w:lang w:val="en-US" w:eastAsia="zh-CN"/>
        </w:rPr>
        <w:t>投</w:t>
      </w:r>
      <w:r>
        <w:rPr>
          <w:rFonts w:hint="eastAsia" w:ascii="宋体" w:hAnsi="宋体"/>
        </w:rPr>
        <w:t>标文件自动进行加密，此加密程序确保投标文件在到达投标截止时间后才能解密查看。在加密过程中，请按照软件提示进行操作。加密界面如下图所示：</w:t>
      </w:r>
    </w:p>
    <w:p>
      <w:pPr>
        <w:widowControl/>
        <w:jc w:val="left"/>
        <w:rPr>
          <w:rFonts w:ascii="宋体" w:hAnsi="宋体" w:cs="宋体"/>
          <w:kern w:val="0"/>
          <w:sz w:val="24"/>
        </w:rPr>
      </w:pPr>
      <w:r>
        <w:rPr>
          <w:rFonts w:ascii="宋体" w:hAnsi="宋体"/>
        </w:rPr>
        <w:drawing>
          <wp:inline distT="0" distB="0" distL="0" distR="0">
            <wp:extent cx="5278755" cy="2721610"/>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755" cy="2721610"/>
                    </a:xfrm>
                    <a:prstGeom prst="rect">
                      <a:avLst/>
                    </a:prstGeom>
                    <a:noFill/>
                    <a:ln>
                      <a:noFill/>
                    </a:ln>
                  </pic:spPr>
                </pic:pic>
              </a:graphicData>
            </a:graphic>
          </wp:inline>
        </w:drawing>
      </w:r>
    </w:p>
    <w:p>
      <w:pPr>
        <w:ind w:firstLine="480" w:firstLineChars="200"/>
        <w:rPr>
          <w:sz w:val="24"/>
        </w:rPr>
      </w:pPr>
    </w:p>
    <w:p>
      <w:pPr>
        <w:rPr>
          <w:sz w:val="24"/>
        </w:rPr>
      </w:pPr>
      <w:r>
        <w:rPr>
          <w:rFonts w:ascii="宋体" w:hAnsi="宋体"/>
        </w:rPr>
        <w:drawing>
          <wp:inline distT="0" distB="0" distL="0" distR="0">
            <wp:extent cx="5278755" cy="2732405"/>
            <wp:effectExtent l="0" t="0" r="0" b="0"/>
            <wp:docPr id="9" name="图片 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755" cy="2732405"/>
                    </a:xfrm>
                    <a:prstGeom prst="rect">
                      <a:avLst/>
                    </a:prstGeom>
                    <a:noFill/>
                    <a:ln>
                      <a:noFill/>
                    </a:ln>
                  </pic:spPr>
                </pic:pic>
              </a:graphicData>
            </a:graphic>
          </wp:inline>
        </w:drawing>
      </w:r>
    </w:p>
    <w:p>
      <w:pPr>
        <w:ind w:firstLine="411" w:firstLineChars="196"/>
        <w:rPr>
          <w:rFonts w:ascii="宋体" w:hAnsi="宋体"/>
          <w:b w:val="0"/>
        </w:rPr>
      </w:pPr>
    </w:p>
    <w:p>
      <w:pPr>
        <w:rPr>
          <w:rFonts w:ascii="宋体" w:hAnsi="宋体"/>
          <w:b/>
        </w:rPr>
      </w:pPr>
      <w:r>
        <w:rPr>
          <w:rFonts w:hint="eastAsia" w:ascii="宋体" w:hAnsi="宋体"/>
          <w:b/>
        </w:rPr>
        <w:t>24.2若采购项目出现延期情况：</w:t>
      </w:r>
    </w:p>
    <w:p>
      <w:pPr>
        <w:ind w:firstLine="422" w:firstLineChars="200"/>
        <w:rPr>
          <w:rFonts w:ascii="黑体" w:hAnsi="宋体" w:eastAsia="黑体"/>
          <w:b/>
          <w:sz w:val="24"/>
        </w:rPr>
      </w:pPr>
      <w:r>
        <w:rPr>
          <w:rFonts w:hint="eastAsia" w:ascii="宋体" w:hAnsi="宋体"/>
          <w:b/>
        </w:rPr>
        <w:t>如果供下载的招标文件（后缀名为.</w:t>
      </w:r>
      <w:r>
        <w:t xml:space="preserve"> </w:t>
      </w:r>
      <w:r>
        <w:rPr>
          <w:rFonts w:ascii="宋体" w:hAnsi="宋体"/>
          <w:b/>
        </w:rPr>
        <w:t>szczf</w:t>
      </w:r>
      <w:r>
        <w:rPr>
          <w:rFonts w:hint="eastAsia" w:ascii="宋体" w:hAnsi="宋体"/>
          <w:b/>
        </w:rPr>
        <w:t>）有更新，投标人必须重新下载招标文件、重新制作投标文件、重新加密投标文件、重新上传投标文件；如果供下载的招标文件（后缀名为.</w:t>
      </w:r>
      <w:r>
        <w:t xml:space="preserve"> </w:t>
      </w:r>
      <w:r>
        <w:rPr>
          <w:rFonts w:ascii="宋体" w:hAnsi="宋体"/>
          <w:b/>
        </w:rPr>
        <w:t>szczf</w:t>
      </w:r>
      <w:r>
        <w:rPr>
          <w:rFonts w:hint="eastAsia" w:ascii="宋体" w:hAnsi="宋体"/>
          <w:b/>
        </w:rPr>
        <w:t>）没有更新，投标人必须重新加密投标文件、重新上传投标文件（是否重新制作投标文件根据项目实际情况定）。否则，投标人自行承担投标文件无法解密导致投标无效的后果。</w:t>
      </w:r>
    </w:p>
    <w:p>
      <w:pPr>
        <w:rPr>
          <w:rFonts w:ascii="黑体" w:hAnsi="宋体" w:eastAsia="黑体"/>
          <w:sz w:val="24"/>
        </w:rPr>
      </w:pPr>
      <w:r>
        <w:rPr>
          <w:rFonts w:hint="eastAsia" w:ascii="黑体" w:hAnsi="宋体" w:eastAsia="黑体"/>
          <w:sz w:val="24"/>
        </w:rPr>
        <w:t>25．上传投标文件及投标截止日期</w:t>
      </w:r>
    </w:p>
    <w:p>
      <w:pPr>
        <w:keepNext w:val="0"/>
        <w:keepLines w:val="0"/>
        <w:pageBreakBefore w:val="0"/>
        <w:widowControl w:val="0"/>
        <w:kinsoku/>
        <w:wordWrap w:val="0"/>
        <w:overflowPunct/>
        <w:topLinePunct w:val="0"/>
        <w:autoSpaceDE/>
        <w:autoSpaceDN/>
        <w:bidi w:val="0"/>
        <w:adjustRightInd/>
        <w:snapToGrid/>
        <w:ind w:firstLine="411" w:firstLineChars="196"/>
        <w:textAlignment w:val="auto"/>
        <w:rPr>
          <w:rFonts w:ascii="宋体" w:hAnsi="宋体"/>
        </w:rPr>
      </w:pPr>
      <w:r>
        <w:rPr>
          <w:rFonts w:hint="eastAsia" w:ascii="宋体" w:hAnsi="宋体"/>
        </w:rPr>
        <w:t>25</w:t>
      </w:r>
      <w:r>
        <w:rPr>
          <w:rFonts w:ascii="宋体" w:hAnsi="宋体"/>
        </w:rPr>
        <w:t>.</w:t>
      </w:r>
      <w:r>
        <w:rPr>
          <w:rFonts w:hint="eastAsia" w:ascii="宋体" w:hAnsi="宋体"/>
        </w:rPr>
        <w:t>1实行网上投标，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政府采购智慧平台用户网上办事子系统（http://zfcg.szggzy.com/TPBidder/memberLogin）”，用“【我的项目】→【项目流程】→【递交投标(应答)文件】”功能点上传投标文件。如上传过程中遇到问题，可拨打</w:t>
      </w:r>
      <w:r>
        <w:rPr>
          <w:rFonts w:hint="eastAsia" w:ascii="宋体" w:hAnsi="宋体"/>
          <w:lang w:val="en-US" w:eastAsia="zh-CN"/>
        </w:rPr>
        <w:t>采购公告中的技术支持电话</w:t>
      </w:r>
      <w:r>
        <w:rPr>
          <w:rFonts w:hint="eastAsia" w:ascii="宋体" w:hAnsi="宋体"/>
        </w:rPr>
        <w:t>。如多次上传均告失败，请在投标截止时间之前携带加密后的电子投标文件送达至</w:t>
      </w:r>
      <w:r>
        <w:rPr>
          <w:rFonts w:hint="eastAsia" w:ascii="宋体" w:hAnsi="宋体"/>
          <w:b/>
          <w:bCs/>
          <w:szCs w:val="21"/>
        </w:rPr>
        <w:t>深圳公共资源交易中心（深圳交易集团有限公司</w:t>
      </w:r>
      <w:r>
        <w:rPr>
          <w:rFonts w:hint="eastAsia" w:ascii="宋体" w:hAnsi="宋体"/>
          <w:b/>
          <w:bCs/>
          <w:color w:val="FF0000"/>
          <w:szCs w:val="21"/>
          <w:lang w:val="en-US" w:eastAsia="zh-CN"/>
        </w:rPr>
        <w:t>龙岗</w:t>
      </w:r>
      <w:r>
        <w:rPr>
          <w:rFonts w:hint="eastAsia" w:ascii="宋体" w:hAnsi="宋体"/>
          <w:b/>
          <w:bCs/>
          <w:szCs w:val="21"/>
        </w:rPr>
        <w:t>分公司）</w:t>
      </w:r>
      <w:r>
        <w:rPr>
          <w:rFonts w:hint="eastAsia" w:ascii="宋体" w:hAnsi="宋体"/>
          <w:b/>
          <w:bCs/>
          <w:lang w:val="en-US" w:eastAsia="zh-CN"/>
        </w:rPr>
        <w:t>1</w:t>
      </w:r>
      <w:r>
        <w:rPr>
          <w:rFonts w:hint="eastAsia" w:ascii="宋体" w:hAnsi="宋体"/>
          <w:b/>
          <w:bCs/>
        </w:rPr>
        <w:t>楼</w:t>
      </w:r>
      <w:r>
        <w:rPr>
          <w:rFonts w:hint="eastAsia" w:ascii="宋体" w:hAnsi="宋体"/>
          <w:b/>
          <w:bCs/>
          <w:lang w:val="en-US" w:eastAsia="zh-CN"/>
        </w:rPr>
        <w:t>103</w:t>
      </w:r>
      <w:r>
        <w:rPr>
          <w:rFonts w:hint="eastAsia" w:ascii="宋体" w:hAnsi="宋体"/>
          <w:b/>
          <w:bCs/>
        </w:rPr>
        <w:t>室（地址：</w:t>
      </w:r>
      <w:r>
        <w:rPr>
          <w:rFonts w:hint="eastAsia" w:ascii="宋体" w:hAnsi="宋体"/>
          <w:b/>
          <w:bCs/>
          <w:lang w:val="en-US" w:eastAsia="zh-CN"/>
        </w:rPr>
        <w:t>深圳市龙岗区黄阁坑383号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11" w:firstLineChars="196"/>
        <w:rPr>
          <w:rFonts w:ascii="宋体" w:hAnsi="宋体"/>
        </w:rPr>
      </w:pPr>
      <w:r>
        <w:rPr>
          <w:rFonts w:hint="eastAsia" w:ascii="宋体" w:hAnsi="宋体"/>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11" w:firstLineChars="196"/>
        <w:rPr>
          <w:rFonts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p>
      <w:pPr>
        <w:ind w:firstLine="411" w:firstLineChars="196"/>
        <w:rPr>
          <w:rFonts w:ascii="宋体" w:hAnsi="宋体"/>
        </w:rPr>
      </w:pPr>
    </w:p>
    <w:p>
      <w:pPr>
        <w:ind w:firstLine="411" w:firstLineChars="196"/>
        <w:rPr>
          <w:rFonts w:ascii="宋体" w:hAnsi="宋体"/>
        </w:rPr>
      </w:pPr>
    </w:p>
    <w:bookmarkEnd w:id="94"/>
    <w:p>
      <w:pPr>
        <w:rPr>
          <w:rFonts w:ascii="黑体" w:hAnsi="宋体" w:eastAsia="黑体"/>
          <w:sz w:val="24"/>
        </w:rPr>
      </w:pPr>
      <w:r>
        <w:rPr>
          <w:rFonts w:hint="eastAsia" w:ascii="黑体" w:hAnsi="宋体" w:eastAsia="黑体"/>
          <w:sz w:val="24"/>
        </w:rPr>
        <w:t>26. 样品、现场演示、方案讲解</w:t>
      </w:r>
    </w:p>
    <w:p>
      <w:pPr>
        <w:ind w:firstLine="411" w:firstLineChars="196"/>
        <w:rPr>
          <w:rFonts w:ascii="宋体" w:hAnsi="宋体"/>
          <w:szCs w:val="21"/>
        </w:rPr>
      </w:pPr>
      <w:r>
        <w:rPr>
          <w:rFonts w:hint="eastAsia" w:ascii="宋体" w:hAnsi="宋体"/>
          <w:szCs w:val="21"/>
        </w:rPr>
        <w:t>26.1 样品、现场演示、方案讲解等事项在招标文件专用条款中进行规定。</w:t>
      </w:r>
    </w:p>
    <w:p>
      <w:pPr>
        <w:rPr>
          <w:rFonts w:ascii="黑体" w:hAnsi="宋体" w:eastAsia="黑体"/>
          <w:sz w:val="24"/>
        </w:rPr>
      </w:pPr>
      <w:bookmarkStart w:id="95"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pPr>
        <w:ind w:firstLine="411" w:firstLineChars="196"/>
        <w:rPr>
          <w:rFonts w:ascii="宋体" w:hAnsi="宋体"/>
          <w:szCs w:val="21"/>
        </w:rPr>
      </w:pPr>
      <w:r>
        <w:rPr>
          <w:rFonts w:hint="eastAsia" w:ascii="宋体" w:hAnsi="宋体"/>
          <w:szCs w:val="21"/>
        </w:rPr>
        <w:t>27.4政府集中采购机构不退还投标文件，专用条款另有规定的除外。</w:t>
      </w:r>
    </w:p>
    <w:bookmarkEnd w:id="95"/>
    <w:p>
      <w:pPr>
        <w:pStyle w:val="6"/>
        <w:numPr>
          <w:ilvl w:val="0"/>
          <w:numId w:val="135"/>
        </w:numPr>
        <w:spacing w:before="120" w:beforeLines="50" w:after="120" w:afterLines="50"/>
        <w:ind w:left="562" w:hanging="562"/>
        <w:rPr>
          <w:sz w:val="28"/>
          <w:szCs w:val="28"/>
        </w:rPr>
      </w:pPr>
      <w:r>
        <w:rPr>
          <w:rFonts w:hint="eastAsia"/>
          <w:sz w:val="28"/>
          <w:szCs w:val="28"/>
        </w:rPr>
        <w:t>开标</w:t>
      </w:r>
    </w:p>
    <w:p>
      <w:pPr>
        <w:rPr>
          <w:rFonts w:ascii="黑体" w:hAnsi="宋体" w:eastAsia="黑体"/>
          <w:sz w:val="24"/>
        </w:rPr>
      </w:pPr>
      <w:r>
        <w:rPr>
          <w:rFonts w:hint="eastAsia" w:ascii="黑体" w:hAnsi="宋体" w:eastAsia="黑体"/>
          <w:sz w:val="24"/>
        </w:rPr>
        <w:t>28．开标</w:t>
      </w:r>
    </w:p>
    <w:p>
      <w:pPr>
        <w:ind w:firstLine="359" w:firstLineChars="171"/>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智慧平台用户网上办事子系统（http://zfcg.szggzy.com/TPBidder/memberLogin）”，使用本单位制作电子投标文件同一个电子密钥，在“【我的项目】→【项目流程】→【开标及解密】”进行在线解密、查询开标情况。</w:t>
      </w:r>
    </w:p>
    <w:p>
      <w:pPr>
        <w:ind w:firstLine="315" w:firstLineChars="15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6"/>
        <w:numPr>
          <w:ilvl w:val="0"/>
          <w:numId w:val="135"/>
        </w:numPr>
        <w:spacing w:before="120" w:beforeLines="50" w:after="120" w:afterLines="50"/>
        <w:ind w:left="562" w:hanging="562"/>
        <w:rPr>
          <w:sz w:val="28"/>
          <w:szCs w:val="28"/>
        </w:rPr>
      </w:pPr>
      <w:r>
        <w:rPr>
          <w:rFonts w:hint="eastAsia"/>
          <w:sz w:val="28"/>
          <w:szCs w:val="28"/>
        </w:rPr>
        <w:t>评审要求</w:t>
      </w:r>
    </w:p>
    <w:p>
      <w:pPr>
        <w:rPr>
          <w:rFonts w:ascii="黑体" w:hAnsi="宋体" w:eastAsia="黑体"/>
          <w:sz w:val="24"/>
        </w:rPr>
      </w:pPr>
      <w:r>
        <w:rPr>
          <w:rFonts w:hint="eastAsia" w:ascii="黑体" w:hAnsi="宋体" w:eastAsia="黑体"/>
          <w:sz w:val="24"/>
        </w:rPr>
        <w:t>29．评审委员会组成</w:t>
      </w:r>
    </w:p>
    <w:p>
      <w:pPr>
        <w:ind w:firstLine="411" w:firstLineChars="196"/>
        <w:rPr>
          <w:rFonts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由政府集中采购机构依法组建，负责评审活动。</w:t>
      </w:r>
    </w:p>
    <w:p>
      <w:pPr>
        <w:ind w:firstLine="411" w:firstLineChars="196"/>
        <w:rPr>
          <w:rFonts w:ascii="宋体" w:hAnsi="宋体"/>
        </w:rPr>
      </w:pPr>
      <w:bookmarkStart w:id="96" w:name="_Hlk72436580"/>
      <w:r>
        <w:rPr>
          <w:rFonts w:hint="eastAsia" w:ascii="宋体" w:hAnsi="宋体"/>
        </w:rPr>
        <w:t>评审委员会由采购人代表和评审专家组成，成员人数应当为5人以上单数（部分条件下为7人以上单数），其中评审专家不得少于成员总数的三分之二。</w:t>
      </w:r>
      <w:bookmarkEnd w:id="96"/>
      <w:r>
        <w:rPr>
          <w:rFonts w:hint="eastAsia" w:ascii="宋体" w:hAnsi="宋体"/>
        </w:rPr>
        <w:t>评定</w:t>
      </w:r>
      <w:r>
        <w:rPr>
          <w:rFonts w:hint="eastAsia"/>
        </w:rPr>
        <w:t>分离项目</w:t>
      </w:r>
      <w:r>
        <w:t>评审专家</w:t>
      </w:r>
      <w:r>
        <w:rPr>
          <w:rFonts w:hint="eastAsia"/>
        </w:rPr>
        <w:t>均</w:t>
      </w:r>
      <w:r>
        <w:t>由</w:t>
      </w:r>
      <w:r>
        <w:rPr>
          <w:rFonts w:hint="eastAsia"/>
        </w:rPr>
        <w:t>评审专家组成。</w:t>
      </w:r>
      <w:r>
        <w:rPr>
          <w:rFonts w:hint="eastAsia" w:ascii="宋体" w:hAnsi="宋体"/>
          <w:szCs w:val="21"/>
        </w:rPr>
        <w:t>评审专家一般是</w:t>
      </w:r>
      <w:r>
        <w:rPr>
          <w:rFonts w:hint="eastAsia" w:ascii="宋体" w:hAnsi="宋体"/>
        </w:rPr>
        <w:t>从深圳市政府采购评审专家库中随机抽取。采购人代表须持本单位签发的《评审授权书》参加评审。</w:t>
      </w:r>
    </w:p>
    <w:p>
      <w:pPr>
        <w:ind w:firstLine="411" w:firstLineChars="196"/>
        <w:rPr>
          <w:rFonts w:ascii="宋体" w:hAnsi="宋体"/>
        </w:rPr>
      </w:pPr>
      <w:r>
        <w:rPr>
          <w:rFonts w:hint="eastAsia" w:ascii="宋体" w:hAnsi="宋体"/>
        </w:rPr>
        <w:t>29.2评审定标应当遵循公平、公正、科学、择优的原则。</w:t>
      </w:r>
    </w:p>
    <w:p>
      <w:pPr>
        <w:ind w:firstLine="411" w:firstLineChars="196"/>
        <w:rPr>
          <w:rFonts w:ascii="宋体" w:hAnsi="宋体"/>
        </w:rPr>
      </w:pPr>
      <w:r>
        <w:rPr>
          <w:rFonts w:hint="eastAsia" w:ascii="宋体" w:hAnsi="宋体"/>
        </w:rPr>
        <w:t>29.3评审活动依法进行，任何单位和个人不得非法干预评标过程和结果。</w:t>
      </w:r>
    </w:p>
    <w:p>
      <w:pPr>
        <w:ind w:firstLine="411" w:firstLineChars="196"/>
        <w:rPr>
          <w:rFonts w:ascii="宋体" w:hAnsi="宋体"/>
        </w:rPr>
      </w:pPr>
      <w:r>
        <w:rPr>
          <w:rFonts w:hint="eastAsia" w:ascii="宋体" w:hAnsi="宋体"/>
        </w:rPr>
        <w:t>29.4评审过程中不允许违背评标程序或采用招标文件未载明的评标方法或评标因素进行评标。</w:t>
      </w:r>
    </w:p>
    <w:p>
      <w:pPr>
        <w:ind w:firstLine="411" w:firstLineChars="196"/>
        <w:rPr>
          <w:rFonts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pPr>
        <w:rPr>
          <w:rFonts w:ascii="黑体" w:hAnsi="宋体" w:eastAsia="黑体"/>
          <w:sz w:val="24"/>
        </w:rPr>
      </w:pPr>
      <w:r>
        <w:rPr>
          <w:rFonts w:hint="eastAsia" w:ascii="黑体" w:hAnsi="宋体" w:eastAsia="黑体"/>
          <w:sz w:val="24"/>
        </w:rPr>
        <w:t>30．向评审委员会提供的资料</w:t>
      </w:r>
    </w:p>
    <w:p>
      <w:pPr>
        <w:ind w:firstLine="411" w:firstLineChars="196"/>
        <w:rPr>
          <w:rFonts w:ascii="宋体" w:hAnsi="宋体"/>
        </w:rPr>
      </w:pPr>
      <w:r>
        <w:rPr>
          <w:rFonts w:hint="eastAsia" w:ascii="宋体" w:hAnsi="宋体"/>
        </w:rPr>
        <w:t>30.1公开发布的招标文件，包括图纸、服务清单、答疑文件等；</w:t>
      </w:r>
    </w:p>
    <w:p>
      <w:pPr>
        <w:ind w:firstLine="411" w:firstLineChars="196"/>
        <w:rPr>
          <w:rFonts w:ascii="宋体" w:hAnsi="宋体"/>
        </w:rPr>
      </w:pPr>
      <w:r>
        <w:rPr>
          <w:rFonts w:hint="eastAsia" w:ascii="宋体" w:hAnsi="宋体"/>
        </w:rPr>
        <w:t>30.2其他评标必须的资料。</w:t>
      </w:r>
    </w:p>
    <w:p>
      <w:pPr>
        <w:ind w:firstLine="411" w:firstLineChars="196"/>
        <w:rPr>
          <w:rFonts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pPr>
        <w:ind w:firstLine="411" w:firstLineChars="196"/>
        <w:rPr>
          <w:rFonts w:ascii="宋体" w:hAnsi="宋体"/>
        </w:rPr>
      </w:pPr>
      <w:r>
        <w:rPr>
          <w:rFonts w:hint="eastAsia" w:ascii="宋体" w:hAnsi="宋体"/>
        </w:rPr>
        <w:t>（1）招标的目的；</w:t>
      </w:r>
    </w:p>
    <w:p>
      <w:pPr>
        <w:ind w:firstLine="411" w:firstLineChars="196"/>
        <w:rPr>
          <w:rFonts w:ascii="宋体" w:hAnsi="宋体"/>
        </w:rPr>
      </w:pPr>
      <w:r>
        <w:rPr>
          <w:rFonts w:hint="eastAsia" w:ascii="宋体" w:hAnsi="宋体"/>
        </w:rPr>
        <w:t>（2）招标项目需求的范围和性质；</w:t>
      </w:r>
    </w:p>
    <w:p>
      <w:pPr>
        <w:ind w:firstLine="411" w:firstLineChars="196"/>
        <w:rPr>
          <w:rFonts w:ascii="宋体" w:hAnsi="宋体"/>
        </w:rPr>
      </w:pPr>
      <w:r>
        <w:rPr>
          <w:rFonts w:hint="eastAsia" w:ascii="宋体" w:hAnsi="宋体"/>
        </w:rPr>
        <w:t>（3）招标文件规定的投标人的资格、财政预算限额、商务条款；</w:t>
      </w:r>
    </w:p>
    <w:p>
      <w:pPr>
        <w:ind w:firstLine="411" w:firstLineChars="196"/>
        <w:rPr>
          <w:rFonts w:ascii="宋体" w:hAnsi="宋体"/>
        </w:rPr>
      </w:pPr>
      <w:r>
        <w:rPr>
          <w:rFonts w:hint="eastAsia" w:ascii="宋体" w:hAnsi="宋体"/>
        </w:rPr>
        <w:t>（4）招标文件规定的评标程序、评标方法和评标因素；</w:t>
      </w:r>
    </w:p>
    <w:p>
      <w:pPr>
        <w:ind w:firstLine="411" w:firstLineChars="196"/>
        <w:rPr>
          <w:rFonts w:ascii="宋体" w:hAnsi="宋体"/>
        </w:rPr>
      </w:pPr>
      <w:r>
        <w:rPr>
          <w:rFonts w:hint="eastAsia" w:ascii="宋体" w:hAnsi="宋体"/>
        </w:rPr>
        <w:t>（5）招标文件所列示的资格性审查表及符合性审查表。</w:t>
      </w:r>
    </w:p>
    <w:p>
      <w:pPr>
        <w:rPr>
          <w:rFonts w:ascii="黑体" w:hAnsi="宋体" w:eastAsia="黑体"/>
          <w:sz w:val="24"/>
        </w:rPr>
      </w:pPr>
      <w:r>
        <w:rPr>
          <w:rFonts w:hint="eastAsia" w:ascii="黑体" w:hAnsi="宋体" w:eastAsia="黑体"/>
          <w:sz w:val="24"/>
        </w:rPr>
        <w:t>31．独立评审</w:t>
      </w:r>
    </w:p>
    <w:p>
      <w:pPr>
        <w:ind w:firstLine="411" w:firstLineChars="196"/>
        <w:rPr>
          <w:rFonts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6"/>
        <w:numPr>
          <w:ilvl w:val="0"/>
          <w:numId w:val="135"/>
        </w:numPr>
        <w:spacing w:before="120" w:beforeLines="50" w:after="120" w:afterLines="50"/>
        <w:ind w:left="562" w:hanging="562"/>
        <w:rPr>
          <w:sz w:val="28"/>
          <w:szCs w:val="28"/>
        </w:rPr>
      </w:pPr>
      <w:r>
        <w:rPr>
          <w:rFonts w:hint="eastAsia"/>
          <w:sz w:val="28"/>
          <w:szCs w:val="28"/>
        </w:rPr>
        <w:t>评审程序及评审方法</w:t>
      </w:r>
    </w:p>
    <w:p>
      <w:pPr>
        <w:rPr>
          <w:rFonts w:ascii="黑体" w:hAnsi="宋体" w:eastAsia="黑体"/>
          <w:sz w:val="24"/>
        </w:rPr>
      </w:pPr>
      <w:r>
        <w:rPr>
          <w:rFonts w:hint="eastAsia" w:ascii="黑体" w:hAnsi="宋体" w:eastAsia="黑体"/>
          <w:sz w:val="24"/>
        </w:rPr>
        <w:t>32．投标文件初审</w:t>
      </w:r>
    </w:p>
    <w:p>
      <w:pPr>
        <w:ind w:firstLine="411" w:firstLineChars="196"/>
        <w:rPr>
          <w:rFonts w:ascii="宋体" w:hAnsi="宋体"/>
        </w:rPr>
      </w:pPr>
      <w:r>
        <w:rPr>
          <w:rFonts w:hint="eastAsia" w:ascii="宋体" w:hAnsi="宋体"/>
        </w:rPr>
        <w:t>32.1投标文件初审包括资格性审查和符合性审查。</w:t>
      </w:r>
    </w:p>
    <w:p>
      <w:pPr>
        <w:ind w:firstLine="411" w:firstLineChars="196"/>
        <w:rPr>
          <w:rFonts w:ascii="宋体" w:hAnsi="宋体"/>
        </w:rPr>
      </w:pPr>
      <w:r>
        <w:rPr>
          <w:rFonts w:hint="eastAsia" w:ascii="宋体" w:hAnsi="宋体"/>
        </w:rPr>
        <w:t>资格性审查：依据法律法规和招标文件的规定，对投标文件中的资格证明等进行审查，以确定投标供应商是否具备投标资格。</w:t>
      </w:r>
    </w:p>
    <w:p>
      <w:pPr>
        <w:ind w:firstLine="411" w:firstLineChars="196"/>
        <w:rPr>
          <w:rFonts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pPr>
        <w:ind w:firstLine="411" w:firstLineChars="196"/>
        <w:rPr>
          <w:rFonts w:ascii="宋体" w:hAnsi="宋体"/>
        </w:rPr>
      </w:pPr>
      <w:r>
        <w:rPr>
          <w:rFonts w:hint="eastAsia" w:ascii="宋体" w:hAnsi="宋体"/>
        </w:rPr>
        <w:t>32.2 投标文件初审内容请详见《资格性审查表》和《符合性审查表》部分。投标人若有一条审查不通过则按投标无效处理。</w:t>
      </w:r>
    </w:p>
    <w:p>
      <w:pPr>
        <w:ind w:firstLine="411" w:firstLineChars="196"/>
        <w:rPr>
          <w:rFonts w:ascii="宋体" w:hAnsi="宋体"/>
          <w:bCs/>
        </w:rPr>
      </w:pPr>
      <w:r>
        <w:rPr>
          <w:rFonts w:hint="eastAsia" w:ascii="宋体" w:hAnsi="宋体"/>
          <w:bCs/>
        </w:rPr>
        <w:t>32.3 投标文件初审中关于供应商家数的计算:</w:t>
      </w:r>
    </w:p>
    <w:p>
      <w:pPr>
        <w:ind w:firstLine="411" w:firstLineChars="196"/>
        <w:rPr>
          <w:rFonts w:ascii="宋体" w:hAnsi="宋体"/>
          <w:bCs/>
        </w:rPr>
      </w:pPr>
      <w:r>
        <w:rPr>
          <w:rFonts w:hint="eastAsia" w:ascii="宋体" w:hAnsi="宋体"/>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11" w:firstLineChars="196"/>
        <w:rPr>
          <w:rFonts w:ascii="宋体" w:hAnsi="宋体"/>
          <w:bCs/>
        </w:rPr>
      </w:pPr>
      <w:r>
        <w:rPr>
          <w:rFonts w:hint="eastAsia" w:ascii="宋体" w:hAnsi="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按照招标文件规定的方式确定一个投标人获得中标人推荐资格，招标文件未规定的采取随机抽取方式确定，其他同品牌投标人不作为中标候选人。</w:t>
      </w:r>
    </w:p>
    <w:p>
      <w:pPr>
        <w:ind w:firstLine="411" w:firstLineChars="196"/>
        <w:rPr>
          <w:rFonts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pPr>
        <w:ind w:firstLine="411" w:firstLineChars="196"/>
        <w:rPr>
          <w:rFonts w:ascii="宋体" w:hAnsi="宋体"/>
        </w:rPr>
      </w:pPr>
      <w:r>
        <w:rPr>
          <w:rFonts w:hint="eastAsia" w:ascii="宋体" w:hAnsi="宋体"/>
        </w:rPr>
        <w:t>32.4投标人投标文件作无效处理的情形，具体包括但不限于以下：</w:t>
      </w:r>
    </w:p>
    <w:p>
      <w:pPr>
        <w:ind w:firstLine="411" w:firstLineChars="196"/>
      </w:pPr>
      <w:r>
        <w:rPr>
          <w:rFonts w:hint="eastAsia" w:ascii="宋体" w:hAnsi="宋体"/>
        </w:rPr>
        <w:t>32.4.1</w:t>
      </w:r>
      <w:r>
        <w:rPr>
          <w:rFonts w:hint="eastAsia"/>
        </w:rPr>
        <w:t>不同投标人的投标文件由同一单位或者同一个人编制，或者由同一个人分阶段参与编制；</w:t>
      </w:r>
    </w:p>
    <w:p>
      <w:pPr>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pPr>
        <w:ind w:firstLine="411" w:firstLineChars="196"/>
        <w:rPr>
          <w:rFonts w:ascii="宋体" w:hAnsi="宋体"/>
        </w:rPr>
      </w:pPr>
      <w:r>
        <w:rPr>
          <w:rFonts w:hint="eastAsia" w:ascii="宋体" w:hAnsi="宋体"/>
        </w:rPr>
        <w:t>32.4.3不同投标人的投标文件载明的项目管理成员或者联系人员为同一人；</w:t>
      </w:r>
    </w:p>
    <w:p>
      <w:pPr>
        <w:ind w:firstLine="411" w:firstLineChars="196"/>
        <w:rPr>
          <w:rFonts w:ascii="宋体" w:hAnsi="宋体"/>
        </w:rPr>
      </w:pPr>
      <w:r>
        <w:rPr>
          <w:rFonts w:hint="eastAsia" w:ascii="宋体" w:hAnsi="宋体"/>
        </w:rPr>
        <w:t>32.4.4不同投标人的投标文件异常一致或者投标报价呈规律性差异；</w:t>
      </w:r>
    </w:p>
    <w:p>
      <w:pPr>
        <w:ind w:firstLine="411" w:firstLineChars="196"/>
        <w:rPr>
          <w:rFonts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pPr>
        <w:ind w:firstLine="411" w:firstLineChars="196"/>
        <w:rPr>
          <w:rFonts w:ascii="宋体" w:hAnsi="宋体"/>
        </w:rPr>
      </w:pPr>
      <w:r>
        <w:rPr>
          <w:rFonts w:hint="eastAsia" w:ascii="宋体" w:hAnsi="宋体"/>
        </w:rPr>
        <w:t>32.4.6投标供应商之间相互约定给予未中标的供应商利益补偿；</w:t>
      </w:r>
    </w:p>
    <w:p>
      <w:pPr>
        <w:ind w:firstLine="411" w:firstLineChars="196"/>
        <w:rPr>
          <w:rFonts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pPr>
        <w:ind w:firstLine="411" w:firstLineChars="196"/>
        <w:rPr>
          <w:rFonts w:ascii="宋体" w:hAnsi="宋体"/>
        </w:rPr>
      </w:pPr>
      <w:r>
        <w:rPr>
          <w:rFonts w:hint="eastAsia" w:ascii="宋体" w:hAnsi="宋体"/>
        </w:rPr>
        <w:t>32.4.8不同投标供应商的投标文件内容存在非正常一致；</w:t>
      </w:r>
    </w:p>
    <w:p>
      <w:pPr>
        <w:ind w:firstLine="411" w:firstLineChars="196"/>
        <w:rPr>
          <w:rFonts w:ascii="宋体" w:hAnsi="宋体"/>
        </w:rPr>
      </w:pPr>
      <w:r>
        <w:rPr>
          <w:rFonts w:hint="eastAsia" w:ascii="宋体" w:hAnsi="宋体"/>
        </w:rPr>
        <w:t>32.4.9在同一单位工作人员为两家以上（含两家）供应商进行同一项投标活动；</w:t>
      </w:r>
    </w:p>
    <w:p>
      <w:pPr>
        <w:ind w:firstLine="411" w:firstLineChars="196"/>
        <w:rPr>
          <w:rFonts w:ascii="宋体" w:hAnsi="宋体"/>
        </w:rPr>
      </w:pPr>
      <w:r>
        <w:rPr>
          <w:rFonts w:hint="eastAsia" w:ascii="宋体" w:hAnsi="宋体"/>
        </w:rPr>
        <w:t>32.4.10主管部门依照法律、法规认定的其他情形。</w:t>
      </w:r>
    </w:p>
    <w:p>
      <w:pPr>
        <w:rPr>
          <w:rFonts w:hint="eastAsia" w:ascii="宋体" w:hAnsi="宋体"/>
        </w:rPr>
      </w:pPr>
      <w:r>
        <w:rPr>
          <w:rFonts w:hint="eastAsia" w:ascii="宋体" w:hAnsi="宋体"/>
        </w:rPr>
        <w:t>32.5对不属于《资格性审查表》和《符合性审查表》所列的其他情形，除专用条款另有规定和32.4条款所列情形外，不得作为投标无效的理由。</w:t>
      </w:r>
    </w:p>
    <w:p>
      <w:pPr>
        <w:rPr>
          <w:rFonts w:ascii="黑体" w:hAnsi="宋体" w:eastAsia="黑体"/>
          <w:sz w:val="24"/>
        </w:rPr>
      </w:pPr>
      <w:r>
        <w:rPr>
          <w:rFonts w:hint="eastAsia" w:ascii="黑体" w:hAnsi="宋体" w:eastAsia="黑体"/>
          <w:sz w:val="24"/>
        </w:rPr>
        <w:t>33．澄清有关问题</w:t>
      </w:r>
    </w:p>
    <w:p>
      <w:pPr>
        <w:ind w:firstLine="411" w:firstLineChars="196"/>
        <w:rPr>
          <w:rFonts w:ascii="宋体" w:hAnsi="宋体"/>
        </w:rPr>
      </w:pPr>
      <w:bookmarkStart w:id="97"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97"/>
    </w:p>
    <w:p>
      <w:pPr>
        <w:ind w:firstLine="411" w:firstLineChars="196"/>
        <w:rPr>
          <w:rFonts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pPr>
        <w:ind w:firstLine="411" w:firstLineChars="196"/>
        <w:rPr>
          <w:rFonts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pPr>
        <w:ind w:firstLine="411" w:firstLineChars="196"/>
        <w:rPr>
          <w:rFonts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11" w:firstLineChars="196"/>
        <w:rPr>
          <w:rFonts w:ascii="宋体" w:hAnsi="宋体"/>
          <w:szCs w:val="21"/>
        </w:rPr>
      </w:pPr>
      <w:r>
        <w:rPr>
          <w:rFonts w:hint="eastAsia" w:ascii="宋体" w:hAnsi="宋体"/>
          <w:szCs w:val="21"/>
        </w:rPr>
        <w:t>根据本通用条款第34条，凡属于评审委员会在评审中发现的算术错误进行核实的修改不在此列。</w:t>
      </w:r>
    </w:p>
    <w:p>
      <w:pPr>
        <w:rPr>
          <w:rFonts w:ascii="黑体" w:hAnsi="宋体" w:eastAsia="黑体"/>
          <w:sz w:val="24"/>
        </w:rPr>
      </w:pPr>
      <w:bookmarkStart w:id="98" w:name="_Toc73521581"/>
      <w:bookmarkStart w:id="99" w:name="_Toc73518151"/>
      <w:bookmarkStart w:id="100" w:name="_Toc73521669"/>
      <w:bookmarkStart w:id="101" w:name="_Toc73517673"/>
      <w:bookmarkStart w:id="102" w:name="_Toc100052400"/>
      <w:r>
        <w:rPr>
          <w:rFonts w:hint="eastAsia" w:ascii="黑体" w:hAnsi="宋体" w:eastAsia="黑体"/>
          <w:sz w:val="24"/>
        </w:rPr>
        <w:t>34．错误的修正</w:t>
      </w:r>
      <w:bookmarkEnd w:id="98"/>
      <w:bookmarkEnd w:id="99"/>
      <w:bookmarkEnd w:id="100"/>
      <w:bookmarkEnd w:id="101"/>
      <w:bookmarkEnd w:id="102"/>
    </w:p>
    <w:p>
      <w:pPr>
        <w:ind w:firstLine="411" w:firstLineChars="196"/>
        <w:rPr>
          <w:rFonts w:ascii="宋体" w:hAnsi="宋体"/>
          <w:szCs w:val="21"/>
        </w:rPr>
      </w:pPr>
      <w:r>
        <w:rPr>
          <w:rFonts w:hint="eastAsia" w:ascii="宋体" w:hAnsi="宋体"/>
          <w:szCs w:val="21"/>
        </w:rPr>
        <w:t>投标文件报价出现前后不一致的，除专用条款另有规定外，按照下列规定修正：</w:t>
      </w:r>
    </w:p>
    <w:p>
      <w:pPr>
        <w:ind w:firstLine="411" w:firstLineChars="196"/>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11" w:firstLineChars="196"/>
        <w:rPr>
          <w:rFonts w:ascii="宋体" w:hAnsi="宋体"/>
          <w:szCs w:val="21"/>
        </w:rPr>
      </w:pPr>
      <w:r>
        <w:rPr>
          <w:rFonts w:hint="eastAsia" w:ascii="宋体" w:hAnsi="宋体"/>
          <w:szCs w:val="21"/>
        </w:rPr>
        <w:t>34.2大写金额和小写金额不一致的，以大写金额为准；</w:t>
      </w:r>
    </w:p>
    <w:p>
      <w:pPr>
        <w:ind w:firstLine="411" w:firstLineChars="196"/>
        <w:rPr>
          <w:rFonts w:ascii="宋体" w:hAnsi="宋体"/>
          <w:szCs w:val="21"/>
        </w:rPr>
      </w:pPr>
      <w:r>
        <w:rPr>
          <w:rFonts w:hint="eastAsia" w:ascii="宋体" w:hAnsi="宋体"/>
          <w:szCs w:val="21"/>
        </w:rPr>
        <w:t>34.3单价金额小数点或者百分比有明显错位，以开标一览表的总价为准，并修改单价；</w:t>
      </w:r>
    </w:p>
    <w:p>
      <w:pPr>
        <w:ind w:firstLine="411" w:firstLineChars="196"/>
        <w:rPr>
          <w:rFonts w:ascii="宋体" w:hAnsi="宋体"/>
          <w:szCs w:val="21"/>
        </w:rPr>
      </w:pPr>
      <w:r>
        <w:rPr>
          <w:rFonts w:hint="eastAsia" w:ascii="宋体" w:hAnsi="宋体"/>
          <w:szCs w:val="21"/>
        </w:rPr>
        <w:t>34.4总价金额与按单价汇总金额不一致的，以单价金额计算结果为准。</w:t>
      </w:r>
    </w:p>
    <w:p>
      <w:pPr>
        <w:ind w:firstLine="411" w:firstLineChars="196"/>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rPr>
          <w:rFonts w:ascii="黑体" w:hAnsi="宋体" w:eastAsia="黑体"/>
          <w:sz w:val="24"/>
        </w:rPr>
      </w:pPr>
      <w:r>
        <w:rPr>
          <w:rFonts w:hint="eastAsia" w:ascii="黑体" w:hAnsi="宋体" w:eastAsia="黑体"/>
          <w:sz w:val="24"/>
        </w:rPr>
        <w:t>35．投标文件的比较与评价</w:t>
      </w:r>
    </w:p>
    <w:p>
      <w:pPr>
        <w:ind w:firstLine="411" w:firstLineChars="196"/>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11" w:firstLineChars="196"/>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rPr>
          <w:rFonts w:ascii="黑体" w:hAnsi="宋体" w:eastAsia="黑体"/>
          <w:sz w:val="24"/>
        </w:rPr>
      </w:pPr>
      <w:r>
        <w:rPr>
          <w:rFonts w:hint="eastAsia" w:ascii="黑体" w:hAnsi="宋体" w:eastAsia="黑体"/>
          <w:sz w:val="24"/>
        </w:rPr>
        <w:t>36. 实地考察或资料查验</w:t>
      </w:r>
    </w:p>
    <w:p>
      <w:pPr>
        <w:ind w:firstLine="411" w:firstLineChars="196"/>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rPr>
          <w:rFonts w:ascii="黑体" w:hAnsi="宋体" w:eastAsia="黑体"/>
          <w:sz w:val="24"/>
        </w:rPr>
      </w:pPr>
      <w:r>
        <w:rPr>
          <w:rFonts w:hint="eastAsia" w:ascii="黑体" w:hAnsi="宋体" w:eastAsia="黑体"/>
          <w:sz w:val="24"/>
        </w:rPr>
        <w:t>37．评审方法</w:t>
      </w:r>
    </w:p>
    <w:p>
      <w:pPr>
        <w:ind w:firstLine="413" w:firstLineChars="196"/>
        <w:rPr>
          <w:rFonts w:ascii="宋体" w:hAnsi="宋体"/>
          <w:b/>
          <w:bCs/>
          <w:szCs w:val="21"/>
        </w:rPr>
      </w:pPr>
      <w:r>
        <w:rPr>
          <w:rFonts w:hint="eastAsia" w:ascii="宋体" w:hAnsi="宋体"/>
          <w:b/>
          <w:bCs/>
          <w:szCs w:val="21"/>
        </w:rPr>
        <w:t>37.1.1最低价法</w:t>
      </w:r>
    </w:p>
    <w:p>
      <w:pPr>
        <w:ind w:firstLine="411" w:firstLineChars="196"/>
        <w:rPr>
          <w:rFonts w:hint="eastAsia" w:ascii="ˎ̥" w:hAnsi="ˎ̥"/>
          <w:lang w:eastAsia="zh-CN"/>
        </w:rPr>
      </w:pPr>
      <w:bookmarkStart w:id="103" w:name="_Hlk72438142"/>
      <w:r>
        <w:rPr>
          <w:rFonts w:ascii="ˎ̥" w:hAnsi="ˎ̥"/>
        </w:rPr>
        <w:t>最低价法，</w:t>
      </w:r>
      <w:r>
        <w:rPr>
          <w:rFonts w:hint="eastAsia" w:ascii="ˎ̥" w:hAnsi="ˎ̥"/>
        </w:rPr>
        <w:t>是指投标文件满足招标文件全部实质性要求，且投标报价最低的投标人为中标候选人的评标方法</w:t>
      </w:r>
      <w:r>
        <w:rPr>
          <w:rFonts w:hint="eastAsia" w:ascii="ˎ̥" w:hAnsi="ˎ̥"/>
          <w:lang w:eastAsia="zh-CN"/>
        </w:rPr>
        <w:t>。</w:t>
      </w:r>
    </w:p>
    <w:p>
      <w:pPr>
        <w:ind w:firstLine="411" w:firstLineChars="196"/>
        <w:rPr>
          <w:rFonts w:hint="eastAsia" w:ascii="ˎ̥" w:hAnsi="ˎ̥" w:eastAsia="宋体"/>
          <w:lang w:eastAsia="zh-CN"/>
        </w:rPr>
      </w:pPr>
      <w:r>
        <w:rPr>
          <w:rFonts w:hint="eastAsia" w:ascii="ˎ̥" w:hAnsi="ˎ̥"/>
          <w:lang w:eastAsia="zh-CN"/>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pPr>
        <w:ind w:firstLine="413" w:firstLineChars="196"/>
        <w:rPr>
          <w:rFonts w:ascii="宋体" w:hAnsi="宋体"/>
          <w:b/>
          <w:bCs/>
          <w:szCs w:val="21"/>
        </w:rPr>
      </w:pPr>
      <w:r>
        <w:rPr>
          <w:rFonts w:hint="eastAsia" w:ascii="宋体" w:hAnsi="宋体"/>
          <w:b/>
          <w:bCs/>
          <w:szCs w:val="21"/>
        </w:rPr>
        <w:t>37.1.2综合评分法</w:t>
      </w:r>
    </w:p>
    <w:p>
      <w:pPr>
        <w:ind w:firstLine="411" w:firstLineChars="196"/>
        <w:rPr>
          <w:rFonts w:hint="eastAsia" w:ascii="ˎ̥" w:hAnsi="ˎ̥"/>
          <w:lang w:eastAsia="zh-CN"/>
        </w:rPr>
      </w:pPr>
      <w:r>
        <w:rPr>
          <w:rFonts w:ascii="ˎ̥" w:hAnsi="ˎ̥"/>
        </w:rPr>
        <w:t>综合评分法，是指</w:t>
      </w:r>
      <w:r>
        <w:rPr>
          <w:rFonts w:hint="eastAsia" w:ascii="ˎ̥" w:hAnsi="ˎ̥"/>
        </w:rPr>
        <w:t>在</w:t>
      </w:r>
      <w:r>
        <w:rPr>
          <w:rFonts w:ascii="ˎ̥" w:hAnsi="ˎ̥"/>
        </w:rPr>
        <w:t>满足招标文件全部实质性要求</w:t>
      </w:r>
      <w:r>
        <w:rPr>
          <w:rFonts w:hint="eastAsia" w:ascii="ˎ̥" w:hAnsi="ˎ̥"/>
        </w:rPr>
        <w:t>的前提下</w:t>
      </w:r>
      <w:r>
        <w:rPr>
          <w:rFonts w:ascii="ˎ̥" w:hAnsi="ˎ̥"/>
        </w:rPr>
        <w:t>，</w:t>
      </w:r>
      <w:r>
        <w:rPr>
          <w:rFonts w:hint="eastAsia" w:ascii="ˎ̥" w:hAnsi="ˎ̥"/>
        </w:rPr>
        <w:t>按照招标文件中规定的各项因素进行综合评审，评审总得分排名前列的投标人，作为推荐的候选中标供应商</w:t>
      </w:r>
      <w:bookmarkEnd w:id="103"/>
      <w:r>
        <w:rPr>
          <w:rFonts w:hint="eastAsia" w:ascii="ˎ̥" w:hAnsi="ˎ̥"/>
          <w:lang w:eastAsia="zh-CN"/>
        </w:rPr>
        <w:t>。</w:t>
      </w:r>
    </w:p>
    <w:p>
      <w:pPr>
        <w:ind w:firstLine="411" w:firstLineChars="196"/>
        <w:rPr>
          <w:rFonts w:hint="eastAsia" w:ascii="ˎ̥" w:hAnsi="ˎ̥"/>
          <w:lang w:eastAsia="zh-CN"/>
        </w:rPr>
      </w:pPr>
      <w:r>
        <w:rPr>
          <w:rFonts w:hint="eastAsia" w:ascii="ˎ̥" w:hAnsi="ˎ̥"/>
          <w:lang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pPr>
        <w:ind w:firstLine="413" w:firstLineChars="196"/>
        <w:rPr>
          <w:rFonts w:ascii="宋体" w:hAnsi="宋体"/>
          <w:b/>
          <w:bCs/>
          <w:szCs w:val="21"/>
        </w:rPr>
      </w:pPr>
      <w:r>
        <w:rPr>
          <w:rFonts w:hint="eastAsia" w:ascii="宋体" w:hAnsi="宋体"/>
          <w:b/>
          <w:bCs/>
          <w:szCs w:val="21"/>
        </w:rPr>
        <w:t>37.2本项目采用的评审方法见本项目招标文件第一册“专用条款”的相关内容。</w:t>
      </w:r>
    </w:p>
    <w:p>
      <w:pPr>
        <w:ind w:firstLine="413" w:firstLineChars="196"/>
        <w:rPr>
          <w:rFonts w:ascii="宋体" w:hAnsi="宋体"/>
          <w:b/>
          <w:bCs/>
          <w:szCs w:val="21"/>
        </w:rPr>
      </w:pPr>
      <w:r>
        <w:rPr>
          <w:rFonts w:hint="eastAsia" w:ascii="宋体" w:hAnsi="宋体"/>
          <w:b/>
          <w:bCs/>
          <w:szCs w:val="21"/>
        </w:rPr>
        <w:t>37.3重新评审的情形</w:t>
      </w:r>
    </w:p>
    <w:p>
      <w:pPr>
        <w:ind w:firstLine="411" w:firstLineChars="196"/>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11" w:firstLineChars="196"/>
        <w:rPr>
          <w:rFonts w:ascii="宋体" w:hAnsi="宋体" w:cs="宋体"/>
          <w:kern w:val="0"/>
          <w:szCs w:val="21"/>
        </w:rPr>
      </w:pPr>
      <w:r>
        <w:rPr>
          <w:rFonts w:hint="eastAsia" w:ascii="宋体" w:hAnsi="宋体" w:cs="宋体"/>
          <w:kern w:val="0"/>
          <w:szCs w:val="21"/>
        </w:rPr>
        <w:t>37.3.1分值汇总计算错误的；</w:t>
      </w:r>
    </w:p>
    <w:p>
      <w:pPr>
        <w:ind w:firstLine="411" w:firstLineChars="196"/>
        <w:rPr>
          <w:rFonts w:ascii="宋体" w:hAnsi="宋体" w:cs="宋体"/>
          <w:kern w:val="0"/>
          <w:szCs w:val="21"/>
        </w:rPr>
      </w:pPr>
      <w:r>
        <w:rPr>
          <w:rFonts w:hint="eastAsia" w:ascii="宋体" w:hAnsi="宋体" w:cs="宋体"/>
          <w:kern w:val="0"/>
          <w:szCs w:val="21"/>
        </w:rPr>
        <w:t>37.3.2分项评分超出评分标准范围的；</w:t>
      </w:r>
    </w:p>
    <w:p>
      <w:pPr>
        <w:ind w:firstLine="411" w:firstLineChars="196"/>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11" w:firstLineChars="196"/>
        <w:rPr>
          <w:rFonts w:ascii="宋体" w:hAnsi="宋体" w:cs="宋体"/>
          <w:kern w:val="0"/>
          <w:szCs w:val="21"/>
        </w:rPr>
      </w:pPr>
      <w:r>
        <w:rPr>
          <w:rFonts w:hint="eastAsia" w:ascii="宋体" w:hAnsi="宋体" w:cs="宋体"/>
          <w:kern w:val="0"/>
          <w:szCs w:val="21"/>
        </w:rPr>
        <w:t>37.3.4经评审委员会认定评分畸高、畸低的。</w:t>
      </w:r>
    </w:p>
    <w:p>
      <w:pPr>
        <w:ind w:firstLine="411" w:firstLineChars="196"/>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11" w:firstLineChars="196"/>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13" w:firstLineChars="196"/>
        <w:rPr>
          <w:rFonts w:ascii="宋体" w:hAnsi="宋体"/>
          <w:b/>
          <w:bCs/>
          <w:szCs w:val="21"/>
        </w:rPr>
      </w:pPr>
      <w:r>
        <w:rPr>
          <w:rFonts w:hint="eastAsia" w:ascii="宋体" w:hAnsi="宋体"/>
          <w:b/>
          <w:bCs/>
          <w:szCs w:val="21"/>
        </w:rPr>
        <w:t>37.4重新组建评审委员会的情形</w:t>
      </w:r>
    </w:p>
    <w:p>
      <w:pPr>
        <w:ind w:firstLine="411" w:firstLineChars="196"/>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11" w:firstLineChars="196"/>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11" w:firstLineChars="196"/>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11" w:firstLineChars="196"/>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11" w:firstLineChars="196"/>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11" w:firstLineChars="196"/>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6"/>
        <w:numPr>
          <w:ilvl w:val="0"/>
          <w:numId w:val="135"/>
        </w:numPr>
        <w:spacing w:before="120" w:beforeLines="50" w:after="120" w:afterLines="50"/>
        <w:ind w:left="562" w:hanging="562"/>
        <w:rPr>
          <w:sz w:val="28"/>
          <w:szCs w:val="28"/>
        </w:rPr>
      </w:pPr>
      <w:r>
        <w:rPr>
          <w:rFonts w:hint="eastAsia"/>
          <w:sz w:val="28"/>
          <w:szCs w:val="28"/>
        </w:rPr>
        <w:t>定标及公示</w:t>
      </w:r>
    </w:p>
    <w:p>
      <w:pPr>
        <w:rPr>
          <w:rFonts w:ascii="黑体" w:hAnsi="宋体" w:eastAsia="黑体"/>
          <w:sz w:val="24"/>
        </w:rPr>
      </w:pPr>
      <w:r>
        <w:rPr>
          <w:rFonts w:hint="eastAsia" w:ascii="黑体" w:hAnsi="宋体" w:eastAsia="黑体"/>
          <w:sz w:val="24"/>
        </w:rPr>
        <w:t>38．定标方法</w:t>
      </w:r>
    </w:p>
    <w:p>
      <w:pPr>
        <w:ind w:firstLine="411" w:firstLineChars="196"/>
        <w:rPr>
          <w:rFonts w:ascii="宋体" w:hAnsi="宋体"/>
          <w:szCs w:val="21"/>
        </w:rPr>
      </w:pPr>
      <w:bookmarkStart w:id="104" w:name="_Hlk73782795"/>
      <w:r>
        <w:rPr>
          <w:rFonts w:hint="eastAsia" w:ascii="宋体" w:hAnsi="宋体"/>
          <w:szCs w:val="21"/>
        </w:rPr>
        <w:t>38.1非评定分离项目定标方法</w:t>
      </w:r>
    </w:p>
    <w:p>
      <w:pPr>
        <w:ind w:firstLine="411" w:firstLineChars="196"/>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rPr>
        <w:t>采用最低价法的，评</w:t>
      </w:r>
      <w:r>
        <w:rPr>
          <w:rFonts w:hint="eastAsia" w:ascii="ˎ̥" w:hAnsi="ˎ̥"/>
        </w:rPr>
        <w:t>审</w:t>
      </w:r>
      <w:r>
        <w:rPr>
          <w:rFonts w:ascii="ˎ̥" w:hAnsi="ˎ̥"/>
        </w:rPr>
        <w:t>结果按投标报价由低到高顺序排列。投标报价相同的并列。投标文件满足招标文件全部实质性要求且投标报价最低的</w:t>
      </w:r>
      <w:r>
        <w:rPr>
          <w:rFonts w:hint="eastAsia" w:ascii="ˎ̥" w:hAnsi="ˎ̥"/>
        </w:rPr>
        <w:t>投标人为</w:t>
      </w:r>
      <w:bookmarkStart w:id="105" w:name="_Hlk73821177"/>
      <w:r>
        <w:rPr>
          <w:rFonts w:hint="eastAsia" w:ascii="ˎ̥" w:hAnsi="ˎ̥"/>
        </w:rPr>
        <w:t>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bookmarkEnd w:id="105"/>
      <w:r>
        <w:rPr>
          <w:rFonts w:ascii="ˎ̥" w:hAnsi="ˎ̥"/>
        </w:rPr>
        <w:t>）。</w:t>
      </w:r>
    </w:p>
    <w:p>
      <w:pPr>
        <w:ind w:firstLine="411" w:firstLineChars="196"/>
        <w:rPr>
          <w:rFonts w:ascii="ˎ̥" w:hAnsi="ˎ̥"/>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rPr>
        <w:t>为中标供应商</w:t>
      </w:r>
      <w:r>
        <w:rPr>
          <w:rFonts w:ascii="ˎ̥" w:hAnsi="ˎ̥"/>
        </w:rPr>
        <w:t>（</w:t>
      </w:r>
      <w:r>
        <w:rPr>
          <w:rFonts w:hint="eastAsia" w:ascii="ˎ̥" w:hAnsi="ˎ̥"/>
        </w:rPr>
        <w:t>排名</w:t>
      </w:r>
      <w:r>
        <w:rPr>
          <w:rFonts w:ascii="ˎ̥" w:hAnsi="ˎ̥"/>
        </w:rPr>
        <w:t>第二</w:t>
      </w:r>
      <w:r>
        <w:rPr>
          <w:rFonts w:hint="eastAsia" w:ascii="ˎ̥" w:hAnsi="ˎ̥"/>
        </w:rPr>
        <w:t>的投标人为第一替补中标候选人、排名</w:t>
      </w:r>
      <w:r>
        <w:rPr>
          <w:rFonts w:ascii="ˎ̥" w:hAnsi="ˎ̥"/>
        </w:rPr>
        <w:t>第</w:t>
      </w:r>
      <w:r>
        <w:rPr>
          <w:rFonts w:hint="eastAsia" w:ascii="ˎ̥" w:hAnsi="ˎ̥"/>
        </w:rPr>
        <w:t>三的投标人为第二替补中标候选人</w:t>
      </w:r>
      <w:r>
        <w:rPr>
          <w:rFonts w:ascii="ˎ̥" w:hAnsi="ˎ̥"/>
        </w:rPr>
        <w:t>）。</w:t>
      </w:r>
      <w:r>
        <w:rPr>
          <w:rFonts w:hint="eastAsia" w:ascii="ˎ̥" w:hAnsi="ˎ̥"/>
        </w:rPr>
        <w:t>出现</w:t>
      </w:r>
      <w:r>
        <w:rPr>
          <w:rFonts w:ascii="ˎ̥" w:hAnsi="ˎ̥"/>
        </w:rPr>
        <w:t>得分且投标报价相同的并列</w:t>
      </w:r>
      <w:r>
        <w:rPr>
          <w:rFonts w:hint="eastAsia" w:ascii="ˎ̥" w:hAnsi="ˎ̥"/>
        </w:rPr>
        <w:t>情况时，采取随机抽取的方式确定，具体操作办法及流程由评审委员会确定。</w:t>
      </w:r>
    </w:p>
    <w:p>
      <w:pPr>
        <w:ind w:firstLine="411" w:firstLineChars="196"/>
        <w:rPr>
          <w:rFonts w:ascii="宋体" w:hAnsi="宋体"/>
          <w:szCs w:val="21"/>
        </w:rPr>
      </w:pPr>
      <w:r>
        <w:rPr>
          <w:rFonts w:hint="eastAsia" w:ascii="宋体" w:hAnsi="宋体"/>
          <w:szCs w:val="21"/>
        </w:rPr>
        <w:t>38.2评定分离项目定标方法</w:t>
      </w:r>
    </w:p>
    <w:p>
      <w:pPr>
        <w:ind w:firstLine="411" w:firstLineChars="196"/>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11" w:firstLineChars="196"/>
      </w:pPr>
      <w:r>
        <w:rPr>
          <w:rFonts w:ascii="宋体" w:hAnsi="宋体"/>
          <w:szCs w:val="21"/>
        </w:rPr>
        <w:t xml:space="preserve">38.2.2 </w:t>
      </w:r>
      <w:bookmarkStart w:id="106" w:name="_Hlk71469733"/>
      <w:r>
        <w:t>适用评定分离的政府采购项目，采用综合评分法评</w:t>
      </w:r>
      <w:r>
        <w:rPr>
          <w:rFonts w:hint="eastAsia"/>
        </w:rPr>
        <w:t>审。</w:t>
      </w:r>
      <w:r>
        <w:rPr>
          <w:rFonts w:hint="eastAsia" w:ascii="宋体" w:hAnsi="宋体"/>
          <w:szCs w:val="21"/>
        </w:rPr>
        <w:t>评审委员会按照评审结果，推荐</w:t>
      </w:r>
      <w:r>
        <w:t>三个合格的候选中标供应商。</w:t>
      </w:r>
    </w:p>
    <w:p>
      <w:pPr>
        <w:ind w:firstLine="411" w:firstLineChars="196"/>
        <w:rPr>
          <w:rFonts w:ascii="宋体" w:hAnsi="宋体"/>
          <w:szCs w:val="21"/>
        </w:rPr>
      </w:pPr>
      <w:r>
        <w:rPr>
          <w:rFonts w:hint="eastAsia" w:ascii="宋体" w:hAnsi="宋体"/>
          <w:szCs w:val="21"/>
        </w:rPr>
        <w:t>38.2.3</w:t>
      </w:r>
      <w:bookmarkStart w:id="107" w:name="_Hlk71469688"/>
      <w:r>
        <w:t>适用评定分离的政府采购项目，</w:t>
      </w:r>
      <w:r>
        <w:rPr>
          <w:rFonts w:hint="eastAsia" w:ascii="宋体" w:hAnsi="宋体"/>
          <w:szCs w:val="21"/>
        </w:rPr>
        <w:t>按照自定法确定中标供应商：自定法是指采购人组织定标委员会，由定标委员会在三家候选中标供应商中确定中标供应商。</w:t>
      </w:r>
      <w:bookmarkEnd w:id="106"/>
      <w:bookmarkEnd w:id="107"/>
    </w:p>
    <w:p>
      <w:pPr>
        <w:ind w:firstLine="411" w:firstLineChars="196"/>
        <w:rPr>
          <w:rFonts w:ascii="宋体" w:hAnsi="宋体"/>
          <w:szCs w:val="21"/>
        </w:rPr>
      </w:pPr>
      <w:r>
        <w:rPr>
          <w:rFonts w:ascii="宋体" w:hAnsi="宋体"/>
          <w:szCs w:val="21"/>
        </w:rPr>
        <w:t>38.2.4</w:t>
      </w:r>
      <w:r>
        <w:rPr>
          <w:rFonts w:hint="eastAsia" w:ascii="宋体" w:hAnsi="宋体"/>
          <w:szCs w:val="21"/>
        </w:rPr>
        <w:t>政府集中采购机构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政府集中采购机构。具体定标程序及相关要求以按照《深圳市财政局关于</w:t>
      </w:r>
      <w:r>
        <w:rPr>
          <w:rFonts w:hint="eastAsia"/>
          <w:lang w:val="en-US" w:eastAsia="zh-CN"/>
        </w:rPr>
        <w:t>&lt;</w:t>
      </w:r>
      <w:r>
        <w:rPr>
          <w:rFonts w:hint="eastAsia"/>
        </w:rPr>
        <w:t>深圳市政府采购评标定标分离管理办法</w:t>
      </w:r>
      <w:r>
        <w:rPr>
          <w:rFonts w:hint="eastAsia"/>
          <w:lang w:val="en-US" w:eastAsia="zh-CN"/>
        </w:rPr>
        <w:t>&gt;</w:t>
      </w:r>
      <w:r>
        <w:rPr>
          <w:rFonts w:hint="eastAsia"/>
        </w:rPr>
        <w:t>续期的通知》（深财规〔2023〕1号）执行。</w:t>
      </w:r>
    </w:p>
    <w:p>
      <w:pPr>
        <w:ind w:firstLine="411" w:firstLineChars="196"/>
        <w:rPr>
          <w:rFonts w:ascii="宋体" w:hAnsi="宋体"/>
          <w:szCs w:val="21"/>
        </w:rPr>
      </w:pPr>
      <w:r>
        <w:rPr>
          <w:rFonts w:hint="eastAsia" w:ascii="宋体" w:hAnsi="宋体"/>
          <w:szCs w:val="21"/>
        </w:rPr>
        <w:t>说明：采购人及投标供应商应按照上述方法提前做好相关准备。</w:t>
      </w:r>
    </w:p>
    <w:p>
      <w:pPr>
        <w:ind w:firstLine="411" w:firstLineChars="196"/>
        <w:rPr>
          <w:rFonts w:ascii="宋体" w:hAnsi="宋体"/>
          <w:szCs w:val="21"/>
        </w:rPr>
      </w:pPr>
      <w:r>
        <w:rPr>
          <w:rFonts w:hint="eastAsia" w:ascii="宋体" w:hAnsi="宋体"/>
          <w:szCs w:val="21"/>
        </w:rPr>
        <w:t>38.3专用条款另有规定的，按专用条款相关要求定标。</w:t>
      </w:r>
      <w:bookmarkEnd w:id="104"/>
    </w:p>
    <w:p>
      <w:pPr>
        <w:rPr>
          <w:rFonts w:ascii="黑体" w:hAnsi="宋体" w:eastAsia="黑体"/>
          <w:sz w:val="24"/>
        </w:rPr>
      </w:pPr>
      <w:r>
        <w:rPr>
          <w:rFonts w:hint="eastAsia" w:ascii="黑体" w:hAnsi="宋体" w:eastAsia="黑体"/>
          <w:sz w:val="24"/>
        </w:rPr>
        <w:t>39．编写评审报告</w:t>
      </w:r>
    </w:p>
    <w:p>
      <w:pPr>
        <w:ind w:firstLine="411" w:firstLineChars="196"/>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rPr>
          <w:rFonts w:ascii="黑体" w:hAnsi="宋体" w:eastAsia="黑体"/>
          <w:sz w:val="24"/>
        </w:rPr>
      </w:pPr>
      <w:r>
        <w:rPr>
          <w:rFonts w:hint="eastAsia" w:ascii="黑体" w:hAnsi="宋体" w:eastAsia="黑体"/>
          <w:sz w:val="24"/>
        </w:rPr>
        <w:t>40．中标公告</w:t>
      </w:r>
    </w:p>
    <w:p>
      <w:pPr>
        <w:ind w:firstLine="411" w:firstLineChars="196"/>
        <w:rPr>
          <w:rFonts w:ascii="宋体" w:hAnsi="宋体"/>
          <w:szCs w:val="21"/>
        </w:rPr>
      </w:pPr>
      <w:r>
        <w:rPr>
          <w:rFonts w:hint="eastAsia" w:ascii="宋体" w:hAnsi="宋体"/>
          <w:szCs w:val="21"/>
        </w:rPr>
        <w:t>40.1</w:t>
      </w:r>
      <w:bookmarkStart w:id="108" w:name="_Hlk72438709"/>
      <w:r>
        <w:rPr>
          <w:rFonts w:hint="eastAsia" w:ascii="宋体" w:hAnsi="宋体"/>
          <w:szCs w:val="21"/>
        </w:rPr>
        <w:t>为体现“公开、公平、公正”的原则，评审结束后经采购人确认（确定）评审结果，政府集中采购机构将在</w:t>
      </w:r>
      <w:r>
        <w:rPr>
          <w:rFonts w:hint="eastAsia" w:ascii="宋体" w:hAnsi="宋体"/>
          <w:b/>
          <w:bCs/>
          <w:szCs w:val="21"/>
        </w:rPr>
        <w:t>深圳公共资源交易网（https://szggzy.com/）</w:t>
      </w:r>
      <w:r>
        <w:rPr>
          <w:rFonts w:hint="eastAsia" w:ascii="宋体" w:hAnsi="宋体"/>
          <w:szCs w:val="21"/>
        </w:rPr>
        <w:t>上发布中标结果公告。</w:t>
      </w:r>
      <w:bookmarkEnd w:id="108"/>
      <w:bookmarkStart w:id="109"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 监督电话：0755-83948143。</w:t>
      </w:r>
      <w:r>
        <w:rPr>
          <w:rFonts w:hint="eastAsia" w:ascii="宋体" w:hAnsi="宋体"/>
          <w:szCs w:val="21"/>
        </w:rPr>
        <w:t>若在公示期内未提出质疑，则视为认同该评审结果。</w:t>
      </w:r>
    </w:p>
    <w:bookmarkEnd w:id="109"/>
    <w:p>
      <w:pPr>
        <w:ind w:firstLine="411" w:firstLineChars="196"/>
        <w:rPr>
          <w:rFonts w:ascii="宋体" w:hAnsi="宋体"/>
          <w:szCs w:val="21"/>
        </w:rPr>
      </w:pPr>
      <w:r>
        <w:rPr>
          <w:rFonts w:hint="eastAsia" w:ascii="宋体" w:hAnsi="宋体"/>
          <w:szCs w:val="21"/>
        </w:rPr>
        <w:t>40.2质疑、投诉供应商应保证质疑、投诉内容的真实性和可靠性，并承担相应的法律责任。</w:t>
      </w:r>
    </w:p>
    <w:p>
      <w:pPr>
        <w:rPr>
          <w:rFonts w:ascii="黑体" w:hAnsi="宋体" w:eastAsia="黑体"/>
          <w:sz w:val="24"/>
        </w:rPr>
      </w:pPr>
      <w:r>
        <w:rPr>
          <w:rFonts w:hint="eastAsia" w:ascii="黑体" w:hAnsi="宋体" w:eastAsia="黑体"/>
          <w:sz w:val="24"/>
        </w:rPr>
        <w:t>41．中标通知书</w:t>
      </w:r>
    </w:p>
    <w:p>
      <w:pPr>
        <w:ind w:firstLine="411" w:firstLineChars="196"/>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0" w:name="_Hlk72438863"/>
      <w:r>
        <w:rPr>
          <w:rFonts w:hint="eastAsia" w:ascii="宋体" w:hAnsi="宋体"/>
          <w:szCs w:val="21"/>
        </w:rPr>
        <w:t>中标公告公布以后无异常的情况下,中标供应商和采购人可自行在</w:t>
      </w:r>
      <w:r>
        <w:rPr>
          <w:rFonts w:hint="eastAsia" w:ascii="宋体" w:hAnsi="宋体"/>
          <w:b/>
          <w:bCs/>
          <w:szCs w:val="21"/>
        </w:rPr>
        <w:t>“深圳政府采购智慧平台（http://zfcg.szggzy.com/）”</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0"/>
    </w:p>
    <w:p>
      <w:pPr>
        <w:ind w:firstLine="411" w:firstLineChars="196"/>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11" w:firstLineChars="196"/>
        <w:rPr>
          <w:rFonts w:ascii="宋体" w:hAnsi="宋体"/>
          <w:szCs w:val="21"/>
        </w:rPr>
      </w:pPr>
      <w:bookmarkStart w:id="111" w:name="_Hlk71407340"/>
      <w:r>
        <w:rPr>
          <w:rFonts w:hint="eastAsia" w:ascii="宋体" w:hAnsi="宋体"/>
          <w:szCs w:val="21"/>
        </w:rPr>
        <w:t>41.3因质疑投诉或其它原因导致项目结果变更或采购终止的，政府集中采购机构有权吊销中标通知书。</w:t>
      </w:r>
    </w:p>
    <w:bookmarkEnd w:id="111"/>
    <w:p>
      <w:pPr>
        <w:ind w:firstLine="411" w:firstLineChars="196"/>
        <w:rPr>
          <w:rFonts w:ascii="宋体" w:hAnsi="宋体"/>
          <w:szCs w:val="21"/>
        </w:rPr>
      </w:pPr>
    </w:p>
    <w:p>
      <w:pPr>
        <w:pStyle w:val="6"/>
        <w:numPr>
          <w:ilvl w:val="0"/>
          <w:numId w:val="135"/>
        </w:numPr>
        <w:spacing w:before="120" w:beforeLines="50" w:after="120" w:afterLines="50"/>
        <w:ind w:left="562" w:hanging="562"/>
        <w:rPr>
          <w:sz w:val="28"/>
          <w:szCs w:val="28"/>
        </w:rPr>
      </w:pPr>
      <w:r>
        <w:rPr>
          <w:rFonts w:hint="eastAsia"/>
          <w:sz w:val="28"/>
          <w:szCs w:val="28"/>
        </w:rPr>
        <w:t>公开招标失败的后续处理</w:t>
      </w:r>
    </w:p>
    <w:p>
      <w:pPr>
        <w:rPr>
          <w:rFonts w:ascii="黑体" w:hAnsi="宋体" w:eastAsia="黑体"/>
          <w:sz w:val="24"/>
        </w:rPr>
      </w:pPr>
      <w:r>
        <w:rPr>
          <w:rFonts w:hint="eastAsia" w:ascii="黑体" w:hAnsi="宋体" w:eastAsia="黑体"/>
          <w:sz w:val="24"/>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（2）根据实际情况需要向同级财政部门提出非公开招标方式申请，经同级财政部门批准，公开招标失败采购项目可转为竞争性谈判或单一来源谈判方式采购。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rPr>
          <w:rFonts w:ascii="宋体" w:hAnsi="宋体"/>
        </w:rPr>
      </w:pPr>
      <w:r>
        <w:rPr>
          <w:rFonts w:hint="eastAsia" w:ascii="黑体" w:hAnsi="宋体" w:eastAsia="黑体"/>
          <w:sz w:val="24"/>
        </w:rPr>
        <w:t xml:space="preserve">    </w:t>
      </w:r>
      <w:r>
        <w:rPr>
          <w:rFonts w:hint="eastAsia" w:ascii="宋体" w:hAnsi="宋体"/>
        </w:rPr>
        <w:t>42.5公开招标失败的采购项目经同级财政部门批准转为竞争性谈判或单一来源谈判方式采购的，按规定要求组织政府采购工作。</w:t>
      </w:r>
    </w:p>
    <w:p>
      <w:pPr>
        <w:rPr>
          <w:rFonts w:ascii="黑体" w:hAnsi="宋体" w:eastAsia="黑体"/>
          <w:sz w:val="24"/>
        </w:rPr>
      </w:pPr>
    </w:p>
    <w:p>
      <w:pPr>
        <w:pStyle w:val="6"/>
        <w:numPr>
          <w:ilvl w:val="0"/>
          <w:numId w:val="135"/>
        </w:numPr>
        <w:spacing w:before="120" w:beforeLines="50" w:after="120" w:afterLines="50"/>
        <w:ind w:left="562" w:hanging="562"/>
        <w:rPr>
          <w:sz w:val="28"/>
          <w:szCs w:val="28"/>
        </w:rPr>
      </w:pPr>
      <w:bookmarkStart w:id="112" w:name="_Hlk72439043"/>
      <w:r>
        <w:rPr>
          <w:rFonts w:hint="eastAsia"/>
          <w:sz w:val="28"/>
          <w:szCs w:val="28"/>
        </w:rPr>
        <w:t>合同的授予与备案</w:t>
      </w:r>
      <w:bookmarkEnd w:id="112"/>
    </w:p>
    <w:p>
      <w:pPr>
        <w:rPr>
          <w:rFonts w:ascii="黑体" w:hAnsi="宋体" w:eastAsia="黑体"/>
          <w:sz w:val="24"/>
        </w:rPr>
      </w:pPr>
      <w:bookmarkStart w:id="113" w:name="_Toc73521674"/>
      <w:bookmarkStart w:id="114" w:name="_Toc73521586"/>
      <w:bookmarkStart w:id="115" w:name="_Toc73517679"/>
      <w:bookmarkStart w:id="116" w:name="_Toc100052408"/>
      <w:bookmarkStart w:id="117" w:name="_Toc73518157"/>
      <w:bookmarkStart w:id="118" w:name="_Hlk72439088"/>
      <w:r>
        <w:rPr>
          <w:rFonts w:hint="eastAsia" w:ascii="黑体" w:hAnsi="宋体" w:eastAsia="黑体"/>
          <w:sz w:val="24"/>
        </w:rPr>
        <w:t>43．合同授予标准</w:t>
      </w:r>
      <w:bookmarkEnd w:id="113"/>
      <w:bookmarkEnd w:id="114"/>
      <w:bookmarkEnd w:id="115"/>
      <w:bookmarkEnd w:id="116"/>
      <w:bookmarkEnd w:id="117"/>
    </w:p>
    <w:p>
      <w:pPr>
        <w:ind w:firstLine="411" w:firstLineChars="196"/>
        <w:rPr>
          <w:rFonts w:ascii="宋体" w:hAnsi="宋体"/>
          <w:szCs w:val="21"/>
        </w:rPr>
      </w:pPr>
      <w:r>
        <w:rPr>
          <w:rFonts w:hint="eastAsia" w:ascii="宋体" w:hAnsi="宋体"/>
          <w:szCs w:val="21"/>
        </w:rPr>
        <w:t>本项目的合同将授予经本招标文件规定评审确定的中标供应商。</w:t>
      </w:r>
    </w:p>
    <w:p>
      <w:pPr>
        <w:rPr>
          <w:rFonts w:ascii="黑体" w:hAnsi="宋体" w:eastAsia="黑体"/>
          <w:sz w:val="24"/>
        </w:rPr>
      </w:pPr>
      <w:bookmarkStart w:id="119" w:name="_Toc73518158"/>
      <w:bookmarkStart w:id="120" w:name="_Toc73521675"/>
      <w:bookmarkStart w:id="121" w:name="_Toc100052409"/>
      <w:bookmarkStart w:id="122" w:name="_Toc73521587"/>
      <w:bookmarkStart w:id="123" w:name="_Toc73517680"/>
      <w:r>
        <w:rPr>
          <w:rFonts w:hint="eastAsia" w:ascii="黑体" w:hAnsi="宋体" w:eastAsia="黑体"/>
          <w:sz w:val="24"/>
        </w:rPr>
        <w:t>44．</w:t>
      </w:r>
      <w:bookmarkEnd w:id="119"/>
      <w:bookmarkEnd w:id="120"/>
      <w:bookmarkEnd w:id="121"/>
      <w:bookmarkEnd w:id="122"/>
      <w:bookmarkEnd w:id="123"/>
      <w:r>
        <w:rPr>
          <w:rFonts w:hint="eastAsia" w:ascii="黑体" w:hAnsi="宋体" w:eastAsia="黑体"/>
          <w:sz w:val="24"/>
        </w:rPr>
        <w:t>接受和拒绝任何或所有投标的权力</w:t>
      </w:r>
    </w:p>
    <w:p>
      <w:pPr>
        <w:ind w:firstLine="411" w:firstLineChars="196"/>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rPr>
          <w:rFonts w:ascii="黑体" w:hAnsi="宋体" w:eastAsia="黑体"/>
          <w:sz w:val="24"/>
        </w:rPr>
      </w:pPr>
      <w:bookmarkStart w:id="124" w:name="_Toc73517682"/>
      <w:bookmarkStart w:id="125" w:name="_Toc100052410"/>
      <w:bookmarkStart w:id="126" w:name="_Toc73521677"/>
      <w:bookmarkStart w:id="127" w:name="_Toc73521589"/>
      <w:bookmarkStart w:id="128" w:name="_Toc73518160"/>
      <w:r>
        <w:rPr>
          <w:rFonts w:hint="eastAsia" w:ascii="黑体" w:hAnsi="宋体" w:eastAsia="黑体"/>
          <w:sz w:val="24"/>
        </w:rPr>
        <w:t>45．合同的签订</w:t>
      </w:r>
      <w:bookmarkEnd w:id="124"/>
      <w:bookmarkEnd w:id="125"/>
      <w:bookmarkEnd w:id="126"/>
      <w:bookmarkEnd w:id="127"/>
      <w:bookmarkEnd w:id="128"/>
    </w:p>
    <w:p>
      <w:pPr>
        <w:ind w:firstLine="411" w:firstLineChars="196"/>
        <w:rPr>
          <w:rFonts w:ascii="宋体" w:hAnsi="宋体"/>
          <w:szCs w:val="21"/>
        </w:rPr>
      </w:pPr>
      <w:r>
        <w:rPr>
          <w:rFonts w:hint="eastAsia" w:ascii="宋体" w:hAnsi="宋体"/>
          <w:szCs w:val="21"/>
        </w:rPr>
        <w:t>45.1中标人将于中标通知书发出之日起十个工作日内，按照采购文件（招标文件和投标文件等）内容与采购人签订政府采购合同；合同的实质性内容应当符合招标文件的规定；</w:t>
      </w:r>
    </w:p>
    <w:p>
      <w:pPr>
        <w:ind w:firstLine="411" w:firstLineChars="196"/>
        <w:rPr>
          <w:rFonts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pPr>
        <w:ind w:firstLine="411" w:firstLineChars="196"/>
        <w:rPr>
          <w:rFonts w:ascii="宋体" w:hAnsi="宋体"/>
          <w:szCs w:val="21"/>
        </w:rPr>
      </w:pPr>
      <w:r>
        <w:rPr>
          <w:rFonts w:hint="eastAsia" w:ascii="宋体" w:hAnsi="宋体"/>
          <w:szCs w:val="21"/>
        </w:rPr>
        <w:t>45.3中标人应当按照合同约定履行义务，完成中标项目，不得将中标项目转让（转包）给他人。</w:t>
      </w:r>
    </w:p>
    <w:p>
      <w:pPr>
        <w:rPr>
          <w:rFonts w:ascii="黑体" w:hAnsi="宋体" w:eastAsia="黑体"/>
          <w:sz w:val="24"/>
        </w:rPr>
      </w:pPr>
      <w:bookmarkStart w:id="129" w:name="_Toc100052411"/>
      <w:bookmarkStart w:id="130" w:name="_Toc73521678"/>
      <w:bookmarkStart w:id="131" w:name="_Toc73521590"/>
      <w:bookmarkStart w:id="132" w:name="_Toc73518161"/>
      <w:bookmarkStart w:id="133" w:name="_Toc73517683"/>
      <w:r>
        <w:rPr>
          <w:rFonts w:hint="eastAsia" w:ascii="黑体" w:hAnsi="宋体" w:eastAsia="黑体"/>
          <w:sz w:val="24"/>
        </w:rPr>
        <w:t>46．履约担保</w:t>
      </w:r>
      <w:bookmarkEnd w:id="129"/>
      <w:bookmarkEnd w:id="130"/>
      <w:bookmarkEnd w:id="131"/>
      <w:bookmarkEnd w:id="132"/>
      <w:bookmarkEnd w:id="133"/>
    </w:p>
    <w:p>
      <w:pPr>
        <w:ind w:firstLine="411" w:firstLineChars="196"/>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11" w:firstLineChars="196"/>
        <w:rPr>
          <w:rFonts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pPr>
        <w:rPr>
          <w:rFonts w:ascii="黑体" w:hAnsi="宋体" w:eastAsia="黑体"/>
          <w:sz w:val="24"/>
        </w:rPr>
      </w:pPr>
      <w:r>
        <w:rPr>
          <w:rFonts w:hint="eastAsia" w:ascii="黑体" w:hAnsi="宋体" w:eastAsia="黑体"/>
          <w:sz w:val="24"/>
        </w:rPr>
        <w:t>47. 合同备案</w:t>
      </w:r>
    </w:p>
    <w:p>
      <w:pPr>
        <w:ind w:firstLine="420" w:firstLineChars="200"/>
        <w:rPr>
          <w:rFonts w:hint="eastAsia" w:ascii="宋体" w:hAnsi="宋体" w:eastAsia="宋体" w:cs="Times New Roman"/>
          <w:kern w:val="2"/>
          <w:sz w:val="21"/>
          <w:szCs w:val="21"/>
          <w:lang w:val="en-US" w:eastAsia="zh-CN"/>
        </w:rPr>
      </w:pPr>
      <w:r>
        <w:rPr>
          <w:rFonts w:hint="eastAsia" w:ascii="宋体" w:hAnsi="宋体" w:eastAsia="宋体" w:cs="Times New Roman"/>
          <w:kern w:val="2"/>
          <w:sz w:val="21"/>
          <w:szCs w:val="21"/>
          <w:lang w:eastAsia="zh-Hans"/>
        </w:rPr>
        <w:t>采购人与中标供应商自中标通知书发出之日起10个工作日内签订政府采购合同，</w:t>
      </w:r>
      <w:r>
        <w:rPr>
          <w:rFonts w:hint="eastAsia" w:ascii="宋体" w:hAnsi="宋体" w:eastAsia="宋体" w:cs="Times New Roman"/>
          <w:kern w:val="2"/>
          <w:sz w:val="21"/>
          <w:szCs w:val="21"/>
          <w:lang w:val="en-US" w:eastAsia="zh-CN"/>
        </w:rPr>
        <w:t>并按财政部门规定提交备案。</w:t>
      </w:r>
    </w:p>
    <w:p>
      <w:pPr>
        <w:rPr>
          <w:rFonts w:ascii="黑体" w:hAnsi="宋体" w:eastAsia="黑体"/>
          <w:sz w:val="24"/>
        </w:rPr>
      </w:pPr>
      <w:r>
        <w:rPr>
          <w:rFonts w:hint="eastAsia" w:ascii="黑体" w:hAnsi="宋体" w:eastAsia="黑体"/>
          <w:sz w:val="24"/>
        </w:rPr>
        <w:t>48. 合同变更</w:t>
      </w:r>
    </w:p>
    <w:p>
      <w:pPr>
        <w:ind w:firstLine="411" w:firstLineChars="196"/>
        <w:rPr>
          <w:rFonts w:ascii="宋体" w:hAnsi="宋体"/>
          <w:szCs w:val="21"/>
        </w:rPr>
      </w:pPr>
      <w:r>
        <w:rPr>
          <w:rFonts w:hint="eastAsia" w:ascii="宋体" w:hAnsi="宋体"/>
          <w:szCs w:val="21"/>
        </w:rPr>
        <w:t>合同变更事宜按《深圳市财政局关于优化政府采购合同备案的通知》（深财发保〔2022〕2号）相关规定执行。</w:t>
      </w:r>
    </w:p>
    <w:p>
      <w:pPr>
        <w:rPr>
          <w:rFonts w:ascii="黑体" w:hAnsi="宋体" w:eastAsia="黑体"/>
          <w:sz w:val="24"/>
        </w:rPr>
      </w:pPr>
      <w:r>
        <w:rPr>
          <w:rFonts w:hint="eastAsia" w:ascii="黑体" w:hAnsi="宋体" w:eastAsia="黑体"/>
          <w:sz w:val="24"/>
        </w:rPr>
        <w:t>49. 项目验收</w:t>
      </w:r>
    </w:p>
    <w:p>
      <w:pPr>
        <w:widowControl/>
        <w:ind w:right="176" w:firstLine="420"/>
        <w:jc w:val="left"/>
        <w:rPr>
          <w:rFonts w:ascii="宋体" w:hAnsi="宋体"/>
        </w:rPr>
      </w:pPr>
      <w:r>
        <w:rPr>
          <w:rFonts w:hint="eastAsia" w:ascii="宋体" w:hAnsi="宋体"/>
        </w:rPr>
        <w:t>49.1采购人应当按照招标文件和合同规定的标准和方法，及时组织验收。</w:t>
      </w:r>
      <w:r>
        <w:rPr>
          <w:rFonts w:ascii="宋体" w:hAnsi="宋体"/>
        </w:rPr>
        <w:t xml:space="preserve"> </w:t>
      </w:r>
    </w:p>
    <w:p>
      <w:pPr>
        <w:rPr>
          <w:rFonts w:ascii="黑体" w:hAnsi="宋体" w:eastAsia="黑体"/>
          <w:sz w:val="24"/>
        </w:rPr>
      </w:pPr>
      <w:r>
        <w:rPr>
          <w:rFonts w:hint="eastAsia" w:ascii="黑体" w:hAnsi="宋体" w:eastAsia="黑体"/>
          <w:sz w:val="24"/>
        </w:rPr>
        <w:t>50. 宣传</w:t>
      </w:r>
    </w:p>
    <w:p>
      <w:pPr>
        <w:ind w:left="210" w:leftChars="100" w:firstLine="411" w:firstLineChars="196"/>
        <w:rPr>
          <w:rFonts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rPr>
        <w:t>同级财政部门</w:t>
      </w:r>
      <w:r>
        <w:rPr>
          <w:rFonts w:ascii="宋体" w:hAnsi="宋体"/>
        </w:rPr>
        <w:t>和</w:t>
      </w:r>
      <w:r>
        <w:rPr>
          <w:rFonts w:hint="eastAsia" w:ascii="宋体" w:hAnsi="宋体"/>
        </w:rPr>
        <w:t>政府集中采购机构</w:t>
      </w:r>
      <w:r>
        <w:rPr>
          <w:rFonts w:ascii="宋体" w:hAnsi="宋体"/>
        </w:rPr>
        <w:t>，并征得其同意。对外市场宣传包括但不限于以下形式：</w:t>
      </w:r>
    </w:p>
    <w:p>
      <w:pPr>
        <w:ind w:left="210" w:leftChars="100" w:firstLine="411" w:firstLineChars="196"/>
        <w:rPr>
          <w:rFonts w:ascii="宋体" w:hAnsi="宋体"/>
        </w:rPr>
      </w:pPr>
      <w:r>
        <w:rPr>
          <w:rFonts w:ascii="宋体" w:hAnsi="宋体"/>
        </w:rPr>
        <w:t>a.名片、宣传册、广告标语等；</w:t>
      </w:r>
    </w:p>
    <w:p>
      <w:pPr>
        <w:ind w:left="210" w:leftChars="100" w:firstLine="411" w:firstLineChars="196"/>
        <w:rPr>
          <w:rFonts w:ascii="宋体" w:hAnsi="宋体"/>
        </w:rPr>
      </w:pPr>
      <w:r>
        <w:rPr>
          <w:rFonts w:ascii="宋体" w:hAnsi="宋体"/>
        </w:rPr>
        <w:t>b.案例介绍、推广等；</w:t>
      </w:r>
    </w:p>
    <w:p>
      <w:pPr>
        <w:ind w:left="210" w:leftChars="100" w:firstLine="411" w:firstLineChars="196"/>
        <w:rPr>
          <w:rFonts w:ascii="宋体" w:hAnsi="宋体"/>
        </w:rPr>
      </w:pPr>
      <w:r>
        <w:rPr>
          <w:rFonts w:hint="eastAsia" w:ascii="宋体" w:hAnsi="宋体"/>
        </w:rPr>
        <w:t>c.工作</w:t>
      </w:r>
      <w:r>
        <w:rPr>
          <w:rFonts w:ascii="宋体" w:hAnsi="宋体"/>
        </w:rPr>
        <w:t>人员向其他消费群体宣传。</w:t>
      </w:r>
    </w:p>
    <w:p>
      <w:pPr>
        <w:rPr>
          <w:rFonts w:ascii="黑体" w:hAnsi="宋体" w:eastAsia="黑体"/>
          <w:sz w:val="24"/>
        </w:rPr>
      </w:pPr>
      <w:r>
        <w:rPr>
          <w:rFonts w:hint="eastAsia" w:ascii="黑体" w:hAnsi="宋体" w:eastAsia="黑体"/>
          <w:sz w:val="24"/>
        </w:rPr>
        <w:t>51. 供应商违法责任</w:t>
      </w:r>
    </w:p>
    <w:p>
      <w:pPr>
        <w:ind w:firstLine="411" w:firstLineChars="196"/>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11" w:firstLineChars="196"/>
        <w:rPr>
          <w:rFonts w:ascii="宋体" w:hAnsi="宋体"/>
          <w:szCs w:val="21"/>
        </w:rPr>
      </w:pPr>
      <w:r>
        <w:rPr>
          <w:rFonts w:hint="eastAsia" w:ascii="宋体" w:hAnsi="宋体"/>
          <w:szCs w:val="21"/>
        </w:rPr>
        <w:t>（1）在采购活动中应当回避而未回避的；</w:t>
      </w:r>
    </w:p>
    <w:p>
      <w:pPr>
        <w:ind w:firstLine="411" w:firstLineChars="196"/>
        <w:rPr>
          <w:rFonts w:ascii="宋体" w:hAnsi="宋体"/>
          <w:szCs w:val="21"/>
        </w:rPr>
      </w:pPr>
      <w:r>
        <w:rPr>
          <w:rFonts w:hint="eastAsia" w:ascii="宋体" w:hAnsi="宋体"/>
          <w:szCs w:val="21"/>
        </w:rPr>
        <w:t>（2）未按本条例规定签订、履行采购合同，造成严重后果的；</w:t>
      </w:r>
    </w:p>
    <w:p>
      <w:pPr>
        <w:ind w:firstLine="411" w:firstLineChars="196"/>
        <w:rPr>
          <w:rFonts w:ascii="宋体" w:hAnsi="宋体"/>
          <w:szCs w:val="21"/>
        </w:rPr>
      </w:pPr>
      <w:r>
        <w:rPr>
          <w:rFonts w:hint="eastAsia" w:ascii="宋体" w:hAnsi="宋体"/>
          <w:szCs w:val="21"/>
        </w:rPr>
        <w:t>（3）隐瞒真实情况，提供虚假资料的；</w:t>
      </w:r>
    </w:p>
    <w:p>
      <w:pPr>
        <w:ind w:firstLine="411" w:firstLineChars="196"/>
        <w:rPr>
          <w:rFonts w:ascii="宋体" w:hAnsi="宋体"/>
          <w:szCs w:val="21"/>
        </w:rPr>
      </w:pPr>
      <w:r>
        <w:rPr>
          <w:rFonts w:hint="eastAsia" w:ascii="宋体" w:hAnsi="宋体"/>
          <w:szCs w:val="21"/>
        </w:rPr>
        <w:t>（4）以非法手段排斥其他供应商参与竞争的；</w:t>
      </w:r>
    </w:p>
    <w:p>
      <w:pPr>
        <w:ind w:firstLine="411" w:firstLineChars="196"/>
        <w:rPr>
          <w:rFonts w:ascii="宋体" w:hAnsi="宋体"/>
          <w:szCs w:val="21"/>
        </w:rPr>
      </w:pPr>
      <w:r>
        <w:rPr>
          <w:rFonts w:hint="eastAsia" w:ascii="宋体" w:hAnsi="宋体"/>
          <w:szCs w:val="21"/>
        </w:rPr>
        <w:t>（5）与其他采购参加人串通投标的；</w:t>
      </w:r>
    </w:p>
    <w:p>
      <w:pPr>
        <w:ind w:firstLine="411" w:firstLineChars="196"/>
        <w:rPr>
          <w:rFonts w:ascii="宋体" w:hAnsi="宋体"/>
          <w:szCs w:val="21"/>
        </w:rPr>
      </w:pPr>
      <w:r>
        <w:rPr>
          <w:rFonts w:hint="eastAsia" w:ascii="宋体" w:hAnsi="宋体"/>
          <w:szCs w:val="21"/>
        </w:rPr>
        <w:t>（6）恶意投诉的；</w:t>
      </w:r>
    </w:p>
    <w:p>
      <w:pPr>
        <w:ind w:firstLine="411" w:firstLineChars="196"/>
        <w:rPr>
          <w:rFonts w:ascii="宋体" w:hAnsi="宋体"/>
          <w:szCs w:val="21"/>
        </w:rPr>
      </w:pPr>
      <w:r>
        <w:rPr>
          <w:rFonts w:hint="eastAsia" w:ascii="宋体" w:hAnsi="宋体"/>
          <w:szCs w:val="21"/>
        </w:rPr>
        <w:t>（7）向采购项目相关人行贿或者提供其他不当利益的；</w:t>
      </w:r>
    </w:p>
    <w:p>
      <w:pPr>
        <w:ind w:firstLine="411" w:firstLineChars="196"/>
        <w:rPr>
          <w:rFonts w:ascii="宋体" w:hAnsi="宋体"/>
          <w:szCs w:val="21"/>
        </w:rPr>
      </w:pPr>
      <w:r>
        <w:rPr>
          <w:rFonts w:hint="eastAsia" w:ascii="宋体" w:hAnsi="宋体"/>
          <w:szCs w:val="21"/>
        </w:rPr>
        <w:t>（8）阻碍、抗拒主管部门监督检查的；</w:t>
      </w:r>
    </w:p>
    <w:p>
      <w:pPr>
        <w:ind w:firstLine="411" w:firstLineChars="196"/>
        <w:rPr>
          <w:rFonts w:ascii="宋体" w:hAnsi="宋体"/>
          <w:szCs w:val="21"/>
        </w:rPr>
      </w:pPr>
      <w:r>
        <w:rPr>
          <w:rFonts w:hint="eastAsia" w:ascii="宋体" w:hAnsi="宋体"/>
          <w:szCs w:val="21"/>
        </w:rPr>
        <w:t>（9）其他违反本条例规定的行为。</w:t>
      </w:r>
    </w:p>
    <w:p>
      <w:pPr>
        <w:ind w:firstLine="411" w:firstLineChars="196"/>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号）的要求，供应商在政府采购活动中出现《深圳经济特区政府采购条例实施细则》第八十条所列情形的，</w:t>
      </w:r>
      <w:bookmarkStart w:id="134" w:name="_Hlk72440769"/>
      <w:r>
        <w:rPr>
          <w:rFonts w:hint="eastAsia" w:ascii="宋体" w:hAnsi="宋体"/>
          <w:szCs w:val="21"/>
        </w:rPr>
        <w:t>政府集中采购机构或采购人不予退还其交纳的谈判保证金，情节严重的，并由主管部门</w:t>
      </w:r>
      <w:bookmarkEnd w:id="134"/>
      <w:r>
        <w:rPr>
          <w:rFonts w:hint="eastAsia" w:ascii="宋体" w:hAnsi="宋体"/>
          <w:szCs w:val="21"/>
        </w:rPr>
        <w:t>记入供应商诚信档案，予以通报：</w:t>
      </w:r>
    </w:p>
    <w:p>
      <w:pPr>
        <w:ind w:firstLine="411" w:firstLineChars="196"/>
        <w:rPr>
          <w:rFonts w:ascii="宋体" w:hAnsi="宋体"/>
          <w:szCs w:val="21"/>
        </w:rPr>
      </w:pPr>
      <w:r>
        <w:rPr>
          <w:rFonts w:hint="eastAsia" w:ascii="宋体" w:hAnsi="宋体"/>
          <w:szCs w:val="21"/>
        </w:rPr>
        <w:t>（1</w:t>
      </w:r>
      <w:r>
        <w:rPr>
          <w:rFonts w:ascii="宋体" w:hAnsi="宋体"/>
          <w:szCs w:val="21"/>
        </w:rPr>
        <w:t>）投标截止后，撤销投标的；</w:t>
      </w:r>
    </w:p>
    <w:p>
      <w:pPr>
        <w:ind w:firstLine="411" w:firstLineChars="196"/>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11" w:firstLineChars="196"/>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）将中标项目转让给他人、或者在投标文件中未说明且未经采购人、采购招标机构同意，将中标项目分包给他人的；</w:t>
      </w:r>
    </w:p>
    <w:p>
      <w:pPr>
        <w:ind w:firstLine="411" w:firstLineChars="196"/>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bookmarkEnd w:id="118"/>
    <w:p>
      <w:pPr>
        <w:pStyle w:val="6"/>
        <w:numPr>
          <w:ilvl w:val="0"/>
          <w:numId w:val="135"/>
        </w:numPr>
        <w:spacing w:before="120" w:beforeLines="50" w:after="120" w:afterLines="50"/>
        <w:ind w:left="562" w:hanging="562"/>
        <w:rPr>
          <w:sz w:val="28"/>
          <w:szCs w:val="28"/>
        </w:rPr>
      </w:pPr>
      <w:r>
        <w:rPr>
          <w:rFonts w:hint="eastAsia"/>
          <w:sz w:val="28"/>
          <w:szCs w:val="28"/>
        </w:rPr>
        <w:t>质疑处理</w:t>
      </w:r>
    </w:p>
    <w:p>
      <w:pPr>
        <w:rPr>
          <w:rFonts w:ascii="黑体" w:hAnsi="宋体" w:eastAsia="黑体"/>
          <w:sz w:val="24"/>
        </w:rPr>
      </w:pPr>
      <w:bookmarkStart w:id="135" w:name="_Hlk72439706"/>
      <w:r>
        <w:rPr>
          <w:rFonts w:hint="eastAsia" w:ascii="黑体" w:hAnsi="宋体" w:eastAsia="黑体"/>
          <w:sz w:val="24"/>
        </w:rPr>
        <w:t>52.质疑提出与答复</w:t>
      </w:r>
    </w:p>
    <w:p>
      <w:pPr>
        <w:rPr>
          <w:rFonts w:ascii="宋体" w:hAnsi="宋体"/>
          <w:szCs w:val="21"/>
        </w:rPr>
      </w:pPr>
      <w:r>
        <w:rPr>
          <w:rFonts w:hint="eastAsia" w:ascii="宋体" w:hAnsi="宋体"/>
          <w:szCs w:val="21"/>
        </w:rPr>
        <w:t xml:space="preserve">    52.1提出质疑</w:t>
      </w:r>
    </w:p>
    <w:p>
      <w:pPr>
        <w:rPr>
          <w:rFonts w:ascii="宋体" w:hAnsi="宋体"/>
          <w:szCs w:val="21"/>
        </w:rPr>
      </w:pPr>
      <w:r>
        <w:rPr>
          <w:rFonts w:hint="eastAsia" w:ascii="宋体" w:hAnsi="宋体"/>
          <w:szCs w:val="21"/>
        </w:rPr>
        <w:t xml:space="preserve">    参与政府采购活动的供应商认为自己的权益在采购活动中受到损害的，应当自知道或者应当知道其权益受到损害之日起七个工作日内向采购人、政府集中采购机构以书面形式提出质疑。</w:t>
      </w:r>
    </w:p>
    <w:p>
      <w:pPr>
        <w:rPr>
          <w:rFonts w:ascii="宋体" w:hAnsi="宋体"/>
          <w:szCs w:val="21"/>
        </w:rPr>
      </w:pPr>
      <w:r>
        <w:rPr>
          <w:rFonts w:hint="eastAsia" w:ascii="宋体" w:hAnsi="宋体"/>
          <w:szCs w:val="21"/>
        </w:rPr>
        <w:t xml:space="preserve">    52.2</w:t>
      </w:r>
      <w:r>
        <w:rPr>
          <w:rFonts w:ascii="宋体" w:hAnsi="宋体"/>
          <w:szCs w:val="21"/>
        </w:rPr>
        <w:t>法律依据</w:t>
      </w:r>
    </w:p>
    <w:p>
      <w:pPr>
        <w:rPr>
          <w:rFonts w:ascii="宋体" w:hAnsi="宋体"/>
          <w:szCs w:val="21"/>
        </w:rPr>
      </w:pPr>
      <w:r>
        <w:rPr>
          <w:rFonts w:hint="eastAsia" w:ascii="宋体" w:hAnsi="宋体"/>
          <w:szCs w:val="21"/>
        </w:rPr>
        <w:t xml:space="preserve">    《中华人民共和国政府采购法》、《中华人民共和国政府采购法实施条例》、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rPr>
          <w:rFonts w:ascii="宋体" w:hAnsi="宋体"/>
          <w:szCs w:val="21"/>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szCs w:val="21"/>
        </w:rPr>
        <w:t>52.3质疑条件</w:t>
      </w:r>
    </w:p>
    <w:p>
      <w:pPr>
        <w:rPr>
          <w:rFonts w:ascii="宋体" w:hAnsi="宋体"/>
          <w:szCs w:val="21"/>
        </w:rPr>
      </w:pPr>
      <w:r>
        <w:rPr>
          <w:rFonts w:hint="eastAsia" w:ascii="宋体" w:hAnsi="宋体"/>
          <w:szCs w:val="21"/>
        </w:rPr>
        <w:t xml:space="preserve">    52.3.1提出质疑的供应商应当是参与所质疑项目采购活动的供应商；</w:t>
      </w:r>
      <w:bookmarkStart w:id="136" w:name="_Hlk75374941"/>
      <w:r>
        <w:rPr>
          <w:rFonts w:hint="eastAsia" w:ascii="宋体" w:hAnsi="宋体"/>
          <w:szCs w:val="21"/>
        </w:rPr>
        <w:t>以联合体形式参与的，质疑应当由组成联合体的所有成员共同提出</w:t>
      </w:r>
      <w:bookmarkEnd w:id="136"/>
      <w:r>
        <w:rPr>
          <w:rFonts w:hint="eastAsia" w:ascii="宋体" w:hAnsi="宋体"/>
          <w:szCs w:val="21"/>
        </w:rPr>
        <w:t>；</w:t>
      </w:r>
    </w:p>
    <w:p>
      <w:pPr>
        <w:rPr>
          <w:rFonts w:ascii="宋体" w:hAnsi="宋体"/>
          <w:szCs w:val="21"/>
        </w:rPr>
      </w:pPr>
      <w:r>
        <w:rPr>
          <w:rFonts w:hint="eastAsia" w:ascii="宋体" w:hAnsi="宋体"/>
          <w:szCs w:val="21"/>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龙岗</w:t>
      </w:r>
      <w:r>
        <w:rPr>
          <w:rFonts w:hint="eastAsia" w:ascii="宋体" w:hAnsi="宋体"/>
          <w:b/>
          <w:bCs/>
          <w:szCs w:val="21"/>
        </w:rPr>
        <w:t>分公司），质疑咨询电话：0755-</w:t>
      </w:r>
      <w:r>
        <w:rPr>
          <w:rFonts w:hint="eastAsia" w:ascii="宋体" w:hAnsi="宋体"/>
          <w:b/>
          <w:bCs/>
          <w:szCs w:val="21"/>
          <w:lang w:val="en-US" w:eastAsia="zh-CN"/>
        </w:rPr>
        <w:t>89552966</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 w:val="28"/>
          <w:szCs w:val="28"/>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rPr>
          <w:rFonts w:ascii="宋体" w:hAnsi="宋体"/>
          <w:szCs w:val="21"/>
        </w:rPr>
      </w:pPr>
      <w:r>
        <w:rPr>
          <w:rFonts w:hint="eastAsia" w:ascii="宋体" w:hAnsi="宋体"/>
          <w:color w:val="FF0000"/>
          <w:szCs w:val="21"/>
        </w:rPr>
        <w:t xml:space="preserve">  </w:t>
      </w:r>
      <w:r>
        <w:rPr>
          <w:rFonts w:hint="eastAsia" w:ascii="宋体" w:hAnsi="宋体"/>
          <w:szCs w:val="21"/>
        </w:rPr>
        <w:t xml:space="preserve">  52.7质疑答复时限</w:t>
      </w:r>
    </w:p>
    <w:p>
      <w:pPr>
        <w:rPr>
          <w:rFonts w:ascii="宋体" w:hAnsi="宋体"/>
          <w:szCs w:val="21"/>
        </w:rPr>
      </w:pPr>
      <w:r>
        <w:rPr>
          <w:rFonts w:hint="eastAsia" w:ascii="宋体" w:hAnsi="宋体"/>
          <w:szCs w:val="21"/>
        </w:rPr>
        <w:t xml:space="preserve">    自收文之日起七个工作日内。</w:t>
      </w:r>
    </w:p>
    <w:p>
      <w:pPr>
        <w:rPr>
          <w:rFonts w:ascii="宋体" w:hAnsi="宋体"/>
          <w:szCs w:val="21"/>
        </w:rPr>
      </w:pPr>
      <w:r>
        <w:rPr>
          <w:rFonts w:hint="eastAsia" w:ascii="宋体" w:hAnsi="宋体"/>
          <w:szCs w:val="21"/>
        </w:rPr>
        <w:t xml:space="preserve">    52.8投诉</w:t>
      </w:r>
    </w:p>
    <w:p>
      <w:pPr>
        <w:rPr>
          <w:rFonts w:ascii="宋体" w:hAnsi="宋体"/>
          <w:szCs w:val="21"/>
        </w:rPr>
      </w:pPr>
      <w:r>
        <w:rPr>
          <w:rFonts w:hint="eastAsia" w:ascii="宋体" w:hAnsi="宋体"/>
          <w:szCs w:val="21"/>
        </w:rPr>
        <w:t xml:space="preserve">    对质疑答复不满意或者未在规定时间内答复的，提出质疑的供应商可以在答复期满后15个工作日内向</w:t>
      </w:r>
      <w:r>
        <w:rPr>
          <w:rFonts w:hint="eastAsia" w:ascii="宋体" w:hAnsi="宋体"/>
          <w:szCs w:val="21"/>
          <w:lang w:val="en-US" w:eastAsia="zh-CN"/>
        </w:rPr>
        <w:t>采购人或采购人主管部门</w:t>
      </w:r>
      <w:r>
        <w:rPr>
          <w:rFonts w:hint="eastAsia" w:ascii="宋体" w:hAnsi="宋体"/>
          <w:szCs w:val="21"/>
        </w:rPr>
        <w:t>投诉。</w:t>
      </w:r>
    </w:p>
    <w:p>
      <w:pPr>
        <w:rPr>
          <w:rFonts w:ascii="黑体" w:hAnsi="宋体" w:eastAsia="黑体"/>
          <w:sz w:val="24"/>
        </w:rPr>
      </w:pPr>
      <w:r>
        <w:rPr>
          <w:rFonts w:hint="eastAsia" w:ascii="黑体" w:hAnsi="宋体" w:eastAsia="黑体"/>
          <w:sz w:val="24"/>
        </w:rPr>
        <w:t>53. 质疑后续处理</w:t>
      </w:r>
    </w:p>
    <w:p>
      <w:pPr>
        <w:jc w:val="both"/>
        <w:rPr>
          <w:rFonts w:ascii="宋体" w:hAnsi="宋体"/>
          <w:szCs w:val="21"/>
        </w:rPr>
      </w:pPr>
      <w:r>
        <w:rPr>
          <w:rFonts w:hint="eastAsia" w:ascii="宋体" w:hAnsi="宋体"/>
          <w:szCs w:val="21"/>
        </w:rPr>
        <w:t xml:space="preserve">    53.1供应商质疑不成立，或者成立但未对中标、成交结果构成影响的，继续开展采购活动。</w:t>
      </w:r>
    </w:p>
    <w:p>
      <w:pPr>
        <w:ind w:firstLine="420"/>
        <w:jc w:val="both"/>
        <w:rPr>
          <w:rFonts w:hint="eastAsia" w:ascii="宋体" w:hAnsi="宋体"/>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ind w:firstLine="4200" w:firstLineChars="2000"/>
        <w:jc w:val="both"/>
      </w:pPr>
      <w:r>
        <w:t>---- END ----</w:t>
      </w:r>
      <w:bookmarkEnd w:id="135"/>
    </w:p>
    <w:p/>
    <w:p/>
    <w:p/>
    <w:p/>
    <w:p/>
    <w:sectPr>
      <w:pgSz w:w="11907" w:h="16840"/>
      <w:pgMar w:top="1440" w:right="1797" w:bottom="1440" w:left="1797" w:header="851" w:footer="992" w:gutter="0"/>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隶书">
    <w:altName w:val="微软雅黑"/>
    <w:panose1 w:val="020105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Helvetica">
    <w:altName w:val="Arial"/>
    <w:panose1 w:val="020B060402020203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font>
  <w:font w:name="??">
    <w:altName w:val="Times New Roman"/>
    <w:panose1 w:val="00000000000000000000"/>
    <w:charset w:val="01"/>
    <w:family w:val="auto"/>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H Yb 2gj">
    <w:altName w:val="黑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auto"/>
    <w:pitch w:val="default"/>
    <w:sig w:usb0="00000000" w:usb1="00000000" w:usb2="00000016" w:usb3="00000000" w:csb0="00100001" w:csb1="00000000"/>
  </w:font>
  <w:font w:name="华文中宋">
    <w:altName w:val="宋体"/>
    <w:panose1 w:val="02010600040101010101"/>
    <w:charset w:val="86"/>
    <w:family w:val="auto"/>
    <w:pitch w:val="default"/>
    <w:sig w:usb0="00000000" w:usb1="0000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 w:name="华文楷体">
    <w:altName w:val="楷体_GB2312"/>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8"/>
      </w:rPr>
    </w:pPr>
    <w:r>
      <w:t xml:space="preserve">- </w:t>
    </w:r>
    <w:r>
      <w:fldChar w:fldCharType="begin"/>
    </w:r>
    <w:r>
      <w:instrText xml:space="preserve"> PAGE </w:instrText>
    </w:r>
    <w:r>
      <w:fldChar w:fldCharType="separate"/>
    </w:r>
    <w:r>
      <w:t>32</w:t>
    </w:r>
    <w:r>
      <w:fldChar w:fldCharType="end"/>
    </w:r>
    <w:r>
      <w:t xml:space="preserve"> -</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BA5EB"/>
    <w:multiLevelType w:val="singleLevel"/>
    <w:tmpl w:val="822BA5EB"/>
    <w:lvl w:ilvl="0" w:tentative="0">
      <w:start w:val="1"/>
      <w:numFmt w:val="decimal"/>
      <w:suff w:val="nothing"/>
      <w:lvlText w:val="%1、"/>
      <w:lvlJc w:val="left"/>
    </w:lvl>
  </w:abstractNum>
  <w:abstractNum w:abstractNumId="1">
    <w:nsid w:val="853442CD"/>
    <w:multiLevelType w:val="singleLevel"/>
    <w:tmpl w:val="853442CD"/>
    <w:lvl w:ilvl="0" w:tentative="0">
      <w:start w:val="1"/>
      <w:numFmt w:val="decimal"/>
      <w:suff w:val="nothing"/>
      <w:lvlText w:val="%1、"/>
      <w:lvlJc w:val="left"/>
    </w:lvl>
  </w:abstractNum>
  <w:abstractNum w:abstractNumId="2">
    <w:nsid w:val="85BFAE2F"/>
    <w:multiLevelType w:val="singleLevel"/>
    <w:tmpl w:val="85BFAE2F"/>
    <w:lvl w:ilvl="0" w:tentative="0">
      <w:start w:val="1"/>
      <w:numFmt w:val="decimal"/>
      <w:suff w:val="nothing"/>
      <w:lvlText w:val="%1、"/>
      <w:lvlJc w:val="left"/>
    </w:lvl>
  </w:abstractNum>
  <w:abstractNum w:abstractNumId="3">
    <w:nsid w:val="8780B676"/>
    <w:multiLevelType w:val="singleLevel"/>
    <w:tmpl w:val="8780B676"/>
    <w:lvl w:ilvl="0" w:tentative="0">
      <w:start w:val="1"/>
      <w:numFmt w:val="decimal"/>
      <w:suff w:val="nothing"/>
      <w:lvlText w:val="%1、"/>
      <w:lvlJc w:val="left"/>
    </w:lvl>
  </w:abstractNum>
  <w:abstractNum w:abstractNumId="4">
    <w:nsid w:val="882410B8"/>
    <w:multiLevelType w:val="singleLevel"/>
    <w:tmpl w:val="882410B8"/>
    <w:lvl w:ilvl="0" w:tentative="0">
      <w:start w:val="1"/>
      <w:numFmt w:val="decimal"/>
      <w:suff w:val="nothing"/>
      <w:lvlText w:val="%1、"/>
      <w:lvlJc w:val="left"/>
    </w:lvl>
  </w:abstractNum>
  <w:abstractNum w:abstractNumId="5">
    <w:nsid w:val="886C9D55"/>
    <w:multiLevelType w:val="singleLevel"/>
    <w:tmpl w:val="886C9D55"/>
    <w:lvl w:ilvl="0" w:tentative="0">
      <w:start w:val="1"/>
      <w:numFmt w:val="decimal"/>
      <w:suff w:val="nothing"/>
      <w:lvlText w:val="%1、"/>
      <w:lvlJc w:val="left"/>
    </w:lvl>
  </w:abstractNum>
  <w:abstractNum w:abstractNumId="6">
    <w:nsid w:val="88F02276"/>
    <w:multiLevelType w:val="singleLevel"/>
    <w:tmpl w:val="88F02276"/>
    <w:lvl w:ilvl="0" w:tentative="0">
      <w:start w:val="1"/>
      <w:numFmt w:val="decimal"/>
      <w:suff w:val="nothing"/>
      <w:lvlText w:val="%1、"/>
      <w:lvlJc w:val="left"/>
    </w:lvl>
  </w:abstractNum>
  <w:abstractNum w:abstractNumId="7">
    <w:nsid w:val="896C9426"/>
    <w:multiLevelType w:val="singleLevel"/>
    <w:tmpl w:val="896C9426"/>
    <w:lvl w:ilvl="0" w:tentative="0">
      <w:start w:val="1"/>
      <w:numFmt w:val="decimal"/>
      <w:suff w:val="nothing"/>
      <w:lvlText w:val="%1、"/>
      <w:lvlJc w:val="left"/>
    </w:lvl>
  </w:abstractNum>
  <w:abstractNum w:abstractNumId="8">
    <w:nsid w:val="8BB092CC"/>
    <w:multiLevelType w:val="singleLevel"/>
    <w:tmpl w:val="8BB092CC"/>
    <w:lvl w:ilvl="0" w:tentative="0">
      <w:start w:val="1"/>
      <w:numFmt w:val="decimal"/>
      <w:suff w:val="nothing"/>
      <w:lvlText w:val="%1、"/>
      <w:lvlJc w:val="left"/>
    </w:lvl>
  </w:abstractNum>
  <w:abstractNum w:abstractNumId="9">
    <w:nsid w:val="8CA14D40"/>
    <w:multiLevelType w:val="singleLevel"/>
    <w:tmpl w:val="8CA14D40"/>
    <w:lvl w:ilvl="0" w:tentative="0">
      <w:start w:val="1"/>
      <w:numFmt w:val="decimal"/>
      <w:suff w:val="nothing"/>
      <w:lvlText w:val="%1、"/>
      <w:lvlJc w:val="left"/>
    </w:lvl>
  </w:abstractNum>
  <w:abstractNum w:abstractNumId="10">
    <w:nsid w:val="8E352148"/>
    <w:multiLevelType w:val="singleLevel"/>
    <w:tmpl w:val="8E352148"/>
    <w:lvl w:ilvl="0" w:tentative="0">
      <w:start w:val="1"/>
      <w:numFmt w:val="decimal"/>
      <w:suff w:val="nothing"/>
      <w:lvlText w:val="%1、"/>
      <w:lvlJc w:val="left"/>
    </w:lvl>
  </w:abstractNum>
  <w:abstractNum w:abstractNumId="11">
    <w:nsid w:val="8F01E730"/>
    <w:multiLevelType w:val="singleLevel"/>
    <w:tmpl w:val="8F01E730"/>
    <w:lvl w:ilvl="0" w:tentative="0">
      <w:start w:val="1"/>
      <w:numFmt w:val="decimal"/>
      <w:suff w:val="nothing"/>
      <w:lvlText w:val="%1、"/>
      <w:lvlJc w:val="left"/>
    </w:lvl>
  </w:abstractNum>
  <w:abstractNum w:abstractNumId="12">
    <w:nsid w:val="8FB645BC"/>
    <w:multiLevelType w:val="singleLevel"/>
    <w:tmpl w:val="8FB645BC"/>
    <w:lvl w:ilvl="0" w:tentative="0">
      <w:start w:val="1"/>
      <w:numFmt w:val="decimal"/>
      <w:suff w:val="nothing"/>
      <w:lvlText w:val="%1、"/>
      <w:lvlJc w:val="left"/>
    </w:lvl>
  </w:abstractNum>
  <w:abstractNum w:abstractNumId="13">
    <w:nsid w:val="904FB7B0"/>
    <w:multiLevelType w:val="singleLevel"/>
    <w:tmpl w:val="904FB7B0"/>
    <w:lvl w:ilvl="0" w:tentative="0">
      <w:start w:val="1"/>
      <w:numFmt w:val="decimal"/>
      <w:suff w:val="nothing"/>
      <w:lvlText w:val="%1、"/>
      <w:lvlJc w:val="left"/>
    </w:lvl>
  </w:abstractNum>
  <w:abstractNum w:abstractNumId="14">
    <w:nsid w:val="9C9C80D1"/>
    <w:multiLevelType w:val="singleLevel"/>
    <w:tmpl w:val="9C9C80D1"/>
    <w:lvl w:ilvl="0" w:tentative="0">
      <w:start w:val="1"/>
      <w:numFmt w:val="decimal"/>
      <w:suff w:val="nothing"/>
      <w:lvlText w:val="%1、"/>
      <w:lvlJc w:val="left"/>
    </w:lvl>
  </w:abstractNum>
  <w:abstractNum w:abstractNumId="15">
    <w:nsid w:val="9D08D379"/>
    <w:multiLevelType w:val="singleLevel"/>
    <w:tmpl w:val="9D08D379"/>
    <w:lvl w:ilvl="0" w:tentative="0">
      <w:start w:val="1"/>
      <w:numFmt w:val="decimal"/>
      <w:suff w:val="nothing"/>
      <w:lvlText w:val="%1、"/>
      <w:lvlJc w:val="left"/>
    </w:lvl>
  </w:abstractNum>
  <w:abstractNum w:abstractNumId="16">
    <w:nsid w:val="9EA7EAFD"/>
    <w:multiLevelType w:val="singleLevel"/>
    <w:tmpl w:val="9EA7EAFD"/>
    <w:lvl w:ilvl="0" w:tentative="0">
      <w:start w:val="1"/>
      <w:numFmt w:val="decimal"/>
      <w:suff w:val="nothing"/>
      <w:lvlText w:val="%1、"/>
      <w:lvlJc w:val="left"/>
    </w:lvl>
  </w:abstractNum>
  <w:abstractNum w:abstractNumId="17">
    <w:nsid w:val="9F399D6F"/>
    <w:multiLevelType w:val="singleLevel"/>
    <w:tmpl w:val="9F399D6F"/>
    <w:lvl w:ilvl="0" w:tentative="0">
      <w:start w:val="1"/>
      <w:numFmt w:val="decimal"/>
      <w:suff w:val="nothing"/>
      <w:lvlText w:val="%1．"/>
      <w:lvlJc w:val="left"/>
    </w:lvl>
  </w:abstractNum>
  <w:abstractNum w:abstractNumId="18">
    <w:nsid w:val="A3E9A09C"/>
    <w:multiLevelType w:val="singleLevel"/>
    <w:tmpl w:val="A3E9A09C"/>
    <w:lvl w:ilvl="0" w:tentative="0">
      <w:start w:val="1"/>
      <w:numFmt w:val="decimal"/>
      <w:suff w:val="nothing"/>
      <w:lvlText w:val="%1、"/>
      <w:lvlJc w:val="left"/>
    </w:lvl>
  </w:abstractNum>
  <w:abstractNum w:abstractNumId="19">
    <w:nsid w:val="A4F90E35"/>
    <w:multiLevelType w:val="singleLevel"/>
    <w:tmpl w:val="A4F90E35"/>
    <w:lvl w:ilvl="0" w:tentative="0">
      <w:start w:val="1"/>
      <w:numFmt w:val="decimal"/>
      <w:suff w:val="nothing"/>
      <w:lvlText w:val="%1、"/>
      <w:lvlJc w:val="left"/>
    </w:lvl>
  </w:abstractNum>
  <w:abstractNum w:abstractNumId="20">
    <w:nsid w:val="A5A1CFB4"/>
    <w:multiLevelType w:val="singleLevel"/>
    <w:tmpl w:val="A5A1CFB4"/>
    <w:lvl w:ilvl="0" w:tentative="0">
      <w:start w:val="1"/>
      <w:numFmt w:val="decimal"/>
      <w:suff w:val="nothing"/>
      <w:lvlText w:val="%1、"/>
      <w:lvlJc w:val="left"/>
    </w:lvl>
  </w:abstractNum>
  <w:abstractNum w:abstractNumId="21">
    <w:nsid w:val="A8EF9032"/>
    <w:multiLevelType w:val="singleLevel"/>
    <w:tmpl w:val="A8EF9032"/>
    <w:lvl w:ilvl="0" w:tentative="0">
      <w:start w:val="1"/>
      <w:numFmt w:val="decimal"/>
      <w:suff w:val="nothing"/>
      <w:lvlText w:val="%1、"/>
      <w:lvlJc w:val="left"/>
    </w:lvl>
  </w:abstractNum>
  <w:abstractNum w:abstractNumId="22">
    <w:nsid w:val="AA8A0EC5"/>
    <w:multiLevelType w:val="singleLevel"/>
    <w:tmpl w:val="AA8A0EC5"/>
    <w:lvl w:ilvl="0" w:tentative="0">
      <w:start w:val="1"/>
      <w:numFmt w:val="decimal"/>
      <w:suff w:val="nothing"/>
      <w:lvlText w:val="%1、"/>
      <w:lvlJc w:val="left"/>
    </w:lvl>
  </w:abstractNum>
  <w:abstractNum w:abstractNumId="23">
    <w:nsid w:val="ABE72239"/>
    <w:multiLevelType w:val="singleLevel"/>
    <w:tmpl w:val="ABE72239"/>
    <w:lvl w:ilvl="0" w:tentative="0">
      <w:start w:val="1"/>
      <w:numFmt w:val="decimal"/>
      <w:suff w:val="nothing"/>
      <w:lvlText w:val="%1、"/>
      <w:lvlJc w:val="left"/>
    </w:lvl>
  </w:abstractNum>
  <w:abstractNum w:abstractNumId="24">
    <w:nsid w:val="ADC9F169"/>
    <w:multiLevelType w:val="singleLevel"/>
    <w:tmpl w:val="ADC9F169"/>
    <w:lvl w:ilvl="0" w:tentative="0">
      <w:start w:val="1"/>
      <w:numFmt w:val="decimal"/>
      <w:suff w:val="nothing"/>
      <w:lvlText w:val="%1、"/>
      <w:lvlJc w:val="left"/>
    </w:lvl>
  </w:abstractNum>
  <w:abstractNum w:abstractNumId="25">
    <w:nsid w:val="B18C4DC9"/>
    <w:multiLevelType w:val="singleLevel"/>
    <w:tmpl w:val="B18C4DC9"/>
    <w:lvl w:ilvl="0" w:tentative="0">
      <w:start w:val="1"/>
      <w:numFmt w:val="decimal"/>
      <w:suff w:val="nothing"/>
      <w:lvlText w:val="%1、"/>
      <w:lvlJc w:val="left"/>
    </w:lvl>
  </w:abstractNum>
  <w:abstractNum w:abstractNumId="26">
    <w:nsid w:val="B24849C5"/>
    <w:multiLevelType w:val="singleLevel"/>
    <w:tmpl w:val="B24849C5"/>
    <w:lvl w:ilvl="0" w:tentative="0">
      <w:start w:val="1"/>
      <w:numFmt w:val="decimal"/>
      <w:suff w:val="nothing"/>
      <w:lvlText w:val="%1、"/>
      <w:lvlJc w:val="left"/>
    </w:lvl>
  </w:abstractNum>
  <w:abstractNum w:abstractNumId="27">
    <w:nsid w:val="B609221C"/>
    <w:multiLevelType w:val="singleLevel"/>
    <w:tmpl w:val="B609221C"/>
    <w:lvl w:ilvl="0" w:tentative="0">
      <w:start w:val="1"/>
      <w:numFmt w:val="decimal"/>
      <w:suff w:val="nothing"/>
      <w:lvlText w:val="%1、"/>
      <w:lvlJc w:val="left"/>
    </w:lvl>
  </w:abstractNum>
  <w:abstractNum w:abstractNumId="28">
    <w:nsid w:val="B64949D7"/>
    <w:multiLevelType w:val="singleLevel"/>
    <w:tmpl w:val="B64949D7"/>
    <w:lvl w:ilvl="0" w:tentative="0">
      <w:start w:val="1"/>
      <w:numFmt w:val="decimal"/>
      <w:suff w:val="nothing"/>
      <w:lvlText w:val="%1、"/>
      <w:lvlJc w:val="left"/>
    </w:lvl>
  </w:abstractNum>
  <w:abstractNum w:abstractNumId="29">
    <w:nsid w:val="B846FDC1"/>
    <w:multiLevelType w:val="singleLevel"/>
    <w:tmpl w:val="B846FDC1"/>
    <w:lvl w:ilvl="0" w:tentative="0">
      <w:start w:val="1"/>
      <w:numFmt w:val="decimal"/>
      <w:suff w:val="space"/>
      <w:lvlText w:val="%1."/>
      <w:lvlJc w:val="left"/>
    </w:lvl>
  </w:abstractNum>
  <w:abstractNum w:abstractNumId="30">
    <w:nsid w:val="B9358C2E"/>
    <w:multiLevelType w:val="singleLevel"/>
    <w:tmpl w:val="B9358C2E"/>
    <w:lvl w:ilvl="0" w:tentative="0">
      <w:start w:val="2"/>
      <w:numFmt w:val="decimal"/>
      <w:suff w:val="nothing"/>
      <w:lvlText w:val="%1、"/>
      <w:lvlJc w:val="left"/>
    </w:lvl>
  </w:abstractNum>
  <w:abstractNum w:abstractNumId="31">
    <w:nsid w:val="BE931B7E"/>
    <w:multiLevelType w:val="singleLevel"/>
    <w:tmpl w:val="BE931B7E"/>
    <w:lvl w:ilvl="0" w:tentative="0">
      <w:start w:val="1"/>
      <w:numFmt w:val="decimal"/>
      <w:suff w:val="nothing"/>
      <w:lvlText w:val="%1、"/>
      <w:lvlJc w:val="left"/>
    </w:lvl>
  </w:abstractNum>
  <w:abstractNum w:abstractNumId="32">
    <w:nsid w:val="BF22AC1A"/>
    <w:multiLevelType w:val="singleLevel"/>
    <w:tmpl w:val="BF22AC1A"/>
    <w:lvl w:ilvl="0" w:tentative="0">
      <w:start w:val="1"/>
      <w:numFmt w:val="decimal"/>
      <w:suff w:val="nothing"/>
      <w:lvlText w:val="%1、"/>
      <w:lvlJc w:val="left"/>
    </w:lvl>
  </w:abstractNum>
  <w:abstractNum w:abstractNumId="33">
    <w:nsid w:val="BF6BC116"/>
    <w:multiLevelType w:val="singleLevel"/>
    <w:tmpl w:val="BF6BC116"/>
    <w:lvl w:ilvl="0" w:tentative="0">
      <w:start w:val="16"/>
      <w:numFmt w:val="decimal"/>
      <w:suff w:val="space"/>
      <w:lvlText w:val="%1."/>
      <w:lvlJc w:val="left"/>
    </w:lvl>
  </w:abstractNum>
  <w:abstractNum w:abstractNumId="34">
    <w:nsid w:val="C25240E2"/>
    <w:multiLevelType w:val="singleLevel"/>
    <w:tmpl w:val="C25240E2"/>
    <w:lvl w:ilvl="0" w:tentative="0">
      <w:start w:val="1"/>
      <w:numFmt w:val="decimal"/>
      <w:suff w:val="nothing"/>
      <w:lvlText w:val="%1、"/>
      <w:lvlJc w:val="left"/>
    </w:lvl>
  </w:abstractNum>
  <w:abstractNum w:abstractNumId="35">
    <w:nsid w:val="C490940F"/>
    <w:multiLevelType w:val="singleLevel"/>
    <w:tmpl w:val="C490940F"/>
    <w:lvl w:ilvl="0" w:tentative="0">
      <w:start w:val="1"/>
      <w:numFmt w:val="decimal"/>
      <w:suff w:val="nothing"/>
      <w:lvlText w:val="%1、"/>
      <w:lvlJc w:val="left"/>
    </w:lvl>
  </w:abstractNum>
  <w:abstractNum w:abstractNumId="36">
    <w:nsid w:val="C4BD9B84"/>
    <w:multiLevelType w:val="singleLevel"/>
    <w:tmpl w:val="C4BD9B84"/>
    <w:lvl w:ilvl="0" w:tentative="0">
      <w:start w:val="1"/>
      <w:numFmt w:val="decimal"/>
      <w:suff w:val="nothing"/>
      <w:lvlText w:val="%1、"/>
      <w:lvlJc w:val="left"/>
    </w:lvl>
  </w:abstractNum>
  <w:abstractNum w:abstractNumId="37">
    <w:nsid w:val="C5ADF8C5"/>
    <w:multiLevelType w:val="singleLevel"/>
    <w:tmpl w:val="C5ADF8C5"/>
    <w:lvl w:ilvl="0" w:tentative="0">
      <w:start w:val="1"/>
      <w:numFmt w:val="decimal"/>
      <w:suff w:val="nothing"/>
      <w:lvlText w:val="%1、"/>
      <w:lvlJc w:val="left"/>
    </w:lvl>
  </w:abstractNum>
  <w:abstractNum w:abstractNumId="38">
    <w:nsid w:val="C80F5053"/>
    <w:multiLevelType w:val="singleLevel"/>
    <w:tmpl w:val="C80F5053"/>
    <w:lvl w:ilvl="0" w:tentative="0">
      <w:start w:val="1"/>
      <w:numFmt w:val="decimal"/>
      <w:suff w:val="nothing"/>
      <w:lvlText w:val="%1、"/>
      <w:lvlJc w:val="left"/>
    </w:lvl>
  </w:abstractNum>
  <w:abstractNum w:abstractNumId="39">
    <w:nsid w:val="C84252B7"/>
    <w:multiLevelType w:val="singleLevel"/>
    <w:tmpl w:val="C84252B7"/>
    <w:lvl w:ilvl="0" w:tentative="0">
      <w:start w:val="1"/>
      <w:numFmt w:val="decimal"/>
      <w:suff w:val="nothing"/>
      <w:lvlText w:val="%1、"/>
      <w:lvlJc w:val="left"/>
    </w:lvl>
  </w:abstractNum>
  <w:abstractNum w:abstractNumId="40">
    <w:nsid w:val="C879A966"/>
    <w:multiLevelType w:val="singleLevel"/>
    <w:tmpl w:val="C879A966"/>
    <w:lvl w:ilvl="0" w:tentative="0">
      <w:start w:val="1"/>
      <w:numFmt w:val="decimal"/>
      <w:suff w:val="nothing"/>
      <w:lvlText w:val="%1、"/>
      <w:lvlJc w:val="left"/>
    </w:lvl>
  </w:abstractNum>
  <w:abstractNum w:abstractNumId="41">
    <w:nsid w:val="CFE7C3F8"/>
    <w:multiLevelType w:val="singleLevel"/>
    <w:tmpl w:val="CFE7C3F8"/>
    <w:lvl w:ilvl="0" w:tentative="0">
      <w:start w:val="1"/>
      <w:numFmt w:val="decimal"/>
      <w:suff w:val="nothing"/>
      <w:lvlText w:val="（%1）"/>
      <w:lvlJc w:val="left"/>
    </w:lvl>
  </w:abstractNum>
  <w:abstractNum w:abstractNumId="42">
    <w:nsid w:val="D0EBCE07"/>
    <w:multiLevelType w:val="singleLevel"/>
    <w:tmpl w:val="D0EBCE07"/>
    <w:lvl w:ilvl="0" w:tentative="0">
      <w:start w:val="1"/>
      <w:numFmt w:val="decimal"/>
      <w:suff w:val="nothing"/>
      <w:lvlText w:val="%1、"/>
      <w:lvlJc w:val="left"/>
    </w:lvl>
  </w:abstractNum>
  <w:abstractNum w:abstractNumId="43">
    <w:nsid w:val="D1E1223E"/>
    <w:multiLevelType w:val="singleLevel"/>
    <w:tmpl w:val="D1E1223E"/>
    <w:lvl w:ilvl="0" w:tentative="0">
      <w:start w:val="1"/>
      <w:numFmt w:val="decimal"/>
      <w:suff w:val="nothing"/>
      <w:lvlText w:val="%1、"/>
      <w:lvlJc w:val="left"/>
    </w:lvl>
  </w:abstractNum>
  <w:abstractNum w:abstractNumId="44">
    <w:nsid w:val="D7A87BAE"/>
    <w:multiLevelType w:val="singleLevel"/>
    <w:tmpl w:val="D7A87BAE"/>
    <w:lvl w:ilvl="0" w:tentative="0">
      <w:start w:val="1"/>
      <w:numFmt w:val="decimal"/>
      <w:suff w:val="nothing"/>
      <w:lvlText w:val="%1、"/>
      <w:lvlJc w:val="left"/>
    </w:lvl>
  </w:abstractNum>
  <w:abstractNum w:abstractNumId="45">
    <w:nsid w:val="D9BFF5D6"/>
    <w:multiLevelType w:val="singleLevel"/>
    <w:tmpl w:val="D9BFF5D6"/>
    <w:lvl w:ilvl="0" w:tentative="0">
      <w:start w:val="1"/>
      <w:numFmt w:val="decimal"/>
      <w:suff w:val="nothing"/>
      <w:lvlText w:val="%1、"/>
      <w:lvlJc w:val="left"/>
    </w:lvl>
  </w:abstractNum>
  <w:abstractNum w:abstractNumId="46">
    <w:nsid w:val="DAC8DB6F"/>
    <w:multiLevelType w:val="singleLevel"/>
    <w:tmpl w:val="DAC8DB6F"/>
    <w:lvl w:ilvl="0" w:tentative="0">
      <w:start w:val="1"/>
      <w:numFmt w:val="decimal"/>
      <w:suff w:val="nothing"/>
      <w:lvlText w:val="%1、"/>
      <w:lvlJc w:val="left"/>
    </w:lvl>
  </w:abstractNum>
  <w:abstractNum w:abstractNumId="47">
    <w:nsid w:val="DDCFD1DE"/>
    <w:multiLevelType w:val="singleLevel"/>
    <w:tmpl w:val="DDCFD1DE"/>
    <w:lvl w:ilvl="0" w:tentative="0">
      <w:start w:val="5"/>
      <w:numFmt w:val="chineseCounting"/>
      <w:suff w:val="nothing"/>
      <w:lvlText w:val="%1、"/>
      <w:lvlJc w:val="left"/>
      <w:pPr>
        <w:ind w:left="2100" w:leftChars="0" w:firstLine="0" w:firstLineChars="0"/>
      </w:pPr>
      <w:rPr>
        <w:rFonts w:hint="eastAsia"/>
      </w:rPr>
    </w:lvl>
  </w:abstractNum>
  <w:abstractNum w:abstractNumId="48">
    <w:nsid w:val="DDECD3BC"/>
    <w:multiLevelType w:val="singleLevel"/>
    <w:tmpl w:val="DDECD3BC"/>
    <w:lvl w:ilvl="0" w:tentative="0">
      <w:start w:val="6"/>
      <w:numFmt w:val="decimal"/>
      <w:suff w:val="space"/>
      <w:lvlText w:val="%1."/>
      <w:lvlJc w:val="left"/>
    </w:lvl>
  </w:abstractNum>
  <w:abstractNum w:abstractNumId="49">
    <w:nsid w:val="DE759F4B"/>
    <w:multiLevelType w:val="singleLevel"/>
    <w:tmpl w:val="DE759F4B"/>
    <w:lvl w:ilvl="0" w:tentative="0">
      <w:start w:val="2"/>
      <w:numFmt w:val="decimal"/>
      <w:suff w:val="space"/>
      <w:lvlText w:val="%1."/>
      <w:lvlJc w:val="left"/>
    </w:lvl>
  </w:abstractNum>
  <w:abstractNum w:abstractNumId="50">
    <w:nsid w:val="DE9019F3"/>
    <w:multiLevelType w:val="singleLevel"/>
    <w:tmpl w:val="DE9019F3"/>
    <w:lvl w:ilvl="0" w:tentative="0">
      <w:start w:val="1"/>
      <w:numFmt w:val="decimal"/>
      <w:suff w:val="nothing"/>
      <w:lvlText w:val="%1、"/>
      <w:lvlJc w:val="left"/>
    </w:lvl>
  </w:abstractNum>
  <w:abstractNum w:abstractNumId="51">
    <w:nsid w:val="DEABE1DB"/>
    <w:multiLevelType w:val="singleLevel"/>
    <w:tmpl w:val="DEABE1DB"/>
    <w:lvl w:ilvl="0" w:tentative="0">
      <w:start w:val="23"/>
      <w:numFmt w:val="decimal"/>
      <w:suff w:val="space"/>
      <w:lvlText w:val="%1."/>
      <w:lvlJc w:val="left"/>
    </w:lvl>
  </w:abstractNum>
  <w:abstractNum w:abstractNumId="52">
    <w:nsid w:val="DF9AB400"/>
    <w:multiLevelType w:val="singleLevel"/>
    <w:tmpl w:val="DF9AB400"/>
    <w:lvl w:ilvl="0" w:tentative="0">
      <w:start w:val="1"/>
      <w:numFmt w:val="decimal"/>
      <w:suff w:val="nothing"/>
      <w:lvlText w:val="%1、"/>
      <w:lvlJc w:val="left"/>
    </w:lvl>
  </w:abstractNum>
  <w:abstractNum w:abstractNumId="53">
    <w:nsid w:val="E2A099DE"/>
    <w:multiLevelType w:val="singleLevel"/>
    <w:tmpl w:val="E2A099DE"/>
    <w:lvl w:ilvl="0" w:tentative="0">
      <w:start w:val="1"/>
      <w:numFmt w:val="decimal"/>
      <w:suff w:val="nothing"/>
      <w:lvlText w:val="%1、"/>
      <w:lvlJc w:val="left"/>
    </w:lvl>
  </w:abstractNum>
  <w:abstractNum w:abstractNumId="54">
    <w:nsid w:val="E41AE561"/>
    <w:multiLevelType w:val="singleLevel"/>
    <w:tmpl w:val="E41AE561"/>
    <w:lvl w:ilvl="0" w:tentative="0">
      <w:start w:val="1"/>
      <w:numFmt w:val="decimal"/>
      <w:suff w:val="nothing"/>
      <w:lvlText w:val="%1、"/>
      <w:lvlJc w:val="left"/>
    </w:lvl>
  </w:abstractNum>
  <w:abstractNum w:abstractNumId="55">
    <w:nsid w:val="E6697612"/>
    <w:multiLevelType w:val="singleLevel"/>
    <w:tmpl w:val="E6697612"/>
    <w:lvl w:ilvl="0" w:tentative="0">
      <w:start w:val="1"/>
      <w:numFmt w:val="decimal"/>
      <w:suff w:val="nothing"/>
      <w:lvlText w:val="%1、"/>
      <w:lvlJc w:val="left"/>
    </w:lvl>
  </w:abstractNum>
  <w:abstractNum w:abstractNumId="56">
    <w:nsid w:val="E7873F46"/>
    <w:multiLevelType w:val="singleLevel"/>
    <w:tmpl w:val="E7873F46"/>
    <w:lvl w:ilvl="0" w:tentative="0">
      <w:start w:val="1"/>
      <w:numFmt w:val="decimal"/>
      <w:suff w:val="nothing"/>
      <w:lvlText w:val="%1、"/>
      <w:lvlJc w:val="left"/>
    </w:lvl>
  </w:abstractNum>
  <w:abstractNum w:abstractNumId="57">
    <w:nsid w:val="E7FB9D88"/>
    <w:multiLevelType w:val="singleLevel"/>
    <w:tmpl w:val="E7FB9D88"/>
    <w:lvl w:ilvl="0" w:tentative="0">
      <w:start w:val="1"/>
      <w:numFmt w:val="decimal"/>
      <w:suff w:val="nothing"/>
      <w:lvlText w:val="%1、"/>
      <w:lvlJc w:val="left"/>
    </w:lvl>
  </w:abstractNum>
  <w:abstractNum w:abstractNumId="58">
    <w:nsid w:val="E9B68056"/>
    <w:multiLevelType w:val="singleLevel"/>
    <w:tmpl w:val="E9B68056"/>
    <w:lvl w:ilvl="0" w:tentative="0">
      <w:start w:val="1"/>
      <w:numFmt w:val="decimal"/>
      <w:suff w:val="nothing"/>
      <w:lvlText w:val="%1、"/>
      <w:lvlJc w:val="left"/>
    </w:lvl>
  </w:abstractNum>
  <w:abstractNum w:abstractNumId="59">
    <w:nsid w:val="ECCFAEB5"/>
    <w:multiLevelType w:val="singleLevel"/>
    <w:tmpl w:val="ECCFAEB5"/>
    <w:lvl w:ilvl="0" w:tentative="0">
      <w:start w:val="1"/>
      <w:numFmt w:val="decimal"/>
      <w:suff w:val="nothing"/>
      <w:lvlText w:val="%1、"/>
      <w:lvlJc w:val="left"/>
    </w:lvl>
  </w:abstractNum>
  <w:abstractNum w:abstractNumId="60">
    <w:nsid w:val="EDB51E06"/>
    <w:multiLevelType w:val="singleLevel"/>
    <w:tmpl w:val="EDB51E06"/>
    <w:lvl w:ilvl="0" w:tentative="0">
      <w:start w:val="1"/>
      <w:numFmt w:val="decimal"/>
      <w:suff w:val="nothing"/>
      <w:lvlText w:val="%1、"/>
      <w:lvlJc w:val="left"/>
    </w:lvl>
  </w:abstractNum>
  <w:abstractNum w:abstractNumId="61">
    <w:nsid w:val="EE662FF1"/>
    <w:multiLevelType w:val="singleLevel"/>
    <w:tmpl w:val="EE662FF1"/>
    <w:lvl w:ilvl="0" w:tentative="0">
      <w:start w:val="1"/>
      <w:numFmt w:val="decimal"/>
      <w:suff w:val="nothing"/>
      <w:lvlText w:val="%1、"/>
      <w:lvlJc w:val="left"/>
    </w:lvl>
  </w:abstractNum>
  <w:abstractNum w:abstractNumId="62">
    <w:nsid w:val="F146CF8B"/>
    <w:multiLevelType w:val="singleLevel"/>
    <w:tmpl w:val="F146CF8B"/>
    <w:lvl w:ilvl="0" w:tentative="0">
      <w:start w:val="1"/>
      <w:numFmt w:val="decimal"/>
      <w:suff w:val="nothing"/>
      <w:lvlText w:val="%1、"/>
      <w:lvlJc w:val="left"/>
    </w:lvl>
  </w:abstractNum>
  <w:abstractNum w:abstractNumId="63">
    <w:nsid w:val="FADA9527"/>
    <w:multiLevelType w:val="singleLevel"/>
    <w:tmpl w:val="FADA9527"/>
    <w:lvl w:ilvl="0" w:tentative="0">
      <w:start w:val="1"/>
      <w:numFmt w:val="decimal"/>
      <w:suff w:val="nothing"/>
      <w:lvlText w:val="%1、"/>
      <w:lvlJc w:val="left"/>
    </w:lvl>
  </w:abstractNum>
  <w:abstractNum w:abstractNumId="64">
    <w:nsid w:val="FE18C1FC"/>
    <w:multiLevelType w:val="singleLevel"/>
    <w:tmpl w:val="FE18C1FC"/>
    <w:lvl w:ilvl="0" w:tentative="0">
      <w:start w:val="1"/>
      <w:numFmt w:val="decimal"/>
      <w:suff w:val="nothing"/>
      <w:lvlText w:val="%1、"/>
      <w:lvlJc w:val="left"/>
    </w:lvl>
  </w:abstractNum>
  <w:abstractNum w:abstractNumId="65">
    <w:nsid w:val="FF481C0D"/>
    <w:multiLevelType w:val="singleLevel"/>
    <w:tmpl w:val="FF481C0D"/>
    <w:lvl w:ilvl="0" w:tentative="0">
      <w:start w:val="1"/>
      <w:numFmt w:val="decimal"/>
      <w:suff w:val="nothing"/>
      <w:lvlText w:val="%1、"/>
      <w:lvlJc w:val="left"/>
    </w:lvl>
  </w:abstractNum>
  <w:abstractNum w:abstractNumId="66">
    <w:nsid w:val="FFD7B8EE"/>
    <w:multiLevelType w:val="singleLevel"/>
    <w:tmpl w:val="FFD7B8EE"/>
    <w:lvl w:ilvl="0" w:tentative="0">
      <w:start w:val="1"/>
      <w:numFmt w:val="decimal"/>
      <w:suff w:val="nothing"/>
      <w:lvlText w:val="%1、"/>
      <w:lvlJc w:val="left"/>
    </w:lvl>
  </w:abstractNum>
  <w:abstractNum w:abstractNumId="67">
    <w:nsid w:val="FFEFC674"/>
    <w:multiLevelType w:val="singleLevel"/>
    <w:tmpl w:val="FFEFC674"/>
    <w:lvl w:ilvl="0" w:tentative="0">
      <w:start w:val="1"/>
      <w:numFmt w:val="decimal"/>
      <w:suff w:val="nothing"/>
      <w:lvlText w:val="（%1）"/>
      <w:lvlJc w:val="left"/>
    </w:lvl>
  </w:abstractNum>
  <w:abstractNum w:abstractNumId="68">
    <w:nsid w:val="FFFFFF7C"/>
    <w:multiLevelType w:val="singleLevel"/>
    <w:tmpl w:val="FFFFFF7C"/>
    <w:lvl w:ilvl="0" w:tentative="0">
      <w:start w:val="1"/>
      <w:numFmt w:val="decimal"/>
      <w:pStyle w:val="60"/>
      <w:lvlText w:val="%1."/>
      <w:lvlJc w:val="left"/>
      <w:pPr>
        <w:tabs>
          <w:tab w:val="left" w:pos="7994"/>
        </w:tabs>
        <w:ind w:left="7994" w:leftChars="800" w:hanging="360" w:hangingChars="200"/>
      </w:pPr>
    </w:lvl>
  </w:abstractNum>
  <w:abstractNum w:abstractNumId="69">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abstractNum w:abstractNumId="70">
    <w:nsid w:val="0694E77E"/>
    <w:multiLevelType w:val="singleLevel"/>
    <w:tmpl w:val="0694E77E"/>
    <w:lvl w:ilvl="0" w:tentative="0">
      <w:start w:val="1"/>
      <w:numFmt w:val="decimal"/>
      <w:suff w:val="nothing"/>
      <w:lvlText w:val="%1、"/>
      <w:lvlJc w:val="left"/>
    </w:lvl>
  </w:abstractNum>
  <w:abstractNum w:abstractNumId="71">
    <w:nsid w:val="07470B63"/>
    <w:multiLevelType w:val="singleLevel"/>
    <w:tmpl w:val="07470B63"/>
    <w:lvl w:ilvl="0" w:tentative="0">
      <w:start w:val="1"/>
      <w:numFmt w:val="decimal"/>
      <w:suff w:val="nothing"/>
      <w:lvlText w:val="%1、"/>
      <w:lvlJc w:val="left"/>
    </w:lvl>
  </w:abstractNum>
  <w:abstractNum w:abstractNumId="72">
    <w:nsid w:val="08122C22"/>
    <w:multiLevelType w:val="singleLevel"/>
    <w:tmpl w:val="08122C22"/>
    <w:lvl w:ilvl="0" w:tentative="0">
      <w:start w:val="1"/>
      <w:numFmt w:val="decimal"/>
      <w:suff w:val="nothing"/>
      <w:lvlText w:val="%1、"/>
      <w:lvlJc w:val="left"/>
    </w:lvl>
  </w:abstractNum>
  <w:abstractNum w:abstractNumId="73">
    <w:nsid w:val="09F00892"/>
    <w:multiLevelType w:val="singleLevel"/>
    <w:tmpl w:val="09F00892"/>
    <w:lvl w:ilvl="0" w:tentative="0">
      <w:start w:val="1"/>
      <w:numFmt w:val="chineseCounting"/>
      <w:suff w:val="nothing"/>
      <w:lvlText w:val="%1、"/>
      <w:lvlJc w:val="left"/>
      <w:rPr>
        <w:rFonts w:hint="eastAsia"/>
      </w:rPr>
    </w:lvl>
  </w:abstractNum>
  <w:abstractNum w:abstractNumId="74">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5">
    <w:nsid w:val="0FCA8D08"/>
    <w:multiLevelType w:val="singleLevel"/>
    <w:tmpl w:val="0FCA8D08"/>
    <w:lvl w:ilvl="0" w:tentative="0">
      <w:start w:val="1"/>
      <w:numFmt w:val="decimal"/>
      <w:suff w:val="nothing"/>
      <w:lvlText w:val="%1、"/>
      <w:lvlJc w:val="left"/>
    </w:lvl>
  </w:abstractNum>
  <w:abstractNum w:abstractNumId="76">
    <w:nsid w:val="11144D8E"/>
    <w:multiLevelType w:val="singleLevel"/>
    <w:tmpl w:val="11144D8E"/>
    <w:lvl w:ilvl="0" w:tentative="0">
      <w:start w:val="1"/>
      <w:numFmt w:val="decimal"/>
      <w:suff w:val="nothing"/>
      <w:lvlText w:val="%1、"/>
      <w:lvlJc w:val="left"/>
    </w:lvl>
  </w:abstractNum>
  <w:abstractNum w:abstractNumId="77">
    <w:nsid w:val="1177CB83"/>
    <w:multiLevelType w:val="singleLevel"/>
    <w:tmpl w:val="1177CB83"/>
    <w:lvl w:ilvl="0" w:tentative="0">
      <w:start w:val="1"/>
      <w:numFmt w:val="decimal"/>
      <w:suff w:val="nothing"/>
      <w:lvlText w:val="%1、"/>
      <w:lvlJc w:val="left"/>
    </w:lvl>
  </w:abstractNum>
  <w:abstractNum w:abstractNumId="78">
    <w:nsid w:val="12503483"/>
    <w:multiLevelType w:val="multilevel"/>
    <w:tmpl w:val="12503483"/>
    <w:lvl w:ilvl="0" w:tentative="0">
      <w:start w:val="1"/>
      <w:numFmt w:val="bullet"/>
      <w:pStyle w:val="108"/>
      <w:lvlText w:val=""/>
      <w:lvlJc w:val="left"/>
      <w:pPr>
        <w:tabs>
          <w:tab w:val="left" w:pos="420"/>
        </w:tabs>
        <w:ind w:left="420" w:hanging="420"/>
      </w:pPr>
      <w:rPr>
        <w:rFonts w:hint="default" w:ascii="Wingdings" w:hAnsi="Wingdings"/>
      </w:rPr>
    </w:lvl>
    <w:lvl w:ilvl="1" w:tentative="0">
      <w:start w:val="1"/>
      <w:numFmt w:val="bullet"/>
      <w:pStyle w:val="107"/>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9">
    <w:nsid w:val="15C1F69C"/>
    <w:multiLevelType w:val="singleLevel"/>
    <w:tmpl w:val="15C1F69C"/>
    <w:lvl w:ilvl="0" w:tentative="0">
      <w:start w:val="1"/>
      <w:numFmt w:val="decimal"/>
      <w:suff w:val="nothing"/>
      <w:lvlText w:val="%1、"/>
      <w:lvlJc w:val="left"/>
    </w:lvl>
  </w:abstractNum>
  <w:abstractNum w:abstractNumId="80">
    <w:nsid w:val="160D20D0"/>
    <w:multiLevelType w:val="multilevel"/>
    <w:tmpl w:val="160D20D0"/>
    <w:lvl w:ilvl="0" w:tentative="0">
      <w:start w:val="1"/>
      <w:numFmt w:val="bullet"/>
      <w:pStyle w:val="76"/>
      <w:lvlText w:val=""/>
      <w:lvlJc w:val="left"/>
      <w:pPr>
        <w:tabs>
          <w:tab w:val="left" w:pos="840"/>
        </w:tabs>
        <w:ind w:left="840" w:hanging="420"/>
      </w:pPr>
      <w:rPr>
        <w:rFonts w:hint="default" w:ascii="Wingdings" w:hAnsi="Wingdings"/>
      </w:rPr>
    </w:lvl>
    <w:lvl w:ilvl="1" w:tentative="0">
      <w:start w:val="1"/>
      <w:numFmt w:val="bullet"/>
      <w:pStyle w:val="77"/>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81">
    <w:nsid w:val="171F512C"/>
    <w:multiLevelType w:val="singleLevel"/>
    <w:tmpl w:val="171F512C"/>
    <w:lvl w:ilvl="0" w:tentative="0">
      <w:start w:val="1"/>
      <w:numFmt w:val="decimal"/>
      <w:suff w:val="nothing"/>
      <w:lvlText w:val="%1、"/>
      <w:lvlJc w:val="left"/>
    </w:lvl>
  </w:abstractNum>
  <w:abstractNum w:abstractNumId="82">
    <w:nsid w:val="1847E9B2"/>
    <w:multiLevelType w:val="singleLevel"/>
    <w:tmpl w:val="1847E9B2"/>
    <w:lvl w:ilvl="0" w:tentative="0">
      <w:start w:val="1"/>
      <w:numFmt w:val="decimal"/>
      <w:suff w:val="nothing"/>
      <w:lvlText w:val="%1、"/>
      <w:lvlJc w:val="left"/>
    </w:lvl>
  </w:abstractNum>
  <w:abstractNum w:abstractNumId="83">
    <w:nsid w:val="1B900F10"/>
    <w:multiLevelType w:val="singleLevel"/>
    <w:tmpl w:val="1B900F10"/>
    <w:lvl w:ilvl="0" w:tentative="0">
      <w:start w:val="1"/>
      <w:numFmt w:val="decimal"/>
      <w:suff w:val="nothing"/>
      <w:lvlText w:val="%1、"/>
      <w:lvlJc w:val="left"/>
    </w:lvl>
  </w:abstractNum>
  <w:abstractNum w:abstractNumId="84">
    <w:nsid w:val="1F38B515"/>
    <w:multiLevelType w:val="singleLevel"/>
    <w:tmpl w:val="1F38B515"/>
    <w:lvl w:ilvl="0" w:tentative="0">
      <w:start w:val="1"/>
      <w:numFmt w:val="decimal"/>
      <w:suff w:val="nothing"/>
      <w:lvlText w:val="%1、"/>
      <w:lvlJc w:val="left"/>
    </w:lvl>
  </w:abstractNum>
  <w:abstractNum w:abstractNumId="85">
    <w:nsid w:val="2276A2F8"/>
    <w:multiLevelType w:val="singleLevel"/>
    <w:tmpl w:val="2276A2F8"/>
    <w:lvl w:ilvl="0" w:tentative="0">
      <w:start w:val="1"/>
      <w:numFmt w:val="decimal"/>
      <w:suff w:val="nothing"/>
      <w:lvlText w:val="%1、"/>
      <w:lvlJc w:val="left"/>
    </w:lvl>
  </w:abstractNum>
  <w:abstractNum w:abstractNumId="86">
    <w:nsid w:val="22862184"/>
    <w:multiLevelType w:val="singleLevel"/>
    <w:tmpl w:val="22862184"/>
    <w:lvl w:ilvl="0" w:tentative="0">
      <w:start w:val="1"/>
      <w:numFmt w:val="decimal"/>
      <w:suff w:val="nothing"/>
      <w:lvlText w:val="%1、"/>
      <w:lvlJc w:val="left"/>
    </w:lvl>
  </w:abstractNum>
  <w:abstractNum w:abstractNumId="87">
    <w:nsid w:val="24FD54AA"/>
    <w:multiLevelType w:val="singleLevel"/>
    <w:tmpl w:val="24FD54AA"/>
    <w:lvl w:ilvl="0" w:tentative="0">
      <w:start w:val="1"/>
      <w:numFmt w:val="decimal"/>
      <w:suff w:val="nothing"/>
      <w:lvlText w:val="%1、"/>
      <w:lvlJc w:val="left"/>
    </w:lvl>
  </w:abstractNum>
  <w:abstractNum w:abstractNumId="88">
    <w:nsid w:val="2526B44A"/>
    <w:multiLevelType w:val="singleLevel"/>
    <w:tmpl w:val="2526B44A"/>
    <w:lvl w:ilvl="0" w:tentative="0">
      <w:start w:val="1"/>
      <w:numFmt w:val="decimal"/>
      <w:suff w:val="nothing"/>
      <w:lvlText w:val="%1、"/>
      <w:lvlJc w:val="left"/>
    </w:lvl>
  </w:abstractNum>
  <w:abstractNum w:abstractNumId="89">
    <w:nsid w:val="25A64A0F"/>
    <w:multiLevelType w:val="singleLevel"/>
    <w:tmpl w:val="25A64A0F"/>
    <w:lvl w:ilvl="0" w:tentative="0">
      <w:start w:val="1"/>
      <w:numFmt w:val="decimal"/>
      <w:suff w:val="nothing"/>
      <w:lvlText w:val="%1、"/>
      <w:lvlJc w:val="left"/>
    </w:lvl>
  </w:abstractNum>
  <w:abstractNum w:abstractNumId="90">
    <w:nsid w:val="28BE7F1F"/>
    <w:multiLevelType w:val="singleLevel"/>
    <w:tmpl w:val="28BE7F1F"/>
    <w:lvl w:ilvl="0" w:tentative="0">
      <w:start w:val="1"/>
      <w:numFmt w:val="decimal"/>
      <w:suff w:val="nothing"/>
      <w:lvlText w:val="%1、"/>
      <w:lvlJc w:val="left"/>
    </w:lvl>
  </w:abstractNum>
  <w:abstractNum w:abstractNumId="91">
    <w:nsid w:val="2BF10451"/>
    <w:multiLevelType w:val="singleLevel"/>
    <w:tmpl w:val="2BF10451"/>
    <w:lvl w:ilvl="0" w:tentative="0">
      <w:start w:val="1"/>
      <w:numFmt w:val="decimal"/>
      <w:suff w:val="nothing"/>
      <w:lvlText w:val="%1、"/>
      <w:lvlJc w:val="left"/>
    </w:lvl>
  </w:abstractNum>
  <w:abstractNum w:abstractNumId="92">
    <w:nsid w:val="2C653D5D"/>
    <w:multiLevelType w:val="singleLevel"/>
    <w:tmpl w:val="2C653D5D"/>
    <w:lvl w:ilvl="0" w:tentative="0">
      <w:start w:val="4"/>
      <w:numFmt w:val="chineseCounting"/>
      <w:suff w:val="nothing"/>
      <w:lvlText w:val="（%1）"/>
      <w:lvlJc w:val="left"/>
      <w:rPr>
        <w:rFonts w:hint="eastAsia"/>
      </w:rPr>
    </w:lvl>
  </w:abstractNum>
  <w:abstractNum w:abstractNumId="93">
    <w:nsid w:val="2ED691DA"/>
    <w:multiLevelType w:val="singleLevel"/>
    <w:tmpl w:val="2ED691DA"/>
    <w:lvl w:ilvl="0" w:tentative="0">
      <w:start w:val="1"/>
      <w:numFmt w:val="decimal"/>
      <w:suff w:val="nothing"/>
      <w:lvlText w:val="%1、"/>
      <w:lvlJc w:val="left"/>
    </w:lvl>
  </w:abstractNum>
  <w:abstractNum w:abstractNumId="94">
    <w:nsid w:val="2F395B7B"/>
    <w:multiLevelType w:val="multilevel"/>
    <w:tmpl w:val="2F395B7B"/>
    <w:lvl w:ilvl="0" w:tentative="0">
      <w:start w:val="1"/>
      <w:numFmt w:val="bullet"/>
      <w:pStyle w:val="168"/>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95">
    <w:nsid w:val="30AF00AB"/>
    <w:multiLevelType w:val="singleLevel"/>
    <w:tmpl w:val="30AF00AB"/>
    <w:lvl w:ilvl="0" w:tentative="0">
      <w:start w:val="1"/>
      <w:numFmt w:val="decimal"/>
      <w:suff w:val="nothing"/>
      <w:lvlText w:val="%1、"/>
      <w:lvlJc w:val="left"/>
    </w:lvl>
  </w:abstractNum>
  <w:abstractNum w:abstractNumId="96">
    <w:nsid w:val="3886C231"/>
    <w:multiLevelType w:val="singleLevel"/>
    <w:tmpl w:val="3886C231"/>
    <w:lvl w:ilvl="0" w:tentative="0">
      <w:start w:val="1"/>
      <w:numFmt w:val="decimal"/>
      <w:suff w:val="nothing"/>
      <w:lvlText w:val="%1、"/>
      <w:lvlJc w:val="left"/>
    </w:lvl>
  </w:abstractNum>
  <w:abstractNum w:abstractNumId="97">
    <w:nsid w:val="3E8121A1"/>
    <w:multiLevelType w:val="singleLevel"/>
    <w:tmpl w:val="3E8121A1"/>
    <w:lvl w:ilvl="0" w:tentative="0">
      <w:start w:val="1"/>
      <w:numFmt w:val="decimal"/>
      <w:suff w:val="nothing"/>
      <w:lvlText w:val="%1、"/>
      <w:lvlJc w:val="left"/>
    </w:lvl>
  </w:abstractNum>
  <w:abstractNum w:abstractNumId="98">
    <w:nsid w:val="41F7F887"/>
    <w:multiLevelType w:val="singleLevel"/>
    <w:tmpl w:val="41F7F887"/>
    <w:lvl w:ilvl="0" w:tentative="0">
      <w:start w:val="1"/>
      <w:numFmt w:val="decimal"/>
      <w:suff w:val="nothing"/>
      <w:lvlText w:val="%1、"/>
      <w:lvlJc w:val="left"/>
    </w:lvl>
  </w:abstractNum>
  <w:abstractNum w:abstractNumId="99">
    <w:nsid w:val="4273E5F6"/>
    <w:multiLevelType w:val="singleLevel"/>
    <w:tmpl w:val="4273E5F6"/>
    <w:lvl w:ilvl="0" w:tentative="0">
      <w:start w:val="1"/>
      <w:numFmt w:val="decimal"/>
      <w:suff w:val="nothing"/>
      <w:lvlText w:val="%1、"/>
      <w:lvlJc w:val="left"/>
    </w:lvl>
  </w:abstractNum>
  <w:abstractNum w:abstractNumId="100">
    <w:nsid w:val="46F9D259"/>
    <w:multiLevelType w:val="singleLevel"/>
    <w:tmpl w:val="46F9D259"/>
    <w:lvl w:ilvl="0" w:tentative="0">
      <w:start w:val="1"/>
      <w:numFmt w:val="decimal"/>
      <w:suff w:val="nothing"/>
      <w:lvlText w:val="%1、"/>
      <w:lvlJc w:val="left"/>
    </w:lvl>
  </w:abstractNum>
  <w:abstractNum w:abstractNumId="101">
    <w:nsid w:val="48F375F4"/>
    <w:multiLevelType w:val="singleLevel"/>
    <w:tmpl w:val="48F375F4"/>
    <w:lvl w:ilvl="0" w:tentative="0">
      <w:start w:val="1"/>
      <w:numFmt w:val="chineseCounting"/>
      <w:suff w:val="nothing"/>
      <w:lvlText w:val="（%1）"/>
      <w:lvlJc w:val="left"/>
      <w:rPr>
        <w:rFonts w:hint="eastAsia"/>
      </w:rPr>
    </w:lvl>
  </w:abstractNum>
  <w:abstractNum w:abstractNumId="102">
    <w:nsid w:val="49E3769C"/>
    <w:multiLevelType w:val="singleLevel"/>
    <w:tmpl w:val="49E3769C"/>
    <w:lvl w:ilvl="0" w:tentative="0">
      <w:start w:val="1"/>
      <w:numFmt w:val="decimal"/>
      <w:suff w:val="nothing"/>
      <w:lvlText w:val="%1、"/>
      <w:lvlJc w:val="left"/>
    </w:lvl>
  </w:abstractNum>
  <w:abstractNum w:abstractNumId="103">
    <w:nsid w:val="4B48EB33"/>
    <w:multiLevelType w:val="singleLevel"/>
    <w:tmpl w:val="4B48EB33"/>
    <w:lvl w:ilvl="0" w:tentative="0">
      <w:start w:val="1"/>
      <w:numFmt w:val="decimal"/>
      <w:suff w:val="nothing"/>
      <w:lvlText w:val="%1、"/>
      <w:lvlJc w:val="left"/>
    </w:lvl>
  </w:abstractNum>
  <w:abstractNum w:abstractNumId="104">
    <w:nsid w:val="4F45ECC2"/>
    <w:multiLevelType w:val="singleLevel"/>
    <w:tmpl w:val="4F45ECC2"/>
    <w:lvl w:ilvl="0" w:tentative="0">
      <w:start w:val="1"/>
      <w:numFmt w:val="decimal"/>
      <w:suff w:val="nothing"/>
      <w:lvlText w:val="%1、"/>
      <w:lvlJc w:val="left"/>
    </w:lvl>
  </w:abstractNum>
  <w:abstractNum w:abstractNumId="105">
    <w:nsid w:val="5011BC9F"/>
    <w:multiLevelType w:val="singleLevel"/>
    <w:tmpl w:val="5011BC9F"/>
    <w:lvl w:ilvl="0" w:tentative="0">
      <w:start w:val="1"/>
      <w:numFmt w:val="decimal"/>
      <w:suff w:val="nothing"/>
      <w:lvlText w:val="%1、"/>
      <w:lvlJc w:val="left"/>
    </w:lvl>
  </w:abstractNum>
  <w:abstractNum w:abstractNumId="106">
    <w:nsid w:val="5116D5C1"/>
    <w:multiLevelType w:val="singleLevel"/>
    <w:tmpl w:val="5116D5C1"/>
    <w:lvl w:ilvl="0" w:tentative="0">
      <w:start w:val="1"/>
      <w:numFmt w:val="decimal"/>
      <w:suff w:val="nothing"/>
      <w:lvlText w:val="%1、"/>
      <w:lvlJc w:val="left"/>
    </w:lvl>
  </w:abstractNum>
  <w:abstractNum w:abstractNumId="107">
    <w:nsid w:val="513F0D84"/>
    <w:multiLevelType w:val="singleLevel"/>
    <w:tmpl w:val="513F0D84"/>
    <w:lvl w:ilvl="0" w:tentative="0">
      <w:start w:val="1"/>
      <w:numFmt w:val="decimal"/>
      <w:suff w:val="nothing"/>
      <w:lvlText w:val="%1、"/>
      <w:lvlJc w:val="left"/>
    </w:lvl>
  </w:abstractNum>
  <w:abstractNum w:abstractNumId="108">
    <w:nsid w:val="514F2F66"/>
    <w:multiLevelType w:val="singleLevel"/>
    <w:tmpl w:val="514F2F66"/>
    <w:lvl w:ilvl="0" w:tentative="0">
      <w:start w:val="1"/>
      <w:numFmt w:val="decimal"/>
      <w:suff w:val="nothing"/>
      <w:lvlText w:val="%1、"/>
      <w:lvlJc w:val="left"/>
    </w:lvl>
  </w:abstractNum>
  <w:abstractNum w:abstractNumId="109">
    <w:nsid w:val="5206B129"/>
    <w:multiLevelType w:val="singleLevel"/>
    <w:tmpl w:val="5206B129"/>
    <w:lvl w:ilvl="0" w:tentative="0">
      <w:start w:val="1"/>
      <w:numFmt w:val="decimal"/>
      <w:suff w:val="nothing"/>
      <w:lvlText w:val="%1、"/>
      <w:lvlJc w:val="left"/>
    </w:lvl>
  </w:abstractNum>
  <w:abstractNum w:abstractNumId="110">
    <w:nsid w:val="53C62D43"/>
    <w:multiLevelType w:val="singleLevel"/>
    <w:tmpl w:val="53C62D43"/>
    <w:lvl w:ilvl="0" w:tentative="0">
      <w:start w:val="1"/>
      <w:numFmt w:val="decimal"/>
      <w:suff w:val="nothing"/>
      <w:lvlText w:val="%1、"/>
      <w:lvlJc w:val="left"/>
    </w:lvl>
  </w:abstractNum>
  <w:abstractNum w:abstractNumId="111">
    <w:nsid w:val="53E95B91"/>
    <w:multiLevelType w:val="singleLevel"/>
    <w:tmpl w:val="53E95B91"/>
    <w:lvl w:ilvl="0" w:tentative="0">
      <w:start w:val="1"/>
      <w:numFmt w:val="decimal"/>
      <w:suff w:val="nothing"/>
      <w:lvlText w:val="%1、"/>
      <w:lvlJc w:val="left"/>
    </w:lvl>
  </w:abstractNum>
  <w:abstractNum w:abstractNumId="112">
    <w:nsid w:val="54225867"/>
    <w:multiLevelType w:val="singleLevel"/>
    <w:tmpl w:val="54225867"/>
    <w:lvl w:ilvl="0" w:tentative="0">
      <w:start w:val="1"/>
      <w:numFmt w:val="decimal"/>
      <w:suff w:val="nothing"/>
      <w:lvlText w:val="%1、"/>
      <w:lvlJc w:val="left"/>
    </w:lvl>
  </w:abstractNum>
  <w:abstractNum w:abstractNumId="113">
    <w:nsid w:val="5635F306"/>
    <w:multiLevelType w:val="singleLevel"/>
    <w:tmpl w:val="5635F306"/>
    <w:lvl w:ilvl="0" w:tentative="0">
      <w:start w:val="1"/>
      <w:numFmt w:val="decimal"/>
      <w:suff w:val="nothing"/>
      <w:lvlText w:val="%1、"/>
      <w:lvlJc w:val="left"/>
    </w:lvl>
  </w:abstractNum>
  <w:abstractNum w:abstractNumId="114">
    <w:nsid w:val="56D98E59"/>
    <w:multiLevelType w:val="singleLevel"/>
    <w:tmpl w:val="56D98E59"/>
    <w:lvl w:ilvl="0" w:tentative="0">
      <w:start w:val="1"/>
      <w:numFmt w:val="decimal"/>
      <w:suff w:val="nothing"/>
      <w:lvlText w:val="%1、"/>
      <w:lvlJc w:val="left"/>
    </w:lvl>
  </w:abstractNum>
  <w:abstractNum w:abstractNumId="115">
    <w:nsid w:val="56DBD864"/>
    <w:multiLevelType w:val="singleLevel"/>
    <w:tmpl w:val="56DBD864"/>
    <w:lvl w:ilvl="0" w:tentative="0">
      <w:start w:val="1"/>
      <w:numFmt w:val="decimal"/>
      <w:suff w:val="nothing"/>
      <w:lvlText w:val="%1、"/>
      <w:lvlJc w:val="left"/>
    </w:lvl>
  </w:abstractNum>
  <w:abstractNum w:abstractNumId="116">
    <w:nsid w:val="5C1AD86C"/>
    <w:multiLevelType w:val="singleLevel"/>
    <w:tmpl w:val="5C1AD86C"/>
    <w:lvl w:ilvl="0" w:tentative="0">
      <w:start w:val="1"/>
      <w:numFmt w:val="decimal"/>
      <w:suff w:val="nothing"/>
      <w:lvlText w:val="%1、"/>
      <w:lvlJc w:val="left"/>
    </w:lvl>
  </w:abstractNum>
  <w:abstractNum w:abstractNumId="117">
    <w:nsid w:val="62BA8746"/>
    <w:multiLevelType w:val="singleLevel"/>
    <w:tmpl w:val="62BA8746"/>
    <w:lvl w:ilvl="0" w:tentative="0">
      <w:start w:val="1"/>
      <w:numFmt w:val="decimal"/>
      <w:suff w:val="nothing"/>
      <w:lvlText w:val="%1、"/>
      <w:lvlJc w:val="left"/>
    </w:lvl>
  </w:abstractNum>
  <w:abstractNum w:abstractNumId="118">
    <w:nsid w:val="65125F06"/>
    <w:multiLevelType w:val="singleLevel"/>
    <w:tmpl w:val="65125F06"/>
    <w:lvl w:ilvl="0" w:tentative="0">
      <w:start w:val="1"/>
      <w:numFmt w:val="decimal"/>
      <w:suff w:val="nothing"/>
      <w:lvlText w:val="%1、"/>
      <w:lvlJc w:val="left"/>
    </w:lvl>
  </w:abstractNum>
  <w:abstractNum w:abstractNumId="119">
    <w:nsid w:val="67AA2B57"/>
    <w:multiLevelType w:val="singleLevel"/>
    <w:tmpl w:val="67AA2B57"/>
    <w:lvl w:ilvl="0" w:tentative="0">
      <w:start w:val="1"/>
      <w:numFmt w:val="decimal"/>
      <w:suff w:val="nothing"/>
      <w:lvlText w:val="%1、"/>
      <w:lvlJc w:val="left"/>
    </w:lvl>
  </w:abstractNum>
  <w:abstractNum w:abstractNumId="120">
    <w:nsid w:val="68958937"/>
    <w:multiLevelType w:val="singleLevel"/>
    <w:tmpl w:val="68958937"/>
    <w:lvl w:ilvl="0" w:tentative="0">
      <w:start w:val="1"/>
      <w:numFmt w:val="decimal"/>
      <w:suff w:val="nothing"/>
      <w:lvlText w:val="%1、"/>
      <w:lvlJc w:val="left"/>
    </w:lvl>
  </w:abstractNum>
  <w:abstractNum w:abstractNumId="121">
    <w:nsid w:val="6A4E1E7D"/>
    <w:multiLevelType w:val="singleLevel"/>
    <w:tmpl w:val="6A4E1E7D"/>
    <w:lvl w:ilvl="0" w:tentative="0">
      <w:start w:val="1"/>
      <w:numFmt w:val="decimal"/>
      <w:suff w:val="nothing"/>
      <w:lvlText w:val="%1、"/>
      <w:lvlJc w:val="left"/>
    </w:lvl>
  </w:abstractNum>
  <w:abstractNum w:abstractNumId="122">
    <w:nsid w:val="6AE55AFA"/>
    <w:multiLevelType w:val="singleLevel"/>
    <w:tmpl w:val="6AE55AFA"/>
    <w:lvl w:ilvl="0" w:tentative="0">
      <w:start w:val="1"/>
      <w:numFmt w:val="decimal"/>
      <w:suff w:val="nothing"/>
      <w:lvlText w:val="%1、"/>
      <w:lvlJc w:val="left"/>
    </w:lvl>
  </w:abstractNum>
  <w:abstractNum w:abstractNumId="123">
    <w:nsid w:val="6B08D88B"/>
    <w:multiLevelType w:val="singleLevel"/>
    <w:tmpl w:val="6B08D88B"/>
    <w:lvl w:ilvl="0" w:tentative="0">
      <w:start w:val="1"/>
      <w:numFmt w:val="decimal"/>
      <w:suff w:val="nothing"/>
      <w:lvlText w:val="%1、"/>
      <w:lvlJc w:val="left"/>
    </w:lvl>
  </w:abstractNum>
  <w:abstractNum w:abstractNumId="124">
    <w:nsid w:val="6BF4CC9D"/>
    <w:multiLevelType w:val="singleLevel"/>
    <w:tmpl w:val="6BF4CC9D"/>
    <w:lvl w:ilvl="0" w:tentative="0">
      <w:start w:val="1"/>
      <w:numFmt w:val="decimal"/>
      <w:suff w:val="nothing"/>
      <w:lvlText w:val="%1、"/>
      <w:lvlJc w:val="left"/>
    </w:lvl>
  </w:abstractNum>
  <w:abstractNum w:abstractNumId="125">
    <w:nsid w:val="6CE18577"/>
    <w:multiLevelType w:val="singleLevel"/>
    <w:tmpl w:val="6CE18577"/>
    <w:lvl w:ilvl="0" w:tentative="0">
      <w:start w:val="1"/>
      <w:numFmt w:val="decimal"/>
      <w:suff w:val="nothing"/>
      <w:lvlText w:val="%1、"/>
      <w:lvlJc w:val="left"/>
    </w:lvl>
  </w:abstractNum>
  <w:abstractNum w:abstractNumId="126">
    <w:nsid w:val="6D13CDC6"/>
    <w:multiLevelType w:val="singleLevel"/>
    <w:tmpl w:val="6D13CDC6"/>
    <w:lvl w:ilvl="0" w:tentative="0">
      <w:start w:val="1"/>
      <w:numFmt w:val="decimal"/>
      <w:suff w:val="nothing"/>
      <w:lvlText w:val="%1、"/>
      <w:lvlJc w:val="left"/>
    </w:lvl>
  </w:abstractNum>
  <w:abstractNum w:abstractNumId="127">
    <w:nsid w:val="6D36E129"/>
    <w:multiLevelType w:val="singleLevel"/>
    <w:tmpl w:val="6D36E129"/>
    <w:lvl w:ilvl="0" w:tentative="0">
      <w:start w:val="1"/>
      <w:numFmt w:val="decimal"/>
      <w:suff w:val="nothing"/>
      <w:lvlText w:val="%1、"/>
      <w:lvlJc w:val="left"/>
    </w:lvl>
  </w:abstractNum>
  <w:abstractNum w:abstractNumId="128">
    <w:nsid w:val="71E2E4E9"/>
    <w:multiLevelType w:val="singleLevel"/>
    <w:tmpl w:val="71E2E4E9"/>
    <w:lvl w:ilvl="0" w:tentative="0">
      <w:start w:val="1"/>
      <w:numFmt w:val="decimal"/>
      <w:suff w:val="nothing"/>
      <w:lvlText w:val="%1、"/>
      <w:lvlJc w:val="left"/>
    </w:lvl>
  </w:abstractNum>
  <w:abstractNum w:abstractNumId="129">
    <w:nsid w:val="770A790F"/>
    <w:multiLevelType w:val="singleLevel"/>
    <w:tmpl w:val="770A790F"/>
    <w:lvl w:ilvl="0" w:tentative="0">
      <w:start w:val="1"/>
      <w:numFmt w:val="decimal"/>
      <w:suff w:val="nothing"/>
      <w:lvlText w:val="%1、"/>
      <w:lvlJc w:val="left"/>
    </w:lvl>
  </w:abstractNum>
  <w:abstractNum w:abstractNumId="130">
    <w:nsid w:val="7740AAD6"/>
    <w:multiLevelType w:val="singleLevel"/>
    <w:tmpl w:val="7740AAD6"/>
    <w:lvl w:ilvl="0" w:tentative="0">
      <w:start w:val="1"/>
      <w:numFmt w:val="decimal"/>
      <w:suff w:val="nothing"/>
      <w:lvlText w:val="%1、"/>
      <w:lvlJc w:val="left"/>
    </w:lvl>
  </w:abstractNum>
  <w:abstractNum w:abstractNumId="131">
    <w:nsid w:val="798F75F5"/>
    <w:multiLevelType w:val="singleLevel"/>
    <w:tmpl w:val="798F75F5"/>
    <w:lvl w:ilvl="0" w:tentative="0">
      <w:start w:val="1"/>
      <w:numFmt w:val="decimal"/>
      <w:suff w:val="nothing"/>
      <w:lvlText w:val="%1、"/>
      <w:lvlJc w:val="left"/>
    </w:lvl>
  </w:abstractNum>
  <w:abstractNum w:abstractNumId="132">
    <w:nsid w:val="7A0F6431"/>
    <w:multiLevelType w:val="singleLevel"/>
    <w:tmpl w:val="7A0F6431"/>
    <w:lvl w:ilvl="0" w:tentative="0">
      <w:start w:val="1"/>
      <w:numFmt w:val="decimal"/>
      <w:suff w:val="space"/>
      <w:lvlText w:val="%1."/>
      <w:lvlJc w:val="left"/>
    </w:lvl>
  </w:abstractNum>
  <w:abstractNum w:abstractNumId="133">
    <w:nsid w:val="7AEF7716"/>
    <w:multiLevelType w:val="multilevel"/>
    <w:tmpl w:val="7AEF7716"/>
    <w:lvl w:ilvl="0" w:tentative="0">
      <w:start w:val="1"/>
      <w:numFmt w:val="chineseCountingThousand"/>
      <w:pStyle w:val="121"/>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4">
    <w:nsid w:val="7DA3C590"/>
    <w:multiLevelType w:val="singleLevel"/>
    <w:tmpl w:val="7DA3C590"/>
    <w:lvl w:ilvl="0" w:tentative="0">
      <w:start w:val="1"/>
      <w:numFmt w:val="decimal"/>
      <w:suff w:val="nothing"/>
      <w:lvlText w:val="%1、"/>
      <w:lvlJc w:val="left"/>
    </w:lvl>
  </w:abstractNum>
  <w:num w:numId="1">
    <w:abstractNumId w:val="69"/>
  </w:num>
  <w:num w:numId="2">
    <w:abstractNumId w:val="68"/>
  </w:num>
  <w:num w:numId="3">
    <w:abstractNumId w:val="80"/>
  </w:num>
  <w:num w:numId="4">
    <w:abstractNumId w:val="78"/>
  </w:num>
  <w:num w:numId="5">
    <w:abstractNumId w:val="133"/>
  </w:num>
  <w:num w:numId="6">
    <w:abstractNumId w:val="94"/>
  </w:num>
  <w:num w:numId="7">
    <w:abstractNumId w:val="101"/>
  </w:num>
  <w:num w:numId="8">
    <w:abstractNumId w:val="53"/>
  </w:num>
  <w:num w:numId="9">
    <w:abstractNumId w:val="130"/>
  </w:num>
  <w:num w:numId="10">
    <w:abstractNumId w:val="58"/>
  </w:num>
  <w:num w:numId="11">
    <w:abstractNumId w:val="35"/>
  </w:num>
  <w:num w:numId="12">
    <w:abstractNumId w:val="29"/>
  </w:num>
  <w:num w:numId="13">
    <w:abstractNumId w:val="116"/>
  </w:num>
  <w:num w:numId="14">
    <w:abstractNumId w:val="1"/>
  </w:num>
  <w:num w:numId="15">
    <w:abstractNumId w:val="37"/>
  </w:num>
  <w:num w:numId="16">
    <w:abstractNumId w:val="118"/>
  </w:num>
  <w:num w:numId="17">
    <w:abstractNumId w:val="21"/>
  </w:num>
  <w:num w:numId="18">
    <w:abstractNumId w:val="34"/>
  </w:num>
  <w:num w:numId="19">
    <w:abstractNumId w:val="102"/>
  </w:num>
  <w:num w:numId="20">
    <w:abstractNumId w:val="73"/>
  </w:num>
  <w:num w:numId="21">
    <w:abstractNumId w:val="121"/>
  </w:num>
  <w:num w:numId="22">
    <w:abstractNumId w:val="100"/>
  </w:num>
  <w:num w:numId="23">
    <w:abstractNumId w:val="119"/>
  </w:num>
  <w:num w:numId="24">
    <w:abstractNumId w:val="109"/>
  </w:num>
  <w:num w:numId="25">
    <w:abstractNumId w:val="105"/>
  </w:num>
  <w:num w:numId="26">
    <w:abstractNumId w:val="110"/>
  </w:num>
  <w:num w:numId="27">
    <w:abstractNumId w:val="17"/>
  </w:num>
  <w:num w:numId="28">
    <w:abstractNumId w:val="42"/>
  </w:num>
  <w:num w:numId="29">
    <w:abstractNumId w:val="113"/>
  </w:num>
  <w:num w:numId="30">
    <w:abstractNumId w:val="62"/>
  </w:num>
  <w:num w:numId="31">
    <w:abstractNumId w:val="61"/>
  </w:num>
  <w:num w:numId="32">
    <w:abstractNumId w:val="79"/>
  </w:num>
  <w:num w:numId="33">
    <w:abstractNumId w:val="7"/>
  </w:num>
  <w:num w:numId="34">
    <w:abstractNumId w:val="39"/>
  </w:num>
  <w:num w:numId="35">
    <w:abstractNumId w:val="87"/>
  </w:num>
  <w:num w:numId="36">
    <w:abstractNumId w:val="124"/>
  </w:num>
  <w:num w:numId="37">
    <w:abstractNumId w:val="70"/>
  </w:num>
  <w:num w:numId="38">
    <w:abstractNumId w:val="88"/>
  </w:num>
  <w:num w:numId="39">
    <w:abstractNumId w:val="20"/>
  </w:num>
  <w:num w:numId="40">
    <w:abstractNumId w:val="115"/>
  </w:num>
  <w:num w:numId="41">
    <w:abstractNumId w:val="10"/>
  </w:num>
  <w:num w:numId="42">
    <w:abstractNumId w:val="60"/>
  </w:num>
  <w:num w:numId="43">
    <w:abstractNumId w:val="24"/>
  </w:num>
  <w:num w:numId="44">
    <w:abstractNumId w:val="44"/>
  </w:num>
  <w:num w:numId="45">
    <w:abstractNumId w:val="128"/>
  </w:num>
  <w:num w:numId="46">
    <w:abstractNumId w:val="6"/>
  </w:num>
  <w:num w:numId="47">
    <w:abstractNumId w:val="98"/>
  </w:num>
  <w:num w:numId="48">
    <w:abstractNumId w:val="50"/>
  </w:num>
  <w:num w:numId="49">
    <w:abstractNumId w:val="2"/>
  </w:num>
  <w:num w:numId="50">
    <w:abstractNumId w:val="11"/>
  </w:num>
  <w:num w:numId="51">
    <w:abstractNumId w:val="93"/>
  </w:num>
  <w:num w:numId="52">
    <w:abstractNumId w:val="95"/>
  </w:num>
  <w:num w:numId="53">
    <w:abstractNumId w:val="56"/>
  </w:num>
  <w:num w:numId="54">
    <w:abstractNumId w:val="36"/>
  </w:num>
  <w:num w:numId="55">
    <w:abstractNumId w:val="117"/>
  </w:num>
  <w:num w:numId="56">
    <w:abstractNumId w:val="45"/>
  </w:num>
  <w:num w:numId="57">
    <w:abstractNumId w:val="84"/>
  </w:num>
  <w:num w:numId="58">
    <w:abstractNumId w:val="75"/>
  </w:num>
  <w:num w:numId="59">
    <w:abstractNumId w:val="104"/>
  </w:num>
  <w:num w:numId="60">
    <w:abstractNumId w:val="112"/>
  </w:num>
  <w:num w:numId="61">
    <w:abstractNumId w:val="123"/>
  </w:num>
  <w:num w:numId="62">
    <w:abstractNumId w:val="38"/>
  </w:num>
  <w:num w:numId="63">
    <w:abstractNumId w:val="114"/>
  </w:num>
  <w:num w:numId="64">
    <w:abstractNumId w:val="40"/>
  </w:num>
  <w:num w:numId="65">
    <w:abstractNumId w:val="85"/>
  </w:num>
  <w:num w:numId="66">
    <w:abstractNumId w:val="83"/>
  </w:num>
  <w:num w:numId="67">
    <w:abstractNumId w:val="3"/>
  </w:num>
  <w:num w:numId="68">
    <w:abstractNumId w:val="12"/>
  </w:num>
  <w:num w:numId="69">
    <w:abstractNumId w:val="46"/>
  </w:num>
  <w:num w:numId="70">
    <w:abstractNumId w:val="122"/>
  </w:num>
  <w:num w:numId="71">
    <w:abstractNumId w:val="57"/>
  </w:num>
  <w:num w:numId="72">
    <w:abstractNumId w:val="108"/>
  </w:num>
  <w:num w:numId="73">
    <w:abstractNumId w:val="15"/>
  </w:num>
  <w:num w:numId="74">
    <w:abstractNumId w:val="90"/>
  </w:num>
  <w:num w:numId="75">
    <w:abstractNumId w:val="28"/>
  </w:num>
  <w:num w:numId="76">
    <w:abstractNumId w:val="86"/>
  </w:num>
  <w:num w:numId="77">
    <w:abstractNumId w:val="64"/>
  </w:num>
  <w:num w:numId="78">
    <w:abstractNumId w:val="32"/>
  </w:num>
  <w:num w:numId="79">
    <w:abstractNumId w:val="91"/>
  </w:num>
  <w:num w:numId="80">
    <w:abstractNumId w:val="4"/>
  </w:num>
  <w:num w:numId="81">
    <w:abstractNumId w:val="131"/>
  </w:num>
  <w:num w:numId="82">
    <w:abstractNumId w:val="96"/>
  </w:num>
  <w:num w:numId="83">
    <w:abstractNumId w:val="71"/>
  </w:num>
  <w:num w:numId="84">
    <w:abstractNumId w:val="72"/>
  </w:num>
  <w:num w:numId="85">
    <w:abstractNumId w:val="129"/>
  </w:num>
  <w:num w:numId="86">
    <w:abstractNumId w:val="134"/>
  </w:num>
  <w:num w:numId="87">
    <w:abstractNumId w:val="25"/>
  </w:num>
  <w:num w:numId="88">
    <w:abstractNumId w:val="22"/>
  </w:num>
  <w:num w:numId="89">
    <w:abstractNumId w:val="76"/>
  </w:num>
  <w:num w:numId="90">
    <w:abstractNumId w:val="125"/>
  </w:num>
  <w:num w:numId="91">
    <w:abstractNumId w:val="99"/>
  </w:num>
  <w:num w:numId="92">
    <w:abstractNumId w:val="89"/>
  </w:num>
  <w:num w:numId="93">
    <w:abstractNumId w:val="13"/>
  </w:num>
  <w:num w:numId="94">
    <w:abstractNumId w:val="19"/>
  </w:num>
  <w:num w:numId="95">
    <w:abstractNumId w:val="31"/>
  </w:num>
  <w:num w:numId="96">
    <w:abstractNumId w:val="59"/>
  </w:num>
  <w:num w:numId="97">
    <w:abstractNumId w:val="77"/>
  </w:num>
  <w:num w:numId="98">
    <w:abstractNumId w:val="26"/>
  </w:num>
  <w:num w:numId="99">
    <w:abstractNumId w:val="82"/>
  </w:num>
  <w:num w:numId="100">
    <w:abstractNumId w:val="106"/>
  </w:num>
  <w:num w:numId="101">
    <w:abstractNumId w:val="126"/>
  </w:num>
  <w:num w:numId="102">
    <w:abstractNumId w:val="107"/>
  </w:num>
  <w:num w:numId="103">
    <w:abstractNumId w:val="14"/>
  </w:num>
  <w:num w:numId="104">
    <w:abstractNumId w:val="97"/>
  </w:num>
  <w:num w:numId="105">
    <w:abstractNumId w:val="18"/>
  </w:num>
  <w:num w:numId="106">
    <w:abstractNumId w:val="43"/>
  </w:num>
  <w:num w:numId="107">
    <w:abstractNumId w:val="0"/>
  </w:num>
  <w:num w:numId="108">
    <w:abstractNumId w:val="9"/>
  </w:num>
  <w:num w:numId="109">
    <w:abstractNumId w:val="5"/>
  </w:num>
  <w:num w:numId="110">
    <w:abstractNumId w:val="65"/>
  </w:num>
  <w:num w:numId="111">
    <w:abstractNumId w:val="16"/>
  </w:num>
  <w:num w:numId="112">
    <w:abstractNumId w:val="55"/>
  </w:num>
  <w:num w:numId="113">
    <w:abstractNumId w:val="127"/>
  </w:num>
  <w:num w:numId="114">
    <w:abstractNumId w:val="103"/>
  </w:num>
  <w:num w:numId="115">
    <w:abstractNumId w:val="111"/>
  </w:num>
  <w:num w:numId="116">
    <w:abstractNumId w:val="54"/>
  </w:num>
  <w:num w:numId="117">
    <w:abstractNumId w:val="8"/>
  </w:num>
  <w:num w:numId="118">
    <w:abstractNumId w:val="63"/>
  </w:num>
  <w:num w:numId="119">
    <w:abstractNumId w:val="120"/>
  </w:num>
  <w:num w:numId="120">
    <w:abstractNumId w:val="81"/>
  </w:num>
  <w:num w:numId="121">
    <w:abstractNumId w:val="66"/>
  </w:num>
  <w:num w:numId="122">
    <w:abstractNumId w:val="23"/>
  </w:num>
  <w:num w:numId="123">
    <w:abstractNumId w:val="52"/>
  </w:num>
  <w:num w:numId="124">
    <w:abstractNumId w:val="27"/>
  </w:num>
  <w:num w:numId="125">
    <w:abstractNumId w:val="92"/>
  </w:num>
  <w:num w:numId="126">
    <w:abstractNumId w:val="47"/>
  </w:num>
  <w:num w:numId="127">
    <w:abstractNumId w:val="30"/>
  </w:num>
  <w:num w:numId="128">
    <w:abstractNumId w:val="132"/>
  </w:num>
  <w:num w:numId="129">
    <w:abstractNumId w:val="41"/>
  </w:num>
  <w:num w:numId="130">
    <w:abstractNumId w:val="67"/>
  </w:num>
  <w:num w:numId="131">
    <w:abstractNumId w:val="49"/>
  </w:num>
  <w:num w:numId="132">
    <w:abstractNumId w:val="48"/>
  </w:num>
  <w:num w:numId="133">
    <w:abstractNumId w:val="33"/>
  </w:num>
  <w:num w:numId="134">
    <w:abstractNumId w:val="51"/>
  </w:num>
  <w:num w:numId="135">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trackRevisions w:val="1"/>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RhM2ExNzMwODk3MGFiMTQwYTdiMDkyMzg4ZjUxYjIifQ=="/>
    <w:docVar w:name="KSO_WPS_MARK_KEY" w:val="a5980290-81d1-4166-b591-31e4936b8684"/>
  </w:docVars>
  <w:rsids>
    <w:rsidRoot w:val="006C5683"/>
    <w:rsid w:val="000006EA"/>
    <w:rsid w:val="00000AD9"/>
    <w:rsid w:val="000043C0"/>
    <w:rsid w:val="00004F2D"/>
    <w:rsid w:val="000050CA"/>
    <w:rsid w:val="000051C6"/>
    <w:rsid w:val="00005215"/>
    <w:rsid w:val="00005A10"/>
    <w:rsid w:val="00005D3D"/>
    <w:rsid w:val="0000667D"/>
    <w:rsid w:val="00006F7B"/>
    <w:rsid w:val="00007951"/>
    <w:rsid w:val="0000796B"/>
    <w:rsid w:val="00010063"/>
    <w:rsid w:val="00010102"/>
    <w:rsid w:val="0001019E"/>
    <w:rsid w:val="00011EA6"/>
    <w:rsid w:val="00012640"/>
    <w:rsid w:val="00012B21"/>
    <w:rsid w:val="0001300F"/>
    <w:rsid w:val="0001336E"/>
    <w:rsid w:val="0001480D"/>
    <w:rsid w:val="00014A5C"/>
    <w:rsid w:val="00015388"/>
    <w:rsid w:val="0001716B"/>
    <w:rsid w:val="00017F81"/>
    <w:rsid w:val="000211EA"/>
    <w:rsid w:val="000234B2"/>
    <w:rsid w:val="00024FD2"/>
    <w:rsid w:val="00025AE4"/>
    <w:rsid w:val="0002684B"/>
    <w:rsid w:val="00026A57"/>
    <w:rsid w:val="00027645"/>
    <w:rsid w:val="000300AE"/>
    <w:rsid w:val="000300EE"/>
    <w:rsid w:val="000302B6"/>
    <w:rsid w:val="0003106D"/>
    <w:rsid w:val="00031700"/>
    <w:rsid w:val="00031F6E"/>
    <w:rsid w:val="0003277F"/>
    <w:rsid w:val="00032948"/>
    <w:rsid w:val="00032B0A"/>
    <w:rsid w:val="0003315D"/>
    <w:rsid w:val="00033DE7"/>
    <w:rsid w:val="0003541F"/>
    <w:rsid w:val="00036A2B"/>
    <w:rsid w:val="00040D3C"/>
    <w:rsid w:val="00042C84"/>
    <w:rsid w:val="00043621"/>
    <w:rsid w:val="00043739"/>
    <w:rsid w:val="00043A89"/>
    <w:rsid w:val="00045739"/>
    <w:rsid w:val="00046D30"/>
    <w:rsid w:val="000510B6"/>
    <w:rsid w:val="00051133"/>
    <w:rsid w:val="00051F3F"/>
    <w:rsid w:val="000521D8"/>
    <w:rsid w:val="00052BC1"/>
    <w:rsid w:val="00053A89"/>
    <w:rsid w:val="0005582B"/>
    <w:rsid w:val="00055BD9"/>
    <w:rsid w:val="00056247"/>
    <w:rsid w:val="00056292"/>
    <w:rsid w:val="00056C11"/>
    <w:rsid w:val="00057302"/>
    <w:rsid w:val="00057332"/>
    <w:rsid w:val="00057D00"/>
    <w:rsid w:val="00060A3D"/>
    <w:rsid w:val="00060C1C"/>
    <w:rsid w:val="00061D20"/>
    <w:rsid w:val="0006267A"/>
    <w:rsid w:val="0006335B"/>
    <w:rsid w:val="00063C25"/>
    <w:rsid w:val="00064892"/>
    <w:rsid w:val="00066026"/>
    <w:rsid w:val="0006660A"/>
    <w:rsid w:val="0006670C"/>
    <w:rsid w:val="00067960"/>
    <w:rsid w:val="0007003A"/>
    <w:rsid w:val="00070210"/>
    <w:rsid w:val="000707BF"/>
    <w:rsid w:val="00072B70"/>
    <w:rsid w:val="00072CB4"/>
    <w:rsid w:val="000734CD"/>
    <w:rsid w:val="00074403"/>
    <w:rsid w:val="000750DC"/>
    <w:rsid w:val="00075497"/>
    <w:rsid w:val="0007583C"/>
    <w:rsid w:val="00075E26"/>
    <w:rsid w:val="00076057"/>
    <w:rsid w:val="000770EC"/>
    <w:rsid w:val="00080613"/>
    <w:rsid w:val="00082667"/>
    <w:rsid w:val="00082AD2"/>
    <w:rsid w:val="00083DC6"/>
    <w:rsid w:val="00084857"/>
    <w:rsid w:val="000849B8"/>
    <w:rsid w:val="000850AF"/>
    <w:rsid w:val="000852EB"/>
    <w:rsid w:val="000869D8"/>
    <w:rsid w:val="00086CA6"/>
    <w:rsid w:val="00090213"/>
    <w:rsid w:val="00092FC7"/>
    <w:rsid w:val="00093133"/>
    <w:rsid w:val="0009395E"/>
    <w:rsid w:val="00094C6E"/>
    <w:rsid w:val="000954D5"/>
    <w:rsid w:val="00095723"/>
    <w:rsid w:val="00095A74"/>
    <w:rsid w:val="0009618D"/>
    <w:rsid w:val="0009709B"/>
    <w:rsid w:val="000975E3"/>
    <w:rsid w:val="000A1DD1"/>
    <w:rsid w:val="000A21A5"/>
    <w:rsid w:val="000A3908"/>
    <w:rsid w:val="000A4C29"/>
    <w:rsid w:val="000A5B36"/>
    <w:rsid w:val="000A6E2B"/>
    <w:rsid w:val="000A79D3"/>
    <w:rsid w:val="000B05E2"/>
    <w:rsid w:val="000B2568"/>
    <w:rsid w:val="000B41BB"/>
    <w:rsid w:val="000B5357"/>
    <w:rsid w:val="000B597F"/>
    <w:rsid w:val="000B634D"/>
    <w:rsid w:val="000B73D2"/>
    <w:rsid w:val="000B7465"/>
    <w:rsid w:val="000C14CB"/>
    <w:rsid w:val="000C18BC"/>
    <w:rsid w:val="000C1D03"/>
    <w:rsid w:val="000C1EE4"/>
    <w:rsid w:val="000C1FF9"/>
    <w:rsid w:val="000C4151"/>
    <w:rsid w:val="000C4425"/>
    <w:rsid w:val="000C4B12"/>
    <w:rsid w:val="000C5FA7"/>
    <w:rsid w:val="000C7E71"/>
    <w:rsid w:val="000D0BCE"/>
    <w:rsid w:val="000D16AA"/>
    <w:rsid w:val="000D1A7D"/>
    <w:rsid w:val="000D2309"/>
    <w:rsid w:val="000D2CCA"/>
    <w:rsid w:val="000D366B"/>
    <w:rsid w:val="000D37B4"/>
    <w:rsid w:val="000D38F9"/>
    <w:rsid w:val="000D5D6B"/>
    <w:rsid w:val="000D7A20"/>
    <w:rsid w:val="000E161C"/>
    <w:rsid w:val="000E1994"/>
    <w:rsid w:val="000E2C39"/>
    <w:rsid w:val="000E355C"/>
    <w:rsid w:val="000E4445"/>
    <w:rsid w:val="000E470B"/>
    <w:rsid w:val="000E4DE8"/>
    <w:rsid w:val="000E4EF8"/>
    <w:rsid w:val="000E50F5"/>
    <w:rsid w:val="000E5E99"/>
    <w:rsid w:val="000E655B"/>
    <w:rsid w:val="000E6A66"/>
    <w:rsid w:val="000F0C3B"/>
    <w:rsid w:val="000F0E9F"/>
    <w:rsid w:val="000F1540"/>
    <w:rsid w:val="000F1D4A"/>
    <w:rsid w:val="000F2065"/>
    <w:rsid w:val="000F2A88"/>
    <w:rsid w:val="000F2C23"/>
    <w:rsid w:val="000F2D1B"/>
    <w:rsid w:val="000F3658"/>
    <w:rsid w:val="000F3B37"/>
    <w:rsid w:val="000F3C85"/>
    <w:rsid w:val="000F3F12"/>
    <w:rsid w:val="000F565B"/>
    <w:rsid w:val="000F5C6C"/>
    <w:rsid w:val="000F5F3F"/>
    <w:rsid w:val="000F64AD"/>
    <w:rsid w:val="00100570"/>
    <w:rsid w:val="00101CE5"/>
    <w:rsid w:val="00101DD0"/>
    <w:rsid w:val="00102555"/>
    <w:rsid w:val="0010291B"/>
    <w:rsid w:val="00102B4B"/>
    <w:rsid w:val="00103AB9"/>
    <w:rsid w:val="00103E80"/>
    <w:rsid w:val="00107187"/>
    <w:rsid w:val="00107272"/>
    <w:rsid w:val="00107D54"/>
    <w:rsid w:val="00110383"/>
    <w:rsid w:val="00110B62"/>
    <w:rsid w:val="00111581"/>
    <w:rsid w:val="00111CEB"/>
    <w:rsid w:val="0011245C"/>
    <w:rsid w:val="0011500F"/>
    <w:rsid w:val="00115A55"/>
    <w:rsid w:val="0011665D"/>
    <w:rsid w:val="00116AAC"/>
    <w:rsid w:val="00117D55"/>
    <w:rsid w:val="001204B2"/>
    <w:rsid w:val="001212EF"/>
    <w:rsid w:val="001217DC"/>
    <w:rsid w:val="00121F81"/>
    <w:rsid w:val="0012203F"/>
    <w:rsid w:val="00123CC6"/>
    <w:rsid w:val="00125689"/>
    <w:rsid w:val="00125C8A"/>
    <w:rsid w:val="001261FC"/>
    <w:rsid w:val="001306FE"/>
    <w:rsid w:val="00130827"/>
    <w:rsid w:val="001308A2"/>
    <w:rsid w:val="00131140"/>
    <w:rsid w:val="001317AD"/>
    <w:rsid w:val="00131FC3"/>
    <w:rsid w:val="0013281E"/>
    <w:rsid w:val="00132FD3"/>
    <w:rsid w:val="001339CF"/>
    <w:rsid w:val="00134E0F"/>
    <w:rsid w:val="0013673A"/>
    <w:rsid w:val="00136D81"/>
    <w:rsid w:val="001410EB"/>
    <w:rsid w:val="00141224"/>
    <w:rsid w:val="00143103"/>
    <w:rsid w:val="00143554"/>
    <w:rsid w:val="00143653"/>
    <w:rsid w:val="00143934"/>
    <w:rsid w:val="00143B3A"/>
    <w:rsid w:val="00143E43"/>
    <w:rsid w:val="00143FFC"/>
    <w:rsid w:val="00145760"/>
    <w:rsid w:val="00146ABB"/>
    <w:rsid w:val="00147338"/>
    <w:rsid w:val="00147A48"/>
    <w:rsid w:val="00150143"/>
    <w:rsid w:val="001509AB"/>
    <w:rsid w:val="00152E91"/>
    <w:rsid w:val="0015460B"/>
    <w:rsid w:val="00154736"/>
    <w:rsid w:val="00156CA9"/>
    <w:rsid w:val="00157465"/>
    <w:rsid w:val="00157E23"/>
    <w:rsid w:val="00157FC3"/>
    <w:rsid w:val="00160ACE"/>
    <w:rsid w:val="00161C4F"/>
    <w:rsid w:val="00161C84"/>
    <w:rsid w:val="00161F2A"/>
    <w:rsid w:val="00161FDF"/>
    <w:rsid w:val="00162091"/>
    <w:rsid w:val="001626BD"/>
    <w:rsid w:val="00162C33"/>
    <w:rsid w:val="0016340E"/>
    <w:rsid w:val="00164E23"/>
    <w:rsid w:val="0016595F"/>
    <w:rsid w:val="00165A4C"/>
    <w:rsid w:val="00166A2C"/>
    <w:rsid w:val="00166BF2"/>
    <w:rsid w:val="00166CC3"/>
    <w:rsid w:val="00167E68"/>
    <w:rsid w:val="00170A9E"/>
    <w:rsid w:val="00170ED1"/>
    <w:rsid w:val="0017121A"/>
    <w:rsid w:val="00171401"/>
    <w:rsid w:val="0017141F"/>
    <w:rsid w:val="00171777"/>
    <w:rsid w:val="001719FB"/>
    <w:rsid w:val="00172B65"/>
    <w:rsid w:val="00172EF5"/>
    <w:rsid w:val="001732E1"/>
    <w:rsid w:val="00174268"/>
    <w:rsid w:val="0017486B"/>
    <w:rsid w:val="0017613E"/>
    <w:rsid w:val="00177167"/>
    <w:rsid w:val="00177753"/>
    <w:rsid w:val="00177BE4"/>
    <w:rsid w:val="00180EDB"/>
    <w:rsid w:val="00181A71"/>
    <w:rsid w:val="00182329"/>
    <w:rsid w:val="0018261B"/>
    <w:rsid w:val="001834A7"/>
    <w:rsid w:val="0018373B"/>
    <w:rsid w:val="00183C79"/>
    <w:rsid w:val="00183C8B"/>
    <w:rsid w:val="00183E75"/>
    <w:rsid w:val="001845CF"/>
    <w:rsid w:val="001865BB"/>
    <w:rsid w:val="00186EAE"/>
    <w:rsid w:val="00186F7A"/>
    <w:rsid w:val="00187518"/>
    <w:rsid w:val="00187743"/>
    <w:rsid w:val="00187F07"/>
    <w:rsid w:val="0019096C"/>
    <w:rsid w:val="00191EA7"/>
    <w:rsid w:val="00192164"/>
    <w:rsid w:val="00192883"/>
    <w:rsid w:val="00194C98"/>
    <w:rsid w:val="00194FB7"/>
    <w:rsid w:val="00195D28"/>
    <w:rsid w:val="00196B4E"/>
    <w:rsid w:val="001975A1"/>
    <w:rsid w:val="001A027A"/>
    <w:rsid w:val="001A08E4"/>
    <w:rsid w:val="001A0D2C"/>
    <w:rsid w:val="001A12B5"/>
    <w:rsid w:val="001A1C72"/>
    <w:rsid w:val="001A3980"/>
    <w:rsid w:val="001A422B"/>
    <w:rsid w:val="001A440A"/>
    <w:rsid w:val="001A4A55"/>
    <w:rsid w:val="001A5C6F"/>
    <w:rsid w:val="001A6A4F"/>
    <w:rsid w:val="001A76B7"/>
    <w:rsid w:val="001B015C"/>
    <w:rsid w:val="001B1339"/>
    <w:rsid w:val="001B1B58"/>
    <w:rsid w:val="001B1F55"/>
    <w:rsid w:val="001B2049"/>
    <w:rsid w:val="001B2934"/>
    <w:rsid w:val="001B4A37"/>
    <w:rsid w:val="001B5963"/>
    <w:rsid w:val="001B6FAD"/>
    <w:rsid w:val="001C04B2"/>
    <w:rsid w:val="001C14C1"/>
    <w:rsid w:val="001C1FDE"/>
    <w:rsid w:val="001C2063"/>
    <w:rsid w:val="001C21E1"/>
    <w:rsid w:val="001C3426"/>
    <w:rsid w:val="001C4675"/>
    <w:rsid w:val="001C4768"/>
    <w:rsid w:val="001C5839"/>
    <w:rsid w:val="001C6AF6"/>
    <w:rsid w:val="001C7129"/>
    <w:rsid w:val="001C77E1"/>
    <w:rsid w:val="001C7ADA"/>
    <w:rsid w:val="001C7B48"/>
    <w:rsid w:val="001C7EA0"/>
    <w:rsid w:val="001D121D"/>
    <w:rsid w:val="001D3543"/>
    <w:rsid w:val="001D4151"/>
    <w:rsid w:val="001D58E5"/>
    <w:rsid w:val="001D7299"/>
    <w:rsid w:val="001E0FAB"/>
    <w:rsid w:val="001E2084"/>
    <w:rsid w:val="001E2502"/>
    <w:rsid w:val="001E292F"/>
    <w:rsid w:val="001E351C"/>
    <w:rsid w:val="001E474D"/>
    <w:rsid w:val="001E5194"/>
    <w:rsid w:val="001E5851"/>
    <w:rsid w:val="001E5A81"/>
    <w:rsid w:val="001E62FB"/>
    <w:rsid w:val="001E68FE"/>
    <w:rsid w:val="001E6A0B"/>
    <w:rsid w:val="001E77DA"/>
    <w:rsid w:val="001E7A2F"/>
    <w:rsid w:val="001E7AB0"/>
    <w:rsid w:val="001E7DD0"/>
    <w:rsid w:val="001F0349"/>
    <w:rsid w:val="001F077B"/>
    <w:rsid w:val="001F0B74"/>
    <w:rsid w:val="001F1045"/>
    <w:rsid w:val="001F2648"/>
    <w:rsid w:val="001F3E37"/>
    <w:rsid w:val="001F41B9"/>
    <w:rsid w:val="001F4BE8"/>
    <w:rsid w:val="001F4EB8"/>
    <w:rsid w:val="001F560A"/>
    <w:rsid w:val="001F6270"/>
    <w:rsid w:val="001F6318"/>
    <w:rsid w:val="001F65B1"/>
    <w:rsid w:val="001F6B83"/>
    <w:rsid w:val="001F6F6A"/>
    <w:rsid w:val="001F7595"/>
    <w:rsid w:val="002000B8"/>
    <w:rsid w:val="002005CD"/>
    <w:rsid w:val="00200B4C"/>
    <w:rsid w:val="00202F46"/>
    <w:rsid w:val="00203267"/>
    <w:rsid w:val="00203897"/>
    <w:rsid w:val="0020391D"/>
    <w:rsid w:val="00205F9C"/>
    <w:rsid w:val="002060F7"/>
    <w:rsid w:val="00207BC6"/>
    <w:rsid w:val="00210771"/>
    <w:rsid w:val="00210EE2"/>
    <w:rsid w:val="00211885"/>
    <w:rsid w:val="00212864"/>
    <w:rsid w:val="00212ADF"/>
    <w:rsid w:val="002134CF"/>
    <w:rsid w:val="00213A60"/>
    <w:rsid w:val="0021429B"/>
    <w:rsid w:val="00215699"/>
    <w:rsid w:val="002159DE"/>
    <w:rsid w:val="00215E99"/>
    <w:rsid w:val="0021667D"/>
    <w:rsid w:val="002166A1"/>
    <w:rsid w:val="002166A6"/>
    <w:rsid w:val="00216BB6"/>
    <w:rsid w:val="0022039D"/>
    <w:rsid w:val="0022048B"/>
    <w:rsid w:val="0022175C"/>
    <w:rsid w:val="00222261"/>
    <w:rsid w:val="002227DF"/>
    <w:rsid w:val="00223AC8"/>
    <w:rsid w:val="00223C96"/>
    <w:rsid w:val="00224852"/>
    <w:rsid w:val="00224BE4"/>
    <w:rsid w:val="0022634D"/>
    <w:rsid w:val="00227512"/>
    <w:rsid w:val="0022766E"/>
    <w:rsid w:val="0022777A"/>
    <w:rsid w:val="002278D5"/>
    <w:rsid w:val="00227C13"/>
    <w:rsid w:val="00227D49"/>
    <w:rsid w:val="00227FC7"/>
    <w:rsid w:val="0023110A"/>
    <w:rsid w:val="00233A54"/>
    <w:rsid w:val="00234440"/>
    <w:rsid w:val="002347C9"/>
    <w:rsid w:val="00236E72"/>
    <w:rsid w:val="0023738E"/>
    <w:rsid w:val="002411BD"/>
    <w:rsid w:val="00242ED3"/>
    <w:rsid w:val="00244711"/>
    <w:rsid w:val="00244AE4"/>
    <w:rsid w:val="00245EBE"/>
    <w:rsid w:val="002472C1"/>
    <w:rsid w:val="002473F4"/>
    <w:rsid w:val="00247D64"/>
    <w:rsid w:val="00250934"/>
    <w:rsid w:val="00250F42"/>
    <w:rsid w:val="00252EBA"/>
    <w:rsid w:val="0025361A"/>
    <w:rsid w:val="002545EF"/>
    <w:rsid w:val="00254B44"/>
    <w:rsid w:val="00254E99"/>
    <w:rsid w:val="00255B9B"/>
    <w:rsid w:val="00256596"/>
    <w:rsid w:val="0026027A"/>
    <w:rsid w:val="00260533"/>
    <w:rsid w:val="002605CE"/>
    <w:rsid w:val="00261367"/>
    <w:rsid w:val="00261A54"/>
    <w:rsid w:val="00261C21"/>
    <w:rsid w:val="00261D37"/>
    <w:rsid w:val="00262D6B"/>
    <w:rsid w:val="00262ED0"/>
    <w:rsid w:val="00263607"/>
    <w:rsid w:val="002638EE"/>
    <w:rsid w:val="00264965"/>
    <w:rsid w:val="002656E1"/>
    <w:rsid w:val="00265CFF"/>
    <w:rsid w:val="002702CD"/>
    <w:rsid w:val="00270B4E"/>
    <w:rsid w:val="00271500"/>
    <w:rsid w:val="00272E57"/>
    <w:rsid w:val="00274663"/>
    <w:rsid w:val="00275641"/>
    <w:rsid w:val="0027569A"/>
    <w:rsid w:val="002767D9"/>
    <w:rsid w:val="00280382"/>
    <w:rsid w:val="00280F4B"/>
    <w:rsid w:val="002816D0"/>
    <w:rsid w:val="002821E9"/>
    <w:rsid w:val="002827D2"/>
    <w:rsid w:val="002835B7"/>
    <w:rsid w:val="00284C1F"/>
    <w:rsid w:val="00284F69"/>
    <w:rsid w:val="002851AF"/>
    <w:rsid w:val="00285866"/>
    <w:rsid w:val="00286129"/>
    <w:rsid w:val="0028787B"/>
    <w:rsid w:val="00290263"/>
    <w:rsid w:val="002908A7"/>
    <w:rsid w:val="00291768"/>
    <w:rsid w:val="00291796"/>
    <w:rsid w:val="00292F66"/>
    <w:rsid w:val="0029315D"/>
    <w:rsid w:val="00293A33"/>
    <w:rsid w:val="0029449E"/>
    <w:rsid w:val="0029488D"/>
    <w:rsid w:val="0029530C"/>
    <w:rsid w:val="00296020"/>
    <w:rsid w:val="00296695"/>
    <w:rsid w:val="0029693F"/>
    <w:rsid w:val="002969C6"/>
    <w:rsid w:val="00296BE2"/>
    <w:rsid w:val="00296F46"/>
    <w:rsid w:val="00296F8A"/>
    <w:rsid w:val="002A11CE"/>
    <w:rsid w:val="002A13E2"/>
    <w:rsid w:val="002A180F"/>
    <w:rsid w:val="002A1B36"/>
    <w:rsid w:val="002A37E6"/>
    <w:rsid w:val="002A4DFC"/>
    <w:rsid w:val="002B18D6"/>
    <w:rsid w:val="002B22D4"/>
    <w:rsid w:val="002B3984"/>
    <w:rsid w:val="002B4BF3"/>
    <w:rsid w:val="002B55C8"/>
    <w:rsid w:val="002B5E4B"/>
    <w:rsid w:val="002B64E9"/>
    <w:rsid w:val="002B660D"/>
    <w:rsid w:val="002B7969"/>
    <w:rsid w:val="002C0031"/>
    <w:rsid w:val="002C0485"/>
    <w:rsid w:val="002C0762"/>
    <w:rsid w:val="002C257A"/>
    <w:rsid w:val="002C2BEC"/>
    <w:rsid w:val="002C30C0"/>
    <w:rsid w:val="002C4F4B"/>
    <w:rsid w:val="002C5233"/>
    <w:rsid w:val="002C6EC0"/>
    <w:rsid w:val="002C7258"/>
    <w:rsid w:val="002D0189"/>
    <w:rsid w:val="002D0356"/>
    <w:rsid w:val="002D07C0"/>
    <w:rsid w:val="002D0F98"/>
    <w:rsid w:val="002D1DFB"/>
    <w:rsid w:val="002D45BF"/>
    <w:rsid w:val="002D4A85"/>
    <w:rsid w:val="002D6162"/>
    <w:rsid w:val="002D64DF"/>
    <w:rsid w:val="002D750A"/>
    <w:rsid w:val="002E242E"/>
    <w:rsid w:val="002E2FEC"/>
    <w:rsid w:val="002E38DB"/>
    <w:rsid w:val="002E3BEB"/>
    <w:rsid w:val="002E441D"/>
    <w:rsid w:val="002E4AB1"/>
    <w:rsid w:val="002E4F11"/>
    <w:rsid w:val="002E4F8A"/>
    <w:rsid w:val="002E505D"/>
    <w:rsid w:val="002E6F69"/>
    <w:rsid w:val="002E7296"/>
    <w:rsid w:val="002E73B8"/>
    <w:rsid w:val="002F04A7"/>
    <w:rsid w:val="002F0545"/>
    <w:rsid w:val="002F0823"/>
    <w:rsid w:val="002F2471"/>
    <w:rsid w:val="002F2B7A"/>
    <w:rsid w:val="002F2E1D"/>
    <w:rsid w:val="002F3105"/>
    <w:rsid w:val="002F59F2"/>
    <w:rsid w:val="002F5E6C"/>
    <w:rsid w:val="002F72FF"/>
    <w:rsid w:val="00300BF3"/>
    <w:rsid w:val="0030143F"/>
    <w:rsid w:val="00301A2B"/>
    <w:rsid w:val="00301BCD"/>
    <w:rsid w:val="00302988"/>
    <w:rsid w:val="00303ACF"/>
    <w:rsid w:val="0030463E"/>
    <w:rsid w:val="00304ED6"/>
    <w:rsid w:val="00306654"/>
    <w:rsid w:val="00306D5D"/>
    <w:rsid w:val="00306FF4"/>
    <w:rsid w:val="00310EE1"/>
    <w:rsid w:val="003122B0"/>
    <w:rsid w:val="00312390"/>
    <w:rsid w:val="003123F4"/>
    <w:rsid w:val="00312EAF"/>
    <w:rsid w:val="00313487"/>
    <w:rsid w:val="003138EB"/>
    <w:rsid w:val="00315880"/>
    <w:rsid w:val="00315A06"/>
    <w:rsid w:val="0031678B"/>
    <w:rsid w:val="0031683C"/>
    <w:rsid w:val="00317146"/>
    <w:rsid w:val="003176EA"/>
    <w:rsid w:val="00317D36"/>
    <w:rsid w:val="00321473"/>
    <w:rsid w:val="003225FB"/>
    <w:rsid w:val="00323A7C"/>
    <w:rsid w:val="00323BE9"/>
    <w:rsid w:val="00323C32"/>
    <w:rsid w:val="00323CC7"/>
    <w:rsid w:val="003247BA"/>
    <w:rsid w:val="00324A1D"/>
    <w:rsid w:val="00324C55"/>
    <w:rsid w:val="003250B4"/>
    <w:rsid w:val="00325742"/>
    <w:rsid w:val="00327224"/>
    <w:rsid w:val="00327AB3"/>
    <w:rsid w:val="00327F9E"/>
    <w:rsid w:val="00330527"/>
    <w:rsid w:val="00330C9F"/>
    <w:rsid w:val="003318A6"/>
    <w:rsid w:val="003321A8"/>
    <w:rsid w:val="00332EB1"/>
    <w:rsid w:val="00333E63"/>
    <w:rsid w:val="00334044"/>
    <w:rsid w:val="00334CB0"/>
    <w:rsid w:val="00335188"/>
    <w:rsid w:val="00335234"/>
    <w:rsid w:val="003373B8"/>
    <w:rsid w:val="003413F4"/>
    <w:rsid w:val="00342DC1"/>
    <w:rsid w:val="00342EF7"/>
    <w:rsid w:val="003432B6"/>
    <w:rsid w:val="003434E9"/>
    <w:rsid w:val="00343F41"/>
    <w:rsid w:val="00344BF3"/>
    <w:rsid w:val="00345CC1"/>
    <w:rsid w:val="00345EA7"/>
    <w:rsid w:val="0034652C"/>
    <w:rsid w:val="00346606"/>
    <w:rsid w:val="00346E73"/>
    <w:rsid w:val="00346F27"/>
    <w:rsid w:val="0035067B"/>
    <w:rsid w:val="00350681"/>
    <w:rsid w:val="00350B6E"/>
    <w:rsid w:val="00350FA8"/>
    <w:rsid w:val="00351A4A"/>
    <w:rsid w:val="00351D95"/>
    <w:rsid w:val="00351FB4"/>
    <w:rsid w:val="00353860"/>
    <w:rsid w:val="00354CD9"/>
    <w:rsid w:val="003556C1"/>
    <w:rsid w:val="00355EEE"/>
    <w:rsid w:val="00356FC1"/>
    <w:rsid w:val="00357883"/>
    <w:rsid w:val="00360494"/>
    <w:rsid w:val="00360B7E"/>
    <w:rsid w:val="00360C00"/>
    <w:rsid w:val="00361243"/>
    <w:rsid w:val="00361633"/>
    <w:rsid w:val="00361935"/>
    <w:rsid w:val="003626AE"/>
    <w:rsid w:val="0036292A"/>
    <w:rsid w:val="00362AF3"/>
    <w:rsid w:val="0036467D"/>
    <w:rsid w:val="00364BEE"/>
    <w:rsid w:val="0036508D"/>
    <w:rsid w:val="003651C8"/>
    <w:rsid w:val="00366321"/>
    <w:rsid w:val="00366419"/>
    <w:rsid w:val="003665E3"/>
    <w:rsid w:val="003669F1"/>
    <w:rsid w:val="00366F10"/>
    <w:rsid w:val="003700A3"/>
    <w:rsid w:val="00370B40"/>
    <w:rsid w:val="00371A92"/>
    <w:rsid w:val="00371C15"/>
    <w:rsid w:val="00372CDF"/>
    <w:rsid w:val="00373411"/>
    <w:rsid w:val="0037369C"/>
    <w:rsid w:val="00373D40"/>
    <w:rsid w:val="003741F6"/>
    <w:rsid w:val="00374A29"/>
    <w:rsid w:val="00374FA4"/>
    <w:rsid w:val="003756C6"/>
    <w:rsid w:val="00376548"/>
    <w:rsid w:val="00376E35"/>
    <w:rsid w:val="003773AC"/>
    <w:rsid w:val="00377F6C"/>
    <w:rsid w:val="00380094"/>
    <w:rsid w:val="00380256"/>
    <w:rsid w:val="0038165D"/>
    <w:rsid w:val="00383071"/>
    <w:rsid w:val="00385175"/>
    <w:rsid w:val="00385444"/>
    <w:rsid w:val="00385F39"/>
    <w:rsid w:val="00386070"/>
    <w:rsid w:val="00387DCF"/>
    <w:rsid w:val="00390006"/>
    <w:rsid w:val="003900A5"/>
    <w:rsid w:val="0039012D"/>
    <w:rsid w:val="003917AD"/>
    <w:rsid w:val="003917D1"/>
    <w:rsid w:val="00391FAB"/>
    <w:rsid w:val="00392539"/>
    <w:rsid w:val="00392677"/>
    <w:rsid w:val="0039320C"/>
    <w:rsid w:val="00393431"/>
    <w:rsid w:val="00393633"/>
    <w:rsid w:val="003945E2"/>
    <w:rsid w:val="00394981"/>
    <w:rsid w:val="00395100"/>
    <w:rsid w:val="003953A8"/>
    <w:rsid w:val="003958E6"/>
    <w:rsid w:val="00395D76"/>
    <w:rsid w:val="00396F7B"/>
    <w:rsid w:val="00396FA3"/>
    <w:rsid w:val="0039788E"/>
    <w:rsid w:val="00397F0D"/>
    <w:rsid w:val="003A011D"/>
    <w:rsid w:val="003A0DC3"/>
    <w:rsid w:val="003A1675"/>
    <w:rsid w:val="003A1CA9"/>
    <w:rsid w:val="003A1CF5"/>
    <w:rsid w:val="003A2812"/>
    <w:rsid w:val="003A2D0C"/>
    <w:rsid w:val="003A3304"/>
    <w:rsid w:val="003A3551"/>
    <w:rsid w:val="003A38F0"/>
    <w:rsid w:val="003A3EBB"/>
    <w:rsid w:val="003A443D"/>
    <w:rsid w:val="003A4DE4"/>
    <w:rsid w:val="003A6A5A"/>
    <w:rsid w:val="003A72E9"/>
    <w:rsid w:val="003B11DA"/>
    <w:rsid w:val="003B175A"/>
    <w:rsid w:val="003B3231"/>
    <w:rsid w:val="003B357A"/>
    <w:rsid w:val="003B4274"/>
    <w:rsid w:val="003B499C"/>
    <w:rsid w:val="003B4CCD"/>
    <w:rsid w:val="003B53D4"/>
    <w:rsid w:val="003B56D7"/>
    <w:rsid w:val="003B7298"/>
    <w:rsid w:val="003C0FF8"/>
    <w:rsid w:val="003C1D0C"/>
    <w:rsid w:val="003C1F2E"/>
    <w:rsid w:val="003C42A3"/>
    <w:rsid w:val="003C49D5"/>
    <w:rsid w:val="003C4FD5"/>
    <w:rsid w:val="003C582B"/>
    <w:rsid w:val="003C6BFF"/>
    <w:rsid w:val="003D2333"/>
    <w:rsid w:val="003D2E1B"/>
    <w:rsid w:val="003D3241"/>
    <w:rsid w:val="003D39AE"/>
    <w:rsid w:val="003D3B44"/>
    <w:rsid w:val="003D4804"/>
    <w:rsid w:val="003D5413"/>
    <w:rsid w:val="003D7685"/>
    <w:rsid w:val="003D7E9A"/>
    <w:rsid w:val="003E0366"/>
    <w:rsid w:val="003E100C"/>
    <w:rsid w:val="003E1C0C"/>
    <w:rsid w:val="003E2FFE"/>
    <w:rsid w:val="003E37AA"/>
    <w:rsid w:val="003E4310"/>
    <w:rsid w:val="003E47DE"/>
    <w:rsid w:val="003E4FFA"/>
    <w:rsid w:val="003E6E11"/>
    <w:rsid w:val="003F0536"/>
    <w:rsid w:val="003F10D3"/>
    <w:rsid w:val="003F1548"/>
    <w:rsid w:val="003F2B3D"/>
    <w:rsid w:val="003F2FBA"/>
    <w:rsid w:val="003F3105"/>
    <w:rsid w:val="003F3C44"/>
    <w:rsid w:val="003F4172"/>
    <w:rsid w:val="003F4249"/>
    <w:rsid w:val="003F4768"/>
    <w:rsid w:val="003F4E3B"/>
    <w:rsid w:val="003F5086"/>
    <w:rsid w:val="003F5108"/>
    <w:rsid w:val="003F5C9D"/>
    <w:rsid w:val="003F5D2C"/>
    <w:rsid w:val="003F7679"/>
    <w:rsid w:val="00400C13"/>
    <w:rsid w:val="00401AD9"/>
    <w:rsid w:val="00401F48"/>
    <w:rsid w:val="00402311"/>
    <w:rsid w:val="0040239F"/>
    <w:rsid w:val="00402C97"/>
    <w:rsid w:val="00403364"/>
    <w:rsid w:val="0040415C"/>
    <w:rsid w:val="00404AA4"/>
    <w:rsid w:val="00404AF1"/>
    <w:rsid w:val="00404C61"/>
    <w:rsid w:val="004050C9"/>
    <w:rsid w:val="004051F0"/>
    <w:rsid w:val="00405C04"/>
    <w:rsid w:val="00406314"/>
    <w:rsid w:val="00406376"/>
    <w:rsid w:val="00406896"/>
    <w:rsid w:val="00411B37"/>
    <w:rsid w:val="0041244F"/>
    <w:rsid w:val="004125ED"/>
    <w:rsid w:val="0041353D"/>
    <w:rsid w:val="00413B39"/>
    <w:rsid w:val="0041450E"/>
    <w:rsid w:val="0041456E"/>
    <w:rsid w:val="00415370"/>
    <w:rsid w:val="00415781"/>
    <w:rsid w:val="00416485"/>
    <w:rsid w:val="00416F40"/>
    <w:rsid w:val="00417769"/>
    <w:rsid w:val="00417F0D"/>
    <w:rsid w:val="00420765"/>
    <w:rsid w:val="00421EF2"/>
    <w:rsid w:val="00422668"/>
    <w:rsid w:val="0042482B"/>
    <w:rsid w:val="00424946"/>
    <w:rsid w:val="0042602D"/>
    <w:rsid w:val="004261DA"/>
    <w:rsid w:val="00427004"/>
    <w:rsid w:val="00431540"/>
    <w:rsid w:val="00431AC1"/>
    <w:rsid w:val="00431DE1"/>
    <w:rsid w:val="004329C9"/>
    <w:rsid w:val="00432CD5"/>
    <w:rsid w:val="00432EF0"/>
    <w:rsid w:val="0043396E"/>
    <w:rsid w:val="00433CDB"/>
    <w:rsid w:val="00435D29"/>
    <w:rsid w:val="004363FA"/>
    <w:rsid w:val="004364CC"/>
    <w:rsid w:val="00437141"/>
    <w:rsid w:val="004405B0"/>
    <w:rsid w:val="00440853"/>
    <w:rsid w:val="00441905"/>
    <w:rsid w:val="00441FF9"/>
    <w:rsid w:val="0044382F"/>
    <w:rsid w:val="00443B96"/>
    <w:rsid w:val="00443E1D"/>
    <w:rsid w:val="004442EB"/>
    <w:rsid w:val="00444FA3"/>
    <w:rsid w:val="004459DC"/>
    <w:rsid w:val="00446553"/>
    <w:rsid w:val="00446A92"/>
    <w:rsid w:val="004501B4"/>
    <w:rsid w:val="0045082F"/>
    <w:rsid w:val="00450C00"/>
    <w:rsid w:val="0045135E"/>
    <w:rsid w:val="00452434"/>
    <w:rsid w:val="00452C53"/>
    <w:rsid w:val="004539C7"/>
    <w:rsid w:val="00454597"/>
    <w:rsid w:val="004548E6"/>
    <w:rsid w:val="0045543A"/>
    <w:rsid w:val="0045543C"/>
    <w:rsid w:val="004556FB"/>
    <w:rsid w:val="00455880"/>
    <w:rsid w:val="004561F9"/>
    <w:rsid w:val="0045637C"/>
    <w:rsid w:val="004563C4"/>
    <w:rsid w:val="004569A3"/>
    <w:rsid w:val="004578ED"/>
    <w:rsid w:val="00457EFC"/>
    <w:rsid w:val="0046064C"/>
    <w:rsid w:val="004611B6"/>
    <w:rsid w:val="00461997"/>
    <w:rsid w:val="00463F8B"/>
    <w:rsid w:val="004644C2"/>
    <w:rsid w:val="004649AD"/>
    <w:rsid w:val="004650E7"/>
    <w:rsid w:val="0046687B"/>
    <w:rsid w:val="00466CB4"/>
    <w:rsid w:val="00470418"/>
    <w:rsid w:val="004704EA"/>
    <w:rsid w:val="0047071D"/>
    <w:rsid w:val="004720F6"/>
    <w:rsid w:val="004727C4"/>
    <w:rsid w:val="00472F62"/>
    <w:rsid w:val="00473579"/>
    <w:rsid w:val="00473E50"/>
    <w:rsid w:val="00474E5A"/>
    <w:rsid w:val="00475355"/>
    <w:rsid w:val="0047558F"/>
    <w:rsid w:val="00475FD5"/>
    <w:rsid w:val="00476FED"/>
    <w:rsid w:val="0047725A"/>
    <w:rsid w:val="004812F4"/>
    <w:rsid w:val="0048231B"/>
    <w:rsid w:val="004838D4"/>
    <w:rsid w:val="004845AC"/>
    <w:rsid w:val="00484C31"/>
    <w:rsid w:val="00485E3C"/>
    <w:rsid w:val="00486F09"/>
    <w:rsid w:val="004877FB"/>
    <w:rsid w:val="004906DB"/>
    <w:rsid w:val="00490C0F"/>
    <w:rsid w:val="00491FF2"/>
    <w:rsid w:val="004925EE"/>
    <w:rsid w:val="00492735"/>
    <w:rsid w:val="00493926"/>
    <w:rsid w:val="004945E8"/>
    <w:rsid w:val="00494FC9"/>
    <w:rsid w:val="00495228"/>
    <w:rsid w:val="004963B6"/>
    <w:rsid w:val="004A1AB1"/>
    <w:rsid w:val="004A2013"/>
    <w:rsid w:val="004A201B"/>
    <w:rsid w:val="004A2B7A"/>
    <w:rsid w:val="004A3EB3"/>
    <w:rsid w:val="004A4377"/>
    <w:rsid w:val="004A57EB"/>
    <w:rsid w:val="004A5824"/>
    <w:rsid w:val="004A59D3"/>
    <w:rsid w:val="004A6156"/>
    <w:rsid w:val="004A6D7C"/>
    <w:rsid w:val="004A6F11"/>
    <w:rsid w:val="004A7224"/>
    <w:rsid w:val="004A74DD"/>
    <w:rsid w:val="004B00D1"/>
    <w:rsid w:val="004B0AC8"/>
    <w:rsid w:val="004B0B57"/>
    <w:rsid w:val="004B0BBE"/>
    <w:rsid w:val="004B0EB0"/>
    <w:rsid w:val="004B1246"/>
    <w:rsid w:val="004B1CAB"/>
    <w:rsid w:val="004B2FF9"/>
    <w:rsid w:val="004B3506"/>
    <w:rsid w:val="004B36ED"/>
    <w:rsid w:val="004B40DB"/>
    <w:rsid w:val="004B4EF6"/>
    <w:rsid w:val="004B612E"/>
    <w:rsid w:val="004B623B"/>
    <w:rsid w:val="004B6554"/>
    <w:rsid w:val="004B6B22"/>
    <w:rsid w:val="004B6C50"/>
    <w:rsid w:val="004C0DA0"/>
    <w:rsid w:val="004C3E02"/>
    <w:rsid w:val="004C422D"/>
    <w:rsid w:val="004C440E"/>
    <w:rsid w:val="004C4CEB"/>
    <w:rsid w:val="004C5CBA"/>
    <w:rsid w:val="004C64D8"/>
    <w:rsid w:val="004C64F7"/>
    <w:rsid w:val="004C6C09"/>
    <w:rsid w:val="004C6EA3"/>
    <w:rsid w:val="004C7BCD"/>
    <w:rsid w:val="004D000F"/>
    <w:rsid w:val="004D055D"/>
    <w:rsid w:val="004D1240"/>
    <w:rsid w:val="004D12B8"/>
    <w:rsid w:val="004D12F6"/>
    <w:rsid w:val="004D1946"/>
    <w:rsid w:val="004D32ED"/>
    <w:rsid w:val="004D3E71"/>
    <w:rsid w:val="004D49EE"/>
    <w:rsid w:val="004D4AE0"/>
    <w:rsid w:val="004D4C0B"/>
    <w:rsid w:val="004D69FC"/>
    <w:rsid w:val="004D72BA"/>
    <w:rsid w:val="004D77BD"/>
    <w:rsid w:val="004D77DE"/>
    <w:rsid w:val="004D7BF4"/>
    <w:rsid w:val="004D7C92"/>
    <w:rsid w:val="004E295C"/>
    <w:rsid w:val="004E38B2"/>
    <w:rsid w:val="004E3936"/>
    <w:rsid w:val="004E490B"/>
    <w:rsid w:val="004E57F7"/>
    <w:rsid w:val="004E5D9C"/>
    <w:rsid w:val="004E6191"/>
    <w:rsid w:val="004E6707"/>
    <w:rsid w:val="004E6B8E"/>
    <w:rsid w:val="004F0543"/>
    <w:rsid w:val="004F0D33"/>
    <w:rsid w:val="004F2385"/>
    <w:rsid w:val="004F246C"/>
    <w:rsid w:val="004F3A97"/>
    <w:rsid w:val="004F5591"/>
    <w:rsid w:val="004F5D14"/>
    <w:rsid w:val="004F68DC"/>
    <w:rsid w:val="004F7F44"/>
    <w:rsid w:val="00500598"/>
    <w:rsid w:val="00500F52"/>
    <w:rsid w:val="00500F7A"/>
    <w:rsid w:val="005012AD"/>
    <w:rsid w:val="005016E5"/>
    <w:rsid w:val="00501A56"/>
    <w:rsid w:val="00502317"/>
    <w:rsid w:val="005027BB"/>
    <w:rsid w:val="00503415"/>
    <w:rsid w:val="005034C1"/>
    <w:rsid w:val="005037E1"/>
    <w:rsid w:val="00503B5C"/>
    <w:rsid w:val="0050456A"/>
    <w:rsid w:val="0050487B"/>
    <w:rsid w:val="00505C46"/>
    <w:rsid w:val="005068E1"/>
    <w:rsid w:val="005070B6"/>
    <w:rsid w:val="005077C5"/>
    <w:rsid w:val="00510111"/>
    <w:rsid w:val="00510B80"/>
    <w:rsid w:val="0051168A"/>
    <w:rsid w:val="005117D2"/>
    <w:rsid w:val="005118A6"/>
    <w:rsid w:val="005122F4"/>
    <w:rsid w:val="0051405F"/>
    <w:rsid w:val="00514277"/>
    <w:rsid w:val="0051444F"/>
    <w:rsid w:val="005156A6"/>
    <w:rsid w:val="00516393"/>
    <w:rsid w:val="00516669"/>
    <w:rsid w:val="005179A5"/>
    <w:rsid w:val="00520B4F"/>
    <w:rsid w:val="00522582"/>
    <w:rsid w:val="00524AD7"/>
    <w:rsid w:val="005254FD"/>
    <w:rsid w:val="005268A9"/>
    <w:rsid w:val="0052720F"/>
    <w:rsid w:val="00527421"/>
    <w:rsid w:val="005275C4"/>
    <w:rsid w:val="00527D36"/>
    <w:rsid w:val="00531076"/>
    <w:rsid w:val="00531D28"/>
    <w:rsid w:val="005328A8"/>
    <w:rsid w:val="005338EE"/>
    <w:rsid w:val="00533920"/>
    <w:rsid w:val="00535141"/>
    <w:rsid w:val="00535324"/>
    <w:rsid w:val="00535504"/>
    <w:rsid w:val="005363B4"/>
    <w:rsid w:val="0053712D"/>
    <w:rsid w:val="005403F4"/>
    <w:rsid w:val="00540B60"/>
    <w:rsid w:val="00541076"/>
    <w:rsid w:val="00541136"/>
    <w:rsid w:val="0054216F"/>
    <w:rsid w:val="00542F18"/>
    <w:rsid w:val="0054343C"/>
    <w:rsid w:val="00544853"/>
    <w:rsid w:val="00544CA5"/>
    <w:rsid w:val="005450E2"/>
    <w:rsid w:val="00545B19"/>
    <w:rsid w:val="00547404"/>
    <w:rsid w:val="005474A2"/>
    <w:rsid w:val="00547520"/>
    <w:rsid w:val="0055035F"/>
    <w:rsid w:val="005507FD"/>
    <w:rsid w:val="005511C0"/>
    <w:rsid w:val="00551D4B"/>
    <w:rsid w:val="00551E3C"/>
    <w:rsid w:val="0055232C"/>
    <w:rsid w:val="0055278E"/>
    <w:rsid w:val="00555488"/>
    <w:rsid w:val="0055549A"/>
    <w:rsid w:val="00555B18"/>
    <w:rsid w:val="00555C9C"/>
    <w:rsid w:val="00556A4D"/>
    <w:rsid w:val="00557319"/>
    <w:rsid w:val="0055764E"/>
    <w:rsid w:val="00560528"/>
    <w:rsid w:val="00560699"/>
    <w:rsid w:val="00561503"/>
    <w:rsid w:val="00561923"/>
    <w:rsid w:val="005622F8"/>
    <w:rsid w:val="0056310A"/>
    <w:rsid w:val="0056336F"/>
    <w:rsid w:val="00563B9D"/>
    <w:rsid w:val="00565AF7"/>
    <w:rsid w:val="00566024"/>
    <w:rsid w:val="005671C3"/>
    <w:rsid w:val="0057060C"/>
    <w:rsid w:val="00570C0B"/>
    <w:rsid w:val="0057189C"/>
    <w:rsid w:val="00571BD2"/>
    <w:rsid w:val="00571CD7"/>
    <w:rsid w:val="00571D59"/>
    <w:rsid w:val="00572E3E"/>
    <w:rsid w:val="0057332B"/>
    <w:rsid w:val="0057364D"/>
    <w:rsid w:val="005737FC"/>
    <w:rsid w:val="0057420B"/>
    <w:rsid w:val="0057593B"/>
    <w:rsid w:val="005762CE"/>
    <w:rsid w:val="00576DC0"/>
    <w:rsid w:val="00580280"/>
    <w:rsid w:val="00580B9E"/>
    <w:rsid w:val="00580DAB"/>
    <w:rsid w:val="0058135A"/>
    <w:rsid w:val="005817D9"/>
    <w:rsid w:val="00581F7C"/>
    <w:rsid w:val="00583358"/>
    <w:rsid w:val="005839BF"/>
    <w:rsid w:val="00584058"/>
    <w:rsid w:val="00584413"/>
    <w:rsid w:val="005844A5"/>
    <w:rsid w:val="005846B4"/>
    <w:rsid w:val="005850E5"/>
    <w:rsid w:val="005851E0"/>
    <w:rsid w:val="00585571"/>
    <w:rsid w:val="005856F9"/>
    <w:rsid w:val="00585B91"/>
    <w:rsid w:val="00586BB0"/>
    <w:rsid w:val="00586BF1"/>
    <w:rsid w:val="00587DC4"/>
    <w:rsid w:val="0059008F"/>
    <w:rsid w:val="005903E4"/>
    <w:rsid w:val="005907D5"/>
    <w:rsid w:val="005910C0"/>
    <w:rsid w:val="005913EE"/>
    <w:rsid w:val="00592461"/>
    <w:rsid w:val="005950D6"/>
    <w:rsid w:val="0059519C"/>
    <w:rsid w:val="00595524"/>
    <w:rsid w:val="005974F3"/>
    <w:rsid w:val="0059751C"/>
    <w:rsid w:val="00597919"/>
    <w:rsid w:val="00597F9F"/>
    <w:rsid w:val="005A0B9F"/>
    <w:rsid w:val="005A0EFC"/>
    <w:rsid w:val="005A44E7"/>
    <w:rsid w:val="005A5D8E"/>
    <w:rsid w:val="005A63D8"/>
    <w:rsid w:val="005A71A7"/>
    <w:rsid w:val="005A7420"/>
    <w:rsid w:val="005A7C14"/>
    <w:rsid w:val="005A7DBE"/>
    <w:rsid w:val="005B152C"/>
    <w:rsid w:val="005B1C64"/>
    <w:rsid w:val="005B1DE8"/>
    <w:rsid w:val="005B2294"/>
    <w:rsid w:val="005B271E"/>
    <w:rsid w:val="005B2807"/>
    <w:rsid w:val="005B3606"/>
    <w:rsid w:val="005B388D"/>
    <w:rsid w:val="005B3E08"/>
    <w:rsid w:val="005B49B6"/>
    <w:rsid w:val="005B56EE"/>
    <w:rsid w:val="005B63E1"/>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C6CC6"/>
    <w:rsid w:val="005C6E71"/>
    <w:rsid w:val="005C7363"/>
    <w:rsid w:val="005D0B55"/>
    <w:rsid w:val="005D4A04"/>
    <w:rsid w:val="005D4CF7"/>
    <w:rsid w:val="005D5347"/>
    <w:rsid w:val="005D5CC5"/>
    <w:rsid w:val="005D5FE6"/>
    <w:rsid w:val="005D61EA"/>
    <w:rsid w:val="005D74D8"/>
    <w:rsid w:val="005D787B"/>
    <w:rsid w:val="005E031D"/>
    <w:rsid w:val="005E03AC"/>
    <w:rsid w:val="005E04B5"/>
    <w:rsid w:val="005E0621"/>
    <w:rsid w:val="005E12BE"/>
    <w:rsid w:val="005E2C81"/>
    <w:rsid w:val="005E4D3C"/>
    <w:rsid w:val="005E7158"/>
    <w:rsid w:val="005E7ECB"/>
    <w:rsid w:val="005F0C00"/>
    <w:rsid w:val="005F1037"/>
    <w:rsid w:val="005F2BF8"/>
    <w:rsid w:val="005F2EA8"/>
    <w:rsid w:val="005F3B04"/>
    <w:rsid w:val="005F5574"/>
    <w:rsid w:val="005F5D1D"/>
    <w:rsid w:val="005F60C9"/>
    <w:rsid w:val="005F64C6"/>
    <w:rsid w:val="006008F1"/>
    <w:rsid w:val="00601714"/>
    <w:rsid w:val="00601735"/>
    <w:rsid w:val="00602BD2"/>
    <w:rsid w:val="00604980"/>
    <w:rsid w:val="0060614D"/>
    <w:rsid w:val="006100A4"/>
    <w:rsid w:val="00610871"/>
    <w:rsid w:val="00610E48"/>
    <w:rsid w:val="00610FE0"/>
    <w:rsid w:val="00613C47"/>
    <w:rsid w:val="00615086"/>
    <w:rsid w:val="00616201"/>
    <w:rsid w:val="00616225"/>
    <w:rsid w:val="00616BA2"/>
    <w:rsid w:val="0061705E"/>
    <w:rsid w:val="00617070"/>
    <w:rsid w:val="006170F1"/>
    <w:rsid w:val="00617914"/>
    <w:rsid w:val="00617A8B"/>
    <w:rsid w:val="00621904"/>
    <w:rsid w:val="00622248"/>
    <w:rsid w:val="00622FEA"/>
    <w:rsid w:val="00623CDF"/>
    <w:rsid w:val="00623DB1"/>
    <w:rsid w:val="006245F3"/>
    <w:rsid w:val="0062485E"/>
    <w:rsid w:val="00624DBE"/>
    <w:rsid w:val="00625450"/>
    <w:rsid w:val="0062557A"/>
    <w:rsid w:val="0062624F"/>
    <w:rsid w:val="006319CA"/>
    <w:rsid w:val="00633B3E"/>
    <w:rsid w:val="00634EC0"/>
    <w:rsid w:val="0063627F"/>
    <w:rsid w:val="006376C4"/>
    <w:rsid w:val="006403E7"/>
    <w:rsid w:val="00642D72"/>
    <w:rsid w:val="006443CB"/>
    <w:rsid w:val="006448B8"/>
    <w:rsid w:val="00644F80"/>
    <w:rsid w:val="00645874"/>
    <w:rsid w:val="00647673"/>
    <w:rsid w:val="00650F81"/>
    <w:rsid w:val="00650FC7"/>
    <w:rsid w:val="00651822"/>
    <w:rsid w:val="00651F86"/>
    <w:rsid w:val="00652D6B"/>
    <w:rsid w:val="0065395E"/>
    <w:rsid w:val="00653C24"/>
    <w:rsid w:val="00653D68"/>
    <w:rsid w:val="00653E4E"/>
    <w:rsid w:val="00654275"/>
    <w:rsid w:val="0065446D"/>
    <w:rsid w:val="00654891"/>
    <w:rsid w:val="00654894"/>
    <w:rsid w:val="00655104"/>
    <w:rsid w:val="00656067"/>
    <w:rsid w:val="00660693"/>
    <w:rsid w:val="006611D6"/>
    <w:rsid w:val="00661918"/>
    <w:rsid w:val="00662A5A"/>
    <w:rsid w:val="006636D0"/>
    <w:rsid w:val="00663834"/>
    <w:rsid w:val="00663BF1"/>
    <w:rsid w:val="006647D7"/>
    <w:rsid w:val="00664F1B"/>
    <w:rsid w:val="006653D7"/>
    <w:rsid w:val="00665BFF"/>
    <w:rsid w:val="006665BA"/>
    <w:rsid w:val="00666A4F"/>
    <w:rsid w:val="00667477"/>
    <w:rsid w:val="006703D9"/>
    <w:rsid w:val="00672DFC"/>
    <w:rsid w:val="00672F5B"/>
    <w:rsid w:val="00673DEE"/>
    <w:rsid w:val="00674E69"/>
    <w:rsid w:val="00675720"/>
    <w:rsid w:val="0067738E"/>
    <w:rsid w:val="00677F23"/>
    <w:rsid w:val="0068015A"/>
    <w:rsid w:val="0068055B"/>
    <w:rsid w:val="00680936"/>
    <w:rsid w:val="00680D8C"/>
    <w:rsid w:val="00680D99"/>
    <w:rsid w:val="006821B2"/>
    <w:rsid w:val="00682725"/>
    <w:rsid w:val="00682A1B"/>
    <w:rsid w:val="00682D73"/>
    <w:rsid w:val="00682ED3"/>
    <w:rsid w:val="00683126"/>
    <w:rsid w:val="00683993"/>
    <w:rsid w:val="006846E8"/>
    <w:rsid w:val="00685EBD"/>
    <w:rsid w:val="006861C3"/>
    <w:rsid w:val="00686AF3"/>
    <w:rsid w:val="00690F1F"/>
    <w:rsid w:val="006915BD"/>
    <w:rsid w:val="006915F2"/>
    <w:rsid w:val="00691DC2"/>
    <w:rsid w:val="00692582"/>
    <w:rsid w:val="00692592"/>
    <w:rsid w:val="00692A2F"/>
    <w:rsid w:val="0069322C"/>
    <w:rsid w:val="00693652"/>
    <w:rsid w:val="006939E7"/>
    <w:rsid w:val="00693D3E"/>
    <w:rsid w:val="006942F7"/>
    <w:rsid w:val="006956FB"/>
    <w:rsid w:val="00697D85"/>
    <w:rsid w:val="006A1A71"/>
    <w:rsid w:val="006A1D3D"/>
    <w:rsid w:val="006A2150"/>
    <w:rsid w:val="006A2216"/>
    <w:rsid w:val="006A241D"/>
    <w:rsid w:val="006A3288"/>
    <w:rsid w:val="006A43E6"/>
    <w:rsid w:val="006A47EB"/>
    <w:rsid w:val="006A4A22"/>
    <w:rsid w:val="006A4AEE"/>
    <w:rsid w:val="006A5E74"/>
    <w:rsid w:val="006A70BE"/>
    <w:rsid w:val="006A7290"/>
    <w:rsid w:val="006A7934"/>
    <w:rsid w:val="006A7BC8"/>
    <w:rsid w:val="006B0001"/>
    <w:rsid w:val="006B054B"/>
    <w:rsid w:val="006B059F"/>
    <w:rsid w:val="006B0E3A"/>
    <w:rsid w:val="006B2048"/>
    <w:rsid w:val="006B215A"/>
    <w:rsid w:val="006B2AD6"/>
    <w:rsid w:val="006B342E"/>
    <w:rsid w:val="006B3812"/>
    <w:rsid w:val="006B3B80"/>
    <w:rsid w:val="006B6EF0"/>
    <w:rsid w:val="006B6F32"/>
    <w:rsid w:val="006B7130"/>
    <w:rsid w:val="006B73CC"/>
    <w:rsid w:val="006B7695"/>
    <w:rsid w:val="006C0176"/>
    <w:rsid w:val="006C2994"/>
    <w:rsid w:val="006C35EC"/>
    <w:rsid w:val="006C4150"/>
    <w:rsid w:val="006C4382"/>
    <w:rsid w:val="006C4891"/>
    <w:rsid w:val="006C52BC"/>
    <w:rsid w:val="006C5683"/>
    <w:rsid w:val="006C5E33"/>
    <w:rsid w:val="006C5E48"/>
    <w:rsid w:val="006C6434"/>
    <w:rsid w:val="006C6CD8"/>
    <w:rsid w:val="006C70BB"/>
    <w:rsid w:val="006C7EB1"/>
    <w:rsid w:val="006D013F"/>
    <w:rsid w:val="006D017F"/>
    <w:rsid w:val="006D08BD"/>
    <w:rsid w:val="006D0F8E"/>
    <w:rsid w:val="006D1416"/>
    <w:rsid w:val="006D1D3F"/>
    <w:rsid w:val="006D253B"/>
    <w:rsid w:val="006D325A"/>
    <w:rsid w:val="006D386A"/>
    <w:rsid w:val="006D4242"/>
    <w:rsid w:val="006D45F0"/>
    <w:rsid w:val="006D4C8F"/>
    <w:rsid w:val="006D52A0"/>
    <w:rsid w:val="006D57CB"/>
    <w:rsid w:val="006D5819"/>
    <w:rsid w:val="006D5E6F"/>
    <w:rsid w:val="006D693F"/>
    <w:rsid w:val="006D6CDD"/>
    <w:rsid w:val="006D7604"/>
    <w:rsid w:val="006D765E"/>
    <w:rsid w:val="006D76CB"/>
    <w:rsid w:val="006E0455"/>
    <w:rsid w:val="006E4238"/>
    <w:rsid w:val="006E4551"/>
    <w:rsid w:val="006E5F01"/>
    <w:rsid w:val="006E7033"/>
    <w:rsid w:val="006E7404"/>
    <w:rsid w:val="006E7B97"/>
    <w:rsid w:val="006F05B9"/>
    <w:rsid w:val="006F1972"/>
    <w:rsid w:val="006F1EA3"/>
    <w:rsid w:val="006F2627"/>
    <w:rsid w:val="006F2A57"/>
    <w:rsid w:val="006F3187"/>
    <w:rsid w:val="006F3568"/>
    <w:rsid w:val="006F40AD"/>
    <w:rsid w:val="006F53EB"/>
    <w:rsid w:val="006F6360"/>
    <w:rsid w:val="006F6436"/>
    <w:rsid w:val="006F65C5"/>
    <w:rsid w:val="006F687A"/>
    <w:rsid w:val="006F68EF"/>
    <w:rsid w:val="006F6D4C"/>
    <w:rsid w:val="006F6E67"/>
    <w:rsid w:val="006F7157"/>
    <w:rsid w:val="006F78E0"/>
    <w:rsid w:val="007023EA"/>
    <w:rsid w:val="00702B1B"/>
    <w:rsid w:val="007032B3"/>
    <w:rsid w:val="00704164"/>
    <w:rsid w:val="007063BD"/>
    <w:rsid w:val="00706446"/>
    <w:rsid w:val="00706A58"/>
    <w:rsid w:val="00707517"/>
    <w:rsid w:val="007078ED"/>
    <w:rsid w:val="00710187"/>
    <w:rsid w:val="007101D7"/>
    <w:rsid w:val="00710D6E"/>
    <w:rsid w:val="007110E1"/>
    <w:rsid w:val="00711B18"/>
    <w:rsid w:val="007126D1"/>
    <w:rsid w:val="00714394"/>
    <w:rsid w:val="00714C87"/>
    <w:rsid w:val="00714ED6"/>
    <w:rsid w:val="00715E8D"/>
    <w:rsid w:val="00721C26"/>
    <w:rsid w:val="00721F7E"/>
    <w:rsid w:val="00722E29"/>
    <w:rsid w:val="00723ECB"/>
    <w:rsid w:val="00724606"/>
    <w:rsid w:val="00724A36"/>
    <w:rsid w:val="00724A60"/>
    <w:rsid w:val="00724E85"/>
    <w:rsid w:val="0072525D"/>
    <w:rsid w:val="00726E8A"/>
    <w:rsid w:val="00727047"/>
    <w:rsid w:val="00727A0E"/>
    <w:rsid w:val="00727C81"/>
    <w:rsid w:val="00730B33"/>
    <w:rsid w:val="00734510"/>
    <w:rsid w:val="00734887"/>
    <w:rsid w:val="007365B6"/>
    <w:rsid w:val="00737394"/>
    <w:rsid w:val="007401E2"/>
    <w:rsid w:val="00740205"/>
    <w:rsid w:val="007411E5"/>
    <w:rsid w:val="00741605"/>
    <w:rsid w:val="00742788"/>
    <w:rsid w:val="007436F2"/>
    <w:rsid w:val="00743B2E"/>
    <w:rsid w:val="0074436D"/>
    <w:rsid w:val="00746951"/>
    <w:rsid w:val="00746F65"/>
    <w:rsid w:val="007472C3"/>
    <w:rsid w:val="0074791E"/>
    <w:rsid w:val="00750948"/>
    <w:rsid w:val="00750A23"/>
    <w:rsid w:val="0075115D"/>
    <w:rsid w:val="00751A33"/>
    <w:rsid w:val="00751E0A"/>
    <w:rsid w:val="00753890"/>
    <w:rsid w:val="0075466D"/>
    <w:rsid w:val="007555DF"/>
    <w:rsid w:val="007569DC"/>
    <w:rsid w:val="0075711E"/>
    <w:rsid w:val="00757549"/>
    <w:rsid w:val="007579F2"/>
    <w:rsid w:val="00761434"/>
    <w:rsid w:val="00761FD5"/>
    <w:rsid w:val="00762BB6"/>
    <w:rsid w:val="0076341D"/>
    <w:rsid w:val="0076446D"/>
    <w:rsid w:val="007647EF"/>
    <w:rsid w:val="00765DD8"/>
    <w:rsid w:val="00766230"/>
    <w:rsid w:val="00766B33"/>
    <w:rsid w:val="00766D36"/>
    <w:rsid w:val="00767607"/>
    <w:rsid w:val="00767ACD"/>
    <w:rsid w:val="007705B5"/>
    <w:rsid w:val="0077270D"/>
    <w:rsid w:val="00773874"/>
    <w:rsid w:val="0077393B"/>
    <w:rsid w:val="00775D3B"/>
    <w:rsid w:val="0077615A"/>
    <w:rsid w:val="007806A0"/>
    <w:rsid w:val="00780FDB"/>
    <w:rsid w:val="007822E4"/>
    <w:rsid w:val="00782346"/>
    <w:rsid w:val="007838CD"/>
    <w:rsid w:val="007839A9"/>
    <w:rsid w:val="007840F3"/>
    <w:rsid w:val="007849BE"/>
    <w:rsid w:val="00785491"/>
    <w:rsid w:val="007858C0"/>
    <w:rsid w:val="0078679A"/>
    <w:rsid w:val="00786BDC"/>
    <w:rsid w:val="007871FE"/>
    <w:rsid w:val="00787C89"/>
    <w:rsid w:val="007908ED"/>
    <w:rsid w:val="00790F74"/>
    <w:rsid w:val="00792014"/>
    <w:rsid w:val="007921CD"/>
    <w:rsid w:val="00792288"/>
    <w:rsid w:val="00792447"/>
    <w:rsid w:val="007928C6"/>
    <w:rsid w:val="00792E73"/>
    <w:rsid w:val="0079694C"/>
    <w:rsid w:val="007A0187"/>
    <w:rsid w:val="007A19AC"/>
    <w:rsid w:val="007A23A3"/>
    <w:rsid w:val="007A268F"/>
    <w:rsid w:val="007A29EC"/>
    <w:rsid w:val="007A4A53"/>
    <w:rsid w:val="007A4C93"/>
    <w:rsid w:val="007A4E17"/>
    <w:rsid w:val="007A7F6D"/>
    <w:rsid w:val="007B0FBD"/>
    <w:rsid w:val="007B10EC"/>
    <w:rsid w:val="007B1BAF"/>
    <w:rsid w:val="007B20C3"/>
    <w:rsid w:val="007B2FE8"/>
    <w:rsid w:val="007B35F7"/>
    <w:rsid w:val="007B4DD5"/>
    <w:rsid w:val="007B4F72"/>
    <w:rsid w:val="007B5148"/>
    <w:rsid w:val="007B5A16"/>
    <w:rsid w:val="007B71AA"/>
    <w:rsid w:val="007B7F09"/>
    <w:rsid w:val="007C03FE"/>
    <w:rsid w:val="007C0E04"/>
    <w:rsid w:val="007C17D3"/>
    <w:rsid w:val="007C1FA2"/>
    <w:rsid w:val="007C2827"/>
    <w:rsid w:val="007C294A"/>
    <w:rsid w:val="007C3A26"/>
    <w:rsid w:val="007C4032"/>
    <w:rsid w:val="007C4CE1"/>
    <w:rsid w:val="007C537A"/>
    <w:rsid w:val="007C57D1"/>
    <w:rsid w:val="007C6B3E"/>
    <w:rsid w:val="007C7130"/>
    <w:rsid w:val="007C74E5"/>
    <w:rsid w:val="007C7F57"/>
    <w:rsid w:val="007D0348"/>
    <w:rsid w:val="007D0E43"/>
    <w:rsid w:val="007D13E7"/>
    <w:rsid w:val="007D1A3E"/>
    <w:rsid w:val="007D1E37"/>
    <w:rsid w:val="007D2335"/>
    <w:rsid w:val="007D358B"/>
    <w:rsid w:val="007D370E"/>
    <w:rsid w:val="007D4624"/>
    <w:rsid w:val="007D4A8F"/>
    <w:rsid w:val="007D563E"/>
    <w:rsid w:val="007D5A49"/>
    <w:rsid w:val="007D5FC1"/>
    <w:rsid w:val="007D6EB6"/>
    <w:rsid w:val="007D715A"/>
    <w:rsid w:val="007D7EF9"/>
    <w:rsid w:val="007E002B"/>
    <w:rsid w:val="007E08DB"/>
    <w:rsid w:val="007E0B17"/>
    <w:rsid w:val="007E0D90"/>
    <w:rsid w:val="007E0E9E"/>
    <w:rsid w:val="007E12DC"/>
    <w:rsid w:val="007E15EC"/>
    <w:rsid w:val="007E1760"/>
    <w:rsid w:val="007E21FB"/>
    <w:rsid w:val="007E3B9D"/>
    <w:rsid w:val="007E420B"/>
    <w:rsid w:val="007E4932"/>
    <w:rsid w:val="007E4CAD"/>
    <w:rsid w:val="007E502C"/>
    <w:rsid w:val="007E516A"/>
    <w:rsid w:val="007E5BD7"/>
    <w:rsid w:val="007E6761"/>
    <w:rsid w:val="007E75F0"/>
    <w:rsid w:val="007E7968"/>
    <w:rsid w:val="007E79C4"/>
    <w:rsid w:val="007F013A"/>
    <w:rsid w:val="007F0730"/>
    <w:rsid w:val="007F1D54"/>
    <w:rsid w:val="007F2D90"/>
    <w:rsid w:val="007F3F6F"/>
    <w:rsid w:val="007F48A9"/>
    <w:rsid w:val="007F4E28"/>
    <w:rsid w:val="007F4F82"/>
    <w:rsid w:val="007F5143"/>
    <w:rsid w:val="007F6758"/>
    <w:rsid w:val="007F6D96"/>
    <w:rsid w:val="00800D05"/>
    <w:rsid w:val="00801D7A"/>
    <w:rsid w:val="008020F2"/>
    <w:rsid w:val="00803F74"/>
    <w:rsid w:val="00804653"/>
    <w:rsid w:val="00804C48"/>
    <w:rsid w:val="0080505A"/>
    <w:rsid w:val="008060B3"/>
    <w:rsid w:val="00806205"/>
    <w:rsid w:val="00806639"/>
    <w:rsid w:val="00806A84"/>
    <w:rsid w:val="00806EF4"/>
    <w:rsid w:val="008073A4"/>
    <w:rsid w:val="00807C6C"/>
    <w:rsid w:val="008115ED"/>
    <w:rsid w:val="0081254B"/>
    <w:rsid w:val="0081340B"/>
    <w:rsid w:val="00815822"/>
    <w:rsid w:val="00815B93"/>
    <w:rsid w:val="00816585"/>
    <w:rsid w:val="0081760E"/>
    <w:rsid w:val="00817BB4"/>
    <w:rsid w:val="00817E4F"/>
    <w:rsid w:val="00820F5B"/>
    <w:rsid w:val="00821021"/>
    <w:rsid w:val="008214BB"/>
    <w:rsid w:val="00821B58"/>
    <w:rsid w:val="00822D4E"/>
    <w:rsid w:val="00822FBA"/>
    <w:rsid w:val="0082398C"/>
    <w:rsid w:val="00824FF1"/>
    <w:rsid w:val="00825196"/>
    <w:rsid w:val="00826F4C"/>
    <w:rsid w:val="008303A6"/>
    <w:rsid w:val="008310B4"/>
    <w:rsid w:val="00831573"/>
    <w:rsid w:val="00831C7F"/>
    <w:rsid w:val="00833C51"/>
    <w:rsid w:val="00834577"/>
    <w:rsid w:val="008349A6"/>
    <w:rsid w:val="00835271"/>
    <w:rsid w:val="00835679"/>
    <w:rsid w:val="008377DA"/>
    <w:rsid w:val="00841F21"/>
    <w:rsid w:val="00842991"/>
    <w:rsid w:val="008429B0"/>
    <w:rsid w:val="00843900"/>
    <w:rsid w:val="00844C5B"/>
    <w:rsid w:val="00845A15"/>
    <w:rsid w:val="0084632F"/>
    <w:rsid w:val="008474A9"/>
    <w:rsid w:val="00851180"/>
    <w:rsid w:val="00852528"/>
    <w:rsid w:val="0085434F"/>
    <w:rsid w:val="008543F7"/>
    <w:rsid w:val="008545DC"/>
    <w:rsid w:val="00854A7E"/>
    <w:rsid w:val="00855B06"/>
    <w:rsid w:val="00856B95"/>
    <w:rsid w:val="00856D1A"/>
    <w:rsid w:val="00857D29"/>
    <w:rsid w:val="00861313"/>
    <w:rsid w:val="0086161C"/>
    <w:rsid w:val="008617AF"/>
    <w:rsid w:val="00861DB0"/>
    <w:rsid w:val="00861E83"/>
    <w:rsid w:val="0086225C"/>
    <w:rsid w:val="008629A8"/>
    <w:rsid w:val="00863225"/>
    <w:rsid w:val="00863ADA"/>
    <w:rsid w:val="00865BAA"/>
    <w:rsid w:val="00865C83"/>
    <w:rsid w:val="008677CB"/>
    <w:rsid w:val="0087026D"/>
    <w:rsid w:val="0087056E"/>
    <w:rsid w:val="00870CB6"/>
    <w:rsid w:val="00870DF8"/>
    <w:rsid w:val="008722A6"/>
    <w:rsid w:val="008737AE"/>
    <w:rsid w:val="00873851"/>
    <w:rsid w:val="00873FEA"/>
    <w:rsid w:val="0087419B"/>
    <w:rsid w:val="008744CC"/>
    <w:rsid w:val="00874592"/>
    <w:rsid w:val="008751C1"/>
    <w:rsid w:val="0087595D"/>
    <w:rsid w:val="00876C1B"/>
    <w:rsid w:val="00876E70"/>
    <w:rsid w:val="008804E1"/>
    <w:rsid w:val="008815B6"/>
    <w:rsid w:val="008818F6"/>
    <w:rsid w:val="00881D45"/>
    <w:rsid w:val="0088398E"/>
    <w:rsid w:val="00885182"/>
    <w:rsid w:val="008858B7"/>
    <w:rsid w:val="0088647E"/>
    <w:rsid w:val="00886D52"/>
    <w:rsid w:val="00887215"/>
    <w:rsid w:val="00887E02"/>
    <w:rsid w:val="00890382"/>
    <w:rsid w:val="0089046A"/>
    <w:rsid w:val="00891106"/>
    <w:rsid w:val="00892833"/>
    <w:rsid w:val="00892DCB"/>
    <w:rsid w:val="00893479"/>
    <w:rsid w:val="0089375D"/>
    <w:rsid w:val="008943CB"/>
    <w:rsid w:val="008946B9"/>
    <w:rsid w:val="008A0882"/>
    <w:rsid w:val="008A10C1"/>
    <w:rsid w:val="008A181A"/>
    <w:rsid w:val="008A183F"/>
    <w:rsid w:val="008A1C47"/>
    <w:rsid w:val="008A2289"/>
    <w:rsid w:val="008A34BA"/>
    <w:rsid w:val="008A3766"/>
    <w:rsid w:val="008A4F66"/>
    <w:rsid w:val="008A5290"/>
    <w:rsid w:val="008A593A"/>
    <w:rsid w:val="008A6A60"/>
    <w:rsid w:val="008A6C5A"/>
    <w:rsid w:val="008A6CCA"/>
    <w:rsid w:val="008B1B8C"/>
    <w:rsid w:val="008B2C59"/>
    <w:rsid w:val="008B2DF3"/>
    <w:rsid w:val="008B376A"/>
    <w:rsid w:val="008B444E"/>
    <w:rsid w:val="008B569F"/>
    <w:rsid w:val="008B7220"/>
    <w:rsid w:val="008C0669"/>
    <w:rsid w:val="008C0814"/>
    <w:rsid w:val="008C0867"/>
    <w:rsid w:val="008C08A5"/>
    <w:rsid w:val="008C1DD7"/>
    <w:rsid w:val="008C26FA"/>
    <w:rsid w:val="008C2BC1"/>
    <w:rsid w:val="008C4566"/>
    <w:rsid w:val="008C46B6"/>
    <w:rsid w:val="008C4935"/>
    <w:rsid w:val="008C522A"/>
    <w:rsid w:val="008C5E71"/>
    <w:rsid w:val="008C64E3"/>
    <w:rsid w:val="008C6A8B"/>
    <w:rsid w:val="008C77F7"/>
    <w:rsid w:val="008D00EA"/>
    <w:rsid w:val="008D0D1E"/>
    <w:rsid w:val="008D1175"/>
    <w:rsid w:val="008D1627"/>
    <w:rsid w:val="008D1DA0"/>
    <w:rsid w:val="008D2828"/>
    <w:rsid w:val="008D284E"/>
    <w:rsid w:val="008D4ED3"/>
    <w:rsid w:val="008D54BF"/>
    <w:rsid w:val="008D5DC6"/>
    <w:rsid w:val="008D6A11"/>
    <w:rsid w:val="008E0D4B"/>
    <w:rsid w:val="008E1C27"/>
    <w:rsid w:val="008E1E54"/>
    <w:rsid w:val="008E2057"/>
    <w:rsid w:val="008E31EC"/>
    <w:rsid w:val="008E3C88"/>
    <w:rsid w:val="008E488D"/>
    <w:rsid w:val="008E4E17"/>
    <w:rsid w:val="008E5337"/>
    <w:rsid w:val="008E610D"/>
    <w:rsid w:val="008E69A2"/>
    <w:rsid w:val="008E78F2"/>
    <w:rsid w:val="008E7B12"/>
    <w:rsid w:val="008F022C"/>
    <w:rsid w:val="008F152D"/>
    <w:rsid w:val="008F2A60"/>
    <w:rsid w:val="008F310D"/>
    <w:rsid w:val="008F3888"/>
    <w:rsid w:val="008F3B22"/>
    <w:rsid w:val="008F43C7"/>
    <w:rsid w:val="008F4823"/>
    <w:rsid w:val="008F606D"/>
    <w:rsid w:val="008F7150"/>
    <w:rsid w:val="008F71CC"/>
    <w:rsid w:val="008F721C"/>
    <w:rsid w:val="00900662"/>
    <w:rsid w:val="00900B2A"/>
    <w:rsid w:val="00901953"/>
    <w:rsid w:val="00902166"/>
    <w:rsid w:val="00903C31"/>
    <w:rsid w:val="009040A1"/>
    <w:rsid w:val="0090473B"/>
    <w:rsid w:val="0090487F"/>
    <w:rsid w:val="00904A00"/>
    <w:rsid w:val="00904EAB"/>
    <w:rsid w:val="00904EAC"/>
    <w:rsid w:val="00905282"/>
    <w:rsid w:val="00905908"/>
    <w:rsid w:val="00906AD1"/>
    <w:rsid w:val="009075A4"/>
    <w:rsid w:val="009101AF"/>
    <w:rsid w:val="00911808"/>
    <w:rsid w:val="009145FB"/>
    <w:rsid w:val="0091555E"/>
    <w:rsid w:val="00915786"/>
    <w:rsid w:val="0091746C"/>
    <w:rsid w:val="00917816"/>
    <w:rsid w:val="00917D06"/>
    <w:rsid w:val="009207DB"/>
    <w:rsid w:val="00921202"/>
    <w:rsid w:val="00922024"/>
    <w:rsid w:val="009222A3"/>
    <w:rsid w:val="009224EE"/>
    <w:rsid w:val="00922D24"/>
    <w:rsid w:val="00924853"/>
    <w:rsid w:val="009248C9"/>
    <w:rsid w:val="009252E0"/>
    <w:rsid w:val="00925501"/>
    <w:rsid w:val="00926982"/>
    <w:rsid w:val="00926D4C"/>
    <w:rsid w:val="009270C4"/>
    <w:rsid w:val="0093083B"/>
    <w:rsid w:val="0093092B"/>
    <w:rsid w:val="00930C8D"/>
    <w:rsid w:val="009319D7"/>
    <w:rsid w:val="009325F7"/>
    <w:rsid w:val="00932BCF"/>
    <w:rsid w:val="00933396"/>
    <w:rsid w:val="00934D73"/>
    <w:rsid w:val="00935042"/>
    <w:rsid w:val="009354F5"/>
    <w:rsid w:val="0093740F"/>
    <w:rsid w:val="00937B4A"/>
    <w:rsid w:val="00937BE9"/>
    <w:rsid w:val="00937C1D"/>
    <w:rsid w:val="00940804"/>
    <w:rsid w:val="00940E9B"/>
    <w:rsid w:val="00940FC3"/>
    <w:rsid w:val="009410B3"/>
    <w:rsid w:val="0094131D"/>
    <w:rsid w:val="0094166C"/>
    <w:rsid w:val="00942120"/>
    <w:rsid w:val="00942292"/>
    <w:rsid w:val="0094245E"/>
    <w:rsid w:val="009425F7"/>
    <w:rsid w:val="00943BC0"/>
    <w:rsid w:val="00944BF0"/>
    <w:rsid w:val="00945EC2"/>
    <w:rsid w:val="00946136"/>
    <w:rsid w:val="00946CD9"/>
    <w:rsid w:val="00946E7C"/>
    <w:rsid w:val="00947046"/>
    <w:rsid w:val="00950297"/>
    <w:rsid w:val="009505F4"/>
    <w:rsid w:val="00951216"/>
    <w:rsid w:val="00951614"/>
    <w:rsid w:val="0095279B"/>
    <w:rsid w:val="009533C3"/>
    <w:rsid w:val="009535D3"/>
    <w:rsid w:val="00953807"/>
    <w:rsid w:val="00954282"/>
    <w:rsid w:val="00954427"/>
    <w:rsid w:val="0095611C"/>
    <w:rsid w:val="009564ED"/>
    <w:rsid w:val="00956CA2"/>
    <w:rsid w:val="0096079B"/>
    <w:rsid w:val="0096218D"/>
    <w:rsid w:val="00964509"/>
    <w:rsid w:val="0096501B"/>
    <w:rsid w:val="0096625E"/>
    <w:rsid w:val="0096662B"/>
    <w:rsid w:val="009666AF"/>
    <w:rsid w:val="00967180"/>
    <w:rsid w:val="0096797D"/>
    <w:rsid w:val="00970704"/>
    <w:rsid w:val="00970B65"/>
    <w:rsid w:val="00970D66"/>
    <w:rsid w:val="00971127"/>
    <w:rsid w:val="0097119E"/>
    <w:rsid w:val="009718E9"/>
    <w:rsid w:val="009734B8"/>
    <w:rsid w:val="00973514"/>
    <w:rsid w:val="009739F9"/>
    <w:rsid w:val="009741E7"/>
    <w:rsid w:val="00975C75"/>
    <w:rsid w:val="00977506"/>
    <w:rsid w:val="00977DFD"/>
    <w:rsid w:val="0098177A"/>
    <w:rsid w:val="00983583"/>
    <w:rsid w:val="00983EFD"/>
    <w:rsid w:val="009855B0"/>
    <w:rsid w:val="009859A8"/>
    <w:rsid w:val="00985F2F"/>
    <w:rsid w:val="00986257"/>
    <w:rsid w:val="00986564"/>
    <w:rsid w:val="0098658A"/>
    <w:rsid w:val="00986861"/>
    <w:rsid w:val="00987CBC"/>
    <w:rsid w:val="00991EB0"/>
    <w:rsid w:val="0099212B"/>
    <w:rsid w:val="0099245F"/>
    <w:rsid w:val="00993891"/>
    <w:rsid w:val="00995768"/>
    <w:rsid w:val="00995F21"/>
    <w:rsid w:val="00996203"/>
    <w:rsid w:val="00996326"/>
    <w:rsid w:val="009964FB"/>
    <w:rsid w:val="00996F95"/>
    <w:rsid w:val="00997B35"/>
    <w:rsid w:val="00997B6A"/>
    <w:rsid w:val="00997EA5"/>
    <w:rsid w:val="009A07D5"/>
    <w:rsid w:val="009A1FE7"/>
    <w:rsid w:val="009A2967"/>
    <w:rsid w:val="009A3274"/>
    <w:rsid w:val="009A36B7"/>
    <w:rsid w:val="009A3720"/>
    <w:rsid w:val="009A392B"/>
    <w:rsid w:val="009A3D58"/>
    <w:rsid w:val="009A42CF"/>
    <w:rsid w:val="009A44E8"/>
    <w:rsid w:val="009A581E"/>
    <w:rsid w:val="009A698D"/>
    <w:rsid w:val="009A6AB4"/>
    <w:rsid w:val="009A7461"/>
    <w:rsid w:val="009B0BF0"/>
    <w:rsid w:val="009B1DA5"/>
    <w:rsid w:val="009B1E1D"/>
    <w:rsid w:val="009B28FD"/>
    <w:rsid w:val="009B2AD6"/>
    <w:rsid w:val="009B3172"/>
    <w:rsid w:val="009B461D"/>
    <w:rsid w:val="009B4F1F"/>
    <w:rsid w:val="009B5594"/>
    <w:rsid w:val="009B59ED"/>
    <w:rsid w:val="009B6405"/>
    <w:rsid w:val="009B6D8D"/>
    <w:rsid w:val="009B729E"/>
    <w:rsid w:val="009B7498"/>
    <w:rsid w:val="009C217C"/>
    <w:rsid w:val="009C264B"/>
    <w:rsid w:val="009C34F1"/>
    <w:rsid w:val="009C3B80"/>
    <w:rsid w:val="009C3D84"/>
    <w:rsid w:val="009C3F5A"/>
    <w:rsid w:val="009C48C6"/>
    <w:rsid w:val="009C5D76"/>
    <w:rsid w:val="009C5DFB"/>
    <w:rsid w:val="009C5FDE"/>
    <w:rsid w:val="009C623B"/>
    <w:rsid w:val="009C667D"/>
    <w:rsid w:val="009C69E7"/>
    <w:rsid w:val="009C7B1D"/>
    <w:rsid w:val="009C7F10"/>
    <w:rsid w:val="009C7FF8"/>
    <w:rsid w:val="009D03F1"/>
    <w:rsid w:val="009D0921"/>
    <w:rsid w:val="009D101B"/>
    <w:rsid w:val="009D118E"/>
    <w:rsid w:val="009D1CF4"/>
    <w:rsid w:val="009D271A"/>
    <w:rsid w:val="009D380F"/>
    <w:rsid w:val="009D57A7"/>
    <w:rsid w:val="009D65EE"/>
    <w:rsid w:val="009D6865"/>
    <w:rsid w:val="009D6903"/>
    <w:rsid w:val="009E02F1"/>
    <w:rsid w:val="009E0525"/>
    <w:rsid w:val="009E199C"/>
    <w:rsid w:val="009E1F76"/>
    <w:rsid w:val="009E20A6"/>
    <w:rsid w:val="009E233F"/>
    <w:rsid w:val="009E323A"/>
    <w:rsid w:val="009E328B"/>
    <w:rsid w:val="009E68C1"/>
    <w:rsid w:val="009E6DD0"/>
    <w:rsid w:val="009E6DEE"/>
    <w:rsid w:val="009E700C"/>
    <w:rsid w:val="009F082A"/>
    <w:rsid w:val="009F0BD9"/>
    <w:rsid w:val="009F12B4"/>
    <w:rsid w:val="009F33FA"/>
    <w:rsid w:val="009F347C"/>
    <w:rsid w:val="009F3F14"/>
    <w:rsid w:val="009F54D7"/>
    <w:rsid w:val="009F5B9D"/>
    <w:rsid w:val="009F6619"/>
    <w:rsid w:val="009F68FF"/>
    <w:rsid w:val="00A00E77"/>
    <w:rsid w:val="00A01A4C"/>
    <w:rsid w:val="00A01C1F"/>
    <w:rsid w:val="00A01C98"/>
    <w:rsid w:val="00A020F7"/>
    <w:rsid w:val="00A025E5"/>
    <w:rsid w:val="00A04B2F"/>
    <w:rsid w:val="00A054CB"/>
    <w:rsid w:val="00A05E8F"/>
    <w:rsid w:val="00A06A54"/>
    <w:rsid w:val="00A10423"/>
    <w:rsid w:val="00A10A6F"/>
    <w:rsid w:val="00A115B1"/>
    <w:rsid w:val="00A118B4"/>
    <w:rsid w:val="00A129C6"/>
    <w:rsid w:val="00A14BDD"/>
    <w:rsid w:val="00A15A52"/>
    <w:rsid w:val="00A169FE"/>
    <w:rsid w:val="00A1706F"/>
    <w:rsid w:val="00A1721D"/>
    <w:rsid w:val="00A20630"/>
    <w:rsid w:val="00A20956"/>
    <w:rsid w:val="00A20B02"/>
    <w:rsid w:val="00A210DB"/>
    <w:rsid w:val="00A21667"/>
    <w:rsid w:val="00A220FB"/>
    <w:rsid w:val="00A223A5"/>
    <w:rsid w:val="00A22946"/>
    <w:rsid w:val="00A23770"/>
    <w:rsid w:val="00A241FD"/>
    <w:rsid w:val="00A24BC5"/>
    <w:rsid w:val="00A2504C"/>
    <w:rsid w:val="00A26CA4"/>
    <w:rsid w:val="00A26D2E"/>
    <w:rsid w:val="00A26E5D"/>
    <w:rsid w:val="00A276A6"/>
    <w:rsid w:val="00A276FF"/>
    <w:rsid w:val="00A27A41"/>
    <w:rsid w:val="00A30C82"/>
    <w:rsid w:val="00A31A01"/>
    <w:rsid w:val="00A32211"/>
    <w:rsid w:val="00A3279A"/>
    <w:rsid w:val="00A33842"/>
    <w:rsid w:val="00A33A1E"/>
    <w:rsid w:val="00A33FDC"/>
    <w:rsid w:val="00A34114"/>
    <w:rsid w:val="00A34C81"/>
    <w:rsid w:val="00A34E19"/>
    <w:rsid w:val="00A35C90"/>
    <w:rsid w:val="00A362F9"/>
    <w:rsid w:val="00A36BE7"/>
    <w:rsid w:val="00A36F35"/>
    <w:rsid w:val="00A373CC"/>
    <w:rsid w:val="00A3760C"/>
    <w:rsid w:val="00A37704"/>
    <w:rsid w:val="00A378A0"/>
    <w:rsid w:val="00A37E59"/>
    <w:rsid w:val="00A40108"/>
    <w:rsid w:val="00A404AF"/>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0D10"/>
    <w:rsid w:val="00A533D5"/>
    <w:rsid w:val="00A5510E"/>
    <w:rsid w:val="00A559F4"/>
    <w:rsid w:val="00A56173"/>
    <w:rsid w:val="00A56547"/>
    <w:rsid w:val="00A57079"/>
    <w:rsid w:val="00A570E0"/>
    <w:rsid w:val="00A606A0"/>
    <w:rsid w:val="00A60943"/>
    <w:rsid w:val="00A60A2E"/>
    <w:rsid w:val="00A60A60"/>
    <w:rsid w:val="00A61263"/>
    <w:rsid w:val="00A614AD"/>
    <w:rsid w:val="00A61608"/>
    <w:rsid w:val="00A616BD"/>
    <w:rsid w:val="00A61886"/>
    <w:rsid w:val="00A61E92"/>
    <w:rsid w:val="00A63D89"/>
    <w:rsid w:val="00A63EF3"/>
    <w:rsid w:val="00A650F1"/>
    <w:rsid w:val="00A6526E"/>
    <w:rsid w:val="00A65DA4"/>
    <w:rsid w:val="00A66E04"/>
    <w:rsid w:val="00A67194"/>
    <w:rsid w:val="00A671B3"/>
    <w:rsid w:val="00A67864"/>
    <w:rsid w:val="00A70242"/>
    <w:rsid w:val="00A7040E"/>
    <w:rsid w:val="00A7286F"/>
    <w:rsid w:val="00A734F2"/>
    <w:rsid w:val="00A73DEE"/>
    <w:rsid w:val="00A74678"/>
    <w:rsid w:val="00A75AEA"/>
    <w:rsid w:val="00A76063"/>
    <w:rsid w:val="00A767EB"/>
    <w:rsid w:val="00A771BF"/>
    <w:rsid w:val="00A77299"/>
    <w:rsid w:val="00A803C1"/>
    <w:rsid w:val="00A815B6"/>
    <w:rsid w:val="00A815F6"/>
    <w:rsid w:val="00A81953"/>
    <w:rsid w:val="00A823D7"/>
    <w:rsid w:val="00A827C9"/>
    <w:rsid w:val="00A8350D"/>
    <w:rsid w:val="00A85B31"/>
    <w:rsid w:val="00A861F3"/>
    <w:rsid w:val="00A86C48"/>
    <w:rsid w:val="00A90DB1"/>
    <w:rsid w:val="00A90FB8"/>
    <w:rsid w:val="00A9147B"/>
    <w:rsid w:val="00A91BA8"/>
    <w:rsid w:val="00A91EF1"/>
    <w:rsid w:val="00A91EF2"/>
    <w:rsid w:val="00A9325C"/>
    <w:rsid w:val="00A93680"/>
    <w:rsid w:val="00A9430B"/>
    <w:rsid w:val="00A94483"/>
    <w:rsid w:val="00A959CA"/>
    <w:rsid w:val="00A96FC6"/>
    <w:rsid w:val="00A97A16"/>
    <w:rsid w:val="00A97B61"/>
    <w:rsid w:val="00A97C2E"/>
    <w:rsid w:val="00A97CE3"/>
    <w:rsid w:val="00A97E0C"/>
    <w:rsid w:val="00AA01DA"/>
    <w:rsid w:val="00AA1178"/>
    <w:rsid w:val="00AA11BA"/>
    <w:rsid w:val="00AA2755"/>
    <w:rsid w:val="00AA2D62"/>
    <w:rsid w:val="00AA2E2C"/>
    <w:rsid w:val="00AA2E90"/>
    <w:rsid w:val="00AA3077"/>
    <w:rsid w:val="00AA375B"/>
    <w:rsid w:val="00AA38AF"/>
    <w:rsid w:val="00AA450C"/>
    <w:rsid w:val="00AA4B62"/>
    <w:rsid w:val="00AA5EB3"/>
    <w:rsid w:val="00AA6916"/>
    <w:rsid w:val="00AB040A"/>
    <w:rsid w:val="00AB110E"/>
    <w:rsid w:val="00AB11CF"/>
    <w:rsid w:val="00AB1287"/>
    <w:rsid w:val="00AB1CE8"/>
    <w:rsid w:val="00AB2655"/>
    <w:rsid w:val="00AB2F06"/>
    <w:rsid w:val="00AB4FFF"/>
    <w:rsid w:val="00AB5190"/>
    <w:rsid w:val="00AB5513"/>
    <w:rsid w:val="00AB5A0C"/>
    <w:rsid w:val="00AB6070"/>
    <w:rsid w:val="00AB6DFC"/>
    <w:rsid w:val="00AB7354"/>
    <w:rsid w:val="00AB7BFE"/>
    <w:rsid w:val="00AB7C46"/>
    <w:rsid w:val="00AB7DD5"/>
    <w:rsid w:val="00AC05D0"/>
    <w:rsid w:val="00AC3637"/>
    <w:rsid w:val="00AC3D4F"/>
    <w:rsid w:val="00AC3DB7"/>
    <w:rsid w:val="00AC4699"/>
    <w:rsid w:val="00AC5650"/>
    <w:rsid w:val="00AC59DF"/>
    <w:rsid w:val="00AC72C7"/>
    <w:rsid w:val="00AC7899"/>
    <w:rsid w:val="00AD13D6"/>
    <w:rsid w:val="00AD4087"/>
    <w:rsid w:val="00AD4E84"/>
    <w:rsid w:val="00AD629C"/>
    <w:rsid w:val="00AD6A21"/>
    <w:rsid w:val="00AD6BE0"/>
    <w:rsid w:val="00AD752F"/>
    <w:rsid w:val="00AE0C8D"/>
    <w:rsid w:val="00AE0E2A"/>
    <w:rsid w:val="00AE1411"/>
    <w:rsid w:val="00AE19B4"/>
    <w:rsid w:val="00AE2330"/>
    <w:rsid w:val="00AE55BC"/>
    <w:rsid w:val="00AE62E7"/>
    <w:rsid w:val="00AE686D"/>
    <w:rsid w:val="00AE6B27"/>
    <w:rsid w:val="00AF0DC0"/>
    <w:rsid w:val="00AF0F96"/>
    <w:rsid w:val="00AF21D7"/>
    <w:rsid w:val="00AF28EB"/>
    <w:rsid w:val="00AF31BA"/>
    <w:rsid w:val="00AF36B6"/>
    <w:rsid w:val="00AF4803"/>
    <w:rsid w:val="00AF4D10"/>
    <w:rsid w:val="00AF58CB"/>
    <w:rsid w:val="00AF726F"/>
    <w:rsid w:val="00B00506"/>
    <w:rsid w:val="00B00ED5"/>
    <w:rsid w:val="00B0128C"/>
    <w:rsid w:val="00B0190C"/>
    <w:rsid w:val="00B01C3F"/>
    <w:rsid w:val="00B02315"/>
    <w:rsid w:val="00B02BF0"/>
    <w:rsid w:val="00B02EA8"/>
    <w:rsid w:val="00B034DD"/>
    <w:rsid w:val="00B03AB4"/>
    <w:rsid w:val="00B05B91"/>
    <w:rsid w:val="00B06ED4"/>
    <w:rsid w:val="00B077CC"/>
    <w:rsid w:val="00B07A28"/>
    <w:rsid w:val="00B102E7"/>
    <w:rsid w:val="00B12A63"/>
    <w:rsid w:val="00B13397"/>
    <w:rsid w:val="00B1400D"/>
    <w:rsid w:val="00B147C9"/>
    <w:rsid w:val="00B15BB2"/>
    <w:rsid w:val="00B16EBE"/>
    <w:rsid w:val="00B20E3B"/>
    <w:rsid w:val="00B21D0E"/>
    <w:rsid w:val="00B22C57"/>
    <w:rsid w:val="00B23C76"/>
    <w:rsid w:val="00B23EEE"/>
    <w:rsid w:val="00B27298"/>
    <w:rsid w:val="00B27384"/>
    <w:rsid w:val="00B276E4"/>
    <w:rsid w:val="00B27A6D"/>
    <w:rsid w:val="00B309F9"/>
    <w:rsid w:val="00B30DAD"/>
    <w:rsid w:val="00B31782"/>
    <w:rsid w:val="00B32D93"/>
    <w:rsid w:val="00B33CEA"/>
    <w:rsid w:val="00B3402E"/>
    <w:rsid w:val="00B360B7"/>
    <w:rsid w:val="00B36928"/>
    <w:rsid w:val="00B37293"/>
    <w:rsid w:val="00B4076A"/>
    <w:rsid w:val="00B413EB"/>
    <w:rsid w:val="00B428F3"/>
    <w:rsid w:val="00B42C20"/>
    <w:rsid w:val="00B43287"/>
    <w:rsid w:val="00B43864"/>
    <w:rsid w:val="00B43AD9"/>
    <w:rsid w:val="00B443D5"/>
    <w:rsid w:val="00B44482"/>
    <w:rsid w:val="00B450D9"/>
    <w:rsid w:val="00B46FF2"/>
    <w:rsid w:val="00B51B75"/>
    <w:rsid w:val="00B52AD3"/>
    <w:rsid w:val="00B539EB"/>
    <w:rsid w:val="00B54B76"/>
    <w:rsid w:val="00B55ECC"/>
    <w:rsid w:val="00B560E5"/>
    <w:rsid w:val="00B5610F"/>
    <w:rsid w:val="00B576E1"/>
    <w:rsid w:val="00B6088D"/>
    <w:rsid w:val="00B608F1"/>
    <w:rsid w:val="00B60F79"/>
    <w:rsid w:val="00B61158"/>
    <w:rsid w:val="00B6252C"/>
    <w:rsid w:val="00B62CBE"/>
    <w:rsid w:val="00B62EFD"/>
    <w:rsid w:val="00B63999"/>
    <w:rsid w:val="00B63B4A"/>
    <w:rsid w:val="00B63E1F"/>
    <w:rsid w:val="00B641C5"/>
    <w:rsid w:val="00B64F8D"/>
    <w:rsid w:val="00B6533C"/>
    <w:rsid w:val="00B65388"/>
    <w:rsid w:val="00B65FD8"/>
    <w:rsid w:val="00B6731A"/>
    <w:rsid w:val="00B673CA"/>
    <w:rsid w:val="00B70903"/>
    <w:rsid w:val="00B7108D"/>
    <w:rsid w:val="00B7117A"/>
    <w:rsid w:val="00B713F0"/>
    <w:rsid w:val="00B72053"/>
    <w:rsid w:val="00B733A9"/>
    <w:rsid w:val="00B73BEF"/>
    <w:rsid w:val="00B74530"/>
    <w:rsid w:val="00B7458C"/>
    <w:rsid w:val="00B74E4D"/>
    <w:rsid w:val="00B75D3F"/>
    <w:rsid w:val="00B75D4C"/>
    <w:rsid w:val="00B76F2C"/>
    <w:rsid w:val="00B77723"/>
    <w:rsid w:val="00B77863"/>
    <w:rsid w:val="00B801AC"/>
    <w:rsid w:val="00B815D3"/>
    <w:rsid w:val="00B8270D"/>
    <w:rsid w:val="00B827F1"/>
    <w:rsid w:val="00B82B33"/>
    <w:rsid w:val="00B8384C"/>
    <w:rsid w:val="00B843A1"/>
    <w:rsid w:val="00B8441F"/>
    <w:rsid w:val="00B854BE"/>
    <w:rsid w:val="00B85704"/>
    <w:rsid w:val="00B86421"/>
    <w:rsid w:val="00B866BF"/>
    <w:rsid w:val="00B868D6"/>
    <w:rsid w:val="00B86D0A"/>
    <w:rsid w:val="00B8748B"/>
    <w:rsid w:val="00B87B3F"/>
    <w:rsid w:val="00B90972"/>
    <w:rsid w:val="00B91818"/>
    <w:rsid w:val="00B922D6"/>
    <w:rsid w:val="00B92819"/>
    <w:rsid w:val="00B93E18"/>
    <w:rsid w:val="00B93E2C"/>
    <w:rsid w:val="00B94BE5"/>
    <w:rsid w:val="00B95B44"/>
    <w:rsid w:val="00B96069"/>
    <w:rsid w:val="00BA0A76"/>
    <w:rsid w:val="00BA11A9"/>
    <w:rsid w:val="00BA1642"/>
    <w:rsid w:val="00BA30C2"/>
    <w:rsid w:val="00BA31C6"/>
    <w:rsid w:val="00BA4B0A"/>
    <w:rsid w:val="00BA4FE7"/>
    <w:rsid w:val="00BA699B"/>
    <w:rsid w:val="00BA76AB"/>
    <w:rsid w:val="00BB0225"/>
    <w:rsid w:val="00BB0423"/>
    <w:rsid w:val="00BB1D73"/>
    <w:rsid w:val="00BB2CE4"/>
    <w:rsid w:val="00BB2D17"/>
    <w:rsid w:val="00BB2D1B"/>
    <w:rsid w:val="00BB42D2"/>
    <w:rsid w:val="00BB6ECF"/>
    <w:rsid w:val="00BB74B3"/>
    <w:rsid w:val="00BB777A"/>
    <w:rsid w:val="00BC06FE"/>
    <w:rsid w:val="00BC1765"/>
    <w:rsid w:val="00BC1FD6"/>
    <w:rsid w:val="00BC25D7"/>
    <w:rsid w:val="00BC320C"/>
    <w:rsid w:val="00BC4883"/>
    <w:rsid w:val="00BC5454"/>
    <w:rsid w:val="00BC5F7F"/>
    <w:rsid w:val="00BC74EE"/>
    <w:rsid w:val="00BC777E"/>
    <w:rsid w:val="00BD056C"/>
    <w:rsid w:val="00BD219A"/>
    <w:rsid w:val="00BD2C42"/>
    <w:rsid w:val="00BD2EF9"/>
    <w:rsid w:val="00BD2F1D"/>
    <w:rsid w:val="00BD3997"/>
    <w:rsid w:val="00BD5D7E"/>
    <w:rsid w:val="00BD6EF9"/>
    <w:rsid w:val="00BD754C"/>
    <w:rsid w:val="00BD764C"/>
    <w:rsid w:val="00BD78C6"/>
    <w:rsid w:val="00BE01E1"/>
    <w:rsid w:val="00BE07A5"/>
    <w:rsid w:val="00BE15DA"/>
    <w:rsid w:val="00BE19AD"/>
    <w:rsid w:val="00BE369C"/>
    <w:rsid w:val="00BE4E2F"/>
    <w:rsid w:val="00BE4FBC"/>
    <w:rsid w:val="00BE5B7C"/>
    <w:rsid w:val="00BE6DBE"/>
    <w:rsid w:val="00BE72FD"/>
    <w:rsid w:val="00BE733C"/>
    <w:rsid w:val="00BE73D4"/>
    <w:rsid w:val="00BE7AF2"/>
    <w:rsid w:val="00BF1EF8"/>
    <w:rsid w:val="00BF25A9"/>
    <w:rsid w:val="00BF2DE5"/>
    <w:rsid w:val="00BF4429"/>
    <w:rsid w:val="00BF4C49"/>
    <w:rsid w:val="00BF4D1A"/>
    <w:rsid w:val="00BF5168"/>
    <w:rsid w:val="00BF51C9"/>
    <w:rsid w:val="00BF5A5B"/>
    <w:rsid w:val="00BF62DF"/>
    <w:rsid w:val="00BF6338"/>
    <w:rsid w:val="00BF6D56"/>
    <w:rsid w:val="00BF7EB2"/>
    <w:rsid w:val="00C00D03"/>
    <w:rsid w:val="00C00D9C"/>
    <w:rsid w:val="00C01DFC"/>
    <w:rsid w:val="00C0270E"/>
    <w:rsid w:val="00C0282B"/>
    <w:rsid w:val="00C03262"/>
    <w:rsid w:val="00C047A4"/>
    <w:rsid w:val="00C05013"/>
    <w:rsid w:val="00C067E0"/>
    <w:rsid w:val="00C0773D"/>
    <w:rsid w:val="00C1025D"/>
    <w:rsid w:val="00C11733"/>
    <w:rsid w:val="00C12CC1"/>
    <w:rsid w:val="00C12D93"/>
    <w:rsid w:val="00C12EE2"/>
    <w:rsid w:val="00C12EE5"/>
    <w:rsid w:val="00C1324B"/>
    <w:rsid w:val="00C139DE"/>
    <w:rsid w:val="00C13B55"/>
    <w:rsid w:val="00C13CB8"/>
    <w:rsid w:val="00C151CE"/>
    <w:rsid w:val="00C1561B"/>
    <w:rsid w:val="00C15BBB"/>
    <w:rsid w:val="00C16087"/>
    <w:rsid w:val="00C2092E"/>
    <w:rsid w:val="00C20F37"/>
    <w:rsid w:val="00C213FD"/>
    <w:rsid w:val="00C21C42"/>
    <w:rsid w:val="00C23520"/>
    <w:rsid w:val="00C24AE3"/>
    <w:rsid w:val="00C25082"/>
    <w:rsid w:val="00C2570A"/>
    <w:rsid w:val="00C265D4"/>
    <w:rsid w:val="00C26DC6"/>
    <w:rsid w:val="00C27447"/>
    <w:rsid w:val="00C275FC"/>
    <w:rsid w:val="00C30615"/>
    <w:rsid w:val="00C30715"/>
    <w:rsid w:val="00C30D84"/>
    <w:rsid w:val="00C3131B"/>
    <w:rsid w:val="00C317A7"/>
    <w:rsid w:val="00C33614"/>
    <w:rsid w:val="00C33AEC"/>
    <w:rsid w:val="00C357CB"/>
    <w:rsid w:val="00C35C8E"/>
    <w:rsid w:val="00C36B1D"/>
    <w:rsid w:val="00C3742C"/>
    <w:rsid w:val="00C410D2"/>
    <w:rsid w:val="00C41363"/>
    <w:rsid w:val="00C42A78"/>
    <w:rsid w:val="00C437D6"/>
    <w:rsid w:val="00C4471B"/>
    <w:rsid w:val="00C45C94"/>
    <w:rsid w:val="00C4601D"/>
    <w:rsid w:val="00C46612"/>
    <w:rsid w:val="00C509D2"/>
    <w:rsid w:val="00C51CCA"/>
    <w:rsid w:val="00C523ED"/>
    <w:rsid w:val="00C53131"/>
    <w:rsid w:val="00C54473"/>
    <w:rsid w:val="00C54789"/>
    <w:rsid w:val="00C55945"/>
    <w:rsid w:val="00C55D94"/>
    <w:rsid w:val="00C55DCB"/>
    <w:rsid w:val="00C55FBB"/>
    <w:rsid w:val="00C57582"/>
    <w:rsid w:val="00C608EF"/>
    <w:rsid w:val="00C60D60"/>
    <w:rsid w:val="00C612BB"/>
    <w:rsid w:val="00C612BF"/>
    <w:rsid w:val="00C61338"/>
    <w:rsid w:val="00C6207E"/>
    <w:rsid w:val="00C6324D"/>
    <w:rsid w:val="00C64FAE"/>
    <w:rsid w:val="00C66344"/>
    <w:rsid w:val="00C66EDC"/>
    <w:rsid w:val="00C674F7"/>
    <w:rsid w:val="00C67D05"/>
    <w:rsid w:val="00C714EE"/>
    <w:rsid w:val="00C731E1"/>
    <w:rsid w:val="00C73883"/>
    <w:rsid w:val="00C7443F"/>
    <w:rsid w:val="00C745D7"/>
    <w:rsid w:val="00C7702A"/>
    <w:rsid w:val="00C7732F"/>
    <w:rsid w:val="00C773C8"/>
    <w:rsid w:val="00C80A25"/>
    <w:rsid w:val="00C80E5E"/>
    <w:rsid w:val="00C82930"/>
    <w:rsid w:val="00C82C9E"/>
    <w:rsid w:val="00C841BF"/>
    <w:rsid w:val="00C84F61"/>
    <w:rsid w:val="00C8531E"/>
    <w:rsid w:val="00C85560"/>
    <w:rsid w:val="00C85A3E"/>
    <w:rsid w:val="00C85A50"/>
    <w:rsid w:val="00C85B6C"/>
    <w:rsid w:val="00C85ECE"/>
    <w:rsid w:val="00C86BFE"/>
    <w:rsid w:val="00C86D8A"/>
    <w:rsid w:val="00C86FF3"/>
    <w:rsid w:val="00C87E2F"/>
    <w:rsid w:val="00C900B0"/>
    <w:rsid w:val="00C9080B"/>
    <w:rsid w:val="00C90EA7"/>
    <w:rsid w:val="00C90EF9"/>
    <w:rsid w:val="00C9146C"/>
    <w:rsid w:val="00C91711"/>
    <w:rsid w:val="00C91A95"/>
    <w:rsid w:val="00C92931"/>
    <w:rsid w:val="00C92949"/>
    <w:rsid w:val="00C9312F"/>
    <w:rsid w:val="00C94499"/>
    <w:rsid w:val="00C9491A"/>
    <w:rsid w:val="00C94BE9"/>
    <w:rsid w:val="00C95701"/>
    <w:rsid w:val="00C95DD7"/>
    <w:rsid w:val="00C95ED6"/>
    <w:rsid w:val="00C96BBB"/>
    <w:rsid w:val="00CA04D5"/>
    <w:rsid w:val="00CA0F7D"/>
    <w:rsid w:val="00CA1AC8"/>
    <w:rsid w:val="00CA1FB0"/>
    <w:rsid w:val="00CA24D1"/>
    <w:rsid w:val="00CA2AD9"/>
    <w:rsid w:val="00CA39CC"/>
    <w:rsid w:val="00CA3C11"/>
    <w:rsid w:val="00CA403D"/>
    <w:rsid w:val="00CA4743"/>
    <w:rsid w:val="00CA57FE"/>
    <w:rsid w:val="00CA5FF6"/>
    <w:rsid w:val="00CA6F32"/>
    <w:rsid w:val="00CA735E"/>
    <w:rsid w:val="00CB01B1"/>
    <w:rsid w:val="00CB138F"/>
    <w:rsid w:val="00CB13CF"/>
    <w:rsid w:val="00CB13E0"/>
    <w:rsid w:val="00CB199A"/>
    <w:rsid w:val="00CB2282"/>
    <w:rsid w:val="00CB2F02"/>
    <w:rsid w:val="00CB44CC"/>
    <w:rsid w:val="00CB4522"/>
    <w:rsid w:val="00CB76B8"/>
    <w:rsid w:val="00CB7703"/>
    <w:rsid w:val="00CB77EE"/>
    <w:rsid w:val="00CB783B"/>
    <w:rsid w:val="00CB7AE2"/>
    <w:rsid w:val="00CC1C1E"/>
    <w:rsid w:val="00CC2611"/>
    <w:rsid w:val="00CC2803"/>
    <w:rsid w:val="00CC295E"/>
    <w:rsid w:val="00CC48D6"/>
    <w:rsid w:val="00CC4B7F"/>
    <w:rsid w:val="00CC544C"/>
    <w:rsid w:val="00CC559E"/>
    <w:rsid w:val="00CC707F"/>
    <w:rsid w:val="00CC708A"/>
    <w:rsid w:val="00CC79CD"/>
    <w:rsid w:val="00CD0365"/>
    <w:rsid w:val="00CD1447"/>
    <w:rsid w:val="00CD1841"/>
    <w:rsid w:val="00CD1BF1"/>
    <w:rsid w:val="00CD1D2E"/>
    <w:rsid w:val="00CD27CD"/>
    <w:rsid w:val="00CD4BF8"/>
    <w:rsid w:val="00CD52CD"/>
    <w:rsid w:val="00CD652E"/>
    <w:rsid w:val="00CD6828"/>
    <w:rsid w:val="00CD685C"/>
    <w:rsid w:val="00CD68DD"/>
    <w:rsid w:val="00CD7B8B"/>
    <w:rsid w:val="00CE01F8"/>
    <w:rsid w:val="00CE0D43"/>
    <w:rsid w:val="00CE19B6"/>
    <w:rsid w:val="00CE24B9"/>
    <w:rsid w:val="00CE2B04"/>
    <w:rsid w:val="00CE3E8B"/>
    <w:rsid w:val="00CE47DC"/>
    <w:rsid w:val="00CE5298"/>
    <w:rsid w:val="00CE5322"/>
    <w:rsid w:val="00CE58EB"/>
    <w:rsid w:val="00CE6939"/>
    <w:rsid w:val="00CE705F"/>
    <w:rsid w:val="00CE745E"/>
    <w:rsid w:val="00CF0041"/>
    <w:rsid w:val="00CF0D4B"/>
    <w:rsid w:val="00CF2605"/>
    <w:rsid w:val="00CF2804"/>
    <w:rsid w:val="00CF35B2"/>
    <w:rsid w:val="00CF36C4"/>
    <w:rsid w:val="00CF38D4"/>
    <w:rsid w:val="00CF5C07"/>
    <w:rsid w:val="00CF5CFC"/>
    <w:rsid w:val="00D00272"/>
    <w:rsid w:val="00D00AF5"/>
    <w:rsid w:val="00D00E75"/>
    <w:rsid w:val="00D00EE2"/>
    <w:rsid w:val="00D01917"/>
    <w:rsid w:val="00D01EBC"/>
    <w:rsid w:val="00D036AC"/>
    <w:rsid w:val="00D03DE1"/>
    <w:rsid w:val="00D03EDD"/>
    <w:rsid w:val="00D03EEF"/>
    <w:rsid w:val="00D04F08"/>
    <w:rsid w:val="00D050BB"/>
    <w:rsid w:val="00D058B9"/>
    <w:rsid w:val="00D07010"/>
    <w:rsid w:val="00D07087"/>
    <w:rsid w:val="00D07A1B"/>
    <w:rsid w:val="00D07E2A"/>
    <w:rsid w:val="00D11666"/>
    <w:rsid w:val="00D11D07"/>
    <w:rsid w:val="00D138F2"/>
    <w:rsid w:val="00D1489F"/>
    <w:rsid w:val="00D159F8"/>
    <w:rsid w:val="00D15DD2"/>
    <w:rsid w:val="00D16E55"/>
    <w:rsid w:val="00D16ECF"/>
    <w:rsid w:val="00D17564"/>
    <w:rsid w:val="00D17C04"/>
    <w:rsid w:val="00D17CFB"/>
    <w:rsid w:val="00D17E3E"/>
    <w:rsid w:val="00D2046D"/>
    <w:rsid w:val="00D21820"/>
    <w:rsid w:val="00D2255E"/>
    <w:rsid w:val="00D226B9"/>
    <w:rsid w:val="00D23437"/>
    <w:rsid w:val="00D2372E"/>
    <w:rsid w:val="00D2373E"/>
    <w:rsid w:val="00D239F4"/>
    <w:rsid w:val="00D2459A"/>
    <w:rsid w:val="00D248D9"/>
    <w:rsid w:val="00D24CD7"/>
    <w:rsid w:val="00D25DF4"/>
    <w:rsid w:val="00D26113"/>
    <w:rsid w:val="00D27131"/>
    <w:rsid w:val="00D30B0E"/>
    <w:rsid w:val="00D31AD0"/>
    <w:rsid w:val="00D31BBD"/>
    <w:rsid w:val="00D34305"/>
    <w:rsid w:val="00D34E83"/>
    <w:rsid w:val="00D35189"/>
    <w:rsid w:val="00D352D0"/>
    <w:rsid w:val="00D37354"/>
    <w:rsid w:val="00D404B1"/>
    <w:rsid w:val="00D4104F"/>
    <w:rsid w:val="00D43988"/>
    <w:rsid w:val="00D4707E"/>
    <w:rsid w:val="00D47238"/>
    <w:rsid w:val="00D4762C"/>
    <w:rsid w:val="00D47867"/>
    <w:rsid w:val="00D47B4E"/>
    <w:rsid w:val="00D47EAF"/>
    <w:rsid w:val="00D50B2A"/>
    <w:rsid w:val="00D51517"/>
    <w:rsid w:val="00D52D4A"/>
    <w:rsid w:val="00D52D7F"/>
    <w:rsid w:val="00D53034"/>
    <w:rsid w:val="00D538B0"/>
    <w:rsid w:val="00D541A8"/>
    <w:rsid w:val="00D55A05"/>
    <w:rsid w:val="00D562A8"/>
    <w:rsid w:val="00D61A9F"/>
    <w:rsid w:val="00D61EDD"/>
    <w:rsid w:val="00D628AF"/>
    <w:rsid w:val="00D6294B"/>
    <w:rsid w:val="00D654F8"/>
    <w:rsid w:val="00D66697"/>
    <w:rsid w:val="00D676B3"/>
    <w:rsid w:val="00D6787A"/>
    <w:rsid w:val="00D67ACA"/>
    <w:rsid w:val="00D67F69"/>
    <w:rsid w:val="00D70FAD"/>
    <w:rsid w:val="00D71103"/>
    <w:rsid w:val="00D71213"/>
    <w:rsid w:val="00D713E4"/>
    <w:rsid w:val="00D72FAD"/>
    <w:rsid w:val="00D7314F"/>
    <w:rsid w:val="00D73259"/>
    <w:rsid w:val="00D732D3"/>
    <w:rsid w:val="00D73678"/>
    <w:rsid w:val="00D73AF1"/>
    <w:rsid w:val="00D73E64"/>
    <w:rsid w:val="00D74504"/>
    <w:rsid w:val="00D74639"/>
    <w:rsid w:val="00D74926"/>
    <w:rsid w:val="00D75407"/>
    <w:rsid w:val="00D75449"/>
    <w:rsid w:val="00D7563E"/>
    <w:rsid w:val="00D76E21"/>
    <w:rsid w:val="00D770D5"/>
    <w:rsid w:val="00D809B7"/>
    <w:rsid w:val="00D812A9"/>
    <w:rsid w:val="00D813B0"/>
    <w:rsid w:val="00D8141C"/>
    <w:rsid w:val="00D81A57"/>
    <w:rsid w:val="00D81A98"/>
    <w:rsid w:val="00D8269A"/>
    <w:rsid w:val="00D82962"/>
    <w:rsid w:val="00D82A4C"/>
    <w:rsid w:val="00D830B5"/>
    <w:rsid w:val="00D83A65"/>
    <w:rsid w:val="00D846CF"/>
    <w:rsid w:val="00D84999"/>
    <w:rsid w:val="00D85683"/>
    <w:rsid w:val="00D86D21"/>
    <w:rsid w:val="00D8772B"/>
    <w:rsid w:val="00D9031D"/>
    <w:rsid w:val="00D90824"/>
    <w:rsid w:val="00D90F8A"/>
    <w:rsid w:val="00D91621"/>
    <w:rsid w:val="00D9180B"/>
    <w:rsid w:val="00D925BC"/>
    <w:rsid w:val="00D9323B"/>
    <w:rsid w:val="00D94EB6"/>
    <w:rsid w:val="00D95111"/>
    <w:rsid w:val="00D954B6"/>
    <w:rsid w:val="00D9553A"/>
    <w:rsid w:val="00D958D2"/>
    <w:rsid w:val="00D95C5C"/>
    <w:rsid w:val="00D96B91"/>
    <w:rsid w:val="00D9740F"/>
    <w:rsid w:val="00D97545"/>
    <w:rsid w:val="00D9787B"/>
    <w:rsid w:val="00D97BA1"/>
    <w:rsid w:val="00DA09FC"/>
    <w:rsid w:val="00DA0A19"/>
    <w:rsid w:val="00DA16AA"/>
    <w:rsid w:val="00DA28A7"/>
    <w:rsid w:val="00DA2BB0"/>
    <w:rsid w:val="00DA2FCA"/>
    <w:rsid w:val="00DA348E"/>
    <w:rsid w:val="00DA373A"/>
    <w:rsid w:val="00DA4A4E"/>
    <w:rsid w:val="00DA59D2"/>
    <w:rsid w:val="00DA5A9C"/>
    <w:rsid w:val="00DA5F60"/>
    <w:rsid w:val="00DA6E9D"/>
    <w:rsid w:val="00DA6FF3"/>
    <w:rsid w:val="00DB0066"/>
    <w:rsid w:val="00DB0F33"/>
    <w:rsid w:val="00DB1595"/>
    <w:rsid w:val="00DB297D"/>
    <w:rsid w:val="00DB2B7E"/>
    <w:rsid w:val="00DB2BA7"/>
    <w:rsid w:val="00DB2F6C"/>
    <w:rsid w:val="00DB345D"/>
    <w:rsid w:val="00DB5719"/>
    <w:rsid w:val="00DB624E"/>
    <w:rsid w:val="00DB65FF"/>
    <w:rsid w:val="00DB7C6B"/>
    <w:rsid w:val="00DC02EA"/>
    <w:rsid w:val="00DC1309"/>
    <w:rsid w:val="00DC16F9"/>
    <w:rsid w:val="00DC1CA6"/>
    <w:rsid w:val="00DC20CF"/>
    <w:rsid w:val="00DC3472"/>
    <w:rsid w:val="00DC4B44"/>
    <w:rsid w:val="00DC5C38"/>
    <w:rsid w:val="00DC61A3"/>
    <w:rsid w:val="00DC76E7"/>
    <w:rsid w:val="00DC7E69"/>
    <w:rsid w:val="00DD0467"/>
    <w:rsid w:val="00DD15EF"/>
    <w:rsid w:val="00DD1738"/>
    <w:rsid w:val="00DD190E"/>
    <w:rsid w:val="00DD3316"/>
    <w:rsid w:val="00DD3E02"/>
    <w:rsid w:val="00DD45AF"/>
    <w:rsid w:val="00DD5654"/>
    <w:rsid w:val="00DD5E57"/>
    <w:rsid w:val="00DD60E3"/>
    <w:rsid w:val="00DD7F9B"/>
    <w:rsid w:val="00DE1C74"/>
    <w:rsid w:val="00DE1CCF"/>
    <w:rsid w:val="00DE3385"/>
    <w:rsid w:val="00DE3CA1"/>
    <w:rsid w:val="00DE4007"/>
    <w:rsid w:val="00DE4053"/>
    <w:rsid w:val="00DE4638"/>
    <w:rsid w:val="00DE4651"/>
    <w:rsid w:val="00DE4FEE"/>
    <w:rsid w:val="00DE534A"/>
    <w:rsid w:val="00DE55FD"/>
    <w:rsid w:val="00DE60A8"/>
    <w:rsid w:val="00DE7265"/>
    <w:rsid w:val="00DE7525"/>
    <w:rsid w:val="00DE787B"/>
    <w:rsid w:val="00DE7C1C"/>
    <w:rsid w:val="00DF0111"/>
    <w:rsid w:val="00DF01E6"/>
    <w:rsid w:val="00DF14DF"/>
    <w:rsid w:val="00DF2247"/>
    <w:rsid w:val="00DF2353"/>
    <w:rsid w:val="00DF3AB2"/>
    <w:rsid w:val="00DF4116"/>
    <w:rsid w:val="00DF5129"/>
    <w:rsid w:val="00DF5784"/>
    <w:rsid w:val="00DF58B8"/>
    <w:rsid w:val="00DF5FF8"/>
    <w:rsid w:val="00DF6EE5"/>
    <w:rsid w:val="00DF7E7E"/>
    <w:rsid w:val="00E0077B"/>
    <w:rsid w:val="00E00898"/>
    <w:rsid w:val="00E03634"/>
    <w:rsid w:val="00E050B6"/>
    <w:rsid w:val="00E0557E"/>
    <w:rsid w:val="00E05980"/>
    <w:rsid w:val="00E05D14"/>
    <w:rsid w:val="00E0628E"/>
    <w:rsid w:val="00E06460"/>
    <w:rsid w:val="00E073CF"/>
    <w:rsid w:val="00E07997"/>
    <w:rsid w:val="00E07A6A"/>
    <w:rsid w:val="00E07EB8"/>
    <w:rsid w:val="00E107B2"/>
    <w:rsid w:val="00E10EB1"/>
    <w:rsid w:val="00E114CF"/>
    <w:rsid w:val="00E120E4"/>
    <w:rsid w:val="00E13636"/>
    <w:rsid w:val="00E149F4"/>
    <w:rsid w:val="00E14A90"/>
    <w:rsid w:val="00E16CF1"/>
    <w:rsid w:val="00E17F53"/>
    <w:rsid w:val="00E20354"/>
    <w:rsid w:val="00E207DB"/>
    <w:rsid w:val="00E20BB5"/>
    <w:rsid w:val="00E21F5A"/>
    <w:rsid w:val="00E221D8"/>
    <w:rsid w:val="00E234F1"/>
    <w:rsid w:val="00E23ACB"/>
    <w:rsid w:val="00E23BDA"/>
    <w:rsid w:val="00E25124"/>
    <w:rsid w:val="00E261F8"/>
    <w:rsid w:val="00E26E25"/>
    <w:rsid w:val="00E27DF3"/>
    <w:rsid w:val="00E3110A"/>
    <w:rsid w:val="00E319DC"/>
    <w:rsid w:val="00E324AD"/>
    <w:rsid w:val="00E3342D"/>
    <w:rsid w:val="00E33683"/>
    <w:rsid w:val="00E33734"/>
    <w:rsid w:val="00E33F82"/>
    <w:rsid w:val="00E34AA9"/>
    <w:rsid w:val="00E36A4F"/>
    <w:rsid w:val="00E376C4"/>
    <w:rsid w:val="00E37D5F"/>
    <w:rsid w:val="00E429A0"/>
    <w:rsid w:val="00E42D39"/>
    <w:rsid w:val="00E44CD4"/>
    <w:rsid w:val="00E45B91"/>
    <w:rsid w:val="00E46804"/>
    <w:rsid w:val="00E46C57"/>
    <w:rsid w:val="00E513EE"/>
    <w:rsid w:val="00E5176B"/>
    <w:rsid w:val="00E527C9"/>
    <w:rsid w:val="00E528BA"/>
    <w:rsid w:val="00E52A91"/>
    <w:rsid w:val="00E53497"/>
    <w:rsid w:val="00E534DF"/>
    <w:rsid w:val="00E55A50"/>
    <w:rsid w:val="00E565C2"/>
    <w:rsid w:val="00E56C9D"/>
    <w:rsid w:val="00E5723E"/>
    <w:rsid w:val="00E57362"/>
    <w:rsid w:val="00E60269"/>
    <w:rsid w:val="00E60887"/>
    <w:rsid w:val="00E60C32"/>
    <w:rsid w:val="00E61619"/>
    <w:rsid w:val="00E61E25"/>
    <w:rsid w:val="00E6272B"/>
    <w:rsid w:val="00E627F6"/>
    <w:rsid w:val="00E62F1A"/>
    <w:rsid w:val="00E63F1D"/>
    <w:rsid w:val="00E646D5"/>
    <w:rsid w:val="00E64BB7"/>
    <w:rsid w:val="00E64EEE"/>
    <w:rsid w:val="00E66F49"/>
    <w:rsid w:val="00E721A9"/>
    <w:rsid w:val="00E73549"/>
    <w:rsid w:val="00E7484F"/>
    <w:rsid w:val="00E74861"/>
    <w:rsid w:val="00E74B50"/>
    <w:rsid w:val="00E74EC9"/>
    <w:rsid w:val="00E75572"/>
    <w:rsid w:val="00E75733"/>
    <w:rsid w:val="00E75A9D"/>
    <w:rsid w:val="00E77754"/>
    <w:rsid w:val="00E80CF7"/>
    <w:rsid w:val="00E80FB4"/>
    <w:rsid w:val="00E81B8E"/>
    <w:rsid w:val="00E81ED7"/>
    <w:rsid w:val="00E8369B"/>
    <w:rsid w:val="00E8377F"/>
    <w:rsid w:val="00E83850"/>
    <w:rsid w:val="00E85244"/>
    <w:rsid w:val="00E85A96"/>
    <w:rsid w:val="00E86159"/>
    <w:rsid w:val="00E86741"/>
    <w:rsid w:val="00E87653"/>
    <w:rsid w:val="00E87AE4"/>
    <w:rsid w:val="00E90A5A"/>
    <w:rsid w:val="00E90C1F"/>
    <w:rsid w:val="00E9124A"/>
    <w:rsid w:val="00E9222C"/>
    <w:rsid w:val="00E9296D"/>
    <w:rsid w:val="00E92AA5"/>
    <w:rsid w:val="00E94509"/>
    <w:rsid w:val="00E94A0D"/>
    <w:rsid w:val="00E9558B"/>
    <w:rsid w:val="00E95A44"/>
    <w:rsid w:val="00E95D1B"/>
    <w:rsid w:val="00E969A4"/>
    <w:rsid w:val="00E9735C"/>
    <w:rsid w:val="00EA0266"/>
    <w:rsid w:val="00EA234B"/>
    <w:rsid w:val="00EA274B"/>
    <w:rsid w:val="00EA2EFA"/>
    <w:rsid w:val="00EA3184"/>
    <w:rsid w:val="00EA3732"/>
    <w:rsid w:val="00EA3794"/>
    <w:rsid w:val="00EA3CDD"/>
    <w:rsid w:val="00EA4124"/>
    <w:rsid w:val="00EA42EB"/>
    <w:rsid w:val="00EA5028"/>
    <w:rsid w:val="00EA50D6"/>
    <w:rsid w:val="00EA5714"/>
    <w:rsid w:val="00EA5E70"/>
    <w:rsid w:val="00EA60EF"/>
    <w:rsid w:val="00EA6A30"/>
    <w:rsid w:val="00EA6A41"/>
    <w:rsid w:val="00EA73C4"/>
    <w:rsid w:val="00EA7662"/>
    <w:rsid w:val="00EA7CC3"/>
    <w:rsid w:val="00EB016F"/>
    <w:rsid w:val="00EB04F4"/>
    <w:rsid w:val="00EB05E3"/>
    <w:rsid w:val="00EB212C"/>
    <w:rsid w:val="00EB2216"/>
    <w:rsid w:val="00EB27D1"/>
    <w:rsid w:val="00EB33F4"/>
    <w:rsid w:val="00EB3B9C"/>
    <w:rsid w:val="00EB40E0"/>
    <w:rsid w:val="00EB4C04"/>
    <w:rsid w:val="00EB6502"/>
    <w:rsid w:val="00EB7D9C"/>
    <w:rsid w:val="00EC01F0"/>
    <w:rsid w:val="00EC1406"/>
    <w:rsid w:val="00EC1526"/>
    <w:rsid w:val="00EC23F3"/>
    <w:rsid w:val="00EC2677"/>
    <w:rsid w:val="00EC2AB5"/>
    <w:rsid w:val="00EC36F2"/>
    <w:rsid w:val="00EC4B79"/>
    <w:rsid w:val="00EC4F33"/>
    <w:rsid w:val="00EC7E82"/>
    <w:rsid w:val="00ED0785"/>
    <w:rsid w:val="00ED0B81"/>
    <w:rsid w:val="00ED19B3"/>
    <w:rsid w:val="00ED1A64"/>
    <w:rsid w:val="00ED28DD"/>
    <w:rsid w:val="00ED421C"/>
    <w:rsid w:val="00ED43A6"/>
    <w:rsid w:val="00ED4E89"/>
    <w:rsid w:val="00ED502A"/>
    <w:rsid w:val="00ED69B3"/>
    <w:rsid w:val="00ED6AF3"/>
    <w:rsid w:val="00ED6FB9"/>
    <w:rsid w:val="00ED7371"/>
    <w:rsid w:val="00ED7E2F"/>
    <w:rsid w:val="00ED7EA8"/>
    <w:rsid w:val="00EE1162"/>
    <w:rsid w:val="00EE1313"/>
    <w:rsid w:val="00EE2126"/>
    <w:rsid w:val="00EE2FBF"/>
    <w:rsid w:val="00EE3363"/>
    <w:rsid w:val="00EE3725"/>
    <w:rsid w:val="00EE3F3C"/>
    <w:rsid w:val="00EE4C7E"/>
    <w:rsid w:val="00EE556D"/>
    <w:rsid w:val="00EE60A2"/>
    <w:rsid w:val="00EE6184"/>
    <w:rsid w:val="00EE679C"/>
    <w:rsid w:val="00EE686B"/>
    <w:rsid w:val="00EE7596"/>
    <w:rsid w:val="00EE7A2C"/>
    <w:rsid w:val="00EF06D3"/>
    <w:rsid w:val="00EF09D3"/>
    <w:rsid w:val="00EF108A"/>
    <w:rsid w:val="00EF1240"/>
    <w:rsid w:val="00EF1F75"/>
    <w:rsid w:val="00EF2240"/>
    <w:rsid w:val="00EF297A"/>
    <w:rsid w:val="00EF3069"/>
    <w:rsid w:val="00EF31A5"/>
    <w:rsid w:val="00EF3742"/>
    <w:rsid w:val="00EF3EB5"/>
    <w:rsid w:val="00EF57B9"/>
    <w:rsid w:val="00EF57DF"/>
    <w:rsid w:val="00EF632B"/>
    <w:rsid w:val="00EF6556"/>
    <w:rsid w:val="00EF689A"/>
    <w:rsid w:val="00F02BAD"/>
    <w:rsid w:val="00F0319D"/>
    <w:rsid w:val="00F07050"/>
    <w:rsid w:val="00F07890"/>
    <w:rsid w:val="00F07A4C"/>
    <w:rsid w:val="00F07B03"/>
    <w:rsid w:val="00F115A2"/>
    <w:rsid w:val="00F11635"/>
    <w:rsid w:val="00F11928"/>
    <w:rsid w:val="00F12D86"/>
    <w:rsid w:val="00F131AA"/>
    <w:rsid w:val="00F131FD"/>
    <w:rsid w:val="00F1350B"/>
    <w:rsid w:val="00F13B05"/>
    <w:rsid w:val="00F13B5A"/>
    <w:rsid w:val="00F13EED"/>
    <w:rsid w:val="00F15AF2"/>
    <w:rsid w:val="00F21290"/>
    <w:rsid w:val="00F2299F"/>
    <w:rsid w:val="00F231F0"/>
    <w:rsid w:val="00F24787"/>
    <w:rsid w:val="00F25311"/>
    <w:rsid w:val="00F259A5"/>
    <w:rsid w:val="00F263E5"/>
    <w:rsid w:val="00F301E0"/>
    <w:rsid w:val="00F307CC"/>
    <w:rsid w:val="00F30BBA"/>
    <w:rsid w:val="00F31630"/>
    <w:rsid w:val="00F31A8F"/>
    <w:rsid w:val="00F320C0"/>
    <w:rsid w:val="00F32C7D"/>
    <w:rsid w:val="00F32D63"/>
    <w:rsid w:val="00F33C8D"/>
    <w:rsid w:val="00F34012"/>
    <w:rsid w:val="00F343A3"/>
    <w:rsid w:val="00F34C99"/>
    <w:rsid w:val="00F3531A"/>
    <w:rsid w:val="00F353E8"/>
    <w:rsid w:val="00F35AB2"/>
    <w:rsid w:val="00F400FB"/>
    <w:rsid w:val="00F41DB0"/>
    <w:rsid w:val="00F43631"/>
    <w:rsid w:val="00F43947"/>
    <w:rsid w:val="00F439BB"/>
    <w:rsid w:val="00F43CEB"/>
    <w:rsid w:val="00F449D7"/>
    <w:rsid w:val="00F460C4"/>
    <w:rsid w:val="00F461AE"/>
    <w:rsid w:val="00F467F9"/>
    <w:rsid w:val="00F47426"/>
    <w:rsid w:val="00F50D6C"/>
    <w:rsid w:val="00F5184D"/>
    <w:rsid w:val="00F51B88"/>
    <w:rsid w:val="00F51CB2"/>
    <w:rsid w:val="00F534D3"/>
    <w:rsid w:val="00F5421D"/>
    <w:rsid w:val="00F55022"/>
    <w:rsid w:val="00F55184"/>
    <w:rsid w:val="00F5704A"/>
    <w:rsid w:val="00F60DF3"/>
    <w:rsid w:val="00F62057"/>
    <w:rsid w:val="00F62597"/>
    <w:rsid w:val="00F6264B"/>
    <w:rsid w:val="00F6290C"/>
    <w:rsid w:val="00F646C8"/>
    <w:rsid w:val="00F67988"/>
    <w:rsid w:val="00F67C01"/>
    <w:rsid w:val="00F70909"/>
    <w:rsid w:val="00F7114B"/>
    <w:rsid w:val="00F721EF"/>
    <w:rsid w:val="00F72AC2"/>
    <w:rsid w:val="00F72F17"/>
    <w:rsid w:val="00F73429"/>
    <w:rsid w:val="00F74168"/>
    <w:rsid w:val="00F742F1"/>
    <w:rsid w:val="00F7470C"/>
    <w:rsid w:val="00F74942"/>
    <w:rsid w:val="00F7534A"/>
    <w:rsid w:val="00F76037"/>
    <w:rsid w:val="00F761E0"/>
    <w:rsid w:val="00F76832"/>
    <w:rsid w:val="00F76B53"/>
    <w:rsid w:val="00F76DA6"/>
    <w:rsid w:val="00F7761D"/>
    <w:rsid w:val="00F77724"/>
    <w:rsid w:val="00F77839"/>
    <w:rsid w:val="00F77AF3"/>
    <w:rsid w:val="00F77CE6"/>
    <w:rsid w:val="00F77DD1"/>
    <w:rsid w:val="00F8023F"/>
    <w:rsid w:val="00F8032A"/>
    <w:rsid w:val="00F81A48"/>
    <w:rsid w:val="00F82021"/>
    <w:rsid w:val="00F82080"/>
    <w:rsid w:val="00F82A7B"/>
    <w:rsid w:val="00F8476C"/>
    <w:rsid w:val="00F850A1"/>
    <w:rsid w:val="00F85CBD"/>
    <w:rsid w:val="00F87810"/>
    <w:rsid w:val="00F905B8"/>
    <w:rsid w:val="00F91164"/>
    <w:rsid w:val="00F91292"/>
    <w:rsid w:val="00F91BFE"/>
    <w:rsid w:val="00F91D47"/>
    <w:rsid w:val="00F92B0F"/>
    <w:rsid w:val="00F9354E"/>
    <w:rsid w:val="00F941FC"/>
    <w:rsid w:val="00F96D24"/>
    <w:rsid w:val="00F97093"/>
    <w:rsid w:val="00F97FF3"/>
    <w:rsid w:val="00FA0091"/>
    <w:rsid w:val="00FA1AA9"/>
    <w:rsid w:val="00FA2C8B"/>
    <w:rsid w:val="00FA3E0C"/>
    <w:rsid w:val="00FA4DBA"/>
    <w:rsid w:val="00FA4FBA"/>
    <w:rsid w:val="00FA5580"/>
    <w:rsid w:val="00FA655A"/>
    <w:rsid w:val="00FA69C3"/>
    <w:rsid w:val="00FA6AAC"/>
    <w:rsid w:val="00FA6CBC"/>
    <w:rsid w:val="00FA6D48"/>
    <w:rsid w:val="00FA7027"/>
    <w:rsid w:val="00FA7775"/>
    <w:rsid w:val="00FA7EC0"/>
    <w:rsid w:val="00FB1729"/>
    <w:rsid w:val="00FB30A2"/>
    <w:rsid w:val="00FB4993"/>
    <w:rsid w:val="00FC072E"/>
    <w:rsid w:val="00FC1364"/>
    <w:rsid w:val="00FC4323"/>
    <w:rsid w:val="00FC51AE"/>
    <w:rsid w:val="00FC550A"/>
    <w:rsid w:val="00FC551E"/>
    <w:rsid w:val="00FC5790"/>
    <w:rsid w:val="00FC6275"/>
    <w:rsid w:val="00FD039F"/>
    <w:rsid w:val="00FD053B"/>
    <w:rsid w:val="00FD0910"/>
    <w:rsid w:val="00FD0A92"/>
    <w:rsid w:val="00FD0AF0"/>
    <w:rsid w:val="00FD1234"/>
    <w:rsid w:val="00FD18F3"/>
    <w:rsid w:val="00FD194F"/>
    <w:rsid w:val="00FD1995"/>
    <w:rsid w:val="00FD2333"/>
    <w:rsid w:val="00FD25E1"/>
    <w:rsid w:val="00FD4A75"/>
    <w:rsid w:val="00FD54E6"/>
    <w:rsid w:val="00FD5688"/>
    <w:rsid w:val="00FD5725"/>
    <w:rsid w:val="00FD5E1C"/>
    <w:rsid w:val="00FD5F36"/>
    <w:rsid w:val="00FD6624"/>
    <w:rsid w:val="00FD7F6B"/>
    <w:rsid w:val="00FE0948"/>
    <w:rsid w:val="00FE1880"/>
    <w:rsid w:val="00FE3256"/>
    <w:rsid w:val="00FE3F8E"/>
    <w:rsid w:val="00FE445D"/>
    <w:rsid w:val="00FE47ED"/>
    <w:rsid w:val="00FE5101"/>
    <w:rsid w:val="00FE61DC"/>
    <w:rsid w:val="00FE67D0"/>
    <w:rsid w:val="00FE689B"/>
    <w:rsid w:val="00FE7081"/>
    <w:rsid w:val="00FE79CE"/>
    <w:rsid w:val="00FF06FA"/>
    <w:rsid w:val="00FF081E"/>
    <w:rsid w:val="00FF145C"/>
    <w:rsid w:val="00FF26EE"/>
    <w:rsid w:val="00FF28EC"/>
    <w:rsid w:val="00FF2AA0"/>
    <w:rsid w:val="00FF47A3"/>
    <w:rsid w:val="00FF4B3F"/>
    <w:rsid w:val="00FF4B43"/>
    <w:rsid w:val="00FF574F"/>
    <w:rsid w:val="011E42FB"/>
    <w:rsid w:val="011F753E"/>
    <w:rsid w:val="012146C6"/>
    <w:rsid w:val="012F2443"/>
    <w:rsid w:val="015D35F5"/>
    <w:rsid w:val="01E55D35"/>
    <w:rsid w:val="01E96C2E"/>
    <w:rsid w:val="01F72B36"/>
    <w:rsid w:val="02095687"/>
    <w:rsid w:val="02743188"/>
    <w:rsid w:val="0281007F"/>
    <w:rsid w:val="02AC10D3"/>
    <w:rsid w:val="032C3791"/>
    <w:rsid w:val="034033B2"/>
    <w:rsid w:val="03424163"/>
    <w:rsid w:val="03B866D0"/>
    <w:rsid w:val="03BE5913"/>
    <w:rsid w:val="03C11966"/>
    <w:rsid w:val="03C40B3F"/>
    <w:rsid w:val="03E11E16"/>
    <w:rsid w:val="03F847DE"/>
    <w:rsid w:val="046F4921"/>
    <w:rsid w:val="04710DA7"/>
    <w:rsid w:val="04833B9D"/>
    <w:rsid w:val="04C75FA1"/>
    <w:rsid w:val="04FC5581"/>
    <w:rsid w:val="05203638"/>
    <w:rsid w:val="05821997"/>
    <w:rsid w:val="05891928"/>
    <w:rsid w:val="05BF24C9"/>
    <w:rsid w:val="05D807E9"/>
    <w:rsid w:val="05DF0DF0"/>
    <w:rsid w:val="06144145"/>
    <w:rsid w:val="06C36ACF"/>
    <w:rsid w:val="06C559AF"/>
    <w:rsid w:val="06FC6C29"/>
    <w:rsid w:val="071E68CA"/>
    <w:rsid w:val="0775586D"/>
    <w:rsid w:val="07957EC7"/>
    <w:rsid w:val="07B408C3"/>
    <w:rsid w:val="07DD6A65"/>
    <w:rsid w:val="080A06FE"/>
    <w:rsid w:val="081C64DD"/>
    <w:rsid w:val="083E1B6F"/>
    <w:rsid w:val="084052AB"/>
    <w:rsid w:val="08435461"/>
    <w:rsid w:val="08435AFA"/>
    <w:rsid w:val="085D7654"/>
    <w:rsid w:val="09001E08"/>
    <w:rsid w:val="090C7C1B"/>
    <w:rsid w:val="091541FD"/>
    <w:rsid w:val="0929095D"/>
    <w:rsid w:val="09493091"/>
    <w:rsid w:val="099B1D01"/>
    <w:rsid w:val="09E47D7C"/>
    <w:rsid w:val="0A914C01"/>
    <w:rsid w:val="0AA102FD"/>
    <w:rsid w:val="0AD31787"/>
    <w:rsid w:val="0AF96D6A"/>
    <w:rsid w:val="0B846F5E"/>
    <w:rsid w:val="0B863BF7"/>
    <w:rsid w:val="0B912479"/>
    <w:rsid w:val="0BA537A3"/>
    <w:rsid w:val="0BCC39BB"/>
    <w:rsid w:val="0C04642E"/>
    <w:rsid w:val="0C0F34DC"/>
    <w:rsid w:val="0C1D3113"/>
    <w:rsid w:val="0C2520CA"/>
    <w:rsid w:val="0C4C5587"/>
    <w:rsid w:val="0C7777A9"/>
    <w:rsid w:val="0CE97109"/>
    <w:rsid w:val="0D0F5348"/>
    <w:rsid w:val="0D351B85"/>
    <w:rsid w:val="0D490A8D"/>
    <w:rsid w:val="0DC602BF"/>
    <w:rsid w:val="0DC93D4A"/>
    <w:rsid w:val="0E5643EF"/>
    <w:rsid w:val="0E6E6F80"/>
    <w:rsid w:val="0EC6550D"/>
    <w:rsid w:val="0F217BF1"/>
    <w:rsid w:val="0F7A7451"/>
    <w:rsid w:val="0FF94323"/>
    <w:rsid w:val="105B2EF0"/>
    <w:rsid w:val="107A34BF"/>
    <w:rsid w:val="107A51CD"/>
    <w:rsid w:val="108D4A90"/>
    <w:rsid w:val="10993984"/>
    <w:rsid w:val="10DE591F"/>
    <w:rsid w:val="10E11013"/>
    <w:rsid w:val="10E67EAB"/>
    <w:rsid w:val="11925F20"/>
    <w:rsid w:val="11C91423"/>
    <w:rsid w:val="11CC653F"/>
    <w:rsid w:val="11F94D47"/>
    <w:rsid w:val="120D2BB7"/>
    <w:rsid w:val="123821EC"/>
    <w:rsid w:val="12442D06"/>
    <w:rsid w:val="12486EC1"/>
    <w:rsid w:val="125C7045"/>
    <w:rsid w:val="12762AA8"/>
    <w:rsid w:val="12E96032"/>
    <w:rsid w:val="12EC0F8D"/>
    <w:rsid w:val="13094D59"/>
    <w:rsid w:val="1394500B"/>
    <w:rsid w:val="13B533B9"/>
    <w:rsid w:val="13B75214"/>
    <w:rsid w:val="13D4431F"/>
    <w:rsid w:val="142812A2"/>
    <w:rsid w:val="1448286B"/>
    <w:rsid w:val="14DA6059"/>
    <w:rsid w:val="151B6B0E"/>
    <w:rsid w:val="151D38BF"/>
    <w:rsid w:val="15301C3D"/>
    <w:rsid w:val="15597D95"/>
    <w:rsid w:val="155E7551"/>
    <w:rsid w:val="157A5F62"/>
    <w:rsid w:val="15BA18F1"/>
    <w:rsid w:val="15BF1762"/>
    <w:rsid w:val="15CA4D0F"/>
    <w:rsid w:val="15D557E9"/>
    <w:rsid w:val="160650C5"/>
    <w:rsid w:val="161A1EE6"/>
    <w:rsid w:val="16BA40A9"/>
    <w:rsid w:val="16C44B09"/>
    <w:rsid w:val="16E54E7B"/>
    <w:rsid w:val="16F47498"/>
    <w:rsid w:val="17051BB8"/>
    <w:rsid w:val="17492AC4"/>
    <w:rsid w:val="17727A45"/>
    <w:rsid w:val="180758FE"/>
    <w:rsid w:val="181638D8"/>
    <w:rsid w:val="185E1FBA"/>
    <w:rsid w:val="18841AD7"/>
    <w:rsid w:val="18A015D3"/>
    <w:rsid w:val="18BB7122"/>
    <w:rsid w:val="198E1224"/>
    <w:rsid w:val="199D6F27"/>
    <w:rsid w:val="19B1604A"/>
    <w:rsid w:val="19B95C26"/>
    <w:rsid w:val="19E46AD9"/>
    <w:rsid w:val="19FC18C1"/>
    <w:rsid w:val="1A126E19"/>
    <w:rsid w:val="1A652503"/>
    <w:rsid w:val="1AC668AF"/>
    <w:rsid w:val="1AD56E95"/>
    <w:rsid w:val="1ADA332E"/>
    <w:rsid w:val="1B19388D"/>
    <w:rsid w:val="1B2E735D"/>
    <w:rsid w:val="1B325F2A"/>
    <w:rsid w:val="1B62301A"/>
    <w:rsid w:val="1BA1276D"/>
    <w:rsid w:val="1BB72708"/>
    <w:rsid w:val="1BF36108"/>
    <w:rsid w:val="1C1F1E0E"/>
    <w:rsid w:val="1C856C94"/>
    <w:rsid w:val="1CDA307D"/>
    <w:rsid w:val="1CF12935"/>
    <w:rsid w:val="1D190873"/>
    <w:rsid w:val="1D4B710C"/>
    <w:rsid w:val="1DBC1FAB"/>
    <w:rsid w:val="1E330E9C"/>
    <w:rsid w:val="1E340CEE"/>
    <w:rsid w:val="1E9C6591"/>
    <w:rsid w:val="1F173F88"/>
    <w:rsid w:val="1F507A92"/>
    <w:rsid w:val="1FD21930"/>
    <w:rsid w:val="20043B19"/>
    <w:rsid w:val="2049388E"/>
    <w:rsid w:val="204C132C"/>
    <w:rsid w:val="208F4E72"/>
    <w:rsid w:val="20CD066B"/>
    <w:rsid w:val="20D17B68"/>
    <w:rsid w:val="20DA0B75"/>
    <w:rsid w:val="2112344B"/>
    <w:rsid w:val="211A43FA"/>
    <w:rsid w:val="211B7227"/>
    <w:rsid w:val="21474452"/>
    <w:rsid w:val="21481A39"/>
    <w:rsid w:val="218B68DE"/>
    <w:rsid w:val="218C1414"/>
    <w:rsid w:val="219110D4"/>
    <w:rsid w:val="219A1B7F"/>
    <w:rsid w:val="21AA5D58"/>
    <w:rsid w:val="21B22A5C"/>
    <w:rsid w:val="21E576C6"/>
    <w:rsid w:val="21E65C8F"/>
    <w:rsid w:val="220A7591"/>
    <w:rsid w:val="222718B2"/>
    <w:rsid w:val="227C6712"/>
    <w:rsid w:val="22FB31AD"/>
    <w:rsid w:val="230F306B"/>
    <w:rsid w:val="235220CD"/>
    <w:rsid w:val="23547ECA"/>
    <w:rsid w:val="235A7D2D"/>
    <w:rsid w:val="23AA6A32"/>
    <w:rsid w:val="23C9229F"/>
    <w:rsid w:val="23E0272A"/>
    <w:rsid w:val="23EA2100"/>
    <w:rsid w:val="240B1C47"/>
    <w:rsid w:val="241237D2"/>
    <w:rsid w:val="24195A43"/>
    <w:rsid w:val="2444710E"/>
    <w:rsid w:val="245473A9"/>
    <w:rsid w:val="245D31B5"/>
    <w:rsid w:val="24826101"/>
    <w:rsid w:val="24EA6014"/>
    <w:rsid w:val="25784A9C"/>
    <w:rsid w:val="25A5281D"/>
    <w:rsid w:val="25DE08FB"/>
    <w:rsid w:val="25E16A45"/>
    <w:rsid w:val="25F11338"/>
    <w:rsid w:val="25F46AB0"/>
    <w:rsid w:val="261F3BF6"/>
    <w:rsid w:val="264A031E"/>
    <w:rsid w:val="269C12F0"/>
    <w:rsid w:val="26FB7C1D"/>
    <w:rsid w:val="26FE7307"/>
    <w:rsid w:val="27217B54"/>
    <w:rsid w:val="277D1EE5"/>
    <w:rsid w:val="27A31B59"/>
    <w:rsid w:val="27B87AF2"/>
    <w:rsid w:val="27EE3E21"/>
    <w:rsid w:val="28136355"/>
    <w:rsid w:val="286C3B37"/>
    <w:rsid w:val="289002C6"/>
    <w:rsid w:val="28C71A62"/>
    <w:rsid w:val="293801B5"/>
    <w:rsid w:val="298A23AD"/>
    <w:rsid w:val="2B033371"/>
    <w:rsid w:val="2B3A56AF"/>
    <w:rsid w:val="2BB71443"/>
    <w:rsid w:val="2BEB619B"/>
    <w:rsid w:val="2BF00047"/>
    <w:rsid w:val="2C0853D9"/>
    <w:rsid w:val="2C240F34"/>
    <w:rsid w:val="2C2E3936"/>
    <w:rsid w:val="2C64115C"/>
    <w:rsid w:val="2CCF2BBC"/>
    <w:rsid w:val="2D0B54A3"/>
    <w:rsid w:val="2D230138"/>
    <w:rsid w:val="2D347BD9"/>
    <w:rsid w:val="2D402BD8"/>
    <w:rsid w:val="2D470DA3"/>
    <w:rsid w:val="2D6F4378"/>
    <w:rsid w:val="2DB107FF"/>
    <w:rsid w:val="2DCA02C9"/>
    <w:rsid w:val="2DED1D9C"/>
    <w:rsid w:val="2E3F3416"/>
    <w:rsid w:val="2E496F7F"/>
    <w:rsid w:val="2E4B1830"/>
    <w:rsid w:val="2E590BD6"/>
    <w:rsid w:val="2EA0509E"/>
    <w:rsid w:val="2EC81632"/>
    <w:rsid w:val="2F295401"/>
    <w:rsid w:val="2F3F3850"/>
    <w:rsid w:val="2F6257B7"/>
    <w:rsid w:val="2F815A0A"/>
    <w:rsid w:val="2FA35E69"/>
    <w:rsid w:val="2FB831CE"/>
    <w:rsid w:val="2FCA7487"/>
    <w:rsid w:val="2FD41AF9"/>
    <w:rsid w:val="2FF73D1D"/>
    <w:rsid w:val="300801AF"/>
    <w:rsid w:val="30104524"/>
    <w:rsid w:val="30113460"/>
    <w:rsid w:val="30153E79"/>
    <w:rsid w:val="30164F71"/>
    <w:rsid w:val="301E4CE1"/>
    <w:rsid w:val="30204AC3"/>
    <w:rsid w:val="304B4E50"/>
    <w:rsid w:val="3063463F"/>
    <w:rsid w:val="308F3CFA"/>
    <w:rsid w:val="30A85DD0"/>
    <w:rsid w:val="3102229A"/>
    <w:rsid w:val="313A6580"/>
    <w:rsid w:val="31A11AE9"/>
    <w:rsid w:val="31AB668C"/>
    <w:rsid w:val="31FC3EF9"/>
    <w:rsid w:val="322E5E24"/>
    <w:rsid w:val="324B16F5"/>
    <w:rsid w:val="32CF303F"/>
    <w:rsid w:val="32E3726A"/>
    <w:rsid w:val="3350673E"/>
    <w:rsid w:val="33553019"/>
    <w:rsid w:val="336F3428"/>
    <w:rsid w:val="3375520B"/>
    <w:rsid w:val="33977D4F"/>
    <w:rsid w:val="33B67A9F"/>
    <w:rsid w:val="33DA6B2A"/>
    <w:rsid w:val="33E02E1C"/>
    <w:rsid w:val="341D63B4"/>
    <w:rsid w:val="34304C8E"/>
    <w:rsid w:val="34CB0C67"/>
    <w:rsid w:val="34E60A39"/>
    <w:rsid w:val="351D0A98"/>
    <w:rsid w:val="354F755A"/>
    <w:rsid w:val="355C0DE1"/>
    <w:rsid w:val="35893F26"/>
    <w:rsid w:val="359B70F3"/>
    <w:rsid w:val="361D3B28"/>
    <w:rsid w:val="36383DD0"/>
    <w:rsid w:val="36C349D6"/>
    <w:rsid w:val="36F1018E"/>
    <w:rsid w:val="370A15DD"/>
    <w:rsid w:val="376857B1"/>
    <w:rsid w:val="377622CB"/>
    <w:rsid w:val="37780864"/>
    <w:rsid w:val="3780685D"/>
    <w:rsid w:val="37BA2F63"/>
    <w:rsid w:val="37C81053"/>
    <w:rsid w:val="37DE5837"/>
    <w:rsid w:val="37E47004"/>
    <w:rsid w:val="37E817A5"/>
    <w:rsid w:val="38704532"/>
    <w:rsid w:val="38AA04E2"/>
    <w:rsid w:val="38AF134B"/>
    <w:rsid w:val="38B04014"/>
    <w:rsid w:val="38D77AF6"/>
    <w:rsid w:val="38DA1EF9"/>
    <w:rsid w:val="38E050B1"/>
    <w:rsid w:val="394E75C1"/>
    <w:rsid w:val="398A2C99"/>
    <w:rsid w:val="39B41E0D"/>
    <w:rsid w:val="39B853D1"/>
    <w:rsid w:val="39CC6BAA"/>
    <w:rsid w:val="39D93E60"/>
    <w:rsid w:val="39DB34A5"/>
    <w:rsid w:val="3A3C23C2"/>
    <w:rsid w:val="3A8E3631"/>
    <w:rsid w:val="3A9C596E"/>
    <w:rsid w:val="3B040851"/>
    <w:rsid w:val="3B071567"/>
    <w:rsid w:val="3BA76A03"/>
    <w:rsid w:val="3BB51545"/>
    <w:rsid w:val="3BE30FA7"/>
    <w:rsid w:val="3BF35111"/>
    <w:rsid w:val="3C002C09"/>
    <w:rsid w:val="3C360954"/>
    <w:rsid w:val="3C4147A3"/>
    <w:rsid w:val="3C56385D"/>
    <w:rsid w:val="3C6E1AA3"/>
    <w:rsid w:val="3C872CDC"/>
    <w:rsid w:val="3C895347"/>
    <w:rsid w:val="3CDF3135"/>
    <w:rsid w:val="3D1D0F09"/>
    <w:rsid w:val="3D4153BD"/>
    <w:rsid w:val="3D605B64"/>
    <w:rsid w:val="3DB66D48"/>
    <w:rsid w:val="3E0301FB"/>
    <w:rsid w:val="3E3D598A"/>
    <w:rsid w:val="3E42676A"/>
    <w:rsid w:val="3E477D61"/>
    <w:rsid w:val="3F26350E"/>
    <w:rsid w:val="3F2B5786"/>
    <w:rsid w:val="3F3E428E"/>
    <w:rsid w:val="3F406C9C"/>
    <w:rsid w:val="3F513CB1"/>
    <w:rsid w:val="3F834FFF"/>
    <w:rsid w:val="3F9A09F2"/>
    <w:rsid w:val="3FA86688"/>
    <w:rsid w:val="3FB269C3"/>
    <w:rsid w:val="3FD032C7"/>
    <w:rsid w:val="3FDB1D7E"/>
    <w:rsid w:val="406D3E71"/>
    <w:rsid w:val="40767C0D"/>
    <w:rsid w:val="40B27A77"/>
    <w:rsid w:val="40E45FD9"/>
    <w:rsid w:val="40F24D9D"/>
    <w:rsid w:val="410061AC"/>
    <w:rsid w:val="411A6EEF"/>
    <w:rsid w:val="413E22CD"/>
    <w:rsid w:val="41571D6E"/>
    <w:rsid w:val="4158481F"/>
    <w:rsid w:val="41876566"/>
    <w:rsid w:val="41B06223"/>
    <w:rsid w:val="41B829D4"/>
    <w:rsid w:val="41D72EDF"/>
    <w:rsid w:val="41E77728"/>
    <w:rsid w:val="41F8244F"/>
    <w:rsid w:val="421F601D"/>
    <w:rsid w:val="42482AD4"/>
    <w:rsid w:val="42800E25"/>
    <w:rsid w:val="42896114"/>
    <w:rsid w:val="42A649ED"/>
    <w:rsid w:val="42BC15EE"/>
    <w:rsid w:val="42BE5CDC"/>
    <w:rsid w:val="430C0C47"/>
    <w:rsid w:val="432B6014"/>
    <w:rsid w:val="43730149"/>
    <w:rsid w:val="43A73423"/>
    <w:rsid w:val="43E62EC8"/>
    <w:rsid w:val="44C43561"/>
    <w:rsid w:val="44D01CC1"/>
    <w:rsid w:val="451275EF"/>
    <w:rsid w:val="464858DB"/>
    <w:rsid w:val="468A4EDF"/>
    <w:rsid w:val="46CC258D"/>
    <w:rsid w:val="46E42C4A"/>
    <w:rsid w:val="472C7633"/>
    <w:rsid w:val="47385FC3"/>
    <w:rsid w:val="473E2BCD"/>
    <w:rsid w:val="474256D1"/>
    <w:rsid w:val="475D2AB1"/>
    <w:rsid w:val="47990AD8"/>
    <w:rsid w:val="47AA5F8E"/>
    <w:rsid w:val="47D965EA"/>
    <w:rsid w:val="486030B6"/>
    <w:rsid w:val="48CA6099"/>
    <w:rsid w:val="48D43EA7"/>
    <w:rsid w:val="48EA0098"/>
    <w:rsid w:val="496D4057"/>
    <w:rsid w:val="49807693"/>
    <w:rsid w:val="49AE307E"/>
    <w:rsid w:val="49D82CEC"/>
    <w:rsid w:val="49EA646D"/>
    <w:rsid w:val="4A500C79"/>
    <w:rsid w:val="4ADA6DED"/>
    <w:rsid w:val="4B2556C2"/>
    <w:rsid w:val="4B6A536E"/>
    <w:rsid w:val="4B752530"/>
    <w:rsid w:val="4BC16430"/>
    <w:rsid w:val="4BFD54DB"/>
    <w:rsid w:val="4C164FBE"/>
    <w:rsid w:val="4C271A49"/>
    <w:rsid w:val="4C325CE4"/>
    <w:rsid w:val="4C623D84"/>
    <w:rsid w:val="4C8D04F0"/>
    <w:rsid w:val="4CE935CD"/>
    <w:rsid w:val="4D796F28"/>
    <w:rsid w:val="4D813A6E"/>
    <w:rsid w:val="4DC55A54"/>
    <w:rsid w:val="4DCA3DCF"/>
    <w:rsid w:val="4DD637A3"/>
    <w:rsid w:val="4DEA0C18"/>
    <w:rsid w:val="4DF26465"/>
    <w:rsid w:val="4DF60365"/>
    <w:rsid w:val="4E0D2787"/>
    <w:rsid w:val="4E0D453F"/>
    <w:rsid w:val="4E537D88"/>
    <w:rsid w:val="4E5E2A3C"/>
    <w:rsid w:val="4E712D20"/>
    <w:rsid w:val="4E7B22CD"/>
    <w:rsid w:val="4EA64784"/>
    <w:rsid w:val="4ECD27ED"/>
    <w:rsid w:val="4F227A3B"/>
    <w:rsid w:val="4F2B0C9E"/>
    <w:rsid w:val="4F3B23DD"/>
    <w:rsid w:val="4F48184F"/>
    <w:rsid w:val="4F7353AC"/>
    <w:rsid w:val="4F7C1829"/>
    <w:rsid w:val="4F8847C5"/>
    <w:rsid w:val="4FC50857"/>
    <w:rsid w:val="4FCD0FCF"/>
    <w:rsid w:val="4FEC07C0"/>
    <w:rsid w:val="4FF813ED"/>
    <w:rsid w:val="50043987"/>
    <w:rsid w:val="502F5B05"/>
    <w:rsid w:val="505144B9"/>
    <w:rsid w:val="509960DB"/>
    <w:rsid w:val="509A5896"/>
    <w:rsid w:val="50A213E9"/>
    <w:rsid w:val="50F67A62"/>
    <w:rsid w:val="510E78E7"/>
    <w:rsid w:val="51267B16"/>
    <w:rsid w:val="515B2E00"/>
    <w:rsid w:val="51D73B45"/>
    <w:rsid w:val="51F21254"/>
    <w:rsid w:val="523258FE"/>
    <w:rsid w:val="52BC37DC"/>
    <w:rsid w:val="52DF6974"/>
    <w:rsid w:val="53292792"/>
    <w:rsid w:val="53592B21"/>
    <w:rsid w:val="53664A0B"/>
    <w:rsid w:val="53844647"/>
    <w:rsid w:val="53AD3B54"/>
    <w:rsid w:val="53B57275"/>
    <w:rsid w:val="540A2A63"/>
    <w:rsid w:val="542F2C2C"/>
    <w:rsid w:val="549670E6"/>
    <w:rsid w:val="54A27FE5"/>
    <w:rsid w:val="54AB3A77"/>
    <w:rsid w:val="55047470"/>
    <w:rsid w:val="551A77A3"/>
    <w:rsid w:val="552B71DA"/>
    <w:rsid w:val="55314FB7"/>
    <w:rsid w:val="55C80ACA"/>
    <w:rsid w:val="55E42029"/>
    <w:rsid w:val="55EC1E85"/>
    <w:rsid w:val="55F9355F"/>
    <w:rsid w:val="5606548A"/>
    <w:rsid w:val="56085A9F"/>
    <w:rsid w:val="561D2586"/>
    <w:rsid w:val="56562CF2"/>
    <w:rsid w:val="566E5D97"/>
    <w:rsid w:val="56803A34"/>
    <w:rsid w:val="568D7553"/>
    <w:rsid w:val="56E91CAB"/>
    <w:rsid w:val="572A016E"/>
    <w:rsid w:val="573D71DF"/>
    <w:rsid w:val="577A08AB"/>
    <w:rsid w:val="577D0663"/>
    <w:rsid w:val="579C7C88"/>
    <w:rsid w:val="57AE734F"/>
    <w:rsid w:val="58236A15"/>
    <w:rsid w:val="58321EC6"/>
    <w:rsid w:val="58501D07"/>
    <w:rsid w:val="585A3C87"/>
    <w:rsid w:val="58620FD6"/>
    <w:rsid w:val="586757C9"/>
    <w:rsid w:val="58807305"/>
    <w:rsid w:val="58A446B9"/>
    <w:rsid w:val="597C3E85"/>
    <w:rsid w:val="5A490075"/>
    <w:rsid w:val="5ABF28B9"/>
    <w:rsid w:val="5AC22B45"/>
    <w:rsid w:val="5ADD3C34"/>
    <w:rsid w:val="5B24477E"/>
    <w:rsid w:val="5BA45C51"/>
    <w:rsid w:val="5BB64448"/>
    <w:rsid w:val="5BCC5A39"/>
    <w:rsid w:val="5D12364D"/>
    <w:rsid w:val="5D5F6EC4"/>
    <w:rsid w:val="5D652999"/>
    <w:rsid w:val="5D6730F6"/>
    <w:rsid w:val="5D8D7C8E"/>
    <w:rsid w:val="5DC61182"/>
    <w:rsid w:val="5E123C25"/>
    <w:rsid w:val="5E2111C7"/>
    <w:rsid w:val="5E2935C7"/>
    <w:rsid w:val="5E326EF4"/>
    <w:rsid w:val="5E643D94"/>
    <w:rsid w:val="5E6C4478"/>
    <w:rsid w:val="5E6E14AE"/>
    <w:rsid w:val="5E8874C8"/>
    <w:rsid w:val="5EB43E99"/>
    <w:rsid w:val="5EB54CAB"/>
    <w:rsid w:val="5EC74A26"/>
    <w:rsid w:val="5EEC4F2C"/>
    <w:rsid w:val="5F107252"/>
    <w:rsid w:val="5F137888"/>
    <w:rsid w:val="5F3118C0"/>
    <w:rsid w:val="5F362174"/>
    <w:rsid w:val="5F820C5D"/>
    <w:rsid w:val="5FAD15EE"/>
    <w:rsid w:val="60103A97"/>
    <w:rsid w:val="607E7B89"/>
    <w:rsid w:val="60C1328E"/>
    <w:rsid w:val="610C012A"/>
    <w:rsid w:val="61237EB8"/>
    <w:rsid w:val="612579D7"/>
    <w:rsid w:val="61382C5B"/>
    <w:rsid w:val="61EC494B"/>
    <w:rsid w:val="61FC3A17"/>
    <w:rsid w:val="623A3232"/>
    <w:rsid w:val="624C3ACF"/>
    <w:rsid w:val="631212BB"/>
    <w:rsid w:val="63322A43"/>
    <w:rsid w:val="633C34A4"/>
    <w:rsid w:val="635C5BAC"/>
    <w:rsid w:val="63BA64B1"/>
    <w:rsid w:val="63F2576A"/>
    <w:rsid w:val="641F7151"/>
    <w:rsid w:val="64232B20"/>
    <w:rsid w:val="64365814"/>
    <w:rsid w:val="646F6480"/>
    <w:rsid w:val="64CB312C"/>
    <w:rsid w:val="64DB3FFC"/>
    <w:rsid w:val="64E32783"/>
    <w:rsid w:val="65007F4E"/>
    <w:rsid w:val="652F18D0"/>
    <w:rsid w:val="6585379C"/>
    <w:rsid w:val="658A3520"/>
    <w:rsid w:val="66026902"/>
    <w:rsid w:val="662D4763"/>
    <w:rsid w:val="66330C9C"/>
    <w:rsid w:val="663911D1"/>
    <w:rsid w:val="664513D6"/>
    <w:rsid w:val="664B644A"/>
    <w:rsid w:val="664D5ED8"/>
    <w:rsid w:val="666B09B5"/>
    <w:rsid w:val="66885224"/>
    <w:rsid w:val="66906105"/>
    <w:rsid w:val="67236729"/>
    <w:rsid w:val="677360E3"/>
    <w:rsid w:val="67EC2C9B"/>
    <w:rsid w:val="67F65590"/>
    <w:rsid w:val="68B12A42"/>
    <w:rsid w:val="68D357B0"/>
    <w:rsid w:val="68D62C99"/>
    <w:rsid w:val="68FB4713"/>
    <w:rsid w:val="69361881"/>
    <w:rsid w:val="69452E29"/>
    <w:rsid w:val="69715D00"/>
    <w:rsid w:val="69962BD5"/>
    <w:rsid w:val="69CB7493"/>
    <w:rsid w:val="69D4537F"/>
    <w:rsid w:val="6A000277"/>
    <w:rsid w:val="6A365264"/>
    <w:rsid w:val="6A5D5B87"/>
    <w:rsid w:val="6A7D6233"/>
    <w:rsid w:val="6A8F2D09"/>
    <w:rsid w:val="6AB30BF4"/>
    <w:rsid w:val="6B446020"/>
    <w:rsid w:val="6B981DF8"/>
    <w:rsid w:val="6B9D025C"/>
    <w:rsid w:val="6BA75FB6"/>
    <w:rsid w:val="6BCA0C7C"/>
    <w:rsid w:val="6BFE0F28"/>
    <w:rsid w:val="6BFF52D4"/>
    <w:rsid w:val="6C020647"/>
    <w:rsid w:val="6C59487A"/>
    <w:rsid w:val="6CA24A2C"/>
    <w:rsid w:val="6CF2604B"/>
    <w:rsid w:val="6D914DF2"/>
    <w:rsid w:val="6D9B19E5"/>
    <w:rsid w:val="6D9B5F79"/>
    <w:rsid w:val="6DA07867"/>
    <w:rsid w:val="6DDB2B28"/>
    <w:rsid w:val="6DFD61F6"/>
    <w:rsid w:val="6E442892"/>
    <w:rsid w:val="6EEC0D30"/>
    <w:rsid w:val="6F5E0FC0"/>
    <w:rsid w:val="6F6F4E5B"/>
    <w:rsid w:val="6FCD69D4"/>
    <w:rsid w:val="70766729"/>
    <w:rsid w:val="70A80E7F"/>
    <w:rsid w:val="70DB404D"/>
    <w:rsid w:val="70E241C6"/>
    <w:rsid w:val="71034F30"/>
    <w:rsid w:val="7104661F"/>
    <w:rsid w:val="71082EAB"/>
    <w:rsid w:val="71603DA0"/>
    <w:rsid w:val="71784EEC"/>
    <w:rsid w:val="719374FA"/>
    <w:rsid w:val="72186412"/>
    <w:rsid w:val="72737951"/>
    <w:rsid w:val="72811D72"/>
    <w:rsid w:val="728A6313"/>
    <w:rsid w:val="728B1D53"/>
    <w:rsid w:val="72991E28"/>
    <w:rsid w:val="72B0613F"/>
    <w:rsid w:val="733D4C72"/>
    <w:rsid w:val="73A50A26"/>
    <w:rsid w:val="7404327D"/>
    <w:rsid w:val="74564E86"/>
    <w:rsid w:val="74725080"/>
    <w:rsid w:val="747F3563"/>
    <w:rsid w:val="74815664"/>
    <w:rsid w:val="75142316"/>
    <w:rsid w:val="753D3F57"/>
    <w:rsid w:val="756C6C67"/>
    <w:rsid w:val="756F4F1A"/>
    <w:rsid w:val="75806264"/>
    <w:rsid w:val="75BA3232"/>
    <w:rsid w:val="7606686C"/>
    <w:rsid w:val="76327377"/>
    <w:rsid w:val="76581835"/>
    <w:rsid w:val="765D3BB7"/>
    <w:rsid w:val="76A16BB3"/>
    <w:rsid w:val="76D10E3F"/>
    <w:rsid w:val="76E35326"/>
    <w:rsid w:val="76EB17F6"/>
    <w:rsid w:val="77747E1D"/>
    <w:rsid w:val="778411AD"/>
    <w:rsid w:val="77901832"/>
    <w:rsid w:val="77B9304C"/>
    <w:rsid w:val="78061A54"/>
    <w:rsid w:val="782246C4"/>
    <w:rsid w:val="78440AD8"/>
    <w:rsid w:val="784D6598"/>
    <w:rsid w:val="786B73C0"/>
    <w:rsid w:val="78857573"/>
    <w:rsid w:val="789442E7"/>
    <w:rsid w:val="78E74F63"/>
    <w:rsid w:val="794D363C"/>
    <w:rsid w:val="79EC6024"/>
    <w:rsid w:val="79F41288"/>
    <w:rsid w:val="7A6B1587"/>
    <w:rsid w:val="7A95465A"/>
    <w:rsid w:val="7AB26E23"/>
    <w:rsid w:val="7AD8309F"/>
    <w:rsid w:val="7B1E65F5"/>
    <w:rsid w:val="7B291DED"/>
    <w:rsid w:val="7B402972"/>
    <w:rsid w:val="7B854B90"/>
    <w:rsid w:val="7B9F5272"/>
    <w:rsid w:val="7BBB7C03"/>
    <w:rsid w:val="7C0741E9"/>
    <w:rsid w:val="7C230F73"/>
    <w:rsid w:val="7CFC3BD7"/>
    <w:rsid w:val="7D026FB9"/>
    <w:rsid w:val="7D1B52B4"/>
    <w:rsid w:val="7D3744CD"/>
    <w:rsid w:val="7D5B6489"/>
    <w:rsid w:val="7D7173A1"/>
    <w:rsid w:val="7DB23C95"/>
    <w:rsid w:val="7E433576"/>
    <w:rsid w:val="7EA929E7"/>
    <w:rsid w:val="7EE60644"/>
    <w:rsid w:val="7EED3340"/>
    <w:rsid w:val="7F3F2131"/>
    <w:rsid w:val="7F727327"/>
    <w:rsid w:val="7FCB4259"/>
    <w:rsid w:val="7FFB4E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link w:val="57"/>
    <w:qFormat/>
    <w:uiPriority w:val="0"/>
    <w:pPr>
      <w:spacing w:before="340" w:after="330" w:line="360" w:lineRule="auto"/>
      <w:jc w:val="center"/>
      <w:outlineLvl w:val="0"/>
    </w:pPr>
    <w:rPr>
      <w:rFonts w:eastAsia="黑体"/>
      <w:kern w:val="44"/>
      <w:szCs w:val="44"/>
    </w:rPr>
  </w:style>
  <w:style w:type="paragraph" w:styleId="6">
    <w:name w:val="heading 2"/>
    <w:basedOn w:val="4"/>
    <w:next w:val="5"/>
    <w:link w:val="72"/>
    <w:qFormat/>
    <w:uiPriority w:val="0"/>
    <w:pPr>
      <w:adjustRightInd w:val="0"/>
      <w:jc w:val="center"/>
      <w:textAlignment w:val="baseline"/>
      <w:outlineLvl w:val="1"/>
    </w:pPr>
    <w:rPr>
      <w:kern w:val="0"/>
      <w:sz w:val="24"/>
      <w:szCs w:val="20"/>
    </w:rPr>
  </w:style>
  <w:style w:type="paragraph" w:styleId="4">
    <w:name w:val="heading 3"/>
    <w:basedOn w:val="5"/>
    <w:next w:val="1"/>
    <w:link w:val="56"/>
    <w:qFormat/>
    <w:uiPriority w:val="9"/>
    <w:pPr>
      <w:spacing w:before="260" w:after="260" w:line="240" w:lineRule="auto"/>
      <w:outlineLvl w:val="2"/>
    </w:pPr>
    <w:rPr>
      <w:rFonts w:ascii="宋体" w:hAnsi="宋体" w:eastAsia="宋体"/>
      <w:szCs w:val="32"/>
    </w:rPr>
  </w:style>
  <w:style w:type="paragraph" w:styleId="5">
    <w:name w:val="heading 4"/>
    <w:basedOn w:val="1"/>
    <w:next w:val="1"/>
    <w:link w:val="54"/>
    <w:qFormat/>
    <w:uiPriority w:val="9"/>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81"/>
    <w:qFormat/>
    <w:uiPriority w:val="0"/>
    <w:pPr>
      <w:keepNext/>
      <w:keepLines/>
      <w:spacing w:before="280" w:after="290" w:line="376" w:lineRule="auto"/>
      <w:outlineLvl w:val="4"/>
    </w:pPr>
    <w:rPr>
      <w:b/>
      <w:sz w:val="28"/>
      <w:szCs w:val="20"/>
    </w:rPr>
  </w:style>
  <w:style w:type="paragraph" w:styleId="9">
    <w:name w:val="heading 6"/>
    <w:basedOn w:val="1"/>
    <w:next w:val="8"/>
    <w:link w:val="84"/>
    <w:qFormat/>
    <w:uiPriority w:val="0"/>
    <w:pPr>
      <w:keepNext/>
      <w:keepLines/>
      <w:spacing w:before="240" w:after="64" w:line="320" w:lineRule="auto"/>
      <w:outlineLvl w:val="5"/>
    </w:pPr>
    <w:rPr>
      <w:rFonts w:ascii="Arial" w:hAnsi="Arial" w:eastAsia="黑体"/>
      <w:b/>
      <w:sz w:val="24"/>
      <w:szCs w:val="20"/>
    </w:rPr>
  </w:style>
  <w:style w:type="paragraph" w:styleId="10">
    <w:name w:val="heading 7"/>
    <w:basedOn w:val="1"/>
    <w:next w:val="8"/>
    <w:link w:val="85"/>
    <w:qFormat/>
    <w:uiPriority w:val="0"/>
    <w:pPr>
      <w:keepNext/>
      <w:keepLines/>
      <w:spacing w:before="240" w:after="64" w:line="320" w:lineRule="auto"/>
      <w:outlineLvl w:val="6"/>
    </w:pPr>
    <w:rPr>
      <w:b/>
      <w:sz w:val="24"/>
      <w:szCs w:val="20"/>
    </w:rPr>
  </w:style>
  <w:style w:type="paragraph" w:styleId="11">
    <w:name w:val="heading 8"/>
    <w:basedOn w:val="1"/>
    <w:next w:val="8"/>
    <w:link w:val="86"/>
    <w:qFormat/>
    <w:uiPriority w:val="0"/>
    <w:pPr>
      <w:keepNext/>
      <w:keepLines/>
      <w:spacing w:before="240" w:after="64" w:line="320" w:lineRule="auto"/>
      <w:outlineLvl w:val="7"/>
    </w:pPr>
    <w:rPr>
      <w:rFonts w:ascii="Arial" w:hAnsi="Arial" w:eastAsia="黑体"/>
      <w:sz w:val="24"/>
      <w:szCs w:val="20"/>
    </w:rPr>
  </w:style>
  <w:style w:type="paragraph" w:styleId="12">
    <w:name w:val="heading 9"/>
    <w:basedOn w:val="1"/>
    <w:next w:val="8"/>
    <w:link w:val="87"/>
    <w:qFormat/>
    <w:uiPriority w:val="0"/>
    <w:pPr>
      <w:keepNext/>
      <w:keepLines/>
      <w:spacing w:before="240" w:after="64" w:line="320" w:lineRule="auto"/>
      <w:outlineLvl w:val="8"/>
    </w:pPr>
    <w:rPr>
      <w:rFonts w:ascii="Arial" w:hAnsi="Arial" w:eastAsia="黑体"/>
      <w:szCs w:val="20"/>
    </w:rPr>
  </w:style>
  <w:style w:type="character" w:default="1" w:styleId="46">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93"/>
    <w:qFormat/>
    <w:uiPriority w:val="0"/>
    <w:pPr>
      <w:spacing w:line="360" w:lineRule="auto"/>
    </w:pPr>
    <w:rPr>
      <w:b/>
      <w:bCs/>
      <w:sz w:val="24"/>
    </w:rPr>
  </w:style>
  <w:style w:type="paragraph" w:styleId="8">
    <w:name w:val="Normal Indent"/>
    <w:basedOn w:val="1"/>
    <w:link w:val="58"/>
    <w:qFormat/>
    <w:uiPriority w:val="0"/>
    <w:pPr>
      <w:ind w:firstLine="420"/>
    </w:pPr>
    <w:rPr>
      <w:szCs w:val="20"/>
    </w:rPr>
  </w:style>
  <w:style w:type="paragraph" w:styleId="13">
    <w:name w:val="toc 7"/>
    <w:basedOn w:val="1"/>
    <w:next w:val="1"/>
    <w:semiHidden/>
    <w:qFormat/>
    <w:uiPriority w:val="0"/>
    <w:pPr>
      <w:ind w:left="1260"/>
      <w:jc w:val="left"/>
    </w:pPr>
    <w:rPr>
      <w:szCs w:val="21"/>
    </w:rPr>
  </w:style>
  <w:style w:type="paragraph" w:styleId="14">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5">
    <w:name w:val="List Bullet"/>
    <w:basedOn w:val="1"/>
    <w:qFormat/>
    <w:uiPriority w:val="0"/>
    <w:pPr>
      <w:numPr>
        <w:ilvl w:val="0"/>
        <w:numId w:val="1"/>
      </w:numPr>
    </w:pPr>
    <w:rPr>
      <w:szCs w:val="20"/>
    </w:rPr>
  </w:style>
  <w:style w:type="paragraph" w:styleId="16">
    <w:name w:val="Document Map"/>
    <w:basedOn w:val="1"/>
    <w:semiHidden/>
    <w:qFormat/>
    <w:uiPriority w:val="0"/>
    <w:pPr>
      <w:shd w:val="clear" w:color="auto" w:fill="000080"/>
    </w:pPr>
  </w:style>
  <w:style w:type="paragraph" w:styleId="17">
    <w:name w:val="annotation text"/>
    <w:basedOn w:val="1"/>
    <w:next w:val="18"/>
    <w:link w:val="185"/>
    <w:semiHidden/>
    <w:qFormat/>
    <w:uiPriority w:val="99"/>
    <w:pPr>
      <w:autoSpaceDE w:val="0"/>
      <w:autoSpaceDN w:val="0"/>
      <w:adjustRightInd w:val="0"/>
      <w:jc w:val="left"/>
      <w:textAlignment w:val="baseline"/>
    </w:pPr>
    <w:rPr>
      <w:rFonts w:ascii="宋体"/>
      <w:kern w:val="0"/>
      <w:sz w:val="34"/>
      <w:szCs w:val="20"/>
    </w:rPr>
  </w:style>
  <w:style w:type="paragraph" w:styleId="18">
    <w:name w:val="toc 5"/>
    <w:basedOn w:val="1"/>
    <w:next w:val="1"/>
    <w:semiHidden/>
    <w:qFormat/>
    <w:uiPriority w:val="0"/>
    <w:pPr>
      <w:ind w:left="840"/>
      <w:jc w:val="left"/>
    </w:pPr>
    <w:rPr>
      <w:szCs w:val="21"/>
    </w:rPr>
  </w:style>
  <w:style w:type="paragraph" w:styleId="19">
    <w:name w:val="Body Text 3"/>
    <w:basedOn w:val="1"/>
    <w:link w:val="99"/>
    <w:qFormat/>
    <w:uiPriority w:val="0"/>
    <w:pPr>
      <w:spacing w:after="120"/>
    </w:pPr>
    <w:rPr>
      <w:sz w:val="16"/>
      <w:szCs w:val="16"/>
    </w:rPr>
  </w:style>
  <w:style w:type="paragraph" w:styleId="20">
    <w:name w:val="Body Text Indent"/>
    <w:basedOn w:val="1"/>
    <w:link w:val="80"/>
    <w:qFormat/>
    <w:uiPriority w:val="0"/>
    <w:pPr>
      <w:spacing w:line="360" w:lineRule="auto"/>
      <w:ind w:firstLine="420" w:firstLineChars="200"/>
    </w:pPr>
  </w:style>
  <w:style w:type="paragraph" w:styleId="21">
    <w:name w:val="toc 3"/>
    <w:basedOn w:val="1"/>
    <w:next w:val="1"/>
    <w:semiHidden/>
    <w:qFormat/>
    <w:uiPriority w:val="0"/>
    <w:pPr>
      <w:ind w:left="420"/>
      <w:jc w:val="left"/>
    </w:pPr>
    <w:rPr>
      <w:i/>
      <w:iCs/>
    </w:rPr>
  </w:style>
  <w:style w:type="paragraph" w:styleId="22">
    <w:name w:val="Plain Text"/>
    <w:basedOn w:val="1"/>
    <w:link w:val="91"/>
    <w:qFormat/>
    <w:uiPriority w:val="0"/>
    <w:rPr>
      <w:rFonts w:ascii="宋体" w:hAnsi="Courier New"/>
      <w:szCs w:val="20"/>
    </w:rPr>
  </w:style>
  <w:style w:type="paragraph" w:styleId="23">
    <w:name w:val="toc 8"/>
    <w:basedOn w:val="1"/>
    <w:next w:val="1"/>
    <w:semiHidden/>
    <w:qFormat/>
    <w:uiPriority w:val="0"/>
    <w:pPr>
      <w:ind w:left="1470"/>
      <w:jc w:val="left"/>
    </w:pPr>
    <w:rPr>
      <w:szCs w:val="21"/>
    </w:rPr>
  </w:style>
  <w:style w:type="paragraph" w:styleId="24">
    <w:name w:val="Date"/>
    <w:basedOn w:val="1"/>
    <w:next w:val="1"/>
    <w:link w:val="89"/>
    <w:qFormat/>
    <w:uiPriority w:val="0"/>
    <w:rPr>
      <w:rFonts w:ascii="宋体" w:hAnsi="Courier New"/>
      <w:sz w:val="32"/>
      <w:szCs w:val="20"/>
    </w:rPr>
  </w:style>
  <w:style w:type="paragraph" w:styleId="25">
    <w:name w:val="Body Text Indent 2"/>
    <w:basedOn w:val="1"/>
    <w:link w:val="94"/>
    <w:qFormat/>
    <w:uiPriority w:val="0"/>
    <w:pPr>
      <w:spacing w:beforeLines="50" w:afterLines="50" w:line="120" w:lineRule="auto"/>
      <w:ind w:firstLine="840" w:firstLineChars="400"/>
      <w:jc w:val="left"/>
    </w:pPr>
    <w:rPr>
      <w:rFonts w:ascii="宋体" w:hAnsi="宋体"/>
    </w:rPr>
  </w:style>
  <w:style w:type="paragraph" w:styleId="26">
    <w:name w:val="Balloon Text"/>
    <w:basedOn w:val="1"/>
    <w:link w:val="100"/>
    <w:semiHidden/>
    <w:qFormat/>
    <w:uiPriority w:val="99"/>
    <w:rPr>
      <w:sz w:val="18"/>
      <w:szCs w:val="18"/>
    </w:rPr>
  </w:style>
  <w:style w:type="paragraph" w:styleId="27">
    <w:name w:val="footer"/>
    <w:basedOn w:val="1"/>
    <w:link w:val="98"/>
    <w:qFormat/>
    <w:uiPriority w:val="0"/>
    <w:pPr>
      <w:tabs>
        <w:tab w:val="center" w:pos="4153"/>
        <w:tab w:val="right" w:pos="8306"/>
      </w:tabs>
      <w:snapToGrid w:val="0"/>
      <w:jc w:val="left"/>
    </w:pPr>
    <w:rPr>
      <w:sz w:val="18"/>
      <w:szCs w:val="18"/>
    </w:rPr>
  </w:style>
  <w:style w:type="paragraph" w:styleId="28">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0"/>
    <w:pPr>
      <w:spacing w:before="120" w:after="120"/>
      <w:jc w:val="left"/>
    </w:pPr>
    <w:rPr>
      <w:b/>
      <w:bCs/>
      <w:caps/>
    </w:rPr>
  </w:style>
  <w:style w:type="paragraph" w:styleId="30">
    <w:name w:val="toc 4"/>
    <w:basedOn w:val="1"/>
    <w:next w:val="1"/>
    <w:semiHidden/>
    <w:qFormat/>
    <w:uiPriority w:val="0"/>
    <w:pPr>
      <w:ind w:left="630"/>
      <w:jc w:val="left"/>
    </w:pPr>
    <w:rPr>
      <w:szCs w:val="21"/>
    </w:rPr>
  </w:style>
  <w:style w:type="paragraph" w:styleId="31">
    <w:name w:val="Subtitle"/>
    <w:next w:val="1"/>
    <w:link w:val="310"/>
    <w:qFormat/>
    <w:uiPriority w:val="0"/>
    <w:pPr>
      <w:wordWrap w:val="0"/>
      <w:spacing w:after="60"/>
      <w:jc w:val="center"/>
    </w:pPr>
    <w:rPr>
      <w:rFonts w:ascii="Calibri" w:hAnsi="Calibri" w:eastAsia="宋体" w:cs="Times New Roman"/>
      <w:sz w:val="24"/>
      <w:lang w:val="en-US" w:eastAsia="zh-CN" w:bidi="ar-SA"/>
    </w:rPr>
  </w:style>
  <w:style w:type="paragraph" w:styleId="32">
    <w:name w:val="toc 6"/>
    <w:basedOn w:val="1"/>
    <w:next w:val="1"/>
    <w:semiHidden/>
    <w:qFormat/>
    <w:uiPriority w:val="0"/>
    <w:pPr>
      <w:ind w:left="1050"/>
      <w:jc w:val="left"/>
    </w:pPr>
    <w:rPr>
      <w:szCs w:val="21"/>
    </w:rPr>
  </w:style>
  <w:style w:type="paragraph" w:styleId="33">
    <w:name w:val="Body Text Indent 3"/>
    <w:basedOn w:val="1"/>
    <w:link w:val="96"/>
    <w:qFormat/>
    <w:uiPriority w:val="0"/>
    <w:pPr>
      <w:spacing w:line="360" w:lineRule="auto"/>
      <w:ind w:firstLine="482" w:firstLineChars="200"/>
    </w:pPr>
    <w:rPr>
      <w:rFonts w:ascii="宋体"/>
      <w:b/>
      <w:bCs/>
      <w:sz w:val="24"/>
    </w:rPr>
  </w:style>
  <w:style w:type="paragraph" w:styleId="34">
    <w:name w:val="toc 2"/>
    <w:basedOn w:val="1"/>
    <w:next w:val="1"/>
    <w:semiHidden/>
    <w:qFormat/>
    <w:uiPriority w:val="0"/>
    <w:pPr>
      <w:tabs>
        <w:tab w:val="right" w:leader="dot" w:pos="8296"/>
      </w:tabs>
      <w:ind w:left="210"/>
      <w:jc w:val="left"/>
    </w:pPr>
    <w:rPr>
      <w:smallCaps/>
    </w:rPr>
  </w:style>
  <w:style w:type="paragraph" w:styleId="35">
    <w:name w:val="toc 9"/>
    <w:basedOn w:val="1"/>
    <w:next w:val="1"/>
    <w:semiHidden/>
    <w:qFormat/>
    <w:uiPriority w:val="0"/>
    <w:pPr>
      <w:ind w:left="1680"/>
      <w:jc w:val="left"/>
    </w:pPr>
    <w:rPr>
      <w:szCs w:val="21"/>
    </w:rPr>
  </w:style>
  <w:style w:type="paragraph" w:styleId="36">
    <w:name w:val="Body Text 2"/>
    <w:basedOn w:val="1"/>
    <w:link w:val="97"/>
    <w:qFormat/>
    <w:uiPriority w:val="0"/>
    <w:pPr>
      <w:spacing w:line="360" w:lineRule="auto"/>
    </w:pPr>
    <w:rPr>
      <w:sz w:val="24"/>
    </w:rPr>
  </w:style>
  <w:style w:type="paragraph" w:styleId="37">
    <w:name w:val="HTML Preformatted"/>
    <w:basedOn w:val="1"/>
    <w:link w:val="9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8">
    <w:name w:val="Normal (Web)"/>
    <w:basedOn w:val="1"/>
    <w:qFormat/>
    <w:uiPriority w:val="99"/>
    <w:pPr>
      <w:spacing w:beforeAutospacing="1" w:afterAutospacing="1"/>
      <w:jc w:val="left"/>
    </w:pPr>
    <w:rPr>
      <w:kern w:val="0"/>
      <w:sz w:val="24"/>
    </w:rPr>
  </w:style>
  <w:style w:type="paragraph" w:styleId="39">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0">
    <w:name w:val="Title"/>
    <w:basedOn w:val="1"/>
    <w:link w:val="88"/>
    <w:qFormat/>
    <w:uiPriority w:val="0"/>
    <w:pPr>
      <w:spacing w:before="240" w:after="60"/>
      <w:jc w:val="center"/>
      <w:outlineLvl w:val="0"/>
    </w:pPr>
    <w:rPr>
      <w:rFonts w:ascii="Arial" w:hAnsi="Arial" w:eastAsia="隶书" w:cs="Arial"/>
      <w:b/>
      <w:bCs/>
      <w:sz w:val="32"/>
      <w:szCs w:val="32"/>
    </w:rPr>
  </w:style>
  <w:style w:type="paragraph" w:styleId="41">
    <w:name w:val="annotation subject"/>
    <w:basedOn w:val="17"/>
    <w:next w:val="17"/>
    <w:link w:val="186"/>
    <w:qFormat/>
    <w:uiPriority w:val="99"/>
    <w:pPr>
      <w:autoSpaceDE/>
      <w:autoSpaceDN/>
      <w:adjustRightInd/>
      <w:textAlignment w:val="auto"/>
    </w:pPr>
    <w:rPr>
      <w:rFonts w:ascii="Times New Roman"/>
      <w:b/>
      <w:bCs/>
      <w:kern w:val="2"/>
      <w:sz w:val="21"/>
      <w:szCs w:val="24"/>
    </w:rPr>
  </w:style>
  <w:style w:type="paragraph" w:styleId="42">
    <w:name w:val="Body Text First Indent"/>
    <w:basedOn w:val="2"/>
    <w:link w:val="131"/>
    <w:qFormat/>
    <w:uiPriority w:val="0"/>
    <w:pPr>
      <w:spacing w:after="120" w:line="240" w:lineRule="auto"/>
      <w:ind w:firstLine="420" w:firstLineChars="100"/>
    </w:pPr>
    <w:rPr>
      <w:sz w:val="21"/>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5">
    <w:name w:val="Table Elegant"/>
    <w:basedOn w:val="43"/>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basedOn w:val="46"/>
    <w:qFormat/>
    <w:uiPriority w:val="0"/>
    <w:rPr>
      <w:sz w:val="20"/>
    </w:rPr>
  </w:style>
  <w:style w:type="character" w:styleId="51">
    <w:name w:val="Hyperlink"/>
    <w:qFormat/>
    <w:uiPriority w:val="0"/>
    <w:rPr>
      <w:color w:val="0000FF"/>
      <w:u w:val="single"/>
    </w:rPr>
  </w:style>
  <w:style w:type="character" w:styleId="52">
    <w:name w:val="annotation reference"/>
    <w:basedOn w:val="46"/>
    <w:qFormat/>
    <w:uiPriority w:val="99"/>
    <w:rPr>
      <w:sz w:val="21"/>
      <w:szCs w:val="21"/>
    </w:rPr>
  </w:style>
  <w:style w:type="paragraph" w:styleId="53">
    <w:name w:val="Quote"/>
    <w:basedOn w:val="1"/>
    <w:next w:val="1"/>
    <w:link w:val="439"/>
    <w:qFormat/>
    <w:uiPriority w:val="0"/>
    <w:pPr>
      <w:wordWrap w:val="0"/>
      <w:spacing w:before="200" w:after="160"/>
      <w:ind w:left="864" w:right="864"/>
      <w:jc w:val="center"/>
    </w:pPr>
    <w:rPr>
      <w:rFonts w:ascii="Calibri" w:hAnsi="Calibri" w:eastAsia="宋体" w:cs="Times New Roman"/>
      <w:i/>
      <w:sz w:val="21"/>
      <w:lang w:val="en-US" w:eastAsia="zh-CN" w:bidi="ar-SA"/>
    </w:rPr>
  </w:style>
  <w:style w:type="character" w:customStyle="1" w:styleId="54">
    <w:name w:val="标题 4 Char"/>
    <w:link w:val="5"/>
    <w:qFormat/>
    <w:uiPriority w:val="9"/>
    <w:rPr>
      <w:rFonts w:ascii="Arial" w:hAnsi="Arial" w:eastAsia="黑体"/>
      <w:b/>
      <w:bCs/>
      <w:kern w:val="2"/>
      <w:sz w:val="28"/>
      <w:szCs w:val="28"/>
      <w:lang w:val="en-US" w:eastAsia="zh-CN" w:bidi="ar-SA"/>
    </w:rPr>
  </w:style>
  <w:style w:type="paragraph" w:customStyle="1" w:styleId="55">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6">
    <w:name w:val="标题 3 Char1"/>
    <w:link w:val="4"/>
    <w:qFormat/>
    <w:uiPriority w:val="9"/>
    <w:rPr>
      <w:rFonts w:ascii="宋体" w:hAnsi="宋体" w:eastAsia="宋体"/>
      <w:b/>
      <w:bCs/>
      <w:kern w:val="2"/>
      <w:sz w:val="28"/>
      <w:szCs w:val="32"/>
      <w:lang w:val="en-US" w:eastAsia="zh-CN" w:bidi="ar-SA"/>
    </w:rPr>
  </w:style>
  <w:style w:type="character" w:customStyle="1" w:styleId="57">
    <w:name w:val="标题 1 Char"/>
    <w:link w:val="3"/>
    <w:qFormat/>
    <w:uiPriority w:val="0"/>
    <w:rPr>
      <w:rFonts w:ascii="宋体" w:hAnsi="宋体" w:eastAsia="黑体"/>
      <w:b/>
      <w:bCs/>
      <w:kern w:val="44"/>
      <w:sz w:val="28"/>
      <w:szCs w:val="44"/>
      <w:lang w:val="en-US" w:eastAsia="zh-CN" w:bidi="ar-SA"/>
    </w:rPr>
  </w:style>
  <w:style w:type="character" w:customStyle="1" w:styleId="58">
    <w:name w:val="正文缩进 Char"/>
    <w:link w:val="8"/>
    <w:qFormat/>
    <w:uiPriority w:val="0"/>
    <w:rPr>
      <w:rFonts w:eastAsia="宋体"/>
      <w:kern w:val="2"/>
      <w:sz w:val="21"/>
      <w:lang w:val="en-US" w:eastAsia="zh-CN" w:bidi="ar-SA"/>
    </w:rPr>
  </w:style>
  <w:style w:type="character" w:customStyle="1" w:styleId="59">
    <w:name w:val="标题 3 Char"/>
    <w:qFormat/>
    <w:uiPriority w:val="0"/>
    <w:rPr>
      <w:rFonts w:ascii="黑体" w:eastAsia="黑体"/>
      <w:bCs/>
      <w:sz w:val="30"/>
    </w:rPr>
  </w:style>
  <w:style w:type="paragraph" w:customStyle="1" w:styleId="60">
    <w:name w:val="样式41"/>
    <w:basedOn w:val="1"/>
    <w:qFormat/>
    <w:uiPriority w:val="0"/>
    <w:pPr>
      <w:numPr>
        <w:ilvl w:val="0"/>
        <w:numId w:val="2"/>
      </w:numPr>
      <w:tabs>
        <w:tab w:val="left" w:pos="945"/>
      </w:tabs>
      <w:spacing w:line="360" w:lineRule="auto"/>
    </w:pPr>
    <w:rPr>
      <w:b/>
      <w:color w:val="000000"/>
      <w:sz w:val="24"/>
      <w:szCs w:val="20"/>
    </w:rPr>
  </w:style>
  <w:style w:type="paragraph" w:customStyle="1" w:styleId="61">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62">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5">
    <w:name w:val="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67">
    <w:name w:val="自定义正文"/>
    <w:basedOn w:val="1"/>
    <w:qFormat/>
    <w:uiPriority w:val="0"/>
    <w:pPr>
      <w:spacing w:afterLines="50"/>
      <w:ind w:left="600" w:leftChars="600"/>
    </w:pPr>
  </w:style>
  <w:style w:type="paragraph" w:customStyle="1" w:styleId="68">
    <w:name w:val="Char Char Char Char Char"/>
    <w:basedOn w:val="1"/>
    <w:qFormat/>
    <w:uiPriority w:val="0"/>
    <w:rPr>
      <w:rFonts w:ascii="Tahoma" w:hAnsi="Tahoma"/>
      <w:sz w:val="24"/>
      <w:szCs w:val="20"/>
    </w:rPr>
  </w:style>
  <w:style w:type="paragraph" w:customStyle="1" w:styleId="69">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0">
    <w:name w:val="Char Char"/>
    <w:basedOn w:val="1"/>
    <w:qFormat/>
    <w:uiPriority w:val="0"/>
    <w:rPr>
      <w:rFonts w:ascii="Tahoma" w:hAnsi="Tahoma"/>
      <w:sz w:val="24"/>
      <w:szCs w:val="20"/>
    </w:rPr>
  </w:style>
  <w:style w:type="paragraph" w:customStyle="1" w:styleId="71">
    <w:name w:val="È±Ê¡ÎÄ±¾"/>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72">
    <w:name w:val="标题 2 Char"/>
    <w:link w:val="6"/>
    <w:qFormat/>
    <w:uiPriority w:val="0"/>
    <w:rPr>
      <w:rFonts w:ascii="宋体" w:hAnsi="宋体" w:eastAsia="宋体"/>
      <w:b/>
      <w:bCs/>
      <w:sz w:val="24"/>
      <w:lang w:val="en-US" w:eastAsia="zh-CN" w:bidi="ar-SA"/>
    </w:rPr>
  </w:style>
  <w:style w:type="paragraph" w:customStyle="1" w:styleId="7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styleId="74">
    <w:name w:val="List Paragraph"/>
    <w:basedOn w:val="1"/>
    <w:qFormat/>
    <w:uiPriority w:val="0"/>
    <w:pPr>
      <w:ind w:firstLine="420" w:firstLineChars="200"/>
    </w:pPr>
    <w:rPr>
      <w:rFonts w:ascii="Calibri" w:hAnsi="Calibri"/>
      <w:szCs w:val="22"/>
    </w:rPr>
  </w:style>
  <w:style w:type="paragraph" w:customStyle="1" w:styleId="75">
    <w:name w:val="USE 1"/>
    <w:basedOn w:val="1"/>
    <w:qFormat/>
    <w:uiPriority w:val="0"/>
    <w:pPr>
      <w:spacing w:line="200" w:lineRule="atLeast"/>
      <w:jc w:val="left"/>
    </w:pPr>
    <w:rPr>
      <w:rFonts w:ascii="宋体" w:hAnsi="宋体"/>
      <w:b/>
      <w:sz w:val="24"/>
      <w:szCs w:val="28"/>
    </w:rPr>
  </w:style>
  <w:style w:type="paragraph" w:customStyle="1" w:styleId="76">
    <w:name w:val="RFI text from 3rd Level"/>
    <w:basedOn w:val="1"/>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77">
    <w:name w:val="正文文字缩进项目"/>
    <w:basedOn w:val="20"/>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78">
    <w:name w:val="样式 标题 2 + 段前: 13 磅 段后: 13 磅 行距: 单倍行距"/>
    <w:basedOn w:val="6"/>
    <w:qFormat/>
    <w:uiPriority w:val="0"/>
    <w:pPr>
      <w:adjustRightInd/>
      <w:spacing w:before="0" w:after="0"/>
      <w:jc w:val="both"/>
      <w:textAlignment w:val="auto"/>
    </w:pPr>
    <w:rPr>
      <w:rFonts w:ascii="Cambria" w:hAnsi="Cambria" w:cs="宋体"/>
      <w:kern w:val="2"/>
      <w:sz w:val="32"/>
    </w:rPr>
  </w:style>
  <w:style w:type="character" w:customStyle="1" w:styleId="79">
    <w:name w:val="H4 Char2"/>
    <w:qFormat/>
    <w:uiPriority w:val="0"/>
    <w:rPr>
      <w:rFonts w:ascii="Arial" w:hAnsi="Arial" w:eastAsia="黑体"/>
      <w:b/>
      <w:bCs/>
      <w:kern w:val="2"/>
      <w:sz w:val="28"/>
      <w:szCs w:val="28"/>
      <w:lang w:val="en-US" w:eastAsia="zh-CN" w:bidi="ar-SA"/>
    </w:rPr>
  </w:style>
  <w:style w:type="character" w:customStyle="1" w:styleId="80">
    <w:name w:val="正文文本缩进 Char"/>
    <w:link w:val="20"/>
    <w:qFormat/>
    <w:uiPriority w:val="0"/>
    <w:rPr>
      <w:rFonts w:eastAsia="宋体"/>
      <w:kern w:val="2"/>
      <w:sz w:val="21"/>
      <w:szCs w:val="24"/>
      <w:lang w:val="en-US" w:eastAsia="zh-CN" w:bidi="ar-SA"/>
    </w:rPr>
  </w:style>
  <w:style w:type="character" w:customStyle="1" w:styleId="81">
    <w:name w:val="标题 5 Char"/>
    <w:link w:val="7"/>
    <w:qFormat/>
    <w:uiPriority w:val="0"/>
    <w:rPr>
      <w:rFonts w:eastAsia="宋体"/>
      <w:b/>
      <w:kern w:val="2"/>
      <w:sz w:val="28"/>
      <w:lang w:val="en-US" w:eastAsia="zh-CN" w:bidi="ar-SA"/>
    </w:rPr>
  </w:style>
  <w:style w:type="character" w:customStyle="1" w:styleId="82">
    <w:name w:val="第*章 Char"/>
    <w:qFormat/>
    <w:uiPriority w:val="0"/>
    <w:rPr>
      <w:rFonts w:ascii="Arial" w:hAnsi="Arial" w:eastAsia="黑体"/>
      <w:b/>
      <w:bCs/>
      <w:kern w:val="2"/>
      <w:sz w:val="32"/>
      <w:szCs w:val="32"/>
    </w:rPr>
  </w:style>
  <w:style w:type="character" w:customStyle="1" w:styleId="83">
    <w:name w:val="章标题1 Char"/>
    <w:qFormat/>
    <w:uiPriority w:val="0"/>
    <w:rPr>
      <w:rFonts w:eastAsia="宋体"/>
      <w:b/>
      <w:bCs/>
      <w:kern w:val="2"/>
      <w:sz w:val="32"/>
      <w:szCs w:val="32"/>
      <w:lang w:val="en-US" w:eastAsia="zh-CN" w:bidi="ar-SA"/>
    </w:rPr>
  </w:style>
  <w:style w:type="character" w:customStyle="1" w:styleId="84">
    <w:name w:val="标题 6 Char"/>
    <w:link w:val="9"/>
    <w:qFormat/>
    <w:uiPriority w:val="0"/>
    <w:rPr>
      <w:rFonts w:ascii="Arial" w:hAnsi="Arial" w:eastAsia="黑体"/>
      <w:b/>
      <w:kern w:val="2"/>
      <w:sz w:val="24"/>
      <w:lang w:val="en-US" w:eastAsia="zh-CN" w:bidi="ar-SA"/>
    </w:rPr>
  </w:style>
  <w:style w:type="character" w:customStyle="1" w:styleId="85">
    <w:name w:val="标题 7 Char"/>
    <w:link w:val="10"/>
    <w:qFormat/>
    <w:uiPriority w:val="0"/>
    <w:rPr>
      <w:rFonts w:eastAsia="宋体"/>
      <w:b/>
      <w:kern w:val="2"/>
      <w:sz w:val="24"/>
      <w:lang w:val="en-US" w:eastAsia="zh-CN" w:bidi="ar-SA"/>
    </w:rPr>
  </w:style>
  <w:style w:type="character" w:customStyle="1" w:styleId="86">
    <w:name w:val="标题 8 Char"/>
    <w:link w:val="11"/>
    <w:qFormat/>
    <w:uiPriority w:val="0"/>
    <w:rPr>
      <w:rFonts w:ascii="Arial" w:hAnsi="Arial" w:eastAsia="黑体"/>
      <w:kern w:val="2"/>
      <w:sz w:val="24"/>
      <w:lang w:val="en-US" w:eastAsia="zh-CN" w:bidi="ar-SA"/>
    </w:rPr>
  </w:style>
  <w:style w:type="character" w:customStyle="1" w:styleId="87">
    <w:name w:val="标题 9 Char"/>
    <w:link w:val="12"/>
    <w:qFormat/>
    <w:uiPriority w:val="0"/>
    <w:rPr>
      <w:rFonts w:ascii="Arial" w:hAnsi="Arial" w:eastAsia="黑体"/>
      <w:kern w:val="2"/>
      <w:sz w:val="21"/>
      <w:lang w:val="en-US" w:eastAsia="zh-CN" w:bidi="ar-SA"/>
    </w:rPr>
  </w:style>
  <w:style w:type="character" w:customStyle="1" w:styleId="88">
    <w:name w:val="标题 Char"/>
    <w:link w:val="40"/>
    <w:qFormat/>
    <w:uiPriority w:val="0"/>
    <w:rPr>
      <w:rFonts w:ascii="Arial" w:hAnsi="Arial" w:eastAsia="隶书" w:cs="Arial"/>
      <w:b/>
      <w:bCs/>
      <w:kern w:val="2"/>
      <w:sz w:val="32"/>
      <w:szCs w:val="32"/>
      <w:lang w:val="en-US" w:eastAsia="zh-CN" w:bidi="ar-SA"/>
    </w:rPr>
  </w:style>
  <w:style w:type="character" w:customStyle="1" w:styleId="89">
    <w:name w:val="日期 Char"/>
    <w:link w:val="24"/>
    <w:qFormat/>
    <w:uiPriority w:val="0"/>
    <w:rPr>
      <w:rFonts w:ascii="宋体" w:hAnsi="Courier New" w:eastAsia="宋体"/>
      <w:kern w:val="2"/>
      <w:sz w:val="32"/>
      <w:lang w:val="en-US" w:eastAsia="zh-CN" w:bidi="ar-SA"/>
    </w:rPr>
  </w:style>
  <w:style w:type="character" w:customStyle="1" w:styleId="90">
    <w:name w:val="HTML 预设格式 Char"/>
    <w:link w:val="37"/>
    <w:qFormat/>
    <w:uiPriority w:val="0"/>
    <w:rPr>
      <w:rFonts w:ascii="Arial Unicode MS" w:hAnsi="Arial Unicode MS" w:eastAsia="Arial Unicode MS"/>
      <w:color w:val="000000"/>
      <w:lang w:val="en-US" w:eastAsia="zh-CN" w:bidi="ar-SA"/>
    </w:rPr>
  </w:style>
  <w:style w:type="character" w:customStyle="1" w:styleId="91">
    <w:name w:val="纯文本 Char"/>
    <w:link w:val="22"/>
    <w:qFormat/>
    <w:uiPriority w:val="0"/>
    <w:rPr>
      <w:rFonts w:ascii="宋体" w:hAnsi="Courier New" w:eastAsia="宋体"/>
      <w:kern w:val="2"/>
      <w:sz w:val="21"/>
      <w:lang w:val="en-US" w:eastAsia="zh-CN" w:bidi="ar-SA"/>
    </w:rPr>
  </w:style>
  <w:style w:type="character" w:customStyle="1" w:styleId="92">
    <w:name w:val="正文文字首行缩进 Char"/>
    <w:qFormat/>
    <w:uiPriority w:val="0"/>
    <w:rPr>
      <w:kern w:val="2"/>
      <w:sz w:val="21"/>
      <w:szCs w:val="24"/>
    </w:rPr>
  </w:style>
  <w:style w:type="character" w:customStyle="1" w:styleId="93">
    <w:name w:val="正文文本 Char"/>
    <w:link w:val="2"/>
    <w:qFormat/>
    <w:uiPriority w:val="0"/>
    <w:rPr>
      <w:rFonts w:eastAsia="宋体"/>
      <w:b/>
      <w:bCs/>
      <w:kern w:val="2"/>
      <w:sz w:val="24"/>
      <w:szCs w:val="24"/>
      <w:lang w:val="en-US" w:eastAsia="zh-CN" w:bidi="ar-SA"/>
    </w:rPr>
  </w:style>
  <w:style w:type="character" w:customStyle="1" w:styleId="94">
    <w:name w:val="正文文本缩进 2 Char"/>
    <w:link w:val="25"/>
    <w:qFormat/>
    <w:uiPriority w:val="0"/>
    <w:rPr>
      <w:rFonts w:ascii="宋体" w:hAnsi="宋体" w:eastAsia="宋体"/>
      <w:kern w:val="2"/>
      <w:sz w:val="21"/>
      <w:szCs w:val="24"/>
      <w:lang w:val="en-US" w:eastAsia="zh-CN" w:bidi="ar-SA"/>
    </w:rPr>
  </w:style>
  <w:style w:type="character" w:customStyle="1" w:styleId="95">
    <w:name w:val="页眉 Char"/>
    <w:link w:val="28"/>
    <w:qFormat/>
    <w:uiPriority w:val="99"/>
    <w:rPr>
      <w:rFonts w:eastAsia="宋体"/>
      <w:kern w:val="2"/>
      <w:sz w:val="18"/>
      <w:szCs w:val="18"/>
      <w:lang w:val="en-US" w:eastAsia="zh-CN" w:bidi="ar-SA"/>
    </w:rPr>
  </w:style>
  <w:style w:type="character" w:customStyle="1" w:styleId="96">
    <w:name w:val="正文文本缩进 3 Char"/>
    <w:link w:val="33"/>
    <w:qFormat/>
    <w:uiPriority w:val="0"/>
    <w:rPr>
      <w:rFonts w:ascii="宋体" w:eastAsia="宋体"/>
      <w:b/>
      <w:bCs/>
      <w:kern w:val="2"/>
      <w:sz w:val="24"/>
      <w:szCs w:val="24"/>
      <w:lang w:val="en-US" w:eastAsia="zh-CN" w:bidi="ar-SA"/>
    </w:rPr>
  </w:style>
  <w:style w:type="character" w:customStyle="1" w:styleId="97">
    <w:name w:val="正文文本 2 Char"/>
    <w:link w:val="36"/>
    <w:qFormat/>
    <w:uiPriority w:val="0"/>
    <w:rPr>
      <w:rFonts w:eastAsia="宋体"/>
      <w:kern w:val="2"/>
      <w:sz w:val="24"/>
      <w:szCs w:val="24"/>
      <w:lang w:val="en-US" w:eastAsia="zh-CN" w:bidi="ar-SA"/>
    </w:rPr>
  </w:style>
  <w:style w:type="character" w:customStyle="1" w:styleId="98">
    <w:name w:val="页脚 Char"/>
    <w:link w:val="27"/>
    <w:qFormat/>
    <w:uiPriority w:val="0"/>
    <w:rPr>
      <w:rFonts w:eastAsia="宋体"/>
      <w:kern w:val="2"/>
      <w:sz w:val="18"/>
      <w:szCs w:val="18"/>
      <w:lang w:val="en-US" w:eastAsia="zh-CN" w:bidi="ar-SA"/>
    </w:rPr>
  </w:style>
  <w:style w:type="character" w:customStyle="1" w:styleId="99">
    <w:name w:val="正文文本 3 Char"/>
    <w:link w:val="19"/>
    <w:qFormat/>
    <w:uiPriority w:val="0"/>
    <w:rPr>
      <w:rFonts w:eastAsia="宋体"/>
      <w:kern w:val="2"/>
      <w:sz w:val="16"/>
      <w:szCs w:val="16"/>
      <w:lang w:val="en-US" w:eastAsia="zh-CN" w:bidi="ar-SA"/>
    </w:rPr>
  </w:style>
  <w:style w:type="character" w:customStyle="1" w:styleId="100">
    <w:name w:val="批注框文本 Char"/>
    <w:link w:val="26"/>
    <w:semiHidden/>
    <w:qFormat/>
    <w:uiPriority w:val="99"/>
    <w:rPr>
      <w:rFonts w:eastAsia="宋体"/>
      <w:kern w:val="2"/>
      <w:sz w:val="18"/>
      <w:szCs w:val="18"/>
      <w:lang w:val="en-US" w:eastAsia="zh-CN" w:bidi="ar-SA"/>
    </w:rPr>
  </w:style>
  <w:style w:type="paragraph" w:customStyle="1" w:styleId="101">
    <w:name w:val="样式1"/>
    <w:basedOn w:val="40"/>
    <w:qFormat/>
    <w:uiPriority w:val="0"/>
    <w:pPr>
      <w:spacing w:before="120" w:after="120"/>
    </w:pPr>
    <w:rPr>
      <w:rFonts w:eastAsia="黑体"/>
      <w:b w:val="0"/>
      <w:sz w:val="30"/>
      <w:szCs w:val="21"/>
    </w:rPr>
  </w:style>
  <w:style w:type="paragraph" w:customStyle="1" w:styleId="102">
    <w:name w:val="样式2"/>
    <w:basedOn w:val="40"/>
    <w:next w:val="101"/>
    <w:qFormat/>
    <w:uiPriority w:val="0"/>
    <w:pPr>
      <w:spacing w:before="120" w:after="120"/>
    </w:pPr>
    <w:rPr>
      <w:rFonts w:eastAsia="黑体"/>
      <w:b w:val="0"/>
      <w:sz w:val="30"/>
      <w:szCs w:val="30"/>
    </w:rPr>
  </w:style>
  <w:style w:type="character" w:customStyle="1" w:styleId="103">
    <w:name w:val="标题 3 Char Char"/>
    <w:qFormat/>
    <w:uiPriority w:val="0"/>
    <w:rPr>
      <w:rFonts w:eastAsia="宋体"/>
      <w:b/>
      <w:bCs/>
      <w:kern w:val="2"/>
      <w:sz w:val="32"/>
      <w:szCs w:val="32"/>
      <w:lang w:val="en-US" w:eastAsia="zh-CN" w:bidi="ar-SA"/>
    </w:rPr>
  </w:style>
  <w:style w:type="paragraph" w:customStyle="1" w:styleId="104">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05">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06">
    <w:name w:val="--规划正文"/>
    <w:basedOn w:val="1"/>
    <w:qFormat/>
    <w:uiPriority w:val="0"/>
    <w:pPr>
      <w:spacing w:line="360" w:lineRule="auto"/>
      <w:ind w:firstLine="200" w:firstLineChars="200"/>
    </w:pPr>
    <w:rPr>
      <w:szCs w:val="20"/>
    </w:rPr>
  </w:style>
  <w:style w:type="paragraph" w:customStyle="1" w:styleId="107">
    <w:name w:val="设计依据"/>
    <w:basedOn w:val="2"/>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08">
    <w:name w:val="方案要点"/>
    <w:basedOn w:val="1"/>
    <w:qFormat/>
    <w:uiPriority w:val="0"/>
    <w:pPr>
      <w:numPr>
        <w:ilvl w:val="0"/>
        <w:numId w:val="4"/>
      </w:numPr>
      <w:spacing w:line="360" w:lineRule="auto"/>
    </w:pPr>
    <w:rPr>
      <w:rFonts w:ascii="仿宋_GB2312" w:hAnsi="宋体" w:eastAsia="仿宋_GB2312"/>
      <w:color w:val="000000"/>
      <w:sz w:val="28"/>
      <w:szCs w:val="28"/>
    </w:rPr>
  </w:style>
  <w:style w:type="paragraph" w:customStyle="1" w:styleId="109">
    <w:name w:val="样式4"/>
    <w:basedOn w:val="1"/>
    <w:qFormat/>
    <w:uiPriority w:val="0"/>
    <w:pPr>
      <w:tabs>
        <w:tab w:val="left" w:pos="842"/>
      </w:tabs>
      <w:spacing w:line="360" w:lineRule="auto"/>
      <w:ind w:left="842" w:hanging="420"/>
    </w:pPr>
    <w:rPr>
      <w:sz w:val="24"/>
    </w:rPr>
  </w:style>
  <w:style w:type="paragraph" w:customStyle="1" w:styleId="110">
    <w:name w:val="文字"/>
    <w:basedOn w:val="1"/>
    <w:qFormat/>
    <w:uiPriority w:val="0"/>
    <w:pPr>
      <w:tabs>
        <w:tab w:val="left" w:pos="8520"/>
      </w:tabs>
      <w:spacing w:line="312" w:lineRule="auto"/>
      <w:ind w:right="-210" w:firstLine="556"/>
    </w:pPr>
    <w:rPr>
      <w:rFonts w:ascii="宋体"/>
      <w:sz w:val="28"/>
      <w:szCs w:val="20"/>
    </w:rPr>
  </w:style>
  <w:style w:type="paragraph" w:customStyle="1" w:styleId="111">
    <w:name w:val="--规划-表格-居左"/>
    <w:basedOn w:val="106"/>
    <w:qFormat/>
    <w:uiPriority w:val="0"/>
    <w:pPr>
      <w:spacing w:line="240" w:lineRule="auto"/>
      <w:ind w:firstLine="0" w:firstLineChars="0"/>
    </w:pPr>
    <w:rPr>
      <w:sz w:val="20"/>
    </w:rPr>
  </w:style>
  <w:style w:type="paragraph" w:customStyle="1" w:styleId="112">
    <w:name w:val="--规划-表格-居中"/>
    <w:basedOn w:val="106"/>
    <w:qFormat/>
    <w:uiPriority w:val="0"/>
    <w:pPr>
      <w:spacing w:line="240" w:lineRule="auto"/>
      <w:ind w:firstLine="0" w:firstLineChars="0"/>
      <w:jc w:val="center"/>
    </w:pPr>
    <w:rPr>
      <w:sz w:val="20"/>
    </w:rPr>
  </w:style>
  <w:style w:type="paragraph" w:customStyle="1" w:styleId="113">
    <w:name w:val="--编号内缩进"/>
    <w:basedOn w:val="1"/>
    <w:qFormat/>
    <w:uiPriority w:val="0"/>
    <w:pPr>
      <w:spacing w:line="360" w:lineRule="auto"/>
      <w:ind w:left="420" w:firstLine="200" w:firstLineChars="200"/>
    </w:pPr>
    <w:rPr>
      <w:szCs w:val="21"/>
    </w:rPr>
  </w:style>
  <w:style w:type="paragraph" w:customStyle="1" w:styleId="114">
    <w:name w:val="--规划-题注"/>
    <w:basedOn w:val="1"/>
    <w:next w:val="106"/>
    <w:qFormat/>
    <w:uiPriority w:val="0"/>
    <w:pPr>
      <w:spacing w:line="360" w:lineRule="auto"/>
      <w:jc w:val="center"/>
    </w:pPr>
    <w:rPr>
      <w:rFonts w:eastAsia="黑体"/>
    </w:rPr>
  </w:style>
  <w:style w:type="paragraph" w:customStyle="1" w:styleId="115">
    <w:name w:val="--规划-图和表"/>
    <w:next w:val="106"/>
    <w:qFormat/>
    <w:uiPriority w:val="0"/>
    <w:pPr>
      <w:jc w:val="center"/>
    </w:pPr>
    <w:rPr>
      <w:rFonts w:ascii="Times New Roman" w:hAnsi="Times New Roman" w:eastAsia="宋体" w:cs="Times New Roman"/>
      <w:kern w:val="2"/>
      <w:sz w:val="21"/>
      <w:lang w:val="en-US" w:eastAsia="zh-CN" w:bidi="ar-SA"/>
    </w:rPr>
  </w:style>
  <w:style w:type="paragraph" w:customStyle="1" w:styleId="116">
    <w:name w:val="--规划-小标题"/>
    <w:basedOn w:val="1"/>
    <w:next w:val="106"/>
    <w:qFormat/>
    <w:uiPriority w:val="0"/>
    <w:pPr>
      <w:keepNext/>
      <w:keepLines/>
      <w:spacing w:line="360" w:lineRule="auto"/>
      <w:outlineLvl w:val="4"/>
    </w:pPr>
    <w:rPr>
      <w:rFonts w:eastAsia="黑体"/>
    </w:rPr>
  </w:style>
  <w:style w:type="paragraph" w:customStyle="1" w:styleId="117">
    <w:name w:val="--规划正文 Char"/>
    <w:basedOn w:val="1"/>
    <w:qFormat/>
    <w:uiPriority w:val="0"/>
    <w:pPr>
      <w:spacing w:line="360" w:lineRule="auto"/>
      <w:ind w:firstLine="200" w:firstLineChars="200"/>
    </w:pPr>
    <w:rPr>
      <w:sz w:val="24"/>
    </w:rPr>
  </w:style>
  <w:style w:type="paragraph" w:customStyle="1" w:styleId="118">
    <w:name w:val="缺省文本"/>
    <w:basedOn w:val="1"/>
    <w:qFormat/>
    <w:uiPriority w:val="0"/>
    <w:pPr>
      <w:autoSpaceDE w:val="0"/>
      <w:autoSpaceDN w:val="0"/>
      <w:adjustRightInd w:val="0"/>
      <w:jc w:val="left"/>
    </w:pPr>
    <w:rPr>
      <w:kern w:val="0"/>
    </w:rPr>
  </w:style>
  <w:style w:type="paragraph" w:customStyle="1" w:styleId="119">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120">
    <w:name w:val="--规划正文 Char Char"/>
    <w:qFormat/>
    <w:uiPriority w:val="0"/>
    <w:rPr>
      <w:rFonts w:eastAsia="宋体"/>
      <w:kern w:val="2"/>
      <w:sz w:val="24"/>
      <w:szCs w:val="24"/>
      <w:lang w:val="en-US" w:eastAsia="zh-CN" w:bidi="ar-SA"/>
    </w:rPr>
  </w:style>
  <w:style w:type="paragraph" w:customStyle="1" w:styleId="121">
    <w:name w:val="样式3"/>
    <w:basedOn w:val="3"/>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2">
    <w:name w:val="--规划正文 Char1"/>
    <w:qFormat/>
    <w:uiPriority w:val="0"/>
    <w:rPr>
      <w:rFonts w:eastAsia="宋体"/>
      <w:kern w:val="2"/>
      <w:sz w:val="21"/>
      <w:lang w:val="en-US" w:eastAsia="zh-CN" w:bidi="ar-SA"/>
    </w:rPr>
  </w:style>
  <w:style w:type="paragraph" w:customStyle="1" w:styleId="123">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24">
    <w:name w:val="列表项目"/>
    <w:basedOn w:val="1"/>
    <w:qFormat/>
    <w:uiPriority w:val="0"/>
    <w:pPr>
      <w:tabs>
        <w:tab w:val="left" w:pos="420"/>
        <w:tab w:val="left" w:pos="1080"/>
      </w:tabs>
      <w:spacing w:line="288" w:lineRule="auto"/>
      <w:ind w:left="1080" w:hanging="360"/>
    </w:pPr>
    <w:rPr>
      <w:sz w:val="24"/>
      <w:szCs w:val="20"/>
    </w:rPr>
  </w:style>
  <w:style w:type="character" w:customStyle="1" w:styleId="125">
    <w:name w:val="content1"/>
    <w:qFormat/>
    <w:uiPriority w:val="0"/>
    <w:rPr>
      <w:rFonts w:hint="default" w:ascii="??" w:hAnsi="??"/>
      <w:sz w:val="16"/>
      <w:szCs w:val="16"/>
      <w:u w:val="none"/>
    </w:rPr>
  </w:style>
  <w:style w:type="character" w:customStyle="1" w:styleId="126">
    <w:name w:val="unnamed4"/>
    <w:basedOn w:val="46"/>
    <w:qFormat/>
    <w:uiPriority w:val="0"/>
  </w:style>
  <w:style w:type="character" w:customStyle="1" w:styleId="127">
    <w:name w:val="font2"/>
    <w:basedOn w:val="46"/>
    <w:qFormat/>
    <w:uiPriority w:val="0"/>
  </w:style>
  <w:style w:type="character" w:customStyle="1" w:styleId="128">
    <w:name w:val="font41"/>
    <w:qFormat/>
    <w:uiPriority w:val="0"/>
    <w:rPr>
      <w:color w:val="000000"/>
      <w:spacing w:val="260"/>
      <w:sz w:val="18"/>
      <w:szCs w:val="18"/>
      <w:u w:val="none"/>
    </w:rPr>
  </w:style>
  <w:style w:type="paragraph" w:customStyle="1" w:styleId="129">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0">
    <w:name w:val="xl72"/>
    <w:basedOn w:val="1"/>
    <w:qFormat/>
    <w:uiPriority w:val="0"/>
    <w:pPr>
      <w:widowControl/>
      <w:spacing w:before="100" w:beforeAutospacing="1" w:after="100" w:afterAutospacing="1"/>
      <w:jc w:val="left"/>
    </w:pPr>
    <w:rPr>
      <w:rFonts w:ascii="宋体" w:hAnsi="宋体"/>
      <w:b/>
      <w:bCs/>
      <w:kern w:val="0"/>
      <w:sz w:val="28"/>
      <w:szCs w:val="28"/>
    </w:rPr>
  </w:style>
  <w:style w:type="character" w:customStyle="1" w:styleId="131">
    <w:name w:val="正文首行缩进 Char"/>
    <w:link w:val="42"/>
    <w:qFormat/>
    <w:uiPriority w:val="0"/>
    <w:rPr>
      <w:rFonts w:eastAsia="宋体"/>
      <w:b/>
      <w:bCs/>
      <w:kern w:val="2"/>
      <w:sz w:val="21"/>
      <w:szCs w:val="24"/>
      <w:lang w:val="en-US" w:eastAsia="zh-CN" w:bidi="ar-SA"/>
    </w:rPr>
  </w:style>
  <w:style w:type="paragraph" w:customStyle="1" w:styleId="132">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33">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34">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35">
    <w:name w:val="mode"/>
    <w:basedOn w:val="46"/>
    <w:qFormat/>
    <w:uiPriority w:val="0"/>
  </w:style>
  <w:style w:type="paragraph" w:customStyle="1" w:styleId="136">
    <w:name w:val="9"/>
    <w:basedOn w:val="1"/>
    <w:next w:val="8"/>
    <w:qFormat/>
    <w:uiPriority w:val="0"/>
    <w:pPr>
      <w:autoSpaceDE w:val="0"/>
      <w:autoSpaceDN w:val="0"/>
      <w:adjustRightInd w:val="0"/>
      <w:ind w:firstLine="420"/>
      <w:jc w:val="left"/>
      <w:textAlignment w:val="baseline"/>
    </w:pPr>
    <w:rPr>
      <w:rFonts w:ascii="宋体"/>
      <w:kern w:val="0"/>
      <w:sz w:val="34"/>
      <w:szCs w:val="20"/>
    </w:rPr>
  </w:style>
  <w:style w:type="character" w:customStyle="1" w:styleId="137">
    <w:name w:val="unnamed3"/>
    <w:basedOn w:val="46"/>
    <w:qFormat/>
    <w:uiPriority w:val="0"/>
  </w:style>
  <w:style w:type="paragraph" w:customStyle="1" w:styleId="138">
    <w:name w:val="8"/>
    <w:basedOn w:val="1"/>
    <w:next w:val="20"/>
    <w:qFormat/>
    <w:uiPriority w:val="0"/>
    <w:pPr>
      <w:spacing w:after="120"/>
      <w:ind w:left="420" w:leftChars="200"/>
    </w:pPr>
  </w:style>
  <w:style w:type="paragraph" w:customStyle="1" w:styleId="139">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140">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141">
    <w:name w:val="5"/>
    <w:basedOn w:val="1"/>
    <w:qFormat/>
    <w:uiPriority w:val="0"/>
    <w:pPr>
      <w:autoSpaceDE w:val="0"/>
      <w:autoSpaceDN w:val="0"/>
      <w:adjustRightInd w:val="0"/>
      <w:jc w:val="left"/>
    </w:pPr>
    <w:rPr>
      <w:rFonts w:ascii="宋体"/>
      <w:b/>
      <w:bCs/>
      <w:kern w:val="0"/>
      <w:sz w:val="18"/>
      <w:szCs w:val="18"/>
    </w:rPr>
  </w:style>
  <w:style w:type="paragraph" w:customStyle="1" w:styleId="142">
    <w:name w:val="6"/>
    <w:basedOn w:val="141"/>
    <w:qFormat/>
    <w:uiPriority w:val="0"/>
    <w:pPr>
      <w:spacing w:line="270" w:lineRule="atLeast"/>
      <w:jc w:val="both"/>
    </w:pPr>
    <w:rPr>
      <w:b w:val="0"/>
      <w:bCs w:val="0"/>
    </w:rPr>
  </w:style>
  <w:style w:type="paragraph" w:customStyle="1" w:styleId="143">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44">
    <w:name w:val="姜文清定义的正文"/>
    <w:basedOn w:val="1"/>
    <w:qFormat/>
    <w:uiPriority w:val="0"/>
    <w:pPr>
      <w:spacing w:line="240" w:lineRule="atLeast"/>
      <w:ind w:firstLine="567"/>
    </w:pPr>
    <w:rPr>
      <w:szCs w:val="20"/>
    </w:rPr>
  </w:style>
  <w:style w:type="paragraph" w:customStyle="1" w:styleId="145">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46">
    <w:name w:val="CM2"/>
    <w:basedOn w:val="145"/>
    <w:next w:val="145"/>
    <w:qFormat/>
    <w:uiPriority w:val="0"/>
    <w:pPr>
      <w:spacing w:line="200" w:lineRule="atLeast"/>
    </w:pPr>
    <w:rPr>
      <w:rFonts w:ascii="Arial" w:hAnsi="Arial" w:eastAsia="宋体" w:cs="Times New Roman"/>
      <w:color w:val="auto"/>
    </w:rPr>
  </w:style>
  <w:style w:type="paragraph" w:customStyle="1" w:styleId="147">
    <w:name w:val="Normal Paragraph"/>
    <w:basedOn w:val="1"/>
    <w:qFormat/>
    <w:uiPriority w:val="0"/>
    <w:pPr>
      <w:widowControl/>
      <w:spacing w:before="120" w:line="360" w:lineRule="auto"/>
      <w:ind w:firstLine="425"/>
    </w:pPr>
    <w:rPr>
      <w:kern w:val="0"/>
      <w:sz w:val="24"/>
    </w:rPr>
  </w:style>
  <w:style w:type="character" w:customStyle="1" w:styleId="148">
    <w:name w:val="blue"/>
    <w:basedOn w:val="46"/>
    <w:qFormat/>
    <w:uiPriority w:val="0"/>
  </w:style>
  <w:style w:type="paragraph" w:customStyle="1" w:styleId="149">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150">
    <w:name w:val="font"/>
    <w:basedOn w:val="46"/>
    <w:qFormat/>
    <w:uiPriority w:val="0"/>
  </w:style>
  <w:style w:type="character" w:customStyle="1" w:styleId="151">
    <w:name w:val="font11"/>
    <w:qFormat/>
    <w:uiPriority w:val="0"/>
    <w:rPr>
      <w:rFonts w:hint="default" w:ascii="ˎ̥" w:hAnsi="ˎ̥"/>
    </w:rPr>
  </w:style>
  <w:style w:type="paragraph" w:customStyle="1" w:styleId="152">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53">
    <w:name w:val="proddescription"/>
    <w:basedOn w:val="46"/>
    <w:qFormat/>
    <w:uiPriority w:val="0"/>
  </w:style>
  <w:style w:type="character" w:customStyle="1" w:styleId="154">
    <w:name w:val="prodheadlines"/>
    <w:basedOn w:val="46"/>
    <w:qFormat/>
    <w:uiPriority w:val="0"/>
  </w:style>
  <w:style w:type="character" w:customStyle="1" w:styleId="155">
    <w:name w:val="text"/>
    <w:basedOn w:val="46"/>
    <w:qFormat/>
    <w:uiPriority w:val="0"/>
  </w:style>
  <w:style w:type="paragraph" w:customStyle="1" w:styleId="156">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57">
    <w:name w:val="z-窗体顶端1"/>
    <w:basedOn w:val="1"/>
    <w:next w:val="1"/>
    <w:hidden/>
    <w:qFormat/>
    <w:uiPriority w:val="0"/>
    <w:pPr>
      <w:widowControl/>
      <w:pBdr>
        <w:bottom w:val="single" w:color="auto" w:sz="6" w:space="1"/>
      </w:pBdr>
      <w:jc w:val="center"/>
    </w:pPr>
    <w:rPr>
      <w:rFonts w:ascii="Arial" w:hAnsi="Arial" w:cs="Arial"/>
      <w:vanish/>
      <w:kern w:val="0"/>
      <w:sz w:val="16"/>
      <w:szCs w:val="16"/>
    </w:rPr>
  </w:style>
  <w:style w:type="paragraph" w:customStyle="1" w:styleId="158">
    <w:name w:val="z-窗体底端1"/>
    <w:basedOn w:val="1"/>
    <w:next w:val="1"/>
    <w:hidden/>
    <w:qFormat/>
    <w:uiPriority w:val="0"/>
    <w:pPr>
      <w:widowControl/>
      <w:pBdr>
        <w:top w:val="single" w:color="auto" w:sz="6" w:space="1"/>
      </w:pBdr>
      <w:jc w:val="center"/>
    </w:pPr>
    <w:rPr>
      <w:rFonts w:ascii="Arial" w:hAnsi="Arial" w:cs="Arial"/>
      <w:vanish/>
      <w:kern w:val="0"/>
      <w:sz w:val="16"/>
      <w:szCs w:val="16"/>
    </w:rPr>
  </w:style>
  <w:style w:type="paragraph" w:customStyle="1" w:styleId="159">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0">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1">
    <w:name w:val="段落正文"/>
    <w:basedOn w:val="22"/>
    <w:qFormat/>
    <w:uiPriority w:val="0"/>
    <w:pPr>
      <w:ind w:firstLine="560" w:firstLineChars="200"/>
    </w:pPr>
    <w:rPr>
      <w:sz w:val="28"/>
    </w:rPr>
  </w:style>
  <w:style w:type="character" w:customStyle="1" w:styleId="162">
    <w:name w:val="gray6"/>
    <w:basedOn w:val="46"/>
    <w:qFormat/>
    <w:uiPriority w:val="0"/>
  </w:style>
  <w:style w:type="character" w:customStyle="1" w:styleId="163">
    <w:name w:val="style9"/>
    <w:basedOn w:val="46"/>
    <w:qFormat/>
    <w:uiPriority w:val="0"/>
  </w:style>
  <w:style w:type="paragraph" w:customStyle="1" w:styleId="164">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165">
    <w:name w:val="grame"/>
    <w:basedOn w:val="46"/>
    <w:qFormat/>
    <w:uiPriority w:val="0"/>
  </w:style>
  <w:style w:type="paragraph" w:customStyle="1" w:styleId="166">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67">
    <w:name w:val="Char1"/>
    <w:basedOn w:val="1"/>
    <w:qFormat/>
    <w:uiPriority w:val="0"/>
    <w:pPr>
      <w:jc w:val="left"/>
    </w:pPr>
    <w:rPr>
      <w:rFonts w:ascii="Tahoma" w:hAnsi="Tahoma"/>
      <w:sz w:val="24"/>
      <w:szCs w:val="20"/>
    </w:rPr>
  </w:style>
  <w:style w:type="paragraph" w:customStyle="1" w:styleId="168">
    <w:name w:val="编号1"/>
    <w:basedOn w:val="1"/>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69">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70">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71">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2">
    <w:name w:val="font6"/>
    <w:basedOn w:val="1"/>
    <w:qFormat/>
    <w:uiPriority w:val="0"/>
    <w:pPr>
      <w:widowControl/>
      <w:spacing w:before="100" w:beforeAutospacing="1" w:after="100" w:afterAutospacing="1"/>
      <w:jc w:val="left"/>
    </w:pPr>
    <w:rPr>
      <w:kern w:val="0"/>
      <w:sz w:val="24"/>
    </w:rPr>
  </w:style>
  <w:style w:type="paragraph" w:customStyle="1" w:styleId="17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7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75">
    <w:name w:val="表格字"/>
    <w:basedOn w:val="1"/>
    <w:qFormat/>
    <w:uiPriority w:val="0"/>
    <w:pPr>
      <w:adjustRightInd w:val="0"/>
      <w:jc w:val="center"/>
    </w:pPr>
    <w:rPr>
      <w:rFonts w:ascii="宋体"/>
      <w:sz w:val="24"/>
      <w:szCs w:val="20"/>
    </w:rPr>
  </w:style>
  <w:style w:type="character" w:customStyle="1" w:styleId="176">
    <w:name w:val="样式 小三 加粗"/>
    <w:qFormat/>
    <w:uiPriority w:val="0"/>
    <w:rPr>
      <w:rFonts w:eastAsia="宋体"/>
      <w:b/>
      <w:bCs/>
      <w:sz w:val="32"/>
    </w:rPr>
  </w:style>
  <w:style w:type="paragraph" w:customStyle="1" w:styleId="17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8">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79">
    <w:name w:val="Char Char Char"/>
    <w:basedOn w:val="1"/>
    <w:qFormat/>
    <w:uiPriority w:val="0"/>
    <w:rPr>
      <w:rFonts w:ascii="Tahoma" w:hAnsi="Tahoma"/>
      <w:sz w:val="24"/>
      <w:szCs w:val="20"/>
    </w:rPr>
  </w:style>
  <w:style w:type="paragraph" w:customStyle="1" w:styleId="180">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1">
    <w:name w:val="info4"/>
    <w:basedOn w:val="46"/>
    <w:qFormat/>
    <w:uiPriority w:val="0"/>
  </w:style>
  <w:style w:type="paragraph" w:customStyle="1" w:styleId="182">
    <w:name w:val="缩进正文"/>
    <w:basedOn w:val="1"/>
    <w:link w:val="183"/>
    <w:qFormat/>
    <w:uiPriority w:val="0"/>
    <w:pPr>
      <w:ind w:firstLine="560" w:firstLineChars="200"/>
    </w:pPr>
    <w:rPr>
      <w:rFonts w:eastAsia="仿宋_GB2312" w:cs="宋体"/>
      <w:sz w:val="28"/>
      <w:szCs w:val="20"/>
    </w:rPr>
  </w:style>
  <w:style w:type="character" w:customStyle="1" w:styleId="183">
    <w:name w:val="缩进正文 Char"/>
    <w:link w:val="182"/>
    <w:qFormat/>
    <w:uiPriority w:val="0"/>
    <w:rPr>
      <w:rFonts w:eastAsia="仿宋_GB2312" w:cs="宋体"/>
      <w:kern w:val="2"/>
      <w:sz w:val="28"/>
      <w:lang w:val="en-US" w:eastAsia="zh-CN" w:bidi="ar-SA"/>
    </w:rPr>
  </w:style>
  <w:style w:type="paragraph" w:customStyle="1" w:styleId="184">
    <w:name w:val="列出段落1"/>
    <w:basedOn w:val="1"/>
    <w:qFormat/>
    <w:uiPriority w:val="0"/>
    <w:pPr>
      <w:ind w:firstLine="420" w:firstLineChars="200"/>
    </w:pPr>
    <w:rPr>
      <w:rFonts w:ascii="Calibri" w:hAnsi="Calibri" w:cs="Calibri"/>
      <w:szCs w:val="21"/>
    </w:rPr>
  </w:style>
  <w:style w:type="character" w:customStyle="1" w:styleId="185">
    <w:name w:val="批注文字 Char"/>
    <w:basedOn w:val="46"/>
    <w:link w:val="17"/>
    <w:semiHidden/>
    <w:qFormat/>
    <w:uiPriority w:val="99"/>
    <w:rPr>
      <w:rFonts w:ascii="宋体"/>
      <w:sz w:val="34"/>
    </w:rPr>
  </w:style>
  <w:style w:type="character" w:customStyle="1" w:styleId="186">
    <w:name w:val="批注主题 Char"/>
    <w:basedOn w:val="185"/>
    <w:link w:val="41"/>
    <w:qFormat/>
    <w:uiPriority w:val="99"/>
    <w:rPr>
      <w:rFonts w:ascii="宋体"/>
      <w:sz w:val="34"/>
    </w:rPr>
  </w:style>
  <w:style w:type="paragraph" w:customStyle="1" w:styleId="187">
    <w:name w:val="评价"/>
    <w:basedOn w:val="1"/>
    <w:qFormat/>
    <w:uiPriority w:val="0"/>
    <w:pPr>
      <w:spacing w:afterLines="20"/>
      <w:ind w:firstLine="1446" w:firstLineChars="200"/>
    </w:pPr>
    <w:rPr>
      <w:rFonts w:ascii="Calibri" w:hAnsi="Calibri"/>
      <w:sz w:val="24"/>
    </w:rPr>
  </w:style>
  <w:style w:type="paragraph" w:customStyle="1" w:styleId="188">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89">
    <w:name w:val="alt-edited1"/>
    <w:qFormat/>
    <w:uiPriority w:val="0"/>
    <w:rPr>
      <w:color w:val="4D90F0"/>
    </w:rPr>
  </w:style>
  <w:style w:type="paragraph" w:customStyle="1" w:styleId="190">
    <w:name w:val="toc 14"/>
    <w:next w:val="1"/>
    <w:qFormat/>
    <w:uiPriority w:val="0"/>
    <w:pPr>
      <w:wordWrap w:val="0"/>
      <w:jc w:val="both"/>
    </w:pPr>
    <w:rPr>
      <w:rFonts w:ascii="Calibri" w:hAnsi="Calibri" w:eastAsia="宋体" w:cs="Times New Roman"/>
      <w:sz w:val="21"/>
      <w:lang w:val="en-US" w:eastAsia="zh-CN" w:bidi="ar-SA"/>
    </w:rPr>
  </w:style>
  <w:style w:type="character" w:customStyle="1" w:styleId="191">
    <w:name w:val="文档结构图 Char1"/>
    <w:semiHidden/>
    <w:qFormat/>
    <w:uiPriority w:val="0"/>
    <w:rPr>
      <w:sz w:val="20"/>
    </w:rPr>
  </w:style>
  <w:style w:type="character" w:customStyle="1" w:styleId="192">
    <w:name w:val="文档结构图 Char"/>
    <w:semiHidden/>
    <w:qFormat/>
    <w:uiPriority w:val="0"/>
    <w:rPr>
      <w:sz w:val="20"/>
    </w:rPr>
  </w:style>
  <w:style w:type="character" w:customStyle="1" w:styleId="193">
    <w:name w:val="short_text"/>
    <w:basedOn w:val="46"/>
    <w:qFormat/>
    <w:uiPriority w:val="0"/>
    <w:rPr>
      <w:sz w:val="20"/>
    </w:rPr>
  </w:style>
  <w:style w:type="character" w:customStyle="1" w:styleId="194">
    <w:name w:val="标题 Char1"/>
    <w:qFormat/>
    <w:uiPriority w:val="0"/>
    <w:rPr>
      <w:b/>
      <w:sz w:val="20"/>
    </w:rPr>
  </w:style>
  <w:style w:type="character" w:customStyle="1" w:styleId="195">
    <w:name w:val="正文文本缩进 3 Char1"/>
    <w:semiHidden/>
    <w:qFormat/>
    <w:uiPriority w:val="0"/>
    <w:rPr>
      <w:sz w:val="20"/>
    </w:rPr>
  </w:style>
  <w:style w:type="character" w:customStyle="1" w:styleId="196">
    <w:name w:val="font21"/>
    <w:qFormat/>
    <w:uiPriority w:val="0"/>
    <w:rPr>
      <w:color w:val="FF0000"/>
      <w:sz w:val="20"/>
      <w:u w:val="none"/>
    </w:rPr>
  </w:style>
  <w:style w:type="character" w:customStyle="1" w:styleId="197">
    <w:name w:val="不明显强调1"/>
    <w:qFormat/>
    <w:uiPriority w:val="0"/>
    <w:rPr>
      <w:i/>
      <w:sz w:val="20"/>
    </w:rPr>
  </w:style>
  <w:style w:type="character" w:customStyle="1" w:styleId="198">
    <w:name w:val="font71"/>
    <w:qFormat/>
    <w:uiPriority w:val="0"/>
    <w:rPr>
      <w:sz w:val="20"/>
      <w:u w:val="none"/>
    </w:rPr>
  </w:style>
  <w:style w:type="character" w:customStyle="1" w:styleId="199">
    <w:name w:val="页眉 Char1"/>
    <w:semiHidden/>
    <w:qFormat/>
    <w:uiPriority w:val="0"/>
    <w:rPr>
      <w:sz w:val="20"/>
    </w:rPr>
  </w:style>
  <w:style w:type="character" w:customStyle="1" w:styleId="200">
    <w:name w:val="正文文本缩进 2 Char1"/>
    <w:semiHidden/>
    <w:qFormat/>
    <w:uiPriority w:val="0"/>
    <w:rPr>
      <w:sz w:val="20"/>
    </w:rPr>
  </w:style>
  <w:style w:type="character" w:customStyle="1" w:styleId="201">
    <w:name w:val="font61"/>
    <w:qFormat/>
    <w:uiPriority w:val="0"/>
    <w:rPr>
      <w:sz w:val="20"/>
      <w:u w:val="none"/>
    </w:rPr>
  </w:style>
  <w:style w:type="character" w:customStyle="1" w:styleId="202">
    <w:name w:val="纯文本 Char1"/>
    <w:semiHidden/>
    <w:qFormat/>
    <w:uiPriority w:val="0"/>
    <w:rPr>
      <w:sz w:val="20"/>
    </w:rPr>
  </w:style>
  <w:style w:type="character" w:customStyle="1" w:styleId="203">
    <w:name w:val="正文文本 3 Char1"/>
    <w:semiHidden/>
    <w:qFormat/>
    <w:uiPriority w:val="0"/>
    <w:rPr>
      <w:sz w:val="20"/>
    </w:rPr>
  </w:style>
  <w:style w:type="character" w:customStyle="1" w:styleId="204">
    <w:name w:val="正文文本缩进 Char1"/>
    <w:semiHidden/>
    <w:qFormat/>
    <w:uiPriority w:val="0"/>
    <w:rPr>
      <w:sz w:val="20"/>
    </w:rPr>
  </w:style>
  <w:style w:type="character" w:customStyle="1" w:styleId="205">
    <w:name w:val="明显参考1"/>
    <w:qFormat/>
    <w:uiPriority w:val="0"/>
    <w:rPr>
      <w:b/>
      <w:sz w:val="20"/>
    </w:rPr>
  </w:style>
  <w:style w:type="character" w:customStyle="1" w:styleId="206">
    <w:name w:val="apple-converted-space"/>
    <w:qFormat/>
    <w:uiPriority w:val="0"/>
    <w:rPr>
      <w:sz w:val="20"/>
    </w:rPr>
  </w:style>
  <w:style w:type="character" w:customStyle="1" w:styleId="207">
    <w:name w:val="书籍标题1"/>
    <w:qFormat/>
    <w:uiPriority w:val="0"/>
    <w:rPr>
      <w:b/>
      <w:i/>
      <w:sz w:val="20"/>
    </w:rPr>
  </w:style>
  <w:style w:type="character" w:customStyle="1" w:styleId="208">
    <w:name w:val="long_text"/>
    <w:qFormat/>
    <w:uiPriority w:val="0"/>
    <w:rPr>
      <w:sz w:val="20"/>
    </w:rPr>
  </w:style>
  <w:style w:type="character" w:customStyle="1" w:styleId="209">
    <w:name w:val="日期 Char1"/>
    <w:semiHidden/>
    <w:qFormat/>
    <w:uiPriority w:val="0"/>
    <w:rPr>
      <w:sz w:val="20"/>
    </w:rPr>
  </w:style>
  <w:style w:type="character" w:customStyle="1" w:styleId="210">
    <w:name w:val="批注文字 Char1"/>
    <w:semiHidden/>
    <w:qFormat/>
    <w:uiPriority w:val="0"/>
    <w:rPr>
      <w:sz w:val="20"/>
    </w:rPr>
  </w:style>
  <w:style w:type="character" w:customStyle="1" w:styleId="211">
    <w:name w:val="明显强调1"/>
    <w:qFormat/>
    <w:uiPriority w:val="0"/>
    <w:rPr>
      <w:i/>
      <w:sz w:val="20"/>
    </w:rPr>
  </w:style>
  <w:style w:type="character" w:customStyle="1" w:styleId="212">
    <w:name w:val="16"/>
    <w:qFormat/>
    <w:uiPriority w:val="0"/>
    <w:rPr>
      <w:b/>
      <w:color w:val="FF0356"/>
      <w:sz w:val="20"/>
    </w:rPr>
  </w:style>
  <w:style w:type="character" w:customStyle="1" w:styleId="213">
    <w:name w:val="批注主题 Char1"/>
    <w:semiHidden/>
    <w:qFormat/>
    <w:uiPriority w:val="0"/>
    <w:rPr>
      <w:b/>
      <w:sz w:val="20"/>
    </w:rPr>
  </w:style>
  <w:style w:type="character" w:customStyle="1" w:styleId="214">
    <w:name w:val="正文文本 2 Char1"/>
    <w:semiHidden/>
    <w:qFormat/>
    <w:uiPriority w:val="0"/>
    <w:rPr>
      <w:sz w:val="20"/>
    </w:rPr>
  </w:style>
  <w:style w:type="character" w:customStyle="1" w:styleId="215">
    <w:name w:val="font31"/>
    <w:qFormat/>
    <w:uiPriority w:val="0"/>
    <w:rPr>
      <w:color w:val="FF0000"/>
      <w:sz w:val="20"/>
      <w:u w:val="none"/>
      <w:vertAlign w:val="superscript"/>
    </w:rPr>
  </w:style>
  <w:style w:type="character" w:customStyle="1" w:styleId="216">
    <w:name w:val="不明显参考1"/>
    <w:qFormat/>
    <w:uiPriority w:val="0"/>
    <w:rPr>
      <w:sz w:val="20"/>
    </w:rPr>
  </w:style>
  <w:style w:type="character" w:customStyle="1" w:styleId="217">
    <w:name w:val="HTML 预设格式 Char1"/>
    <w:semiHidden/>
    <w:qFormat/>
    <w:uiPriority w:val="0"/>
    <w:rPr>
      <w:sz w:val="20"/>
    </w:rPr>
  </w:style>
  <w:style w:type="character" w:customStyle="1" w:styleId="218">
    <w:name w:val="font01"/>
    <w:basedOn w:val="46"/>
    <w:qFormat/>
    <w:uiPriority w:val="0"/>
    <w:rPr>
      <w:color w:val="FF0000"/>
      <w:sz w:val="20"/>
      <w:u w:val="none"/>
      <w:vertAlign w:val="superscript"/>
    </w:rPr>
  </w:style>
  <w:style w:type="character" w:customStyle="1" w:styleId="219">
    <w:name w:val="页脚 Char1"/>
    <w:semiHidden/>
    <w:qFormat/>
    <w:uiPriority w:val="0"/>
    <w:rPr>
      <w:sz w:val="20"/>
    </w:rPr>
  </w:style>
  <w:style w:type="character" w:customStyle="1" w:styleId="220">
    <w:name w:val="批注框文本 Char1"/>
    <w:semiHidden/>
    <w:qFormat/>
    <w:uiPriority w:val="0"/>
    <w:rPr>
      <w:sz w:val="20"/>
    </w:rPr>
  </w:style>
  <w:style w:type="paragraph" w:customStyle="1" w:styleId="221">
    <w:name w:val="列出段落2"/>
    <w:basedOn w:val="1"/>
    <w:next w:val="222"/>
    <w:qFormat/>
    <w:uiPriority w:val="0"/>
    <w:pPr>
      <w:ind w:firstLine="420"/>
    </w:pPr>
    <w:rPr>
      <w:rFonts w:hAnsi="Calibri"/>
      <w:kern w:val="0"/>
      <w:szCs w:val="20"/>
    </w:rPr>
  </w:style>
  <w:style w:type="paragraph" w:customStyle="1" w:styleId="222">
    <w:name w:val="toc 814"/>
    <w:next w:val="1"/>
    <w:qFormat/>
    <w:uiPriority w:val="0"/>
    <w:pPr>
      <w:wordWrap w:val="0"/>
      <w:ind w:left="2975"/>
      <w:jc w:val="both"/>
    </w:pPr>
    <w:rPr>
      <w:rFonts w:ascii="Calibri" w:hAnsi="Calibri" w:eastAsia="宋体" w:cs="Times New Roman"/>
      <w:sz w:val="21"/>
      <w:lang w:val="en-US" w:eastAsia="zh-CN" w:bidi="ar-SA"/>
    </w:rPr>
  </w:style>
  <w:style w:type="paragraph" w:customStyle="1" w:styleId="223">
    <w:name w:val="toc 62"/>
    <w:next w:val="1"/>
    <w:qFormat/>
    <w:uiPriority w:val="0"/>
    <w:pPr>
      <w:wordWrap w:val="0"/>
      <w:ind w:left="2125"/>
      <w:jc w:val="both"/>
    </w:pPr>
    <w:rPr>
      <w:rFonts w:ascii="Calibri" w:hAnsi="Calibri" w:eastAsia="宋体" w:cs="Times New Roman"/>
      <w:sz w:val="21"/>
      <w:lang w:val="en-US" w:eastAsia="zh-CN" w:bidi="ar-SA"/>
    </w:rPr>
  </w:style>
  <w:style w:type="paragraph" w:customStyle="1" w:styleId="224">
    <w:name w:val="toc 414"/>
    <w:next w:val="1"/>
    <w:qFormat/>
    <w:uiPriority w:val="0"/>
    <w:pPr>
      <w:wordWrap w:val="0"/>
      <w:ind w:left="1275"/>
      <w:jc w:val="both"/>
    </w:pPr>
    <w:rPr>
      <w:rFonts w:ascii="Calibri" w:hAnsi="Calibri" w:eastAsia="宋体" w:cs="Times New Roman"/>
      <w:sz w:val="21"/>
      <w:lang w:val="en-US" w:eastAsia="zh-CN" w:bidi="ar-SA"/>
    </w:rPr>
  </w:style>
  <w:style w:type="paragraph" w:customStyle="1" w:styleId="225">
    <w:name w:val="toc 411"/>
    <w:next w:val="1"/>
    <w:qFormat/>
    <w:uiPriority w:val="0"/>
    <w:pPr>
      <w:wordWrap w:val="0"/>
      <w:ind w:left="1275"/>
      <w:jc w:val="both"/>
    </w:pPr>
    <w:rPr>
      <w:rFonts w:ascii="Calibri" w:hAnsi="Calibri" w:eastAsia="宋体" w:cs="Times New Roman"/>
      <w:sz w:val="21"/>
      <w:lang w:val="en-US" w:eastAsia="zh-CN" w:bidi="ar-SA"/>
    </w:rPr>
  </w:style>
  <w:style w:type="paragraph" w:customStyle="1" w:styleId="226">
    <w:name w:val="xl86"/>
    <w:basedOn w:val="1"/>
    <w:next w:val="227"/>
    <w:qFormat/>
    <w:uiPriority w:val="0"/>
    <w:pPr>
      <w:widowControl/>
      <w:shd w:val="clear" w:color="000000" w:fill="FFFFFF"/>
      <w:spacing w:before="280" w:after="280"/>
      <w:jc w:val="center"/>
    </w:pPr>
    <w:rPr>
      <w:rFonts w:ascii="宋体" w:hAnsi="Calibri"/>
      <w:kern w:val="0"/>
      <w:sz w:val="20"/>
      <w:szCs w:val="20"/>
    </w:rPr>
  </w:style>
  <w:style w:type="paragraph" w:customStyle="1" w:styleId="227">
    <w:name w:val="toc 515"/>
    <w:next w:val="1"/>
    <w:qFormat/>
    <w:uiPriority w:val="0"/>
    <w:pPr>
      <w:wordWrap w:val="0"/>
      <w:ind w:left="1700"/>
      <w:jc w:val="both"/>
    </w:pPr>
    <w:rPr>
      <w:rFonts w:ascii="Calibri" w:hAnsi="Calibri" w:eastAsia="宋体" w:cs="Times New Roman"/>
      <w:sz w:val="21"/>
      <w:lang w:val="en-US" w:eastAsia="zh-CN" w:bidi="ar-SA"/>
    </w:rPr>
  </w:style>
  <w:style w:type="paragraph" w:customStyle="1" w:styleId="228">
    <w:name w:val="TOC Heading4"/>
    <w:next w:val="1"/>
    <w:qFormat/>
    <w:uiPriority w:val="0"/>
    <w:pPr>
      <w:wordWrap w:val="0"/>
    </w:pPr>
    <w:rPr>
      <w:rFonts w:ascii="Calibri" w:hAnsi="Calibri" w:eastAsia="宋体" w:cs="Times New Roman"/>
      <w:sz w:val="32"/>
      <w:lang w:val="en-US" w:eastAsia="zh-CN" w:bidi="ar-SA"/>
    </w:rPr>
  </w:style>
  <w:style w:type="paragraph" w:customStyle="1" w:styleId="229">
    <w:name w:val="toc 15"/>
    <w:next w:val="1"/>
    <w:qFormat/>
    <w:uiPriority w:val="0"/>
    <w:pPr>
      <w:wordWrap w:val="0"/>
      <w:jc w:val="both"/>
    </w:pPr>
    <w:rPr>
      <w:rFonts w:ascii="Calibri" w:hAnsi="Calibri" w:eastAsia="宋体" w:cs="Times New Roman"/>
      <w:sz w:val="21"/>
      <w:lang w:val="en-US" w:eastAsia="zh-CN" w:bidi="ar-SA"/>
    </w:rPr>
  </w:style>
  <w:style w:type="paragraph" w:customStyle="1" w:styleId="230">
    <w:name w:val="TOC Heading2"/>
    <w:next w:val="1"/>
    <w:qFormat/>
    <w:uiPriority w:val="0"/>
    <w:pPr>
      <w:wordWrap w:val="0"/>
    </w:pPr>
    <w:rPr>
      <w:rFonts w:ascii="Calibri" w:hAnsi="Calibri" w:eastAsia="宋体" w:cs="Times New Roman"/>
      <w:sz w:val="32"/>
      <w:lang w:val="en-US" w:eastAsia="zh-CN" w:bidi="ar-SA"/>
    </w:rPr>
  </w:style>
  <w:style w:type="paragraph" w:customStyle="1" w:styleId="231">
    <w:name w:val="TOC Heading1"/>
    <w:next w:val="1"/>
    <w:qFormat/>
    <w:uiPriority w:val="0"/>
    <w:pPr>
      <w:wordWrap w:val="0"/>
    </w:pPr>
    <w:rPr>
      <w:rFonts w:ascii="Calibri" w:hAnsi="Calibri" w:eastAsia="宋体" w:cs="Times New Roman"/>
      <w:sz w:val="32"/>
      <w:lang w:val="en-US" w:eastAsia="zh-CN" w:bidi="ar-SA"/>
    </w:rPr>
  </w:style>
  <w:style w:type="paragraph" w:customStyle="1" w:styleId="232">
    <w:name w:val="toc 73"/>
    <w:next w:val="1"/>
    <w:qFormat/>
    <w:uiPriority w:val="0"/>
    <w:pPr>
      <w:wordWrap w:val="0"/>
      <w:ind w:left="2550"/>
      <w:jc w:val="both"/>
    </w:pPr>
    <w:rPr>
      <w:rFonts w:ascii="Calibri" w:hAnsi="Calibri" w:eastAsia="宋体" w:cs="Times New Roman"/>
      <w:sz w:val="21"/>
      <w:lang w:val="en-US" w:eastAsia="zh-CN" w:bidi="ar-SA"/>
    </w:rPr>
  </w:style>
  <w:style w:type="paragraph" w:customStyle="1" w:styleId="233">
    <w:name w:val="font7"/>
    <w:basedOn w:val="1"/>
    <w:next w:val="234"/>
    <w:qFormat/>
    <w:uiPriority w:val="0"/>
    <w:pPr>
      <w:widowControl/>
      <w:spacing w:before="280" w:after="280"/>
    </w:pPr>
    <w:rPr>
      <w:rFonts w:ascii="Arial" w:hAnsi="Calibri"/>
      <w:kern w:val="0"/>
      <w:sz w:val="18"/>
      <w:szCs w:val="20"/>
    </w:rPr>
  </w:style>
  <w:style w:type="paragraph" w:customStyle="1" w:styleId="234">
    <w:name w:val="toc 810"/>
    <w:next w:val="1"/>
    <w:qFormat/>
    <w:uiPriority w:val="0"/>
    <w:pPr>
      <w:wordWrap w:val="0"/>
      <w:ind w:left="2975"/>
      <w:jc w:val="both"/>
    </w:pPr>
    <w:rPr>
      <w:rFonts w:ascii="Calibri" w:hAnsi="Calibri" w:eastAsia="宋体" w:cs="Times New Roman"/>
      <w:sz w:val="21"/>
      <w:lang w:val="en-US" w:eastAsia="zh-CN" w:bidi="ar-SA"/>
    </w:rPr>
  </w:style>
  <w:style w:type="paragraph" w:customStyle="1" w:styleId="235">
    <w:name w:val="xl113"/>
    <w:basedOn w:val="1"/>
    <w:next w:val="236"/>
    <w:qFormat/>
    <w:uiPriority w:val="0"/>
    <w:pPr>
      <w:widowControl/>
      <w:shd w:val="clear" w:color="000000" w:fill="FFFFFF"/>
      <w:spacing w:before="280" w:after="280"/>
      <w:jc w:val="center"/>
    </w:pPr>
    <w:rPr>
      <w:rFonts w:ascii="宋体" w:hAnsi="Calibri"/>
      <w:b/>
      <w:kern w:val="0"/>
      <w:sz w:val="20"/>
      <w:szCs w:val="20"/>
    </w:rPr>
  </w:style>
  <w:style w:type="paragraph" w:customStyle="1" w:styleId="236">
    <w:name w:val="TOC Heading10"/>
    <w:next w:val="1"/>
    <w:qFormat/>
    <w:uiPriority w:val="0"/>
    <w:pPr>
      <w:wordWrap w:val="0"/>
    </w:pPr>
    <w:rPr>
      <w:rFonts w:ascii="Calibri" w:hAnsi="Calibri" w:eastAsia="宋体" w:cs="Times New Roman"/>
      <w:sz w:val="32"/>
      <w:lang w:val="en-US" w:eastAsia="zh-CN" w:bidi="ar-SA"/>
    </w:rPr>
  </w:style>
  <w:style w:type="paragraph" w:customStyle="1" w:styleId="237">
    <w:name w:val="toc 89"/>
    <w:next w:val="1"/>
    <w:qFormat/>
    <w:uiPriority w:val="0"/>
    <w:pPr>
      <w:wordWrap w:val="0"/>
      <w:ind w:left="2975"/>
      <w:jc w:val="both"/>
    </w:pPr>
    <w:rPr>
      <w:rFonts w:ascii="Calibri" w:hAnsi="Calibri" w:eastAsia="宋体" w:cs="Times New Roman"/>
      <w:sz w:val="21"/>
      <w:lang w:val="en-US" w:eastAsia="zh-CN" w:bidi="ar-SA"/>
    </w:rPr>
  </w:style>
  <w:style w:type="paragraph" w:customStyle="1" w:styleId="238">
    <w:name w:val="xl73"/>
    <w:basedOn w:val="1"/>
    <w:next w:val="239"/>
    <w:qFormat/>
    <w:uiPriority w:val="0"/>
    <w:pPr>
      <w:widowControl/>
      <w:shd w:val="clear" w:color="000000" w:fill="FFFFFF"/>
      <w:spacing w:before="280" w:after="280"/>
      <w:jc w:val="center"/>
    </w:pPr>
    <w:rPr>
      <w:rFonts w:ascii="宋体" w:hAnsi="Calibri"/>
      <w:kern w:val="0"/>
      <w:sz w:val="20"/>
      <w:szCs w:val="20"/>
    </w:rPr>
  </w:style>
  <w:style w:type="paragraph" w:customStyle="1" w:styleId="239">
    <w:name w:val="toc 613"/>
    <w:next w:val="1"/>
    <w:qFormat/>
    <w:uiPriority w:val="0"/>
    <w:pPr>
      <w:wordWrap w:val="0"/>
      <w:ind w:left="2125"/>
      <w:jc w:val="both"/>
    </w:pPr>
    <w:rPr>
      <w:rFonts w:ascii="Calibri" w:hAnsi="Calibri" w:eastAsia="宋体" w:cs="Times New Roman"/>
      <w:sz w:val="21"/>
      <w:lang w:val="en-US" w:eastAsia="zh-CN" w:bidi="ar-SA"/>
    </w:rPr>
  </w:style>
  <w:style w:type="paragraph" w:customStyle="1" w:styleId="240">
    <w:name w:val="xl79"/>
    <w:basedOn w:val="1"/>
    <w:next w:val="241"/>
    <w:qFormat/>
    <w:uiPriority w:val="0"/>
    <w:pPr>
      <w:widowControl/>
      <w:shd w:val="clear" w:color="000000" w:fill="FFFFFF"/>
      <w:spacing w:before="280" w:after="280"/>
    </w:pPr>
    <w:rPr>
      <w:rFonts w:ascii="宋体" w:hAnsi="Calibri"/>
      <w:b/>
      <w:kern w:val="0"/>
      <w:sz w:val="20"/>
      <w:szCs w:val="20"/>
    </w:rPr>
  </w:style>
  <w:style w:type="paragraph" w:customStyle="1" w:styleId="241">
    <w:name w:val="toc 87"/>
    <w:next w:val="1"/>
    <w:qFormat/>
    <w:uiPriority w:val="0"/>
    <w:pPr>
      <w:wordWrap w:val="0"/>
      <w:ind w:left="2975"/>
      <w:jc w:val="both"/>
    </w:pPr>
    <w:rPr>
      <w:rFonts w:ascii="Calibri" w:hAnsi="Calibri" w:eastAsia="宋体" w:cs="Times New Roman"/>
      <w:sz w:val="21"/>
      <w:lang w:val="en-US" w:eastAsia="zh-CN" w:bidi="ar-SA"/>
    </w:rPr>
  </w:style>
  <w:style w:type="paragraph" w:customStyle="1" w:styleId="242">
    <w:name w:val="toc 11"/>
    <w:next w:val="1"/>
    <w:qFormat/>
    <w:uiPriority w:val="0"/>
    <w:pPr>
      <w:wordWrap w:val="0"/>
      <w:jc w:val="both"/>
    </w:pPr>
    <w:rPr>
      <w:rFonts w:ascii="Calibri" w:hAnsi="Calibri" w:eastAsia="宋体" w:cs="Times New Roman"/>
      <w:sz w:val="21"/>
      <w:lang w:val="en-US" w:eastAsia="zh-CN" w:bidi="ar-SA"/>
    </w:rPr>
  </w:style>
  <w:style w:type="paragraph" w:customStyle="1" w:styleId="243">
    <w:name w:val="toc 410"/>
    <w:next w:val="1"/>
    <w:qFormat/>
    <w:uiPriority w:val="0"/>
    <w:pPr>
      <w:wordWrap w:val="0"/>
      <w:ind w:left="1275"/>
      <w:jc w:val="both"/>
    </w:pPr>
    <w:rPr>
      <w:rFonts w:ascii="Calibri" w:hAnsi="Calibri" w:eastAsia="宋体" w:cs="Times New Roman"/>
      <w:sz w:val="21"/>
      <w:lang w:val="en-US" w:eastAsia="zh-CN" w:bidi="ar-SA"/>
    </w:rPr>
  </w:style>
  <w:style w:type="paragraph" w:customStyle="1" w:styleId="244">
    <w:name w:val="toc 611"/>
    <w:next w:val="1"/>
    <w:qFormat/>
    <w:uiPriority w:val="0"/>
    <w:pPr>
      <w:wordWrap w:val="0"/>
      <w:ind w:left="2125"/>
      <w:jc w:val="both"/>
    </w:pPr>
    <w:rPr>
      <w:rFonts w:ascii="Calibri" w:hAnsi="Calibri" w:eastAsia="宋体" w:cs="Times New Roman"/>
      <w:sz w:val="21"/>
      <w:lang w:val="en-US" w:eastAsia="zh-CN" w:bidi="ar-SA"/>
    </w:rPr>
  </w:style>
  <w:style w:type="paragraph" w:customStyle="1" w:styleId="245">
    <w:name w:val="xl112"/>
    <w:basedOn w:val="1"/>
    <w:next w:val="244"/>
    <w:qFormat/>
    <w:uiPriority w:val="0"/>
    <w:pPr>
      <w:widowControl/>
      <w:shd w:val="clear" w:color="000000" w:fill="FFFFFF"/>
      <w:spacing w:before="280" w:after="280"/>
      <w:jc w:val="center"/>
    </w:pPr>
    <w:rPr>
      <w:rFonts w:ascii="宋体" w:hAnsi="Calibri"/>
      <w:b/>
      <w:kern w:val="0"/>
      <w:sz w:val="20"/>
      <w:szCs w:val="20"/>
    </w:rPr>
  </w:style>
  <w:style w:type="paragraph" w:customStyle="1" w:styleId="246">
    <w:name w:val="toc 514"/>
    <w:next w:val="1"/>
    <w:qFormat/>
    <w:uiPriority w:val="0"/>
    <w:pPr>
      <w:wordWrap w:val="0"/>
      <w:ind w:left="1700"/>
      <w:jc w:val="both"/>
    </w:pPr>
    <w:rPr>
      <w:rFonts w:ascii="Calibri" w:hAnsi="Calibri" w:eastAsia="宋体" w:cs="Times New Roman"/>
      <w:sz w:val="21"/>
      <w:lang w:val="en-US" w:eastAsia="zh-CN" w:bidi="ar-SA"/>
    </w:rPr>
  </w:style>
  <w:style w:type="paragraph" w:customStyle="1" w:styleId="247">
    <w:name w:val="toc 44"/>
    <w:next w:val="1"/>
    <w:qFormat/>
    <w:uiPriority w:val="0"/>
    <w:pPr>
      <w:wordWrap w:val="0"/>
      <w:ind w:left="1275"/>
      <w:jc w:val="both"/>
    </w:pPr>
    <w:rPr>
      <w:rFonts w:ascii="Calibri" w:hAnsi="Calibri" w:eastAsia="宋体" w:cs="Times New Roman"/>
      <w:sz w:val="21"/>
      <w:lang w:val="en-US" w:eastAsia="zh-CN" w:bidi="ar-SA"/>
    </w:rPr>
  </w:style>
  <w:style w:type="paragraph" w:customStyle="1" w:styleId="248">
    <w:name w:val="toc 412"/>
    <w:next w:val="1"/>
    <w:qFormat/>
    <w:uiPriority w:val="0"/>
    <w:pPr>
      <w:wordWrap w:val="0"/>
      <w:ind w:left="1275"/>
      <w:jc w:val="both"/>
    </w:pPr>
    <w:rPr>
      <w:rFonts w:ascii="Calibri" w:hAnsi="Calibri" w:eastAsia="宋体" w:cs="Times New Roman"/>
      <w:sz w:val="21"/>
      <w:lang w:val="en-US" w:eastAsia="zh-CN" w:bidi="ar-SA"/>
    </w:rPr>
  </w:style>
  <w:style w:type="paragraph" w:customStyle="1" w:styleId="249">
    <w:name w:val="xl74"/>
    <w:basedOn w:val="1"/>
    <w:next w:val="250"/>
    <w:qFormat/>
    <w:uiPriority w:val="0"/>
    <w:pPr>
      <w:widowControl/>
      <w:shd w:val="clear" w:color="000000" w:fill="FFFFFF"/>
      <w:spacing w:before="280" w:after="280"/>
    </w:pPr>
    <w:rPr>
      <w:rFonts w:ascii="宋体" w:hAnsi="Calibri"/>
      <w:kern w:val="0"/>
      <w:sz w:val="20"/>
      <w:szCs w:val="20"/>
    </w:rPr>
  </w:style>
  <w:style w:type="paragraph" w:customStyle="1" w:styleId="250">
    <w:name w:val="toc 57"/>
    <w:next w:val="1"/>
    <w:qFormat/>
    <w:uiPriority w:val="0"/>
    <w:pPr>
      <w:wordWrap w:val="0"/>
      <w:ind w:left="1700"/>
      <w:jc w:val="both"/>
    </w:pPr>
    <w:rPr>
      <w:rFonts w:ascii="Calibri" w:hAnsi="Calibri" w:eastAsia="宋体" w:cs="Times New Roman"/>
      <w:sz w:val="21"/>
      <w:lang w:val="en-US" w:eastAsia="zh-CN" w:bidi="ar-SA"/>
    </w:rPr>
  </w:style>
  <w:style w:type="paragraph" w:customStyle="1" w:styleId="251">
    <w:name w:val="toc 912"/>
    <w:next w:val="1"/>
    <w:qFormat/>
    <w:uiPriority w:val="0"/>
    <w:pPr>
      <w:wordWrap w:val="0"/>
      <w:ind w:left="3400"/>
      <w:jc w:val="both"/>
    </w:pPr>
    <w:rPr>
      <w:rFonts w:ascii="Calibri" w:hAnsi="Calibri" w:eastAsia="宋体" w:cs="Times New Roman"/>
      <w:sz w:val="21"/>
      <w:lang w:val="en-US" w:eastAsia="zh-CN" w:bidi="ar-SA"/>
    </w:rPr>
  </w:style>
  <w:style w:type="paragraph" w:customStyle="1" w:styleId="252">
    <w:name w:val="toc 91"/>
    <w:next w:val="1"/>
    <w:qFormat/>
    <w:uiPriority w:val="0"/>
    <w:pPr>
      <w:wordWrap w:val="0"/>
      <w:ind w:left="3400"/>
      <w:jc w:val="both"/>
    </w:pPr>
    <w:rPr>
      <w:rFonts w:ascii="Calibri" w:hAnsi="Calibri" w:eastAsia="宋体" w:cs="Times New Roman"/>
      <w:sz w:val="21"/>
      <w:lang w:val="en-US" w:eastAsia="zh-CN" w:bidi="ar-SA"/>
    </w:rPr>
  </w:style>
  <w:style w:type="paragraph" w:customStyle="1" w:styleId="253">
    <w:name w:val="toc 38"/>
    <w:next w:val="1"/>
    <w:qFormat/>
    <w:uiPriority w:val="0"/>
    <w:pPr>
      <w:wordWrap w:val="0"/>
      <w:ind w:left="850"/>
      <w:jc w:val="both"/>
    </w:pPr>
    <w:rPr>
      <w:rFonts w:ascii="Calibri" w:hAnsi="Calibri" w:eastAsia="宋体" w:cs="Times New Roman"/>
      <w:sz w:val="21"/>
      <w:lang w:val="en-US" w:eastAsia="zh-CN" w:bidi="ar-SA"/>
    </w:rPr>
  </w:style>
  <w:style w:type="paragraph" w:customStyle="1" w:styleId="254">
    <w:name w:val="toc 95"/>
    <w:next w:val="1"/>
    <w:qFormat/>
    <w:uiPriority w:val="0"/>
    <w:pPr>
      <w:wordWrap w:val="0"/>
      <w:ind w:left="3400"/>
      <w:jc w:val="both"/>
    </w:pPr>
    <w:rPr>
      <w:rFonts w:ascii="Calibri" w:hAnsi="Calibri" w:eastAsia="宋体" w:cs="Times New Roman"/>
      <w:sz w:val="21"/>
      <w:lang w:val="en-US" w:eastAsia="zh-CN" w:bidi="ar-SA"/>
    </w:rPr>
  </w:style>
  <w:style w:type="paragraph" w:customStyle="1" w:styleId="255">
    <w:name w:val="列出段落5"/>
    <w:basedOn w:val="1"/>
    <w:next w:val="256"/>
    <w:qFormat/>
    <w:uiPriority w:val="0"/>
    <w:pPr>
      <w:ind w:firstLine="420"/>
    </w:pPr>
    <w:rPr>
      <w:rFonts w:hAnsi="Calibri"/>
      <w:kern w:val="0"/>
      <w:szCs w:val="20"/>
    </w:rPr>
  </w:style>
  <w:style w:type="paragraph" w:customStyle="1" w:styleId="256">
    <w:name w:val="toc 312"/>
    <w:next w:val="1"/>
    <w:qFormat/>
    <w:uiPriority w:val="0"/>
    <w:pPr>
      <w:wordWrap w:val="0"/>
      <w:ind w:left="850"/>
      <w:jc w:val="both"/>
    </w:pPr>
    <w:rPr>
      <w:rFonts w:ascii="Calibri" w:hAnsi="Calibri" w:eastAsia="宋体" w:cs="Times New Roman"/>
      <w:sz w:val="21"/>
      <w:lang w:val="en-US" w:eastAsia="zh-CN" w:bidi="ar-SA"/>
    </w:rPr>
  </w:style>
  <w:style w:type="paragraph" w:customStyle="1" w:styleId="257">
    <w:name w:val="xl66"/>
    <w:basedOn w:val="1"/>
    <w:next w:val="258"/>
    <w:qFormat/>
    <w:uiPriority w:val="0"/>
    <w:pPr>
      <w:widowControl/>
      <w:shd w:val="clear" w:color="000000" w:fill="FFFFFF"/>
      <w:spacing w:before="280" w:after="280"/>
    </w:pPr>
    <w:rPr>
      <w:rFonts w:ascii="宋体" w:hAnsi="Calibri"/>
      <w:kern w:val="0"/>
      <w:sz w:val="20"/>
      <w:szCs w:val="20"/>
    </w:rPr>
  </w:style>
  <w:style w:type="paragraph" w:customStyle="1" w:styleId="258">
    <w:name w:val="toc 56"/>
    <w:next w:val="1"/>
    <w:qFormat/>
    <w:uiPriority w:val="0"/>
    <w:pPr>
      <w:wordWrap w:val="0"/>
      <w:ind w:left="1700"/>
      <w:jc w:val="both"/>
    </w:pPr>
    <w:rPr>
      <w:rFonts w:ascii="Calibri" w:hAnsi="Calibri" w:eastAsia="宋体" w:cs="Times New Roman"/>
      <w:sz w:val="21"/>
      <w:lang w:val="en-US" w:eastAsia="zh-CN" w:bidi="ar-SA"/>
    </w:rPr>
  </w:style>
  <w:style w:type="paragraph" w:customStyle="1" w:styleId="259">
    <w:name w:val="TOC Heading3"/>
    <w:next w:val="1"/>
    <w:qFormat/>
    <w:uiPriority w:val="0"/>
    <w:pPr>
      <w:wordWrap w:val="0"/>
    </w:pPr>
    <w:rPr>
      <w:rFonts w:ascii="Calibri" w:hAnsi="Calibri" w:eastAsia="宋体" w:cs="Times New Roman"/>
      <w:sz w:val="32"/>
      <w:lang w:val="en-US" w:eastAsia="zh-CN" w:bidi="ar-SA"/>
    </w:rPr>
  </w:style>
  <w:style w:type="paragraph" w:customStyle="1" w:styleId="260">
    <w:name w:val="toc 65"/>
    <w:next w:val="1"/>
    <w:qFormat/>
    <w:uiPriority w:val="0"/>
    <w:pPr>
      <w:wordWrap w:val="0"/>
      <w:ind w:left="2125"/>
      <w:jc w:val="both"/>
    </w:pPr>
    <w:rPr>
      <w:rFonts w:ascii="Calibri" w:hAnsi="Calibri" w:eastAsia="宋体" w:cs="Times New Roman"/>
      <w:sz w:val="21"/>
      <w:lang w:val="en-US" w:eastAsia="zh-CN" w:bidi="ar-SA"/>
    </w:rPr>
  </w:style>
  <w:style w:type="paragraph" w:customStyle="1" w:styleId="261">
    <w:name w:val="toc 25"/>
    <w:next w:val="1"/>
    <w:qFormat/>
    <w:uiPriority w:val="0"/>
    <w:pPr>
      <w:wordWrap w:val="0"/>
      <w:ind w:left="425"/>
      <w:jc w:val="both"/>
    </w:pPr>
    <w:rPr>
      <w:rFonts w:ascii="Calibri" w:hAnsi="Calibri" w:eastAsia="宋体" w:cs="Times New Roman"/>
      <w:sz w:val="21"/>
      <w:lang w:val="en-US" w:eastAsia="zh-CN" w:bidi="ar-SA"/>
    </w:rPr>
  </w:style>
  <w:style w:type="paragraph" w:customStyle="1" w:styleId="262">
    <w:name w:val="xl84"/>
    <w:basedOn w:val="1"/>
    <w:next w:val="263"/>
    <w:qFormat/>
    <w:uiPriority w:val="0"/>
    <w:pPr>
      <w:widowControl/>
      <w:shd w:val="clear" w:color="000000" w:fill="FFFFFF"/>
      <w:spacing w:before="280" w:after="280"/>
      <w:jc w:val="center"/>
    </w:pPr>
    <w:rPr>
      <w:rFonts w:ascii="宋体" w:hAnsi="Calibri"/>
      <w:kern w:val="0"/>
      <w:sz w:val="20"/>
      <w:szCs w:val="20"/>
    </w:rPr>
  </w:style>
  <w:style w:type="paragraph" w:customStyle="1" w:styleId="263">
    <w:name w:val="toc 99"/>
    <w:next w:val="1"/>
    <w:qFormat/>
    <w:uiPriority w:val="0"/>
    <w:pPr>
      <w:wordWrap w:val="0"/>
      <w:ind w:left="3400"/>
      <w:jc w:val="both"/>
    </w:pPr>
    <w:rPr>
      <w:rFonts w:ascii="Calibri" w:hAnsi="Calibri" w:eastAsia="宋体" w:cs="Times New Roman"/>
      <w:sz w:val="21"/>
      <w:lang w:val="en-US" w:eastAsia="zh-CN" w:bidi="ar-SA"/>
    </w:rPr>
  </w:style>
  <w:style w:type="paragraph" w:customStyle="1" w:styleId="264">
    <w:name w:val="xl81"/>
    <w:basedOn w:val="1"/>
    <w:next w:val="265"/>
    <w:qFormat/>
    <w:uiPriority w:val="0"/>
    <w:pPr>
      <w:widowControl/>
      <w:shd w:val="clear" w:color="000000" w:fill="FFFFFF"/>
      <w:spacing w:before="280" w:after="280"/>
    </w:pPr>
    <w:rPr>
      <w:rFonts w:ascii="宋体" w:hAnsi="Calibri"/>
      <w:kern w:val="0"/>
      <w:sz w:val="20"/>
      <w:szCs w:val="20"/>
    </w:rPr>
  </w:style>
  <w:style w:type="paragraph" w:customStyle="1" w:styleId="265">
    <w:name w:val="toc 59"/>
    <w:next w:val="1"/>
    <w:qFormat/>
    <w:uiPriority w:val="0"/>
    <w:pPr>
      <w:wordWrap w:val="0"/>
      <w:ind w:left="1700"/>
      <w:jc w:val="both"/>
    </w:pPr>
    <w:rPr>
      <w:rFonts w:ascii="Calibri" w:hAnsi="Calibri" w:eastAsia="宋体" w:cs="Times New Roman"/>
      <w:sz w:val="21"/>
      <w:lang w:val="en-US" w:eastAsia="zh-CN" w:bidi="ar-SA"/>
    </w:rPr>
  </w:style>
  <w:style w:type="paragraph" w:customStyle="1" w:styleId="266">
    <w:name w:val="目录 11"/>
    <w:next w:val="1"/>
    <w:qFormat/>
    <w:uiPriority w:val="0"/>
    <w:pPr>
      <w:wordWrap w:val="0"/>
      <w:jc w:val="both"/>
    </w:pPr>
    <w:rPr>
      <w:rFonts w:ascii="Calibri" w:hAnsi="Calibri" w:eastAsia="宋体" w:cs="Times New Roman"/>
      <w:sz w:val="21"/>
      <w:lang w:val="en-US" w:eastAsia="zh-CN" w:bidi="ar-SA"/>
    </w:rPr>
  </w:style>
  <w:style w:type="paragraph" w:customStyle="1" w:styleId="267">
    <w:name w:val="toc 513"/>
    <w:next w:val="1"/>
    <w:qFormat/>
    <w:uiPriority w:val="0"/>
    <w:pPr>
      <w:wordWrap w:val="0"/>
      <w:ind w:left="1700"/>
      <w:jc w:val="both"/>
    </w:pPr>
    <w:rPr>
      <w:rFonts w:ascii="Calibri" w:hAnsi="Calibri" w:eastAsia="宋体" w:cs="Times New Roman"/>
      <w:sz w:val="21"/>
      <w:lang w:val="en-US" w:eastAsia="zh-CN" w:bidi="ar-SA"/>
    </w:rPr>
  </w:style>
  <w:style w:type="paragraph" w:customStyle="1" w:styleId="268">
    <w:name w:val="TOC Heading12"/>
    <w:next w:val="1"/>
    <w:qFormat/>
    <w:uiPriority w:val="0"/>
    <w:pPr>
      <w:wordWrap w:val="0"/>
    </w:pPr>
    <w:rPr>
      <w:rFonts w:ascii="Calibri" w:hAnsi="Calibri" w:eastAsia="宋体" w:cs="Times New Roman"/>
      <w:sz w:val="32"/>
      <w:lang w:val="en-US" w:eastAsia="zh-CN" w:bidi="ar-SA"/>
    </w:rPr>
  </w:style>
  <w:style w:type="paragraph" w:customStyle="1" w:styleId="269">
    <w:name w:val="TOC Heading8"/>
    <w:next w:val="1"/>
    <w:qFormat/>
    <w:uiPriority w:val="0"/>
    <w:pPr>
      <w:wordWrap w:val="0"/>
    </w:pPr>
    <w:rPr>
      <w:rFonts w:ascii="Calibri" w:hAnsi="Calibri" w:eastAsia="宋体" w:cs="Times New Roman"/>
      <w:sz w:val="32"/>
      <w:lang w:val="en-US" w:eastAsia="zh-CN" w:bidi="ar-SA"/>
    </w:rPr>
  </w:style>
  <w:style w:type="paragraph" w:customStyle="1" w:styleId="270">
    <w:name w:val="toc 711"/>
    <w:next w:val="1"/>
    <w:qFormat/>
    <w:uiPriority w:val="0"/>
    <w:pPr>
      <w:wordWrap w:val="0"/>
      <w:ind w:left="2550"/>
      <w:jc w:val="both"/>
    </w:pPr>
    <w:rPr>
      <w:rFonts w:ascii="Calibri" w:hAnsi="Calibri" w:eastAsia="宋体" w:cs="Times New Roman"/>
      <w:sz w:val="21"/>
      <w:lang w:val="en-US" w:eastAsia="zh-CN" w:bidi="ar-SA"/>
    </w:rPr>
  </w:style>
  <w:style w:type="paragraph" w:customStyle="1" w:styleId="271">
    <w:name w:val="toc 212"/>
    <w:next w:val="1"/>
    <w:qFormat/>
    <w:uiPriority w:val="0"/>
    <w:pPr>
      <w:wordWrap w:val="0"/>
      <w:ind w:left="425"/>
      <w:jc w:val="both"/>
    </w:pPr>
    <w:rPr>
      <w:rFonts w:ascii="Calibri" w:hAnsi="Calibri" w:eastAsia="宋体" w:cs="Times New Roman"/>
      <w:sz w:val="21"/>
      <w:lang w:val="en-US" w:eastAsia="zh-CN" w:bidi="ar-SA"/>
    </w:rPr>
  </w:style>
  <w:style w:type="paragraph" w:customStyle="1" w:styleId="272">
    <w:name w:val="目录 21"/>
    <w:next w:val="1"/>
    <w:qFormat/>
    <w:uiPriority w:val="0"/>
    <w:pPr>
      <w:wordWrap w:val="0"/>
      <w:ind w:left="425"/>
      <w:jc w:val="both"/>
    </w:pPr>
    <w:rPr>
      <w:rFonts w:ascii="Calibri" w:hAnsi="Calibri" w:eastAsia="宋体" w:cs="Times New Roman"/>
      <w:sz w:val="21"/>
      <w:lang w:val="en-US" w:eastAsia="zh-CN" w:bidi="ar-SA"/>
    </w:rPr>
  </w:style>
  <w:style w:type="paragraph" w:customStyle="1" w:styleId="273">
    <w:name w:val="toc 45"/>
    <w:next w:val="1"/>
    <w:qFormat/>
    <w:uiPriority w:val="0"/>
    <w:pPr>
      <w:wordWrap w:val="0"/>
      <w:ind w:left="1275"/>
      <w:jc w:val="both"/>
    </w:pPr>
    <w:rPr>
      <w:rFonts w:ascii="Calibri" w:hAnsi="Calibri" w:eastAsia="宋体" w:cs="Times New Roman"/>
      <w:sz w:val="21"/>
      <w:lang w:val="en-US" w:eastAsia="zh-CN" w:bidi="ar-SA"/>
    </w:rPr>
  </w:style>
  <w:style w:type="paragraph" w:customStyle="1" w:styleId="274">
    <w:name w:val="xl116"/>
    <w:basedOn w:val="1"/>
    <w:next w:val="275"/>
    <w:qFormat/>
    <w:uiPriority w:val="0"/>
    <w:pPr>
      <w:widowControl/>
      <w:shd w:val="clear" w:color="000000" w:fill="FFFFFF"/>
      <w:spacing w:before="280" w:after="280"/>
      <w:jc w:val="center"/>
    </w:pPr>
    <w:rPr>
      <w:rFonts w:ascii="Arial Narrow" w:hAnsi="Calibri"/>
      <w:kern w:val="0"/>
      <w:sz w:val="20"/>
      <w:szCs w:val="20"/>
    </w:rPr>
  </w:style>
  <w:style w:type="paragraph" w:customStyle="1" w:styleId="275">
    <w:name w:val="toc 78"/>
    <w:next w:val="1"/>
    <w:qFormat/>
    <w:uiPriority w:val="0"/>
    <w:pPr>
      <w:wordWrap w:val="0"/>
      <w:ind w:left="2550"/>
      <w:jc w:val="both"/>
    </w:pPr>
    <w:rPr>
      <w:rFonts w:ascii="Calibri" w:hAnsi="Calibri" w:eastAsia="宋体" w:cs="Times New Roman"/>
      <w:sz w:val="21"/>
      <w:lang w:val="en-US" w:eastAsia="zh-CN" w:bidi="ar-SA"/>
    </w:rPr>
  </w:style>
  <w:style w:type="paragraph" w:customStyle="1" w:styleId="276">
    <w:name w:val="font8"/>
    <w:basedOn w:val="1"/>
    <w:next w:val="277"/>
    <w:qFormat/>
    <w:uiPriority w:val="0"/>
    <w:pPr>
      <w:widowControl/>
      <w:spacing w:before="280" w:after="280"/>
    </w:pPr>
    <w:rPr>
      <w:rFonts w:ascii="Arial" w:hAnsi="Calibri"/>
      <w:kern w:val="0"/>
      <w:sz w:val="20"/>
      <w:szCs w:val="20"/>
    </w:rPr>
  </w:style>
  <w:style w:type="paragraph" w:customStyle="1" w:styleId="277">
    <w:name w:val="TOC Heading11"/>
    <w:next w:val="1"/>
    <w:qFormat/>
    <w:uiPriority w:val="0"/>
    <w:pPr>
      <w:wordWrap w:val="0"/>
    </w:pPr>
    <w:rPr>
      <w:rFonts w:ascii="Calibri" w:hAnsi="Calibri" w:eastAsia="宋体" w:cs="Times New Roman"/>
      <w:sz w:val="32"/>
      <w:lang w:val="en-US" w:eastAsia="zh-CN" w:bidi="ar-SA"/>
    </w:rPr>
  </w:style>
  <w:style w:type="paragraph" w:customStyle="1" w:styleId="278">
    <w:name w:val="xl69"/>
    <w:basedOn w:val="1"/>
    <w:next w:val="279"/>
    <w:qFormat/>
    <w:uiPriority w:val="0"/>
    <w:pPr>
      <w:widowControl/>
      <w:shd w:val="clear" w:color="000000" w:fill="FFFFFF"/>
      <w:spacing w:before="280" w:after="280"/>
    </w:pPr>
    <w:rPr>
      <w:rFonts w:ascii="宋体" w:hAnsi="Calibri"/>
      <w:b/>
      <w:kern w:val="0"/>
      <w:sz w:val="20"/>
      <w:szCs w:val="20"/>
    </w:rPr>
  </w:style>
  <w:style w:type="paragraph" w:customStyle="1" w:styleId="279">
    <w:name w:val="toc 48"/>
    <w:next w:val="1"/>
    <w:qFormat/>
    <w:uiPriority w:val="0"/>
    <w:pPr>
      <w:wordWrap w:val="0"/>
      <w:ind w:left="1275"/>
      <w:jc w:val="both"/>
    </w:pPr>
    <w:rPr>
      <w:rFonts w:ascii="Calibri" w:hAnsi="Calibri" w:eastAsia="宋体" w:cs="Times New Roman"/>
      <w:sz w:val="21"/>
      <w:lang w:val="en-US" w:eastAsia="zh-CN" w:bidi="ar-SA"/>
    </w:rPr>
  </w:style>
  <w:style w:type="paragraph" w:customStyle="1" w:styleId="280">
    <w:name w:val="toc 813"/>
    <w:next w:val="1"/>
    <w:qFormat/>
    <w:uiPriority w:val="0"/>
    <w:pPr>
      <w:wordWrap w:val="0"/>
      <w:ind w:left="2975"/>
      <w:jc w:val="both"/>
    </w:pPr>
    <w:rPr>
      <w:rFonts w:ascii="Calibri" w:hAnsi="Calibri" w:eastAsia="宋体" w:cs="Times New Roman"/>
      <w:sz w:val="21"/>
      <w:lang w:val="en-US" w:eastAsia="zh-CN" w:bidi="ar-SA"/>
    </w:rPr>
  </w:style>
  <w:style w:type="paragraph" w:customStyle="1" w:styleId="281">
    <w:name w:val="目录 91"/>
    <w:next w:val="1"/>
    <w:qFormat/>
    <w:uiPriority w:val="0"/>
    <w:pPr>
      <w:wordWrap w:val="0"/>
      <w:ind w:left="3400"/>
      <w:jc w:val="both"/>
    </w:pPr>
    <w:rPr>
      <w:rFonts w:ascii="Calibri" w:hAnsi="Calibri" w:eastAsia="宋体" w:cs="Times New Roman"/>
      <w:sz w:val="21"/>
      <w:lang w:val="en-US" w:eastAsia="zh-CN" w:bidi="ar-SA"/>
    </w:rPr>
  </w:style>
  <w:style w:type="paragraph" w:customStyle="1" w:styleId="282">
    <w:name w:val="列出段落3"/>
    <w:basedOn w:val="1"/>
    <w:next w:val="283"/>
    <w:qFormat/>
    <w:uiPriority w:val="0"/>
    <w:pPr>
      <w:ind w:firstLine="420"/>
    </w:pPr>
    <w:rPr>
      <w:rFonts w:hAnsi="Calibri"/>
      <w:kern w:val="0"/>
      <w:szCs w:val="20"/>
    </w:rPr>
  </w:style>
  <w:style w:type="paragraph" w:customStyle="1" w:styleId="283">
    <w:name w:val="toc 213"/>
    <w:next w:val="1"/>
    <w:qFormat/>
    <w:uiPriority w:val="0"/>
    <w:pPr>
      <w:wordWrap w:val="0"/>
      <w:ind w:left="425"/>
      <w:jc w:val="both"/>
    </w:pPr>
    <w:rPr>
      <w:rFonts w:ascii="Calibri" w:hAnsi="Calibri" w:eastAsia="宋体" w:cs="Times New Roman"/>
      <w:sz w:val="21"/>
      <w:lang w:val="en-US" w:eastAsia="zh-CN" w:bidi="ar-SA"/>
    </w:rPr>
  </w:style>
  <w:style w:type="paragraph" w:customStyle="1" w:styleId="284">
    <w:name w:val="TOC 标题1"/>
    <w:next w:val="1"/>
    <w:qFormat/>
    <w:uiPriority w:val="0"/>
    <w:pPr>
      <w:wordWrap w:val="0"/>
    </w:pPr>
    <w:rPr>
      <w:rFonts w:ascii="Calibri" w:hAnsi="Calibri" w:eastAsia="宋体" w:cs="Times New Roman"/>
      <w:sz w:val="32"/>
      <w:lang w:val="en-US" w:eastAsia="zh-CN" w:bidi="ar-SA"/>
    </w:rPr>
  </w:style>
  <w:style w:type="paragraph" w:customStyle="1" w:styleId="285">
    <w:name w:val="TOC Heading5"/>
    <w:next w:val="1"/>
    <w:qFormat/>
    <w:uiPriority w:val="0"/>
    <w:pPr>
      <w:wordWrap w:val="0"/>
    </w:pPr>
    <w:rPr>
      <w:rFonts w:ascii="Calibri" w:hAnsi="Calibri" w:eastAsia="宋体" w:cs="Times New Roman"/>
      <w:sz w:val="32"/>
      <w:lang w:val="en-US" w:eastAsia="zh-CN" w:bidi="ar-SA"/>
    </w:rPr>
  </w:style>
  <w:style w:type="paragraph" w:customStyle="1" w:styleId="286">
    <w:name w:val="toc 313"/>
    <w:next w:val="1"/>
    <w:qFormat/>
    <w:uiPriority w:val="0"/>
    <w:pPr>
      <w:wordWrap w:val="0"/>
      <w:ind w:left="850"/>
      <w:jc w:val="both"/>
    </w:pPr>
    <w:rPr>
      <w:rFonts w:ascii="Calibri" w:hAnsi="Calibri" w:eastAsia="宋体" w:cs="Times New Roman"/>
      <w:sz w:val="21"/>
      <w:lang w:val="en-US" w:eastAsia="zh-CN" w:bidi="ar-SA"/>
    </w:rPr>
  </w:style>
  <w:style w:type="paragraph" w:customStyle="1" w:styleId="287">
    <w:name w:val="toc 716"/>
    <w:next w:val="1"/>
    <w:qFormat/>
    <w:uiPriority w:val="0"/>
    <w:pPr>
      <w:wordWrap w:val="0"/>
      <w:ind w:left="2550"/>
      <w:jc w:val="both"/>
    </w:pPr>
    <w:rPr>
      <w:rFonts w:ascii="Calibri" w:hAnsi="Calibri" w:eastAsia="宋体" w:cs="Times New Roman"/>
      <w:sz w:val="21"/>
      <w:lang w:val="en-US" w:eastAsia="zh-CN" w:bidi="ar-SA"/>
    </w:rPr>
  </w:style>
  <w:style w:type="paragraph" w:customStyle="1" w:styleId="288">
    <w:name w:val="xl115"/>
    <w:basedOn w:val="1"/>
    <w:next w:val="289"/>
    <w:qFormat/>
    <w:uiPriority w:val="0"/>
    <w:pPr>
      <w:widowControl/>
      <w:shd w:val="clear" w:color="000000" w:fill="FFFFFF"/>
      <w:spacing w:before="280" w:after="280"/>
      <w:jc w:val="center"/>
    </w:pPr>
    <w:rPr>
      <w:rFonts w:ascii="宋体" w:hAnsi="Calibri"/>
      <w:b/>
      <w:kern w:val="0"/>
      <w:sz w:val="20"/>
      <w:szCs w:val="20"/>
    </w:rPr>
  </w:style>
  <w:style w:type="paragraph" w:customStyle="1" w:styleId="289">
    <w:name w:val="toc 712"/>
    <w:next w:val="1"/>
    <w:qFormat/>
    <w:uiPriority w:val="0"/>
    <w:pPr>
      <w:wordWrap w:val="0"/>
      <w:ind w:left="2550"/>
      <w:jc w:val="both"/>
    </w:pPr>
    <w:rPr>
      <w:rFonts w:ascii="Calibri" w:hAnsi="Calibri" w:eastAsia="宋体" w:cs="Times New Roman"/>
      <w:sz w:val="21"/>
      <w:lang w:val="en-US" w:eastAsia="zh-CN" w:bidi="ar-SA"/>
    </w:rPr>
  </w:style>
  <w:style w:type="paragraph" w:customStyle="1" w:styleId="290">
    <w:name w:val="toc 64"/>
    <w:next w:val="1"/>
    <w:qFormat/>
    <w:uiPriority w:val="0"/>
    <w:pPr>
      <w:wordWrap w:val="0"/>
      <w:ind w:left="2125"/>
      <w:jc w:val="both"/>
    </w:pPr>
    <w:rPr>
      <w:rFonts w:ascii="Calibri" w:hAnsi="Calibri" w:eastAsia="宋体" w:cs="Times New Roman"/>
      <w:sz w:val="21"/>
      <w:lang w:val="en-US" w:eastAsia="zh-CN" w:bidi="ar-SA"/>
    </w:rPr>
  </w:style>
  <w:style w:type="paragraph" w:customStyle="1" w:styleId="291">
    <w:name w:val="toc 24"/>
    <w:next w:val="1"/>
    <w:qFormat/>
    <w:uiPriority w:val="0"/>
    <w:pPr>
      <w:wordWrap w:val="0"/>
      <w:ind w:left="425"/>
      <w:jc w:val="both"/>
    </w:pPr>
    <w:rPr>
      <w:rFonts w:ascii="Calibri" w:hAnsi="Calibri" w:eastAsia="宋体" w:cs="Times New Roman"/>
      <w:sz w:val="21"/>
      <w:lang w:val="en-US" w:eastAsia="zh-CN" w:bidi="ar-SA"/>
    </w:rPr>
  </w:style>
  <w:style w:type="paragraph" w:customStyle="1" w:styleId="292">
    <w:name w:val="toc 54"/>
    <w:next w:val="1"/>
    <w:qFormat/>
    <w:uiPriority w:val="0"/>
    <w:pPr>
      <w:wordWrap w:val="0"/>
      <w:ind w:left="1700"/>
      <w:jc w:val="both"/>
    </w:pPr>
    <w:rPr>
      <w:rFonts w:ascii="Calibri" w:hAnsi="Calibri" w:eastAsia="宋体" w:cs="Times New Roman"/>
      <w:sz w:val="21"/>
      <w:lang w:val="en-US" w:eastAsia="zh-CN" w:bidi="ar-SA"/>
    </w:rPr>
  </w:style>
  <w:style w:type="paragraph" w:customStyle="1" w:styleId="293">
    <w:name w:val="xl93"/>
    <w:basedOn w:val="1"/>
    <w:next w:val="294"/>
    <w:qFormat/>
    <w:uiPriority w:val="0"/>
    <w:pPr>
      <w:widowControl/>
      <w:shd w:val="clear" w:color="000000" w:fill="FFFFFF"/>
      <w:spacing w:before="280" w:after="280"/>
      <w:jc w:val="center"/>
    </w:pPr>
    <w:rPr>
      <w:rFonts w:ascii="宋体" w:hAnsi="Calibri"/>
      <w:kern w:val="0"/>
      <w:sz w:val="20"/>
      <w:szCs w:val="20"/>
    </w:rPr>
  </w:style>
  <w:style w:type="paragraph" w:customStyle="1" w:styleId="294">
    <w:name w:val="toc 112"/>
    <w:next w:val="1"/>
    <w:qFormat/>
    <w:uiPriority w:val="0"/>
    <w:pPr>
      <w:wordWrap w:val="0"/>
      <w:jc w:val="both"/>
    </w:pPr>
    <w:rPr>
      <w:rFonts w:ascii="Calibri" w:hAnsi="Calibri" w:eastAsia="宋体" w:cs="Times New Roman"/>
      <w:sz w:val="21"/>
      <w:lang w:val="en-US" w:eastAsia="zh-CN" w:bidi="ar-SA"/>
    </w:rPr>
  </w:style>
  <w:style w:type="paragraph" w:customStyle="1" w:styleId="295">
    <w:name w:val="xl96"/>
    <w:basedOn w:val="1"/>
    <w:next w:val="246"/>
    <w:qFormat/>
    <w:uiPriority w:val="0"/>
    <w:pPr>
      <w:widowControl/>
      <w:shd w:val="clear" w:color="000000" w:fill="FFFFFF"/>
      <w:spacing w:before="280" w:after="280"/>
      <w:jc w:val="center"/>
    </w:pPr>
    <w:rPr>
      <w:rFonts w:ascii="宋体" w:hAnsi="Calibri"/>
      <w:kern w:val="0"/>
      <w:sz w:val="20"/>
      <w:szCs w:val="20"/>
    </w:rPr>
  </w:style>
  <w:style w:type="paragraph" w:customStyle="1" w:styleId="296">
    <w:name w:val="xl106"/>
    <w:basedOn w:val="1"/>
    <w:next w:val="280"/>
    <w:qFormat/>
    <w:uiPriority w:val="0"/>
    <w:pPr>
      <w:widowControl/>
      <w:shd w:val="clear" w:color="000000" w:fill="FFFFFF"/>
      <w:spacing w:before="280" w:after="280"/>
    </w:pPr>
    <w:rPr>
      <w:rFonts w:ascii="宋体" w:hAnsi="Calibri"/>
      <w:kern w:val="0"/>
      <w:sz w:val="20"/>
      <w:szCs w:val="20"/>
    </w:rPr>
  </w:style>
  <w:style w:type="paragraph" w:customStyle="1" w:styleId="297">
    <w:name w:val="toc 35"/>
    <w:next w:val="1"/>
    <w:qFormat/>
    <w:uiPriority w:val="0"/>
    <w:pPr>
      <w:wordWrap w:val="0"/>
      <w:ind w:left="850"/>
      <w:jc w:val="both"/>
    </w:pPr>
    <w:rPr>
      <w:rFonts w:ascii="Calibri" w:hAnsi="Calibri" w:eastAsia="宋体" w:cs="Times New Roman"/>
      <w:sz w:val="21"/>
      <w:lang w:val="en-US" w:eastAsia="zh-CN" w:bidi="ar-SA"/>
    </w:rPr>
  </w:style>
  <w:style w:type="paragraph" w:customStyle="1" w:styleId="298">
    <w:name w:val="TOC Heading14"/>
    <w:next w:val="1"/>
    <w:qFormat/>
    <w:uiPriority w:val="0"/>
    <w:pPr>
      <w:wordWrap w:val="0"/>
    </w:pPr>
    <w:rPr>
      <w:rFonts w:ascii="Calibri" w:hAnsi="Calibri" w:eastAsia="宋体" w:cs="Times New Roman"/>
      <w:sz w:val="32"/>
      <w:lang w:val="en-US" w:eastAsia="zh-CN" w:bidi="ar-SA"/>
    </w:rPr>
  </w:style>
  <w:style w:type="paragraph" w:customStyle="1" w:styleId="299">
    <w:name w:val="Char Char Char Char Char Char Char1"/>
    <w:basedOn w:val="1"/>
    <w:next w:val="300"/>
    <w:qFormat/>
    <w:uiPriority w:val="0"/>
    <w:pPr>
      <w:widowControl/>
      <w:spacing w:after="160" w:line="240" w:lineRule="exact"/>
    </w:pPr>
    <w:rPr>
      <w:rFonts w:hAnsi="Calibri"/>
      <w:kern w:val="0"/>
      <w:szCs w:val="20"/>
    </w:rPr>
  </w:style>
  <w:style w:type="paragraph" w:customStyle="1" w:styleId="300">
    <w:name w:val="toc 67"/>
    <w:next w:val="1"/>
    <w:qFormat/>
    <w:uiPriority w:val="0"/>
    <w:pPr>
      <w:wordWrap w:val="0"/>
      <w:ind w:left="2125"/>
      <w:jc w:val="both"/>
    </w:pPr>
    <w:rPr>
      <w:rFonts w:ascii="Calibri" w:hAnsi="Calibri" w:eastAsia="宋体" w:cs="Times New Roman"/>
      <w:sz w:val="21"/>
      <w:lang w:val="en-US" w:eastAsia="zh-CN" w:bidi="ar-SA"/>
    </w:rPr>
  </w:style>
  <w:style w:type="paragraph" w:customStyle="1" w:styleId="301">
    <w:name w:val="列出段落4"/>
    <w:basedOn w:val="1"/>
    <w:next w:val="302"/>
    <w:qFormat/>
    <w:uiPriority w:val="0"/>
    <w:pPr>
      <w:ind w:firstLine="420"/>
    </w:pPr>
    <w:rPr>
      <w:rFonts w:hAnsi="Calibri"/>
      <w:kern w:val="0"/>
      <w:szCs w:val="20"/>
    </w:rPr>
  </w:style>
  <w:style w:type="paragraph" w:customStyle="1" w:styleId="302">
    <w:name w:val="TOC Heading9"/>
    <w:next w:val="1"/>
    <w:qFormat/>
    <w:uiPriority w:val="0"/>
    <w:pPr>
      <w:wordWrap w:val="0"/>
    </w:pPr>
    <w:rPr>
      <w:rFonts w:ascii="Calibri" w:hAnsi="Calibri" w:eastAsia="宋体" w:cs="Times New Roman"/>
      <w:sz w:val="32"/>
      <w:lang w:val="en-US" w:eastAsia="zh-CN" w:bidi="ar-SA"/>
    </w:rPr>
  </w:style>
  <w:style w:type="paragraph" w:customStyle="1" w:styleId="303">
    <w:name w:val="xl71"/>
    <w:basedOn w:val="1"/>
    <w:next w:val="304"/>
    <w:qFormat/>
    <w:uiPriority w:val="0"/>
    <w:pPr>
      <w:widowControl/>
      <w:shd w:val="clear" w:color="000000" w:fill="FFFFFF"/>
      <w:spacing w:before="280" w:after="280"/>
    </w:pPr>
    <w:rPr>
      <w:rFonts w:ascii="宋体" w:hAnsi="Calibri"/>
      <w:kern w:val="0"/>
      <w:sz w:val="24"/>
      <w:szCs w:val="20"/>
    </w:rPr>
  </w:style>
  <w:style w:type="paragraph" w:customStyle="1" w:styleId="304">
    <w:name w:val="toc 115"/>
    <w:next w:val="1"/>
    <w:qFormat/>
    <w:uiPriority w:val="0"/>
    <w:pPr>
      <w:wordWrap w:val="0"/>
      <w:jc w:val="both"/>
    </w:pPr>
    <w:rPr>
      <w:rFonts w:ascii="Calibri" w:hAnsi="Calibri" w:eastAsia="宋体" w:cs="Times New Roman"/>
      <w:sz w:val="21"/>
      <w:lang w:val="en-US" w:eastAsia="zh-CN" w:bidi="ar-SA"/>
    </w:rPr>
  </w:style>
  <w:style w:type="paragraph" w:customStyle="1" w:styleId="305">
    <w:name w:val="toc 51"/>
    <w:next w:val="1"/>
    <w:qFormat/>
    <w:uiPriority w:val="0"/>
    <w:pPr>
      <w:wordWrap w:val="0"/>
      <w:ind w:left="1700"/>
      <w:jc w:val="both"/>
    </w:pPr>
    <w:rPr>
      <w:rFonts w:ascii="Calibri" w:hAnsi="Calibri" w:eastAsia="宋体" w:cs="Times New Roman"/>
      <w:sz w:val="21"/>
      <w:lang w:val="en-US" w:eastAsia="zh-CN" w:bidi="ar-SA"/>
    </w:rPr>
  </w:style>
  <w:style w:type="paragraph" w:customStyle="1" w:styleId="306">
    <w:name w:val="toc 47"/>
    <w:next w:val="1"/>
    <w:qFormat/>
    <w:uiPriority w:val="0"/>
    <w:pPr>
      <w:wordWrap w:val="0"/>
      <w:ind w:left="1275"/>
      <w:jc w:val="both"/>
    </w:pPr>
    <w:rPr>
      <w:rFonts w:ascii="Calibri" w:hAnsi="Calibri" w:eastAsia="宋体" w:cs="Times New Roman"/>
      <w:sz w:val="21"/>
      <w:lang w:val="en-US" w:eastAsia="zh-CN" w:bidi="ar-SA"/>
    </w:rPr>
  </w:style>
  <w:style w:type="paragraph" w:customStyle="1" w:styleId="307">
    <w:name w:val="xl108"/>
    <w:basedOn w:val="1"/>
    <w:next w:val="308"/>
    <w:qFormat/>
    <w:uiPriority w:val="0"/>
    <w:pPr>
      <w:widowControl/>
      <w:shd w:val="clear" w:color="000000" w:fill="FFFFFF"/>
      <w:spacing w:before="280" w:after="280"/>
    </w:pPr>
    <w:rPr>
      <w:rFonts w:ascii="宋体" w:hAnsi="Calibri"/>
      <w:kern w:val="0"/>
      <w:sz w:val="18"/>
      <w:szCs w:val="20"/>
    </w:rPr>
  </w:style>
  <w:style w:type="paragraph" w:customStyle="1" w:styleId="308">
    <w:name w:val="toc 18"/>
    <w:next w:val="1"/>
    <w:qFormat/>
    <w:uiPriority w:val="0"/>
    <w:pPr>
      <w:wordWrap w:val="0"/>
      <w:jc w:val="both"/>
    </w:pPr>
    <w:rPr>
      <w:rFonts w:ascii="Calibri" w:hAnsi="Calibri" w:eastAsia="宋体" w:cs="Times New Roman"/>
      <w:sz w:val="21"/>
      <w:lang w:val="en-US" w:eastAsia="zh-CN" w:bidi="ar-SA"/>
    </w:rPr>
  </w:style>
  <w:style w:type="paragraph" w:customStyle="1" w:styleId="309">
    <w:name w:val="TOC Heading7"/>
    <w:next w:val="1"/>
    <w:qFormat/>
    <w:uiPriority w:val="0"/>
    <w:pPr>
      <w:wordWrap w:val="0"/>
    </w:pPr>
    <w:rPr>
      <w:rFonts w:ascii="Calibri" w:hAnsi="Calibri" w:eastAsia="宋体" w:cs="Times New Roman"/>
      <w:sz w:val="32"/>
      <w:lang w:val="en-US" w:eastAsia="zh-CN" w:bidi="ar-SA"/>
    </w:rPr>
  </w:style>
  <w:style w:type="character" w:customStyle="1" w:styleId="310">
    <w:name w:val="副标题 Char"/>
    <w:basedOn w:val="46"/>
    <w:link w:val="31"/>
    <w:qFormat/>
    <w:uiPriority w:val="0"/>
    <w:rPr>
      <w:rFonts w:ascii="Calibri" w:hAnsi="Calibri"/>
      <w:sz w:val="24"/>
    </w:rPr>
  </w:style>
  <w:style w:type="paragraph" w:customStyle="1" w:styleId="311">
    <w:name w:val="目录 71"/>
    <w:next w:val="1"/>
    <w:qFormat/>
    <w:uiPriority w:val="0"/>
    <w:pPr>
      <w:wordWrap w:val="0"/>
      <w:ind w:left="2550"/>
      <w:jc w:val="both"/>
    </w:pPr>
    <w:rPr>
      <w:rFonts w:ascii="Calibri" w:hAnsi="Calibri" w:eastAsia="宋体" w:cs="Times New Roman"/>
      <w:sz w:val="21"/>
      <w:lang w:val="en-US" w:eastAsia="zh-CN" w:bidi="ar-SA"/>
    </w:rPr>
  </w:style>
  <w:style w:type="paragraph" w:customStyle="1" w:styleId="312">
    <w:name w:val="toc 413"/>
    <w:next w:val="1"/>
    <w:qFormat/>
    <w:uiPriority w:val="0"/>
    <w:pPr>
      <w:wordWrap w:val="0"/>
      <w:ind w:left="1275"/>
      <w:jc w:val="both"/>
    </w:pPr>
    <w:rPr>
      <w:rFonts w:ascii="Calibri" w:hAnsi="Calibri" w:eastAsia="宋体" w:cs="Times New Roman"/>
      <w:sz w:val="21"/>
      <w:lang w:val="en-US" w:eastAsia="zh-CN" w:bidi="ar-SA"/>
    </w:rPr>
  </w:style>
  <w:style w:type="paragraph" w:customStyle="1" w:styleId="313">
    <w:name w:val="toc 85"/>
    <w:next w:val="1"/>
    <w:qFormat/>
    <w:uiPriority w:val="0"/>
    <w:pPr>
      <w:wordWrap w:val="0"/>
      <w:ind w:left="2975"/>
      <w:jc w:val="both"/>
    </w:pPr>
    <w:rPr>
      <w:rFonts w:ascii="Calibri" w:hAnsi="Calibri" w:eastAsia="宋体" w:cs="Times New Roman"/>
      <w:sz w:val="21"/>
      <w:lang w:val="en-US" w:eastAsia="zh-CN" w:bidi="ar-SA"/>
    </w:rPr>
  </w:style>
  <w:style w:type="paragraph" w:customStyle="1" w:styleId="314">
    <w:name w:val="列出段落6"/>
    <w:basedOn w:val="1"/>
    <w:next w:val="315"/>
    <w:qFormat/>
    <w:uiPriority w:val="0"/>
    <w:pPr>
      <w:ind w:firstLine="420"/>
    </w:pPr>
    <w:rPr>
      <w:rFonts w:hAnsi="Calibri"/>
      <w:kern w:val="0"/>
      <w:szCs w:val="20"/>
    </w:rPr>
  </w:style>
  <w:style w:type="paragraph" w:customStyle="1" w:styleId="315">
    <w:name w:val="toc 86"/>
    <w:next w:val="1"/>
    <w:qFormat/>
    <w:uiPriority w:val="0"/>
    <w:pPr>
      <w:wordWrap w:val="0"/>
      <w:ind w:left="2975"/>
      <w:jc w:val="both"/>
    </w:pPr>
    <w:rPr>
      <w:rFonts w:ascii="Calibri" w:hAnsi="Calibri" w:eastAsia="宋体" w:cs="Times New Roman"/>
      <w:sz w:val="21"/>
      <w:lang w:val="en-US" w:eastAsia="zh-CN" w:bidi="ar-SA"/>
    </w:rPr>
  </w:style>
  <w:style w:type="paragraph" w:customStyle="1" w:styleId="316">
    <w:name w:val="xl80"/>
    <w:basedOn w:val="1"/>
    <w:next w:val="317"/>
    <w:qFormat/>
    <w:uiPriority w:val="0"/>
    <w:pPr>
      <w:widowControl/>
      <w:shd w:val="clear" w:color="000000" w:fill="FFFFFF"/>
      <w:spacing w:before="280" w:after="280"/>
      <w:jc w:val="center"/>
    </w:pPr>
    <w:rPr>
      <w:rFonts w:ascii="宋体" w:hAnsi="Calibri"/>
      <w:b/>
      <w:kern w:val="0"/>
      <w:sz w:val="20"/>
      <w:szCs w:val="20"/>
    </w:rPr>
  </w:style>
  <w:style w:type="paragraph" w:customStyle="1" w:styleId="317">
    <w:name w:val="toc 49"/>
    <w:next w:val="1"/>
    <w:qFormat/>
    <w:uiPriority w:val="0"/>
    <w:pPr>
      <w:wordWrap w:val="0"/>
      <w:ind w:left="1275"/>
      <w:jc w:val="both"/>
    </w:pPr>
    <w:rPr>
      <w:rFonts w:ascii="Calibri" w:hAnsi="Calibri" w:eastAsia="宋体" w:cs="Times New Roman"/>
      <w:sz w:val="21"/>
      <w:lang w:val="en-US" w:eastAsia="zh-CN" w:bidi="ar-SA"/>
    </w:rPr>
  </w:style>
  <w:style w:type="paragraph" w:customStyle="1" w:styleId="318">
    <w:name w:val="Char Char Char Char1"/>
    <w:basedOn w:val="1"/>
    <w:next w:val="319"/>
    <w:qFormat/>
    <w:uiPriority w:val="0"/>
    <w:pPr>
      <w:widowControl/>
      <w:spacing w:after="160" w:line="240" w:lineRule="exact"/>
    </w:pPr>
    <w:rPr>
      <w:rFonts w:ascii="Verdana" w:hAnsi="Calibri" w:eastAsia="仿宋_GB2312"/>
      <w:kern w:val="0"/>
      <w:sz w:val="24"/>
      <w:szCs w:val="20"/>
    </w:rPr>
  </w:style>
  <w:style w:type="paragraph" w:customStyle="1" w:styleId="319">
    <w:name w:val="toc 713"/>
    <w:next w:val="1"/>
    <w:qFormat/>
    <w:uiPriority w:val="0"/>
    <w:pPr>
      <w:wordWrap w:val="0"/>
      <w:ind w:left="2550"/>
      <w:jc w:val="both"/>
    </w:pPr>
    <w:rPr>
      <w:rFonts w:ascii="Calibri" w:hAnsi="Calibri" w:eastAsia="宋体" w:cs="Times New Roman"/>
      <w:sz w:val="21"/>
      <w:lang w:val="en-US" w:eastAsia="zh-CN" w:bidi="ar-SA"/>
    </w:rPr>
  </w:style>
  <w:style w:type="paragraph" w:customStyle="1" w:styleId="320">
    <w:name w:val="xl102"/>
    <w:basedOn w:val="1"/>
    <w:next w:val="321"/>
    <w:qFormat/>
    <w:uiPriority w:val="0"/>
    <w:pPr>
      <w:widowControl/>
      <w:shd w:val="clear" w:color="000000" w:fill="FFFFFF"/>
      <w:spacing w:before="280" w:after="280"/>
      <w:jc w:val="right"/>
    </w:pPr>
    <w:rPr>
      <w:rFonts w:ascii="宋体" w:hAnsi="Calibri"/>
      <w:kern w:val="0"/>
      <w:sz w:val="20"/>
      <w:szCs w:val="20"/>
    </w:rPr>
  </w:style>
  <w:style w:type="paragraph" w:customStyle="1" w:styleId="321">
    <w:name w:val="toc 17"/>
    <w:next w:val="1"/>
    <w:qFormat/>
    <w:uiPriority w:val="0"/>
    <w:pPr>
      <w:wordWrap w:val="0"/>
      <w:jc w:val="both"/>
    </w:pPr>
    <w:rPr>
      <w:rFonts w:ascii="Calibri" w:hAnsi="Calibri" w:eastAsia="宋体" w:cs="Times New Roman"/>
      <w:sz w:val="21"/>
      <w:lang w:val="en-US" w:eastAsia="zh-CN" w:bidi="ar-SA"/>
    </w:rPr>
  </w:style>
  <w:style w:type="paragraph" w:customStyle="1" w:styleId="322">
    <w:name w:val="toc 46"/>
    <w:next w:val="1"/>
    <w:qFormat/>
    <w:uiPriority w:val="0"/>
    <w:pPr>
      <w:wordWrap w:val="0"/>
      <w:ind w:left="1275"/>
      <w:jc w:val="both"/>
    </w:pPr>
    <w:rPr>
      <w:rFonts w:ascii="Calibri" w:hAnsi="Calibri" w:eastAsia="宋体" w:cs="Times New Roman"/>
      <w:sz w:val="21"/>
      <w:lang w:val="en-US" w:eastAsia="zh-CN" w:bidi="ar-SA"/>
    </w:rPr>
  </w:style>
  <w:style w:type="paragraph" w:customStyle="1" w:styleId="323">
    <w:name w:val="toc 311"/>
    <w:next w:val="1"/>
    <w:qFormat/>
    <w:uiPriority w:val="0"/>
    <w:pPr>
      <w:wordWrap w:val="0"/>
      <w:ind w:left="850"/>
      <w:jc w:val="both"/>
    </w:pPr>
    <w:rPr>
      <w:rFonts w:ascii="Calibri" w:hAnsi="Calibri" w:eastAsia="宋体" w:cs="Times New Roman"/>
      <w:sz w:val="21"/>
      <w:lang w:val="en-US" w:eastAsia="zh-CN" w:bidi="ar-SA"/>
    </w:rPr>
  </w:style>
  <w:style w:type="paragraph" w:customStyle="1" w:styleId="324">
    <w:name w:val="xl65"/>
    <w:basedOn w:val="1"/>
    <w:next w:val="225"/>
    <w:qFormat/>
    <w:uiPriority w:val="0"/>
    <w:pPr>
      <w:widowControl/>
      <w:shd w:val="clear" w:color="000000" w:fill="FFFFFF"/>
      <w:spacing w:before="280" w:after="280"/>
      <w:jc w:val="center"/>
    </w:pPr>
    <w:rPr>
      <w:rFonts w:ascii="宋体" w:hAnsi="Calibri"/>
      <w:kern w:val="0"/>
      <w:sz w:val="20"/>
      <w:szCs w:val="20"/>
    </w:rPr>
  </w:style>
  <w:style w:type="paragraph" w:customStyle="1" w:styleId="325">
    <w:name w:val="toc 94"/>
    <w:next w:val="1"/>
    <w:qFormat/>
    <w:uiPriority w:val="0"/>
    <w:pPr>
      <w:wordWrap w:val="0"/>
      <w:ind w:left="3400"/>
      <w:jc w:val="both"/>
    </w:pPr>
    <w:rPr>
      <w:rFonts w:ascii="Calibri" w:hAnsi="Calibri" w:eastAsia="宋体" w:cs="Times New Roman"/>
      <w:sz w:val="21"/>
      <w:lang w:val="en-US" w:eastAsia="zh-CN" w:bidi="ar-SA"/>
    </w:rPr>
  </w:style>
  <w:style w:type="paragraph" w:customStyle="1" w:styleId="326">
    <w:name w:val="toc 55"/>
    <w:next w:val="1"/>
    <w:qFormat/>
    <w:uiPriority w:val="0"/>
    <w:pPr>
      <w:wordWrap w:val="0"/>
      <w:ind w:left="1700"/>
      <w:jc w:val="both"/>
    </w:pPr>
    <w:rPr>
      <w:rFonts w:ascii="Calibri" w:hAnsi="Calibri" w:eastAsia="宋体" w:cs="Times New Roman"/>
      <w:sz w:val="21"/>
      <w:lang w:val="en-US" w:eastAsia="zh-CN" w:bidi="ar-SA"/>
    </w:rPr>
  </w:style>
  <w:style w:type="paragraph" w:customStyle="1" w:styleId="327">
    <w:name w:val="toc 812"/>
    <w:next w:val="1"/>
    <w:qFormat/>
    <w:uiPriority w:val="0"/>
    <w:pPr>
      <w:wordWrap w:val="0"/>
      <w:ind w:left="2975"/>
      <w:jc w:val="both"/>
    </w:pPr>
    <w:rPr>
      <w:rFonts w:ascii="Calibri" w:hAnsi="Calibri" w:eastAsia="宋体" w:cs="Times New Roman"/>
      <w:sz w:val="21"/>
      <w:lang w:val="en-US" w:eastAsia="zh-CN" w:bidi="ar-SA"/>
    </w:rPr>
  </w:style>
  <w:style w:type="paragraph" w:customStyle="1" w:styleId="328">
    <w:name w:val="xl75"/>
    <w:basedOn w:val="1"/>
    <w:next w:val="329"/>
    <w:qFormat/>
    <w:uiPriority w:val="0"/>
    <w:pPr>
      <w:widowControl/>
      <w:shd w:val="clear" w:color="000000" w:fill="FFFFFF"/>
      <w:spacing w:before="280" w:after="280"/>
    </w:pPr>
    <w:rPr>
      <w:rFonts w:ascii="宋体" w:hAnsi="Calibri"/>
      <w:kern w:val="0"/>
      <w:sz w:val="20"/>
      <w:szCs w:val="20"/>
    </w:rPr>
  </w:style>
  <w:style w:type="paragraph" w:customStyle="1" w:styleId="329">
    <w:name w:val="toc 914"/>
    <w:next w:val="1"/>
    <w:qFormat/>
    <w:uiPriority w:val="0"/>
    <w:pPr>
      <w:wordWrap w:val="0"/>
      <w:ind w:left="3400"/>
      <w:jc w:val="both"/>
    </w:pPr>
    <w:rPr>
      <w:rFonts w:ascii="Calibri" w:hAnsi="Calibri" w:eastAsia="宋体" w:cs="Times New Roman"/>
      <w:sz w:val="21"/>
      <w:lang w:val="en-US" w:eastAsia="zh-CN" w:bidi="ar-SA"/>
    </w:rPr>
  </w:style>
  <w:style w:type="paragraph" w:customStyle="1" w:styleId="330">
    <w:name w:val="toc 19"/>
    <w:next w:val="1"/>
    <w:qFormat/>
    <w:uiPriority w:val="0"/>
    <w:pPr>
      <w:wordWrap w:val="0"/>
      <w:jc w:val="both"/>
    </w:pPr>
    <w:rPr>
      <w:rFonts w:ascii="Calibri" w:hAnsi="Calibri" w:eastAsia="宋体" w:cs="Times New Roman"/>
      <w:sz w:val="21"/>
      <w:lang w:val="en-US" w:eastAsia="zh-CN" w:bidi="ar-SA"/>
    </w:rPr>
  </w:style>
  <w:style w:type="paragraph" w:customStyle="1" w:styleId="331">
    <w:name w:val="TOC Heading6"/>
    <w:next w:val="1"/>
    <w:qFormat/>
    <w:uiPriority w:val="0"/>
    <w:pPr>
      <w:wordWrap w:val="0"/>
    </w:pPr>
    <w:rPr>
      <w:rFonts w:ascii="Calibri" w:hAnsi="Calibri" w:eastAsia="宋体" w:cs="Times New Roman"/>
      <w:sz w:val="32"/>
      <w:lang w:val="en-US" w:eastAsia="zh-CN" w:bidi="ar-SA"/>
    </w:rPr>
  </w:style>
  <w:style w:type="paragraph" w:customStyle="1" w:styleId="332">
    <w:name w:val="toc 52"/>
    <w:next w:val="1"/>
    <w:qFormat/>
    <w:uiPriority w:val="0"/>
    <w:pPr>
      <w:wordWrap w:val="0"/>
      <w:ind w:left="1700"/>
      <w:jc w:val="both"/>
    </w:pPr>
    <w:rPr>
      <w:rFonts w:ascii="Calibri" w:hAnsi="Calibri" w:eastAsia="宋体" w:cs="Times New Roman"/>
      <w:sz w:val="21"/>
      <w:lang w:val="en-US" w:eastAsia="zh-CN" w:bidi="ar-SA"/>
    </w:rPr>
  </w:style>
  <w:style w:type="paragraph" w:customStyle="1" w:styleId="333">
    <w:name w:val="toc 36"/>
    <w:next w:val="1"/>
    <w:qFormat/>
    <w:uiPriority w:val="0"/>
    <w:pPr>
      <w:wordWrap w:val="0"/>
      <w:ind w:left="850"/>
      <w:jc w:val="both"/>
    </w:pPr>
    <w:rPr>
      <w:rFonts w:ascii="Calibri" w:hAnsi="Calibri" w:eastAsia="宋体" w:cs="Times New Roman"/>
      <w:sz w:val="21"/>
      <w:lang w:val="en-US" w:eastAsia="zh-CN" w:bidi="ar-SA"/>
    </w:rPr>
  </w:style>
  <w:style w:type="paragraph" w:customStyle="1" w:styleId="334">
    <w:name w:val="toc 82"/>
    <w:next w:val="1"/>
    <w:qFormat/>
    <w:uiPriority w:val="0"/>
    <w:pPr>
      <w:wordWrap w:val="0"/>
      <w:ind w:left="2975"/>
      <w:jc w:val="both"/>
    </w:pPr>
    <w:rPr>
      <w:rFonts w:ascii="Calibri" w:hAnsi="Calibri" w:eastAsia="宋体" w:cs="Times New Roman"/>
      <w:sz w:val="21"/>
      <w:lang w:val="en-US" w:eastAsia="zh-CN" w:bidi="ar-SA"/>
    </w:rPr>
  </w:style>
  <w:style w:type="paragraph" w:customStyle="1" w:styleId="335">
    <w:name w:val="xl104"/>
    <w:basedOn w:val="1"/>
    <w:next w:val="336"/>
    <w:qFormat/>
    <w:uiPriority w:val="0"/>
    <w:pPr>
      <w:widowControl/>
      <w:shd w:val="clear" w:color="000000" w:fill="FFFFFF"/>
      <w:spacing w:before="280" w:after="280"/>
      <w:jc w:val="center"/>
    </w:pPr>
    <w:rPr>
      <w:rFonts w:ascii="宋体" w:hAnsi="Calibri"/>
      <w:kern w:val="0"/>
      <w:sz w:val="20"/>
      <w:szCs w:val="20"/>
    </w:rPr>
  </w:style>
  <w:style w:type="paragraph" w:customStyle="1" w:styleId="336">
    <w:name w:val="toc 210"/>
    <w:next w:val="1"/>
    <w:qFormat/>
    <w:uiPriority w:val="0"/>
    <w:pPr>
      <w:wordWrap w:val="0"/>
      <w:ind w:left="425"/>
      <w:jc w:val="both"/>
    </w:pPr>
    <w:rPr>
      <w:rFonts w:ascii="Calibri" w:hAnsi="Calibri" w:eastAsia="宋体" w:cs="Times New Roman"/>
      <w:sz w:val="21"/>
      <w:lang w:val="en-US" w:eastAsia="zh-CN" w:bidi="ar-SA"/>
    </w:rPr>
  </w:style>
  <w:style w:type="paragraph" w:customStyle="1" w:styleId="337">
    <w:name w:val="toc 110"/>
    <w:next w:val="1"/>
    <w:qFormat/>
    <w:uiPriority w:val="0"/>
    <w:pPr>
      <w:wordWrap w:val="0"/>
      <w:jc w:val="both"/>
    </w:pPr>
    <w:rPr>
      <w:rFonts w:ascii="Calibri" w:hAnsi="Calibri" w:eastAsia="宋体" w:cs="Times New Roman"/>
      <w:sz w:val="21"/>
      <w:lang w:val="en-US" w:eastAsia="zh-CN" w:bidi="ar-SA"/>
    </w:rPr>
  </w:style>
  <w:style w:type="paragraph" w:customStyle="1" w:styleId="338">
    <w:name w:val="toc 66"/>
    <w:next w:val="1"/>
    <w:qFormat/>
    <w:uiPriority w:val="0"/>
    <w:pPr>
      <w:wordWrap w:val="0"/>
      <w:ind w:left="2125"/>
      <w:jc w:val="both"/>
    </w:pPr>
    <w:rPr>
      <w:rFonts w:ascii="Calibri" w:hAnsi="Calibri" w:eastAsia="宋体" w:cs="Times New Roman"/>
      <w:sz w:val="21"/>
      <w:lang w:val="en-US" w:eastAsia="zh-CN" w:bidi="ar-SA"/>
    </w:rPr>
  </w:style>
  <w:style w:type="paragraph" w:customStyle="1" w:styleId="339">
    <w:name w:val="toc 31"/>
    <w:next w:val="1"/>
    <w:qFormat/>
    <w:uiPriority w:val="0"/>
    <w:pPr>
      <w:wordWrap w:val="0"/>
      <w:ind w:left="850"/>
      <w:jc w:val="both"/>
    </w:pPr>
    <w:rPr>
      <w:rFonts w:ascii="Calibri" w:hAnsi="Calibri" w:eastAsia="宋体" w:cs="Times New Roman"/>
      <w:sz w:val="21"/>
      <w:lang w:val="en-US" w:eastAsia="zh-CN" w:bidi="ar-SA"/>
    </w:rPr>
  </w:style>
  <w:style w:type="paragraph" w:customStyle="1" w:styleId="340">
    <w:name w:val="toc 93"/>
    <w:next w:val="1"/>
    <w:qFormat/>
    <w:uiPriority w:val="0"/>
    <w:pPr>
      <w:wordWrap w:val="0"/>
      <w:ind w:left="3400"/>
      <w:jc w:val="both"/>
    </w:pPr>
    <w:rPr>
      <w:rFonts w:ascii="Calibri" w:hAnsi="Calibri" w:eastAsia="宋体" w:cs="Times New Roman"/>
      <w:sz w:val="21"/>
      <w:lang w:val="en-US" w:eastAsia="zh-CN" w:bidi="ar-SA"/>
    </w:rPr>
  </w:style>
  <w:style w:type="paragraph" w:customStyle="1" w:styleId="341">
    <w:name w:val="toc 614"/>
    <w:next w:val="1"/>
    <w:qFormat/>
    <w:uiPriority w:val="0"/>
    <w:pPr>
      <w:wordWrap w:val="0"/>
      <w:ind w:left="2125"/>
      <w:jc w:val="both"/>
    </w:pPr>
    <w:rPr>
      <w:rFonts w:ascii="Calibri" w:hAnsi="Calibri" w:eastAsia="宋体" w:cs="Times New Roman"/>
      <w:sz w:val="21"/>
      <w:lang w:val="en-US" w:eastAsia="zh-CN" w:bidi="ar-SA"/>
    </w:rPr>
  </w:style>
  <w:style w:type="paragraph" w:customStyle="1" w:styleId="342">
    <w:name w:val="无间隔1"/>
    <w:next w:val="337"/>
    <w:qFormat/>
    <w:uiPriority w:val="0"/>
    <w:pPr>
      <w:widowControl w:val="0"/>
      <w:jc w:val="both"/>
    </w:pPr>
    <w:rPr>
      <w:rFonts w:ascii="Calibri" w:hAnsi="Calibri" w:eastAsia="宋体" w:cs="Times New Roman"/>
      <w:sz w:val="22"/>
      <w:lang w:val="en-US" w:eastAsia="zh-CN" w:bidi="ar-SA"/>
    </w:rPr>
  </w:style>
  <w:style w:type="paragraph" w:customStyle="1" w:styleId="343">
    <w:name w:val="目录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44">
    <w:name w:val="xl105"/>
    <w:basedOn w:val="1"/>
    <w:next w:val="345"/>
    <w:qFormat/>
    <w:uiPriority w:val="0"/>
    <w:pPr>
      <w:widowControl/>
      <w:shd w:val="clear" w:color="000000" w:fill="FFFFFF"/>
      <w:spacing w:before="280" w:after="280"/>
    </w:pPr>
    <w:rPr>
      <w:rFonts w:ascii="宋体" w:hAnsi="Calibri"/>
      <w:kern w:val="0"/>
      <w:sz w:val="18"/>
      <w:szCs w:val="20"/>
    </w:rPr>
  </w:style>
  <w:style w:type="paragraph" w:customStyle="1" w:styleId="345">
    <w:name w:val="toc 615"/>
    <w:next w:val="1"/>
    <w:qFormat/>
    <w:uiPriority w:val="0"/>
    <w:pPr>
      <w:wordWrap w:val="0"/>
      <w:ind w:left="2125"/>
      <w:jc w:val="both"/>
    </w:pPr>
    <w:rPr>
      <w:rFonts w:ascii="Calibri" w:hAnsi="Calibri" w:eastAsia="宋体" w:cs="Times New Roman"/>
      <w:sz w:val="21"/>
      <w:lang w:val="en-US" w:eastAsia="zh-CN" w:bidi="ar-SA"/>
    </w:rPr>
  </w:style>
  <w:style w:type="paragraph" w:customStyle="1" w:styleId="346">
    <w:name w:val="toc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47">
    <w:name w:val="toc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48">
    <w:name w:val="xl111"/>
    <w:basedOn w:val="1"/>
    <w:next w:val="349"/>
    <w:qFormat/>
    <w:uiPriority w:val="0"/>
    <w:pPr>
      <w:widowControl/>
      <w:shd w:val="clear" w:color="000000" w:fill="FFFFFF"/>
      <w:spacing w:before="280" w:after="280"/>
      <w:jc w:val="center"/>
    </w:pPr>
    <w:rPr>
      <w:rFonts w:ascii="宋体" w:hAnsi="Calibri"/>
      <w:b/>
      <w:kern w:val="0"/>
      <w:sz w:val="20"/>
      <w:szCs w:val="20"/>
    </w:rPr>
  </w:style>
  <w:style w:type="paragraph" w:customStyle="1" w:styleId="349">
    <w:name w:val="toc 88"/>
    <w:next w:val="1"/>
    <w:qFormat/>
    <w:uiPriority w:val="0"/>
    <w:pPr>
      <w:wordWrap w:val="0"/>
      <w:ind w:left="2975"/>
      <w:jc w:val="both"/>
    </w:pPr>
    <w:rPr>
      <w:rFonts w:ascii="Calibri" w:hAnsi="Calibri" w:eastAsia="宋体" w:cs="Times New Roman"/>
      <w:sz w:val="21"/>
      <w:lang w:val="en-US" w:eastAsia="zh-CN" w:bidi="ar-SA"/>
    </w:rPr>
  </w:style>
  <w:style w:type="paragraph" w:customStyle="1" w:styleId="350">
    <w:name w:val="toc 84"/>
    <w:next w:val="1"/>
    <w:qFormat/>
    <w:uiPriority w:val="0"/>
    <w:pPr>
      <w:wordWrap w:val="0"/>
      <w:ind w:left="2975"/>
      <w:jc w:val="both"/>
    </w:pPr>
    <w:rPr>
      <w:rFonts w:ascii="Calibri" w:hAnsi="Calibri" w:eastAsia="宋体" w:cs="Times New Roman"/>
      <w:sz w:val="21"/>
      <w:lang w:val="en-US" w:eastAsia="zh-CN" w:bidi="ar-SA"/>
    </w:rPr>
  </w:style>
  <w:style w:type="paragraph" w:customStyle="1" w:styleId="351">
    <w:name w:val="p0"/>
    <w:basedOn w:val="1"/>
    <w:next w:val="352"/>
    <w:qFormat/>
    <w:uiPriority w:val="0"/>
    <w:pPr>
      <w:widowControl/>
      <w:spacing w:before="280" w:after="280"/>
    </w:pPr>
    <w:rPr>
      <w:rFonts w:ascii="宋体" w:hAnsi="Calibri"/>
      <w:kern w:val="0"/>
      <w:sz w:val="24"/>
      <w:szCs w:val="20"/>
    </w:rPr>
  </w:style>
  <w:style w:type="paragraph" w:customStyle="1" w:styleId="352">
    <w:name w:val="toc 69"/>
    <w:next w:val="1"/>
    <w:qFormat/>
    <w:uiPriority w:val="0"/>
    <w:pPr>
      <w:wordWrap w:val="0"/>
      <w:ind w:left="2125"/>
      <w:jc w:val="both"/>
    </w:pPr>
    <w:rPr>
      <w:rFonts w:ascii="Calibri" w:hAnsi="Calibri" w:eastAsia="宋体" w:cs="Times New Roman"/>
      <w:sz w:val="21"/>
      <w:lang w:val="en-US" w:eastAsia="zh-CN" w:bidi="ar-SA"/>
    </w:rPr>
  </w:style>
  <w:style w:type="paragraph" w:customStyle="1" w:styleId="353">
    <w:name w:val="列出段落11"/>
    <w:basedOn w:val="1"/>
    <w:next w:val="354"/>
    <w:qFormat/>
    <w:uiPriority w:val="0"/>
    <w:pPr>
      <w:widowControl/>
      <w:spacing w:line="360" w:lineRule="auto"/>
      <w:ind w:firstLine="420"/>
    </w:pPr>
    <w:rPr>
      <w:rFonts w:hAnsi="Calibri" w:eastAsia="微软雅黑"/>
      <w:kern w:val="0"/>
      <w:sz w:val="24"/>
      <w:szCs w:val="20"/>
    </w:rPr>
  </w:style>
  <w:style w:type="paragraph" w:customStyle="1" w:styleId="354">
    <w:name w:val="toc 214"/>
    <w:next w:val="1"/>
    <w:qFormat/>
    <w:uiPriority w:val="0"/>
    <w:pPr>
      <w:wordWrap w:val="0"/>
      <w:ind w:left="425"/>
      <w:jc w:val="both"/>
    </w:pPr>
    <w:rPr>
      <w:rFonts w:ascii="Calibri" w:hAnsi="Calibri" w:eastAsia="宋体" w:cs="Times New Roman"/>
      <w:sz w:val="21"/>
      <w:lang w:val="en-US" w:eastAsia="zh-CN" w:bidi="ar-SA"/>
    </w:rPr>
  </w:style>
  <w:style w:type="paragraph" w:customStyle="1" w:styleId="355">
    <w:name w:val="toc 63"/>
    <w:next w:val="1"/>
    <w:qFormat/>
    <w:uiPriority w:val="0"/>
    <w:pPr>
      <w:wordWrap w:val="0"/>
      <w:ind w:left="2125"/>
      <w:jc w:val="both"/>
    </w:pPr>
    <w:rPr>
      <w:rFonts w:ascii="Calibri" w:hAnsi="Calibri" w:eastAsia="宋体" w:cs="Times New Roman"/>
      <w:sz w:val="21"/>
      <w:lang w:val="en-US" w:eastAsia="zh-CN" w:bidi="ar-SA"/>
    </w:rPr>
  </w:style>
  <w:style w:type="paragraph" w:customStyle="1" w:styleId="356">
    <w:name w:val="xl91"/>
    <w:basedOn w:val="1"/>
    <w:next w:val="253"/>
    <w:qFormat/>
    <w:uiPriority w:val="0"/>
    <w:pPr>
      <w:widowControl/>
      <w:shd w:val="clear" w:color="000000" w:fill="FFFFFF"/>
      <w:spacing w:before="280" w:after="280"/>
    </w:pPr>
    <w:rPr>
      <w:rFonts w:ascii="宋体" w:hAnsi="Calibri"/>
      <w:kern w:val="0"/>
      <w:sz w:val="20"/>
      <w:szCs w:val="20"/>
    </w:rPr>
  </w:style>
  <w:style w:type="paragraph" w:customStyle="1" w:styleId="357">
    <w:name w:val="toc 316"/>
    <w:next w:val="1"/>
    <w:qFormat/>
    <w:uiPriority w:val="0"/>
    <w:pPr>
      <w:wordWrap w:val="0"/>
      <w:ind w:left="850"/>
      <w:jc w:val="both"/>
    </w:pPr>
    <w:rPr>
      <w:rFonts w:ascii="Calibri" w:hAnsi="Calibri" w:eastAsia="宋体" w:cs="Times New Roman"/>
      <w:sz w:val="21"/>
      <w:lang w:val="en-US" w:eastAsia="zh-CN" w:bidi="ar-SA"/>
    </w:rPr>
  </w:style>
  <w:style w:type="paragraph" w:customStyle="1" w:styleId="358">
    <w:name w:val="_Style 1"/>
    <w:basedOn w:val="1"/>
    <w:next w:val="359"/>
    <w:qFormat/>
    <w:uiPriority w:val="0"/>
    <w:pPr>
      <w:ind w:firstLine="420"/>
    </w:pPr>
    <w:rPr>
      <w:rFonts w:hAnsi="Calibri"/>
      <w:kern w:val="0"/>
      <w:szCs w:val="20"/>
    </w:rPr>
  </w:style>
  <w:style w:type="paragraph" w:customStyle="1" w:styleId="359">
    <w:name w:val="TOC Heading13"/>
    <w:next w:val="1"/>
    <w:qFormat/>
    <w:uiPriority w:val="0"/>
    <w:pPr>
      <w:wordWrap w:val="0"/>
    </w:pPr>
    <w:rPr>
      <w:rFonts w:ascii="Calibri" w:hAnsi="Calibri" w:eastAsia="宋体" w:cs="Times New Roman"/>
      <w:sz w:val="32"/>
      <w:lang w:val="en-US" w:eastAsia="zh-CN" w:bidi="ar-SA"/>
    </w:rPr>
  </w:style>
  <w:style w:type="paragraph" w:customStyle="1" w:styleId="360">
    <w:name w:val="toc 116"/>
    <w:next w:val="1"/>
    <w:qFormat/>
    <w:uiPriority w:val="0"/>
    <w:pPr>
      <w:wordWrap w:val="0"/>
      <w:jc w:val="both"/>
    </w:pPr>
    <w:rPr>
      <w:rFonts w:ascii="Calibri" w:hAnsi="Calibri" w:eastAsia="宋体" w:cs="Times New Roman"/>
      <w:sz w:val="21"/>
      <w:lang w:val="en-US" w:eastAsia="zh-CN" w:bidi="ar-SA"/>
    </w:rPr>
  </w:style>
  <w:style w:type="paragraph" w:customStyle="1" w:styleId="361">
    <w:name w:val="toc 72"/>
    <w:next w:val="1"/>
    <w:qFormat/>
    <w:uiPriority w:val="0"/>
    <w:pPr>
      <w:wordWrap w:val="0"/>
      <w:ind w:left="2550"/>
      <w:jc w:val="both"/>
    </w:pPr>
    <w:rPr>
      <w:rFonts w:ascii="Calibri" w:hAnsi="Calibri" w:eastAsia="宋体" w:cs="Times New Roman"/>
      <w:sz w:val="21"/>
      <w:lang w:val="en-US" w:eastAsia="zh-CN" w:bidi="ar-SA"/>
    </w:rPr>
  </w:style>
  <w:style w:type="paragraph" w:customStyle="1" w:styleId="362">
    <w:name w:val="x_msonormal"/>
    <w:basedOn w:val="1"/>
    <w:next w:val="312"/>
    <w:qFormat/>
    <w:uiPriority w:val="0"/>
    <w:pPr>
      <w:widowControl/>
      <w:spacing w:before="280" w:after="280"/>
    </w:pPr>
    <w:rPr>
      <w:rFonts w:ascii="PMingLiU" w:hAnsi="Calibri" w:eastAsia="PMingLiU"/>
      <w:kern w:val="0"/>
      <w:sz w:val="24"/>
      <w:szCs w:val="20"/>
    </w:rPr>
  </w:style>
  <w:style w:type="paragraph" w:customStyle="1" w:styleId="363">
    <w:name w:val="toc 310"/>
    <w:next w:val="1"/>
    <w:qFormat/>
    <w:uiPriority w:val="0"/>
    <w:pPr>
      <w:wordWrap w:val="0"/>
      <w:ind w:left="850"/>
      <w:jc w:val="both"/>
    </w:pPr>
    <w:rPr>
      <w:rFonts w:ascii="Calibri" w:hAnsi="Calibri" w:eastAsia="宋体" w:cs="Times New Roman"/>
      <w:sz w:val="21"/>
      <w:lang w:val="en-US" w:eastAsia="zh-CN" w:bidi="ar-SA"/>
    </w:rPr>
  </w:style>
  <w:style w:type="paragraph" w:customStyle="1" w:styleId="364">
    <w:name w:val="toc 83"/>
    <w:next w:val="1"/>
    <w:qFormat/>
    <w:uiPriority w:val="0"/>
    <w:pPr>
      <w:wordWrap w:val="0"/>
      <w:ind w:left="2975"/>
      <w:jc w:val="both"/>
    </w:pPr>
    <w:rPr>
      <w:rFonts w:ascii="Calibri" w:hAnsi="Calibri" w:eastAsia="宋体" w:cs="Times New Roman"/>
      <w:sz w:val="21"/>
      <w:lang w:val="en-US" w:eastAsia="zh-CN" w:bidi="ar-SA"/>
    </w:rPr>
  </w:style>
  <w:style w:type="paragraph" w:customStyle="1" w:styleId="365">
    <w:name w:val="TOC Heading17"/>
    <w:next w:val="1"/>
    <w:qFormat/>
    <w:uiPriority w:val="0"/>
    <w:pPr>
      <w:wordWrap w:val="0"/>
    </w:pPr>
    <w:rPr>
      <w:rFonts w:ascii="Calibri" w:hAnsi="Calibri" w:eastAsia="宋体" w:cs="Times New Roman"/>
      <w:sz w:val="32"/>
      <w:lang w:val="en-US" w:eastAsia="zh-CN" w:bidi="ar-SA"/>
    </w:rPr>
  </w:style>
  <w:style w:type="paragraph" w:customStyle="1" w:styleId="366">
    <w:name w:val="toc 911"/>
    <w:next w:val="1"/>
    <w:qFormat/>
    <w:uiPriority w:val="0"/>
    <w:pPr>
      <w:wordWrap w:val="0"/>
      <w:ind w:left="3400"/>
      <w:jc w:val="both"/>
    </w:pPr>
    <w:rPr>
      <w:rFonts w:ascii="Calibri" w:hAnsi="Calibri" w:eastAsia="宋体" w:cs="Times New Roman"/>
      <w:sz w:val="21"/>
      <w:lang w:val="en-US" w:eastAsia="zh-CN" w:bidi="ar-SA"/>
    </w:rPr>
  </w:style>
  <w:style w:type="paragraph" w:customStyle="1" w:styleId="367">
    <w:name w:val="toc 811"/>
    <w:next w:val="1"/>
    <w:qFormat/>
    <w:uiPriority w:val="0"/>
    <w:pPr>
      <w:wordWrap w:val="0"/>
      <w:ind w:left="2975"/>
      <w:jc w:val="both"/>
    </w:pPr>
    <w:rPr>
      <w:rFonts w:ascii="Calibri" w:hAnsi="Calibri" w:eastAsia="宋体" w:cs="Times New Roman"/>
      <w:sz w:val="21"/>
      <w:lang w:val="en-US" w:eastAsia="zh-CN" w:bidi="ar-SA"/>
    </w:rPr>
  </w:style>
  <w:style w:type="paragraph" w:customStyle="1" w:styleId="368">
    <w:name w:val="目录 31"/>
    <w:next w:val="1"/>
    <w:qFormat/>
    <w:uiPriority w:val="0"/>
    <w:pPr>
      <w:wordWrap w:val="0"/>
      <w:ind w:left="850"/>
      <w:jc w:val="both"/>
    </w:pPr>
    <w:rPr>
      <w:rFonts w:ascii="Calibri" w:hAnsi="Calibri" w:eastAsia="宋体" w:cs="Times New Roman"/>
      <w:sz w:val="21"/>
      <w:lang w:val="en-US" w:eastAsia="zh-CN" w:bidi="ar-SA"/>
    </w:rPr>
  </w:style>
  <w:style w:type="paragraph" w:customStyle="1" w:styleId="369">
    <w:name w:val="xl118"/>
    <w:basedOn w:val="1"/>
    <w:next w:val="243"/>
    <w:qFormat/>
    <w:uiPriority w:val="0"/>
    <w:pPr>
      <w:widowControl/>
      <w:shd w:val="clear" w:color="000000" w:fill="FFFFFF"/>
      <w:spacing w:before="280" w:after="280"/>
      <w:jc w:val="center"/>
    </w:pPr>
    <w:rPr>
      <w:rFonts w:ascii="宋体" w:hAnsi="Calibri"/>
      <w:b/>
      <w:kern w:val="0"/>
      <w:sz w:val="20"/>
      <w:szCs w:val="20"/>
    </w:rPr>
  </w:style>
  <w:style w:type="paragraph" w:customStyle="1" w:styleId="370">
    <w:name w:val="xl83"/>
    <w:basedOn w:val="1"/>
    <w:next w:val="298"/>
    <w:qFormat/>
    <w:uiPriority w:val="0"/>
    <w:pPr>
      <w:widowControl/>
      <w:shd w:val="clear" w:color="000000" w:fill="FFFFFF"/>
      <w:spacing w:before="280" w:after="280"/>
    </w:pPr>
    <w:rPr>
      <w:rFonts w:ascii="宋体" w:hAnsi="Calibri"/>
      <w:kern w:val="0"/>
      <w:sz w:val="20"/>
      <w:szCs w:val="20"/>
    </w:rPr>
  </w:style>
  <w:style w:type="paragraph" w:customStyle="1" w:styleId="371">
    <w:name w:val="xl103"/>
    <w:basedOn w:val="1"/>
    <w:next w:val="372"/>
    <w:qFormat/>
    <w:uiPriority w:val="0"/>
    <w:pPr>
      <w:widowControl/>
      <w:shd w:val="clear" w:color="000000" w:fill="FFFFFF"/>
      <w:spacing w:before="280" w:after="280"/>
    </w:pPr>
    <w:rPr>
      <w:rFonts w:ascii="宋体" w:hAnsi="Calibri"/>
      <w:kern w:val="0"/>
      <w:sz w:val="20"/>
      <w:szCs w:val="20"/>
    </w:rPr>
  </w:style>
  <w:style w:type="paragraph" w:customStyle="1" w:styleId="372">
    <w:name w:val="toc 111"/>
    <w:next w:val="1"/>
    <w:qFormat/>
    <w:uiPriority w:val="0"/>
    <w:pPr>
      <w:wordWrap w:val="0"/>
      <w:jc w:val="both"/>
    </w:pPr>
    <w:rPr>
      <w:rFonts w:ascii="Calibri" w:hAnsi="Calibri" w:eastAsia="宋体" w:cs="Times New Roman"/>
      <w:sz w:val="21"/>
      <w:lang w:val="en-US" w:eastAsia="zh-CN" w:bidi="ar-SA"/>
    </w:rPr>
  </w:style>
  <w:style w:type="paragraph" w:customStyle="1" w:styleId="373">
    <w:name w:val="xl68"/>
    <w:basedOn w:val="1"/>
    <w:next w:val="374"/>
    <w:qFormat/>
    <w:uiPriority w:val="0"/>
    <w:pPr>
      <w:widowControl/>
      <w:shd w:val="clear" w:color="000000" w:fill="FFFFFF"/>
      <w:spacing w:before="280" w:after="280"/>
    </w:pPr>
    <w:rPr>
      <w:rFonts w:ascii="宋体" w:hAnsi="Calibri"/>
      <w:b/>
      <w:kern w:val="0"/>
      <w:sz w:val="20"/>
      <w:szCs w:val="20"/>
    </w:rPr>
  </w:style>
  <w:style w:type="paragraph" w:customStyle="1" w:styleId="374">
    <w:name w:val="TOC Heading16"/>
    <w:next w:val="1"/>
    <w:qFormat/>
    <w:uiPriority w:val="0"/>
    <w:pPr>
      <w:wordWrap w:val="0"/>
    </w:pPr>
    <w:rPr>
      <w:rFonts w:ascii="Calibri" w:hAnsi="Calibri" w:eastAsia="宋体" w:cs="Times New Roman"/>
      <w:sz w:val="32"/>
      <w:lang w:val="en-US" w:eastAsia="zh-CN" w:bidi="ar-SA"/>
    </w:rPr>
  </w:style>
  <w:style w:type="paragraph" w:customStyle="1" w:styleId="375">
    <w:name w:val="toc 113"/>
    <w:next w:val="1"/>
    <w:qFormat/>
    <w:uiPriority w:val="0"/>
    <w:pPr>
      <w:wordWrap w:val="0"/>
      <w:jc w:val="both"/>
    </w:pPr>
    <w:rPr>
      <w:rFonts w:ascii="Calibri" w:hAnsi="Calibri" w:eastAsia="宋体" w:cs="Times New Roman"/>
      <w:sz w:val="21"/>
      <w:lang w:val="en-US" w:eastAsia="zh-CN" w:bidi="ar-SA"/>
    </w:rPr>
  </w:style>
  <w:style w:type="paragraph" w:customStyle="1" w:styleId="376">
    <w:name w:val="xl94"/>
    <w:basedOn w:val="1"/>
    <w:next w:val="267"/>
    <w:qFormat/>
    <w:uiPriority w:val="0"/>
    <w:pPr>
      <w:widowControl/>
      <w:shd w:val="clear" w:color="000000" w:fill="FFFFFF"/>
      <w:spacing w:before="280" w:after="280"/>
      <w:jc w:val="center"/>
    </w:pPr>
    <w:rPr>
      <w:rFonts w:ascii="宋体" w:hAnsi="Calibri"/>
      <w:kern w:val="0"/>
      <w:sz w:val="20"/>
      <w:szCs w:val="20"/>
    </w:rPr>
  </w:style>
  <w:style w:type="paragraph" w:customStyle="1" w:styleId="377">
    <w:name w:val="toc 53"/>
    <w:next w:val="1"/>
    <w:qFormat/>
    <w:uiPriority w:val="0"/>
    <w:pPr>
      <w:wordWrap w:val="0"/>
      <w:ind w:left="1700"/>
      <w:jc w:val="both"/>
    </w:pPr>
    <w:rPr>
      <w:rFonts w:ascii="Calibri" w:hAnsi="Calibri" w:eastAsia="宋体" w:cs="Times New Roman"/>
      <w:sz w:val="21"/>
      <w:lang w:val="en-US" w:eastAsia="zh-CN" w:bidi="ar-SA"/>
    </w:rPr>
  </w:style>
  <w:style w:type="paragraph" w:customStyle="1" w:styleId="378">
    <w:name w:val="xl92"/>
    <w:basedOn w:val="1"/>
    <w:next w:val="379"/>
    <w:qFormat/>
    <w:uiPriority w:val="0"/>
    <w:pPr>
      <w:widowControl/>
      <w:shd w:val="clear" w:color="000000" w:fill="FFFFFF"/>
      <w:spacing w:before="280" w:after="280"/>
    </w:pPr>
    <w:rPr>
      <w:rFonts w:ascii="宋体" w:hAnsi="Calibri"/>
      <w:kern w:val="0"/>
      <w:sz w:val="20"/>
      <w:szCs w:val="20"/>
    </w:rPr>
  </w:style>
  <w:style w:type="paragraph" w:customStyle="1" w:styleId="379">
    <w:name w:val="toc 913"/>
    <w:next w:val="1"/>
    <w:qFormat/>
    <w:uiPriority w:val="0"/>
    <w:pPr>
      <w:wordWrap w:val="0"/>
      <w:ind w:left="3400"/>
      <w:jc w:val="both"/>
    </w:pPr>
    <w:rPr>
      <w:rFonts w:ascii="Calibri" w:hAnsi="Calibri" w:eastAsia="宋体" w:cs="Times New Roman"/>
      <w:sz w:val="21"/>
      <w:lang w:val="en-US" w:eastAsia="zh-CN" w:bidi="ar-SA"/>
    </w:rPr>
  </w:style>
  <w:style w:type="paragraph" w:customStyle="1" w:styleId="380">
    <w:name w:val="toc 512"/>
    <w:next w:val="1"/>
    <w:qFormat/>
    <w:uiPriority w:val="0"/>
    <w:pPr>
      <w:wordWrap w:val="0"/>
      <w:ind w:left="1700"/>
      <w:jc w:val="both"/>
    </w:pPr>
    <w:rPr>
      <w:rFonts w:ascii="Calibri" w:hAnsi="Calibri" w:eastAsia="宋体" w:cs="Times New Roman"/>
      <w:sz w:val="21"/>
      <w:lang w:val="en-US" w:eastAsia="zh-CN" w:bidi="ar-SA"/>
    </w:rPr>
  </w:style>
  <w:style w:type="paragraph" w:customStyle="1" w:styleId="381">
    <w:name w:val="目录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82">
    <w:name w:val="正文表标题"/>
    <w:next w:val="1"/>
    <w:qFormat/>
    <w:uiPriority w:val="0"/>
    <w:pPr>
      <w:ind w:left="630"/>
      <w:jc w:val="center"/>
    </w:pPr>
    <w:rPr>
      <w:rFonts w:ascii="黑体" w:hAnsi="Calibri" w:eastAsia="黑体" w:cs="Times New Roman"/>
      <w:sz w:val="21"/>
      <w:lang w:val="en-US" w:eastAsia="zh-CN" w:bidi="ar-SA"/>
    </w:rPr>
  </w:style>
  <w:style w:type="paragraph" w:customStyle="1" w:styleId="383">
    <w:name w:val="toc 28"/>
    <w:next w:val="1"/>
    <w:qFormat/>
    <w:uiPriority w:val="0"/>
    <w:pPr>
      <w:wordWrap w:val="0"/>
      <w:ind w:left="425"/>
      <w:jc w:val="both"/>
    </w:pPr>
    <w:rPr>
      <w:rFonts w:ascii="Calibri" w:hAnsi="Calibri" w:eastAsia="宋体" w:cs="Times New Roman"/>
      <w:sz w:val="21"/>
      <w:lang w:val="en-US" w:eastAsia="zh-CN" w:bidi="ar-SA"/>
    </w:rPr>
  </w:style>
  <w:style w:type="paragraph" w:customStyle="1" w:styleId="384">
    <w:name w:val="toc 79"/>
    <w:next w:val="1"/>
    <w:qFormat/>
    <w:uiPriority w:val="0"/>
    <w:pPr>
      <w:wordWrap w:val="0"/>
      <w:ind w:left="2550"/>
      <w:jc w:val="both"/>
    </w:pPr>
    <w:rPr>
      <w:rFonts w:ascii="Calibri" w:hAnsi="Calibri" w:eastAsia="宋体" w:cs="Times New Roman"/>
      <w:sz w:val="21"/>
      <w:lang w:val="en-US" w:eastAsia="zh-CN" w:bidi="ar-SA"/>
    </w:rPr>
  </w:style>
  <w:style w:type="paragraph" w:customStyle="1" w:styleId="385">
    <w:name w:val="xl110"/>
    <w:basedOn w:val="1"/>
    <w:next w:val="341"/>
    <w:qFormat/>
    <w:uiPriority w:val="0"/>
    <w:pPr>
      <w:widowControl/>
      <w:shd w:val="clear" w:color="000000" w:fill="FFFFFF"/>
      <w:spacing w:before="280" w:after="280"/>
      <w:jc w:val="center"/>
    </w:pPr>
    <w:rPr>
      <w:rFonts w:ascii="宋体" w:hAnsi="Calibri"/>
      <w:kern w:val="0"/>
      <w:sz w:val="20"/>
      <w:szCs w:val="20"/>
    </w:rPr>
  </w:style>
  <w:style w:type="paragraph" w:customStyle="1" w:styleId="386">
    <w:name w:val="toc 511"/>
    <w:next w:val="1"/>
    <w:qFormat/>
    <w:uiPriority w:val="0"/>
    <w:pPr>
      <w:wordWrap w:val="0"/>
      <w:ind w:left="1700"/>
      <w:jc w:val="both"/>
    </w:pPr>
    <w:rPr>
      <w:rFonts w:ascii="Calibri" w:hAnsi="Calibri" w:eastAsia="宋体" w:cs="Times New Roman"/>
      <w:sz w:val="21"/>
      <w:lang w:val="en-US" w:eastAsia="zh-CN" w:bidi="ar-SA"/>
    </w:rPr>
  </w:style>
  <w:style w:type="paragraph" w:customStyle="1" w:styleId="387">
    <w:name w:val="toc 416"/>
    <w:next w:val="1"/>
    <w:qFormat/>
    <w:uiPriority w:val="0"/>
    <w:pPr>
      <w:wordWrap w:val="0"/>
      <w:ind w:left="1275"/>
      <w:jc w:val="both"/>
    </w:pPr>
    <w:rPr>
      <w:rFonts w:ascii="Calibri" w:hAnsi="Calibri" w:eastAsia="宋体" w:cs="Times New Roman"/>
      <w:sz w:val="21"/>
      <w:lang w:val="en-US" w:eastAsia="zh-CN" w:bidi="ar-SA"/>
    </w:rPr>
  </w:style>
  <w:style w:type="paragraph" w:customStyle="1" w:styleId="388">
    <w:name w:val="xl85"/>
    <w:basedOn w:val="1"/>
    <w:next w:val="389"/>
    <w:qFormat/>
    <w:uiPriority w:val="0"/>
    <w:pPr>
      <w:widowControl/>
      <w:shd w:val="clear" w:color="000000" w:fill="FFFFFF"/>
      <w:spacing w:before="280" w:after="280"/>
      <w:jc w:val="center"/>
    </w:pPr>
    <w:rPr>
      <w:rFonts w:ascii="宋体" w:hAnsi="Calibri"/>
      <w:kern w:val="0"/>
      <w:sz w:val="20"/>
      <w:szCs w:val="20"/>
    </w:rPr>
  </w:style>
  <w:style w:type="paragraph" w:customStyle="1" w:styleId="389">
    <w:name w:val="toc 76"/>
    <w:next w:val="1"/>
    <w:qFormat/>
    <w:uiPriority w:val="0"/>
    <w:pPr>
      <w:wordWrap w:val="0"/>
      <w:ind w:left="2550"/>
      <w:jc w:val="both"/>
    </w:pPr>
    <w:rPr>
      <w:rFonts w:ascii="Calibri" w:hAnsi="Calibri" w:eastAsia="宋体" w:cs="Times New Roman"/>
      <w:sz w:val="21"/>
      <w:lang w:val="en-US" w:eastAsia="zh-CN" w:bidi="ar-SA"/>
    </w:rPr>
  </w:style>
  <w:style w:type="paragraph" w:customStyle="1" w:styleId="390">
    <w:name w:val="toc 27"/>
    <w:next w:val="1"/>
    <w:qFormat/>
    <w:uiPriority w:val="0"/>
    <w:pPr>
      <w:wordWrap w:val="0"/>
      <w:ind w:left="425"/>
      <w:jc w:val="both"/>
    </w:pPr>
    <w:rPr>
      <w:rFonts w:ascii="Calibri" w:hAnsi="Calibri" w:eastAsia="宋体" w:cs="Times New Roman"/>
      <w:sz w:val="21"/>
      <w:lang w:val="en-US" w:eastAsia="zh-CN" w:bidi="ar-SA"/>
    </w:rPr>
  </w:style>
  <w:style w:type="paragraph" w:customStyle="1" w:styleId="391">
    <w:name w:val="toc 916"/>
    <w:next w:val="1"/>
    <w:qFormat/>
    <w:uiPriority w:val="0"/>
    <w:pPr>
      <w:wordWrap w:val="0"/>
      <w:ind w:left="3400"/>
      <w:jc w:val="both"/>
    </w:pPr>
    <w:rPr>
      <w:rFonts w:ascii="Calibri" w:hAnsi="Calibri" w:eastAsia="宋体" w:cs="Times New Roman"/>
      <w:sz w:val="21"/>
      <w:lang w:val="en-US" w:eastAsia="zh-CN" w:bidi="ar-SA"/>
    </w:rPr>
  </w:style>
  <w:style w:type="paragraph" w:customStyle="1" w:styleId="392">
    <w:name w:val="toc 77"/>
    <w:next w:val="1"/>
    <w:qFormat/>
    <w:uiPriority w:val="0"/>
    <w:pPr>
      <w:wordWrap w:val="0"/>
      <w:ind w:left="2550"/>
      <w:jc w:val="both"/>
    </w:pPr>
    <w:rPr>
      <w:rFonts w:ascii="Calibri" w:hAnsi="Calibri" w:eastAsia="宋体" w:cs="Times New Roman"/>
      <w:sz w:val="21"/>
      <w:lang w:val="en-US" w:eastAsia="zh-CN" w:bidi="ar-SA"/>
    </w:rPr>
  </w:style>
  <w:style w:type="paragraph" w:customStyle="1" w:styleId="393">
    <w:name w:val="toc 211"/>
    <w:next w:val="1"/>
    <w:qFormat/>
    <w:uiPriority w:val="0"/>
    <w:pPr>
      <w:wordWrap w:val="0"/>
      <w:ind w:left="425"/>
      <w:jc w:val="both"/>
    </w:pPr>
    <w:rPr>
      <w:rFonts w:ascii="Calibri" w:hAnsi="Calibri" w:eastAsia="宋体" w:cs="Times New Roman"/>
      <w:sz w:val="21"/>
      <w:lang w:val="en-US" w:eastAsia="zh-CN" w:bidi="ar-SA"/>
    </w:rPr>
  </w:style>
  <w:style w:type="paragraph" w:customStyle="1" w:styleId="394">
    <w:name w:val="toc 815"/>
    <w:next w:val="1"/>
    <w:qFormat/>
    <w:uiPriority w:val="0"/>
    <w:pPr>
      <w:wordWrap w:val="0"/>
      <w:ind w:left="2975"/>
      <w:jc w:val="both"/>
    </w:pPr>
    <w:rPr>
      <w:rFonts w:ascii="Calibri" w:hAnsi="Calibri" w:eastAsia="宋体" w:cs="Times New Roman"/>
      <w:sz w:val="21"/>
      <w:lang w:val="en-US" w:eastAsia="zh-CN" w:bidi="ar-SA"/>
    </w:rPr>
  </w:style>
  <w:style w:type="paragraph" w:customStyle="1" w:styleId="395">
    <w:name w:val="xl99"/>
    <w:basedOn w:val="1"/>
    <w:next w:val="380"/>
    <w:qFormat/>
    <w:uiPriority w:val="0"/>
    <w:pPr>
      <w:widowControl/>
      <w:shd w:val="clear" w:color="000000" w:fill="FFFFFF"/>
      <w:spacing w:before="280" w:after="280"/>
    </w:pPr>
    <w:rPr>
      <w:rFonts w:ascii="宋体" w:hAnsi="Calibri"/>
      <w:kern w:val="0"/>
      <w:sz w:val="18"/>
      <w:szCs w:val="20"/>
    </w:rPr>
  </w:style>
  <w:style w:type="paragraph" w:customStyle="1" w:styleId="396">
    <w:name w:val="xl97"/>
    <w:basedOn w:val="1"/>
    <w:next w:val="268"/>
    <w:qFormat/>
    <w:uiPriority w:val="0"/>
    <w:pPr>
      <w:widowControl/>
      <w:shd w:val="clear" w:color="000000" w:fill="FFFFFF"/>
      <w:spacing w:before="280" w:after="280"/>
      <w:jc w:val="center"/>
    </w:pPr>
    <w:rPr>
      <w:rFonts w:ascii="宋体" w:hAnsi="Calibri"/>
      <w:kern w:val="0"/>
      <w:sz w:val="20"/>
      <w:szCs w:val="20"/>
    </w:rPr>
  </w:style>
  <w:style w:type="paragraph" w:customStyle="1" w:styleId="397">
    <w:name w:val="toc 612"/>
    <w:next w:val="1"/>
    <w:qFormat/>
    <w:uiPriority w:val="0"/>
    <w:pPr>
      <w:wordWrap w:val="0"/>
      <w:ind w:left="2125"/>
      <w:jc w:val="both"/>
    </w:pPr>
    <w:rPr>
      <w:rFonts w:ascii="Calibri" w:hAnsi="Calibri" w:eastAsia="宋体" w:cs="Times New Roman"/>
      <w:sz w:val="21"/>
      <w:lang w:val="en-US" w:eastAsia="zh-CN" w:bidi="ar-SA"/>
    </w:rPr>
  </w:style>
  <w:style w:type="paragraph" w:customStyle="1" w:styleId="398">
    <w:name w:val="toc 315"/>
    <w:next w:val="1"/>
    <w:qFormat/>
    <w:uiPriority w:val="0"/>
    <w:pPr>
      <w:wordWrap w:val="0"/>
      <w:ind w:left="850"/>
      <w:jc w:val="both"/>
    </w:pPr>
    <w:rPr>
      <w:rFonts w:ascii="Calibri" w:hAnsi="Calibri" w:eastAsia="宋体" w:cs="Times New Roman"/>
      <w:sz w:val="21"/>
      <w:lang w:val="en-US" w:eastAsia="zh-CN" w:bidi="ar-SA"/>
    </w:rPr>
  </w:style>
  <w:style w:type="paragraph" w:customStyle="1" w:styleId="399">
    <w:name w:val="TOC Heading15"/>
    <w:next w:val="1"/>
    <w:qFormat/>
    <w:uiPriority w:val="0"/>
    <w:pPr>
      <w:wordWrap w:val="0"/>
    </w:pPr>
    <w:rPr>
      <w:rFonts w:ascii="Calibri" w:hAnsi="Calibri" w:eastAsia="宋体" w:cs="Times New Roman"/>
      <w:sz w:val="32"/>
      <w:lang w:val="en-US" w:eastAsia="zh-CN" w:bidi="ar-SA"/>
    </w:rPr>
  </w:style>
  <w:style w:type="paragraph" w:customStyle="1" w:styleId="400">
    <w:name w:val="toc 915"/>
    <w:next w:val="1"/>
    <w:qFormat/>
    <w:uiPriority w:val="0"/>
    <w:pPr>
      <w:wordWrap w:val="0"/>
      <w:ind w:left="3400"/>
      <w:jc w:val="both"/>
    </w:pPr>
    <w:rPr>
      <w:rFonts w:ascii="Calibri" w:hAnsi="Calibri" w:eastAsia="宋体" w:cs="Times New Roman"/>
      <w:sz w:val="21"/>
      <w:lang w:val="en-US" w:eastAsia="zh-CN" w:bidi="ar-SA"/>
    </w:rPr>
  </w:style>
  <w:style w:type="paragraph" w:customStyle="1" w:styleId="401">
    <w:name w:val="toc 39"/>
    <w:next w:val="1"/>
    <w:qFormat/>
    <w:uiPriority w:val="0"/>
    <w:pPr>
      <w:wordWrap w:val="0"/>
      <w:ind w:left="850"/>
      <w:jc w:val="both"/>
    </w:pPr>
    <w:rPr>
      <w:rFonts w:ascii="Calibri" w:hAnsi="Calibri" w:eastAsia="宋体" w:cs="Times New Roman"/>
      <w:sz w:val="21"/>
      <w:lang w:val="en-US" w:eastAsia="zh-CN" w:bidi="ar-SA"/>
    </w:rPr>
  </w:style>
  <w:style w:type="paragraph" w:customStyle="1" w:styleId="402">
    <w:name w:val="toc 710"/>
    <w:next w:val="1"/>
    <w:qFormat/>
    <w:uiPriority w:val="0"/>
    <w:pPr>
      <w:wordWrap w:val="0"/>
      <w:ind w:left="2550"/>
      <w:jc w:val="both"/>
    </w:pPr>
    <w:rPr>
      <w:rFonts w:ascii="Calibri" w:hAnsi="Calibri" w:eastAsia="宋体" w:cs="Times New Roman"/>
      <w:sz w:val="21"/>
      <w:lang w:val="en-US" w:eastAsia="zh-CN" w:bidi="ar-SA"/>
    </w:rPr>
  </w:style>
  <w:style w:type="paragraph" w:customStyle="1" w:styleId="403">
    <w:name w:val="toc 12"/>
    <w:next w:val="1"/>
    <w:qFormat/>
    <w:uiPriority w:val="0"/>
    <w:pPr>
      <w:wordWrap w:val="0"/>
      <w:jc w:val="both"/>
    </w:pPr>
    <w:rPr>
      <w:rFonts w:ascii="Calibri" w:hAnsi="Calibri" w:eastAsia="宋体" w:cs="Times New Roman"/>
      <w:sz w:val="21"/>
      <w:lang w:val="en-US" w:eastAsia="zh-CN" w:bidi="ar-SA"/>
    </w:rPr>
  </w:style>
  <w:style w:type="paragraph" w:customStyle="1" w:styleId="404">
    <w:name w:val="xl95"/>
    <w:basedOn w:val="1"/>
    <w:next w:val="405"/>
    <w:qFormat/>
    <w:uiPriority w:val="0"/>
    <w:pPr>
      <w:widowControl/>
      <w:shd w:val="clear" w:color="000000" w:fill="FFFFFF"/>
      <w:spacing w:before="280" w:after="280"/>
    </w:pPr>
    <w:rPr>
      <w:rFonts w:ascii="宋体" w:hAnsi="Calibri"/>
      <w:kern w:val="0"/>
      <w:sz w:val="20"/>
      <w:szCs w:val="20"/>
    </w:rPr>
  </w:style>
  <w:style w:type="paragraph" w:customStyle="1" w:styleId="405">
    <w:name w:val="toc 415"/>
    <w:next w:val="1"/>
    <w:qFormat/>
    <w:uiPriority w:val="0"/>
    <w:pPr>
      <w:wordWrap w:val="0"/>
      <w:ind w:left="1275"/>
      <w:jc w:val="both"/>
    </w:pPr>
    <w:rPr>
      <w:rFonts w:ascii="Calibri" w:hAnsi="Calibri" w:eastAsia="宋体" w:cs="Times New Roman"/>
      <w:sz w:val="21"/>
      <w:lang w:val="en-US" w:eastAsia="zh-CN" w:bidi="ar-SA"/>
    </w:rPr>
  </w:style>
  <w:style w:type="paragraph" w:customStyle="1" w:styleId="406">
    <w:name w:val="toc 29"/>
    <w:next w:val="1"/>
    <w:qFormat/>
    <w:uiPriority w:val="0"/>
    <w:pPr>
      <w:wordWrap w:val="0"/>
      <w:ind w:left="425"/>
      <w:jc w:val="both"/>
    </w:pPr>
    <w:rPr>
      <w:rFonts w:ascii="Calibri" w:hAnsi="Calibri" w:eastAsia="宋体" w:cs="Times New Roman"/>
      <w:sz w:val="21"/>
      <w:lang w:val="en-US" w:eastAsia="zh-CN" w:bidi="ar-SA"/>
    </w:rPr>
  </w:style>
  <w:style w:type="paragraph" w:customStyle="1" w:styleId="407">
    <w:name w:val="xl67"/>
    <w:basedOn w:val="1"/>
    <w:next w:val="408"/>
    <w:qFormat/>
    <w:uiPriority w:val="0"/>
    <w:pPr>
      <w:widowControl/>
      <w:shd w:val="clear" w:color="000000" w:fill="FFFFFF"/>
      <w:spacing w:before="280" w:after="280"/>
      <w:jc w:val="center"/>
    </w:pPr>
    <w:rPr>
      <w:rFonts w:ascii="宋体" w:hAnsi="Calibri"/>
      <w:b/>
      <w:kern w:val="0"/>
      <w:sz w:val="20"/>
      <w:szCs w:val="20"/>
    </w:rPr>
  </w:style>
  <w:style w:type="paragraph" w:customStyle="1" w:styleId="408">
    <w:name w:val="toc 714"/>
    <w:next w:val="1"/>
    <w:qFormat/>
    <w:uiPriority w:val="0"/>
    <w:pPr>
      <w:wordWrap w:val="0"/>
      <w:ind w:left="2550"/>
      <w:jc w:val="both"/>
    </w:pPr>
    <w:rPr>
      <w:rFonts w:ascii="Calibri" w:hAnsi="Calibri" w:eastAsia="宋体" w:cs="Times New Roman"/>
      <w:sz w:val="21"/>
      <w:lang w:val="en-US" w:eastAsia="zh-CN" w:bidi="ar-SA"/>
    </w:rPr>
  </w:style>
  <w:style w:type="paragraph" w:customStyle="1" w:styleId="409">
    <w:name w:val="toc 21"/>
    <w:next w:val="1"/>
    <w:qFormat/>
    <w:uiPriority w:val="0"/>
    <w:pPr>
      <w:wordWrap w:val="0"/>
      <w:ind w:left="425"/>
      <w:jc w:val="both"/>
    </w:pPr>
    <w:rPr>
      <w:rFonts w:ascii="Calibri" w:hAnsi="Calibri" w:eastAsia="宋体" w:cs="Times New Roman"/>
      <w:sz w:val="21"/>
      <w:lang w:val="en-US" w:eastAsia="zh-CN" w:bidi="ar-SA"/>
    </w:rPr>
  </w:style>
  <w:style w:type="paragraph" w:customStyle="1" w:styleId="410">
    <w:name w:val="正文 A"/>
    <w:next w:val="327"/>
    <w:qFormat/>
    <w:uiPriority w:val="0"/>
    <w:rPr>
      <w:rFonts w:ascii="Arial" w:hAnsi="Calibri" w:eastAsia="Arial Unicode MS" w:cs="Times New Roman"/>
      <w:color w:val="000000"/>
      <w:sz w:val="21"/>
      <w:lang w:val="en-US" w:eastAsia="zh-CN" w:bidi="ar-SA"/>
    </w:rPr>
  </w:style>
  <w:style w:type="paragraph" w:customStyle="1" w:styleId="411">
    <w:name w:val="toc 68"/>
    <w:next w:val="1"/>
    <w:qFormat/>
    <w:uiPriority w:val="0"/>
    <w:pPr>
      <w:wordWrap w:val="0"/>
      <w:ind w:left="2125"/>
      <w:jc w:val="both"/>
    </w:pPr>
    <w:rPr>
      <w:rFonts w:ascii="Calibri" w:hAnsi="Calibri" w:eastAsia="宋体" w:cs="Times New Roman"/>
      <w:sz w:val="21"/>
      <w:lang w:val="en-US" w:eastAsia="zh-CN" w:bidi="ar-SA"/>
    </w:rPr>
  </w:style>
  <w:style w:type="paragraph" w:customStyle="1" w:styleId="412">
    <w:name w:val="toc 58"/>
    <w:next w:val="1"/>
    <w:qFormat/>
    <w:uiPriority w:val="0"/>
    <w:pPr>
      <w:wordWrap w:val="0"/>
      <w:ind w:left="1700"/>
      <w:jc w:val="both"/>
    </w:pPr>
    <w:rPr>
      <w:rFonts w:ascii="Calibri" w:hAnsi="Calibri" w:eastAsia="宋体" w:cs="Times New Roman"/>
      <w:sz w:val="21"/>
      <w:lang w:val="en-US" w:eastAsia="zh-CN" w:bidi="ar-SA"/>
    </w:rPr>
  </w:style>
  <w:style w:type="paragraph" w:customStyle="1" w:styleId="413">
    <w:name w:val="xl88"/>
    <w:basedOn w:val="1"/>
    <w:next w:val="399"/>
    <w:qFormat/>
    <w:uiPriority w:val="0"/>
    <w:pPr>
      <w:widowControl/>
      <w:shd w:val="clear" w:color="000000" w:fill="FFFFFF"/>
      <w:spacing w:before="280" w:after="280"/>
      <w:jc w:val="center"/>
    </w:pPr>
    <w:rPr>
      <w:rFonts w:ascii="宋体" w:hAnsi="Calibri"/>
      <w:kern w:val="0"/>
      <w:sz w:val="20"/>
      <w:szCs w:val="20"/>
    </w:rPr>
  </w:style>
  <w:style w:type="paragraph" w:customStyle="1" w:styleId="414">
    <w:name w:val="toc 71"/>
    <w:next w:val="1"/>
    <w:qFormat/>
    <w:uiPriority w:val="0"/>
    <w:pPr>
      <w:wordWrap w:val="0"/>
      <w:ind w:left="2550"/>
      <w:jc w:val="both"/>
    </w:pPr>
    <w:rPr>
      <w:rFonts w:ascii="Calibri" w:hAnsi="Calibri" w:eastAsia="宋体" w:cs="Times New Roman"/>
      <w:sz w:val="21"/>
      <w:lang w:val="en-US" w:eastAsia="zh-CN" w:bidi="ar-SA"/>
    </w:rPr>
  </w:style>
  <w:style w:type="paragraph" w:customStyle="1" w:styleId="415">
    <w:name w:val="xl100"/>
    <w:basedOn w:val="1"/>
    <w:next w:val="416"/>
    <w:qFormat/>
    <w:uiPriority w:val="0"/>
    <w:pPr>
      <w:widowControl/>
      <w:shd w:val="clear" w:color="000000" w:fill="FFFFFF"/>
      <w:spacing w:before="280" w:after="280"/>
    </w:pPr>
    <w:rPr>
      <w:rFonts w:ascii="宋体" w:hAnsi="Calibri"/>
      <w:kern w:val="0"/>
      <w:sz w:val="20"/>
      <w:szCs w:val="20"/>
    </w:rPr>
  </w:style>
  <w:style w:type="paragraph" w:customStyle="1" w:styleId="416">
    <w:name w:val="toc 510"/>
    <w:next w:val="1"/>
    <w:qFormat/>
    <w:uiPriority w:val="0"/>
    <w:pPr>
      <w:wordWrap w:val="0"/>
      <w:ind w:left="1700"/>
      <w:jc w:val="both"/>
    </w:pPr>
    <w:rPr>
      <w:rFonts w:ascii="Calibri" w:hAnsi="Calibri" w:eastAsia="宋体" w:cs="Times New Roman"/>
      <w:sz w:val="21"/>
      <w:lang w:val="en-US" w:eastAsia="zh-CN" w:bidi="ar-SA"/>
    </w:rPr>
  </w:style>
  <w:style w:type="paragraph" w:customStyle="1" w:styleId="417">
    <w:name w:val="toc 314"/>
    <w:next w:val="1"/>
    <w:qFormat/>
    <w:uiPriority w:val="0"/>
    <w:pPr>
      <w:wordWrap w:val="0"/>
      <w:ind w:left="850"/>
      <w:jc w:val="both"/>
    </w:pPr>
    <w:rPr>
      <w:rFonts w:ascii="Calibri" w:hAnsi="Calibri" w:eastAsia="宋体" w:cs="Times New Roman"/>
      <w:sz w:val="21"/>
      <w:lang w:val="en-US" w:eastAsia="zh-CN" w:bidi="ar-SA"/>
    </w:rPr>
  </w:style>
  <w:style w:type="paragraph" w:customStyle="1" w:styleId="418">
    <w:name w:val="xl114"/>
    <w:basedOn w:val="1"/>
    <w:next w:val="270"/>
    <w:qFormat/>
    <w:uiPriority w:val="0"/>
    <w:pPr>
      <w:widowControl/>
      <w:shd w:val="clear" w:color="000000" w:fill="FFFFFF"/>
      <w:spacing w:before="280" w:after="280"/>
      <w:jc w:val="center"/>
    </w:pPr>
    <w:rPr>
      <w:rFonts w:ascii="宋体" w:hAnsi="Calibri"/>
      <w:b/>
      <w:kern w:val="0"/>
      <w:sz w:val="20"/>
      <w:szCs w:val="20"/>
    </w:rPr>
  </w:style>
  <w:style w:type="paragraph" w:customStyle="1" w:styleId="419">
    <w:name w:val="xl107"/>
    <w:basedOn w:val="1"/>
    <w:next w:val="420"/>
    <w:qFormat/>
    <w:uiPriority w:val="0"/>
    <w:pPr>
      <w:widowControl/>
      <w:shd w:val="clear" w:color="000000" w:fill="FFFFFF"/>
      <w:spacing w:before="280" w:after="280"/>
    </w:pPr>
    <w:rPr>
      <w:rFonts w:ascii="宋体" w:hAnsi="Calibri"/>
      <w:kern w:val="0"/>
      <w:sz w:val="20"/>
      <w:szCs w:val="20"/>
    </w:rPr>
  </w:style>
  <w:style w:type="paragraph" w:customStyle="1" w:styleId="420">
    <w:name w:val="toc 610"/>
    <w:next w:val="1"/>
    <w:qFormat/>
    <w:uiPriority w:val="0"/>
    <w:pPr>
      <w:wordWrap w:val="0"/>
      <w:ind w:left="2125"/>
      <w:jc w:val="both"/>
    </w:pPr>
    <w:rPr>
      <w:rFonts w:ascii="Calibri" w:hAnsi="Calibri" w:eastAsia="宋体" w:cs="Times New Roman"/>
      <w:sz w:val="21"/>
      <w:lang w:val="en-US" w:eastAsia="zh-CN" w:bidi="ar-SA"/>
    </w:rPr>
  </w:style>
  <w:style w:type="paragraph" w:customStyle="1" w:styleId="421">
    <w:name w:val="toc 22"/>
    <w:next w:val="1"/>
    <w:qFormat/>
    <w:uiPriority w:val="0"/>
    <w:pPr>
      <w:wordWrap w:val="0"/>
      <w:ind w:left="425"/>
      <w:jc w:val="both"/>
    </w:pPr>
    <w:rPr>
      <w:rFonts w:ascii="Calibri" w:hAnsi="Calibri" w:eastAsia="宋体" w:cs="Times New Roman"/>
      <w:sz w:val="21"/>
      <w:lang w:val="en-US" w:eastAsia="zh-CN" w:bidi="ar-SA"/>
    </w:rPr>
  </w:style>
  <w:style w:type="paragraph" w:customStyle="1" w:styleId="422">
    <w:name w:val="xl90"/>
    <w:basedOn w:val="1"/>
    <w:next w:val="224"/>
    <w:qFormat/>
    <w:uiPriority w:val="0"/>
    <w:pPr>
      <w:widowControl/>
      <w:shd w:val="clear" w:color="000000" w:fill="FFFFFF"/>
      <w:spacing w:before="280" w:after="280"/>
    </w:pPr>
    <w:rPr>
      <w:rFonts w:ascii="宋体" w:hAnsi="Calibri"/>
      <w:kern w:val="0"/>
      <w:sz w:val="18"/>
      <w:szCs w:val="20"/>
    </w:rPr>
  </w:style>
  <w:style w:type="paragraph" w:customStyle="1" w:styleId="423">
    <w:name w:val="toc 616"/>
    <w:next w:val="1"/>
    <w:qFormat/>
    <w:uiPriority w:val="0"/>
    <w:pPr>
      <w:wordWrap w:val="0"/>
      <w:ind w:left="2125"/>
      <w:jc w:val="both"/>
    </w:pPr>
    <w:rPr>
      <w:rFonts w:ascii="Calibri" w:hAnsi="Calibri" w:eastAsia="宋体" w:cs="Times New Roman"/>
      <w:sz w:val="21"/>
      <w:lang w:val="en-US" w:eastAsia="zh-CN" w:bidi="ar-SA"/>
    </w:rPr>
  </w:style>
  <w:style w:type="paragraph" w:customStyle="1" w:styleId="424">
    <w:name w:val="toc 96"/>
    <w:next w:val="1"/>
    <w:qFormat/>
    <w:uiPriority w:val="0"/>
    <w:pPr>
      <w:wordWrap w:val="0"/>
      <w:ind w:left="3400"/>
      <w:jc w:val="both"/>
    </w:pPr>
    <w:rPr>
      <w:rFonts w:ascii="Calibri" w:hAnsi="Calibri" w:eastAsia="宋体" w:cs="Times New Roman"/>
      <w:sz w:val="21"/>
      <w:lang w:val="en-US" w:eastAsia="zh-CN" w:bidi="ar-SA"/>
    </w:rPr>
  </w:style>
  <w:style w:type="paragraph" w:customStyle="1" w:styleId="425">
    <w:name w:val="toc 42"/>
    <w:next w:val="1"/>
    <w:qFormat/>
    <w:uiPriority w:val="0"/>
    <w:pPr>
      <w:wordWrap w:val="0"/>
      <w:ind w:left="1275"/>
      <w:jc w:val="both"/>
    </w:pPr>
    <w:rPr>
      <w:rFonts w:ascii="Calibri" w:hAnsi="Calibri" w:eastAsia="宋体" w:cs="Times New Roman"/>
      <w:sz w:val="21"/>
      <w:lang w:val="en-US" w:eastAsia="zh-CN" w:bidi="ar-SA"/>
    </w:rPr>
  </w:style>
  <w:style w:type="paragraph" w:customStyle="1" w:styleId="426">
    <w:name w:val="xl117"/>
    <w:basedOn w:val="1"/>
    <w:next w:val="323"/>
    <w:qFormat/>
    <w:uiPriority w:val="0"/>
    <w:pPr>
      <w:widowControl/>
      <w:shd w:val="clear" w:color="000000" w:fill="FFFFFF"/>
      <w:spacing w:before="280" w:after="280"/>
      <w:jc w:val="center"/>
    </w:pPr>
    <w:rPr>
      <w:rFonts w:ascii="Arial Narrow" w:hAnsi="Calibri"/>
      <w:kern w:val="0"/>
      <w:sz w:val="24"/>
      <w:szCs w:val="20"/>
    </w:rPr>
  </w:style>
  <w:style w:type="paragraph" w:customStyle="1" w:styleId="427">
    <w:name w:val="p15"/>
    <w:basedOn w:val="1"/>
    <w:next w:val="248"/>
    <w:qFormat/>
    <w:uiPriority w:val="0"/>
    <w:pPr>
      <w:widowControl/>
      <w:ind w:firstLine="420"/>
    </w:pPr>
    <w:rPr>
      <w:rFonts w:hAnsi="Calibri"/>
      <w:kern w:val="0"/>
      <w:szCs w:val="20"/>
    </w:rPr>
  </w:style>
  <w:style w:type="paragraph" w:customStyle="1" w:styleId="428">
    <w:name w:val="xl87"/>
    <w:basedOn w:val="1"/>
    <w:next w:val="429"/>
    <w:qFormat/>
    <w:uiPriority w:val="0"/>
    <w:pPr>
      <w:widowControl/>
      <w:shd w:val="clear" w:color="000000" w:fill="FFFFFF"/>
      <w:spacing w:before="280" w:after="280"/>
    </w:pPr>
    <w:rPr>
      <w:rFonts w:ascii="Arial" w:hAnsi="Calibri"/>
      <w:kern w:val="0"/>
      <w:sz w:val="18"/>
      <w:szCs w:val="20"/>
    </w:rPr>
  </w:style>
  <w:style w:type="paragraph" w:customStyle="1" w:styleId="429">
    <w:name w:val="toc 98"/>
    <w:next w:val="1"/>
    <w:qFormat/>
    <w:uiPriority w:val="0"/>
    <w:pPr>
      <w:wordWrap w:val="0"/>
      <w:ind w:left="3400"/>
      <w:jc w:val="both"/>
    </w:pPr>
    <w:rPr>
      <w:rFonts w:ascii="Calibri" w:hAnsi="Calibri" w:eastAsia="宋体" w:cs="Times New Roman"/>
      <w:sz w:val="21"/>
      <w:lang w:val="en-US" w:eastAsia="zh-CN" w:bidi="ar-SA"/>
    </w:rPr>
  </w:style>
  <w:style w:type="paragraph" w:customStyle="1" w:styleId="430">
    <w:name w:val="列出段落7"/>
    <w:basedOn w:val="1"/>
    <w:next w:val="412"/>
    <w:qFormat/>
    <w:uiPriority w:val="0"/>
    <w:pPr>
      <w:ind w:firstLine="420"/>
    </w:pPr>
    <w:rPr>
      <w:rFonts w:hAnsi="Calibri"/>
      <w:kern w:val="0"/>
      <w:szCs w:val="20"/>
    </w:rPr>
  </w:style>
  <w:style w:type="paragraph" w:customStyle="1" w:styleId="431">
    <w:name w:val="xl78"/>
    <w:basedOn w:val="1"/>
    <w:next w:val="402"/>
    <w:qFormat/>
    <w:uiPriority w:val="0"/>
    <w:pPr>
      <w:widowControl/>
      <w:shd w:val="clear" w:color="000000" w:fill="FFFFFF"/>
      <w:spacing w:before="280" w:after="280"/>
    </w:pPr>
    <w:rPr>
      <w:rFonts w:ascii="宋体" w:hAnsi="Calibri"/>
      <w:b/>
      <w:kern w:val="0"/>
      <w:sz w:val="20"/>
      <w:szCs w:val="20"/>
    </w:rPr>
  </w:style>
  <w:style w:type="paragraph" w:customStyle="1" w:styleId="432">
    <w:name w:val="toc 516"/>
    <w:next w:val="1"/>
    <w:qFormat/>
    <w:uiPriority w:val="0"/>
    <w:pPr>
      <w:wordWrap w:val="0"/>
      <w:ind w:left="1700"/>
      <w:jc w:val="both"/>
    </w:pPr>
    <w:rPr>
      <w:rFonts w:ascii="Calibri" w:hAnsi="Calibri" w:eastAsia="宋体" w:cs="Times New Roman"/>
      <w:sz w:val="21"/>
      <w:lang w:val="en-US" w:eastAsia="zh-CN" w:bidi="ar-SA"/>
    </w:rPr>
  </w:style>
  <w:style w:type="paragraph" w:customStyle="1" w:styleId="433">
    <w:name w:val="xl89"/>
    <w:basedOn w:val="1"/>
    <w:next w:val="367"/>
    <w:qFormat/>
    <w:uiPriority w:val="0"/>
    <w:pPr>
      <w:widowControl/>
      <w:shd w:val="clear" w:color="000000" w:fill="FFFFFF"/>
      <w:spacing w:before="280" w:after="280"/>
    </w:pPr>
    <w:rPr>
      <w:rFonts w:ascii="宋体" w:hAnsi="Calibri"/>
      <w:kern w:val="0"/>
      <w:sz w:val="20"/>
      <w:szCs w:val="20"/>
    </w:rPr>
  </w:style>
  <w:style w:type="paragraph" w:customStyle="1" w:styleId="434">
    <w:name w:val="toc 910"/>
    <w:next w:val="1"/>
    <w:qFormat/>
    <w:uiPriority w:val="0"/>
    <w:pPr>
      <w:wordWrap w:val="0"/>
      <w:ind w:left="3400"/>
      <w:jc w:val="both"/>
    </w:pPr>
    <w:rPr>
      <w:rFonts w:ascii="Calibri" w:hAnsi="Calibri" w:eastAsia="宋体" w:cs="Times New Roman"/>
      <w:sz w:val="21"/>
      <w:lang w:val="en-US" w:eastAsia="zh-CN" w:bidi="ar-SA"/>
    </w:rPr>
  </w:style>
  <w:style w:type="paragraph" w:customStyle="1" w:styleId="435">
    <w:name w:val="toc 34"/>
    <w:next w:val="1"/>
    <w:qFormat/>
    <w:uiPriority w:val="0"/>
    <w:pPr>
      <w:wordWrap w:val="0"/>
      <w:ind w:left="850"/>
      <w:jc w:val="both"/>
    </w:pPr>
    <w:rPr>
      <w:rFonts w:ascii="Calibri" w:hAnsi="Calibri" w:eastAsia="宋体" w:cs="Times New Roman"/>
      <w:sz w:val="21"/>
      <w:lang w:val="en-US" w:eastAsia="zh-CN" w:bidi="ar-SA"/>
    </w:rPr>
  </w:style>
  <w:style w:type="paragraph" w:customStyle="1" w:styleId="436">
    <w:name w:val="toc 816"/>
    <w:next w:val="1"/>
    <w:qFormat/>
    <w:uiPriority w:val="0"/>
    <w:pPr>
      <w:wordWrap w:val="0"/>
      <w:ind w:left="2975"/>
      <w:jc w:val="both"/>
    </w:pPr>
    <w:rPr>
      <w:rFonts w:ascii="Calibri" w:hAnsi="Calibri" w:eastAsia="宋体" w:cs="Times New Roman"/>
      <w:sz w:val="21"/>
      <w:lang w:val="en-US" w:eastAsia="zh-CN" w:bidi="ar-SA"/>
    </w:rPr>
  </w:style>
  <w:style w:type="paragraph" w:customStyle="1" w:styleId="437">
    <w:name w:val="toc 43"/>
    <w:next w:val="1"/>
    <w:qFormat/>
    <w:uiPriority w:val="0"/>
    <w:pPr>
      <w:wordWrap w:val="0"/>
      <w:ind w:left="1275"/>
      <w:jc w:val="both"/>
    </w:pPr>
    <w:rPr>
      <w:rFonts w:ascii="Calibri" w:hAnsi="Calibri" w:eastAsia="宋体" w:cs="Times New Roman"/>
      <w:sz w:val="21"/>
      <w:lang w:val="en-US" w:eastAsia="zh-CN" w:bidi="ar-SA"/>
    </w:rPr>
  </w:style>
  <w:style w:type="paragraph" w:customStyle="1" w:styleId="438">
    <w:name w:val="toc 16"/>
    <w:next w:val="1"/>
    <w:qFormat/>
    <w:uiPriority w:val="0"/>
    <w:pPr>
      <w:wordWrap w:val="0"/>
      <w:jc w:val="both"/>
    </w:pPr>
    <w:rPr>
      <w:rFonts w:ascii="Calibri" w:hAnsi="Calibri" w:eastAsia="宋体" w:cs="Times New Roman"/>
      <w:sz w:val="21"/>
      <w:lang w:val="en-US" w:eastAsia="zh-CN" w:bidi="ar-SA"/>
    </w:rPr>
  </w:style>
  <w:style w:type="character" w:customStyle="1" w:styleId="439">
    <w:name w:val="引用 Char"/>
    <w:basedOn w:val="46"/>
    <w:link w:val="53"/>
    <w:qFormat/>
    <w:uiPriority w:val="0"/>
    <w:rPr>
      <w:rFonts w:ascii="Calibri" w:hAnsi="Calibri"/>
      <w:i/>
      <w:sz w:val="21"/>
    </w:rPr>
  </w:style>
  <w:style w:type="paragraph" w:customStyle="1" w:styleId="440">
    <w:name w:val="toc 114"/>
    <w:next w:val="1"/>
    <w:qFormat/>
    <w:uiPriority w:val="0"/>
    <w:pPr>
      <w:wordWrap w:val="0"/>
      <w:jc w:val="both"/>
    </w:pPr>
    <w:rPr>
      <w:rFonts w:ascii="Calibri" w:hAnsi="Calibri" w:eastAsia="宋体" w:cs="Times New Roman"/>
      <w:sz w:val="21"/>
      <w:lang w:val="en-US" w:eastAsia="zh-CN" w:bidi="ar-SA"/>
    </w:rPr>
  </w:style>
  <w:style w:type="paragraph" w:customStyle="1" w:styleId="441">
    <w:name w:val="xl119"/>
    <w:basedOn w:val="1"/>
    <w:next w:val="417"/>
    <w:qFormat/>
    <w:uiPriority w:val="0"/>
    <w:pPr>
      <w:widowControl/>
      <w:shd w:val="clear" w:color="000000" w:fill="FFFFFF"/>
      <w:spacing w:before="280" w:after="280"/>
      <w:jc w:val="center"/>
    </w:pPr>
    <w:rPr>
      <w:rFonts w:ascii="宋体" w:hAnsi="Calibri"/>
      <w:b/>
      <w:kern w:val="0"/>
      <w:sz w:val="20"/>
      <w:szCs w:val="20"/>
    </w:rPr>
  </w:style>
  <w:style w:type="paragraph" w:customStyle="1" w:styleId="442">
    <w:name w:val="toc 37"/>
    <w:next w:val="1"/>
    <w:qFormat/>
    <w:uiPriority w:val="0"/>
    <w:pPr>
      <w:wordWrap w:val="0"/>
      <w:ind w:left="850"/>
      <w:jc w:val="both"/>
    </w:pPr>
    <w:rPr>
      <w:rFonts w:ascii="Calibri" w:hAnsi="Calibri" w:eastAsia="宋体" w:cs="Times New Roman"/>
      <w:sz w:val="21"/>
      <w:lang w:val="en-US" w:eastAsia="zh-CN" w:bidi="ar-SA"/>
    </w:rPr>
  </w:style>
  <w:style w:type="paragraph" w:customStyle="1" w:styleId="443">
    <w:name w:val="xl109"/>
    <w:basedOn w:val="1"/>
    <w:next w:val="390"/>
    <w:qFormat/>
    <w:uiPriority w:val="0"/>
    <w:pPr>
      <w:widowControl/>
      <w:shd w:val="clear" w:color="000000" w:fill="FFFFFF"/>
      <w:spacing w:before="280" w:after="280"/>
    </w:pPr>
    <w:rPr>
      <w:rFonts w:ascii="宋体" w:hAnsi="Calibri"/>
      <w:kern w:val="0"/>
      <w:sz w:val="20"/>
      <w:szCs w:val="20"/>
    </w:rPr>
  </w:style>
  <w:style w:type="paragraph" w:customStyle="1" w:styleId="444">
    <w:name w:val="toc 215"/>
    <w:next w:val="1"/>
    <w:qFormat/>
    <w:uiPriority w:val="0"/>
    <w:pPr>
      <w:wordWrap w:val="0"/>
      <w:ind w:left="425"/>
      <w:jc w:val="both"/>
    </w:pPr>
    <w:rPr>
      <w:rFonts w:ascii="Calibri" w:hAnsi="Calibri" w:eastAsia="宋体" w:cs="Times New Roman"/>
      <w:sz w:val="21"/>
      <w:lang w:val="en-US" w:eastAsia="zh-CN" w:bidi="ar-SA"/>
    </w:rPr>
  </w:style>
  <w:style w:type="paragraph" w:customStyle="1" w:styleId="445">
    <w:name w:val="xl76"/>
    <w:basedOn w:val="1"/>
    <w:next w:val="398"/>
    <w:qFormat/>
    <w:uiPriority w:val="0"/>
    <w:pPr>
      <w:widowControl/>
      <w:shd w:val="clear" w:color="000000" w:fill="FFFFFF"/>
      <w:spacing w:before="280" w:after="280"/>
      <w:jc w:val="center"/>
    </w:pPr>
    <w:rPr>
      <w:rFonts w:ascii="宋体" w:hAnsi="Calibri"/>
      <w:b/>
      <w:kern w:val="0"/>
      <w:sz w:val="20"/>
      <w:szCs w:val="20"/>
    </w:rPr>
  </w:style>
  <w:style w:type="paragraph" w:customStyle="1" w:styleId="446">
    <w:name w:val="toc 92"/>
    <w:next w:val="1"/>
    <w:qFormat/>
    <w:uiPriority w:val="0"/>
    <w:pPr>
      <w:wordWrap w:val="0"/>
      <w:ind w:left="3400"/>
      <w:jc w:val="both"/>
    </w:pPr>
    <w:rPr>
      <w:rFonts w:ascii="Calibri" w:hAnsi="Calibri" w:eastAsia="宋体" w:cs="Times New Roman"/>
      <w:sz w:val="21"/>
      <w:lang w:val="en-US" w:eastAsia="zh-CN" w:bidi="ar-SA"/>
    </w:rPr>
  </w:style>
  <w:style w:type="paragraph" w:customStyle="1" w:styleId="447">
    <w:name w:val="toc 216"/>
    <w:next w:val="1"/>
    <w:qFormat/>
    <w:uiPriority w:val="0"/>
    <w:pPr>
      <w:wordWrap w:val="0"/>
      <w:ind w:left="425"/>
      <w:jc w:val="both"/>
    </w:pPr>
    <w:rPr>
      <w:rFonts w:ascii="Calibri" w:hAnsi="Calibri" w:eastAsia="宋体" w:cs="Times New Roman"/>
      <w:sz w:val="21"/>
      <w:lang w:val="en-US" w:eastAsia="zh-CN" w:bidi="ar-SA"/>
    </w:rPr>
  </w:style>
  <w:style w:type="paragraph" w:customStyle="1" w:styleId="448">
    <w:name w:val="xl70"/>
    <w:basedOn w:val="1"/>
    <w:next w:val="375"/>
    <w:qFormat/>
    <w:uiPriority w:val="0"/>
    <w:pPr>
      <w:widowControl/>
      <w:shd w:val="clear" w:color="000000" w:fill="FFFFFF"/>
      <w:spacing w:before="280" w:after="280"/>
    </w:pPr>
    <w:rPr>
      <w:rFonts w:ascii="宋体" w:hAnsi="Calibri"/>
      <w:kern w:val="0"/>
      <w:sz w:val="20"/>
      <w:szCs w:val="20"/>
    </w:rPr>
  </w:style>
  <w:style w:type="paragraph" w:customStyle="1" w:styleId="449">
    <w:name w:val="toc 33"/>
    <w:next w:val="1"/>
    <w:qFormat/>
    <w:uiPriority w:val="0"/>
    <w:pPr>
      <w:wordWrap w:val="0"/>
      <w:ind w:left="850"/>
      <w:jc w:val="both"/>
    </w:pPr>
    <w:rPr>
      <w:rFonts w:ascii="Calibri" w:hAnsi="Calibri" w:eastAsia="宋体" w:cs="Times New Roman"/>
      <w:sz w:val="21"/>
      <w:lang w:val="en-US" w:eastAsia="zh-CN" w:bidi="ar-SA"/>
    </w:rPr>
  </w:style>
  <w:style w:type="paragraph" w:customStyle="1" w:styleId="450">
    <w:name w:val="toc 61"/>
    <w:next w:val="1"/>
    <w:qFormat/>
    <w:uiPriority w:val="0"/>
    <w:pPr>
      <w:wordWrap w:val="0"/>
      <w:ind w:left="2125"/>
      <w:jc w:val="both"/>
    </w:pPr>
    <w:rPr>
      <w:rFonts w:ascii="Calibri" w:hAnsi="Calibri" w:eastAsia="宋体" w:cs="Times New Roman"/>
      <w:sz w:val="21"/>
      <w:lang w:val="en-US" w:eastAsia="zh-CN" w:bidi="ar-SA"/>
    </w:rPr>
  </w:style>
  <w:style w:type="paragraph" w:customStyle="1" w:styleId="451">
    <w:name w:val="xl98"/>
    <w:basedOn w:val="1"/>
    <w:next w:val="393"/>
    <w:qFormat/>
    <w:uiPriority w:val="0"/>
    <w:pPr>
      <w:widowControl/>
      <w:shd w:val="clear" w:color="000000" w:fill="FFFFFF"/>
      <w:spacing w:before="280" w:after="280"/>
      <w:jc w:val="center"/>
    </w:pPr>
    <w:rPr>
      <w:rFonts w:ascii="宋体" w:hAnsi="Calibri"/>
      <w:kern w:val="0"/>
      <w:sz w:val="20"/>
      <w:szCs w:val="20"/>
    </w:rPr>
  </w:style>
  <w:style w:type="paragraph" w:customStyle="1" w:styleId="452">
    <w:name w:val="toc 26"/>
    <w:next w:val="1"/>
    <w:qFormat/>
    <w:uiPriority w:val="0"/>
    <w:pPr>
      <w:wordWrap w:val="0"/>
      <w:ind w:left="425"/>
      <w:jc w:val="both"/>
    </w:pPr>
    <w:rPr>
      <w:rFonts w:ascii="Calibri" w:hAnsi="Calibri" w:eastAsia="宋体" w:cs="Times New Roman"/>
      <w:sz w:val="21"/>
      <w:lang w:val="en-US" w:eastAsia="zh-CN" w:bidi="ar-SA"/>
    </w:rPr>
  </w:style>
  <w:style w:type="paragraph" w:customStyle="1" w:styleId="453">
    <w:name w:val="toc 13"/>
    <w:next w:val="1"/>
    <w:qFormat/>
    <w:uiPriority w:val="0"/>
    <w:pPr>
      <w:wordWrap w:val="0"/>
      <w:jc w:val="both"/>
    </w:pPr>
    <w:rPr>
      <w:rFonts w:ascii="Calibri" w:hAnsi="Calibri" w:eastAsia="宋体" w:cs="Times New Roman"/>
      <w:sz w:val="21"/>
      <w:lang w:val="en-US" w:eastAsia="zh-CN" w:bidi="ar-SA"/>
    </w:rPr>
  </w:style>
  <w:style w:type="paragraph" w:customStyle="1" w:styleId="454">
    <w:name w:val="目录 51"/>
    <w:next w:val="1"/>
    <w:qFormat/>
    <w:uiPriority w:val="0"/>
    <w:pPr>
      <w:wordWrap w:val="0"/>
      <w:ind w:left="1700"/>
      <w:jc w:val="both"/>
    </w:pPr>
    <w:rPr>
      <w:rFonts w:ascii="Calibri" w:hAnsi="Calibri" w:eastAsia="宋体" w:cs="Times New Roman"/>
      <w:sz w:val="21"/>
      <w:lang w:val="en-US" w:eastAsia="zh-CN" w:bidi="ar-SA"/>
    </w:rPr>
  </w:style>
  <w:style w:type="paragraph" w:customStyle="1" w:styleId="455">
    <w:name w:val="xl101"/>
    <w:basedOn w:val="1"/>
    <w:next w:val="424"/>
    <w:qFormat/>
    <w:uiPriority w:val="0"/>
    <w:pPr>
      <w:widowControl/>
      <w:spacing w:before="280" w:after="280"/>
    </w:pPr>
    <w:rPr>
      <w:rFonts w:ascii="宋体" w:hAnsi="Calibri"/>
      <w:kern w:val="0"/>
      <w:sz w:val="20"/>
      <w:szCs w:val="20"/>
    </w:rPr>
  </w:style>
  <w:style w:type="paragraph" w:customStyle="1" w:styleId="456">
    <w:name w:val="toc 75"/>
    <w:next w:val="1"/>
    <w:qFormat/>
    <w:uiPriority w:val="0"/>
    <w:pPr>
      <w:wordWrap w:val="0"/>
      <w:ind w:left="2550"/>
      <w:jc w:val="both"/>
    </w:pPr>
    <w:rPr>
      <w:rFonts w:ascii="Calibri" w:hAnsi="Calibri" w:eastAsia="宋体" w:cs="Times New Roman"/>
      <w:sz w:val="21"/>
      <w:lang w:val="en-US" w:eastAsia="zh-CN" w:bidi="ar-SA"/>
    </w:rPr>
  </w:style>
  <w:style w:type="paragraph" w:customStyle="1" w:styleId="457">
    <w:name w:val="toc 715"/>
    <w:next w:val="1"/>
    <w:qFormat/>
    <w:uiPriority w:val="0"/>
    <w:pPr>
      <w:wordWrap w:val="0"/>
      <w:ind w:left="2550"/>
      <w:jc w:val="both"/>
    </w:pPr>
    <w:rPr>
      <w:rFonts w:ascii="Calibri" w:hAnsi="Calibri" w:eastAsia="宋体" w:cs="Times New Roman"/>
      <w:sz w:val="21"/>
      <w:lang w:val="en-US" w:eastAsia="zh-CN" w:bidi="ar-SA"/>
    </w:rPr>
  </w:style>
  <w:style w:type="paragraph" w:styleId="458">
    <w:name w:val="Intense Quote"/>
    <w:next w:val="1"/>
    <w:link w:val="459"/>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59">
    <w:name w:val="明显引用 Char"/>
    <w:basedOn w:val="46"/>
    <w:link w:val="458"/>
    <w:qFormat/>
    <w:uiPriority w:val="0"/>
    <w:rPr>
      <w:rFonts w:ascii="Calibri" w:hAnsi="Calibri"/>
      <w:i/>
      <w:sz w:val="21"/>
    </w:rPr>
  </w:style>
  <w:style w:type="paragraph" w:customStyle="1" w:styleId="460">
    <w:name w:val="Char Char Char Char Char Char Char"/>
    <w:basedOn w:val="1"/>
    <w:next w:val="444"/>
    <w:qFormat/>
    <w:uiPriority w:val="0"/>
    <w:pPr>
      <w:widowControl/>
      <w:spacing w:after="160" w:line="240" w:lineRule="exact"/>
    </w:pPr>
    <w:rPr>
      <w:rFonts w:hAnsi="Calibri"/>
      <w:kern w:val="0"/>
      <w:szCs w:val="20"/>
    </w:rPr>
  </w:style>
  <w:style w:type="paragraph" w:customStyle="1" w:styleId="461">
    <w:name w:val="toc 23"/>
    <w:next w:val="1"/>
    <w:qFormat/>
    <w:uiPriority w:val="0"/>
    <w:pPr>
      <w:wordWrap w:val="0"/>
      <w:ind w:left="425"/>
      <w:jc w:val="both"/>
    </w:pPr>
    <w:rPr>
      <w:rFonts w:ascii="Calibri" w:hAnsi="Calibri" w:eastAsia="宋体" w:cs="Times New Roman"/>
      <w:sz w:val="21"/>
      <w:lang w:val="en-US" w:eastAsia="zh-CN" w:bidi="ar-SA"/>
    </w:rPr>
  </w:style>
  <w:style w:type="paragraph" w:customStyle="1" w:styleId="462">
    <w:name w:val="目录 61"/>
    <w:next w:val="1"/>
    <w:qFormat/>
    <w:uiPriority w:val="0"/>
    <w:pPr>
      <w:wordWrap w:val="0"/>
      <w:ind w:left="2125"/>
      <w:jc w:val="both"/>
    </w:pPr>
    <w:rPr>
      <w:rFonts w:ascii="Calibri" w:hAnsi="Calibri" w:eastAsia="宋体" w:cs="Times New Roman"/>
      <w:sz w:val="21"/>
      <w:lang w:val="en-US" w:eastAsia="zh-CN" w:bidi="ar-SA"/>
    </w:rPr>
  </w:style>
  <w:style w:type="paragraph" w:customStyle="1" w:styleId="463">
    <w:name w:val="toc 97"/>
    <w:next w:val="1"/>
    <w:qFormat/>
    <w:uiPriority w:val="0"/>
    <w:pPr>
      <w:wordWrap w:val="0"/>
      <w:ind w:left="3400"/>
      <w:jc w:val="both"/>
    </w:pPr>
    <w:rPr>
      <w:rFonts w:ascii="Calibri" w:hAnsi="Calibri" w:eastAsia="宋体" w:cs="Times New Roman"/>
      <w:sz w:val="21"/>
      <w:lang w:val="en-US" w:eastAsia="zh-CN" w:bidi="ar-SA"/>
    </w:rPr>
  </w:style>
  <w:style w:type="paragraph" w:customStyle="1" w:styleId="464">
    <w:name w:val="toc 74"/>
    <w:next w:val="1"/>
    <w:qFormat/>
    <w:uiPriority w:val="0"/>
    <w:pPr>
      <w:wordWrap w:val="0"/>
      <w:ind w:left="2550"/>
      <w:jc w:val="both"/>
    </w:pPr>
    <w:rPr>
      <w:rFonts w:ascii="Calibri" w:hAnsi="Calibri" w:eastAsia="宋体" w:cs="Times New Roman"/>
      <w:sz w:val="21"/>
      <w:lang w:val="en-US" w:eastAsia="zh-CN" w:bidi="ar-SA"/>
    </w:rPr>
  </w:style>
  <w:style w:type="paragraph" w:customStyle="1" w:styleId="465">
    <w:name w:val="xl64"/>
    <w:basedOn w:val="1"/>
    <w:next w:val="440"/>
    <w:qFormat/>
    <w:uiPriority w:val="0"/>
    <w:pPr>
      <w:widowControl/>
      <w:shd w:val="clear" w:color="000000" w:fill="FFFFFF"/>
      <w:spacing w:before="280" w:after="280"/>
    </w:pPr>
    <w:rPr>
      <w:rFonts w:ascii="宋体" w:hAnsi="Calibri"/>
      <w:kern w:val="0"/>
      <w:sz w:val="20"/>
      <w:szCs w:val="20"/>
    </w:rPr>
  </w:style>
  <w:style w:type="paragraph" w:customStyle="1" w:styleId="466">
    <w:name w:val="xl82"/>
    <w:basedOn w:val="1"/>
    <w:next w:val="286"/>
    <w:qFormat/>
    <w:uiPriority w:val="0"/>
    <w:pPr>
      <w:widowControl/>
      <w:shd w:val="clear" w:color="000000" w:fill="FFFFFF"/>
      <w:spacing w:before="280" w:after="280"/>
    </w:pPr>
    <w:rPr>
      <w:rFonts w:ascii="宋体" w:hAnsi="Calibri"/>
      <w:kern w:val="0"/>
      <w:sz w:val="20"/>
      <w:szCs w:val="20"/>
    </w:rPr>
  </w:style>
  <w:style w:type="paragraph" w:customStyle="1" w:styleId="467">
    <w:name w:val="toc 32"/>
    <w:next w:val="1"/>
    <w:qFormat/>
    <w:uiPriority w:val="0"/>
    <w:pPr>
      <w:wordWrap w:val="0"/>
      <w:ind w:left="850"/>
      <w:jc w:val="both"/>
    </w:pPr>
    <w:rPr>
      <w:rFonts w:ascii="Calibri" w:hAnsi="Calibri" w:eastAsia="宋体" w:cs="Times New Roman"/>
      <w:sz w:val="21"/>
      <w:lang w:val="en-US" w:eastAsia="zh-CN" w:bidi="ar-SA"/>
    </w:rPr>
  </w:style>
  <w:style w:type="paragraph" w:customStyle="1" w:styleId="468">
    <w:name w:val="xl77"/>
    <w:basedOn w:val="1"/>
    <w:next w:val="434"/>
    <w:qFormat/>
    <w:uiPriority w:val="0"/>
    <w:pPr>
      <w:widowControl/>
      <w:shd w:val="clear" w:color="000000" w:fill="FFFFFF"/>
      <w:spacing w:before="280" w:after="280"/>
      <w:jc w:val="center"/>
    </w:pPr>
    <w:rPr>
      <w:rFonts w:ascii="宋体" w:hAnsi="Calibri"/>
      <w:kern w:val="0"/>
      <w:sz w:val="20"/>
      <w:szCs w:val="20"/>
    </w:rPr>
  </w:style>
  <w:style w:type="character" w:customStyle="1" w:styleId="469">
    <w:name w:val="正文缩进 Char1"/>
    <w:qFormat/>
    <w:uiPriority w:val="0"/>
    <w:rPr>
      <w:rFonts w:eastAsia="宋体"/>
      <w:kern w:val="2"/>
      <w:sz w:val="21"/>
      <w:lang w:val="en-US" w:eastAsia="zh-CN" w:bidi="ar-SA"/>
    </w:rPr>
  </w:style>
  <w:style w:type="character" w:customStyle="1" w:styleId="470">
    <w:name w:val="fielderror"/>
    <w:basedOn w:val="46"/>
    <w:qFormat/>
    <w:uiPriority w:val="0"/>
    <w:rPr>
      <w:color w:val="800000"/>
    </w:rPr>
  </w:style>
  <w:style w:type="character" w:customStyle="1" w:styleId="471">
    <w:name w:val="hilite6"/>
    <w:basedOn w:val="46"/>
    <w:qFormat/>
    <w:uiPriority w:val="0"/>
    <w:rPr>
      <w:color w:val="000000"/>
    </w:rPr>
  </w:style>
  <w:style w:type="character" w:customStyle="1" w:styleId="472">
    <w:name w:val="active6"/>
    <w:basedOn w:val="46"/>
    <w:qFormat/>
    <w:uiPriority w:val="0"/>
    <w:rPr>
      <w:color w:val="FFFFFF"/>
    </w:rPr>
  </w:style>
  <w:style w:type="character" w:customStyle="1" w:styleId="473">
    <w:name w:val="inline-help"/>
    <w:basedOn w:val="46"/>
    <w:qFormat/>
    <w:uiPriority w:val="0"/>
  </w:style>
  <w:style w:type="character" w:customStyle="1" w:styleId="474">
    <w:name w:val="active"/>
    <w:basedOn w:val="46"/>
    <w:qFormat/>
    <w:uiPriority w:val="0"/>
    <w:rPr>
      <w:color w:val="FFFFFF"/>
    </w:rPr>
  </w:style>
  <w:style w:type="table" w:customStyle="1" w:styleId="475">
    <w:name w:val="网格型1"/>
    <w:basedOn w:val="43"/>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76">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477">
    <w:name w:val="font171"/>
    <w:basedOn w:val="46"/>
    <w:qFormat/>
    <w:uiPriority w:val="0"/>
    <w:rPr>
      <w:rFonts w:hint="eastAsia" w:ascii="宋体" w:hAnsi="宋体" w:eastAsia="宋体" w:cs="宋体"/>
      <w:color w:val="000000"/>
      <w:sz w:val="20"/>
      <w:szCs w:val="20"/>
      <w:u w:val="none"/>
      <w:vertAlign w:val="superscript"/>
    </w:rPr>
  </w:style>
  <w:style w:type="character" w:customStyle="1" w:styleId="478">
    <w:name w:val="font181"/>
    <w:basedOn w:val="46"/>
    <w:qFormat/>
    <w:uiPriority w:val="0"/>
    <w:rPr>
      <w:rFonts w:hint="eastAsia" w:ascii="宋体" w:hAnsi="宋体" w:eastAsia="宋体" w:cs="宋体"/>
      <w:color w:val="FF0000"/>
      <w:sz w:val="20"/>
      <w:szCs w:val="20"/>
      <w:u w:val="none"/>
    </w:rPr>
  </w:style>
  <w:style w:type="character" w:customStyle="1" w:styleId="479">
    <w:name w:val="font191"/>
    <w:basedOn w:val="46"/>
    <w:qFormat/>
    <w:uiPriority w:val="0"/>
    <w:rPr>
      <w:rFonts w:hint="eastAsia" w:ascii="宋体" w:hAnsi="宋体" w:eastAsia="宋体" w:cs="宋体"/>
      <w:color w:val="FF0000"/>
      <w:sz w:val="20"/>
      <w:szCs w:val="20"/>
      <w:u w:val="none"/>
    </w:rPr>
  </w:style>
  <w:style w:type="character" w:customStyle="1" w:styleId="480">
    <w:name w:val="font201"/>
    <w:basedOn w:val="46"/>
    <w:qFormat/>
    <w:uiPriority w:val="0"/>
    <w:rPr>
      <w:rFonts w:hint="eastAsia" w:ascii="宋体" w:hAnsi="宋体" w:eastAsia="宋体" w:cs="宋体"/>
      <w:b/>
      <w:bCs/>
      <w:color w:val="000000"/>
      <w:sz w:val="20"/>
      <w:szCs w:val="20"/>
      <w:u w:val="none"/>
    </w:rPr>
  </w:style>
  <w:style w:type="character" w:customStyle="1" w:styleId="481">
    <w:name w:val="font211"/>
    <w:basedOn w:val="46"/>
    <w:qFormat/>
    <w:uiPriority w:val="0"/>
    <w:rPr>
      <w:rFonts w:hint="eastAsia" w:ascii="宋体" w:hAnsi="宋体" w:eastAsia="宋体" w:cs="宋体"/>
      <w:color w:val="000000"/>
      <w:sz w:val="20"/>
      <w:szCs w:val="20"/>
      <w:u w:val="none"/>
      <w:vertAlign w:val="superscript"/>
    </w:rPr>
  </w:style>
  <w:style w:type="paragraph" w:styleId="482">
    <w:name w:val="No Spacing"/>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186C8-385E-4190-BA4B-81D3686EE8D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192</Pages>
  <Words>9346</Words>
  <Characters>9686</Characters>
  <Lines>368</Lines>
  <Paragraphs>103</Paragraphs>
  <TotalTime>34</TotalTime>
  <ScaleCrop>false</ScaleCrop>
  <LinksUpToDate>false</LinksUpToDate>
  <CharactersWithSpaces>9802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2021-05-07T05:47:00Z</dcterms:created>
  <dc:creator>thsware</dc:creator>
  <cp:lastModifiedBy>CAOQM</cp:lastModifiedBy>
  <cp:lastPrinted>2021-05-16T11:04:00Z</cp:lastPrinted>
  <dcterms:modified xsi:type="dcterms:W3CDTF">2025-04-09T11:02:15Z</dcterms:modified>
  <dc:title>招  标　文　件</dc:title>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FA7C1CA8E14441EFB9295880E42A08EF</vt:lpwstr>
  </property>
  <property fmtid="{D5CDD505-2E9C-101B-9397-08002B2CF9AE}" pid="4" name="KSOTemplateDocerSaveRecord">
    <vt:lpwstr>eyJoZGlkIjoiNDZiMjI1ZmI4ZTcwNTU0NzA2NWY4YjVjNTFkMjc1ZjMiLCJ1c2VySWQiOiIzNjU0MTI3NDgifQ==</vt:lpwstr>
  </property>
</Properties>
</file>