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F01B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测试数据同步指引</w:t>
      </w:r>
    </w:p>
    <w:p w14:paraId="73160D9E">
      <w:pPr>
        <w:pStyle w:val="8"/>
        <w:ind w:firstLine="280"/>
      </w:pPr>
    </w:p>
    <w:p w14:paraId="6482FF5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投标人需遵照本指引，自行将测试数据同步至招标人指定的 </w:t>
      </w:r>
      <w:r>
        <w:rPr>
          <w:rStyle w:val="12"/>
          <w:rFonts w:hint="eastAsia" w:ascii="仿宋" w:hAnsi="仿宋" w:eastAsia="仿宋" w:cs="仿宋"/>
          <w:sz w:val="28"/>
          <w:szCs w:val="28"/>
        </w:rPr>
        <w:t>MySQL 5.7</w:t>
      </w:r>
      <w:r>
        <w:rPr>
          <w:rFonts w:hint="eastAsia" w:ascii="仿宋" w:hAnsi="仿宋" w:eastAsia="仿宋" w:cs="仿宋"/>
          <w:sz w:val="28"/>
          <w:szCs w:val="28"/>
        </w:rPr>
        <w:t xml:space="preserve"> 数据库，具体流程如下：</w:t>
      </w:r>
    </w:p>
    <w:p w14:paraId="280D31C1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1、投标人以邮件形式联系招标人采购经办人，提交下表信息，申请数据库同步账号：</w:t>
      </w:r>
    </w:p>
    <w:tbl>
      <w:tblPr>
        <w:tblStyle w:val="10"/>
        <w:tblpPr w:leftFromText="180" w:rightFromText="180" w:vertAnchor="text" w:horzAnchor="page" w:tblpX="1694" w:tblpY="116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5"/>
        <w:gridCol w:w="4644"/>
      </w:tblGrid>
      <w:tr w14:paraId="4051B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4" w:type="pct"/>
          </w:tcPr>
          <w:p w14:paraId="10726370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部署同步程序服务器公网IP</w:t>
            </w:r>
          </w:p>
        </w:tc>
        <w:tc>
          <w:tcPr>
            <w:tcW w:w="2725" w:type="pct"/>
          </w:tcPr>
          <w:p w14:paraId="63DAB3D3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CF5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4" w:type="pct"/>
          </w:tcPr>
          <w:p w14:paraId="6C0CDEF6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所需数据库空间（G）</w:t>
            </w:r>
          </w:p>
        </w:tc>
        <w:tc>
          <w:tcPr>
            <w:tcW w:w="2725" w:type="pct"/>
          </w:tcPr>
          <w:p w14:paraId="26DB49F5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B84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4" w:type="pct"/>
          </w:tcPr>
          <w:p w14:paraId="21FFE6CA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所需数据库账号权限</w:t>
            </w:r>
          </w:p>
        </w:tc>
        <w:tc>
          <w:tcPr>
            <w:tcW w:w="2725" w:type="pct"/>
          </w:tcPr>
          <w:p w14:paraId="0006D60A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24F72E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★必须严格控制同步的数据量为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20</w:t>
      </w:r>
      <w:r>
        <w:rPr>
          <w:rFonts w:ascii="仿宋" w:hAnsi="仿宋" w:eastAsia="仿宋" w:cs="仿宋"/>
          <w:b/>
          <w:bCs/>
          <w:sz w:val="28"/>
          <w:szCs w:val="28"/>
        </w:rPr>
        <w:t>25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年1月1日-2025年</w:t>
      </w:r>
      <w:r>
        <w:rPr>
          <w:rFonts w:ascii="仿宋" w:hAnsi="仿宋" w:eastAsia="仿宋" w:cs="仿宋"/>
          <w:b/>
          <w:bCs/>
          <w:sz w:val="28"/>
          <w:szCs w:val="28"/>
        </w:rPr>
        <w:t>4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月3</w:t>
      </w:r>
      <w:r>
        <w:rPr>
          <w:rFonts w:ascii="仿宋" w:hAnsi="仿宋" w:eastAsia="仿宋" w:cs="仿宋"/>
          <w:b/>
          <w:bCs/>
          <w:sz w:val="28"/>
          <w:szCs w:val="28"/>
        </w:rPr>
        <w:t>0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日期间上市的债券以及涉及这批债券的全量数据，全量</w:t>
      </w:r>
      <w:r>
        <w:rPr>
          <w:rFonts w:ascii="仿宋" w:hAnsi="仿宋" w:eastAsia="仿宋" w:cs="仿宋"/>
          <w:b/>
          <w:bCs/>
          <w:sz w:val="28"/>
          <w:szCs w:val="28"/>
        </w:rPr>
        <w:t>数据范围参照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2026-2029年度债券基础数据采购需求方案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部分数据内容项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（详见附件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，数据维护时间截至2026年</w:t>
      </w:r>
      <w:r>
        <w:rPr>
          <w:rFonts w:ascii="仿宋" w:hAnsi="仿宋" w:eastAsia="仿宋" w:cs="仿宋"/>
          <w:b/>
          <w:bCs/>
          <w:sz w:val="28"/>
          <w:szCs w:val="28"/>
        </w:rPr>
        <w:t>5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月30日</w:t>
      </w:r>
      <w:r>
        <w:rPr>
          <w:rFonts w:hint="eastAsia" w:ascii="仿宋" w:hAnsi="仿宋" w:eastAsia="仿宋" w:cs="仿宋"/>
          <w:sz w:val="28"/>
          <w:szCs w:val="28"/>
        </w:rPr>
        <w:t>，原则同步数据量不超过15G。如同步过多数据占用过多数据库空间，我方将清空所有同步的数据。</w:t>
      </w:r>
    </w:p>
    <w:p w14:paraId="273C59D5">
      <w:pPr>
        <w:pStyle w:val="8"/>
        <w:ind w:firstLine="280"/>
      </w:pPr>
    </w:p>
    <w:p w14:paraId="6E366B81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2、招标人根据提交信息完成数据库配置，并以邮件形式向投标人反馈数据库连接配置信息：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6711"/>
      </w:tblGrid>
      <w:tr w14:paraId="08990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1" w:type="pct"/>
          </w:tcPr>
          <w:p w14:paraId="4589CF85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数据库IP</w:t>
            </w:r>
          </w:p>
        </w:tc>
        <w:tc>
          <w:tcPr>
            <w:tcW w:w="3938" w:type="pct"/>
          </w:tcPr>
          <w:p w14:paraId="55F2D4C2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87A9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1" w:type="pct"/>
          </w:tcPr>
          <w:p w14:paraId="38576CE7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端口号</w:t>
            </w:r>
          </w:p>
        </w:tc>
        <w:tc>
          <w:tcPr>
            <w:tcW w:w="3938" w:type="pct"/>
          </w:tcPr>
          <w:p w14:paraId="03CF0482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B50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1" w:type="pct"/>
          </w:tcPr>
          <w:p w14:paraId="16348E38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账号</w:t>
            </w:r>
          </w:p>
        </w:tc>
        <w:tc>
          <w:tcPr>
            <w:tcW w:w="3938" w:type="pct"/>
          </w:tcPr>
          <w:p w14:paraId="42E04778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A25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1" w:type="pct"/>
          </w:tcPr>
          <w:p w14:paraId="0EAE640C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密码</w:t>
            </w:r>
          </w:p>
        </w:tc>
        <w:tc>
          <w:tcPr>
            <w:tcW w:w="3938" w:type="pct"/>
          </w:tcPr>
          <w:p w14:paraId="5409C3FD"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4C951C23">
      <w:pPr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712D65F3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★3、投标人收到数据库配置参数后，须在招标文件规定时限内完成数据同步；</w:t>
      </w:r>
      <w:r>
        <w:rPr>
          <w:rStyle w:val="12"/>
          <w:rFonts w:hint="eastAsia" w:ascii="仿宋" w:hAnsi="仿宋" w:eastAsia="仿宋" w:cs="仿宋"/>
          <w:sz w:val="28"/>
          <w:szCs w:val="28"/>
        </w:rPr>
        <w:t>逾期将关闭同步权限，不再受理数据同步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6BB1F12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★4、测试数据同步范围须确保所有表都能关联到债券代码及交易市场。如果业务表中没有债券代码及交易市场字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段，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需要同步相关基础表关联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607CFD0C">
      <w:pPr>
        <w:pStyle w:val="8"/>
        <w:rPr>
          <w:rFonts w:hint="eastAsia" w:ascii="仿宋" w:hAnsi="仿宋" w:eastAsia="仿宋" w:cs="仿宋"/>
          <w:sz w:val="28"/>
          <w:szCs w:val="28"/>
        </w:rPr>
      </w:pPr>
    </w:p>
    <w:p w14:paraId="4CC8DF4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60" w:lineRule="exact"/>
        <w:ind w:left="0" w:leftChars="0" w:firstLine="562" w:firstLineChars="200"/>
        <w:textAlignment w:val="auto"/>
        <w:outlineLvl w:val="0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kern w:val="2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Times New Roman"/>
          <w:b/>
          <w:bCs/>
          <w:kern w:val="2"/>
          <w:sz w:val="28"/>
          <w:szCs w:val="28"/>
          <w:lang w:val="en-US" w:eastAsia="zh-CN"/>
        </w:rPr>
        <w:t>1 测试数据提供范围清单</w:t>
      </w:r>
    </w:p>
    <w:tbl>
      <w:tblPr>
        <w:tblStyle w:val="9"/>
        <w:tblW w:w="8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961"/>
        <w:gridCol w:w="5772"/>
      </w:tblGrid>
      <w:tr w14:paraId="35292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8" w:type="dxa"/>
            <w:noWrap w:val="0"/>
            <w:vAlign w:val="center"/>
          </w:tcPr>
          <w:p w14:paraId="6EF442E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961" w:type="dxa"/>
            <w:noWrap w:val="0"/>
            <w:vAlign w:val="center"/>
          </w:tcPr>
          <w:p w14:paraId="59A5AEE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数据内容</w:t>
            </w:r>
          </w:p>
          <w:p w14:paraId="29A0FE4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772" w:type="dxa"/>
            <w:noWrap w:val="0"/>
            <w:vAlign w:val="center"/>
          </w:tcPr>
          <w:p w14:paraId="75B10BC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需求字段</w:t>
            </w:r>
          </w:p>
          <w:p w14:paraId="6F2E2D8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353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5D7C4613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1961" w:type="dxa"/>
            <w:noWrap w:val="0"/>
            <w:vAlign w:val="top"/>
          </w:tcPr>
          <w:p w14:paraId="1683CBF5">
            <w:pPr>
              <w:adjustRightInd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bidi="ar"/>
              </w:rPr>
              <w:t>债券基本信息</w:t>
            </w:r>
          </w:p>
        </w:tc>
        <w:tc>
          <w:tcPr>
            <w:tcW w:w="5772" w:type="dxa"/>
            <w:noWrap w:val="0"/>
            <w:vAlign w:val="top"/>
          </w:tcPr>
          <w:p w14:paraId="515D972C">
            <w:pPr>
              <w:pStyle w:val="8"/>
              <w:ind w:firstLine="0" w:firstLineChars="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债券全称、债券简称、债券种类、偿还期限、付息方式、付息频率、债券形式、利率类型、计利方式、起息日、到期日、兑付日、交易市场、发行机构名称、上市日期、摘牌日期、债券面值</w:t>
            </w:r>
            <w:r>
              <w:rPr>
                <w:rFonts w:ascii="仿宋" w:hAnsi="仿宋" w:eastAsia="仿宋" w:cs="仿宋"/>
                <w:sz w:val="24"/>
                <w:lang w:bidi="ar"/>
              </w:rPr>
              <w:t>(初始面值)</w:t>
            </w:r>
          </w:p>
        </w:tc>
      </w:tr>
      <w:tr w14:paraId="21299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5203EFD7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1961" w:type="dxa"/>
            <w:noWrap w:val="0"/>
            <w:vAlign w:val="top"/>
          </w:tcPr>
          <w:p w14:paraId="4FD89854">
            <w:pPr>
              <w:widowControl/>
              <w:jc w:val="left"/>
              <w:rPr>
                <w:rFonts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zh-CN" w:bidi="ar"/>
              </w:rPr>
              <w:t>发债相关发行机构</w:t>
            </w:r>
          </w:p>
        </w:tc>
        <w:tc>
          <w:tcPr>
            <w:tcW w:w="5772" w:type="dxa"/>
            <w:noWrap w:val="0"/>
            <w:vAlign w:val="top"/>
          </w:tcPr>
          <w:p w14:paraId="24831E2E">
            <w:pPr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val="zh-CN" w:bidi="ar"/>
              </w:rPr>
              <w:t>发行起始日、债券发行类别、中介机构类别、中介机构名称</w:t>
            </w:r>
          </w:p>
        </w:tc>
      </w:tr>
      <w:tr w14:paraId="44ECC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6CA71742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1961" w:type="dxa"/>
            <w:noWrap w:val="0"/>
            <w:vAlign w:val="top"/>
          </w:tcPr>
          <w:p w14:paraId="3F274C72">
            <w:pPr>
              <w:widowControl/>
              <w:jc w:val="left"/>
              <w:rPr>
                <w:rFonts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val="zh-CN" w:bidi="ar"/>
              </w:rPr>
              <w:t>债券付息兑付</w:t>
            </w:r>
          </w:p>
        </w:tc>
        <w:tc>
          <w:tcPr>
            <w:tcW w:w="5772" w:type="dxa"/>
            <w:noWrap w:val="0"/>
            <w:vAlign w:val="top"/>
          </w:tcPr>
          <w:p w14:paraId="5A5269DF">
            <w:pPr>
              <w:pStyle w:val="8"/>
              <w:ind w:firstLine="24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债券名称、债券代码、事件类型、计息起始日、计息终止日、票面利率、实际付息利率、每手付息数、债权登记日、除息日、付息日、兑付日、偿还金额、现金流类型（还本、付息、还本付息等）、变动前实际本金、变动后实际本金、每百元面值的到期兑付资金、交易市场、偿还方式（面值还本、持仓还本）、提前偿还日、提前偿还金额、提前偿还比例</w:t>
            </w:r>
          </w:p>
        </w:tc>
      </w:tr>
      <w:tr w14:paraId="6E8C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3E13D04D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1961" w:type="dxa"/>
            <w:noWrap w:val="0"/>
            <w:vAlign w:val="center"/>
          </w:tcPr>
          <w:p w14:paraId="368349E3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债券规模变动</w:t>
            </w:r>
          </w:p>
        </w:tc>
        <w:tc>
          <w:tcPr>
            <w:tcW w:w="5772" w:type="dxa"/>
            <w:noWrap w:val="0"/>
            <w:vAlign w:val="top"/>
          </w:tcPr>
          <w:p w14:paraId="034ED256">
            <w:pPr>
              <w:pStyle w:val="8"/>
              <w:ind w:firstLine="0" w:firstLineChars="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公告日期、起始日期、截止日期、债券规模、债券张数、债券面值</w:t>
            </w:r>
            <w:r>
              <w:rPr>
                <w:rFonts w:ascii="仿宋" w:hAnsi="仿宋" w:eastAsia="仿宋" w:cs="仿宋"/>
                <w:sz w:val="24"/>
                <w:lang w:bidi="ar"/>
              </w:rPr>
              <w:t>、变动原因、变动规模</w:t>
            </w:r>
          </w:p>
        </w:tc>
      </w:tr>
      <w:tr w14:paraId="74B2E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1E0A878D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1961" w:type="dxa"/>
            <w:noWrap w:val="0"/>
            <w:vAlign w:val="top"/>
          </w:tcPr>
          <w:p w14:paraId="4730EBA3">
            <w:pPr>
              <w:widowControl/>
              <w:jc w:val="left"/>
              <w:rPr>
                <w:rFonts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债券赎回</w:t>
            </w:r>
          </w:p>
        </w:tc>
        <w:tc>
          <w:tcPr>
            <w:tcW w:w="5772" w:type="dxa"/>
            <w:noWrap w:val="0"/>
            <w:vAlign w:val="top"/>
          </w:tcPr>
          <w:p w14:paraId="1D85635D">
            <w:pPr>
              <w:pStyle w:val="8"/>
              <w:ind w:firstLine="0" w:firstLineChars="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公告日期、赎回日期、赎回价格、赎回比例、赎回数量、赎回金额、赎回原因、付款日期、债权登记日、赎回代码、赎回结果公告日、行权起始日、行权截止日、未赎回数量、终止交易日期</w:t>
            </w:r>
          </w:p>
        </w:tc>
      </w:tr>
      <w:tr w14:paraId="2C6CD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4A313BE5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1961" w:type="dxa"/>
            <w:noWrap w:val="0"/>
            <w:vAlign w:val="center"/>
          </w:tcPr>
          <w:p w14:paraId="1954C73A">
            <w:pPr>
              <w:widowControl/>
              <w:jc w:val="left"/>
              <w:rPr>
                <w:rFonts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债券回售</w:t>
            </w:r>
          </w:p>
        </w:tc>
        <w:tc>
          <w:tcPr>
            <w:tcW w:w="5772" w:type="dxa"/>
            <w:noWrap w:val="0"/>
            <w:vAlign w:val="top"/>
          </w:tcPr>
          <w:p w14:paraId="56AE0F89">
            <w:pPr>
              <w:pStyle w:val="8"/>
              <w:ind w:firstLine="0" w:firstLineChars="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回售起始日、回售终止日、付款日期、回售价格、回售数量、回售金额、未回售数量、回售代码、回售结果公告日、回售简称、最新公告日期、行权起始日、行权截止日、实际转售金额、触发回售条款生效的交易起始日、触发回售条款生效的交易截止日</w:t>
            </w:r>
          </w:p>
        </w:tc>
      </w:tr>
      <w:tr w14:paraId="412B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614750E1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1961" w:type="dxa"/>
            <w:noWrap w:val="0"/>
            <w:vAlign w:val="center"/>
          </w:tcPr>
          <w:p w14:paraId="6699279E">
            <w:pPr>
              <w:widowControl/>
              <w:jc w:val="left"/>
              <w:rPr>
                <w:rFonts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可转债转股</w:t>
            </w:r>
          </w:p>
        </w:tc>
        <w:tc>
          <w:tcPr>
            <w:tcW w:w="5772" w:type="dxa"/>
            <w:noWrap w:val="0"/>
            <w:vAlign w:val="top"/>
          </w:tcPr>
          <w:p w14:paraId="51F2E339">
            <w:pPr>
              <w:pStyle w:val="8"/>
              <w:ind w:firstLine="24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公告日期、转股代码、转股简称、转股价格、自愿转换期起始日、自愿转换期终止日、调整后转股价格、标的股票、强制转股日、强制转股价格、可转债终止交易日转股价调整日</w:t>
            </w:r>
          </w:p>
        </w:tc>
      </w:tr>
      <w:tr w14:paraId="49D96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6285868E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1961" w:type="dxa"/>
            <w:noWrap w:val="0"/>
            <w:vAlign w:val="center"/>
          </w:tcPr>
          <w:p w14:paraId="165ED876">
            <w:pPr>
              <w:widowControl/>
              <w:jc w:val="left"/>
              <w:rPr>
                <w:rFonts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可转债十大持有人</w:t>
            </w:r>
          </w:p>
        </w:tc>
        <w:tc>
          <w:tcPr>
            <w:tcW w:w="5772" w:type="dxa"/>
            <w:noWrap w:val="0"/>
            <w:vAlign w:val="top"/>
          </w:tcPr>
          <w:p w14:paraId="14D91FF2">
            <w:pPr>
              <w:pStyle w:val="8"/>
              <w:ind w:firstLine="0" w:firstLineChars="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公告日期、截止日期、持有人名次、持有人名称、持债数量、持债比例、持有人类别</w:t>
            </w:r>
          </w:p>
        </w:tc>
      </w:tr>
      <w:tr w14:paraId="5F638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75D0C560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1961" w:type="dxa"/>
            <w:noWrap w:val="0"/>
            <w:vAlign w:val="center"/>
          </w:tcPr>
          <w:p w14:paraId="1369E39A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债券信用评级</w:t>
            </w:r>
          </w:p>
        </w:tc>
        <w:tc>
          <w:tcPr>
            <w:tcW w:w="5772" w:type="dxa"/>
            <w:noWrap w:val="0"/>
            <w:vAlign w:val="top"/>
          </w:tcPr>
          <w:p w14:paraId="44B915E4">
            <w:pPr>
              <w:pStyle w:val="8"/>
              <w:ind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公告日期、评级日期、债券信用等级、评级机构</w:t>
            </w:r>
          </w:p>
        </w:tc>
      </w:tr>
      <w:tr w14:paraId="11B72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0CA3D9F1">
            <w:pPr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1961" w:type="dxa"/>
            <w:noWrap w:val="0"/>
            <w:vAlign w:val="center"/>
          </w:tcPr>
          <w:p w14:paraId="7167CDDF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发债主体评级</w:t>
            </w:r>
          </w:p>
        </w:tc>
        <w:tc>
          <w:tcPr>
            <w:tcW w:w="5772" w:type="dxa"/>
            <w:noWrap w:val="0"/>
            <w:vAlign w:val="top"/>
          </w:tcPr>
          <w:p w14:paraId="4D9E6D38">
            <w:pPr>
              <w:pStyle w:val="8"/>
              <w:ind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公告日期、评级机构关联ID、机构名称、评级日期、公司信用等级、评级展望、评级机构</w:t>
            </w:r>
          </w:p>
        </w:tc>
      </w:tr>
      <w:tr w14:paraId="52C20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7EDFF3BA">
            <w:pPr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11</w:t>
            </w:r>
          </w:p>
        </w:tc>
        <w:tc>
          <w:tcPr>
            <w:tcW w:w="1961" w:type="dxa"/>
            <w:noWrap w:val="0"/>
            <w:vAlign w:val="center"/>
          </w:tcPr>
          <w:p w14:paraId="12C730E9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债券利率</w:t>
            </w:r>
          </w:p>
        </w:tc>
        <w:tc>
          <w:tcPr>
            <w:tcW w:w="5772" w:type="dxa"/>
            <w:noWrap w:val="0"/>
            <w:vAlign w:val="top"/>
          </w:tcPr>
          <w:p w14:paraId="110277B7">
            <w:pPr>
              <w:pStyle w:val="8"/>
              <w:ind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公告日期、变动原因、起始日期、终止日期、利率基准日、利率类型、基准利率、基本利差、票面利率</w:t>
            </w:r>
          </w:p>
        </w:tc>
      </w:tr>
      <w:tr w14:paraId="5935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4E896309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961" w:type="dxa"/>
            <w:noWrap w:val="0"/>
            <w:vAlign w:val="center"/>
          </w:tcPr>
          <w:p w14:paraId="3F6616B5">
            <w:pPr>
              <w:widowControl/>
              <w:jc w:val="left"/>
              <w:rPr>
                <w:rFonts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ascii="仿宋" w:hAnsi="仿宋" w:eastAsia="仿宋" w:cs="仿宋"/>
                <w:bCs/>
                <w:kern w:val="0"/>
                <w:sz w:val="24"/>
                <w:lang w:bidi="ar"/>
              </w:rPr>
              <w:t>债券上市状态</w:t>
            </w:r>
          </w:p>
        </w:tc>
        <w:tc>
          <w:tcPr>
            <w:tcW w:w="5772" w:type="dxa"/>
            <w:noWrap w:val="0"/>
            <w:vAlign w:val="top"/>
          </w:tcPr>
          <w:p w14:paraId="04C85ED1">
            <w:pPr>
              <w:pStyle w:val="8"/>
              <w:ind w:firstLine="0" w:firstLineChars="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公告日期、证券代码、变更日期、上市状态、变更原因</w:t>
            </w:r>
          </w:p>
        </w:tc>
      </w:tr>
      <w:tr w14:paraId="7286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7BC92CF1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1961" w:type="dxa"/>
            <w:noWrap w:val="0"/>
            <w:vAlign w:val="top"/>
          </w:tcPr>
          <w:p w14:paraId="1D57AC3E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bidi="ar"/>
              </w:rPr>
              <w:t>可转债发行</w:t>
            </w:r>
          </w:p>
        </w:tc>
        <w:tc>
          <w:tcPr>
            <w:tcW w:w="5772" w:type="dxa"/>
            <w:noWrap w:val="0"/>
            <w:vAlign w:val="top"/>
          </w:tcPr>
          <w:p w14:paraId="400EC6A8">
            <w:pPr>
              <w:widowControl/>
              <w:jc w:val="left"/>
              <w:rPr>
                <w:rFonts w:ascii="仿宋" w:hAnsi="仿宋" w:eastAsia="仿宋" w:cs="仿宋"/>
                <w:b/>
                <w:kern w:val="0"/>
                <w:sz w:val="24"/>
                <w:lang w:val="zh-CN"/>
              </w:rPr>
            </w:pPr>
            <w:r>
              <w:rPr>
                <w:rFonts w:ascii="仿宋" w:hAnsi="仿宋" w:eastAsia="仿宋" w:cs="仿宋"/>
                <w:sz w:val="24"/>
              </w:rPr>
              <w:t>公告日期、</w:t>
            </w:r>
            <w:r>
              <w:rPr>
                <w:rFonts w:ascii="仿宋" w:hAnsi="仿宋" w:eastAsia="仿宋" w:cs="仿宋"/>
                <w:kern w:val="0"/>
                <w:sz w:val="24"/>
                <w:lang w:val="zh-CN" w:bidi="ar"/>
              </w:rPr>
              <w:t>发行公告日期、发行起始日、发行终止日、计划发行总量、实际发行总量、发行面值、发行价格、预计募资金额、实际募资金额、发行费用总额、发行方式、发行对象、发行范围、承销方式、是否有担保、募资用途说明、资金到账日期、上市公告日期、最小认购单位、最小认购额、初始转股价确定方式、初始转股价格、转股开始日期、转股终止日期、网上申购日期、网下认购日期、网上申购代码、网上申购简称、票面利率询价下限、票面利率询价上限、原股东每股获配金额、原股东优先获配数量、原股东配售比例、网上发售数量、网上发售中签率、承销商包销数量、优先申购日、配售价格、债权登记日、优先申购缴款日、网上路演日、原股东申购代码、原股东申购简称、原股东股权申购登记日、网下申购定金比例、网下申购数量下限、网下申购数量上限、网下申购单位、网下中签率公布及退款日、网上申购数量上限、网上申购数量下限、网上申购单位、网上申购中签结果公告日及退款日、转股代码、网下认购代码、网下认购简称、可优先获配股东、网下配售数量、网下配售比例</w:t>
            </w:r>
          </w:p>
          <w:p w14:paraId="5872229B">
            <w:pPr>
              <w:pStyle w:val="8"/>
              <w:ind w:firstLine="241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</w:tr>
      <w:tr w14:paraId="2962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007430C0">
            <w:pPr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14</w:t>
            </w:r>
          </w:p>
        </w:tc>
        <w:tc>
          <w:tcPr>
            <w:tcW w:w="1961" w:type="dxa"/>
            <w:noWrap w:val="0"/>
            <w:vAlign w:val="top"/>
          </w:tcPr>
          <w:p w14:paraId="2DF97486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val="zh-CN" w:bidi="ar"/>
              </w:rPr>
              <w:t>信用债发行</w:t>
            </w:r>
          </w:p>
        </w:tc>
        <w:tc>
          <w:tcPr>
            <w:tcW w:w="5772" w:type="dxa"/>
            <w:noWrap w:val="0"/>
            <w:vAlign w:val="top"/>
          </w:tcPr>
          <w:p w14:paraId="01E3FADE">
            <w:pPr>
              <w:pStyle w:val="8"/>
              <w:ind w:firstLine="24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公告日期、</w:t>
            </w:r>
            <w:r>
              <w:rPr>
                <w:rFonts w:ascii="仿宋" w:hAnsi="仿宋" w:eastAsia="仿宋" w:cs="仿宋"/>
                <w:sz w:val="24"/>
                <w:lang w:val="zh-CN" w:bidi="ar"/>
              </w:rPr>
              <w:t>发行公告日期、网上发行起始日、网上发行终止日、网下发行起始日、网下发行终止日、分销起始日、分销终止日、计划发行总量、实际发行总量、发行面值、发行价格、预计募资金额、实际募资金额、发行费用总额、发行方式、发行对象、发行范围、承销方式、是否有担保、担保说明、资金到账日期、最小认购单位、最低认购额、最高认购额、募资用途说明、网下申购资金到账日、网下询价日、增发次数、续发合并上市时间、缴款日、簿记建档日、缴款起始日、缴款截止日、债券性质、发起机构</w:t>
            </w:r>
          </w:p>
        </w:tc>
      </w:tr>
      <w:tr w14:paraId="5BD02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78" w:type="dxa"/>
            <w:noWrap w:val="0"/>
            <w:vAlign w:val="top"/>
          </w:tcPr>
          <w:p w14:paraId="53C80F03">
            <w:pPr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15</w:t>
            </w:r>
          </w:p>
        </w:tc>
        <w:tc>
          <w:tcPr>
            <w:tcW w:w="1961" w:type="dxa"/>
            <w:noWrap w:val="0"/>
            <w:vAlign w:val="center"/>
          </w:tcPr>
          <w:p w14:paraId="256B1CAC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lang w:val="zh-CN" w:bidi="ar"/>
              </w:rPr>
              <w:t>利率债发行</w:t>
            </w:r>
          </w:p>
        </w:tc>
        <w:tc>
          <w:tcPr>
            <w:tcW w:w="5772" w:type="dxa"/>
            <w:noWrap w:val="0"/>
            <w:vAlign w:val="top"/>
          </w:tcPr>
          <w:p w14:paraId="312DC0D7">
            <w:pPr>
              <w:pStyle w:val="8"/>
              <w:ind w:firstLine="240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sz w:val="24"/>
                <w:lang w:val="zh-CN" w:bidi="ar"/>
              </w:rPr>
              <w:t>公告日期、招标日、发行起始日、发行终止日、计划发行总量、实际发行总量、发行价格、发行面值、缴款日、发行手续费率、发行方式、发行对象、增发次数、续发合并上市时间、投标量基本单位、每标位最低投标量、每标位最高投标量、承揽费率、分销起始日、分销终止日、标的（价格、利率、利差）</w:t>
            </w:r>
          </w:p>
        </w:tc>
      </w:tr>
    </w:tbl>
    <w:p w14:paraId="60C36AC8">
      <w:pPr>
        <w:pStyle w:val="8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4" w:type="first"/>
      <w:headerReference r:id="rId3" w:type="default"/>
      <w:pgSz w:w="11906" w:h="16838"/>
      <w:pgMar w:top="1440" w:right="1800" w:bottom="1440" w:left="1800" w:header="680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2356D">
    <w:pPr>
      <w:pStyle w:val="6"/>
      <w:rPr>
        <w:rFonts w:eastAsia="仿宋_GB2312"/>
      </w:rPr>
    </w:pPr>
    <w:r>
      <w:rPr>
        <w:rFonts w:hint="eastAsia" w:ascii="仿宋_GB2312" w:hAnsi="仿宋_GB2312" w:eastAsia="仿宋_GB2312"/>
      </w:rPr>
      <w:t xml:space="preserve">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AFB7D">
    <w:pPr>
      <w:pStyle w:val="6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3644265</wp:posOffset>
              </wp:positionH>
              <wp:positionV relativeFrom="paragraph">
                <wp:posOffset>183515</wp:posOffset>
              </wp:positionV>
              <wp:extent cx="1630680" cy="281305"/>
              <wp:effectExtent l="9525" t="9525" r="17145" b="1397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0680" cy="2813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100000">
                            <a:srgbClr val="FFFFFF"/>
                          </a:gs>
                        </a:gsLst>
                        <a:lin ang="0"/>
                        <a:tileRect/>
                      </a:gradFill>
                      <a:ln w="19050" cap="flat" cmpd="sng">
                        <a:solidFill>
                          <a:srgbClr val="FF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54F4D46A">
                          <w:pPr>
                            <w:jc w:val="center"/>
                            <w:rPr>
                              <w:rFonts w:ascii="仿宋" w:hAnsi="仿宋" w:eastAsia="仿宋" w:cs="仿宋"/>
                              <w:b/>
                              <w:bCs/>
                              <w:color w:val="FF0000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b/>
                              <w:bCs/>
                              <w:color w:val="FF0000"/>
                            </w:rPr>
                            <w:t>三级工作信息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286.95pt;margin-top:14.45pt;height:22.15pt;width:128.4pt;z-index:251659264;mso-width-relative:page;mso-height-relative:page;" fillcolor="#FFFFFF" filled="t" stroked="t" coordsize="21600,21600" o:gfxdata="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9yootsAAAAJAQAADwAAAAAAAAABACAAAAAiAAAAZHJz&#10;L2Rvd25yZXYueG1sUEsBAhQAFAAAAAgAh07iQHvkbjo6AgAAsQQAAA4AAAAAAAAAAQAgAAAAKgEA&#10;AGRycy9lMm9Eb2MueG1sUEsFBgAAAAAGAAYAWQEAANYFAAAAAA==&#10;">
              <v:fill type="gradient" on="t" color2="#FFFFFF" angle="90" focus="100%" focussize="0,0">
                <o:fill type="gradientUnscaled" v:ext="backwardCompatible"/>
              </v:fill>
              <v:stroke weight="1.5pt" color="#FF0000" joinstyle="miter"/>
              <v:imagedata o:title=""/>
              <o:lock v:ext="edit" aspectratio="f"/>
              <v:textbox>
                <w:txbxContent>
                  <w:p w14:paraId="54F4D46A">
                    <w:pPr>
                      <w:jc w:val="center"/>
                      <w:rPr>
                        <w:rFonts w:ascii="仿宋" w:hAnsi="仿宋" w:eastAsia="仿宋" w:cs="仿宋"/>
                        <w:b/>
                        <w:bCs/>
                        <w:color w:val="FF0000"/>
                      </w:rPr>
                    </w:pPr>
                    <w:r>
                      <w:rPr>
                        <w:rFonts w:hint="eastAsia" w:ascii="仿宋" w:hAnsi="仿宋" w:eastAsia="仿宋" w:cs="仿宋"/>
                        <w:b/>
                        <w:bCs/>
                        <w:color w:val="FF0000"/>
                      </w:rPr>
                      <w:t>三级工作信息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723546"/>
    <w:rsid w:val="00025722"/>
    <w:rsid w:val="000C6500"/>
    <w:rsid w:val="00102750"/>
    <w:rsid w:val="00535371"/>
    <w:rsid w:val="007F450C"/>
    <w:rsid w:val="00C3747F"/>
    <w:rsid w:val="00C67066"/>
    <w:rsid w:val="00CC58A2"/>
    <w:rsid w:val="01723546"/>
    <w:rsid w:val="02F723EA"/>
    <w:rsid w:val="074F7971"/>
    <w:rsid w:val="079F323B"/>
    <w:rsid w:val="14B23174"/>
    <w:rsid w:val="175B36CA"/>
    <w:rsid w:val="186515B0"/>
    <w:rsid w:val="1B980DB4"/>
    <w:rsid w:val="1FA714E9"/>
    <w:rsid w:val="215F1FD9"/>
    <w:rsid w:val="23590C18"/>
    <w:rsid w:val="25967C26"/>
    <w:rsid w:val="28EC6B17"/>
    <w:rsid w:val="2CFF3EF3"/>
    <w:rsid w:val="3F5D4E92"/>
    <w:rsid w:val="46306BE3"/>
    <w:rsid w:val="47084B8F"/>
    <w:rsid w:val="47C377A2"/>
    <w:rsid w:val="56887E42"/>
    <w:rsid w:val="5B647EA8"/>
    <w:rsid w:val="62CB017B"/>
    <w:rsid w:val="6557779D"/>
    <w:rsid w:val="66FCA932"/>
    <w:rsid w:val="69D550CD"/>
    <w:rsid w:val="6A3762AD"/>
    <w:rsid w:val="6C0A7062"/>
    <w:rsid w:val="6C8A1147"/>
    <w:rsid w:val="6EDA5B74"/>
    <w:rsid w:val="6F2E69CD"/>
    <w:rsid w:val="726D0A05"/>
    <w:rsid w:val="74EA41EE"/>
    <w:rsid w:val="75B9046C"/>
    <w:rsid w:val="773F4E1E"/>
    <w:rsid w:val="7C347CA5"/>
    <w:rsid w:val="AE1FD1AD"/>
    <w:rsid w:val="BEEDFB45"/>
    <w:rsid w:val="F8FFD168"/>
    <w:rsid w:val="FD7BF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qFormat/>
    <w:uiPriority w:val="0"/>
    <w:rPr>
      <w:sz w:val="28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itle"/>
    <w:basedOn w:val="1"/>
    <w:next w:val="1"/>
    <w:qFormat/>
    <w:uiPriority w:val="0"/>
    <w:pPr>
      <w:adjustRightInd w:val="0"/>
      <w:spacing w:before="240" w:after="60" w:line="324" w:lineRule="auto"/>
      <w:jc w:val="center"/>
      <w:textAlignment w:val="baseline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8">
    <w:name w:val="Body Text First Indent"/>
    <w:basedOn w:val="3"/>
    <w:unhideWhenUsed/>
    <w:qFormat/>
    <w:uiPriority w:val="99"/>
    <w:pPr>
      <w:ind w:firstLine="420" w:firstLineChars="1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ISMS-电子标签-标题"/>
    <w:basedOn w:val="1"/>
    <w:qFormat/>
    <w:uiPriority w:val="0"/>
    <w:pPr>
      <w:jc w:val="center"/>
    </w:pPr>
    <w:rPr>
      <w:rFonts w:ascii="宋体" w:hAnsi="宋体" w:cs="宋体"/>
      <w:b/>
      <w:bCs/>
      <w:sz w:val="28"/>
      <w:szCs w:val="20"/>
    </w:rPr>
  </w:style>
  <w:style w:type="character" w:customStyle="1" w:styleId="14">
    <w:name w:val="ISMS-电子标签-内容2"/>
    <w:qFormat/>
    <w:uiPriority w:val="0"/>
    <w:rPr>
      <w:rFonts w:ascii="宋体" w:hAnsi="宋体"/>
      <w:b/>
      <w:bCs/>
      <w:sz w:val="15"/>
      <w:u w:val="single"/>
    </w:rPr>
  </w:style>
  <w:style w:type="paragraph" w:customStyle="1" w:styleId="15">
    <w:name w:val="封面标题"/>
    <w:basedOn w:val="1"/>
    <w:qFormat/>
    <w:uiPriority w:val="0"/>
    <w:pPr>
      <w:spacing w:before="156" w:beforeLines="50" w:after="156" w:afterLines="50" w:line="480" w:lineRule="auto"/>
      <w:jc w:val="center"/>
    </w:pPr>
    <w:rPr>
      <w:rFonts w:ascii="仿宋_GB2312" w:hAnsi="Calibri" w:eastAsia="仿宋_GB2312"/>
      <w:b/>
      <w:sz w:val="44"/>
      <w:szCs w:val="44"/>
    </w:rPr>
  </w:style>
  <w:style w:type="paragraph" w:customStyle="1" w:styleId="16">
    <w:name w:val="ISMS-封面-标题"/>
    <w:basedOn w:val="1"/>
    <w:qFormat/>
    <w:uiPriority w:val="0"/>
    <w:pPr>
      <w:jc w:val="center"/>
    </w:pPr>
    <w:rPr>
      <w:rFonts w:cs="宋体"/>
      <w:b/>
      <w:bCs/>
      <w:sz w:val="52"/>
      <w:szCs w:val="52"/>
    </w:rPr>
  </w:style>
  <w:style w:type="character" w:customStyle="1" w:styleId="17">
    <w:name w:val="批注框文本 字符"/>
    <w:basedOn w:val="11"/>
    <w:link w:val="4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2111</Words>
  <Characters>2148</Characters>
  <Lines>3</Lines>
  <Paragraphs>1</Paragraphs>
  <TotalTime>2</TotalTime>
  <ScaleCrop>false</ScaleCrop>
  <LinksUpToDate>false</LinksUpToDate>
  <CharactersWithSpaces>2152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2026-05-13T22:41:00Z</dcterms:created>
  <dc:creator>林进翁</dc:creator>
  <cp:lastModifiedBy>加乐-周工</cp:lastModifiedBy>
  <dcterms:modified xsi:type="dcterms:W3CDTF">2026-09-22T11:50:50Z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267DFBB9F0E04FD091BD04DC21BC1C14</vt:lpwstr>
  </property>
  <property fmtid="{D5CDD505-2E9C-101B-9397-08002B2CF9AE}" pid="4" name="KSOTemplateDocerSaveRecord">
    <vt:lpwstr>eyJoZGlkIjoiZDJhYTlkYTJlNTg4N2UwZTk1NGJhYmViYmJmNThlMzUiLCJ1c2VySWQiOiI0OTk5NDIyNDcifQ==</vt:lpwstr>
  </property>
</Properties>
</file>